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F024" w14:textId="2969D939" w:rsidR="002E7F65" w:rsidRDefault="002E7F65" w:rsidP="002E7F65">
      <w:pPr>
        <w:spacing w:line="480" w:lineRule="auto"/>
        <w:jc w:val="center"/>
        <w:rPr>
          <w:b/>
          <w:bCs/>
        </w:rPr>
      </w:pPr>
      <w:r w:rsidRPr="00302C59">
        <w:rPr>
          <w:b/>
          <w:bCs/>
        </w:rPr>
        <w:t>Are disparities in the educational performance of children from different family backgrounds associated with level of country development?</w:t>
      </w:r>
    </w:p>
    <w:p w14:paraId="5CBF35F3" w14:textId="15C24370" w:rsidR="002E7F65" w:rsidRDefault="002E7F65" w:rsidP="002E7F65">
      <w:pPr>
        <w:spacing w:line="480" w:lineRule="auto"/>
        <w:jc w:val="center"/>
        <w:rPr>
          <w:b/>
          <w:bCs/>
        </w:rPr>
      </w:pPr>
    </w:p>
    <w:p w14:paraId="53B53D0B" w14:textId="4E0305A7" w:rsidR="002E7F65" w:rsidRDefault="00BC26C4" w:rsidP="00BC26C4">
      <w:pPr>
        <w:spacing w:line="480" w:lineRule="auto"/>
        <w:jc w:val="center"/>
        <w:rPr>
          <w:b/>
          <w:bCs/>
        </w:rPr>
      </w:pPr>
      <w:r>
        <w:rPr>
          <w:b/>
          <w:bCs/>
        </w:rPr>
        <w:t>Abstract</w:t>
      </w:r>
    </w:p>
    <w:p w14:paraId="21F13C49" w14:textId="5C789908" w:rsidR="002E7F65" w:rsidRPr="002E7F65" w:rsidRDefault="002E7F65" w:rsidP="002E7F65">
      <w:pPr>
        <w:spacing w:line="480" w:lineRule="auto"/>
      </w:pPr>
      <w:r>
        <w:t>Disparities in the educational perf</w:t>
      </w:r>
      <w:r w:rsidR="003A09C8">
        <w:t>or</w:t>
      </w:r>
      <w:r>
        <w:t>mance of children of different family backgrounds is of interest to researchers, alongside the related issue of the trajectories of these disparities. Are gaps between more and less socially advantaged children widening or narrowing? The analysis in this paper examines data derived from the Programme for International Student Assessment (PISA) to make comparisons in the mathematics and reading performance of representative samples of fifteen</w:t>
      </w:r>
      <w:r w:rsidR="003A09C8">
        <w:t>-</w:t>
      </w:r>
      <w:r>
        <w:t xml:space="preserve">year olds in 64 different countries in 2015. Specifically, the performance of children of highly educated versus moderately educated parents </w:t>
      </w:r>
      <w:r w:rsidR="003A09C8">
        <w:t>we</w:t>
      </w:r>
      <w:r>
        <w:t xml:space="preserve">re compared, as </w:t>
      </w:r>
      <w:r w:rsidR="003A09C8">
        <w:t>we</w:t>
      </w:r>
      <w:r>
        <w:t>re the children of fathers in high status occupations versus low/medium status</w:t>
      </w:r>
      <w:r w:rsidR="003A09C8">
        <w:t xml:space="preserve"> occupations. United Nations data on country development, and OECD data on average country spending on children’s education were included in the assessment. Analysis indicated that the gap between children of less well-educated parents or of fathers in lower status occupations and those children whose parents were better educated, or whose fathers were in higher status occupations, were significantly greater in countries that </w:t>
      </w:r>
      <w:r w:rsidR="00A24EB5">
        <w:t xml:space="preserve">were </w:t>
      </w:r>
      <w:r w:rsidR="003A09C8">
        <w:t xml:space="preserve">more developed. This was despite the evidence that more developed countries spend more per pupil in education. </w:t>
      </w:r>
    </w:p>
    <w:p w14:paraId="1F607467" w14:textId="77777777" w:rsidR="00FB2FF1" w:rsidRDefault="00FB2FF1">
      <w:pPr>
        <w:rPr>
          <w:b/>
          <w:bCs/>
        </w:rPr>
      </w:pPr>
    </w:p>
    <w:p w14:paraId="07F4B84C" w14:textId="77777777" w:rsidR="00FB2FF1" w:rsidRDefault="00FB2FF1">
      <w:pPr>
        <w:rPr>
          <w:b/>
          <w:bCs/>
        </w:rPr>
      </w:pPr>
    </w:p>
    <w:p w14:paraId="02CF229E" w14:textId="69257CD9" w:rsidR="002E7F65" w:rsidRDefault="00FB2FF1">
      <w:pPr>
        <w:rPr>
          <w:b/>
          <w:bCs/>
        </w:rPr>
      </w:pPr>
      <w:r>
        <w:rPr>
          <w:b/>
          <w:bCs/>
        </w:rPr>
        <w:t xml:space="preserve">Keywords: </w:t>
      </w:r>
      <w:r>
        <w:t>Educational performance; intergenerational achievement; international comparison; parental education; father’s occupation; country development</w:t>
      </w:r>
      <w:r w:rsidR="002E7F65">
        <w:rPr>
          <w:b/>
          <w:bCs/>
        </w:rPr>
        <w:br w:type="page"/>
      </w:r>
    </w:p>
    <w:p w14:paraId="23986BBC" w14:textId="77777777" w:rsidR="002E7F65" w:rsidRDefault="002E7F65" w:rsidP="002E7F65">
      <w:pPr>
        <w:rPr>
          <w:b/>
          <w:bCs/>
        </w:rPr>
      </w:pPr>
    </w:p>
    <w:p w14:paraId="36F1694D" w14:textId="119456B5" w:rsidR="00E778BD" w:rsidRPr="00302C59" w:rsidRDefault="00302C59" w:rsidP="00302C59">
      <w:pPr>
        <w:spacing w:line="480" w:lineRule="auto"/>
        <w:jc w:val="center"/>
        <w:rPr>
          <w:b/>
          <w:bCs/>
        </w:rPr>
      </w:pPr>
      <w:r w:rsidRPr="00302C59">
        <w:rPr>
          <w:b/>
          <w:bCs/>
        </w:rPr>
        <w:t>Are disparities in the educational performance of children from different family backgrounds associated with level of country development?</w:t>
      </w:r>
    </w:p>
    <w:p w14:paraId="7D7AAC08" w14:textId="77777777" w:rsidR="00302C59" w:rsidRDefault="00302C59" w:rsidP="00302C59">
      <w:pPr>
        <w:spacing w:line="480" w:lineRule="auto"/>
        <w:jc w:val="center"/>
      </w:pPr>
    </w:p>
    <w:p w14:paraId="74ABB877" w14:textId="77777777" w:rsidR="00302C59" w:rsidRDefault="00302C59" w:rsidP="00E778BD">
      <w:pPr>
        <w:spacing w:line="480" w:lineRule="auto"/>
      </w:pPr>
    </w:p>
    <w:p w14:paraId="3FD1145F" w14:textId="5A12E47B" w:rsidR="00E778BD" w:rsidRDefault="00E778BD" w:rsidP="00753BF4">
      <w:pPr>
        <w:pStyle w:val="ListParagraph"/>
        <w:numPr>
          <w:ilvl w:val="0"/>
          <w:numId w:val="1"/>
        </w:numPr>
        <w:spacing w:line="480" w:lineRule="auto"/>
        <w:ind w:left="0" w:firstLine="0"/>
        <w:rPr>
          <w:b/>
          <w:bCs/>
        </w:rPr>
      </w:pPr>
      <w:r>
        <w:rPr>
          <w:b/>
          <w:bCs/>
        </w:rPr>
        <w:t>Introduction</w:t>
      </w:r>
    </w:p>
    <w:p w14:paraId="21D4297D" w14:textId="569308C1" w:rsidR="00E778BD" w:rsidRDefault="002160EE" w:rsidP="00753BF4">
      <w:pPr>
        <w:spacing w:line="480" w:lineRule="auto"/>
        <w:contextualSpacing/>
      </w:pPr>
      <w:r>
        <w:t xml:space="preserve">It is uncontroversial that in contemporary societies, educational attainments provide an important stepping stone for most young people to occupational opportunities, and hence to their likely income trajectories. Unsurprisingly therefore, there has been a great deal of interest in disparities in </w:t>
      </w:r>
      <w:r w:rsidR="002D25E8">
        <w:t xml:space="preserve">children’s </w:t>
      </w:r>
      <w:r>
        <w:t xml:space="preserve">educational achievements, particularly those that appear to be associated with family background (see </w:t>
      </w:r>
      <w:r w:rsidR="002D25E8">
        <w:t>Björkland &amp; Salvanes, 2011; Blanden, Gregg, &amp; Macmillan, 2013; Erikson &amp; Goldthorpe</w:t>
      </w:r>
      <w:r w:rsidR="00852518">
        <w:t>, 2010</w:t>
      </w:r>
      <w:r w:rsidR="002D25E8">
        <w:t xml:space="preserve">; Erola, Jalonen &amp; Lehti, 2016). While much of the debate has </w:t>
      </w:r>
      <w:r w:rsidR="00302C59">
        <w:t>centred</w:t>
      </w:r>
      <w:r w:rsidR="002D25E8">
        <w:t xml:space="preserve"> on the degree of association between family background and educational disparity, as well as the likely complex causal mechanisms, a more recent focus has been on the </w:t>
      </w:r>
      <w:r w:rsidR="004764BB">
        <w:t xml:space="preserve">overall </w:t>
      </w:r>
      <w:r w:rsidR="002D25E8">
        <w:t xml:space="preserve">trend in disparities in educational or academic outcomes. </w:t>
      </w:r>
      <w:r w:rsidR="003401DA">
        <w:t xml:space="preserve">Is there any evidence of trends towards convergence or greater divergence in academic performance among children of parents with contrasting educational or occupational status? </w:t>
      </w:r>
    </w:p>
    <w:p w14:paraId="0E30E99F" w14:textId="77777777" w:rsidR="00FB1E08" w:rsidRDefault="00FB1E08" w:rsidP="00753BF4">
      <w:pPr>
        <w:spacing w:line="480" w:lineRule="auto"/>
        <w:contextualSpacing/>
      </w:pPr>
    </w:p>
    <w:p w14:paraId="0EE17537" w14:textId="2F4509A7" w:rsidR="003401DA" w:rsidRDefault="00FB1E08" w:rsidP="00753BF4">
      <w:pPr>
        <w:spacing w:line="480" w:lineRule="auto"/>
        <w:contextualSpacing/>
      </w:pPr>
      <w:r>
        <w:t>Careful assessment of available data in the UK led Blanden and Macmillan (2014) to argue that although there was evidence of a slight narrowing of the educational attainment gap between children from highest and lowest income families, the trend was uneven, and did not</w:t>
      </w:r>
      <w:r w:rsidR="00302C59">
        <w:t>,</w:t>
      </w:r>
      <w:r>
        <w:t xml:space="preserve"> for example</w:t>
      </w:r>
      <w:r w:rsidR="00302C59">
        <w:t>,</w:t>
      </w:r>
      <w:r>
        <w:t xml:space="preserve"> extend to those at the highest level of attainment. Conversely, Reardon (2011) and Reardon &amp; Portilla (201</w:t>
      </w:r>
      <w:r w:rsidR="00B61848">
        <w:t>6</w:t>
      </w:r>
      <w:r>
        <w:t xml:space="preserve">), examining </w:t>
      </w:r>
      <w:r w:rsidR="00C30A85">
        <w:t xml:space="preserve">US data on educational disparities among </w:t>
      </w:r>
      <w:r w:rsidR="00C30A85">
        <w:lastRenderedPageBreak/>
        <w:t xml:space="preserve">children born between 1943 and 2001 found evidence of widening gaps between more and less advantaged children. Chmielewski and Reardon (2016) </w:t>
      </w:r>
      <w:r w:rsidR="002520B9">
        <w:t>broadened the focus to consider variation in</w:t>
      </w:r>
      <w:r w:rsidR="008D7421">
        <w:t xml:space="preserve"> educational disparity by country characteristic. They used datasets based on educational performance in standardised tests among representative samples across many countries to make inferences about the disparity between children whose families were at the 90</w:t>
      </w:r>
      <w:r w:rsidR="008D7421" w:rsidRPr="008D7421">
        <w:rPr>
          <w:vertAlign w:val="superscript"/>
        </w:rPr>
        <w:t>th</w:t>
      </w:r>
      <w:r w:rsidR="008D7421">
        <w:t xml:space="preserve"> income percentile versus those at the 10</w:t>
      </w:r>
      <w:r w:rsidR="008D7421" w:rsidRPr="008D7421">
        <w:rPr>
          <w:vertAlign w:val="superscript"/>
        </w:rPr>
        <w:t>th</w:t>
      </w:r>
      <w:r w:rsidR="008D7421">
        <w:t xml:space="preserve"> income percentile. The datasets used were the Progress in International Reading Literacy Study (PIRLS), and Programme for International Student Assessment (PISA). The authors found that country characteristics such as income distribution, poverty and some educational </w:t>
      </w:r>
      <w:r w:rsidR="007A22F6">
        <w:t xml:space="preserve">policies, were associated with greater disparities. </w:t>
      </w:r>
    </w:p>
    <w:p w14:paraId="2D76636E" w14:textId="77777777" w:rsidR="00753BF4" w:rsidRDefault="00753BF4" w:rsidP="00753BF4">
      <w:pPr>
        <w:spacing w:line="480" w:lineRule="auto"/>
        <w:contextualSpacing/>
      </w:pPr>
    </w:p>
    <w:p w14:paraId="313F9E30" w14:textId="672F20E4" w:rsidR="008D7421" w:rsidRDefault="004D71A8" w:rsidP="00753BF4">
      <w:pPr>
        <w:spacing w:line="480" w:lineRule="auto"/>
        <w:contextualSpacing/>
      </w:pPr>
      <w:r>
        <w:t>In this paper, the aim</w:t>
      </w:r>
      <w:r w:rsidR="00302C59">
        <w:t>s</w:t>
      </w:r>
      <w:r>
        <w:t xml:space="preserve"> </w:t>
      </w:r>
      <w:r w:rsidR="00302C59">
        <w:t>are</w:t>
      </w:r>
      <w:r>
        <w:t xml:space="preserve"> twofold. The first is to add to the findings in relation to trends in educational disparities among children of different family backgrounds. The second is to follow Chmielewski and Reardon (2016) in broadening the search for country-characteristic variables that might be associated with educational disparities among children of different backgrounds.</w:t>
      </w:r>
      <w:r w:rsidR="00E465D7">
        <w:t xml:space="preserve"> Specifically, the level of development of the country as assessed by the UN’s ongoing Human Development Reports (HDR) was brought into the analysis as an independent system-level variable, as was level of spending on education by the country. </w:t>
      </w:r>
    </w:p>
    <w:p w14:paraId="13AD06F0" w14:textId="77777777" w:rsidR="004D71A8" w:rsidRPr="00E778BD" w:rsidRDefault="004D71A8" w:rsidP="00753BF4">
      <w:pPr>
        <w:spacing w:line="480" w:lineRule="auto"/>
        <w:contextualSpacing/>
      </w:pPr>
    </w:p>
    <w:p w14:paraId="3EA3A031" w14:textId="66617A0C" w:rsidR="00E778BD" w:rsidRPr="00CD1E3F" w:rsidRDefault="00E778BD" w:rsidP="00753BF4">
      <w:pPr>
        <w:pStyle w:val="ListParagraph"/>
        <w:numPr>
          <w:ilvl w:val="0"/>
          <w:numId w:val="1"/>
        </w:numPr>
        <w:spacing w:line="480" w:lineRule="auto"/>
        <w:ind w:left="0" w:firstLine="0"/>
        <w:rPr>
          <w:b/>
          <w:bCs/>
        </w:rPr>
      </w:pPr>
      <w:r w:rsidRPr="00CD1E3F">
        <w:rPr>
          <w:b/>
          <w:bCs/>
        </w:rPr>
        <w:t xml:space="preserve">Method  </w:t>
      </w:r>
    </w:p>
    <w:p w14:paraId="2645485A" w14:textId="77777777" w:rsidR="00E778BD" w:rsidRPr="00CD1E3F" w:rsidRDefault="00E778BD" w:rsidP="00753BF4">
      <w:pPr>
        <w:pStyle w:val="ListParagraph"/>
        <w:numPr>
          <w:ilvl w:val="1"/>
          <w:numId w:val="1"/>
        </w:numPr>
        <w:spacing w:line="480" w:lineRule="auto"/>
        <w:ind w:left="0" w:firstLine="0"/>
        <w:rPr>
          <w:i/>
          <w:iCs/>
        </w:rPr>
      </w:pPr>
      <w:r w:rsidRPr="00CD1E3F">
        <w:rPr>
          <w:i/>
          <w:iCs/>
        </w:rPr>
        <w:t>A two-step method of analysis</w:t>
      </w:r>
    </w:p>
    <w:p w14:paraId="4AF56249" w14:textId="77777777" w:rsidR="00E778BD" w:rsidRPr="00CD1E3F" w:rsidRDefault="00E778BD" w:rsidP="00753BF4">
      <w:pPr>
        <w:pStyle w:val="ListParagraph"/>
        <w:spacing w:line="480" w:lineRule="auto"/>
        <w:ind w:left="0"/>
        <w:rPr>
          <w:rFonts w:cstheme="minorHAnsi"/>
        </w:rPr>
      </w:pPr>
      <w:r w:rsidRPr="00CD1E3F">
        <w:rPr>
          <w:rFonts w:eastAsia="Times New Roman" w:cstheme="minorHAnsi"/>
        </w:rPr>
        <w:t>The method used here is based on a two-step analysis developed by Jusko and Shively (2005</w:t>
      </w:r>
      <w:r>
        <w:rPr>
          <w:rFonts w:eastAsia="Times New Roman" w:cstheme="minorHAnsi"/>
        </w:rPr>
        <w:t xml:space="preserve">). </w:t>
      </w:r>
      <w:r w:rsidRPr="00CD1E3F">
        <w:rPr>
          <w:rFonts w:eastAsia="Times New Roman" w:cstheme="minorHAnsi"/>
        </w:rPr>
        <w:t xml:space="preserve">This method </w:t>
      </w:r>
      <w:r>
        <w:rPr>
          <w:rFonts w:eastAsia="Times New Roman" w:cstheme="minorHAnsi"/>
        </w:rPr>
        <w:t>wa</w:t>
      </w:r>
      <w:r w:rsidRPr="00CD1E3F">
        <w:rPr>
          <w:rFonts w:eastAsia="Times New Roman" w:cstheme="minorHAnsi"/>
        </w:rPr>
        <w:t>s designed to exploit increasingly popular and powerful cross-national datasets</w:t>
      </w:r>
      <w:r>
        <w:rPr>
          <w:rFonts w:eastAsia="Times New Roman" w:cstheme="minorHAnsi"/>
        </w:rPr>
        <w:t>.</w:t>
      </w:r>
      <w:r w:rsidRPr="00CD1E3F">
        <w:rPr>
          <w:rFonts w:eastAsia="Times New Roman" w:cstheme="minorHAnsi"/>
        </w:rPr>
        <w:t xml:space="preserve"> </w:t>
      </w:r>
      <w:r>
        <w:rPr>
          <w:rFonts w:eastAsia="Times New Roman" w:cstheme="minorHAnsi"/>
        </w:rPr>
        <w:t xml:space="preserve">In the </w:t>
      </w:r>
      <w:r w:rsidRPr="00CD1E3F">
        <w:rPr>
          <w:rFonts w:eastAsia="Times New Roman" w:cstheme="minorHAnsi"/>
        </w:rPr>
        <w:t>first step</w:t>
      </w:r>
      <w:r>
        <w:rPr>
          <w:rFonts w:eastAsia="Times New Roman" w:cstheme="minorHAnsi"/>
        </w:rPr>
        <w:t xml:space="preserve">, </w:t>
      </w:r>
      <w:r w:rsidRPr="00CD1E3F">
        <w:rPr>
          <w:rFonts w:eastAsia="Times New Roman" w:cstheme="minorHAnsi"/>
        </w:rPr>
        <w:t>country</w:t>
      </w:r>
      <w:r>
        <w:rPr>
          <w:rFonts w:eastAsia="Times New Roman" w:cstheme="minorHAnsi"/>
        </w:rPr>
        <w:t>-level scores are generated</w:t>
      </w:r>
      <w:r w:rsidRPr="00CD1E3F">
        <w:rPr>
          <w:rFonts w:eastAsia="Times New Roman" w:cstheme="minorHAnsi"/>
        </w:rPr>
        <w:t xml:space="preserve"> based on each </w:t>
      </w:r>
      <w:r w:rsidRPr="00CD1E3F">
        <w:rPr>
          <w:rFonts w:eastAsia="Times New Roman" w:cstheme="minorHAnsi"/>
        </w:rPr>
        <w:lastRenderedPageBreak/>
        <w:t>country sample</w:t>
      </w:r>
      <w:r>
        <w:rPr>
          <w:rFonts w:eastAsia="Times New Roman" w:cstheme="minorHAnsi"/>
        </w:rPr>
        <w:t>’s coefficients</w:t>
      </w:r>
      <w:r w:rsidRPr="00CD1E3F">
        <w:rPr>
          <w:rFonts w:eastAsia="Times New Roman" w:cstheme="minorHAnsi"/>
        </w:rPr>
        <w:t xml:space="preserve">. These country </w:t>
      </w:r>
      <w:r>
        <w:rPr>
          <w:rFonts w:eastAsia="Times New Roman" w:cstheme="minorHAnsi"/>
        </w:rPr>
        <w:t>scores then become the unit of analysis in the second step of the analysis – the system level of analysis</w:t>
      </w:r>
      <w:r w:rsidRPr="00CD1E3F">
        <w:rPr>
          <w:rFonts w:eastAsia="Times New Roman" w:cstheme="minorHAnsi"/>
        </w:rPr>
        <w:t xml:space="preserve">. In this paper, </w:t>
      </w:r>
      <w:r>
        <w:rPr>
          <w:rFonts w:eastAsia="Times New Roman" w:cstheme="minorHAnsi"/>
        </w:rPr>
        <w:t>the Programme for International Student Assessment (PISA) dataset was employed to generate country coefficients in the first step.</w:t>
      </w:r>
    </w:p>
    <w:p w14:paraId="42C87033" w14:textId="77777777" w:rsidR="00E778BD" w:rsidRDefault="00E778BD" w:rsidP="00753BF4">
      <w:pPr>
        <w:spacing w:line="480" w:lineRule="auto"/>
        <w:contextualSpacing/>
      </w:pPr>
    </w:p>
    <w:p w14:paraId="1E851AAA" w14:textId="77777777" w:rsidR="00E778BD" w:rsidRPr="00D34512" w:rsidRDefault="00E778BD" w:rsidP="00753BF4">
      <w:pPr>
        <w:spacing w:line="480" w:lineRule="auto"/>
        <w:contextualSpacing/>
        <w:rPr>
          <w:i/>
          <w:iCs/>
        </w:rPr>
      </w:pPr>
      <w:r w:rsidRPr="00D34512">
        <w:rPr>
          <w:i/>
          <w:iCs/>
        </w:rPr>
        <w:t>2.2 Dataset for the first step</w:t>
      </w:r>
      <w:r>
        <w:rPr>
          <w:i/>
          <w:iCs/>
        </w:rPr>
        <w:t>: PISA 2015</w:t>
      </w:r>
    </w:p>
    <w:p w14:paraId="735C9FD5" w14:textId="50F135B5" w:rsidR="00E778BD" w:rsidRDefault="00E778BD" w:rsidP="00753BF4">
      <w:pPr>
        <w:spacing w:line="480" w:lineRule="auto"/>
        <w:contextualSpacing/>
      </w:pPr>
      <w:r>
        <w:t xml:space="preserve">The Programme for International Student Assessment (PISA) is a triennial international survey which evaluates the skills and knowledge of representative samples of 15 year-old students across the world. It is run by the OECD, and in its first sweep in 2000, it was mainly confined to members of the OECD (largely the wealthiest countries in the world). However, by the 2015 sweep, it included 72 countries, or regions within countries, with a variety of both wealthy and poorer countries involved; typically a sample of around 5,000 15 year old students completed the two-hour test in each </w:t>
      </w:r>
      <w:r w:rsidR="00302C59">
        <w:t xml:space="preserve">participating </w:t>
      </w:r>
      <w:r>
        <w:t>country</w:t>
      </w:r>
      <w:r w:rsidR="00302C59">
        <w:t xml:space="preserve"> or region</w:t>
      </w:r>
      <w:r>
        <w:t>.</w:t>
      </w:r>
    </w:p>
    <w:p w14:paraId="436C916F" w14:textId="77777777" w:rsidR="00E778BD" w:rsidRDefault="00E778BD" w:rsidP="00753BF4">
      <w:pPr>
        <w:spacing w:line="480" w:lineRule="auto"/>
        <w:contextualSpacing/>
      </w:pPr>
    </w:p>
    <w:p w14:paraId="37142E42" w14:textId="77777777" w:rsidR="00E778BD" w:rsidRPr="00D34512" w:rsidRDefault="00E778BD" w:rsidP="00753BF4">
      <w:pPr>
        <w:pStyle w:val="ListParagraph"/>
        <w:numPr>
          <w:ilvl w:val="1"/>
          <w:numId w:val="2"/>
        </w:numPr>
        <w:spacing w:line="480" w:lineRule="auto"/>
        <w:ind w:left="0" w:firstLine="0"/>
        <w:rPr>
          <w:i/>
          <w:iCs/>
        </w:rPr>
      </w:pPr>
      <w:r w:rsidRPr="00D34512">
        <w:rPr>
          <w:i/>
          <w:iCs/>
        </w:rPr>
        <w:t>Independent and dependent measures from PISA</w:t>
      </w:r>
    </w:p>
    <w:p w14:paraId="1C3F7923" w14:textId="77777777" w:rsidR="00E778BD" w:rsidRPr="001968C8" w:rsidRDefault="00E778BD" w:rsidP="00753BF4">
      <w:pPr>
        <w:pStyle w:val="ListParagraph"/>
        <w:numPr>
          <w:ilvl w:val="2"/>
          <w:numId w:val="2"/>
        </w:numPr>
        <w:spacing w:line="480" w:lineRule="auto"/>
        <w:ind w:left="0" w:firstLine="0"/>
        <w:rPr>
          <w:i/>
          <w:iCs/>
        </w:rPr>
      </w:pPr>
      <w:r w:rsidRPr="001968C8">
        <w:rPr>
          <w:i/>
          <w:iCs/>
        </w:rPr>
        <w:t xml:space="preserve">Dependent Measure of </w:t>
      </w:r>
      <w:r>
        <w:rPr>
          <w:i/>
          <w:iCs/>
        </w:rPr>
        <w:t xml:space="preserve">Reading and Mathematics </w:t>
      </w:r>
      <w:r w:rsidRPr="001968C8">
        <w:rPr>
          <w:i/>
          <w:iCs/>
        </w:rPr>
        <w:t>Ability</w:t>
      </w:r>
      <w:r>
        <w:rPr>
          <w:i/>
          <w:iCs/>
        </w:rPr>
        <w:t xml:space="preserve"> (MARA)</w:t>
      </w:r>
    </w:p>
    <w:p w14:paraId="4A17016A" w14:textId="1F2C49B0" w:rsidR="00E778BD" w:rsidRDefault="00E778BD" w:rsidP="00753BF4">
      <w:pPr>
        <w:pStyle w:val="ListParagraph"/>
        <w:spacing w:line="480" w:lineRule="auto"/>
        <w:ind w:left="0"/>
      </w:pPr>
      <w:r>
        <w:t xml:space="preserve">PISA presented its respondents with a subset of test items from a larger total item pool in each domain. Because different groups of respondents answered different but overlapping sets of items – to avoid ‘ceiling’ and ‘floor’ effects due to variation in ability - it was difficult to produce traditional outcome scores. Item Response Theory (IRT) scaling was used to generate multiple imputations based on an individual’s set of responses. These ten multiple imputations were the ‘plausible’ scores in the domain. See PISA technical report (OECD, 2017). </w:t>
      </w:r>
    </w:p>
    <w:p w14:paraId="0113BA23" w14:textId="77777777" w:rsidR="00753BF4" w:rsidRDefault="00753BF4" w:rsidP="00753BF4">
      <w:pPr>
        <w:pStyle w:val="ListParagraph"/>
        <w:spacing w:line="480" w:lineRule="auto"/>
        <w:ind w:left="0"/>
      </w:pPr>
    </w:p>
    <w:p w14:paraId="6F9E2735" w14:textId="50A64EBF" w:rsidR="00E778BD" w:rsidRDefault="00E778BD" w:rsidP="00753BF4">
      <w:pPr>
        <w:spacing w:line="480" w:lineRule="auto"/>
        <w:contextualSpacing/>
      </w:pPr>
      <w:r>
        <w:lastRenderedPageBreak/>
        <w:t>Based on Item-Response Theory, 20 ‘plausible scores’, ten in mathematics ability and ten in reading ability were generated for each participant (by the PISA researchers, see OECD, 2017). For the analysis in this paper, a principal component analysis was carried out on these 20 plausible scores to create a single score for each individual, and labelled ‘MARA’ (Mathematics and Reading Assessment). This latent score explained 83.97% of the variance in the 20 scores. Mathematics and reading are core educational skills</w:t>
      </w:r>
      <w:r w:rsidR="00B94DAD">
        <w:t xml:space="preserve">, requiring </w:t>
      </w:r>
      <w:r w:rsidR="006467D7">
        <w:t>ability in recognition, retrieval, quantification and reflection</w:t>
      </w:r>
      <w:r w:rsidR="00E465D7">
        <w:t>. The skills are important in their own right</w:t>
      </w:r>
      <w:r w:rsidR="00302C59">
        <w:t>,</w:t>
      </w:r>
      <w:r w:rsidR="00E465D7">
        <w:t xml:space="preserve"> as well as being predictive of performance in other academic subjects.</w:t>
      </w:r>
    </w:p>
    <w:p w14:paraId="39DDF133" w14:textId="77777777" w:rsidR="00E465D7" w:rsidRDefault="00E465D7" w:rsidP="00753BF4">
      <w:pPr>
        <w:spacing w:line="480" w:lineRule="auto"/>
        <w:contextualSpacing/>
      </w:pPr>
    </w:p>
    <w:p w14:paraId="21530515" w14:textId="06FD0F6E" w:rsidR="00E778BD" w:rsidRDefault="00E778BD" w:rsidP="00753BF4">
      <w:pPr>
        <w:spacing w:line="480" w:lineRule="auto"/>
        <w:contextualSpacing/>
      </w:pPr>
      <w:r>
        <w:t xml:space="preserve">PISA 2015 sampled 72 countries or regions. The regions included areas like Massachusetts, or regions within Argentina. In total, there were 63 countries and one Special Administrative Region (SAR) in China (Hong Kong) for which there were both MARA scores available from PISA, 2015, as well as country level data – see below. Thus, MARA was calculated for 453,170 participants, from 64 countries; the overall mean, by design, for MARA was 0.000, and it had a standard deviation of 1.000. </w:t>
      </w:r>
      <w:r w:rsidR="00302C59">
        <w:t>Survey w</w:t>
      </w:r>
      <w:r>
        <w:t xml:space="preserve">eights were provided by PISA to use for student comparability across countries, and these weights were applied for the analysis. </w:t>
      </w:r>
    </w:p>
    <w:p w14:paraId="08F6AE9B" w14:textId="77777777" w:rsidR="00E778BD" w:rsidRDefault="00E778BD" w:rsidP="00753BF4">
      <w:pPr>
        <w:spacing w:line="480" w:lineRule="auto"/>
        <w:contextualSpacing/>
      </w:pPr>
    </w:p>
    <w:p w14:paraId="7A9517B8" w14:textId="77777777" w:rsidR="00E778BD" w:rsidRPr="001968C8" w:rsidRDefault="00E778BD" w:rsidP="00753BF4">
      <w:pPr>
        <w:spacing w:line="480" w:lineRule="auto"/>
        <w:contextualSpacing/>
        <w:rPr>
          <w:i/>
          <w:iCs/>
        </w:rPr>
      </w:pPr>
      <w:r w:rsidRPr="001968C8">
        <w:rPr>
          <w:i/>
          <w:iCs/>
        </w:rPr>
        <w:t>2.</w:t>
      </w:r>
      <w:r>
        <w:rPr>
          <w:i/>
          <w:iCs/>
        </w:rPr>
        <w:t>3</w:t>
      </w:r>
      <w:r w:rsidRPr="001968C8">
        <w:rPr>
          <w:i/>
          <w:iCs/>
        </w:rPr>
        <w:t>.2 Independent Variables from PISA</w:t>
      </w:r>
    </w:p>
    <w:p w14:paraId="44BBDC83" w14:textId="6CD871FB" w:rsidR="00E778BD" w:rsidRDefault="00E778BD" w:rsidP="00753BF4">
      <w:pPr>
        <w:spacing w:line="480" w:lineRule="auto"/>
        <w:contextualSpacing/>
      </w:pPr>
      <w:r w:rsidRPr="001968C8">
        <w:rPr>
          <w:i/>
          <w:iCs/>
        </w:rPr>
        <w:t>2.</w:t>
      </w:r>
      <w:r>
        <w:rPr>
          <w:i/>
          <w:iCs/>
        </w:rPr>
        <w:t>3</w:t>
      </w:r>
      <w:r w:rsidRPr="001968C8">
        <w:rPr>
          <w:i/>
          <w:iCs/>
        </w:rPr>
        <w:t>.2.1 Parental Education Attainment</w:t>
      </w:r>
      <w:r>
        <w:t xml:space="preserve">: PISA gathered information on the participants’ background including their parents’ educational attainment. Parental education was categorised according to ISCED (International Standard Classification of Education). This ranged from 1 (only primary), to 6 (third level postgraduate). Of the entire sample of parents, 23.8% were ‘ISCED 3A, 4B’ (upper secondary and non-tertiary post-secondary education), and 26.2% were ISCED 5A, 6 (third level education). In the analysis below, the </w:t>
      </w:r>
      <w:r>
        <w:lastRenderedPageBreak/>
        <w:t xml:space="preserve">MARA score of children both of whose parents were ISCED 3A, 4B were compared to the MARA score of children both of whose parents were ISCED 5A/6. </w:t>
      </w:r>
      <w:r w:rsidR="00B94DAD">
        <w:t xml:space="preserve">In other words, this provided a comparison of the children of highly educated parents versus those with moderate levels of education. </w:t>
      </w:r>
    </w:p>
    <w:p w14:paraId="7607725E" w14:textId="79B0B4A9" w:rsidR="00E778BD" w:rsidRDefault="00E778BD" w:rsidP="00753BF4">
      <w:pPr>
        <w:spacing w:line="480" w:lineRule="auto"/>
        <w:contextualSpacing/>
      </w:pPr>
      <w:r w:rsidRPr="001968C8">
        <w:rPr>
          <w:i/>
          <w:iCs/>
        </w:rPr>
        <w:t>2.</w:t>
      </w:r>
      <w:r>
        <w:rPr>
          <w:i/>
          <w:iCs/>
        </w:rPr>
        <w:t>3</w:t>
      </w:r>
      <w:r w:rsidRPr="001968C8">
        <w:rPr>
          <w:i/>
          <w:iCs/>
        </w:rPr>
        <w:t>.2.</w:t>
      </w:r>
      <w:r>
        <w:rPr>
          <w:i/>
          <w:iCs/>
        </w:rPr>
        <w:t>2</w:t>
      </w:r>
      <w:r w:rsidRPr="001968C8">
        <w:rPr>
          <w:i/>
          <w:iCs/>
        </w:rPr>
        <w:t xml:space="preserve"> Parental Occupation:</w:t>
      </w:r>
      <w:r>
        <w:t xml:space="preserve"> PISA gathered information on the occupation of the parents. This was coded according to the ISEI (International Socio-Economic Index of Occupational Status, see Ganzeboom and Treiman, 2003). Hundreds of occupations are coded in this index, and these are ranked higher if they are of higher status. The scores range from 11 (low status occupations) to 89 (high status occupations). In the analysis, the MARA of children of fathers in the highest-ranked occupations (scoring 70-89, 18.7% of sample) were compared to the MARA of children of fathers in the low-medium ranks (scoring 20-39, 44.3% of sample). Ideally, the occupational status of mothers would also have been included, but the participation rate of mothers varies significantly by country (for example, is very low in some developing countries, and even considerably lower in southern European countries compared to northern ones); thus</w:t>
      </w:r>
      <w:r w:rsidR="00B94DAD">
        <w:t>,</w:t>
      </w:r>
      <w:r>
        <w:t xml:space="preserve"> this would have introduced </w:t>
      </w:r>
      <w:r w:rsidR="00B94DAD">
        <w:t xml:space="preserve">a </w:t>
      </w:r>
      <w:r>
        <w:t xml:space="preserve">substantial </w:t>
      </w:r>
      <w:r w:rsidR="00B94DAD">
        <w:t xml:space="preserve">gender-bias </w:t>
      </w:r>
      <w:r>
        <w:t>country-</w:t>
      </w:r>
      <w:r w:rsidR="00B94DAD">
        <w:t>confound</w:t>
      </w:r>
      <w:r>
        <w:t xml:space="preserve">. The list of occupations in the professional/managerial versus low-medium skill occupations are presented in table 1 below. </w:t>
      </w:r>
      <w:r w:rsidR="00B94DAD">
        <w:t xml:space="preserve">The purpose of using this variable was to permit the comparison in performance of children of fathers in high status occupations with those in low-middle status occupations. </w:t>
      </w:r>
    </w:p>
    <w:p w14:paraId="16BB65C1" w14:textId="77777777" w:rsidR="00E778BD" w:rsidRDefault="00E778BD" w:rsidP="00753BF4">
      <w:pPr>
        <w:spacing w:line="480" w:lineRule="auto"/>
        <w:contextualSpacing/>
      </w:pPr>
    </w:p>
    <w:p w14:paraId="2E3B5C47" w14:textId="77777777" w:rsidR="00E778BD" w:rsidRDefault="00E778BD" w:rsidP="00753BF4">
      <w:pPr>
        <w:spacing w:line="480" w:lineRule="auto"/>
        <w:contextualSpacing/>
      </w:pPr>
      <w:r w:rsidRPr="00C15FE5">
        <w:rPr>
          <w:i/>
          <w:iCs/>
        </w:rPr>
        <w:t>2.</w:t>
      </w:r>
      <w:r>
        <w:rPr>
          <w:i/>
          <w:iCs/>
        </w:rPr>
        <w:t>3</w:t>
      </w:r>
      <w:r w:rsidRPr="00C15FE5">
        <w:rPr>
          <w:i/>
          <w:iCs/>
        </w:rPr>
        <w:t>.2.3 Family wealth</w:t>
      </w:r>
      <w:r>
        <w:t xml:space="preserve">: PISA created a derived variable, Family Wealth, based on survey data assessing the possessions in the participant’s home, such as whether the participant had a room of their own, if the family had a car, a link to the internet, number of televisions, rooms with baths and showers, computers, electronic tablets, or E-readers. These </w:t>
      </w:r>
      <w:r>
        <w:lastRenderedPageBreak/>
        <w:t xml:space="preserve">parameters were transformed into a numerical score of wealth based on Item Response Theory. </w:t>
      </w:r>
    </w:p>
    <w:p w14:paraId="364FEE5A" w14:textId="77777777" w:rsidR="00E778BD" w:rsidRDefault="00E778BD" w:rsidP="00E778BD">
      <w:pPr>
        <w:spacing w:line="480" w:lineRule="auto"/>
      </w:pPr>
    </w:p>
    <w:p w14:paraId="3375C3B9" w14:textId="77777777" w:rsidR="00E778BD" w:rsidRPr="007F58BF" w:rsidRDefault="00E778BD" w:rsidP="00E778BD">
      <w:r w:rsidRPr="007F58BF">
        <w:t>Table 1 – high</w:t>
      </w:r>
      <w:r>
        <w:t>-</w:t>
      </w:r>
      <w:r w:rsidRPr="007F58BF">
        <w:t>status paternal occupations (ISEI codes 70-89) versus low-</w:t>
      </w:r>
      <w:r>
        <w:t>to-</w:t>
      </w:r>
      <w:r w:rsidRPr="007F58BF">
        <w:t xml:space="preserve">medium status occupations (ISEI codes 20-39). </w:t>
      </w:r>
    </w:p>
    <w:p w14:paraId="47E25A76" w14:textId="77777777" w:rsidR="00E778BD" w:rsidRPr="007F58BF" w:rsidRDefault="00E778BD" w:rsidP="00E778BD">
      <w:pPr>
        <w:rPr>
          <w:sz w:val="20"/>
          <w:szCs w:val="20"/>
        </w:rPr>
      </w:pPr>
    </w:p>
    <w:tbl>
      <w:tblPr>
        <w:tblStyle w:val="TableGrid"/>
        <w:tblW w:w="0" w:type="auto"/>
        <w:tblLook w:val="04A0" w:firstRow="1" w:lastRow="0" w:firstColumn="1" w:lastColumn="0" w:noHBand="0" w:noVBand="1"/>
      </w:tblPr>
      <w:tblGrid>
        <w:gridCol w:w="4505"/>
        <w:gridCol w:w="4505"/>
      </w:tblGrid>
      <w:tr w:rsidR="00E778BD" w:rsidRPr="007F58BF" w14:paraId="6A5583A8" w14:textId="77777777" w:rsidTr="00551ECE">
        <w:tc>
          <w:tcPr>
            <w:tcW w:w="4505" w:type="dxa"/>
          </w:tcPr>
          <w:p w14:paraId="51B53AEE" w14:textId="77777777" w:rsidR="00E778BD" w:rsidRPr="007F58BF" w:rsidRDefault="00E778BD" w:rsidP="00551ECE">
            <w:pPr>
              <w:rPr>
                <w:sz w:val="20"/>
                <w:szCs w:val="20"/>
              </w:rPr>
            </w:pPr>
            <w:r w:rsidRPr="007F58BF">
              <w:rPr>
                <w:sz w:val="20"/>
                <w:szCs w:val="20"/>
              </w:rPr>
              <w:t>High Status Occupations</w:t>
            </w:r>
          </w:p>
        </w:tc>
        <w:tc>
          <w:tcPr>
            <w:tcW w:w="4505" w:type="dxa"/>
          </w:tcPr>
          <w:p w14:paraId="30A2A30A" w14:textId="77777777" w:rsidR="00E778BD" w:rsidRPr="007F58BF" w:rsidRDefault="00E778BD" w:rsidP="00551ECE">
            <w:pPr>
              <w:rPr>
                <w:sz w:val="20"/>
                <w:szCs w:val="20"/>
              </w:rPr>
            </w:pPr>
            <w:r w:rsidRPr="007F58BF">
              <w:rPr>
                <w:sz w:val="20"/>
                <w:szCs w:val="20"/>
              </w:rPr>
              <w:t>Low-</w:t>
            </w:r>
            <w:r>
              <w:rPr>
                <w:sz w:val="20"/>
                <w:szCs w:val="20"/>
              </w:rPr>
              <w:t>to-</w:t>
            </w:r>
            <w:r w:rsidRPr="007F58BF">
              <w:rPr>
                <w:sz w:val="20"/>
                <w:szCs w:val="20"/>
              </w:rPr>
              <w:t>Medium Status Occupations</w:t>
            </w:r>
          </w:p>
        </w:tc>
      </w:tr>
      <w:tr w:rsidR="00E778BD" w:rsidRPr="007F58BF" w14:paraId="4E790371" w14:textId="77777777" w:rsidTr="00551ECE">
        <w:tc>
          <w:tcPr>
            <w:tcW w:w="4505" w:type="dxa"/>
          </w:tcPr>
          <w:p w14:paraId="6DA8B9BE" w14:textId="77777777" w:rsidR="00E778BD" w:rsidRPr="007F58BF" w:rsidRDefault="00E778BD" w:rsidP="00551ECE">
            <w:pPr>
              <w:rPr>
                <w:sz w:val="20"/>
                <w:szCs w:val="20"/>
              </w:rPr>
            </w:pPr>
            <w:r w:rsidRPr="007F58BF">
              <w:rPr>
                <w:sz w:val="20"/>
                <w:szCs w:val="20"/>
              </w:rPr>
              <w:t>CEOs, Legislators, Senior Government officials, Managing directors, Business and administrative managers, Policy planners, PR managers, R&amp;D managers, IT managers, Scientists, Mathematicians, Actuaries, Engineers, Architects, Town planners, Medical doctors, Paramedics, Vets, Dentists, Speech therapists, Optometrists, Teachers, University lecturers, Business professionals, Accountants, Financial analysts, Software developers, Medical sales professions, Systems analysts, Lawyers, Judges, Psychologists, Philosophers, Social workers, Religious professionals, Authors, Journalists, Translators, Finance brokers, Graphic designers</w:t>
            </w:r>
          </w:p>
        </w:tc>
        <w:tc>
          <w:tcPr>
            <w:tcW w:w="4505" w:type="dxa"/>
          </w:tcPr>
          <w:p w14:paraId="7CEA9592" w14:textId="77777777" w:rsidR="00E778BD" w:rsidRPr="007F58BF" w:rsidRDefault="00E778BD" w:rsidP="00551ECE">
            <w:pPr>
              <w:rPr>
                <w:sz w:val="20"/>
                <w:szCs w:val="20"/>
              </w:rPr>
            </w:pPr>
            <w:r w:rsidRPr="007F58BF">
              <w:rPr>
                <w:sz w:val="20"/>
                <w:szCs w:val="20"/>
              </w:rPr>
              <w:t>Armed forces (non-officer), Mining supervisor, Construction supervisor, Chemical plant workers, Incinerator supervisors, Energy refining operator, Metalworkers, Veterinary assistants, Information clerks, Market researchers, Transport clerks, Hotel receptionists, Switchboard operators, Receptionists, Mail sorters, Service workers, Cooks, Waiters, Bartenders, Cleaning supervisors, Housekeepers, Undertakers, Pet groomers, Caretakers, Driving instructors, Street salespersons, Shop assistants, Service station attendants, Food service, Child care workers, Health care assistants, Security guards, Dairy producers, Forestry workers, Gardeners, Poultry producers, Builders, Carpenters, Glaziers, Plumbers, Mechanics, Welders, Painters, Toolmakers, Bicycle sales and repairs, Printers, Electricians, Potters, Electricians, Butchers, Bakers, Garment workers, Divers, Plant operators, Shoemakers, Assemblers, Drivers, Taxi drivers, Bus drivers, Machine operators, Rail workers, Refuse workers</w:t>
            </w:r>
          </w:p>
        </w:tc>
      </w:tr>
    </w:tbl>
    <w:p w14:paraId="1385D434" w14:textId="77777777" w:rsidR="00E778BD" w:rsidRDefault="00E778BD" w:rsidP="00E778BD">
      <w:pPr>
        <w:spacing w:line="480" w:lineRule="auto"/>
        <w:rPr>
          <w:i/>
          <w:iCs/>
        </w:rPr>
      </w:pPr>
    </w:p>
    <w:p w14:paraId="102A93AE" w14:textId="77777777" w:rsidR="00E778BD" w:rsidRDefault="00E778BD" w:rsidP="00E778BD">
      <w:pPr>
        <w:spacing w:line="480" w:lineRule="auto"/>
        <w:rPr>
          <w:i/>
          <w:iCs/>
        </w:rPr>
      </w:pPr>
    </w:p>
    <w:p w14:paraId="4C7023F2" w14:textId="77777777" w:rsidR="00E778BD" w:rsidRPr="007F58BF" w:rsidRDefault="00E778BD" w:rsidP="00E778BD">
      <w:pPr>
        <w:spacing w:line="480" w:lineRule="auto"/>
        <w:rPr>
          <w:i/>
          <w:iCs/>
        </w:rPr>
      </w:pPr>
      <w:r w:rsidRPr="007F58BF">
        <w:rPr>
          <w:i/>
          <w:iCs/>
        </w:rPr>
        <w:t>2.</w:t>
      </w:r>
      <w:r>
        <w:rPr>
          <w:i/>
          <w:iCs/>
        </w:rPr>
        <w:t>3</w:t>
      </w:r>
      <w:r w:rsidRPr="007F58BF">
        <w:rPr>
          <w:i/>
          <w:iCs/>
        </w:rPr>
        <w:t>.3 Independent variables at country level</w:t>
      </w:r>
    </w:p>
    <w:p w14:paraId="051FDB6D" w14:textId="32996041" w:rsidR="00E778BD" w:rsidRDefault="00E778BD" w:rsidP="00E778BD">
      <w:pPr>
        <w:spacing w:line="480" w:lineRule="auto"/>
      </w:pPr>
      <w:r w:rsidRPr="007F58BF">
        <w:rPr>
          <w:i/>
          <w:iCs/>
        </w:rPr>
        <w:t>2.</w:t>
      </w:r>
      <w:r>
        <w:rPr>
          <w:i/>
          <w:iCs/>
        </w:rPr>
        <w:t>3</w:t>
      </w:r>
      <w:r w:rsidRPr="007F58BF">
        <w:rPr>
          <w:i/>
          <w:iCs/>
        </w:rPr>
        <w:t>.3.1 Country development</w:t>
      </w:r>
      <w:r>
        <w:t>: The UN Human Development Index is a measure created to assess key dimensions of human life in a country – it is a “summary measure of average achievement in key dimensions of human development: a long and healthy life, being knowledgeable, and a decent standard of living” (United Nations, 2019). The U</w:t>
      </w:r>
      <w:r w:rsidR="00FF66E7">
        <w:t>nited Nations</w:t>
      </w:r>
      <w:r>
        <w:t xml:space="preserve"> (2017) provided data for 2015. The countries ranked highest in development were Norway (0.953), and Switzerland (0.944). Those ranked at the bottom were the Central African Republic (0.367) and Niger (0.354). Thus, people living in Norway and Switzerland should </w:t>
      </w:r>
      <w:r>
        <w:lastRenderedPageBreak/>
        <w:t xml:space="preserve">typically expect to live long, healthy lives, with high levels of educational achievement, and in material comfort. The countries and their respective UN HDI score are presented as columns in appendix 1, columns A and B. </w:t>
      </w:r>
    </w:p>
    <w:p w14:paraId="32319647" w14:textId="77777777" w:rsidR="00E778BD" w:rsidRPr="00D13F86" w:rsidRDefault="00E778BD" w:rsidP="00E778BD">
      <w:pPr>
        <w:spacing w:line="480" w:lineRule="auto"/>
      </w:pPr>
      <w:r w:rsidRPr="00D13F86">
        <w:rPr>
          <w:i/>
          <w:iCs/>
        </w:rPr>
        <w:t>2.</w:t>
      </w:r>
      <w:r>
        <w:rPr>
          <w:i/>
          <w:iCs/>
        </w:rPr>
        <w:t>3</w:t>
      </w:r>
      <w:r w:rsidRPr="00D13F86">
        <w:rPr>
          <w:i/>
          <w:iCs/>
        </w:rPr>
        <w:t xml:space="preserve">.3.2 Cumulative spending per child’s education (6-15) by country in USD – PPP. </w:t>
      </w:r>
      <w:r>
        <w:t xml:space="preserve">The OECD calculated the cumulative spend per child in US dollars in Purchasing Power Parities (PPP) by country. This allowed like-for-like comparisons in educational spending per child per country. OECD estimates are available for 49 of the 64 countries. See appendix 1, column C, and see OECD (2016) for original data. </w:t>
      </w:r>
    </w:p>
    <w:p w14:paraId="335EE5AE" w14:textId="77777777" w:rsidR="00E778BD" w:rsidRDefault="00E778BD" w:rsidP="00E778BD">
      <w:pPr>
        <w:spacing w:line="480" w:lineRule="auto"/>
      </w:pPr>
    </w:p>
    <w:p w14:paraId="5A9E0D6A" w14:textId="77777777" w:rsidR="00E778BD" w:rsidRPr="00EB3289" w:rsidRDefault="00E778BD" w:rsidP="00E778BD">
      <w:pPr>
        <w:pStyle w:val="ListParagraph"/>
        <w:numPr>
          <w:ilvl w:val="0"/>
          <w:numId w:val="1"/>
        </w:numPr>
        <w:spacing w:line="480" w:lineRule="auto"/>
        <w:ind w:left="0" w:firstLine="0"/>
        <w:rPr>
          <w:b/>
          <w:bCs/>
        </w:rPr>
      </w:pPr>
      <w:r w:rsidRPr="00EB3289">
        <w:rPr>
          <w:b/>
          <w:bCs/>
        </w:rPr>
        <w:t>Results</w:t>
      </w:r>
    </w:p>
    <w:p w14:paraId="7C75871A" w14:textId="77777777" w:rsidR="00E778BD" w:rsidRDefault="00E778BD" w:rsidP="00E778BD">
      <w:pPr>
        <w:spacing w:line="480" w:lineRule="auto"/>
      </w:pPr>
      <w:r>
        <w:t xml:space="preserve">The goal of the analysis was to examine the MARA scores of children of parents with different backgrounds (in education or occupation), and to assess whether the gap between comparable groups of children was widening or narrowing in societies of different levels of development. </w:t>
      </w:r>
    </w:p>
    <w:p w14:paraId="43CCEA5B" w14:textId="77777777" w:rsidR="00E778BD" w:rsidRDefault="00E778BD" w:rsidP="00E778BD">
      <w:pPr>
        <w:pStyle w:val="ListParagraph"/>
        <w:numPr>
          <w:ilvl w:val="1"/>
          <w:numId w:val="3"/>
        </w:numPr>
        <w:spacing w:line="480" w:lineRule="auto"/>
        <w:ind w:left="0" w:firstLine="0"/>
      </w:pPr>
      <w:r w:rsidRPr="00E35F9E">
        <w:rPr>
          <w:i/>
          <w:iCs/>
        </w:rPr>
        <w:t>The gap in performance between children of parents of different educational attainment.</w:t>
      </w:r>
      <w:r>
        <w:t xml:space="preserve"> </w:t>
      </w:r>
    </w:p>
    <w:p w14:paraId="27476CEB" w14:textId="24220B9E" w:rsidR="00E778BD" w:rsidRDefault="00E778BD" w:rsidP="00E778BD">
      <w:pPr>
        <w:pStyle w:val="ListParagraph"/>
        <w:spacing w:line="480" w:lineRule="auto"/>
        <w:ind w:left="0"/>
      </w:pPr>
      <w:r>
        <w:t xml:space="preserve">The goal of the analysis was to compare the MARA scores of the children of high versus medium educated parents. The gap in achievement of the two groups of children in each country was correlated with the level of that country’s human development (as assessed by the UN HDI score for 2015). The mean MARA data for the children of both educational groups </w:t>
      </w:r>
      <w:r w:rsidR="00E465D7">
        <w:t xml:space="preserve">are presented </w:t>
      </w:r>
      <w:r>
        <w:t xml:space="preserve">in appendix 1, (column E and F), along with the difference within each country between the groups (column G). </w:t>
      </w:r>
    </w:p>
    <w:p w14:paraId="7A2A2E43" w14:textId="77777777" w:rsidR="00E778BD" w:rsidRDefault="00E778BD" w:rsidP="00E778BD">
      <w:pPr>
        <w:spacing w:line="480" w:lineRule="auto"/>
      </w:pPr>
      <w:r>
        <w:t xml:space="preserve">The difference in mean country MARA between the children of highly educated parents (university) and moderately educated parents (non-university) was 0.308, for a score whose </w:t>
      </w:r>
      <w:r>
        <w:lastRenderedPageBreak/>
        <w:t xml:space="preserve">standard deviation in the entire sample was 1.000. The gap between the performances of the two groups of children was greater in countries which were more developed – the Pearson’s r for the 64-country correlation between UN HDI and MARA educational difference was 0.323 (p = 0.009). The Spearman’s rho measure was significant also but slightly lower at 0.275, (p = 0.028). </w:t>
      </w:r>
    </w:p>
    <w:p w14:paraId="3F3DB7B3" w14:textId="77777777" w:rsidR="00E778BD" w:rsidRDefault="00E778BD" w:rsidP="00E778BD">
      <w:pPr>
        <w:spacing w:line="480" w:lineRule="auto"/>
      </w:pPr>
    </w:p>
    <w:p w14:paraId="3DBD3581" w14:textId="77777777" w:rsidR="00E778BD" w:rsidRDefault="00E778BD" w:rsidP="00E778BD">
      <w:pPr>
        <w:pStyle w:val="ListParagraph"/>
        <w:numPr>
          <w:ilvl w:val="1"/>
          <w:numId w:val="3"/>
        </w:numPr>
        <w:spacing w:line="480" w:lineRule="auto"/>
        <w:ind w:left="0" w:firstLine="0"/>
      </w:pPr>
      <w:r w:rsidRPr="00E35F9E">
        <w:rPr>
          <w:i/>
          <w:iCs/>
        </w:rPr>
        <w:t xml:space="preserve">The gap in performance between children of </w:t>
      </w:r>
      <w:r>
        <w:rPr>
          <w:i/>
          <w:iCs/>
        </w:rPr>
        <w:t>fathers</w:t>
      </w:r>
      <w:r w:rsidRPr="00E35F9E">
        <w:rPr>
          <w:i/>
          <w:iCs/>
        </w:rPr>
        <w:t xml:space="preserve"> of different </w:t>
      </w:r>
      <w:r>
        <w:rPr>
          <w:i/>
          <w:iCs/>
        </w:rPr>
        <w:t>occupational status</w:t>
      </w:r>
      <w:r w:rsidRPr="00E35F9E">
        <w:rPr>
          <w:i/>
          <w:iCs/>
        </w:rPr>
        <w:t>.</w:t>
      </w:r>
      <w:r>
        <w:t xml:space="preserve"> </w:t>
      </w:r>
    </w:p>
    <w:p w14:paraId="13E54A40" w14:textId="47E7A3B6" w:rsidR="00E778BD" w:rsidRDefault="00E778BD" w:rsidP="00EB0344">
      <w:pPr>
        <w:spacing w:line="480" w:lineRule="auto"/>
      </w:pPr>
      <w:r>
        <w:t xml:space="preserve">The MARA scores of the children of fathers in professional/managerial occupations were also compared to the children of fathers in low-to-medium skilled occupations. The mean MARA scores by country for children of low-to-medium occupational status are provided in appendix 1, column H and for children of fathers of high occupational status in column I, and the within country difference is in column J. The overall difference in mean country MARA between the children of fathers in professional/managerial occupations, and children of fathers in low to middle skill occupations was 0.562, again where the standard deviation of MARA in the overall population is 1.000. The difference between the MARA scores of children of fathers in high occupational status versus those in low-to-medium was greater in countries which were more developed – the Pearson’s r for the 64-country correlation between UN HDI and MARA occupational difference was 0.392 (p = 0.001). The Spearman’s rho was lower at 0.349, p = 0.005. </w:t>
      </w:r>
    </w:p>
    <w:p w14:paraId="1C80698A" w14:textId="77777777" w:rsidR="00EB0344" w:rsidRDefault="00EB0344" w:rsidP="00EB0344">
      <w:pPr>
        <w:spacing w:line="480" w:lineRule="auto"/>
      </w:pPr>
    </w:p>
    <w:p w14:paraId="5E5E3651" w14:textId="77777777" w:rsidR="00E778BD" w:rsidRPr="00EB0344" w:rsidRDefault="00E778BD" w:rsidP="00E778BD">
      <w:pPr>
        <w:pStyle w:val="ListParagraph"/>
        <w:numPr>
          <w:ilvl w:val="1"/>
          <w:numId w:val="3"/>
        </w:numPr>
        <w:spacing w:line="480" w:lineRule="auto"/>
        <w:ind w:left="0" w:firstLine="0"/>
        <w:rPr>
          <w:i/>
          <w:iCs/>
        </w:rPr>
      </w:pPr>
      <w:r w:rsidRPr="00EB0344">
        <w:rPr>
          <w:i/>
          <w:iCs/>
        </w:rPr>
        <w:t xml:space="preserve">General MARA dispersion and country development. </w:t>
      </w:r>
    </w:p>
    <w:p w14:paraId="5F569CB0" w14:textId="1585AC1C" w:rsidR="00E778BD" w:rsidRDefault="00E778BD" w:rsidP="00E778BD">
      <w:pPr>
        <w:pStyle w:val="ListParagraph"/>
        <w:spacing w:line="480" w:lineRule="auto"/>
        <w:ind w:left="0"/>
      </w:pPr>
      <w:r>
        <w:t xml:space="preserve">The standard deviation by country of the participants’ MARA scores was greater in more developed countries. The country MARA standard deviations are presented in appendix 1, column K, and range from a low of 0.605 (Algeria) to a high of 1.127 (Malta). The correlation </w:t>
      </w:r>
      <w:r>
        <w:lastRenderedPageBreak/>
        <w:t xml:space="preserve">between the standard deviation by country and UN HDI was 0.478 (Pearson’s r, p &lt; 0.0001), or 0.438 (Spearman’s rho, p &lt;0.001). The mean MARA by country also correlated very highly with the UN HDI - which is to be expected, as one of the three dimensions of the UN HDI assesses educational levels - with r = 0.839 (p &lt; 0.0001). The mean MARA also correlated with the standard deviation of MARA (r = 0.321, p = 0.010). This suggests that more developed countries are successful in raising the educational performance of children, but </w:t>
      </w:r>
      <w:r w:rsidR="00753BF4">
        <w:t xml:space="preserve">possibly </w:t>
      </w:r>
      <w:r>
        <w:t xml:space="preserve">at the cost of a greater divergence in educational performance. This is despite the fact that more developed societies spend much more on education. Cumulative spend on a child’s education from ages 6-15 averaged 39,018 PPP dollars for the least developed 20 countries compared to 102,194 PPP dollars for the most developed 29 countries (OECD data only available for 49 of the countries represented in this analysis). </w:t>
      </w:r>
    </w:p>
    <w:p w14:paraId="4A1790A0" w14:textId="05142F6F" w:rsidR="000C0CE4" w:rsidRDefault="000C0CE4" w:rsidP="00E778BD">
      <w:pPr>
        <w:pStyle w:val="ListParagraph"/>
        <w:spacing w:line="480" w:lineRule="auto"/>
        <w:ind w:left="0"/>
      </w:pPr>
    </w:p>
    <w:p w14:paraId="5CDBD699" w14:textId="3D4D1DF6" w:rsidR="000C0CE4" w:rsidRPr="00753BF4" w:rsidRDefault="000C0CE4" w:rsidP="00753BF4">
      <w:pPr>
        <w:pStyle w:val="ListParagraph"/>
        <w:numPr>
          <w:ilvl w:val="0"/>
          <w:numId w:val="4"/>
        </w:numPr>
        <w:spacing w:line="480" w:lineRule="auto"/>
        <w:ind w:left="0" w:firstLine="0"/>
        <w:rPr>
          <w:b/>
          <w:bCs/>
        </w:rPr>
      </w:pPr>
      <w:r w:rsidRPr="00444606">
        <w:rPr>
          <w:b/>
          <w:bCs/>
        </w:rPr>
        <w:t>Discussion</w:t>
      </w:r>
    </w:p>
    <w:p w14:paraId="24E940C8" w14:textId="52832C0D" w:rsidR="00E55E0B" w:rsidRDefault="000722CE" w:rsidP="000C0CE4">
      <w:pPr>
        <w:spacing w:line="480" w:lineRule="auto"/>
      </w:pPr>
      <w:r>
        <w:t xml:space="preserve">The analysis examined the gap in performance on a derived measure of core educational performance between children of parents who differed either by education or occupation (fathers). The key finding was that countries characterised by higher levels of human development – as assessed in the United Nations Human Development Reports – tended to have statistically significantly greater divergences between children of parents of medium levels of education versus high levels of education, or children of fathers in high status occupations versus fathers in low-medium status occupations. The analysis benefitted by drawing in a wide variety of countries, including not just the more developed OECD members, but also less economically developed countries. </w:t>
      </w:r>
    </w:p>
    <w:p w14:paraId="0D3DC5B8" w14:textId="77777777" w:rsidR="00753BF4" w:rsidRDefault="00753BF4" w:rsidP="000C0CE4">
      <w:pPr>
        <w:spacing w:line="480" w:lineRule="auto"/>
      </w:pPr>
    </w:p>
    <w:p w14:paraId="37862376" w14:textId="6CA7BF0C" w:rsidR="006812DF" w:rsidRDefault="000722CE" w:rsidP="00E55E0B">
      <w:pPr>
        <w:spacing w:line="480" w:lineRule="auto"/>
      </w:pPr>
      <w:r>
        <w:lastRenderedPageBreak/>
        <w:t xml:space="preserve">Greater disparity between children of different family backgrounds in </w:t>
      </w:r>
      <w:r>
        <w:rPr>
          <w:i/>
          <w:iCs/>
        </w:rPr>
        <w:t xml:space="preserve">more </w:t>
      </w:r>
      <w:r>
        <w:t>developed societies is a counter-intuitive finding. Highly</w:t>
      </w:r>
      <w:r w:rsidR="000C0CE4">
        <w:t xml:space="preserve"> developed countries, as was demonstrated, spend a lot more of their resources on education than less developed</w:t>
      </w:r>
      <w:r>
        <w:t xml:space="preserve"> countries</w:t>
      </w:r>
      <w:r w:rsidR="000C0CE4">
        <w:t xml:space="preserve">, and many have explicit policies </w:t>
      </w:r>
      <w:r w:rsidR="006812DF">
        <w:t xml:space="preserve">in place </w:t>
      </w:r>
      <w:r w:rsidR="000C0CE4">
        <w:t xml:space="preserve">that seek to </w:t>
      </w:r>
      <w:r>
        <w:t>divert resources t</w:t>
      </w:r>
      <w:r w:rsidR="00C7203D">
        <w:t>owards raising</w:t>
      </w:r>
      <w:r w:rsidR="000C0CE4">
        <w:t xml:space="preserve"> the standards of</w:t>
      </w:r>
      <w:r>
        <w:t xml:space="preserve"> children considered to be socio-economically disadvantaged.</w:t>
      </w:r>
      <w:r w:rsidR="000C0CE4">
        <w:t xml:space="preserve"> </w:t>
      </w:r>
    </w:p>
    <w:p w14:paraId="3BB7477E" w14:textId="77777777" w:rsidR="006812DF" w:rsidRDefault="006812DF" w:rsidP="00E55E0B">
      <w:pPr>
        <w:spacing w:line="480" w:lineRule="auto"/>
      </w:pPr>
    </w:p>
    <w:p w14:paraId="61D0166E" w14:textId="0B80E33A" w:rsidR="00E55E0B" w:rsidRDefault="000C0CE4" w:rsidP="00F273DF">
      <w:pPr>
        <w:spacing w:line="480" w:lineRule="auto"/>
      </w:pPr>
      <w:r>
        <w:t xml:space="preserve">It is possible that the pattern of greater divergence in MARA scores is </w:t>
      </w:r>
      <w:r w:rsidR="00C7203D">
        <w:t>some</w:t>
      </w:r>
      <w:r>
        <w:t xml:space="preserve"> art</w:t>
      </w:r>
      <w:r w:rsidR="00753BF4">
        <w:t>e</w:t>
      </w:r>
      <w:r>
        <w:t>fact of PISA. The fact that a similar pattern emerged for both occupational and educational contrasts makes it less likely that it is some simple art</w:t>
      </w:r>
      <w:r w:rsidR="00753BF4">
        <w:t>e</w:t>
      </w:r>
      <w:r>
        <w:t xml:space="preserve">fact of either. </w:t>
      </w:r>
      <w:r w:rsidR="006812DF">
        <w:t xml:space="preserve">Assuming that it is not an artefact, and higher development is associated with greater educational attainment divergences between children of varying social backgrounds, how might the pattern be explained? Erola et al. (2016; 34) summarise the distinction often made between two possible pathways of parental influence – endowments and investments. Endowments are “any parental resources or characteristics that children can potentially benefit from [including] human or cultural capital, social status, networks, as well as aspects of the genetic background.” Investments on the other hand refer to </w:t>
      </w:r>
      <w:r w:rsidR="006812DF">
        <w:rPr>
          <w:i/>
          <w:iCs/>
        </w:rPr>
        <w:t>intentional</w:t>
      </w:r>
      <w:r w:rsidR="006812DF">
        <w:t xml:space="preserve"> behaviour by the parents to benefit their children such as paying for types of</w:t>
      </w:r>
      <w:r w:rsidR="00F273DF">
        <w:t xml:space="preserve"> special educational support, living conditions, or investing time in helping their offspring. Following this distinction, one possible explanation for an association between country development and greater gaps in the educational attainment of children is that in more developed societies, with a greater emphasis on success through formal educational credentials, parents from a more advantaged educational or occupational background consciously invest </w:t>
      </w:r>
      <w:r w:rsidR="00753BF4">
        <w:t xml:space="preserve">disproportionately </w:t>
      </w:r>
      <w:r w:rsidR="00F273DF">
        <w:t>more time and money into their children’s education</w:t>
      </w:r>
      <w:r w:rsidR="00753BF4">
        <w:t xml:space="preserve"> than their less advantaged peers</w:t>
      </w:r>
      <w:r w:rsidR="00F273DF">
        <w:t xml:space="preserve">. This </w:t>
      </w:r>
      <w:r w:rsidR="00F273DF">
        <w:lastRenderedPageBreak/>
        <w:t xml:space="preserve">additional parental investment is strong enough to offset the attempt by the state to support moves towards a greater convergence of educational attainment. </w:t>
      </w:r>
    </w:p>
    <w:p w14:paraId="56CD277E" w14:textId="77777777" w:rsidR="00753BF4" w:rsidRDefault="00753BF4" w:rsidP="00F273DF">
      <w:pPr>
        <w:spacing w:line="480" w:lineRule="auto"/>
      </w:pPr>
    </w:p>
    <w:p w14:paraId="22C2D03B" w14:textId="2D767D81" w:rsidR="000C0CE4" w:rsidRDefault="00F273DF" w:rsidP="000C0CE4">
      <w:pPr>
        <w:pStyle w:val="ListParagraph"/>
        <w:spacing w:line="480" w:lineRule="auto"/>
        <w:ind w:left="0"/>
      </w:pPr>
      <w:r>
        <w:t xml:space="preserve">A completely alternative, although not necessarily contradictory explanation, could be made based on unconscious parental endowments. </w:t>
      </w:r>
      <w:r w:rsidR="000C0CE4">
        <w:t xml:space="preserve">The Scarr-Rowe hypothesis </w:t>
      </w:r>
      <w:r>
        <w:t>(also known as the Gene x Socioeconomic Status interaction, see Tucker-Drob &amp; Bates, 201</w:t>
      </w:r>
      <w:r w:rsidR="00FF66E7">
        <w:t>6</w:t>
      </w:r>
      <w:r>
        <w:t xml:space="preserve">) claims </w:t>
      </w:r>
      <w:r w:rsidR="000C0CE4">
        <w:t xml:space="preserve">that heritability of </w:t>
      </w:r>
      <w:r>
        <w:t>cognitive ability</w:t>
      </w:r>
      <w:r w:rsidR="000C0CE4">
        <w:t xml:space="preserve"> is lower among children that are raised in greater economic hardship</w:t>
      </w:r>
      <w:r>
        <w:t xml:space="preserve">. </w:t>
      </w:r>
      <w:r w:rsidR="000C0CE4">
        <w:t xml:space="preserve">Scarr-Salapatek (1971; 1286) proposed that “IQ scores within advantaged groups will show larger proportions of genetic variance and smaller proportions of environmental variance than IQ scores for disadvantaged groups”. Conversely in poorer environments, Woodley, Pallesen, and Sarraf suggest that “adverse bioecological conditions restrict the variance in developmental opportunities among those with low SES” (2018; 495). Less privation, the hypothesis predicts, should </w:t>
      </w:r>
      <w:r>
        <w:t>facilitate</w:t>
      </w:r>
      <w:r w:rsidR="000C0CE4">
        <w:t xml:space="preserve"> people’s </w:t>
      </w:r>
      <w:r>
        <w:t xml:space="preserve">‘natural’ </w:t>
      </w:r>
      <w:r w:rsidR="000C0CE4">
        <w:t xml:space="preserve">potential to be expressed. </w:t>
      </w:r>
    </w:p>
    <w:p w14:paraId="6329113D" w14:textId="77777777" w:rsidR="00753BF4" w:rsidRDefault="00753BF4" w:rsidP="000C0CE4">
      <w:pPr>
        <w:pStyle w:val="ListParagraph"/>
        <w:spacing w:line="480" w:lineRule="auto"/>
        <w:ind w:left="0"/>
      </w:pPr>
    </w:p>
    <w:p w14:paraId="16E64901" w14:textId="6D05A2D2" w:rsidR="00FF66E7" w:rsidRDefault="00F273DF" w:rsidP="00E778BD">
      <w:pPr>
        <w:pStyle w:val="ListParagraph"/>
        <w:spacing w:line="480" w:lineRule="auto"/>
        <w:ind w:left="0"/>
      </w:pPr>
      <w:r>
        <w:t xml:space="preserve">While the analysis here does not permit assessing the merits of these explanations, nonetheless the possibility that greater </w:t>
      </w:r>
      <w:r w:rsidR="00CB4F06">
        <w:t xml:space="preserve">human </w:t>
      </w:r>
      <w:r>
        <w:t xml:space="preserve">development </w:t>
      </w:r>
      <w:r w:rsidR="00CB4F06">
        <w:t xml:space="preserve">in a country </w:t>
      </w:r>
      <w:r>
        <w:t xml:space="preserve">may act to </w:t>
      </w:r>
      <w:r w:rsidR="00CB4F06">
        <w:t xml:space="preserve">accelerate social disparity is a concerning one. The positive finding that greater development is associated with overall higher educational performance may have to be tempered if it appears that this comes at a cost of widening the attainment gap between children of differing social backgrounds. Powerful datasets such as PISA can provide a vital tool for assessing fundamental trends in the academic performances of children across country, class, and parental characteristics. </w:t>
      </w:r>
    </w:p>
    <w:p w14:paraId="0C44362C" w14:textId="77777777" w:rsidR="00FF66E7" w:rsidRDefault="00FF66E7">
      <w:r>
        <w:br w:type="page"/>
      </w:r>
    </w:p>
    <w:p w14:paraId="4AC95956" w14:textId="77777777" w:rsidR="00FF66E7" w:rsidRPr="00033CE7" w:rsidRDefault="00FF66E7" w:rsidP="00FF66E7">
      <w:pPr>
        <w:pStyle w:val="ListParagraph"/>
        <w:numPr>
          <w:ilvl w:val="0"/>
          <w:numId w:val="4"/>
        </w:numPr>
        <w:spacing w:line="480" w:lineRule="auto"/>
        <w:ind w:left="0" w:firstLine="0"/>
        <w:rPr>
          <w:b/>
          <w:bCs/>
        </w:rPr>
      </w:pPr>
      <w:r w:rsidRPr="00033CE7">
        <w:rPr>
          <w:b/>
          <w:bCs/>
        </w:rPr>
        <w:lastRenderedPageBreak/>
        <w:t>References</w:t>
      </w:r>
    </w:p>
    <w:p w14:paraId="7D684EEB" w14:textId="35B97FF3" w:rsidR="00FF66E7" w:rsidRPr="00BC6F8E" w:rsidRDefault="00FF66E7" w:rsidP="00FF66E7">
      <w:pPr>
        <w:spacing w:line="480" w:lineRule="auto"/>
      </w:pPr>
      <w:r>
        <w:t xml:space="preserve"> </w:t>
      </w:r>
    </w:p>
    <w:p w14:paraId="0E64B732" w14:textId="2278284A" w:rsidR="00852518" w:rsidRDefault="00852518" w:rsidP="00FF66E7">
      <w:pPr>
        <w:pStyle w:val="NormalWeb"/>
        <w:spacing w:before="0" w:beforeAutospacing="0" w:after="0" w:afterAutospacing="0" w:line="480" w:lineRule="auto"/>
        <w:rPr>
          <w:rFonts w:asciiTheme="minorHAnsi" w:hAnsiTheme="minorHAnsi" w:cstheme="minorHAnsi"/>
        </w:rPr>
      </w:pPr>
      <w:r w:rsidRPr="00852518">
        <w:rPr>
          <w:rFonts w:asciiTheme="minorHAnsi" w:hAnsiTheme="minorHAnsi" w:cstheme="minorHAnsi"/>
        </w:rPr>
        <w:t>Björklund, A., &amp; Salvanes, K.G</w:t>
      </w:r>
      <w:r>
        <w:rPr>
          <w:rFonts w:asciiTheme="minorHAnsi" w:hAnsiTheme="minorHAnsi" w:cstheme="minorHAnsi"/>
        </w:rPr>
        <w:t xml:space="preserve">. (2011). Education and family background: Mechanisms and policies. In E.A. Hanushek, S. Machin, &amp; L. Woessmann (Eds.), </w:t>
      </w:r>
      <w:r>
        <w:rPr>
          <w:rFonts w:asciiTheme="minorHAnsi" w:hAnsiTheme="minorHAnsi" w:cstheme="minorHAnsi"/>
          <w:i/>
          <w:iCs/>
        </w:rPr>
        <w:t>Handbooks in economics</w:t>
      </w:r>
      <w:r>
        <w:rPr>
          <w:rFonts w:asciiTheme="minorHAnsi" w:hAnsiTheme="minorHAnsi" w:cstheme="minorHAnsi"/>
        </w:rPr>
        <w:t xml:space="preserve"> (Vol. 3) (pp. 201-247). The Netherlands: North Holland. </w:t>
      </w:r>
    </w:p>
    <w:p w14:paraId="76AE6CF5" w14:textId="1C96D72F" w:rsidR="00852518" w:rsidRDefault="00852518" w:rsidP="00FF66E7">
      <w:pPr>
        <w:pStyle w:val="NormalWeb"/>
        <w:spacing w:before="0" w:beforeAutospacing="0" w:after="0" w:afterAutospacing="0" w:line="480" w:lineRule="auto"/>
        <w:rPr>
          <w:rFonts w:asciiTheme="minorHAnsi" w:hAnsiTheme="minorHAnsi" w:cstheme="minorHAnsi"/>
        </w:rPr>
      </w:pPr>
    </w:p>
    <w:p w14:paraId="61C9FA5E" w14:textId="777A9FF3" w:rsidR="00852518" w:rsidRDefault="00852518" w:rsidP="00FF66E7">
      <w:pPr>
        <w:pStyle w:val="NormalWeb"/>
        <w:spacing w:before="0" w:beforeAutospacing="0" w:after="0" w:afterAutospacing="0" w:line="480" w:lineRule="auto"/>
        <w:rPr>
          <w:rFonts w:asciiTheme="minorHAnsi" w:hAnsiTheme="minorHAnsi" w:cstheme="minorHAnsi"/>
        </w:rPr>
      </w:pPr>
      <w:r>
        <w:rPr>
          <w:rFonts w:asciiTheme="minorHAnsi" w:hAnsiTheme="minorHAnsi" w:cstheme="minorHAnsi"/>
        </w:rPr>
        <w:t xml:space="preserve">Blanden, J., Gregg, P., &amp; Macmillan, L. (2013). Intergenerational persistence in income and social class: The effect of within-group inequality. </w:t>
      </w:r>
      <w:r>
        <w:rPr>
          <w:rFonts w:asciiTheme="minorHAnsi" w:hAnsiTheme="minorHAnsi" w:cstheme="minorHAnsi"/>
          <w:i/>
          <w:iCs/>
        </w:rPr>
        <w:t>Journal of the Royal Statistical Society: Series A (Statistics in Society). 176</w:t>
      </w:r>
      <w:r>
        <w:rPr>
          <w:rFonts w:asciiTheme="minorHAnsi" w:hAnsiTheme="minorHAnsi" w:cstheme="minorHAnsi"/>
        </w:rPr>
        <w:t xml:space="preserve"> (2), 541-563.</w:t>
      </w:r>
      <w:r w:rsidR="00E22857">
        <w:rPr>
          <w:rFonts w:asciiTheme="minorHAnsi" w:hAnsiTheme="minorHAnsi" w:cstheme="minorHAnsi"/>
        </w:rPr>
        <w:t xml:space="preserve"> </w:t>
      </w:r>
    </w:p>
    <w:p w14:paraId="73AC4EA7" w14:textId="77777777" w:rsidR="00B61848" w:rsidRDefault="00B61848" w:rsidP="00FF66E7">
      <w:pPr>
        <w:pStyle w:val="NormalWeb"/>
        <w:spacing w:before="0" w:beforeAutospacing="0" w:after="0" w:afterAutospacing="0" w:line="480" w:lineRule="auto"/>
        <w:rPr>
          <w:rFonts w:asciiTheme="minorHAnsi" w:hAnsiTheme="minorHAnsi" w:cstheme="minorHAnsi"/>
        </w:rPr>
      </w:pPr>
    </w:p>
    <w:p w14:paraId="45899041" w14:textId="70710701" w:rsidR="00B61848" w:rsidRDefault="00B61848" w:rsidP="00FF66E7">
      <w:pPr>
        <w:pStyle w:val="NormalWeb"/>
        <w:spacing w:before="0" w:beforeAutospacing="0" w:after="0" w:afterAutospacing="0" w:line="480" w:lineRule="auto"/>
        <w:rPr>
          <w:rFonts w:asciiTheme="minorHAnsi" w:hAnsiTheme="minorHAnsi" w:cstheme="minorHAnsi"/>
        </w:rPr>
      </w:pPr>
      <w:r>
        <w:rPr>
          <w:rFonts w:asciiTheme="minorHAnsi" w:hAnsiTheme="minorHAnsi" w:cstheme="minorHAnsi"/>
        </w:rPr>
        <w:t xml:space="preserve">Blanden, J. &amp; Macmillan, L. (2014). Education and intergenerational mobility: Help or hindrance? </w:t>
      </w:r>
      <w:r>
        <w:rPr>
          <w:rFonts w:asciiTheme="minorHAnsi" w:hAnsiTheme="minorHAnsi" w:cstheme="minorHAnsi"/>
          <w:i/>
          <w:iCs/>
        </w:rPr>
        <w:t xml:space="preserve">CASE working paper 8. </w:t>
      </w:r>
    </w:p>
    <w:p w14:paraId="3B26B024" w14:textId="56403BCE" w:rsidR="00E22857" w:rsidRDefault="00E22857" w:rsidP="00FF66E7">
      <w:pPr>
        <w:pStyle w:val="NormalWeb"/>
        <w:spacing w:before="0" w:beforeAutospacing="0" w:after="0" w:afterAutospacing="0" w:line="480" w:lineRule="auto"/>
        <w:rPr>
          <w:rFonts w:asciiTheme="minorHAnsi" w:hAnsiTheme="minorHAnsi" w:cstheme="minorHAnsi"/>
        </w:rPr>
      </w:pPr>
    </w:p>
    <w:p w14:paraId="794328CC" w14:textId="2EC28525" w:rsidR="00E22857" w:rsidRPr="00E22857" w:rsidRDefault="00E22857" w:rsidP="00FF66E7">
      <w:pPr>
        <w:pStyle w:val="NormalWeb"/>
        <w:spacing w:before="0" w:beforeAutospacing="0" w:after="0" w:afterAutospacing="0" w:line="480" w:lineRule="auto"/>
        <w:rPr>
          <w:rFonts w:asciiTheme="minorHAnsi" w:hAnsiTheme="minorHAnsi" w:cstheme="minorHAnsi"/>
        </w:rPr>
      </w:pPr>
      <w:r w:rsidRPr="00302C59">
        <w:rPr>
          <w:rFonts w:asciiTheme="minorHAnsi" w:hAnsiTheme="minorHAnsi" w:cstheme="minorHAnsi"/>
        </w:rPr>
        <w:t xml:space="preserve">Chmielewski, A.K., &amp; Reardon, S.F. (2016). </w:t>
      </w:r>
      <w:r w:rsidRPr="00E22857">
        <w:rPr>
          <w:rFonts w:asciiTheme="minorHAnsi" w:hAnsiTheme="minorHAnsi" w:cstheme="minorHAnsi"/>
        </w:rPr>
        <w:t>Patterns of cross-national variation</w:t>
      </w:r>
      <w:r>
        <w:rPr>
          <w:rFonts w:asciiTheme="minorHAnsi" w:hAnsiTheme="minorHAnsi" w:cstheme="minorHAnsi"/>
        </w:rPr>
        <w:t xml:space="preserve"> in the association between income and academic achievement. </w:t>
      </w:r>
      <w:r>
        <w:rPr>
          <w:rFonts w:asciiTheme="minorHAnsi" w:hAnsiTheme="minorHAnsi" w:cstheme="minorHAnsi"/>
          <w:i/>
          <w:iCs/>
        </w:rPr>
        <w:t>AERA Open 2</w:t>
      </w:r>
      <w:r>
        <w:rPr>
          <w:rFonts w:asciiTheme="minorHAnsi" w:hAnsiTheme="minorHAnsi" w:cstheme="minorHAnsi"/>
        </w:rPr>
        <w:t xml:space="preserve"> (3) 1-27. DOI: 10.1177/2332858416649593. </w:t>
      </w:r>
    </w:p>
    <w:p w14:paraId="22D1951F" w14:textId="5D527E9B" w:rsidR="00852518" w:rsidRPr="00E22857" w:rsidRDefault="00852518" w:rsidP="00FF66E7">
      <w:pPr>
        <w:pStyle w:val="NormalWeb"/>
        <w:spacing w:before="0" w:beforeAutospacing="0" w:after="0" w:afterAutospacing="0" w:line="480" w:lineRule="auto"/>
        <w:rPr>
          <w:rFonts w:asciiTheme="minorHAnsi" w:hAnsiTheme="minorHAnsi" w:cstheme="minorHAnsi"/>
        </w:rPr>
      </w:pPr>
    </w:p>
    <w:p w14:paraId="40CFF0ED" w14:textId="2A1068A6" w:rsidR="00852518" w:rsidRPr="00852518" w:rsidRDefault="00852518" w:rsidP="00FF66E7">
      <w:pPr>
        <w:pStyle w:val="NormalWeb"/>
        <w:spacing w:before="0" w:beforeAutospacing="0" w:after="0" w:afterAutospacing="0" w:line="480" w:lineRule="auto"/>
        <w:rPr>
          <w:rFonts w:asciiTheme="minorHAnsi" w:hAnsiTheme="minorHAnsi" w:cstheme="minorHAnsi"/>
        </w:rPr>
      </w:pPr>
      <w:r>
        <w:rPr>
          <w:rFonts w:asciiTheme="minorHAnsi" w:hAnsiTheme="minorHAnsi" w:cstheme="minorHAnsi"/>
        </w:rPr>
        <w:t xml:space="preserve">Erikson, R., &amp; Goldthorpe, J.H. (2010). Has social mobility in Britain decreased? Reconciling divergent findings on income and social mobility. </w:t>
      </w:r>
      <w:r>
        <w:rPr>
          <w:rFonts w:asciiTheme="minorHAnsi" w:hAnsiTheme="minorHAnsi" w:cstheme="minorHAnsi"/>
          <w:i/>
          <w:iCs/>
        </w:rPr>
        <w:t>The British Journal of Sociology, 61</w:t>
      </w:r>
      <w:r>
        <w:rPr>
          <w:rFonts w:asciiTheme="minorHAnsi" w:hAnsiTheme="minorHAnsi" w:cstheme="minorHAnsi"/>
        </w:rPr>
        <w:t xml:space="preserve"> (2), 211-230. </w:t>
      </w:r>
      <w:r w:rsidR="00E22857">
        <w:rPr>
          <w:rFonts w:asciiTheme="minorHAnsi" w:hAnsiTheme="minorHAnsi" w:cstheme="minorHAnsi"/>
        </w:rPr>
        <w:t>DOI:10.111/j.1468-4446.2010.01310.x</w:t>
      </w:r>
      <w:r w:rsidR="00C265F5">
        <w:rPr>
          <w:rFonts w:asciiTheme="minorHAnsi" w:hAnsiTheme="minorHAnsi" w:cstheme="minorHAnsi"/>
        </w:rPr>
        <w:t>.</w:t>
      </w:r>
    </w:p>
    <w:p w14:paraId="22B35875" w14:textId="43170A9B" w:rsidR="00852518" w:rsidRDefault="00852518" w:rsidP="00FF66E7">
      <w:pPr>
        <w:pStyle w:val="NormalWeb"/>
        <w:spacing w:before="0" w:beforeAutospacing="0" w:after="0" w:afterAutospacing="0" w:line="480" w:lineRule="auto"/>
        <w:rPr>
          <w:rFonts w:asciiTheme="minorHAnsi" w:hAnsiTheme="minorHAnsi" w:cstheme="minorHAnsi"/>
        </w:rPr>
      </w:pPr>
    </w:p>
    <w:p w14:paraId="65FEB6BF" w14:textId="48BC5407" w:rsidR="00B61848" w:rsidRDefault="00B61848" w:rsidP="00FF66E7">
      <w:pPr>
        <w:pStyle w:val="NormalWeb"/>
        <w:spacing w:before="0" w:beforeAutospacing="0" w:after="0" w:afterAutospacing="0" w:line="480" w:lineRule="auto"/>
        <w:rPr>
          <w:rFonts w:asciiTheme="minorHAnsi" w:hAnsiTheme="minorHAnsi" w:cstheme="minorHAnsi"/>
        </w:rPr>
      </w:pPr>
      <w:r w:rsidRPr="00B61848">
        <w:rPr>
          <w:rFonts w:asciiTheme="minorHAnsi" w:hAnsiTheme="minorHAnsi" w:cstheme="minorHAnsi"/>
        </w:rPr>
        <w:t>Erola, J., Jalonen, S., &amp; Lehti, H. (2016). Parental educa</w:t>
      </w:r>
      <w:r>
        <w:rPr>
          <w:rFonts w:asciiTheme="minorHAnsi" w:hAnsiTheme="minorHAnsi" w:cstheme="minorHAnsi"/>
        </w:rPr>
        <w:t>ti</w:t>
      </w:r>
      <w:r w:rsidRPr="00B61848">
        <w:rPr>
          <w:rFonts w:asciiTheme="minorHAnsi" w:hAnsiTheme="minorHAnsi" w:cstheme="minorHAnsi"/>
        </w:rPr>
        <w:t xml:space="preserve">on, class and </w:t>
      </w:r>
      <w:r>
        <w:rPr>
          <w:rFonts w:asciiTheme="minorHAnsi" w:hAnsiTheme="minorHAnsi" w:cstheme="minorHAnsi"/>
        </w:rPr>
        <w:t xml:space="preserve">income over early life course and children’s achievement. </w:t>
      </w:r>
      <w:r>
        <w:rPr>
          <w:rFonts w:asciiTheme="minorHAnsi" w:hAnsiTheme="minorHAnsi" w:cstheme="minorHAnsi"/>
          <w:i/>
          <w:iCs/>
        </w:rPr>
        <w:t>Research in Social Stratification and Mobility, 44</w:t>
      </w:r>
      <w:r>
        <w:rPr>
          <w:rFonts w:asciiTheme="minorHAnsi" w:hAnsiTheme="minorHAnsi" w:cstheme="minorHAnsi"/>
        </w:rPr>
        <w:t>, 33-43.</w:t>
      </w:r>
      <w:r w:rsidR="00C265F5">
        <w:rPr>
          <w:rFonts w:asciiTheme="minorHAnsi" w:hAnsiTheme="minorHAnsi" w:cstheme="minorHAnsi"/>
        </w:rPr>
        <w:t xml:space="preserve"> DOI:10.1016/j.rssm.2016.01.003. </w:t>
      </w:r>
    </w:p>
    <w:p w14:paraId="25A895BE" w14:textId="48D4B1BC" w:rsidR="00FF66E7" w:rsidRPr="00C06AFC" w:rsidRDefault="00FF66E7" w:rsidP="00FF66E7">
      <w:pPr>
        <w:pStyle w:val="NormalWeb"/>
        <w:spacing w:before="0" w:beforeAutospacing="0" w:after="0" w:afterAutospacing="0" w:line="480" w:lineRule="auto"/>
        <w:rPr>
          <w:rFonts w:asciiTheme="minorHAnsi" w:hAnsiTheme="minorHAnsi" w:cstheme="minorHAnsi"/>
        </w:rPr>
      </w:pPr>
      <w:r w:rsidRPr="00B61848">
        <w:rPr>
          <w:rFonts w:asciiTheme="minorHAnsi" w:hAnsiTheme="minorHAnsi" w:cstheme="minorHAnsi"/>
        </w:rPr>
        <w:lastRenderedPageBreak/>
        <w:t xml:space="preserve">Ganzeboom, H. B. G., &amp; Treiman, D. J. (2003). </w:t>
      </w:r>
      <w:r w:rsidRPr="00C06AFC">
        <w:rPr>
          <w:rFonts w:asciiTheme="minorHAnsi" w:hAnsiTheme="minorHAnsi" w:cstheme="minorHAnsi"/>
        </w:rPr>
        <w:t xml:space="preserve">Three internationally standardised measures for comparative research on occupational status. In J.H. P. Hoffmeyer-Zlotnik &amp; C. Wolf (Eds.), </w:t>
      </w:r>
      <w:r w:rsidRPr="00C06AFC">
        <w:rPr>
          <w:rFonts w:asciiTheme="minorHAnsi" w:hAnsiTheme="minorHAnsi" w:cstheme="minorHAnsi"/>
          <w:i/>
          <w:iCs/>
        </w:rPr>
        <w:t>Advances in cross-national comparison: A European working book for demographic and socio-economic variables</w:t>
      </w:r>
      <w:r w:rsidRPr="00C06AFC">
        <w:rPr>
          <w:rFonts w:asciiTheme="minorHAnsi" w:hAnsiTheme="minorHAnsi" w:cstheme="minorHAnsi"/>
        </w:rPr>
        <w:t xml:space="preserve"> (pp. 159–193). New York: Kluwer Academic/Plenum. </w:t>
      </w:r>
    </w:p>
    <w:p w14:paraId="3CB9FD93" w14:textId="77777777" w:rsidR="00FF66E7" w:rsidRDefault="00FF66E7" w:rsidP="00FF66E7">
      <w:pPr>
        <w:spacing w:line="480" w:lineRule="auto"/>
      </w:pPr>
    </w:p>
    <w:p w14:paraId="4641BBEE" w14:textId="558DA7A9" w:rsidR="00FF66E7" w:rsidRPr="00C06AFC" w:rsidRDefault="00FF66E7" w:rsidP="00FF66E7">
      <w:pPr>
        <w:spacing w:line="480" w:lineRule="auto"/>
        <w:rPr>
          <w:rFonts w:cstheme="minorHAnsi"/>
        </w:rPr>
      </w:pPr>
      <w:r w:rsidRPr="00C06AFC">
        <w:rPr>
          <w:rFonts w:eastAsia="Times New Roman" w:cstheme="minorHAnsi"/>
        </w:rPr>
        <w:t xml:space="preserve">Jusko, K.L., &amp; Shively, W.P. (2005). Applying a two-step strategy to the analysis of cross-national public opinion data. </w:t>
      </w:r>
      <w:r w:rsidRPr="00C06AFC">
        <w:rPr>
          <w:rFonts w:eastAsia="Times New Roman" w:cstheme="minorHAnsi"/>
          <w:i/>
          <w:iCs/>
        </w:rPr>
        <w:t>Political Analysis</w:t>
      </w:r>
      <w:r w:rsidRPr="00C06AFC">
        <w:rPr>
          <w:rFonts w:eastAsia="Times New Roman" w:cstheme="minorHAnsi"/>
        </w:rPr>
        <w:t>, 13, 327-344.</w:t>
      </w:r>
      <w:r w:rsidR="00C265F5">
        <w:rPr>
          <w:rFonts w:eastAsia="Times New Roman" w:cstheme="minorHAnsi"/>
        </w:rPr>
        <w:t xml:space="preserve"> DOI/10.1093/pan/mpi030.</w:t>
      </w:r>
    </w:p>
    <w:p w14:paraId="62D376E5" w14:textId="77777777" w:rsidR="00FF66E7" w:rsidRDefault="00FF66E7" w:rsidP="00FF66E7">
      <w:pPr>
        <w:spacing w:line="480" w:lineRule="auto"/>
      </w:pPr>
    </w:p>
    <w:p w14:paraId="65851C6F" w14:textId="77777777" w:rsidR="00FF66E7" w:rsidRDefault="00FF66E7" w:rsidP="00FF66E7">
      <w:pPr>
        <w:spacing w:line="480" w:lineRule="auto"/>
      </w:pPr>
      <w:r>
        <w:t xml:space="preserve">OECD (2017). </w:t>
      </w:r>
      <w:r>
        <w:rPr>
          <w:i/>
          <w:iCs/>
        </w:rPr>
        <w:t>PISA 2015 Technical Report</w:t>
      </w:r>
      <w:r>
        <w:t xml:space="preserve">. Paris: OECD. </w:t>
      </w:r>
    </w:p>
    <w:p w14:paraId="3EA0C815" w14:textId="77777777" w:rsidR="00FF66E7" w:rsidRDefault="00FF66E7" w:rsidP="00FF66E7">
      <w:pPr>
        <w:spacing w:line="480" w:lineRule="auto"/>
      </w:pPr>
    </w:p>
    <w:p w14:paraId="3928ADD6" w14:textId="06CC2A5F" w:rsidR="00FF66E7" w:rsidRDefault="00FF66E7" w:rsidP="00FF66E7">
      <w:pPr>
        <w:spacing w:line="480" w:lineRule="auto"/>
      </w:pPr>
      <w:r>
        <w:t xml:space="preserve">OECD (2016). </w:t>
      </w:r>
      <w:r w:rsidRPr="007B586C">
        <w:t>PISA 2015 Results (Volume II): Policies and Practices for Successful Schools</w:t>
      </w:r>
      <w:r>
        <w:t xml:space="preserve">. Annex B1.6 Results (tables). </w:t>
      </w:r>
    </w:p>
    <w:p w14:paraId="61822865" w14:textId="59549922" w:rsidR="00B61848" w:rsidRDefault="00B61848" w:rsidP="00FF66E7">
      <w:pPr>
        <w:spacing w:line="480" w:lineRule="auto"/>
      </w:pPr>
    </w:p>
    <w:p w14:paraId="1D83A384" w14:textId="64E4EAB9" w:rsidR="00B61848" w:rsidRDefault="00B61848" w:rsidP="00FF66E7">
      <w:pPr>
        <w:spacing w:line="480" w:lineRule="auto"/>
      </w:pPr>
      <w:r>
        <w:t xml:space="preserve">Reardon, S.F. (2011). The widening academic achievement gap between the rich and the poor: New evidence and possible explanations. In R. Murnane, &amp; G. Duncan (Eds.), </w:t>
      </w:r>
      <w:r>
        <w:rPr>
          <w:i/>
          <w:iCs/>
        </w:rPr>
        <w:t>Whither opportunity? Rising inequality and the uncertain life chances of low-income children</w:t>
      </w:r>
      <w:r>
        <w:t xml:space="preserve">. New York: Russell Sage Foundation. </w:t>
      </w:r>
    </w:p>
    <w:p w14:paraId="3D0DB02C" w14:textId="512C5BAE" w:rsidR="00560127" w:rsidRDefault="00560127" w:rsidP="00FF66E7">
      <w:pPr>
        <w:spacing w:line="480" w:lineRule="auto"/>
      </w:pPr>
    </w:p>
    <w:p w14:paraId="2DC5F7EE" w14:textId="63792436" w:rsidR="00560127" w:rsidRPr="00E22857" w:rsidRDefault="00560127" w:rsidP="00FF66E7">
      <w:pPr>
        <w:spacing w:line="480" w:lineRule="auto"/>
      </w:pPr>
      <w:r>
        <w:t xml:space="preserve">Reardon, S.F. &amp; Portilla, X.A. (2016). Recent trends in income, racial, and ethnic school readiness gaps at kindergarten entry. </w:t>
      </w:r>
      <w:r>
        <w:rPr>
          <w:i/>
          <w:iCs/>
        </w:rPr>
        <w:t>AERA Open 2</w:t>
      </w:r>
      <w:r w:rsidR="00E22857">
        <w:t xml:space="preserve"> (3), 1-18. </w:t>
      </w:r>
      <w:r w:rsidR="00291143">
        <w:t xml:space="preserve">DOI/10.1177/2332858416657343. </w:t>
      </w:r>
    </w:p>
    <w:p w14:paraId="770CE22D" w14:textId="77777777" w:rsidR="00FF66E7" w:rsidRPr="00D70BA3" w:rsidRDefault="00FF66E7" w:rsidP="00FF66E7">
      <w:pPr>
        <w:spacing w:line="480" w:lineRule="auto"/>
      </w:pPr>
    </w:p>
    <w:p w14:paraId="444DD208" w14:textId="77777777" w:rsidR="00FF66E7" w:rsidRPr="00D70BA3" w:rsidRDefault="00FF66E7" w:rsidP="00FF66E7">
      <w:pPr>
        <w:spacing w:line="480" w:lineRule="auto"/>
      </w:pPr>
      <w:r>
        <w:t xml:space="preserve">Scarr-Salapatek, S. (1971). Race, social class, and IQ. </w:t>
      </w:r>
      <w:r>
        <w:rPr>
          <w:i/>
          <w:iCs/>
        </w:rPr>
        <w:t>Science, 174</w:t>
      </w:r>
      <w:r>
        <w:t>, 1285-1295.</w:t>
      </w:r>
    </w:p>
    <w:p w14:paraId="787F5625" w14:textId="77777777" w:rsidR="00FF66E7" w:rsidRDefault="00FF66E7" w:rsidP="00FF66E7">
      <w:pPr>
        <w:spacing w:line="480" w:lineRule="auto"/>
      </w:pPr>
    </w:p>
    <w:p w14:paraId="4818B018" w14:textId="4F2F5754" w:rsidR="00FF66E7" w:rsidRDefault="00FF66E7" w:rsidP="00FF66E7">
      <w:pPr>
        <w:spacing w:line="480" w:lineRule="auto"/>
      </w:pPr>
      <w:r w:rsidRPr="00D70BA3">
        <w:lastRenderedPageBreak/>
        <w:t>Tucker-Drob, E,M., &amp; Bates, T.C. (201</w:t>
      </w:r>
      <w:r>
        <w:t>6</w:t>
      </w:r>
      <w:r w:rsidRPr="00D70BA3">
        <w:t>). Large</w:t>
      </w:r>
      <w:r>
        <w:t xml:space="preserve"> cross-national difference in Gene x Socioeconomic Status interaction on intelligence. </w:t>
      </w:r>
      <w:r>
        <w:rPr>
          <w:i/>
          <w:iCs/>
        </w:rPr>
        <w:t>Psychological Science, 27</w:t>
      </w:r>
      <w:r>
        <w:t>, 138-149.</w:t>
      </w:r>
      <w:r w:rsidR="00291143">
        <w:t xml:space="preserve"> DOI: 10.1177/0956797615612727. </w:t>
      </w:r>
    </w:p>
    <w:p w14:paraId="057F6374" w14:textId="77777777" w:rsidR="00FF66E7" w:rsidRDefault="00FF66E7" w:rsidP="00FF66E7">
      <w:pPr>
        <w:spacing w:line="480" w:lineRule="auto"/>
      </w:pPr>
    </w:p>
    <w:p w14:paraId="0317129D" w14:textId="77777777" w:rsidR="00FF66E7" w:rsidRDefault="00FF66E7" w:rsidP="00FF66E7">
      <w:pPr>
        <w:spacing w:line="480" w:lineRule="auto"/>
      </w:pPr>
      <w:r>
        <w:t xml:space="preserve">United Nations (2019). Human Development Index. </w:t>
      </w:r>
      <w:hyperlink r:id="rId7" w:history="1">
        <w:r w:rsidRPr="001D0BAB">
          <w:rPr>
            <w:rStyle w:val="Hyperlink"/>
          </w:rPr>
          <w:t>http://hdr.undp.org/en/content/human-development-index-hdi</w:t>
        </w:r>
      </w:hyperlink>
      <w:r>
        <w:t>.</w:t>
      </w:r>
    </w:p>
    <w:p w14:paraId="2731D0BA" w14:textId="77777777" w:rsidR="00FF66E7" w:rsidRDefault="00FF66E7" w:rsidP="00FF66E7">
      <w:pPr>
        <w:spacing w:line="480" w:lineRule="auto"/>
      </w:pPr>
    </w:p>
    <w:p w14:paraId="3D8F11E9" w14:textId="6A99EBCE" w:rsidR="00FF66E7" w:rsidRDefault="00FF66E7" w:rsidP="00C7203D">
      <w:pPr>
        <w:spacing w:line="480" w:lineRule="auto"/>
      </w:pPr>
      <w:r>
        <w:t xml:space="preserve">United Nations (2017). </w:t>
      </w:r>
      <w:r w:rsidRPr="003C107E">
        <w:t>http://hdr.undp.org/en/data</w:t>
      </w:r>
      <w:r>
        <w:t>.</w:t>
      </w:r>
    </w:p>
    <w:p w14:paraId="36C0903A" w14:textId="77777777" w:rsidR="00FF66E7" w:rsidRDefault="00FF66E7" w:rsidP="00FF66E7">
      <w:pPr>
        <w:spacing w:line="480" w:lineRule="auto"/>
      </w:pPr>
    </w:p>
    <w:p w14:paraId="1469DE49" w14:textId="647F4DEC" w:rsidR="00FF66E7" w:rsidRPr="00AC58C3" w:rsidRDefault="00FF66E7" w:rsidP="00FF66E7">
      <w:pPr>
        <w:spacing w:line="480" w:lineRule="auto"/>
      </w:pPr>
      <w:r>
        <w:t xml:space="preserve">Woodley, M.A., Pallesen, J., &amp; Sarraf, M.A. (2018). Evidence for the Scarr-Rowe effect on genetic expressivity in a large U.S. sample. </w:t>
      </w:r>
      <w:r>
        <w:rPr>
          <w:i/>
          <w:iCs/>
        </w:rPr>
        <w:t>Twin Research and Human Genetics, 21</w:t>
      </w:r>
      <w:r>
        <w:t>, 495-501.</w:t>
      </w:r>
      <w:r w:rsidR="008E0C28">
        <w:t xml:space="preserve"> DOI:10.1017/thg.2018.63</w:t>
      </w:r>
      <w:r>
        <w:t xml:space="preserve"> </w:t>
      </w:r>
    </w:p>
    <w:p w14:paraId="1F03BA0F" w14:textId="77777777" w:rsidR="00F273DF" w:rsidRDefault="00F273DF" w:rsidP="00E778BD">
      <w:pPr>
        <w:pStyle w:val="ListParagraph"/>
        <w:spacing w:line="480" w:lineRule="auto"/>
        <w:ind w:left="0"/>
      </w:pPr>
    </w:p>
    <w:p w14:paraId="3875CFAC" w14:textId="0E050871" w:rsidR="00551ECE" w:rsidRDefault="00551ECE">
      <w:r>
        <w:br w:type="page"/>
      </w:r>
    </w:p>
    <w:p w14:paraId="72218D25" w14:textId="6B1C8918" w:rsidR="00551ECE" w:rsidRDefault="00551ECE">
      <w:r>
        <w:lastRenderedPageBreak/>
        <w:t>Appendix 1</w:t>
      </w:r>
    </w:p>
    <w:p w14:paraId="40C44B0A" w14:textId="457F9912" w:rsidR="00551ECE" w:rsidRDefault="00551ECE"/>
    <w:tbl>
      <w:tblPr>
        <w:tblW w:w="9020" w:type="dxa"/>
        <w:tblLook w:val="04A0" w:firstRow="1" w:lastRow="0" w:firstColumn="1" w:lastColumn="0" w:noHBand="0" w:noVBand="1"/>
      </w:tblPr>
      <w:tblGrid>
        <w:gridCol w:w="2544"/>
        <w:gridCol w:w="566"/>
        <w:gridCol w:w="843"/>
        <w:gridCol w:w="605"/>
        <w:gridCol w:w="589"/>
        <w:gridCol w:w="602"/>
        <w:gridCol w:w="566"/>
        <w:gridCol w:w="824"/>
        <w:gridCol w:w="744"/>
        <w:gridCol w:w="566"/>
        <w:gridCol w:w="571"/>
      </w:tblGrid>
      <w:tr w:rsidR="00F80FF3" w:rsidRPr="00F80FF3" w14:paraId="3207F079" w14:textId="77777777" w:rsidTr="00F80FF3">
        <w:trPr>
          <w:trHeight w:val="220"/>
        </w:trPr>
        <w:tc>
          <w:tcPr>
            <w:tcW w:w="2620" w:type="dxa"/>
            <w:tcBorders>
              <w:top w:val="nil"/>
              <w:left w:val="nil"/>
              <w:bottom w:val="nil"/>
              <w:right w:val="nil"/>
            </w:tcBorders>
            <w:shd w:val="clear" w:color="auto" w:fill="auto"/>
            <w:noWrap/>
            <w:vAlign w:val="bottom"/>
            <w:hideMark/>
          </w:tcPr>
          <w:p w14:paraId="7965EB35" w14:textId="77777777" w:rsidR="00F80FF3" w:rsidRPr="00F80FF3" w:rsidRDefault="00F80FF3" w:rsidP="00F80FF3">
            <w:pPr>
              <w:rPr>
                <w:rFonts w:ascii="Times New Roman" w:eastAsia="Times New Roman" w:hAnsi="Times New Roman" w:cs="Times New Roman"/>
                <w:b/>
                <w:bCs/>
                <w:color w:val="000000"/>
                <w:sz w:val="16"/>
                <w:szCs w:val="16"/>
                <w:lang w:eastAsia="en-GB"/>
              </w:rPr>
            </w:pPr>
            <w:r w:rsidRPr="00F80FF3">
              <w:rPr>
                <w:rFonts w:ascii="Times New Roman" w:eastAsia="Times New Roman" w:hAnsi="Times New Roman" w:cs="Times New Roman"/>
                <w:b/>
                <w:bCs/>
                <w:color w:val="000000"/>
                <w:sz w:val="16"/>
                <w:szCs w:val="16"/>
                <w:lang w:eastAsia="en-GB"/>
              </w:rPr>
              <w:t>A</w:t>
            </w:r>
          </w:p>
        </w:tc>
        <w:tc>
          <w:tcPr>
            <w:tcW w:w="578" w:type="dxa"/>
            <w:tcBorders>
              <w:top w:val="nil"/>
              <w:left w:val="nil"/>
              <w:bottom w:val="nil"/>
              <w:right w:val="nil"/>
            </w:tcBorders>
            <w:shd w:val="clear" w:color="auto" w:fill="auto"/>
            <w:noWrap/>
            <w:vAlign w:val="bottom"/>
            <w:hideMark/>
          </w:tcPr>
          <w:p w14:paraId="55FD5BFF" w14:textId="77777777" w:rsidR="00F80FF3" w:rsidRPr="00F80FF3" w:rsidRDefault="00F80FF3" w:rsidP="00F80FF3">
            <w:pPr>
              <w:rPr>
                <w:rFonts w:ascii="Times New Roman" w:eastAsia="Times New Roman" w:hAnsi="Times New Roman" w:cs="Times New Roman"/>
                <w:b/>
                <w:bCs/>
                <w:color w:val="000000"/>
                <w:sz w:val="16"/>
                <w:szCs w:val="16"/>
                <w:lang w:eastAsia="en-GB"/>
              </w:rPr>
            </w:pPr>
            <w:r w:rsidRPr="00F80FF3">
              <w:rPr>
                <w:rFonts w:ascii="Times New Roman" w:eastAsia="Times New Roman" w:hAnsi="Times New Roman" w:cs="Times New Roman"/>
                <w:b/>
                <w:bCs/>
                <w:color w:val="000000"/>
                <w:sz w:val="16"/>
                <w:szCs w:val="16"/>
                <w:lang w:eastAsia="en-GB"/>
              </w:rPr>
              <w:t>B</w:t>
            </w:r>
          </w:p>
        </w:tc>
        <w:tc>
          <w:tcPr>
            <w:tcW w:w="864" w:type="dxa"/>
            <w:tcBorders>
              <w:top w:val="nil"/>
              <w:left w:val="nil"/>
              <w:bottom w:val="nil"/>
              <w:right w:val="nil"/>
            </w:tcBorders>
            <w:shd w:val="clear" w:color="auto" w:fill="auto"/>
            <w:noWrap/>
            <w:vAlign w:val="bottom"/>
            <w:hideMark/>
          </w:tcPr>
          <w:p w14:paraId="73BF1655" w14:textId="77777777" w:rsidR="00F80FF3" w:rsidRPr="00F80FF3" w:rsidRDefault="00F80FF3" w:rsidP="00F80FF3">
            <w:pPr>
              <w:rPr>
                <w:rFonts w:ascii="Times New Roman" w:eastAsia="Times New Roman" w:hAnsi="Times New Roman" w:cs="Times New Roman"/>
                <w:b/>
                <w:bCs/>
                <w:color w:val="000000"/>
                <w:sz w:val="16"/>
                <w:szCs w:val="16"/>
                <w:lang w:eastAsia="en-GB"/>
              </w:rPr>
            </w:pPr>
            <w:r w:rsidRPr="00F80FF3">
              <w:rPr>
                <w:rFonts w:ascii="Times New Roman" w:eastAsia="Times New Roman" w:hAnsi="Times New Roman" w:cs="Times New Roman"/>
                <w:b/>
                <w:bCs/>
                <w:color w:val="000000"/>
                <w:sz w:val="16"/>
                <w:szCs w:val="16"/>
                <w:lang w:eastAsia="en-GB"/>
              </w:rPr>
              <w:t>C</w:t>
            </w:r>
          </w:p>
        </w:tc>
        <w:tc>
          <w:tcPr>
            <w:tcW w:w="618" w:type="dxa"/>
            <w:tcBorders>
              <w:top w:val="nil"/>
              <w:left w:val="nil"/>
              <w:bottom w:val="nil"/>
              <w:right w:val="nil"/>
            </w:tcBorders>
            <w:shd w:val="clear" w:color="auto" w:fill="auto"/>
            <w:noWrap/>
            <w:vAlign w:val="bottom"/>
            <w:hideMark/>
          </w:tcPr>
          <w:p w14:paraId="04C8ACC6" w14:textId="77777777" w:rsidR="00F80FF3" w:rsidRPr="00F80FF3" w:rsidRDefault="00F80FF3" w:rsidP="00F80FF3">
            <w:pPr>
              <w:rPr>
                <w:rFonts w:ascii="Times New Roman" w:eastAsia="Times New Roman" w:hAnsi="Times New Roman" w:cs="Times New Roman"/>
                <w:b/>
                <w:bCs/>
                <w:color w:val="000000"/>
                <w:sz w:val="16"/>
                <w:szCs w:val="16"/>
                <w:lang w:eastAsia="en-GB"/>
              </w:rPr>
            </w:pPr>
            <w:r w:rsidRPr="00F80FF3">
              <w:rPr>
                <w:rFonts w:ascii="Times New Roman" w:eastAsia="Times New Roman" w:hAnsi="Times New Roman" w:cs="Times New Roman"/>
                <w:b/>
                <w:bCs/>
                <w:color w:val="000000"/>
                <w:sz w:val="16"/>
                <w:szCs w:val="16"/>
                <w:lang w:eastAsia="en-GB"/>
              </w:rPr>
              <w:t>D</w:t>
            </w:r>
          </w:p>
        </w:tc>
        <w:tc>
          <w:tcPr>
            <w:tcW w:w="601" w:type="dxa"/>
            <w:tcBorders>
              <w:top w:val="nil"/>
              <w:left w:val="nil"/>
              <w:bottom w:val="nil"/>
              <w:right w:val="nil"/>
            </w:tcBorders>
            <w:shd w:val="clear" w:color="auto" w:fill="auto"/>
            <w:noWrap/>
            <w:vAlign w:val="bottom"/>
            <w:hideMark/>
          </w:tcPr>
          <w:p w14:paraId="2198DF01" w14:textId="77777777" w:rsidR="00F80FF3" w:rsidRPr="00F80FF3" w:rsidRDefault="00F80FF3" w:rsidP="00F80FF3">
            <w:pPr>
              <w:rPr>
                <w:rFonts w:ascii="Times New Roman" w:eastAsia="Times New Roman" w:hAnsi="Times New Roman" w:cs="Times New Roman"/>
                <w:b/>
                <w:bCs/>
                <w:color w:val="000000"/>
                <w:sz w:val="16"/>
                <w:szCs w:val="16"/>
                <w:lang w:eastAsia="en-GB"/>
              </w:rPr>
            </w:pPr>
            <w:r w:rsidRPr="00F80FF3">
              <w:rPr>
                <w:rFonts w:ascii="Times New Roman" w:eastAsia="Times New Roman" w:hAnsi="Times New Roman" w:cs="Times New Roman"/>
                <w:b/>
                <w:bCs/>
                <w:color w:val="000000"/>
                <w:sz w:val="16"/>
                <w:szCs w:val="16"/>
                <w:lang w:eastAsia="en-GB"/>
              </w:rPr>
              <w:t>E</w:t>
            </w:r>
          </w:p>
        </w:tc>
        <w:tc>
          <w:tcPr>
            <w:tcW w:w="615" w:type="dxa"/>
            <w:tcBorders>
              <w:top w:val="nil"/>
              <w:left w:val="nil"/>
              <w:bottom w:val="nil"/>
              <w:right w:val="nil"/>
            </w:tcBorders>
            <w:shd w:val="clear" w:color="auto" w:fill="auto"/>
            <w:noWrap/>
            <w:vAlign w:val="bottom"/>
            <w:hideMark/>
          </w:tcPr>
          <w:p w14:paraId="00AFF040" w14:textId="77777777" w:rsidR="00F80FF3" w:rsidRPr="00F80FF3" w:rsidRDefault="00F80FF3" w:rsidP="00F80FF3">
            <w:pPr>
              <w:rPr>
                <w:rFonts w:ascii="Times New Roman" w:eastAsia="Times New Roman" w:hAnsi="Times New Roman" w:cs="Times New Roman"/>
                <w:b/>
                <w:bCs/>
                <w:color w:val="000000"/>
                <w:sz w:val="16"/>
                <w:szCs w:val="16"/>
                <w:lang w:eastAsia="en-GB"/>
              </w:rPr>
            </w:pPr>
            <w:r w:rsidRPr="00F80FF3">
              <w:rPr>
                <w:rFonts w:ascii="Times New Roman" w:eastAsia="Times New Roman" w:hAnsi="Times New Roman" w:cs="Times New Roman"/>
                <w:b/>
                <w:bCs/>
                <w:color w:val="000000"/>
                <w:sz w:val="16"/>
                <w:szCs w:val="16"/>
                <w:lang w:eastAsia="en-GB"/>
              </w:rPr>
              <w:t>F</w:t>
            </w:r>
          </w:p>
        </w:tc>
        <w:tc>
          <w:tcPr>
            <w:tcW w:w="578" w:type="dxa"/>
            <w:tcBorders>
              <w:top w:val="nil"/>
              <w:left w:val="nil"/>
              <w:bottom w:val="nil"/>
              <w:right w:val="nil"/>
            </w:tcBorders>
            <w:shd w:val="clear" w:color="auto" w:fill="auto"/>
            <w:noWrap/>
            <w:vAlign w:val="bottom"/>
            <w:hideMark/>
          </w:tcPr>
          <w:p w14:paraId="78A07447" w14:textId="77777777" w:rsidR="00F80FF3" w:rsidRPr="00F80FF3" w:rsidRDefault="00F80FF3" w:rsidP="00F80FF3">
            <w:pPr>
              <w:rPr>
                <w:rFonts w:ascii="Times New Roman" w:eastAsia="Times New Roman" w:hAnsi="Times New Roman" w:cs="Times New Roman"/>
                <w:b/>
                <w:bCs/>
                <w:color w:val="000000"/>
                <w:sz w:val="16"/>
                <w:szCs w:val="16"/>
                <w:lang w:eastAsia="en-GB"/>
              </w:rPr>
            </w:pPr>
            <w:r w:rsidRPr="00F80FF3">
              <w:rPr>
                <w:rFonts w:ascii="Times New Roman" w:eastAsia="Times New Roman" w:hAnsi="Times New Roman" w:cs="Times New Roman"/>
                <w:b/>
                <w:bCs/>
                <w:color w:val="000000"/>
                <w:sz w:val="16"/>
                <w:szCs w:val="16"/>
                <w:lang w:eastAsia="en-GB"/>
              </w:rPr>
              <w:t>G</w:t>
            </w:r>
          </w:p>
        </w:tc>
        <w:tc>
          <w:tcPr>
            <w:tcW w:w="730" w:type="dxa"/>
            <w:tcBorders>
              <w:top w:val="nil"/>
              <w:left w:val="nil"/>
              <w:bottom w:val="nil"/>
              <w:right w:val="nil"/>
            </w:tcBorders>
            <w:shd w:val="clear" w:color="auto" w:fill="auto"/>
            <w:noWrap/>
            <w:vAlign w:val="bottom"/>
            <w:hideMark/>
          </w:tcPr>
          <w:p w14:paraId="3E99CE5E" w14:textId="77777777" w:rsidR="00F80FF3" w:rsidRPr="00F80FF3" w:rsidRDefault="00F80FF3" w:rsidP="00F80FF3">
            <w:pPr>
              <w:rPr>
                <w:rFonts w:ascii="Times New Roman" w:eastAsia="Times New Roman" w:hAnsi="Times New Roman" w:cs="Times New Roman"/>
                <w:b/>
                <w:bCs/>
                <w:color w:val="000000"/>
                <w:sz w:val="16"/>
                <w:szCs w:val="16"/>
                <w:lang w:eastAsia="en-GB"/>
              </w:rPr>
            </w:pPr>
            <w:r w:rsidRPr="00F80FF3">
              <w:rPr>
                <w:rFonts w:ascii="Times New Roman" w:eastAsia="Times New Roman" w:hAnsi="Times New Roman" w:cs="Times New Roman"/>
                <w:b/>
                <w:bCs/>
                <w:color w:val="000000"/>
                <w:sz w:val="16"/>
                <w:szCs w:val="16"/>
                <w:lang w:eastAsia="en-GB"/>
              </w:rPr>
              <w:t>H</w:t>
            </w:r>
          </w:p>
        </w:tc>
        <w:tc>
          <w:tcPr>
            <w:tcW w:w="660" w:type="dxa"/>
            <w:tcBorders>
              <w:top w:val="nil"/>
              <w:left w:val="nil"/>
              <w:bottom w:val="nil"/>
              <w:right w:val="nil"/>
            </w:tcBorders>
            <w:shd w:val="clear" w:color="auto" w:fill="auto"/>
            <w:noWrap/>
            <w:vAlign w:val="bottom"/>
            <w:hideMark/>
          </w:tcPr>
          <w:p w14:paraId="2D8EB3DB" w14:textId="77777777" w:rsidR="00F80FF3" w:rsidRPr="00F80FF3" w:rsidRDefault="00F80FF3" w:rsidP="00F80FF3">
            <w:pPr>
              <w:rPr>
                <w:rFonts w:ascii="Times New Roman" w:eastAsia="Times New Roman" w:hAnsi="Times New Roman" w:cs="Times New Roman"/>
                <w:b/>
                <w:bCs/>
                <w:color w:val="000000"/>
                <w:sz w:val="16"/>
                <w:szCs w:val="16"/>
                <w:lang w:eastAsia="en-GB"/>
              </w:rPr>
            </w:pPr>
            <w:r w:rsidRPr="00F80FF3">
              <w:rPr>
                <w:rFonts w:ascii="Times New Roman" w:eastAsia="Times New Roman" w:hAnsi="Times New Roman" w:cs="Times New Roman"/>
                <w:b/>
                <w:bCs/>
                <w:color w:val="000000"/>
                <w:sz w:val="16"/>
                <w:szCs w:val="16"/>
                <w:lang w:eastAsia="en-GB"/>
              </w:rPr>
              <w:t>I</w:t>
            </w:r>
          </w:p>
        </w:tc>
        <w:tc>
          <w:tcPr>
            <w:tcW w:w="578" w:type="dxa"/>
            <w:tcBorders>
              <w:top w:val="nil"/>
              <w:left w:val="nil"/>
              <w:bottom w:val="nil"/>
              <w:right w:val="nil"/>
            </w:tcBorders>
            <w:shd w:val="clear" w:color="auto" w:fill="auto"/>
            <w:noWrap/>
            <w:vAlign w:val="bottom"/>
            <w:hideMark/>
          </w:tcPr>
          <w:p w14:paraId="5696ABE1" w14:textId="77777777" w:rsidR="00F80FF3" w:rsidRPr="00F80FF3" w:rsidRDefault="00F80FF3" w:rsidP="00F80FF3">
            <w:pPr>
              <w:rPr>
                <w:rFonts w:ascii="Times New Roman" w:eastAsia="Times New Roman" w:hAnsi="Times New Roman" w:cs="Times New Roman"/>
                <w:b/>
                <w:bCs/>
                <w:color w:val="000000"/>
                <w:sz w:val="16"/>
                <w:szCs w:val="16"/>
                <w:lang w:eastAsia="en-GB"/>
              </w:rPr>
            </w:pPr>
            <w:r w:rsidRPr="00F80FF3">
              <w:rPr>
                <w:rFonts w:ascii="Times New Roman" w:eastAsia="Times New Roman" w:hAnsi="Times New Roman" w:cs="Times New Roman"/>
                <w:b/>
                <w:bCs/>
                <w:color w:val="000000"/>
                <w:sz w:val="16"/>
                <w:szCs w:val="16"/>
                <w:lang w:eastAsia="en-GB"/>
              </w:rPr>
              <w:t>J</w:t>
            </w:r>
          </w:p>
        </w:tc>
        <w:tc>
          <w:tcPr>
            <w:tcW w:w="578" w:type="dxa"/>
            <w:tcBorders>
              <w:top w:val="nil"/>
              <w:left w:val="nil"/>
              <w:bottom w:val="nil"/>
              <w:right w:val="nil"/>
            </w:tcBorders>
            <w:shd w:val="clear" w:color="auto" w:fill="auto"/>
            <w:noWrap/>
            <w:vAlign w:val="bottom"/>
            <w:hideMark/>
          </w:tcPr>
          <w:p w14:paraId="6D4CAFFA" w14:textId="77777777" w:rsidR="00F80FF3" w:rsidRPr="00F80FF3" w:rsidRDefault="00F80FF3" w:rsidP="00F80FF3">
            <w:pPr>
              <w:rPr>
                <w:rFonts w:ascii="Times New Roman" w:eastAsia="Times New Roman" w:hAnsi="Times New Roman" w:cs="Times New Roman"/>
                <w:b/>
                <w:bCs/>
                <w:color w:val="000000"/>
                <w:sz w:val="16"/>
                <w:szCs w:val="16"/>
                <w:lang w:eastAsia="en-GB"/>
              </w:rPr>
            </w:pPr>
            <w:r w:rsidRPr="00F80FF3">
              <w:rPr>
                <w:rFonts w:ascii="Times New Roman" w:eastAsia="Times New Roman" w:hAnsi="Times New Roman" w:cs="Times New Roman"/>
                <w:b/>
                <w:bCs/>
                <w:color w:val="000000"/>
                <w:sz w:val="16"/>
                <w:szCs w:val="16"/>
                <w:lang w:eastAsia="en-GB"/>
              </w:rPr>
              <w:t>K</w:t>
            </w:r>
          </w:p>
        </w:tc>
      </w:tr>
      <w:tr w:rsidR="00F80FF3" w:rsidRPr="00F80FF3" w14:paraId="5BAAA114" w14:textId="77777777" w:rsidTr="00F80FF3">
        <w:trPr>
          <w:trHeight w:val="180"/>
        </w:trPr>
        <w:tc>
          <w:tcPr>
            <w:tcW w:w="2620" w:type="dxa"/>
            <w:tcBorders>
              <w:top w:val="nil"/>
              <w:left w:val="nil"/>
              <w:bottom w:val="nil"/>
              <w:right w:val="nil"/>
            </w:tcBorders>
            <w:shd w:val="clear" w:color="auto" w:fill="auto"/>
            <w:noWrap/>
            <w:vAlign w:val="bottom"/>
            <w:hideMark/>
          </w:tcPr>
          <w:p w14:paraId="75A12619" w14:textId="77777777" w:rsidR="00F80FF3" w:rsidRPr="00F80FF3" w:rsidRDefault="00F80FF3" w:rsidP="00F80FF3">
            <w:pPr>
              <w:rPr>
                <w:rFonts w:ascii="Times New Roman" w:eastAsia="Times New Roman" w:hAnsi="Times New Roman" w:cs="Times New Roman"/>
                <w:b/>
                <w:bCs/>
                <w:color w:val="000000"/>
                <w:sz w:val="10"/>
                <w:szCs w:val="10"/>
                <w:lang w:eastAsia="en-GB"/>
              </w:rPr>
            </w:pPr>
            <w:r w:rsidRPr="00F80FF3">
              <w:rPr>
                <w:rFonts w:ascii="Times New Roman" w:eastAsia="Times New Roman" w:hAnsi="Times New Roman" w:cs="Times New Roman"/>
                <w:b/>
                <w:bCs/>
                <w:color w:val="000000"/>
                <w:sz w:val="10"/>
                <w:szCs w:val="10"/>
                <w:lang w:eastAsia="en-GB"/>
              </w:rPr>
              <w:t>Country</w:t>
            </w:r>
          </w:p>
        </w:tc>
        <w:tc>
          <w:tcPr>
            <w:tcW w:w="578" w:type="dxa"/>
            <w:tcBorders>
              <w:top w:val="nil"/>
              <w:left w:val="nil"/>
              <w:bottom w:val="nil"/>
              <w:right w:val="nil"/>
            </w:tcBorders>
            <w:shd w:val="clear" w:color="auto" w:fill="auto"/>
            <w:noWrap/>
            <w:vAlign w:val="bottom"/>
            <w:hideMark/>
          </w:tcPr>
          <w:p w14:paraId="423F8C9C" w14:textId="77777777" w:rsidR="00F80FF3" w:rsidRPr="00F80FF3" w:rsidRDefault="00F80FF3" w:rsidP="00F80FF3">
            <w:pPr>
              <w:rPr>
                <w:rFonts w:ascii="Times New Roman" w:eastAsia="Times New Roman" w:hAnsi="Times New Roman" w:cs="Times New Roman"/>
                <w:b/>
                <w:bCs/>
                <w:color w:val="000000"/>
                <w:sz w:val="10"/>
                <w:szCs w:val="10"/>
                <w:lang w:eastAsia="en-GB"/>
              </w:rPr>
            </w:pPr>
            <w:r w:rsidRPr="00F80FF3">
              <w:rPr>
                <w:rFonts w:ascii="Times New Roman" w:eastAsia="Times New Roman" w:hAnsi="Times New Roman" w:cs="Times New Roman"/>
                <w:b/>
                <w:bCs/>
                <w:color w:val="000000"/>
                <w:sz w:val="10"/>
                <w:szCs w:val="10"/>
                <w:lang w:eastAsia="en-GB"/>
              </w:rPr>
              <w:t>UNHDI</w:t>
            </w:r>
          </w:p>
        </w:tc>
        <w:tc>
          <w:tcPr>
            <w:tcW w:w="864" w:type="dxa"/>
            <w:tcBorders>
              <w:top w:val="nil"/>
              <w:left w:val="nil"/>
              <w:bottom w:val="nil"/>
              <w:right w:val="nil"/>
            </w:tcBorders>
            <w:shd w:val="clear" w:color="auto" w:fill="auto"/>
            <w:noWrap/>
            <w:vAlign w:val="bottom"/>
            <w:hideMark/>
          </w:tcPr>
          <w:p w14:paraId="1B021C82" w14:textId="77777777" w:rsidR="00F80FF3" w:rsidRPr="00F80FF3" w:rsidRDefault="00F80FF3" w:rsidP="00F80FF3">
            <w:pPr>
              <w:rPr>
                <w:rFonts w:ascii="Times New Roman" w:eastAsia="Times New Roman" w:hAnsi="Times New Roman" w:cs="Times New Roman"/>
                <w:b/>
                <w:bCs/>
                <w:color w:val="000000"/>
                <w:sz w:val="10"/>
                <w:szCs w:val="10"/>
                <w:lang w:eastAsia="en-GB"/>
              </w:rPr>
            </w:pPr>
            <w:r w:rsidRPr="00F80FF3">
              <w:rPr>
                <w:rFonts w:ascii="Times New Roman" w:eastAsia="Times New Roman" w:hAnsi="Times New Roman" w:cs="Times New Roman"/>
                <w:b/>
                <w:bCs/>
                <w:color w:val="000000"/>
                <w:sz w:val="10"/>
                <w:szCs w:val="10"/>
                <w:lang w:eastAsia="en-GB"/>
              </w:rPr>
              <w:t>Educ. Spend $</w:t>
            </w:r>
          </w:p>
        </w:tc>
        <w:tc>
          <w:tcPr>
            <w:tcW w:w="618" w:type="dxa"/>
            <w:tcBorders>
              <w:top w:val="nil"/>
              <w:left w:val="nil"/>
              <w:bottom w:val="nil"/>
              <w:right w:val="nil"/>
            </w:tcBorders>
            <w:shd w:val="clear" w:color="auto" w:fill="auto"/>
            <w:noWrap/>
            <w:vAlign w:val="bottom"/>
            <w:hideMark/>
          </w:tcPr>
          <w:p w14:paraId="3B0C66EB" w14:textId="77777777" w:rsidR="00F80FF3" w:rsidRPr="00F80FF3" w:rsidRDefault="00F80FF3" w:rsidP="00F80FF3">
            <w:pPr>
              <w:rPr>
                <w:rFonts w:ascii="Times New Roman" w:eastAsia="Times New Roman" w:hAnsi="Times New Roman" w:cs="Times New Roman"/>
                <w:b/>
                <w:bCs/>
                <w:color w:val="000000"/>
                <w:sz w:val="10"/>
                <w:szCs w:val="10"/>
                <w:lang w:eastAsia="en-GB"/>
              </w:rPr>
            </w:pPr>
            <w:r w:rsidRPr="00F80FF3">
              <w:rPr>
                <w:rFonts w:ascii="Times New Roman" w:eastAsia="Times New Roman" w:hAnsi="Times New Roman" w:cs="Times New Roman"/>
                <w:b/>
                <w:bCs/>
                <w:color w:val="000000"/>
                <w:sz w:val="10"/>
                <w:szCs w:val="10"/>
                <w:lang w:eastAsia="en-GB"/>
              </w:rPr>
              <w:t>Country MARA</w:t>
            </w:r>
          </w:p>
        </w:tc>
        <w:tc>
          <w:tcPr>
            <w:tcW w:w="601" w:type="dxa"/>
            <w:tcBorders>
              <w:top w:val="nil"/>
              <w:left w:val="nil"/>
              <w:bottom w:val="nil"/>
              <w:right w:val="nil"/>
            </w:tcBorders>
            <w:shd w:val="clear" w:color="auto" w:fill="auto"/>
            <w:noWrap/>
            <w:vAlign w:val="bottom"/>
            <w:hideMark/>
          </w:tcPr>
          <w:p w14:paraId="65D507FB" w14:textId="77777777" w:rsidR="00F80FF3" w:rsidRPr="00F80FF3" w:rsidRDefault="00F80FF3" w:rsidP="00F80FF3">
            <w:pPr>
              <w:rPr>
                <w:rFonts w:ascii="Times New Roman" w:eastAsia="Times New Roman" w:hAnsi="Times New Roman" w:cs="Times New Roman"/>
                <w:b/>
                <w:bCs/>
                <w:color w:val="000000"/>
                <w:sz w:val="10"/>
                <w:szCs w:val="10"/>
                <w:lang w:eastAsia="en-GB"/>
              </w:rPr>
            </w:pPr>
            <w:r w:rsidRPr="00F80FF3">
              <w:rPr>
                <w:rFonts w:ascii="Times New Roman" w:eastAsia="Times New Roman" w:hAnsi="Times New Roman" w:cs="Times New Roman"/>
                <w:b/>
                <w:bCs/>
                <w:color w:val="000000"/>
                <w:sz w:val="10"/>
                <w:szCs w:val="10"/>
                <w:lang w:eastAsia="en-GB"/>
              </w:rPr>
              <w:t>Med Ed MARA</w:t>
            </w:r>
          </w:p>
        </w:tc>
        <w:tc>
          <w:tcPr>
            <w:tcW w:w="615" w:type="dxa"/>
            <w:tcBorders>
              <w:top w:val="nil"/>
              <w:left w:val="nil"/>
              <w:bottom w:val="nil"/>
              <w:right w:val="nil"/>
            </w:tcBorders>
            <w:shd w:val="clear" w:color="auto" w:fill="auto"/>
            <w:noWrap/>
            <w:vAlign w:val="bottom"/>
            <w:hideMark/>
          </w:tcPr>
          <w:p w14:paraId="38A01461" w14:textId="77777777" w:rsidR="00F80FF3" w:rsidRPr="00F80FF3" w:rsidRDefault="00F80FF3" w:rsidP="00F80FF3">
            <w:pPr>
              <w:rPr>
                <w:rFonts w:ascii="Times New Roman" w:eastAsia="Times New Roman" w:hAnsi="Times New Roman" w:cs="Times New Roman"/>
                <w:b/>
                <w:bCs/>
                <w:color w:val="000000"/>
                <w:sz w:val="10"/>
                <w:szCs w:val="10"/>
                <w:lang w:eastAsia="en-GB"/>
              </w:rPr>
            </w:pPr>
            <w:r w:rsidRPr="00F80FF3">
              <w:rPr>
                <w:rFonts w:ascii="Times New Roman" w:eastAsia="Times New Roman" w:hAnsi="Times New Roman" w:cs="Times New Roman"/>
                <w:b/>
                <w:bCs/>
                <w:color w:val="000000"/>
                <w:sz w:val="10"/>
                <w:szCs w:val="10"/>
                <w:lang w:eastAsia="en-GB"/>
              </w:rPr>
              <w:t>High Ed MARA</w:t>
            </w:r>
          </w:p>
        </w:tc>
        <w:tc>
          <w:tcPr>
            <w:tcW w:w="578" w:type="dxa"/>
            <w:tcBorders>
              <w:top w:val="nil"/>
              <w:left w:val="nil"/>
              <w:bottom w:val="nil"/>
              <w:right w:val="nil"/>
            </w:tcBorders>
            <w:shd w:val="clear" w:color="auto" w:fill="auto"/>
            <w:noWrap/>
            <w:vAlign w:val="bottom"/>
            <w:hideMark/>
          </w:tcPr>
          <w:p w14:paraId="703AB22A" w14:textId="77777777" w:rsidR="00F80FF3" w:rsidRPr="00F80FF3" w:rsidRDefault="00F80FF3" w:rsidP="00F80FF3">
            <w:pPr>
              <w:rPr>
                <w:rFonts w:ascii="Times New Roman" w:eastAsia="Times New Roman" w:hAnsi="Times New Roman" w:cs="Times New Roman"/>
                <w:b/>
                <w:bCs/>
                <w:color w:val="000000"/>
                <w:sz w:val="10"/>
                <w:szCs w:val="10"/>
                <w:lang w:eastAsia="en-GB"/>
              </w:rPr>
            </w:pPr>
            <w:r w:rsidRPr="00F80FF3">
              <w:rPr>
                <w:rFonts w:ascii="Times New Roman" w:eastAsia="Times New Roman" w:hAnsi="Times New Roman" w:cs="Times New Roman"/>
                <w:b/>
                <w:bCs/>
                <w:color w:val="000000"/>
                <w:sz w:val="10"/>
                <w:szCs w:val="10"/>
                <w:lang w:eastAsia="en-GB"/>
              </w:rPr>
              <w:t>Df Ed MARA</w:t>
            </w:r>
          </w:p>
        </w:tc>
        <w:tc>
          <w:tcPr>
            <w:tcW w:w="730" w:type="dxa"/>
            <w:tcBorders>
              <w:top w:val="nil"/>
              <w:left w:val="nil"/>
              <w:bottom w:val="nil"/>
              <w:right w:val="nil"/>
            </w:tcBorders>
            <w:shd w:val="clear" w:color="auto" w:fill="auto"/>
            <w:noWrap/>
            <w:vAlign w:val="bottom"/>
            <w:hideMark/>
          </w:tcPr>
          <w:p w14:paraId="16D1E8CD" w14:textId="77777777" w:rsidR="00F80FF3" w:rsidRPr="00F80FF3" w:rsidRDefault="00F80FF3" w:rsidP="00F80FF3">
            <w:pPr>
              <w:rPr>
                <w:rFonts w:ascii="Times New Roman" w:eastAsia="Times New Roman" w:hAnsi="Times New Roman" w:cs="Times New Roman"/>
                <w:b/>
                <w:bCs/>
                <w:color w:val="000000"/>
                <w:sz w:val="10"/>
                <w:szCs w:val="10"/>
                <w:lang w:eastAsia="en-GB"/>
              </w:rPr>
            </w:pPr>
            <w:r w:rsidRPr="00F80FF3">
              <w:rPr>
                <w:rFonts w:ascii="Times New Roman" w:eastAsia="Times New Roman" w:hAnsi="Times New Roman" w:cs="Times New Roman"/>
                <w:b/>
                <w:bCs/>
                <w:color w:val="000000"/>
                <w:sz w:val="10"/>
                <w:szCs w:val="10"/>
                <w:lang w:eastAsia="en-GB"/>
              </w:rPr>
              <w:t>Dad LMJobMARA</w:t>
            </w:r>
          </w:p>
        </w:tc>
        <w:tc>
          <w:tcPr>
            <w:tcW w:w="660" w:type="dxa"/>
            <w:tcBorders>
              <w:top w:val="nil"/>
              <w:left w:val="nil"/>
              <w:bottom w:val="nil"/>
              <w:right w:val="nil"/>
            </w:tcBorders>
            <w:shd w:val="clear" w:color="auto" w:fill="auto"/>
            <w:noWrap/>
            <w:vAlign w:val="bottom"/>
            <w:hideMark/>
          </w:tcPr>
          <w:p w14:paraId="0DDCB78C" w14:textId="77777777" w:rsidR="00F80FF3" w:rsidRPr="00F80FF3" w:rsidRDefault="00F80FF3" w:rsidP="00F80FF3">
            <w:pPr>
              <w:rPr>
                <w:rFonts w:ascii="Times New Roman" w:eastAsia="Times New Roman" w:hAnsi="Times New Roman" w:cs="Times New Roman"/>
                <w:b/>
                <w:bCs/>
                <w:color w:val="000000"/>
                <w:sz w:val="10"/>
                <w:szCs w:val="10"/>
                <w:lang w:eastAsia="en-GB"/>
              </w:rPr>
            </w:pPr>
            <w:r w:rsidRPr="00F80FF3">
              <w:rPr>
                <w:rFonts w:ascii="Times New Roman" w:eastAsia="Times New Roman" w:hAnsi="Times New Roman" w:cs="Times New Roman"/>
                <w:b/>
                <w:bCs/>
                <w:color w:val="000000"/>
                <w:sz w:val="10"/>
                <w:szCs w:val="10"/>
                <w:lang w:eastAsia="en-GB"/>
              </w:rPr>
              <w:t>Dad HJobMARA</w:t>
            </w:r>
          </w:p>
        </w:tc>
        <w:tc>
          <w:tcPr>
            <w:tcW w:w="578" w:type="dxa"/>
            <w:tcBorders>
              <w:top w:val="nil"/>
              <w:left w:val="nil"/>
              <w:bottom w:val="nil"/>
              <w:right w:val="nil"/>
            </w:tcBorders>
            <w:shd w:val="clear" w:color="auto" w:fill="auto"/>
            <w:noWrap/>
            <w:vAlign w:val="bottom"/>
            <w:hideMark/>
          </w:tcPr>
          <w:p w14:paraId="677A3CBD" w14:textId="77777777" w:rsidR="00F80FF3" w:rsidRPr="00F80FF3" w:rsidRDefault="00F80FF3" w:rsidP="00F80FF3">
            <w:pPr>
              <w:rPr>
                <w:rFonts w:ascii="Times New Roman" w:eastAsia="Times New Roman" w:hAnsi="Times New Roman" w:cs="Times New Roman"/>
                <w:b/>
                <w:bCs/>
                <w:color w:val="000000"/>
                <w:sz w:val="10"/>
                <w:szCs w:val="10"/>
                <w:lang w:eastAsia="en-GB"/>
              </w:rPr>
            </w:pPr>
            <w:r w:rsidRPr="00F80FF3">
              <w:rPr>
                <w:rFonts w:ascii="Times New Roman" w:eastAsia="Times New Roman" w:hAnsi="Times New Roman" w:cs="Times New Roman"/>
                <w:b/>
                <w:bCs/>
                <w:color w:val="000000"/>
                <w:sz w:val="10"/>
                <w:szCs w:val="10"/>
                <w:lang w:eastAsia="en-GB"/>
              </w:rPr>
              <w:t>Df Job MARA</w:t>
            </w:r>
          </w:p>
        </w:tc>
        <w:tc>
          <w:tcPr>
            <w:tcW w:w="578" w:type="dxa"/>
            <w:tcBorders>
              <w:top w:val="nil"/>
              <w:left w:val="nil"/>
              <w:bottom w:val="nil"/>
              <w:right w:val="nil"/>
            </w:tcBorders>
            <w:shd w:val="clear" w:color="auto" w:fill="auto"/>
            <w:noWrap/>
            <w:vAlign w:val="bottom"/>
            <w:hideMark/>
          </w:tcPr>
          <w:p w14:paraId="5779186B" w14:textId="77777777" w:rsidR="00F80FF3" w:rsidRPr="00F80FF3" w:rsidRDefault="00F80FF3" w:rsidP="00F80FF3">
            <w:pPr>
              <w:rPr>
                <w:rFonts w:ascii="Times New Roman" w:eastAsia="Times New Roman" w:hAnsi="Times New Roman" w:cs="Times New Roman"/>
                <w:b/>
                <w:bCs/>
                <w:color w:val="000000"/>
                <w:sz w:val="10"/>
                <w:szCs w:val="10"/>
                <w:lang w:eastAsia="en-GB"/>
              </w:rPr>
            </w:pPr>
            <w:r w:rsidRPr="00F80FF3">
              <w:rPr>
                <w:rFonts w:ascii="Times New Roman" w:eastAsia="Times New Roman" w:hAnsi="Times New Roman" w:cs="Times New Roman"/>
                <w:b/>
                <w:bCs/>
                <w:color w:val="000000"/>
                <w:sz w:val="10"/>
                <w:szCs w:val="10"/>
                <w:lang w:eastAsia="en-GB"/>
              </w:rPr>
              <w:t>SDMara</w:t>
            </w:r>
          </w:p>
        </w:tc>
      </w:tr>
      <w:tr w:rsidR="00F80FF3" w:rsidRPr="00F80FF3" w14:paraId="3B5AFF2A" w14:textId="77777777" w:rsidTr="00F80FF3">
        <w:trPr>
          <w:trHeight w:val="320"/>
        </w:trPr>
        <w:tc>
          <w:tcPr>
            <w:tcW w:w="2620" w:type="dxa"/>
            <w:tcBorders>
              <w:top w:val="nil"/>
              <w:left w:val="nil"/>
              <w:bottom w:val="nil"/>
              <w:right w:val="nil"/>
            </w:tcBorders>
            <w:shd w:val="clear" w:color="auto" w:fill="auto"/>
            <w:noWrap/>
            <w:vAlign w:val="bottom"/>
            <w:hideMark/>
          </w:tcPr>
          <w:p w14:paraId="3BF25ECC"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Algeria</w:t>
            </w:r>
          </w:p>
        </w:tc>
        <w:tc>
          <w:tcPr>
            <w:tcW w:w="578" w:type="dxa"/>
            <w:tcBorders>
              <w:top w:val="nil"/>
              <w:left w:val="nil"/>
              <w:bottom w:val="nil"/>
              <w:right w:val="nil"/>
            </w:tcBorders>
            <w:shd w:val="clear" w:color="auto" w:fill="auto"/>
            <w:noWrap/>
            <w:vAlign w:val="bottom"/>
            <w:hideMark/>
          </w:tcPr>
          <w:p w14:paraId="5C2B8C7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0.754</w:t>
            </w:r>
          </w:p>
        </w:tc>
        <w:tc>
          <w:tcPr>
            <w:tcW w:w="864" w:type="dxa"/>
            <w:tcBorders>
              <w:top w:val="nil"/>
              <w:left w:val="nil"/>
              <w:bottom w:val="nil"/>
              <w:right w:val="nil"/>
            </w:tcBorders>
            <w:shd w:val="clear" w:color="auto" w:fill="auto"/>
            <w:noWrap/>
            <w:vAlign w:val="bottom"/>
            <w:hideMark/>
          </w:tcPr>
          <w:p w14:paraId="0DB9126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100359A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-1.036</w:t>
            </w:r>
          </w:p>
        </w:tc>
        <w:tc>
          <w:tcPr>
            <w:tcW w:w="601" w:type="dxa"/>
            <w:tcBorders>
              <w:top w:val="nil"/>
              <w:left w:val="nil"/>
              <w:bottom w:val="nil"/>
              <w:right w:val="nil"/>
            </w:tcBorders>
            <w:shd w:val="clear" w:color="auto" w:fill="auto"/>
            <w:noWrap/>
            <w:vAlign w:val="bottom"/>
            <w:hideMark/>
          </w:tcPr>
          <w:p w14:paraId="6B930E8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-0.879</w:t>
            </w:r>
          </w:p>
        </w:tc>
        <w:tc>
          <w:tcPr>
            <w:tcW w:w="615" w:type="dxa"/>
            <w:tcBorders>
              <w:top w:val="nil"/>
              <w:left w:val="nil"/>
              <w:bottom w:val="nil"/>
              <w:right w:val="nil"/>
            </w:tcBorders>
            <w:shd w:val="clear" w:color="auto" w:fill="auto"/>
            <w:noWrap/>
            <w:vAlign w:val="bottom"/>
            <w:hideMark/>
          </w:tcPr>
          <w:p w14:paraId="03A1D12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-1.026</w:t>
            </w:r>
          </w:p>
        </w:tc>
        <w:tc>
          <w:tcPr>
            <w:tcW w:w="578" w:type="dxa"/>
            <w:tcBorders>
              <w:top w:val="nil"/>
              <w:left w:val="nil"/>
              <w:bottom w:val="nil"/>
              <w:right w:val="nil"/>
            </w:tcBorders>
            <w:shd w:val="clear" w:color="auto" w:fill="auto"/>
            <w:noWrap/>
            <w:vAlign w:val="bottom"/>
            <w:hideMark/>
          </w:tcPr>
          <w:p w14:paraId="71E172F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-0.147</w:t>
            </w:r>
          </w:p>
        </w:tc>
        <w:tc>
          <w:tcPr>
            <w:tcW w:w="730" w:type="dxa"/>
            <w:tcBorders>
              <w:top w:val="nil"/>
              <w:left w:val="nil"/>
              <w:bottom w:val="nil"/>
              <w:right w:val="nil"/>
            </w:tcBorders>
            <w:shd w:val="clear" w:color="auto" w:fill="auto"/>
            <w:noWrap/>
            <w:vAlign w:val="bottom"/>
            <w:hideMark/>
          </w:tcPr>
          <w:p w14:paraId="7103AD7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-1.056</w:t>
            </w:r>
          </w:p>
        </w:tc>
        <w:tc>
          <w:tcPr>
            <w:tcW w:w="660" w:type="dxa"/>
            <w:tcBorders>
              <w:top w:val="nil"/>
              <w:left w:val="nil"/>
              <w:bottom w:val="nil"/>
              <w:right w:val="nil"/>
            </w:tcBorders>
            <w:shd w:val="clear" w:color="auto" w:fill="auto"/>
            <w:noWrap/>
            <w:vAlign w:val="bottom"/>
            <w:hideMark/>
          </w:tcPr>
          <w:p w14:paraId="3521A7E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-0.744</w:t>
            </w:r>
          </w:p>
        </w:tc>
        <w:tc>
          <w:tcPr>
            <w:tcW w:w="578" w:type="dxa"/>
            <w:tcBorders>
              <w:top w:val="nil"/>
              <w:left w:val="nil"/>
              <w:bottom w:val="nil"/>
              <w:right w:val="nil"/>
            </w:tcBorders>
            <w:shd w:val="clear" w:color="auto" w:fill="auto"/>
            <w:noWrap/>
            <w:vAlign w:val="bottom"/>
            <w:hideMark/>
          </w:tcPr>
          <w:p w14:paraId="67326F3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0.312</w:t>
            </w:r>
          </w:p>
        </w:tc>
        <w:tc>
          <w:tcPr>
            <w:tcW w:w="578" w:type="dxa"/>
            <w:tcBorders>
              <w:top w:val="nil"/>
              <w:left w:val="nil"/>
              <w:bottom w:val="nil"/>
              <w:right w:val="nil"/>
            </w:tcBorders>
            <w:shd w:val="clear" w:color="auto" w:fill="auto"/>
            <w:noWrap/>
            <w:vAlign w:val="bottom"/>
            <w:hideMark/>
          </w:tcPr>
          <w:p w14:paraId="14E1F40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0.605</w:t>
            </w:r>
          </w:p>
        </w:tc>
      </w:tr>
      <w:tr w:rsidR="00F80FF3" w:rsidRPr="00F80FF3" w14:paraId="0B04E382" w14:textId="77777777" w:rsidTr="00F80FF3">
        <w:trPr>
          <w:trHeight w:val="320"/>
        </w:trPr>
        <w:tc>
          <w:tcPr>
            <w:tcW w:w="2620" w:type="dxa"/>
            <w:tcBorders>
              <w:top w:val="nil"/>
              <w:left w:val="nil"/>
              <w:bottom w:val="nil"/>
              <w:right w:val="nil"/>
            </w:tcBorders>
            <w:shd w:val="clear" w:color="auto" w:fill="auto"/>
            <w:noWrap/>
            <w:vAlign w:val="bottom"/>
            <w:hideMark/>
          </w:tcPr>
          <w:p w14:paraId="2CFBD390"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Australia</w:t>
            </w:r>
          </w:p>
        </w:tc>
        <w:tc>
          <w:tcPr>
            <w:tcW w:w="578" w:type="dxa"/>
            <w:tcBorders>
              <w:top w:val="nil"/>
              <w:left w:val="nil"/>
              <w:bottom w:val="nil"/>
              <w:right w:val="nil"/>
            </w:tcBorders>
            <w:shd w:val="clear" w:color="auto" w:fill="auto"/>
            <w:noWrap/>
            <w:vAlign w:val="bottom"/>
            <w:hideMark/>
          </w:tcPr>
          <w:p w14:paraId="53F004F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0.939</w:t>
            </w:r>
          </w:p>
        </w:tc>
        <w:tc>
          <w:tcPr>
            <w:tcW w:w="864" w:type="dxa"/>
            <w:tcBorders>
              <w:top w:val="nil"/>
              <w:left w:val="single" w:sz="4" w:space="0" w:color="auto"/>
              <w:bottom w:val="nil"/>
              <w:right w:val="single" w:sz="8" w:space="0" w:color="auto"/>
            </w:tcBorders>
            <w:shd w:val="clear" w:color="auto" w:fill="auto"/>
            <w:noWrap/>
            <w:vAlign w:val="bottom"/>
            <w:hideMark/>
          </w:tcPr>
          <w:p w14:paraId="39FB66C6"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92316</w:t>
            </w:r>
          </w:p>
        </w:tc>
        <w:tc>
          <w:tcPr>
            <w:tcW w:w="618" w:type="dxa"/>
            <w:tcBorders>
              <w:top w:val="nil"/>
              <w:left w:val="nil"/>
              <w:bottom w:val="nil"/>
              <w:right w:val="nil"/>
            </w:tcBorders>
            <w:shd w:val="clear" w:color="auto" w:fill="auto"/>
            <w:noWrap/>
            <w:vAlign w:val="bottom"/>
            <w:hideMark/>
          </w:tcPr>
          <w:p w14:paraId="7CA29B1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0.491</w:t>
            </w:r>
          </w:p>
        </w:tc>
        <w:tc>
          <w:tcPr>
            <w:tcW w:w="601" w:type="dxa"/>
            <w:tcBorders>
              <w:top w:val="nil"/>
              <w:left w:val="nil"/>
              <w:bottom w:val="nil"/>
              <w:right w:val="nil"/>
            </w:tcBorders>
            <w:shd w:val="clear" w:color="auto" w:fill="auto"/>
            <w:noWrap/>
            <w:vAlign w:val="bottom"/>
            <w:hideMark/>
          </w:tcPr>
          <w:p w14:paraId="0525719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0.339</w:t>
            </w:r>
          </w:p>
        </w:tc>
        <w:tc>
          <w:tcPr>
            <w:tcW w:w="615" w:type="dxa"/>
            <w:tcBorders>
              <w:top w:val="nil"/>
              <w:left w:val="nil"/>
              <w:bottom w:val="nil"/>
              <w:right w:val="nil"/>
            </w:tcBorders>
            <w:shd w:val="clear" w:color="auto" w:fill="auto"/>
            <w:noWrap/>
            <w:vAlign w:val="bottom"/>
            <w:hideMark/>
          </w:tcPr>
          <w:p w14:paraId="08828CD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0.984</w:t>
            </w:r>
          </w:p>
        </w:tc>
        <w:tc>
          <w:tcPr>
            <w:tcW w:w="578" w:type="dxa"/>
            <w:tcBorders>
              <w:top w:val="nil"/>
              <w:left w:val="nil"/>
              <w:bottom w:val="nil"/>
              <w:right w:val="nil"/>
            </w:tcBorders>
            <w:shd w:val="clear" w:color="auto" w:fill="auto"/>
            <w:noWrap/>
            <w:vAlign w:val="bottom"/>
            <w:hideMark/>
          </w:tcPr>
          <w:p w14:paraId="1361BA5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0.645</w:t>
            </w:r>
          </w:p>
        </w:tc>
        <w:tc>
          <w:tcPr>
            <w:tcW w:w="730" w:type="dxa"/>
            <w:tcBorders>
              <w:top w:val="nil"/>
              <w:left w:val="nil"/>
              <w:bottom w:val="nil"/>
              <w:right w:val="nil"/>
            </w:tcBorders>
            <w:shd w:val="clear" w:color="auto" w:fill="auto"/>
            <w:noWrap/>
            <w:vAlign w:val="bottom"/>
            <w:hideMark/>
          </w:tcPr>
          <w:p w14:paraId="2735A7B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0.385</w:t>
            </w:r>
          </w:p>
        </w:tc>
        <w:tc>
          <w:tcPr>
            <w:tcW w:w="660" w:type="dxa"/>
            <w:tcBorders>
              <w:top w:val="nil"/>
              <w:left w:val="nil"/>
              <w:bottom w:val="nil"/>
              <w:right w:val="nil"/>
            </w:tcBorders>
            <w:shd w:val="clear" w:color="auto" w:fill="auto"/>
            <w:noWrap/>
            <w:vAlign w:val="bottom"/>
            <w:hideMark/>
          </w:tcPr>
          <w:p w14:paraId="506F0B3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0.955</w:t>
            </w:r>
          </w:p>
        </w:tc>
        <w:tc>
          <w:tcPr>
            <w:tcW w:w="578" w:type="dxa"/>
            <w:tcBorders>
              <w:top w:val="nil"/>
              <w:left w:val="nil"/>
              <w:bottom w:val="nil"/>
              <w:right w:val="nil"/>
            </w:tcBorders>
            <w:shd w:val="clear" w:color="auto" w:fill="auto"/>
            <w:noWrap/>
            <w:vAlign w:val="bottom"/>
            <w:hideMark/>
          </w:tcPr>
          <w:p w14:paraId="4F0E159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0.570</w:t>
            </w:r>
          </w:p>
        </w:tc>
        <w:tc>
          <w:tcPr>
            <w:tcW w:w="578" w:type="dxa"/>
            <w:tcBorders>
              <w:top w:val="nil"/>
              <w:left w:val="nil"/>
              <w:bottom w:val="nil"/>
              <w:right w:val="nil"/>
            </w:tcBorders>
            <w:shd w:val="clear" w:color="auto" w:fill="auto"/>
            <w:noWrap/>
            <w:vAlign w:val="bottom"/>
            <w:hideMark/>
          </w:tcPr>
          <w:p w14:paraId="6A604A0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0.936</w:t>
            </w:r>
          </w:p>
        </w:tc>
      </w:tr>
      <w:tr w:rsidR="00F80FF3" w:rsidRPr="00F80FF3" w14:paraId="13621F41" w14:textId="77777777" w:rsidTr="00F80FF3">
        <w:trPr>
          <w:trHeight w:val="320"/>
        </w:trPr>
        <w:tc>
          <w:tcPr>
            <w:tcW w:w="2620" w:type="dxa"/>
            <w:tcBorders>
              <w:top w:val="nil"/>
              <w:left w:val="nil"/>
              <w:bottom w:val="nil"/>
              <w:right w:val="nil"/>
            </w:tcBorders>
            <w:shd w:val="clear" w:color="auto" w:fill="auto"/>
            <w:noWrap/>
            <w:vAlign w:val="bottom"/>
            <w:hideMark/>
          </w:tcPr>
          <w:p w14:paraId="5598BA75"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Austria</w:t>
            </w:r>
          </w:p>
        </w:tc>
        <w:tc>
          <w:tcPr>
            <w:tcW w:w="578" w:type="dxa"/>
            <w:tcBorders>
              <w:top w:val="nil"/>
              <w:left w:val="nil"/>
              <w:bottom w:val="nil"/>
              <w:right w:val="nil"/>
            </w:tcBorders>
            <w:shd w:val="clear" w:color="auto" w:fill="auto"/>
            <w:noWrap/>
            <w:vAlign w:val="bottom"/>
            <w:hideMark/>
          </w:tcPr>
          <w:p w14:paraId="5F35F83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0.908</w:t>
            </w:r>
          </w:p>
        </w:tc>
        <w:tc>
          <w:tcPr>
            <w:tcW w:w="864" w:type="dxa"/>
            <w:tcBorders>
              <w:top w:val="nil"/>
              <w:left w:val="single" w:sz="4" w:space="0" w:color="auto"/>
              <w:bottom w:val="nil"/>
              <w:right w:val="single" w:sz="8" w:space="0" w:color="auto"/>
            </w:tcBorders>
            <w:shd w:val="clear" w:color="auto" w:fill="auto"/>
            <w:noWrap/>
            <w:vAlign w:val="bottom"/>
            <w:hideMark/>
          </w:tcPr>
          <w:p w14:paraId="34811EEB"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132955</w:t>
            </w:r>
          </w:p>
        </w:tc>
        <w:tc>
          <w:tcPr>
            <w:tcW w:w="618" w:type="dxa"/>
            <w:tcBorders>
              <w:top w:val="nil"/>
              <w:left w:val="nil"/>
              <w:bottom w:val="nil"/>
              <w:right w:val="nil"/>
            </w:tcBorders>
            <w:shd w:val="clear" w:color="auto" w:fill="auto"/>
            <w:noWrap/>
            <w:vAlign w:val="bottom"/>
            <w:hideMark/>
          </w:tcPr>
          <w:p w14:paraId="588BE04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0.411</w:t>
            </w:r>
          </w:p>
        </w:tc>
        <w:tc>
          <w:tcPr>
            <w:tcW w:w="601" w:type="dxa"/>
            <w:tcBorders>
              <w:top w:val="nil"/>
              <w:left w:val="nil"/>
              <w:bottom w:val="nil"/>
              <w:right w:val="nil"/>
            </w:tcBorders>
            <w:shd w:val="clear" w:color="auto" w:fill="auto"/>
            <w:noWrap/>
            <w:vAlign w:val="bottom"/>
            <w:hideMark/>
          </w:tcPr>
          <w:p w14:paraId="09280BD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0.501</w:t>
            </w:r>
          </w:p>
        </w:tc>
        <w:tc>
          <w:tcPr>
            <w:tcW w:w="615" w:type="dxa"/>
            <w:tcBorders>
              <w:top w:val="nil"/>
              <w:left w:val="nil"/>
              <w:bottom w:val="nil"/>
              <w:right w:val="nil"/>
            </w:tcBorders>
            <w:shd w:val="clear" w:color="auto" w:fill="auto"/>
            <w:noWrap/>
            <w:vAlign w:val="bottom"/>
            <w:hideMark/>
          </w:tcPr>
          <w:p w14:paraId="605BF1B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0.980</w:t>
            </w:r>
          </w:p>
        </w:tc>
        <w:tc>
          <w:tcPr>
            <w:tcW w:w="578" w:type="dxa"/>
            <w:tcBorders>
              <w:top w:val="nil"/>
              <w:left w:val="nil"/>
              <w:bottom w:val="nil"/>
              <w:right w:val="nil"/>
            </w:tcBorders>
            <w:shd w:val="clear" w:color="auto" w:fill="auto"/>
            <w:noWrap/>
            <w:vAlign w:val="bottom"/>
            <w:hideMark/>
          </w:tcPr>
          <w:p w14:paraId="4255619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0.479</w:t>
            </w:r>
          </w:p>
        </w:tc>
        <w:tc>
          <w:tcPr>
            <w:tcW w:w="730" w:type="dxa"/>
            <w:tcBorders>
              <w:top w:val="nil"/>
              <w:left w:val="nil"/>
              <w:bottom w:val="nil"/>
              <w:right w:val="nil"/>
            </w:tcBorders>
            <w:shd w:val="clear" w:color="auto" w:fill="auto"/>
            <w:noWrap/>
            <w:vAlign w:val="bottom"/>
            <w:hideMark/>
          </w:tcPr>
          <w:p w14:paraId="608E6CD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0.233</w:t>
            </w:r>
          </w:p>
        </w:tc>
        <w:tc>
          <w:tcPr>
            <w:tcW w:w="660" w:type="dxa"/>
            <w:tcBorders>
              <w:top w:val="nil"/>
              <w:left w:val="nil"/>
              <w:bottom w:val="nil"/>
              <w:right w:val="nil"/>
            </w:tcBorders>
            <w:shd w:val="clear" w:color="auto" w:fill="auto"/>
            <w:noWrap/>
            <w:vAlign w:val="bottom"/>
            <w:hideMark/>
          </w:tcPr>
          <w:p w14:paraId="52F380A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0.965</w:t>
            </w:r>
          </w:p>
        </w:tc>
        <w:tc>
          <w:tcPr>
            <w:tcW w:w="578" w:type="dxa"/>
            <w:tcBorders>
              <w:top w:val="nil"/>
              <w:left w:val="nil"/>
              <w:bottom w:val="nil"/>
              <w:right w:val="nil"/>
            </w:tcBorders>
            <w:shd w:val="clear" w:color="auto" w:fill="auto"/>
            <w:noWrap/>
            <w:vAlign w:val="bottom"/>
            <w:hideMark/>
          </w:tcPr>
          <w:p w14:paraId="629A5D4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0.732</w:t>
            </w:r>
          </w:p>
        </w:tc>
        <w:tc>
          <w:tcPr>
            <w:tcW w:w="578" w:type="dxa"/>
            <w:tcBorders>
              <w:top w:val="nil"/>
              <w:left w:val="nil"/>
              <w:bottom w:val="nil"/>
              <w:right w:val="nil"/>
            </w:tcBorders>
            <w:shd w:val="clear" w:color="auto" w:fill="auto"/>
            <w:noWrap/>
            <w:vAlign w:val="bottom"/>
            <w:hideMark/>
          </w:tcPr>
          <w:p w14:paraId="56F86C5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0.950</w:t>
            </w:r>
          </w:p>
        </w:tc>
      </w:tr>
      <w:tr w:rsidR="00F80FF3" w:rsidRPr="00F80FF3" w14:paraId="78B0B4BE" w14:textId="77777777" w:rsidTr="00F80FF3">
        <w:trPr>
          <w:trHeight w:val="320"/>
        </w:trPr>
        <w:tc>
          <w:tcPr>
            <w:tcW w:w="2620" w:type="dxa"/>
            <w:tcBorders>
              <w:top w:val="nil"/>
              <w:left w:val="nil"/>
              <w:bottom w:val="nil"/>
              <w:right w:val="nil"/>
            </w:tcBorders>
            <w:shd w:val="clear" w:color="auto" w:fill="auto"/>
            <w:noWrap/>
            <w:vAlign w:val="bottom"/>
            <w:hideMark/>
          </w:tcPr>
          <w:p w14:paraId="3655B091"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Belgium</w:t>
            </w:r>
          </w:p>
        </w:tc>
        <w:tc>
          <w:tcPr>
            <w:tcW w:w="578" w:type="dxa"/>
            <w:tcBorders>
              <w:top w:val="nil"/>
              <w:left w:val="nil"/>
              <w:bottom w:val="nil"/>
              <w:right w:val="nil"/>
            </w:tcBorders>
            <w:shd w:val="clear" w:color="auto" w:fill="auto"/>
            <w:noWrap/>
            <w:vAlign w:val="bottom"/>
            <w:hideMark/>
          </w:tcPr>
          <w:p w14:paraId="10638E1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0.916</w:t>
            </w:r>
          </w:p>
        </w:tc>
        <w:tc>
          <w:tcPr>
            <w:tcW w:w="864" w:type="dxa"/>
            <w:tcBorders>
              <w:top w:val="nil"/>
              <w:left w:val="single" w:sz="4" w:space="0" w:color="auto"/>
              <w:bottom w:val="nil"/>
              <w:right w:val="single" w:sz="8" w:space="0" w:color="auto"/>
            </w:tcBorders>
            <w:shd w:val="clear" w:color="auto" w:fill="auto"/>
            <w:noWrap/>
            <w:vAlign w:val="bottom"/>
            <w:hideMark/>
          </w:tcPr>
          <w:p w14:paraId="564F7D12"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110316</w:t>
            </w:r>
          </w:p>
        </w:tc>
        <w:tc>
          <w:tcPr>
            <w:tcW w:w="618" w:type="dxa"/>
            <w:tcBorders>
              <w:top w:val="nil"/>
              <w:left w:val="nil"/>
              <w:bottom w:val="nil"/>
              <w:right w:val="nil"/>
            </w:tcBorders>
            <w:shd w:val="clear" w:color="auto" w:fill="auto"/>
            <w:noWrap/>
            <w:vAlign w:val="bottom"/>
            <w:hideMark/>
          </w:tcPr>
          <w:p w14:paraId="427DFE8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0.538</w:t>
            </w:r>
          </w:p>
        </w:tc>
        <w:tc>
          <w:tcPr>
            <w:tcW w:w="601" w:type="dxa"/>
            <w:tcBorders>
              <w:top w:val="nil"/>
              <w:left w:val="nil"/>
              <w:bottom w:val="nil"/>
              <w:right w:val="nil"/>
            </w:tcBorders>
            <w:shd w:val="clear" w:color="auto" w:fill="auto"/>
            <w:noWrap/>
            <w:vAlign w:val="bottom"/>
            <w:hideMark/>
          </w:tcPr>
          <w:p w14:paraId="769A0C2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0.585</w:t>
            </w:r>
          </w:p>
        </w:tc>
        <w:tc>
          <w:tcPr>
            <w:tcW w:w="615" w:type="dxa"/>
            <w:tcBorders>
              <w:top w:val="nil"/>
              <w:left w:val="nil"/>
              <w:bottom w:val="nil"/>
              <w:right w:val="nil"/>
            </w:tcBorders>
            <w:shd w:val="clear" w:color="auto" w:fill="auto"/>
            <w:noWrap/>
            <w:vAlign w:val="bottom"/>
            <w:hideMark/>
          </w:tcPr>
          <w:p w14:paraId="0ED049B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0.943</w:t>
            </w:r>
          </w:p>
        </w:tc>
        <w:tc>
          <w:tcPr>
            <w:tcW w:w="578" w:type="dxa"/>
            <w:tcBorders>
              <w:top w:val="nil"/>
              <w:left w:val="nil"/>
              <w:bottom w:val="nil"/>
              <w:right w:val="nil"/>
            </w:tcBorders>
            <w:shd w:val="clear" w:color="auto" w:fill="auto"/>
            <w:noWrap/>
            <w:vAlign w:val="bottom"/>
            <w:hideMark/>
          </w:tcPr>
          <w:p w14:paraId="67A8074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0.358</w:t>
            </w:r>
          </w:p>
        </w:tc>
        <w:tc>
          <w:tcPr>
            <w:tcW w:w="730" w:type="dxa"/>
            <w:tcBorders>
              <w:top w:val="nil"/>
              <w:left w:val="nil"/>
              <w:bottom w:val="nil"/>
              <w:right w:val="nil"/>
            </w:tcBorders>
            <w:shd w:val="clear" w:color="auto" w:fill="auto"/>
            <w:noWrap/>
            <w:vAlign w:val="bottom"/>
            <w:hideMark/>
          </w:tcPr>
          <w:p w14:paraId="342D2CC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0.348</w:t>
            </w:r>
          </w:p>
        </w:tc>
        <w:tc>
          <w:tcPr>
            <w:tcW w:w="660" w:type="dxa"/>
            <w:tcBorders>
              <w:top w:val="nil"/>
              <w:left w:val="nil"/>
              <w:bottom w:val="nil"/>
              <w:right w:val="nil"/>
            </w:tcBorders>
            <w:shd w:val="clear" w:color="auto" w:fill="auto"/>
            <w:noWrap/>
            <w:vAlign w:val="bottom"/>
            <w:hideMark/>
          </w:tcPr>
          <w:p w14:paraId="441BA84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1.157</w:t>
            </w:r>
          </w:p>
        </w:tc>
        <w:tc>
          <w:tcPr>
            <w:tcW w:w="578" w:type="dxa"/>
            <w:tcBorders>
              <w:top w:val="nil"/>
              <w:left w:val="nil"/>
              <w:bottom w:val="nil"/>
              <w:right w:val="nil"/>
            </w:tcBorders>
            <w:shd w:val="clear" w:color="auto" w:fill="auto"/>
            <w:noWrap/>
            <w:vAlign w:val="bottom"/>
            <w:hideMark/>
          </w:tcPr>
          <w:p w14:paraId="7413B1C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0.809</w:t>
            </w:r>
          </w:p>
        </w:tc>
        <w:tc>
          <w:tcPr>
            <w:tcW w:w="578" w:type="dxa"/>
            <w:tcBorders>
              <w:top w:val="nil"/>
              <w:left w:val="nil"/>
              <w:bottom w:val="nil"/>
              <w:right w:val="nil"/>
            </w:tcBorders>
            <w:shd w:val="clear" w:color="auto" w:fill="auto"/>
            <w:noWrap/>
            <w:vAlign w:val="bottom"/>
            <w:hideMark/>
          </w:tcPr>
          <w:p w14:paraId="32977D5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0.972</w:t>
            </w:r>
          </w:p>
        </w:tc>
      </w:tr>
      <w:tr w:rsidR="00F80FF3" w:rsidRPr="00F80FF3" w14:paraId="0DF2E3EF" w14:textId="77777777" w:rsidTr="00F80FF3">
        <w:trPr>
          <w:trHeight w:val="320"/>
        </w:trPr>
        <w:tc>
          <w:tcPr>
            <w:tcW w:w="2620" w:type="dxa"/>
            <w:tcBorders>
              <w:top w:val="nil"/>
              <w:left w:val="nil"/>
              <w:bottom w:val="nil"/>
              <w:right w:val="nil"/>
            </w:tcBorders>
            <w:shd w:val="clear" w:color="auto" w:fill="auto"/>
            <w:noWrap/>
            <w:vAlign w:val="bottom"/>
            <w:hideMark/>
          </w:tcPr>
          <w:p w14:paraId="2E12CF11"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Brazil</w:t>
            </w:r>
          </w:p>
        </w:tc>
        <w:tc>
          <w:tcPr>
            <w:tcW w:w="578" w:type="dxa"/>
            <w:tcBorders>
              <w:top w:val="nil"/>
              <w:left w:val="nil"/>
              <w:bottom w:val="nil"/>
              <w:right w:val="nil"/>
            </w:tcBorders>
            <w:shd w:val="clear" w:color="auto" w:fill="auto"/>
            <w:noWrap/>
            <w:vAlign w:val="bottom"/>
            <w:hideMark/>
          </w:tcPr>
          <w:p w14:paraId="229E845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0.759</w:t>
            </w:r>
          </w:p>
        </w:tc>
        <w:tc>
          <w:tcPr>
            <w:tcW w:w="864" w:type="dxa"/>
            <w:tcBorders>
              <w:top w:val="nil"/>
              <w:left w:val="single" w:sz="4" w:space="0" w:color="auto"/>
              <w:bottom w:val="nil"/>
              <w:right w:val="single" w:sz="8" w:space="0" w:color="auto"/>
            </w:tcBorders>
            <w:shd w:val="clear" w:color="auto" w:fill="auto"/>
            <w:noWrap/>
            <w:vAlign w:val="bottom"/>
            <w:hideMark/>
          </w:tcPr>
          <w:p w14:paraId="3647A3D2"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38190</w:t>
            </w:r>
          </w:p>
        </w:tc>
        <w:tc>
          <w:tcPr>
            <w:tcW w:w="618" w:type="dxa"/>
            <w:tcBorders>
              <w:top w:val="nil"/>
              <w:left w:val="nil"/>
              <w:bottom w:val="nil"/>
              <w:right w:val="nil"/>
            </w:tcBorders>
            <w:shd w:val="clear" w:color="auto" w:fill="auto"/>
            <w:noWrap/>
            <w:vAlign w:val="bottom"/>
            <w:hideMark/>
          </w:tcPr>
          <w:p w14:paraId="75647B3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-0.639</w:t>
            </w:r>
          </w:p>
        </w:tc>
        <w:tc>
          <w:tcPr>
            <w:tcW w:w="601" w:type="dxa"/>
            <w:tcBorders>
              <w:top w:val="nil"/>
              <w:left w:val="nil"/>
              <w:bottom w:val="nil"/>
              <w:right w:val="nil"/>
            </w:tcBorders>
            <w:shd w:val="clear" w:color="auto" w:fill="auto"/>
            <w:noWrap/>
            <w:vAlign w:val="bottom"/>
            <w:hideMark/>
          </w:tcPr>
          <w:p w14:paraId="2AD6E0B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-0.400</w:t>
            </w:r>
          </w:p>
        </w:tc>
        <w:tc>
          <w:tcPr>
            <w:tcW w:w="615" w:type="dxa"/>
            <w:tcBorders>
              <w:top w:val="nil"/>
              <w:left w:val="nil"/>
              <w:bottom w:val="nil"/>
              <w:right w:val="nil"/>
            </w:tcBorders>
            <w:shd w:val="clear" w:color="auto" w:fill="auto"/>
            <w:noWrap/>
            <w:vAlign w:val="bottom"/>
            <w:hideMark/>
          </w:tcPr>
          <w:p w14:paraId="1077A52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-0.222</w:t>
            </w:r>
          </w:p>
        </w:tc>
        <w:tc>
          <w:tcPr>
            <w:tcW w:w="578" w:type="dxa"/>
            <w:tcBorders>
              <w:top w:val="nil"/>
              <w:left w:val="nil"/>
              <w:bottom w:val="nil"/>
              <w:right w:val="nil"/>
            </w:tcBorders>
            <w:shd w:val="clear" w:color="auto" w:fill="auto"/>
            <w:noWrap/>
            <w:vAlign w:val="bottom"/>
            <w:hideMark/>
          </w:tcPr>
          <w:p w14:paraId="59066B8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0.178</w:t>
            </w:r>
          </w:p>
        </w:tc>
        <w:tc>
          <w:tcPr>
            <w:tcW w:w="730" w:type="dxa"/>
            <w:tcBorders>
              <w:top w:val="nil"/>
              <w:left w:val="nil"/>
              <w:bottom w:val="nil"/>
              <w:right w:val="nil"/>
            </w:tcBorders>
            <w:shd w:val="clear" w:color="auto" w:fill="auto"/>
            <w:noWrap/>
            <w:vAlign w:val="bottom"/>
            <w:hideMark/>
          </w:tcPr>
          <w:p w14:paraId="66580F0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-0.619</w:t>
            </w:r>
          </w:p>
        </w:tc>
        <w:tc>
          <w:tcPr>
            <w:tcW w:w="660" w:type="dxa"/>
            <w:tcBorders>
              <w:top w:val="nil"/>
              <w:left w:val="nil"/>
              <w:bottom w:val="nil"/>
              <w:right w:val="nil"/>
            </w:tcBorders>
            <w:shd w:val="clear" w:color="auto" w:fill="auto"/>
            <w:noWrap/>
            <w:vAlign w:val="bottom"/>
            <w:hideMark/>
          </w:tcPr>
          <w:p w14:paraId="5B4487F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-0.064</w:t>
            </w:r>
          </w:p>
        </w:tc>
        <w:tc>
          <w:tcPr>
            <w:tcW w:w="578" w:type="dxa"/>
            <w:tcBorders>
              <w:top w:val="nil"/>
              <w:left w:val="nil"/>
              <w:bottom w:val="nil"/>
              <w:right w:val="nil"/>
            </w:tcBorders>
            <w:shd w:val="clear" w:color="auto" w:fill="auto"/>
            <w:noWrap/>
            <w:vAlign w:val="bottom"/>
            <w:hideMark/>
          </w:tcPr>
          <w:p w14:paraId="6F209FB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0.555</w:t>
            </w:r>
          </w:p>
        </w:tc>
        <w:tc>
          <w:tcPr>
            <w:tcW w:w="578" w:type="dxa"/>
            <w:tcBorders>
              <w:top w:val="nil"/>
              <w:left w:val="nil"/>
              <w:bottom w:val="nil"/>
              <w:right w:val="nil"/>
            </w:tcBorders>
            <w:shd w:val="clear" w:color="auto" w:fill="auto"/>
            <w:noWrap/>
            <w:vAlign w:val="bottom"/>
            <w:hideMark/>
          </w:tcPr>
          <w:p w14:paraId="519CF86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0.879</w:t>
            </w:r>
          </w:p>
        </w:tc>
      </w:tr>
      <w:tr w:rsidR="00F80FF3" w:rsidRPr="00F80FF3" w14:paraId="18DA2697" w14:textId="77777777" w:rsidTr="00F80FF3">
        <w:trPr>
          <w:trHeight w:val="320"/>
        </w:trPr>
        <w:tc>
          <w:tcPr>
            <w:tcW w:w="2620" w:type="dxa"/>
            <w:tcBorders>
              <w:top w:val="nil"/>
              <w:left w:val="nil"/>
              <w:bottom w:val="nil"/>
              <w:right w:val="nil"/>
            </w:tcBorders>
            <w:shd w:val="clear" w:color="auto" w:fill="auto"/>
            <w:noWrap/>
            <w:vAlign w:val="bottom"/>
            <w:hideMark/>
          </w:tcPr>
          <w:p w14:paraId="3A1F111B"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Bulgaria</w:t>
            </w:r>
          </w:p>
        </w:tc>
        <w:tc>
          <w:tcPr>
            <w:tcW w:w="578" w:type="dxa"/>
            <w:tcBorders>
              <w:top w:val="nil"/>
              <w:left w:val="nil"/>
              <w:bottom w:val="nil"/>
              <w:right w:val="nil"/>
            </w:tcBorders>
            <w:shd w:val="clear" w:color="auto" w:fill="auto"/>
            <w:noWrap/>
            <w:vAlign w:val="bottom"/>
            <w:hideMark/>
          </w:tcPr>
          <w:p w14:paraId="54E0050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0.813</w:t>
            </w:r>
          </w:p>
        </w:tc>
        <w:tc>
          <w:tcPr>
            <w:tcW w:w="864" w:type="dxa"/>
            <w:tcBorders>
              <w:top w:val="nil"/>
              <w:left w:val="single" w:sz="4" w:space="0" w:color="auto"/>
              <w:bottom w:val="nil"/>
              <w:right w:val="single" w:sz="8" w:space="0" w:color="auto"/>
            </w:tcBorders>
            <w:shd w:val="clear" w:color="auto" w:fill="auto"/>
            <w:noWrap/>
            <w:vAlign w:val="bottom"/>
            <w:hideMark/>
          </w:tcPr>
          <w:p w14:paraId="312D1384"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29980</w:t>
            </w:r>
          </w:p>
        </w:tc>
        <w:tc>
          <w:tcPr>
            <w:tcW w:w="618" w:type="dxa"/>
            <w:tcBorders>
              <w:top w:val="nil"/>
              <w:left w:val="nil"/>
              <w:bottom w:val="nil"/>
              <w:right w:val="nil"/>
            </w:tcBorders>
            <w:shd w:val="clear" w:color="auto" w:fill="auto"/>
            <w:noWrap/>
            <w:vAlign w:val="bottom"/>
            <w:hideMark/>
          </w:tcPr>
          <w:p w14:paraId="2952771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-0.167</w:t>
            </w:r>
          </w:p>
        </w:tc>
        <w:tc>
          <w:tcPr>
            <w:tcW w:w="601" w:type="dxa"/>
            <w:tcBorders>
              <w:top w:val="nil"/>
              <w:left w:val="nil"/>
              <w:bottom w:val="nil"/>
              <w:right w:val="nil"/>
            </w:tcBorders>
            <w:shd w:val="clear" w:color="auto" w:fill="auto"/>
            <w:noWrap/>
            <w:vAlign w:val="bottom"/>
            <w:hideMark/>
          </w:tcPr>
          <w:p w14:paraId="5BB043F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-0.216</w:t>
            </w:r>
          </w:p>
        </w:tc>
        <w:tc>
          <w:tcPr>
            <w:tcW w:w="615" w:type="dxa"/>
            <w:tcBorders>
              <w:top w:val="nil"/>
              <w:left w:val="nil"/>
              <w:bottom w:val="nil"/>
              <w:right w:val="nil"/>
            </w:tcBorders>
            <w:shd w:val="clear" w:color="auto" w:fill="auto"/>
            <w:noWrap/>
            <w:vAlign w:val="bottom"/>
            <w:hideMark/>
          </w:tcPr>
          <w:p w14:paraId="142B351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0.237</w:t>
            </w:r>
          </w:p>
        </w:tc>
        <w:tc>
          <w:tcPr>
            <w:tcW w:w="578" w:type="dxa"/>
            <w:tcBorders>
              <w:top w:val="nil"/>
              <w:left w:val="nil"/>
              <w:bottom w:val="nil"/>
              <w:right w:val="nil"/>
            </w:tcBorders>
            <w:shd w:val="clear" w:color="auto" w:fill="auto"/>
            <w:noWrap/>
            <w:vAlign w:val="bottom"/>
            <w:hideMark/>
          </w:tcPr>
          <w:p w14:paraId="589F8FB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0.453</w:t>
            </w:r>
          </w:p>
        </w:tc>
        <w:tc>
          <w:tcPr>
            <w:tcW w:w="730" w:type="dxa"/>
            <w:tcBorders>
              <w:top w:val="nil"/>
              <w:left w:val="nil"/>
              <w:bottom w:val="nil"/>
              <w:right w:val="nil"/>
            </w:tcBorders>
            <w:shd w:val="clear" w:color="auto" w:fill="auto"/>
            <w:noWrap/>
            <w:vAlign w:val="bottom"/>
            <w:hideMark/>
          </w:tcPr>
          <w:p w14:paraId="7C591E5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-0.229</w:t>
            </w:r>
          </w:p>
        </w:tc>
        <w:tc>
          <w:tcPr>
            <w:tcW w:w="660" w:type="dxa"/>
            <w:tcBorders>
              <w:top w:val="nil"/>
              <w:left w:val="nil"/>
              <w:bottom w:val="nil"/>
              <w:right w:val="nil"/>
            </w:tcBorders>
            <w:shd w:val="clear" w:color="auto" w:fill="auto"/>
            <w:noWrap/>
            <w:vAlign w:val="bottom"/>
            <w:hideMark/>
          </w:tcPr>
          <w:p w14:paraId="01EDFF0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0.541</w:t>
            </w:r>
          </w:p>
        </w:tc>
        <w:tc>
          <w:tcPr>
            <w:tcW w:w="578" w:type="dxa"/>
            <w:tcBorders>
              <w:top w:val="nil"/>
              <w:left w:val="nil"/>
              <w:bottom w:val="nil"/>
              <w:right w:val="nil"/>
            </w:tcBorders>
            <w:shd w:val="clear" w:color="auto" w:fill="auto"/>
            <w:noWrap/>
            <w:vAlign w:val="bottom"/>
            <w:hideMark/>
          </w:tcPr>
          <w:p w14:paraId="225D2FC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0.770</w:t>
            </w:r>
          </w:p>
        </w:tc>
        <w:tc>
          <w:tcPr>
            <w:tcW w:w="578" w:type="dxa"/>
            <w:tcBorders>
              <w:top w:val="nil"/>
              <w:left w:val="nil"/>
              <w:bottom w:val="nil"/>
              <w:right w:val="nil"/>
            </w:tcBorders>
            <w:shd w:val="clear" w:color="auto" w:fill="auto"/>
            <w:noWrap/>
            <w:vAlign w:val="bottom"/>
            <w:hideMark/>
          </w:tcPr>
          <w:p w14:paraId="6BFE60F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1.023</w:t>
            </w:r>
          </w:p>
        </w:tc>
      </w:tr>
      <w:tr w:rsidR="00F80FF3" w:rsidRPr="00F80FF3" w14:paraId="7C4B97B2" w14:textId="77777777" w:rsidTr="00F80FF3">
        <w:trPr>
          <w:trHeight w:val="320"/>
        </w:trPr>
        <w:tc>
          <w:tcPr>
            <w:tcW w:w="2620" w:type="dxa"/>
            <w:tcBorders>
              <w:top w:val="nil"/>
              <w:left w:val="nil"/>
              <w:bottom w:val="nil"/>
              <w:right w:val="nil"/>
            </w:tcBorders>
            <w:shd w:val="clear" w:color="auto" w:fill="auto"/>
            <w:noWrap/>
            <w:vAlign w:val="bottom"/>
            <w:hideMark/>
          </w:tcPr>
          <w:p w14:paraId="0407404E"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Canada</w:t>
            </w:r>
          </w:p>
        </w:tc>
        <w:tc>
          <w:tcPr>
            <w:tcW w:w="578" w:type="dxa"/>
            <w:tcBorders>
              <w:top w:val="nil"/>
              <w:left w:val="nil"/>
              <w:bottom w:val="nil"/>
              <w:right w:val="nil"/>
            </w:tcBorders>
            <w:shd w:val="clear" w:color="auto" w:fill="auto"/>
            <w:noWrap/>
            <w:vAlign w:val="bottom"/>
            <w:hideMark/>
          </w:tcPr>
          <w:p w14:paraId="253AB4D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0.926</w:t>
            </w:r>
          </w:p>
        </w:tc>
        <w:tc>
          <w:tcPr>
            <w:tcW w:w="864" w:type="dxa"/>
            <w:tcBorders>
              <w:top w:val="nil"/>
              <w:left w:val="single" w:sz="4" w:space="0" w:color="auto"/>
              <w:bottom w:val="nil"/>
              <w:right w:val="single" w:sz="8" w:space="0" w:color="auto"/>
            </w:tcBorders>
            <w:shd w:val="clear" w:color="auto" w:fill="auto"/>
            <w:noWrap/>
            <w:vAlign w:val="bottom"/>
            <w:hideMark/>
          </w:tcPr>
          <w:p w14:paraId="5837B6E0"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94254</w:t>
            </w:r>
          </w:p>
        </w:tc>
        <w:tc>
          <w:tcPr>
            <w:tcW w:w="618" w:type="dxa"/>
            <w:tcBorders>
              <w:top w:val="nil"/>
              <w:left w:val="nil"/>
              <w:bottom w:val="nil"/>
              <w:right w:val="nil"/>
            </w:tcBorders>
            <w:shd w:val="clear" w:color="auto" w:fill="auto"/>
            <w:noWrap/>
            <w:vAlign w:val="bottom"/>
            <w:hideMark/>
          </w:tcPr>
          <w:p w14:paraId="6C6FA05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0.733</w:t>
            </w:r>
          </w:p>
        </w:tc>
        <w:tc>
          <w:tcPr>
            <w:tcW w:w="601" w:type="dxa"/>
            <w:tcBorders>
              <w:top w:val="nil"/>
              <w:left w:val="nil"/>
              <w:bottom w:val="nil"/>
              <w:right w:val="nil"/>
            </w:tcBorders>
            <w:shd w:val="clear" w:color="auto" w:fill="auto"/>
            <w:noWrap/>
            <w:vAlign w:val="bottom"/>
            <w:hideMark/>
          </w:tcPr>
          <w:p w14:paraId="11680CB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0.615</w:t>
            </w:r>
          </w:p>
        </w:tc>
        <w:tc>
          <w:tcPr>
            <w:tcW w:w="615" w:type="dxa"/>
            <w:tcBorders>
              <w:top w:val="nil"/>
              <w:left w:val="nil"/>
              <w:bottom w:val="nil"/>
              <w:right w:val="nil"/>
            </w:tcBorders>
            <w:shd w:val="clear" w:color="auto" w:fill="auto"/>
            <w:noWrap/>
            <w:vAlign w:val="bottom"/>
            <w:hideMark/>
          </w:tcPr>
          <w:p w14:paraId="5FBBB45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1.017</w:t>
            </w:r>
          </w:p>
        </w:tc>
        <w:tc>
          <w:tcPr>
            <w:tcW w:w="578" w:type="dxa"/>
            <w:tcBorders>
              <w:top w:val="nil"/>
              <w:left w:val="nil"/>
              <w:bottom w:val="nil"/>
              <w:right w:val="nil"/>
            </w:tcBorders>
            <w:shd w:val="clear" w:color="auto" w:fill="auto"/>
            <w:noWrap/>
            <w:vAlign w:val="bottom"/>
            <w:hideMark/>
          </w:tcPr>
          <w:p w14:paraId="3F02903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0.402</w:t>
            </w:r>
          </w:p>
        </w:tc>
        <w:tc>
          <w:tcPr>
            <w:tcW w:w="730" w:type="dxa"/>
            <w:tcBorders>
              <w:top w:val="nil"/>
              <w:left w:val="nil"/>
              <w:bottom w:val="nil"/>
              <w:right w:val="nil"/>
            </w:tcBorders>
            <w:shd w:val="clear" w:color="auto" w:fill="auto"/>
            <w:noWrap/>
            <w:vAlign w:val="bottom"/>
            <w:hideMark/>
          </w:tcPr>
          <w:p w14:paraId="6062D48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0.594</w:t>
            </w:r>
          </w:p>
        </w:tc>
        <w:tc>
          <w:tcPr>
            <w:tcW w:w="660" w:type="dxa"/>
            <w:tcBorders>
              <w:top w:val="nil"/>
              <w:left w:val="nil"/>
              <w:bottom w:val="nil"/>
              <w:right w:val="nil"/>
            </w:tcBorders>
            <w:shd w:val="clear" w:color="auto" w:fill="auto"/>
            <w:noWrap/>
            <w:vAlign w:val="bottom"/>
            <w:hideMark/>
          </w:tcPr>
          <w:p w14:paraId="4A7F733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1.181</w:t>
            </w:r>
          </w:p>
        </w:tc>
        <w:tc>
          <w:tcPr>
            <w:tcW w:w="578" w:type="dxa"/>
            <w:tcBorders>
              <w:top w:val="nil"/>
              <w:left w:val="nil"/>
              <w:bottom w:val="nil"/>
              <w:right w:val="nil"/>
            </w:tcBorders>
            <w:shd w:val="clear" w:color="auto" w:fill="auto"/>
            <w:noWrap/>
            <w:vAlign w:val="bottom"/>
            <w:hideMark/>
          </w:tcPr>
          <w:p w14:paraId="1673E5B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0.587</w:t>
            </w:r>
          </w:p>
        </w:tc>
        <w:tc>
          <w:tcPr>
            <w:tcW w:w="578" w:type="dxa"/>
            <w:tcBorders>
              <w:top w:val="nil"/>
              <w:left w:val="nil"/>
              <w:bottom w:val="nil"/>
              <w:right w:val="nil"/>
            </w:tcBorders>
            <w:shd w:val="clear" w:color="auto" w:fill="auto"/>
            <w:noWrap/>
            <w:vAlign w:val="bottom"/>
            <w:hideMark/>
          </w:tcPr>
          <w:p w14:paraId="7740640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0.853</w:t>
            </w:r>
          </w:p>
        </w:tc>
      </w:tr>
      <w:tr w:rsidR="00F80FF3" w:rsidRPr="00F80FF3" w14:paraId="6C15CC72" w14:textId="77777777" w:rsidTr="00F80FF3">
        <w:trPr>
          <w:trHeight w:val="320"/>
        </w:trPr>
        <w:tc>
          <w:tcPr>
            <w:tcW w:w="2620" w:type="dxa"/>
            <w:tcBorders>
              <w:top w:val="nil"/>
              <w:left w:val="nil"/>
              <w:bottom w:val="nil"/>
              <w:right w:val="nil"/>
            </w:tcBorders>
            <w:shd w:val="clear" w:color="auto" w:fill="auto"/>
            <w:noWrap/>
            <w:vAlign w:val="bottom"/>
            <w:hideMark/>
          </w:tcPr>
          <w:p w14:paraId="7B07786E"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Chile</w:t>
            </w:r>
          </w:p>
        </w:tc>
        <w:tc>
          <w:tcPr>
            <w:tcW w:w="578" w:type="dxa"/>
            <w:tcBorders>
              <w:top w:val="nil"/>
              <w:left w:val="nil"/>
              <w:bottom w:val="nil"/>
              <w:right w:val="nil"/>
            </w:tcBorders>
            <w:shd w:val="clear" w:color="auto" w:fill="auto"/>
            <w:noWrap/>
            <w:vAlign w:val="bottom"/>
            <w:hideMark/>
          </w:tcPr>
          <w:p w14:paraId="68A3FC0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0.843</w:t>
            </w:r>
          </w:p>
        </w:tc>
        <w:tc>
          <w:tcPr>
            <w:tcW w:w="864" w:type="dxa"/>
            <w:tcBorders>
              <w:top w:val="nil"/>
              <w:left w:val="single" w:sz="4" w:space="0" w:color="auto"/>
              <w:bottom w:val="nil"/>
              <w:right w:val="single" w:sz="8" w:space="0" w:color="auto"/>
            </w:tcBorders>
            <w:shd w:val="clear" w:color="auto" w:fill="auto"/>
            <w:noWrap/>
            <w:vAlign w:val="bottom"/>
            <w:hideMark/>
          </w:tcPr>
          <w:p w14:paraId="7608CAA5"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40607</w:t>
            </w:r>
          </w:p>
        </w:tc>
        <w:tc>
          <w:tcPr>
            <w:tcW w:w="618" w:type="dxa"/>
            <w:tcBorders>
              <w:top w:val="nil"/>
              <w:left w:val="nil"/>
              <w:bottom w:val="nil"/>
              <w:right w:val="nil"/>
            </w:tcBorders>
            <w:shd w:val="clear" w:color="auto" w:fill="auto"/>
            <w:noWrap/>
            <w:vAlign w:val="bottom"/>
            <w:hideMark/>
          </w:tcPr>
          <w:p w14:paraId="4A5312E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-0.125</w:t>
            </w:r>
          </w:p>
        </w:tc>
        <w:tc>
          <w:tcPr>
            <w:tcW w:w="601" w:type="dxa"/>
            <w:tcBorders>
              <w:top w:val="nil"/>
              <w:left w:val="nil"/>
              <w:bottom w:val="nil"/>
              <w:right w:val="nil"/>
            </w:tcBorders>
            <w:shd w:val="clear" w:color="auto" w:fill="auto"/>
            <w:noWrap/>
            <w:vAlign w:val="bottom"/>
            <w:hideMark/>
          </w:tcPr>
          <w:p w14:paraId="7009F90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-0.003</w:t>
            </w:r>
          </w:p>
        </w:tc>
        <w:tc>
          <w:tcPr>
            <w:tcW w:w="615" w:type="dxa"/>
            <w:tcBorders>
              <w:top w:val="nil"/>
              <w:left w:val="nil"/>
              <w:bottom w:val="nil"/>
              <w:right w:val="nil"/>
            </w:tcBorders>
            <w:shd w:val="clear" w:color="auto" w:fill="auto"/>
            <w:noWrap/>
            <w:vAlign w:val="bottom"/>
            <w:hideMark/>
          </w:tcPr>
          <w:p w14:paraId="49A3165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0.401</w:t>
            </w:r>
          </w:p>
        </w:tc>
        <w:tc>
          <w:tcPr>
            <w:tcW w:w="578" w:type="dxa"/>
            <w:tcBorders>
              <w:top w:val="nil"/>
              <w:left w:val="nil"/>
              <w:bottom w:val="nil"/>
              <w:right w:val="nil"/>
            </w:tcBorders>
            <w:shd w:val="clear" w:color="auto" w:fill="auto"/>
            <w:noWrap/>
            <w:vAlign w:val="bottom"/>
            <w:hideMark/>
          </w:tcPr>
          <w:p w14:paraId="109E278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0.404</w:t>
            </w:r>
          </w:p>
        </w:tc>
        <w:tc>
          <w:tcPr>
            <w:tcW w:w="730" w:type="dxa"/>
            <w:tcBorders>
              <w:top w:val="nil"/>
              <w:left w:val="nil"/>
              <w:bottom w:val="nil"/>
              <w:right w:val="nil"/>
            </w:tcBorders>
            <w:shd w:val="clear" w:color="auto" w:fill="auto"/>
            <w:noWrap/>
            <w:vAlign w:val="bottom"/>
            <w:hideMark/>
          </w:tcPr>
          <w:p w14:paraId="1E5F714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-0.180</w:t>
            </w:r>
          </w:p>
        </w:tc>
        <w:tc>
          <w:tcPr>
            <w:tcW w:w="660" w:type="dxa"/>
            <w:tcBorders>
              <w:top w:val="nil"/>
              <w:left w:val="nil"/>
              <w:bottom w:val="nil"/>
              <w:right w:val="nil"/>
            </w:tcBorders>
            <w:shd w:val="clear" w:color="auto" w:fill="auto"/>
            <w:noWrap/>
            <w:vAlign w:val="bottom"/>
            <w:hideMark/>
          </w:tcPr>
          <w:p w14:paraId="4E88DD8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0.406</w:t>
            </w:r>
          </w:p>
        </w:tc>
        <w:tc>
          <w:tcPr>
            <w:tcW w:w="578" w:type="dxa"/>
            <w:tcBorders>
              <w:top w:val="nil"/>
              <w:left w:val="nil"/>
              <w:bottom w:val="nil"/>
              <w:right w:val="nil"/>
            </w:tcBorders>
            <w:shd w:val="clear" w:color="auto" w:fill="auto"/>
            <w:noWrap/>
            <w:vAlign w:val="bottom"/>
            <w:hideMark/>
          </w:tcPr>
          <w:p w14:paraId="73A8254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0.586</w:t>
            </w:r>
          </w:p>
        </w:tc>
        <w:tc>
          <w:tcPr>
            <w:tcW w:w="578" w:type="dxa"/>
            <w:tcBorders>
              <w:top w:val="nil"/>
              <w:left w:val="nil"/>
              <w:bottom w:val="nil"/>
              <w:right w:val="nil"/>
            </w:tcBorders>
            <w:shd w:val="clear" w:color="auto" w:fill="auto"/>
            <w:noWrap/>
            <w:vAlign w:val="bottom"/>
            <w:hideMark/>
          </w:tcPr>
          <w:p w14:paraId="14AA80A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0.834</w:t>
            </w:r>
          </w:p>
        </w:tc>
      </w:tr>
      <w:tr w:rsidR="00F80FF3" w:rsidRPr="00F80FF3" w14:paraId="2056604F" w14:textId="77777777" w:rsidTr="00F80FF3">
        <w:trPr>
          <w:trHeight w:val="320"/>
        </w:trPr>
        <w:tc>
          <w:tcPr>
            <w:tcW w:w="2620" w:type="dxa"/>
            <w:tcBorders>
              <w:top w:val="nil"/>
              <w:left w:val="nil"/>
              <w:bottom w:val="nil"/>
              <w:right w:val="nil"/>
            </w:tcBorders>
            <w:shd w:val="clear" w:color="auto" w:fill="auto"/>
            <w:noWrap/>
            <w:vAlign w:val="bottom"/>
            <w:hideMark/>
          </w:tcPr>
          <w:p w14:paraId="1B512C73"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China, Hong Kong SAR</w:t>
            </w:r>
          </w:p>
        </w:tc>
        <w:tc>
          <w:tcPr>
            <w:tcW w:w="578" w:type="dxa"/>
            <w:tcBorders>
              <w:top w:val="nil"/>
              <w:left w:val="nil"/>
              <w:bottom w:val="nil"/>
              <w:right w:val="nil"/>
            </w:tcBorders>
            <w:shd w:val="clear" w:color="auto" w:fill="auto"/>
            <w:noWrap/>
            <w:vAlign w:val="bottom"/>
            <w:hideMark/>
          </w:tcPr>
          <w:p w14:paraId="1422F52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0.933</w:t>
            </w:r>
          </w:p>
        </w:tc>
        <w:tc>
          <w:tcPr>
            <w:tcW w:w="864" w:type="dxa"/>
            <w:tcBorders>
              <w:top w:val="nil"/>
              <w:left w:val="nil"/>
              <w:bottom w:val="nil"/>
              <w:right w:val="nil"/>
            </w:tcBorders>
            <w:shd w:val="clear" w:color="auto" w:fill="auto"/>
            <w:noWrap/>
            <w:vAlign w:val="bottom"/>
            <w:hideMark/>
          </w:tcPr>
          <w:p w14:paraId="1C235D3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13BBD97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0.906</w:t>
            </w:r>
          </w:p>
        </w:tc>
        <w:tc>
          <w:tcPr>
            <w:tcW w:w="601" w:type="dxa"/>
            <w:tcBorders>
              <w:top w:val="nil"/>
              <w:left w:val="nil"/>
              <w:bottom w:val="nil"/>
              <w:right w:val="nil"/>
            </w:tcBorders>
            <w:shd w:val="clear" w:color="auto" w:fill="auto"/>
            <w:noWrap/>
            <w:vAlign w:val="bottom"/>
            <w:hideMark/>
          </w:tcPr>
          <w:p w14:paraId="2892F6A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0.930</w:t>
            </w:r>
          </w:p>
        </w:tc>
        <w:tc>
          <w:tcPr>
            <w:tcW w:w="615" w:type="dxa"/>
            <w:tcBorders>
              <w:top w:val="nil"/>
              <w:left w:val="nil"/>
              <w:bottom w:val="nil"/>
              <w:right w:val="nil"/>
            </w:tcBorders>
            <w:shd w:val="clear" w:color="auto" w:fill="auto"/>
            <w:noWrap/>
            <w:vAlign w:val="bottom"/>
            <w:hideMark/>
          </w:tcPr>
          <w:p w14:paraId="290C927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1.246</w:t>
            </w:r>
          </w:p>
        </w:tc>
        <w:tc>
          <w:tcPr>
            <w:tcW w:w="578" w:type="dxa"/>
            <w:tcBorders>
              <w:top w:val="nil"/>
              <w:left w:val="nil"/>
              <w:bottom w:val="nil"/>
              <w:right w:val="nil"/>
            </w:tcBorders>
            <w:shd w:val="clear" w:color="auto" w:fill="auto"/>
            <w:noWrap/>
            <w:vAlign w:val="bottom"/>
            <w:hideMark/>
          </w:tcPr>
          <w:p w14:paraId="625BFBD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0.316</w:t>
            </w:r>
          </w:p>
        </w:tc>
        <w:tc>
          <w:tcPr>
            <w:tcW w:w="730" w:type="dxa"/>
            <w:tcBorders>
              <w:top w:val="nil"/>
              <w:left w:val="nil"/>
              <w:bottom w:val="nil"/>
              <w:right w:val="nil"/>
            </w:tcBorders>
            <w:shd w:val="clear" w:color="auto" w:fill="auto"/>
            <w:noWrap/>
            <w:vAlign w:val="bottom"/>
            <w:hideMark/>
          </w:tcPr>
          <w:p w14:paraId="7DD8E5F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0.893</w:t>
            </w:r>
          </w:p>
        </w:tc>
        <w:tc>
          <w:tcPr>
            <w:tcW w:w="660" w:type="dxa"/>
            <w:tcBorders>
              <w:top w:val="nil"/>
              <w:left w:val="nil"/>
              <w:bottom w:val="nil"/>
              <w:right w:val="nil"/>
            </w:tcBorders>
            <w:shd w:val="clear" w:color="auto" w:fill="auto"/>
            <w:noWrap/>
            <w:vAlign w:val="bottom"/>
            <w:hideMark/>
          </w:tcPr>
          <w:p w14:paraId="04FBB29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1.183</w:t>
            </w:r>
          </w:p>
        </w:tc>
        <w:tc>
          <w:tcPr>
            <w:tcW w:w="578" w:type="dxa"/>
            <w:tcBorders>
              <w:top w:val="nil"/>
              <w:left w:val="nil"/>
              <w:bottom w:val="nil"/>
              <w:right w:val="nil"/>
            </w:tcBorders>
            <w:shd w:val="clear" w:color="auto" w:fill="auto"/>
            <w:noWrap/>
            <w:vAlign w:val="bottom"/>
            <w:hideMark/>
          </w:tcPr>
          <w:p w14:paraId="46FF0D9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0.290</w:t>
            </w:r>
          </w:p>
        </w:tc>
        <w:tc>
          <w:tcPr>
            <w:tcW w:w="578" w:type="dxa"/>
            <w:tcBorders>
              <w:top w:val="nil"/>
              <w:left w:val="nil"/>
              <w:bottom w:val="nil"/>
              <w:right w:val="nil"/>
            </w:tcBorders>
            <w:shd w:val="clear" w:color="auto" w:fill="auto"/>
            <w:noWrap/>
            <w:vAlign w:val="bottom"/>
            <w:hideMark/>
          </w:tcPr>
          <w:p w14:paraId="41BA3A2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0.835</w:t>
            </w:r>
          </w:p>
        </w:tc>
      </w:tr>
      <w:tr w:rsidR="00F80FF3" w:rsidRPr="00F80FF3" w14:paraId="3C64C0C6" w14:textId="77777777" w:rsidTr="00F80FF3">
        <w:trPr>
          <w:trHeight w:val="320"/>
        </w:trPr>
        <w:tc>
          <w:tcPr>
            <w:tcW w:w="2620" w:type="dxa"/>
            <w:tcBorders>
              <w:top w:val="nil"/>
              <w:left w:val="nil"/>
              <w:bottom w:val="nil"/>
              <w:right w:val="nil"/>
            </w:tcBorders>
            <w:shd w:val="clear" w:color="auto" w:fill="auto"/>
            <w:noWrap/>
            <w:vAlign w:val="bottom"/>
            <w:hideMark/>
          </w:tcPr>
          <w:p w14:paraId="2CB984A0"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Colombia</w:t>
            </w:r>
          </w:p>
        </w:tc>
        <w:tc>
          <w:tcPr>
            <w:tcW w:w="578" w:type="dxa"/>
            <w:tcBorders>
              <w:top w:val="nil"/>
              <w:left w:val="nil"/>
              <w:bottom w:val="nil"/>
              <w:right w:val="nil"/>
            </w:tcBorders>
            <w:shd w:val="clear" w:color="auto" w:fill="auto"/>
            <w:noWrap/>
            <w:vAlign w:val="bottom"/>
            <w:hideMark/>
          </w:tcPr>
          <w:p w14:paraId="6421C45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0.747</w:t>
            </w:r>
          </w:p>
        </w:tc>
        <w:tc>
          <w:tcPr>
            <w:tcW w:w="864" w:type="dxa"/>
            <w:tcBorders>
              <w:top w:val="nil"/>
              <w:left w:val="single" w:sz="4" w:space="0" w:color="auto"/>
              <w:bottom w:val="nil"/>
              <w:right w:val="single" w:sz="8" w:space="0" w:color="auto"/>
            </w:tcBorders>
            <w:shd w:val="clear" w:color="auto" w:fill="auto"/>
            <w:noWrap/>
            <w:vAlign w:val="bottom"/>
            <w:hideMark/>
          </w:tcPr>
          <w:p w14:paraId="7E77269B"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24395</w:t>
            </w:r>
          </w:p>
        </w:tc>
        <w:tc>
          <w:tcPr>
            <w:tcW w:w="618" w:type="dxa"/>
            <w:tcBorders>
              <w:top w:val="nil"/>
              <w:left w:val="nil"/>
              <w:bottom w:val="nil"/>
              <w:right w:val="nil"/>
            </w:tcBorders>
            <w:shd w:val="clear" w:color="auto" w:fill="auto"/>
            <w:noWrap/>
            <w:vAlign w:val="bottom"/>
            <w:hideMark/>
          </w:tcPr>
          <w:p w14:paraId="3C110E0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-0.479</w:t>
            </w:r>
          </w:p>
        </w:tc>
        <w:tc>
          <w:tcPr>
            <w:tcW w:w="601" w:type="dxa"/>
            <w:tcBorders>
              <w:top w:val="nil"/>
              <w:left w:val="nil"/>
              <w:bottom w:val="nil"/>
              <w:right w:val="nil"/>
            </w:tcBorders>
            <w:shd w:val="clear" w:color="auto" w:fill="auto"/>
            <w:noWrap/>
            <w:vAlign w:val="bottom"/>
            <w:hideMark/>
          </w:tcPr>
          <w:p w14:paraId="755511C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-0.337</w:t>
            </w:r>
          </w:p>
        </w:tc>
        <w:tc>
          <w:tcPr>
            <w:tcW w:w="615" w:type="dxa"/>
            <w:tcBorders>
              <w:top w:val="nil"/>
              <w:left w:val="nil"/>
              <w:bottom w:val="nil"/>
              <w:right w:val="nil"/>
            </w:tcBorders>
            <w:shd w:val="clear" w:color="auto" w:fill="auto"/>
            <w:noWrap/>
            <w:vAlign w:val="bottom"/>
            <w:hideMark/>
          </w:tcPr>
          <w:p w14:paraId="5B976E8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-0.236</w:t>
            </w:r>
          </w:p>
        </w:tc>
        <w:tc>
          <w:tcPr>
            <w:tcW w:w="578" w:type="dxa"/>
            <w:tcBorders>
              <w:top w:val="nil"/>
              <w:left w:val="nil"/>
              <w:bottom w:val="nil"/>
              <w:right w:val="nil"/>
            </w:tcBorders>
            <w:shd w:val="clear" w:color="auto" w:fill="auto"/>
            <w:noWrap/>
            <w:vAlign w:val="bottom"/>
            <w:hideMark/>
          </w:tcPr>
          <w:p w14:paraId="5B77570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0.101</w:t>
            </w:r>
          </w:p>
        </w:tc>
        <w:tc>
          <w:tcPr>
            <w:tcW w:w="730" w:type="dxa"/>
            <w:tcBorders>
              <w:top w:val="nil"/>
              <w:left w:val="nil"/>
              <w:bottom w:val="nil"/>
              <w:right w:val="nil"/>
            </w:tcBorders>
            <w:shd w:val="clear" w:color="auto" w:fill="auto"/>
            <w:noWrap/>
            <w:vAlign w:val="bottom"/>
            <w:hideMark/>
          </w:tcPr>
          <w:p w14:paraId="0C53882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-0.527</w:t>
            </w:r>
          </w:p>
        </w:tc>
        <w:tc>
          <w:tcPr>
            <w:tcW w:w="660" w:type="dxa"/>
            <w:tcBorders>
              <w:top w:val="nil"/>
              <w:left w:val="nil"/>
              <w:bottom w:val="nil"/>
              <w:right w:val="nil"/>
            </w:tcBorders>
            <w:shd w:val="clear" w:color="auto" w:fill="auto"/>
            <w:noWrap/>
            <w:vAlign w:val="bottom"/>
            <w:hideMark/>
          </w:tcPr>
          <w:p w14:paraId="7B9B38B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-0.073</w:t>
            </w:r>
          </w:p>
        </w:tc>
        <w:tc>
          <w:tcPr>
            <w:tcW w:w="578" w:type="dxa"/>
            <w:tcBorders>
              <w:top w:val="nil"/>
              <w:left w:val="nil"/>
              <w:bottom w:val="nil"/>
              <w:right w:val="nil"/>
            </w:tcBorders>
            <w:shd w:val="clear" w:color="auto" w:fill="auto"/>
            <w:noWrap/>
            <w:vAlign w:val="bottom"/>
            <w:hideMark/>
          </w:tcPr>
          <w:p w14:paraId="0CDC1B6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0.454</w:t>
            </w:r>
          </w:p>
        </w:tc>
        <w:tc>
          <w:tcPr>
            <w:tcW w:w="578" w:type="dxa"/>
            <w:tcBorders>
              <w:top w:val="nil"/>
              <w:left w:val="nil"/>
              <w:bottom w:val="nil"/>
              <w:right w:val="nil"/>
            </w:tcBorders>
            <w:shd w:val="clear" w:color="auto" w:fill="auto"/>
            <w:noWrap/>
            <w:vAlign w:val="bottom"/>
            <w:hideMark/>
          </w:tcPr>
          <w:p w14:paraId="7313099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0.802</w:t>
            </w:r>
          </w:p>
        </w:tc>
      </w:tr>
      <w:tr w:rsidR="00F80FF3" w:rsidRPr="00F80FF3" w14:paraId="17E5512A" w14:textId="77777777" w:rsidTr="00F80FF3">
        <w:trPr>
          <w:trHeight w:val="320"/>
        </w:trPr>
        <w:tc>
          <w:tcPr>
            <w:tcW w:w="2620" w:type="dxa"/>
            <w:tcBorders>
              <w:top w:val="nil"/>
              <w:left w:val="nil"/>
              <w:bottom w:val="nil"/>
              <w:right w:val="nil"/>
            </w:tcBorders>
            <w:shd w:val="clear" w:color="auto" w:fill="auto"/>
            <w:noWrap/>
            <w:vAlign w:val="bottom"/>
            <w:hideMark/>
          </w:tcPr>
          <w:p w14:paraId="004445C6"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Costa Rica</w:t>
            </w:r>
          </w:p>
        </w:tc>
        <w:tc>
          <w:tcPr>
            <w:tcW w:w="578" w:type="dxa"/>
            <w:tcBorders>
              <w:top w:val="nil"/>
              <w:left w:val="nil"/>
              <w:bottom w:val="nil"/>
              <w:right w:val="nil"/>
            </w:tcBorders>
            <w:shd w:val="clear" w:color="auto" w:fill="auto"/>
            <w:noWrap/>
            <w:vAlign w:val="bottom"/>
            <w:hideMark/>
          </w:tcPr>
          <w:p w14:paraId="5635683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0.794</w:t>
            </w:r>
          </w:p>
        </w:tc>
        <w:tc>
          <w:tcPr>
            <w:tcW w:w="864" w:type="dxa"/>
            <w:tcBorders>
              <w:top w:val="nil"/>
              <w:left w:val="single" w:sz="4" w:space="0" w:color="auto"/>
              <w:bottom w:val="nil"/>
              <w:right w:val="single" w:sz="8" w:space="0" w:color="auto"/>
            </w:tcBorders>
            <w:shd w:val="clear" w:color="auto" w:fill="auto"/>
            <w:noWrap/>
            <w:vAlign w:val="bottom"/>
            <w:hideMark/>
          </w:tcPr>
          <w:p w14:paraId="59ECC58D"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46531</w:t>
            </w:r>
          </w:p>
        </w:tc>
        <w:tc>
          <w:tcPr>
            <w:tcW w:w="618" w:type="dxa"/>
            <w:tcBorders>
              <w:top w:val="nil"/>
              <w:left w:val="nil"/>
              <w:bottom w:val="nil"/>
              <w:right w:val="nil"/>
            </w:tcBorders>
            <w:shd w:val="clear" w:color="auto" w:fill="auto"/>
            <w:noWrap/>
            <w:vAlign w:val="bottom"/>
            <w:hideMark/>
          </w:tcPr>
          <w:p w14:paraId="6B638ED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-0.409</w:t>
            </w:r>
          </w:p>
        </w:tc>
        <w:tc>
          <w:tcPr>
            <w:tcW w:w="601" w:type="dxa"/>
            <w:tcBorders>
              <w:top w:val="nil"/>
              <w:left w:val="nil"/>
              <w:bottom w:val="nil"/>
              <w:right w:val="nil"/>
            </w:tcBorders>
            <w:shd w:val="clear" w:color="auto" w:fill="auto"/>
            <w:noWrap/>
            <w:vAlign w:val="bottom"/>
            <w:hideMark/>
          </w:tcPr>
          <w:p w14:paraId="656B6EB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-0.456</w:t>
            </w:r>
          </w:p>
        </w:tc>
        <w:tc>
          <w:tcPr>
            <w:tcW w:w="615" w:type="dxa"/>
            <w:tcBorders>
              <w:top w:val="nil"/>
              <w:left w:val="nil"/>
              <w:bottom w:val="nil"/>
              <w:right w:val="nil"/>
            </w:tcBorders>
            <w:shd w:val="clear" w:color="auto" w:fill="auto"/>
            <w:noWrap/>
            <w:vAlign w:val="bottom"/>
            <w:hideMark/>
          </w:tcPr>
          <w:p w14:paraId="6582A37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0.019</w:t>
            </w:r>
          </w:p>
        </w:tc>
        <w:tc>
          <w:tcPr>
            <w:tcW w:w="578" w:type="dxa"/>
            <w:tcBorders>
              <w:top w:val="nil"/>
              <w:left w:val="nil"/>
              <w:bottom w:val="nil"/>
              <w:right w:val="nil"/>
            </w:tcBorders>
            <w:shd w:val="clear" w:color="auto" w:fill="auto"/>
            <w:noWrap/>
            <w:vAlign w:val="bottom"/>
            <w:hideMark/>
          </w:tcPr>
          <w:p w14:paraId="5FC5EF4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0.475</w:t>
            </w:r>
          </w:p>
        </w:tc>
        <w:tc>
          <w:tcPr>
            <w:tcW w:w="730" w:type="dxa"/>
            <w:tcBorders>
              <w:top w:val="nil"/>
              <w:left w:val="nil"/>
              <w:bottom w:val="nil"/>
              <w:right w:val="nil"/>
            </w:tcBorders>
            <w:shd w:val="clear" w:color="auto" w:fill="auto"/>
            <w:noWrap/>
            <w:vAlign w:val="bottom"/>
            <w:hideMark/>
          </w:tcPr>
          <w:p w14:paraId="4779A24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-0.459</w:t>
            </w:r>
          </w:p>
        </w:tc>
        <w:tc>
          <w:tcPr>
            <w:tcW w:w="660" w:type="dxa"/>
            <w:tcBorders>
              <w:top w:val="nil"/>
              <w:left w:val="nil"/>
              <w:bottom w:val="nil"/>
              <w:right w:val="nil"/>
            </w:tcBorders>
            <w:shd w:val="clear" w:color="auto" w:fill="auto"/>
            <w:noWrap/>
            <w:vAlign w:val="bottom"/>
            <w:hideMark/>
          </w:tcPr>
          <w:p w14:paraId="20545B8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0.015</w:t>
            </w:r>
          </w:p>
        </w:tc>
        <w:tc>
          <w:tcPr>
            <w:tcW w:w="578" w:type="dxa"/>
            <w:tcBorders>
              <w:top w:val="nil"/>
              <w:left w:val="nil"/>
              <w:bottom w:val="nil"/>
              <w:right w:val="nil"/>
            </w:tcBorders>
            <w:shd w:val="clear" w:color="auto" w:fill="auto"/>
            <w:noWrap/>
            <w:vAlign w:val="bottom"/>
            <w:hideMark/>
          </w:tcPr>
          <w:p w14:paraId="5F4952E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0.474</w:t>
            </w:r>
          </w:p>
        </w:tc>
        <w:tc>
          <w:tcPr>
            <w:tcW w:w="578" w:type="dxa"/>
            <w:tcBorders>
              <w:top w:val="nil"/>
              <w:left w:val="nil"/>
              <w:bottom w:val="nil"/>
              <w:right w:val="nil"/>
            </w:tcBorders>
            <w:shd w:val="clear" w:color="auto" w:fill="auto"/>
            <w:noWrap/>
            <w:vAlign w:val="bottom"/>
            <w:hideMark/>
          </w:tcPr>
          <w:p w14:paraId="1AFDDBC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0.683</w:t>
            </w:r>
          </w:p>
        </w:tc>
      </w:tr>
      <w:tr w:rsidR="00F80FF3" w:rsidRPr="00F80FF3" w14:paraId="64DFF015" w14:textId="77777777" w:rsidTr="00F80FF3">
        <w:trPr>
          <w:trHeight w:val="320"/>
        </w:trPr>
        <w:tc>
          <w:tcPr>
            <w:tcW w:w="2620" w:type="dxa"/>
            <w:tcBorders>
              <w:top w:val="nil"/>
              <w:left w:val="nil"/>
              <w:bottom w:val="nil"/>
              <w:right w:val="nil"/>
            </w:tcBorders>
            <w:shd w:val="clear" w:color="auto" w:fill="auto"/>
            <w:noWrap/>
            <w:vAlign w:val="bottom"/>
            <w:hideMark/>
          </w:tcPr>
          <w:p w14:paraId="53677300"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Croatia</w:t>
            </w:r>
          </w:p>
        </w:tc>
        <w:tc>
          <w:tcPr>
            <w:tcW w:w="578" w:type="dxa"/>
            <w:tcBorders>
              <w:top w:val="nil"/>
              <w:left w:val="nil"/>
              <w:bottom w:val="nil"/>
              <w:right w:val="nil"/>
            </w:tcBorders>
            <w:shd w:val="clear" w:color="auto" w:fill="auto"/>
            <w:noWrap/>
            <w:vAlign w:val="bottom"/>
            <w:hideMark/>
          </w:tcPr>
          <w:p w14:paraId="42B3B06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0.831</w:t>
            </w:r>
          </w:p>
        </w:tc>
        <w:tc>
          <w:tcPr>
            <w:tcW w:w="864" w:type="dxa"/>
            <w:tcBorders>
              <w:top w:val="nil"/>
              <w:left w:val="single" w:sz="4" w:space="0" w:color="auto"/>
              <w:bottom w:val="nil"/>
              <w:right w:val="single" w:sz="8" w:space="0" w:color="auto"/>
            </w:tcBorders>
            <w:shd w:val="clear" w:color="auto" w:fill="auto"/>
            <w:noWrap/>
            <w:vAlign w:val="bottom"/>
            <w:hideMark/>
          </w:tcPr>
          <w:p w14:paraId="02840EE2"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50722</w:t>
            </w:r>
          </w:p>
        </w:tc>
        <w:tc>
          <w:tcPr>
            <w:tcW w:w="618" w:type="dxa"/>
            <w:tcBorders>
              <w:top w:val="nil"/>
              <w:left w:val="nil"/>
              <w:bottom w:val="nil"/>
              <w:right w:val="nil"/>
            </w:tcBorders>
            <w:shd w:val="clear" w:color="auto" w:fill="auto"/>
            <w:noWrap/>
            <w:vAlign w:val="bottom"/>
            <w:hideMark/>
          </w:tcPr>
          <w:p w14:paraId="1F3B99F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0.246</w:t>
            </w:r>
          </w:p>
        </w:tc>
        <w:tc>
          <w:tcPr>
            <w:tcW w:w="601" w:type="dxa"/>
            <w:tcBorders>
              <w:top w:val="nil"/>
              <w:left w:val="nil"/>
              <w:bottom w:val="nil"/>
              <w:right w:val="nil"/>
            </w:tcBorders>
            <w:shd w:val="clear" w:color="auto" w:fill="auto"/>
            <w:noWrap/>
            <w:vAlign w:val="bottom"/>
            <w:hideMark/>
          </w:tcPr>
          <w:p w14:paraId="4C8D81F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0.170</w:t>
            </w:r>
          </w:p>
        </w:tc>
        <w:tc>
          <w:tcPr>
            <w:tcW w:w="615" w:type="dxa"/>
            <w:tcBorders>
              <w:top w:val="nil"/>
              <w:left w:val="nil"/>
              <w:bottom w:val="nil"/>
              <w:right w:val="nil"/>
            </w:tcBorders>
            <w:shd w:val="clear" w:color="auto" w:fill="auto"/>
            <w:noWrap/>
            <w:vAlign w:val="bottom"/>
            <w:hideMark/>
          </w:tcPr>
          <w:p w14:paraId="6BC032F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0.786</w:t>
            </w:r>
          </w:p>
        </w:tc>
        <w:tc>
          <w:tcPr>
            <w:tcW w:w="578" w:type="dxa"/>
            <w:tcBorders>
              <w:top w:val="nil"/>
              <w:left w:val="nil"/>
              <w:bottom w:val="nil"/>
              <w:right w:val="nil"/>
            </w:tcBorders>
            <w:shd w:val="clear" w:color="auto" w:fill="auto"/>
            <w:noWrap/>
            <w:vAlign w:val="bottom"/>
            <w:hideMark/>
          </w:tcPr>
          <w:p w14:paraId="477094E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0.616</w:t>
            </w:r>
          </w:p>
        </w:tc>
        <w:tc>
          <w:tcPr>
            <w:tcW w:w="730" w:type="dxa"/>
            <w:tcBorders>
              <w:top w:val="nil"/>
              <w:left w:val="nil"/>
              <w:bottom w:val="nil"/>
              <w:right w:val="nil"/>
            </w:tcBorders>
            <w:shd w:val="clear" w:color="auto" w:fill="auto"/>
            <w:noWrap/>
            <w:vAlign w:val="bottom"/>
            <w:hideMark/>
          </w:tcPr>
          <w:p w14:paraId="450C89E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0.149</w:t>
            </w:r>
          </w:p>
        </w:tc>
        <w:tc>
          <w:tcPr>
            <w:tcW w:w="660" w:type="dxa"/>
            <w:tcBorders>
              <w:top w:val="nil"/>
              <w:left w:val="nil"/>
              <w:bottom w:val="nil"/>
              <w:right w:val="nil"/>
            </w:tcBorders>
            <w:shd w:val="clear" w:color="auto" w:fill="auto"/>
            <w:noWrap/>
            <w:vAlign w:val="bottom"/>
            <w:hideMark/>
          </w:tcPr>
          <w:p w14:paraId="0D12462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0.946</w:t>
            </w:r>
          </w:p>
        </w:tc>
        <w:tc>
          <w:tcPr>
            <w:tcW w:w="578" w:type="dxa"/>
            <w:tcBorders>
              <w:top w:val="nil"/>
              <w:left w:val="nil"/>
              <w:bottom w:val="nil"/>
              <w:right w:val="nil"/>
            </w:tcBorders>
            <w:shd w:val="clear" w:color="auto" w:fill="auto"/>
            <w:noWrap/>
            <w:vAlign w:val="bottom"/>
            <w:hideMark/>
          </w:tcPr>
          <w:p w14:paraId="111AB9C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0.797</w:t>
            </w:r>
          </w:p>
        </w:tc>
        <w:tc>
          <w:tcPr>
            <w:tcW w:w="578" w:type="dxa"/>
            <w:tcBorders>
              <w:top w:val="nil"/>
              <w:left w:val="nil"/>
              <w:bottom w:val="nil"/>
              <w:right w:val="nil"/>
            </w:tcBorders>
            <w:shd w:val="clear" w:color="auto" w:fill="auto"/>
            <w:noWrap/>
            <w:vAlign w:val="bottom"/>
            <w:hideMark/>
          </w:tcPr>
          <w:p w14:paraId="4955350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0.862</w:t>
            </w:r>
          </w:p>
        </w:tc>
      </w:tr>
      <w:tr w:rsidR="00F80FF3" w:rsidRPr="00F80FF3" w14:paraId="708B3751" w14:textId="77777777" w:rsidTr="00F80FF3">
        <w:trPr>
          <w:trHeight w:val="320"/>
        </w:trPr>
        <w:tc>
          <w:tcPr>
            <w:tcW w:w="2620" w:type="dxa"/>
            <w:tcBorders>
              <w:top w:val="nil"/>
              <w:left w:val="nil"/>
              <w:bottom w:val="nil"/>
              <w:right w:val="nil"/>
            </w:tcBorders>
            <w:shd w:val="clear" w:color="auto" w:fill="auto"/>
            <w:noWrap/>
            <w:vAlign w:val="bottom"/>
            <w:hideMark/>
          </w:tcPr>
          <w:p w14:paraId="7E0A4BB6"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Czech Republic</w:t>
            </w:r>
          </w:p>
        </w:tc>
        <w:tc>
          <w:tcPr>
            <w:tcW w:w="578" w:type="dxa"/>
            <w:tcBorders>
              <w:top w:val="nil"/>
              <w:left w:val="nil"/>
              <w:bottom w:val="nil"/>
              <w:right w:val="nil"/>
            </w:tcBorders>
            <w:shd w:val="clear" w:color="auto" w:fill="auto"/>
            <w:noWrap/>
            <w:vAlign w:val="bottom"/>
            <w:hideMark/>
          </w:tcPr>
          <w:p w14:paraId="6C078F8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0.888</w:t>
            </w:r>
          </w:p>
        </w:tc>
        <w:tc>
          <w:tcPr>
            <w:tcW w:w="864" w:type="dxa"/>
            <w:tcBorders>
              <w:top w:val="nil"/>
              <w:left w:val="nil"/>
              <w:bottom w:val="nil"/>
              <w:right w:val="nil"/>
            </w:tcBorders>
            <w:shd w:val="clear" w:color="auto" w:fill="auto"/>
            <w:noWrap/>
            <w:vAlign w:val="bottom"/>
            <w:hideMark/>
          </w:tcPr>
          <w:p w14:paraId="79195AF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63576</w:t>
            </w:r>
          </w:p>
        </w:tc>
        <w:tc>
          <w:tcPr>
            <w:tcW w:w="618" w:type="dxa"/>
            <w:tcBorders>
              <w:top w:val="nil"/>
              <w:left w:val="nil"/>
              <w:bottom w:val="nil"/>
              <w:right w:val="nil"/>
            </w:tcBorders>
            <w:shd w:val="clear" w:color="auto" w:fill="auto"/>
            <w:noWrap/>
            <w:vAlign w:val="bottom"/>
            <w:hideMark/>
          </w:tcPr>
          <w:p w14:paraId="5CC2E55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0.400</w:t>
            </w:r>
          </w:p>
        </w:tc>
        <w:tc>
          <w:tcPr>
            <w:tcW w:w="601" w:type="dxa"/>
            <w:tcBorders>
              <w:top w:val="nil"/>
              <w:left w:val="nil"/>
              <w:bottom w:val="nil"/>
              <w:right w:val="nil"/>
            </w:tcBorders>
            <w:shd w:val="clear" w:color="auto" w:fill="auto"/>
            <w:noWrap/>
            <w:vAlign w:val="bottom"/>
            <w:hideMark/>
          </w:tcPr>
          <w:p w14:paraId="3BE4CB9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0.469</w:t>
            </w:r>
          </w:p>
        </w:tc>
        <w:tc>
          <w:tcPr>
            <w:tcW w:w="615" w:type="dxa"/>
            <w:tcBorders>
              <w:top w:val="nil"/>
              <w:left w:val="nil"/>
              <w:bottom w:val="nil"/>
              <w:right w:val="nil"/>
            </w:tcBorders>
            <w:shd w:val="clear" w:color="auto" w:fill="auto"/>
            <w:noWrap/>
            <w:vAlign w:val="bottom"/>
            <w:hideMark/>
          </w:tcPr>
          <w:p w14:paraId="536428C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1.049</w:t>
            </w:r>
          </w:p>
        </w:tc>
        <w:tc>
          <w:tcPr>
            <w:tcW w:w="578" w:type="dxa"/>
            <w:tcBorders>
              <w:top w:val="nil"/>
              <w:left w:val="nil"/>
              <w:bottom w:val="nil"/>
              <w:right w:val="nil"/>
            </w:tcBorders>
            <w:shd w:val="clear" w:color="auto" w:fill="auto"/>
            <w:noWrap/>
            <w:vAlign w:val="bottom"/>
            <w:hideMark/>
          </w:tcPr>
          <w:p w14:paraId="447DB6A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0.580</w:t>
            </w:r>
          </w:p>
        </w:tc>
        <w:tc>
          <w:tcPr>
            <w:tcW w:w="730" w:type="dxa"/>
            <w:tcBorders>
              <w:top w:val="nil"/>
              <w:left w:val="nil"/>
              <w:bottom w:val="nil"/>
              <w:right w:val="nil"/>
            </w:tcBorders>
            <w:shd w:val="clear" w:color="auto" w:fill="auto"/>
            <w:noWrap/>
            <w:vAlign w:val="bottom"/>
            <w:hideMark/>
          </w:tcPr>
          <w:p w14:paraId="25D52CB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0.243</w:t>
            </w:r>
          </w:p>
        </w:tc>
        <w:tc>
          <w:tcPr>
            <w:tcW w:w="660" w:type="dxa"/>
            <w:tcBorders>
              <w:top w:val="nil"/>
              <w:left w:val="nil"/>
              <w:bottom w:val="nil"/>
              <w:right w:val="nil"/>
            </w:tcBorders>
            <w:shd w:val="clear" w:color="auto" w:fill="auto"/>
            <w:noWrap/>
            <w:vAlign w:val="bottom"/>
            <w:hideMark/>
          </w:tcPr>
          <w:p w14:paraId="7E22231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1.109</w:t>
            </w:r>
          </w:p>
        </w:tc>
        <w:tc>
          <w:tcPr>
            <w:tcW w:w="578" w:type="dxa"/>
            <w:tcBorders>
              <w:top w:val="nil"/>
              <w:left w:val="nil"/>
              <w:bottom w:val="nil"/>
              <w:right w:val="nil"/>
            </w:tcBorders>
            <w:shd w:val="clear" w:color="auto" w:fill="auto"/>
            <w:noWrap/>
            <w:vAlign w:val="bottom"/>
            <w:hideMark/>
          </w:tcPr>
          <w:p w14:paraId="7EA9917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0.866</w:t>
            </w:r>
          </w:p>
        </w:tc>
        <w:tc>
          <w:tcPr>
            <w:tcW w:w="578" w:type="dxa"/>
            <w:tcBorders>
              <w:top w:val="nil"/>
              <w:left w:val="nil"/>
              <w:bottom w:val="nil"/>
              <w:right w:val="nil"/>
            </w:tcBorders>
            <w:shd w:val="clear" w:color="auto" w:fill="auto"/>
            <w:noWrap/>
            <w:vAlign w:val="bottom"/>
            <w:hideMark/>
          </w:tcPr>
          <w:p w14:paraId="4A3F116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0.936</w:t>
            </w:r>
          </w:p>
        </w:tc>
      </w:tr>
      <w:tr w:rsidR="00F80FF3" w:rsidRPr="00F80FF3" w14:paraId="1D0D6870" w14:textId="77777777" w:rsidTr="00F80FF3">
        <w:trPr>
          <w:trHeight w:val="320"/>
        </w:trPr>
        <w:tc>
          <w:tcPr>
            <w:tcW w:w="2620" w:type="dxa"/>
            <w:tcBorders>
              <w:top w:val="nil"/>
              <w:left w:val="nil"/>
              <w:bottom w:val="nil"/>
              <w:right w:val="nil"/>
            </w:tcBorders>
            <w:shd w:val="clear" w:color="auto" w:fill="auto"/>
            <w:noWrap/>
            <w:vAlign w:val="bottom"/>
            <w:hideMark/>
          </w:tcPr>
          <w:p w14:paraId="27D60049"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Denmark</w:t>
            </w:r>
          </w:p>
        </w:tc>
        <w:tc>
          <w:tcPr>
            <w:tcW w:w="578" w:type="dxa"/>
            <w:tcBorders>
              <w:top w:val="nil"/>
              <w:left w:val="nil"/>
              <w:bottom w:val="nil"/>
              <w:right w:val="nil"/>
            </w:tcBorders>
            <w:shd w:val="clear" w:color="auto" w:fill="auto"/>
            <w:noWrap/>
            <w:vAlign w:val="bottom"/>
            <w:hideMark/>
          </w:tcPr>
          <w:p w14:paraId="57D5ACB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0.929</w:t>
            </w:r>
          </w:p>
        </w:tc>
        <w:tc>
          <w:tcPr>
            <w:tcW w:w="864" w:type="dxa"/>
            <w:tcBorders>
              <w:top w:val="nil"/>
              <w:left w:val="single" w:sz="4" w:space="0" w:color="auto"/>
              <w:bottom w:val="nil"/>
              <w:right w:val="single" w:sz="8" w:space="0" w:color="auto"/>
            </w:tcBorders>
            <w:shd w:val="clear" w:color="auto" w:fill="auto"/>
            <w:noWrap/>
            <w:vAlign w:val="bottom"/>
            <w:hideMark/>
          </w:tcPr>
          <w:p w14:paraId="3B4EB04F"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103852</w:t>
            </w:r>
          </w:p>
        </w:tc>
        <w:tc>
          <w:tcPr>
            <w:tcW w:w="618" w:type="dxa"/>
            <w:tcBorders>
              <w:top w:val="nil"/>
              <w:left w:val="nil"/>
              <w:bottom w:val="nil"/>
              <w:right w:val="nil"/>
            </w:tcBorders>
            <w:shd w:val="clear" w:color="auto" w:fill="auto"/>
            <w:noWrap/>
            <w:vAlign w:val="bottom"/>
            <w:hideMark/>
          </w:tcPr>
          <w:p w14:paraId="54CE8E6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0.567</w:t>
            </w:r>
          </w:p>
        </w:tc>
        <w:tc>
          <w:tcPr>
            <w:tcW w:w="601" w:type="dxa"/>
            <w:tcBorders>
              <w:top w:val="nil"/>
              <w:left w:val="nil"/>
              <w:bottom w:val="nil"/>
              <w:right w:val="nil"/>
            </w:tcBorders>
            <w:shd w:val="clear" w:color="auto" w:fill="auto"/>
            <w:noWrap/>
            <w:vAlign w:val="bottom"/>
            <w:hideMark/>
          </w:tcPr>
          <w:p w14:paraId="1339FF1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0.650</w:t>
            </w:r>
          </w:p>
        </w:tc>
        <w:tc>
          <w:tcPr>
            <w:tcW w:w="615" w:type="dxa"/>
            <w:tcBorders>
              <w:top w:val="nil"/>
              <w:left w:val="nil"/>
              <w:bottom w:val="nil"/>
              <w:right w:val="nil"/>
            </w:tcBorders>
            <w:shd w:val="clear" w:color="auto" w:fill="auto"/>
            <w:noWrap/>
            <w:vAlign w:val="bottom"/>
            <w:hideMark/>
          </w:tcPr>
          <w:p w14:paraId="32FC61B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0.810</w:t>
            </w:r>
          </w:p>
        </w:tc>
        <w:tc>
          <w:tcPr>
            <w:tcW w:w="578" w:type="dxa"/>
            <w:tcBorders>
              <w:top w:val="nil"/>
              <w:left w:val="nil"/>
              <w:bottom w:val="nil"/>
              <w:right w:val="nil"/>
            </w:tcBorders>
            <w:shd w:val="clear" w:color="auto" w:fill="auto"/>
            <w:noWrap/>
            <w:vAlign w:val="bottom"/>
            <w:hideMark/>
          </w:tcPr>
          <w:p w14:paraId="173C5D3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0.160</w:t>
            </w:r>
          </w:p>
        </w:tc>
        <w:tc>
          <w:tcPr>
            <w:tcW w:w="730" w:type="dxa"/>
            <w:tcBorders>
              <w:top w:val="nil"/>
              <w:left w:val="nil"/>
              <w:bottom w:val="nil"/>
              <w:right w:val="nil"/>
            </w:tcBorders>
            <w:shd w:val="clear" w:color="auto" w:fill="auto"/>
            <w:noWrap/>
            <w:vAlign w:val="bottom"/>
            <w:hideMark/>
          </w:tcPr>
          <w:p w14:paraId="01D14E1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0.433</w:t>
            </w:r>
          </w:p>
        </w:tc>
        <w:tc>
          <w:tcPr>
            <w:tcW w:w="660" w:type="dxa"/>
            <w:tcBorders>
              <w:top w:val="nil"/>
              <w:left w:val="nil"/>
              <w:bottom w:val="nil"/>
              <w:right w:val="nil"/>
            </w:tcBorders>
            <w:shd w:val="clear" w:color="auto" w:fill="auto"/>
            <w:noWrap/>
            <w:vAlign w:val="bottom"/>
            <w:hideMark/>
          </w:tcPr>
          <w:p w14:paraId="55ACAD6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0.915</w:t>
            </w:r>
          </w:p>
        </w:tc>
        <w:tc>
          <w:tcPr>
            <w:tcW w:w="578" w:type="dxa"/>
            <w:tcBorders>
              <w:top w:val="nil"/>
              <w:left w:val="nil"/>
              <w:bottom w:val="nil"/>
              <w:right w:val="nil"/>
            </w:tcBorders>
            <w:shd w:val="clear" w:color="auto" w:fill="auto"/>
            <w:noWrap/>
            <w:vAlign w:val="bottom"/>
            <w:hideMark/>
          </w:tcPr>
          <w:p w14:paraId="5C85305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0.482</w:t>
            </w:r>
          </w:p>
        </w:tc>
        <w:tc>
          <w:tcPr>
            <w:tcW w:w="578" w:type="dxa"/>
            <w:tcBorders>
              <w:top w:val="nil"/>
              <w:left w:val="nil"/>
              <w:bottom w:val="nil"/>
              <w:right w:val="nil"/>
            </w:tcBorders>
            <w:shd w:val="clear" w:color="auto" w:fill="auto"/>
            <w:noWrap/>
            <w:vAlign w:val="bottom"/>
            <w:hideMark/>
          </w:tcPr>
          <w:p w14:paraId="7C9C8E5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0.798</w:t>
            </w:r>
          </w:p>
        </w:tc>
      </w:tr>
      <w:tr w:rsidR="00F80FF3" w:rsidRPr="00F80FF3" w14:paraId="2AAFCE7A" w14:textId="77777777" w:rsidTr="00F80FF3">
        <w:trPr>
          <w:trHeight w:val="320"/>
        </w:trPr>
        <w:tc>
          <w:tcPr>
            <w:tcW w:w="2620" w:type="dxa"/>
            <w:tcBorders>
              <w:top w:val="nil"/>
              <w:left w:val="nil"/>
              <w:bottom w:val="nil"/>
              <w:right w:val="nil"/>
            </w:tcBorders>
            <w:shd w:val="clear" w:color="auto" w:fill="auto"/>
            <w:noWrap/>
            <w:vAlign w:val="bottom"/>
            <w:hideMark/>
          </w:tcPr>
          <w:p w14:paraId="266C5972"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Dominican Republic</w:t>
            </w:r>
          </w:p>
        </w:tc>
        <w:tc>
          <w:tcPr>
            <w:tcW w:w="578" w:type="dxa"/>
            <w:tcBorders>
              <w:top w:val="nil"/>
              <w:left w:val="nil"/>
              <w:bottom w:val="nil"/>
              <w:right w:val="nil"/>
            </w:tcBorders>
            <w:shd w:val="clear" w:color="auto" w:fill="auto"/>
            <w:noWrap/>
            <w:vAlign w:val="bottom"/>
            <w:hideMark/>
          </w:tcPr>
          <w:p w14:paraId="25B02C3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0.736</w:t>
            </w:r>
          </w:p>
        </w:tc>
        <w:tc>
          <w:tcPr>
            <w:tcW w:w="864" w:type="dxa"/>
            <w:tcBorders>
              <w:top w:val="nil"/>
              <w:left w:val="single" w:sz="4" w:space="0" w:color="auto"/>
              <w:bottom w:val="nil"/>
              <w:right w:val="single" w:sz="8" w:space="0" w:color="auto"/>
            </w:tcBorders>
            <w:shd w:val="clear" w:color="auto" w:fill="auto"/>
            <w:noWrap/>
            <w:vAlign w:val="bottom"/>
            <w:hideMark/>
          </w:tcPr>
          <w:p w14:paraId="729C8CCC"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24264</w:t>
            </w:r>
          </w:p>
        </w:tc>
        <w:tc>
          <w:tcPr>
            <w:tcW w:w="618" w:type="dxa"/>
            <w:tcBorders>
              <w:top w:val="nil"/>
              <w:left w:val="nil"/>
              <w:bottom w:val="nil"/>
              <w:right w:val="nil"/>
            </w:tcBorders>
            <w:shd w:val="clear" w:color="auto" w:fill="auto"/>
            <w:noWrap/>
            <w:vAlign w:val="bottom"/>
            <w:hideMark/>
          </w:tcPr>
          <w:p w14:paraId="7AD25A0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-1.165</w:t>
            </w:r>
          </w:p>
        </w:tc>
        <w:tc>
          <w:tcPr>
            <w:tcW w:w="601" w:type="dxa"/>
            <w:tcBorders>
              <w:top w:val="nil"/>
              <w:left w:val="nil"/>
              <w:bottom w:val="nil"/>
              <w:right w:val="nil"/>
            </w:tcBorders>
            <w:shd w:val="clear" w:color="auto" w:fill="auto"/>
            <w:noWrap/>
            <w:vAlign w:val="bottom"/>
            <w:hideMark/>
          </w:tcPr>
          <w:p w14:paraId="72D3C7C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-1.131</w:t>
            </w:r>
          </w:p>
        </w:tc>
        <w:tc>
          <w:tcPr>
            <w:tcW w:w="615" w:type="dxa"/>
            <w:tcBorders>
              <w:top w:val="nil"/>
              <w:left w:val="nil"/>
              <w:bottom w:val="nil"/>
              <w:right w:val="nil"/>
            </w:tcBorders>
            <w:shd w:val="clear" w:color="auto" w:fill="auto"/>
            <w:noWrap/>
            <w:vAlign w:val="bottom"/>
            <w:hideMark/>
          </w:tcPr>
          <w:p w14:paraId="41A4216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-1.022</w:t>
            </w:r>
          </w:p>
        </w:tc>
        <w:tc>
          <w:tcPr>
            <w:tcW w:w="578" w:type="dxa"/>
            <w:tcBorders>
              <w:top w:val="nil"/>
              <w:left w:val="nil"/>
              <w:bottom w:val="nil"/>
              <w:right w:val="nil"/>
            </w:tcBorders>
            <w:shd w:val="clear" w:color="auto" w:fill="auto"/>
            <w:noWrap/>
            <w:vAlign w:val="bottom"/>
            <w:hideMark/>
          </w:tcPr>
          <w:p w14:paraId="50A1DC2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0.109</w:t>
            </w:r>
          </w:p>
        </w:tc>
        <w:tc>
          <w:tcPr>
            <w:tcW w:w="730" w:type="dxa"/>
            <w:tcBorders>
              <w:top w:val="nil"/>
              <w:left w:val="nil"/>
              <w:bottom w:val="nil"/>
              <w:right w:val="nil"/>
            </w:tcBorders>
            <w:shd w:val="clear" w:color="auto" w:fill="auto"/>
            <w:noWrap/>
            <w:vAlign w:val="bottom"/>
            <w:hideMark/>
          </w:tcPr>
          <w:p w14:paraId="6C87DAC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-1.133</w:t>
            </w:r>
          </w:p>
        </w:tc>
        <w:tc>
          <w:tcPr>
            <w:tcW w:w="660" w:type="dxa"/>
            <w:tcBorders>
              <w:top w:val="nil"/>
              <w:left w:val="nil"/>
              <w:bottom w:val="nil"/>
              <w:right w:val="nil"/>
            </w:tcBorders>
            <w:shd w:val="clear" w:color="auto" w:fill="auto"/>
            <w:noWrap/>
            <w:vAlign w:val="bottom"/>
            <w:hideMark/>
          </w:tcPr>
          <w:p w14:paraId="32E0BB8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-0.661</w:t>
            </w:r>
          </w:p>
        </w:tc>
        <w:tc>
          <w:tcPr>
            <w:tcW w:w="578" w:type="dxa"/>
            <w:tcBorders>
              <w:top w:val="nil"/>
              <w:left w:val="nil"/>
              <w:bottom w:val="nil"/>
              <w:right w:val="nil"/>
            </w:tcBorders>
            <w:shd w:val="clear" w:color="auto" w:fill="auto"/>
            <w:noWrap/>
            <w:vAlign w:val="bottom"/>
            <w:hideMark/>
          </w:tcPr>
          <w:p w14:paraId="72868BD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0.472</w:t>
            </w:r>
          </w:p>
        </w:tc>
        <w:tc>
          <w:tcPr>
            <w:tcW w:w="578" w:type="dxa"/>
            <w:tcBorders>
              <w:top w:val="nil"/>
              <w:left w:val="nil"/>
              <w:bottom w:val="nil"/>
              <w:right w:val="nil"/>
            </w:tcBorders>
            <w:shd w:val="clear" w:color="auto" w:fill="auto"/>
            <w:noWrap/>
            <w:vAlign w:val="bottom"/>
            <w:hideMark/>
          </w:tcPr>
          <w:p w14:paraId="2EAFD5F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0.730</w:t>
            </w:r>
          </w:p>
        </w:tc>
      </w:tr>
      <w:tr w:rsidR="00F80FF3" w:rsidRPr="00F80FF3" w14:paraId="28B317A1" w14:textId="77777777" w:rsidTr="00F80FF3">
        <w:trPr>
          <w:trHeight w:val="320"/>
        </w:trPr>
        <w:tc>
          <w:tcPr>
            <w:tcW w:w="2620" w:type="dxa"/>
            <w:tcBorders>
              <w:top w:val="nil"/>
              <w:left w:val="nil"/>
              <w:bottom w:val="nil"/>
              <w:right w:val="nil"/>
            </w:tcBorders>
            <w:shd w:val="clear" w:color="auto" w:fill="auto"/>
            <w:noWrap/>
            <w:vAlign w:val="bottom"/>
            <w:hideMark/>
          </w:tcPr>
          <w:p w14:paraId="3590FA2F"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Estonia</w:t>
            </w:r>
          </w:p>
        </w:tc>
        <w:tc>
          <w:tcPr>
            <w:tcW w:w="578" w:type="dxa"/>
            <w:tcBorders>
              <w:top w:val="nil"/>
              <w:left w:val="nil"/>
              <w:bottom w:val="nil"/>
              <w:right w:val="nil"/>
            </w:tcBorders>
            <w:shd w:val="clear" w:color="auto" w:fill="auto"/>
            <w:noWrap/>
            <w:vAlign w:val="bottom"/>
            <w:hideMark/>
          </w:tcPr>
          <w:p w14:paraId="15DAAB1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0.871</w:t>
            </w:r>
          </w:p>
        </w:tc>
        <w:tc>
          <w:tcPr>
            <w:tcW w:w="864" w:type="dxa"/>
            <w:tcBorders>
              <w:top w:val="nil"/>
              <w:left w:val="single" w:sz="4" w:space="0" w:color="auto"/>
              <w:bottom w:val="nil"/>
              <w:right w:val="single" w:sz="8" w:space="0" w:color="auto"/>
            </w:tcBorders>
            <w:shd w:val="clear" w:color="auto" w:fill="auto"/>
            <w:noWrap/>
            <w:vAlign w:val="bottom"/>
            <w:hideMark/>
          </w:tcPr>
          <w:p w14:paraId="00E1D51E"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63858</w:t>
            </w:r>
          </w:p>
        </w:tc>
        <w:tc>
          <w:tcPr>
            <w:tcW w:w="618" w:type="dxa"/>
            <w:tcBorders>
              <w:top w:val="nil"/>
              <w:left w:val="nil"/>
              <w:bottom w:val="nil"/>
              <w:right w:val="nil"/>
            </w:tcBorders>
            <w:shd w:val="clear" w:color="auto" w:fill="auto"/>
            <w:noWrap/>
            <w:vAlign w:val="bottom"/>
            <w:hideMark/>
          </w:tcPr>
          <w:p w14:paraId="72B991D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0.714</w:t>
            </w:r>
          </w:p>
        </w:tc>
        <w:tc>
          <w:tcPr>
            <w:tcW w:w="601" w:type="dxa"/>
            <w:tcBorders>
              <w:top w:val="nil"/>
              <w:left w:val="nil"/>
              <w:bottom w:val="nil"/>
              <w:right w:val="nil"/>
            </w:tcBorders>
            <w:shd w:val="clear" w:color="auto" w:fill="auto"/>
            <w:noWrap/>
            <w:vAlign w:val="bottom"/>
            <w:hideMark/>
          </w:tcPr>
          <w:p w14:paraId="541E1E2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0.618</w:t>
            </w:r>
          </w:p>
        </w:tc>
        <w:tc>
          <w:tcPr>
            <w:tcW w:w="615" w:type="dxa"/>
            <w:tcBorders>
              <w:top w:val="nil"/>
              <w:left w:val="nil"/>
              <w:bottom w:val="nil"/>
              <w:right w:val="nil"/>
            </w:tcBorders>
            <w:shd w:val="clear" w:color="auto" w:fill="auto"/>
            <w:noWrap/>
            <w:vAlign w:val="bottom"/>
            <w:hideMark/>
          </w:tcPr>
          <w:p w14:paraId="2276E8F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0.997</w:t>
            </w:r>
          </w:p>
        </w:tc>
        <w:tc>
          <w:tcPr>
            <w:tcW w:w="578" w:type="dxa"/>
            <w:tcBorders>
              <w:top w:val="nil"/>
              <w:left w:val="nil"/>
              <w:bottom w:val="nil"/>
              <w:right w:val="nil"/>
            </w:tcBorders>
            <w:shd w:val="clear" w:color="auto" w:fill="auto"/>
            <w:noWrap/>
            <w:vAlign w:val="bottom"/>
            <w:hideMark/>
          </w:tcPr>
          <w:p w14:paraId="46D4848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0.379</w:t>
            </w:r>
          </w:p>
        </w:tc>
        <w:tc>
          <w:tcPr>
            <w:tcW w:w="730" w:type="dxa"/>
            <w:tcBorders>
              <w:top w:val="nil"/>
              <w:left w:val="nil"/>
              <w:bottom w:val="nil"/>
              <w:right w:val="nil"/>
            </w:tcBorders>
            <w:shd w:val="clear" w:color="auto" w:fill="auto"/>
            <w:noWrap/>
            <w:vAlign w:val="bottom"/>
            <w:hideMark/>
          </w:tcPr>
          <w:p w14:paraId="61EC1FD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0.611</w:t>
            </w:r>
          </w:p>
        </w:tc>
        <w:tc>
          <w:tcPr>
            <w:tcW w:w="660" w:type="dxa"/>
            <w:tcBorders>
              <w:top w:val="nil"/>
              <w:left w:val="nil"/>
              <w:bottom w:val="nil"/>
              <w:right w:val="nil"/>
            </w:tcBorders>
            <w:shd w:val="clear" w:color="auto" w:fill="auto"/>
            <w:noWrap/>
            <w:vAlign w:val="bottom"/>
            <w:hideMark/>
          </w:tcPr>
          <w:p w14:paraId="3A8EE9F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1.234</w:t>
            </w:r>
          </w:p>
        </w:tc>
        <w:tc>
          <w:tcPr>
            <w:tcW w:w="578" w:type="dxa"/>
            <w:tcBorders>
              <w:top w:val="nil"/>
              <w:left w:val="nil"/>
              <w:bottom w:val="nil"/>
              <w:right w:val="nil"/>
            </w:tcBorders>
            <w:shd w:val="clear" w:color="auto" w:fill="auto"/>
            <w:noWrap/>
            <w:vAlign w:val="bottom"/>
            <w:hideMark/>
          </w:tcPr>
          <w:p w14:paraId="17B2F85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0.623</w:t>
            </w:r>
          </w:p>
        </w:tc>
        <w:tc>
          <w:tcPr>
            <w:tcW w:w="578" w:type="dxa"/>
            <w:tcBorders>
              <w:top w:val="nil"/>
              <w:left w:val="nil"/>
              <w:bottom w:val="nil"/>
              <w:right w:val="nil"/>
            </w:tcBorders>
            <w:shd w:val="clear" w:color="auto" w:fill="auto"/>
            <w:noWrap/>
            <w:vAlign w:val="bottom"/>
            <w:hideMark/>
          </w:tcPr>
          <w:p w14:paraId="47EEA16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0.803</w:t>
            </w:r>
          </w:p>
        </w:tc>
      </w:tr>
      <w:tr w:rsidR="00F80FF3" w:rsidRPr="00F80FF3" w14:paraId="29C9DE7D" w14:textId="77777777" w:rsidTr="00F80FF3">
        <w:trPr>
          <w:trHeight w:val="320"/>
        </w:trPr>
        <w:tc>
          <w:tcPr>
            <w:tcW w:w="2620" w:type="dxa"/>
            <w:tcBorders>
              <w:top w:val="nil"/>
              <w:left w:val="nil"/>
              <w:bottom w:val="nil"/>
              <w:right w:val="nil"/>
            </w:tcBorders>
            <w:shd w:val="clear" w:color="auto" w:fill="auto"/>
            <w:noWrap/>
            <w:vAlign w:val="bottom"/>
            <w:hideMark/>
          </w:tcPr>
          <w:p w14:paraId="799E5733"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Finland</w:t>
            </w:r>
          </w:p>
        </w:tc>
        <w:tc>
          <w:tcPr>
            <w:tcW w:w="578" w:type="dxa"/>
            <w:tcBorders>
              <w:top w:val="nil"/>
              <w:left w:val="nil"/>
              <w:bottom w:val="nil"/>
              <w:right w:val="nil"/>
            </w:tcBorders>
            <w:shd w:val="clear" w:color="auto" w:fill="auto"/>
            <w:noWrap/>
            <w:vAlign w:val="bottom"/>
            <w:hideMark/>
          </w:tcPr>
          <w:p w14:paraId="4A8425F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0.920</w:t>
            </w:r>
          </w:p>
        </w:tc>
        <w:tc>
          <w:tcPr>
            <w:tcW w:w="864" w:type="dxa"/>
            <w:tcBorders>
              <w:top w:val="nil"/>
              <w:left w:val="single" w:sz="4" w:space="0" w:color="auto"/>
              <w:bottom w:val="nil"/>
              <w:right w:val="single" w:sz="8" w:space="0" w:color="auto"/>
            </w:tcBorders>
            <w:shd w:val="clear" w:color="auto" w:fill="auto"/>
            <w:noWrap/>
            <w:vAlign w:val="bottom"/>
            <w:hideMark/>
          </w:tcPr>
          <w:p w14:paraId="4AB0E72B"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101527</w:t>
            </w:r>
          </w:p>
        </w:tc>
        <w:tc>
          <w:tcPr>
            <w:tcW w:w="618" w:type="dxa"/>
            <w:tcBorders>
              <w:top w:val="nil"/>
              <w:left w:val="nil"/>
              <w:bottom w:val="nil"/>
              <w:right w:val="nil"/>
            </w:tcBorders>
            <w:shd w:val="clear" w:color="auto" w:fill="auto"/>
            <w:noWrap/>
            <w:vAlign w:val="bottom"/>
            <w:hideMark/>
          </w:tcPr>
          <w:p w14:paraId="7FA13B2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0.707</w:t>
            </w:r>
          </w:p>
        </w:tc>
        <w:tc>
          <w:tcPr>
            <w:tcW w:w="601" w:type="dxa"/>
            <w:tcBorders>
              <w:top w:val="nil"/>
              <w:left w:val="nil"/>
              <w:bottom w:val="nil"/>
              <w:right w:val="nil"/>
            </w:tcBorders>
            <w:shd w:val="clear" w:color="auto" w:fill="auto"/>
            <w:noWrap/>
            <w:vAlign w:val="bottom"/>
            <w:hideMark/>
          </w:tcPr>
          <w:p w14:paraId="6768366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0.657</w:t>
            </w:r>
          </w:p>
        </w:tc>
        <w:tc>
          <w:tcPr>
            <w:tcW w:w="615" w:type="dxa"/>
            <w:tcBorders>
              <w:top w:val="nil"/>
              <w:left w:val="nil"/>
              <w:bottom w:val="nil"/>
              <w:right w:val="nil"/>
            </w:tcBorders>
            <w:shd w:val="clear" w:color="auto" w:fill="auto"/>
            <w:noWrap/>
            <w:vAlign w:val="bottom"/>
            <w:hideMark/>
          </w:tcPr>
          <w:p w14:paraId="23FB7CB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0.960</w:t>
            </w:r>
          </w:p>
        </w:tc>
        <w:tc>
          <w:tcPr>
            <w:tcW w:w="578" w:type="dxa"/>
            <w:tcBorders>
              <w:top w:val="nil"/>
              <w:left w:val="nil"/>
              <w:bottom w:val="nil"/>
              <w:right w:val="nil"/>
            </w:tcBorders>
            <w:shd w:val="clear" w:color="auto" w:fill="auto"/>
            <w:noWrap/>
            <w:vAlign w:val="bottom"/>
            <w:hideMark/>
          </w:tcPr>
          <w:p w14:paraId="01EC188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0.303</w:t>
            </w:r>
          </w:p>
        </w:tc>
        <w:tc>
          <w:tcPr>
            <w:tcW w:w="730" w:type="dxa"/>
            <w:tcBorders>
              <w:top w:val="nil"/>
              <w:left w:val="nil"/>
              <w:bottom w:val="nil"/>
              <w:right w:val="nil"/>
            </w:tcBorders>
            <w:shd w:val="clear" w:color="auto" w:fill="auto"/>
            <w:noWrap/>
            <w:vAlign w:val="bottom"/>
            <w:hideMark/>
          </w:tcPr>
          <w:p w14:paraId="5976A92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0.587</w:t>
            </w:r>
          </w:p>
        </w:tc>
        <w:tc>
          <w:tcPr>
            <w:tcW w:w="660" w:type="dxa"/>
            <w:tcBorders>
              <w:top w:val="nil"/>
              <w:left w:val="nil"/>
              <w:bottom w:val="nil"/>
              <w:right w:val="nil"/>
            </w:tcBorders>
            <w:shd w:val="clear" w:color="auto" w:fill="auto"/>
            <w:noWrap/>
            <w:vAlign w:val="bottom"/>
            <w:hideMark/>
          </w:tcPr>
          <w:p w14:paraId="3844CF8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1.098</w:t>
            </w:r>
          </w:p>
        </w:tc>
        <w:tc>
          <w:tcPr>
            <w:tcW w:w="578" w:type="dxa"/>
            <w:tcBorders>
              <w:top w:val="nil"/>
              <w:left w:val="nil"/>
              <w:bottom w:val="nil"/>
              <w:right w:val="nil"/>
            </w:tcBorders>
            <w:shd w:val="clear" w:color="auto" w:fill="auto"/>
            <w:noWrap/>
            <w:vAlign w:val="bottom"/>
            <w:hideMark/>
          </w:tcPr>
          <w:p w14:paraId="42DB71D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0.511</w:t>
            </w:r>
          </w:p>
        </w:tc>
        <w:tc>
          <w:tcPr>
            <w:tcW w:w="578" w:type="dxa"/>
            <w:tcBorders>
              <w:top w:val="nil"/>
              <w:left w:val="nil"/>
              <w:bottom w:val="nil"/>
              <w:right w:val="nil"/>
            </w:tcBorders>
            <w:shd w:val="clear" w:color="auto" w:fill="auto"/>
            <w:noWrap/>
            <w:vAlign w:val="bottom"/>
            <w:hideMark/>
          </w:tcPr>
          <w:p w14:paraId="77AC587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0.844</w:t>
            </w:r>
          </w:p>
        </w:tc>
      </w:tr>
      <w:tr w:rsidR="00F80FF3" w:rsidRPr="00F80FF3" w14:paraId="316CB28A" w14:textId="77777777" w:rsidTr="00F80FF3">
        <w:trPr>
          <w:trHeight w:val="320"/>
        </w:trPr>
        <w:tc>
          <w:tcPr>
            <w:tcW w:w="2620" w:type="dxa"/>
            <w:tcBorders>
              <w:top w:val="nil"/>
              <w:left w:val="nil"/>
              <w:bottom w:val="nil"/>
              <w:right w:val="nil"/>
            </w:tcBorders>
            <w:shd w:val="clear" w:color="auto" w:fill="auto"/>
            <w:noWrap/>
            <w:vAlign w:val="bottom"/>
            <w:hideMark/>
          </w:tcPr>
          <w:p w14:paraId="40692991"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France</w:t>
            </w:r>
          </w:p>
        </w:tc>
        <w:tc>
          <w:tcPr>
            <w:tcW w:w="578" w:type="dxa"/>
            <w:tcBorders>
              <w:top w:val="nil"/>
              <w:left w:val="nil"/>
              <w:bottom w:val="nil"/>
              <w:right w:val="nil"/>
            </w:tcBorders>
            <w:shd w:val="clear" w:color="auto" w:fill="auto"/>
            <w:noWrap/>
            <w:vAlign w:val="bottom"/>
            <w:hideMark/>
          </w:tcPr>
          <w:p w14:paraId="1D6C767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0.901</w:t>
            </w:r>
          </w:p>
        </w:tc>
        <w:tc>
          <w:tcPr>
            <w:tcW w:w="864" w:type="dxa"/>
            <w:tcBorders>
              <w:top w:val="nil"/>
              <w:left w:val="single" w:sz="4" w:space="0" w:color="auto"/>
              <w:bottom w:val="nil"/>
              <w:right w:val="single" w:sz="8" w:space="0" w:color="auto"/>
            </w:tcBorders>
            <w:shd w:val="clear" w:color="auto" w:fill="auto"/>
            <w:noWrap/>
            <w:vAlign w:val="bottom"/>
            <w:hideMark/>
          </w:tcPr>
          <w:p w14:paraId="6508B3ED"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89435</w:t>
            </w:r>
          </w:p>
        </w:tc>
        <w:tc>
          <w:tcPr>
            <w:tcW w:w="618" w:type="dxa"/>
            <w:tcBorders>
              <w:top w:val="nil"/>
              <w:left w:val="nil"/>
              <w:bottom w:val="nil"/>
              <w:right w:val="nil"/>
            </w:tcBorders>
            <w:shd w:val="clear" w:color="auto" w:fill="auto"/>
            <w:noWrap/>
            <w:vAlign w:val="bottom"/>
            <w:hideMark/>
          </w:tcPr>
          <w:p w14:paraId="19EB740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0.467</w:t>
            </w:r>
          </w:p>
        </w:tc>
        <w:tc>
          <w:tcPr>
            <w:tcW w:w="601" w:type="dxa"/>
            <w:tcBorders>
              <w:top w:val="nil"/>
              <w:left w:val="nil"/>
              <w:bottom w:val="nil"/>
              <w:right w:val="nil"/>
            </w:tcBorders>
            <w:shd w:val="clear" w:color="auto" w:fill="auto"/>
            <w:noWrap/>
            <w:vAlign w:val="bottom"/>
            <w:hideMark/>
          </w:tcPr>
          <w:p w14:paraId="78CDE2D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0.716</w:t>
            </w:r>
          </w:p>
        </w:tc>
        <w:tc>
          <w:tcPr>
            <w:tcW w:w="615" w:type="dxa"/>
            <w:tcBorders>
              <w:top w:val="nil"/>
              <w:left w:val="nil"/>
              <w:bottom w:val="nil"/>
              <w:right w:val="nil"/>
            </w:tcBorders>
            <w:shd w:val="clear" w:color="auto" w:fill="auto"/>
            <w:noWrap/>
            <w:vAlign w:val="bottom"/>
            <w:hideMark/>
          </w:tcPr>
          <w:p w14:paraId="0D85215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0.858</w:t>
            </w:r>
          </w:p>
        </w:tc>
        <w:tc>
          <w:tcPr>
            <w:tcW w:w="578" w:type="dxa"/>
            <w:tcBorders>
              <w:top w:val="nil"/>
              <w:left w:val="nil"/>
              <w:bottom w:val="nil"/>
              <w:right w:val="nil"/>
            </w:tcBorders>
            <w:shd w:val="clear" w:color="auto" w:fill="auto"/>
            <w:noWrap/>
            <w:vAlign w:val="bottom"/>
            <w:hideMark/>
          </w:tcPr>
          <w:p w14:paraId="475CAD3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0.142</w:t>
            </w:r>
          </w:p>
        </w:tc>
        <w:tc>
          <w:tcPr>
            <w:tcW w:w="730" w:type="dxa"/>
            <w:tcBorders>
              <w:top w:val="nil"/>
              <w:left w:val="nil"/>
              <w:bottom w:val="nil"/>
              <w:right w:val="nil"/>
            </w:tcBorders>
            <w:shd w:val="clear" w:color="auto" w:fill="auto"/>
            <w:noWrap/>
            <w:vAlign w:val="bottom"/>
            <w:hideMark/>
          </w:tcPr>
          <w:p w14:paraId="496D1F8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0.333</w:t>
            </w:r>
          </w:p>
        </w:tc>
        <w:tc>
          <w:tcPr>
            <w:tcW w:w="660" w:type="dxa"/>
            <w:tcBorders>
              <w:top w:val="nil"/>
              <w:left w:val="nil"/>
              <w:bottom w:val="nil"/>
              <w:right w:val="nil"/>
            </w:tcBorders>
            <w:shd w:val="clear" w:color="auto" w:fill="auto"/>
            <w:noWrap/>
            <w:vAlign w:val="bottom"/>
            <w:hideMark/>
          </w:tcPr>
          <w:p w14:paraId="7A60032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1.069</w:t>
            </w:r>
          </w:p>
        </w:tc>
        <w:tc>
          <w:tcPr>
            <w:tcW w:w="578" w:type="dxa"/>
            <w:tcBorders>
              <w:top w:val="nil"/>
              <w:left w:val="nil"/>
              <w:bottom w:val="nil"/>
              <w:right w:val="nil"/>
            </w:tcBorders>
            <w:shd w:val="clear" w:color="auto" w:fill="auto"/>
            <w:noWrap/>
            <w:vAlign w:val="bottom"/>
            <w:hideMark/>
          </w:tcPr>
          <w:p w14:paraId="5066632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0.736</w:t>
            </w:r>
          </w:p>
        </w:tc>
        <w:tc>
          <w:tcPr>
            <w:tcW w:w="578" w:type="dxa"/>
            <w:tcBorders>
              <w:top w:val="nil"/>
              <w:left w:val="nil"/>
              <w:bottom w:val="nil"/>
              <w:right w:val="nil"/>
            </w:tcBorders>
            <w:shd w:val="clear" w:color="auto" w:fill="auto"/>
            <w:noWrap/>
            <w:vAlign w:val="bottom"/>
            <w:hideMark/>
          </w:tcPr>
          <w:p w14:paraId="02F5F96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1.017</w:t>
            </w:r>
          </w:p>
        </w:tc>
      </w:tr>
      <w:tr w:rsidR="00F80FF3" w:rsidRPr="00F80FF3" w14:paraId="302FB067" w14:textId="77777777" w:rsidTr="00F80FF3">
        <w:trPr>
          <w:trHeight w:val="320"/>
        </w:trPr>
        <w:tc>
          <w:tcPr>
            <w:tcW w:w="2620" w:type="dxa"/>
            <w:tcBorders>
              <w:top w:val="nil"/>
              <w:left w:val="nil"/>
              <w:bottom w:val="nil"/>
              <w:right w:val="nil"/>
            </w:tcBorders>
            <w:shd w:val="clear" w:color="auto" w:fill="auto"/>
            <w:noWrap/>
            <w:vAlign w:val="bottom"/>
            <w:hideMark/>
          </w:tcPr>
          <w:p w14:paraId="320A29BC"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Georgia</w:t>
            </w:r>
          </w:p>
        </w:tc>
        <w:tc>
          <w:tcPr>
            <w:tcW w:w="578" w:type="dxa"/>
            <w:tcBorders>
              <w:top w:val="nil"/>
              <w:left w:val="nil"/>
              <w:bottom w:val="nil"/>
              <w:right w:val="nil"/>
            </w:tcBorders>
            <w:shd w:val="clear" w:color="auto" w:fill="auto"/>
            <w:noWrap/>
            <w:vAlign w:val="bottom"/>
            <w:hideMark/>
          </w:tcPr>
          <w:p w14:paraId="4AEFD45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0.780</w:t>
            </w:r>
          </w:p>
        </w:tc>
        <w:tc>
          <w:tcPr>
            <w:tcW w:w="864" w:type="dxa"/>
            <w:tcBorders>
              <w:top w:val="nil"/>
              <w:left w:val="single" w:sz="4" w:space="0" w:color="auto"/>
              <w:bottom w:val="nil"/>
              <w:right w:val="single" w:sz="8" w:space="0" w:color="auto"/>
            </w:tcBorders>
            <w:shd w:val="clear" w:color="auto" w:fill="auto"/>
            <w:noWrap/>
            <w:vAlign w:val="bottom"/>
            <w:hideMark/>
          </w:tcPr>
          <w:p w14:paraId="6DB296B3"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11704</w:t>
            </w:r>
          </w:p>
        </w:tc>
        <w:tc>
          <w:tcPr>
            <w:tcW w:w="618" w:type="dxa"/>
            <w:tcBorders>
              <w:top w:val="nil"/>
              <w:left w:val="nil"/>
              <w:bottom w:val="nil"/>
              <w:right w:val="nil"/>
            </w:tcBorders>
            <w:shd w:val="clear" w:color="auto" w:fill="auto"/>
            <w:noWrap/>
            <w:vAlign w:val="bottom"/>
            <w:hideMark/>
          </w:tcPr>
          <w:p w14:paraId="774C439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-0.528</w:t>
            </w:r>
          </w:p>
        </w:tc>
        <w:tc>
          <w:tcPr>
            <w:tcW w:w="601" w:type="dxa"/>
            <w:tcBorders>
              <w:top w:val="nil"/>
              <w:left w:val="nil"/>
              <w:bottom w:val="nil"/>
              <w:right w:val="nil"/>
            </w:tcBorders>
            <w:shd w:val="clear" w:color="auto" w:fill="auto"/>
            <w:noWrap/>
            <w:vAlign w:val="bottom"/>
            <w:hideMark/>
          </w:tcPr>
          <w:p w14:paraId="43C9EDB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-0.712</w:t>
            </w:r>
          </w:p>
        </w:tc>
        <w:tc>
          <w:tcPr>
            <w:tcW w:w="615" w:type="dxa"/>
            <w:tcBorders>
              <w:top w:val="nil"/>
              <w:left w:val="nil"/>
              <w:bottom w:val="nil"/>
              <w:right w:val="nil"/>
            </w:tcBorders>
            <w:shd w:val="clear" w:color="auto" w:fill="auto"/>
            <w:noWrap/>
            <w:vAlign w:val="bottom"/>
            <w:hideMark/>
          </w:tcPr>
          <w:p w14:paraId="34B17B0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-0.144</w:t>
            </w:r>
          </w:p>
        </w:tc>
        <w:tc>
          <w:tcPr>
            <w:tcW w:w="578" w:type="dxa"/>
            <w:tcBorders>
              <w:top w:val="nil"/>
              <w:left w:val="nil"/>
              <w:bottom w:val="nil"/>
              <w:right w:val="nil"/>
            </w:tcBorders>
            <w:shd w:val="clear" w:color="auto" w:fill="auto"/>
            <w:noWrap/>
            <w:vAlign w:val="bottom"/>
            <w:hideMark/>
          </w:tcPr>
          <w:p w14:paraId="17CA2E9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0.568</w:t>
            </w:r>
          </w:p>
        </w:tc>
        <w:tc>
          <w:tcPr>
            <w:tcW w:w="730" w:type="dxa"/>
            <w:tcBorders>
              <w:top w:val="nil"/>
              <w:left w:val="nil"/>
              <w:bottom w:val="nil"/>
              <w:right w:val="nil"/>
            </w:tcBorders>
            <w:shd w:val="clear" w:color="auto" w:fill="auto"/>
            <w:noWrap/>
            <w:vAlign w:val="bottom"/>
            <w:hideMark/>
          </w:tcPr>
          <w:p w14:paraId="426AF9C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-0.622</w:t>
            </w:r>
          </w:p>
        </w:tc>
        <w:tc>
          <w:tcPr>
            <w:tcW w:w="660" w:type="dxa"/>
            <w:tcBorders>
              <w:top w:val="nil"/>
              <w:left w:val="nil"/>
              <w:bottom w:val="nil"/>
              <w:right w:val="nil"/>
            </w:tcBorders>
            <w:shd w:val="clear" w:color="auto" w:fill="auto"/>
            <w:noWrap/>
            <w:vAlign w:val="bottom"/>
            <w:hideMark/>
          </w:tcPr>
          <w:p w14:paraId="1CFE133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-0.028</w:t>
            </w:r>
          </w:p>
        </w:tc>
        <w:tc>
          <w:tcPr>
            <w:tcW w:w="578" w:type="dxa"/>
            <w:tcBorders>
              <w:top w:val="nil"/>
              <w:left w:val="nil"/>
              <w:bottom w:val="nil"/>
              <w:right w:val="nil"/>
            </w:tcBorders>
            <w:shd w:val="clear" w:color="auto" w:fill="auto"/>
            <w:noWrap/>
            <w:vAlign w:val="bottom"/>
            <w:hideMark/>
          </w:tcPr>
          <w:p w14:paraId="5A34652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0.594</w:t>
            </w:r>
          </w:p>
        </w:tc>
        <w:tc>
          <w:tcPr>
            <w:tcW w:w="578" w:type="dxa"/>
            <w:tcBorders>
              <w:top w:val="nil"/>
              <w:left w:val="nil"/>
              <w:bottom w:val="nil"/>
              <w:right w:val="nil"/>
            </w:tcBorders>
            <w:shd w:val="clear" w:color="auto" w:fill="auto"/>
            <w:noWrap/>
            <w:vAlign w:val="bottom"/>
            <w:hideMark/>
          </w:tcPr>
          <w:p w14:paraId="271A1F4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0.933</w:t>
            </w:r>
          </w:p>
        </w:tc>
      </w:tr>
      <w:tr w:rsidR="00F80FF3" w:rsidRPr="00F80FF3" w14:paraId="1E143175" w14:textId="77777777" w:rsidTr="00F80FF3">
        <w:trPr>
          <w:trHeight w:val="320"/>
        </w:trPr>
        <w:tc>
          <w:tcPr>
            <w:tcW w:w="2620" w:type="dxa"/>
            <w:tcBorders>
              <w:top w:val="nil"/>
              <w:left w:val="nil"/>
              <w:bottom w:val="nil"/>
              <w:right w:val="nil"/>
            </w:tcBorders>
            <w:shd w:val="clear" w:color="auto" w:fill="auto"/>
            <w:noWrap/>
            <w:vAlign w:val="bottom"/>
            <w:hideMark/>
          </w:tcPr>
          <w:p w14:paraId="308F3AAF"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Germany</w:t>
            </w:r>
          </w:p>
        </w:tc>
        <w:tc>
          <w:tcPr>
            <w:tcW w:w="578" w:type="dxa"/>
            <w:tcBorders>
              <w:top w:val="nil"/>
              <w:left w:val="nil"/>
              <w:bottom w:val="nil"/>
              <w:right w:val="nil"/>
            </w:tcBorders>
            <w:shd w:val="clear" w:color="auto" w:fill="auto"/>
            <w:noWrap/>
            <w:vAlign w:val="bottom"/>
            <w:hideMark/>
          </w:tcPr>
          <w:p w14:paraId="01CB083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0.936</w:t>
            </w:r>
          </w:p>
        </w:tc>
        <w:tc>
          <w:tcPr>
            <w:tcW w:w="864" w:type="dxa"/>
            <w:tcBorders>
              <w:top w:val="nil"/>
              <w:left w:val="single" w:sz="4" w:space="0" w:color="auto"/>
              <w:bottom w:val="nil"/>
              <w:right w:val="single" w:sz="8" w:space="0" w:color="auto"/>
            </w:tcBorders>
            <w:shd w:val="clear" w:color="auto" w:fill="auto"/>
            <w:noWrap/>
            <w:vAlign w:val="bottom"/>
            <w:hideMark/>
          </w:tcPr>
          <w:p w14:paraId="6506179D"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92214</w:t>
            </w:r>
          </w:p>
        </w:tc>
        <w:tc>
          <w:tcPr>
            <w:tcW w:w="618" w:type="dxa"/>
            <w:tcBorders>
              <w:top w:val="nil"/>
              <w:left w:val="nil"/>
              <w:bottom w:val="nil"/>
              <w:right w:val="nil"/>
            </w:tcBorders>
            <w:shd w:val="clear" w:color="auto" w:fill="auto"/>
            <w:noWrap/>
            <w:vAlign w:val="bottom"/>
            <w:hideMark/>
          </w:tcPr>
          <w:p w14:paraId="35C4DDB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0.588</w:t>
            </w:r>
          </w:p>
        </w:tc>
        <w:tc>
          <w:tcPr>
            <w:tcW w:w="601" w:type="dxa"/>
            <w:tcBorders>
              <w:top w:val="nil"/>
              <w:left w:val="nil"/>
              <w:bottom w:val="nil"/>
              <w:right w:val="nil"/>
            </w:tcBorders>
            <w:shd w:val="clear" w:color="auto" w:fill="auto"/>
            <w:noWrap/>
            <w:vAlign w:val="bottom"/>
            <w:hideMark/>
          </w:tcPr>
          <w:p w14:paraId="5C7BAE9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0.753</w:t>
            </w:r>
          </w:p>
        </w:tc>
        <w:tc>
          <w:tcPr>
            <w:tcW w:w="615" w:type="dxa"/>
            <w:tcBorders>
              <w:top w:val="nil"/>
              <w:left w:val="nil"/>
              <w:bottom w:val="nil"/>
              <w:right w:val="nil"/>
            </w:tcBorders>
            <w:shd w:val="clear" w:color="auto" w:fill="auto"/>
            <w:noWrap/>
            <w:vAlign w:val="bottom"/>
            <w:hideMark/>
          </w:tcPr>
          <w:p w14:paraId="0FE5DEA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1.113</w:t>
            </w:r>
          </w:p>
        </w:tc>
        <w:tc>
          <w:tcPr>
            <w:tcW w:w="578" w:type="dxa"/>
            <w:tcBorders>
              <w:top w:val="nil"/>
              <w:left w:val="nil"/>
              <w:bottom w:val="nil"/>
              <w:right w:val="nil"/>
            </w:tcBorders>
            <w:shd w:val="clear" w:color="auto" w:fill="auto"/>
            <w:noWrap/>
            <w:vAlign w:val="bottom"/>
            <w:hideMark/>
          </w:tcPr>
          <w:p w14:paraId="009A7F1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0.360</w:t>
            </w:r>
          </w:p>
        </w:tc>
        <w:tc>
          <w:tcPr>
            <w:tcW w:w="730" w:type="dxa"/>
            <w:tcBorders>
              <w:top w:val="nil"/>
              <w:left w:val="nil"/>
              <w:bottom w:val="nil"/>
              <w:right w:val="nil"/>
            </w:tcBorders>
            <w:shd w:val="clear" w:color="auto" w:fill="auto"/>
            <w:noWrap/>
            <w:vAlign w:val="bottom"/>
            <w:hideMark/>
          </w:tcPr>
          <w:p w14:paraId="4209419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0.500</w:t>
            </w:r>
          </w:p>
        </w:tc>
        <w:tc>
          <w:tcPr>
            <w:tcW w:w="660" w:type="dxa"/>
            <w:tcBorders>
              <w:top w:val="nil"/>
              <w:left w:val="nil"/>
              <w:bottom w:val="nil"/>
              <w:right w:val="nil"/>
            </w:tcBorders>
            <w:shd w:val="clear" w:color="auto" w:fill="auto"/>
            <w:noWrap/>
            <w:vAlign w:val="bottom"/>
            <w:hideMark/>
          </w:tcPr>
          <w:p w14:paraId="7826CB5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1.207</w:t>
            </w:r>
          </w:p>
        </w:tc>
        <w:tc>
          <w:tcPr>
            <w:tcW w:w="578" w:type="dxa"/>
            <w:tcBorders>
              <w:top w:val="nil"/>
              <w:left w:val="nil"/>
              <w:bottom w:val="nil"/>
              <w:right w:val="nil"/>
            </w:tcBorders>
            <w:shd w:val="clear" w:color="auto" w:fill="auto"/>
            <w:noWrap/>
            <w:vAlign w:val="bottom"/>
            <w:hideMark/>
          </w:tcPr>
          <w:p w14:paraId="0354EEA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0.707</w:t>
            </w:r>
          </w:p>
        </w:tc>
        <w:tc>
          <w:tcPr>
            <w:tcW w:w="578" w:type="dxa"/>
            <w:tcBorders>
              <w:top w:val="nil"/>
              <w:left w:val="nil"/>
              <w:bottom w:val="nil"/>
              <w:right w:val="nil"/>
            </w:tcBorders>
            <w:shd w:val="clear" w:color="auto" w:fill="auto"/>
            <w:noWrap/>
            <w:vAlign w:val="bottom"/>
            <w:hideMark/>
          </w:tcPr>
          <w:p w14:paraId="6C5543B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0.913</w:t>
            </w:r>
          </w:p>
        </w:tc>
      </w:tr>
      <w:tr w:rsidR="00F80FF3" w:rsidRPr="00F80FF3" w14:paraId="7BC5ACAF" w14:textId="77777777" w:rsidTr="00F80FF3">
        <w:trPr>
          <w:trHeight w:val="320"/>
        </w:trPr>
        <w:tc>
          <w:tcPr>
            <w:tcW w:w="2620" w:type="dxa"/>
            <w:tcBorders>
              <w:top w:val="nil"/>
              <w:left w:val="nil"/>
              <w:bottom w:val="nil"/>
              <w:right w:val="nil"/>
            </w:tcBorders>
            <w:shd w:val="clear" w:color="auto" w:fill="auto"/>
            <w:noWrap/>
            <w:vAlign w:val="bottom"/>
            <w:hideMark/>
          </w:tcPr>
          <w:p w14:paraId="07BA1BDE"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Greece</w:t>
            </w:r>
          </w:p>
        </w:tc>
        <w:tc>
          <w:tcPr>
            <w:tcW w:w="578" w:type="dxa"/>
            <w:tcBorders>
              <w:top w:val="nil"/>
              <w:left w:val="nil"/>
              <w:bottom w:val="nil"/>
              <w:right w:val="nil"/>
            </w:tcBorders>
            <w:shd w:val="clear" w:color="auto" w:fill="auto"/>
            <w:noWrap/>
            <w:vAlign w:val="bottom"/>
            <w:hideMark/>
          </w:tcPr>
          <w:p w14:paraId="09CBB64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0.870</w:t>
            </w:r>
          </w:p>
        </w:tc>
        <w:tc>
          <w:tcPr>
            <w:tcW w:w="864" w:type="dxa"/>
            <w:tcBorders>
              <w:top w:val="nil"/>
              <w:left w:val="nil"/>
              <w:bottom w:val="nil"/>
              <w:right w:val="nil"/>
            </w:tcBorders>
            <w:shd w:val="clear" w:color="auto" w:fill="auto"/>
            <w:noWrap/>
            <w:vAlign w:val="bottom"/>
            <w:hideMark/>
          </w:tcPr>
          <w:p w14:paraId="671C256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3DD3739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0.086</w:t>
            </w:r>
          </w:p>
        </w:tc>
        <w:tc>
          <w:tcPr>
            <w:tcW w:w="601" w:type="dxa"/>
            <w:tcBorders>
              <w:top w:val="nil"/>
              <w:left w:val="nil"/>
              <w:bottom w:val="nil"/>
              <w:right w:val="nil"/>
            </w:tcBorders>
            <w:shd w:val="clear" w:color="auto" w:fill="auto"/>
            <w:noWrap/>
            <w:vAlign w:val="bottom"/>
            <w:hideMark/>
          </w:tcPr>
          <w:p w14:paraId="7406A19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0.067</w:t>
            </w:r>
          </w:p>
        </w:tc>
        <w:tc>
          <w:tcPr>
            <w:tcW w:w="615" w:type="dxa"/>
            <w:tcBorders>
              <w:top w:val="nil"/>
              <w:left w:val="nil"/>
              <w:bottom w:val="nil"/>
              <w:right w:val="nil"/>
            </w:tcBorders>
            <w:shd w:val="clear" w:color="auto" w:fill="auto"/>
            <w:noWrap/>
            <w:vAlign w:val="bottom"/>
            <w:hideMark/>
          </w:tcPr>
          <w:p w14:paraId="3D7275C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0.452</w:t>
            </w:r>
          </w:p>
        </w:tc>
        <w:tc>
          <w:tcPr>
            <w:tcW w:w="578" w:type="dxa"/>
            <w:tcBorders>
              <w:top w:val="nil"/>
              <w:left w:val="nil"/>
              <w:bottom w:val="nil"/>
              <w:right w:val="nil"/>
            </w:tcBorders>
            <w:shd w:val="clear" w:color="auto" w:fill="auto"/>
            <w:noWrap/>
            <w:vAlign w:val="bottom"/>
            <w:hideMark/>
          </w:tcPr>
          <w:p w14:paraId="6B1DFFD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0.385</w:t>
            </w:r>
          </w:p>
        </w:tc>
        <w:tc>
          <w:tcPr>
            <w:tcW w:w="730" w:type="dxa"/>
            <w:tcBorders>
              <w:top w:val="nil"/>
              <w:left w:val="nil"/>
              <w:bottom w:val="nil"/>
              <w:right w:val="nil"/>
            </w:tcBorders>
            <w:shd w:val="clear" w:color="auto" w:fill="auto"/>
            <w:noWrap/>
            <w:vAlign w:val="bottom"/>
            <w:hideMark/>
          </w:tcPr>
          <w:p w14:paraId="78EC575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-0.038</w:t>
            </w:r>
          </w:p>
        </w:tc>
        <w:tc>
          <w:tcPr>
            <w:tcW w:w="660" w:type="dxa"/>
            <w:tcBorders>
              <w:top w:val="nil"/>
              <w:left w:val="nil"/>
              <w:bottom w:val="nil"/>
              <w:right w:val="nil"/>
            </w:tcBorders>
            <w:shd w:val="clear" w:color="auto" w:fill="auto"/>
            <w:noWrap/>
            <w:vAlign w:val="bottom"/>
            <w:hideMark/>
          </w:tcPr>
          <w:p w14:paraId="1DE03B4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0.629</w:t>
            </w:r>
          </w:p>
        </w:tc>
        <w:tc>
          <w:tcPr>
            <w:tcW w:w="578" w:type="dxa"/>
            <w:tcBorders>
              <w:top w:val="nil"/>
              <w:left w:val="nil"/>
              <w:bottom w:val="nil"/>
              <w:right w:val="nil"/>
            </w:tcBorders>
            <w:shd w:val="clear" w:color="auto" w:fill="auto"/>
            <w:noWrap/>
            <w:vAlign w:val="bottom"/>
            <w:hideMark/>
          </w:tcPr>
          <w:p w14:paraId="3E4E674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0.667</w:t>
            </w:r>
          </w:p>
        </w:tc>
        <w:tc>
          <w:tcPr>
            <w:tcW w:w="578" w:type="dxa"/>
            <w:tcBorders>
              <w:top w:val="nil"/>
              <w:left w:val="nil"/>
              <w:bottom w:val="nil"/>
              <w:right w:val="nil"/>
            </w:tcBorders>
            <w:shd w:val="clear" w:color="auto" w:fill="auto"/>
            <w:noWrap/>
            <w:vAlign w:val="bottom"/>
            <w:hideMark/>
          </w:tcPr>
          <w:p w14:paraId="60DC3AB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0.902</w:t>
            </w:r>
          </w:p>
        </w:tc>
      </w:tr>
      <w:tr w:rsidR="00F80FF3" w:rsidRPr="00F80FF3" w14:paraId="50A2D257" w14:textId="77777777" w:rsidTr="00F80FF3">
        <w:trPr>
          <w:trHeight w:val="320"/>
        </w:trPr>
        <w:tc>
          <w:tcPr>
            <w:tcW w:w="2620" w:type="dxa"/>
            <w:tcBorders>
              <w:top w:val="nil"/>
              <w:left w:val="nil"/>
              <w:bottom w:val="nil"/>
              <w:right w:val="nil"/>
            </w:tcBorders>
            <w:shd w:val="clear" w:color="auto" w:fill="auto"/>
            <w:noWrap/>
            <w:vAlign w:val="bottom"/>
            <w:hideMark/>
          </w:tcPr>
          <w:p w14:paraId="697EC1D6"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Hungary</w:t>
            </w:r>
          </w:p>
        </w:tc>
        <w:tc>
          <w:tcPr>
            <w:tcW w:w="578" w:type="dxa"/>
            <w:tcBorders>
              <w:top w:val="nil"/>
              <w:left w:val="nil"/>
              <w:bottom w:val="nil"/>
              <w:right w:val="nil"/>
            </w:tcBorders>
            <w:shd w:val="clear" w:color="auto" w:fill="auto"/>
            <w:noWrap/>
            <w:vAlign w:val="bottom"/>
            <w:hideMark/>
          </w:tcPr>
          <w:p w14:paraId="3EDF302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0.838</w:t>
            </w:r>
          </w:p>
        </w:tc>
        <w:tc>
          <w:tcPr>
            <w:tcW w:w="864" w:type="dxa"/>
            <w:tcBorders>
              <w:top w:val="nil"/>
              <w:left w:val="single" w:sz="4" w:space="0" w:color="auto"/>
              <w:bottom w:val="nil"/>
              <w:right w:val="single" w:sz="8" w:space="0" w:color="auto"/>
            </w:tcBorders>
            <w:shd w:val="clear" w:color="auto" w:fill="auto"/>
            <w:noWrap/>
            <w:vAlign w:val="bottom"/>
            <w:hideMark/>
          </w:tcPr>
          <w:p w14:paraId="1346C985"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47229</w:t>
            </w:r>
          </w:p>
        </w:tc>
        <w:tc>
          <w:tcPr>
            <w:tcW w:w="618" w:type="dxa"/>
            <w:tcBorders>
              <w:top w:val="nil"/>
              <w:left w:val="nil"/>
              <w:bottom w:val="nil"/>
              <w:right w:val="nil"/>
            </w:tcBorders>
            <w:shd w:val="clear" w:color="auto" w:fill="auto"/>
            <w:noWrap/>
            <w:vAlign w:val="bottom"/>
            <w:hideMark/>
          </w:tcPr>
          <w:p w14:paraId="1DADB12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0.223</w:t>
            </w:r>
          </w:p>
        </w:tc>
        <w:tc>
          <w:tcPr>
            <w:tcW w:w="601" w:type="dxa"/>
            <w:tcBorders>
              <w:top w:val="nil"/>
              <w:left w:val="nil"/>
              <w:bottom w:val="nil"/>
              <w:right w:val="nil"/>
            </w:tcBorders>
            <w:shd w:val="clear" w:color="auto" w:fill="auto"/>
            <w:noWrap/>
            <w:vAlign w:val="bottom"/>
            <w:hideMark/>
          </w:tcPr>
          <w:p w14:paraId="2B71399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0.343</w:t>
            </w:r>
          </w:p>
        </w:tc>
        <w:tc>
          <w:tcPr>
            <w:tcW w:w="615" w:type="dxa"/>
            <w:tcBorders>
              <w:top w:val="nil"/>
              <w:left w:val="nil"/>
              <w:bottom w:val="nil"/>
              <w:right w:val="nil"/>
            </w:tcBorders>
            <w:shd w:val="clear" w:color="auto" w:fill="auto"/>
            <w:noWrap/>
            <w:vAlign w:val="bottom"/>
            <w:hideMark/>
          </w:tcPr>
          <w:p w14:paraId="31BA762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0.558</w:t>
            </w:r>
          </w:p>
        </w:tc>
        <w:tc>
          <w:tcPr>
            <w:tcW w:w="578" w:type="dxa"/>
            <w:tcBorders>
              <w:top w:val="nil"/>
              <w:left w:val="nil"/>
              <w:bottom w:val="nil"/>
              <w:right w:val="nil"/>
            </w:tcBorders>
            <w:shd w:val="clear" w:color="auto" w:fill="auto"/>
            <w:noWrap/>
            <w:vAlign w:val="bottom"/>
            <w:hideMark/>
          </w:tcPr>
          <w:p w14:paraId="5954518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0.215</w:t>
            </w:r>
          </w:p>
        </w:tc>
        <w:tc>
          <w:tcPr>
            <w:tcW w:w="730" w:type="dxa"/>
            <w:tcBorders>
              <w:top w:val="nil"/>
              <w:left w:val="nil"/>
              <w:bottom w:val="nil"/>
              <w:right w:val="nil"/>
            </w:tcBorders>
            <w:shd w:val="clear" w:color="auto" w:fill="auto"/>
            <w:noWrap/>
            <w:vAlign w:val="bottom"/>
            <w:hideMark/>
          </w:tcPr>
          <w:p w14:paraId="12C9405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0.127</w:t>
            </w:r>
          </w:p>
        </w:tc>
        <w:tc>
          <w:tcPr>
            <w:tcW w:w="660" w:type="dxa"/>
            <w:tcBorders>
              <w:top w:val="nil"/>
              <w:left w:val="nil"/>
              <w:bottom w:val="nil"/>
              <w:right w:val="nil"/>
            </w:tcBorders>
            <w:shd w:val="clear" w:color="auto" w:fill="auto"/>
            <w:noWrap/>
            <w:vAlign w:val="bottom"/>
            <w:hideMark/>
          </w:tcPr>
          <w:p w14:paraId="4DB6840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0.939</w:t>
            </w:r>
          </w:p>
        </w:tc>
        <w:tc>
          <w:tcPr>
            <w:tcW w:w="578" w:type="dxa"/>
            <w:tcBorders>
              <w:top w:val="nil"/>
              <w:left w:val="nil"/>
              <w:bottom w:val="nil"/>
              <w:right w:val="nil"/>
            </w:tcBorders>
            <w:shd w:val="clear" w:color="auto" w:fill="auto"/>
            <w:noWrap/>
            <w:vAlign w:val="bottom"/>
            <w:hideMark/>
          </w:tcPr>
          <w:p w14:paraId="6DF3D76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0.812</w:t>
            </w:r>
          </w:p>
        </w:tc>
        <w:tc>
          <w:tcPr>
            <w:tcW w:w="578" w:type="dxa"/>
            <w:tcBorders>
              <w:top w:val="nil"/>
              <w:left w:val="nil"/>
              <w:bottom w:val="nil"/>
              <w:right w:val="nil"/>
            </w:tcBorders>
            <w:shd w:val="clear" w:color="auto" w:fill="auto"/>
            <w:noWrap/>
            <w:vAlign w:val="bottom"/>
            <w:hideMark/>
          </w:tcPr>
          <w:p w14:paraId="3E9AB87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0.934</w:t>
            </w:r>
          </w:p>
        </w:tc>
      </w:tr>
      <w:tr w:rsidR="00F80FF3" w:rsidRPr="00F80FF3" w14:paraId="3E93CE0B" w14:textId="77777777" w:rsidTr="00F80FF3">
        <w:trPr>
          <w:trHeight w:val="320"/>
        </w:trPr>
        <w:tc>
          <w:tcPr>
            <w:tcW w:w="2620" w:type="dxa"/>
            <w:tcBorders>
              <w:top w:val="nil"/>
              <w:left w:val="nil"/>
              <w:bottom w:val="nil"/>
              <w:right w:val="nil"/>
            </w:tcBorders>
            <w:shd w:val="clear" w:color="auto" w:fill="auto"/>
            <w:noWrap/>
            <w:vAlign w:val="bottom"/>
            <w:hideMark/>
          </w:tcPr>
          <w:p w14:paraId="116C4726"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Iceland</w:t>
            </w:r>
          </w:p>
        </w:tc>
        <w:tc>
          <w:tcPr>
            <w:tcW w:w="578" w:type="dxa"/>
            <w:tcBorders>
              <w:top w:val="nil"/>
              <w:left w:val="nil"/>
              <w:bottom w:val="nil"/>
              <w:right w:val="nil"/>
            </w:tcBorders>
            <w:shd w:val="clear" w:color="auto" w:fill="auto"/>
            <w:noWrap/>
            <w:vAlign w:val="bottom"/>
            <w:hideMark/>
          </w:tcPr>
          <w:p w14:paraId="01F233B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0.935</w:t>
            </w:r>
          </w:p>
        </w:tc>
        <w:tc>
          <w:tcPr>
            <w:tcW w:w="864" w:type="dxa"/>
            <w:tcBorders>
              <w:top w:val="nil"/>
              <w:left w:val="single" w:sz="4" w:space="0" w:color="auto"/>
              <w:bottom w:val="nil"/>
              <w:right w:val="single" w:sz="8" w:space="0" w:color="auto"/>
            </w:tcBorders>
            <w:shd w:val="clear" w:color="auto" w:fill="auto"/>
            <w:noWrap/>
            <w:vAlign w:val="bottom"/>
            <w:hideMark/>
          </w:tcPr>
          <w:p w14:paraId="43B745E1"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107811</w:t>
            </w:r>
          </w:p>
        </w:tc>
        <w:tc>
          <w:tcPr>
            <w:tcW w:w="618" w:type="dxa"/>
            <w:tcBorders>
              <w:top w:val="nil"/>
              <w:left w:val="nil"/>
              <w:bottom w:val="nil"/>
              <w:right w:val="nil"/>
            </w:tcBorders>
            <w:shd w:val="clear" w:color="auto" w:fill="auto"/>
            <w:noWrap/>
            <w:vAlign w:val="bottom"/>
            <w:hideMark/>
          </w:tcPr>
          <w:p w14:paraId="6900A46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0.347</w:t>
            </w:r>
          </w:p>
        </w:tc>
        <w:tc>
          <w:tcPr>
            <w:tcW w:w="601" w:type="dxa"/>
            <w:tcBorders>
              <w:top w:val="nil"/>
              <w:left w:val="nil"/>
              <w:bottom w:val="nil"/>
              <w:right w:val="nil"/>
            </w:tcBorders>
            <w:shd w:val="clear" w:color="auto" w:fill="auto"/>
            <w:noWrap/>
            <w:vAlign w:val="bottom"/>
            <w:hideMark/>
          </w:tcPr>
          <w:p w14:paraId="58AEED5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0.323</w:t>
            </w:r>
          </w:p>
        </w:tc>
        <w:tc>
          <w:tcPr>
            <w:tcW w:w="615" w:type="dxa"/>
            <w:tcBorders>
              <w:top w:val="nil"/>
              <w:left w:val="nil"/>
              <w:bottom w:val="nil"/>
              <w:right w:val="nil"/>
            </w:tcBorders>
            <w:shd w:val="clear" w:color="auto" w:fill="auto"/>
            <w:noWrap/>
            <w:vAlign w:val="bottom"/>
            <w:hideMark/>
          </w:tcPr>
          <w:p w14:paraId="49D3DCC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0.616</w:t>
            </w:r>
          </w:p>
        </w:tc>
        <w:tc>
          <w:tcPr>
            <w:tcW w:w="578" w:type="dxa"/>
            <w:tcBorders>
              <w:top w:val="nil"/>
              <w:left w:val="nil"/>
              <w:bottom w:val="nil"/>
              <w:right w:val="nil"/>
            </w:tcBorders>
            <w:shd w:val="clear" w:color="auto" w:fill="auto"/>
            <w:noWrap/>
            <w:vAlign w:val="bottom"/>
            <w:hideMark/>
          </w:tcPr>
          <w:p w14:paraId="5FC889C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0.293</w:t>
            </w:r>
          </w:p>
        </w:tc>
        <w:tc>
          <w:tcPr>
            <w:tcW w:w="730" w:type="dxa"/>
            <w:tcBorders>
              <w:top w:val="nil"/>
              <w:left w:val="nil"/>
              <w:bottom w:val="nil"/>
              <w:right w:val="nil"/>
            </w:tcBorders>
            <w:shd w:val="clear" w:color="auto" w:fill="auto"/>
            <w:noWrap/>
            <w:vAlign w:val="bottom"/>
            <w:hideMark/>
          </w:tcPr>
          <w:p w14:paraId="2B5AF4A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0.254</w:t>
            </w:r>
          </w:p>
        </w:tc>
        <w:tc>
          <w:tcPr>
            <w:tcW w:w="660" w:type="dxa"/>
            <w:tcBorders>
              <w:top w:val="nil"/>
              <w:left w:val="nil"/>
              <w:bottom w:val="nil"/>
              <w:right w:val="nil"/>
            </w:tcBorders>
            <w:shd w:val="clear" w:color="auto" w:fill="auto"/>
            <w:noWrap/>
            <w:vAlign w:val="bottom"/>
            <w:hideMark/>
          </w:tcPr>
          <w:p w14:paraId="5B67B40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0.632</w:t>
            </w:r>
          </w:p>
        </w:tc>
        <w:tc>
          <w:tcPr>
            <w:tcW w:w="578" w:type="dxa"/>
            <w:tcBorders>
              <w:top w:val="nil"/>
              <w:left w:val="nil"/>
              <w:bottom w:val="nil"/>
              <w:right w:val="nil"/>
            </w:tcBorders>
            <w:shd w:val="clear" w:color="auto" w:fill="auto"/>
            <w:noWrap/>
            <w:vAlign w:val="bottom"/>
            <w:hideMark/>
          </w:tcPr>
          <w:p w14:paraId="347368A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0.378</w:t>
            </w:r>
          </w:p>
        </w:tc>
        <w:tc>
          <w:tcPr>
            <w:tcW w:w="578" w:type="dxa"/>
            <w:tcBorders>
              <w:top w:val="nil"/>
              <w:left w:val="nil"/>
              <w:bottom w:val="nil"/>
              <w:right w:val="nil"/>
            </w:tcBorders>
            <w:shd w:val="clear" w:color="auto" w:fill="auto"/>
            <w:noWrap/>
            <w:vAlign w:val="bottom"/>
            <w:hideMark/>
          </w:tcPr>
          <w:p w14:paraId="4A83D51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0.914</w:t>
            </w:r>
          </w:p>
        </w:tc>
      </w:tr>
      <w:tr w:rsidR="00F80FF3" w:rsidRPr="00F80FF3" w14:paraId="66BEE556" w14:textId="77777777" w:rsidTr="00F80FF3">
        <w:trPr>
          <w:trHeight w:val="320"/>
        </w:trPr>
        <w:tc>
          <w:tcPr>
            <w:tcW w:w="2620" w:type="dxa"/>
            <w:tcBorders>
              <w:top w:val="nil"/>
              <w:left w:val="nil"/>
              <w:bottom w:val="nil"/>
              <w:right w:val="nil"/>
            </w:tcBorders>
            <w:shd w:val="clear" w:color="auto" w:fill="auto"/>
            <w:noWrap/>
            <w:vAlign w:val="bottom"/>
            <w:hideMark/>
          </w:tcPr>
          <w:p w14:paraId="47545649"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Indonesia</w:t>
            </w:r>
          </w:p>
        </w:tc>
        <w:tc>
          <w:tcPr>
            <w:tcW w:w="578" w:type="dxa"/>
            <w:tcBorders>
              <w:top w:val="nil"/>
              <w:left w:val="nil"/>
              <w:bottom w:val="nil"/>
              <w:right w:val="nil"/>
            </w:tcBorders>
            <w:shd w:val="clear" w:color="auto" w:fill="auto"/>
            <w:noWrap/>
            <w:vAlign w:val="bottom"/>
            <w:hideMark/>
          </w:tcPr>
          <w:p w14:paraId="097F03A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0.694</w:t>
            </w:r>
          </w:p>
        </w:tc>
        <w:tc>
          <w:tcPr>
            <w:tcW w:w="864" w:type="dxa"/>
            <w:tcBorders>
              <w:top w:val="nil"/>
              <w:left w:val="nil"/>
              <w:bottom w:val="nil"/>
              <w:right w:val="nil"/>
            </w:tcBorders>
            <w:shd w:val="clear" w:color="auto" w:fill="auto"/>
            <w:noWrap/>
            <w:vAlign w:val="bottom"/>
            <w:hideMark/>
          </w:tcPr>
          <w:p w14:paraId="68BB6B3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790DF9F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-0.644</w:t>
            </w:r>
          </w:p>
        </w:tc>
        <w:tc>
          <w:tcPr>
            <w:tcW w:w="601" w:type="dxa"/>
            <w:tcBorders>
              <w:top w:val="nil"/>
              <w:left w:val="nil"/>
              <w:bottom w:val="nil"/>
              <w:right w:val="nil"/>
            </w:tcBorders>
            <w:shd w:val="clear" w:color="auto" w:fill="auto"/>
            <w:noWrap/>
            <w:vAlign w:val="bottom"/>
            <w:hideMark/>
          </w:tcPr>
          <w:p w14:paraId="283C88A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-0.426</w:t>
            </w:r>
          </w:p>
        </w:tc>
        <w:tc>
          <w:tcPr>
            <w:tcW w:w="615" w:type="dxa"/>
            <w:tcBorders>
              <w:top w:val="nil"/>
              <w:left w:val="nil"/>
              <w:bottom w:val="nil"/>
              <w:right w:val="nil"/>
            </w:tcBorders>
            <w:shd w:val="clear" w:color="auto" w:fill="auto"/>
            <w:noWrap/>
            <w:vAlign w:val="bottom"/>
            <w:hideMark/>
          </w:tcPr>
          <w:p w14:paraId="355225A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-0.004</w:t>
            </w:r>
          </w:p>
        </w:tc>
        <w:tc>
          <w:tcPr>
            <w:tcW w:w="578" w:type="dxa"/>
            <w:tcBorders>
              <w:top w:val="nil"/>
              <w:left w:val="nil"/>
              <w:bottom w:val="nil"/>
              <w:right w:val="nil"/>
            </w:tcBorders>
            <w:shd w:val="clear" w:color="auto" w:fill="auto"/>
            <w:noWrap/>
            <w:vAlign w:val="bottom"/>
            <w:hideMark/>
          </w:tcPr>
          <w:p w14:paraId="2B7AAAF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0.422</w:t>
            </w:r>
          </w:p>
        </w:tc>
        <w:tc>
          <w:tcPr>
            <w:tcW w:w="730" w:type="dxa"/>
            <w:tcBorders>
              <w:top w:val="nil"/>
              <w:left w:val="nil"/>
              <w:bottom w:val="nil"/>
              <w:right w:val="nil"/>
            </w:tcBorders>
            <w:shd w:val="clear" w:color="auto" w:fill="auto"/>
            <w:noWrap/>
            <w:vAlign w:val="bottom"/>
            <w:hideMark/>
          </w:tcPr>
          <w:p w14:paraId="1BFCB96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-0.581</w:t>
            </w:r>
          </w:p>
        </w:tc>
        <w:tc>
          <w:tcPr>
            <w:tcW w:w="660" w:type="dxa"/>
            <w:tcBorders>
              <w:top w:val="nil"/>
              <w:left w:val="nil"/>
              <w:bottom w:val="nil"/>
              <w:right w:val="nil"/>
            </w:tcBorders>
            <w:shd w:val="clear" w:color="auto" w:fill="auto"/>
            <w:noWrap/>
            <w:vAlign w:val="bottom"/>
            <w:hideMark/>
          </w:tcPr>
          <w:p w14:paraId="4961030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-0.132</w:t>
            </w:r>
          </w:p>
        </w:tc>
        <w:tc>
          <w:tcPr>
            <w:tcW w:w="578" w:type="dxa"/>
            <w:tcBorders>
              <w:top w:val="nil"/>
              <w:left w:val="nil"/>
              <w:bottom w:val="nil"/>
              <w:right w:val="nil"/>
            </w:tcBorders>
            <w:shd w:val="clear" w:color="auto" w:fill="auto"/>
            <w:noWrap/>
            <w:vAlign w:val="bottom"/>
            <w:hideMark/>
          </w:tcPr>
          <w:p w14:paraId="29BCF06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0.449</w:t>
            </w:r>
          </w:p>
        </w:tc>
        <w:tc>
          <w:tcPr>
            <w:tcW w:w="578" w:type="dxa"/>
            <w:tcBorders>
              <w:top w:val="nil"/>
              <w:left w:val="nil"/>
              <w:bottom w:val="nil"/>
              <w:right w:val="nil"/>
            </w:tcBorders>
            <w:shd w:val="clear" w:color="auto" w:fill="auto"/>
            <w:noWrap/>
            <w:vAlign w:val="bottom"/>
            <w:hideMark/>
          </w:tcPr>
          <w:p w14:paraId="505EFA8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0.706</w:t>
            </w:r>
          </w:p>
        </w:tc>
      </w:tr>
      <w:tr w:rsidR="00F80FF3" w:rsidRPr="00F80FF3" w14:paraId="3E361A22" w14:textId="77777777" w:rsidTr="00F80FF3">
        <w:trPr>
          <w:trHeight w:val="320"/>
        </w:trPr>
        <w:tc>
          <w:tcPr>
            <w:tcW w:w="2620" w:type="dxa"/>
            <w:tcBorders>
              <w:top w:val="nil"/>
              <w:left w:val="nil"/>
              <w:bottom w:val="nil"/>
              <w:right w:val="nil"/>
            </w:tcBorders>
            <w:shd w:val="clear" w:color="auto" w:fill="auto"/>
            <w:noWrap/>
            <w:vAlign w:val="bottom"/>
            <w:hideMark/>
          </w:tcPr>
          <w:p w14:paraId="44710695"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Ireland</w:t>
            </w:r>
          </w:p>
        </w:tc>
        <w:tc>
          <w:tcPr>
            <w:tcW w:w="578" w:type="dxa"/>
            <w:tcBorders>
              <w:top w:val="nil"/>
              <w:left w:val="nil"/>
              <w:bottom w:val="nil"/>
              <w:right w:val="nil"/>
            </w:tcBorders>
            <w:shd w:val="clear" w:color="auto" w:fill="auto"/>
            <w:noWrap/>
            <w:vAlign w:val="bottom"/>
            <w:hideMark/>
          </w:tcPr>
          <w:p w14:paraId="3F16630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0.938</w:t>
            </w:r>
          </w:p>
        </w:tc>
        <w:tc>
          <w:tcPr>
            <w:tcW w:w="864" w:type="dxa"/>
            <w:tcBorders>
              <w:top w:val="nil"/>
              <w:left w:val="single" w:sz="4" w:space="0" w:color="auto"/>
              <w:bottom w:val="nil"/>
              <w:right w:val="single" w:sz="8" w:space="0" w:color="auto"/>
            </w:tcBorders>
            <w:shd w:val="clear" w:color="auto" w:fill="auto"/>
            <w:noWrap/>
            <w:vAlign w:val="bottom"/>
            <w:hideMark/>
          </w:tcPr>
          <w:p w14:paraId="58E13E9C"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91171</w:t>
            </w:r>
          </w:p>
        </w:tc>
        <w:tc>
          <w:tcPr>
            <w:tcW w:w="618" w:type="dxa"/>
            <w:tcBorders>
              <w:top w:val="nil"/>
              <w:left w:val="nil"/>
              <w:bottom w:val="nil"/>
              <w:right w:val="nil"/>
            </w:tcBorders>
            <w:shd w:val="clear" w:color="auto" w:fill="auto"/>
            <w:noWrap/>
            <w:vAlign w:val="bottom"/>
            <w:hideMark/>
          </w:tcPr>
          <w:p w14:paraId="542BBC5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0.638</w:t>
            </w:r>
          </w:p>
        </w:tc>
        <w:tc>
          <w:tcPr>
            <w:tcW w:w="601" w:type="dxa"/>
            <w:tcBorders>
              <w:top w:val="nil"/>
              <w:left w:val="nil"/>
              <w:bottom w:val="nil"/>
              <w:right w:val="nil"/>
            </w:tcBorders>
            <w:shd w:val="clear" w:color="auto" w:fill="auto"/>
            <w:noWrap/>
            <w:vAlign w:val="bottom"/>
            <w:hideMark/>
          </w:tcPr>
          <w:p w14:paraId="2CE43A8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0.662</w:t>
            </w:r>
          </w:p>
        </w:tc>
        <w:tc>
          <w:tcPr>
            <w:tcW w:w="615" w:type="dxa"/>
            <w:tcBorders>
              <w:top w:val="nil"/>
              <w:left w:val="nil"/>
              <w:bottom w:val="nil"/>
              <w:right w:val="nil"/>
            </w:tcBorders>
            <w:shd w:val="clear" w:color="auto" w:fill="auto"/>
            <w:noWrap/>
            <w:vAlign w:val="bottom"/>
            <w:hideMark/>
          </w:tcPr>
          <w:p w14:paraId="4AA540D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0.946</w:t>
            </w:r>
          </w:p>
        </w:tc>
        <w:tc>
          <w:tcPr>
            <w:tcW w:w="578" w:type="dxa"/>
            <w:tcBorders>
              <w:top w:val="nil"/>
              <w:left w:val="nil"/>
              <w:bottom w:val="nil"/>
              <w:right w:val="nil"/>
            </w:tcBorders>
            <w:shd w:val="clear" w:color="auto" w:fill="auto"/>
            <w:noWrap/>
            <w:vAlign w:val="bottom"/>
            <w:hideMark/>
          </w:tcPr>
          <w:p w14:paraId="40B5CAC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0.284</w:t>
            </w:r>
          </w:p>
        </w:tc>
        <w:tc>
          <w:tcPr>
            <w:tcW w:w="730" w:type="dxa"/>
            <w:tcBorders>
              <w:top w:val="nil"/>
              <w:left w:val="nil"/>
              <w:bottom w:val="nil"/>
              <w:right w:val="nil"/>
            </w:tcBorders>
            <w:shd w:val="clear" w:color="auto" w:fill="auto"/>
            <w:noWrap/>
            <w:vAlign w:val="bottom"/>
            <w:hideMark/>
          </w:tcPr>
          <w:p w14:paraId="193211F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0.512</w:t>
            </w:r>
          </w:p>
        </w:tc>
        <w:tc>
          <w:tcPr>
            <w:tcW w:w="660" w:type="dxa"/>
            <w:tcBorders>
              <w:top w:val="nil"/>
              <w:left w:val="nil"/>
              <w:bottom w:val="nil"/>
              <w:right w:val="nil"/>
            </w:tcBorders>
            <w:shd w:val="clear" w:color="auto" w:fill="auto"/>
            <w:noWrap/>
            <w:vAlign w:val="bottom"/>
            <w:hideMark/>
          </w:tcPr>
          <w:p w14:paraId="30E8BF8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1.078</w:t>
            </w:r>
          </w:p>
        </w:tc>
        <w:tc>
          <w:tcPr>
            <w:tcW w:w="578" w:type="dxa"/>
            <w:tcBorders>
              <w:top w:val="nil"/>
              <w:left w:val="nil"/>
              <w:bottom w:val="nil"/>
              <w:right w:val="nil"/>
            </w:tcBorders>
            <w:shd w:val="clear" w:color="auto" w:fill="auto"/>
            <w:noWrap/>
            <w:vAlign w:val="bottom"/>
            <w:hideMark/>
          </w:tcPr>
          <w:p w14:paraId="6C083C6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0.566</w:t>
            </w:r>
          </w:p>
        </w:tc>
        <w:tc>
          <w:tcPr>
            <w:tcW w:w="578" w:type="dxa"/>
            <w:tcBorders>
              <w:top w:val="nil"/>
              <w:left w:val="nil"/>
              <w:bottom w:val="nil"/>
              <w:right w:val="nil"/>
            </w:tcBorders>
            <w:shd w:val="clear" w:color="auto" w:fill="auto"/>
            <w:noWrap/>
            <w:vAlign w:val="bottom"/>
            <w:hideMark/>
          </w:tcPr>
          <w:p w14:paraId="1301917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0.802</w:t>
            </w:r>
          </w:p>
        </w:tc>
      </w:tr>
      <w:tr w:rsidR="00F80FF3" w:rsidRPr="00F80FF3" w14:paraId="2C376B3C" w14:textId="77777777" w:rsidTr="00F80FF3">
        <w:trPr>
          <w:trHeight w:val="320"/>
        </w:trPr>
        <w:tc>
          <w:tcPr>
            <w:tcW w:w="2620" w:type="dxa"/>
            <w:tcBorders>
              <w:top w:val="nil"/>
              <w:left w:val="nil"/>
              <w:bottom w:val="nil"/>
              <w:right w:val="nil"/>
            </w:tcBorders>
            <w:shd w:val="clear" w:color="auto" w:fill="auto"/>
            <w:noWrap/>
            <w:vAlign w:val="bottom"/>
            <w:hideMark/>
          </w:tcPr>
          <w:p w14:paraId="3C956205"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Israel</w:t>
            </w:r>
          </w:p>
        </w:tc>
        <w:tc>
          <w:tcPr>
            <w:tcW w:w="578" w:type="dxa"/>
            <w:tcBorders>
              <w:top w:val="nil"/>
              <w:left w:val="nil"/>
              <w:bottom w:val="nil"/>
              <w:right w:val="nil"/>
            </w:tcBorders>
            <w:shd w:val="clear" w:color="auto" w:fill="auto"/>
            <w:noWrap/>
            <w:vAlign w:val="bottom"/>
            <w:hideMark/>
          </w:tcPr>
          <w:p w14:paraId="49DE213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0.903</w:t>
            </w:r>
          </w:p>
        </w:tc>
        <w:tc>
          <w:tcPr>
            <w:tcW w:w="864" w:type="dxa"/>
            <w:tcBorders>
              <w:top w:val="nil"/>
              <w:left w:val="single" w:sz="4" w:space="0" w:color="auto"/>
              <w:bottom w:val="nil"/>
              <w:right w:val="single" w:sz="8" w:space="0" w:color="auto"/>
            </w:tcBorders>
            <w:shd w:val="clear" w:color="auto" w:fill="auto"/>
            <w:noWrap/>
            <w:vAlign w:val="bottom"/>
            <w:hideMark/>
          </w:tcPr>
          <w:p w14:paraId="69AD6584"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64973</w:t>
            </w:r>
          </w:p>
        </w:tc>
        <w:tc>
          <w:tcPr>
            <w:tcW w:w="618" w:type="dxa"/>
            <w:tcBorders>
              <w:top w:val="nil"/>
              <w:left w:val="nil"/>
              <w:bottom w:val="nil"/>
              <w:right w:val="nil"/>
            </w:tcBorders>
            <w:shd w:val="clear" w:color="auto" w:fill="auto"/>
            <w:noWrap/>
            <w:vAlign w:val="bottom"/>
            <w:hideMark/>
          </w:tcPr>
          <w:p w14:paraId="3C1C62A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0.235</w:t>
            </w:r>
          </w:p>
        </w:tc>
        <w:tc>
          <w:tcPr>
            <w:tcW w:w="601" w:type="dxa"/>
            <w:tcBorders>
              <w:top w:val="nil"/>
              <w:left w:val="nil"/>
              <w:bottom w:val="nil"/>
              <w:right w:val="nil"/>
            </w:tcBorders>
            <w:shd w:val="clear" w:color="auto" w:fill="auto"/>
            <w:noWrap/>
            <w:vAlign w:val="bottom"/>
            <w:hideMark/>
          </w:tcPr>
          <w:p w14:paraId="28026C0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0.057</w:t>
            </w:r>
          </w:p>
        </w:tc>
        <w:tc>
          <w:tcPr>
            <w:tcW w:w="615" w:type="dxa"/>
            <w:tcBorders>
              <w:top w:val="nil"/>
              <w:left w:val="nil"/>
              <w:bottom w:val="nil"/>
              <w:right w:val="nil"/>
            </w:tcBorders>
            <w:shd w:val="clear" w:color="auto" w:fill="auto"/>
            <w:noWrap/>
            <w:vAlign w:val="bottom"/>
            <w:hideMark/>
          </w:tcPr>
          <w:p w14:paraId="7FF61E1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0.720</w:t>
            </w:r>
          </w:p>
        </w:tc>
        <w:tc>
          <w:tcPr>
            <w:tcW w:w="578" w:type="dxa"/>
            <w:tcBorders>
              <w:top w:val="nil"/>
              <w:left w:val="nil"/>
              <w:bottom w:val="nil"/>
              <w:right w:val="nil"/>
            </w:tcBorders>
            <w:shd w:val="clear" w:color="auto" w:fill="auto"/>
            <w:noWrap/>
            <w:vAlign w:val="bottom"/>
            <w:hideMark/>
          </w:tcPr>
          <w:p w14:paraId="1FECDC8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0.663</w:t>
            </w:r>
          </w:p>
        </w:tc>
        <w:tc>
          <w:tcPr>
            <w:tcW w:w="730" w:type="dxa"/>
            <w:tcBorders>
              <w:top w:val="nil"/>
              <w:left w:val="nil"/>
              <w:bottom w:val="nil"/>
              <w:right w:val="nil"/>
            </w:tcBorders>
            <w:shd w:val="clear" w:color="auto" w:fill="auto"/>
            <w:noWrap/>
            <w:vAlign w:val="bottom"/>
            <w:hideMark/>
          </w:tcPr>
          <w:p w14:paraId="5CD5EDA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0.076</w:t>
            </w:r>
          </w:p>
        </w:tc>
        <w:tc>
          <w:tcPr>
            <w:tcW w:w="660" w:type="dxa"/>
            <w:tcBorders>
              <w:top w:val="nil"/>
              <w:left w:val="nil"/>
              <w:bottom w:val="nil"/>
              <w:right w:val="nil"/>
            </w:tcBorders>
            <w:shd w:val="clear" w:color="auto" w:fill="auto"/>
            <w:noWrap/>
            <w:vAlign w:val="bottom"/>
            <w:hideMark/>
          </w:tcPr>
          <w:p w14:paraId="160B171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0.719</w:t>
            </w:r>
          </w:p>
        </w:tc>
        <w:tc>
          <w:tcPr>
            <w:tcW w:w="578" w:type="dxa"/>
            <w:tcBorders>
              <w:top w:val="nil"/>
              <w:left w:val="nil"/>
              <w:bottom w:val="nil"/>
              <w:right w:val="nil"/>
            </w:tcBorders>
            <w:shd w:val="clear" w:color="auto" w:fill="auto"/>
            <w:noWrap/>
            <w:vAlign w:val="bottom"/>
            <w:hideMark/>
          </w:tcPr>
          <w:p w14:paraId="42822ED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0.643</w:t>
            </w:r>
          </w:p>
        </w:tc>
        <w:tc>
          <w:tcPr>
            <w:tcW w:w="578" w:type="dxa"/>
            <w:tcBorders>
              <w:top w:val="nil"/>
              <w:left w:val="nil"/>
              <w:bottom w:val="nil"/>
              <w:right w:val="nil"/>
            </w:tcBorders>
            <w:shd w:val="clear" w:color="auto" w:fill="auto"/>
            <w:noWrap/>
            <w:vAlign w:val="bottom"/>
            <w:hideMark/>
          </w:tcPr>
          <w:p w14:paraId="174AD0C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1.060</w:t>
            </w:r>
          </w:p>
        </w:tc>
      </w:tr>
      <w:tr w:rsidR="00F80FF3" w:rsidRPr="00F80FF3" w14:paraId="5D054B3F" w14:textId="77777777" w:rsidTr="00F80FF3">
        <w:trPr>
          <w:trHeight w:val="320"/>
        </w:trPr>
        <w:tc>
          <w:tcPr>
            <w:tcW w:w="2620" w:type="dxa"/>
            <w:tcBorders>
              <w:top w:val="nil"/>
              <w:left w:val="nil"/>
              <w:bottom w:val="nil"/>
              <w:right w:val="nil"/>
            </w:tcBorders>
            <w:shd w:val="clear" w:color="auto" w:fill="auto"/>
            <w:noWrap/>
            <w:vAlign w:val="bottom"/>
            <w:hideMark/>
          </w:tcPr>
          <w:p w14:paraId="65199E95"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Italy</w:t>
            </w:r>
          </w:p>
        </w:tc>
        <w:tc>
          <w:tcPr>
            <w:tcW w:w="578" w:type="dxa"/>
            <w:tcBorders>
              <w:top w:val="nil"/>
              <w:left w:val="nil"/>
              <w:bottom w:val="nil"/>
              <w:right w:val="nil"/>
            </w:tcBorders>
            <w:shd w:val="clear" w:color="auto" w:fill="auto"/>
            <w:noWrap/>
            <w:vAlign w:val="bottom"/>
            <w:hideMark/>
          </w:tcPr>
          <w:p w14:paraId="22E5A66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0.880</w:t>
            </w:r>
          </w:p>
        </w:tc>
        <w:tc>
          <w:tcPr>
            <w:tcW w:w="864" w:type="dxa"/>
            <w:tcBorders>
              <w:top w:val="nil"/>
              <w:left w:val="single" w:sz="4" w:space="0" w:color="auto"/>
              <w:bottom w:val="nil"/>
              <w:right w:val="single" w:sz="8" w:space="0" w:color="auto"/>
            </w:tcBorders>
            <w:shd w:val="clear" w:color="auto" w:fill="auto"/>
            <w:noWrap/>
            <w:vAlign w:val="bottom"/>
            <w:hideMark/>
          </w:tcPr>
          <w:p w14:paraId="5F2D82F3"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86701</w:t>
            </w:r>
          </w:p>
        </w:tc>
        <w:tc>
          <w:tcPr>
            <w:tcW w:w="618" w:type="dxa"/>
            <w:tcBorders>
              <w:top w:val="nil"/>
              <w:left w:val="nil"/>
              <w:bottom w:val="nil"/>
              <w:right w:val="nil"/>
            </w:tcBorders>
            <w:shd w:val="clear" w:color="auto" w:fill="auto"/>
            <w:noWrap/>
            <w:vAlign w:val="bottom"/>
            <w:hideMark/>
          </w:tcPr>
          <w:p w14:paraId="700593B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0.373</w:t>
            </w:r>
          </w:p>
        </w:tc>
        <w:tc>
          <w:tcPr>
            <w:tcW w:w="601" w:type="dxa"/>
            <w:tcBorders>
              <w:top w:val="nil"/>
              <w:left w:val="nil"/>
              <w:bottom w:val="nil"/>
              <w:right w:val="nil"/>
            </w:tcBorders>
            <w:shd w:val="clear" w:color="auto" w:fill="auto"/>
            <w:noWrap/>
            <w:vAlign w:val="bottom"/>
            <w:hideMark/>
          </w:tcPr>
          <w:p w14:paraId="20FFF15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0.465</w:t>
            </w:r>
          </w:p>
        </w:tc>
        <w:tc>
          <w:tcPr>
            <w:tcW w:w="615" w:type="dxa"/>
            <w:tcBorders>
              <w:top w:val="nil"/>
              <w:left w:val="nil"/>
              <w:bottom w:val="nil"/>
              <w:right w:val="nil"/>
            </w:tcBorders>
            <w:shd w:val="clear" w:color="auto" w:fill="auto"/>
            <w:noWrap/>
            <w:vAlign w:val="bottom"/>
            <w:hideMark/>
          </w:tcPr>
          <w:p w14:paraId="15D9D91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0.614</w:t>
            </w:r>
          </w:p>
        </w:tc>
        <w:tc>
          <w:tcPr>
            <w:tcW w:w="578" w:type="dxa"/>
            <w:tcBorders>
              <w:top w:val="nil"/>
              <w:left w:val="nil"/>
              <w:bottom w:val="nil"/>
              <w:right w:val="nil"/>
            </w:tcBorders>
            <w:shd w:val="clear" w:color="auto" w:fill="auto"/>
            <w:noWrap/>
            <w:vAlign w:val="bottom"/>
            <w:hideMark/>
          </w:tcPr>
          <w:p w14:paraId="616A1C5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0.149</w:t>
            </w:r>
          </w:p>
        </w:tc>
        <w:tc>
          <w:tcPr>
            <w:tcW w:w="730" w:type="dxa"/>
            <w:tcBorders>
              <w:top w:val="nil"/>
              <w:left w:val="nil"/>
              <w:bottom w:val="nil"/>
              <w:right w:val="nil"/>
            </w:tcBorders>
            <w:shd w:val="clear" w:color="auto" w:fill="auto"/>
            <w:noWrap/>
            <w:vAlign w:val="bottom"/>
            <w:hideMark/>
          </w:tcPr>
          <w:p w14:paraId="3ECD753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0.251</w:t>
            </w:r>
          </w:p>
        </w:tc>
        <w:tc>
          <w:tcPr>
            <w:tcW w:w="660" w:type="dxa"/>
            <w:tcBorders>
              <w:top w:val="nil"/>
              <w:left w:val="nil"/>
              <w:bottom w:val="nil"/>
              <w:right w:val="nil"/>
            </w:tcBorders>
            <w:shd w:val="clear" w:color="auto" w:fill="auto"/>
            <w:noWrap/>
            <w:vAlign w:val="bottom"/>
            <w:hideMark/>
          </w:tcPr>
          <w:p w14:paraId="6B17A43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0.905</w:t>
            </w:r>
          </w:p>
        </w:tc>
        <w:tc>
          <w:tcPr>
            <w:tcW w:w="578" w:type="dxa"/>
            <w:tcBorders>
              <w:top w:val="nil"/>
              <w:left w:val="nil"/>
              <w:bottom w:val="nil"/>
              <w:right w:val="nil"/>
            </w:tcBorders>
            <w:shd w:val="clear" w:color="auto" w:fill="auto"/>
            <w:noWrap/>
            <w:vAlign w:val="bottom"/>
            <w:hideMark/>
          </w:tcPr>
          <w:p w14:paraId="0504946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0.654</w:t>
            </w:r>
          </w:p>
        </w:tc>
        <w:tc>
          <w:tcPr>
            <w:tcW w:w="578" w:type="dxa"/>
            <w:tcBorders>
              <w:top w:val="nil"/>
              <w:left w:val="nil"/>
              <w:bottom w:val="nil"/>
              <w:right w:val="nil"/>
            </w:tcBorders>
            <w:shd w:val="clear" w:color="auto" w:fill="auto"/>
            <w:noWrap/>
            <w:vAlign w:val="bottom"/>
            <w:hideMark/>
          </w:tcPr>
          <w:p w14:paraId="1BBDD79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0.889</w:t>
            </w:r>
          </w:p>
        </w:tc>
      </w:tr>
      <w:tr w:rsidR="00F80FF3" w:rsidRPr="00F80FF3" w14:paraId="67B3F142" w14:textId="77777777" w:rsidTr="00F80FF3">
        <w:trPr>
          <w:trHeight w:val="320"/>
        </w:trPr>
        <w:tc>
          <w:tcPr>
            <w:tcW w:w="2620" w:type="dxa"/>
            <w:tcBorders>
              <w:top w:val="nil"/>
              <w:left w:val="nil"/>
              <w:bottom w:val="nil"/>
              <w:right w:val="nil"/>
            </w:tcBorders>
            <w:shd w:val="clear" w:color="auto" w:fill="auto"/>
            <w:noWrap/>
            <w:vAlign w:val="bottom"/>
            <w:hideMark/>
          </w:tcPr>
          <w:p w14:paraId="2F2485FB"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Japan</w:t>
            </w:r>
          </w:p>
        </w:tc>
        <w:tc>
          <w:tcPr>
            <w:tcW w:w="578" w:type="dxa"/>
            <w:tcBorders>
              <w:top w:val="nil"/>
              <w:left w:val="nil"/>
              <w:bottom w:val="nil"/>
              <w:right w:val="nil"/>
            </w:tcBorders>
            <w:shd w:val="clear" w:color="auto" w:fill="auto"/>
            <w:noWrap/>
            <w:vAlign w:val="bottom"/>
            <w:hideMark/>
          </w:tcPr>
          <w:p w14:paraId="2734BCB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0.909</w:t>
            </w:r>
          </w:p>
        </w:tc>
        <w:tc>
          <w:tcPr>
            <w:tcW w:w="864" w:type="dxa"/>
            <w:tcBorders>
              <w:top w:val="nil"/>
              <w:left w:val="single" w:sz="4" w:space="0" w:color="auto"/>
              <w:bottom w:val="nil"/>
              <w:right w:val="single" w:sz="8" w:space="0" w:color="auto"/>
            </w:tcBorders>
            <w:shd w:val="clear" w:color="auto" w:fill="auto"/>
            <w:noWrap/>
            <w:vAlign w:val="bottom"/>
            <w:hideMark/>
          </w:tcPr>
          <w:p w14:paraId="2D385362"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93200</w:t>
            </w:r>
          </w:p>
        </w:tc>
        <w:tc>
          <w:tcPr>
            <w:tcW w:w="618" w:type="dxa"/>
            <w:tcBorders>
              <w:top w:val="nil"/>
              <w:left w:val="nil"/>
              <w:bottom w:val="nil"/>
              <w:right w:val="nil"/>
            </w:tcBorders>
            <w:shd w:val="clear" w:color="auto" w:fill="auto"/>
            <w:noWrap/>
            <w:vAlign w:val="bottom"/>
            <w:hideMark/>
          </w:tcPr>
          <w:p w14:paraId="64E3921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0.766</w:t>
            </w:r>
          </w:p>
        </w:tc>
        <w:tc>
          <w:tcPr>
            <w:tcW w:w="601" w:type="dxa"/>
            <w:tcBorders>
              <w:top w:val="nil"/>
              <w:left w:val="nil"/>
              <w:bottom w:val="nil"/>
              <w:right w:val="nil"/>
            </w:tcBorders>
            <w:shd w:val="clear" w:color="auto" w:fill="auto"/>
            <w:noWrap/>
            <w:vAlign w:val="bottom"/>
            <w:hideMark/>
          </w:tcPr>
          <w:p w14:paraId="0968851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0.587</w:t>
            </w:r>
          </w:p>
        </w:tc>
        <w:tc>
          <w:tcPr>
            <w:tcW w:w="615" w:type="dxa"/>
            <w:tcBorders>
              <w:top w:val="nil"/>
              <w:left w:val="nil"/>
              <w:bottom w:val="nil"/>
              <w:right w:val="nil"/>
            </w:tcBorders>
            <w:shd w:val="clear" w:color="auto" w:fill="auto"/>
            <w:noWrap/>
            <w:vAlign w:val="bottom"/>
            <w:hideMark/>
          </w:tcPr>
          <w:p w14:paraId="09C6FCE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1.166</w:t>
            </w:r>
          </w:p>
        </w:tc>
        <w:tc>
          <w:tcPr>
            <w:tcW w:w="578" w:type="dxa"/>
            <w:tcBorders>
              <w:top w:val="nil"/>
              <w:left w:val="nil"/>
              <w:bottom w:val="nil"/>
              <w:right w:val="nil"/>
            </w:tcBorders>
            <w:shd w:val="clear" w:color="auto" w:fill="auto"/>
            <w:noWrap/>
            <w:vAlign w:val="bottom"/>
            <w:hideMark/>
          </w:tcPr>
          <w:p w14:paraId="31E013B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0.579</w:t>
            </w:r>
          </w:p>
        </w:tc>
        <w:tc>
          <w:tcPr>
            <w:tcW w:w="730" w:type="dxa"/>
            <w:tcBorders>
              <w:top w:val="nil"/>
              <w:left w:val="nil"/>
              <w:bottom w:val="nil"/>
              <w:right w:val="nil"/>
            </w:tcBorders>
            <w:shd w:val="clear" w:color="auto" w:fill="auto"/>
            <w:noWrap/>
            <w:vAlign w:val="bottom"/>
            <w:hideMark/>
          </w:tcPr>
          <w:p w14:paraId="7C60198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0.654</w:t>
            </w:r>
          </w:p>
        </w:tc>
        <w:tc>
          <w:tcPr>
            <w:tcW w:w="660" w:type="dxa"/>
            <w:tcBorders>
              <w:top w:val="nil"/>
              <w:left w:val="nil"/>
              <w:bottom w:val="nil"/>
              <w:right w:val="nil"/>
            </w:tcBorders>
            <w:shd w:val="clear" w:color="auto" w:fill="auto"/>
            <w:noWrap/>
            <w:vAlign w:val="bottom"/>
            <w:hideMark/>
          </w:tcPr>
          <w:p w14:paraId="0DBF708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1.147</w:t>
            </w:r>
          </w:p>
        </w:tc>
        <w:tc>
          <w:tcPr>
            <w:tcW w:w="578" w:type="dxa"/>
            <w:tcBorders>
              <w:top w:val="nil"/>
              <w:left w:val="nil"/>
              <w:bottom w:val="nil"/>
              <w:right w:val="nil"/>
            </w:tcBorders>
            <w:shd w:val="clear" w:color="auto" w:fill="auto"/>
            <w:noWrap/>
            <w:vAlign w:val="bottom"/>
            <w:hideMark/>
          </w:tcPr>
          <w:p w14:paraId="044C14C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0.493</w:t>
            </w:r>
          </w:p>
        </w:tc>
        <w:tc>
          <w:tcPr>
            <w:tcW w:w="578" w:type="dxa"/>
            <w:tcBorders>
              <w:top w:val="nil"/>
              <w:left w:val="nil"/>
              <w:bottom w:val="nil"/>
              <w:right w:val="nil"/>
            </w:tcBorders>
            <w:shd w:val="clear" w:color="auto" w:fill="auto"/>
            <w:noWrap/>
            <w:vAlign w:val="bottom"/>
            <w:hideMark/>
          </w:tcPr>
          <w:p w14:paraId="75C6D3B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0.863</w:t>
            </w:r>
          </w:p>
        </w:tc>
      </w:tr>
      <w:tr w:rsidR="00F80FF3" w:rsidRPr="00F80FF3" w14:paraId="1F3A62EC" w14:textId="77777777" w:rsidTr="00F80FF3">
        <w:trPr>
          <w:trHeight w:val="320"/>
        </w:trPr>
        <w:tc>
          <w:tcPr>
            <w:tcW w:w="2620" w:type="dxa"/>
            <w:tcBorders>
              <w:top w:val="nil"/>
              <w:left w:val="nil"/>
              <w:bottom w:val="nil"/>
              <w:right w:val="nil"/>
            </w:tcBorders>
            <w:shd w:val="clear" w:color="auto" w:fill="auto"/>
            <w:noWrap/>
            <w:vAlign w:val="bottom"/>
            <w:hideMark/>
          </w:tcPr>
          <w:p w14:paraId="7D3B6796"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Jordan</w:t>
            </w:r>
          </w:p>
        </w:tc>
        <w:tc>
          <w:tcPr>
            <w:tcW w:w="578" w:type="dxa"/>
            <w:tcBorders>
              <w:top w:val="nil"/>
              <w:left w:val="nil"/>
              <w:bottom w:val="nil"/>
              <w:right w:val="nil"/>
            </w:tcBorders>
            <w:shd w:val="clear" w:color="auto" w:fill="auto"/>
            <w:noWrap/>
            <w:vAlign w:val="bottom"/>
            <w:hideMark/>
          </w:tcPr>
          <w:p w14:paraId="6B01D3E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0.735</w:t>
            </w:r>
          </w:p>
        </w:tc>
        <w:tc>
          <w:tcPr>
            <w:tcW w:w="864" w:type="dxa"/>
            <w:tcBorders>
              <w:top w:val="nil"/>
              <w:left w:val="nil"/>
              <w:bottom w:val="nil"/>
              <w:right w:val="nil"/>
            </w:tcBorders>
            <w:shd w:val="clear" w:color="auto" w:fill="auto"/>
            <w:noWrap/>
            <w:vAlign w:val="bottom"/>
            <w:hideMark/>
          </w:tcPr>
          <w:p w14:paraId="402C6E2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038A075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-0.618</w:t>
            </w:r>
          </w:p>
        </w:tc>
        <w:tc>
          <w:tcPr>
            <w:tcW w:w="601" w:type="dxa"/>
            <w:tcBorders>
              <w:top w:val="nil"/>
              <w:left w:val="nil"/>
              <w:bottom w:val="nil"/>
              <w:right w:val="nil"/>
            </w:tcBorders>
            <w:shd w:val="clear" w:color="auto" w:fill="auto"/>
            <w:noWrap/>
            <w:vAlign w:val="bottom"/>
            <w:hideMark/>
          </w:tcPr>
          <w:p w14:paraId="61493BA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-0.469</w:t>
            </w:r>
          </w:p>
        </w:tc>
        <w:tc>
          <w:tcPr>
            <w:tcW w:w="615" w:type="dxa"/>
            <w:tcBorders>
              <w:top w:val="nil"/>
              <w:left w:val="nil"/>
              <w:bottom w:val="nil"/>
              <w:right w:val="nil"/>
            </w:tcBorders>
            <w:shd w:val="clear" w:color="auto" w:fill="auto"/>
            <w:noWrap/>
            <w:vAlign w:val="bottom"/>
            <w:hideMark/>
          </w:tcPr>
          <w:p w14:paraId="51831AD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-0.429</w:t>
            </w:r>
          </w:p>
        </w:tc>
        <w:tc>
          <w:tcPr>
            <w:tcW w:w="578" w:type="dxa"/>
            <w:tcBorders>
              <w:top w:val="nil"/>
              <w:left w:val="nil"/>
              <w:bottom w:val="nil"/>
              <w:right w:val="nil"/>
            </w:tcBorders>
            <w:shd w:val="clear" w:color="auto" w:fill="auto"/>
            <w:noWrap/>
            <w:vAlign w:val="bottom"/>
            <w:hideMark/>
          </w:tcPr>
          <w:p w14:paraId="2DAA60E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0.040</w:t>
            </w:r>
          </w:p>
        </w:tc>
        <w:tc>
          <w:tcPr>
            <w:tcW w:w="730" w:type="dxa"/>
            <w:tcBorders>
              <w:top w:val="nil"/>
              <w:left w:val="nil"/>
              <w:bottom w:val="nil"/>
              <w:right w:val="nil"/>
            </w:tcBorders>
            <w:shd w:val="clear" w:color="auto" w:fill="auto"/>
            <w:noWrap/>
            <w:vAlign w:val="bottom"/>
            <w:hideMark/>
          </w:tcPr>
          <w:p w14:paraId="7C548F3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-0.639</w:t>
            </w:r>
          </w:p>
        </w:tc>
        <w:tc>
          <w:tcPr>
            <w:tcW w:w="660" w:type="dxa"/>
            <w:tcBorders>
              <w:top w:val="nil"/>
              <w:left w:val="nil"/>
              <w:bottom w:val="nil"/>
              <w:right w:val="nil"/>
            </w:tcBorders>
            <w:shd w:val="clear" w:color="auto" w:fill="auto"/>
            <w:noWrap/>
            <w:vAlign w:val="bottom"/>
            <w:hideMark/>
          </w:tcPr>
          <w:p w14:paraId="53069F7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-0.338</w:t>
            </w:r>
          </w:p>
        </w:tc>
        <w:tc>
          <w:tcPr>
            <w:tcW w:w="578" w:type="dxa"/>
            <w:tcBorders>
              <w:top w:val="nil"/>
              <w:left w:val="nil"/>
              <w:bottom w:val="nil"/>
              <w:right w:val="nil"/>
            </w:tcBorders>
            <w:shd w:val="clear" w:color="auto" w:fill="auto"/>
            <w:noWrap/>
            <w:vAlign w:val="bottom"/>
            <w:hideMark/>
          </w:tcPr>
          <w:p w14:paraId="401FC56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0.301</w:t>
            </w:r>
          </w:p>
        </w:tc>
        <w:tc>
          <w:tcPr>
            <w:tcW w:w="578" w:type="dxa"/>
            <w:tcBorders>
              <w:top w:val="nil"/>
              <w:left w:val="nil"/>
              <w:bottom w:val="nil"/>
              <w:right w:val="nil"/>
            </w:tcBorders>
            <w:shd w:val="clear" w:color="auto" w:fill="auto"/>
            <w:noWrap/>
            <w:vAlign w:val="bottom"/>
            <w:hideMark/>
          </w:tcPr>
          <w:p w14:paraId="1DE6182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0.824</w:t>
            </w:r>
          </w:p>
        </w:tc>
      </w:tr>
      <w:tr w:rsidR="00F80FF3" w:rsidRPr="00F80FF3" w14:paraId="2A5F6C83" w14:textId="77777777" w:rsidTr="00F80FF3">
        <w:trPr>
          <w:trHeight w:val="320"/>
        </w:trPr>
        <w:tc>
          <w:tcPr>
            <w:tcW w:w="2620" w:type="dxa"/>
            <w:tcBorders>
              <w:top w:val="nil"/>
              <w:left w:val="nil"/>
              <w:bottom w:val="nil"/>
              <w:right w:val="nil"/>
            </w:tcBorders>
            <w:shd w:val="clear" w:color="auto" w:fill="auto"/>
            <w:noWrap/>
            <w:vAlign w:val="bottom"/>
            <w:hideMark/>
          </w:tcPr>
          <w:p w14:paraId="1DF1B2C8"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Kosovo</w:t>
            </w:r>
          </w:p>
        </w:tc>
        <w:tc>
          <w:tcPr>
            <w:tcW w:w="578" w:type="dxa"/>
            <w:tcBorders>
              <w:top w:val="nil"/>
              <w:left w:val="nil"/>
              <w:bottom w:val="nil"/>
              <w:right w:val="nil"/>
            </w:tcBorders>
            <w:shd w:val="clear" w:color="auto" w:fill="auto"/>
            <w:noWrap/>
            <w:vAlign w:val="bottom"/>
            <w:hideMark/>
          </w:tcPr>
          <w:p w14:paraId="5C645B3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0.739</w:t>
            </w:r>
          </w:p>
        </w:tc>
        <w:tc>
          <w:tcPr>
            <w:tcW w:w="864" w:type="dxa"/>
            <w:tcBorders>
              <w:top w:val="nil"/>
              <w:left w:val="nil"/>
              <w:bottom w:val="nil"/>
              <w:right w:val="nil"/>
            </w:tcBorders>
            <w:shd w:val="clear" w:color="auto" w:fill="auto"/>
            <w:noWrap/>
            <w:vAlign w:val="bottom"/>
            <w:hideMark/>
          </w:tcPr>
          <w:p w14:paraId="110C9F3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2C45682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-1.040</w:t>
            </w:r>
          </w:p>
        </w:tc>
        <w:tc>
          <w:tcPr>
            <w:tcW w:w="601" w:type="dxa"/>
            <w:tcBorders>
              <w:top w:val="nil"/>
              <w:left w:val="nil"/>
              <w:bottom w:val="nil"/>
              <w:right w:val="nil"/>
            </w:tcBorders>
            <w:shd w:val="clear" w:color="auto" w:fill="auto"/>
            <w:noWrap/>
            <w:vAlign w:val="bottom"/>
            <w:hideMark/>
          </w:tcPr>
          <w:p w14:paraId="7DB8C80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-1.011</w:t>
            </w:r>
          </w:p>
        </w:tc>
        <w:tc>
          <w:tcPr>
            <w:tcW w:w="615" w:type="dxa"/>
            <w:tcBorders>
              <w:top w:val="nil"/>
              <w:left w:val="nil"/>
              <w:bottom w:val="nil"/>
              <w:right w:val="nil"/>
            </w:tcBorders>
            <w:shd w:val="clear" w:color="auto" w:fill="auto"/>
            <w:noWrap/>
            <w:vAlign w:val="bottom"/>
            <w:hideMark/>
          </w:tcPr>
          <w:p w14:paraId="34DF838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-0.918</w:t>
            </w:r>
          </w:p>
        </w:tc>
        <w:tc>
          <w:tcPr>
            <w:tcW w:w="578" w:type="dxa"/>
            <w:tcBorders>
              <w:top w:val="nil"/>
              <w:left w:val="nil"/>
              <w:bottom w:val="nil"/>
              <w:right w:val="nil"/>
            </w:tcBorders>
            <w:shd w:val="clear" w:color="auto" w:fill="auto"/>
            <w:noWrap/>
            <w:vAlign w:val="bottom"/>
            <w:hideMark/>
          </w:tcPr>
          <w:p w14:paraId="7DC6703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0.093</w:t>
            </w:r>
          </w:p>
        </w:tc>
        <w:tc>
          <w:tcPr>
            <w:tcW w:w="730" w:type="dxa"/>
            <w:tcBorders>
              <w:top w:val="nil"/>
              <w:left w:val="nil"/>
              <w:bottom w:val="nil"/>
              <w:right w:val="nil"/>
            </w:tcBorders>
            <w:shd w:val="clear" w:color="auto" w:fill="auto"/>
            <w:noWrap/>
            <w:vAlign w:val="bottom"/>
            <w:hideMark/>
          </w:tcPr>
          <w:p w14:paraId="40CAFBF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-1.024</w:t>
            </w:r>
          </w:p>
        </w:tc>
        <w:tc>
          <w:tcPr>
            <w:tcW w:w="660" w:type="dxa"/>
            <w:tcBorders>
              <w:top w:val="nil"/>
              <w:left w:val="nil"/>
              <w:bottom w:val="nil"/>
              <w:right w:val="nil"/>
            </w:tcBorders>
            <w:shd w:val="clear" w:color="auto" w:fill="auto"/>
            <w:noWrap/>
            <w:vAlign w:val="bottom"/>
            <w:hideMark/>
          </w:tcPr>
          <w:p w14:paraId="4630150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-0.812</w:t>
            </w:r>
          </w:p>
        </w:tc>
        <w:tc>
          <w:tcPr>
            <w:tcW w:w="578" w:type="dxa"/>
            <w:tcBorders>
              <w:top w:val="nil"/>
              <w:left w:val="nil"/>
              <w:bottom w:val="nil"/>
              <w:right w:val="nil"/>
            </w:tcBorders>
            <w:shd w:val="clear" w:color="auto" w:fill="auto"/>
            <w:noWrap/>
            <w:vAlign w:val="bottom"/>
            <w:hideMark/>
          </w:tcPr>
          <w:p w14:paraId="3DA2BA0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0.212</w:t>
            </w:r>
          </w:p>
        </w:tc>
        <w:tc>
          <w:tcPr>
            <w:tcW w:w="578" w:type="dxa"/>
            <w:tcBorders>
              <w:top w:val="nil"/>
              <w:left w:val="nil"/>
              <w:bottom w:val="nil"/>
              <w:right w:val="nil"/>
            </w:tcBorders>
            <w:shd w:val="clear" w:color="auto" w:fill="auto"/>
            <w:noWrap/>
            <w:vAlign w:val="bottom"/>
            <w:hideMark/>
          </w:tcPr>
          <w:p w14:paraId="26C68EC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0.708</w:t>
            </w:r>
          </w:p>
        </w:tc>
      </w:tr>
      <w:tr w:rsidR="00F80FF3" w:rsidRPr="00F80FF3" w14:paraId="526930D4" w14:textId="77777777" w:rsidTr="00F80FF3">
        <w:trPr>
          <w:trHeight w:val="320"/>
        </w:trPr>
        <w:tc>
          <w:tcPr>
            <w:tcW w:w="2620" w:type="dxa"/>
            <w:tcBorders>
              <w:top w:val="nil"/>
              <w:left w:val="nil"/>
              <w:bottom w:val="nil"/>
              <w:right w:val="nil"/>
            </w:tcBorders>
            <w:shd w:val="clear" w:color="auto" w:fill="auto"/>
            <w:noWrap/>
            <w:vAlign w:val="bottom"/>
            <w:hideMark/>
          </w:tcPr>
          <w:p w14:paraId="29D2B4BC"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Latvia</w:t>
            </w:r>
          </w:p>
        </w:tc>
        <w:tc>
          <w:tcPr>
            <w:tcW w:w="578" w:type="dxa"/>
            <w:tcBorders>
              <w:top w:val="nil"/>
              <w:left w:val="nil"/>
              <w:bottom w:val="nil"/>
              <w:right w:val="nil"/>
            </w:tcBorders>
            <w:shd w:val="clear" w:color="auto" w:fill="auto"/>
            <w:noWrap/>
            <w:vAlign w:val="bottom"/>
            <w:hideMark/>
          </w:tcPr>
          <w:p w14:paraId="136C4D4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0.847</w:t>
            </w:r>
          </w:p>
        </w:tc>
        <w:tc>
          <w:tcPr>
            <w:tcW w:w="864" w:type="dxa"/>
            <w:tcBorders>
              <w:top w:val="nil"/>
              <w:left w:val="single" w:sz="4" w:space="0" w:color="auto"/>
              <w:bottom w:val="nil"/>
              <w:right w:val="single" w:sz="8" w:space="0" w:color="auto"/>
            </w:tcBorders>
            <w:shd w:val="clear" w:color="auto" w:fill="auto"/>
            <w:noWrap/>
            <w:vAlign w:val="bottom"/>
            <w:hideMark/>
          </w:tcPr>
          <w:p w14:paraId="3CDDE42D"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59899</w:t>
            </w:r>
          </w:p>
        </w:tc>
        <w:tc>
          <w:tcPr>
            <w:tcW w:w="618" w:type="dxa"/>
            <w:tcBorders>
              <w:top w:val="nil"/>
              <w:left w:val="nil"/>
              <w:bottom w:val="nil"/>
              <w:right w:val="nil"/>
            </w:tcBorders>
            <w:shd w:val="clear" w:color="auto" w:fill="auto"/>
            <w:noWrap/>
            <w:vAlign w:val="bottom"/>
            <w:hideMark/>
          </w:tcPr>
          <w:p w14:paraId="2787797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0.349</w:t>
            </w:r>
          </w:p>
        </w:tc>
        <w:tc>
          <w:tcPr>
            <w:tcW w:w="601" w:type="dxa"/>
            <w:tcBorders>
              <w:top w:val="nil"/>
              <w:left w:val="nil"/>
              <w:bottom w:val="nil"/>
              <w:right w:val="nil"/>
            </w:tcBorders>
            <w:shd w:val="clear" w:color="auto" w:fill="auto"/>
            <w:noWrap/>
            <w:vAlign w:val="bottom"/>
            <w:hideMark/>
          </w:tcPr>
          <w:p w14:paraId="134B083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0.287</w:t>
            </w:r>
          </w:p>
        </w:tc>
        <w:tc>
          <w:tcPr>
            <w:tcW w:w="615" w:type="dxa"/>
            <w:tcBorders>
              <w:top w:val="nil"/>
              <w:left w:val="nil"/>
              <w:bottom w:val="nil"/>
              <w:right w:val="nil"/>
            </w:tcBorders>
            <w:shd w:val="clear" w:color="auto" w:fill="auto"/>
            <w:noWrap/>
            <w:vAlign w:val="bottom"/>
            <w:hideMark/>
          </w:tcPr>
          <w:p w14:paraId="4087253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0.577</w:t>
            </w:r>
          </w:p>
        </w:tc>
        <w:tc>
          <w:tcPr>
            <w:tcW w:w="578" w:type="dxa"/>
            <w:tcBorders>
              <w:top w:val="nil"/>
              <w:left w:val="nil"/>
              <w:bottom w:val="nil"/>
              <w:right w:val="nil"/>
            </w:tcBorders>
            <w:shd w:val="clear" w:color="auto" w:fill="auto"/>
            <w:noWrap/>
            <w:vAlign w:val="bottom"/>
            <w:hideMark/>
          </w:tcPr>
          <w:p w14:paraId="1BAB4C6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0.290</w:t>
            </w:r>
          </w:p>
        </w:tc>
        <w:tc>
          <w:tcPr>
            <w:tcW w:w="730" w:type="dxa"/>
            <w:tcBorders>
              <w:top w:val="nil"/>
              <w:left w:val="nil"/>
              <w:bottom w:val="nil"/>
              <w:right w:val="nil"/>
            </w:tcBorders>
            <w:shd w:val="clear" w:color="auto" w:fill="auto"/>
            <w:noWrap/>
            <w:vAlign w:val="bottom"/>
            <w:hideMark/>
          </w:tcPr>
          <w:p w14:paraId="159FDA3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0.270</w:t>
            </w:r>
          </w:p>
        </w:tc>
        <w:tc>
          <w:tcPr>
            <w:tcW w:w="660" w:type="dxa"/>
            <w:tcBorders>
              <w:top w:val="nil"/>
              <w:left w:val="nil"/>
              <w:bottom w:val="nil"/>
              <w:right w:val="nil"/>
            </w:tcBorders>
            <w:shd w:val="clear" w:color="auto" w:fill="auto"/>
            <w:noWrap/>
            <w:vAlign w:val="bottom"/>
            <w:hideMark/>
          </w:tcPr>
          <w:p w14:paraId="30829FE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0.755</w:t>
            </w:r>
          </w:p>
        </w:tc>
        <w:tc>
          <w:tcPr>
            <w:tcW w:w="578" w:type="dxa"/>
            <w:tcBorders>
              <w:top w:val="nil"/>
              <w:left w:val="nil"/>
              <w:bottom w:val="nil"/>
              <w:right w:val="nil"/>
            </w:tcBorders>
            <w:shd w:val="clear" w:color="auto" w:fill="auto"/>
            <w:noWrap/>
            <w:vAlign w:val="bottom"/>
            <w:hideMark/>
          </w:tcPr>
          <w:p w14:paraId="1E3C744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0.485</w:t>
            </w:r>
          </w:p>
        </w:tc>
        <w:tc>
          <w:tcPr>
            <w:tcW w:w="578" w:type="dxa"/>
            <w:tcBorders>
              <w:top w:val="nil"/>
              <w:left w:val="nil"/>
              <w:bottom w:val="nil"/>
              <w:right w:val="nil"/>
            </w:tcBorders>
            <w:shd w:val="clear" w:color="auto" w:fill="auto"/>
            <w:noWrap/>
            <w:vAlign w:val="bottom"/>
            <w:hideMark/>
          </w:tcPr>
          <w:p w14:paraId="10456CB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0.774</w:t>
            </w:r>
          </w:p>
        </w:tc>
      </w:tr>
      <w:tr w:rsidR="00F80FF3" w:rsidRPr="00F80FF3" w14:paraId="2521F344" w14:textId="77777777" w:rsidTr="00F80FF3">
        <w:trPr>
          <w:trHeight w:val="320"/>
        </w:trPr>
        <w:tc>
          <w:tcPr>
            <w:tcW w:w="2620" w:type="dxa"/>
            <w:tcBorders>
              <w:top w:val="nil"/>
              <w:left w:val="nil"/>
              <w:bottom w:val="nil"/>
              <w:right w:val="nil"/>
            </w:tcBorders>
            <w:shd w:val="clear" w:color="auto" w:fill="auto"/>
            <w:noWrap/>
            <w:vAlign w:val="bottom"/>
            <w:hideMark/>
          </w:tcPr>
          <w:p w14:paraId="28830843"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Lebanon</w:t>
            </w:r>
          </w:p>
        </w:tc>
        <w:tc>
          <w:tcPr>
            <w:tcW w:w="578" w:type="dxa"/>
            <w:tcBorders>
              <w:top w:val="nil"/>
              <w:left w:val="nil"/>
              <w:bottom w:val="nil"/>
              <w:right w:val="nil"/>
            </w:tcBorders>
            <w:shd w:val="clear" w:color="auto" w:fill="auto"/>
            <w:noWrap/>
            <w:vAlign w:val="bottom"/>
            <w:hideMark/>
          </w:tcPr>
          <w:p w14:paraId="45E0C49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0.757</w:t>
            </w:r>
          </w:p>
        </w:tc>
        <w:tc>
          <w:tcPr>
            <w:tcW w:w="864" w:type="dxa"/>
            <w:tcBorders>
              <w:top w:val="nil"/>
              <w:left w:val="nil"/>
              <w:bottom w:val="nil"/>
              <w:right w:val="nil"/>
            </w:tcBorders>
            <w:shd w:val="clear" w:color="auto" w:fill="auto"/>
            <w:noWrap/>
            <w:vAlign w:val="bottom"/>
            <w:hideMark/>
          </w:tcPr>
          <w:p w14:paraId="5AE37F7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649D0C0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-0.857</w:t>
            </w:r>
          </w:p>
        </w:tc>
        <w:tc>
          <w:tcPr>
            <w:tcW w:w="601" w:type="dxa"/>
            <w:tcBorders>
              <w:top w:val="nil"/>
              <w:left w:val="nil"/>
              <w:bottom w:val="nil"/>
              <w:right w:val="nil"/>
            </w:tcBorders>
            <w:shd w:val="clear" w:color="auto" w:fill="auto"/>
            <w:noWrap/>
            <w:vAlign w:val="bottom"/>
            <w:hideMark/>
          </w:tcPr>
          <w:p w14:paraId="77E3840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-0.584</w:t>
            </w:r>
          </w:p>
        </w:tc>
        <w:tc>
          <w:tcPr>
            <w:tcW w:w="615" w:type="dxa"/>
            <w:tcBorders>
              <w:top w:val="nil"/>
              <w:left w:val="nil"/>
              <w:bottom w:val="nil"/>
              <w:right w:val="nil"/>
            </w:tcBorders>
            <w:shd w:val="clear" w:color="auto" w:fill="auto"/>
            <w:noWrap/>
            <w:vAlign w:val="bottom"/>
            <w:hideMark/>
          </w:tcPr>
          <w:p w14:paraId="6E4C89F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-1.028</w:t>
            </w:r>
          </w:p>
        </w:tc>
        <w:tc>
          <w:tcPr>
            <w:tcW w:w="578" w:type="dxa"/>
            <w:tcBorders>
              <w:top w:val="nil"/>
              <w:left w:val="nil"/>
              <w:bottom w:val="nil"/>
              <w:right w:val="nil"/>
            </w:tcBorders>
            <w:shd w:val="clear" w:color="auto" w:fill="auto"/>
            <w:noWrap/>
            <w:vAlign w:val="bottom"/>
            <w:hideMark/>
          </w:tcPr>
          <w:p w14:paraId="09565E3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-0.444</w:t>
            </w:r>
          </w:p>
        </w:tc>
        <w:tc>
          <w:tcPr>
            <w:tcW w:w="730" w:type="dxa"/>
            <w:tcBorders>
              <w:top w:val="nil"/>
              <w:left w:val="nil"/>
              <w:bottom w:val="nil"/>
              <w:right w:val="nil"/>
            </w:tcBorders>
            <w:shd w:val="clear" w:color="auto" w:fill="auto"/>
            <w:noWrap/>
            <w:vAlign w:val="bottom"/>
            <w:hideMark/>
          </w:tcPr>
          <w:p w14:paraId="516848F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-1.008</w:t>
            </w:r>
          </w:p>
        </w:tc>
        <w:tc>
          <w:tcPr>
            <w:tcW w:w="660" w:type="dxa"/>
            <w:tcBorders>
              <w:top w:val="nil"/>
              <w:left w:val="nil"/>
              <w:bottom w:val="nil"/>
              <w:right w:val="nil"/>
            </w:tcBorders>
            <w:shd w:val="clear" w:color="auto" w:fill="auto"/>
            <w:noWrap/>
            <w:vAlign w:val="bottom"/>
            <w:hideMark/>
          </w:tcPr>
          <w:p w14:paraId="28C3999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-0.581</w:t>
            </w:r>
          </w:p>
        </w:tc>
        <w:tc>
          <w:tcPr>
            <w:tcW w:w="578" w:type="dxa"/>
            <w:tcBorders>
              <w:top w:val="nil"/>
              <w:left w:val="nil"/>
              <w:bottom w:val="nil"/>
              <w:right w:val="nil"/>
            </w:tcBorders>
            <w:shd w:val="clear" w:color="auto" w:fill="auto"/>
            <w:noWrap/>
            <w:vAlign w:val="bottom"/>
            <w:hideMark/>
          </w:tcPr>
          <w:p w14:paraId="72E85E1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0.427</w:t>
            </w:r>
          </w:p>
        </w:tc>
        <w:tc>
          <w:tcPr>
            <w:tcW w:w="578" w:type="dxa"/>
            <w:tcBorders>
              <w:top w:val="nil"/>
              <w:left w:val="nil"/>
              <w:bottom w:val="nil"/>
              <w:right w:val="nil"/>
            </w:tcBorders>
            <w:shd w:val="clear" w:color="auto" w:fill="auto"/>
            <w:noWrap/>
            <w:vAlign w:val="bottom"/>
            <w:hideMark/>
          </w:tcPr>
          <w:p w14:paraId="576DAA0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1.031</w:t>
            </w:r>
          </w:p>
        </w:tc>
      </w:tr>
      <w:tr w:rsidR="00F80FF3" w:rsidRPr="00F80FF3" w14:paraId="02F2803B" w14:textId="77777777" w:rsidTr="00F80FF3">
        <w:trPr>
          <w:trHeight w:val="320"/>
        </w:trPr>
        <w:tc>
          <w:tcPr>
            <w:tcW w:w="2620" w:type="dxa"/>
            <w:tcBorders>
              <w:top w:val="nil"/>
              <w:left w:val="nil"/>
              <w:bottom w:val="nil"/>
              <w:right w:val="nil"/>
            </w:tcBorders>
            <w:shd w:val="clear" w:color="auto" w:fill="auto"/>
            <w:noWrap/>
            <w:vAlign w:val="bottom"/>
            <w:hideMark/>
          </w:tcPr>
          <w:p w14:paraId="227E4E2C"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Lithuania</w:t>
            </w:r>
          </w:p>
        </w:tc>
        <w:tc>
          <w:tcPr>
            <w:tcW w:w="578" w:type="dxa"/>
            <w:tcBorders>
              <w:top w:val="nil"/>
              <w:left w:val="nil"/>
              <w:bottom w:val="nil"/>
              <w:right w:val="nil"/>
            </w:tcBorders>
            <w:shd w:val="clear" w:color="auto" w:fill="auto"/>
            <w:noWrap/>
            <w:vAlign w:val="bottom"/>
            <w:hideMark/>
          </w:tcPr>
          <w:p w14:paraId="6289B8F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0.858</w:t>
            </w:r>
          </w:p>
        </w:tc>
        <w:tc>
          <w:tcPr>
            <w:tcW w:w="864" w:type="dxa"/>
            <w:tcBorders>
              <w:top w:val="nil"/>
              <w:left w:val="single" w:sz="4" w:space="0" w:color="auto"/>
              <w:bottom w:val="nil"/>
              <w:right w:val="single" w:sz="8" w:space="0" w:color="auto"/>
            </w:tcBorders>
            <w:shd w:val="clear" w:color="auto" w:fill="auto"/>
            <w:noWrap/>
            <w:vAlign w:val="bottom"/>
            <w:hideMark/>
          </w:tcPr>
          <w:p w14:paraId="588A94EE"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48389</w:t>
            </w:r>
          </w:p>
        </w:tc>
        <w:tc>
          <w:tcPr>
            <w:tcW w:w="618" w:type="dxa"/>
            <w:tcBorders>
              <w:top w:val="nil"/>
              <w:left w:val="nil"/>
              <w:bottom w:val="nil"/>
              <w:right w:val="nil"/>
            </w:tcBorders>
            <w:shd w:val="clear" w:color="auto" w:fill="auto"/>
            <w:noWrap/>
            <w:vAlign w:val="bottom"/>
            <w:hideMark/>
          </w:tcPr>
          <w:p w14:paraId="5780523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0.247</w:t>
            </w:r>
          </w:p>
        </w:tc>
        <w:tc>
          <w:tcPr>
            <w:tcW w:w="601" w:type="dxa"/>
            <w:tcBorders>
              <w:top w:val="nil"/>
              <w:left w:val="nil"/>
              <w:bottom w:val="nil"/>
              <w:right w:val="nil"/>
            </w:tcBorders>
            <w:shd w:val="clear" w:color="auto" w:fill="auto"/>
            <w:noWrap/>
            <w:vAlign w:val="bottom"/>
            <w:hideMark/>
          </w:tcPr>
          <w:p w14:paraId="70DDF29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0.138</w:t>
            </w:r>
          </w:p>
        </w:tc>
        <w:tc>
          <w:tcPr>
            <w:tcW w:w="615" w:type="dxa"/>
            <w:tcBorders>
              <w:top w:val="nil"/>
              <w:left w:val="nil"/>
              <w:bottom w:val="nil"/>
              <w:right w:val="nil"/>
            </w:tcBorders>
            <w:shd w:val="clear" w:color="auto" w:fill="auto"/>
            <w:noWrap/>
            <w:vAlign w:val="bottom"/>
            <w:hideMark/>
          </w:tcPr>
          <w:p w14:paraId="0DAFC3E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0.537</w:t>
            </w:r>
          </w:p>
        </w:tc>
        <w:tc>
          <w:tcPr>
            <w:tcW w:w="578" w:type="dxa"/>
            <w:tcBorders>
              <w:top w:val="nil"/>
              <w:left w:val="nil"/>
              <w:bottom w:val="nil"/>
              <w:right w:val="nil"/>
            </w:tcBorders>
            <w:shd w:val="clear" w:color="auto" w:fill="auto"/>
            <w:noWrap/>
            <w:vAlign w:val="bottom"/>
            <w:hideMark/>
          </w:tcPr>
          <w:p w14:paraId="2AFB27F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0.399</w:t>
            </w:r>
          </w:p>
        </w:tc>
        <w:tc>
          <w:tcPr>
            <w:tcW w:w="730" w:type="dxa"/>
            <w:tcBorders>
              <w:top w:val="nil"/>
              <w:left w:val="nil"/>
              <w:bottom w:val="nil"/>
              <w:right w:val="nil"/>
            </w:tcBorders>
            <w:shd w:val="clear" w:color="auto" w:fill="auto"/>
            <w:noWrap/>
            <w:vAlign w:val="bottom"/>
            <w:hideMark/>
          </w:tcPr>
          <w:p w14:paraId="00383D2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0.219</w:t>
            </w:r>
          </w:p>
        </w:tc>
        <w:tc>
          <w:tcPr>
            <w:tcW w:w="660" w:type="dxa"/>
            <w:tcBorders>
              <w:top w:val="nil"/>
              <w:left w:val="nil"/>
              <w:bottom w:val="nil"/>
              <w:right w:val="nil"/>
            </w:tcBorders>
            <w:shd w:val="clear" w:color="auto" w:fill="auto"/>
            <w:noWrap/>
            <w:vAlign w:val="bottom"/>
            <w:hideMark/>
          </w:tcPr>
          <w:p w14:paraId="088E59D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0.684</w:t>
            </w:r>
          </w:p>
        </w:tc>
        <w:tc>
          <w:tcPr>
            <w:tcW w:w="578" w:type="dxa"/>
            <w:tcBorders>
              <w:top w:val="nil"/>
              <w:left w:val="nil"/>
              <w:bottom w:val="nil"/>
              <w:right w:val="nil"/>
            </w:tcBorders>
            <w:shd w:val="clear" w:color="auto" w:fill="auto"/>
            <w:noWrap/>
            <w:vAlign w:val="bottom"/>
            <w:hideMark/>
          </w:tcPr>
          <w:p w14:paraId="58190C5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0.465</w:t>
            </w:r>
          </w:p>
        </w:tc>
        <w:tc>
          <w:tcPr>
            <w:tcW w:w="578" w:type="dxa"/>
            <w:tcBorders>
              <w:top w:val="nil"/>
              <w:left w:val="nil"/>
              <w:bottom w:val="nil"/>
              <w:right w:val="nil"/>
            </w:tcBorders>
            <w:shd w:val="clear" w:color="auto" w:fill="auto"/>
            <w:noWrap/>
            <w:vAlign w:val="bottom"/>
            <w:hideMark/>
          </w:tcPr>
          <w:p w14:paraId="53FBEE5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0.868</w:t>
            </w:r>
          </w:p>
        </w:tc>
      </w:tr>
      <w:tr w:rsidR="00F80FF3" w:rsidRPr="00F80FF3" w14:paraId="44E46975" w14:textId="77777777" w:rsidTr="00F80FF3">
        <w:trPr>
          <w:trHeight w:val="320"/>
        </w:trPr>
        <w:tc>
          <w:tcPr>
            <w:tcW w:w="2620" w:type="dxa"/>
            <w:tcBorders>
              <w:top w:val="nil"/>
              <w:left w:val="nil"/>
              <w:bottom w:val="nil"/>
              <w:right w:val="nil"/>
            </w:tcBorders>
            <w:shd w:val="clear" w:color="auto" w:fill="auto"/>
            <w:noWrap/>
            <w:vAlign w:val="bottom"/>
            <w:hideMark/>
          </w:tcPr>
          <w:p w14:paraId="2C2E1301"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Luxembourg</w:t>
            </w:r>
          </w:p>
        </w:tc>
        <w:tc>
          <w:tcPr>
            <w:tcW w:w="578" w:type="dxa"/>
            <w:tcBorders>
              <w:top w:val="nil"/>
              <w:left w:val="nil"/>
              <w:bottom w:val="nil"/>
              <w:right w:val="nil"/>
            </w:tcBorders>
            <w:shd w:val="clear" w:color="auto" w:fill="auto"/>
            <w:noWrap/>
            <w:vAlign w:val="bottom"/>
            <w:hideMark/>
          </w:tcPr>
          <w:p w14:paraId="7E9BD05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0.904</w:t>
            </w:r>
          </w:p>
        </w:tc>
        <w:tc>
          <w:tcPr>
            <w:tcW w:w="864" w:type="dxa"/>
            <w:tcBorders>
              <w:top w:val="nil"/>
              <w:left w:val="single" w:sz="4" w:space="0" w:color="auto"/>
              <w:bottom w:val="nil"/>
              <w:right w:val="single" w:sz="8" w:space="0" w:color="auto"/>
            </w:tcBorders>
            <w:shd w:val="clear" w:color="auto" w:fill="auto"/>
            <w:noWrap/>
            <w:vAlign w:val="bottom"/>
            <w:hideMark/>
          </w:tcPr>
          <w:p w14:paraId="3A94E603"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187459</w:t>
            </w:r>
          </w:p>
        </w:tc>
        <w:tc>
          <w:tcPr>
            <w:tcW w:w="618" w:type="dxa"/>
            <w:tcBorders>
              <w:top w:val="nil"/>
              <w:left w:val="nil"/>
              <w:bottom w:val="nil"/>
              <w:right w:val="nil"/>
            </w:tcBorders>
            <w:shd w:val="clear" w:color="auto" w:fill="auto"/>
            <w:noWrap/>
            <w:vAlign w:val="bottom"/>
            <w:hideMark/>
          </w:tcPr>
          <w:p w14:paraId="7D48C85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0.334</w:t>
            </w:r>
          </w:p>
        </w:tc>
        <w:tc>
          <w:tcPr>
            <w:tcW w:w="601" w:type="dxa"/>
            <w:tcBorders>
              <w:top w:val="nil"/>
              <w:left w:val="nil"/>
              <w:bottom w:val="nil"/>
              <w:right w:val="nil"/>
            </w:tcBorders>
            <w:shd w:val="clear" w:color="auto" w:fill="auto"/>
            <w:noWrap/>
            <w:vAlign w:val="bottom"/>
            <w:hideMark/>
          </w:tcPr>
          <w:p w14:paraId="6C3ACE3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0.397</w:t>
            </w:r>
          </w:p>
        </w:tc>
        <w:tc>
          <w:tcPr>
            <w:tcW w:w="615" w:type="dxa"/>
            <w:tcBorders>
              <w:top w:val="nil"/>
              <w:left w:val="nil"/>
              <w:bottom w:val="nil"/>
              <w:right w:val="nil"/>
            </w:tcBorders>
            <w:shd w:val="clear" w:color="auto" w:fill="auto"/>
            <w:noWrap/>
            <w:vAlign w:val="bottom"/>
            <w:hideMark/>
          </w:tcPr>
          <w:p w14:paraId="2705930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0.838</w:t>
            </w:r>
          </w:p>
        </w:tc>
        <w:tc>
          <w:tcPr>
            <w:tcW w:w="578" w:type="dxa"/>
            <w:tcBorders>
              <w:top w:val="nil"/>
              <w:left w:val="nil"/>
              <w:bottom w:val="nil"/>
              <w:right w:val="nil"/>
            </w:tcBorders>
            <w:shd w:val="clear" w:color="auto" w:fill="auto"/>
            <w:noWrap/>
            <w:vAlign w:val="bottom"/>
            <w:hideMark/>
          </w:tcPr>
          <w:p w14:paraId="1BE57FC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0.441</w:t>
            </w:r>
          </w:p>
        </w:tc>
        <w:tc>
          <w:tcPr>
            <w:tcW w:w="730" w:type="dxa"/>
            <w:tcBorders>
              <w:top w:val="nil"/>
              <w:left w:val="nil"/>
              <w:bottom w:val="nil"/>
              <w:right w:val="nil"/>
            </w:tcBorders>
            <w:shd w:val="clear" w:color="auto" w:fill="auto"/>
            <w:noWrap/>
            <w:vAlign w:val="bottom"/>
            <w:hideMark/>
          </w:tcPr>
          <w:p w14:paraId="4E63DD2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0.039</w:t>
            </w:r>
          </w:p>
        </w:tc>
        <w:tc>
          <w:tcPr>
            <w:tcW w:w="660" w:type="dxa"/>
            <w:tcBorders>
              <w:top w:val="nil"/>
              <w:left w:val="nil"/>
              <w:bottom w:val="nil"/>
              <w:right w:val="nil"/>
            </w:tcBorders>
            <w:shd w:val="clear" w:color="auto" w:fill="auto"/>
            <w:noWrap/>
            <w:vAlign w:val="bottom"/>
            <w:hideMark/>
          </w:tcPr>
          <w:p w14:paraId="6827A4D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1.063</w:t>
            </w:r>
          </w:p>
        </w:tc>
        <w:tc>
          <w:tcPr>
            <w:tcW w:w="578" w:type="dxa"/>
            <w:tcBorders>
              <w:top w:val="nil"/>
              <w:left w:val="nil"/>
              <w:bottom w:val="nil"/>
              <w:right w:val="nil"/>
            </w:tcBorders>
            <w:shd w:val="clear" w:color="auto" w:fill="auto"/>
            <w:noWrap/>
            <w:vAlign w:val="bottom"/>
            <w:hideMark/>
          </w:tcPr>
          <w:p w14:paraId="53EBA21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1.024</w:t>
            </w:r>
          </w:p>
        </w:tc>
        <w:tc>
          <w:tcPr>
            <w:tcW w:w="578" w:type="dxa"/>
            <w:tcBorders>
              <w:top w:val="nil"/>
              <w:left w:val="nil"/>
              <w:bottom w:val="nil"/>
              <w:right w:val="nil"/>
            </w:tcBorders>
            <w:shd w:val="clear" w:color="auto" w:fill="auto"/>
            <w:noWrap/>
            <w:vAlign w:val="bottom"/>
            <w:hideMark/>
          </w:tcPr>
          <w:p w14:paraId="11B76D2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0.980</w:t>
            </w:r>
          </w:p>
        </w:tc>
      </w:tr>
      <w:tr w:rsidR="00F80FF3" w:rsidRPr="00F80FF3" w14:paraId="32E1AB47" w14:textId="77777777" w:rsidTr="00F80FF3">
        <w:trPr>
          <w:trHeight w:val="320"/>
        </w:trPr>
        <w:tc>
          <w:tcPr>
            <w:tcW w:w="2620" w:type="dxa"/>
            <w:tcBorders>
              <w:top w:val="nil"/>
              <w:left w:val="nil"/>
              <w:bottom w:val="nil"/>
              <w:right w:val="nil"/>
            </w:tcBorders>
            <w:shd w:val="clear" w:color="auto" w:fill="auto"/>
            <w:noWrap/>
            <w:vAlign w:val="bottom"/>
            <w:hideMark/>
          </w:tcPr>
          <w:p w14:paraId="09AE8EFD"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Malta</w:t>
            </w:r>
          </w:p>
        </w:tc>
        <w:tc>
          <w:tcPr>
            <w:tcW w:w="578" w:type="dxa"/>
            <w:tcBorders>
              <w:top w:val="nil"/>
              <w:left w:val="nil"/>
              <w:bottom w:val="nil"/>
              <w:right w:val="nil"/>
            </w:tcBorders>
            <w:shd w:val="clear" w:color="auto" w:fill="auto"/>
            <w:noWrap/>
            <w:vAlign w:val="bottom"/>
            <w:hideMark/>
          </w:tcPr>
          <w:p w14:paraId="08B03F7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0.878</w:t>
            </w:r>
          </w:p>
        </w:tc>
        <w:tc>
          <w:tcPr>
            <w:tcW w:w="864" w:type="dxa"/>
            <w:tcBorders>
              <w:top w:val="nil"/>
              <w:left w:val="single" w:sz="4" w:space="0" w:color="auto"/>
              <w:bottom w:val="nil"/>
              <w:right w:val="single" w:sz="8" w:space="0" w:color="auto"/>
            </w:tcBorders>
            <w:shd w:val="clear" w:color="auto" w:fill="auto"/>
            <w:noWrap/>
            <w:vAlign w:val="bottom"/>
            <w:hideMark/>
          </w:tcPr>
          <w:p w14:paraId="6C7EF9D0"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112780</w:t>
            </w:r>
          </w:p>
        </w:tc>
        <w:tc>
          <w:tcPr>
            <w:tcW w:w="618" w:type="dxa"/>
            <w:tcBorders>
              <w:top w:val="nil"/>
              <w:left w:val="nil"/>
              <w:bottom w:val="nil"/>
              <w:right w:val="nil"/>
            </w:tcBorders>
            <w:shd w:val="clear" w:color="auto" w:fill="auto"/>
            <w:noWrap/>
            <w:vAlign w:val="bottom"/>
            <w:hideMark/>
          </w:tcPr>
          <w:p w14:paraId="5E42950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0.112</w:t>
            </w:r>
          </w:p>
        </w:tc>
        <w:tc>
          <w:tcPr>
            <w:tcW w:w="601" w:type="dxa"/>
            <w:tcBorders>
              <w:top w:val="nil"/>
              <w:left w:val="nil"/>
              <w:bottom w:val="nil"/>
              <w:right w:val="nil"/>
            </w:tcBorders>
            <w:shd w:val="clear" w:color="auto" w:fill="auto"/>
            <w:noWrap/>
            <w:vAlign w:val="bottom"/>
            <w:hideMark/>
          </w:tcPr>
          <w:p w14:paraId="3B5B055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0.400</w:t>
            </w:r>
          </w:p>
        </w:tc>
        <w:tc>
          <w:tcPr>
            <w:tcW w:w="615" w:type="dxa"/>
            <w:tcBorders>
              <w:top w:val="nil"/>
              <w:left w:val="nil"/>
              <w:bottom w:val="nil"/>
              <w:right w:val="nil"/>
            </w:tcBorders>
            <w:shd w:val="clear" w:color="auto" w:fill="auto"/>
            <w:noWrap/>
            <w:vAlign w:val="bottom"/>
            <w:hideMark/>
          </w:tcPr>
          <w:p w14:paraId="2DE849A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0.552</w:t>
            </w:r>
          </w:p>
        </w:tc>
        <w:tc>
          <w:tcPr>
            <w:tcW w:w="578" w:type="dxa"/>
            <w:tcBorders>
              <w:top w:val="nil"/>
              <w:left w:val="nil"/>
              <w:bottom w:val="nil"/>
              <w:right w:val="nil"/>
            </w:tcBorders>
            <w:shd w:val="clear" w:color="auto" w:fill="auto"/>
            <w:noWrap/>
            <w:vAlign w:val="bottom"/>
            <w:hideMark/>
          </w:tcPr>
          <w:p w14:paraId="435F236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0.152</w:t>
            </w:r>
          </w:p>
        </w:tc>
        <w:tc>
          <w:tcPr>
            <w:tcW w:w="730" w:type="dxa"/>
            <w:tcBorders>
              <w:top w:val="nil"/>
              <w:left w:val="nil"/>
              <w:bottom w:val="nil"/>
              <w:right w:val="nil"/>
            </w:tcBorders>
            <w:shd w:val="clear" w:color="auto" w:fill="auto"/>
            <w:noWrap/>
            <w:vAlign w:val="bottom"/>
            <w:hideMark/>
          </w:tcPr>
          <w:p w14:paraId="33DCF63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-0.017</w:t>
            </w:r>
          </w:p>
        </w:tc>
        <w:tc>
          <w:tcPr>
            <w:tcW w:w="660" w:type="dxa"/>
            <w:tcBorders>
              <w:top w:val="nil"/>
              <w:left w:val="nil"/>
              <w:bottom w:val="nil"/>
              <w:right w:val="nil"/>
            </w:tcBorders>
            <w:shd w:val="clear" w:color="auto" w:fill="auto"/>
            <w:noWrap/>
            <w:vAlign w:val="bottom"/>
            <w:hideMark/>
          </w:tcPr>
          <w:p w14:paraId="3EDD60E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0.634</w:t>
            </w:r>
          </w:p>
        </w:tc>
        <w:tc>
          <w:tcPr>
            <w:tcW w:w="578" w:type="dxa"/>
            <w:tcBorders>
              <w:top w:val="nil"/>
              <w:left w:val="nil"/>
              <w:bottom w:val="nil"/>
              <w:right w:val="nil"/>
            </w:tcBorders>
            <w:shd w:val="clear" w:color="auto" w:fill="auto"/>
            <w:noWrap/>
            <w:vAlign w:val="bottom"/>
            <w:hideMark/>
          </w:tcPr>
          <w:p w14:paraId="4DDAA8F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0.651</w:t>
            </w:r>
          </w:p>
        </w:tc>
        <w:tc>
          <w:tcPr>
            <w:tcW w:w="578" w:type="dxa"/>
            <w:tcBorders>
              <w:top w:val="nil"/>
              <w:left w:val="nil"/>
              <w:bottom w:val="nil"/>
              <w:right w:val="nil"/>
            </w:tcBorders>
            <w:shd w:val="clear" w:color="auto" w:fill="auto"/>
            <w:noWrap/>
            <w:vAlign w:val="bottom"/>
            <w:hideMark/>
          </w:tcPr>
          <w:p w14:paraId="58904CD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1.127</w:t>
            </w:r>
          </w:p>
        </w:tc>
      </w:tr>
      <w:tr w:rsidR="00F80FF3" w:rsidRPr="00F80FF3" w14:paraId="70665E6E" w14:textId="77777777" w:rsidTr="00F80FF3">
        <w:trPr>
          <w:trHeight w:val="320"/>
        </w:trPr>
        <w:tc>
          <w:tcPr>
            <w:tcW w:w="2620" w:type="dxa"/>
            <w:tcBorders>
              <w:top w:val="nil"/>
              <w:left w:val="nil"/>
              <w:bottom w:val="nil"/>
              <w:right w:val="nil"/>
            </w:tcBorders>
            <w:shd w:val="clear" w:color="auto" w:fill="auto"/>
            <w:noWrap/>
            <w:vAlign w:val="bottom"/>
            <w:hideMark/>
          </w:tcPr>
          <w:p w14:paraId="16749957"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Mexico</w:t>
            </w:r>
          </w:p>
        </w:tc>
        <w:tc>
          <w:tcPr>
            <w:tcW w:w="578" w:type="dxa"/>
            <w:tcBorders>
              <w:top w:val="nil"/>
              <w:left w:val="nil"/>
              <w:bottom w:val="nil"/>
              <w:right w:val="nil"/>
            </w:tcBorders>
            <w:shd w:val="clear" w:color="auto" w:fill="auto"/>
            <w:noWrap/>
            <w:vAlign w:val="bottom"/>
            <w:hideMark/>
          </w:tcPr>
          <w:p w14:paraId="122B4A3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0.774</w:t>
            </w:r>
          </w:p>
        </w:tc>
        <w:tc>
          <w:tcPr>
            <w:tcW w:w="864" w:type="dxa"/>
            <w:tcBorders>
              <w:top w:val="nil"/>
              <w:left w:val="single" w:sz="4" w:space="0" w:color="auto"/>
              <w:bottom w:val="nil"/>
              <w:right w:val="single" w:sz="8" w:space="0" w:color="auto"/>
            </w:tcBorders>
            <w:shd w:val="clear" w:color="auto" w:fill="auto"/>
            <w:noWrap/>
            <w:vAlign w:val="bottom"/>
            <w:hideMark/>
          </w:tcPr>
          <w:p w14:paraId="21CAEEE2"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27848</w:t>
            </w:r>
          </w:p>
        </w:tc>
        <w:tc>
          <w:tcPr>
            <w:tcW w:w="618" w:type="dxa"/>
            <w:tcBorders>
              <w:top w:val="nil"/>
              <w:left w:val="nil"/>
              <w:bottom w:val="nil"/>
              <w:right w:val="nil"/>
            </w:tcBorders>
            <w:shd w:val="clear" w:color="auto" w:fill="auto"/>
            <w:noWrap/>
            <w:vAlign w:val="bottom"/>
            <w:hideMark/>
          </w:tcPr>
          <w:p w14:paraId="013B11D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-0.389</w:t>
            </w:r>
          </w:p>
        </w:tc>
        <w:tc>
          <w:tcPr>
            <w:tcW w:w="601" w:type="dxa"/>
            <w:tcBorders>
              <w:top w:val="nil"/>
              <w:left w:val="nil"/>
              <w:bottom w:val="nil"/>
              <w:right w:val="nil"/>
            </w:tcBorders>
            <w:shd w:val="clear" w:color="auto" w:fill="auto"/>
            <w:noWrap/>
            <w:vAlign w:val="bottom"/>
            <w:hideMark/>
          </w:tcPr>
          <w:p w14:paraId="522858B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-0.221</w:t>
            </w:r>
          </w:p>
        </w:tc>
        <w:tc>
          <w:tcPr>
            <w:tcW w:w="615" w:type="dxa"/>
            <w:tcBorders>
              <w:top w:val="nil"/>
              <w:left w:val="nil"/>
              <w:bottom w:val="nil"/>
              <w:right w:val="nil"/>
            </w:tcBorders>
            <w:shd w:val="clear" w:color="auto" w:fill="auto"/>
            <w:noWrap/>
            <w:vAlign w:val="bottom"/>
            <w:hideMark/>
          </w:tcPr>
          <w:p w14:paraId="70E06F1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-0.079</w:t>
            </w:r>
          </w:p>
        </w:tc>
        <w:tc>
          <w:tcPr>
            <w:tcW w:w="578" w:type="dxa"/>
            <w:tcBorders>
              <w:top w:val="nil"/>
              <w:left w:val="nil"/>
              <w:bottom w:val="nil"/>
              <w:right w:val="nil"/>
            </w:tcBorders>
            <w:shd w:val="clear" w:color="auto" w:fill="auto"/>
            <w:noWrap/>
            <w:vAlign w:val="bottom"/>
            <w:hideMark/>
          </w:tcPr>
          <w:p w14:paraId="6D12F8B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0.142</w:t>
            </w:r>
          </w:p>
        </w:tc>
        <w:tc>
          <w:tcPr>
            <w:tcW w:w="730" w:type="dxa"/>
            <w:tcBorders>
              <w:top w:val="nil"/>
              <w:left w:val="nil"/>
              <w:bottom w:val="nil"/>
              <w:right w:val="nil"/>
            </w:tcBorders>
            <w:shd w:val="clear" w:color="auto" w:fill="auto"/>
            <w:noWrap/>
            <w:vAlign w:val="bottom"/>
            <w:hideMark/>
          </w:tcPr>
          <w:p w14:paraId="0BDD187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-0.395</w:t>
            </w:r>
          </w:p>
        </w:tc>
        <w:tc>
          <w:tcPr>
            <w:tcW w:w="660" w:type="dxa"/>
            <w:tcBorders>
              <w:top w:val="nil"/>
              <w:left w:val="nil"/>
              <w:bottom w:val="nil"/>
              <w:right w:val="nil"/>
            </w:tcBorders>
            <w:shd w:val="clear" w:color="auto" w:fill="auto"/>
            <w:noWrap/>
            <w:vAlign w:val="bottom"/>
            <w:hideMark/>
          </w:tcPr>
          <w:p w14:paraId="3BFF804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0.005</w:t>
            </w:r>
          </w:p>
        </w:tc>
        <w:tc>
          <w:tcPr>
            <w:tcW w:w="578" w:type="dxa"/>
            <w:tcBorders>
              <w:top w:val="nil"/>
              <w:left w:val="nil"/>
              <w:bottom w:val="nil"/>
              <w:right w:val="nil"/>
            </w:tcBorders>
            <w:shd w:val="clear" w:color="auto" w:fill="auto"/>
            <w:noWrap/>
            <w:vAlign w:val="bottom"/>
            <w:hideMark/>
          </w:tcPr>
          <w:p w14:paraId="53E97D8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0.400</w:t>
            </w:r>
          </w:p>
        </w:tc>
        <w:tc>
          <w:tcPr>
            <w:tcW w:w="578" w:type="dxa"/>
            <w:tcBorders>
              <w:top w:val="nil"/>
              <w:left w:val="nil"/>
              <w:bottom w:val="nil"/>
              <w:right w:val="nil"/>
            </w:tcBorders>
            <w:shd w:val="clear" w:color="auto" w:fill="auto"/>
            <w:noWrap/>
            <w:vAlign w:val="bottom"/>
            <w:hideMark/>
          </w:tcPr>
          <w:p w14:paraId="3F81C4C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0.716</w:t>
            </w:r>
          </w:p>
        </w:tc>
      </w:tr>
      <w:tr w:rsidR="00F80FF3" w:rsidRPr="00F80FF3" w14:paraId="53B84790" w14:textId="77777777" w:rsidTr="00F80FF3">
        <w:trPr>
          <w:trHeight w:val="320"/>
        </w:trPr>
        <w:tc>
          <w:tcPr>
            <w:tcW w:w="2620" w:type="dxa"/>
            <w:tcBorders>
              <w:top w:val="nil"/>
              <w:left w:val="nil"/>
              <w:bottom w:val="nil"/>
              <w:right w:val="nil"/>
            </w:tcBorders>
            <w:shd w:val="clear" w:color="auto" w:fill="auto"/>
            <w:noWrap/>
            <w:vAlign w:val="bottom"/>
            <w:hideMark/>
          </w:tcPr>
          <w:p w14:paraId="224189E3"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Montenegro</w:t>
            </w:r>
          </w:p>
        </w:tc>
        <w:tc>
          <w:tcPr>
            <w:tcW w:w="578" w:type="dxa"/>
            <w:tcBorders>
              <w:top w:val="nil"/>
              <w:left w:val="nil"/>
              <w:bottom w:val="nil"/>
              <w:right w:val="nil"/>
            </w:tcBorders>
            <w:shd w:val="clear" w:color="auto" w:fill="auto"/>
            <w:noWrap/>
            <w:vAlign w:val="bottom"/>
            <w:hideMark/>
          </w:tcPr>
          <w:p w14:paraId="4753A0E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0.814</w:t>
            </w:r>
          </w:p>
        </w:tc>
        <w:tc>
          <w:tcPr>
            <w:tcW w:w="864" w:type="dxa"/>
            <w:tcBorders>
              <w:top w:val="nil"/>
              <w:left w:val="single" w:sz="4" w:space="0" w:color="auto"/>
              <w:bottom w:val="nil"/>
              <w:right w:val="single" w:sz="8" w:space="0" w:color="auto"/>
            </w:tcBorders>
            <w:shd w:val="clear" w:color="auto" w:fill="auto"/>
            <w:noWrap/>
            <w:vAlign w:val="bottom"/>
            <w:hideMark/>
          </w:tcPr>
          <w:p w14:paraId="6E50BD25"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25786</w:t>
            </w:r>
          </w:p>
        </w:tc>
        <w:tc>
          <w:tcPr>
            <w:tcW w:w="618" w:type="dxa"/>
            <w:tcBorders>
              <w:top w:val="nil"/>
              <w:left w:val="nil"/>
              <w:bottom w:val="nil"/>
              <w:right w:val="nil"/>
            </w:tcBorders>
            <w:shd w:val="clear" w:color="auto" w:fill="auto"/>
            <w:noWrap/>
            <w:vAlign w:val="bottom"/>
            <w:hideMark/>
          </w:tcPr>
          <w:p w14:paraId="2A751E9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-0.317</w:t>
            </w:r>
          </w:p>
        </w:tc>
        <w:tc>
          <w:tcPr>
            <w:tcW w:w="601" w:type="dxa"/>
            <w:tcBorders>
              <w:top w:val="nil"/>
              <w:left w:val="nil"/>
              <w:bottom w:val="nil"/>
              <w:right w:val="nil"/>
            </w:tcBorders>
            <w:shd w:val="clear" w:color="auto" w:fill="auto"/>
            <w:noWrap/>
            <w:vAlign w:val="bottom"/>
            <w:hideMark/>
          </w:tcPr>
          <w:p w14:paraId="6A2455B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-0.286</w:t>
            </w:r>
          </w:p>
        </w:tc>
        <w:tc>
          <w:tcPr>
            <w:tcW w:w="615" w:type="dxa"/>
            <w:tcBorders>
              <w:top w:val="nil"/>
              <w:left w:val="nil"/>
              <w:bottom w:val="nil"/>
              <w:right w:val="nil"/>
            </w:tcBorders>
            <w:shd w:val="clear" w:color="auto" w:fill="auto"/>
            <w:noWrap/>
            <w:vAlign w:val="bottom"/>
            <w:hideMark/>
          </w:tcPr>
          <w:p w14:paraId="0EF8F77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-0.194</w:t>
            </w:r>
          </w:p>
        </w:tc>
        <w:tc>
          <w:tcPr>
            <w:tcW w:w="578" w:type="dxa"/>
            <w:tcBorders>
              <w:top w:val="nil"/>
              <w:left w:val="nil"/>
              <w:bottom w:val="nil"/>
              <w:right w:val="nil"/>
            </w:tcBorders>
            <w:shd w:val="clear" w:color="auto" w:fill="auto"/>
            <w:noWrap/>
            <w:vAlign w:val="bottom"/>
            <w:hideMark/>
          </w:tcPr>
          <w:p w14:paraId="0039791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0.092</w:t>
            </w:r>
          </w:p>
        </w:tc>
        <w:tc>
          <w:tcPr>
            <w:tcW w:w="730" w:type="dxa"/>
            <w:tcBorders>
              <w:top w:val="nil"/>
              <w:left w:val="nil"/>
              <w:bottom w:val="nil"/>
              <w:right w:val="nil"/>
            </w:tcBorders>
            <w:shd w:val="clear" w:color="auto" w:fill="auto"/>
            <w:noWrap/>
            <w:vAlign w:val="bottom"/>
            <w:hideMark/>
          </w:tcPr>
          <w:p w14:paraId="37E7A62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-0.376</w:t>
            </w:r>
          </w:p>
        </w:tc>
        <w:tc>
          <w:tcPr>
            <w:tcW w:w="660" w:type="dxa"/>
            <w:tcBorders>
              <w:top w:val="nil"/>
              <w:left w:val="nil"/>
              <w:bottom w:val="nil"/>
              <w:right w:val="nil"/>
            </w:tcBorders>
            <w:shd w:val="clear" w:color="auto" w:fill="auto"/>
            <w:noWrap/>
            <w:vAlign w:val="bottom"/>
            <w:hideMark/>
          </w:tcPr>
          <w:p w14:paraId="4CDCDEA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0.125</w:t>
            </w:r>
          </w:p>
        </w:tc>
        <w:tc>
          <w:tcPr>
            <w:tcW w:w="578" w:type="dxa"/>
            <w:tcBorders>
              <w:top w:val="nil"/>
              <w:left w:val="nil"/>
              <w:bottom w:val="nil"/>
              <w:right w:val="nil"/>
            </w:tcBorders>
            <w:shd w:val="clear" w:color="auto" w:fill="auto"/>
            <w:noWrap/>
            <w:vAlign w:val="bottom"/>
            <w:hideMark/>
          </w:tcPr>
          <w:p w14:paraId="5055E03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0.501</w:t>
            </w:r>
          </w:p>
        </w:tc>
        <w:tc>
          <w:tcPr>
            <w:tcW w:w="578" w:type="dxa"/>
            <w:tcBorders>
              <w:top w:val="nil"/>
              <w:left w:val="nil"/>
              <w:bottom w:val="nil"/>
              <w:right w:val="nil"/>
            </w:tcBorders>
            <w:shd w:val="clear" w:color="auto" w:fill="auto"/>
            <w:noWrap/>
            <w:vAlign w:val="bottom"/>
            <w:hideMark/>
          </w:tcPr>
          <w:p w14:paraId="098879E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0.848</w:t>
            </w:r>
          </w:p>
        </w:tc>
      </w:tr>
      <w:tr w:rsidR="00F80FF3" w:rsidRPr="00F80FF3" w14:paraId="0255490D" w14:textId="77777777" w:rsidTr="00F80FF3">
        <w:trPr>
          <w:trHeight w:val="320"/>
        </w:trPr>
        <w:tc>
          <w:tcPr>
            <w:tcW w:w="2620" w:type="dxa"/>
            <w:tcBorders>
              <w:top w:val="nil"/>
              <w:left w:val="nil"/>
              <w:bottom w:val="nil"/>
              <w:right w:val="nil"/>
            </w:tcBorders>
            <w:shd w:val="clear" w:color="auto" w:fill="auto"/>
            <w:noWrap/>
            <w:vAlign w:val="bottom"/>
            <w:hideMark/>
          </w:tcPr>
          <w:p w14:paraId="5F9E3A33"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Netherlands</w:t>
            </w:r>
          </w:p>
        </w:tc>
        <w:tc>
          <w:tcPr>
            <w:tcW w:w="578" w:type="dxa"/>
            <w:tcBorders>
              <w:top w:val="nil"/>
              <w:left w:val="nil"/>
              <w:bottom w:val="nil"/>
              <w:right w:val="nil"/>
            </w:tcBorders>
            <w:shd w:val="clear" w:color="auto" w:fill="auto"/>
            <w:noWrap/>
            <w:vAlign w:val="bottom"/>
            <w:hideMark/>
          </w:tcPr>
          <w:p w14:paraId="542B9D0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0.931</w:t>
            </w:r>
          </w:p>
        </w:tc>
        <w:tc>
          <w:tcPr>
            <w:tcW w:w="864" w:type="dxa"/>
            <w:tcBorders>
              <w:top w:val="nil"/>
              <w:left w:val="single" w:sz="4" w:space="0" w:color="auto"/>
              <w:bottom w:val="nil"/>
              <w:right w:val="single" w:sz="8" w:space="0" w:color="auto"/>
            </w:tcBorders>
            <w:shd w:val="clear" w:color="auto" w:fill="auto"/>
            <w:noWrap/>
            <w:vAlign w:val="bottom"/>
            <w:hideMark/>
          </w:tcPr>
          <w:p w14:paraId="283401F7"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99430</w:t>
            </w:r>
          </w:p>
        </w:tc>
        <w:tc>
          <w:tcPr>
            <w:tcW w:w="618" w:type="dxa"/>
            <w:tcBorders>
              <w:top w:val="nil"/>
              <w:left w:val="nil"/>
              <w:bottom w:val="nil"/>
              <w:right w:val="nil"/>
            </w:tcBorders>
            <w:shd w:val="clear" w:color="auto" w:fill="auto"/>
            <w:noWrap/>
            <w:vAlign w:val="bottom"/>
            <w:hideMark/>
          </w:tcPr>
          <w:p w14:paraId="6E3C343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0.589</w:t>
            </w:r>
          </w:p>
        </w:tc>
        <w:tc>
          <w:tcPr>
            <w:tcW w:w="601" w:type="dxa"/>
            <w:tcBorders>
              <w:top w:val="nil"/>
              <w:left w:val="nil"/>
              <w:bottom w:val="nil"/>
              <w:right w:val="nil"/>
            </w:tcBorders>
            <w:shd w:val="clear" w:color="auto" w:fill="auto"/>
            <w:noWrap/>
            <w:vAlign w:val="bottom"/>
            <w:hideMark/>
          </w:tcPr>
          <w:p w14:paraId="16AB6FB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0.592</w:t>
            </w:r>
          </w:p>
        </w:tc>
        <w:tc>
          <w:tcPr>
            <w:tcW w:w="615" w:type="dxa"/>
            <w:tcBorders>
              <w:top w:val="nil"/>
              <w:left w:val="nil"/>
              <w:bottom w:val="nil"/>
              <w:right w:val="nil"/>
            </w:tcBorders>
            <w:shd w:val="clear" w:color="auto" w:fill="auto"/>
            <w:noWrap/>
            <w:vAlign w:val="bottom"/>
            <w:hideMark/>
          </w:tcPr>
          <w:p w14:paraId="49E92AE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1.002</w:t>
            </w:r>
          </w:p>
        </w:tc>
        <w:tc>
          <w:tcPr>
            <w:tcW w:w="578" w:type="dxa"/>
            <w:tcBorders>
              <w:top w:val="nil"/>
              <w:left w:val="nil"/>
              <w:bottom w:val="nil"/>
              <w:right w:val="nil"/>
            </w:tcBorders>
            <w:shd w:val="clear" w:color="auto" w:fill="auto"/>
            <w:noWrap/>
            <w:vAlign w:val="bottom"/>
            <w:hideMark/>
          </w:tcPr>
          <w:p w14:paraId="111EAF1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0.410</w:t>
            </w:r>
          </w:p>
        </w:tc>
        <w:tc>
          <w:tcPr>
            <w:tcW w:w="730" w:type="dxa"/>
            <w:tcBorders>
              <w:top w:val="nil"/>
              <w:left w:val="nil"/>
              <w:bottom w:val="nil"/>
              <w:right w:val="nil"/>
            </w:tcBorders>
            <w:shd w:val="clear" w:color="auto" w:fill="auto"/>
            <w:noWrap/>
            <w:vAlign w:val="bottom"/>
            <w:hideMark/>
          </w:tcPr>
          <w:p w14:paraId="612FC56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0.379</w:t>
            </w:r>
          </w:p>
        </w:tc>
        <w:tc>
          <w:tcPr>
            <w:tcW w:w="660" w:type="dxa"/>
            <w:tcBorders>
              <w:top w:val="nil"/>
              <w:left w:val="nil"/>
              <w:bottom w:val="nil"/>
              <w:right w:val="nil"/>
            </w:tcBorders>
            <w:shd w:val="clear" w:color="auto" w:fill="auto"/>
            <w:noWrap/>
            <w:vAlign w:val="bottom"/>
            <w:hideMark/>
          </w:tcPr>
          <w:p w14:paraId="00B57F5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0.999</w:t>
            </w:r>
          </w:p>
        </w:tc>
        <w:tc>
          <w:tcPr>
            <w:tcW w:w="578" w:type="dxa"/>
            <w:tcBorders>
              <w:top w:val="nil"/>
              <w:left w:val="nil"/>
              <w:bottom w:val="nil"/>
              <w:right w:val="nil"/>
            </w:tcBorders>
            <w:shd w:val="clear" w:color="auto" w:fill="auto"/>
            <w:noWrap/>
            <w:vAlign w:val="bottom"/>
            <w:hideMark/>
          </w:tcPr>
          <w:p w14:paraId="4DE26AB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0.620</w:t>
            </w:r>
          </w:p>
        </w:tc>
        <w:tc>
          <w:tcPr>
            <w:tcW w:w="578" w:type="dxa"/>
            <w:tcBorders>
              <w:top w:val="nil"/>
              <w:left w:val="nil"/>
              <w:bottom w:val="nil"/>
              <w:right w:val="nil"/>
            </w:tcBorders>
            <w:shd w:val="clear" w:color="auto" w:fill="auto"/>
            <w:noWrap/>
            <w:vAlign w:val="bottom"/>
            <w:hideMark/>
          </w:tcPr>
          <w:p w14:paraId="0225E1D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0.952</w:t>
            </w:r>
          </w:p>
        </w:tc>
      </w:tr>
      <w:tr w:rsidR="00F80FF3" w:rsidRPr="00F80FF3" w14:paraId="6FCCBF6E" w14:textId="77777777" w:rsidTr="00F80FF3">
        <w:trPr>
          <w:trHeight w:val="320"/>
        </w:trPr>
        <w:tc>
          <w:tcPr>
            <w:tcW w:w="2620" w:type="dxa"/>
            <w:tcBorders>
              <w:top w:val="nil"/>
              <w:left w:val="nil"/>
              <w:bottom w:val="nil"/>
              <w:right w:val="nil"/>
            </w:tcBorders>
            <w:shd w:val="clear" w:color="auto" w:fill="auto"/>
            <w:noWrap/>
            <w:vAlign w:val="bottom"/>
            <w:hideMark/>
          </w:tcPr>
          <w:p w14:paraId="1CE032B2"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New Zealand</w:t>
            </w:r>
          </w:p>
        </w:tc>
        <w:tc>
          <w:tcPr>
            <w:tcW w:w="578" w:type="dxa"/>
            <w:tcBorders>
              <w:top w:val="nil"/>
              <w:left w:val="nil"/>
              <w:bottom w:val="nil"/>
              <w:right w:val="nil"/>
            </w:tcBorders>
            <w:shd w:val="clear" w:color="auto" w:fill="auto"/>
            <w:noWrap/>
            <w:vAlign w:val="bottom"/>
            <w:hideMark/>
          </w:tcPr>
          <w:p w14:paraId="60059F4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0.917</w:t>
            </w:r>
          </w:p>
        </w:tc>
        <w:tc>
          <w:tcPr>
            <w:tcW w:w="864" w:type="dxa"/>
            <w:tcBorders>
              <w:top w:val="nil"/>
              <w:left w:val="single" w:sz="4" w:space="0" w:color="auto"/>
              <w:bottom w:val="nil"/>
              <w:right w:val="single" w:sz="8" w:space="0" w:color="auto"/>
            </w:tcBorders>
            <w:shd w:val="clear" w:color="auto" w:fill="auto"/>
            <w:noWrap/>
            <w:vAlign w:val="bottom"/>
            <w:hideMark/>
          </w:tcPr>
          <w:p w14:paraId="52BBC646"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80890</w:t>
            </w:r>
          </w:p>
        </w:tc>
        <w:tc>
          <w:tcPr>
            <w:tcW w:w="618" w:type="dxa"/>
            <w:tcBorders>
              <w:top w:val="nil"/>
              <w:left w:val="nil"/>
              <w:bottom w:val="nil"/>
              <w:right w:val="nil"/>
            </w:tcBorders>
            <w:shd w:val="clear" w:color="auto" w:fill="auto"/>
            <w:noWrap/>
            <w:vAlign w:val="bottom"/>
            <w:hideMark/>
          </w:tcPr>
          <w:p w14:paraId="08B24BB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0.532</w:t>
            </w:r>
          </w:p>
        </w:tc>
        <w:tc>
          <w:tcPr>
            <w:tcW w:w="601" w:type="dxa"/>
            <w:tcBorders>
              <w:top w:val="nil"/>
              <w:left w:val="nil"/>
              <w:bottom w:val="nil"/>
              <w:right w:val="nil"/>
            </w:tcBorders>
            <w:shd w:val="clear" w:color="auto" w:fill="auto"/>
            <w:noWrap/>
            <w:vAlign w:val="bottom"/>
            <w:hideMark/>
          </w:tcPr>
          <w:p w14:paraId="3B0F6E9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0.592</w:t>
            </w:r>
          </w:p>
        </w:tc>
        <w:tc>
          <w:tcPr>
            <w:tcW w:w="615" w:type="dxa"/>
            <w:tcBorders>
              <w:top w:val="nil"/>
              <w:left w:val="nil"/>
              <w:bottom w:val="nil"/>
              <w:right w:val="nil"/>
            </w:tcBorders>
            <w:shd w:val="clear" w:color="auto" w:fill="auto"/>
            <w:noWrap/>
            <w:vAlign w:val="bottom"/>
            <w:hideMark/>
          </w:tcPr>
          <w:p w14:paraId="5A1373A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0.951</w:t>
            </w:r>
          </w:p>
        </w:tc>
        <w:tc>
          <w:tcPr>
            <w:tcW w:w="578" w:type="dxa"/>
            <w:tcBorders>
              <w:top w:val="nil"/>
              <w:left w:val="nil"/>
              <w:bottom w:val="nil"/>
              <w:right w:val="nil"/>
            </w:tcBorders>
            <w:shd w:val="clear" w:color="auto" w:fill="auto"/>
            <w:noWrap/>
            <w:vAlign w:val="bottom"/>
            <w:hideMark/>
          </w:tcPr>
          <w:p w14:paraId="37486F6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0.359</w:t>
            </w:r>
          </w:p>
        </w:tc>
        <w:tc>
          <w:tcPr>
            <w:tcW w:w="730" w:type="dxa"/>
            <w:tcBorders>
              <w:top w:val="nil"/>
              <w:left w:val="nil"/>
              <w:bottom w:val="nil"/>
              <w:right w:val="nil"/>
            </w:tcBorders>
            <w:shd w:val="clear" w:color="auto" w:fill="auto"/>
            <w:noWrap/>
            <w:vAlign w:val="bottom"/>
            <w:hideMark/>
          </w:tcPr>
          <w:p w14:paraId="70E5F8C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0.404</w:t>
            </w:r>
          </w:p>
        </w:tc>
        <w:tc>
          <w:tcPr>
            <w:tcW w:w="660" w:type="dxa"/>
            <w:tcBorders>
              <w:top w:val="nil"/>
              <w:left w:val="nil"/>
              <w:bottom w:val="nil"/>
              <w:right w:val="nil"/>
            </w:tcBorders>
            <w:shd w:val="clear" w:color="auto" w:fill="auto"/>
            <w:noWrap/>
            <w:vAlign w:val="bottom"/>
            <w:hideMark/>
          </w:tcPr>
          <w:p w14:paraId="41853BD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1.055</w:t>
            </w:r>
          </w:p>
        </w:tc>
        <w:tc>
          <w:tcPr>
            <w:tcW w:w="578" w:type="dxa"/>
            <w:tcBorders>
              <w:top w:val="nil"/>
              <w:left w:val="nil"/>
              <w:bottom w:val="nil"/>
              <w:right w:val="nil"/>
            </w:tcBorders>
            <w:shd w:val="clear" w:color="auto" w:fill="auto"/>
            <w:noWrap/>
            <w:vAlign w:val="bottom"/>
            <w:hideMark/>
          </w:tcPr>
          <w:p w14:paraId="2F55694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0.651</w:t>
            </w:r>
          </w:p>
        </w:tc>
        <w:tc>
          <w:tcPr>
            <w:tcW w:w="578" w:type="dxa"/>
            <w:tcBorders>
              <w:top w:val="nil"/>
              <w:left w:val="nil"/>
              <w:bottom w:val="nil"/>
              <w:right w:val="nil"/>
            </w:tcBorders>
            <w:shd w:val="clear" w:color="auto" w:fill="auto"/>
            <w:noWrap/>
            <w:vAlign w:val="bottom"/>
            <w:hideMark/>
          </w:tcPr>
          <w:p w14:paraId="7AB43E7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0.944</w:t>
            </w:r>
          </w:p>
        </w:tc>
      </w:tr>
      <w:tr w:rsidR="00F80FF3" w:rsidRPr="00F80FF3" w14:paraId="7079869B" w14:textId="77777777" w:rsidTr="00F80FF3">
        <w:trPr>
          <w:trHeight w:val="320"/>
        </w:trPr>
        <w:tc>
          <w:tcPr>
            <w:tcW w:w="2620" w:type="dxa"/>
            <w:tcBorders>
              <w:top w:val="nil"/>
              <w:left w:val="nil"/>
              <w:bottom w:val="nil"/>
              <w:right w:val="nil"/>
            </w:tcBorders>
            <w:shd w:val="clear" w:color="auto" w:fill="auto"/>
            <w:noWrap/>
            <w:vAlign w:val="bottom"/>
            <w:hideMark/>
          </w:tcPr>
          <w:p w14:paraId="1CD8D054"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Norway</w:t>
            </w:r>
          </w:p>
        </w:tc>
        <w:tc>
          <w:tcPr>
            <w:tcW w:w="578" w:type="dxa"/>
            <w:tcBorders>
              <w:top w:val="nil"/>
              <w:left w:val="nil"/>
              <w:bottom w:val="nil"/>
              <w:right w:val="nil"/>
            </w:tcBorders>
            <w:shd w:val="clear" w:color="auto" w:fill="auto"/>
            <w:noWrap/>
            <w:vAlign w:val="bottom"/>
            <w:hideMark/>
          </w:tcPr>
          <w:p w14:paraId="44BCF99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0.953</w:t>
            </w:r>
          </w:p>
        </w:tc>
        <w:tc>
          <w:tcPr>
            <w:tcW w:w="864" w:type="dxa"/>
            <w:tcBorders>
              <w:top w:val="nil"/>
              <w:left w:val="single" w:sz="4" w:space="0" w:color="auto"/>
              <w:bottom w:val="nil"/>
              <w:right w:val="single" w:sz="8" w:space="0" w:color="auto"/>
            </w:tcBorders>
            <w:shd w:val="clear" w:color="auto" w:fill="auto"/>
            <w:noWrap/>
            <w:vAlign w:val="bottom"/>
            <w:hideMark/>
          </w:tcPr>
          <w:p w14:paraId="20C0C05F"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135227</w:t>
            </w:r>
          </w:p>
        </w:tc>
        <w:tc>
          <w:tcPr>
            <w:tcW w:w="618" w:type="dxa"/>
            <w:tcBorders>
              <w:top w:val="nil"/>
              <w:left w:val="nil"/>
              <w:bottom w:val="nil"/>
              <w:right w:val="nil"/>
            </w:tcBorders>
            <w:shd w:val="clear" w:color="auto" w:fill="auto"/>
            <w:noWrap/>
            <w:vAlign w:val="bottom"/>
            <w:hideMark/>
          </w:tcPr>
          <w:p w14:paraId="1DA0C92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0.587</w:t>
            </w:r>
          </w:p>
        </w:tc>
        <w:tc>
          <w:tcPr>
            <w:tcW w:w="601" w:type="dxa"/>
            <w:tcBorders>
              <w:top w:val="nil"/>
              <w:left w:val="nil"/>
              <w:bottom w:val="nil"/>
              <w:right w:val="nil"/>
            </w:tcBorders>
            <w:shd w:val="clear" w:color="auto" w:fill="auto"/>
            <w:noWrap/>
            <w:vAlign w:val="bottom"/>
            <w:hideMark/>
          </w:tcPr>
          <w:p w14:paraId="3C52232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0.661</w:t>
            </w:r>
          </w:p>
        </w:tc>
        <w:tc>
          <w:tcPr>
            <w:tcW w:w="615" w:type="dxa"/>
            <w:tcBorders>
              <w:top w:val="nil"/>
              <w:left w:val="nil"/>
              <w:bottom w:val="nil"/>
              <w:right w:val="nil"/>
            </w:tcBorders>
            <w:shd w:val="clear" w:color="auto" w:fill="auto"/>
            <w:noWrap/>
            <w:vAlign w:val="bottom"/>
            <w:hideMark/>
          </w:tcPr>
          <w:p w14:paraId="361A7EC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0.695</w:t>
            </w:r>
          </w:p>
        </w:tc>
        <w:tc>
          <w:tcPr>
            <w:tcW w:w="578" w:type="dxa"/>
            <w:tcBorders>
              <w:top w:val="nil"/>
              <w:left w:val="nil"/>
              <w:bottom w:val="nil"/>
              <w:right w:val="nil"/>
            </w:tcBorders>
            <w:shd w:val="clear" w:color="auto" w:fill="auto"/>
            <w:noWrap/>
            <w:vAlign w:val="bottom"/>
            <w:hideMark/>
          </w:tcPr>
          <w:p w14:paraId="317E97A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0.034</w:t>
            </w:r>
          </w:p>
        </w:tc>
        <w:tc>
          <w:tcPr>
            <w:tcW w:w="730" w:type="dxa"/>
            <w:tcBorders>
              <w:top w:val="nil"/>
              <w:left w:val="nil"/>
              <w:bottom w:val="nil"/>
              <w:right w:val="nil"/>
            </w:tcBorders>
            <w:shd w:val="clear" w:color="auto" w:fill="auto"/>
            <w:noWrap/>
            <w:vAlign w:val="bottom"/>
            <w:hideMark/>
          </w:tcPr>
          <w:p w14:paraId="608D733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0.415</w:t>
            </w:r>
          </w:p>
        </w:tc>
        <w:tc>
          <w:tcPr>
            <w:tcW w:w="660" w:type="dxa"/>
            <w:tcBorders>
              <w:top w:val="nil"/>
              <w:left w:val="nil"/>
              <w:bottom w:val="nil"/>
              <w:right w:val="nil"/>
            </w:tcBorders>
            <w:shd w:val="clear" w:color="auto" w:fill="auto"/>
            <w:noWrap/>
            <w:vAlign w:val="bottom"/>
            <w:hideMark/>
          </w:tcPr>
          <w:p w14:paraId="2D8A7EC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0.954</w:t>
            </w:r>
          </w:p>
        </w:tc>
        <w:tc>
          <w:tcPr>
            <w:tcW w:w="578" w:type="dxa"/>
            <w:tcBorders>
              <w:top w:val="nil"/>
              <w:left w:val="nil"/>
              <w:bottom w:val="nil"/>
              <w:right w:val="nil"/>
            </w:tcBorders>
            <w:shd w:val="clear" w:color="auto" w:fill="auto"/>
            <w:noWrap/>
            <w:vAlign w:val="bottom"/>
            <w:hideMark/>
          </w:tcPr>
          <w:p w14:paraId="352EFBD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0.539</w:t>
            </w:r>
          </w:p>
        </w:tc>
        <w:tc>
          <w:tcPr>
            <w:tcW w:w="578" w:type="dxa"/>
            <w:tcBorders>
              <w:top w:val="nil"/>
              <w:left w:val="nil"/>
              <w:bottom w:val="nil"/>
              <w:right w:val="nil"/>
            </w:tcBorders>
            <w:shd w:val="clear" w:color="auto" w:fill="auto"/>
            <w:noWrap/>
            <w:vAlign w:val="bottom"/>
            <w:hideMark/>
          </w:tcPr>
          <w:p w14:paraId="6680A65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0.876</w:t>
            </w:r>
          </w:p>
        </w:tc>
      </w:tr>
      <w:tr w:rsidR="00F80FF3" w:rsidRPr="00F80FF3" w14:paraId="3A138839" w14:textId="77777777" w:rsidTr="00F80FF3">
        <w:trPr>
          <w:trHeight w:val="320"/>
        </w:trPr>
        <w:tc>
          <w:tcPr>
            <w:tcW w:w="2620" w:type="dxa"/>
            <w:tcBorders>
              <w:top w:val="nil"/>
              <w:left w:val="nil"/>
              <w:bottom w:val="nil"/>
              <w:right w:val="nil"/>
            </w:tcBorders>
            <w:shd w:val="clear" w:color="auto" w:fill="auto"/>
            <w:noWrap/>
            <w:vAlign w:val="bottom"/>
            <w:hideMark/>
          </w:tcPr>
          <w:p w14:paraId="012DDAF4"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lastRenderedPageBreak/>
              <w:t>Peru</w:t>
            </w:r>
          </w:p>
        </w:tc>
        <w:tc>
          <w:tcPr>
            <w:tcW w:w="578" w:type="dxa"/>
            <w:tcBorders>
              <w:top w:val="nil"/>
              <w:left w:val="nil"/>
              <w:bottom w:val="nil"/>
              <w:right w:val="nil"/>
            </w:tcBorders>
            <w:shd w:val="clear" w:color="auto" w:fill="auto"/>
            <w:noWrap/>
            <w:vAlign w:val="bottom"/>
            <w:hideMark/>
          </w:tcPr>
          <w:p w14:paraId="573572D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0.750</w:t>
            </w:r>
          </w:p>
        </w:tc>
        <w:tc>
          <w:tcPr>
            <w:tcW w:w="864" w:type="dxa"/>
            <w:tcBorders>
              <w:top w:val="nil"/>
              <w:left w:val="single" w:sz="4" w:space="0" w:color="auto"/>
              <w:bottom w:val="nil"/>
              <w:right w:val="single" w:sz="8" w:space="0" w:color="auto"/>
            </w:tcBorders>
            <w:shd w:val="clear" w:color="auto" w:fill="auto"/>
            <w:noWrap/>
            <w:vAlign w:val="bottom"/>
            <w:hideMark/>
          </w:tcPr>
          <w:p w14:paraId="3882B443"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20114</w:t>
            </w:r>
          </w:p>
        </w:tc>
        <w:tc>
          <w:tcPr>
            <w:tcW w:w="618" w:type="dxa"/>
            <w:tcBorders>
              <w:top w:val="nil"/>
              <w:left w:val="nil"/>
              <w:bottom w:val="nil"/>
              <w:right w:val="nil"/>
            </w:tcBorders>
            <w:shd w:val="clear" w:color="auto" w:fill="auto"/>
            <w:noWrap/>
            <w:vAlign w:val="bottom"/>
            <w:hideMark/>
          </w:tcPr>
          <w:p w14:paraId="094A48B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-0.640</w:t>
            </w:r>
          </w:p>
        </w:tc>
        <w:tc>
          <w:tcPr>
            <w:tcW w:w="601" w:type="dxa"/>
            <w:tcBorders>
              <w:top w:val="nil"/>
              <w:left w:val="nil"/>
              <w:bottom w:val="nil"/>
              <w:right w:val="nil"/>
            </w:tcBorders>
            <w:shd w:val="clear" w:color="auto" w:fill="auto"/>
            <w:noWrap/>
            <w:vAlign w:val="bottom"/>
            <w:hideMark/>
          </w:tcPr>
          <w:p w14:paraId="01D3FD7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-0.398</w:t>
            </w:r>
          </w:p>
        </w:tc>
        <w:tc>
          <w:tcPr>
            <w:tcW w:w="615" w:type="dxa"/>
            <w:tcBorders>
              <w:top w:val="nil"/>
              <w:left w:val="nil"/>
              <w:bottom w:val="nil"/>
              <w:right w:val="nil"/>
            </w:tcBorders>
            <w:shd w:val="clear" w:color="auto" w:fill="auto"/>
            <w:noWrap/>
            <w:vAlign w:val="bottom"/>
            <w:hideMark/>
          </w:tcPr>
          <w:p w14:paraId="3CB0143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-0.254</w:t>
            </w:r>
          </w:p>
        </w:tc>
        <w:tc>
          <w:tcPr>
            <w:tcW w:w="578" w:type="dxa"/>
            <w:tcBorders>
              <w:top w:val="nil"/>
              <w:left w:val="nil"/>
              <w:bottom w:val="nil"/>
              <w:right w:val="nil"/>
            </w:tcBorders>
            <w:shd w:val="clear" w:color="auto" w:fill="auto"/>
            <w:noWrap/>
            <w:vAlign w:val="bottom"/>
            <w:hideMark/>
          </w:tcPr>
          <w:p w14:paraId="4A04C5E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0.144</w:t>
            </w:r>
          </w:p>
        </w:tc>
        <w:tc>
          <w:tcPr>
            <w:tcW w:w="730" w:type="dxa"/>
            <w:tcBorders>
              <w:top w:val="nil"/>
              <w:left w:val="nil"/>
              <w:bottom w:val="nil"/>
              <w:right w:val="nil"/>
            </w:tcBorders>
            <w:shd w:val="clear" w:color="auto" w:fill="auto"/>
            <w:noWrap/>
            <w:vAlign w:val="bottom"/>
            <w:hideMark/>
          </w:tcPr>
          <w:p w14:paraId="3429B8D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-0.581</w:t>
            </w:r>
          </w:p>
        </w:tc>
        <w:tc>
          <w:tcPr>
            <w:tcW w:w="660" w:type="dxa"/>
            <w:tcBorders>
              <w:top w:val="nil"/>
              <w:left w:val="nil"/>
              <w:bottom w:val="nil"/>
              <w:right w:val="nil"/>
            </w:tcBorders>
            <w:shd w:val="clear" w:color="auto" w:fill="auto"/>
            <w:noWrap/>
            <w:vAlign w:val="bottom"/>
            <w:hideMark/>
          </w:tcPr>
          <w:p w14:paraId="3FA4DC3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-0.016</w:t>
            </w:r>
          </w:p>
        </w:tc>
        <w:tc>
          <w:tcPr>
            <w:tcW w:w="578" w:type="dxa"/>
            <w:tcBorders>
              <w:top w:val="nil"/>
              <w:left w:val="nil"/>
              <w:bottom w:val="nil"/>
              <w:right w:val="nil"/>
            </w:tcBorders>
            <w:shd w:val="clear" w:color="auto" w:fill="auto"/>
            <w:noWrap/>
            <w:vAlign w:val="bottom"/>
            <w:hideMark/>
          </w:tcPr>
          <w:p w14:paraId="32A1B24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0.565</w:t>
            </w:r>
          </w:p>
        </w:tc>
        <w:tc>
          <w:tcPr>
            <w:tcW w:w="578" w:type="dxa"/>
            <w:tcBorders>
              <w:top w:val="nil"/>
              <w:left w:val="nil"/>
              <w:bottom w:val="nil"/>
              <w:right w:val="nil"/>
            </w:tcBorders>
            <w:shd w:val="clear" w:color="auto" w:fill="auto"/>
            <w:noWrap/>
            <w:vAlign w:val="bottom"/>
            <w:hideMark/>
          </w:tcPr>
          <w:p w14:paraId="004033E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0.825</w:t>
            </w:r>
          </w:p>
        </w:tc>
      </w:tr>
      <w:tr w:rsidR="00F80FF3" w:rsidRPr="00F80FF3" w14:paraId="406D9971" w14:textId="77777777" w:rsidTr="00F80FF3">
        <w:trPr>
          <w:trHeight w:val="320"/>
        </w:trPr>
        <w:tc>
          <w:tcPr>
            <w:tcW w:w="2620" w:type="dxa"/>
            <w:tcBorders>
              <w:top w:val="nil"/>
              <w:left w:val="nil"/>
              <w:bottom w:val="nil"/>
              <w:right w:val="nil"/>
            </w:tcBorders>
            <w:shd w:val="clear" w:color="auto" w:fill="auto"/>
            <w:noWrap/>
            <w:vAlign w:val="bottom"/>
            <w:hideMark/>
          </w:tcPr>
          <w:p w14:paraId="1A5DB6BF"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Poland</w:t>
            </w:r>
          </w:p>
        </w:tc>
        <w:tc>
          <w:tcPr>
            <w:tcW w:w="578" w:type="dxa"/>
            <w:tcBorders>
              <w:top w:val="nil"/>
              <w:left w:val="nil"/>
              <w:bottom w:val="nil"/>
              <w:right w:val="nil"/>
            </w:tcBorders>
            <w:shd w:val="clear" w:color="auto" w:fill="auto"/>
            <w:noWrap/>
            <w:vAlign w:val="bottom"/>
            <w:hideMark/>
          </w:tcPr>
          <w:p w14:paraId="18387C8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0.865</w:t>
            </w:r>
          </w:p>
        </w:tc>
        <w:tc>
          <w:tcPr>
            <w:tcW w:w="864" w:type="dxa"/>
            <w:tcBorders>
              <w:top w:val="nil"/>
              <w:left w:val="single" w:sz="4" w:space="0" w:color="auto"/>
              <w:bottom w:val="nil"/>
              <w:right w:val="single" w:sz="8" w:space="0" w:color="auto"/>
            </w:tcBorders>
            <w:shd w:val="clear" w:color="auto" w:fill="auto"/>
            <w:noWrap/>
            <w:vAlign w:val="bottom"/>
            <w:hideMark/>
          </w:tcPr>
          <w:p w14:paraId="4A0F0BC8"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67767</w:t>
            </w:r>
          </w:p>
        </w:tc>
        <w:tc>
          <w:tcPr>
            <w:tcW w:w="618" w:type="dxa"/>
            <w:tcBorders>
              <w:top w:val="nil"/>
              <w:left w:val="nil"/>
              <w:bottom w:val="nil"/>
              <w:right w:val="nil"/>
            </w:tcBorders>
            <w:shd w:val="clear" w:color="auto" w:fill="auto"/>
            <w:noWrap/>
            <w:vAlign w:val="bottom"/>
            <w:hideMark/>
          </w:tcPr>
          <w:p w14:paraId="3E43DA5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0.562</w:t>
            </w:r>
          </w:p>
        </w:tc>
        <w:tc>
          <w:tcPr>
            <w:tcW w:w="601" w:type="dxa"/>
            <w:tcBorders>
              <w:top w:val="nil"/>
              <w:left w:val="nil"/>
              <w:bottom w:val="nil"/>
              <w:right w:val="nil"/>
            </w:tcBorders>
            <w:shd w:val="clear" w:color="auto" w:fill="auto"/>
            <w:noWrap/>
            <w:vAlign w:val="bottom"/>
            <w:hideMark/>
          </w:tcPr>
          <w:p w14:paraId="4C1BF78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0.612</w:t>
            </w:r>
          </w:p>
        </w:tc>
        <w:tc>
          <w:tcPr>
            <w:tcW w:w="615" w:type="dxa"/>
            <w:tcBorders>
              <w:top w:val="nil"/>
              <w:left w:val="nil"/>
              <w:bottom w:val="nil"/>
              <w:right w:val="nil"/>
            </w:tcBorders>
            <w:shd w:val="clear" w:color="auto" w:fill="auto"/>
            <w:noWrap/>
            <w:vAlign w:val="bottom"/>
            <w:hideMark/>
          </w:tcPr>
          <w:p w14:paraId="67F49BA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1.010</w:t>
            </w:r>
          </w:p>
        </w:tc>
        <w:tc>
          <w:tcPr>
            <w:tcW w:w="578" w:type="dxa"/>
            <w:tcBorders>
              <w:top w:val="nil"/>
              <w:left w:val="nil"/>
              <w:bottom w:val="nil"/>
              <w:right w:val="nil"/>
            </w:tcBorders>
            <w:shd w:val="clear" w:color="auto" w:fill="auto"/>
            <w:noWrap/>
            <w:vAlign w:val="bottom"/>
            <w:hideMark/>
          </w:tcPr>
          <w:p w14:paraId="2E05830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0.398</w:t>
            </w:r>
          </w:p>
        </w:tc>
        <w:tc>
          <w:tcPr>
            <w:tcW w:w="730" w:type="dxa"/>
            <w:tcBorders>
              <w:top w:val="nil"/>
              <w:left w:val="nil"/>
              <w:bottom w:val="nil"/>
              <w:right w:val="nil"/>
            </w:tcBorders>
            <w:shd w:val="clear" w:color="auto" w:fill="auto"/>
            <w:noWrap/>
            <w:vAlign w:val="bottom"/>
            <w:hideMark/>
          </w:tcPr>
          <w:p w14:paraId="247FB5E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0.518</w:t>
            </w:r>
          </w:p>
        </w:tc>
        <w:tc>
          <w:tcPr>
            <w:tcW w:w="660" w:type="dxa"/>
            <w:tcBorders>
              <w:top w:val="nil"/>
              <w:left w:val="nil"/>
              <w:bottom w:val="nil"/>
              <w:right w:val="nil"/>
            </w:tcBorders>
            <w:shd w:val="clear" w:color="auto" w:fill="auto"/>
            <w:noWrap/>
            <w:vAlign w:val="bottom"/>
            <w:hideMark/>
          </w:tcPr>
          <w:p w14:paraId="5273028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0.981</w:t>
            </w:r>
          </w:p>
        </w:tc>
        <w:tc>
          <w:tcPr>
            <w:tcW w:w="578" w:type="dxa"/>
            <w:tcBorders>
              <w:top w:val="nil"/>
              <w:left w:val="nil"/>
              <w:bottom w:val="nil"/>
              <w:right w:val="nil"/>
            </w:tcBorders>
            <w:shd w:val="clear" w:color="auto" w:fill="auto"/>
            <w:noWrap/>
            <w:vAlign w:val="bottom"/>
            <w:hideMark/>
          </w:tcPr>
          <w:p w14:paraId="21353FE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0.463</w:t>
            </w:r>
          </w:p>
        </w:tc>
        <w:tc>
          <w:tcPr>
            <w:tcW w:w="578" w:type="dxa"/>
            <w:tcBorders>
              <w:top w:val="nil"/>
              <w:left w:val="nil"/>
              <w:bottom w:val="nil"/>
              <w:right w:val="nil"/>
            </w:tcBorders>
            <w:shd w:val="clear" w:color="auto" w:fill="auto"/>
            <w:noWrap/>
            <w:vAlign w:val="bottom"/>
            <w:hideMark/>
          </w:tcPr>
          <w:p w14:paraId="12E042C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0.855</w:t>
            </w:r>
          </w:p>
        </w:tc>
      </w:tr>
      <w:tr w:rsidR="00F80FF3" w:rsidRPr="00F80FF3" w14:paraId="648B9CB5" w14:textId="77777777" w:rsidTr="00F80FF3">
        <w:trPr>
          <w:trHeight w:val="320"/>
        </w:trPr>
        <w:tc>
          <w:tcPr>
            <w:tcW w:w="2620" w:type="dxa"/>
            <w:tcBorders>
              <w:top w:val="nil"/>
              <w:left w:val="nil"/>
              <w:bottom w:val="nil"/>
              <w:right w:val="nil"/>
            </w:tcBorders>
            <w:shd w:val="clear" w:color="auto" w:fill="auto"/>
            <w:noWrap/>
            <w:vAlign w:val="bottom"/>
            <w:hideMark/>
          </w:tcPr>
          <w:p w14:paraId="47A447C9"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Portugal</w:t>
            </w:r>
          </w:p>
        </w:tc>
        <w:tc>
          <w:tcPr>
            <w:tcW w:w="578" w:type="dxa"/>
            <w:tcBorders>
              <w:top w:val="nil"/>
              <w:left w:val="nil"/>
              <w:bottom w:val="nil"/>
              <w:right w:val="nil"/>
            </w:tcBorders>
            <w:shd w:val="clear" w:color="auto" w:fill="auto"/>
            <w:noWrap/>
            <w:vAlign w:val="bottom"/>
            <w:hideMark/>
          </w:tcPr>
          <w:p w14:paraId="0462CBA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0.847</w:t>
            </w:r>
          </w:p>
        </w:tc>
        <w:tc>
          <w:tcPr>
            <w:tcW w:w="864" w:type="dxa"/>
            <w:tcBorders>
              <w:top w:val="nil"/>
              <w:left w:val="single" w:sz="4" w:space="0" w:color="auto"/>
              <w:bottom w:val="nil"/>
              <w:right w:val="single" w:sz="8" w:space="0" w:color="auto"/>
            </w:tcBorders>
            <w:shd w:val="clear" w:color="auto" w:fill="auto"/>
            <w:noWrap/>
            <w:vAlign w:val="bottom"/>
            <w:hideMark/>
          </w:tcPr>
          <w:p w14:paraId="5D2B9324"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83050</w:t>
            </w:r>
          </w:p>
        </w:tc>
        <w:tc>
          <w:tcPr>
            <w:tcW w:w="618" w:type="dxa"/>
            <w:tcBorders>
              <w:top w:val="nil"/>
              <w:left w:val="nil"/>
              <w:bottom w:val="nil"/>
              <w:right w:val="nil"/>
            </w:tcBorders>
            <w:shd w:val="clear" w:color="auto" w:fill="auto"/>
            <w:noWrap/>
            <w:vAlign w:val="bottom"/>
            <w:hideMark/>
          </w:tcPr>
          <w:p w14:paraId="6BB8C53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0.454</w:t>
            </w:r>
          </w:p>
        </w:tc>
        <w:tc>
          <w:tcPr>
            <w:tcW w:w="601" w:type="dxa"/>
            <w:tcBorders>
              <w:top w:val="nil"/>
              <w:left w:val="nil"/>
              <w:bottom w:val="nil"/>
              <w:right w:val="nil"/>
            </w:tcBorders>
            <w:shd w:val="clear" w:color="auto" w:fill="auto"/>
            <w:noWrap/>
            <w:vAlign w:val="bottom"/>
            <w:hideMark/>
          </w:tcPr>
          <w:p w14:paraId="2A7383F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0.837</w:t>
            </w:r>
          </w:p>
        </w:tc>
        <w:tc>
          <w:tcPr>
            <w:tcW w:w="615" w:type="dxa"/>
            <w:tcBorders>
              <w:top w:val="nil"/>
              <w:left w:val="nil"/>
              <w:bottom w:val="nil"/>
              <w:right w:val="nil"/>
            </w:tcBorders>
            <w:shd w:val="clear" w:color="auto" w:fill="auto"/>
            <w:noWrap/>
            <w:vAlign w:val="bottom"/>
            <w:hideMark/>
          </w:tcPr>
          <w:p w14:paraId="2C9B37A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0.890</w:t>
            </w:r>
          </w:p>
        </w:tc>
        <w:tc>
          <w:tcPr>
            <w:tcW w:w="578" w:type="dxa"/>
            <w:tcBorders>
              <w:top w:val="nil"/>
              <w:left w:val="nil"/>
              <w:bottom w:val="nil"/>
              <w:right w:val="nil"/>
            </w:tcBorders>
            <w:shd w:val="clear" w:color="auto" w:fill="auto"/>
            <w:noWrap/>
            <w:vAlign w:val="bottom"/>
            <w:hideMark/>
          </w:tcPr>
          <w:p w14:paraId="59B405F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0.053</w:t>
            </w:r>
          </w:p>
        </w:tc>
        <w:tc>
          <w:tcPr>
            <w:tcW w:w="730" w:type="dxa"/>
            <w:tcBorders>
              <w:top w:val="nil"/>
              <w:left w:val="nil"/>
              <w:bottom w:val="nil"/>
              <w:right w:val="nil"/>
            </w:tcBorders>
            <w:shd w:val="clear" w:color="auto" w:fill="auto"/>
            <w:noWrap/>
            <w:vAlign w:val="bottom"/>
            <w:hideMark/>
          </w:tcPr>
          <w:p w14:paraId="6A54F8C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0.273</w:t>
            </w:r>
          </w:p>
        </w:tc>
        <w:tc>
          <w:tcPr>
            <w:tcW w:w="660" w:type="dxa"/>
            <w:tcBorders>
              <w:top w:val="nil"/>
              <w:left w:val="nil"/>
              <w:bottom w:val="nil"/>
              <w:right w:val="nil"/>
            </w:tcBorders>
            <w:shd w:val="clear" w:color="auto" w:fill="auto"/>
            <w:noWrap/>
            <w:vAlign w:val="bottom"/>
            <w:hideMark/>
          </w:tcPr>
          <w:p w14:paraId="58D9627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0.977</w:t>
            </w:r>
          </w:p>
        </w:tc>
        <w:tc>
          <w:tcPr>
            <w:tcW w:w="578" w:type="dxa"/>
            <w:tcBorders>
              <w:top w:val="nil"/>
              <w:left w:val="nil"/>
              <w:bottom w:val="nil"/>
              <w:right w:val="nil"/>
            </w:tcBorders>
            <w:shd w:val="clear" w:color="auto" w:fill="auto"/>
            <w:noWrap/>
            <w:vAlign w:val="bottom"/>
            <w:hideMark/>
          </w:tcPr>
          <w:p w14:paraId="26A2ECC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0.704</w:t>
            </w:r>
          </w:p>
        </w:tc>
        <w:tc>
          <w:tcPr>
            <w:tcW w:w="578" w:type="dxa"/>
            <w:tcBorders>
              <w:top w:val="nil"/>
              <w:left w:val="nil"/>
              <w:bottom w:val="nil"/>
              <w:right w:val="nil"/>
            </w:tcBorders>
            <w:shd w:val="clear" w:color="auto" w:fill="auto"/>
            <w:noWrap/>
            <w:vAlign w:val="bottom"/>
            <w:hideMark/>
          </w:tcPr>
          <w:p w14:paraId="5361A88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0.905</w:t>
            </w:r>
          </w:p>
        </w:tc>
      </w:tr>
      <w:tr w:rsidR="00F80FF3" w:rsidRPr="00F80FF3" w14:paraId="25591B83" w14:textId="77777777" w:rsidTr="00F80FF3">
        <w:trPr>
          <w:trHeight w:val="320"/>
        </w:trPr>
        <w:tc>
          <w:tcPr>
            <w:tcW w:w="2620" w:type="dxa"/>
            <w:tcBorders>
              <w:top w:val="nil"/>
              <w:left w:val="nil"/>
              <w:bottom w:val="nil"/>
              <w:right w:val="nil"/>
            </w:tcBorders>
            <w:shd w:val="clear" w:color="auto" w:fill="auto"/>
            <w:noWrap/>
            <w:vAlign w:val="bottom"/>
            <w:hideMark/>
          </w:tcPr>
          <w:p w14:paraId="5B07BF24"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Qatar</w:t>
            </w:r>
          </w:p>
        </w:tc>
        <w:tc>
          <w:tcPr>
            <w:tcW w:w="578" w:type="dxa"/>
            <w:tcBorders>
              <w:top w:val="nil"/>
              <w:left w:val="nil"/>
              <w:bottom w:val="nil"/>
              <w:right w:val="nil"/>
            </w:tcBorders>
            <w:shd w:val="clear" w:color="auto" w:fill="auto"/>
            <w:noWrap/>
            <w:vAlign w:val="bottom"/>
            <w:hideMark/>
          </w:tcPr>
          <w:p w14:paraId="533CBDC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0.856</w:t>
            </w:r>
          </w:p>
        </w:tc>
        <w:tc>
          <w:tcPr>
            <w:tcW w:w="864" w:type="dxa"/>
            <w:tcBorders>
              <w:top w:val="nil"/>
              <w:left w:val="nil"/>
              <w:bottom w:val="nil"/>
              <w:right w:val="nil"/>
            </w:tcBorders>
            <w:shd w:val="clear" w:color="auto" w:fill="auto"/>
            <w:noWrap/>
            <w:vAlign w:val="bottom"/>
            <w:hideMark/>
          </w:tcPr>
          <w:p w14:paraId="5C49D5E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17A10CB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-0.532</w:t>
            </w:r>
          </w:p>
        </w:tc>
        <w:tc>
          <w:tcPr>
            <w:tcW w:w="601" w:type="dxa"/>
            <w:tcBorders>
              <w:top w:val="nil"/>
              <w:left w:val="nil"/>
              <w:bottom w:val="nil"/>
              <w:right w:val="nil"/>
            </w:tcBorders>
            <w:shd w:val="clear" w:color="auto" w:fill="auto"/>
            <w:noWrap/>
            <w:vAlign w:val="bottom"/>
            <w:hideMark/>
          </w:tcPr>
          <w:p w14:paraId="1871889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-0.606</w:t>
            </w:r>
          </w:p>
        </w:tc>
        <w:tc>
          <w:tcPr>
            <w:tcW w:w="615" w:type="dxa"/>
            <w:tcBorders>
              <w:top w:val="nil"/>
              <w:left w:val="nil"/>
              <w:bottom w:val="nil"/>
              <w:right w:val="nil"/>
            </w:tcBorders>
            <w:shd w:val="clear" w:color="auto" w:fill="auto"/>
            <w:noWrap/>
            <w:vAlign w:val="bottom"/>
            <w:hideMark/>
          </w:tcPr>
          <w:p w14:paraId="569301D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-0.346</w:t>
            </w:r>
          </w:p>
        </w:tc>
        <w:tc>
          <w:tcPr>
            <w:tcW w:w="578" w:type="dxa"/>
            <w:tcBorders>
              <w:top w:val="nil"/>
              <w:left w:val="nil"/>
              <w:bottom w:val="nil"/>
              <w:right w:val="nil"/>
            </w:tcBorders>
            <w:shd w:val="clear" w:color="auto" w:fill="auto"/>
            <w:noWrap/>
            <w:vAlign w:val="bottom"/>
            <w:hideMark/>
          </w:tcPr>
          <w:p w14:paraId="60B9A8C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0.260</w:t>
            </w:r>
          </w:p>
        </w:tc>
        <w:tc>
          <w:tcPr>
            <w:tcW w:w="730" w:type="dxa"/>
            <w:tcBorders>
              <w:top w:val="nil"/>
              <w:left w:val="nil"/>
              <w:bottom w:val="nil"/>
              <w:right w:val="nil"/>
            </w:tcBorders>
            <w:shd w:val="clear" w:color="auto" w:fill="auto"/>
            <w:noWrap/>
            <w:vAlign w:val="bottom"/>
            <w:hideMark/>
          </w:tcPr>
          <w:p w14:paraId="4D8C01A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-0.634</w:t>
            </w:r>
          </w:p>
        </w:tc>
        <w:tc>
          <w:tcPr>
            <w:tcW w:w="660" w:type="dxa"/>
            <w:tcBorders>
              <w:top w:val="nil"/>
              <w:left w:val="nil"/>
              <w:bottom w:val="nil"/>
              <w:right w:val="nil"/>
            </w:tcBorders>
            <w:shd w:val="clear" w:color="auto" w:fill="auto"/>
            <w:noWrap/>
            <w:vAlign w:val="bottom"/>
            <w:hideMark/>
          </w:tcPr>
          <w:p w14:paraId="0F28421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-0.075</w:t>
            </w:r>
          </w:p>
        </w:tc>
        <w:tc>
          <w:tcPr>
            <w:tcW w:w="578" w:type="dxa"/>
            <w:tcBorders>
              <w:top w:val="nil"/>
              <w:left w:val="nil"/>
              <w:bottom w:val="nil"/>
              <w:right w:val="nil"/>
            </w:tcBorders>
            <w:shd w:val="clear" w:color="auto" w:fill="auto"/>
            <w:noWrap/>
            <w:vAlign w:val="bottom"/>
            <w:hideMark/>
          </w:tcPr>
          <w:p w14:paraId="167BCE0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0.559</w:t>
            </w:r>
          </w:p>
        </w:tc>
        <w:tc>
          <w:tcPr>
            <w:tcW w:w="578" w:type="dxa"/>
            <w:tcBorders>
              <w:top w:val="nil"/>
              <w:left w:val="nil"/>
              <w:bottom w:val="nil"/>
              <w:right w:val="nil"/>
            </w:tcBorders>
            <w:shd w:val="clear" w:color="auto" w:fill="auto"/>
            <w:noWrap/>
            <w:vAlign w:val="bottom"/>
            <w:hideMark/>
          </w:tcPr>
          <w:p w14:paraId="269B0D4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1.025</w:t>
            </w:r>
          </w:p>
        </w:tc>
      </w:tr>
      <w:tr w:rsidR="00F80FF3" w:rsidRPr="00F80FF3" w14:paraId="5819E333" w14:textId="77777777" w:rsidTr="00F80FF3">
        <w:trPr>
          <w:trHeight w:val="320"/>
        </w:trPr>
        <w:tc>
          <w:tcPr>
            <w:tcW w:w="2620" w:type="dxa"/>
            <w:tcBorders>
              <w:top w:val="nil"/>
              <w:left w:val="nil"/>
              <w:bottom w:val="nil"/>
              <w:right w:val="nil"/>
            </w:tcBorders>
            <w:shd w:val="clear" w:color="auto" w:fill="auto"/>
            <w:noWrap/>
            <w:vAlign w:val="bottom"/>
            <w:hideMark/>
          </w:tcPr>
          <w:p w14:paraId="66812556"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Republic of Korea</w:t>
            </w:r>
          </w:p>
        </w:tc>
        <w:tc>
          <w:tcPr>
            <w:tcW w:w="578" w:type="dxa"/>
            <w:tcBorders>
              <w:top w:val="nil"/>
              <w:left w:val="nil"/>
              <w:bottom w:val="nil"/>
              <w:right w:val="nil"/>
            </w:tcBorders>
            <w:shd w:val="clear" w:color="auto" w:fill="auto"/>
            <w:noWrap/>
            <w:vAlign w:val="bottom"/>
            <w:hideMark/>
          </w:tcPr>
          <w:p w14:paraId="03824FA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0.903</w:t>
            </w:r>
          </w:p>
        </w:tc>
        <w:tc>
          <w:tcPr>
            <w:tcW w:w="864" w:type="dxa"/>
            <w:tcBorders>
              <w:top w:val="nil"/>
              <w:left w:val="single" w:sz="4" w:space="0" w:color="auto"/>
              <w:bottom w:val="nil"/>
              <w:right w:val="single" w:sz="8" w:space="0" w:color="auto"/>
            </w:tcBorders>
            <w:shd w:val="clear" w:color="auto" w:fill="auto"/>
            <w:noWrap/>
            <w:vAlign w:val="bottom"/>
            <w:hideMark/>
          </w:tcPr>
          <w:p w14:paraId="3936735D"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79517</w:t>
            </w:r>
          </w:p>
        </w:tc>
        <w:tc>
          <w:tcPr>
            <w:tcW w:w="618" w:type="dxa"/>
            <w:tcBorders>
              <w:top w:val="nil"/>
              <w:left w:val="nil"/>
              <w:bottom w:val="nil"/>
              <w:right w:val="nil"/>
            </w:tcBorders>
            <w:shd w:val="clear" w:color="auto" w:fill="auto"/>
            <w:noWrap/>
            <w:vAlign w:val="bottom"/>
            <w:hideMark/>
          </w:tcPr>
          <w:p w14:paraId="78F48B6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0.729</w:t>
            </w:r>
          </w:p>
        </w:tc>
        <w:tc>
          <w:tcPr>
            <w:tcW w:w="601" w:type="dxa"/>
            <w:tcBorders>
              <w:top w:val="nil"/>
              <w:left w:val="nil"/>
              <w:bottom w:val="nil"/>
              <w:right w:val="nil"/>
            </w:tcBorders>
            <w:shd w:val="clear" w:color="auto" w:fill="auto"/>
            <w:noWrap/>
            <w:vAlign w:val="bottom"/>
            <w:hideMark/>
          </w:tcPr>
          <w:p w14:paraId="5893E4D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0.763</w:t>
            </w:r>
          </w:p>
        </w:tc>
        <w:tc>
          <w:tcPr>
            <w:tcW w:w="615" w:type="dxa"/>
            <w:tcBorders>
              <w:top w:val="nil"/>
              <w:left w:val="nil"/>
              <w:bottom w:val="nil"/>
              <w:right w:val="nil"/>
            </w:tcBorders>
            <w:shd w:val="clear" w:color="auto" w:fill="auto"/>
            <w:noWrap/>
            <w:vAlign w:val="bottom"/>
            <w:hideMark/>
          </w:tcPr>
          <w:p w14:paraId="3CBF462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1.120</w:t>
            </w:r>
          </w:p>
        </w:tc>
        <w:tc>
          <w:tcPr>
            <w:tcW w:w="578" w:type="dxa"/>
            <w:tcBorders>
              <w:top w:val="nil"/>
              <w:left w:val="nil"/>
              <w:bottom w:val="nil"/>
              <w:right w:val="nil"/>
            </w:tcBorders>
            <w:shd w:val="clear" w:color="auto" w:fill="auto"/>
            <w:noWrap/>
            <w:vAlign w:val="bottom"/>
            <w:hideMark/>
          </w:tcPr>
          <w:p w14:paraId="10F3208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0.357</w:t>
            </w:r>
          </w:p>
        </w:tc>
        <w:tc>
          <w:tcPr>
            <w:tcW w:w="730" w:type="dxa"/>
            <w:tcBorders>
              <w:top w:val="nil"/>
              <w:left w:val="nil"/>
              <w:bottom w:val="nil"/>
              <w:right w:val="nil"/>
            </w:tcBorders>
            <w:shd w:val="clear" w:color="auto" w:fill="auto"/>
            <w:noWrap/>
            <w:vAlign w:val="bottom"/>
            <w:hideMark/>
          </w:tcPr>
          <w:p w14:paraId="5A33DD7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0.645</w:t>
            </w:r>
          </w:p>
        </w:tc>
        <w:tc>
          <w:tcPr>
            <w:tcW w:w="660" w:type="dxa"/>
            <w:tcBorders>
              <w:top w:val="nil"/>
              <w:left w:val="nil"/>
              <w:bottom w:val="nil"/>
              <w:right w:val="nil"/>
            </w:tcBorders>
            <w:shd w:val="clear" w:color="auto" w:fill="auto"/>
            <w:noWrap/>
            <w:vAlign w:val="bottom"/>
            <w:hideMark/>
          </w:tcPr>
          <w:p w14:paraId="12C50DA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1.105</w:t>
            </w:r>
          </w:p>
        </w:tc>
        <w:tc>
          <w:tcPr>
            <w:tcW w:w="578" w:type="dxa"/>
            <w:tcBorders>
              <w:top w:val="nil"/>
              <w:left w:val="nil"/>
              <w:bottom w:val="nil"/>
              <w:right w:val="nil"/>
            </w:tcBorders>
            <w:shd w:val="clear" w:color="auto" w:fill="auto"/>
            <w:noWrap/>
            <w:vAlign w:val="bottom"/>
            <w:hideMark/>
          </w:tcPr>
          <w:p w14:paraId="2CAA9D0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0.460</w:t>
            </w:r>
          </w:p>
        </w:tc>
        <w:tc>
          <w:tcPr>
            <w:tcW w:w="578" w:type="dxa"/>
            <w:tcBorders>
              <w:top w:val="nil"/>
              <w:left w:val="nil"/>
              <w:bottom w:val="nil"/>
              <w:right w:val="nil"/>
            </w:tcBorders>
            <w:shd w:val="clear" w:color="auto" w:fill="auto"/>
            <w:noWrap/>
            <w:vAlign w:val="bottom"/>
            <w:hideMark/>
          </w:tcPr>
          <w:p w14:paraId="285821E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0.940</w:t>
            </w:r>
          </w:p>
        </w:tc>
      </w:tr>
      <w:tr w:rsidR="00F80FF3" w:rsidRPr="00F80FF3" w14:paraId="0A4F4CA7" w14:textId="77777777" w:rsidTr="00F80FF3">
        <w:trPr>
          <w:trHeight w:val="320"/>
        </w:trPr>
        <w:tc>
          <w:tcPr>
            <w:tcW w:w="2620" w:type="dxa"/>
            <w:tcBorders>
              <w:top w:val="nil"/>
              <w:left w:val="nil"/>
              <w:bottom w:val="nil"/>
              <w:right w:val="nil"/>
            </w:tcBorders>
            <w:shd w:val="clear" w:color="auto" w:fill="auto"/>
            <w:noWrap/>
            <w:vAlign w:val="bottom"/>
            <w:hideMark/>
          </w:tcPr>
          <w:p w14:paraId="742E0985"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Republic of Moldova</w:t>
            </w:r>
          </w:p>
        </w:tc>
        <w:tc>
          <w:tcPr>
            <w:tcW w:w="578" w:type="dxa"/>
            <w:tcBorders>
              <w:top w:val="nil"/>
              <w:left w:val="nil"/>
              <w:bottom w:val="nil"/>
              <w:right w:val="nil"/>
            </w:tcBorders>
            <w:shd w:val="clear" w:color="auto" w:fill="auto"/>
            <w:noWrap/>
            <w:vAlign w:val="bottom"/>
            <w:hideMark/>
          </w:tcPr>
          <w:p w14:paraId="2530260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0.700</w:t>
            </w:r>
          </w:p>
        </w:tc>
        <w:tc>
          <w:tcPr>
            <w:tcW w:w="864" w:type="dxa"/>
            <w:tcBorders>
              <w:top w:val="nil"/>
              <w:left w:val="nil"/>
              <w:bottom w:val="nil"/>
              <w:right w:val="nil"/>
            </w:tcBorders>
            <w:shd w:val="clear" w:color="auto" w:fill="auto"/>
            <w:noWrap/>
            <w:vAlign w:val="bottom"/>
            <w:hideMark/>
          </w:tcPr>
          <w:p w14:paraId="432FDE5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1E719CD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-0.364</w:t>
            </w:r>
          </w:p>
        </w:tc>
        <w:tc>
          <w:tcPr>
            <w:tcW w:w="601" w:type="dxa"/>
            <w:tcBorders>
              <w:top w:val="nil"/>
              <w:left w:val="nil"/>
              <w:bottom w:val="nil"/>
              <w:right w:val="nil"/>
            </w:tcBorders>
            <w:shd w:val="clear" w:color="auto" w:fill="auto"/>
            <w:noWrap/>
            <w:vAlign w:val="bottom"/>
            <w:hideMark/>
          </w:tcPr>
          <w:p w14:paraId="079B2A9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-0.253</w:t>
            </w:r>
          </w:p>
        </w:tc>
        <w:tc>
          <w:tcPr>
            <w:tcW w:w="615" w:type="dxa"/>
            <w:tcBorders>
              <w:top w:val="nil"/>
              <w:left w:val="nil"/>
              <w:bottom w:val="nil"/>
              <w:right w:val="nil"/>
            </w:tcBorders>
            <w:shd w:val="clear" w:color="auto" w:fill="auto"/>
            <w:noWrap/>
            <w:vAlign w:val="bottom"/>
            <w:hideMark/>
          </w:tcPr>
          <w:p w14:paraId="66BDC31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-0.012</w:t>
            </w:r>
          </w:p>
        </w:tc>
        <w:tc>
          <w:tcPr>
            <w:tcW w:w="578" w:type="dxa"/>
            <w:tcBorders>
              <w:top w:val="nil"/>
              <w:left w:val="nil"/>
              <w:bottom w:val="nil"/>
              <w:right w:val="nil"/>
            </w:tcBorders>
            <w:shd w:val="clear" w:color="auto" w:fill="auto"/>
            <w:noWrap/>
            <w:vAlign w:val="bottom"/>
            <w:hideMark/>
          </w:tcPr>
          <w:p w14:paraId="18F11F5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0.241</w:t>
            </w:r>
          </w:p>
        </w:tc>
        <w:tc>
          <w:tcPr>
            <w:tcW w:w="730" w:type="dxa"/>
            <w:tcBorders>
              <w:top w:val="nil"/>
              <w:left w:val="nil"/>
              <w:bottom w:val="nil"/>
              <w:right w:val="nil"/>
            </w:tcBorders>
            <w:shd w:val="clear" w:color="auto" w:fill="auto"/>
            <w:noWrap/>
            <w:vAlign w:val="bottom"/>
            <w:hideMark/>
          </w:tcPr>
          <w:p w14:paraId="754C475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-0.347</w:t>
            </w:r>
          </w:p>
        </w:tc>
        <w:tc>
          <w:tcPr>
            <w:tcW w:w="660" w:type="dxa"/>
            <w:tcBorders>
              <w:top w:val="nil"/>
              <w:left w:val="nil"/>
              <w:bottom w:val="nil"/>
              <w:right w:val="nil"/>
            </w:tcBorders>
            <w:shd w:val="clear" w:color="auto" w:fill="auto"/>
            <w:noWrap/>
            <w:vAlign w:val="bottom"/>
            <w:hideMark/>
          </w:tcPr>
          <w:p w14:paraId="0A599C5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0.171</w:t>
            </w:r>
          </w:p>
        </w:tc>
        <w:tc>
          <w:tcPr>
            <w:tcW w:w="578" w:type="dxa"/>
            <w:tcBorders>
              <w:top w:val="nil"/>
              <w:left w:val="nil"/>
              <w:bottom w:val="nil"/>
              <w:right w:val="nil"/>
            </w:tcBorders>
            <w:shd w:val="clear" w:color="auto" w:fill="auto"/>
            <w:noWrap/>
            <w:vAlign w:val="bottom"/>
            <w:hideMark/>
          </w:tcPr>
          <w:p w14:paraId="2ACE7C7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0.518</w:t>
            </w:r>
          </w:p>
        </w:tc>
        <w:tc>
          <w:tcPr>
            <w:tcW w:w="578" w:type="dxa"/>
            <w:tcBorders>
              <w:top w:val="nil"/>
              <w:left w:val="nil"/>
              <w:bottom w:val="nil"/>
              <w:right w:val="nil"/>
            </w:tcBorders>
            <w:shd w:val="clear" w:color="auto" w:fill="auto"/>
            <w:noWrap/>
            <w:vAlign w:val="bottom"/>
            <w:hideMark/>
          </w:tcPr>
          <w:p w14:paraId="4E8974B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0.865</w:t>
            </w:r>
          </w:p>
        </w:tc>
      </w:tr>
      <w:tr w:rsidR="00F80FF3" w:rsidRPr="00F80FF3" w14:paraId="2BD6B234" w14:textId="77777777" w:rsidTr="00F80FF3">
        <w:trPr>
          <w:trHeight w:val="320"/>
        </w:trPr>
        <w:tc>
          <w:tcPr>
            <w:tcW w:w="2620" w:type="dxa"/>
            <w:tcBorders>
              <w:top w:val="nil"/>
              <w:left w:val="nil"/>
              <w:bottom w:val="nil"/>
              <w:right w:val="nil"/>
            </w:tcBorders>
            <w:shd w:val="clear" w:color="auto" w:fill="auto"/>
            <w:noWrap/>
            <w:vAlign w:val="bottom"/>
            <w:hideMark/>
          </w:tcPr>
          <w:p w14:paraId="1F3C50AD"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Romania</w:t>
            </w:r>
          </w:p>
        </w:tc>
        <w:tc>
          <w:tcPr>
            <w:tcW w:w="578" w:type="dxa"/>
            <w:tcBorders>
              <w:top w:val="nil"/>
              <w:left w:val="nil"/>
              <w:bottom w:val="nil"/>
              <w:right w:val="nil"/>
            </w:tcBorders>
            <w:shd w:val="clear" w:color="auto" w:fill="auto"/>
            <w:noWrap/>
            <w:vAlign w:val="bottom"/>
            <w:hideMark/>
          </w:tcPr>
          <w:p w14:paraId="67EFC48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0.811</w:t>
            </w:r>
          </w:p>
        </w:tc>
        <w:tc>
          <w:tcPr>
            <w:tcW w:w="864" w:type="dxa"/>
            <w:tcBorders>
              <w:top w:val="nil"/>
              <w:left w:val="single" w:sz="4" w:space="0" w:color="auto"/>
              <w:bottom w:val="nil"/>
              <w:right w:val="single" w:sz="8" w:space="0" w:color="auto"/>
            </w:tcBorders>
            <w:shd w:val="clear" w:color="auto" w:fill="auto"/>
            <w:noWrap/>
            <w:vAlign w:val="bottom"/>
            <w:hideMark/>
          </w:tcPr>
          <w:p w14:paraId="74544EE7"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 </w:t>
            </w:r>
          </w:p>
        </w:tc>
        <w:tc>
          <w:tcPr>
            <w:tcW w:w="618" w:type="dxa"/>
            <w:tcBorders>
              <w:top w:val="nil"/>
              <w:left w:val="nil"/>
              <w:bottom w:val="nil"/>
              <w:right w:val="nil"/>
            </w:tcBorders>
            <w:shd w:val="clear" w:color="auto" w:fill="auto"/>
            <w:noWrap/>
            <w:vAlign w:val="bottom"/>
            <w:hideMark/>
          </w:tcPr>
          <w:p w14:paraId="6163F38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-0.142</w:t>
            </w:r>
          </w:p>
        </w:tc>
        <w:tc>
          <w:tcPr>
            <w:tcW w:w="601" w:type="dxa"/>
            <w:tcBorders>
              <w:top w:val="nil"/>
              <w:left w:val="nil"/>
              <w:bottom w:val="nil"/>
              <w:right w:val="nil"/>
            </w:tcBorders>
            <w:shd w:val="clear" w:color="auto" w:fill="auto"/>
            <w:noWrap/>
            <w:vAlign w:val="bottom"/>
            <w:hideMark/>
          </w:tcPr>
          <w:p w14:paraId="52821C0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-0.180</w:t>
            </w:r>
          </w:p>
        </w:tc>
        <w:tc>
          <w:tcPr>
            <w:tcW w:w="615" w:type="dxa"/>
            <w:tcBorders>
              <w:top w:val="nil"/>
              <w:left w:val="nil"/>
              <w:bottom w:val="nil"/>
              <w:right w:val="nil"/>
            </w:tcBorders>
            <w:shd w:val="clear" w:color="auto" w:fill="auto"/>
            <w:noWrap/>
            <w:vAlign w:val="bottom"/>
            <w:hideMark/>
          </w:tcPr>
          <w:p w14:paraId="647AACF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0.345</w:t>
            </w:r>
          </w:p>
        </w:tc>
        <w:tc>
          <w:tcPr>
            <w:tcW w:w="578" w:type="dxa"/>
            <w:tcBorders>
              <w:top w:val="nil"/>
              <w:left w:val="nil"/>
              <w:bottom w:val="nil"/>
              <w:right w:val="nil"/>
            </w:tcBorders>
            <w:shd w:val="clear" w:color="auto" w:fill="auto"/>
            <w:noWrap/>
            <w:vAlign w:val="bottom"/>
            <w:hideMark/>
          </w:tcPr>
          <w:p w14:paraId="514A207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0.525</w:t>
            </w:r>
          </w:p>
        </w:tc>
        <w:tc>
          <w:tcPr>
            <w:tcW w:w="730" w:type="dxa"/>
            <w:tcBorders>
              <w:top w:val="nil"/>
              <w:left w:val="nil"/>
              <w:bottom w:val="nil"/>
              <w:right w:val="nil"/>
            </w:tcBorders>
            <w:shd w:val="clear" w:color="auto" w:fill="auto"/>
            <w:noWrap/>
            <w:vAlign w:val="bottom"/>
            <w:hideMark/>
          </w:tcPr>
          <w:p w14:paraId="23CCAA4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-0.198</w:t>
            </w:r>
          </w:p>
        </w:tc>
        <w:tc>
          <w:tcPr>
            <w:tcW w:w="660" w:type="dxa"/>
            <w:tcBorders>
              <w:top w:val="nil"/>
              <w:left w:val="nil"/>
              <w:bottom w:val="nil"/>
              <w:right w:val="nil"/>
            </w:tcBorders>
            <w:shd w:val="clear" w:color="auto" w:fill="auto"/>
            <w:noWrap/>
            <w:vAlign w:val="bottom"/>
            <w:hideMark/>
          </w:tcPr>
          <w:p w14:paraId="7DAC79D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0.559</w:t>
            </w:r>
          </w:p>
        </w:tc>
        <w:tc>
          <w:tcPr>
            <w:tcW w:w="578" w:type="dxa"/>
            <w:tcBorders>
              <w:top w:val="nil"/>
              <w:left w:val="nil"/>
              <w:bottom w:val="nil"/>
              <w:right w:val="nil"/>
            </w:tcBorders>
            <w:shd w:val="clear" w:color="auto" w:fill="auto"/>
            <w:noWrap/>
            <w:vAlign w:val="bottom"/>
            <w:hideMark/>
          </w:tcPr>
          <w:p w14:paraId="5CCA50F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0.757</w:t>
            </w:r>
          </w:p>
        </w:tc>
        <w:tc>
          <w:tcPr>
            <w:tcW w:w="578" w:type="dxa"/>
            <w:tcBorders>
              <w:top w:val="nil"/>
              <w:left w:val="nil"/>
              <w:bottom w:val="nil"/>
              <w:right w:val="nil"/>
            </w:tcBorders>
            <w:shd w:val="clear" w:color="auto" w:fill="auto"/>
            <w:noWrap/>
            <w:vAlign w:val="bottom"/>
            <w:hideMark/>
          </w:tcPr>
          <w:p w14:paraId="58901DD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0.853</w:t>
            </w:r>
          </w:p>
        </w:tc>
      </w:tr>
      <w:tr w:rsidR="00F80FF3" w:rsidRPr="00F80FF3" w14:paraId="4C3C24AC" w14:textId="77777777" w:rsidTr="00F80FF3">
        <w:trPr>
          <w:trHeight w:val="320"/>
        </w:trPr>
        <w:tc>
          <w:tcPr>
            <w:tcW w:w="2620" w:type="dxa"/>
            <w:tcBorders>
              <w:top w:val="nil"/>
              <w:left w:val="nil"/>
              <w:bottom w:val="nil"/>
              <w:right w:val="nil"/>
            </w:tcBorders>
            <w:shd w:val="clear" w:color="auto" w:fill="auto"/>
            <w:noWrap/>
            <w:vAlign w:val="bottom"/>
            <w:hideMark/>
          </w:tcPr>
          <w:p w14:paraId="667F4596"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Russian Federation</w:t>
            </w:r>
          </w:p>
        </w:tc>
        <w:tc>
          <w:tcPr>
            <w:tcW w:w="578" w:type="dxa"/>
            <w:tcBorders>
              <w:top w:val="nil"/>
              <w:left w:val="nil"/>
              <w:bottom w:val="nil"/>
              <w:right w:val="nil"/>
            </w:tcBorders>
            <w:shd w:val="clear" w:color="auto" w:fill="auto"/>
            <w:noWrap/>
            <w:vAlign w:val="bottom"/>
            <w:hideMark/>
          </w:tcPr>
          <w:p w14:paraId="3B9D7D6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0.816</w:t>
            </w:r>
          </w:p>
        </w:tc>
        <w:tc>
          <w:tcPr>
            <w:tcW w:w="864" w:type="dxa"/>
            <w:tcBorders>
              <w:top w:val="nil"/>
              <w:left w:val="single" w:sz="4" w:space="0" w:color="auto"/>
              <w:bottom w:val="nil"/>
              <w:right w:val="single" w:sz="8" w:space="0" w:color="auto"/>
            </w:tcBorders>
            <w:shd w:val="clear" w:color="auto" w:fill="auto"/>
            <w:noWrap/>
            <w:vAlign w:val="bottom"/>
            <w:hideMark/>
          </w:tcPr>
          <w:p w14:paraId="23DFF60A"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51492</w:t>
            </w:r>
          </w:p>
        </w:tc>
        <w:tc>
          <w:tcPr>
            <w:tcW w:w="618" w:type="dxa"/>
            <w:tcBorders>
              <w:top w:val="nil"/>
              <w:left w:val="nil"/>
              <w:bottom w:val="nil"/>
              <w:right w:val="nil"/>
            </w:tcBorders>
            <w:shd w:val="clear" w:color="auto" w:fill="auto"/>
            <w:noWrap/>
            <w:vAlign w:val="bottom"/>
            <w:hideMark/>
          </w:tcPr>
          <w:p w14:paraId="61EEA48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0.448</w:t>
            </w:r>
          </w:p>
        </w:tc>
        <w:tc>
          <w:tcPr>
            <w:tcW w:w="601" w:type="dxa"/>
            <w:tcBorders>
              <w:top w:val="nil"/>
              <w:left w:val="nil"/>
              <w:bottom w:val="nil"/>
              <w:right w:val="nil"/>
            </w:tcBorders>
            <w:shd w:val="clear" w:color="auto" w:fill="auto"/>
            <w:noWrap/>
            <w:vAlign w:val="bottom"/>
            <w:hideMark/>
          </w:tcPr>
          <w:p w14:paraId="1B2A2F5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0.325</w:t>
            </w:r>
          </w:p>
        </w:tc>
        <w:tc>
          <w:tcPr>
            <w:tcW w:w="615" w:type="dxa"/>
            <w:tcBorders>
              <w:top w:val="nil"/>
              <w:left w:val="nil"/>
              <w:bottom w:val="nil"/>
              <w:right w:val="nil"/>
            </w:tcBorders>
            <w:shd w:val="clear" w:color="auto" w:fill="auto"/>
            <w:noWrap/>
            <w:vAlign w:val="bottom"/>
            <w:hideMark/>
          </w:tcPr>
          <w:p w14:paraId="3C67498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0.712</w:t>
            </w:r>
          </w:p>
        </w:tc>
        <w:tc>
          <w:tcPr>
            <w:tcW w:w="578" w:type="dxa"/>
            <w:tcBorders>
              <w:top w:val="nil"/>
              <w:left w:val="nil"/>
              <w:bottom w:val="nil"/>
              <w:right w:val="nil"/>
            </w:tcBorders>
            <w:shd w:val="clear" w:color="auto" w:fill="auto"/>
            <w:noWrap/>
            <w:vAlign w:val="bottom"/>
            <w:hideMark/>
          </w:tcPr>
          <w:p w14:paraId="617D15A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0.387</w:t>
            </w:r>
          </w:p>
        </w:tc>
        <w:tc>
          <w:tcPr>
            <w:tcW w:w="730" w:type="dxa"/>
            <w:tcBorders>
              <w:top w:val="nil"/>
              <w:left w:val="nil"/>
              <w:bottom w:val="nil"/>
              <w:right w:val="nil"/>
            </w:tcBorders>
            <w:shd w:val="clear" w:color="auto" w:fill="auto"/>
            <w:noWrap/>
            <w:vAlign w:val="bottom"/>
            <w:hideMark/>
          </w:tcPr>
          <w:p w14:paraId="16B4EF2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0.421</w:t>
            </w:r>
          </w:p>
        </w:tc>
        <w:tc>
          <w:tcPr>
            <w:tcW w:w="660" w:type="dxa"/>
            <w:tcBorders>
              <w:top w:val="nil"/>
              <w:left w:val="nil"/>
              <w:bottom w:val="nil"/>
              <w:right w:val="nil"/>
            </w:tcBorders>
            <w:shd w:val="clear" w:color="auto" w:fill="auto"/>
            <w:noWrap/>
            <w:vAlign w:val="bottom"/>
            <w:hideMark/>
          </w:tcPr>
          <w:p w14:paraId="36468CB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0.749</w:t>
            </w:r>
          </w:p>
        </w:tc>
        <w:tc>
          <w:tcPr>
            <w:tcW w:w="578" w:type="dxa"/>
            <w:tcBorders>
              <w:top w:val="nil"/>
              <w:left w:val="nil"/>
              <w:bottom w:val="nil"/>
              <w:right w:val="nil"/>
            </w:tcBorders>
            <w:shd w:val="clear" w:color="auto" w:fill="auto"/>
            <w:noWrap/>
            <w:vAlign w:val="bottom"/>
            <w:hideMark/>
          </w:tcPr>
          <w:p w14:paraId="4B905BF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0.328</w:t>
            </w:r>
          </w:p>
        </w:tc>
        <w:tc>
          <w:tcPr>
            <w:tcW w:w="578" w:type="dxa"/>
            <w:tcBorders>
              <w:top w:val="nil"/>
              <w:left w:val="nil"/>
              <w:bottom w:val="nil"/>
              <w:right w:val="nil"/>
            </w:tcBorders>
            <w:shd w:val="clear" w:color="auto" w:fill="auto"/>
            <w:noWrap/>
            <w:vAlign w:val="bottom"/>
            <w:hideMark/>
          </w:tcPr>
          <w:p w14:paraId="7C25ABC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0.768</w:t>
            </w:r>
          </w:p>
        </w:tc>
      </w:tr>
      <w:tr w:rsidR="00F80FF3" w:rsidRPr="00F80FF3" w14:paraId="5DD48FC0" w14:textId="77777777" w:rsidTr="00F80FF3">
        <w:trPr>
          <w:trHeight w:val="320"/>
        </w:trPr>
        <w:tc>
          <w:tcPr>
            <w:tcW w:w="2620" w:type="dxa"/>
            <w:tcBorders>
              <w:top w:val="nil"/>
              <w:left w:val="nil"/>
              <w:bottom w:val="nil"/>
              <w:right w:val="nil"/>
            </w:tcBorders>
            <w:shd w:val="clear" w:color="auto" w:fill="auto"/>
            <w:noWrap/>
            <w:vAlign w:val="bottom"/>
            <w:hideMark/>
          </w:tcPr>
          <w:p w14:paraId="3A57AEA1"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Singapore</w:t>
            </w:r>
          </w:p>
        </w:tc>
        <w:tc>
          <w:tcPr>
            <w:tcW w:w="578" w:type="dxa"/>
            <w:tcBorders>
              <w:top w:val="nil"/>
              <w:left w:val="nil"/>
              <w:bottom w:val="nil"/>
              <w:right w:val="nil"/>
            </w:tcBorders>
            <w:shd w:val="clear" w:color="auto" w:fill="auto"/>
            <w:noWrap/>
            <w:vAlign w:val="bottom"/>
            <w:hideMark/>
          </w:tcPr>
          <w:p w14:paraId="50D32FA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0.932</w:t>
            </w:r>
          </w:p>
        </w:tc>
        <w:tc>
          <w:tcPr>
            <w:tcW w:w="864" w:type="dxa"/>
            <w:tcBorders>
              <w:top w:val="nil"/>
              <w:left w:val="single" w:sz="4" w:space="0" w:color="auto"/>
              <w:bottom w:val="nil"/>
              <w:right w:val="single" w:sz="8" w:space="0" w:color="auto"/>
            </w:tcBorders>
            <w:shd w:val="clear" w:color="auto" w:fill="auto"/>
            <w:noWrap/>
            <w:vAlign w:val="bottom"/>
            <w:hideMark/>
          </w:tcPr>
          <w:p w14:paraId="50D7F95A"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130611</w:t>
            </w:r>
          </w:p>
        </w:tc>
        <w:tc>
          <w:tcPr>
            <w:tcW w:w="618" w:type="dxa"/>
            <w:tcBorders>
              <w:top w:val="nil"/>
              <w:left w:val="nil"/>
              <w:bottom w:val="nil"/>
              <w:right w:val="nil"/>
            </w:tcBorders>
            <w:shd w:val="clear" w:color="auto" w:fill="auto"/>
            <w:noWrap/>
            <w:vAlign w:val="bottom"/>
            <w:hideMark/>
          </w:tcPr>
          <w:p w14:paraId="0885C9D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1.037</w:t>
            </w:r>
          </w:p>
        </w:tc>
        <w:tc>
          <w:tcPr>
            <w:tcW w:w="601" w:type="dxa"/>
            <w:tcBorders>
              <w:top w:val="nil"/>
              <w:left w:val="nil"/>
              <w:bottom w:val="nil"/>
              <w:right w:val="nil"/>
            </w:tcBorders>
            <w:shd w:val="clear" w:color="auto" w:fill="auto"/>
            <w:noWrap/>
            <w:vAlign w:val="bottom"/>
            <w:hideMark/>
          </w:tcPr>
          <w:p w14:paraId="0F9BFB6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0.936</w:t>
            </w:r>
          </w:p>
        </w:tc>
        <w:tc>
          <w:tcPr>
            <w:tcW w:w="615" w:type="dxa"/>
            <w:tcBorders>
              <w:top w:val="nil"/>
              <w:left w:val="nil"/>
              <w:bottom w:val="nil"/>
              <w:right w:val="nil"/>
            </w:tcBorders>
            <w:shd w:val="clear" w:color="auto" w:fill="auto"/>
            <w:noWrap/>
            <w:vAlign w:val="bottom"/>
            <w:hideMark/>
          </w:tcPr>
          <w:p w14:paraId="6E08FCF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1.566</w:t>
            </w:r>
          </w:p>
        </w:tc>
        <w:tc>
          <w:tcPr>
            <w:tcW w:w="578" w:type="dxa"/>
            <w:tcBorders>
              <w:top w:val="nil"/>
              <w:left w:val="nil"/>
              <w:bottom w:val="nil"/>
              <w:right w:val="nil"/>
            </w:tcBorders>
            <w:shd w:val="clear" w:color="auto" w:fill="auto"/>
            <w:noWrap/>
            <w:vAlign w:val="bottom"/>
            <w:hideMark/>
          </w:tcPr>
          <w:p w14:paraId="69DD089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0.630</w:t>
            </w:r>
          </w:p>
        </w:tc>
        <w:tc>
          <w:tcPr>
            <w:tcW w:w="730" w:type="dxa"/>
            <w:tcBorders>
              <w:top w:val="nil"/>
              <w:left w:val="nil"/>
              <w:bottom w:val="nil"/>
              <w:right w:val="nil"/>
            </w:tcBorders>
            <w:shd w:val="clear" w:color="auto" w:fill="auto"/>
            <w:noWrap/>
            <w:vAlign w:val="bottom"/>
            <w:hideMark/>
          </w:tcPr>
          <w:p w14:paraId="5FA03F2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0.704</w:t>
            </w:r>
          </w:p>
        </w:tc>
        <w:tc>
          <w:tcPr>
            <w:tcW w:w="660" w:type="dxa"/>
            <w:tcBorders>
              <w:top w:val="nil"/>
              <w:left w:val="nil"/>
              <w:bottom w:val="nil"/>
              <w:right w:val="nil"/>
            </w:tcBorders>
            <w:shd w:val="clear" w:color="auto" w:fill="auto"/>
            <w:noWrap/>
            <w:vAlign w:val="bottom"/>
            <w:hideMark/>
          </w:tcPr>
          <w:p w14:paraId="21A2DBD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1.377</w:t>
            </w:r>
          </w:p>
        </w:tc>
        <w:tc>
          <w:tcPr>
            <w:tcW w:w="578" w:type="dxa"/>
            <w:tcBorders>
              <w:top w:val="nil"/>
              <w:left w:val="nil"/>
              <w:bottom w:val="nil"/>
              <w:right w:val="nil"/>
            </w:tcBorders>
            <w:shd w:val="clear" w:color="auto" w:fill="auto"/>
            <w:noWrap/>
            <w:vAlign w:val="bottom"/>
            <w:hideMark/>
          </w:tcPr>
          <w:p w14:paraId="7FD95EF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0.673</w:t>
            </w:r>
          </w:p>
        </w:tc>
        <w:tc>
          <w:tcPr>
            <w:tcW w:w="578" w:type="dxa"/>
            <w:tcBorders>
              <w:top w:val="nil"/>
              <w:left w:val="nil"/>
              <w:bottom w:val="nil"/>
              <w:right w:val="nil"/>
            </w:tcBorders>
            <w:shd w:val="clear" w:color="auto" w:fill="auto"/>
            <w:noWrap/>
            <w:vAlign w:val="bottom"/>
            <w:hideMark/>
          </w:tcPr>
          <w:p w14:paraId="511CED9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0.945</w:t>
            </w:r>
          </w:p>
        </w:tc>
      </w:tr>
      <w:tr w:rsidR="00F80FF3" w:rsidRPr="00F80FF3" w14:paraId="5DF165B0" w14:textId="77777777" w:rsidTr="00F80FF3">
        <w:trPr>
          <w:trHeight w:val="320"/>
        </w:trPr>
        <w:tc>
          <w:tcPr>
            <w:tcW w:w="2620" w:type="dxa"/>
            <w:tcBorders>
              <w:top w:val="nil"/>
              <w:left w:val="nil"/>
              <w:bottom w:val="nil"/>
              <w:right w:val="nil"/>
            </w:tcBorders>
            <w:shd w:val="clear" w:color="auto" w:fill="auto"/>
            <w:noWrap/>
            <w:vAlign w:val="bottom"/>
            <w:hideMark/>
          </w:tcPr>
          <w:p w14:paraId="3E9BB249"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Slovakia</w:t>
            </w:r>
          </w:p>
        </w:tc>
        <w:tc>
          <w:tcPr>
            <w:tcW w:w="578" w:type="dxa"/>
            <w:tcBorders>
              <w:top w:val="nil"/>
              <w:left w:val="nil"/>
              <w:bottom w:val="nil"/>
              <w:right w:val="nil"/>
            </w:tcBorders>
            <w:shd w:val="clear" w:color="auto" w:fill="auto"/>
            <w:noWrap/>
            <w:vAlign w:val="bottom"/>
            <w:hideMark/>
          </w:tcPr>
          <w:p w14:paraId="761365D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0.855</w:t>
            </w:r>
          </w:p>
        </w:tc>
        <w:tc>
          <w:tcPr>
            <w:tcW w:w="864" w:type="dxa"/>
            <w:tcBorders>
              <w:top w:val="nil"/>
              <w:left w:val="single" w:sz="4" w:space="0" w:color="auto"/>
              <w:bottom w:val="nil"/>
              <w:right w:val="single" w:sz="8" w:space="0" w:color="auto"/>
            </w:tcBorders>
            <w:shd w:val="clear" w:color="auto" w:fill="auto"/>
            <w:noWrap/>
            <w:vAlign w:val="bottom"/>
            <w:hideMark/>
          </w:tcPr>
          <w:p w14:paraId="6136182E"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58382</w:t>
            </w:r>
          </w:p>
        </w:tc>
        <w:tc>
          <w:tcPr>
            <w:tcW w:w="618" w:type="dxa"/>
            <w:tcBorders>
              <w:top w:val="nil"/>
              <w:left w:val="nil"/>
              <w:bottom w:val="nil"/>
              <w:right w:val="nil"/>
            </w:tcBorders>
            <w:shd w:val="clear" w:color="auto" w:fill="auto"/>
            <w:noWrap/>
            <w:vAlign w:val="bottom"/>
            <w:hideMark/>
          </w:tcPr>
          <w:p w14:paraId="734A965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0.125</w:t>
            </w:r>
          </w:p>
        </w:tc>
        <w:tc>
          <w:tcPr>
            <w:tcW w:w="601" w:type="dxa"/>
            <w:tcBorders>
              <w:top w:val="nil"/>
              <w:left w:val="nil"/>
              <w:bottom w:val="nil"/>
              <w:right w:val="nil"/>
            </w:tcBorders>
            <w:shd w:val="clear" w:color="auto" w:fill="auto"/>
            <w:noWrap/>
            <w:vAlign w:val="bottom"/>
            <w:hideMark/>
          </w:tcPr>
          <w:p w14:paraId="0F759A1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0.165</w:t>
            </w:r>
          </w:p>
        </w:tc>
        <w:tc>
          <w:tcPr>
            <w:tcW w:w="615" w:type="dxa"/>
            <w:tcBorders>
              <w:top w:val="nil"/>
              <w:left w:val="nil"/>
              <w:bottom w:val="nil"/>
              <w:right w:val="nil"/>
            </w:tcBorders>
            <w:shd w:val="clear" w:color="auto" w:fill="auto"/>
            <w:noWrap/>
            <w:vAlign w:val="bottom"/>
            <w:hideMark/>
          </w:tcPr>
          <w:p w14:paraId="2DA41C6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0.566</w:t>
            </w:r>
          </w:p>
        </w:tc>
        <w:tc>
          <w:tcPr>
            <w:tcW w:w="578" w:type="dxa"/>
            <w:tcBorders>
              <w:top w:val="nil"/>
              <w:left w:val="nil"/>
              <w:bottom w:val="nil"/>
              <w:right w:val="nil"/>
            </w:tcBorders>
            <w:shd w:val="clear" w:color="auto" w:fill="auto"/>
            <w:noWrap/>
            <w:vAlign w:val="bottom"/>
            <w:hideMark/>
          </w:tcPr>
          <w:p w14:paraId="0BE14A1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0.401</w:t>
            </w:r>
          </w:p>
        </w:tc>
        <w:tc>
          <w:tcPr>
            <w:tcW w:w="730" w:type="dxa"/>
            <w:tcBorders>
              <w:top w:val="nil"/>
              <w:left w:val="nil"/>
              <w:bottom w:val="nil"/>
              <w:right w:val="nil"/>
            </w:tcBorders>
            <w:shd w:val="clear" w:color="auto" w:fill="auto"/>
            <w:noWrap/>
            <w:vAlign w:val="bottom"/>
            <w:hideMark/>
          </w:tcPr>
          <w:p w14:paraId="5CE35B0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0.099</w:t>
            </w:r>
          </w:p>
        </w:tc>
        <w:tc>
          <w:tcPr>
            <w:tcW w:w="660" w:type="dxa"/>
            <w:tcBorders>
              <w:top w:val="nil"/>
              <w:left w:val="nil"/>
              <w:bottom w:val="nil"/>
              <w:right w:val="nil"/>
            </w:tcBorders>
            <w:shd w:val="clear" w:color="auto" w:fill="auto"/>
            <w:noWrap/>
            <w:vAlign w:val="bottom"/>
            <w:hideMark/>
          </w:tcPr>
          <w:p w14:paraId="1928B24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0.726</w:t>
            </w:r>
          </w:p>
        </w:tc>
        <w:tc>
          <w:tcPr>
            <w:tcW w:w="578" w:type="dxa"/>
            <w:tcBorders>
              <w:top w:val="nil"/>
              <w:left w:val="nil"/>
              <w:bottom w:val="nil"/>
              <w:right w:val="nil"/>
            </w:tcBorders>
            <w:shd w:val="clear" w:color="auto" w:fill="auto"/>
            <w:noWrap/>
            <w:vAlign w:val="bottom"/>
            <w:hideMark/>
          </w:tcPr>
          <w:p w14:paraId="494C1C3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0.627</w:t>
            </w:r>
          </w:p>
        </w:tc>
        <w:tc>
          <w:tcPr>
            <w:tcW w:w="578" w:type="dxa"/>
            <w:tcBorders>
              <w:top w:val="nil"/>
              <w:left w:val="nil"/>
              <w:bottom w:val="nil"/>
              <w:right w:val="nil"/>
            </w:tcBorders>
            <w:shd w:val="clear" w:color="auto" w:fill="auto"/>
            <w:noWrap/>
            <w:vAlign w:val="bottom"/>
            <w:hideMark/>
          </w:tcPr>
          <w:p w14:paraId="07E4572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0.972</w:t>
            </w:r>
          </w:p>
        </w:tc>
      </w:tr>
      <w:tr w:rsidR="00F80FF3" w:rsidRPr="00F80FF3" w14:paraId="0602D692" w14:textId="77777777" w:rsidTr="00F80FF3">
        <w:trPr>
          <w:trHeight w:val="320"/>
        </w:trPr>
        <w:tc>
          <w:tcPr>
            <w:tcW w:w="2620" w:type="dxa"/>
            <w:tcBorders>
              <w:top w:val="nil"/>
              <w:left w:val="nil"/>
              <w:bottom w:val="nil"/>
              <w:right w:val="nil"/>
            </w:tcBorders>
            <w:shd w:val="clear" w:color="auto" w:fill="auto"/>
            <w:noWrap/>
            <w:vAlign w:val="bottom"/>
            <w:hideMark/>
          </w:tcPr>
          <w:p w14:paraId="10D6F2F2"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Slovenia</w:t>
            </w:r>
          </w:p>
        </w:tc>
        <w:tc>
          <w:tcPr>
            <w:tcW w:w="578" w:type="dxa"/>
            <w:tcBorders>
              <w:top w:val="nil"/>
              <w:left w:val="nil"/>
              <w:bottom w:val="nil"/>
              <w:right w:val="nil"/>
            </w:tcBorders>
            <w:shd w:val="clear" w:color="auto" w:fill="auto"/>
            <w:noWrap/>
            <w:vAlign w:val="bottom"/>
            <w:hideMark/>
          </w:tcPr>
          <w:p w14:paraId="2132F7D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0.896</w:t>
            </w:r>
          </w:p>
        </w:tc>
        <w:tc>
          <w:tcPr>
            <w:tcW w:w="864" w:type="dxa"/>
            <w:tcBorders>
              <w:top w:val="nil"/>
              <w:left w:val="single" w:sz="4" w:space="0" w:color="auto"/>
              <w:bottom w:val="nil"/>
              <w:right w:val="single" w:sz="8" w:space="0" w:color="auto"/>
            </w:tcBorders>
            <w:shd w:val="clear" w:color="auto" w:fill="auto"/>
            <w:noWrap/>
            <w:vAlign w:val="bottom"/>
            <w:hideMark/>
          </w:tcPr>
          <w:p w14:paraId="3B5BE434"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92850</w:t>
            </w:r>
          </w:p>
        </w:tc>
        <w:tc>
          <w:tcPr>
            <w:tcW w:w="618" w:type="dxa"/>
            <w:tcBorders>
              <w:top w:val="nil"/>
              <w:left w:val="nil"/>
              <w:bottom w:val="nil"/>
              <w:right w:val="nil"/>
            </w:tcBorders>
            <w:shd w:val="clear" w:color="auto" w:fill="auto"/>
            <w:noWrap/>
            <w:vAlign w:val="bottom"/>
            <w:hideMark/>
          </w:tcPr>
          <w:p w14:paraId="4F4E6F9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0.589</w:t>
            </w:r>
          </w:p>
        </w:tc>
        <w:tc>
          <w:tcPr>
            <w:tcW w:w="601" w:type="dxa"/>
            <w:tcBorders>
              <w:top w:val="nil"/>
              <w:left w:val="nil"/>
              <w:bottom w:val="nil"/>
              <w:right w:val="nil"/>
            </w:tcBorders>
            <w:shd w:val="clear" w:color="auto" w:fill="auto"/>
            <w:noWrap/>
            <w:vAlign w:val="bottom"/>
            <w:hideMark/>
          </w:tcPr>
          <w:p w14:paraId="0F1BBF6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0.560</w:t>
            </w:r>
          </w:p>
        </w:tc>
        <w:tc>
          <w:tcPr>
            <w:tcW w:w="615" w:type="dxa"/>
            <w:tcBorders>
              <w:top w:val="nil"/>
              <w:left w:val="nil"/>
              <w:bottom w:val="nil"/>
              <w:right w:val="nil"/>
            </w:tcBorders>
            <w:shd w:val="clear" w:color="auto" w:fill="auto"/>
            <w:noWrap/>
            <w:vAlign w:val="bottom"/>
            <w:hideMark/>
          </w:tcPr>
          <w:p w14:paraId="3689F00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0.877</w:t>
            </w:r>
          </w:p>
        </w:tc>
        <w:tc>
          <w:tcPr>
            <w:tcW w:w="578" w:type="dxa"/>
            <w:tcBorders>
              <w:top w:val="nil"/>
              <w:left w:val="nil"/>
              <w:bottom w:val="nil"/>
              <w:right w:val="nil"/>
            </w:tcBorders>
            <w:shd w:val="clear" w:color="auto" w:fill="auto"/>
            <w:noWrap/>
            <w:vAlign w:val="bottom"/>
            <w:hideMark/>
          </w:tcPr>
          <w:p w14:paraId="64CA768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0.317</w:t>
            </w:r>
          </w:p>
        </w:tc>
        <w:tc>
          <w:tcPr>
            <w:tcW w:w="730" w:type="dxa"/>
            <w:tcBorders>
              <w:top w:val="nil"/>
              <w:left w:val="nil"/>
              <w:bottom w:val="nil"/>
              <w:right w:val="nil"/>
            </w:tcBorders>
            <w:shd w:val="clear" w:color="auto" w:fill="auto"/>
            <w:noWrap/>
            <w:vAlign w:val="bottom"/>
            <w:hideMark/>
          </w:tcPr>
          <w:p w14:paraId="4631795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0.413</w:t>
            </w:r>
          </w:p>
        </w:tc>
        <w:tc>
          <w:tcPr>
            <w:tcW w:w="660" w:type="dxa"/>
            <w:tcBorders>
              <w:top w:val="nil"/>
              <w:left w:val="nil"/>
              <w:bottom w:val="nil"/>
              <w:right w:val="nil"/>
            </w:tcBorders>
            <w:shd w:val="clear" w:color="auto" w:fill="auto"/>
            <w:noWrap/>
            <w:vAlign w:val="bottom"/>
            <w:hideMark/>
          </w:tcPr>
          <w:p w14:paraId="73092B8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1.040</w:t>
            </w:r>
          </w:p>
        </w:tc>
        <w:tc>
          <w:tcPr>
            <w:tcW w:w="578" w:type="dxa"/>
            <w:tcBorders>
              <w:top w:val="nil"/>
              <w:left w:val="nil"/>
              <w:bottom w:val="nil"/>
              <w:right w:val="nil"/>
            </w:tcBorders>
            <w:shd w:val="clear" w:color="auto" w:fill="auto"/>
            <w:noWrap/>
            <w:vAlign w:val="bottom"/>
            <w:hideMark/>
          </w:tcPr>
          <w:p w14:paraId="41D82FA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0.627</w:t>
            </w:r>
          </w:p>
        </w:tc>
        <w:tc>
          <w:tcPr>
            <w:tcW w:w="578" w:type="dxa"/>
            <w:tcBorders>
              <w:top w:val="nil"/>
              <w:left w:val="nil"/>
              <w:bottom w:val="nil"/>
              <w:right w:val="nil"/>
            </w:tcBorders>
            <w:shd w:val="clear" w:color="auto" w:fill="auto"/>
            <w:noWrap/>
            <w:vAlign w:val="bottom"/>
            <w:hideMark/>
          </w:tcPr>
          <w:p w14:paraId="1DA9613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0.869</w:t>
            </w:r>
          </w:p>
        </w:tc>
      </w:tr>
      <w:tr w:rsidR="00F80FF3" w:rsidRPr="00F80FF3" w14:paraId="05DA7189" w14:textId="77777777" w:rsidTr="00F80FF3">
        <w:trPr>
          <w:trHeight w:val="320"/>
        </w:trPr>
        <w:tc>
          <w:tcPr>
            <w:tcW w:w="2620" w:type="dxa"/>
            <w:tcBorders>
              <w:top w:val="nil"/>
              <w:left w:val="nil"/>
              <w:bottom w:val="nil"/>
              <w:right w:val="nil"/>
            </w:tcBorders>
            <w:shd w:val="clear" w:color="auto" w:fill="auto"/>
            <w:noWrap/>
            <w:vAlign w:val="bottom"/>
            <w:hideMark/>
          </w:tcPr>
          <w:p w14:paraId="35EE47E0"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Spain</w:t>
            </w:r>
          </w:p>
        </w:tc>
        <w:tc>
          <w:tcPr>
            <w:tcW w:w="578" w:type="dxa"/>
            <w:tcBorders>
              <w:top w:val="nil"/>
              <w:left w:val="nil"/>
              <w:bottom w:val="nil"/>
              <w:right w:val="nil"/>
            </w:tcBorders>
            <w:shd w:val="clear" w:color="auto" w:fill="auto"/>
            <w:noWrap/>
            <w:vAlign w:val="bottom"/>
            <w:hideMark/>
          </w:tcPr>
          <w:p w14:paraId="114835F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0.891</w:t>
            </w:r>
          </w:p>
        </w:tc>
        <w:tc>
          <w:tcPr>
            <w:tcW w:w="864" w:type="dxa"/>
            <w:tcBorders>
              <w:top w:val="nil"/>
              <w:left w:val="single" w:sz="4" w:space="0" w:color="auto"/>
              <w:bottom w:val="nil"/>
              <w:right w:val="single" w:sz="8" w:space="0" w:color="auto"/>
            </w:tcBorders>
            <w:shd w:val="clear" w:color="auto" w:fill="auto"/>
            <w:noWrap/>
            <w:vAlign w:val="bottom"/>
            <w:hideMark/>
          </w:tcPr>
          <w:p w14:paraId="1A4C0E0B"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74947</w:t>
            </w:r>
          </w:p>
        </w:tc>
        <w:tc>
          <w:tcPr>
            <w:tcW w:w="618" w:type="dxa"/>
            <w:tcBorders>
              <w:top w:val="nil"/>
              <w:left w:val="nil"/>
              <w:bottom w:val="nil"/>
              <w:right w:val="nil"/>
            </w:tcBorders>
            <w:shd w:val="clear" w:color="auto" w:fill="auto"/>
            <w:noWrap/>
            <w:vAlign w:val="bottom"/>
            <w:hideMark/>
          </w:tcPr>
          <w:p w14:paraId="72C37B6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0.409</w:t>
            </w:r>
          </w:p>
        </w:tc>
        <w:tc>
          <w:tcPr>
            <w:tcW w:w="601" w:type="dxa"/>
            <w:tcBorders>
              <w:top w:val="nil"/>
              <w:left w:val="nil"/>
              <w:bottom w:val="nil"/>
              <w:right w:val="nil"/>
            </w:tcBorders>
            <w:shd w:val="clear" w:color="auto" w:fill="auto"/>
            <w:noWrap/>
            <w:vAlign w:val="bottom"/>
            <w:hideMark/>
          </w:tcPr>
          <w:p w14:paraId="5061521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0.436</w:t>
            </w:r>
          </w:p>
        </w:tc>
        <w:tc>
          <w:tcPr>
            <w:tcW w:w="615" w:type="dxa"/>
            <w:tcBorders>
              <w:top w:val="nil"/>
              <w:left w:val="nil"/>
              <w:bottom w:val="nil"/>
              <w:right w:val="nil"/>
            </w:tcBorders>
            <w:shd w:val="clear" w:color="auto" w:fill="auto"/>
            <w:noWrap/>
            <w:vAlign w:val="bottom"/>
            <w:hideMark/>
          </w:tcPr>
          <w:p w14:paraId="40962C9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0.851</w:t>
            </w:r>
          </w:p>
        </w:tc>
        <w:tc>
          <w:tcPr>
            <w:tcW w:w="578" w:type="dxa"/>
            <w:tcBorders>
              <w:top w:val="nil"/>
              <w:left w:val="nil"/>
              <w:bottom w:val="nil"/>
              <w:right w:val="nil"/>
            </w:tcBorders>
            <w:shd w:val="clear" w:color="auto" w:fill="auto"/>
            <w:noWrap/>
            <w:vAlign w:val="bottom"/>
            <w:hideMark/>
          </w:tcPr>
          <w:p w14:paraId="5C38A11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0.415</w:t>
            </w:r>
          </w:p>
        </w:tc>
        <w:tc>
          <w:tcPr>
            <w:tcW w:w="730" w:type="dxa"/>
            <w:tcBorders>
              <w:top w:val="nil"/>
              <w:left w:val="nil"/>
              <w:bottom w:val="nil"/>
              <w:right w:val="nil"/>
            </w:tcBorders>
            <w:shd w:val="clear" w:color="auto" w:fill="auto"/>
            <w:noWrap/>
            <w:vAlign w:val="bottom"/>
            <w:hideMark/>
          </w:tcPr>
          <w:p w14:paraId="03882D0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0.278</w:t>
            </w:r>
          </w:p>
        </w:tc>
        <w:tc>
          <w:tcPr>
            <w:tcW w:w="660" w:type="dxa"/>
            <w:tcBorders>
              <w:top w:val="nil"/>
              <w:left w:val="nil"/>
              <w:bottom w:val="nil"/>
              <w:right w:val="nil"/>
            </w:tcBorders>
            <w:shd w:val="clear" w:color="auto" w:fill="auto"/>
            <w:noWrap/>
            <w:vAlign w:val="bottom"/>
            <w:hideMark/>
          </w:tcPr>
          <w:p w14:paraId="1A34E25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0.847</w:t>
            </w:r>
          </w:p>
        </w:tc>
        <w:tc>
          <w:tcPr>
            <w:tcW w:w="578" w:type="dxa"/>
            <w:tcBorders>
              <w:top w:val="nil"/>
              <w:left w:val="nil"/>
              <w:bottom w:val="nil"/>
              <w:right w:val="nil"/>
            </w:tcBorders>
            <w:shd w:val="clear" w:color="auto" w:fill="auto"/>
            <w:noWrap/>
            <w:vAlign w:val="bottom"/>
            <w:hideMark/>
          </w:tcPr>
          <w:p w14:paraId="79DC6AF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0.569</w:t>
            </w:r>
          </w:p>
        </w:tc>
        <w:tc>
          <w:tcPr>
            <w:tcW w:w="578" w:type="dxa"/>
            <w:tcBorders>
              <w:top w:val="nil"/>
              <w:left w:val="nil"/>
              <w:bottom w:val="nil"/>
              <w:right w:val="nil"/>
            </w:tcBorders>
            <w:shd w:val="clear" w:color="auto" w:fill="auto"/>
            <w:noWrap/>
            <w:vAlign w:val="bottom"/>
            <w:hideMark/>
          </w:tcPr>
          <w:p w14:paraId="1801530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0.818</w:t>
            </w:r>
          </w:p>
        </w:tc>
      </w:tr>
      <w:tr w:rsidR="00F80FF3" w:rsidRPr="00F80FF3" w14:paraId="3D3468D5" w14:textId="77777777" w:rsidTr="00F80FF3">
        <w:trPr>
          <w:trHeight w:val="320"/>
        </w:trPr>
        <w:tc>
          <w:tcPr>
            <w:tcW w:w="2620" w:type="dxa"/>
            <w:tcBorders>
              <w:top w:val="nil"/>
              <w:left w:val="nil"/>
              <w:bottom w:val="nil"/>
              <w:right w:val="nil"/>
            </w:tcBorders>
            <w:shd w:val="clear" w:color="auto" w:fill="auto"/>
            <w:noWrap/>
            <w:vAlign w:val="bottom"/>
            <w:hideMark/>
          </w:tcPr>
          <w:p w14:paraId="28424746"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Sweden</w:t>
            </w:r>
          </w:p>
        </w:tc>
        <w:tc>
          <w:tcPr>
            <w:tcW w:w="578" w:type="dxa"/>
            <w:tcBorders>
              <w:top w:val="nil"/>
              <w:left w:val="nil"/>
              <w:bottom w:val="nil"/>
              <w:right w:val="nil"/>
            </w:tcBorders>
            <w:shd w:val="clear" w:color="auto" w:fill="auto"/>
            <w:noWrap/>
            <w:vAlign w:val="bottom"/>
            <w:hideMark/>
          </w:tcPr>
          <w:p w14:paraId="11B50C3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0.933</w:t>
            </w:r>
          </w:p>
        </w:tc>
        <w:tc>
          <w:tcPr>
            <w:tcW w:w="864" w:type="dxa"/>
            <w:tcBorders>
              <w:top w:val="nil"/>
              <w:left w:val="single" w:sz="4" w:space="0" w:color="auto"/>
              <w:bottom w:val="nil"/>
              <w:right w:val="single" w:sz="8" w:space="0" w:color="auto"/>
            </w:tcBorders>
            <w:shd w:val="clear" w:color="auto" w:fill="auto"/>
            <w:noWrap/>
            <w:vAlign w:val="bottom"/>
            <w:hideMark/>
          </w:tcPr>
          <w:p w14:paraId="69A368C2"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110733</w:t>
            </w:r>
          </w:p>
        </w:tc>
        <w:tc>
          <w:tcPr>
            <w:tcW w:w="618" w:type="dxa"/>
            <w:tcBorders>
              <w:top w:val="nil"/>
              <w:left w:val="nil"/>
              <w:bottom w:val="nil"/>
              <w:right w:val="nil"/>
            </w:tcBorders>
            <w:shd w:val="clear" w:color="auto" w:fill="auto"/>
            <w:noWrap/>
            <w:vAlign w:val="bottom"/>
            <w:hideMark/>
          </w:tcPr>
          <w:p w14:paraId="3CF6CA3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0.476</w:t>
            </w:r>
          </w:p>
        </w:tc>
        <w:tc>
          <w:tcPr>
            <w:tcW w:w="601" w:type="dxa"/>
            <w:tcBorders>
              <w:top w:val="nil"/>
              <w:left w:val="nil"/>
              <w:bottom w:val="nil"/>
              <w:right w:val="nil"/>
            </w:tcBorders>
            <w:shd w:val="clear" w:color="auto" w:fill="auto"/>
            <w:noWrap/>
            <w:vAlign w:val="bottom"/>
            <w:hideMark/>
          </w:tcPr>
          <w:p w14:paraId="62B7B35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0.521</w:t>
            </w:r>
          </w:p>
        </w:tc>
        <w:tc>
          <w:tcPr>
            <w:tcW w:w="615" w:type="dxa"/>
            <w:tcBorders>
              <w:top w:val="nil"/>
              <w:left w:val="nil"/>
              <w:bottom w:val="nil"/>
              <w:right w:val="nil"/>
            </w:tcBorders>
            <w:shd w:val="clear" w:color="auto" w:fill="auto"/>
            <w:noWrap/>
            <w:vAlign w:val="bottom"/>
            <w:hideMark/>
          </w:tcPr>
          <w:p w14:paraId="3C67B58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0.768</w:t>
            </w:r>
          </w:p>
        </w:tc>
        <w:tc>
          <w:tcPr>
            <w:tcW w:w="578" w:type="dxa"/>
            <w:tcBorders>
              <w:top w:val="nil"/>
              <w:left w:val="nil"/>
              <w:bottom w:val="nil"/>
              <w:right w:val="nil"/>
            </w:tcBorders>
            <w:shd w:val="clear" w:color="auto" w:fill="auto"/>
            <w:noWrap/>
            <w:vAlign w:val="bottom"/>
            <w:hideMark/>
          </w:tcPr>
          <w:p w14:paraId="71AC846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0.247</w:t>
            </w:r>
          </w:p>
        </w:tc>
        <w:tc>
          <w:tcPr>
            <w:tcW w:w="730" w:type="dxa"/>
            <w:tcBorders>
              <w:top w:val="nil"/>
              <w:left w:val="nil"/>
              <w:bottom w:val="nil"/>
              <w:right w:val="nil"/>
            </w:tcBorders>
            <w:shd w:val="clear" w:color="auto" w:fill="auto"/>
            <w:noWrap/>
            <w:vAlign w:val="bottom"/>
            <w:hideMark/>
          </w:tcPr>
          <w:p w14:paraId="025FC39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0.318</w:t>
            </w:r>
          </w:p>
        </w:tc>
        <w:tc>
          <w:tcPr>
            <w:tcW w:w="660" w:type="dxa"/>
            <w:tcBorders>
              <w:top w:val="nil"/>
              <w:left w:val="nil"/>
              <w:bottom w:val="nil"/>
              <w:right w:val="nil"/>
            </w:tcBorders>
            <w:shd w:val="clear" w:color="auto" w:fill="auto"/>
            <w:noWrap/>
            <w:vAlign w:val="bottom"/>
            <w:hideMark/>
          </w:tcPr>
          <w:p w14:paraId="2EDEB0C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1.051</w:t>
            </w:r>
          </w:p>
        </w:tc>
        <w:tc>
          <w:tcPr>
            <w:tcW w:w="578" w:type="dxa"/>
            <w:tcBorders>
              <w:top w:val="nil"/>
              <w:left w:val="nil"/>
              <w:bottom w:val="nil"/>
              <w:right w:val="nil"/>
            </w:tcBorders>
            <w:shd w:val="clear" w:color="auto" w:fill="auto"/>
            <w:noWrap/>
            <w:vAlign w:val="bottom"/>
            <w:hideMark/>
          </w:tcPr>
          <w:p w14:paraId="302F812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0.733</w:t>
            </w:r>
          </w:p>
        </w:tc>
        <w:tc>
          <w:tcPr>
            <w:tcW w:w="578" w:type="dxa"/>
            <w:tcBorders>
              <w:top w:val="nil"/>
              <w:left w:val="nil"/>
              <w:bottom w:val="nil"/>
              <w:right w:val="nil"/>
            </w:tcBorders>
            <w:shd w:val="clear" w:color="auto" w:fill="auto"/>
            <w:noWrap/>
            <w:vAlign w:val="bottom"/>
            <w:hideMark/>
          </w:tcPr>
          <w:p w14:paraId="2979B57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0.921</w:t>
            </w:r>
          </w:p>
        </w:tc>
      </w:tr>
      <w:tr w:rsidR="00F80FF3" w:rsidRPr="00F80FF3" w14:paraId="4B2367B1" w14:textId="77777777" w:rsidTr="00F80FF3">
        <w:trPr>
          <w:trHeight w:val="320"/>
        </w:trPr>
        <w:tc>
          <w:tcPr>
            <w:tcW w:w="2620" w:type="dxa"/>
            <w:tcBorders>
              <w:top w:val="nil"/>
              <w:left w:val="nil"/>
              <w:bottom w:val="nil"/>
              <w:right w:val="nil"/>
            </w:tcBorders>
            <w:shd w:val="clear" w:color="auto" w:fill="auto"/>
            <w:noWrap/>
            <w:vAlign w:val="bottom"/>
            <w:hideMark/>
          </w:tcPr>
          <w:p w14:paraId="1EA686DA"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Switzerland</w:t>
            </w:r>
          </w:p>
        </w:tc>
        <w:tc>
          <w:tcPr>
            <w:tcW w:w="578" w:type="dxa"/>
            <w:tcBorders>
              <w:top w:val="nil"/>
              <w:left w:val="nil"/>
              <w:bottom w:val="nil"/>
              <w:right w:val="nil"/>
            </w:tcBorders>
            <w:shd w:val="clear" w:color="auto" w:fill="auto"/>
            <w:noWrap/>
            <w:vAlign w:val="bottom"/>
            <w:hideMark/>
          </w:tcPr>
          <w:p w14:paraId="75901A0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0.944</w:t>
            </w:r>
          </w:p>
        </w:tc>
        <w:tc>
          <w:tcPr>
            <w:tcW w:w="864" w:type="dxa"/>
            <w:tcBorders>
              <w:top w:val="nil"/>
              <w:left w:val="single" w:sz="4" w:space="0" w:color="auto"/>
              <w:bottom w:val="nil"/>
              <w:right w:val="single" w:sz="8" w:space="0" w:color="auto"/>
            </w:tcBorders>
            <w:shd w:val="clear" w:color="auto" w:fill="auto"/>
            <w:noWrap/>
            <w:vAlign w:val="bottom"/>
            <w:hideMark/>
          </w:tcPr>
          <w:p w14:paraId="34429D23"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173151</w:t>
            </w:r>
          </w:p>
        </w:tc>
        <w:tc>
          <w:tcPr>
            <w:tcW w:w="618" w:type="dxa"/>
            <w:tcBorders>
              <w:top w:val="nil"/>
              <w:left w:val="nil"/>
              <w:bottom w:val="nil"/>
              <w:right w:val="nil"/>
            </w:tcBorders>
            <w:shd w:val="clear" w:color="auto" w:fill="auto"/>
            <w:noWrap/>
            <w:vAlign w:val="bottom"/>
            <w:hideMark/>
          </w:tcPr>
          <w:p w14:paraId="7A931C7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0.581</w:t>
            </w:r>
          </w:p>
        </w:tc>
        <w:tc>
          <w:tcPr>
            <w:tcW w:w="601" w:type="dxa"/>
            <w:tcBorders>
              <w:top w:val="nil"/>
              <w:left w:val="nil"/>
              <w:bottom w:val="nil"/>
              <w:right w:val="nil"/>
            </w:tcBorders>
            <w:shd w:val="clear" w:color="auto" w:fill="auto"/>
            <w:noWrap/>
            <w:vAlign w:val="bottom"/>
            <w:hideMark/>
          </w:tcPr>
          <w:p w14:paraId="78B79F0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0.556</w:t>
            </w:r>
          </w:p>
        </w:tc>
        <w:tc>
          <w:tcPr>
            <w:tcW w:w="615" w:type="dxa"/>
            <w:tcBorders>
              <w:top w:val="nil"/>
              <w:left w:val="nil"/>
              <w:bottom w:val="nil"/>
              <w:right w:val="nil"/>
            </w:tcBorders>
            <w:shd w:val="clear" w:color="auto" w:fill="auto"/>
            <w:noWrap/>
            <w:vAlign w:val="bottom"/>
            <w:hideMark/>
          </w:tcPr>
          <w:p w14:paraId="375D9AF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0.948</w:t>
            </w:r>
          </w:p>
        </w:tc>
        <w:tc>
          <w:tcPr>
            <w:tcW w:w="578" w:type="dxa"/>
            <w:tcBorders>
              <w:top w:val="nil"/>
              <w:left w:val="nil"/>
              <w:bottom w:val="nil"/>
              <w:right w:val="nil"/>
            </w:tcBorders>
            <w:shd w:val="clear" w:color="auto" w:fill="auto"/>
            <w:noWrap/>
            <w:vAlign w:val="bottom"/>
            <w:hideMark/>
          </w:tcPr>
          <w:p w14:paraId="1D0E456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0.392</w:t>
            </w:r>
          </w:p>
        </w:tc>
        <w:tc>
          <w:tcPr>
            <w:tcW w:w="730" w:type="dxa"/>
            <w:tcBorders>
              <w:top w:val="nil"/>
              <w:left w:val="nil"/>
              <w:bottom w:val="nil"/>
              <w:right w:val="nil"/>
            </w:tcBorders>
            <w:shd w:val="clear" w:color="auto" w:fill="auto"/>
            <w:noWrap/>
            <w:vAlign w:val="bottom"/>
            <w:hideMark/>
          </w:tcPr>
          <w:p w14:paraId="4789543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0.366</w:t>
            </w:r>
          </w:p>
        </w:tc>
        <w:tc>
          <w:tcPr>
            <w:tcW w:w="660" w:type="dxa"/>
            <w:tcBorders>
              <w:top w:val="nil"/>
              <w:left w:val="nil"/>
              <w:bottom w:val="nil"/>
              <w:right w:val="nil"/>
            </w:tcBorders>
            <w:shd w:val="clear" w:color="auto" w:fill="auto"/>
            <w:noWrap/>
            <w:vAlign w:val="bottom"/>
            <w:hideMark/>
          </w:tcPr>
          <w:p w14:paraId="7A6F921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1.067</w:t>
            </w:r>
          </w:p>
        </w:tc>
        <w:tc>
          <w:tcPr>
            <w:tcW w:w="578" w:type="dxa"/>
            <w:tcBorders>
              <w:top w:val="nil"/>
              <w:left w:val="nil"/>
              <w:bottom w:val="nil"/>
              <w:right w:val="nil"/>
            </w:tcBorders>
            <w:shd w:val="clear" w:color="auto" w:fill="auto"/>
            <w:noWrap/>
            <w:vAlign w:val="bottom"/>
            <w:hideMark/>
          </w:tcPr>
          <w:p w14:paraId="2545A38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0.701</w:t>
            </w:r>
          </w:p>
        </w:tc>
        <w:tc>
          <w:tcPr>
            <w:tcW w:w="578" w:type="dxa"/>
            <w:tcBorders>
              <w:top w:val="nil"/>
              <w:left w:val="nil"/>
              <w:bottom w:val="nil"/>
              <w:right w:val="nil"/>
            </w:tcBorders>
            <w:shd w:val="clear" w:color="auto" w:fill="auto"/>
            <w:noWrap/>
            <w:vAlign w:val="bottom"/>
            <w:hideMark/>
          </w:tcPr>
          <w:p w14:paraId="7BA02E7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0.940</w:t>
            </w:r>
          </w:p>
        </w:tc>
      </w:tr>
      <w:tr w:rsidR="00F80FF3" w:rsidRPr="00F80FF3" w14:paraId="5FFE7FD2" w14:textId="77777777" w:rsidTr="00F80FF3">
        <w:trPr>
          <w:trHeight w:val="320"/>
        </w:trPr>
        <w:tc>
          <w:tcPr>
            <w:tcW w:w="2620" w:type="dxa"/>
            <w:tcBorders>
              <w:top w:val="nil"/>
              <w:left w:val="nil"/>
              <w:bottom w:val="nil"/>
              <w:right w:val="nil"/>
            </w:tcBorders>
            <w:shd w:val="clear" w:color="auto" w:fill="auto"/>
            <w:noWrap/>
            <w:vAlign w:val="bottom"/>
            <w:hideMark/>
          </w:tcPr>
          <w:p w14:paraId="284DD0D6"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Thailand</w:t>
            </w:r>
          </w:p>
        </w:tc>
        <w:tc>
          <w:tcPr>
            <w:tcW w:w="578" w:type="dxa"/>
            <w:tcBorders>
              <w:top w:val="nil"/>
              <w:left w:val="nil"/>
              <w:bottom w:val="nil"/>
              <w:right w:val="nil"/>
            </w:tcBorders>
            <w:shd w:val="clear" w:color="auto" w:fill="auto"/>
            <w:noWrap/>
            <w:vAlign w:val="bottom"/>
            <w:hideMark/>
          </w:tcPr>
          <w:p w14:paraId="4C516BE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0.755</w:t>
            </w:r>
          </w:p>
        </w:tc>
        <w:tc>
          <w:tcPr>
            <w:tcW w:w="864" w:type="dxa"/>
            <w:tcBorders>
              <w:top w:val="nil"/>
              <w:left w:val="single" w:sz="4" w:space="0" w:color="auto"/>
              <w:bottom w:val="nil"/>
              <w:right w:val="single" w:sz="8" w:space="0" w:color="auto"/>
            </w:tcBorders>
            <w:shd w:val="clear" w:color="auto" w:fill="auto"/>
            <w:noWrap/>
            <w:vAlign w:val="bottom"/>
            <w:hideMark/>
          </w:tcPr>
          <w:p w14:paraId="6AA60FD4"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27220</w:t>
            </w:r>
          </w:p>
        </w:tc>
        <w:tc>
          <w:tcPr>
            <w:tcW w:w="618" w:type="dxa"/>
            <w:tcBorders>
              <w:top w:val="nil"/>
              <w:left w:val="nil"/>
              <w:bottom w:val="nil"/>
              <w:right w:val="nil"/>
            </w:tcBorders>
            <w:shd w:val="clear" w:color="auto" w:fill="auto"/>
            <w:noWrap/>
            <w:vAlign w:val="bottom"/>
            <w:hideMark/>
          </w:tcPr>
          <w:p w14:paraId="7FBA22B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-0.424</w:t>
            </w:r>
          </w:p>
        </w:tc>
        <w:tc>
          <w:tcPr>
            <w:tcW w:w="601" w:type="dxa"/>
            <w:tcBorders>
              <w:top w:val="nil"/>
              <w:left w:val="nil"/>
              <w:bottom w:val="nil"/>
              <w:right w:val="nil"/>
            </w:tcBorders>
            <w:shd w:val="clear" w:color="auto" w:fill="auto"/>
            <w:noWrap/>
            <w:vAlign w:val="bottom"/>
            <w:hideMark/>
          </w:tcPr>
          <w:p w14:paraId="22D2932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-0.544</w:t>
            </w:r>
          </w:p>
        </w:tc>
        <w:tc>
          <w:tcPr>
            <w:tcW w:w="615" w:type="dxa"/>
            <w:tcBorders>
              <w:top w:val="nil"/>
              <w:left w:val="nil"/>
              <w:bottom w:val="nil"/>
              <w:right w:val="nil"/>
            </w:tcBorders>
            <w:shd w:val="clear" w:color="auto" w:fill="auto"/>
            <w:noWrap/>
            <w:vAlign w:val="bottom"/>
            <w:hideMark/>
          </w:tcPr>
          <w:p w14:paraId="0363524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0.024</w:t>
            </w:r>
          </w:p>
        </w:tc>
        <w:tc>
          <w:tcPr>
            <w:tcW w:w="578" w:type="dxa"/>
            <w:tcBorders>
              <w:top w:val="nil"/>
              <w:left w:val="nil"/>
              <w:bottom w:val="nil"/>
              <w:right w:val="nil"/>
            </w:tcBorders>
            <w:shd w:val="clear" w:color="auto" w:fill="auto"/>
            <w:noWrap/>
            <w:vAlign w:val="bottom"/>
            <w:hideMark/>
          </w:tcPr>
          <w:p w14:paraId="14590A6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0.568</w:t>
            </w:r>
          </w:p>
        </w:tc>
        <w:tc>
          <w:tcPr>
            <w:tcW w:w="730" w:type="dxa"/>
            <w:tcBorders>
              <w:top w:val="nil"/>
              <w:left w:val="nil"/>
              <w:bottom w:val="nil"/>
              <w:right w:val="nil"/>
            </w:tcBorders>
            <w:shd w:val="clear" w:color="auto" w:fill="auto"/>
            <w:noWrap/>
            <w:vAlign w:val="bottom"/>
            <w:hideMark/>
          </w:tcPr>
          <w:p w14:paraId="36EFB36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-0.339</w:t>
            </w:r>
          </w:p>
        </w:tc>
        <w:tc>
          <w:tcPr>
            <w:tcW w:w="660" w:type="dxa"/>
            <w:tcBorders>
              <w:top w:val="nil"/>
              <w:left w:val="nil"/>
              <w:bottom w:val="nil"/>
              <w:right w:val="nil"/>
            </w:tcBorders>
            <w:shd w:val="clear" w:color="auto" w:fill="auto"/>
            <w:noWrap/>
            <w:vAlign w:val="bottom"/>
            <w:hideMark/>
          </w:tcPr>
          <w:p w14:paraId="24C26EE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0.204</w:t>
            </w:r>
          </w:p>
        </w:tc>
        <w:tc>
          <w:tcPr>
            <w:tcW w:w="578" w:type="dxa"/>
            <w:tcBorders>
              <w:top w:val="nil"/>
              <w:left w:val="nil"/>
              <w:bottom w:val="nil"/>
              <w:right w:val="nil"/>
            </w:tcBorders>
            <w:shd w:val="clear" w:color="auto" w:fill="auto"/>
            <w:noWrap/>
            <w:vAlign w:val="bottom"/>
            <w:hideMark/>
          </w:tcPr>
          <w:p w14:paraId="522570C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0.543</w:t>
            </w:r>
          </w:p>
        </w:tc>
        <w:tc>
          <w:tcPr>
            <w:tcW w:w="578" w:type="dxa"/>
            <w:tcBorders>
              <w:top w:val="nil"/>
              <w:left w:val="nil"/>
              <w:bottom w:val="nil"/>
              <w:right w:val="nil"/>
            </w:tcBorders>
            <w:shd w:val="clear" w:color="auto" w:fill="auto"/>
            <w:noWrap/>
            <w:vAlign w:val="bottom"/>
            <w:hideMark/>
          </w:tcPr>
          <w:p w14:paraId="016377F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0.756</w:t>
            </w:r>
          </w:p>
        </w:tc>
      </w:tr>
      <w:tr w:rsidR="00F80FF3" w:rsidRPr="00F80FF3" w14:paraId="3D21E16A" w14:textId="77777777" w:rsidTr="00F80FF3">
        <w:trPr>
          <w:trHeight w:val="320"/>
        </w:trPr>
        <w:tc>
          <w:tcPr>
            <w:tcW w:w="2620" w:type="dxa"/>
            <w:tcBorders>
              <w:top w:val="nil"/>
              <w:left w:val="nil"/>
              <w:bottom w:val="nil"/>
              <w:right w:val="nil"/>
            </w:tcBorders>
            <w:shd w:val="clear" w:color="auto" w:fill="auto"/>
            <w:noWrap/>
            <w:vAlign w:val="bottom"/>
            <w:hideMark/>
          </w:tcPr>
          <w:p w14:paraId="417A7880"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The former Yugoslav Republic of Macedonia</w:t>
            </w:r>
          </w:p>
        </w:tc>
        <w:tc>
          <w:tcPr>
            <w:tcW w:w="578" w:type="dxa"/>
            <w:tcBorders>
              <w:top w:val="nil"/>
              <w:left w:val="nil"/>
              <w:bottom w:val="nil"/>
              <w:right w:val="nil"/>
            </w:tcBorders>
            <w:shd w:val="clear" w:color="auto" w:fill="auto"/>
            <w:noWrap/>
            <w:vAlign w:val="bottom"/>
            <w:hideMark/>
          </w:tcPr>
          <w:p w14:paraId="126DAA4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0.757</w:t>
            </w:r>
          </w:p>
        </w:tc>
        <w:tc>
          <w:tcPr>
            <w:tcW w:w="864" w:type="dxa"/>
            <w:tcBorders>
              <w:top w:val="nil"/>
              <w:left w:val="nil"/>
              <w:bottom w:val="nil"/>
              <w:right w:val="nil"/>
            </w:tcBorders>
            <w:shd w:val="clear" w:color="auto" w:fill="auto"/>
            <w:noWrap/>
            <w:vAlign w:val="bottom"/>
            <w:hideMark/>
          </w:tcPr>
          <w:p w14:paraId="142B4A1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5BC5AFA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-0.963</w:t>
            </w:r>
          </w:p>
        </w:tc>
        <w:tc>
          <w:tcPr>
            <w:tcW w:w="601" w:type="dxa"/>
            <w:tcBorders>
              <w:top w:val="nil"/>
              <w:left w:val="nil"/>
              <w:bottom w:val="nil"/>
              <w:right w:val="nil"/>
            </w:tcBorders>
            <w:shd w:val="clear" w:color="auto" w:fill="auto"/>
            <w:noWrap/>
            <w:vAlign w:val="bottom"/>
            <w:hideMark/>
          </w:tcPr>
          <w:p w14:paraId="49F0004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-0.966</w:t>
            </w:r>
          </w:p>
        </w:tc>
        <w:tc>
          <w:tcPr>
            <w:tcW w:w="615" w:type="dxa"/>
            <w:tcBorders>
              <w:top w:val="nil"/>
              <w:left w:val="nil"/>
              <w:bottom w:val="nil"/>
              <w:right w:val="nil"/>
            </w:tcBorders>
            <w:shd w:val="clear" w:color="auto" w:fill="auto"/>
            <w:noWrap/>
            <w:vAlign w:val="bottom"/>
            <w:hideMark/>
          </w:tcPr>
          <w:p w14:paraId="17471AC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-0.720</w:t>
            </w:r>
          </w:p>
        </w:tc>
        <w:tc>
          <w:tcPr>
            <w:tcW w:w="578" w:type="dxa"/>
            <w:tcBorders>
              <w:top w:val="nil"/>
              <w:left w:val="nil"/>
              <w:bottom w:val="nil"/>
              <w:right w:val="nil"/>
            </w:tcBorders>
            <w:shd w:val="clear" w:color="auto" w:fill="auto"/>
            <w:noWrap/>
            <w:vAlign w:val="bottom"/>
            <w:hideMark/>
          </w:tcPr>
          <w:p w14:paraId="1DDC0C1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0.246</w:t>
            </w:r>
          </w:p>
        </w:tc>
        <w:tc>
          <w:tcPr>
            <w:tcW w:w="730" w:type="dxa"/>
            <w:tcBorders>
              <w:top w:val="nil"/>
              <w:left w:val="nil"/>
              <w:bottom w:val="nil"/>
              <w:right w:val="nil"/>
            </w:tcBorders>
            <w:shd w:val="clear" w:color="auto" w:fill="auto"/>
            <w:noWrap/>
            <w:vAlign w:val="bottom"/>
            <w:hideMark/>
          </w:tcPr>
          <w:p w14:paraId="1DC9354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-0.922</w:t>
            </w:r>
          </w:p>
        </w:tc>
        <w:tc>
          <w:tcPr>
            <w:tcW w:w="660" w:type="dxa"/>
            <w:tcBorders>
              <w:top w:val="nil"/>
              <w:left w:val="nil"/>
              <w:bottom w:val="nil"/>
              <w:right w:val="nil"/>
            </w:tcBorders>
            <w:shd w:val="clear" w:color="auto" w:fill="auto"/>
            <w:noWrap/>
            <w:vAlign w:val="bottom"/>
            <w:hideMark/>
          </w:tcPr>
          <w:p w14:paraId="4B0E045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-0.777</w:t>
            </w:r>
          </w:p>
        </w:tc>
        <w:tc>
          <w:tcPr>
            <w:tcW w:w="578" w:type="dxa"/>
            <w:tcBorders>
              <w:top w:val="nil"/>
              <w:left w:val="nil"/>
              <w:bottom w:val="nil"/>
              <w:right w:val="nil"/>
            </w:tcBorders>
            <w:shd w:val="clear" w:color="auto" w:fill="auto"/>
            <w:noWrap/>
            <w:vAlign w:val="bottom"/>
            <w:hideMark/>
          </w:tcPr>
          <w:p w14:paraId="73C8663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0.145</w:t>
            </w:r>
          </w:p>
        </w:tc>
        <w:tc>
          <w:tcPr>
            <w:tcW w:w="578" w:type="dxa"/>
            <w:tcBorders>
              <w:top w:val="nil"/>
              <w:left w:val="nil"/>
              <w:bottom w:val="nil"/>
              <w:right w:val="nil"/>
            </w:tcBorders>
            <w:shd w:val="clear" w:color="auto" w:fill="auto"/>
            <w:noWrap/>
            <w:vAlign w:val="bottom"/>
            <w:hideMark/>
          </w:tcPr>
          <w:p w14:paraId="6A07826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0.899</w:t>
            </w:r>
          </w:p>
        </w:tc>
      </w:tr>
      <w:tr w:rsidR="00F80FF3" w:rsidRPr="00F80FF3" w14:paraId="6A152515" w14:textId="77777777" w:rsidTr="00F80FF3">
        <w:trPr>
          <w:trHeight w:val="320"/>
        </w:trPr>
        <w:tc>
          <w:tcPr>
            <w:tcW w:w="2620" w:type="dxa"/>
            <w:tcBorders>
              <w:top w:val="nil"/>
              <w:left w:val="nil"/>
              <w:bottom w:val="nil"/>
              <w:right w:val="nil"/>
            </w:tcBorders>
            <w:shd w:val="clear" w:color="auto" w:fill="auto"/>
            <w:noWrap/>
            <w:vAlign w:val="bottom"/>
            <w:hideMark/>
          </w:tcPr>
          <w:p w14:paraId="57D163FE"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Trinidad and Tobago</w:t>
            </w:r>
          </w:p>
        </w:tc>
        <w:tc>
          <w:tcPr>
            <w:tcW w:w="578" w:type="dxa"/>
            <w:tcBorders>
              <w:top w:val="nil"/>
              <w:left w:val="nil"/>
              <w:bottom w:val="nil"/>
              <w:right w:val="nil"/>
            </w:tcBorders>
            <w:shd w:val="clear" w:color="auto" w:fill="auto"/>
            <w:noWrap/>
            <w:vAlign w:val="bottom"/>
            <w:hideMark/>
          </w:tcPr>
          <w:p w14:paraId="16F5E1D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0.784</w:t>
            </w:r>
          </w:p>
        </w:tc>
        <w:tc>
          <w:tcPr>
            <w:tcW w:w="864" w:type="dxa"/>
            <w:tcBorders>
              <w:top w:val="nil"/>
              <w:left w:val="nil"/>
              <w:bottom w:val="nil"/>
              <w:right w:val="nil"/>
            </w:tcBorders>
            <w:shd w:val="clear" w:color="auto" w:fill="auto"/>
            <w:noWrap/>
            <w:vAlign w:val="bottom"/>
            <w:hideMark/>
          </w:tcPr>
          <w:p w14:paraId="71E6A5E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3877D88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-0.319</w:t>
            </w:r>
          </w:p>
        </w:tc>
        <w:tc>
          <w:tcPr>
            <w:tcW w:w="601" w:type="dxa"/>
            <w:tcBorders>
              <w:top w:val="nil"/>
              <w:left w:val="nil"/>
              <w:bottom w:val="nil"/>
              <w:right w:val="nil"/>
            </w:tcBorders>
            <w:shd w:val="clear" w:color="auto" w:fill="auto"/>
            <w:noWrap/>
            <w:vAlign w:val="bottom"/>
            <w:hideMark/>
          </w:tcPr>
          <w:p w14:paraId="68BB6B4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-0.090</w:t>
            </w:r>
          </w:p>
        </w:tc>
        <w:tc>
          <w:tcPr>
            <w:tcW w:w="615" w:type="dxa"/>
            <w:tcBorders>
              <w:top w:val="nil"/>
              <w:left w:val="nil"/>
              <w:bottom w:val="nil"/>
              <w:right w:val="nil"/>
            </w:tcBorders>
            <w:shd w:val="clear" w:color="auto" w:fill="auto"/>
            <w:noWrap/>
            <w:vAlign w:val="bottom"/>
            <w:hideMark/>
          </w:tcPr>
          <w:p w14:paraId="790F0BE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-0.403</w:t>
            </w:r>
          </w:p>
        </w:tc>
        <w:tc>
          <w:tcPr>
            <w:tcW w:w="578" w:type="dxa"/>
            <w:tcBorders>
              <w:top w:val="nil"/>
              <w:left w:val="nil"/>
              <w:bottom w:val="nil"/>
              <w:right w:val="nil"/>
            </w:tcBorders>
            <w:shd w:val="clear" w:color="auto" w:fill="auto"/>
            <w:noWrap/>
            <w:vAlign w:val="bottom"/>
            <w:hideMark/>
          </w:tcPr>
          <w:p w14:paraId="5149AFC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-0.313</w:t>
            </w:r>
          </w:p>
        </w:tc>
        <w:tc>
          <w:tcPr>
            <w:tcW w:w="730" w:type="dxa"/>
            <w:tcBorders>
              <w:top w:val="nil"/>
              <w:left w:val="nil"/>
              <w:bottom w:val="nil"/>
              <w:right w:val="nil"/>
            </w:tcBorders>
            <w:shd w:val="clear" w:color="auto" w:fill="auto"/>
            <w:noWrap/>
            <w:vAlign w:val="bottom"/>
            <w:hideMark/>
          </w:tcPr>
          <w:p w14:paraId="12EA65E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-0.347</w:t>
            </w:r>
          </w:p>
        </w:tc>
        <w:tc>
          <w:tcPr>
            <w:tcW w:w="660" w:type="dxa"/>
            <w:tcBorders>
              <w:top w:val="nil"/>
              <w:left w:val="nil"/>
              <w:bottom w:val="nil"/>
              <w:right w:val="nil"/>
            </w:tcBorders>
            <w:shd w:val="clear" w:color="auto" w:fill="auto"/>
            <w:noWrap/>
            <w:vAlign w:val="bottom"/>
            <w:hideMark/>
          </w:tcPr>
          <w:p w14:paraId="4554104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0.113</w:t>
            </w:r>
          </w:p>
        </w:tc>
        <w:tc>
          <w:tcPr>
            <w:tcW w:w="578" w:type="dxa"/>
            <w:tcBorders>
              <w:top w:val="nil"/>
              <w:left w:val="nil"/>
              <w:bottom w:val="nil"/>
              <w:right w:val="nil"/>
            </w:tcBorders>
            <w:shd w:val="clear" w:color="auto" w:fill="auto"/>
            <w:noWrap/>
            <w:vAlign w:val="bottom"/>
            <w:hideMark/>
          </w:tcPr>
          <w:p w14:paraId="4500767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0.460</w:t>
            </w:r>
          </w:p>
        </w:tc>
        <w:tc>
          <w:tcPr>
            <w:tcW w:w="578" w:type="dxa"/>
            <w:tcBorders>
              <w:top w:val="nil"/>
              <w:left w:val="nil"/>
              <w:bottom w:val="nil"/>
              <w:right w:val="nil"/>
            </w:tcBorders>
            <w:shd w:val="clear" w:color="auto" w:fill="auto"/>
            <w:noWrap/>
            <w:vAlign w:val="bottom"/>
            <w:hideMark/>
          </w:tcPr>
          <w:p w14:paraId="3DCC84F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0.962</w:t>
            </w:r>
          </w:p>
        </w:tc>
      </w:tr>
      <w:tr w:rsidR="00F80FF3" w:rsidRPr="00F80FF3" w14:paraId="787AD38B" w14:textId="77777777" w:rsidTr="00F80FF3">
        <w:trPr>
          <w:trHeight w:val="320"/>
        </w:trPr>
        <w:tc>
          <w:tcPr>
            <w:tcW w:w="2620" w:type="dxa"/>
            <w:tcBorders>
              <w:top w:val="nil"/>
              <w:left w:val="nil"/>
              <w:bottom w:val="nil"/>
              <w:right w:val="nil"/>
            </w:tcBorders>
            <w:shd w:val="clear" w:color="auto" w:fill="auto"/>
            <w:noWrap/>
            <w:vAlign w:val="bottom"/>
            <w:hideMark/>
          </w:tcPr>
          <w:p w14:paraId="483C896B"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Tunisia</w:t>
            </w:r>
          </w:p>
        </w:tc>
        <w:tc>
          <w:tcPr>
            <w:tcW w:w="578" w:type="dxa"/>
            <w:tcBorders>
              <w:top w:val="nil"/>
              <w:left w:val="nil"/>
              <w:bottom w:val="nil"/>
              <w:right w:val="nil"/>
            </w:tcBorders>
            <w:shd w:val="clear" w:color="auto" w:fill="auto"/>
            <w:noWrap/>
            <w:vAlign w:val="bottom"/>
            <w:hideMark/>
          </w:tcPr>
          <w:p w14:paraId="5570B23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0.735</w:t>
            </w:r>
          </w:p>
        </w:tc>
        <w:tc>
          <w:tcPr>
            <w:tcW w:w="864" w:type="dxa"/>
            <w:tcBorders>
              <w:top w:val="nil"/>
              <w:left w:val="nil"/>
              <w:bottom w:val="nil"/>
              <w:right w:val="nil"/>
            </w:tcBorders>
            <w:shd w:val="clear" w:color="auto" w:fill="auto"/>
            <w:noWrap/>
            <w:vAlign w:val="bottom"/>
            <w:hideMark/>
          </w:tcPr>
          <w:p w14:paraId="5F7130A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1465817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-0.938</w:t>
            </w:r>
          </w:p>
        </w:tc>
        <w:tc>
          <w:tcPr>
            <w:tcW w:w="601" w:type="dxa"/>
            <w:tcBorders>
              <w:top w:val="nil"/>
              <w:left w:val="nil"/>
              <w:bottom w:val="nil"/>
              <w:right w:val="nil"/>
            </w:tcBorders>
            <w:shd w:val="clear" w:color="auto" w:fill="auto"/>
            <w:noWrap/>
            <w:vAlign w:val="bottom"/>
            <w:hideMark/>
          </w:tcPr>
          <w:p w14:paraId="15248E8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-0.857</w:t>
            </w:r>
          </w:p>
        </w:tc>
        <w:tc>
          <w:tcPr>
            <w:tcW w:w="615" w:type="dxa"/>
            <w:tcBorders>
              <w:top w:val="nil"/>
              <w:left w:val="nil"/>
              <w:bottom w:val="nil"/>
              <w:right w:val="nil"/>
            </w:tcBorders>
            <w:shd w:val="clear" w:color="auto" w:fill="auto"/>
            <w:noWrap/>
            <w:vAlign w:val="bottom"/>
            <w:hideMark/>
          </w:tcPr>
          <w:p w14:paraId="367D3BF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-0.694</w:t>
            </w:r>
          </w:p>
        </w:tc>
        <w:tc>
          <w:tcPr>
            <w:tcW w:w="578" w:type="dxa"/>
            <w:tcBorders>
              <w:top w:val="nil"/>
              <w:left w:val="nil"/>
              <w:bottom w:val="nil"/>
              <w:right w:val="nil"/>
            </w:tcBorders>
            <w:shd w:val="clear" w:color="auto" w:fill="auto"/>
            <w:noWrap/>
            <w:vAlign w:val="bottom"/>
            <w:hideMark/>
          </w:tcPr>
          <w:p w14:paraId="7D71776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0.163</w:t>
            </w:r>
          </w:p>
        </w:tc>
        <w:tc>
          <w:tcPr>
            <w:tcW w:w="730" w:type="dxa"/>
            <w:tcBorders>
              <w:top w:val="nil"/>
              <w:left w:val="nil"/>
              <w:bottom w:val="nil"/>
              <w:right w:val="nil"/>
            </w:tcBorders>
            <w:shd w:val="clear" w:color="auto" w:fill="auto"/>
            <w:noWrap/>
            <w:vAlign w:val="bottom"/>
            <w:hideMark/>
          </w:tcPr>
          <w:p w14:paraId="04FE5EA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-1.009</w:t>
            </w:r>
          </w:p>
        </w:tc>
        <w:tc>
          <w:tcPr>
            <w:tcW w:w="660" w:type="dxa"/>
            <w:tcBorders>
              <w:top w:val="nil"/>
              <w:left w:val="nil"/>
              <w:bottom w:val="nil"/>
              <w:right w:val="nil"/>
            </w:tcBorders>
            <w:shd w:val="clear" w:color="auto" w:fill="auto"/>
            <w:noWrap/>
            <w:vAlign w:val="bottom"/>
            <w:hideMark/>
          </w:tcPr>
          <w:p w14:paraId="2D81AAA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-0.412</w:t>
            </w:r>
          </w:p>
        </w:tc>
        <w:tc>
          <w:tcPr>
            <w:tcW w:w="578" w:type="dxa"/>
            <w:tcBorders>
              <w:top w:val="nil"/>
              <w:left w:val="nil"/>
              <w:bottom w:val="nil"/>
              <w:right w:val="nil"/>
            </w:tcBorders>
            <w:shd w:val="clear" w:color="auto" w:fill="auto"/>
            <w:noWrap/>
            <w:vAlign w:val="bottom"/>
            <w:hideMark/>
          </w:tcPr>
          <w:p w14:paraId="627C597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0.597</w:t>
            </w:r>
          </w:p>
        </w:tc>
        <w:tc>
          <w:tcPr>
            <w:tcW w:w="578" w:type="dxa"/>
            <w:tcBorders>
              <w:top w:val="nil"/>
              <w:left w:val="nil"/>
              <w:bottom w:val="nil"/>
              <w:right w:val="nil"/>
            </w:tcBorders>
            <w:shd w:val="clear" w:color="auto" w:fill="auto"/>
            <w:noWrap/>
            <w:vAlign w:val="bottom"/>
            <w:hideMark/>
          </w:tcPr>
          <w:p w14:paraId="578084F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0.750</w:t>
            </w:r>
          </w:p>
        </w:tc>
      </w:tr>
      <w:tr w:rsidR="00F80FF3" w:rsidRPr="00F80FF3" w14:paraId="3AC42BCE" w14:textId="77777777" w:rsidTr="00F80FF3">
        <w:trPr>
          <w:trHeight w:val="320"/>
        </w:trPr>
        <w:tc>
          <w:tcPr>
            <w:tcW w:w="2620" w:type="dxa"/>
            <w:tcBorders>
              <w:top w:val="nil"/>
              <w:left w:val="nil"/>
              <w:bottom w:val="nil"/>
              <w:right w:val="nil"/>
            </w:tcBorders>
            <w:shd w:val="clear" w:color="auto" w:fill="auto"/>
            <w:noWrap/>
            <w:vAlign w:val="bottom"/>
            <w:hideMark/>
          </w:tcPr>
          <w:p w14:paraId="1B128272"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Turkey</w:t>
            </w:r>
          </w:p>
        </w:tc>
        <w:tc>
          <w:tcPr>
            <w:tcW w:w="578" w:type="dxa"/>
            <w:tcBorders>
              <w:top w:val="nil"/>
              <w:left w:val="nil"/>
              <w:bottom w:val="nil"/>
              <w:right w:val="nil"/>
            </w:tcBorders>
            <w:shd w:val="clear" w:color="auto" w:fill="auto"/>
            <w:noWrap/>
            <w:vAlign w:val="bottom"/>
            <w:hideMark/>
          </w:tcPr>
          <w:p w14:paraId="3023082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0.791</w:t>
            </w:r>
          </w:p>
        </w:tc>
        <w:tc>
          <w:tcPr>
            <w:tcW w:w="864" w:type="dxa"/>
            <w:tcBorders>
              <w:top w:val="nil"/>
              <w:left w:val="single" w:sz="4" w:space="0" w:color="auto"/>
              <w:bottom w:val="nil"/>
              <w:right w:val="single" w:sz="8" w:space="0" w:color="auto"/>
            </w:tcBorders>
            <w:shd w:val="clear" w:color="auto" w:fill="auto"/>
            <w:noWrap/>
            <w:vAlign w:val="bottom"/>
            <w:hideMark/>
          </w:tcPr>
          <w:p w14:paraId="4AFBED72"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32752</w:t>
            </w:r>
          </w:p>
        </w:tc>
        <w:tc>
          <w:tcPr>
            <w:tcW w:w="618" w:type="dxa"/>
            <w:tcBorders>
              <w:top w:val="nil"/>
              <w:left w:val="nil"/>
              <w:bottom w:val="nil"/>
              <w:right w:val="nil"/>
            </w:tcBorders>
            <w:shd w:val="clear" w:color="auto" w:fill="auto"/>
            <w:noWrap/>
            <w:vAlign w:val="bottom"/>
            <w:hideMark/>
          </w:tcPr>
          <w:p w14:paraId="3DD11A3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-0.296</w:t>
            </w:r>
          </w:p>
        </w:tc>
        <w:tc>
          <w:tcPr>
            <w:tcW w:w="601" w:type="dxa"/>
            <w:tcBorders>
              <w:top w:val="nil"/>
              <w:left w:val="nil"/>
              <w:bottom w:val="nil"/>
              <w:right w:val="nil"/>
            </w:tcBorders>
            <w:shd w:val="clear" w:color="auto" w:fill="auto"/>
            <w:noWrap/>
            <w:vAlign w:val="bottom"/>
            <w:hideMark/>
          </w:tcPr>
          <w:p w14:paraId="19E8584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-0.204</w:t>
            </w:r>
          </w:p>
        </w:tc>
        <w:tc>
          <w:tcPr>
            <w:tcW w:w="615" w:type="dxa"/>
            <w:tcBorders>
              <w:top w:val="nil"/>
              <w:left w:val="nil"/>
              <w:bottom w:val="nil"/>
              <w:right w:val="nil"/>
            </w:tcBorders>
            <w:shd w:val="clear" w:color="auto" w:fill="auto"/>
            <w:noWrap/>
            <w:vAlign w:val="bottom"/>
            <w:hideMark/>
          </w:tcPr>
          <w:p w14:paraId="018E4AA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0.022</w:t>
            </w:r>
          </w:p>
        </w:tc>
        <w:tc>
          <w:tcPr>
            <w:tcW w:w="578" w:type="dxa"/>
            <w:tcBorders>
              <w:top w:val="nil"/>
              <w:left w:val="nil"/>
              <w:bottom w:val="nil"/>
              <w:right w:val="nil"/>
            </w:tcBorders>
            <w:shd w:val="clear" w:color="auto" w:fill="auto"/>
            <w:noWrap/>
            <w:vAlign w:val="bottom"/>
            <w:hideMark/>
          </w:tcPr>
          <w:p w14:paraId="4AD35D8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0.226</w:t>
            </w:r>
          </w:p>
        </w:tc>
        <w:tc>
          <w:tcPr>
            <w:tcW w:w="730" w:type="dxa"/>
            <w:tcBorders>
              <w:top w:val="nil"/>
              <w:left w:val="nil"/>
              <w:bottom w:val="nil"/>
              <w:right w:val="nil"/>
            </w:tcBorders>
            <w:shd w:val="clear" w:color="auto" w:fill="auto"/>
            <w:noWrap/>
            <w:vAlign w:val="bottom"/>
            <w:hideMark/>
          </w:tcPr>
          <w:p w14:paraId="29B81B5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-0.309</w:t>
            </w:r>
          </w:p>
        </w:tc>
        <w:tc>
          <w:tcPr>
            <w:tcW w:w="660" w:type="dxa"/>
            <w:tcBorders>
              <w:top w:val="nil"/>
              <w:left w:val="nil"/>
              <w:bottom w:val="nil"/>
              <w:right w:val="nil"/>
            </w:tcBorders>
            <w:shd w:val="clear" w:color="auto" w:fill="auto"/>
            <w:noWrap/>
            <w:vAlign w:val="bottom"/>
            <w:hideMark/>
          </w:tcPr>
          <w:p w14:paraId="16FD1A3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0.300</w:t>
            </w:r>
          </w:p>
        </w:tc>
        <w:tc>
          <w:tcPr>
            <w:tcW w:w="578" w:type="dxa"/>
            <w:tcBorders>
              <w:top w:val="nil"/>
              <w:left w:val="nil"/>
              <w:bottom w:val="nil"/>
              <w:right w:val="nil"/>
            </w:tcBorders>
            <w:shd w:val="clear" w:color="auto" w:fill="auto"/>
            <w:noWrap/>
            <w:vAlign w:val="bottom"/>
            <w:hideMark/>
          </w:tcPr>
          <w:p w14:paraId="06E297E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0.609</w:t>
            </w:r>
          </w:p>
        </w:tc>
        <w:tc>
          <w:tcPr>
            <w:tcW w:w="578" w:type="dxa"/>
            <w:tcBorders>
              <w:top w:val="nil"/>
              <w:left w:val="nil"/>
              <w:bottom w:val="nil"/>
              <w:right w:val="nil"/>
            </w:tcBorders>
            <w:shd w:val="clear" w:color="auto" w:fill="auto"/>
            <w:noWrap/>
            <w:vAlign w:val="bottom"/>
            <w:hideMark/>
          </w:tcPr>
          <w:p w14:paraId="3DE9508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0.777</w:t>
            </w:r>
          </w:p>
        </w:tc>
      </w:tr>
      <w:tr w:rsidR="00F80FF3" w:rsidRPr="00F80FF3" w14:paraId="08C13515" w14:textId="77777777" w:rsidTr="00F80FF3">
        <w:trPr>
          <w:trHeight w:val="320"/>
        </w:trPr>
        <w:tc>
          <w:tcPr>
            <w:tcW w:w="2620" w:type="dxa"/>
            <w:tcBorders>
              <w:top w:val="nil"/>
              <w:left w:val="nil"/>
              <w:bottom w:val="nil"/>
              <w:right w:val="nil"/>
            </w:tcBorders>
            <w:shd w:val="clear" w:color="auto" w:fill="auto"/>
            <w:noWrap/>
            <w:vAlign w:val="bottom"/>
            <w:hideMark/>
          </w:tcPr>
          <w:p w14:paraId="12D15DF9"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United Arab Emirates</w:t>
            </w:r>
          </w:p>
        </w:tc>
        <w:tc>
          <w:tcPr>
            <w:tcW w:w="578" w:type="dxa"/>
            <w:tcBorders>
              <w:top w:val="nil"/>
              <w:left w:val="nil"/>
              <w:bottom w:val="nil"/>
              <w:right w:val="nil"/>
            </w:tcBorders>
            <w:shd w:val="clear" w:color="auto" w:fill="auto"/>
            <w:noWrap/>
            <w:vAlign w:val="bottom"/>
            <w:hideMark/>
          </w:tcPr>
          <w:p w14:paraId="050ECEA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0.863</w:t>
            </w:r>
          </w:p>
        </w:tc>
        <w:tc>
          <w:tcPr>
            <w:tcW w:w="864" w:type="dxa"/>
            <w:tcBorders>
              <w:top w:val="nil"/>
              <w:left w:val="nil"/>
              <w:bottom w:val="nil"/>
              <w:right w:val="nil"/>
            </w:tcBorders>
            <w:shd w:val="clear" w:color="auto" w:fill="auto"/>
            <w:noWrap/>
            <w:vAlign w:val="bottom"/>
            <w:hideMark/>
          </w:tcPr>
          <w:p w14:paraId="241ADB8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35646B0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-0.231</w:t>
            </w:r>
          </w:p>
        </w:tc>
        <w:tc>
          <w:tcPr>
            <w:tcW w:w="601" w:type="dxa"/>
            <w:tcBorders>
              <w:top w:val="nil"/>
              <w:left w:val="nil"/>
              <w:bottom w:val="nil"/>
              <w:right w:val="nil"/>
            </w:tcBorders>
            <w:shd w:val="clear" w:color="auto" w:fill="auto"/>
            <w:noWrap/>
            <w:vAlign w:val="bottom"/>
            <w:hideMark/>
          </w:tcPr>
          <w:p w14:paraId="686A28E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-0.466</w:t>
            </w:r>
          </w:p>
        </w:tc>
        <w:tc>
          <w:tcPr>
            <w:tcW w:w="615" w:type="dxa"/>
            <w:tcBorders>
              <w:top w:val="nil"/>
              <w:left w:val="nil"/>
              <w:bottom w:val="nil"/>
              <w:right w:val="nil"/>
            </w:tcBorders>
            <w:shd w:val="clear" w:color="auto" w:fill="auto"/>
            <w:noWrap/>
            <w:vAlign w:val="bottom"/>
            <w:hideMark/>
          </w:tcPr>
          <w:p w14:paraId="4BB1204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0.040</w:t>
            </w:r>
          </w:p>
        </w:tc>
        <w:tc>
          <w:tcPr>
            <w:tcW w:w="578" w:type="dxa"/>
            <w:tcBorders>
              <w:top w:val="nil"/>
              <w:left w:val="nil"/>
              <w:bottom w:val="nil"/>
              <w:right w:val="nil"/>
            </w:tcBorders>
            <w:shd w:val="clear" w:color="auto" w:fill="auto"/>
            <w:noWrap/>
            <w:vAlign w:val="bottom"/>
            <w:hideMark/>
          </w:tcPr>
          <w:p w14:paraId="6531351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0.506</w:t>
            </w:r>
          </w:p>
        </w:tc>
        <w:tc>
          <w:tcPr>
            <w:tcW w:w="730" w:type="dxa"/>
            <w:tcBorders>
              <w:top w:val="nil"/>
              <w:left w:val="nil"/>
              <w:bottom w:val="nil"/>
              <w:right w:val="nil"/>
            </w:tcBorders>
            <w:shd w:val="clear" w:color="auto" w:fill="auto"/>
            <w:noWrap/>
            <w:vAlign w:val="bottom"/>
            <w:hideMark/>
          </w:tcPr>
          <w:p w14:paraId="2BCF7F2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-0.353</w:t>
            </w:r>
          </w:p>
        </w:tc>
        <w:tc>
          <w:tcPr>
            <w:tcW w:w="660" w:type="dxa"/>
            <w:tcBorders>
              <w:top w:val="nil"/>
              <w:left w:val="nil"/>
              <w:bottom w:val="nil"/>
              <w:right w:val="nil"/>
            </w:tcBorders>
            <w:shd w:val="clear" w:color="auto" w:fill="auto"/>
            <w:noWrap/>
            <w:vAlign w:val="bottom"/>
            <w:hideMark/>
          </w:tcPr>
          <w:p w14:paraId="524D473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0.011</w:t>
            </w:r>
          </w:p>
        </w:tc>
        <w:tc>
          <w:tcPr>
            <w:tcW w:w="578" w:type="dxa"/>
            <w:tcBorders>
              <w:top w:val="nil"/>
              <w:left w:val="nil"/>
              <w:bottom w:val="nil"/>
              <w:right w:val="nil"/>
            </w:tcBorders>
            <w:shd w:val="clear" w:color="auto" w:fill="auto"/>
            <w:noWrap/>
            <w:vAlign w:val="bottom"/>
            <w:hideMark/>
          </w:tcPr>
          <w:p w14:paraId="79B2F41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0.364</w:t>
            </w:r>
          </w:p>
        </w:tc>
        <w:tc>
          <w:tcPr>
            <w:tcW w:w="578" w:type="dxa"/>
            <w:tcBorders>
              <w:top w:val="nil"/>
              <w:left w:val="nil"/>
              <w:bottom w:val="nil"/>
              <w:right w:val="nil"/>
            </w:tcBorders>
            <w:shd w:val="clear" w:color="auto" w:fill="auto"/>
            <w:noWrap/>
            <w:vAlign w:val="bottom"/>
            <w:hideMark/>
          </w:tcPr>
          <w:p w14:paraId="614AAC4F"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0.974</w:t>
            </w:r>
          </w:p>
        </w:tc>
      </w:tr>
      <w:tr w:rsidR="00F80FF3" w:rsidRPr="00F80FF3" w14:paraId="4CD29D45" w14:textId="77777777" w:rsidTr="00F80FF3">
        <w:trPr>
          <w:trHeight w:val="320"/>
        </w:trPr>
        <w:tc>
          <w:tcPr>
            <w:tcW w:w="2620" w:type="dxa"/>
            <w:tcBorders>
              <w:top w:val="nil"/>
              <w:left w:val="nil"/>
              <w:bottom w:val="nil"/>
              <w:right w:val="nil"/>
            </w:tcBorders>
            <w:shd w:val="clear" w:color="auto" w:fill="auto"/>
            <w:noWrap/>
            <w:vAlign w:val="bottom"/>
            <w:hideMark/>
          </w:tcPr>
          <w:p w14:paraId="771E2D0F"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United Kingdom of Great Britain and Northern Ireland</w:t>
            </w:r>
          </w:p>
        </w:tc>
        <w:tc>
          <w:tcPr>
            <w:tcW w:w="578" w:type="dxa"/>
            <w:tcBorders>
              <w:top w:val="nil"/>
              <w:left w:val="nil"/>
              <w:bottom w:val="nil"/>
              <w:right w:val="nil"/>
            </w:tcBorders>
            <w:shd w:val="clear" w:color="auto" w:fill="auto"/>
            <w:noWrap/>
            <w:vAlign w:val="bottom"/>
            <w:hideMark/>
          </w:tcPr>
          <w:p w14:paraId="5BB38EC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0.922</w:t>
            </w:r>
          </w:p>
        </w:tc>
        <w:tc>
          <w:tcPr>
            <w:tcW w:w="864" w:type="dxa"/>
            <w:tcBorders>
              <w:top w:val="nil"/>
              <w:left w:val="single" w:sz="4" w:space="0" w:color="auto"/>
              <w:bottom w:val="nil"/>
              <w:right w:val="single" w:sz="8" w:space="0" w:color="auto"/>
            </w:tcBorders>
            <w:shd w:val="clear" w:color="auto" w:fill="auto"/>
            <w:noWrap/>
            <w:vAlign w:val="bottom"/>
            <w:hideMark/>
          </w:tcPr>
          <w:p w14:paraId="1278A17D"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114920</w:t>
            </w:r>
          </w:p>
        </w:tc>
        <w:tc>
          <w:tcPr>
            <w:tcW w:w="618" w:type="dxa"/>
            <w:tcBorders>
              <w:top w:val="nil"/>
              <w:left w:val="nil"/>
              <w:bottom w:val="nil"/>
              <w:right w:val="nil"/>
            </w:tcBorders>
            <w:shd w:val="clear" w:color="auto" w:fill="auto"/>
            <w:noWrap/>
            <w:vAlign w:val="bottom"/>
            <w:hideMark/>
          </w:tcPr>
          <w:p w14:paraId="38D7F94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0.457</w:t>
            </w:r>
          </w:p>
        </w:tc>
        <w:tc>
          <w:tcPr>
            <w:tcW w:w="601" w:type="dxa"/>
            <w:tcBorders>
              <w:top w:val="nil"/>
              <w:left w:val="nil"/>
              <w:bottom w:val="nil"/>
              <w:right w:val="nil"/>
            </w:tcBorders>
            <w:shd w:val="clear" w:color="auto" w:fill="auto"/>
            <w:noWrap/>
            <w:vAlign w:val="bottom"/>
            <w:hideMark/>
          </w:tcPr>
          <w:p w14:paraId="5083BDF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0.449</w:t>
            </w:r>
          </w:p>
        </w:tc>
        <w:tc>
          <w:tcPr>
            <w:tcW w:w="615" w:type="dxa"/>
            <w:tcBorders>
              <w:top w:val="nil"/>
              <w:left w:val="nil"/>
              <w:bottom w:val="nil"/>
              <w:right w:val="nil"/>
            </w:tcBorders>
            <w:shd w:val="clear" w:color="auto" w:fill="auto"/>
            <w:noWrap/>
            <w:vAlign w:val="bottom"/>
            <w:hideMark/>
          </w:tcPr>
          <w:p w14:paraId="691C638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0.841</w:t>
            </w:r>
          </w:p>
        </w:tc>
        <w:tc>
          <w:tcPr>
            <w:tcW w:w="578" w:type="dxa"/>
            <w:tcBorders>
              <w:top w:val="nil"/>
              <w:left w:val="nil"/>
              <w:bottom w:val="nil"/>
              <w:right w:val="nil"/>
            </w:tcBorders>
            <w:shd w:val="clear" w:color="auto" w:fill="auto"/>
            <w:noWrap/>
            <w:vAlign w:val="bottom"/>
            <w:hideMark/>
          </w:tcPr>
          <w:p w14:paraId="0123435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0.392</w:t>
            </w:r>
          </w:p>
        </w:tc>
        <w:tc>
          <w:tcPr>
            <w:tcW w:w="730" w:type="dxa"/>
            <w:tcBorders>
              <w:top w:val="nil"/>
              <w:left w:val="nil"/>
              <w:bottom w:val="nil"/>
              <w:right w:val="nil"/>
            </w:tcBorders>
            <w:shd w:val="clear" w:color="auto" w:fill="auto"/>
            <w:noWrap/>
            <w:vAlign w:val="bottom"/>
            <w:hideMark/>
          </w:tcPr>
          <w:p w14:paraId="40DACF1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0.360</w:t>
            </w:r>
          </w:p>
        </w:tc>
        <w:tc>
          <w:tcPr>
            <w:tcW w:w="660" w:type="dxa"/>
            <w:tcBorders>
              <w:top w:val="nil"/>
              <w:left w:val="nil"/>
              <w:bottom w:val="nil"/>
              <w:right w:val="nil"/>
            </w:tcBorders>
            <w:shd w:val="clear" w:color="auto" w:fill="auto"/>
            <w:noWrap/>
            <w:vAlign w:val="bottom"/>
            <w:hideMark/>
          </w:tcPr>
          <w:p w14:paraId="2546D26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0.840</w:t>
            </w:r>
          </w:p>
        </w:tc>
        <w:tc>
          <w:tcPr>
            <w:tcW w:w="578" w:type="dxa"/>
            <w:tcBorders>
              <w:top w:val="nil"/>
              <w:left w:val="nil"/>
              <w:bottom w:val="nil"/>
              <w:right w:val="nil"/>
            </w:tcBorders>
            <w:shd w:val="clear" w:color="auto" w:fill="auto"/>
            <w:noWrap/>
            <w:vAlign w:val="bottom"/>
            <w:hideMark/>
          </w:tcPr>
          <w:p w14:paraId="2902E88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0.480</w:t>
            </w:r>
          </w:p>
        </w:tc>
        <w:tc>
          <w:tcPr>
            <w:tcW w:w="578" w:type="dxa"/>
            <w:tcBorders>
              <w:top w:val="nil"/>
              <w:left w:val="nil"/>
              <w:bottom w:val="nil"/>
              <w:right w:val="nil"/>
            </w:tcBorders>
            <w:shd w:val="clear" w:color="auto" w:fill="auto"/>
            <w:noWrap/>
            <w:vAlign w:val="bottom"/>
            <w:hideMark/>
          </w:tcPr>
          <w:p w14:paraId="6F9F497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0.908</w:t>
            </w:r>
          </w:p>
        </w:tc>
      </w:tr>
      <w:tr w:rsidR="00F80FF3" w:rsidRPr="00F80FF3" w14:paraId="57F26B6C" w14:textId="77777777" w:rsidTr="00F80FF3">
        <w:trPr>
          <w:trHeight w:val="320"/>
        </w:trPr>
        <w:tc>
          <w:tcPr>
            <w:tcW w:w="2620" w:type="dxa"/>
            <w:tcBorders>
              <w:top w:val="nil"/>
              <w:left w:val="nil"/>
              <w:bottom w:val="nil"/>
              <w:right w:val="nil"/>
            </w:tcBorders>
            <w:shd w:val="clear" w:color="auto" w:fill="auto"/>
            <w:noWrap/>
            <w:vAlign w:val="bottom"/>
            <w:hideMark/>
          </w:tcPr>
          <w:p w14:paraId="46E832B6"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United States</w:t>
            </w:r>
          </w:p>
        </w:tc>
        <w:tc>
          <w:tcPr>
            <w:tcW w:w="578" w:type="dxa"/>
            <w:tcBorders>
              <w:top w:val="nil"/>
              <w:left w:val="nil"/>
              <w:bottom w:val="nil"/>
              <w:right w:val="nil"/>
            </w:tcBorders>
            <w:shd w:val="clear" w:color="auto" w:fill="auto"/>
            <w:noWrap/>
            <w:vAlign w:val="bottom"/>
            <w:hideMark/>
          </w:tcPr>
          <w:p w14:paraId="54EE575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0.924</w:t>
            </w:r>
          </w:p>
        </w:tc>
        <w:tc>
          <w:tcPr>
            <w:tcW w:w="864" w:type="dxa"/>
            <w:tcBorders>
              <w:top w:val="nil"/>
              <w:left w:val="single" w:sz="4" w:space="0" w:color="auto"/>
              <w:bottom w:val="nil"/>
              <w:right w:val="single" w:sz="8" w:space="0" w:color="auto"/>
            </w:tcBorders>
            <w:shd w:val="clear" w:color="auto" w:fill="auto"/>
            <w:noWrap/>
            <w:vAlign w:val="bottom"/>
            <w:hideMark/>
          </w:tcPr>
          <w:p w14:paraId="569A9686"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115180</w:t>
            </w:r>
          </w:p>
        </w:tc>
        <w:tc>
          <w:tcPr>
            <w:tcW w:w="618" w:type="dxa"/>
            <w:tcBorders>
              <w:top w:val="nil"/>
              <w:left w:val="nil"/>
              <w:bottom w:val="nil"/>
              <w:right w:val="nil"/>
            </w:tcBorders>
            <w:shd w:val="clear" w:color="auto" w:fill="auto"/>
            <w:noWrap/>
            <w:vAlign w:val="bottom"/>
            <w:hideMark/>
          </w:tcPr>
          <w:p w14:paraId="038D89A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0.329</w:t>
            </w:r>
          </w:p>
        </w:tc>
        <w:tc>
          <w:tcPr>
            <w:tcW w:w="601" w:type="dxa"/>
            <w:tcBorders>
              <w:top w:val="nil"/>
              <w:left w:val="nil"/>
              <w:bottom w:val="nil"/>
              <w:right w:val="nil"/>
            </w:tcBorders>
            <w:shd w:val="clear" w:color="auto" w:fill="auto"/>
            <w:noWrap/>
            <w:vAlign w:val="bottom"/>
            <w:hideMark/>
          </w:tcPr>
          <w:p w14:paraId="67E729A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0.283</w:t>
            </w:r>
          </w:p>
        </w:tc>
        <w:tc>
          <w:tcPr>
            <w:tcW w:w="615" w:type="dxa"/>
            <w:tcBorders>
              <w:top w:val="nil"/>
              <w:left w:val="nil"/>
              <w:bottom w:val="nil"/>
              <w:right w:val="nil"/>
            </w:tcBorders>
            <w:shd w:val="clear" w:color="auto" w:fill="auto"/>
            <w:noWrap/>
            <w:vAlign w:val="bottom"/>
            <w:hideMark/>
          </w:tcPr>
          <w:p w14:paraId="2A36D9C5"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0.712</w:t>
            </w:r>
          </w:p>
        </w:tc>
        <w:tc>
          <w:tcPr>
            <w:tcW w:w="578" w:type="dxa"/>
            <w:tcBorders>
              <w:top w:val="nil"/>
              <w:left w:val="nil"/>
              <w:bottom w:val="nil"/>
              <w:right w:val="nil"/>
            </w:tcBorders>
            <w:shd w:val="clear" w:color="auto" w:fill="auto"/>
            <w:noWrap/>
            <w:vAlign w:val="bottom"/>
            <w:hideMark/>
          </w:tcPr>
          <w:p w14:paraId="154D2114"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0.429</w:t>
            </w:r>
          </w:p>
        </w:tc>
        <w:tc>
          <w:tcPr>
            <w:tcW w:w="730" w:type="dxa"/>
            <w:tcBorders>
              <w:top w:val="nil"/>
              <w:left w:val="nil"/>
              <w:bottom w:val="nil"/>
              <w:right w:val="nil"/>
            </w:tcBorders>
            <w:shd w:val="clear" w:color="auto" w:fill="auto"/>
            <w:noWrap/>
            <w:vAlign w:val="bottom"/>
            <w:hideMark/>
          </w:tcPr>
          <w:p w14:paraId="4AFAACD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0.279</w:t>
            </w:r>
          </w:p>
        </w:tc>
        <w:tc>
          <w:tcPr>
            <w:tcW w:w="660" w:type="dxa"/>
            <w:tcBorders>
              <w:top w:val="nil"/>
              <w:left w:val="nil"/>
              <w:bottom w:val="nil"/>
              <w:right w:val="nil"/>
            </w:tcBorders>
            <w:shd w:val="clear" w:color="auto" w:fill="auto"/>
            <w:noWrap/>
            <w:vAlign w:val="bottom"/>
            <w:hideMark/>
          </w:tcPr>
          <w:p w14:paraId="0DC4C2BE"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0.828</w:t>
            </w:r>
          </w:p>
        </w:tc>
        <w:tc>
          <w:tcPr>
            <w:tcW w:w="578" w:type="dxa"/>
            <w:tcBorders>
              <w:top w:val="nil"/>
              <w:left w:val="nil"/>
              <w:bottom w:val="nil"/>
              <w:right w:val="nil"/>
            </w:tcBorders>
            <w:shd w:val="clear" w:color="auto" w:fill="auto"/>
            <w:noWrap/>
            <w:vAlign w:val="bottom"/>
            <w:hideMark/>
          </w:tcPr>
          <w:p w14:paraId="506FAD5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0.549</w:t>
            </w:r>
          </w:p>
        </w:tc>
        <w:tc>
          <w:tcPr>
            <w:tcW w:w="578" w:type="dxa"/>
            <w:tcBorders>
              <w:top w:val="nil"/>
              <w:left w:val="nil"/>
              <w:bottom w:val="nil"/>
              <w:right w:val="nil"/>
            </w:tcBorders>
            <w:shd w:val="clear" w:color="auto" w:fill="auto"/>
            <w:noWrap/>
            <w:vAlign w:val="bottom"/>
            <w:hideMark/>
          </w:tcPr>
          <w:p w14:paraId="6758E26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0.916</w:t>
            </w:r>
          </w:p>
        </w:tc>
      </w:tr>
      <w:tr w:rsidR="00F80FF3" w:rsidRPr="00F80FF3" w14:paraId="6170A26E" w14:textId="77777777" w:rsidTr="00F80FF3">
        <w:trPr>
          <w:trHeight w:val="320"/>
        </w:trPr>
        <w:tc>
          <w:tcPr>
            <w:tcW w:w="2620" w:type="dxa"/>
            <w:tcBorders>
              <w:top w:val="nil"/>
              <w:left w:val="nil"/>
              <w:bottom w:val="nil"/>
              <w:right w:val="nil"/>
            </w:tcBorders>
            <w:shd w:val="clear" w:color="auto" w:fill="auto"/>
            <w:noWrap/>
            <w:vAlign w:val="bottom"/>
            <w:hideMark/>
          </w:tcPr>
          <w:p w14:paraId="0A0FFE8E"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Uruguay</w:t>
            </w:r>
          </w:p>
        </w:tc>
        <w:tc>
          <w:tcPr>
            <w:tcW w:w="578" w:type="dxa"/>
            <w:tcBorders>
              <w:top w:val="nil"/>
              <w:left w:val="nil"/>
              <w:bottom w:val="nil"/>
              <w:right w:val="nil"/>
            </w:tcBorders>
            <w:shd w:val="clear" w:color="auto" w:fill="auto"/>
            <w:noWrap/>
            <w:vAlign w:val="bottom"/>
            <w:hideMark/>
          </w:tcPr>
          <w:p w14:paraId="22A54BC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0.804</w:t>
            </w:r>
          </w:p>
        </w:tc>
        <w:tc>
          <w:tcPr>
            <w:tcW w:w="864" w:type="dxa"/>
            <w:tcBorders>
              <w:top w:val="nil"/>
              <w:left w:val="single" w:sz="4" w:space="0" w:color="auto"/>
              <w:bottom w:val="nil"/>
              <w:right w:val="single" w:sz="8" w:space="0" w:color="auto"/>
            </w:tcBorders>
            <w:shd w:val="clear" w:color="auto" w:fill="auto"/>
            <w:noWrap/>
            <w:vAlign w:val="bottom"/>
            <w:hideMark/>
          </w:tcPr>
          <w:p w14:paraId="3A58E1FE" w14:textId="77777777" w:rsidR="00F80FF3" w:rsidRPr="00F80FF3" w:rsidRDefault="00F80FF3" w:rsidP="00F80FF3">
            <w:pPr>
              <w:jc w:val="right"/>
              <w:rPr>
                <w:rFonts w:ascii="Times New Roman" w:eastAsia="Times New Roman" w:hAnsi="Times New Roman" w:cs="Times New Roman"/>
                <w:sz w:val="14"/>
                <w:szCs w:val="14"/>
                <w:lang w:eastAsia="en-GB"/>
              </w:rPr>
            </w:pPr>
            <w:r w:rsidRPr="00F80FF3">
              <w:rPr>
                <w:rFonts w:ascii="Times New Roman" w:eastAsia="Times New Roman" w:hAnsi="Times New Roman" w:cs="Times New Roman"/>
                <w:sz w:val="14"/>
                <w:szCs w:val="14"/>
                <w:lang w:eastAsia="en-GB"/>
              </w:rPr>
              <w:t>31811</w:t>
            </w:r>
          </w:p>
        </w:tc>
        <w:tc>
          <w:tcPr>
            <w:tcW w:w="618" w:type="dxa"/>
            <w:tcBorders>
              <w:top w:val="nil"/>
              <w:left w:val="nil"/>
              <w:bottom w:val="nil"/>
              <w:right w:val="nil"/>
            </w:tcBorders>
            <w:shd w:val="clear" w:color="auto" w:fill="auto"/>
            <w:noWrap/>
            <w:vAlign w:val="bottom"/>
            <w:hideMark/>
          </w:tcPr>
          <w:p w14:paraId="7EE298C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-0.266</w:t>
            </w:r>
          </w:p>
        </w:tc>
        <w:tc>
          <w:tcPr>
            <w:tcW w:w="601" w:type="dxa"/>
            <w:tcBorders>
              <w:top w:val="nil"/>
              <w:left w:val="nil"/>
              <w:bottom w:val="nil"/>
              <w:right w:val="nil"/>
            </w:tcBorders>
            <w:shd w:val="clear" w:color="auto" w:fill="auto"/>
            <w:noWrap/>
            <w:vAlign w:val="bottom"/>
            <w:hideMark/>
          </w:tcPr>
          <w:p w14:paraId="560CCDE8"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-0.011</w:t>
            </w:r>
          </w:p>
        </w:tc>
        <w:tc>
          <w:tcPr>
            <w:tcW w:w="615" w:type="dxa"/>
            <w:tcBorders>
              <w:top w:val="nil"/>
              <w:left w:val="nil"/>
              <w:bottom w:val="nil"/>
              <w:right w:val="nil"/>
            </w:tcBorders>
            <w:shd w:val="clear" w:color="auto" w:fill="auto"/>
            <w:noWrap/>
            <w:vAlign w:val="bottom"/>
            <w:hideMark/>
          </w:tcPr>
          <w:p w14:paraId="44442A9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0.280</w:t>
            </w:r>
          </w:p>
        </w:tc>
        <w:tc>
          <w:tcPr>
            <w:tcW w:w="578" w:type="dxa"/>
            <w:tcBorders>
              <w:top w:val="nil"/>
              <w:left w:val="nil"/>
              <w:bottom w:val="nil"/>
              <w:right w:val="nil"/>
            </w:tcBorders>
            <w:shd w:val="clear" w:color="auto" w:fill="auto"/>
            <w:noWrap/>
            <w:vAlign w:val="bottom"/>
            <w:hideMark/>
          </w:tcPr>
          <w:p w14:paraId="0623305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0.291</w:t>
            </w:r>
          </w:p>
        </w:tc>
        <w:tc>
          <w:tcPr>
            <w:tcW w:w="730" w:type="dxa"/>
            <w:tcBorders>
              <w:top w:val="nil"/>
              <w:left w:val="nil"/>
              <w:bottom w:val="nil"/>
              <w:right w:val="nil"/>
            </w:tcBorders>
            <w:shd w:val="clear" w:color="auto" w:fill="auto"/>
            <w:noWrap/>
            <w:vAlign w:val="bottom"/>
            <w:hideMark/>
          </w:tcPr>
          <w:p w14:paraId="0F0122CA"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-0.292</w:t>
            </w:r>
          </w:p>
        </w:tc>
        <w:tc>
          <w:tcPr>
            <w:tcW w:w="660" w:type="dxa"/>
            <w:tcBorders>
              <w:top w:val="nil"/>
              <w:left w:val="nil"/>
              <w:bottom w:val="nil"/>
              <w:right w:val="nil"/>
            </w:tcBorders>
            <w:shd w:val="clear" w:color="auto" w:fill="auto"/>
            <w:noWrap/>
            <w:vAlign w:val="bottom"/>
            <w:hideMark/>
          </w:tcPr>
          <w:p w14:paraId="39A05BED"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0.402</w:t>
            </w:r>
          </w:p>
        </w:tc>
        <w:tc>
          <w:tcPr>
            <w:tcW w:w="578" w:type="dxa"/>
            <w:tcBorders>
              <w:top w:val="nil"/>
              <w:left w:val="nil"/>
              <w:bottom w:val="nil"/>
              <w:right w:val="nil"/>
            </w:tcBorders>
            <w:shd w:val="clear" w:color="auto" w:fill="auto"/>
            <w:noWrap/>
            <w:vAlign w:val="bottom"/>
            <w:hideMark/>
          </w:tcPr>
          <w:p w14:paraId="57F363F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0.694</w:t>
            </w:r>
          </w:p>
        </w:tc>
        <w:tc>
          <w:tcPr>
            <w:tcW w:w="578" w:type="dxa"/>
            <w:tcBorders>
              <w:top w:val="nil"/>
              <w:left w:val="nil"/>
              <w:bottom w:val="nil"/>
              <w:right w:val="nil"/>
            </w:tcBorders>
            <w:shd w:val="clear" w:color="auto" w:fill="auto"/>
            <w:noWrap/>
            <w:vAlign w:val="bottom"/>
            <w:hideMark/>
          </w:tcPr>
          <w:p w14:paraId="2F4E146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0.878</w:t>
            </w:r>
          </w:p>
        </w:tc>
      </w:tr>
      <w:tr w:rsidR="00F80FF3" w:rsidRPr="00F80FF3" w14:paraId="7B50D552" w14:textId="77777777" w:rsidTr="00F80FF3">
        <w:trPr>
          <w:trHeight w:val="320"/>
        </w:trPr>
        <w:tc>
          <w:tcPr>
            <w:tcW w:w="2620" w:type="dxa"/>
            <w:tcBorders>
              <w:top w:val="nil"/>
              <w:left w:val="nil"/>
              <w:bottom w:val="nil"/>
              <w:right w:val="nil"/>
            </w:tcBorders>
            <w:shd w:val="clear" w:color="auto" w:fill="auto"/>
            <w:noWrap/>
            <w:vAlign w:val="bottom"/>
            <w:hideMark/>
          </w:tcPr>
          <w:p w14:paraId="391443F5" w14:textId="77777777" w:rsidR="00F80FF3" w:rsidRPr="00F80FF3" w:rsidRDefault="00F80FF3" w:rsidP="00F80FF3">
            <w:pPr>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Viet Nam</w:t>
            </w:r>
          </w:p>
        </w:tc>
        <w:tc>
          <w:tcPr>
            <w:tcW w:w="578" w:type="dxa"/>
            <w:tcBorders>
              <w:top w:val="nil"/>
              <w:left w:val="nil"/>
              <w:bottom w:val="nil"/>
              <w:right w:val="nil"/>
            </w:tcBorders>
            <w:shd w:val="clear" w:color="auto" w:fill="auto"/>
            <w:noWrap/>
            <w:vAlign w:val="bottom"/>
            <w:hideMark/>
          </w:tcPr>
          <w:p w14:paraId="597FDA5B"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0.694</w:t>
            </w:r>
          </w:p>
        </w:tc>
        <w:tc>
          <w:tcPr>
            <w:tcW w:w="864" w:type="dxa"/>
            <w:tcBorders>
              <w:top w:val="nil"/>
              <w:left w:val="nil"/>
              <w:bottom w:val="nil"/>
              <w:right w:val="nil"/>
            </w:tcBorders>
            <w:shd w:val="clear" w:color="auto" w:fill="auto"/>
            <w:noWrap/>
            <w:vAlign w:val="bottom"/>
            <w:hideMark/>
          </w:tcPr>
          <w:p w14:paraId="18E8B26C"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p>
        </w:tc>
        <w:tc>
          <w:tcPr>
            <w:tcW w:w="618" w:type="dxa"/>
            <w:tcBorders>
              <w:top w:val="nil"/>
              <w:left w:val="nil"/>
              <w:bottom w:val="nil"/>
              <w:right w:val="nil"/>
            </w:tcBorders>
            <w:shd w:val="clear" w:color="auto" w:fill="auto"/>
            <w:noWrap/>
            <w:vAlign w:val="bottom"/>
            <w:hideMark/>
          </w:tcPr>
          <w:p w14:paraId="32119926"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0.409</w:t>
            </w:r>
          </w:p>
        </w:tc>
        <w:tc>
          <w:tcPr>
            <w:tcW w:w="601" w:type="dxa"/>
            <w:tcBorders>
              <w:top w:val="nil"/>
              <w:left w:val="nil"/>
              <w:bottom w:val="nil"/>
              <w:right w:val="nil"/>
            </w:tcBorders>
            <w:shd w:val="clear" w:color="auto" w:fill="auto"/>
            <w:noWrap/>
            <w:vAlign w:val="bottom"/>
            <w:hideMark/>
          </w:tcPr>
          <w:p w14:paraId="682D1E52"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0.620</w:t>
            </w:r>
          </w:p>
        </w:tc>
        <w:tc>
          <w:tcPr>
            <w:tcW w:w="615" w:type="dxa"/>
            <w:tcBorders>
              <w:top w:val="nil"/>
              <w:left w:val="nil"/>
              <w:bottom w:val="nil"/>
              <w:right w:val="nil"/>
            </w:tcBorders>
            <w:shd w:val="clear" w:color="auto" w:fill="auto"/>
            <w:noWrap/>
            <w:vAlign w:val="bottom"/>
            <w:hideMark/>
          </w:tcPr>
          <w:p w14:paraId="25F10FA0"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1.184</w:t>
            </w:r>
          </w:p>
        </w:tc>
        <w:tc>
          <w:tcPr>
            <w:tcW w:w="578" w:type="dxa"/>
            <w:tcBorders>
              <w:top w:val="nil"/>
              <w:left w:val="nil"/>
              <w:bottom w:val="nil"/>
              <w:right w:val="nil"/>
            </w:tcBorders>
            <w:shd w:val="clear" w:color="auto" w:fill="auto"/>
            <w:noWrap/>
            <w:vAlign w:val="bottom"/>
            <w:hideMark/>
          </w:tcPr>
          <w:p w14:paraId="2BF12CD1"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0.564</w:t>
            </w:r>
          </w:p>
        </w:tc>
        <w:tc>
          <w:tcPr>
            <w:tcW w:w="730" w:type="dxa"/>
            <w:tcBorders>
              <w:top w:val="nil"/>
              <w:left w:val="nil"/>
              <w:bottom w:val="nil"/>
              <w:right w:val="nil"/>
            </w:tcBorders>
            <w:shd w:val="clear" w:color="auto" w:fill="auto"/>
            <w:noWrap/>
            <w:vAlign w:val="bottom"/>
            <w:hideMark/>
          </w:tcPr>
          <w:p w14:paraId="5E51108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0.470</w:t>
            </w:r>
          </w:p>
        </w:tc>
        <w:tc>
          <w:tcPr>
            <w:tcW w:w="660" w:type="dxa"/>
            <w:tcBorders>
              <w:top w:val="nil"/>
              <w:left w:val="nil"/>
              <w:bottom w:val="nil"/>
              <w:right w:val="nil"/>
            </w:tcBorders>
            <w:shd w:val="clear" w:color="auto" w:fill="auto"/>
            <w:noWrap/>
            <w:vAlign w:val="bottom"/>
            <w:hideMark/>
          </w:tcPr>
          <w:p w14:paraId="66F443F7"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0.820</w:t>
            </w:r>
          </w:p>
        </w:tc>
        <w:tc>
          <w:tcPr>
            <w:tcW w:w="578" w:type="dxa"/>
            <w:tcBorders>
              <w:top w:val="nil"/>
              <w:left w:val="nil"/>
              <w:bottom w:val="nil"/>
              <w:right w:val="nil"/>
            </w:tcBorders>
            <w:shd w:val="clear" w:color="auto" w:fill="auto"/>
            <w:noWrap/>
            <w:vAlign w:val="bottom"/>
            <w:hideMark/>
          </w:tcPr>
          <w:p w14:paraId="43E03FA9"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0.350</w:t>
            </w:r>
          </w:p>
        </w:tc>
        <w:tc>
          <w:tcPr>
            <w:tcW w:w="578" w:type="dxa"/>
            <w:tcBorders>
              <w:top w:val="nil"/>
              <w:left w:val="nil"/>
              <w:bottom w:val="nil"/>
              <w:right w:val="nil"/>
            </w:tcBorders>
            <w:shd w:val="clear" w:color="auto" w:fill="auto"/>
            <w:noWrap/>
            <w:vAlign w:val="bottom"/>
            <w:hideMark/>
          </w:tcPr>
          <w:p w14:paraId="0CF70393" w14:textId="77777777" w:rsidR="00F80FF3" w:rsidRPr="00F80FF3" w:rsidRDefault="00F80FF3" w:rsidP="00F80FF3">
            <w:pPr>
              <w:jc w:val="right"/>
              <w:rPr>
                <w:rFonts w:ascii="Times New Roman" w:eastAsia="Times New Roman" w:hAnsi="Times New Roman" w:cs="Times New Roman"/>
                <w:color w:val="000000"/>
                <w:sz w:val="14"/>
                <w:szCs w:val="14"/>
                <w:lang w:eastAsia="en-GB"/>
              </w:rPr>
            </w:pPr>
            <w:r w:rsidRPr="00F80FF3">
              <w:rPr>
                <w:rFonts w:ascii="Times New Roman" w:eastAsia="Times New Roman" w:hAnsi="Times New Roman" w:cs="Times New Roman"/>
                <w:color w:val="000000"/>
                <w:sz w:val="14"/>
                <w:szCs w:val="14"/>
                <w:lang w:eastAsia="en-GB"/>
              </w:rPr>
              <w:t>0.747</w:t>
            </w:r>
          </w:p>
        </w:tc>
      </w:tr>
    </w:tbl>
    <w:p w14:paraId="4B202A98" w14:textId="77777777" w:rsidR="00551ECE" w:rsidRDefault="00551ECE">
      <w:bookmarkStart w:id="0" w:name="_GoBack"/>
      <w:bookmarkEnd w:id="0"/>
    </w:p>
    <w:sectPr w:rsidR="00551ECE" w:rsidSect="002E7F65">
      <w:footerReference w:type="even" r:id="rId8"/>
      <w:footerReference w:type="default" r:id="rId9"/>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3BBE" w14:textId="77777777" w:rsidR="009D54DD" w:rsidRDefault="009D54DD" w:rsidP="002160EE">
      <w:r>
        <w:separator/>
      </w:r>
    </w:p>
  </w:endnote>
  <w:endnote w:type="continuationSeparator" w:id="0">
    <w:p w14:paraId="60DD5FF3" w14:textId="77777777" w:rsidR="009D54DD" w:rsidRDefault="009D54DD" w:rsidP="0021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9617693"/>
      <w:docPartObj>
        <w:docPartGallery w:val="Page Numbers (Bottom of Page)"/>
        <w:docPartUnique/>
      </w:docPartObj>
    </w:sdtPr>
    <w:sdtContent>
      <w:p w14:paraId="7BF6BFD0" w14:textId="08990F7D" w:rsidR="00551ECE" w:rsidRDefault="00551ECE" w:rsidP="002E7F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76266" w14:textId="77777777" w:rsidR="00551ECE" w:rsidRDefault="00551ECE" w:rsidP="00216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1865628"/>
      <w:docPartObj>
        <w:docPartGallery w:val="Page Numbers (Bottom of Page)"/>
        <w:docPartUnique/>
      </w:docPartObj>
    </w:sdtPr>
    <w:sdtContent>
      <w:p w14:paraId="4915AC44" w14:textId="329CD20D" w:rsidR="00551ECE" w:rsidRDefault="00551ECE" w:rsidP="002E7F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7420A7" w14:textId="77777777" w:rsidR="00551ECE" w:rsidRDefault="00551ECE" w:rsidP="002160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5E9F" w14:textId="77777777" w:rsidR="009D54DD" w:rsidRDefault="009D54DD" w:rsidP="002160EE">
      <w:r>
        <w:separator/>
      </w:r>
    </w:p>
  </w:footnote>
  <w:footnote w:type="continuationSeparator" w:id="0">
    <w:p w14:paraId="4DA053A8" w14:textId="77777777" w:rsidR="009D54DD" w:rsidRDefault="009D54DD" w:rsidP="0021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F1D"/>
    <w:multiLevelType w:val="multilevel"/>
    <w:tmpl w:val="29F054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9D1875"/>
    <w:multiLevelType w:val="multilevel"/>
    <w:tmpl w:val="E7DC5F86"/>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422F4075"/>
    <w:multiLevelType w:val="multilevel"/>
    <w:tmpl w:val="2CA626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5E26F7"/>
    <w:multiLevelType w:val="hybridMultilevel"/>
    <w:tmpl w:val="6BE0E3AA"/>
    <w:lvl w:ilvl="0" w:tplc="CD1E7B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BD"/>
    <w:rsid w:val="00001D52"/>
    <w:rsid w:val="000722CE"/>
    <w:rsid w:val="000B6185"/>
    <w:rsid w:val="000C0CE4"/>
    <w:rsid w:val="002160EE"/>
    <w:rsid w:val="002520B9"/>
    <w:rsid w:val="00291143"/>
    <w:rsid w:val="002A26A4"/>
    <w:rsid w:val="002D25E8"/>
    <w:rsid w:val="002E1142"/>
    <w:rsid w:val="002E7F65"/>
    <w:rsid w:val="00302C59"/>
    <w:rsid w:val="003401DA"/>
    <w:rsid w:val="00377056"/>
    <w:rsid w:val="00393658"/>
    <w:rsid w:val="003960D0"/>
    <w:rsid w:val="003A09C8"/>
    <w:rsid w:val="003C190C"/>
    <w:rsid w:val="004764BB"/>
    <w:rsid w:val="004D71A8"/>
    <w:rsid w:val="00551ECE"/>
    <w:rsid w:val="00560127"/>
    <w:rsid w:val="006467D7"/>
    <w:rsid w:val="006812DF"/>
    <w:rsid w:val="00753BF4"/>
    <w:rsid w:val="00761EC4"/>
    <w:rsid w:val="007A22F6"/>
    <w:rsid w:val="00852518"/>
    <w:rsid w:val="008D7421"/>
    <w:rsid w:val="008E0C28"/>
    <w:rsid w:val="009365B5"/>
    <w:rsid w:val="009D54DD"/>
    <w:rsid w:val="00A24EB5"/>
    <w:rsid w:val="00B61848"/>
    <w:rsid w:val="00B94DAD"/>
    <w:rsid w:val="00BC26C4"/>
    <w:rsid w:val="00C265F5"/>
    <w:rsid w:val="00C30A85"/>
    <w:rsid w:val="00C7203D"/>
    <w:rsid w:val="00CB4F06"/>
    <w:rsid w:val="00E0153D"/>
    <w:rsid w:val="00E22857"/>
    <w:rsid w:val="00E465D7"/>
    <w:rsid w:val="00E55E0B"/>
    <w:rsid w:val="00E778BD"/>
    <w:rsid w:val="00EB0344"/>
    <w:rsid w:val="00EC4401"/>
    <w:rsid w:val="00F273DF"/>
    <w:rsid w:val="00F5216F"/>
    <w:rsid w:val="00F80FF3"/>
    <w:rsid w:val="00FB1E08"/>
    <w:rsid w:val="00FB2FF1"/>
    <w:rsid w:val="00FF6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2877095"/>
  <w15:chartTrackingRefBased/>
  <w15:docId w15:val="{DA8D60B7-C39E-F84E-99DD-11CC9370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8BD"/>
    <w:pPr>
      <w:ind w:left="720"/>
      <w:contextualSpacing/>
    </w:pPr>
  </w:style>
  <w:style w:type="paragraph" w:styleId="Footer">
    <w:name w:val="footer"/>
    <w:basedOn w:val="Normal"/>
    <w:link w:val="FooterChar"/>
    <w:uiPriority w:val="99"/>
    <w:unhideWhenUsed/>
    <w:rsid w:val="002160EE"/>
    <w:pPr>
      <w:tabs>
        <w:tab w:val="center" w:pos="4680"/>
        <w:tab w:val="right" w:pos="9360"/>
      </w:tabs>
    </w:pPr>
  </w:style>
  <w:style w:type="character" w:customStyle="1" w:styleId="FooterChar">
    <w:name w:val="Footer Char"/>
    <w:basedOn w:val="DefaultParagraphFont"/>
    <w:link w:val="Footer"/>
    <w:uiPriority w:val="99"/>
    <w:rsid w:val="002160EE"/>
    <w:rPr>
      <w:rFonts w:eastAsiaTheme="minorEastAsia"/>
    </w:rPr>
  </w:style>
  <w:style w:type="character" w:styleId="PageNumber">
    <w:name w:val="page number"/>
    <w:basedOn w:val="DefaultParagraphFont"/>
    <w:uiPriority w:val="99"/>
    <w:semiHidden/>
    <w:unhideWhenUsed/>
    <w:rsid w:val="002160EE"/>
  </w:style>
  <w:style w:type="character" w:styleId="Hyperlink">
    <w:name w:val="Hyperlink"/>
    <w:basedOn w:val="DefaultParagraphFont"/>
    <w:uiPriority w:val="99"/>
    <w:unhideWhenUsed/>
    <w:rsid w:val="00FF66E7"/>
    <w:rPr>
      <w:color w:val="0563C1" w:themeColor="hyperlink"/>
      <w:u w:val="single"/>
    </w:rPr>
  </w:style>
  <w:style w:type="paragraph" w:styleId="NormalWeb">
    <w:name w:val="Normal (Web)"/>
    <w:basedOn w:val="Normal"/>
    <w:uiPriority w:val="99"/>
    <w:unhideWhenUsed/>
    <w:rsid w:val="00FF66E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80FF3"/>
    <w:rPr>
      <w:color w:val="954F72"/>
      <w:u w:val="single"/>
    </w:rPr>
  </w:style>
  <w:style w:type="paragraph" w:customStyle="1" w:styleId="msonormal0">
    <w:name w:val="msonormal"/>
    <w:basedOn w:val="Normal"/>
    <w:rsid w:val="00F80FF3"/>
    <w:pPr>
      <w:spacing w:before="100" w:beforeAutospacing="1" w:after="100" w:afterAutospacing="1"/>
    </w:pPr>
    <w:rPr>
      <w:rFonts w:ascii="Times New Roman" w:eastAsia="Times New Roman" w:hAnsi="Times New Roman" w:cs="Times New Roman"/>
      <w:lang w:eastAsia="en-GB"/>
    </w:rPr>
  </w:style>
  <w:style w:type="paragraph" w:customStyle="1" w:styleId="xl66">
    <w:name w:val="xl66"/>
    <w:basedOn w:val="Normal"/>
    <w:rsid w:val="00F80FF3"/>
    <w:pPr>
      <w:spacing w:before="100" w:beforeAutospacing="1" w:after="100" w:afterAutospacing="1"/>
    </w:pPr>
    <w:rPr>
      <w:rFonts w:ascii="Times New Roman" w:eastAsia="Times New Roman" w:hAnsi="Times New Roman" w:cs="Times New Roman"/>
      <w:b/>
      <w:bCs/>
      <w:sz w:val="16"/>
      <w:szCs w:val="16"/>
      <w:lang w:eastAsia="en-GB"/>
    </w:rPr>
  </w:style>
  <w:style w:type="paragraph" w:customStyle="1" w:styleId="xl67">
    <w:name w:val="xl67"/>
    <w:basedOn w:val="Normal"/>
    <w:rsid w:val="00F80FF3"/>
    <w:pPr>
      <w:spacing w:before="100" w:beforeAutospacing="1" w:after="100" w:afterAutospacing="1"/>
    </w:pPr>
    <w:rPr>
      <w:rFonts w:ascii="Times New Roman" w:eastAsia="Times New Roman" w:hAnsi="Times New Roman" w:cs="Times New Roman"/>
      <w:sz w:val="14"/>
      <w:szCs w:val="14"/>
      <w:lang w:eastAsia="en-GB"/>
    </w:rPr>
  </w:style>
  <w:style w:type="paragraph" w:customStyle="1" w:styleId="xl68">
    <w:name w:val="xl68"/>
    <w:basedOn w:val="Normal"/>
    <w:rsid w:val="00F80FF3"/>
    <w:pPr>
      <w:spacing w:before="100" w:beforeAutospacing="1" w:after="100" w:afterAutospacing="1"/>
    </w:pPr>
    <w:rPr>
      <w:rFonts w:ascii="Times New Roman" w:eastAsia="Times New Roman" w:hAnsi="Times New Roman" w:cs="Times New Roman"/>
      <w:sz w:val="14"/>
      <w:szCs w:val="14"/>
      <w:lang w:eastAsia="en-GB"/>
    </w:rPr>
  </w:style>
  <w:style w:type="paragraph" w:customStyle="1" w:styleId="xl69">
    <w:name w:val="xl69"/>
    <w:basedOn w:val="Normal"/>
    <w:rsid w:val="00F80FF3"/>
    <w:pPr>
      <w:spacing w:before="100" w:beforeAutospacing="1" w:after="100" w:afterAutospacing="1"/>
    </w:pPr>
    <w:rPr>
      <w:rFonts w:ascii="Times New Roman" w:eastAsia="Times New Roman" w:hAnsi="Times New Roman" w:cs="Times New Roman"/>
      <w:sz w:val="14"/>
      <w:szCs w:val="14"/>
      <w:lang w:eastAsia="en-GB"/>
    </w:rPr>
  </w:style>
  <w:style w:type="paragraph" w:customStyle="1" w:styleId="xl70">
    <w:name w:val="xl70"/>
    <w:basedOn w:val="Normal"/>
    <w:rsid w:val="00F80FF3"/>
    <w:pPr>
      <w:pBdr>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14"/>
      <w:szCs w:val="14"/>
      <w:lang w:eastAsia="en-GB"/>
    </w:rPr>
  </w:style>
  <w:style w:type="paragraph" w:customStyle="1" w:styleId="xl71">
    <w:name w:val="xl71"/>
    <w:basedOn w:val="Normal"/>
    <w:rsid w:val="00F80FF3"/>
    <w:pPr>
      <w:spacing w:before="100" w:beforeAutospacing="1" w:after="100" w:afterAutospacing="1"/>
    </w:pPr>
    <w:rPr>
      <w:rFonts w:ascii="Times New Roman" w:eastAsia="Times New Roman" w:hAnsi="Times New Roman" w:cs="Times New Roman"/>
      <w:b/>
      <w:bCs/>
      <w:sz w:val="10"/>
      <w:szCs w:val="10"/>
      <w:lang w:eastAsia="en-GB"/>
    </w:rPr>
  </w:style>
  <w:style w:type="paragraph" w:customStyle="1" w:styleId="xl72">
    <w:name w:val="xl72"/>
    <w:basedOn w:val="Normal"/>
    <w:rsid w:val="00F80FF3"/>
    <w:pPr>
      <w:spacing w:before="100" w:beforeAutospacing="1" w:after="100" w:afterAutospacing="1"/>
    </w:pPr>
    <w:rPr>
      <w:rFonts w:ascii="Times New Roman" w:eastAsia="Times New Roman" w:hAnsi="Times New Roman" w:cs="Times New Roman"/>
      <w:b/>
      <w:bCs/>
      <w:sz w:val="10"/>
      <w:szCs w:val="10"/>
      <w:lang w:eastAsia="en-GB"/>
    </w:rPr>
  </w:style>
  <w:style w:type="paragraph" w:customStyle="1" w:styleId="xl73">
    <w:name w:val="xl73"/>
    <w:basedOn w:val="Normal"/>
    <w:rsid w:val="00F80FF3"/>
    <w:pPr>
      <w:spacing w:before="100" w:beforeAutospacing="1" w:after="100" w:afterAutospacing="1"/>
    </w:pPr>
    <w:rPr>
      <w:rFonts w:ascii="Times New Roman" w:eastAsia="Times New Roman" w:hAnsi="Times New Roman" w:cs="Times New Roman"/>
      <w:b/>
      <w:bCs/>
      <w:sz w:val="10"/>
      <w:szCs w:val="10"/>
      <w:lang w:eastAsia="en-GB"/>
    </w:rPr>
  </w:style>
  <w:style w:type="paragraph" w:customStyle="1" w:styleId="xl74">
    <w:name w:val="xl74"/>
    <w:basedOn w:val="Normal"/>
    <w:rsid w:val="00F80FF3"/>
    <w:pPr>
      <w:spacing w:before="100" w:beforeAutospacing="1" w:after="100" w:afterAutospacing="1"/>
    </w:pPr>
    <w:rPr>
      <w:rFonts w:ascii="Times New Roman" w:eastAsia="Times New Roman" w:hAnsi="Times New Roman" w:cs="Times New Roman"/>
      <w:sz w:val="10"/>
      <w:szCs w:val="1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3118">
      <w:bodyDiv w:val="1"/>
      <w:marLeft w:val="0"/>
      <w:marRight w:val="0"/>
      <w:marTop w:val="0"/>
      <w:marBottom w:val="0"/>
      <w:divBdr>
        <w:top w:val="none" w:sz="0" w:space="0" w:color="auto"/>
        <w:left w:val="none" w:sz="0" w:space="0" w:color="auto"/>
        <w:bottom w:val="none" w:sz="0" w:space="0" w:color="auto"/>
        <w:right w:val="none" w:sz="0" w:space="0" w:color="auto"/>
      </w:divBdr>
    </w:div>
    <w:div w:id="640617406">
      <w:bodyDiv w:val="1"/>
      <w:marLeft w:val="0"/>
      <w:marRight w:val="0"/>
      <w:marTop w:val="0"/>
      <w:marBottom w:val="0"/>
      <w:divBdr>
        <w:top w:val="none" w:sz="0" w:space="0" w:color="auto"/>
        <w:left w:val="none" w:sz="0" w:space="0" w:color="auto"/>
        <w:bottom w:val="none" w:sz="0" w:space="0" w:color="auto"/>
        <w:right w:val="none" w:sz="0" w:space="0" w:color="auto"/>
      </w:divBdr>
    </w:div>
    <w:div w:id="644703631">
      <w:bodyDiv w:val="1"/>
      <w:marLeft w:val="0"/>
      <w:marRight w:val="0"/>
      <w:marTop w:val="0"/>
      <w:marBottom w:val="0"/>
      <w:divBdr>
        <w:top w:val="none" w:sz="0" w:space="0" w:color="auto"/>
        <w:left w:val="none" w:sz="0" w:space="0" w:color="auto"/>
        <w:bottom w:val="none" w:sz="0" w:space="0" w:color="auto"/>
        <w:right w:val="none" w:sz="0" w:space="0" w:color="auto"/>
      </w:divBdr>
    </w:div>
    <w:div w:id="909382811">
      <w:bodyDiv w:val="1"/>
      <w:marLeft w:val="0"/>
      <w:marRight w:val="0"/>
      <w:marTop w:val="0"/>
      <w:marBottom w:val="0"/>
      <w:divBdr>
        <w:top w:val="none" w:sz="0" w:space="0" w:color="auto"/>
        <w:left w:val="none" w:sz="0" w:space="0" w:color="auto"/>
        <w:bottom w:val="none" w:sz="0" w:space="0" w:color="auto"/>
        <w:right w:val="none" w:sz="0" w:space="0" w:color="auto"/>
      </w:divBdr>
    </w:div>
    <w:div w:id="1040127781">
      <w:bodyDiv w:val="1"/>
      <w:marLeft w:val="0"/>
      <w:marRight w:val="0"/>
      <w:marTop w:val="0"/>
      <w:marBottom w:val="0"/>
      <w:divBdr>
        <w:top w:val="none" w:sz="0" w:space="0" w:color="auto"/>
        <w:left w:val="none" w:sz="0" w:space="0" w:color="auto"/>
        <w:bottom w:val="none" w:sz="0" w:space="0" w:color="auto"/>
        <w:right w:val="none" w:sz="0" w:space="0" w:color="auto"/>
      </w:divBdr>
    </w:div>
    <w:div w:id="1168904946">
      <w:bodyDiv w:val="1"/>
      <w:marLeft w:val="0"/>
      <w:marRight w:val="0"/>
      <w:marTop w:val="0"/>
      <w:marBottom w:val="0"/>
      <w:divBdr>
        <w:top w:val="none" w:sz="0" w:space="0" w:color="auto"/>
        <w:left w:val="none" w:sz="0" w:space="0" w:color="auto"/>
        <w:bottom w:val="none" w:sz="0" w:space="0" w:color="auto"/>
        <w:right w:val="none" w:sz="0" w:space="0" w:color="auto"/>
      </w:divBdr>
    </w:div>
    <w:div w:id="1222012572">
      <w:bodyDiv w:val="1"/>
      <w:marLeft w:val="0"/>
      <w:marRight w:val="0"/>
      <w:marTop w:val="0"/>
      <w:marBottom w:val="0"/>
      <w:divBdr>
        <w:top w:val="none" w:sz="0" w:space="0" w:color="auto"/>
        <w:left w:val="none" w:sz="0" w:space="0" w:color="auto"/>
        <w:bottom w:val="none" w:sz="0" w:space="0" w:color="auto"/>
        <w:right w:val="none" w:sz="0" w:space="0" w:color="auto"/>
      </w:divBdr>
    </w:div>
    <w:div w:id="1350369440">
      <w:bodyDiv w:val="1"/>
      <w:marLeft w:val="0"/>
      <w:marRight w:val="0"/>
      <w:marTop w:val="0"/>
      <w:marBottom w:val="0"/>
      <w:divBdr>
        <w:top w:val="none" w:sz="0" w:space="0" w:color="auto"/>
        <w:left w:val="none" w:sz="0" w:space="0" w:color="auto"/>
        <w:bottom w:val="none" w:sz="0" w:space="0" w:color="auto"/>
        <w:right w:val="none" w:sz="0" w:space="0" w:color="auto"/>
      </w:divBdr>
    </w:div>
    <w:div w:id="1465655093">
      <w:bodyDiv w:val="1"/>
      <w:marLeft w:val="0"/>
      <w:marRight w:val="0"/>
      <w:marTop w:val="0"/>
      <w:marBottom w:val="0"/>
      <w:divBdr>
        <w:top w:val="none" w:sz="0" w:space="0" w:color="auto"/>
        <w:left w:val="none" w:sz="0" w:space="0" w:color="auto"/>
        <w:bottom w:val="none" w:sz="0" w:space="0" w:color="auto"/>
        <w:right w:val="none" w:sz="0" w:space="0" w:color="auto"/>
      </w:divBdr>
    </w:div>
    <w:div w:id="1558542584">
      <w:bodyDiv w:val="1"/>
      <w:marLeft w:val="0"/>
      <w:marRight w:val="0"/>
      <w:marTop w:val="0"/>
      <w:marBottom w:val="0"/>
      <w:divBdr>
        <w:top w:val="none" w:sz="0" w:space="0" w:color="auto"/>
        <w:left w:val="none" w:sz="0" w:space="0" w:color="auto"/>
        <w:bottom w:val="none" w:sz="0" w:space="0" w:color="auto"/>
        <w:right w:val="none" w:sz="0" w:space="0" w:color="auto"/>
      </w:divBdr>
    </w:div>
    <w:div w:id="1675915002">
      <w:bodyDiv w:val="1"/>
      <w:marLeft w:val="0"/>
      <w:marRight w:val="0"/>
      <w:marTop w:val="0"/>
      <w:marBottom w:val="0"/>
      <w:divBdr>
        <w:top w:val="none" w:sz="0" w:space="0" w:color="auto"/>
        <w:left w:val="none" w:sz="0" w:space="0" w:color="auto"/>
        <w:bottom w:val="none" w:sz="0" w:space="0" w:color="auto"/>
        <w:right w:val="none" w:sz="0" w:space="0" w:color="auto"/>
      </w:divBdr>
    </w:div>
    <w:div w:id="1712027339">
      <w:bodyDiv w:val="1"/>
      <w:marLeft w:val="0"/>
      <w:marRight w:val="0"/>
      <w:marTop w:val="0"/>
      <w:marBottom w:val="0"/>
      <w:divBdr>
        <w:top w:val="none" w:sz="0" w:space="0" w:color="auto"/>
        <w:left w:val="none" w:sz="0" w:space="0" w:color="auto"/>
        <w:bottom w:val="none" w:sz="0" w:space="0" w:color="auto"/>
        <w:right w:val="none" w:sz="0" w:space="0" w:color="auto"/>
      </w:divBdr>
    </w:div>
    <w:div w:id="1809396805">
      <w:bodyDiv w:val="1"/>
      <w:marLeft w:val="0"/>
      <w:marRight w:val="0"/>
      <w:marTop w:val="0"/>
      <w:marBottom w:val="0"/>
      <w:divBdr>
        <w:top w:val="none" w:sz="0" w:space="0" w:color="auto"/>
        <w:left w:val="none" w:sz="0" w:space="0" w:color="auto"/>
        <w:bottom w:val="none" w:sz="0" w:space="0" w:color="auto"/>
        <w:right w:val="none" w:sz="0" w:space="0" w:color="auto"/>
      </w:divBdr>
    </w:div>
    <w:div w:id="1995796156">
      <w:bodyDiv w:val="1"/>
      <w:marLeft w:val="0"/>
      <w:marRight w:val="0"/>
      <w:marTop w:val="0"/>
      <w:marBottom w:val="0"/>
      <w:divBdr>
        <w:top w:val="none" w:sz="0" w:space="0" w:color="auto"/>
        <w:left w:val="none" w:sz="0" w:space="0" w:color="auto"/>
        <w:bottom w:val="none" w:sz="0" w:space="0" w:color="auto"/>
        <w:right w:val="none" w:sz="0" w:space="0" w:color="auto"/>
      </w:divBdr>
    </w:div>
    <w:div w:id="20617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dr.undp.org/en/content/human-development-index-h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2019-07-01T09:39:00Z</cp:lastPrinted>
  <dcterms:created xsi:type="dcterms:W3CDTF">2019-09-04T10:41:00Z</dcterms:created>
  <dcterms:modified xsi:type="dcterms:W3CDTF">2019-09-04T11:02:00Z</dcterms:modified>
</cp:coreProperties>
</file>