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E3FA" w14:textId="2F0015BA" w:rsidR="00F65E10" w:rsidRDefault="00F65E10" w:rsidP="003D34EC">
      <w:pPr>
        <w:pStyle w:val="Heading2"/>
        <w:rPr>
          <w:noProof/>
        </w:rPr>
      </w:pPr>
      <w:bookmarkStart w:id="0" w:name="_GoBack"/>
      <w:bookmarkEnd w:id="0"/>
      <w:r w:rsidRPr="003D34EC">
        <w:rPr>
          <w:noProof/>
        </w:rPr>
        <w:t xml:space="preserve">The Europeanisation of the </w:t>
      </w:r>
      <w:r w:rsidR="009E58F1">
        <w:rPr>
          <w:noProof/>
        </w:rPr>
        <w:t>H</w:t>
      </w:r>
      <w:r w:rsidRPr="003D34EC">
        <w:rPr>
          <w:noProof/>
        </w:rPr>
        <w:t xml:space="preserve">igher </w:t>
      </w:r>
      <w:r w:rsidR="0041756C">
        <w:rPr>
          <w:noProof/>
        </w:rPr>
        <w:t>Co</w:t>
      </w:r>
      <w:r w:rsidRPr="003D34EC">
        <w:rPr>
          <w:noProof/>
        </w:rPr>
        <w:t>urts in Ireland and Scotland</w:t>
      </w:r>
    </w:p>
    <w:p w14:paraId="08D822CC" w14:textId="77777777" w:rsidR="009E58F1" w:rsidRPr="009E58F1" w:rsidRDefault="009E58F1" w:rsidP="009E58F1"/>
    <w:p w14:paraId="7D77950A" w14:textId="35296278" w:rsidR="003D34EC" w:rsidRDefault="003D34EC" w:rsidP="003D34EC">
      <w:pPr>
        <w:jc w:val="both"/>
        <w:rPr>
          <w:b/>
          <w:noProof/>
        </w:rPr>
      </w:pPr>
      <w:r w:rsidRPr="003D34EC">
        <w:rPr>
          <w:b/>
          <w:noProof/>
        </w:rPr>
        <w:t>Imelda Maher and Ronan Riordan</w:t>
      </w:r>
      <w:r>
        <w:rPr>
          <w:b/>
          <w:noProof/>
        </w:rPr>
        <w:t>, UCD Sutherland School of Law</w:t>
      </w:r>
    </w:p>
    <w:p w14:paraId="0FB3574F" w14:textId="2036882E" w:rsidR="003D34EC" w:rsidRPr="003D34EC" w:rsidRDefault="003D34EC" w:rsidP="003D34EC">
      <w:pPr>
        <w:jc w:val="both"/>
        <w:rPr>
          <w:b/>
          <w:noProof/>
        </w:rPr>
      </w:pPr>
      <w:r>
        <w:rPr>
          <w:b/>
          <w:noProof/>
        </w:rPr>
        <w:t>Contact author: imelda.maher@ucd.ie</w:t>
      </w:r>
    </w:p>
    <w:p w14:paraId="09B86B42" w14:textId="63622EA6" w:rsidR="003D34EC" w:rsidRPr="003D34EC" w:rsidRDefault="003D34EC" w:rsidP="003D34EC">
      <w:pPr>
        <w:jc w:val="both"/>
        <w:rPr>
          <w:b/>
          <w:noProof/>
        </w:rPr>
      </w:pPr>
      <w:r w:rsidRPr="003D34EC">
        <w:rPr>
          <w:b/>
          <w:noProof/>
        </w:rPr>
        <w:t>Dublin EU Law Working Group March 1 2019</w:t>
      </w:r>
      <w:r>
        <w:rPr>
          <w:b/>
          <w:noProof/>
        </w:rPr>
        <w:t>, Trinity College Dublin</w:t>
      </w:r>
    </w:p>
    <w:p w14:paraId="68A5F978" w14:textId="638315AD" w:rsidR="003D34EC" w:rsidRDefault="003D34EC" w:rsidP="003D34EC">
      <w:pPr>
        <w:jc w:val="both"/>
        <w:rPr>
          <w:b/>
          <w:noProof/>
          <w:u w:val="single"/>
        </w:rPr>
      </w:pPr>
      <w:r>
        <w:rPr>
          <w:b/>
          <w:noProof/>
          <w:u w:val="single"/>
        </w:rPr>
        <w:t xml:space="preserve">Very Preliminary Paper </w:t>
      </w:r>
    </w:p>
    <w:p w14:paraId="708AB562" w14:textId="5DD7C929" w:rsidR="00F65E10" w:rsidRDefault="00932877" w:rsidP="003D34EC">
      <w:pPr>
        <w:jc w:val="both"/>
        <w:rPr>
          <w:noProof/>
        </w:rPr>
      </w:pPr>
      <w:r w:rsidRPr="00932877">
        <w:rPr>
          <w:noProof/>
        </w:rPr>
        <w:t xml:space="preserve">The discussion paper below sets out the preliminary stages of a project </w:t>
      </w:r>
      <w:r>
        <w:rPr>
          <w:noProof/>
        </w:rPr>
        <w:t xml:space="preserve">we are working on </w:t>
      </w:r>
      <w:r w:rsidR="00DB1322">
        <w:rPr>
          <w:noProof/>
        </w:rPr>
        <w:t>examining</w:t>
      </w:r>
      <w:r>
        <w:rPr>
          <w:noProof/>
        </w:rPr>
        <w:t xml:space="preserve"> EU Law in the Irish courts. The first stage of the project is an analysis </w:t>
      </w:r>
      <w:r w:rsidR="00DB1322">
        <w:rPr>
          <w:noProof/>
        </w:rPr>
        <w:t>of</w:t>
      </w:r>
      <w:r>
        <w:rPr>
          <w:noProof/>
        </w:rPr>
        <w:t xml:space="preserve"> the cases over the last 10 years (</w:t>
      </w:r>
      <w:r w:rsidR="00DB1322">
        <w:rPr>
          <w:noProof/>
        </w:rPr>
        <w:t>1.1.2009 - 31.12.</w:t>
      </w:r>
      <w:r>
        <w:rPr>
          <w:noProof/>
        </w:rPr>
        <w:t>2018) with an expectation over the medium term of more substantive</w:t>
      </w:r>
      <w:r w:rsidR="00DB1322">
        <w:rPr>
          <w:noProof/>
        </w:rPr>
        <w:t xml:space="preserve"> and doctrinal</w:t>
      </w:r>
      <w:r>
        <w:rPr>
          <w:noProof/>
        </w:rPr>
        <w:t xml:space="preserve"> analysis of how EU Law is applied by the courts.</w:t>
      </w:r>
    </w:p>
    <w:p w14:paraId="6E891942" w14:textId="5FD74BE4" w:rsidR="00932877" w:rsidRDefault="00932877" w:rsidP="003D34EC">
      <w:pPr>
        <w:jc w:val="both"/>
        <w:rPr>
          <w:noProof/>
        </w:rPr>
      </w:pPr>
      <w:r>
        <w:rPr>
          <w:noProof/>
        </w:rPr>
        <w:t>The project emerges from a preliminary study undertaken by Maher</w:t>
      </w:r>
      <w:r w:rsidR="00DB1322">
        <w:rPr>
          <w:noProof/>
        </w:rPr>
        <w:t xml:space="preserve"> (2018)</w:t>
      </w:r>
      <w:r>
        <w:rPr>
          <w:noProof/>
        </w:rPr>
        <w:t xml:space="preserve"> in Carolan’s edited book on the Irish Courts as part of the wider IPA series on the branches of government of the Irish State.  This in turn built on Fahey’s work</w:t>
      </w:r>
      <w:r w:rsidR="00352344">
        <w:rPr>
          <w:noProof/>
        </w:rPr>
        <w:t xml:space="preserve"> (2007, 2010)</w:t>
      </w:r>
      <w:r>
        <w:rPr>
          <w:noProof/>
        </w:rPr>
        <w:t xml:space="preserve"> on EU law in the Irish courts, with a particular emphasis on preliminary rulings.  Two themes emerged from Maher’s study: that there is an expotential growth in EU Law before the higher courts, partly due to environmental law and also due to European Arrest Warrant case law</w:t>
      </w:r>
      <w:r w:rsidR="00DB1322">
        <w:rPr>
          <w:noProof/>
        </w:rPr>
        <w:t xml:space="preserve"> and that while much of the work is mundane, cases of EU-wide significance may emerge thorugh the Irish courts. </w:t>
      </w:r>
      <w:r>
        <w:rPr>
          <w:noProof/>
        </w:rPr>
        <w:t>Barry Roger had undertaken a statistical analysis of E</w:t>
      </w:r>
      <w:r w:rsidR="00DB1322">
        <w:rPr>
          <w:noProof/>
        </w:rPr>
        <w:t>U</w:t>
      </w:r>
      <w:r>
        <w:rPr>
          <w:noProof/>
        </w:rPr>
        <w:t xml:space="preserve"> Law in the Scottish courts </w:t>
      </w:r>
      <w:r w:rsidR="00DB1322">
        <w:rPr>
          <w:noProof/>
        </w:rPr>
        <w:t>over forty years (2017)</w:t>
      </w:r>
      <w:r>
        <w:rPr>
          <w:noProof/>
        </w:rPr>
        <w:t xml:space="preserve">.  Fortuitously </w:t>
      </w:r>
      <w:r w:rsidR="00DB1322">
        <w:rPr>
          <w:noProof/>
        </w:rPr>
        <w:t>he</w:t>
      </w:r>
      <w:r>
        <w:rPr>
          <w:noProof/>
        </w:rPr>
        <w:t xml:space="preserve"> approached us to see if we would undertake a parallel study.  </w:t>
      </w:r>
      <w:r w:rsidR="00DB1322">
        <w:rPr>
          <w:noProof/>
        </w:rPr>
        <w:t>This is the focus for this work.</w:t>
      </w:r>
    </w:p>
    <w:p w14:paraId="6D4F7AA1" w14:textId="3A9A7568" w:rsidR="00DB1322" w:rsidRDefault="00DB1322" w:rsidP="003D34EC">
      <w:pPr>
        <w:jc w:val="both"/>
        <w:rPr>
          <w:noProof/>
        </w:rPr>
      </w:pPr>
      <w:r>
        <w:rPr>
          <w:noProof/>
        </w:rPr>
        <w:t>The aim is to publish a co-authored paper on EU Law in the Irish and Scottish courts and subsueqnelty an article that will look more closely at the Irish courts on their own.  A further article may emerge addressing constitutional issues that would be targetted at an itnernaitonal journal.</w:t>
      </w:r>
    </w:p>
    <w:p w14:paraId="60F0FFC4" w14:textId="60F26201" w:rsidR="00DB1322" w:rsidRPr="00932877" w:rsidRDefault="00DB1322" w:rsidP="003D34EC">
      <w:pPr>
        <w:jc w:val="both"/>
        <w:rPr>
          <w:noProof/>
        </w:rPr>
      </w:pPr>
      <w:r>
        <w:rPr>
          <w:noProof/>
        </w:rPr>
        <w:t xml:space="preserve">The outline below sets out the methodology thus far.  At the moment we are undertaking coding before moving onto SPSS (programme that allows for statistical analysis following coding).  </w:t>
      </w:r>
    </w:p>
    <w:p w14:paraId="0FE62F94" w14:textId="145CFE2A" w:rsidR="007158CD" w:rsidRPr="00D42F73" w:rsidRDefault="007158CD" w:rsidP="003D34EC">
      <w:pPr>
        <w:jc w:val="both"/>
        <w:rPr>
          <w:b/>
          <w:u w:val="single"/>
        </w:rPr>
      </w:pPr>
      <w:r w:rsidRPr="00C550AA">
        <w:rPr>
          <w:b/>
          <w:noProof/>
          <w:u w:val="single"/>
        </w:rPr>
        <w:t>Hypothesis</w:t>
      </w:r>
    </w:p>
    <w:p w14:paraId="0CBC02C8" w14:textId="77777777" w:rsidR="007158CD" w:rsidRDefault="007158CD" w:rsidP="003D34EC">
      <w:pPr>
        <w:jc w:val="both"/>
      </w:pPr>
      <w:r>
        <w:t>To</w:t>
      </w:r>
      <w:r w:rsidRPr="00D42F73">
        <w:t xml:space="preserve"> explore the extent to which the national courts are </w:t>
      </w:r>
      <w:r w:rsidRPr="00C550AA">
        <w:rPr>
          <w:noProof/>
        </w:rPr>
        <w:t>being Europeanised</w:t>
      </w:r>
      <w:r w:rsidRPr="00D42F73">
        <w:t xml:space="preserve"> as a result of the increasing volume</w:t>
      </w:r>
      <w:r>
        <w:t>,</w:t>
      </w:r>
      <w:r w:rsidRPr="00D42F73">
        <w:t xml:space="preserve"> and significance</w:t>
      </w:r>
      <w:r>
        <w:t>,</w:t>
      </w:r>
      <w:r w:rsidRPr="00D42F73">
        <w:t xml:space="preserve"> of cases where EU law is raised and applied</w:t>
      </w:r>
      <w:r>
        <w:t xml:space="preserve"> within domestic legal systems.  </w:t>
      </w:r>
    </w:p>
    <w:p w14:paraId="1A575658" w14:textId="77777777" w:rsidR="007158CD" w:rsidRPr="00D42F73" w:rsidRDefault="007158CD" w:rsidP="003D34EC">
      <w:pPr>
        <w:jc w:val="both"/>
        <w:rPr>
          <w:b/>
        </w:rPr>
      </w:pPr>
      <w:r w:rsidRPr="00D42F73">
        <w:rPr>
          <w:b/>
        </w:rPr>
        <w:t>Hypothesis Explored</w:t>
      </w:r>
    </w:p>
    <w:p w14:paraId="23983826" w14:textId="121F4462" w:rsidR="007158CD" w:rsidRDefault="007158CD" w:rsidP="003D34EC">
      <w:pPr>
        <w:jc w:val="both"/>
      </w:pPr>
      <w:r>
        <w:t>The concept of Europeanisation arises because of the question: how does European integration impact on the domestic law and politics of EU member states? It is a contested concept (</w:t>
      </w:r>
      <w:proofErr w:type="spellStart"/>
      <w:r>
        <w:t>Kassim</w:t>
      </w:r>
      <w:proofErr w:type="spellEnd"/>
      <w:r>
        <w:t xml:space="preserve">, 2000, p. 235) with some analysis focussing on how centralised institutions are being developed and embedded in the EU.  Hence Cowles &amp; </w:t>
      </w:r>
      <w:proofErr w:type="spellStart"/>
      <w:r>
        <w:t>Caporaso</w:t>
      </w:r>
      <w:proofErr w:type="spellEnd"/>
      <w:r>
        <w:t xml:space="preserve"> </w:t>
      </w:r>
      <w:r w:rsidR="00352344">
        <w:t xml:space="preserve">and </w:t>
      </w:r>
      <w:proofErr w:type="spellStart"/>
      <w:r w:rsidR="00352344">
        <w:t>Risse</w:t>
      </w:r>
      <w:proofErr w:type="spellEnd"/>
      <w:r w:rsidR="00352344">
        <w:t xml:space="preserve"> </w:t>
      </w:r>
      <w:r>
        <w:t xml:space="preserve">(2001:3) define Europeanisation as ‘the emergence and development, at European level, of distinct structures of governance’.  Our interest though is on the domestic level.  Here </w:t>
      </w:r>
      <w:proofErr w:type="spellStart"/>
      <w:r>
        <w:t>Saurugger’s</w:t>
      </w:r>
      <w:proofErr w:type="spellEnd"/>
      <w:r>
        <w:t xml:space="preserve"> (2014) discussion of Europeanisation - casual and explanatory factors for understanding the incremental transformation and functional changes in national policies and laws – is useful.  This process is viewed by her as a circular and dynamic process, not a linear one, operating on the </w:t>
      </w:r>
      <w:r w:rsidRPr="00C550AA">
        <w:rPr>
          <w:noProof/>
        </w:rPr>
        <w:t>meso</w:t>
      </w:r>
      <w:r>
        <w:t xml:space="preserve"> (national) and macro (EU) levels. (The EU influencing national policy and laws, and </w:t>
      </w:r>
      <w:r w:rsidR="00C550AA">
        <w:t xml:space="preserve">the </w:t>
      </w:r>
      <w:r w:rsidRPr="00C550AA">
        <w:rPr>
          <w:noProof/>
        </w:rPr>
        <w:t>Member</w:t>
      </w:r>
      <w:r>
        <w:t xml:space="preserve"> States similarly influencing EU policy and laws). </w:t>
      </w:r>
    </w:p>
    <w:p w14:paraId="4C5D4E41" w14:textId="1ABF4E22" w:rsidR="007158CD" w:rsidRDefault="007158CD" w:rsidP="003D34EC">
      <w:pPr>
        <w:jc w:val="both"/>
      </w:pPr>
      <w:r>
        <w:t xml:space="preserve">Snyder (2000) notes that Europeanisation has led both to the partial convergence of Member States, while conversely also resulting in new divergences between national legal systems.  The work of </w:t>
      </w:r>
      <w:r>
        <w:lastRenderedPageBreak/>
        <w:t xml:space="preserve">Conant (2001) is of particular interest to us in this regard. Conant observes that there is substantial cross-national and subnational divergence in the degree to which national courts participate in the EU legal system.  Conant’s </w:t>
      </w:r>
      <w:r w:rsidRPr="00C550AA">
        <w:rPr>
          <w:noProof/>
        </w:rPr>
        <w:t>work</w:t>
      </w:r>
      <w:r>
        <w:t xml:space="preserve"> suggesting that integration between national courts and the </w:t>
      </w:r>
      <w:r w:rsidR="00F65E10">
        <w:t>CJEU</w:t>
      </w:r>
      <w:r>
        <w:t xml:space="preserve"> is consistent with variations in MS’s institutional structures.  National judiciaries in her view are a source of fragmentation for the EU legal system, as </w:t>
      </w:r>
      <w:r w:rsidR="00F65E10">
        <w:t>c</w:t>
      </w:r>
      <w:r>
        <w:t>ourts engage EU law at different rates and inconsistently invoke EU legal norms.</w:t>
      </w:r>
    </w:p>
    <w:p w14:paraId="549B6393" w14:textId="2AC6BC5F" w:rsidR="007158CD" w:rsidRDefault="007158CD" w:rsidP="003D34EC">
      <w:pPr>
        <w:jc w:val="both"/>
      </w:pPr>
      <w:r>
        <w:t xml:space="preserve">In considering how best to </w:t>
      </w:r>
      <w:r w:rsidR="00594797">
        <w:t xml:space="preserve">construct the </w:t>
      </w:r>
      <w:r>
        <w:t xml:space="preserve">methodology for this </w:t>
      </w:r>
      <w:r w:rsidRPr="00C550AA">
        <w:rPr>
          <w:noProof/>
        </w:rPr>
        <w:t>project</w:t>
      </w:r>
      <w:r w:rsidR="00C550AA">
        <w:rPr>
          <w:noProof/>
        </w:rPr>
        <w:t>,</w:t>
      </w:r>
      <w:r>
        <w:t xml:space="preserve"> </w:t>
      </w:r>
      <w:r w:rsidR="003D34EC">
        <w:rPr>
          <w:noProof/>
        </w:rPr>
        <w:t>we</w:t>
      </w:r>
      <w:r>
        <w:t xml:space="preserve"> </w:t>
      </w:r>
      <w:r w:rsidRPr="00C550AA">
        <w:rPr>
          <w:noProof/>
        </w:rPr>
        <w:t>first</w:t>
      </w:r>
      <w:r>
        <w:t xml:space="preserve"> considered the purpose of the data being collected</w:t>
      </w:r>
      <w:r w:rsidR="00594797">
        <w:t xml:space="preserve"> as</w:t>
      </w:r>
      <w:r>
        <w:t xml:space="preserve"> </w:t>
      </w:r>
    </w:p>
    <w:p w14:paraId="26A45B2E" w14:textId="0E64E2AC" w:rsidR="007158CD" w:rsidRDefault="007158CD" w:rsidP="003D34EC">
      <w:pPr>
        <w:pStyle w:val="ListParagraph"/>
        <w:numPr>
          <w:ilvl w:val="0"/>
          <w:numId w:val="1"/>
        </w:numPr>
        <w:jc w:val="both"/>
      </w:pPr>
      <w:r>
        <w:t>To outline, discuss, analyse and compare case-law where EU law arises in the higher courts in Scotland and Ireland over a ten</w:t>
      </w:r>
      <w:r w:rsidR="00594797">
        <w:t>-</w:t>
      </w:r>
      <w:r>
        <w:t xml:space="preserve">year period.  </w:t>
      </w:r>
    </w:p>
    <w:p w14:paraId="0A4AC576" w14:textId="3FA9873E" w:rsidR="007158CD" w:rsidRDefault="007158CD" w:rsidP="003D34EC">
      <w:pPr>
        <w:pStyle w:val="ListParagraph"/>
        <w:numPr>
          <w:ilvl w:val="0"/>
          <w:numId w:val="1"/>
        </w:numPr>
        <w:jc w:val="both"/>
      </w:pPr>
      <w:r w:rsidRPr="00C456C6">
        <w:t xml:space="preserve">To examine Irish case law where the Courts </w:t>
      </w:r>
      <w:r>
        <w:t xml:space="preserve">actively </w:t>
      </w:r>
      <w:r w:rsidRPr="00C456C6">
        <w:t>engaged with, and considered, EU law</w:t>
      </w:r>
      <w:r w:rsidR="00594797">
        <w:t xml:space="preserve"> and the jurisprudence of the CJEU. </w:t>
      </w:r>
    </w:p>
    <w:p w14:paraId="7185F9DC" w14:textId="23A3812D" w:rsidR="007158CD" w:rsidRDefault="007158CD" w:rsidP="003D34EC">
      <w:pPr>
        <w:pStyle w:val="ListParagraph"/>
        <w:numPr>
          <w:ilvl w:val="0"/>
          <w:numId w:val="1"/>
        </w:numPr>
        <w:jc w:val="both"/>
      </w:pPr>
      <w:r>
        <w:t xml:space="preserve">To examine </w:t>
      </w:r>
      <w:r w:rsidR="00C550AA">
        <w:t xml:space="preserve">the </w:t>
      </w:r>
      <w:r w:rsidRPr="00C550AA">
        <w:rPr>
          <w:noProof/>
        </w:rPr>
        <w:t>extent</w:t>
      </w:r>
      <w:r>
        <w:t xml:space="preserve"> to which </w:t>
      </w:r>
      <w:r w:rsidR="00F65E10">
        <w:t xml:space="preserve">these </w:t>
      </w:r>
      <w:r>
        <w:t xml:space="preserve">national courts are </w:t>
      </w:r>
      <w:r w:rsidRPr="00C550AA">
        <w:rPr>
          <w:noProof/>
        </w:rPr>
        <w:t>being Europeanised</w:t>
      </w:r>
      <w:r>
        <w:t xml:space="preserve"> as a result of the increasing volume, and significance, of EU law. </w:t>
      </w:r>
    </w:p>
    <w:p w14:paraId="3BCF5D64" w14:textId="73A186B3" w:rsidR="007158CD" w:rsidRDefault="007158CD" w:rsidP="003D34EC">
      <w:pPr>
        <w:pStyle w:val="ListParagraph"/>
        <w:numPr>
          <w:ilvl w:val="0"/>
          <w:numId w:val="1"/>
        </w:numPr>
        <w:jc w:val="both"/>
      </w:pPr>
      <w:r>
        <w:t xml:space="preserve">To consider the extent to which Europeanisation may have led both to the partial convergence, and conversely new divergences, between national legal systems and the application of EU Law within the domestic sphere.  (Particularly with a focus on differences in domestic judicial interpretation of EU </w:t>
      </w:r>
      <w:r w:rsidR="00594797">
        <w:t>law</w:t>
      </w:r>
      <w:r>
        <w:t>)</w:t>
      </w:r>
    </w:p>
    <w:p w14:paraId="0461DDD6" w14:textId="59B8929C" w:rsidR="007158CD" w:rsidRDefault="003D34EC" w:rsidP="003D34EC">
      <w:pPr>
        <w:jc w:val="both"/>
      </w:pPr>
      <w:r>
        <w:rPr>
          <w:noProof/>
        </w:rPr>
        <w:t>These provided the</w:t>
      </w:r>
      <w:r w:rsidR="007158CD">
        <w:t xml:space="preserve"> framework when considering </w:t>
      </w:r>
      <w:r>
        <w:rPr>
          <w:noProof/>
        </w:rPr>
        <w:t xml:space="preserve">the </w:t>
      </w:r>
      <w:r w:rsidR="007158CD">
        <w:t xml:space="preserve">search parameters for the first stage of the research project. </w:t>
      </w:r>
    </w:p>
    <w:p w14:paraId="30EFEA8A" w14:textId="48D7D521" w:rsidR="007158CD" w:rsidRDefault="007158CD" w:rsidP="003D34EC">
      <w:pPr>
        <w:jc w:val="both"/>
      </w:pPr>
      <w:r>
        <w:t xml:space="preserve">The aim in this leg of the project was to capture ‘relevant’ cases from the Irish Superior Courts.  </w:t>
      </w:r>
      <w:r w:rsidRPr="00C550AA">
        <w:rPr>
          <w:noProof/>
        </w:rPr>
        <w:t xml:space="preserve">Defining relevant and irrelevant was </w:t>
      </w:r>
      <w:r w:rsidR="00C550AA" w:rsidRPr="00C550AA">
        <w:rPr>
          <w:noProof/>
        </w:rPr>
        <w:t>challenging</w:t>
      </w:r>
      <w:r w:rsidRPr="00C550AA">
        <w:rPr>
          <w:noProof/>
        </w:rPr>
        <w:t xml:space="preserve">, but </w:t>
      </w:r>
      <w:r w:rsidR="00C550AA" w:rsidRPr="00C550AA">
        <w:rPr>
          <w:noProof/>
        </w:rPr>
        <w:t>qualifying</w:t>
      </w:r>
      <w:r>
        <w:t xml:space="preserve"> cases had to outline, </w:t>
      </w:r>
      <w:r w:rsidR="00F65E10">
        <w:rPr>
          <w:noProof/>
        </w:rPr>
        <w:t>discuss</w:t>
      </w:r>
      <w:r>
        <w:t xml:space="preserve">, and analyse EU law. i.e. </w:t>
      </w:r>
      <w:r w:rsidR="00F65E10">
        <w:t>t</w:t>
      </w:r>
      <w:r>
        <w:t xml:space="preserve">here had to be judicial engagement with the EU legal issue(s). Finally, the size of the dataset collected would need to be manageable </w:t>
      </w:r>
      <w:r w:rsidRPr="00C550AA">
        <w:rPr>
          <w:noProof/>
        </w:rPr>
        <w:t>for</w:t>
      </w:r>
      <w:r w:rsidR="00594797">
        <w:t xml:space="preserve"> this study</w:t>
      </w:r>
      <w:r w:rsidR="00C550AA">
        <w:t xml:space="preserve"> </w:t>
      </w:r>
      <w:r w:rsidR="00C550AA" w:rsidRPr="00FB56A1">
        <w:rPr>
          <w:noProof/>
        </w:rPr>
        <w:t>with regard to</w:t>
      </w:r>
      <w:r w:rsidR="00C550AA">
        <w:t xml:space="preserve"> the size and volume of the data to be collected</w:t>
      </w:r>
      <w:r>
        <w:t xml:space="preserve">.  </w:t>
      </w:r>
    </w:p>
    <w:p w14:paraId="0EBF52D8" w14:textId="77777777" w:rsidR="007158CD" w:rsidRPr="00476A67" w:rsidRDefault="007158CD" w:rsidP="003D34EC">
      <w:pPr>
        <w:jc w:val="both"/>
        <w:rPr>
          <w:b/>
        </w:rPr>
      </w:pPr>
      <w:r>
        <w:rPr>
          <w:b/>
        </w:rPr>
        <w:t>Database</w:t>
      </w:r>
      <w:r w:rsidRPr="00476A67">
        <w:rPr>
          <w:b/>
        </w:rPr>
        <w:t xml:space="preserve"> Selection</w:t>
      </w:r>
    </w:p>
    <w:p w14:paraId="3B8ABF6C" w14:textId="51B4D9BD" w:rsidR="00B56BC1" w:rsidRDefault="003D34EC" w:rsidP="003D34EC">
      <w:pPr>
        <w:jc w:val="both"/>
      </w:pPr>
      <w:r>
        <w:rPr>
          <w:noProof/>
        </w:rPr>
        <w:t>We identified the search en</w:t>
      </w:r>
      <w:proofErr w:type="spellStart"/>
      <w:r w:rsidR="007158CD">
        <w:t>gine</w:t>
      </w:r>
      <w:proofErr w:type="spellEnd"/>
      <w:r w:rsidR="007158CD">
        <w:t xml:space="preserve">(s) that would be used to generate the data and consider how each database’s search engine functioned.  </w:t>
      </w:r>
      <w:r w:rsidR="007158CD" w:rsidRPr="00FB56A1">
        <w:rPr>
          <w:noProof/>
        </w:rPr>
        <w:t>A</w:t>
      </w:r>
      <w:r w:rsidR="00594797" w:rsidRPr="00FB56A1">
        <w:rPr>
          <w:noProof/>
        </w:rPr>
        <w:t xml:space="preserve"> n</w:t>
      </w:r>
      <w:r w:rsidR="007158CD" w:rsidRPr="00FB56A1">
        <w:rPr>
          <w:noProof/>
        </w:rPr>
        <w:t>umber of</w:t>
      </w:r>
      <w:r w:rsidR="007158CD">
        <w:t xml:space="preserve"> databases </w:t>
      </w:r>
      <w:r w:rsidR="007158CD" w:rsidRPr="00FB56A1">
        <w:rPr>
          <w:noProof/>
        </w:rPr>
        <w:t>were considered</w:t>
      </w:r>
      <w:r w:rsidR="00C550AA">
        <w:rPr>
          <w:noProof/>
        </w:rPr>
        <w:t xml:space="preserve">. </w:t>
      </w:r>
      <w:r w:rsidR="00C550AA" w:rsidRPr="00C550AA">
        <w:rPr>
          <w:noProof/>
        </w:rPr>
        <w:t>H</w:t>
      </w:r>
      <w:r w:rsidR="00594797" w:rsidRPr="00C550AA">
        <w:rPr>
          <w:noProof/>
        </w:rPr>
        <w:t>owever</w:t>
      </w:r>
      <w:r w:rsidR="00C550AA">
        <w:rPr>
          <w:noProof/>
        </w:rPr>
        <w:t>,</w:t>
      </w:r>
      <w:r w:rsidR="00594797">
        <w:t xml:space="preserve"> it </w:t>
      </w:r>
      <w:r w:rsidR="00594797" w:rsidRPr="00FB56A1">
        <w:rPr>
          <w:noProof/>
        </w:rPr>
        <w:t>was ultimately determined</w:t>
      </w:r>
      <w:r w:rsidR="00594797">
        <w:t xml:space="preserve"> that </w:t>
      </w:r>
      <w:proofErr w:type="spellStart"/>
      <w:r w:rsidR="00594797">
        <w:t>Bailii</w:t>
      </w:r>
      <w:proofErr w:type="spellEnd"/>
      <w:r w:rsidR="007158CD">
        <w:t xml:space="preserve"> would be</w:t>
      </w:r>
      <w:r w:rsidR="00594797">
        <w:t xml:space="preserve"> the primary resource utilised.  </w:t>
      </w:r>
      <w:proofErr w:type="spellStart"/>
      <w:r w:rsidR="00594797">
        <w:t>Bailii</w:t>
      </w:r>
      <w:proofErr w:type="spellEnd"/>
      <w:r w:rsidR="00594797">
        <w:t xml:space="preserve"> provides a highly </w:t>
      </w:r>
      <w:r w:rsidR="007158CD">
        <w:t>reliable and consistent</w:t>
      </w:r>
      <w:r w:rsidR="00594797">
        <w:t xml:space="preserve"> service</w:t>
      </w:r>
      <w:r w:rsidR="007158CD">
        <w:t xml:space="preserve">, </w:t>
      </w:r>
      <w:r w:rsidR="00594797">
        <w:t>with</w:t>
      </w:r>
      <w:r w:rsidR="007158CD">
        <w:t xml:space="preserve"> access to a comprehensive database of case law</w:t>
      </w:r>
      <w:r w:rsidR="00594797">
        <w:t xml:space="preserve"> from the Irish Superior Courts</w:t>
      </w:r>
      <w:r w:rsidR="007158CD">
        <w:t xml:space="preserve"> </w:t>
      </w:r>
      <w:r w:rsidR="00B56BC1">
        <w:t>ensuring easy</w:t>
      </w:r>
      <w:r w:rsidR="007158CD">
        <w:t xml:space="preserve"> </w:t>
      </w:r>
      <w:r w:rsidR="00B56BC1">
        <w:t>replicability</w:t>
      </w:r>
      <w:r w:rsidR="007158CD">
        <w:t xml:space="preserve"> by other researchers</w:t>
      </w:r>
      <w:r w:rsidR="00B56BC1">
        <w:t xml:space="preserve">.  </w:t>
      </w:r>
      <w:proofErr w:type="spellStart"/>
      <w:r w:rsidR="00B56BC1">
        <w:t>Bailii</w:t>
      </w:r>
      <w:proofErr w:type="spellEnd"/>
      <w:r w:rsidR="00B56BC1">
        <w:t xml:space="preserve"> also has the added benefit of being open access to everyone, ensuring ease of access to the same resources by other researchers</w:t>
      </w:r>
      <w:r w:rsidR="007158CD">
        <w:t>.</w:t>
      </w:r>
      <w:r w:rsidR="007158CD" w:rsidRPr="001F69AB">
        <w:t xml:space="preserve"> </w:t>
      </w:r>
      <w:proofErr w:type="spellStart"/>
      <w:r w:rsidR="00B56BC1">
        <w:t>Bailii</w:t>
      </w:r>
      <w:proofErr w:type="spellEnd"/>
      <w:r w:rsidR="00B56BC1">
        <w:t xml:space="preserve"> can be accessed via;  </w:t>
      </w:r>
      <w:hyperlink r:id="rId8" w:history="1">
        <w:r w:rsidR="00B56BC1" w:rsidRPr="003545D0">
          <w:rPr>
            <w:rStyle w:val="Hyperlink"/>
          </w:rPr>
          <w:t>https://www.bailii.org/</w:t>
        </w:r>
      </w:hyperlink>
      <w:r w:rsidR="00B56BC1">
        <w:t xml:space="preserve"> </w:t>
      </w:r>
    </w:p>
    <w:p w14:paraId="03785825" w14:textId="4BD0E7AF" w:rsidR="00B56BC1" w:rsidRDefault="00B56BC1" w:rsidP="003D34EC">
      <w:pPr>
        <w:jc w:val="both"/>
      </w:pPr>
      <w:r>
        <w:t xml:space="preserve">The use of </w:t>
      </w:r>
      <w:proofErr w:type="spellStart"/>
      <w:r>
        <w:t>Bailii</w:t>
      </w:r>
      <w:proofErr w:type="spellEnd"/>
      <w:r>
        <w:t xml:space="preserve"> was </w:t>
      </w:r>
      <w:r w:rsidR="007158CD" w:rsidRPr="00FB56A1">
        <w:rPr>
          <w:noProof/>
        </w:rPr>
        <w:t>supplemented</w:t>
      </w:r>
      <w:r w:rsidR="007158CD" w:rsidRPr="001F69AB">
        <w:t xml:space="preserve"> </w:t>
      </w:r>
      <w:r w:rsidR="007158CD">
        <w:t>via the</w:t>
      </w:r>
      <w:r w:rsidR="007158CD" w:rsidRPr="001F69AB">
        <w:t xml:space="preserve"> use of other resources, in </w:t>
      </w:r>
      <w:r w:rsidR="007158CD" w:rsidRPr="00C550AA">
        <w:rPr>
          <w:noProof/>
        </w:rPr>
        <w:t>particular</w:t>
      </w:r>
      <w:r w:rsidR="00C550AA">
        <w:rPr>
          <w:noProof/>
        </w:rPr>
        <w:t>,</w:t>
      </w:r>
      <w:r w:rsidR="003D34EC">
        <w:rPr>
          <w:noProof/>
        </w:rPr>
        <w:t xml:space="preserve"> a</w:t>
      </w:r>
      <w:r w:rsidR="007158CD" w:rsidRPr="001F69AB">
        <w:t xml:space="preserve"> </w:t>
      </w:r>
      <w:proofErr w:type="spellStart"/>
      <w:r w:rsidR="007158CD" w:rsidRPr="001F69AB">
        <w:t>Justis</w:t>
      </w:r>
      <w:proofErr w:type="spellEnd"/>
      <w:r w:rsidR="007158CD" w:rsidRPr="001F69AB">
        <w:t xml:space="preserve"> search </w:t>
      </w:r>
      <w:r w:rsidR="007158CD" w:rsidRPr="00FB56A1">
        <w:rPr>
          <w:noProof/>
        </w:rPr>
        <w:t>was utilised</w:t>
      </w:r>
      <w:r w:rsidR="007158CD" w:rsidRPr="001F69AB">
        <w:t xml:space="preserve"> throughout </w:t>
      </w:r>
      <w:r w:rsidR="007158CD">
        <w:t>the data gathering stage of the project</w:t>
      </w:r>
      <w:r w:rsidR="007158CD" w:rsidRPr="001F69AB">
        <w:t xml:space="preserve">. </w:t>
      </w:r>
      <w:proofErr w:type="spellStart"/>
      <w:r w:rsidR="007158CD" w:rsidRPr="001F69AB">
        <w:t>Justis</w:t>
      </w:r>
      <w:proofErr w:type="spellEnd"/>
      <w:r w:rsidR="007158CD" w:rsidRPr="001F69AB">
        <w:t xml:space="preserve"> provides case summaries which assist in assessing the relevance of cases to the project.  </w:t>
      </w:r>
      <w:proofErr w:type="spellStart"/>
      <w:r w:rsidR="007158CD" w:rsidRPr="001F69AB">
        <w:t>Justis</w:t>
      </w:r>
      <w:proofErr w:type="spellEnd"/>
      <w:r w:rsidR="007158CD" w:rsidRPr="001F69AB">
        <w:t xml:space="preserve"> also lists </w:t>
      </w:r>
      <w:r w:rsidR="007158CD" w:rsidRPr="00C550AA">
        <w:rPr>
          <w:noProof/>
        </w:rPr>
        <w:t>keywords</w:t>
      </w:r>
      <w:r w:rsidR="007158CD" w:rsidRPr="001F69AB">
        <w:t xml:space="preserve"> and legal instruments relevant to </w:t>
      </w:r>
      <w:r w:rsidR="007158CD" w:rsidRPr="00C550AA">
        <w:rPr>
          <w:noProof/>
        </w:rPr>
        <w:t>each</w:t>
      </w:r>
      <w:r w:rsidR="007158CD" w:rsidRPr="001F69AB">
        <w:t xml:space="preserve"> case, again assisting in categorising them qualitatively.  </w:t>
      </w:r>
    </w:p>
    <w:p w14:paraId="525CC3FB" w14:textId="5D7D9387" w:rsidR="007D0B17" w:rsidRPr="001F69AB" w:rsidRDefault="00B56BC1" w:rsidP="003D34EC">
      <w:pPr>
        <w:jc w:val="both"/>
      </w:pPr>
      <w:proofErr w:type="spellStart"/>
      <w:r>
        <w:t>Justis</w:t>
      </w:r>
      <w:proofErr w:type="spellEnd"/>
      <w:r>
        <w:t xml:space="preserve"> was used for the purposes of this project, however </w:t>
      </w:r>
      <w:proofErr w:type="spellStart"/>
      <w:r>
        <w:t>Justis</w:t>
      </w:r>
      <w:proofErr w:type="spellEnd"/>
      <w:r>
        <w:t xml:space="preserve"> is being decommissioned as a standalone search engine by March 2019 and integrated with </w:t>
      </w:r>
      <w:proofErr w:type="spellStart"/>
      <w:r>
        <w:t>JustCite</w:t>
      </w:r>
      <w:proofErr w:type="spellEnd"/>
      <w:r>
        <w:t xml:space="preserve"> into a single platform, </w:t>
      </w:r>
      <w:proofErr w:type="spellStart"/>
      <w:r>
        <w:t>JustisOne</w:t>
      </w:r>
      <w:proofErr w:type="spellEnd"/>
      <w:r>
        <w:t xml:space="preserve">, which can be accessed via </w:t>
      </w:r>
      <w:hyperlink r:id="rId9" w:history="1">
        <w:r w:rsidR="007D0B17" w:rsidRPr="003545D0">
          <w:rPr>
            <w:rStyle w:val="Hyperlink"/>
          </w:rPr>
          <w:t>https://app.justis.com/</w:t>
        </w:r>
      </w:hyperlink>
      <w:r w:rsidR="007D0B17">
        <w:t xml:space="preserve">.  </w:t>
      </w:r>
      <w:proofErr w:type="spellStart"/>
      <w:r w:rsidR="007D0B17">
        <w:t>Justis</w:t>
      </w:r>
      <w:proofErr w:type="spellEnd"/>
      <w:r w:rsidR="007D0B17">
        <w:t xml:space="preserve"> is a paid for platform but it </w:t>
      </w:r>
      <w:r w:rsidR="003D34EC">
        <w:t>is widely</w:t>
      </w:r>
      <w:r w:rsidR="007D0B17">
        <w:t xml:space="preserve"> accessible via third level education institutions via their library services.  </w:t>
      </w:r>
    </w:p>
    <w:p w14:paraId="2C6F1D5B" w14:textId="77777777" w:rsidR="007158CD" w:rsidRPr="00543317" w:rsidRDefault="007158CD" w:rsidP="003D34EC">
      <w:pPr>
        <w:jc w:val="both"/>
        <w:rPr>
          <w:b/>
        </w:rPr>
      </w:pPr>
      <w:r w:rsidRPr="00543317">
        <w:rPr>
          <w:b/>
        </w:rPr>
        <w:t xml:space="preserve">Analysis of </w:t>
      </w:r>
      <w:r w:rsidRPr="00FB56A1">
        <w:rPr>
          <w:b/>
          <w:noProof/>
        </w:rPr>
        <w:t>Baili</w:t>
      </w:r>
      <w:r w:rsidRPr="00543317">
        <w:rPr>
          <w:b/>
        </w:rPr>
        <w:t xml:space="preserve"> Search</w:t>
      </w:r>
    </w:p>
    <w:p w14:paraId="3DC605E6" w14:textId="25DD483F" w:rsidR="007158CD" w:rsidRDefault="007158CD" w:rsidP="003D34EC">
      <w:pPr>
        <w:jc w:val="both"/>
      </w:pPr>
      <w:r>
        <w:lastRenderedPageBreak/>
        <w:t xml:space="preserve">In assessing how best to formulate the search, and what words &amp; phrases should, or shouldn’t be, used in the process, </w:t>
      </w:r>
      <w:r w:rsidR="003D34EC">
        <w:t xml:space="preserve">consideration was first given to </w:t>
      </w:r>
      <w:r>
        <w:t xml:space="preserve">how </w:t>
      </w:r>
      <w:proofErr w:type="spellStart"/>
      <w:r>
        <w:t>Bailii’s</w:t>
      </w:r>
      <w:proofErr w:type="spellEnd"/>
      <w:r>
        <w:t xml:space="preserve"> search engine functions by studying the information guide available online.  </w:t>
      </w:r>
    </w:p>
    <w:p w14:paraId="70DD1A39" w14:textId="5986C7F3" w:rsidR="007158CD" w:rsidRDefault="00594797" w:rsidP="003D34EC">
      <w:pPr>
        <w:pStyle w:val="ListParagraph"/>
        <w:numPr>
          <w:ilvl w:val="0"/>
          <w:numId w:val="2"/>
        </w:numPr>
        <w:jc w:val="both"/>
      </w:pPr>
      <w:proofErr w:type="spellStart"/>
      <w:r>
        <w:t>Bailii</w:t>
      </w:r>
      <w:proofErr w:type="spellEnd"/>
      <w:r w:rsidR="007158CD">
        <w:t xml:space="preserve"> uses stemming, meaning words are automatically stemmed to find related words.  E.g. Searching for discrimination will also search for discriminatory</w:t>
      </w:r>
      <w:r>
        <w:t xml:space="preserve"> and </w:t>
      </w:r>
      <w:r w:rsidR="007158CD">
        <w:t xml:space="preserve">discriminated </w:t>
      </w:r>
      <w:r w:rsidR="007158CD" w:rsidRPr="00C550AA">
        <w:rPr>
          <w:noProof/>
        </w:rPr>
        <w:t>discrimin</w:t>
      </w:r>
      <w:r w:rsidR="00C550AA">
        <w:rPr>
          <w:noProof/>
        </w:rPr>
        <w:t>at</w:t>
      </w:r>
      <w:r w:rsidR="007158CD" w:rsidRPr="00C550AA">
        <w:rPr>
          <w:noProof/>
        </w:rPr>
        <w:t>e</w:t>
      </w:r>
      <w:r w:rsidR="007158CD">
        <w:t xml:space="preserve">.  </w:t>
      </w:r>
    </w:p>
    <w:p w14:paraId="6D43FC75" w14:textId="2435C828" w:rsidR="007158CD" w:rsidRDefault="007158CD" w:rsidP="003D34EC">
      <w:pPr>
        <w:pStyle w:val="ListParagraph"/>
        <w:numPr>
          <w:ilvl w:val="0"/>
          <w:numId w:val="2"/>
        </w:numPr>
        <w:jc w:val="both"/>
      </w:pPr>
      <w:r>
        <w:t xml:space="preserve">When searching for phrases double quotation marks must </w:t>
      </w:r>
      <w:r w:rsidRPr="00FB56A1">
        <w:rPr>
          <w:noProof/>
        </w:rPr>
        <w:t>be used. E.g</w:t>
      </w:r>
      <w:r>
        <w:t>. ‘statutory right’ would have to be entered as “statutory right</w:t>
      </w:r>
      <w:r w:rsidR="00594797">
        <w:t>”</w:t>
      </w:r>
      <w:r>
        <w:t xml:space="preserve">.  </w:t>
      </w:r>
    </w:p>
    <w:p w14:paraId="6439092A" w14:textId="13E07C7C" w:rsidR="007158CD" w:rsidRDefault="007158CD" w:rsidP="003D34EC">
      <w:pPr>
        <w:pStyle w:val="ListParagraph"/>
        <w:numPr>
          <w:ilvl w:val="0"/>
          <w:numId w:val="2"/>
        </w:numPr>
        <w:jc w:val="both"/>
      </w:pPr>
      <w:r>
        <w:t>‘AND’ is used to find search terms together</w:t>
      </w:r>
      <w:r w:rsidR="00594797">
        <w:t>.</w:t>
      </w:r>
      <w:r>
        <w:t xml:space="preserve"> i.e. to find ‘Customary’ and ‘Right’ it would need to be entered as ‘Customary AND Right’.  </w:t>
      </w:r>
    </w:p>
    <w:p w14:paraId="7B21896A" w14:textId="2920ECDC" w:rsidR="007158CD" w:rsidRDefault="00594797" w:rsidP="003D34EC">
      <w:pPr>
        <w:pStyle w:val="ListParagraph"/>
        <w:numPr>
          <w:ilvl w:val="0"/>
          <w:numId w:val="2"/>
        </w:numPr>
        <w:jc w:val="both"/>
      </w:pPr>
      <w:proofErr w:type="spellStart"/>
      <w:r>
        <w:t>Bailii</w:t>
      </w:r>
      <w:proofErr w:type="spellEnd"/>
      <w:r w:rsidR="007158CD">
        <w:t xml:space="preserve"> uses term connectors.  Boolean connectors include ‘and’, ‘or’ &amp; ‘not’.  Proximity connectors would include the word ‘near’.  </w:t>
      </w:r>
    </w:p>
    <w:p w14:paraId="50A19CB2" w14:textId="72F9A0A7" w:rsidR="007158CD" w:rsidRDefault="00594797" w:rsidP="003D34EC">
      <w:pPr>
        <w:pStyle w:val="ListParagraph"/>
        <w:numPr>
          <w:ilvl w:val="0"/>
          <w:numId w:val="2"/>
        </w:numPr>
        <w:jc w:val="both"/>
      </w:pPr>
      <w:r>
        <w:t>Nesting</w:t>
      </w:r>
      <w:r w:rsidR="007158CD">
        <w:t xml:space="preserve"> </w:t>
      </w:r>
      <w:r w:rsidR="007158CD" w:rsidRPr="00C550AA">
        <w:rPr>
          <w:noProof/>
        </w:rPr>
        <w:t>is represented</w:t>
      </w:r>
      <w:r w:rsidR="007158CD">
        <w:t xml:space="preserve"> by brackets and </w:t>
      </w:r>
      <w:r w:rsidR="007158CD" w:rsidRPr="00C550AA">
        <w:rPr>
          <w:noProof/>
        </w:rPr>
        <w:t>is used</w:t>
      </w:r>
      <w:r w:rsidR="007158CD">
        <w:t xml:space="preserve"> when there are multiple connectors to resolve </w:t>
      </w:r>
      <w:r w:rsidR="00C550AA">
        <w:t xml:space="preserve">the </w:t>
      </w:r>
      <w:r w:rsidR="007158CD" w:rsidRPr="00C550AA">
        <w:rPr>
          <w:noProof/>
        </w:rPr>
        <w:t>ambiguity</w:t>
      </w:r>
      <w:r w:rsidR="007158CD">
        <w:t>.</w:t>
      </w:r>
      <w:r>
        <w:t xml:space="preserve">  </w:t>
      </w:r>
      <w:r w:rsidR="007158CD">
        <w:t xml:space="preserve">For </w:t>
      </w:r>
      <w:r w:rsidR="007158CD" w:rsidRPr="00C550AA">
        <w:rPr>
          <w:noProof/>
        </w:rPr>
        <w:t>example</w:t>
      </w:r>
      <w:r w:rsidR="00C550AA">
        <w:rPr>
          <w:noProof/>
        </w:rPr>
        <w:t>,</w:t>
      </w:r>
      <w:r w:rsidR="007158CD">
        <w:t xml:space="preserve"> searching </w:t>
      </w:r>
      <w:r w:rsidR="007158CD" w:rsidRPr="00271B24">
        <w:t xml:space="preserve">for </w:t>
      </w:r>
      <w:r w:rsidR="007158CD" w:rsidRPr="00271B24">
        <w:rPr>
          <w:i/>
        </w:rPr>
        <w:t>‘(terminate) OR (dismiss) AND “statutory right” AND wages’</w:t>
      </w:r>
      <w:r w:rsidR="007158CD" w:rsidRPr="00271B24">
        <w:t xml:space="preserve"> would require the words </w:t>
      </w:r>
      <w:r w:rsidR="007158CD">
        <w:t>‘</w:t>
      </w:r>
      <w:r w:rsidR="007158CD" w:rsidRPr="00271B24">
        <w:t>terminate</w:t>
      </w:r>
      <w:r w:rsidR="007158CD">
        <w:t>’</w:t>
      </w:r>
      <w:r w:rsidR="007158CD" w:rsidRPr="00271B24">
        <w:t xml:space="preserve"> or </w:t>
      </w:r>
      <w:r w:rsidR="007158CD">
        <w:t>‘</w:t>
      </w:r>
      <w:r w:rsidR="007158CD" w:rsidRPr="00271B24">
        <w:t>dismiss</w:t>
      </w:r>
      <w:r w:rsidR="007158CD">
        <w:t>’</w:t>
      </w:r>
      <w:r w:rsidR="007158CD" w:rsidRPr="00271B24">
        <w:t xml:space="preserve"> to be in the same document as the phrase</w:t>
      </w:r>
      <w:r w:rsidR="007158CD">
        <w:t xml:space="preserve"> ‘statutory right’ and the word ‘wage’ or ‘wages’.  </w:t>
      </w:r>
    </w:p>
    <w:p w14:paraId="630535CC" w14:textId="222C253A" w:rsidR="007158CD" w:rsidRDefault="007158CD" w:rsidP="003D34EC">
      <w:pPr>
        <w:pStyle w:val="ListParagraph"/>
        <w:numPr>
          <w:ilvl w:val="0"/>
          <w:numId w:val="2"/>
        </w:numPr>
        <w:jc w:val="both"/>
      </w:pPr>
      <w:proofErr w:type="spellStart"/>
      <w:r>
        <w:t>Bailii</w:t>
      </w:r>
      <w:proofErr w:type="spellEnd"/>
      <w:r w:rsidR="00594797">
        <w:t xml:space="preserve"> </w:t>
      </w:r>
      <w:r>
        <w:t xml:space="preserve">advises users not to utilise common words when searching unless they </w:t>
      </w:r>
      <w:r w:rsidRPr="00C550AA">
        <w:rPr>
          <w:noProof/>
        </w:rPr>
        <w:t>are enclosed</w:t>
      </w:r>
      <w:r>
        <w:t xml:space="preserve"> in double quotes. </w:t>
      </w:r>
    </w:p>
    <w:p w14:paraId="59EDCAD8" w14:textId="77777777" w:rsidR="007158CD" w:rsidRDefault="007158CD" w:rsidP="003D34EC">
      <w:pPr>
        <w:pStyle w:val="ListParagraph"/>
        <w:jc w:val="both"/>
      </w:pPr>
    </w:p>
    <w:p w14:paraId="4F6C3D84" w14:textId="01F78F38" w:rsidR="005A3FF2" w:rsidRPr="004A1A44" w:rsidRDefault="005A3FF2" w:rsidP="003D34EC">
      <w:pPr>
        <w:jc w:val="both"/>
        <w:rPr>
          <w:b/>
        </w:rPr>
      </w:pPr>
      <w:r w:rsidRPr="004A1A44">
        <w:rPr>
          <w:b/>
        </w:rPr>
        <w:t xml:space="preserve">Application of </w:t>
      </w:r>
      <w:proofErr w:type="spellStart"/>
      <w:r>
        <w:rPr>
          <w:b/>
        </w:rPr>
        <w:t>Bailii</w:t>
      </w:r>
      <w:proofErr w:type="spellEnd"/>
      <w:r w:rsidRPr="004A1A44">
        <w:rPr>
          <w:b/>
        </w:rPr>
        <w:t xml:space="preserve"> Search to the list of possible search terms</w:t>
      </w:r>
    </w:p>
    <w:p w14:paraId="0680CB18" w14:textId="77777777" w:rsidR="005A3FF2" w:rsidRDefault="005A3FF2" w:rsidP="003D34EC">
      <w:pPr>
        <w:jc w:val="both"/>
      </w:pPr>
      <w:r>
        <w:t xml:space="preserve">Having studied </w:t>
      </w:r>
      <w:proofErr w:type="spellStart"/>
      <w:r>
        <w:t>Bailii’s</w:t>
      </w:r>
      <w:proofErr w:type="spellEnd"/>
      <w:r>
        <w:t xml:space="preserve"> search </w:t>
      </w:r>
      <w:r w:rsidRPr="00C550AA">
        <w:rPr>
          <w:noProof/>
        </w:rPr>
        <w:t>engine</w:t>
      </w:r>
      <w:r>
        <w:rPr>
          <w:noProof/>
        </w:rPr>
        <w:t>,</w:t>
      </w:r>
      <w:r>
        <w:t xml:space="preserve"> </w:t>
      </w:r>
      <w:r w:rsidRPr="00C550AA">
        <w:rPr>
          <w:noProof/>
        </w:rPr>
        <w:t>I</w:t>
      </w:r>
      <w:r>
        <w:t xml:space="preserve"> considered how best to search for cases related to the brief given for this project as the Europeanisation of national courts, specifically where domestic legal institutions actively engage in discussion </w:t>
      </w:r>
      <w:r w:rsidRPr="00C550AA">
        <w:rPr>
          <w:noProof/>
        </w:rPr>
        <w:t>and/or</w:t>
      </w:r>
      <w:r>
        <w:t xml:space="preserve"> assessment of EU.  </w:t>
      </w:r>
      <w:r w:rsidRPr="00C550AA">
        <w:rPr>
          <w:noProof/>
        </w:rPr>
        <w:t>A number of</w:t>
      </w:r>
      <w:r>
        <w:t xml:space="preserve"> words/phrases </w:t>
      </w:r>
      <w:r w:rsidRPr="00C550AA">
        <w:rPr>
          <w:noProof/>
        </w:rPr>
        <w:t>were excluded</w:t>
      </w:r>
      <w:r>
        <w:t xml:space="preserve"> from the search;</w:t>
      </w:r>
    </w:p>
    <w:p w14:paraId="15FC1EE7" w14:textId="77777777" w:rsidR="005A3FF2" w:rsidRDefault="005A3FF2" w:rsidP="003D34EC">
      <w:pPr>
        <w:pStyle w:val="ListParagraph"/>
        <w:numPr>
          <w:ilvl w:val="0"/>
          <w:numId w:val="3"/>
        </w:numPr>
        <w:jc w:val="both"/>
      </w:pPr>
      <w:r>
        <w:t>‘Europe’ was excluded as it was too general a term and would widen the search to include references to the continent of Europe, the Council of Europe</w:t>
      </w:r>
    </w:p>
    <w:p w14:paraId="043A4CD4" w14:textId="77777777" w:rsidR="005A3FF2" w:rsidRDefault="005A3FF2" w:rsidP="003D34EC">
      <w:pPr>
        <w:pStyle w:val="ListParagraph"/>
        <w:numPr>
          <w:ilvl w:val="0"/>
          <w:numId w:val="3"/>
        </w:numPr>
        <w:jc w:val="both"/>
      </w:pPr>
      <w:r>
        <w:t xml:space="preserve">Words with similar effects, such as commission, recommendations, </w:t>
      </w:r>
      <w:r w:rsidRPr="00C550AA">
        <w:rPr>
          <w:noProof/>
        </w:rPr>
        <w:t>etc</w:t>
      </w:r>
      <w:r>
        <w:t xml:space="preserve">, were also excluded.  </w:t>
      </w:r>
    </w:p>
    <w:p w14:paraId="4BA20A60" w14:textId="77777777" w:rsidR="005A3FF2" w:rsidRDefault="005A3FF2" w:rsidP="003D34EC">
      <w:pPr>
        <w:pStyle w:val="ListParagraph"/>
        <w:numPr>
          <w:ilvl w:val="0"/>
          <w:numId w:val="3"/>
        </w:numPr>
        <w:jc w:val="both"/>
      </w:pPr>
      <w:r w:rsidRPr="00C550AA">
        <w:rPr>
          <w:noProof/>
        </w:rPr>
        <w:t>A number of</w:t>
      </w:r>
      <w:r>
        <w:t xml:space="preserve"> phrases were excluded, for </w:t>
      </w:r>
      <w:r w:rsidRPr="00C550AA">
        <w:rPr>
          <w:noProof/>
        </w:rPr>
        <w:t>example</w:t>
      </w:r>
      <w:r>
        <w:rPr>
          <w:noProof/>
        </w:rPr>
        <w:t>,</w:t>
      </w:r>
      <w:r>
        <w:t xml:space="preserve"> the ‘Nice Treaty’ and ‘Maastricht Treaty’, as they could result in the inclusion of the word treaty stemming from other international instruments. While the inclusion of such phrases in double quotation marks could counterbalance this, it could also potentially result in our search becoming too specific, potentially limiting results dramatically.</w:t>
      </w:r>
    </w:p>
    <w:p w14:paraId="2274E8E8" w14:textId="77777777" w:rsidR="005A3FF2" w:rsidRDefault="005A3FF2" w:rsidP="003D34EC">
      <w:pPr>
        <w:pStyle w:val="ListParagraph"/>
        <w:numPr>
          <w:ilvl w:val="0"/>
          <w:numId w:val="3"/>
        </w:numPr>
        <w:jc w:val="both"/>
      </w:pPr>
      <w:r>
        <w:t xml:space="preserve">Citation prefixes for EU case law </w:t>
      </w:r>
      <w:r w:rsidRPr="00C550AA">
        <w:rPr>
          <w:noProof/>
        </w:rPr>
        <w:t>were considered</w:t>
      </w:r>
      <w:r>
        <w:t xml:space="preserve"> as a search term</w:t>
      </w:r>
      <w:r>
        <w:rPr>
          <w:noProof/>
        </w:rPr>
        <w:t xml:space="preserve">. </w:t>
      </w:r>
      <w:r w:rsidRPr="00C550AA">
        <w:rPr>
          <w:noProof/>
        </w:rPr>
        <w:t>However</w:t>
      </w:r>
      <w:r>
        <w:rPr>
          <w:noProof/>
        </w:rPr>
        <w:t>,</w:t>
      </w:r>
      <w:r>
        <w:t xml:space="preserve"> they </w:t>
      </w:r>
      <w:r w:rsidRPr="00C550AA">
        <w:rPr>
          <w:noProof/>
        </w:rPr>
        <w:t>were ultimately excluded</w:t>
      </w:r>
      <w:r>
        <w:t xml:space="preserve">.  The inclusion of the prefix ‘C-‘ for decisions of the CJEU, or ‘T’ the General Court were found to widen the search to include all words beginning with ‘C’ or ‘T’.  </w:t>
      </w:r>
      <w:r w:rsidRPr="00C550AA">
        <w:rPr>
          <w:noProof/>
        </w:rPr>
        <w:t>This</w:t>
      </w:r>
      <w:r>
        <w:t xml:space="preserve"> would result in a dramatic increase in the search results.  </w:t>
      </w:r>
    </w:p>
    <w:p w14:paraId="7A17D290" w14:textId="77777777" w:rsidR="005A3FF2" w:rsidRPr="00F27DA2" w:rsidRDefault="005A3FF2" w:rsidP="003D34EC">
      <w:pPr>
        <w:jc w:val="both"/>
        <w:rPr>
          <w:u w:val="single"/>
        </w:rPr>
      </w:pPr>
      <w:r w:rsidRPr="00F27DA2">
        <w:rPr>
          <w:u w:val="single"/>
        </w:rPr>
        <w:t xml:space="preserve">Based on the above considerations the list of words was narrowed down to the following;  </w:t>
      </w:r>
    </w:p>
    <w:p w14:paraId="7EF5C6AF" w14:textId="77777777" w:rsidR="005A3FF2" w:rsidRDefault="005A3FF2" w:rsidP="003D34EC">
      <w:pPr>
        <w:ind w:left="720"/>
        <w:jc w:val="both"/>
      </w:pPr>
      <w:r w:rsidRPr="00D75B60">
        <w:t xml:space="preserve">EU, </w:t>
      </w:r>
      <w:r w:rsidRPr="00C550AA">
        <w:rPr>
          <w:noProof/>
        </w:rPr>
        <w:t>ecj</w:t>
      </w:r>
      <w:r w:rsidRPr="00D75B60">
        <w:t xml:space="preserve">, </w:t>
      </w:r>
      <w:r w:rsidRPr="00C550AA">
        <w:rPr>
          <w:noProof/>
        </w:rPr>
        <w:t>cjeu</w:t>
      </w:r>
      <w:r w:rsidRPr="00D75B60">
        <w:t>,</w:t>
      </w:r>
      <w:r>
        <w:t xml:space="preserve"> </w:t>
      </w:r>
      <w:proofErr w:type="spellStart"/>
      <w:r>
        <w:t>egc</w:t>
      </w:r>
      <w:proofErr w:type="spellEnd"/>
      <w:r>
        <w:t xml:space="preserve">, European Union, </w:t>
      </w:r>
      <w:r w:rsidRPr="00C550AA">
        <w:rPr>
          <w:noProof/>
        </w:rPr>
        <w:t>court</w:t>
      </w:r>
      <w:r>
        <w:t xml:space="preserve"> of justice, general court, court of first instance</w:t>
      </w:r>
    </w:p>
    <w:p w14:paraId="35D428D4" w14:textId="77777777" w:rsidR="005A3FF2" w:rsidRDefault="005A3FF2" w:rsidP="003D34EC">
      <w:pPr>
        <w:ind w:left="720"/>
        <w:jc w:val="both"/>
      </w:pPr>
    </w:p>
    <w:p w14:paraId="272F0D3B" w14:textId="77777777" w:rsidR="005A3FF2" w:rsidRPr="00695B2E" w:rsidRDefault="005A3FF2" w:rsidP="003D34EC">
      <w:pPr>
        <w:jc w:val="both"/>
        <w:rPr>
          <w:b/>
        </w:rPr>
      </w:pPr>
      <w:r w:rsidRPr="00C550AA">
        <w:rPr>
          <w:b/>
          <w:noProof/>
        </w:rPr>
        <w:t>Justification</w:t>
      </w:r>
      <w:r w:rsidRPr="00543317">
        <w:rPr>
          <w:b/>
        </w:rPr>
        <w:t xml:space="preserve"> for the selection of these </w:t>
      </w:r>
      <w:r>
        <w:rPr>
          <w:b/>
        </w:rPr>
        <w:t>words/phrases</w:t>
      </w:r>
    </w:p>
    <w:p w14:paraId="531B5D76" w14:textId="76DEB48B" w:rsidR="005A3FF2" w:rsidRPr="00024F5E" w:rsidRDefault="005A3FF2" w:rsidP="003D34EC">
      <w:pPr>
        <w:jc w:val="both"/>
        <w:rPr>
          <w:u w:val="single"/>
        </w:rPr>
      </w:pPr>
      <w:r w:rsidRPr="00024F5E">
        <w:rPr>
          <w:u w:val="single"/>
        </w:rPr>
        <w:t xml:space="preserve">The European Union as an entity </w:t>
      </w:r>
    </w:p>
    <w:p w14:paraId="5BDD4737" w14:textId="77777777" w:rsidR="005A3FF2" w:rsidRPr="003C1108" w:rsidRDefault="005A3FF2" w:rsidP="003D34EC">
      <w:pPr>
        <w:pStyle w:val="ListParagraph"/>
        <w:numPr>
          <w:ilvl w:val="0"/>
          <w:numId w:val="6"/>
        </w:numPr>
        <w:jc w:val="both"/>
      </w:pPr>
      <w:r w:rsidRPr="00E27201">
        <w:rPr>
          <w:color w:val="000000" w:themeColor="text1"/>
        </w:rPr>
        <w:t xml:space="preserve">European Union and its abbreviation of EU </w:t>
      </w:r>
      <w:r w:rsidRPr="00C550AA">
        <w:rPr>
          <w:noProof/>
          <w:color w:val="000000" w:themeColor="text1"/>
        </w:rPr>
        <w:t>were included</w:t>
      </w:r>
      <w:r w:rsidRPr="00E27201">
        <w:rPr>
          <w:color w:val="000000" w:themeColor="text1"/>
        </w:rPr>
        <w:t xml:space="preserve"> in the search.  European Union was included to find explicit references to the </w:t>
      </w:r>
      <w:r>
        <w:rPr>
          <w:color w:val="000000" w:themeColor="text1"/>
        </w:rPr>
        <w:t>Union as an entity in its own right.</w:t>
      </w:r>
      <w:r w:rsidRPr="00E27201">
        <w:rPr>
          <w:color w:val="000000" w:themeColor="text1"/>
        </w:rPr>
        <w:t xml:space="preserve"> </w:t>
      </w:r>
      <w:r>
        <w:rPr>
          <w:color w:val="000000" w:themeColor="text1"/>
        </w:rPr>
        <w:t xml:space="preserve">However, when </w:t>
      </w:r>
      <w:r>
        <w:rPr>
          <w:color w:val="000000" w:themeColor="text1"/>
        </w:rPr>
        <w:lastRenderedPageBreak/>
        <w:t xml:space="preserve">European Union was entered as one word ( </w:t>
      </w:r>
      <w:proofErr w:type="spellStart"/>
      <w:r>
        <w:rPr>
          <w:color w:val="000000" w:themeColor="text1"/>
        </w:rPr>
        <w:t>e.g</w:t>
      </w:r>
      <w:proofErr w:type="spellEnd"/>
      <w:r>
        <w:rPr>
          <w:color w:val="000000" w:themeColor="text1"/>
        </w:rPr>
        <w:t xml:space="preserve">;  … OR European Union OR… ) search results dropped slightly.  For this reason, European Union was entered as e.g.; ‘… OR European OR Union…’. This increased results slightly but didn’t compromise the search’s integrity.  </w:t>
      </w:r>
    </w:p>
    <w:p w14:paraId="5301F088" w14:textId="113DF731" w:rsidR="005A3FF2" w:rsidRDefault="005A3FF2" w:rsidP="003D34EC">
      <w:pPr>
        <w:pStyle w:val="ListParagraph"/>
        <w:numPr>
          <w:ilvl w:val="0"/>
          <w:numId w:val="6"/>
        </w:numPr>
        <w:jc w:val="both"/>
      </w:pPr>
      <w:r>
        <w:t xml:space="preserve">EU was chosen due to its flexibility when applied to </w:t>
      </w:r>
      <w:proofErr w:type="spellStart"/>
      <w:r>
        <w:t>Bailii’s</w:t>
      </w:r>
      <w:proofErr w:type="spellEnd"/>
      <w:r>
        <w:t xml:space="preserve"> search engine.  Entering EU would search for multiple terms and phrases that include ‘</w:t>
      </w:r>
      <w:proofErr w:type="spellStart"/>
      <w:r w:rsidRPr="00C550AA">
        <w:rPr>
          <w:noProof/>
        </w:rPr>
        <w:t>eu</w:t>
      </w:r>
      <w:proofErr w:type="spellEnd"/>
      <w:r>
        <w:t xml:space="preserve">’ such as; European, European Union, European Parliament, European Commission, European Law or EU Law, Euro area, Court of Justice of the European Union, </w:t>
      </w:r>
      <w:r w:rsidRPr="00C550AA">
        <w:rPr>
          <w:noProof/>
        </w:rPr>
        <w:t>etc</w:t>
      </w:r>
      <w:r>
        <w:t xml:space="preserve">.  </w:t>
      </w:r>
      <w:r w:rsidRPr="00C550AA">
        <w:rPr>
          <w:noProof/>
        </w:rPr>
        <w:t>This</w:t>
      </w:r>
      <w:r>
        <w:t xml:space="preserve"> had the downside of also searching for phrases such as the European Convention.  </w:t>
      </w:r>
      <w:r w:rsidRPr="00C550AA">
        <w:rPr>
          <w:noProof/>
        </w:rPr>
        <w:t>The effect of this would, however, be limited by the construction of the search</w:t>
      </w:r>
      <w:r>
        <w:t xml:space="preserve">, EU </w:t>
      </w:r>
      <w:r w:rsidRPr="00C550AA">
        <w:rPr>
          <w:noProof/>
        </w:rPr>
        <w:t>being</w:t>
      </w:r>
      <w:r>
        <w:t xml:space="preserve"> a term to </w:t>
      </w:r>
      <w:r w:rsidRPr="00C550AA">
        <w:rPr>
          <w:noProof/>
        </w:rPr>
        <w:t>be found</w:t>
      </w:r>
      <w:r>
        <w:t xml:space="preserve"> with other European Union related terms, therefore limiting this effect to a minimum.  </w:t>
      </w:r>
    </w:p>
    <w:p w14:paraId="0B45E4E1" w14:textId="77777777" w:rsidR="008C6CF9" w:rsidRDefault="008C6CF9" w:rsidP="003D34EC">
      <w:pPr>
        <w:pStyle w:val="ListParagraph"/>
        <w:jc w:val="both"/>
      </w:pPr>
    </w:p>
    <w:p w14:paraId="0C756C4C" w14:textId="06B0652E" w:rsidR="005A3FF2" w:rsidRPr="008C6CF9" w:rsidRDefault="008C6CF9" w:rsidP="003D34EC">
      <w:pPr>
        <w:jc w:val="both"/>
        <w:rPr>
          <w:b/>
          <w:u w:val="single"/>
        </w:rPr>
      </w:pPr>
      <w:r>
        <w:rPr>
          <w:b/>
          <w:u w:val="single"/>
        </w:rPr>
        <w:t xml:space="preserve">Search Design - </w:t>
      </w:r>
      <w:r w:rsidR="005A3FF2" w:rsidRPr="008C6CF9">
        <w:rPr>
          <w:b/>
          <w:u w:val="single"/>
        </w:rPr>
        <w:t>The Court of Justice of the European Union</w:t>
      </w:r>
    </w:p>
    <w:p w14:paraId="0FC85FC0" w14:textId="2055F30E" w:rsidR="005A3FF2" w:rsidRDefault="00932877" w:rsidP="003D34EC">
      <w:pPr>
        <w:pStyle w:val="ListParagraph"/>
        <w:numPr>
          <w:ilvl w:val="0"/>
          <w:numId w:val="6"/>
        </w:numPr>
        <w:jc w:val="both"/>
      </w:pPr>
      <w:r>
        <w:rPr>
          <w:noProof/>
        </w:rPr>
        <w:t>We</w:t>
      </w:r>
      <w:r w:rsidR="005A3FF2">
        <w:t xml:space="preserve"> wanted to capture instances where the Irish Court </w:t>
      </w:r>
      <w:r w:rsidR="005A3FF2" w:rsidRPr="00746E1C">
        <w:t>outline</w:t>
      </w:r>
      <w:r w:rsidR="005A3FF2">
        <w:t>d</w:t>
      </w:r>
      <w:r w:rsidR="005A3FF2" w:rsidRPr="00746E1C">
        <w:t>, discuss</w:t>
      </w:r>
      <w:r w:rsidR="005A3FF2">
        <w:t xml:space="preserve">ed or </w:t>
      </w:r>
      <w:r w:rsidR="005A3FF2" w:rsidRPr="00746E1C">
        <w:t>analyse</w:t>
      </w:r>
      <w:r w:rsidR="005A3FF2">
        <w:t>d</w:t>
      </w:r>
      <w:r w:rsidR="005A3FF2" w:rsidRPr="00746E1C">
        <w:t xml:space="preserve"> </w:t>
      </w:r>
      <w:r w:rsidR="005A3FF2">
        <w:t xml:space="preserve">European Law.  </w:t>
      </w:r>
      <w:r>
        <w:t>Hence</w:t>
      </w:r>
      <w:r w:rsidR="005A3FF2">
        <w:t xml:space="preserve"> abbreviations of ‘ECJ’ &amp; ‘CJEU’ </w:t>
      </w:r>
      <w:r>
        <w:t xml:space="preserve">were added </w:t>
      </w:r>
      <w:r w:rsidR="005A3FF2">
        <w:t xml:space="preserve">to the search. These are commonly used by legal professionals, including the Irish </w:t>
      </w:r>
      <w:r w:rsidR="005A3FF2" w:rsidRPr="00C550AA">
        <w:rPr>
          <w:noProof/>
        </w:rPr>
        <w:t>Courts</w:t>
      </w:r>
      <w:r w:rsidR="005A3FF2">
        <w:t xml:space="preserve"> when </w:t>
      </w:r>
      <w:r w:rsidR="005A3FF2" w:rsidRPr="00C550AA">
        <w:rPr>
          <w:noProof/>
        </w:rPr>
        <w:t>referring</w:t>
      </w:r>
      <w:r w:rsidR="005A3FF2">
        <w:rPr>
          <w:noProof/>
        </w:rPr>
        <w:t xml:space="preserve"> to</w:t>
      </w:r>
      <w:r w:rsidR="005A3FF2">
        <w:t xml:space="preserve"> the Court of Justice.</w:t>
      </w:r>
    </w:p>
    <w:p w14:paraId="150E0ED0" w14:textId="77777777" w:rsidR="005A3FF2" w:rsidRDefault="005A3FF2" w:rsidP="003D34EC">
      <w:pPr>
        <w:pStyle w:val="ListParagraph"/>
        <w:numPr>
          <w:ilvl w:val="0"/>
          <w:numId w:val="6"/>
        </w:numPr>
        <w:jc w:val="both"/>
      </w:pPr>
      <w:r>
        <w:t xml:space="preserve">The abbreviations for the Court </w:t>
      </w:r>
      <w:r w:rsidRPr="00C550AA">
        <w:rPr>
          <w:noProof/>
        </w:rPr>
        <w:t>were entered</w:t>
      </w:r>
      <w:r>
        <w:t xml:space="preserve"> in double quotation marks. </w:t>
      </w:r>
    </w:p>
    <w:p w14:paraId="575AEEAB" w14:textId="77777777" w:rsidR="005A3FF2" w:rsidRDefault="005A3FF2" w:rsidP="003D34EC">
      <w:pPr>
        <w:pStyle w:val="ListParagraph"/>
        <w:numPr>
          <w:ilvl w:val="0"/>
          <w:numId w:val="6"/>
        </w:numPr>
        <w:jc w:val="both"/>
      </w:pPr>
      <w:r>
        <w:t xml:space="preserve">The full name of the court </w:t>
      </w:r>
      <w:r w:rsidRPr="00C550AA">
        <w:rPr>
          <w:noProof/>
        </w:rPr>
        <w:t>was not included</w:t>
      </w:r>
      <w:r>
        <w:t xml:space="preserve"> as this could complicate the search and result in increased or decreased results. (The fewer variables at play the better)  </w:t>
      </w:r>
    </w:p>
    <w:p w14:paraId="5682FD4C" w14:textId="77777777" w:rsidR="005A3FF2" w:rsidRDefault="005A3FF2" w:rsidP="003D34EC">
      <w:pPr>
        <w:pStyle w:val="ListParagraph"/>
        <w:numPr>
          <w:ilvl w:val="0"/>
          <w:numId w:val="6"/>
        </w:numPr>
        <w:jc w:val="both"/>
      </w:pPr>
      <w:r>
        <w:t xml:space="preserve">The phrase ‘court of justice’ was included in the search as a limiting factor and to identify cases which were more specifically related to our requirements of cases where the Irish Courts engaged with the jurisprudence of the European Court.  </w:t>
      </w:r>
    </w:p>
    <w:p w14:paraId="7A3C2B04" w14:textId="77777777" w:rsidR="005A3FF2" w:rsidRDefault="005A3FF2" w:rsidP="003D34EC">
      <w:pPr>
        <w:pStyle w:val="ListParagraph"/>
        <w:jc w:val="both"/>
      </w:pPr>
    </w:p>
    <w:p w14:paraId="714B338F" w14:textId="77777777" w:rsidR="005A3FF2" w:rsidRPr="00087F6B" w:rsidRDefault="005A3FF2" w:rsidP="003D34EC">
      <w:pPr>
        <w:jc w:val="both"/>
        <w:rPr>
          <w:b/>
        </w:rPr>
      </w:pPr>
      <w:r w:rsidRPr="00087F6B">
        <w:rPr>
          <w:b/>
        </w:rPr>
        <w:t xml:space="preserve">The final search appeared as </w:t>
      </w:r>
      <w:r>
        <w:rPr>
          <w:b/>
        </w:rPr>
        <w:t>follows for the CJEU</w:t>
      </w:r>
      <w:r w:rsidRPr="00087F6B">
        <w:rPr>
          <w:b/>
        </w:rPr>
        <w:t xml:space="preserve">;  </w:t>
      </w:r>
    </w:p>
    <w:p w14:paraId="6D05DF92" w14:textId="77777777" w:rsidR="005A3FF2" w:rsidRDefault="005A3FF2" w:rsidP="003D34EC">
      <w:pPr>
        <w:ind w:left="720" w:firstLine="720"/>
        <w:jc w:val="both"/>
        <w:rPr>
          <w:i/>
        </w:rPr>
      </w:pPr>
      <w:r w:rsidRPr="0029687F">
        <w:t xml:space="preserve"> </w:t>
      </w:r>
      <w:r w:rsidRPr="009B3AC4">
        <w:rPr>
          <w:i/>
        </w:rPr>
        <w:t>(</w:t>
      </w:r>
      <w:proofErr w:type="spellStart"/>
      <w:r w:rsidRPr="009B3AC4">
        <w:rPr>
          <w:i/>
        </w:rPr>
        <w:t>eu</w:t>
      </w:r>
      <w:proofErr w:type="spellEnd"/>
      <w:r w:rsidRPr="009B3AC4">
        <w:rPr>
          <w:i/>
        </w:rPr>
        <w:t xml:space="preserve"> OR </w:t>
      </w:r>
      <w:proofErr w:type="spellStart"/>
      <w:r w:rsidRPr="009B3AC4">
        <w:rPr>
          <w:i/>
        </w:rPr>
        <w:t>ecj</w:t>
      </w:r>
      <w:proofErr w:type="spellEnd"/>
      <w:r w:rsidRPr="009B3AC4">
        <w:rPr>
          <w:i/>
        </w:rPr>
        <w:t xml:space="preserve"> OR </w:t>
      </w:r>
      <w:proofErr w:type="spellStart"/>
      <w:r w:rsidRPr="009B3AC4">
        <w:rPr>
          <w:i/>
        </w:rPr>
        <w:t>cjeu</w:t>
      </w:r>
      <w:proofErr w:type="spellEnd"/>
      <w:r w:rsidRPr="009B3AC4">
        <w:rPr>
          <w:i/>
        </w:rPr>
        <w:t xml:space="preserve"> OR </w:t>
      </w:r>
      <w:r w:rsidRPr="00C550AA">
        <w:rPr>
          <w:i/>
          <w:noProof/>
        </w:rPr>
        <w:t>european</w:t>
      </w:r>
      <w:r w:rsidRPr="009B3AC4">
        <w:rPr>
          <w:i/>
        </w:rPr>
        <w:t xml:space="preserve"> OR union) </w:t>
      </w:r>
      <w:r w:rsidRPr="00C550AA">
        <w:rPr>
          <w:i/>
          <w:noProof/>
        </w:rPr>
        <w:t>AND</w:t>
      </w:r>
      <w:r w:rsidRPr="009B3AC4">
        <w:rPr>
          <w:i/>
        </w:rPr>
        <w:t xml:space="preserve"> ("court of justice") </w:t>
      </w:r>
    </w:p>
    <w:p w14:paraId="155ED02A" w14:textId="77777777" w:rsidR="005A3FF2" w:rsidRDefault="005A3FF2" w:rsidP="003D34EC">
      <w:pPr>
        <w:jc w:val="both"/>
      </w:pPr>
      <w:r>
        <w:rPr>
          <w:b/>
        </w:rPr>
        <w:t>Search explained;</w:t>
      </w:r>
    </w:p>
    <w:p w14:paraId="716492ED" w14:textId="77777777" w:rsidR="005A3FF2" w:rsidRDefault="005A3FF2" w:rsidP="003D34EC">
      <w:pPr>
        <w:pStyle w:val="ListParagraph"/>
        <w:numPr>
          <w:ilvl w:val="0"/>
          <w:numId w:val="7"/>
        </w:numPr>
        <w:jc w:val="both"/>
      </w:pPr>
      <w:r>
        <w:t xml:space="preserve">Searching for </w:t>
      </w:r>
      <w:proofErr w:type="spellStart"/>
      <w:r>
        <w:t>eu</w:t>
      </w:r>
      <w:proofErr w:type="spellEnd"/>
      <w:r>
        <w:t xml:space="preserve">, </w:t>
      </w:r>
      <w:r w:rsidRPr="00555101">
        <w:rPr>
          <w:noProof/>
        </w:rPr>
        <w:t>ecj</w:t>
      </w:r>
      <w:r>
        <w:t xml:space="preserve">, </w:t>
      </w:r>
      <w:r w:rsidRPr="00555101">
        <w:rPr>
          <w:noProof/>
        </w:rPr>
        <w:t>cjeu</w:t>
      </w:r>
      <w:r>
        <w:t xml:space="preserve"> &amp; European union within the first set of brackets would specify to the search engine that these terms had to be within the results, in conjunction with the phrase within the second set of brackets.</w:t>
      </w:r>
    </w:p>
    <w:p w14:paraId="3A658CBA" w14:textId="77777777" w:rsidR="005A3FF2" w:rsidRDefault="005A3FF2" w:rsidP="003D34EC">
      <w:pPr>
        <w:pStyle w:val="ListParagraph"/>
        <w:numPr>
          <w:ilvl w:val="0"/>
          <w:numId w:val="7"/>
        </w:numPr>
        <w:jc w:val="both"/>
      </w:pPr>
      <w:r>
        <w:t>By placing ‘OR’ between each of the terms in the set of brackets the search engine would understand that these words or phrases are interchangeable.</w:t>
      </w:r>
    </w:p>
    <w:p w14:paraId="64D49482" w14:textId="77777777" w:rsidR="005A3FF2" w:rsidRDefault="005A3FF2" w:rsidP="003D34EC">
      <w:pPr>
        <w:pStyle w:val="ListParagraph"/>
        <w:numPr>
          <w:ilvl w:val="0"/>
          <w:numId w:val="7"/>
        </w:numPr>
        <w:jc w:val="both"/>
      </w:pPr>
      <w:r w:rsidRPr="00E27201">
        <w:t xml:space="preserve">Searching for ‘court of justice within the second set of brackets would specify to the search engine that this phrase had to </w:t>
      </w:r>
      <w:r w:rsidRPr="00C550AA">
        <w:rPr>
          <w:noProof/>
        </w:rPr>
        <w:t>be found</w:t>
      </w:r>
      <w:r w:rsidRPr="00E27201">
        <w:t xml:space="preserve"> in the results. </w:t>
      </w:r>
    </w:p>
    <w:p w14:paraId="4A52305E" w14:textId="77777777" w:rsidR="005A3FF2" w:rsidRDefault="005A3FF2" w:rsidP="003D34EC">
      <w:pPr>
        <w:pStyle w:val="ListParagraph"/>
        <w:numPr>
          <w:ilvl w:val="0"/>
          <w:numId w:val="7"/>
        </w:numPr>
        <w:jc w:val="both"/>
      </w:pPr>
      <w:r w:rsidRPr="00C550AA">
        <w:rPr>
          <w:noProof/>
        </w:rPr>
        <w:t>By placing the phrase relating to the court, and the set of terms relating to the EU and the European Court in brackets and connecting them using the word ‘AND’, the search engine would understand that the phrase in the second set of brackets had to be found in conjunction with at least one word in the first set of brackets.</w:t>
      </w:r>
      <w:r>
        <w:t xml:space="preserve"> i.e. the brackets created units of words or phrases to be found with the alternative unit. </w:t>
      </w:r>
    </w:p>
    <w:p w14:paraId="4E166AA0" w14:textId="77777777" w:rsidR="005A3FF2" w:rsidRDefault="005A3FF2" w:rsidP="003D34EC">
      <w:pPr>
        <w:pStyle w:val="ListParagraph"/>
        <w:numPr>
          <w:ilvl w:val="0"/>
          <w:numId w:val="7"/>
        </w:numPr>
        <w:jc w:val="both"/>
      </w:pPr>
      <w:r>
        <w:t xml:space="preserve">If one unit received a result in the search, the result would be included in the final list of results if another word from the alternative unit occurred in the same result. </w:t>
      </w:r>
    </w:p>
    <w:p w14:paraId="4D056C38" w14:textId="77777777" w:rsidR="005A3FF2" w:rsidRDefault="005A3FF2" w:rsidP="003D34EC">
      <w:pPr>
        <w:pStyle w:val="ListParagraph"/>
        <w:numPr>
          <w:ilvl w:val="1"/>
          <w:numId w:val="7"/>
        </w:numPr>
        <w:jc w:val="both"/>
      </w:pPr>
      <w:r>
        <w:t xml:space="preserve">i.e. If ‘Court of Justice’ was found in one case, that case would only be included if a word from the second list </w:t>
      </w:r>
      <w:r w:rsidRPr="00C550AA">
        <w:rPr>
          <w:noProof/>
        </w:rPr>
        <w:t>was also found</w:t>
      </w:r>
      <w:r>
        <w:t xml:space="preserve"> in the same case.  </w:t>
      </w:r>
      <w:r w:rsidRPr="00C550AA">
        <w:rPr>
          <w:noProof/>
        </w:rPr>
        <w:t>Otherwise</w:t>
      </w:r>
      <w:r>
        <w:rPr>
          <w:noProof/>
        </w:rPr>
        <w:t>,</w:t>
      </w:r>
      <w:r>
        <w:t xml:space="preserve"> it would </w:t>
      </w:r>
      <w:r w:rsidRPr="00C550AA">
        <w:rPr>
          <w:noProof/>
        </w:rPr>
        <w:t>be discounted</w:t>
      </w:r>
      <w:r>
        <w:t xml:space="preserve"> by the search engine.   </w:t>
      </w:r>
    </w:p>
    <w:p w14:paraId="64156FFE" w14:textId="77777777" w:rsidR="005A3FF2" w:rsidRDefault="005A3FF2" w:rsidP="003D34EC">
      <w:pPr>
        <w:jc w:val="both"/>
      </w:pPr>
    </w:p>
    <w:p w14:paraId="25764056" w14:textId="77777777" w:rsidR="005A3FF2" w:rsidRPr="004B34B7" w:rsidRDefault="005A3FF2" w:rsidP="003D34EC">
      <w:pPr>
        <w:jc w:val="both"/>
      </w:pPr>
      <w:r w:rsidRPr="00C550AA">
        <w:rPr>
          <w:noProof/>
        </w:rPr>
        <w:t xml:space="preserve">A total of 889 cases were identified by </w:t>
      </w:r>
      <w:r>
        <w:rPr>
          <w:noProof/>
        </w:rPr>
        <w:t>Bailii</w:t>
      </w:r>
      <w:r>
        <w:t xml:space="preserve"> following this search.  </w:t>
      </w:r>
    </w:p>
    <w:p w14:paraId="3A3FBAF1" w14:textId="2684D9B0" w:rsidR="005A3FF2" w:rsidRPr="008C6CF9" w:rsidRDefault="008C6CF9" w:rsidP="003D34EC">
      <w:pPr>
        <w:jc w:val="both"/>
        <w:rPr>
          <w:b/>
          <w:u w:val="single"/>
        </w:rPr>
      </w:pPr>
      <w:r w:rsidRPr="008C6CF9">
        <w:rPr>
          <w:b/>
          <w:u w:val="single"/>
        </w:rPr>
        <w:t>Search Design – The European General Court</w:t>
      </w:r>
    </w:p>
    <w:p w14:paraId="39F38DE3" w14:textId="77777777" w:rsidR="005A3FF2" w:rsidRDefault="005A3FF2" w:rsidP="003D34EC">
      <w:pPr>
        <w:pStyle w:val="ListParagraph"/>
        <w:numPr>
          <w:ilvl w:val="0"/>
          <w:numId w:val="8"/>
        </w:numPr>
        <w:jc w:val="both"/>
      </w:pPr>
      <w:r>
        <w:rPr>
          <w:noProof/>
        </w:rPr>
        <w:t>A search was also carried out lookig for cases relating to the European General Court.</w:t>
      </w:r>
    </w:p>
    <w:p w14:paraId="4F970B3D" w14:textId="4CC45B97" w:rsidR="005A3FF2" w:rsidRDefault="005A3FF2" w:rsidP="003D34EC">
      <w:pPr>
        <w:pStyle w:val="ListParagraph"/>
        <w:numPr>
          <w:ilvl w:val="0"/>
          <w:numId w:val="8"/>
        </w:numPr>
        <w:jc w:val="both"/>
      </w:pPr>
      <w:r>
        <w:rPr>
          <w:noProof/>
        </w:rPr>
        <w:t>Again</w:t>
      </w:r>
      <w:r w:rsidR="00932877">
        <w:rPr>
          <w:noProof/>
        </w:rPr>
        <w:t>,</w:t>
      </w:r>
      <w:r>
        <w:t xml:space="preserve"> we wanted to capture instances where the Irish Court </w:t>
      </w:r>
      <w:r w:rsidRPr="00746E1C">
        <w:t>outline</w:t>
      </w:r>
      <w:r>
        <w:t>d</w:t>
      </w:r>
      <w:r w:rsidRPr="00746E1C">
        <w:t>, discuss</w:t>
      </w:r>
      <w:r>
        <w:t xml:space="preserve">ed or </w:t>
      </w:r>
      <w:r w:rsidRPr="00746E1C">
        <w:t>analyse</w:t>
      </w:r>
      <w:r>
        <w:t>d</w:t>
      </w:r>
      <w:r w:rsidRPr="00746E1C">
        <w:t xml:space="preserve"> </w:t>
      </w:r>
      <w:r>
        <w:t>European Law</w:t>
      </w:r>
      <w:r w:rsidR="00932877">
        <w:t xml:space="preserve"> so </w:t>
      </w:r>
      <w:r>
        <w:t>the abbreviation ‘</w:t>
      </w:r>
      <w:proofErr w:type="spellStart"/>
      <w:r>
        <w:t>egc</w:t>
      </w:r>
      <w:proofErr w:type="spellEnd"/>
      <w:r>
        <w:t xml:space="preserve">’ in the search as it is commonly used by legal professionals when </w:t>
      </w:r>
      <w:r w:rsidRPr="00C550AA">
        <w:rPr>
          <w:noProof/>
        </w:rPr>
        <w:t>referring</w:t>
      </w:r>
      <w:r>
        <w:rPr>
          <w:noProof/>
        </w:rPr>
        <w:t xml:space="preserve"> to</w:t>
      </w:r>
      <w:r>
        <w:t xml:space="preserve"> the European General Court</w:t>
      </w:r>
      <w:r w:rsidR="00932877">
        <w:t xml:space="preserve"> was included</w:t>
      </w:r>
      <w:r>
        <w:t xml:space="preserve">. </w:t>
      </w:r>
    </w:p>
    <w:p w14:paraId="709711D4" w14:textId="77777777" w:rsidR="005A3FF2" w:rsidRDefault="005A3FF2" w:rsidP="003D34EC">
      <w:pPr>
        <w:pStyle w:val="ListParagraph"/>
        <w:numPr>
          <w:ilvl w:val="0"/>
          <w:numId w:val="8"/>
        </w:numPr>
        <w:jc w:val="both"/>
      </w:pPr>
      <w:r w:rsidRPr="00F27DA2">
        <w:t xml:space="preserve">The abbreviation for the Court </w:t>
      </w:r>
      <w:r>
        <w:t>was</w:t>
      </w:r>
      <w:r w:rsidRPr="00F27DA2">
        <w:t xml:space="preserve"> entered in double quotation marks.  </w:t>
      </w:r>
    </w:p>
    <w:p w14:paraId="6E93D6B7" w14:textId="77777777" w:rsidR="005A3FF2" w:rsidRDefault="005A3FF2" w:rsidP="003D34EC">
      <w:pPr>
        <w:pStyle w:val="ListParagraph"/>
        <w:numPr>
          <w:ilvl w:val="0"/>
          <w:numId w:val="8"/>
        </w:numPr>
        <w:jc w:val="both"/>
      </w:pPr>
      <w:r>
        <w:t xml:space="preserve">The official name of the Court, the European General Court, </w:t>
      </w:r>
      <w:r w:rsidRPr="00C550AA">
        <w:rPr>
          <w:noProof/>
        </w:rPr>
        <w:t xml:space="preserve">was </w:t>
      </w:r>
      <w:r>
        <w:rPr>
          <w:noProof/>
        </w:rPr>
        <w:t xml:space="preserve">included in this instance as it did not appear to complicate the search results or increase/decrease our search results significantly. </w:t>
      </w:r>
    </w:p>
    <w:p w14:paraId="38A12F7B" w14:textId="77777777" w:rsidR="005A3FF2" w:rsidRPr="004B34B7" w:rsidRDefault="005A3FF2" w:rsidP="003D34EC">
      <w:pPr>
        <w:pStyle w:val="ListParagraph"/>
        <w:numPr>
          <w:ilvl w:val="0"/>
          <w:numId w:val="8"/>
        </w:numPr>
        <w:jc w:val="both"/>
      </w:pPr>
      <w:r>
        <w:rPr>
          <w:noProof/>
        </w:rPr>
        <w:t>Siminarly, the former name of the European General Court, the Court of First Instance as it was known prior to the implementaiton of the Lisbon Treaty, as this would capture cases which occurred prior to 2009.  (2008 - 2018 being period of study)</w:t>
      </w:r>
    </w:p>
    <w:p w14:paraId="1AA7450C" w14:textId="77777777" w:rsidR="005A3FF2" w:rsidRPr="00F27DA2" w:rsidRDefault="005A3FF2" w:rsidP="003D34EC">
      <w:pPr>
        <w:jc w:val="both"/>
        <w:rPr>
          <w:b/>
        </w:rPr>
      </w:pPr>
      <w:r>
        <w:rPr>
          <w:b/>
        </w:rPr>
        <w:t>The final search appeared as follows for the General Court</w:t>
      </w:r>
    </w:p>
    <w:p w14:paraId="1E109C27" w14:textId="77777777" w:rsidR="005A3FF2" w:rsidRPr="00F27DA2" w:rsidRDefault="005A3FF2" w:rsidP="003D34EC">
      <w:pPr>
        <w:ind w:left="1440"/>
        <w:jc w:val="both"/>
        <w:rPr>
          <w:i/>
        </w:rPr>
      </w:pPr>
      <w:r w:rsidRPr="00F27DA2">
        <w:rPr>
          <w:i/>
        </w:rPr>
        <w:t>(</w:t>
      </w:r>
      <w:proofErr w:type="spellStart"/>
      <w:r w:rsidRPr="00F27DA2">
        <w:rPr>
          <w:i/>
        </w:rPr>
        <w:t>eu</w:t>
      </w:r>
      <w:proofErr w:type="spellEnd"/>
      <w:r w:rsidRPr="00F27DA2">
        <w:rPr>
          <w:i/>
        </w:rPr>
        <w:t xml:space="preserve"> OR "</w:t>
      </w:r>
      <w:proofErr w:type="spellStart"/>
      <w:r w:rsidRPr="00F27DA2">
        <w:rPr>
          <w:i/>
        </w:rPr>
        <w:t>egc</w:t>
      </w:r>
      <w:proofErr w:type="spellEnd"/>
      <w:r w:rsidRPr="00F27DA2">
        <w:rPr>
          <w:i/>
        </w:rPr>
        <w:t xml:space="preserve">" OR </w:t>
      </w:r>
      <w:proofErr w:type="spellStart"/>
      <w:r w:rsidRPr="00F27DA2">
        <w:rPr>
          <w:i/>
        </w:rPr>
        <w:t>european</w:t>
      </w:r>
      <w:proofErr w:type="spellEnd"/>
      <w:r w:rsidRPr="00F27DA2">
        <w:rPr>
          <w:i/>
        </w:rPr>
        <w:t xml:space="preserve"> OR union) AND ("general court" OR "court of first instance")</w:t>
      </w:r>
    </w:p>
    <w:p w14:paraId="74F6B862" w14:textId="477EF40D" w:rsidR="005A3FF2" w:rsidRDefault="005A3FF2" w:rsidP="003D34EC">
      <w:pPr>
        <w:jc w:val="both"/>
      </w:pPr>
      <w:r>
        <w:rPr>
          <w:b/>
        </w:rPr>
        <w:t>Search explained</w:t>
      </w:r>
    </w:p>
    <w:p w14:paraId="380C8E66" w14:textId="77777777" w:rsidR="005A3FF2" w:rsidRDefault="005A3FF2" w:rsidP="003D34EC">
      <w:pPr>
        <w:pStyle w:val="ListParagraph"/>
        <w:numPr>
          <w:ilvl w:val="0"/>
          <w:numId w:val="7"/>
        </w:numPr>
        <w:jc w:val="both"/>
      </w:pPr>
      <w:r>
        <w:t xml:space="preserve">Searching for </w:t>
      </w:r>
      <w:proofErr w:type="spellStart"/>
      <w:r>
        <w:t>eu</w:t>
      </w:r>
      <w:proofErr w:type="spellEnd"/>
      <w:r>
        <w:t xml:space="preserve">, </w:t>
      </w:r>
      <w:r>
        <w:rPr>
          <w:noProof/>
        </w:rPr>
        <w:t>“egc”</w:t>
      </w:r>
      <w:r>
        <w:t xml:space="preserve"> &amp; European Union within the first set of brackets would specify to the search engine that these terms had to be within the results, in conjunction with the phrase within the second set of brackets.</w:t>
      </w:r>
    </w:p>
    <w:p w14:paraId="54BFB033" w14:textId="77777777" w:rsidR="005A3FF2" w:rsidRDefault="005A3FF2" w:rsidP="003D34EC">
      <w:pPr>
        <w:pStyle w:val="ListParagraph"/>
        <w:numPr>
          <w:ilvl w:val="0"/>
          <w:numId w:val="7"/>
        </w:numPr>
        <w:jc w:val="both"/>
      </w:pPr>
      <w:r>
        <w:t>By placing ‘OR’ between each of the terms in the set of brackets the search engine would understand that these words or phrases are interchangeable.</w:t>
      </w:r>
    </w:p>
    <w:p w14:paraId="58D789DD" w14:textId="77777777" w:rsidR="005A3FF2" w:rsidRDefault="005A3FF2" w:rsidP="003D34EC">
      <w:pPr>
        <w:pStyle w:val="ListParagraph"/>
        <w:numPr>
          <w:ilvl w:val="0"/>
          <w:numId w:val="7"/>
        </w:numPr>
        <w:jc w:val="both"/>
      </w:pPr>
      <w:r w:rsidRPr="00E27201">
        <w:t>Searching for ‘</w:t>
      </w:r>
      <w:r>
        <w:t>general court’ and ‘court of first instance’</w:t>
      </w:r>
      <w:r w:rsidRPr="00E27201">
        <w:t xml:space="preserve"> within the second set of brackets would specify to the search engine that this phrase had to </w:t>
      </w:r>
      <w:r w:rsidRPr="00C550AA">
        <w:rPr>
          <w:noProof/>
        </w:rPr>
        <w:t>be found</w:t>
      </w:r>
      <w:r w:rsidRPr="00E27201">
        <w:t xml:space="preserve"> in the results. </w:t>
      </w:r>
    </w:p>
    <w:p w14:paraId="5FD0CE5B" w14:textId="77777777" w:rsidR="005A3FF2" w:rsidRDefault="005A3FF2" w:rsidP="003D34EC">
      <w:pPr>
        <w:pStyle w:val="ListParagraph"/>
        <w:numPr>
          <w:ilvl w:val="0"/>
          <w:numId w:val="7"/>
        </w:numPr>
        <w:jc w:val="both"/>
      </w:pPr>
      <w:r w:rsidRPr="00C550AA">
        <w:rPr>
          <w:noProof/>
        </w:rPr>
        <w:t>By placing the phrase relating to the court, and the set of terms relating to the EU and the European Court</w:t>
      </w:r>
      <w:r>
        <w:rPr>
          <w:noProof/>
        </w:rPr>
        <w:t xml:space="preserve">, </w:t>
      </w:r>
      <w:r w:rsidRPr="00C550AA">
        <w:rPr>
          <w:noProof/>
        </w:rPr>
        <w:t>in brackets and connecting them using the word ‘AND’, the search engine would understand that the phrase in the second set of brackets had to be found in conjunction with at least one word in the first set of brackets.</w:t>
      </w:r>
      <w:r>
        <w:t xml:space="preserve"> i.e. the brackets created units of words or phrases to be found with the alternative unit. </w:t>
      </w:r>
    </w:p>
    <w:p w14:paraId="6889688D" w14:textId="77777777" w:rsidR="005A3FF2" w:rsidRDefault="005A3FF2" w:rsidP="003D34EC">
      <w:pPr>
        <w:pStyle w:val="ListParagraph"/>
        <w:numPr>
          <w:ilvl w:val="0"/>
          <w:numId w:val="7"/>
        </w:numPr>
        <w:jc w:val="both"/>
      </w:pPr>
      <w:r>
        <w:t xml:space="preserve">It was considered possible that the inclusion of the phrase ‘court of first instance’ could result in the mistaken inclusion of unrelated case law (i.e. Where the court of first instance was a lower court within the domestic legal system, e.g. a District Court).  However, this would be cancelled out by the terms in the first set of brackets which needed to be found in conjunction with the phrase ‘court of first instance’. </w:t>
      </w:r>
    </w:p>
    <w:p w14:paraId="7A7CCDD9" w14:textId="77777777" w:rsidR="005A3FF2" w:rsidRDefault="005A3FF2" w:rsidP="003D34EC">
      <w:pPr>
        <w:pStyle w:val="ListParagraph"/>
        <w:numPr>
          <w:ilvl w:val="0"/>
          <w:numId w:val="7"/>
        </w:numPr>
        <w:jc w:val="both"/>
      </w:pPr>
      <w:r>
        <w:t xml:space="preserve">If one unit received a result in the search, the result would be included in the final list of results if another word from the alternative unit occurred in the same result. </w:t>
      </w:r>
    </w:p>
    <w:p w14:paraId="20F1FBDD" w14:textId="77777777" w:rsidR="005A3FF2" w:rsidRDefault="005A3FF2" w:rsidP="003D34EC">
      <w:pPr>
        <w:pStyle w:val="ListParagraph"/>
        <w:numPr>
          <w:ilvl w:val="1"/>
          <w:numId w:val="7"/>
        </w:numPr>
        <w:jc w:val="both"/>
      </w:pPr>
      <w:r>
        <w:t xml:space="preserve">i.e. If ‘Court of Justice’ was found in one case, that case would only be included if a word from the second list </w:t>
      </w:r>
      <w:r w:rsidRPr="00C550AA">
        <w:rPr>
          <w:noProof/>
        </w:rPr>
        <w:t>was also found</w:t>
      </w:r>
      <w:r>
        <w:t xml:space="preserve"> in the same case.  </w:t>
      </w:r>
      <w:r w:rsidRPr="00C550AA">
        <w:rPr>
          <w:noProof/>
        </w:rPr>
        <w:t>Otherwise</w:t>
      </w:r>
      <w:r>
        <w:rPr>
          <w:noProof/>
        </w:rPr>
        <w:t>,</w:t>
      </w:r>
      <w:r>
        <w:t xml:space="preserve"> it would </w:t>
      </w:r>
      <w:r w:rsidRPr="00C550AA">
        <w:rPr>
          <w:noProof/>
        </w:rPr>
        <w:t>be discounted</w:t>
      </w:r>
      <w:r>
        <w:t xml:space="preserve"> by the search engine.   </w:t>
      </w:r>
    </w:p>
    <w:p w14:paraId="142467DB" w14:textId="77777777" w:rsidR="005A3FF2" w:rsidRDefault="005A3FF2" w:rsidP="003D34EC">
      <w:pPr>
        <w:jc w:val="both"/>
      </w:pPr>
      <w:r w:rsidRPr="00C550AA">
        <w:rPr>
          <w:noProof/>
        </w:rPr>
        <w:t xml:space="preserve">A total of </w:t>
      </w:r>
      <w:r>
        <w:rPr>
          <w:noProof/>
        </w:rPr>
        <w:t>203</w:t>
      </w:r>
      <w:r w:rsidRPr="00C550AA">
        <w:rPr>
          <w:noProof/>
        </w:rPr>
        <w:t xml:space="preserve"> cases were identified by </w:t>
      </w:r>
      <w:r>
        <w:rPr>
          <w:noProof/>
        </w:rPr>
        <w:t>Bailii</w:t>
      </w:r>
      <w:r>
        <w:t xml:space="preserve"> following this search.  </w:t>
      </w:r>
    </w:p>
    <w:p w14:paraId="30F979F4" w14:textId="4AB7AD0F" w:rsidR="007158CD" w:rsidRPr="000522F2" w:rsidRDefault="007158CD" w:rsidP="003D34EC">
      <w:pPr>
        <w:jc w:val="both"/>
        <w:rPr>
          <w:b/>
        </w:rPr>
      </w:pPr>
      <w:r w:rsidRPr="000522F2">
        <w:rPr>
          <w:b/>
        </w:rPr>
        <w:t xml:space="preserve">Evaluation of </w:t>
      </w:r>
      <w:r w:rsidR="005A3FF2">
        <w:rPr>
          <w:b/>
        </w:rPr>
        <w:t xml:space="preserve">search </w:t>
      </w:r>
      <w:r w:rsidRPr="000522F2">
        <w:rPr>
          <w:b/>
        </w:rPr>
        <w:t>results</w:t>
      </w:r>
    </w:p>
    <w:p w14:paraId="2ABD39BD" w14:textId="07BFFBBE" w:rsidR="00BB6BD5" w:rsidRDefault="007158CD" w:rsidP="003D34EC">
      <w:pPr>
        <w:jc w:val="both"/>
      </w:pPr>
      <w:r>
        <w:lastRenderedPageBreak/>
        <w:t>Each case was reviewed individually</w:t>
      </w:r>
      <w:r w:rsidR="00F81DBC">
        <w:t>. First</w:t>
      </w:r>
      <w:r w:rsidR="00023F1E">
        <w:t>ly each case</w:t>
      </w:r>
      <w:r w:rsidR="00BB6BD5">
        <w:t xml:space="preserve"> was skim read</w:t>
      </w:r>
      <w:r w:rsidR="00023F1E">
        <w:t>, reviewing the summaries (where available)</w:t>
      </w:r>
      <w:r w:rsidR="00F81DBC">
        <w:t xml:space="preserve"> </w:t>
      </w:r>
      <w:r w:rsidR="00023F1E">
        <w:t xml:space="preserve">and </w:t>
      </w:r>
      <w:r w:rsidR="00F81DBC">
        <w:t xml:space="preserve">the terms </w:t>
      </w:r>
      <w:r>
        <w:t xml:space="preserve">highlighted by </w:t>
      </w:r>
      <w:proofErr w:type="spellStart"/>
      <w:r w:rsidR="00023F1E">
        <w:t>B</w:t>
      </w:r>
      <w:r>
        <w:t>ailii</w:t>
      </w:r>
      <w:proofErr w:type="spellEnd"/>
      <w:r>
        <w:t xml:space="preserve"> </w:t>
      </w:r>
      <w:r w:rsidR="00F81DBC">
        <w:t xml:space="preserve">indicated the reason </w:t>
      </w:r>
      <w:r w:rsidR="00023F1E" w:rsidRPr="00C550AA">
        <w:rPr>
          <w:noProof/>
        </w:rPr>
        <w:t>a case</w:t>
      </w:r>
      <w:r w:rsidR="00F81DBC" w:rsidRPr="00C550AA">
        <w:rPr>
          <w:noProof/>
        </w:rPr>
        <w:t xml:space="preserve"> had been returned by the search engine</w:t>
      </w:r>
      <w:r w:rsidR="00F81DBC">
        <w:t xml:space="preserve">.  </w:t>
      </w:r>
      <w:r w:rsidR="00BB6BD5">
        <w:rPr>
          <w:noProof/>
        </w:rPr>
        <w:t>A</w:t>
      </w:r>
      <w:r w:rsidR="00023F1E">
        <w:t xml:space="preserve"> check </w:t>
      </w:r>
      <w:r w:rsidR="00BB6BD5">
        <w:t xml:space="preserve">was also done to ensure </w:t>
      </w:r>
      <w:r w:rsidR="00023F1E">
        <w:t xml:space="preserve">that </w:t>
      </w:r>
      <w:r w:rsidR="00023F1E" w:rsidRPr="00C550AA">
        <w:rPr>
          <w:noProof/>
        </w:rPr>
        <w:t>each</w:t>
      </w:r>
      <w:r w:rsidR="00023F1E">
        <w:t xml:space="preserve"> case </w:t>
      </w:r>
      <w:r w:rsidR="00023F1E" w:rsidRPr="00C550AA">
        <w:rPr>
          <w:noProof/>
        </w:rPr>
        <w:t>had</w:t>
      </w:r>
      <w:r w:rsidR="00C550AA">
        <w:rPr>
          <w:noProof/>
        </w:rPr>
        <w:t xml:space="preserve"> no</w:t>
      </w:r>
      <w:r w:rsidR="00023F1E" w:rsidRPr="00C550AA">
        <w:rPr>
          <w:noProof/>
        </w:rPr>
        <w:t>t</w:t>
      </w:r>
      <w:r w:rsidR="00023F1E">
        <w:t xml:space="preserve"> been returned in error by </w:t>
      </w:r>
      <w:proofErr w:type="spellStart"/>
      <w:r w:rsidR="00023F1E">
        <w:t>Bailii</w:t>
      </w:r>
      <w:proofErr w:type="spellEnd"/>
      <w:r w:rsidR="00023F1E">
        <w:t xml:space="preserve">. </w:t>
      </w:r>
      <w:r w:rsidR="00BB6BD5">
        <w:t>For example,</w:t>
      </w:r>
      <w:r>
        <w:t xml:space="preserve"> in some instances </w:t>
      </w:r>
      <w:r w:rsidR="00023F1E">
        <w:t xml:space="preserve">the words </w:t>
      </w:r>
      <w:r>
        <w:t xml:space="preserve">EU or European would find results relating only to the European Court of Human Rights.  Such cases </w:t>
      </w:r>
      <w:r w:rsidRPr="00C550AA">
        <w:rPr>
          <w:noProof/>
        </w:rPr>
        <w:t>were discounted</w:t>
      </w:r>
      <w:r>
        <w:t xml:space="preserve">.  </w:t>
      </w:r>
    </w:p>
    <w:p w14:paraId="5BA943C2" w14:textId="14E2FFA2" w:rsidR="00023F1E" w:rsidRDefault="00BB6BD5" w:rsidP="003D34EC">
      <w:pPr>
        <w:jc w:val="both"/>
      </w:pPr>
      <w:r>
        <w:t>Note: c</w:t>
      </w:r>
      <w:r w:rsidR="007158CD">
        <w:t xml:space="preserve">ases relating to decisions of the Information Commissioner, Data Protection Commissioner and the </w:t>
      </w:r>
      <w:r>
        <w:t xml:space="preserve">Competition and Consumer </w:t>
      </w:r>
      <w:r w:rsidR="009E58F1">
        <w:t>Protection Commission and other adjudicative bodies</w:t>
      </w:r>
      <w:r w:rsidR="007158CD">
        <w:t xml:space="preserve"> </w:t>
      </w:r>
      <w:r w:rsidR="007158CD" w:rsidRPr="00C550AA">
        <w:rPr>
          <w:noProof/>
        </w:rPr>
        <w:t xml:space="preserve">were </w:t>
      </w:r>
      <w:r>
        <w:rPr>
          <w:noProof/>
        </w:rPr>
        <w:t xml:space="preserve">not included </w:t>
      </w:r>
      <w:r w:rsidR="00023F1E">
        <w:t>as they do not form constituent parts of the Irish Superior Courts Structure</w:t>
      </w:r>
      <w:r w:rsidR="007158CD">
        <w:t xml:space="preserve">. </w:t>
      </w:r>
    </w:p>
    <w:p w14:paraId="666D75E9" w14:textId="2454394B" w:rsidR="009E58F1" w:rsidRDefault="00023F1E" w:rsidP="003D34EC">
      <w:pPr>
        <w:jc w:val="both"/>
      </w:pPr>
      <w:r>
        <w:t xml:space="preserve">Following this, when </w:t>
      </w:r>
      <w:r w:rsidR="007158CD">
        <w:t xml:space="preserve">satisfied that the case did relate to an issue of EU law, the case </w:t>
      </w:r>
      <w:r w:rsidR="00BB6BD5">
        <w:t xml:space="preserve">was assessed </w:t>
      </w:r>
      <w:r w:rsidR="007158CD">
        <w:t>to determine the exact issue(s)</w:t>
      </w:r>
      <w:r>
        <w:t xml:space="preserve"> present in the proceedings. Following this, the case </w:t>
      </w:r>
      <w:r w:rsidR="009E58F1">
        <w:t xml:space="preserve">was checked </w:t>
      </w:r>
      <w:r>
        <w:t xml:space="preserve">against </w:t>
      </w:r>
      <w:r w:rsidR="009E58F1">
        <w:t xml:space="preserve">the </w:t>
      </w:r>
      <w:proofErr w:type="spellStart"/>
      <w:r>
        <w:t>Justis</w:t>
      </w:r>
      <w:proofErr w:type="spellEnd"/>
      <w:r w:rsidR="007158CD">
        <w:t xml:space="preserve"> search</w:t>
      </w:r>
      <w:r>
        <w:t xml:space="preserve">, </w:t>
      </w:r>
      <w:r w:rsidR="007158CD">
        <w:t>or another search engine such as Westlaw or Lex</w:t>
      </w:r>
      <w:r w:rsidR="009E58F1">
        <w:t>is</w:t>
      </w:r>
      <w:r w:rsidR="007158CD">
        <w:t xml:space="preserve">, </w:t>
      </w:r>
      <w:r>
        <w:t>to confirm</w:t>
      </w:r>
      <w:r w:rsidR="007158CD">
        <w:t xml:space="preserve"> </w:t>
      </w:r>
      <w:r>
        <w:t>the primary issues arising in the individual case</w:t>
      </w:r>
      <w:r w:rsidR="00C550AA">
        <w:t>, therefore,</w:t>
      </w:r>
      <w:r>
        <w:t xml:space="preserve"> ensuring that i</w:t>
      </w:r>
      <w:r w:rsidR="007158CD">
        <w:t>nterpretation of the case was correct.  Following this, if still unsure</w:t>
      </w:r>
      <w:r>
        <w:t xml:space="preserve"> as to the exact issue(s) of the case</w:t>
      </w:r>
      <w:r w:rsidR="007158CD">
        <w:t>,</w:t>
      </w:r>
      <w:r>
        <w:t xml:space="preserve"> a general web search using</w:t>
      </w:r>
      <w:r w:rsidR="007158CD">
        <w:t xml:space="preserve"> </w:t>
      </w:r>
      <w:r>
        <w:t>G</w:t>
      </w:r>
      <w:r w:rsidR="007158CD">
        <w:t xml:space="preserve">oogle for the case </w:t>
      </w:r>
      <w:r>
        <w:t xml:space="preserve">in question </w:t>
      </w:r>
      <w:r w:rsidR="007158CD">
        <w:t xml:space="preserve">either by name, or by neutral citation, </w:t>
      </w:r>
      <w:r w:rsidR="009E58F1">
        <w:t>would be used in particular in relation to asylum cases</w:t>
      </w:r>
      <w:r w:rsidR="007158CD">
        <w:t xml:space="preserve">.  Sites such as the Bar </w:t>
      </w:r>
      <w:r>
        <w:t>o</w:t>
      </w:r>
      <w:r w:rsidR="007158CD">
        <w:t xml:space="preserve">f Ireland, the Law Society of Ireland, Asylum Rights Ireland, </w:t>
      </w:r>
      <w:r w:rsidR="009E58F1">
        <w:t xml:space="preserve">European Database of Asylum Law, European Migration Network, </w:t>
      </w:r>
      <w:r w:rsidR="007158CD">
        <w:t xml:space="preserve">reports of the Attorney General, and other government bodies </w:t>
      </w:r>
      <w:r w:rsidR="007158CD" w:rsidRPr="00C550AA">
        <w:rPr>
          <w:noProof/>
        </w:rPr>
        <w:t>were consulted</w:t>
      </w:r>
      <w:r w:rsidR="007158CD">
        <w:t xml:space="preserve">, as were legal blogs, Court reports from various news websites such as the Irish Times.  </w:t>
      </w:r>
    </w:p>
    <w:p w14:paraId="6DC84960" w14:textId="508EEF4D" w:rsidR="007158CD" w:rsidRDefault="009E58F1" w:rsidP="003D34EC">
      <w:pPr>
        <w:jc w:val="both"/>
      </w:pPr>
      <w:r>
        <w:t xml:space="preserve">A textual analysis was also conducted of </w:t>
      </w:r>
      <w:r w:rsidR="007158CD">
        <w:t xml:space="preserve">each case using the </w:t>
      </w:r>
      <w:proofErr w:type="spellStart"/>
      <w:r w:rsidR="007158CD">
        <w:t>Ctrl+F</w:t>
      </w:r>
      <w:proofErr w:type="spellEnd"/>
      <w:r w:rsidR="007158CD">
        <w:t xml:space="preserve"> function </w:t>
      </w:r>
      <w:r w:rsidR="00023F1E">
        <w:t xml:space="preserve">to find </w:t>
      </w:r>
      <w:r w:rsidR="007158CD">
        <w:t xml:space="preserve">terms such as EU, directive, regulation, Court of Justice, court citations for the </w:t>
      </w:r>
      <w:r w:rsidR="00F65E10">
        <w:t>CJEU</w:t>
      </w:r>
      <w:r w:rsidR="007158CD">
        <w:t xml:space="preserve"> such as ‘C-‘ or E.C.R., any </w:t>
      </w:r>
      <w:r w:rsidR="007158CD" w:rsidRPr="00555101">
        <w:rPr>
          <w:noProof/>
        </w:rPr>
        <w:t>terms</w:t>
      </w:r>
      <w:r w:rsidR="007158CD">
        <w:t xml:space="preserve"> that might relate to EU law were used to </w:t>
      </w:r>
      <w:r>
        <w:t>zone</w:t>
      </w:r>
      <w:r w:rsidR="00023F1E">
        <w:t xml:space="preserve"> in on the EU law specific issue in the individual case</w:t>
      </w:r>
      <w:r w:rsidR="007158CD">
        <w:t xml:space="preserve">.  </w:t>
      </w:r>
      <w:r w:rsidR="007158CD" w:rsidRPr="00C550AA">
        <w:rPr>
          <w:noProof/>
        </w:rPr>
        <w:t>I</w:t>
      </w:r>
      <w:r w:rsidR="007158CD">
        <w:t xml:space="preserve"> also checked each case to find </w:t>
      </w:r>
      <w:r>
        <w:t>A</w:t>
      </w:r>
      <w:r w:rsidR="007158CD">
        <w:t xml:space="preserve">rticle 267 references to the CJEU.  </w:t>
      </w:r>
    </w:p>
    <w:p w14:paraId="07464DC8" w14:textId="409B833C" w:rsidR="007158CD" w:rsidRDefault="007158CD" w:rsidP="003D34EC">
      <w:pPr>
        <w:jc w:val="both"/>
      </w:pPr>
      <w:r>
        <w:t xml:space="preserve">Cases that raised EU law issues </w:t>
      </w:r>
      <w:r w:rsidRPr="00C550AA">
        <w:rPr>
          <w:noProof/>
        </w:rPr>
        <w:t>were recorded</w:t>
      </w:r>
      <w:r>
        <w:t xml:space="preserve"> in an excel database.  This database had two worksheets</w:t>
      </w:r>
      <w:r w:rsidR="009E58F1">
        <w:t>:</w:t>
      </w:r>
      <w:r>
        <w:t xml:space="preserve"> </w:t>
      </w:r>
      <w:r w:rsidR="00BB6BD5">
        <w:t>t</w:t>
      </w:r>
      <w:r>
        <w:t xml:space="preserve">he first </w:t>
      </w:r>
      <w:r w:rsidR="00023F1E">
        <w:t xml:space="preserve">worksheet </w:t>
      </w:r>
      <w:r>
        <w:t xml:space="preserve">contained </w:t>
      </w:r>
      <w:r w:rsidRPr="00555101">
        <w:rPr>
          <w:noProof/>
        </w:rPr>
        <w:t>cases</w:t>
      </w:r>
      <w:r>
        <w:t xml:space="preserve"> where there was substantial engagement by the Irish Courts with EU law and case law.  The </w:t>
      </w:r>
      <w:r w:rsidR="00023F1E">
        <w:t>s</w:t>
      </w:r>
      <w:r>
        <w:t xml:space="preserve">econd contained cases were EU law/case law was at issue, but there was not the same level of engagement with EU law and the jurisprudence of the European Court as in the former set of cases.  </w:t>
      </w:r>
      <w:r w:rsidRPr="00C550AA">
        <w:rPr>
          <w:noProof/>
        </w:rPr>
        <w:t>Cases in each of these spreadsheets were grouped by Court</w:t>
      </w:r>
      <w:r w:rsidR="00023F1E">
        <w:t xml:space="preserve">; </w:t>
      </w:r>
      <w:r>
        <w:t xml:space="preserve">High Court, Court of Appeal, Central Criminal Court, or the Supreme Court. The following information </w:t>
      </w:r>
      <w:r w:rsidRPr="00C550AA">
        <w:rPr>
          <w:noProof/>
        </w:rPr>
        <w:t>was recorded</w:t>
      </w:r>
      <w:r>
        <w:t xml:space="preserve"> for each case; the neutral citation, the case name, the </w:t>
      </w:r>
      <w:r w:rsidRPr="00C550AA">
        <w:rPr>
          <w:noProof/>
        </w:rPr>
        <w:t>main</w:t>
      </w:r>
      <w:r>
        <w:t xml:space="preserve"> legal issue(s) in the case, and whether a preliminary reference </w:t>
      </w:r>
      <w:r w:rsidRPr="00C550AA">
        <w:rPr>
          <w:noProof/>
        </w:rPr>
        <w:t>was made</w:t>
      </w:r>
      <w:r>
        <w:t xml:space="preserve"> to the CJEU or not.  </w:t>
      </w:r>
    </w:p>
    <w:p w14:paraId="0ABC0B6D" w14:textId="1E424008" w:rsidR="00352344" w:rsidRPr="00BB6BD5" w:rsidRDefault="00352344" w:rsidP="003D34EC">
      <w:pPr>
        <w:jc w:val="both"/>
        <w:rPr>
          <w:b/>
        </w:rPr>
      </w:pPr>
      <w:r w:rsidRPr="00BB6BD5">
        <w:rPr>
          <w:b/>
        </w:rPr>
        <w:t>Conclusion</w:t>
      </w:r>
    </w:p>
    <w:p w14:paraId="6E9F2FF8" w14:textId="02D5AFB3" w:rsidR="00352344" w:rsidRDefault="00BB6BD5" w:rsidP="003D34EC">
      <w:pPr>
        <w:jc w:val="both"/>
      </w:pPr>
      <w:r>
        <w:t>Following evaluation, t</w:t>
      </w:r>
      <w:r w:rsidR="00352344">
        <w:t xml:space="preserve">he </w:t>
      </w:r>
      <w:r>
        <w:t>research thus far has given us 760 cases for the ECJ and 23 from the General Court search.  This suggests there are about 80 cases a year in the Supreme Court, Court</w:t>
      </w:r>
      <w:r w:rsidR="009E58F1">
        <w:t>s</w:t>
      </w:r>
      <w:r>
        <w:t xml:space="preserve"> of Appeal</w:t>
      </w:r>
      <w:r w:rsidR="009E58F1">
        <w:t xml:space="preserve"> </w:t>
      </w:r>
      <w:r>
        <w:t xml:space="preserve">and </w:t>
      </w:r>
      <w:r w:rsidR="009E58F1">
        <w:t xml:space="preserve">the </w:t>
      </w:r>
      <w:r>
        <w:t>High Court, with an increasing number over time.  The coding draws on the coding used by Roger in his 2017 study to allow for comparison.  Following a recent meeting, this starting position is being refined e.g. the public law/private law divide is less clearly articulated in the Irish common law system.  We are considering how to address the binary code of relevant/irrelevant at the moment.  Preliminary references and judicial review on the other hand are straightforward.  The Scottish study does not address the European Arrest Warrant and for the comparative paper we will not include those cases but have collected the data and will be including them in the Irish paper that will follow.  At the moment, the research does not differentiate chains of cases but the intention is to address this at a later stage in the project.</w:t>
      </w:r>
    </w:p>
    <w:p w14:paraId="41C64EB7" w14:textId="64C617EE" w:rsidR="00DB1322" w:rsidRPr="00352344" w:rsidRDefault="00DB1322" w:rsidP="003D34EC">
      <w:pPr>
        <w:jc w:val="both"/>
        <w:rPr>
          <w:b/>
        </w:rPr>
      </w:pPr>
      <w:r w:rsidRPr="00352344">
        <w:rPr>
          <w:b/>
        </w:rPr>
        <w:t>References</w:t>
      </w:r>
    </w:p>
    <w:p w14:paraId="29963300" w14:textId="77777777" w:rsidR="00352344" w:rsidRDefault="00352344" w:rsidP="00352344">
      <w:pPr>
        <w:jc w:val="both"/>
      </w:pPr>
      <w:r>
        <w:lastRenderedPageBreak/>
        <w:t xml:space="preserve">Conant, L. (2001) Europeanisation and the Courts: Variable patterns of adaptation across national judiciaries in Cowles, </w:t>
      </w:r>
      <w:proofErr w:type="spellStart"/>
      <w:r>
        <w:t>Caporaso</w:t>
      </w:r>
      <w:proofErr w:type="spellEnd"/>
      <w:r>
        <w:t xml:space="preserve"> &amp; </w:t>
      </w:r>
      <w:proofErr w:type="spellStart"/>
      <w:r>
        <w:t>Risse</w:t>
      </w:r>
      <w:proofErr w:type="spellEnd"/>
      <w:r>
        <w:t xml:space="preserve"> (2001) Transforming Europe: Europeanization and Domestic Change. (Cornell University Press: Ithaca &amp; London) pp 105-112 </w:t>
      </w:r>
    </w:p>
    <w:p w14:paraId="10306EA7" w14:textId="7F829D74" w:rsidR="00352344" w:rsidRDefault="00352344" w:rsidP="00352344">
      <w:pPr>
        <w:jc w:val="both"/>
      </w:pPr>
      <w:r>
        <w:t xml:space="preserve">Cowles, M.G., </w:t>
      </w:r>
      <w:proofErr w:type="spellStart"/>
      <w:r>
        <w:t>Caporaso</w:t>
      </w:r>
      <w:proofErr w:type="spellEnd"/>
      <w:r>
        <w:t xml:space="preserve"> J.A., and </w:t>
      </w:r>
      <w:proofErr w:type="spellStart"/>
      <w:r>
        <w:t>Risse</w:t>
      </w:r>
      <w:proofErr w:type="spellEnd"/>
      <w:r>
        <w:t>-, T., (2001) Transforming Europe:  Europeanisation and Domestic Change. (Cornell University Press: Ithaca &amp; London) p 3</w:t>
      </w:r>
    </w:p>
    <w:p w14:paraId="328F1822" w14:textId="77CF6394" w:rsidR="00DB1322" w:rsidRDefault="00DB1322" w:rsidP="003D34EC">
      <w:pPr>
        <w:jc w:val="both"/>
      </w:pPr>
      <w:r w:rsidRPr="00DB1322">
        <w:t xml:space="preserve">Fahey, E. (2007) </w:t>
      </w:r>
      <w:r w:rsidRPr="00DB1322">
        <w:rPr>
          <w:i/>
        </w:rPr>
        <w:t>Practice and Procedure in Preliminary References to Europe First Law,</w:t>
      </w:r>
      <w:r>
        <w:t xml:space="preserve"> Dublin</w:t>
      </w:r>
    </w:p>
    <w:p w14:paraId="6A2C2185" w14:textId="22570826" w:rsidR="00DB1322" w:rsidRDefault="00DB1322" w:rsidP="003D34EC">
      <w:pPr>
        <w:jc w:val="both"/>
      </w:pPr>
      <w:r>
        <w:t xml:space="preserve">Fahey, E. (2010) </w:t>
      </w:r>
      <w:r w:rsidRPr="00352344">
        <w:rPr>
          <w:i/>
        </w:rPr>
        <w:t>EU Law in Ireland</w:t>
      </w:r>
      <w:r>
        <w:t xml:space="preserve"> Clarus Press, Dublin</w:t>
      </w:r>
    </w:p>
    <w:p w14:paraId="04F2EA63" w14:textId="57FEF618" w:rsidR="00352344" w:rsidRDefault="00352344" w:rsidP="00352344">
      <w:pPr>
        <w:jc w:val="both"/>
      </w:pPr>
      <w:proofErr w:type="spellStart"/>
      <w:r>
        <w:t>Kassim</w:t>
      </w:r>
      <w:proofErr w:type="spellEnd"/>
      <w:r>
        <w:t xml:space="preserve">, H. 2000 The National Co-ordination of EU Policy: the domestic level. </w:t>
      </w:r>
      <w:proofErr w:type="spellStart"/>
      <w:r>
        <w:t>Kassim</w:t>
      </w:r>
      <w:proofErr w:type="spellEnd"/>
      <w:r>
        <w:t xml:space="preserve">, H., Peters, G. &amp; Wright, V. (eds.). Oxford: Oxford University Press, p. 235-264  </w:t>
      </w:r>
    </w:p>
    <w:p w14:paraId="3370100E" w14:textId="59495EA7" w:rsidR="00DB1322" w:rsidRDefault="00DB1322" w:rsidP="003D34EC">
      <w:pPr>
        <w:jc w:val="both"/>
      </w:pPr>
      <w:r>
        <w:t xml:space="preserve">Maher, I., (2018) </w:t>
      </w:r>
      <w:r w:rsidR="00352344">
        <w:t>‘</w:t>
      </w:r>
      <w:r w:rsidRPr="00DB1322">
        <w:t>EU Law and the Courts: The Mundane and the Exceptional’ in E. Carolan (ed.) Judicial Power in Ireland, IPA Dublin</w:t>
      </w:r>
    </w:p>
    <w:p w14:paraId="1FDC6A88" w14:textId="17D46163" w:rsidR="00352344" w:rsidRDefault="00352344" w:rsidP="003D34EC">
      <w:pPr>
        <w:jc w:val="both"/>
      </w:pPr>
      <w:r w:rsidRPr="00352344">
        <w:t>Rodger, B. (2017)</w:t>
      </w:r>
      <w:r>
        <w:t>,</w:t>
      </w:r>
      <w:r w:rsidRPr="00352344">
        <w:t xml:space="preserve"> The application of EU law by the Scottish courts: an analysis of case-law trends over 40 year</w:t>
      </w:r>
      <w:r>
        <w:t>s</w:t>
      </w:r>
      <w:r w:rsidRPr="00352344">
        <w:t xml:space="preserve"> </w:t>
      </w:r>
      <w:r w:rsidRPr="00352344">
        <w:rPr>
          <w:i/>
        </w:rPr>
        <w:t>Juridical Review</w:t>
      </w:r>
      <w:r>
        <w:t xml:space="preserve"> 59</w:t>
      </w:r>
    </w:p>
    <w:p w14:paraId="26452160" w14:textId="022F4592" w:rsidR="00352344" w:rsidRDefault="00352344" w:rsidP="00352344">
      <w:pPr>
        <w:jc w:val="both"/>
      </w:pPr>
      <w:proofErr w:type="spellStart"/>
      <w:r>
        <w:t>Saurugger</w:t>
      </w:r>
      <w:proofErr w:type="spellEnd"/>
      <w:r>
        <w:t>, S. Europeanisation in Times of Crisis. Political Studies Review (2014) Vol 12, 181-192</w:t>
      </w:r>
    </w:p>
    <w:p w14:paraId="6A8C98DA" w14:textId="5584A9E0" w:rsidR="00352344" w:rsidRDefault="00352344" w:rsidP="00352344">
      <w:pPr>
        <w:jc w:val="both"/>
      </w:pPr>
      <w:r>
        <w:t xml:space="preserve">Snyder, F. </w:t>
      </w:r>
      <w:r w:rsidRPr="00352344">
        <w:t>(2000) The Europeanisation of Law: The Legal Effects of European Integration. (Hart Publishing:  Oxford &amp; Portland Oregon)</w:t>
      </w:r>
    </w:p>
    <w:p w14:paraId="77648151" w14:textId="5FE283C6" w:rsidR="002744B8" w:rsidRPr="007158CD" w:rsidRDefault="002744B8" w:rsidP="003D34EC">
      <w:pPr>
        <w:jc w:val="both"/>
      </w:pPr>
    </w:p>
    <w:sectPr w:rsidR="002744B8" w:rsidRPr="007158CD" w:rsidSect="00625E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386B" w14:textId="77777777" w:rsidR="00D61FDA" w:rsidRDefault="00D61FDA" w:rsidP="000741CF">
      <w:pPr>
        <w:spacing w:after="0" w:line="240" w:lineRule="auto"/>
      </w:pPr>
      <w:r>
        <w:separator/>
      </w:r>
    </w:p>
  </w:endnote>
  <w:endnote w:type="continuationSeparator" w:id="0">
    <w:p w14:paraId="3DD41652" w14:textId="77777777" w:rsidR="00D61FDA" w:rsidRDefault="00D61FDA" w:rsidP="0007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473890"/>
      <w:docPartObj>
        <w:docPartGallery w:val="Page Numbers (Bottom of Page)"/>
        <w:docPartUnique/>
      </w:docPartObj>
    </w:sdtPr>
    <w:sdtEndPr>
      <w:rPr>
        <w:noProof/>
      </w:rPr>
    </w:sdtEndPr>
    <w:sdtContent>
      <w:p w14:paraId="11FE6057" w14:textId="5569C545" w:rsidR="003D34EC" w:rsidRDefault="003D3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41ABC" w14:textId="77777777" w:rsidR="003D34EC" w:rsidRDefault="003D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BB93" w14:textId="77777777" w:rsidR="00D61FDA" w:rsidRDefault="00D61FDA" w:rsidP="000741CF">
      <w:pPr>
        <w:spacing w:after="0" w:line="240" w:lineRule="auto"/>
      </w:pPr>
      <w:r>
        <w:separator/>
      </w:r>
    </w:p>
  </w:footnote>
  <w:footnote w:type="continuationSeparator" w:id="0">
    <w:p w14:paraId="36B0D7A6" w14:textId="77777777" w:rsidR="00D61FDA" w:rsidRDefault="00D61FDA" w:rsidP="0007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1AFD"/>
    <w:multiLevelType w:val="hybridMultilevel"/>
    <w:tmpl w:val="9342C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C74672"/>
    <w:multiLevelType w:val="hybridMultilevel"/>
    <w:tmpl w:val="97DA1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2A4172"/>
    <w:multiLevelType w:val="hybridMultilevel"/>
    <w:tmpl w:val="0C1AA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3A3061"/>
    <w:multiLevelType w:val="hybridMultilevel"/>
    <w:tmpl w:val="45BEF9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DB7768"/>
    <w:multiLevelType w:val="hybridMultilevel"/>
    <w:tmpl w:val="28A8F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6E2A02"/>
    <w:multiLevelType w:val="hybridMultilevel"/>
    <w:tmpl w:val="A302E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541B51"/>
    <w:multiLevelType w:val="hybridMultilevel"/>
    <w:tmpl w:val="76C29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586FDC"/>
    <w:multiLevelType w:val="hybridMultilevel"/>
    <w:tmpl w:val="9306C2A8"/>
    <w:lvl w:ilvl="0" w:tplc="F33CF85C">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WwMLU0NjI3MTOxMDRR0lEKTi0uzszPAymwqAUAi2YtnCwAAAA="/>
  </w:docVars>
  <w:rsids>
    <w:rsidRoot w:val="00C456C6"/>
    <w:rsid w:val="000047C3"/>
    <w:rsid w:val="000147FA"/>
    <w:rsid w:val="00023F1E"/>
    <w:rsid w:val="00024F5E"/>
    <w:rsid w:val="00071862"/>
    <w:rsid w:val="000741CF"/>
    <w:rsid w:val="000754F8"/>
    <w:rsid w:val="00087F6B"/>
    <w:rsid w:val="000B363D"/>
    <w:rsid w:val="000D62FF"/>
    <w:rsid w:val="001166AF"/>
    <w:rsid w:val="0015126F"/>
    <w:rsid w:val="001804E5"/>
    <w:rsid w:val="001F69AB"/>
    <w:rsid w:val="001F6F80"/>
    <w:rsid w:val="00265CB3"/>
    <w:rsid w:val="00271B24"/>
    <w:rsid w:val="00272324"/>
    <w:rsid w:val="002744B8"/>
    <w:rsid w:val="00275F86"/>
    <w:rsid w:val="002862E4"/>
    <w:rsid w:val="002920B3"/>
    <w:rsid w:val="002A7CB5"/>
    <w:rsid w:val="002C3F1C"/>
    <w:rsid w:val="002D3D86"/>
    <w:rsid w:val="00326EDE"/>
    <w:rsid w:val="00352344"/>
    <w:rsid w:val="00396EF9"/>
    <w:rsid w:val="003B0019"/>
    <w:rsid w:val="003C1108"/>
    <w:rsid w:val="003D11D8"/>
    <w:rsid w:val="003D34EC"/>
    <w:rsid w:val="00404F79"/>
    <w:rsid w:val="0041756C"/>
    <w:rsid w:val="00437E67"/>
    <w:rsid w:val="00476A67"/>
    <w:rsid w:val="00490EB3"/>
    <w:rsid w:val="00497CAA"/>
    <w:rsid w:val="004A1A44"/>
    <w:rsid w:val="004C4B77"/>
    <w:rsid w:val="00543317"/>
    <w:rsid w:val="00555101"/>
    <w:rsid w:val="00594797"/>
    <w:rsid w:val="005A3FF2"/>
    <w:rsid w:val="005E1CEB"/>
    <w:rsid w:val="00625E2F"/>
    <w:rsid w:val="00662C69"/>
    <w:rsid w:val="00664DCC"/>
    <w:rsid w:val="00696878"/>
    <w:rsid w:val="007158CD"/>
    <w:rsid w:val="007301C9"/>
    <w:rsid w:val="00746E1C"/>
    <w:rsid w:val="007D0B17"/>
    <w:rsid w:val="007D0C28"/>
    <w:rsid w:val="00861678"/>
    <w:rsid w:val="00863BE2"/>
    <w:rsid w:val="008756D1"/>
    <w:rsid w:val="0089207F"/>
    <w:rsid w:val="008A7C51"/>
    <w:rsid w:val="008C6CF9"/>
    <w:rsid w:val="00932877"/>
    <w:rsid w:val="009B6E26"/>
    <w:rsid w:val="009E58F1"/>
    <w:rsid w:val="00A06DE5"/>
    <w:rsid w:val="00A95D66"/>
    <w:rsid w:val="00B56BC1"/>
    <w:rsid w:val="00B63051"/>
    <w:rsid w:val="00B75CB4"/>
    <w:rsid w:val="00BB6BD5"/>
    <w:rsid w:val="00BB6F79"/>
    <w:rsid w:val="00BC33A0"/>
    <w:rsid w:val="00BE664D"/>
    <w:rsid w:val="00BF5454"/>
    <w:rsid w:val="00C456C6"/>
    <w:rsid w:val="00C550AA"/>
    <w:rsid w:val="00C62D78"/>
    <w:rsid w:val="00C63C1A"/>
    <w:rsid w:val="00C669DE"/>
    <w:rsid w:val="00CC68B9"/>
    <w:rsid w:val="00D42F73"/>
    <w:rsid w:val="00D61FDA"/>
    <w:rsid w:val="00D73A60"/>
    <w:rsid w:val="00D75B60"/>
    <w:rsid w:val="00D76C7F"/>
    <w:rsid w:val="00DB1322"/>
    <w:rsid w:val="00DC5835"/>
    <w:rsid w:val="00E27201"/>
    <w:rsid w:val="00E450D8"/>
    <w:rsid w:val="00E6618A"/>
    <w:rsid w:val="00E835A2"/>
    <w:rsid w:val="00ED501A"/>
    <w:rsid w:val="00F41F04"/>
    <w:rsid w:val="00F432F3"/>
    <w:rsid w:val="00F65E10"/>
    <w:rsid w:val="00F81DBC"/>
    <w:rsid w:val="00F90178"/>
    <w:rsid w:val="00FB56A1"/>
  </w:rsids>
  <m:mathPr>
    <m:mathFont m:val="Cambria Math"/>
    <m:brkBin m:val="before"/>
    <m:brkBinSub m:val="--"/>
    <m:smallFrac m:val="0"/>
    <m:dispDef/>
    <m:lMargin m:val="0"/>
    <m:rMargin m:val="0"/>
    <m:defJc m:val="centerGroup"/>
    <m:wrapIndent m:val="1440"/>
    <m:intLim m:val="subSup"/>
    <m:naryLim m:val="undOvr"/>
  </m:mathPr>
  <w:themeFontLang w:val="en-GB" w:eastAsia="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9962"/>
  <w15:chartTrackingRefBased/>
  <w15:docId w15:val="{779B3E0C-BC3A-48B1-B56B-B6784122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CD"/>
  </w:style>
  <w:style w:type="paragraph" w:styleId="Heading1">
    <w:name w:val="heading 1"/>
    <w:basedOn w:val="Normal"/>
    <w:next w:val="Normal"/>
    <w:link w:val="Heading1Char"/>
    <w:uiPriority w:val="9"/>
    <w:qFormat/>
    <w:rsid w:val="003D34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34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C6"/>
    <w:pPr>
      <w:ind w:left="720"/>
      <w:contextualSpacing/>
    </w:pPr>
  </w:style>
  <w:style w:type="character" w:styleId="CommentReference">
    <w:name w:val="annotation reference"/>
    <w:basedOn w:val="DefaultParagraphFont"/>
    <w:uiPriority w:val="99"/>
    <w:semiHidden/>
    <w:unhideWhenUsed/>
    <w:rsid w:val="000147FA"/>
    <w:rPr>
      <w:sz w:val="16"/>
      <w:szCs w:val="16"/>
    </w:rPr>
  </w:style>
  <w:style w:type="paragraph" w:styleId="CommentText">
    <w:name w:val="annotation text"/>
    <w:basedOn w:val="Normal"/>
    <w:link w:val="CommentTextChar"/>
    <w:uiPriority w:val="99"/>
    <w:semiHidden/>
    <w:unhideWhenUsed/>
    <w:rsid w:val="000147FA"/>
    <w:pPr>
      <w:spacing w:line="240" w:lineRule="auto"/>
    </w:pPr>
    <w:rPr>
      <w:sz w:val="20"/>
      <w:szCs w:val="20"/>
    </w:rPr>
  </w:style>
  <w:style w:type="character" w:customStyle="1" w:styleId="CommentTextChar">
    <w:name w:val="Comment Text Char"/>
    <w:basedOn w:val="DefaultParagraphFont"/>
    <w:link w:val="CommentText"/>
    <w:uiPriority w:val="99"/>
    <w:semiHidden/>
    <w:rsid w:val="000147FA"/>
    <w:rPr>
      <w:sz w:val="20"/>
      <w:szCs w:val="20"/>
    </w:rPr>
  </w:style>
  <w:style w:type="paragraph" w:styleId="CommentSubject">
    <w:name w:val="annotation subject"/>
    <w:basedOn w:val="CommentText"/>
    <w:next w:val="CommentText"/>
    <w:link w:val="CommentSubjectChar"/>
    <w:uiPriority w:val="99"/>
    <w:semiHidden/>
    <w:unhideWhenUsed/>
    <w:rsid w:val="000147FA"/>
    <w:rPr>
      <w:b/>
      <w:bCs/>
    </w:rPr>
  </w:style>
  <w:style w:type="character" w:customStyle="1" w:styleId="CommentSubjectChar">
    <w:name w:val="Comment Subject Char"/>
    <w:basedOn w:val="CommentTextChar"/>
    <w:link w:val="CommentSubject"/>
    <w:uiPriority w:val="99"/>
    <w:semiHidden/>
    <w:rsid w:val="000147FA"/>
    <w:rPr>
      <w:b/>
      <w:bCs/>
      <w:sz w:val="20"/>
      <w:szCs w:val="20"/>
    </w:rPr>
  </w:style>
  <w:style w:type="paragraph" w:styleId="BalloonText">
    <w:name w:val="Balloon Text"/>
    <w:basedOn w:val="Normal"/>
    <w:link w:val="BalloonTextChar"/>
    <w:uiPriority w:val="99"/>
    <w:semiHidden/>
    <w:unhideWhenUsed/>
    <w:rsid w:val="00014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FA"/>
    <w:rPr>
      <w:rFonts w:ascii="Segoe UI" w:hAnsi="Segoe UI" w:cs="Segoe UI"/>
      <w:sz w:val="18"/>
      <w:szCs w:val="18"/>
    </w:rPr>
  </w:style>
  <w:style w:type="paragraph" w:styleId="Header">
    <w:name w:val="header"/>
    <w:basedOn w:val="Normal"/>
    <w:link w:val="HeaderChar"/>
    <w:uiPriority w:val="99"/>
    <w:unhideWhenUsed/>
    <w:rsid w:val="0007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1CF"/>
  </w:style>
  <w:style w:type="paragraph" w:styleId="Footer">
    <w:name w:val="footer"/>
    <w:basedOn w:val="Normal"/>
    <w:link w:val="FooterChar"/>
    <w:uiPriority w:val="99"/>
    <w:unhideWhenUsed/>
    <w:rsid w:val="0007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1CF"/>
  </w:style>
  <w:style w:type="character" w:styleId="Hyperlink">
    <w:name w:val="Hyperlink"/>
    <w:basedOn w:val="DefaultParagraphFont"/>
    <w:uiPriority w:val="99"/>
    <w:unhideWhenUsed/>
    <w:rsid w:val="00B56BC1"/>
    <w:rPr>
      <w:color w:val="0563C1" w:themeColor="hyperlink"/>
      <w:u w:val="single"/>
    </w:rPr>
  </w:style>
  <w:style w:type="character" w:styleId="UnresolvedMention">
    <w:name w:val="Unresolved Mention"/>
    <w:basedOn w:val="DefaultParagraphFont"/>
    <w:uiPriority w:val="99"/>
    <w:semiHidden/>
    <w:unhideWhenUsed/>
    <w:rsid w:val="00B56BC1"/>
    <w:rPr>
      <w:color w:val="605E5C"/>
      <w:shd w:val="clear" w:color="auto" w:fill="E1DFDD"/>
    </w:rPr>
  </w:style>
  <w:style w:type="character" w:customStyle="1" w:styleId="Heading1Char">
    <w:name w:val="Heading 1 Char"/>
    <w:basedOn w:val="DefaultParagraphFont"/>
    <w:link w:val="Heading1"/>
    <w:uiPriority w:val="9"/>
    <w:rsid w:val="003D34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34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jus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EE23-180A-40CF-8B79-F9B6482D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Riordan</dc:creator>
  <cp:keywords/>
  <dc:description/>
  <cp:lastModifiedBy>Ronan Riordan</cp:lastModifiedBy>
  <cp:revision>4</cp:revision>
  <cp:lastPrinted>2019-02-12T16:39:00Z</cp:lastPrinted>
  <dcterms:created xsi:type="dcterms:W3CDTF">2019-02-26T12:40:00Z</dcterms:created>
  <dcterms:modified xsi:type="dcterms:W3CDTF">2019-10-08T14:55:00Z</dcterms:modified>
</cp:coreProperties>
</file>