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4E5E" w:rsidRDefault="004B4E5E" w:rsidP="00B14DD5"/>
    <w:p w:rsidR="004B4E5E" w:rsidRPr="00B14DD5" w:rsidRDefault="004B4E5E" w:rsidP="002B4B8D">
      <w:pPr>
        <w:spacing w:line="480" w:lineRule="auto"/>
        <w:rPr>
          <w:rFonts w:ascii="Times New Roman" w:hAnsi="Times New Roman" w:cs="Times New Roman"/>
          <w:b/>
          <w:sz w:val="24"/>
          <w:szCs w:val="24"/>
        </w:rPr>
      </w:pPr>
      <w:r w:rsidRPr="00B14DD5">
        <w:rPr>
          <w:rFonts w:ascii="Times New Roman" w:hAnsi="Times New Roman" w:cs="Times New Roman"/>
          <w:b/>
          <w:sz w:val="24"/>
          <w:szCs w:val="24"/>
        </w:rPr>
        <w:t>The Botanical Dance of Death: Programmed cell death in plants.</w:t>
      </w:r>
    </w:p>
    <w:p w:rsidR="004B4E5E" w:rsidRPr="007825AA" w:rsidRDefault="004B4E5E" w:rsidP="002B4B8D">
      <w:pPr>
        <w:spacing w:line="480" w:lineRule="auto"/>
        <w:rPr>
          <w:rFonts w:ascii="Times New Roman" w:hAnsi="Times New Roman" w:cs="Times New Roman"/>
          <w:sz w:val="24"/>
          <w:szCs w:val="24"/>
        </w:rPr>
      </w:pPr>
    </w:p>
    <w:p w:rsidR="004B4E5E" w:rsidRPr="007825AA" w:rsidRDefault="004B4E5E" w:rsidP="002B4B8D">
      <w:pPr>
        <w:spacing w:line="480" w:lineRule="auto"/>
        <w:rPr>
          <w:rFonts w:ascii="Times New Roman" w:hAnsi="Times New Roman" w:cs="Times New Roman"/>
          <w:sz w:val="24"/>
          <w:szCs w:val="24"/>
        </w:rPr>
      </w:pPr>
      <w:r w:rsidRPr="007825AA">
        <w:rPr>
          <w:rFonts w:ascii="Times New Roman" w:hAnsi="Times New Roman" w:cs="Times New Roman"/>
          <w:sz w:val="24"/>
          <w:szCs w:val="24"/>
        </w:rPr>
        <w:t>Joanna Kac</w:t>
      </w:r>
      <w:r>
        <w:rPr>
          <w:rFonts w:ascii="Times New Roman" w:hAnsi="Times New Roman" w:cs="Times New Roman"/>
          <w:sz w:val="24"/>
          <w:szCs w:val="24"/>
        </w:rPr>
        <w:t>przyk</w:t>
      </w:r>
      <w:r w:rsidRPr="007825AA">
        <w:rPr>
          <w:rFonts w:ascii="Times New Roman" w:hAnsi="Times New Roman" w:cs="Times New Roman"/>
          <w:sz w:val="24"/>
          <w:szCs w:val="24"/>
        </w:rPr>
        <w:t>*, Cara</w:t>
      </w:r>
      <w:r w:rsidR="001F39CD">
        <w:rPr>
          <w:rFonts w:ascii="Times New Roman" w:hAnsi="Times New Roman" w:cs="Times New Roman"/>
          <w:sz w:val="24"/>
          <w:szCs w:val="24"/>
        </w:rPr>
        <w:t xml:space="preserve"> T.</w:t>
      </w:r>
      <w:r w:rsidRPr="007825AA">
        <w:rPr>
          <w:rFonts w:ascii="Times New Roman" w:hAnsi="Times New Roman" w:cs="Times New Roman"/>
          <w:sz w:val="24"/>
          <w:szCs w:val="24"/>
        </w:rPr>
        <w:t xml:space="preserve"> Daly* and Paul F. McCabe</w:t>
      </w:r>
    </w:p>
    <w:p w:rsidR="004B4E5E" w:rsidRPr="007825AA" w:rsidRDefault="004B4E5E" w:rsidP="002B4B8D">
      <w:pPr>
        <w:spacing w:line="480" w:lineRule="auto"/>
        <w:rPr>
          <w:rFonts w:ascii="Times New Roman" w:hAnsi="Times New Roman" w:cs="Times New Roman"/>
          <w:sz w:val="24"/>
          <w:szCs w:val="24"/>
        </w:rPr>
      </w:pPr>
    </w:p>
    <w:p w:rsidR="004B4E5E" w:rsidRPr="007825AA" w:rsidRDefault="004B4E5E" w:rsidP="002B4B8D">
      <w:pPr>
        <w:spacing w:line="480" w:lineRule="auto"/>
        <w:rPr>
          <w:rFonts w:ascii="Times New Roman" w:hAnsi="Times New Roman" w:cs="Times New Roman"/>
          <w:sz w:val="24"/>
          <w:szCs w:val="24"/>
        </w:rPr>
      </w:pPr>
      <w:smartTag w:uri="urn:schemas-microsoft-com:office:smarttags" w:element="place">
        <w:smartTag w:uri="urn:schemas-microsoft-com:office:smarttags" w:element="PlaceType">
          <w:r w:rsidRPr="007825AA">
            <w:rPr>
              <w:rFonts w:ascii="Times New Roman" w:hAnsi="Times New Roman" w:cs="Times New Roman"/>
              <w:sz w:val="24"/>
              <w:szCs w:val="24"/>
            </w:rPr>
            <w:t>School</w:t>
          </w:r>
        </w:smartTag>
        <w:r w:rsidRPr="007825AA">
          <w:rPr>
            <w:rFonts w:ascii="Times New Roman" w:hAnsi="Times New Roman" w:cs="Times New Roman"/>
            <w:sz w:val="24"/>
            <w:szCs w:val="24"/>
          </w:rPr>
          <w:t xml:space="preserve"> of </w:t>
        </w:r>
        <w:smartTag w:uri="urn:schemas-microsoft-com:office:smarttags" w:element="PlaceName">
          <w:r w:rsidRPr="007825AA">
            <w:rPr>
              <w:rFonts w:ascii="Times New Roman" w:hAnsi="Times New Roman" w:cs="Times New Roman"/>
              <w:sz w:val="24"/>
              <w:szCs w:val="24"/>
            </w:rPr>
            <w:t>Biology</w:t>
          </w:r>
        </w:smartTag>
      </w:smartTag>
      <w:r w:rsidRPr="007825AA">
        <w:rPr>
          <w:rFonts w:ascii="Times New Roman" w:hAnsi="Times New Roman" w:cs="Times New Roman"/>
          <w:sz w:val="24"/>
          <w:szCs w:val="24"/>
        </w:rPr>
        <w:t xml:space="preserve"> and Environmental Science</w:t>
      </w:r>
    </w:p>
    <w:p w:rsidR="004B4E5E" w:rsidRPr="007825AA" w:rsidRDefault="004B4E5E" w:rsidP="002B4B8D">
      <w:pPr>
        <w:spacing w:line="480" w:lineRule="auto"/>
        <w:rPr>
          <w:rFonts w:ascii="Times New Roman" w:hAnsi="Times New Roman" w:cs="Times New Roman"/>
          <w:sz w:val="24"/>
          <w:szCs w:val="24"/>
        </w:rPr>
      </w:pPr>
      <w:smartTag w:uri="urn:schemas-microsoft-com:office:smarttags" w:element="place">
        <w:smartTag w:uri="urn:schemas-microsoft-com:office:smarttags" w:element="PlaceType">
          <w:r w:rsidRPr="007825AA">
            <w:rPr>
              <w:rFonts w:ascii="Times New Roman" w:hAnsi="Times New Roman" w:cs="Times New Roman"/>
              <w:sz w:val="24"/>
              <w:szCs w:val="24"/>
            </w:rPr>
            <w:t>University</w:t>
          </w:r>
        </w:smartTag>
        <w:r w:rsidRPr="007825AA">
          <w:rPr>
            <w:rFonts w:ascii="Times New Roman" w:hAnsi="Times New Roman" w:cs="Times New Roman"/>
            <w:sz w:val="24"/>
            <w:szCs w:val="24"/>
          </w:rPr>
          <w:t xml:space="preserve"> </w:t>
        </w:r>
        <w:smartTag w:uri="urn:schemas-microsoft-com:office:smarttags" w:element="PlaceType">
          <w:r w:rsidRPr="007825AA">
            <w:rPr>
              <w:rFonts w:ascii="Times New Roman" w:hAnsi="Times New Roman" w:cs="Times New Roman"/>
              <w:sz w:val="24"/>
              <w:szCs w:val="24"/>
            </w:rPr>
            <w:t>College</w:t>
          </w:r>
        </w:smartTag>
      </w:smartTag>
      <w:r w:rsidRPr="007825AA">
        <w:rPr>
          <w:rFonts w:ascii="Times New Roman" w:hAnsi="Times New Roman" w:cs="Times New Roman"/>
          <w:sz w:val="24"/>
          <w:szCs w:val="24"/>
        </w:rPr>
        <w:t xml:space="preserve"> </w:t>
      </w:r>
      <w:smartTag w:uri="urn:schemas-microsoft-com:office:smarttags" w:element="place">
        <w:smartTag w:uri="urn:schemas-microsoft-com:office:smarttags" w:element="City">
          <w:r w:rsidRPr="007825AA">
            <w:rPr>
              <w:rFonts w:ascii="Times New Roman" w:hAnsi="Times New Roman" w:cs="Times New Roman"/>
              <w:sz w:val="24"/>
              <w:szCs w:val="24"/>
            </w:rPr>
            <w:t>Dublin</w:t>
          </w:r>
        </w:smartTag>
      </w:smartTag>
    </w:p>
    <w:p w:rsidR="004B4E5E" w:rsidRPr="007825AA" w:rsidRDefault="004B4E5E" w:rsidP="002B4B8D">
      <w:pPr>
        <w:spacing w:line="480" w:lineRule="auto"/>
        <w:rPr>
          <w:rFonts w:ascii="Times New Roman" w:hAnsi="Times New Roman" w:cs="Times New Roman"/>
          <w:sz w:val="24"/>
          <w:szCs w:val="24"/>
        </w:rPr>
      </w:pPr>
      <w:smartTag w:uri="urn:schemas-microsoft-com:office:smarttags" w:element="place">
        <w:smartTag w:uri="urn:schemas-microsoft-com:office:smarttags" w:element="City">
          <w:r w:rsidRPr="007825AA">
            <w:rPr>
              <w:rFonts w:ascii="Times New Roman" w:hAnsi="Times New Roman" w:cs="Times New Roman"/>
              <w:sz w:val="24"/>
              <w:szCs w:val="24"/>
            </w:rPr>
            <w:t>Dublin</w:t>
          </w:r>
        </w:smartTag>
      </w:smartTag>
      <w:r w:rsidRPr="007825AA">
        <w:rPr>
          <w:rFonts w:ascii="Times New Roman" w:hAnsi="Times New Roman" w:cs="Times New Roman"/>
          <w:sz w:val="24"/>
          <w:szCs w:val="24"/>
        </w:rPr>
        <w:t xml:space="preserve"> 4,</w:t>
      </w:r>
    </w:p>
    <w:p w:rsidR="004B4E5E" w:rsidRPr="007825AA" w:rsidRDefault="004B4E5E" w:rsidP="002B4B8D">
      <w:pPr>
        <w:spacing w:line="480" w:lineRule="auto"/>
        <w:rPr>
          <w:rFonts w:ascii="Times New Roman" w:hAnsi="Times New Roman" w:cs="Times New Roman"/>
          <w:sz w:val="24"/>
          <w:szCs w:val="24"/>
        </w:rPr>
      </w:pPr>
      <w:smartTag w:uri="urn:schemas-microsoft-com:office:smarttags" w:element="place">
        <w:smartTag w:uri="urn:schemas-microsoft-com:office:smarttags" w:element="country-region">
          <w:r w:rsidRPr="007825AA">
            <w:rPr>
              <w:rFonts w:ascii="Times New Roman" w:hAnsi="Times New Roman" w:cs="Times New Roman"/>
              <w:sz w:val="24"/>
              <w:szCs w:val="24"/>
            </w:rPr>
            <w:t>Ireland</w:t>
          </w:r>
        </w:smartTag>
      </w:smartTag>
      <w:r w:rsidRPr="007825AA">
        <w:rPr>
          <w:rFonts w:ascii="Times New Roman" w:hAnsi="Times New Roman" w:cs="Times New Roman"/>
          <w:sz w:val="24"/>
          <w:szCs w:val="24"/>
        </w:rPr>
        <w:t>.</w:t>
      </w:r>
    </w:p>
    <w:p w:rsidR="004B4E5E" w:rsidRPr="007825AA" w:rsidRDefault="004B4E5E" w:rsidP="002B4B8D">
      <w:pPr>
        <w:spacing w:line="480" w:lineRule="auto"/>
        <w:rPr>
          <w:rFonts w:ascii="Times New Roman" w:hAnsi="Times New Roman" w:cs="Times New Roman"/>
          <w:sz w:val="24"/>
          <w:szCs w:val="24"/>
        </w:rPr>
      </w:pPr>
    </w:p>
    <w:p w:rsidR="004B4E5E" w:rsidRPr="007825AA" w:rsidRDefault="004B4E5E" w:rsidP="002B4B8D">
      <w:pPr>
        <w:spacing w:line="480" w:lineRule="auto"/>
        <w:rPr>
          <w:rFonts w:ascii="Times New Roman" w:hAnsi="Times New Roman" w:cs="Times New Roman"/>
          <w:sz w:val="24"/>
          <w:szCs w:val="24"/>
        </w:rPr>
      </w:pPr>
      <w:r w:rsidRPr="007825AA">
        <w:rPr>
          <w:rFonts w:ascii="Times New Roman" w:hAnsi="Times New Roman" w:cs="Times New Roman"/>
          <w:sz w:val="24"/>
          <w:szCs w:val="24"/>
        </w:rPr>
        <w:t>*These authors contributed equally to this review.</w:t>
      </w:r>
    </w:p>
    <w:p w:rsidR="004B4E5E" w:rsidRPr="007825AA" w:rsidRDefault="004B4E5E" w:rsidP="002B4B8D">
      <w:pPr>
        <w:spacing w:line="480" w:lineRule="auto"/>
        <w:rPr>
          <w:rFonts w:ascii="Times New Roman" w:hAnsi="Times New Roman" w:cs="Times New Roman"/>
          <w:sz w:val="24"/>
          <w:szCs w:val="24"/>
        </w:rPr>
      </w:pPr>
      <w:r w:rsidRPr="007825AA">
        <w:rPr>
          <w:rFonts w:ascii="Times New Roman" w:hAnsi="Times New Roman" w:cs="Times New Roman"/>
          <w:sz w:val="24"/>
          <w:szCs w:val="24"/>
        </w:rPr>
        <w:t xml:space="preserve">Author </w:t>
      </w:r>
      <w:r>
        <w:rPr>
          <w:rFonts w:ascii="Times New Roman" w:hAnsi="Times New Roman" w:cs="Times New Roman"/>
          <w:sz w:val="24"/>
          <w:szCs w:val="24"/>
        </w:rPr>
        <w:t>for</w:t>
      </w:r>
      <w:r w:rsidRPr="007825AA">
        <w:rPr>
          <w:rFonts w:ascii="Times New Roman" w:hAnsi="Times New Roman" w:cs="Times New Roman"/>
          <w:sz w:val="24"/>
          <w:szCs w:val="24"/>
        </w:rPr>
        <w:t xml:space="preserve"> correspondence: </w:t>
      </w:r>
      <w:smartTag w:uri="urn:schemas-microsoft-com:office:smarttags" w:element="PersonName">
        <w:r w:rsidRPr="007825AA">
          <w:rPr>
            <w:rFonts w:ascii="Times New Roman" w:hAnsi="Times New Roman" w:cs="Times New Roman"/>
            <w:sz w:val="24"/>
            <w:szCs w:val="24"/>
          </w:rPr>
          <w:t>paul.mccabe@ucd.ie</w:t>
        </w:r>
      </w:smartTag>
    </w:p>
    <w:p w:rsidR="00230311" w:rsidRDefault="00257EA2" w:rsidP="00257EA2">
      <w:pPr>
        <w:autoSpaceDE w:val="0"/>
        <w:autoSpaceDN w:val="0"/>
        <w:adjustRightInd w:val="0"/>
        <w:spacing w:after="0" w:line="240" w:lineRule="auto"/>
        <w:rPr>
          <w:rFonts w:ascii="TimesNewRoman" w:hAnsi="TimesNewRoman" w:cs="TimesNewRoman"/>
          <w:sz w:val="21"/>
          <w:szCs w:val="21"/>
          <w:lang w:eastAsia="en-IE"/>
        </w:rPr>
      </w:pPr>
      <w:r>
        <w:rPr>
          <w:rFonts w:ascii="TimesNewRoman" w:hAnsi="TimesNewRoman" w:cs="TimesNewRoman"/>
          <w:sz w:val="21"/>
          <w:szCs w:val="21"/>
          <w:lang w:eastAsia="en-IE"/>
        </w:rPr>
        <w:t>Published In Jean-Claude Kader and Michel</w:t>
      </w:r>
      <w:r w:rsidR="00230311">
        <w:rPr>
          <w:rFonts w:ascii="TimesNewRoman" w:hAnsi="TimesNewRoman" w:cs="TimesNewRoman"/>
          <w:sz w:val="21"/>
          <w:szCs w:val="21"/>
          <w:lang w:eastAsia="en-IE"/>
        </w:rPr>
        <w:t xml:space="preserve"> </w:t>
      </w:r>
      <w:r>
        <w:rPr>
          <w:rFonts w:ascii="TimesNewRoman" w:hAnsi="TimesNewRoman" w:cs="TimesNewRoman"/>
          <w:sz w:val="21"/>
          <w:szCs w:val="21"/>
          <w:lang w:eastAsia="en-IE"/>
        </w:rPr>
        <w:t>Delseny, editors:</w:t>
      </w:r>
    </w:p>
    <w:p w:rsidR="00257EA2" w:rsidRDefault="00257EA2" w:rsidP="00257EA2">
      <w:pPr>
        <w:autoSpaceDE w:val="0"/>
        <w:autoSpaceDN w:val="0"/>
        <w:adjustRightInd w:val="0"/>
        <w:spacing w:after="0" w:line="240" w:lineRule="auto"/>
        <w:rPr>
          <w:rFonts w:ascii="TimesNewRoman" w:hAnsi="TimesNewRoman" w:cs="TimesNewRoman"/>
          <w:sz w:val="21"/>
          <w:szCs w:val="21"/>
          <w:lang w:eastAsia="en-IE"/>
        </w:rPr>
      </w:pPr>
      <w:r>
        <w:rPr>
          <w:rFonts w:ascii="TimesNewRoman" w:hAnsi="TimesNewRoman" w:cs="TimesNewRoman"/>
          <w:sz w:val="21"/>
          <w:szCs w:val="21"/>
          <w:lang w:eastAsia="en-IE"/>
        </w:rPr>
        <w:t>Advances in Botanical Research, Vol. 60, Burlington:</w:t>
      </w:r>
    </w:p>
    <w:p w:rsidR="00257EA2" w:rsidRDefault="00257EA2" w:rsidP="00257EA2">
      <w:pPr>
        <w:autoSpaceDE w:val="0"/>
        <w:autoSpaceDN w:val="0"/>
        <w:adjustRightInd w:val="0"/>
        <w:spacing w:after="0" w:line="240" w:lineRule="auto"/>
        <w:rPr>
          <w:rFonts w:ascii="TimesNewRoman" w:hAnsi="TimesNewRoman" w:cs="TimesNewRoman"/>
          <w:sz w:val="21"/>
          <w:szCs w:val="21"/>
          <w:lang w:eastAsia="en-IE"/>
        </w:rPr>
      </w:pPr>
      <w:r>
        <w:rPr>
          <w:rFonts w:ascii="TimesNewRoman" w:hAnsi="TimesNewRoman" w:cs="TimesNewRoman"/>
          <w:sz w:val="21"/>
          <w:szCs w:val="21"/>
          <w:lang w:eastAsia="en-IE"/>
        </w:rPr>
        <w:t>Academic Press, 2011, pp. 169-261.</w:t>
      </w:r>
    </w:p>
    <w:p w:rsidR="00257EA2" w:rsidRDefault="00257EA2" w:rsidP="00257EA2">
      <w:pPr>
        <w:autoSpaceDE w:val="0"/>
        <w:autoSpaceDN w:val="0"/>
        <w:adjustRightInd w:val="0"/>
        <w:spacing w:after="0" w:line="240" w:lineRule="auto"/>
        <w:rPr>
          <w:rFonts w:ascii="TimesNewRoman" w:hAnsi="TimesNewRoman" w:cs="TimesNewRoman"/>
          <w:sz w:val="21"/>
          <w:szCs w:val="21"/>
          <w:lang w:eastAsia="en-IE"/>
        </w:rPr>
      </w:pPr>
      <w:r>
        <w:rPr>
          <w:rFonts w:ascii="TimesNewRoman" w:hAnsi="TimesNewRoman" w:cs="TimesNewRoman"/>
          <w:sz w:val="21"/>
          <w:szCs w:val="21"/>
          <w:lang w:eastAsia="en-IE"/>
        </w:rPr>
        <w:t>ISBN: 978-0-12-385851-1</w:t>
      </w:r>
    </w:p>
    <w:p w:rsidR="00257EA2" w:rsidRDefault="00257EA2" w:rsidP="00257EA2">
      <w:pPr>
        <w:autoSpaceDE w:val="0"/>
        <w:autoSpaceDN w:val="0"/>
        <w:adjustRightInd w:val="0"/>
        <w:spacing w:after="0" w:line="240" w:lineRule="auto"/>
        <w:rPr>
          <w:rFonts w:ascii="TimesNewRoman" w:hAnsi="TimesNewRoman" w:cs="TimesNewRoman"/>
          <w:sz w:val="21"/>
          <w:szCs w:val="21"/>
          <w:lang w:eastAsia="en-IE"/>
        </w:rPr>
      </w:pPr>
      <w:r>
        <w:rPr>
          <w:rFonts w:ascii="TimesNewRoman" w:hAnsi="TimesNewRoman" w:cs="TimesNewRoman"/>
          <w:sz w:val="21"/>
          <w:szCs w:val="21"/>
          <w:lang w:eastAsia="en-IE"/>
        </w:rPr>
        <w:t>© Copyright 2011 Elsevier Ltd.</w:t>
      </w:r>
    </w:p>
    <w:p w:rsidR="00257EA2" w:rsidRDefault="00257EA2" w:rsidP="00257EA2">
      <w:pPr>
        <w:spacing w:line="480" w:lineRule="auto"/>
        <w:rPr>
          <w:rFonts w:ascii="TimesNewRoman" w:hAnsi="TimesNewRoman" w:cs="TimesNewRoman"/>
          <w:sz w:val="21"/>
          <w:szCs w:val="21"/>
          <w:lang w:eastAsia="en-IE"/>
        </w:rPr>
      </w:pPr>
      <w:r>
        <w:rPr>
          <w:rFonts w:ascii="TimesNewRoman" w:hAnsi="TimesNewRoman" w:cs="TimesNewRoman"/>
          <w:sz w:val="21"/>
          <w:szCs w:val="21"/>
          <w:lang w:eastAsia="en-IE"/>
        </w:rPr>
        <w:t>Academic Press.</w:t>
      </w:r>
    </w:p>
    <w:p w:rsidR="004B4E5E" w:rsidRDefault="00257EA2" w:rsidP="00257EA2">
      <w:pPr>
        <w:spacing w:line="480" w:lineRule="auto"/>
        <w:rPr>
          <w:rFonts w:ascii="Times New Roman" w:hAnsi="Times New Roman" w:cs="Times New Roman"/>
          <w:b/>
          <w:bCs/>
          <w:sz w:val="24"/>
          <w:szCs w:val="24"/>
        </w:rPr>
      </w:pPr>
      <w:r>
        <w:t>DOI: 10.1016/B978-0-12-385851-1.00004-4</w:t>
      </w:r>
      <w:r w:rsidR="005C514B">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8pt;height:.8pt">
            <v:imagedata r:id="rId7" r:href="rId8"/>
          </v:shape>
        </w:pict>
      </w:r>
      <w:r w:rsidR="004B4E5E">
        <w:rPr>
          <w:rFonts w:ascii="Times New Roman" w:hAnsi="Times New Roman" w:cs="Times New Roman"/>
          <w:b/>
          <w:bCs/>
          <w:sz w:val="24"/>
          <w:szCs w:val="24"/>
        </w:rPr>
        <w:br w:type="page"/>
      </w:r>
      <w:r w:rsidR="004B4E5E">
        <w:rPr>
          <w:rFonts w:ascii="Times New Roman" w:hAnsi="Times New Roman" w:cs="Times New Roman"/>
          <w:b/>
          <w:bCs/>
          <w:sz w:val="24"/>
          <w:szCs w:val="24"/>
        </w:rPr>
        <w:lastRenderedPageBreak/>
        <w:t>Table of Contents</w:t>
      </w:r>
    </w:p>
    <w:p w:rsidR="004B4E5E" w:rsidRDefault="004B4E5E" w:rsidP="00ED5DAC">
      <w:pPr>
        <w:spacing w:line="480" w:lineRule="auto"/>
        <w:rPr>
          <w:rFonts w:ascii="Times New Roman" w:hAnsi="Times New Roman" w:cs="Times New Roman"/>
          <w:b/>
          <w:bCs/>
          <w:sz w:val="24"/>
          <w:szCs w:val="24"/>
        </w:rPr>
      </w:pPr>
      <w:r>
        <w:rPr>
          <w:rFonts w:ascii="Times New Roman" w:hAnsi="Times New Roman" w:cs="Times New Roman"/>
          <w:b/>
          <w:bCs/>
          <w:sz w:val="24"/>
          <w:szCs w:val="24"/>
        </w:rPr>
        <w:t>Abstract</w:t>
      </w:r>
    </w:p>
    <w:p w:rsidR="004B4E5E" w:rsidRDefault="004B4E5E" w:rsidP="00ED5DAC">
      <w:pPr>
        <w:pStyle w:val="ListParagraph"/>
        <w:numPr>
          <w:ilvl w:val="0"/>
          <w:numId w:val="13"/>
        </w:numPr>
        <w:autoSpaceDE w:val="0"/>
        <w:autoSpaceDN w:val="0"/>
        <w:adjustRightInd w:val="0"/>
        <w:spacing w:after="0" w:line="480" w:lineRule="auto"/>
        <w:ind w:left="1077"/>
        <w:rPr>
          <w:rFonts w:ascii="Times New Roman" w:hAnsi="Times New Roman" w:cs="Times New Roman"/>
          <w:b/>
          <w:bCs/>
          <w:sz w:val="24"/>
          <w:szCs w:val="24"/>
        </w:rPr>
      </w:pPr>
      <w:r>
        <w:rPr>
          <w:rFonts w:ascii="Times New Roman" w:hAnsi="Times New Roman" w:cs="Times New Roman"/>
          <w:b/>
          <w:bCs/>
          <w:sz w:val="24"/>
          <w:szCs w:val="24"/>
        </w:rPr>
        <w:t>Introduction</w:t>
      </w:r>
    </w:p>
    <w:p w:rsidR="004B4E5E" w:rsidRDefault="004B4E5E" w:rsidP="00ED5DAC">
      <w:pPr>
        <w:pStyle w:val="ListParagraph"/>
        <w:numPr>
          <w:ilvl w:val="0"/>
          <w:numId w:val="14"/>
        </w:numPr>
        <w:spacing w:line="480" w:lineRule="auto"/>
        <w:ind w:left="1434" w:hanging="357"/>
        <w:rPr>
          <w:rFonts w:ascii="Times New Roman" w:hAnsi="Times New Roman" w:cs="Times New Roman"/>
          <w:b/>
          <w:bCs/>
          <w:sz w:val="24"/>
          <w:szCs w:val="24"/>
        </w:rPr>
      </w:pPr>
      <w:r>
        <w:rPr>
          <w:rFonts w:ascii="Times New Roman" w:hAnsi="Times New Roman" w:cs="Times New Roman"/>
          <w:b/>
          <w:bCs/>
          <w:sz w:val="24"/>
          <w:szCs w:val="24"/>
        </w:rPr>
        <w:t>Recognizing, and reporting, different modes of cell death in plants</w:t>
      </w:r>
    </w:p>
    <w:p w:rsidR="004B4E5E" w:rsidRDefault="004B4E5E" w:rsidP="00ED5DAC">
      <w:pPr>
        <w:pStyle w:val="ListParagraph"/>
        <w:numPr>
          <w:ilvl w:val="0"/>
          <w:numId w:val="13"/>
        </w:numPr>
        <w:autoSpaceDE w:val="0"/>
        <w:autoSpaceDN w:val="0"/>
        <w:adjustRightInd w:val="0"/>
        <w:spacing w:after="0" w:line="480" w:lineRule="auto"/>
        <w:ind w:left="1077"/>
        <w:rPr>
          <w:rFonts w:ascii="Times New Roman" w:hAnsi="Times New Roman" w:cs="Times New Roman"/>
          <w:b/>
          <w:bCs/>
          <w:sz w:val="24"/>
          <w:szCs w:val="24"/>
        </w:rPr>
      </w:pPr>
      <w:r>
        <w:rPr>
          <w:rFonts w:ascii="Times New Roman" w:hAnsi="Times New Roman" w:cs="Times New Roman"/>
          <w:b/>
          <w:bCs/>
          <w:sz w:val="24"/>
          <w:szCs w:val="24"/>
        </w:rPr>
        <w:t>Regulators of plant PCD</w:t>
      </w:r>
    </w:p>
    <w:p w:rsidR="004B4E5E" w:rsidRDefault="004B4E5E" w:rsidP="00ED5DAC">
      <w:pPr>
        <w:pStyle w:val="ListParagraph"/>
        <w:numPr>
          <w:ilvl w:val="0"/>
          <w:numId w:val="15"/>
        </w:numPr>
        <w:autoSpaceDE w:val="0"/>
        <w:autoSpaceDN w:val="0"/>
        <w:adjustRightInd w:val="0"/>
        <w:spacing w:after="0" w:line="480" w:lineRule="auto"/>
        <w:ind w:left="1434" w:hanging="357"/>
        <w:rPr>
          <w:rFonts w:ascii="Times New Roman" w:hAnsi="Times New Roman" w:cs="Times New Roman"/>
          <w:b/>
          <w:bCs/>
          <w:sz w:val="24"/>
          <w:szCs w:val="24"/>
        </w:rPr>
      </w:pPr>
      <w:r>
        <w:rPr>
          <w:rFonts w:ascii="Times New Roman" w:hAnsi="Times New Roman" w:cs="Times New Roman"/>
          <w:b/>
          <w:bCs/>
          <w:sz w:val="24"/>
          <w:szCs w:val="24"/>
        </w:rPr>
        <w:t>Mitochondria and chloroplasts</w:t>
      </w:r>
    </w:p>
    <w:p w:rsidR="004B4E5E" w:rsidRDefault="004B4E5E" w:rsidP="00ED5DAC">
      <w:pPr>
        <w:pStyle w:val="ListParagraph"/>
        <w:numPr>
          <w:ilvl w:val="0"/>
          <w:numId w:val="16"/>
        </w:numPr>
        <w:tabs>
          <w:tab w:val="left" w:pos="2552"/>
        </w:tabs>
        <w:autoSpaceDE w:val="0"/>
        <w:autoSpaceDN w:val="0"/>
        <w:adjustRightInd w:val="0"/>
        <w:spacing w:after="0" w:line="480" w:lineRule="auto"/>
        <w:ind w:left="2517" w:hanging="390"/>
        <w:rPr>
          <w:rFonts w:ascii="Times New Roman" w:hAnsi="Times New Roman" w:cs="Times New Roman"/>
          <w:b/>
          <w:bCs/>
          <w:sz w:val="24"/>
          <w:szCs w:val="24"/>
        </w:rPr>
      </w:pPr>
      <w:r>
        <w:rPr>
          <w:rFonts w:ascii="Times New Roman" w:hAnsi="Times New Roman" w:cs="Times New Roman"/>
          <w:b/>
          <w:bCs/>
          <w:sz w:val="24"/>
          <w:szCs w:val="24"/>
        </w:rPr>
        <w:t>Mitochondria – key regulators of plant PCD?</w:t>
      </w:r>
    </w:p>
    <w:p w:rsidR="004B4E5E" w:rsidRDefault="004B4E5E" w:rsidP="00ED5DAC">
      <w:pPr>
        <w:pStyle w:val="ListParagraph"/>
        <w:numPr>
          <w:ilvl w:val="0"/>
          <w:numId w:val="16"/>
        </w:numPr>
        <w:tabs>
          <w:tab w:val="left" w:pos="2552"/>
        </w:tabs>
        <w:autoSpaceDE w:val="0"/>
        <w:autoSpaceDN w:val="0"/>
        <w:adjustRightInd w:val="0"/>
        <w:spacing w:after="0" w:line="480" w:lineRule="auto"/>
        <w:ind w:left="2552" w:hanging="425"/>
        <w:rPr>
          <w:rFonts w:ascii="Times New Roman" w:hAnsi="Times New Roman" w:cs="Times New Roman"/>
          <w:b/>
          <w:bCs/>
          <w:sz w:val="24"/>
          <w:szCs w:val="24"/>
        </w:rPr>
      </w:pPr>
      <w:r>
        <w:rPr>
          <w:rFonts w:ascii="Times New Roman" w:hAnsi="Times New Roman" w:cs="Times New Roman"/>
          <w:b/>
          <w:bCs/>
          <w:sz w:val="24"/>
          <w:szCs w:val="24"/>
        </w:rPr>
        <w:t>Putative role of the chloroplast in regulating PCD</w:t>
      </w:r>
    </w:p>
    <w:p w:rsidR="004B4E5E" w:rsidRDefault="004B4E5E" w:rsidP="00ED5DAC">
      <w:pPr>
        <w:pStyle w:val="ListParagraph"/>
        <w:numPr>
          <w:ilvl w:val="0"/>
          <w:numId w:val="15"/>
        </w:numPr>
        <w:autoSpaceDE w:val="0"/>
        <w:autoSpaceDN w:val="0"/>
        <w:adjustRightInd w:val="0"/>
        <w:spacing w:after="0" w:line="480" w:lineRule="auto"/>
        <w:ind w:left="1434" w:hanging="357"/>
        <w:rPr>
          <w:rFonts w:ascii="Times New Roman" w:hAnsi="Times New Roman" w:cs="Times New Roman"/>
          <w:b/>
          <w:bCs/>
          <w:sz w:val="24"/>
          <w:szCs w:val="24"/>
        </w:rPr>
      </w:pPr>
      <w:r>
        <w:rPr>
          <w:rFonts w:ascii="Times New Roman" w:hAnsi="Times New Roman" w:cs="Times New Roman"/>
          <w:b/>
          <w:bCs/>
          <w:sz w:val="24"/>
          <w:szCs w:val="24"/>
        </w:rPr>
        <w:t>Metacaspase and caspase-like activities</w:t>
      </w:r>
    </w:p>
    <w:p w:rsidR="004B4E5E" w:rsidRDefault="004B4E5E" w:rsidP="00ED5DAC">
      <w:pPr>
        <w:pStyle w:val="ListParagraph"/>
        <w:numPr>
          <w:ilvl w:val="0"/>
          <w:numId w:val="15"/>
        </w:numPr>
        <w:autoSpaceDE w:val="0"/>
        <w:autoSpaceDN w:val="0"/>
        <w:adjustRightInd w:val="0"/>
        <w:spacing w:after="0" w:line="480" w:lineRule="auto"/>
        <w:ind w:left="1434" w:hanging="357"/>
        <w:rPr>
          <w:rFonts w:ascii="Times New Roman" w:hAnsi="Times New Roman" w:cs="Times New Roman"/>
          <w:b/>
          <w:bCs/>
          <w:sz w:val="24"/>
          <w:szCs w:val="24"/>
        </w:rPr>
      </w:pPr>
      <w:r>
        <w:rPr>
          <w:rFonts w:ascii="Times New Roman" w:hAnsi="Times New Roman" w:cs="Times New Roman"/>
          <w:b/>
          <w:bCs/>
          <w:sz w:val="24"/>
          <w:szCs w:val="24"/>
        </w:rPr>
        <w:t>Endomembrane system mediated control of PCD</w:t>
      </w:r>
    </w:p>
    <w:p w:rsidR="004B4E5E" w:rsidRDefault="004B4E5E" w:rsidP="00ED5DAC">
      <w:pPr>
        <w:pStyle w:val="ListParagraph"/>
        <w:numPr>
          <w:ilvl w:val="0"/>
          <w:numId w:val="17"/>
        </w:numPr>
        <w:autoSpaceDE w:val="0"/>
        <w:autoSpaceDN w:val="0"/>
        <w:adjustRightInd w:val="0"/>
        <w:spacing w:after="0" w:line="480" w:lineRule="auto"/>
        <w:ind w:left="2517" w:hanging="357"/>
        <w:rPr>
          <w:rFonts w:ascii="Times New Roman" w:hAnsi="Times New Roman" w:cs="Times New Roman"/>
          <w:b/>
          <w:bCs/>
          <w:sz w:val="24"/>
          <w:szCs w:val="24"/>
        </w:rPr>
      </w:pPr>
      <w:r>
        <w:rPr>
          <w:rFonts w:ascii="Times New Roman" w:hAnsi="Times New Roman" w:cs="Times New Roman"/>
          <w:b/>
          <w:bCs/>
          <w:sz w:val="24"/>
          <w:szCs w:val="24"/>
        </w:rPr>
        <w:t>ER stress</w:t>
      </w:r>
    </w:p>
    <w:p w:rsidR="004B4E5E" w:rsidRDefault="004B4E5E" w:rsidP="00ED5DAC">
      <w:pPr>
        <w:pStyle w:val="ListParagraph"/>
        <w:numPr>
          <w:ilvl w:val="0"/>
          <w:numId w:val="17"/>
        </w:numPr>
        <w:autoSpaceDE w:val="0"/>
        <w:autoSpaceDN w:val="0"/>
        <w:adjustRightInd w:val="0"/>
        <w:spacing w:after="0" w:line="480" w:lineRule="auto"/>
        <w:ind w:left="2517" w:hanging="357"/>
        <w:rPr>
          <w:rFonts w:ascii="Times New Roman" w:hAnsi="Times New Roman" w:cs="Times New Roman"/>
          <w:b/>
          <w:bCs/>
          <w:sz w:val="24"/>
          <w:szCs w:val="24"/>
        </w:rPr>
      </w:pPr>
      <w:r>
        <w:rPr>
          <w:rFonts w:ascii="Times New Roman" w:hAnsi="Times New Roman" w:cs="Times New Roman"/>
          <w:b/>
          <w:bCs/>
          <w:sz w:val="24"/>
          <w:szCs w:val="24"/>
        </w:rPr>
        <w:t>Peroxisomes</w:t>
      </w:r>
    </w:p>
    <w:p w:rsidR="004B4E5E" w:rsidRDefault="004B4E5E" w:rsidP="00ED5DAC">
      <w:pPr>
        <w:pStyle w:val="ListParagraph"/>
        <w:numPr>
          <w:ilvl w:val="0"/>
          <w:numId w:val="17"/>
        </w:numPr>
        <w:autoSpaceDE w:val="0"/>
        <w:autoSpaceDN w:val="0"/>
        <w:adjustRightInd w:val="0"/>
        <w:spacing w:after="0" w:line="480" w:lineRule="auto"/>
        <w:ind w:left="2517" w:hanging="357"/>
        <w:rPr>
          <w:rFonts w:ascii="Times New Roman" w:hAnsi="Times New Roman" w:cs="Times New Roman"/>
          <w:b/>
          <w:bCs/>
          <w:sz w:val="24"/>
          <w:szCs w:val="24"/>
        </w:rPr>
      </w:pPr>
      <w:r>
        <w:rPr>
          <w:rFonts w:ascii="Times New Roman" w:hAnsi="Times New Roman" w:cs="Times New Roman"/>
          <w:b/>
          <w:bCs/>
          <w:sz w:val="24"/>
          <w:szCs w:val="24"/>
        </w:rPr>
        <w:t>Golgi apparatus</w:t>
      </w:r>
    </w:p>
    <w:p w:rsidR="004B4E5E" w:rsidRDefault="004B4E5E" w:rsidP="00ED5DAC">
      <w:pPr>
        <w:pStyle w:val="ListParagraph"/>
        <w:numPr>
          <w:ilvl w:val="0"/>
          <w:numId w:val="17"/>
        </w:numPr>
        <w:autoSpaceDE w:val="0"/>
        <w:autoSpaceDN w:val="0"/>
        <w:adjustRightInd w:val="0"/>
        <w:spacing w:after="0" w:line="480" w:lineRule="auto"/>
        <w:ind w:left="2517" w:hanging="357"/>
        <w:rPr>
          <w:rFonts w:ascii="Times New Roman" w:hAnsi="Times New Roman" w:cs="Times New Roman"/>
          <w:b/>
          <w:bCs/>
          <w:sz w:val="24"/>
          <w:szCs w:val="24"/>
        </w:rPr>
      </w:pPr>
      <w:r>
        <w:rPr>
          <w:rFonts w:ascii="Times New Roman" w:hAnsi="Times New Roman" w:cs="Times New Roman"/>
          <w:b/>
          <w:bCs/>
          <w:sz w:val="24"/>
          <w:szCs w:val="24"/>
        </w:rPr>
        <w:t xml:space="preserve">Vacuole </w:t>
      </w:r>
    </w:p>
    <w:p w:rsidR="004B4E5E" w:rsidRDefault="004B4E5E" w:rsidP="00ED5DAC">
      <w:pPr>
        <w:pStyle w:val="ListParagraph"/>
        <w:numPr>
          <w:ilvl w:val="0"/>
          <w:numId w:val="17"/>
        </w:numPr>
        <w:autoSpaceDE w:val="0"/>
        <w:autoSpaceDN w:val="0"/>
        <w:adjustRightInd w:val="0"/>
        <w:spacing w:after="0" w:line="480" w:lineRule="auto"/>
        <w:ind w:left="2517" w:hanging="357"/>
        <w:rPr>
          <w:rFonts w:ascii="Times New Roman" w:hAnsi="Times New Roman" w:cs="Times New Roman"/>
          <w:b/>
          <w:bCs/>
          <w:sz w:val="24"/>
          <w:szCs w:val="24"/>
        </w:rPr>
      </w:pPr>
      <w:r>
        <w:rPr>
          <w:rFonts w:ascii="Times New Roman" w:hAnsi="Times New Roman" w:cs="Times New Roman"/>
          <w:b/>
          <w:bCs/>
          <w:sz w:val="24"/>
          <w:szCs w:val="24"/>
        </w:rPr>
        <w:t>Transport mechanism of degradative molecules through secretory pathway</w:t>
      </w:r>
    </w:p>
    <w:p w:rsidR="004B4E5E" w:rsidRDefault="004B4E5E" w:rsidP="00ED5DAC">
      <w:pPr>
        <w:pStyle w:val="ListParagraph"/>
        <w:numPr>
          <w:ilvl w:val="0"/>
          <w:numId w:val="15"/>
        </w:numPr>
        <w:autoSpaceDE w:val="0"/>
        <w:autoSpaceDN w:val="0"/>
        <w:adjustRightInd w:val="0"/>
        <w:spacing w:after="0" w:line="480" w:lineRule="auto"/>
        <w:ind w:left="1434" w:hanging="357"/>
        <w:rPr>
          <w:rFonts w:ascii="Times New Roman" w:hAnsi="Times New Roman" w:cs="Times New Roman"/>
          <w:b/>
          <w:bCs/>
          <w:sz w:val="24"/>
          <w:szCs w:val="24"/>
        </w:rPr>
      </w:pPr>
      <w:r>
        <w:rPr>
          <w:rFonts w:ascii="Times New Roman" w:hAnsi="Times New Roman" w:cs="Times New Roman"/>
          <w:b/>
          <w:bCs/>
          <w:sz w:val="24"/>
          <w:szCs w:val="24"/>
        </w:rPr>
        <w:t>Sphingolipids and plant PCD</w:t>
      </w:r>
    </w:p>
    <w:p w:rsidR="004B4E5E" w:rsidRDefault="004B4E5E" w:rsidP="00ED5DAC">
      <w:pPr>
        <w:pStyle w:val="ListParagraph"/>
        <w:numPr>
          <w:ilvl w:val="0"/>
          <w:numId w:val="13"/>
        </w:numPr>
        <w:autoSpaceDE w:val="0"/>
        <w:autoSpaceDN w:val="0"/>
        <w:adjustRightInd w:val="0"/>
        <w:spacing w:after="0" w:line="480" w:lineRule="auto"/>
        <w:ind w:left="1077"/>
        <w:rPr>
          <w:rFonts w:ascii="Times New Roman" w:hAnsi="Times New Roman" w:cs="Times New Roman"/>
          <w:b/>
          <w:bCs/>
          <w:sz w:val="24"/>
          <w:szCs w:val="24"/>
        </w:rPr>
      </w:pPr>
      <w:r>
        <w:rPr>
          <w:rFonts w:ascii="Times New Roman" w:hAnsi="Times New Roman" w:cs="Times New Roman"/>
          <w:b/>
          <w:bCs/>
          <w:sz w:val="24"/>
          <w:szCs w:val="24"/>
        </w:rPr>
        <w:t xml:space="preserve">Role of PCD in developmental, defence and stress responses. </w:t>
      </w:r>
    </w:p>
    <w:p w:rsidR="004B4E5E" w:rsidRDefault="004B4E5E" w:rsidP="00ED5DAC">
      <w:pPr>
        <w:pStyle w:val="ListParagraph"/>
        <w:numPr>
          <w:ilvl w:val="0"/>
          <w:numId w:val="18"/>
        </w:numPr>
        <w:autoSpaceDE w:val="0"/>
        <w:autoSpaceDN w:val="0"/>
        <w:adjustRightInd w:val="0"/>
        <w:spacing w:after="0" w:line="480" w:lineRule="auto"/>
        <w:ind w:left="1434" w:hanging="357"/>
        <w:rPr>
          <w:rStyle w:val="nbapihighlight"/>
        </w:rPr>
      </w:pPr>
      <w:r>
        <w:rPr>
          <w:rStyle w:val="nbapihighlight"/>
          <w:rFonts w:ascii="Times New Roman" w:hAnsi="Times New Roman" w:cs="Times New Roman"/>
          <w:b/>
          <w:bCs/>
          <w:sz w:val="24"/>
          <w:szCs w:val="24"/>
        </w:rPr>
        <w:t>PCD in vegetative tissue development</w:t>
      </w:r>
    </w:p>
    <w:p w:rsidR="004B4E5E" w:rsidRDefault="004B4E5E" w:rsidP="00ED5DAC">
      <w:pPr>
        <w:pStyle w:val="ListParagraph"/>
        <w:numPr>
          <w:ilvl w:val="0"/>
          <w:numId w:val="19"/>
        </w:numPr>
        <w:autoSpaceDE w:val="0"/>
        <w:autoSpaceDN w:val="0"/>
        <w:adjustRightInd w:val="0"/>
        <w:spacing w:after="0" w:line="480" w:lineRule="auto"/>
        <w:ind w:left="2517" w:hanging="357"/>
        <w:rPr>
          <w:lang w:eastAsia="en-IE"/>
        </w:rPr>
      </w:pPr>
      <w:r>
        <w:rPr>
          <w:rFonts w:ascii="Times New Roman" w:hAnsi="Times New Roman" w:cs="Times New Roman"/>
          <w:b/>
          <w:bCs/>
          <w:sz w:val="24"/>
          <w:szCs w:val="24"/>
          <w:lang w:eastAsia="en-IE"/>
        </w:rPr>
        <w:t>Xylogenesis</w:t>
      </w:r>
    </w:p>
    <w:p w:rsidR="004B4E5E" w:rsidRDefault="004B4E5E" w:rsidP="00ED5DAC">
      <w:pPr>
        <w:pStyle w:val="ListParagraph"/>
        <w:numPr>
          <w:ilvl w:val="0"/>
          <w:numId w:val="19"/>
        </w:numPr>
        <w:autoSpaceDE w:val="0"/>
        <w:autoSpaceDN w:val="0"/>
        <w:adjustRightInd w:val="0"/>
        <w:spacing w:after="0" w:line="480" w:lineRule="auto"/>
        <w:ind w:left="2517" w:hanging="357"/>
        <w:rPr>
          <w:rFonts w:ascii="Times New Roman" w:hAnsi="Times New Roman" w:cs="Times New Roman"/>
          <w:b/>
          <w:bCs/>
          <w:sz w:val="24"/>
          <w:szCs w:val="24"/>
          <w:lang w:eastAsia="en-IE"/>
        </w:rPr>
      </w:pPr>
      <w:r>
        <w:rPr>
          <w:rFonts w:ascii="Times New Roman" w:hAnsi="Times New Roman" w:cs="Times New Roman"/>
          <w:b/>
          <w:bCs/>
          <w:sz w:val="24"/>
          <w:szCs w:val="24"/>
          <w:lang w:eastAsia="en-IE"/>
        </w:rPr>
        <w:t>Root cap</w:t>
      </w:r>
    </w:p>
    <w:p w:rsidR="004B4E5E" w:rsidRDefault="004B4E5E" w:rsidP="00ED5DAC">
      <w:pPr>
        <w:pStyle w:val="ListParagraph"/>
        <w:numPr>
          <w:ilvl w:val="0"/>
          <w:numId w:val="19"/>
        </w:numPr>
        <w:autoSpaceDE w:val="0"/>
        <w:autoSpaceDN w:val="0"/>
        <w:adjustRightInd w:val="0"/>
        <w:spacing w:after="0" w:line="480" w:lineRule="auto"/>
        <w:ind w:left="2517" w:hanging="357"/>
        <w:rPr>
          <w:rFonts w:ascii="Times New Roman" w:hAnsi="Times New Roman" w:cs="Times New Roman"/>
          <w:b/>
          <w:bCs/>
          <w:sz w:val="24"/>
          <w:szCs w:val="24"/>
          <w:lang w:eastAsia="en-IE"/>
        </w:rPr>
      </w:pPr>
      <w:r>
        <w:rPr>
          <w:rFonts w:ascii="Times New Roman" w:hAnsi="Times New Roman" w:cs="Times New Roman"/>
          <w:b/>
          <w:bCs/>
          <w:sz w:val="24"/>
          <w:szCs w:val="24"/>
          <w:lang w:eastAsia="en-IE"/>
        </w:rPr>
        <w:t>Leaf morphogenesis</w:t>
      </w:r>
    </w:p>
    <w:p w:rsidR="004B4E5E" w:rsidRDefault="004B4E5E" w:rsidP="00ED5DAC">
      <w:pPr>
        <w:pStyle w:val="ListParagraph"/>
        <w:numPr>
          <w:ilvl w:val="0"/>
          <w:numId w:val="19"/>
        </w:numPr>
        <w:autoSpaceDE w:val="0"/>
        <w:autoSpaceDN w:val="0"/>
        <w:adjustRightInd w:val="0"/>
        <w:spacing w:after="0" w:line="480" w:lineRule="auto"/>
        <w:ind w:left="2517" w:hanging="357"/>
        <w:rPr>
          <w:rFonts w:ascii="Times New Roman" w:hAnsi="Times New Roman" w:cs="Times New Roman"/>
          <w:b/>
          <w:bCs/>
          <w:sz w:val="24"/>
          <w:szCs w:val="24"/>
          <w:lang w:eastAsia="en-IE"/>
        </w:rPr>
      </w:pPr>
      <w:r>
        <w:rPr>
          <w:rFonts w:ascii="Times New Roman" w:hAnsi="Times New Roman" w:cs="Times New Roman"/>
          <w:b/>
          <w:bCs/>
          <w:sz w:val="24"/>
          <w:szCs w:val="24"/>
          <w:lang w:eastAsia="en-IE"/>
        </w:rPr>
        <w:t>Trichome differentiation</w:t>
      </w:r>
    </w:p>
    <w:p w:rsidR="004B4E5E" w:rsidRDefault="004B4E5E" w:rsidP="00ED5DAC">
      <w:pPr>
        <w:pStyle w:val="ListParagraph"/>
        <w:numPr>
          <w:ilvl w:val="0"/>
          <w:numId w:val="19"/>
        </w:numPr>
        <w:autoSpaceDE w:val="0"/>
        <w:autoSpaceDN w:val="0"/>
        <w:adjustRightInd w:val="0"/>
        <w:spacing w:after="0" w:line="480" w:lineRule="auto"/>
        <w:ind w:left="2517" w:hanging="357"/>
        <w:rPr>
          <w:rFonts w:ascii="Times New Roman" w:hAnsi="Times New Roman" w:cs="Times New Roman"/>
          <w:b/>
          <w:bCs/>
          <w:sz w:val="24"/>
          <w:szCs w:val="24"/>
          <w:lang w:eastAsia="en-IE"/>
        </w:rPr>
      </w:pPr>
      <w:r>
        <w:rPr>
          <w:rFonts w:ascii="Times New Roman" w:hAnsi="Times New Roman" w:cs="Times New Roman"/>
          <w:b/>
          <w:bCs/>
          <w:sz w:val="24"/>
          <w:szCs w:val="24"/>
          <w:lang w:eastAsia="en-IE"/>
        </w:rPr>
        <w:t>Senescence</w:t>
      </w:r>
    </w:p>
    <w:p w:rsidR="004B4E5E" w:rsidRDefault="004B4E5E" w:rsidP="00ED5DAC">
      <w:pPr>
        <w:pStyle w:val="ListParagraph"/>
        <w:autoSpaceDE w:val="0"/>
        <w:autoSpaceDN w:val="0"/>
        <w:adjustRightInd w:val="0"/>
        <w:spacing w:after="0" w:line="480" w:lineRule="auto"/>
        <w:rPr>
          <w:rFonts w:ascii="Times New Roman" w:hAnsi="Times New Roman" w:cs="Times New Roman"/>
          <w:b/>
          <w:bCs/>
          <w:sz w:val="24"/>
          <w:szCs w:val="24"/>
          <w:lang w:eastAsia="en-IE"/>
        </w:rPr>
      </w:pPr>
    </w:p>
    <w:p w:rsidR="004B4E5E" w:rsidRDefault="004B4E5E" w:rsidP="00ED5DAC">
      <w:pPr>
        <w:pStyle w:val="ListParagraph"/>
        <w:autoSpaceDE w:val="0"/>
        <w:autoSpaceDN w:val="0"/>
        <w:adjustRightInd w:val="0"/>
        <w:spacing w:after="0" w:line="480" w:lineRule="auto"/>
        <w:rPr>
          <w:rFonts w:ascii="Times New Roman" w:hAnsi="Times New Roman" w:cs="Times New Roman"/>
          <w:b/>
          <w:bCs/>
          <w:sz w:val="24"/>
          <w:szCs w:val="24"/>
          <w:lang w:eastAsia="en-IE"/>
        </w:rPr>
      </w:pPr>
    </w:p>
    <w:p w:rsidR="004B4E5E" w:rsidRDefault="004B4E5E" w:rsidP="00ED5DAC">
      <w:pPr>
        <w:pStyle w:val="ListParagraph"/>
        <w:numPr>
          <w:ilvl w:val="0"/>
          <w:numId w:val="18"/>
        </w:numPr>
        <w:autoSpaceDE w:val="0"/>
        <w:autoSpaceDN w:val="0"/>
        <w:adjustRightInd w:val="0"/>
        <w:spacing w:after="0" w:line="480" w:lineRule="auto"/>
        <w:ind w:left="1434" w:hanging="357"/>
        <w:rPr>
          <w:rFonts w:ascii="Times New Roman" w:hAnsi="Times New Roman" w:cs="Times New Roman"/>
          <w:b/>
          <w:bCs/>
          <w:sz w:val="24"/>
          <w:szCs w:val="24"/>
          <w:lang w:eastAsia="en-IE"/>
        </w:rPr>
      </w:pPr>
      <w:r>
        <w:rPr>
          <w:rFonts w:ascii="Times New Roman" w:hAnsi="Times New Roman" w:cs="Times New Roman"/>
          <w:b/>
          <w:bCs/>
          <w:sz w:val="24"/>
          <w:szCs w:val="24"/>
          <w:lang w:eastAsia="en-IE"/>
        </w:rPr>
        <w:t>PCD in reproductive tissue development</w:t>
      </w:r>
    </w:p>
    <w:p w:rsidR="004B4E5E" w:rsidRDefault="004B4E5E" w:rsidP="00ED5DAC">
      <w:pPr>
        <w:pStyle w:val="ListParagraph"/>
        <w:numPr>
          <w:ilvl w:val="0"/>
          <w:numId w:val="20"/>
        </w:numPr>
        <w:spacing w:line="480" w:lineRule="auto"/>
        <w:ind w:left="2517" w:hanging="357"/>
        <w:rPr>
          <w:rFonts w:ascii="Times New Roman" w:hAnsi="Times New Roman" w:cs="Times New Roman"/>
          <w:b/>
          <w:bCs/>
          <w:sz w:val="24"/>
          <w:szCs w:val="24"/>
        </w:rPr>
      </w:pPr>
      <w:r>
        <w:rPr>
          <w:rFonts w:ascii="Times New Roman" w:hAnsi="Times New Roman" w:cs="Times New Roman"/>
          <w:b/>
          <w:bCs/>
          <w:sz w:val="24"/>
          <w:szCs w:val="24"/>
          <w:lang w:eastAsia="en-IE"/>
        </w:rPr>
        <w:t>Embryo formation and germination</w:t>
      </w:r>
    </w:p>
    <w:p w:rsidR="004B4E5E" w:rsidRDefault="004B4E5E" w:rsidP="00ED5DAC">
      <w:pPr>
        <w:pStyle w:val="ListParagraph"/>
        <w:numPr>
          <w:ilvl w:val="1"/>
          <w:numId w:val="18"/>
        </w:numPr>
        <w:autoSpaceDE w:val="0"/>
        <w:autoSpaceDN w:val="0"/>
        <w:adjustRightInd w:val="0"/>
        <w:spacing w:after="0" w:line="480" w:lineRule="auto"/>
        <w:ind w:left="3595" w:hanging="357"/>
        <w:rPr>
          <w:rFonts w:ascii="Times New Roman" w:hAnsi="Times New Roman" w:cs="Times New Roman"/>
          <w:sz w:val="24"/>
          <w:szCs w:val="24"/>
        </w:rPr>
      </w:pPr>
      <w:r>
        <w:rPr>
          <w:rFonts w:ascii="Times New Roman" w:hAnsi="Times New Roman" w:cs="Times New Roman"/>
          <w:b/>
          <w:bCs/>
          <w:sz w:val="24"/>
          <w:szCs w:val="24"/>
        </w:rPr>
        <w:t>Suspensor elimination by PCD</w:t>
      </w:r>
    </w:p>
    <w:p w:rsidR="004B4E5E" w:rsidRDefault="004B4E5E" w:rsidP="00ED5DAC">
      <w:pPr>
        <w:pStyle w:val="ListParagraph"/>
        <w:numPr>
          <w:ilvl w:val="1"/>
          <w:numId w:val="18"/>
        </w:numPr>
        <w:spacing w:line="480" w:lineRule="auto"/>
        <w:ind w:left="3595" w:hanging="357"/>
        <w:rPr>
          <w:rFonts w:ascii="Times New Roman" w:hAnsi="Times New Roman" w:cs="Times New Roman"/>
          <w:b/>
          <w:bCs/>
          <w:sz w:val="24"/>
          <w:szCs w:val="24"/>
        </w:rPr>
      </w:pPr>
      <w:r>
        <w:rPr>
          <w:rFonts w:ascii="Times New Roman" w:hAnsi="Times New Roman" w:cs="Times New Roman"/>
          <w:b/>
          <w:bCs/>
          <w:sz w:val="24"/>
          <w:szCs w:val="24"/>
        </w:rPr>
        <w:t>Embryo abortion</w:t>
      </w:r>
    </w:p>
    <w:p w:rsidR="004B4E5E" w:rsidRDefault="004B4E5E" w:rsidP="00ED5DAC">
      <w:pPr>
        <w:pStyle w:val="ListParagraph"/>
        <w:numPr>
          <w:ilvl w:val="1"/>
          <w:numId w:val="18"/>
        </w:numPr>
        <w:spacing w:line="480" w:lineRule="auto"/>
        <w:ind w:left="3595" w:hanging="357"/>
        <w:rPr>
          <w:rFonts w:ascii="Times New Roman" w:hAnsi="Times New Roman" w:cs="Times New Roman"/>
          <w:b/>
          <w:bCs/>
          <w:sz w:val="24"/>
          <w:szCs w:val="24"/>
        </w:rPr>
      </w:pPr>
      <w:r>
        <w:rPr>
          <w:rFonts w:ascii="Times New Roman" w:hAnsi="Times New Roman" w:cs="Times New Roman"/>
          <w:b/>
          <w:bCs/>
          <w:sz w:val="24"/>
          <w:szCs w:val="24"/>
        </w:rPr>
        <w:t>Nucellus PCD</w:t>
      </w:r>
    </w:p>
    <w:p w:rsidR="004B4E5E" w:rsidRDefault="004B4E5E" w:rsidP="00ED5DAC">
      <w:pPr>
        <w:pStyle w:val="ListParagraph"/>
        <w:numPr>
          <w:ilvl w:val="1"/>
          <w:numId w:val="18"/>
        </w:numPr>
        <w:autoSpaceDE w:val="0"/>
        <w:autoSpaceDN w:val="0"/>
        <w:adjustRightInd w:val="0"/>
        <w:spacing w:after="0" w:line="480" w:lineRule="auto"/>
        <w:ind w:left="3595" w:hanging="357"/>
        <w:rPr>
          <w:rFonts w:ascii="Times New Roman" w:hAnsi="Times New Roman" w:cs="Times New Roman"/>
          <w:b/>
          <w:bCs/>
          <w:sz w:val="24"/>
          <w:szCs w:val="24"/>
        </w:rPr>
      </w:pPr>
      <w:r>
        <w:rPr>
          <w:rFonts w:ascii="Times New Roman" w:hAnsi="Times New Roman" w:cs="Times New Roman"/>
          <w:b/>
          <w:bCs/>
          <w:sz w:val="24"/>
          <w:szCs w:val="24"/>
        </w:rPr>
        <w:t xml:space="preserve">Endosperm and aleurone cell PCD </w:t>
      </w:r>
    </w:p>
    <w:p w:rsidR="004B4E5E" w:rsidRDefault="004B4E5E" w:rsidP="00ED5DAC">
      <w:pPr>
        <w:pStyle w:val="ListParagraph"/>
        <w:numPr>
          <w:ilvl w:val="0"/>
          <w:numId w:val="20"/>
        </w:numPr>
        <w:spacing w:line="480" w:lineRule="auto"/>
        <w:ind w:left="2517" w:hanging="357"/>
        <w:rPr>
          <w:rFonts w:ascii="Times New Roman" w:hAnsi="Times New Roman" w:cs="Times New Roman"/>
          <w:b/>
          <w:bCs/>
          <w:sz w:val="24"/>
          <w:szCs w:val="24"/>
        </w:rPr>
      </w:pPr>
      <w:r>
        <w:rPr>
          <w:rFonts w:ascii="Times New Roman" w:hAnsi="Times New Roman" w:cs="Times New Roman"/>
          <w:b/>
          <w:bCs/>
          <w:sz w:val="24"/>
          <w:szCs w:val="24"/>
        </w:rPr>
        <w:t>Anther dehiscence</w:t>
      </w:r>
    </w:p>
    <w:p w:rsidR="004B4E5E" w:rsidRDefault="004B4E5E" w:rsidP="00ED5DAC">
      <w:pPr>
        <w:pStyle w:val="ListParagraph"/>
        <w:numPr>
          <w:ilvl w:val="0"/>
          <w:numId w:val="20"/>
        </w:numPr>
        <w:spacing w:line="480" w:lineRule="auto"/>
        <w:ind w:left="2517" w:hanging="357"/>
        <w:rPr>
          <w:rFonts w:ascii="Times New Roman" w:hAnsi="Times New Roman" w:cs="Times New Roman"/>
          <w:b/>
          <w:bCs/>
          <w:sz w:val="24"/>
          <w:szCs w:val="24"/>
        </w:rPr>
      </w:pPr>
      <w:r>
        <w:rPr>
          <w:rFonts w:ascii="Times New Roman" w:hAnsi="Times New Roman" w:cs="Times New Roman"/>
          <w:b/>
          <w:bCs/>
          <w:sz w:val="24"/>
          <w:szCs w:val="24"/>
        </w:rPr>
        <w:t>Pollen self-incompatibility</w:t>
      </w:r>
    </w:p>
    <w:p w:rsidR="004B4E5E" w:rsidRDefault="004B4E5E" w:rsidP="00ED5DAC">
      <w:pPr>
        <w:pStyle w:val="ListParagraph"/>
        <w:numPr>
          <w:ilvl w:val="0"/>
          <w:numId w:val="20"/>
        </w:numPr>
        <w:spacing w:after="0" w:line="480" w:lineRule="auto"/>
        <w:ind w:left="2517" w:hanging="357"/>
        <w:rPr>
          <w:rFonts w:ascii="Times New Roman" w:hAnsi="Times New Roman" w:cs="Times New Roman"/>
          <w:b/>
          <w:bCs/>
          <w:sz w:val="24"/>
          <w:szCs w:val="24"/>
          <w:u w:val="single"/>
        </w:rPr>
      </w:pPr>
      <w:r>
        <w:rPr>
          <w:rFonts w:ascii="Times New Roman" w:hAnsi="Times New Roman" w:cs="Times New Roman"/>
          <w:b/>
          <w:bCs/>
          <w:sz w:val="24"/>
          <w:szCs w:val="24"/>
        </w:rPr>
        <w:t>Selective abortion of primordia in some unisexual plants</w:t>
      </w:r>
    </w:p>
    <w:p w:rsidR="004B4E5E" w:rsidRDefault="004B4E5E" w:rsidP="00ED5DAC">
      <w:pPr>
        <w:autoSpaceDE w:val="0"/>
        <w:autoSpaceDN w:val="0"/>
        <w:adjustRightInd w:val="0"/>
        <w:spacing w:after="0" w:line="480" w:lineRule="auto"/>
        <w:ind w:left="1434" w:hanging="311"/>
        <w:rPr>
          <w:rFonts w:ascii="Times New Roman" w:hAnsi="Times New Roman" w:cs="Times New Roman"/>
          <w:b/>
          <w:bCs/>
          <w:sz w:val="24"/>
          <w:szCs w:val="24"/>
          <w:lang w:eastAsia="en-IE"/>
        </w:rPr>
      </w:pPr>
      <w:r>
        <w:rPr>
          <w:rFonts w:ascii="Times New Roman" w:hAnsi="Times New Roman" w:cs="Times New Roman"/>
          <w:b/>
          <w:bCs/>
          <w:sz w:val="24"/>
          <w:szCs w:val="24"/>
          <w:lang w:eastAsia="en-IE"/>
        </w:rPr>
        <w:t>C.</w:t>
      </w:r>
      <w:r>
        <w:rPr>
          <w:rFonts w:ascii="Times New Roman" w:hAnsi="Times New Roman" w:cs="Times New Roman"/>
          <w:b/>
          <w:bCs/>
          <w:sz w:val="24"/>
          <w:szCs w:val="24"/>
          <w:lang w:eastAsia="en-IE"/>
        </w:rPr>
        <w:tab/>
        <w:t>The PCD response to abiotic and biotic stress</w:t>
      </w:r>
    </w:p>
    <w:p w:rsidR="004B4E5E" w:rsidRDefault="004B4E5E" w:rsidP="00ED5DAC">
      <w:pPr>
        <w:pStyle w:val="ListParagraph"/>
        <w:numPr>
          <w:ilvl w:val="0"/>
          <w:numId w:val="21"/>
        </w:numPr>
        <w:autoSpaceDE w:val="0"/>
        <w:autoSpaceDN w:val="0"/>
        <w:adjustRightInd w:val="0"/>
        <w:spacing w:after="0" w:line="480" w:lineRule="auto"/>
        <w:ind w:left="2517" w:hanging="357"/>
        <w:rPr>
          <w:rFonts w:ascii="Times New Roman" w:hAnsi="Times New Roman" w:cs="Times New Roman"/>
          <w:b/>
          <w:bCs/>
          <w:sz w:val="24"/>
          <w:szCs w:val="24"/>
          <w:lang w:eastAsia="en-IE"/>
        </w:rPr>
      </w:pPr>
      <w:r>
        <w:rPr>
          <w:rFonts w:ascii="Times New Roman" w:hAnsi="Times New Roman" w:cs="Times New Roman"/>
          <w:b/>
          <w:bCs/>
          <w:sz w:val="24"/>
          <w:szCs w:val="24"/>
          <w:lang w:eastAsia="en-IE"/>
        </w:rPr>
        <w:t>PCD during plant–environment interactions</w:t>
      </w:r>
    </w:p>
    <w:p w:rsidR="004B4E5E" w:rsidRDefault="004B4E5E" w:rsidP="00ED5DAC">
      <w:pPr>
        <w:pStyle w:val="ListParagraph"/>
        <w:numPr>
          <w:ilvl w:val="0"/>
          <w:numId w:val="22"/>
        </w:numPr>
        <w:autoSpaceDE w:val="0"/>
        <w:autoSpaceDN w:val="0"/>
        <w:adjustRightInd w:val="0"/>
        <w:spacing w:after="0" w:line="480" w:lineRule="auto"/>
        <w:ind w:left="3595" w:hanging="357"/>
        <w:rPr>
          <w:rFonts w:ascii="Times New Roman" w:hAnsi="Times New Roman" w:cs="Times New Roman"/>
          <w:b/>
          <w:bCs/>
          <w:sz w:val="24"/>
          <w:szCs w:val="24"/>
          <w:lang w:eastAsia="en-IE"/>
        </w:rPr>
      </w:pPr>
      <w:r>
        <w:rPr>
          <w:rFonts w:ascii="Times New Roman" w:hAnsi="Times New Roman" w:cs="Times New Roman"/>
          <w:b/>
          <w:bCs/>
          <w:sz w:val="24"/>
          <w:szCs w:val="24"/>
          <w:lang w:eastAsia="en-IE"/>
        </w:rPr>
        <w:t>Hypoxia stress – aerenchyma formation</w:t>
      </w:r>
    </w:p>
    <w:p w:rsidR="004B4E5E" w:rsidRDefault="004B4E5E" w:rsidP="00ED5DAC">
      <w:pPr>
        <w:pStyle w:val="ListParagraph"/>
        <w:numPr>
          <w:ilvl w:val="0"/>
          <w:numId w:val="22"/>
        </w:numPr>
        <w:autoSpaceDE w:val="0"/>
        <w:autoSpaceDN w:val="0"/>
        <w:adjustRightInd w:val="0"/>
        <w:spacing w:after="0" w:line="480" w:lineRule="auto"/>
        <w:ind w:left="3595" w:hanging="357"/>
        <w:rPr>
          <w:rFonts w:ascii="Times New Roman" w:hAnsi="Times New Roman" w:cs="Times New Roman"/>
          <w:b/>
          <w:bCs/>
          <w:sz w:val="24"/>
          <w:szCs w:val="24"/>
        </w:rPr>
      </w:pPr>
      <w:r>
        <w:rPr>
          <w:rFonts w:ascii="Times New Roman" w:hAnsi="Times New Roman" w:cs="Times New Roman"/>
          <w:b/>
          <w:bCs/>
          <w:sz w:val="24"/>
          <w:szCs w:val="24"/>
        </w:rPr>
        <w:t>Salt &amp; drought stress</w:t>
      </w:r>
    </w:p>
    <w:p w:rsidR="004B4E5E" w:rsidRDefault="004B4E5E" w:rsidP="00ED5DAC">
      <w:pPr>
        <w:pStyle w:val="ListParagraph"/>
        <w:numPr>
          <w:ilvl w:val="0"/>
          <w:numId w:val="22"/>
        </w:numPr>
        <w:autoSpaceDE w:val="0"/>
        <w:autoSpaceDN w:val="0"/>
        <w:adjustRightInd w:val="0"/>
        <w:spacing w:after="0" w:line="480" w:lineRule="auto"/>
        <w:ind w:left="3595" w:hanging="357"/>
        <w:rPr>
          <w:rFonts w:ascii="Times New Roman" w:hAnsi="Times New Roman" w:cs="Times New Roman"/>
          <w:b/>
          <w:bCs/>
          <w:sz w:val="24"/>
          <w:szCs w:val="24"/>
        </w:rPr>
      </w:pPr>
      <w:r>
        <w:rPr>
          <w:rFonts w:ascii="Times New Roman" w:hAnsi="Times New Roman" w:cs="Times New Roman"/>
          <w:b/>
          <w:bCs/>
          <w:sz w:val="24"/>
          <w:szCs w:val="24"/>
        </w:rPr>
        <w:t>Temperature stress</w:t>
      </w:r>
    </w:p>
    <w:p w:rsidR="004B4E5E" w:rsidRDefault="004B4E5E" w:rsidP="00ED5DAC">
      <w:pPr>
        <w:pStyle w:val="ListParagraph"/>
        <w:numPr>
          <w:ilvl w:val="0"/>
          <w:numId w:val="22"/>
        </w:numPr>
        <w:autoSpaceDE w:val="0"/>
        <w:autoSpaceDN w:val="0"/>
        <w:adjustRightInd w:val="0"/>
        <w:spacing w:after="0" w:line="480" w:lineRule="auto"/>
        <w:ind w:left="3595" w:hanging="357"/>
        <w:rPr>
          <w:rFonts w:ascii="Times New Roman" w:hAnsi="Times New Roman" w:cs="Times New Roman"/>
          <w:sz w:val="24"/>
          <w:szCs w:val="24"/>
        </w:rPr>
      </w:pPr>
      <w:r>
        <w:rPr>
          <w:rFonts w:ascii="Times New Roman" w:hAnsi="Times New Roman" w:cs="Times New Roman"/>
          <w:b/>
          <w:bCs/>
          <w:sz w:val="24"/>
          <w:szCs w:val="24"/>
        </w:rPr>
        <w:t>UV light stress</w:t>
      </w:r>
    </w:p>
    <w:p w:rsidR="004B4E5E" w:rsidRDefault="004B4E5E" w:rsidP="00ED5DAC">
      <w:pPr>
        <w:pStyle w:val="ListParagraph"/>
        <w:numPr>
          <w:ilvl w:val="0"/>
          <w:numId w:val="21"/>
        </w:numPr>
        <w:autoSpaceDE w:val="0"/>
        <w:autoSpaceDN w:val="0"/>
        <w:adjustRightInd w:val="0"/>
        <w:spacing w:after="0" w:line="480" w:lineRule="auto"/>
        <w:ind w:left="2517" w:hanging="357"/>
        <w:rPr>
          <w:rFonts w:ascii="Times New Roman" w:hAnsi="Times New Roman" w:cs="Times New Roman"/>
          <w:b/>
          <w:bCs/>
          <w:sz w:val="24"/>
          <w:szCs w:val="24"/>
          <w:lang w:eastAsia="en-IE"/>
        </w:rPr>
      </w:pPr>
      <w:r>
        <w:rPr>
          <w:rFonts w:ascii="Times New Roman" w:hAnsi="Times New Roman" w:cs="Times New Roman"/>
          <w:b/>
          <w:bCs/>
          <w:sz w:val="24"/>
          <w:szCs w:val="24"/>
          <w:lang w:eastAsia="en-IE"/>
        </w:rPr>
        <w:t>PCD during plant-pathogen interactions</w:t>
      </w:r>
    </w:p>
    <w:p w:rsidR="004B4E5E" w:rsidRDefault="004B4E5E" w:rsidP="00ED5DAC">
      <w:pPr>
        <w:pStyle w:val="ListParagraph"/>
        <w:numPr>
          <w:ilvl w:val="1"/>
          <w:numId w:val="21"/>
        </w:numPr>
        <w:autoSpaceDE w:val="0"/>
        <w:autoSpaceDN w:val="0"/>
        <w:adjustRightInd w:val="0"/>
        <w:spacing w:after="0" w:line="480" w:lineRule="auto"/>
        <w:ind w:left="3595" w:hanging="357"/>
        <w:rPr>
          <w:rFonts w:ascii="Times New Roman" w:hAnsi="Times New Roman" w:cs="Times New Roman"/>
          <w:b/>
          <w:bCs/>
          <w:sz w:val="24"/>
          <w:szCs w:val="24"/>
          <w:lang w:eastAsia="en-IE"/>
        </w:rPr>
      </w:pPr>
      <w:r>
        <w:rPr>
          <w:rFonts w:ascii="Times New Roman" w:hAnsi="Times New Roman" w:cs="Times New Roman"/>
          <w:b/>
          <w:bCs/>
          <w:sz w:val="24"/>
          <w:szCs w:val="24"/>
          <w:lang w:eastAsia="en-IE"/>
        </w:rPr>
        <w:t>Hypersensitive Response</w:t>
      </w:r>
    </w:p>
    <w:p w:rsidR="004B4E5E" w:rsidRDefault="004B4E5E" w:rsidP="00ED5DAC">
      <w:pPr>
        <w:pStyle w:val="ListParagraph"/>
        <w:numPr>
          <w:ilvl w:val="1"/>
          <w:numId w:val="21"/>
        </w:numPr>
        <w:autoSpaceDE w:val="0"/>
        <w:autoSpaceDN w:val="0"/>
        <w:adjustRightInd w:val="0"/>
        <w:spacing w:after="0" w:line="480" w:lineRule="auto"/>
        <w:ind w:left="3595" w:hanging="357"/>
        <w:rPr>
          <w:rFonts w:ascii="Times New Roman" w:hAnsi="Times New Roman" w:cs="Times New Roman"/>
          <w:b/>
          <w:bCs/>
          <w:sz w:val="24"/>
          <w:szCs w:val="24"/>
        </w:rPr>
      </w:pPr>
      <w:r>
        <w:rPr>
          <w:rFonts w:ascii="Times New Roman" w:hAnsi="Times New Roman" w:cs="Times New Roman"/>
          <w:b/>
          <w:bCs/>
          <w:sz w:val="24"/>
          <w:szCs w:val="24"/>
        </w:rPr>
        <w:t xml:space="preserve">Pathogens modulating host death response </w:t>
      </w:r>
    </w:p>
    <w:p w:rsidR="004B4E5E" w:rsidRDefault="004B4E5E" w:rsidP="00ED5DAC">
      <w:pPr>
        <w:pStyle w:val="ListParagraph"/>
        <w:numPr>
          <w:ilvl w:val="1"/>
          <w:numId w:val="21"/>
        </w:numPr>
        <w:autoSpaceDE w:val="0"/>
        <w:autoSpaceDN w:val="0"/>
        <w:adjustRightInd w:val="0"/>
        <w:spacing w:after="0" w:line="480" w:lineRule="auto"/>
        <w:ind w:left="3595" w:hanging="357"/>
        <w:rPr>
          <w:rFonts w:ascii="Times New Roman" w:hAnsi="Times New Roman" w:cs="Times New Roman"/>
          <w:b/>
          <w:bCs/>
          <w:sz w:val="24"/>
          <w:szCs w:val="24"/>
        </w:rPr>
      </w:pPr>
      <w:r>
        <w:rPr>
          <w:rFonts w:ascii="Times New Roman" w:hAnsi="Times New Roman" w:cs="Times New Roman"/>
          <w:b/>
          <w:bCs/>
          <w:sz w:val="24"/>
          <w:szCs w:val="24"/>
        </w:rPr>
        <w:t>Lesion Mimic Mutants</w:t>
      </w:r>
    </w:p>
    <w:p w:rsidR="004B4E5E" w:rsidRDefault="004B4E5E" w:rsidP="00ED5DAC">
      <w:pPr>
        <w:pStyle w:val="ListParagraph"/>
        <w:numPr>
          <w:ilvl w:val="0"/>
          <w:numId w:val="13"/>
        </w:numPr>
        <w:autoSpaceDE w:val="0"/>
        <w:autoSpaceDN w:val="0"/>
        <w:adjustRightInd w:val="0"/>
        <w:spacing w:after="0" w:line="480" w:lineRule="auto"/>
        <w:ind w:left="1077"/>
        <w:rPr>
          <w:rFonts w:ascii="Times New Roman" w:hAnsi="Times New Roman" w:cs="Times New Roman"/>
          <w:b/>
          <w:bCs/>
          <w:sz w:val="24"/>
          <w:szCs w:val="24"/>
        </w:rPr>
      </w:pPr>
      <w:r>
        <w:rPr>
          <w:rFonts w:ascii="Times New Roman" w:hAnsi="Times New Roman" w:cs="Times New Roman"/>
          <w:b/>
          <w:bCs/>
          <w:sz w:val="24"/>
          <w:szCs w:val="24"/>
        </w:rPr>
        <w:t>Autophagy</w:t>
      </w:r>
    </w:p>
    <w:p w:rsidR="004B4E5E" w:rsidRDefault="004B4E5E" w:rsidP="00ED5DAC">
      <w:pPr>
        <w:pStyle w:val="ListParagraph"/>
        <w:numPr>
          <w:ilvl w:val="0"/>
          <w:numId w:val="13"/>
        </w:numPr>
        <w:autoSpaceDE w:val="0"/>
        <w:autoSpaceDN w:val="0"/>
        <w:adjustRightInd w:val="0"/>
        <w:spacing w:after="0" w:line="480" w:lineRule="auto"/>
        <w:ind w:left="1077"/>
        <w:rPr>
          <w:rFonts w:ascii="Times New Roman" w:hAnsi="Times New Roman" w:cs="Times New Roman"/>
          <w:b/>
          <w:bCs/>
          <w:sz w:val="24"/>
          <w:szCs w:val="24"/>
        </w:rPr>
      </w:pPr>
      <w:r>
        <w:rPr>
          <w:rFonts w:ascii="Times New Roman" w:hAnsi="Times New Roman" w:cs="Times New Roman"/>
          <w:b/>
          <w:bCs/>
          <w:sz w:val="24"/>
          <w:szCs w:val="24"/>
        </w:rPr>
        <w:t>Studying PCD in plants</w:t>
      </w:r>
    </w:p>
    <w:p w:rsidR="004B4E5E" w:rsidRDefault="004B4E5E" w:rsidP="00ED5DAC">
      <w:pPr>
        <w:pStyle w:val="ListParagraph"/>
        <w:numPr>
          <w:ilvl w:val="0"/>
          <w:numId w:val="23"/>
        </w:numPr>
        <w:autoSpaceDE w:val="0"/>
        <w:autoSpaceDN w:val="0"/>
        <w:adjustRightInd w:val="0"/>
        <w:spacing w:after="0" w:line="480" w:lineRule="auto"/>
        <w:ind w:left="1434" w:hanging="357"/>
        <w:rPr>
          <w:rFonts w:ascii="Times New Roman" w:hAnsi="Times New Roman" w:cs="Times New Roman"/>
          <w:b/>
          <w:bCs/>
          <w:sz w:val="24"/>
          <w:szCs w:val="24"/>
        </w:rPr>
      </w:pPr>
      <w:r>
        <w:rPr>
          <w:rFonts w:ascii="Times New Roman" w:hAnsi="Times New Roman" w:cs="Times New Roman"/>
          <w:b/>
          <w:bCs/>
          <w:sz w:val="24"/>
          <w:szCs w:val="24"/>
        </w:rPr>
        <w:t>Methods</w:t>
      </w:r>
    </w:p>
    <w:p w:rsidR="004B4E5E" w:rsidRDefault="004B4E5E" w:rsidP="00ED5DAC">
      <w:pPr>
        <w:pStyle w:val="ListParagraph"/>
        <w:numPr>
          <w:ilvl w:val="0"/>
          <w:numId w:val="23"/>
        </w:numPr>
        <w:autoSpaceDE w:val="0"/>
        <w:autoSpaceDN w:val="0"/>
        <w:adjustRightInd w:val="0"/>
        <w:spacing w:after="0" w:line="480" w:lineRule="auto"/>
        <w:ind w:left="1434" w:hanging="357"/>
        <w:rPr>
          <w:rFonts w:ascii="Times New Roman" w:hAnsi="Times New Roman" w:cs="Times New Roman"/>
          <w:b/>
          <w:bCs/>
          <w:sz w:val="24"/>
          <w:szCs w:val="24"/>
        </w:rPr>
      </w:pPr>
      <w:r>
        <w:rPr>
          <w:rFonts w:ascii="Times New Roman" w:hAnsi="Times New Roman" w:cs="Times New Roman"/>
          <w:b/>
          <w:bCs/>
          <w:sz w:val="24"/>
          <w:szCs w:val="24"/>
        </w:rPr>
        <w:t>Model systems</w:t>
      </w:r>
    </w:p>
    <w:p w:rsidR="004B4E5E" w:rsidRDefault="004B4E5E" w:rsidP="00ED5DAC">
      <w:pPr>
        <w:pStyle w:val="ListParagraph"/>
        <w:numPr>
          <w:ilvl w:val="0"/>
          <w:numId w:val="13"/>
        </w:numPr>
        <w:autoSpaceDE w:val="0"/>
        <w:autoSpaceDN w:val="0"/>
        <w:adjustRightInd w:val="0"/>
        <w:spacing w:after="0" w:line="480" w:lineRule="auto"/>
        <w:ind w:left="1077"/>
        <w:rPr>
          <w:rFonts w:ascii="Times New Roman" w:hAnsi="Times New Roman" w:cs="Times New Roman"/>
          <w:b/>
          <w:bCs/>
          <w:sz w:val="24"/>
          <w:szCs w:val="24"/>
        </w:rPr>
      </w:pPr>
      <w:r>
        <w:rPr>
          <w:rFonts w:ascii="Times New Roman" w:hAnsi="Times New Roman" w:cs="Times New Roman"/>
          <w:b/>
          <w:bCs/>
          <w:sz w:val="24"/>
          <w:szCs w:val="24"/>
        </w:rPr>
        <w:t xml:space="preserve">Conclusions </w:t>
      </w:r>
    </w:p>
    <w:p w:rsidR="004B4E5E" w:rsidRPr="00451B44" w:rsidRDefault="004B4E5E" w:rsidP="002B4B8D">
      <w:pPr>
        <w:spacing w:line="480" w:lineRule="auto"/>
        <w:rPr>
          <w:rFonts w:ascii="Times New Roman" w:hAnsi="Times New Roman" w:cs="Times New Roman"/>
          <w:b/>
          <w:bCs/>
          <w:sz w:val="24"/>
          <w:szCs w:val="24"/>
        </w:rPr>
      </w:pPr>
      <w:r>
        <w:rPr>
          <w:rFonts w:ascii="Times New Roman" w:hAnsi="Times New Roman" w:cs="Times New Roman"/>
          <w:b/>
          <w:bCs/>
          <w:sz w:val="24"/>
          <w:szCs w:val="24"/>
        </w:rPr>
        <w:br w:type="page"/>
        <w:t>ABSTRACT</w:t>
      </w:r>
    </w:p>
    <w:p w:rsidR="004B4E5E" w:rsidRDefault="004B4E5E" w:rsidP="00276F72">
      <w:pPr>
        <w:spacing w:line="480" w:lineRule="auto"/>
        <w:rPr>
          <w:rFonts w:ascii="Times New Roman" w:hAnsi="Times New Roman" w:cs="Times New Roman"/>
          <w:sz w:val="24"/>
          <w:szCs w:val="24"/>
        </w:rPr>
      </w:pPr>
      <w:r w:rsidRPr="00451B44">
        <w:rPr>
          <w:rFonts w:ascii="Times New Roman" w:hAnsi="Times New Roman" w:cs="Times New Roman"/>
          <w:sz w:val="24"/>
          <w:szCs w:val="24"/>
        </w:rPr>
        <w:t>P</w:t>
      </w:r>
      <w:r>
        <w:rPr>
          <w:rFonts w:ascii="Times New Roman" w:hAnsi="Times New Roman" w:cs="Times New Roman"/>
          <w:sz w:val="24"/>
          <w:szCs w:val="24"/>
        </w:rPr>
        <w:t>rogrammed cell death (PCD) describes a small number of processes that result in a highly controlled, and</w:t>
      </w:r>
      <w:r w:rsidRPr="00451B44">
        <w:rPr>
          <w:rFonts w:ascii="Times New Roman" w:hAnsi="Times New Roman" w:cs="Times New Roman"/>
          <w:sz w:val="24"/>
          <w:szCs w:val="24"/>
        </w:rPr>
        <w:t xml:space="preserve"> organi</w:t>
      </w:r>
      <w:r>
        <w:rPr>
          <w:rFonts w:ascii="Times New Roman" w:hAnsi="Times New Roman" w:cs="Times New Roman"/>
          <w:sz w:val="24"/>
          <w:szCs w:val="24"/>
        </w:rPr>
        <w:t>s</w:t>
      </w:r>
      <w:r w:rsidRPr="00451B44">
        <w:rPr>
          <w:rFonts w:ascii="Times New Roman" w:hAnsi="Times New Roman" w:cs="Times New Roman"/>
          <w:sz w:val="24"/>
          <w:szCs w:val="24"/>
        </w:rPr>
        <w:t>ed</w:t>
      </w:r>
      <w:r>
        <w:rPr>
          <w:rFonts w:ascii="Times New Roman" w:hAnsi="Times New Roman" w:cs="Times New Roman"/>
          <w:sz w:val="24"/>
          <w:szCs w:val="24"/>
        </w:rPr>
        <w:t>, form of cellular destruction, activated in every part of the plant, throughout its entire life cycle. For example, PCD is a critical component of many vegetative and reproductive</w:t>
      </w:r>
      <w:r w:rsidRPr="001A4E63">
        <w:rPr>
          <w:rFonts w:ascii="Times New Roman" w:hAnsi="Times New Roman" w:cs="Times New Roman"/>
          <w:sz w:val="24"/>
          <w:szCs w:val="24"/>
        </w:rPr>
        <w:t xml:space="preserve"> development</w:t>
      </w:r>
      <w:r>
        <w:rPr>
          <w:rFonts w:ascii="Times New Roman" w:hAnsi="Times New Roman" w:cs="Times New Roman"/>
          <w:sz w:val="24"/>
          <w:szCs w:val="24"/>
        </w:rPr>
        <w:t>al processes</w:t>
      </w:r>
      <w:r w:rsidRPr="001A4E63">
        <w:rPr>
          <w:rFonts w:ascii="Times New Roman" w:hAnsi="Times New Roman" w:cs="Times New Roman"/>
          <w:sz w:val="24"/>
          <w:szCs w:val="24"/>
        </w:rPr>
        <w:t>, senescence</w:t>
      </w:r>
      <w:r>
        <w:rPr>
          <w:rFonts w:ascii="Times New Roman" w:hAnsi="Times New Roman" w:cs="Times New Roman"/>
          <w:sz w:val="24"/>
          <w:szCs w:val="24"/>
        </w:rPr>
        <w:t xml:space="preserve"> programmes</w:t>
      </w:r>
      <w:r w:rsidRPr="001A4E63">
        <w:rPr>
          <w:rFonts w:ascii="Times New Roman" w:hAnsi="Times New Roman" w:cs="Times New Roman"/>
          <w:sz w:val="24"/>
          <w:szCs w:val="24"/>
        </w:rPr>
        <w:t xml:space="preserve">, pathogen </w:t>
      </w:r>
      <w:r>
        <w:rPr>
          <w:rFonts w:ascii="Times New Roman" w:hAnsi="Times New Roman" w:cs="Times New Roman"/>
          <w:sz w:val="24"/>
          <w:szCs w:val="24"/>
        </w:rPr>
        <w:t>defence mechanisms and stress responses. Cell destruction can manifest as apoptotic-like, necrotic or autophagic cell death and these processes are likely to overlap extensively, sharing several regulatory mechanisms. Several of the key PCD regulators and signals have now been revealed, for example, many cell organelles, including mitochondria, chloroplasts, Golgi apparatus, endoplasmic reticulum and vacuoles have been shown to have a role in controlling PCD activation. Following activation the actual dismantling of the cell appears to involve cell death proteases including those with</w:t>
      </w:r>
      <w:r w:rsidRPr="00451B44">
        <w:rPr>
          <w:rFonts w:ascii="Times New Roman" w:hAnsi="Times New Roman" w:cs="Times New Roman"/>
          <w:sz w:val="24"/>
          <w:szCs w:val="24"/>
        </w:rPr>
        <w:t xml:space="preserve"> caspase-like</w:t>
      </w:r>
      <w:r>
        <w:rPr>
          <w:rFonts w:ascii="Times New Roman" w:hAnsi="Times New Roman" w:cs="Times New Roman"/>
          <w:sz w:val="24"/>
          <w:szCs w:val="24"/>
        </w:rPr>
        <w:t>, or metacaspase, activity. This review</w:t>
      </w:r>
      <w:r w:rsidRPr="00451B44">
        <w:rPr>
          <w:rFonts w:ascii="Times New Roman" w:hAnsi="Times New Roman" w:cs="Times New Roman"/>
          <w:sz w:val="24"/>
          <w:szCs w:val="24"/>
        </w:rPr>
        <w:t xml:space="preserve"> will examine the current state of knowledge a</w:t>
      </w:r>
      <w:r>
        <w:rPr>
          <w:rFonts w:ascii="Times New Roman" w:hAnsi="Times New Roman" w:cs="Times New Roman"/>
          <w:sz w:val="24"/>
          <w:szCs w:val="24"/>
        </w:rPr>
        <w:t>bout the regulation of events during</w:t>
      </w:r>
      <w:r w:rsidRPr="00451B44">
        <w:rPr>
          <w:rFonts w:ascii="Times New Roman" w:hAnsi="Times New Roman" w:cs="Times New Roman"/>
          <w:sz w:val="24"/>
          <w:szCs w:val="24"/>
        </w:rPr>
        <w:t xml:space="preserve"> plant </w:t>
      </w:r>
      <w:r>
        <w:rPr>
          <w:rFonts w:ascii="Times New Roman" w:hAnsi="Times New Roman" w:cs="Times New Roman"/>
          <w:sz w:val="24"/>
          <w:szCs w:val="24"/>
        </w:rPr>
        <w:t>PCD. W</w:t>
      </w:r>
      <w:r w:rsidRPr="00451B44">
        <w:rPr>
          <w:rFonts w:ascii="Times New Roman" w:hAnsi="Times New Roman" w:cs="Times New Roman"/>
          <w:sz w:val="24"/>
          <w:szCs w:val="24"/>
        </w:rPr>
        <w:t>e will describe numerous examples of developmental or environment</w:t>
      </w:r>
      <w:r>
        <w:rPr>
          <w:rFonts w:ascii="Times New Roman" w:hAnsi="Times New Roman" w:cs="Times New Roman"/>
          <w:sz w:val="24"/>
          <w:szCs w:val="24"/>
        </w:rPr>
        <w:t xml:space="preserve">ally-induced deaths and outline their potential as models systems for use in </w:t>
      </w:r>
      <w:r w:rsidRPr="00451B44">
        <w:rPr>
          <w:rFonts w:ascii="Times New Roman" w:hAnsi="Times New Roman" w:cs="Times New Roman"/>
          <w:sz w:val="24"/>
          <w:szCs w:val="24"/>
        </w:rPr>
        <w:t xml:space="preserve">PCD </w:t>
      </w:r>
      <w:r>
        <w:rPr>
          <w:rFonts w:ascii="Times New Roman" w:hAnsi="Times New Roman" w:cs="Times New Roman"/>
          <w:sz w:val="24"/>
          <w:szCs w:val="24"/>
        </w:rPr>
        <w:t xml:space="preserve">research programmes. Similarly, a range of techniques and </w:t>
      </w:r>
      <w:r w:rsidRPr="0003103A">
        <w:rPr>
          <w:rFonts w:ascii="Times New Roman" w:hAnsi="Times New Roman" w:cs="Times New Roman"/>
          <w:i/>
          <w:iCs/>
          <w:sz w:val="24"/>
          <w:szCs w:val="24"/>
        </w:rPr>
        <w:t>in vitro</w:t>
      </w:r>
      <w:r>
        <w:rPr>
          <w:rFonts w:ascii="Times New Roman" w:hAnsi="Times New Roman" w:cs="Times New Roman"/>
          <w:sz w:val="24"/>
          <w:szCs w:val="24"/>
        </w:rPr>
        <w:t xml:space="preserve"> model systems and that can be used to identify, and quantify, rates of plant PCD are </w:t>
      </w:r>
      <w:r w:rsidRPr="00451B44">
        <w:rPr>
          <w:rFonts w:ascii="Times New Roman" w:hAnsi="Times New Roman" w:cs="Times New Roman"/>
          <w:sz w:val="24"/>
          <w:szCs w:val="24"/>
        </w:rPr>
        <w:t>reviewed.</w:t>
      </w:r>
      <w:r w:rsidRPr="00B044AA">
        <w:rPr>
          <w:rFonts w:ascii="Times New Roman" w:hAnsi="Times New Roman" w:cs="Times New Roman"/>
          <w:sz w:val="24"/>
          <w:szCs w:val="24"/>
        </w:rPr>
        <w:t xml:space="preserve"> </w:t>
      </w:r>
      <w:r>
        <w:rPr>
          <w:rFonts w:ascii="Times New Roman" w:hAnsi="Times New Roman" w:cs="Times New Roman"/>
          <w:sz w:val="24"/>
          <w:szCs w:val="24"/>
        </w:rPr>
        <w:t>These model systems and techniques can be used to identify the underlying signals and events that drive and regulate PCD and ultimately reveal the steps necessary for the botanical dance of death.</w:t>
      </w:r>
    </w:p>
    <w:p w:rsidR="004B4E5E" w:rsidRPr="00451B44" w:rsidRDefault="004B4E5E" w:rsidP="002B4B8D">
      <w:pPr>
        <w:autoSpaceDE w:val="0"/>
        <w:autoSpaceDN w:val="0"/>
        <w:adjustRightInd w:val="0"/>
        <w:spacing w:after="0" w:line="480" w:lineRule="auto"/>
        <w:rPr>
          <w:rFonts w:ascii="Times New Roman" w:hAnsi="Times New Roman" w:cs="Times New Roman"/>
          <w:b/>
          <w:bCs/>
          <w:sz w:val="24"/>
          <w:szCs w:val="24"/>
        </w:rPr>
      </w:pPr>
    </w:p>
    <w:p w:rsidR="004B4E5E" w:rsidRDefault="004B4E5E" w:rsidP="00062AB8">
      <w:pPr>
        <w:pStyle w:val="ListParagraph"/>
        <w:autoSpaceDE w:val="0"/>
        <w:autoSpaceDN w:val="0"/>
        <w:adjustRightInd w:val="0"/>
        <w:spacing w:after="0" w:line="480" w:lineRule="auto"/>
        <w:ind w:left="360"/>
        <w:rPr>
          <w:rFonts w:ascii="Times New Roman" w:hAnsi="Times New Roman" w:cs="Times New Roman"/>
          <w:b/>
          <w:bCs/>
          <w:sz w:val="24"/>
          <w:szCs w:val="24"/>
        </w:rPr>
      </w:pPr>
      <w:r>
        <w:rPr>
          <w:rFonts w:ascii="Times New Roman" w:hAnsi="Times New Roman" w:cs="Times New Roman"/>
          <w:b/>
          <w:bCs/>
          <w:sz w:val="24"/>
          <w:szCs w:val="24"/>
        </w:rPr>
        <w:t>I.</w:t>
      </w:r>
      <w:r>
        <w:rPr>
          <w:rFonts w:ascii="Times New Roman" w:hAnsi="Times New Roman" w:cs="Times New Roman"/>
          <w:b/>
          <w:bCs/>
          <w:sz w:val="24"/>
          <w:szCs w:val="24"/>
        </w:rPr>
        <w:tab/>
      </w:r>
      <w:r w:rsidRPr="00451B44">
        <w:rPr>
          <w:rFonts w:ascii="Times New Roman" w:hAnsi="Times New Roman" w:cs="Times New Roman"/>
          <w:b/>
          <w:bCs/>
          <w:sz w:val="24"/>
          <w:szCs w:val="24"/>
        </w:rPr>
        <w:t>Introduction</w:t>
      </w:r>
    </w:p>
    <w:p w:rsidR="004B4E5E" w:rsidRPr="002734D2" w:rsidRDefault="004B4E5E" w:rsidP="002B4B8D">
      <w:pPr>
        <w:spacing w:line="480" w:lineRule="auto"/>
        <w:rPr>
          <w:rFonts w:ascii="Times New Roman" w:hAnsi="Times New Roman" w:cs="Times New Roman"/>
          <w:sz w:val="24"/>
          <w:szCs w:val="24"/>
        </w:rPr>
      </w:pPr>
      <w:r w:rsidRPr="002734D2">
        <w:rPr>
          <w:rFonts w:ascii="Times New Roman" w:hAnsi="Times New Roman" w:cs="Times New Roman"/>
          <w:sz w:val="24"/>
          <w:szCs w:val="24"/>
        </w:rPr>
        <w:t xml:space="preserve">Lockshin and Zakeri </w:t>
      </w:r>
      <w:r w:rsidRPr="002734D2">
        <w:rPr>
          <w:rFonts w:ascii="Times New Roman" w:hAnsi="Times New Roman" w:cs="Times New Roman"/>
          <w:noProof/>
          <w:sz w:val="24"/>
          <w:szCs w:val="24"/>
        </w:rPr>
        <w:t>(2004)</w:t>
      </w:r>
      <w:r w:rsidRPr="002734D2">
        <w:rPr>
          <w:rFonts w:ascii="Times New Roman" w:hAnsi="Times New Roman" w:cs="Times New Roman"/>
          <w:sz w:val="24"/>
          <w:szCs w:val="24"/>
        </w:rPr>
        <w:t xml:space="preserve"> defined PCD as the sequence of (potentially interruptible) events that lead to the controlled death of the cell. PCD generally describes apoptotic (Type I) or autophagic (Type II) cell death, in contrast to necrotic (Type </w:t>
      </w:r>
      <w:smartTag w:uri="urn:schemas-microsoft-com:office:smarttags" w:element="stockticker">
        <w:r w:rsidRPr="002734D2">
          <w:rPr>
            <w:rFonts w:ascii="Times New Roman" w:hAnsi="Times New Roman" w:cs="Times New Roman"/>
            <w:sz w:val="24"/>
            <w:szCs w:val="24"/>
          </w:rPr>
          <w:t>III</w:t>
        </w:r>
      </w:smartTag>
      <w:r w:rsidRPr="002734D2">
        <w:rPr>
          <w:rFonts w:ascii="Times New Roman" w:hAnsi="Times New Roman" w:cs="Times New Roman"/>
          <w:sz w:val="24"/>
          <w:szCs w:val="24"/>
        </w:rPr>
        <w:t>) cell death (Bras</w:t>
      </w:r>
      <w:r w:rsidRPr="002734D2">
        <w:rPr>
          <w:rFonts w:ascii="Times New Roman" w:hAnsi="Times New Roman" w:cs="Times New Roman"/>
          <w:i/>
          <w:iCs/>
          <w:sz w:val="24"/>
          <w:szCs w:val="24"/>
        </w:rPr>
        <w:t xml:space="preserve"> et al.</w:t>
      </w:r>
      <w:r w:rsidRPr="002734D2">
        <w:rPr>
          <w:rFonts w:ascii="Times New Roman" w:hAnsi="Times New Roman" w:cs="Times New Roman"/>
          <w:sz w:val="24"/>
          <w:szCs w:val="24"/>
        </w:rPr>
        <w:t xml:space="preserve">, 2005, Lockshin and Zakeri, 2004). Apoptosis in animal cells is phenotypically characterised by cell shrinkage, nuclear condensation and fragmentation, plasma membrane blebbing and finally, collapse of the cell into small fragments – apoptotic bodies, which are subsequently removed by phagocytosis </w:t>
      </w:r>
      <w:r w:rsidRPr="002734D2">
        <w:rPr>
          <w:rFonts w:ascii="Times New Roman" w:hAnsi="Times New Roman" w:cs="Times New Roman"/>
          <w:noProof/>
          <w:sz w:val="24"/>
          <w:szCs w:val="24"/>
        </w:rPr>
        <w:t>(Lennon</w:t>
      </w:r>
      <w:r w:rsidRPr="002734D2">
        <w:rPr>
          <w:rFonts w:ascii="Times New Roman" w:hAnsi="Times New Roman" w:cs="Times New Roman"/>
          <w:i/>
          <w:iCs/>
          <w:noProof/>
          <w:sz w:val="24"/>
          <w:szCs w:val="24"/>
        </w:rPr>
        <w:t xml:space="preserve"> et al.</w:t>
      </w:r>
      <w:r w:rsidRPr="002734D2">
        <w:rPr>
          <w:rFonts w:ascii="Times New Roman" w:hAnsi="Times New Roman" w:cs="Times New Roman"/>
          <w:noProof/>
          <w:sz w:val="24"/>
          <w:szCs w:val="24"/>
        </w:rPr>
        <w:t>, 1991)</w:t>
      </w:r>
      <w:r w:rsidRPr="002734D2">
        <w:rPr>
          <w:rFonts w:ascii="Times New Roman" w:hAnsi="Times New Roman" w:cs="Times New Roman"/>
          <w:sz w:val="24"/>
          <w:szCs w:val="24"/>
        </w:rPr>
        <w:t>. Molecular mechanisms of mammalian apoptosis are well understood: cellular dismantling is executed by caspase (</w:t>
      </w:r>
      <w:r w:rsidRPr="002734D2">
        <w:rPr>
          <w:rFonts w:ascii="Times New Roman" w:hAnsi="Times New Roman" w:cs="Times New Roman"/>
          <w:i/>
          <w:iCs/>
          <w:sz w:val="24"/>
          <w:szCs w:val="24"/>
        </w:rPr>
        <w:t>C</w:t>
      </w:r>
      <w:r w:rsidRPr="002734D2">
        <w:rPr>
          <w:rFonts w:ascii="Times New Roman" w:hAnsi="Times New Roman" w:cs="Times New Roman"/>
          <w:sz w:val="24"/>
          <w:szCs w:val="24"/>
        </w:rPr>
        <w:t xml:space="preserve">ysteine dependent </w:t>
      </w:r>
      <w:r w:rsidRPr="002734D2">
        <w:rPr>
          <w:rFonts w:ascii="Times New Roman" w:hAnsi="Times New Roman" w:cs="Times New Roman"/>
          <w:i/>
          <w:iCs/>
          <w:sz w:val="24"/>
          <w:szCs w:val="24"/>
        </w:rPr>
        <w:t>ASP</w:t>
      </w:r>
      <w:r w:rsidRPr="002734D2">
        <w:rPr>
          <w:rFonts w:ascii="Times New Roman" w:hAnsi="Times New Roman" w:cs="Times New Roman"/>
          <w:sz w:val="24"/>
          <w:szCs w:val="24"/>
        </w:rPr>
        <w:t>artate-directed prote</w:t>
      </w:r>
      <w:r w:rsidRPr="002734D2">
        <w:rPr>
          <w:rFonts w:ascii="Times New Roman" w:hAnsi="Times New Roman" w:cs="Times New Roman"/>
          <w:i/>
          <w:iCs/>
          <w:sz w:val="24"/>
          <w:szCs w:val="24"/>
        </w:rPr>
        <w:t>ASES</w:t>
      </w:r>
      <w:r w:rsidRPr="002734D2">
        <w:rPr>
          <w:rFonts w:ascii="Times New Roman" w:hAnsi="Times New Roman" w:cs="Times New Roman"/>
          <w:sz w:val="24"/>
          <w:szCs w:val="24"/>
        </w:rPr>
        <w:t xml:space="preserve">) activation </w:t>
      </w:r>
      <w:r w:rsidRPr="002734D2">
        <w:rPr>
          <w:rFonts w:ascii="Times New Roman" w:hAnsi="Times New Roman" w:cs="Times New Roman"/>
          <w:noProof/>
          <w:sz w:val="24"/>
          <w:szCs w:val="24"/>
        </w:rPr>
        <w:t>(Adrain and Martin, 2001)</w:t>
      </w:r>
      <w:r w:rsidRPr="002734D2">
        <w:rPr>
          <w:rFonts w:ascii="Times New Roman" w:hAnsi="Times New Roman" w:cs="Times New Roman"/>
          <w:sz w:val="24"/>
          <w:szCs w:val="24"/>
        </w:rPr>
        <w:t xml:space="preserve">. Caspase activation may be initiated either via an extrinsic pathway which is death receptor mediated, or an intrinsic pathway, which is controlled by the release of pro-apoptotic proteins from mitochondria. In plants, most elements of the PCD machinery remain unknown and moreover, truly apoptotic morphology (formation of apoptotic bodies) is not universally observed </w:t>
      </w:r>
      <w:r w:rsidRPr="002734D2">
        <w:rPr>
          <w:rFonts w:ascii="Times New Roman" w:hAnsi="Times New Roman" w:cs="Times New Roman"/>
          <w:noProof/>
          <w:sz w:val="24"/>
          <w:szCs w:val="24"/>
        </w:rPr>
        <w:t>(McCabe</w:t>
      </w:r>
      <w:r w:rsidRPr="002734D2">
        <w:rPr>
          <w:rFonts w:ascii="Times New Roman" w:hAnsi="Times New Roman" w:cs="Times New Roman"/>
          <w:i/>
          <w:iCs/>
          <w:noProof/>
          <w:sz w:val="24"/>
          <w:szCs w:val="24"/>
        </w:rPr>
        <w:t xml:space="preserve"> et al.</w:t>
      </w:r>
      <w:r w:rsidRPr="002734D2">
        <w:rPr>
          <w:rFonts w:ascii="Times New Roman" w:hAnsi="Times New Roman" w:cs="Times New Roman"/>
          <w:noProof/>
          <w:sz w:val="24"/>
          <w:szCs w:val="24"/>
        </w:rPr>
        <w:t>, 1997a)</w:t>
      </w:r>
      <w:r w:rsidRPr="002734D2">
        <w:rPr>
          <w:rFonts w:ascii="Times New Roman" w:hAnsi="Times New Roman" w:cs="Times New Roman"/>
          <w:sz w:val="24"/>
          <w:szCs w:val="24"/>
        </w:rPr>
        <w:t xml:space="preserve">. This is not surprising due to presence of the plant’s cell wall, preventing final clearance by phagocytosis by adjacent cells. Consequently, in order to acknowledge similarities between plant PCD and apoptosis while at the same time recognising differences between them, the term ‘apoptotic-like PCD’ (AL-PCD) was introduced </w:t>
      </w:r>
      <w:r w:rsidRPr="002734D2">
        <w:rPr>
          <w:rFonts w:ascii="Times New Roman" w:hAnsi="Times New Roman" w:cs="Times New Roman"/>
          <w:noProof/>
          <w:sz w:val="24"/>
          <w:szCs w:val="24"/>
        </w:rPr>
        <w:t>(Danon</w:t>
      </w:r>
      <w:r w:rsidRPr="002734D2">
        <w:rPr>
          <w:rFonts w:ascii="Times New Roman" w:hAnsi="Times New Roman" w:cs="Times New Roman"/>
          <w:i/>
          <w:iCs/>
          <w:noProof/>
          <w:sz w:val="24"/>
          <w:szCs w:val="24"/>
        </w:rPr>
        <w:t xml:space="preserve"> et al.</w:t>
      </w:r>
      <w:r w:rsidRPr="002734D2">
        <w:rPr>
          <w:rFonts w:ascii="Times New Roman" w:hAnsi="Times New Roman" w:cs="Times New Roman"/>
          <w:noProof/>
          <w:sz w:val="24"/>
          <w:szCs w:val="24"/>
        </w:rPr>
        <w:t>, 2000)</w:t>
      </w:r>
      <w:r w:rsidRPr="002734D2">
        <w:rPr>
          <w:rFonts w:ascii="Times New Roman" w:hAnsi="Times New Roman" w:cs="Times New Roman"/>
          <w:sz w:val="24"/>
          <w:szCs w:val="24"/>
        </w:rPr>
        <w:t>. AL</w:t>
      </w:r>
      <w:r w:rsidRPr="002734D2">
        <w:rPr>
          <w:rFonts w:ascii="Times New Roman" w:hAnsi="Times New Roman" w:cs="Times New Roman"/>
          <w:sz w:val="24"/>
          <w:szCs w:val="24"/>
        </w:rPr>
        <w:noBreakHyphen/>
        <w:t xml:space="preserve">PCD describes a type of plant cell death pathway which is characterised by </w:t>
      </w:r>
      <w:smartTag w:uri="urn:schemas-microsoft-com:office:smarttags" w:element="stockticker">
        <w:r w:rsidRPr="002734D2">
          <w:rPr>
            <w:rFonts w:ascii="Times New Roman" w:hAnsi="Times New Roman" w:cs="Times New Roman"/>
            <w:sz w:val="24"/>
            <w:szCs w:val="24"/>
          </w:rPr>
          <w:t>DNA</w:t>
        </w:r>
      </w:smartTag>
      <w:r w:rsidRPr="002734D2">
        <w:rPr>
          <w:rFonts w:ascii="Times New Roman" w:hAnsi="Times New Roman" w:cs="Times New Roman"/>
          <w:sz w:val="24"/>
          <w:szCs w:val="24"/>
        </w:rPr>
        <w:t xml:space="preserve"> degradation and condensation of the protoplast away from the cell wall</w:t>
      </w:r>
      <w:r>
        <w:rPr>
          <w:rFonts w:ascii="Times New Roman" w:hAnsi="Times New Roman" w:cs="Times New Roman"/>
          <w:sz w:val="24"/>
          <w:szCs w:val="24"/>
        </w:rPr>
        <w:t xml:space="preserve"> (Fig. 1)</w:t>
      </w:r>
      <w:r w:rsidRPr="002734D2">
        <w:rPr>
          <w:rFonts w:ascii="Times New Roman" w:hAnsi="Times New Roman" w:cs="Times New Roman"/>
          <w:sz w:val="24"/>
          <w:szCs w:val="24"/>
        </w:rPr>
        <w:t xml:space="preserve">, similar to the apoptotic morphology seen in animal cells </w:t>
      </w:r>
      <w:r>
        <w:rPr>
          <w:rFonts w:ascii="Times New Roman" w:hAnsi="Times New Roman" w:cs="Times New Roman"/>
          <w:sz w:val="24"/>
          <w:szCs w:val="24"/>
        </w:rPr>
        <w:t>(McCabe and Leaver, 2000, McCabe</w:t>
      </w:r>
      <w:r w:rsidRPr="00E54DA4">
        <w:rPr>
          <w:rFonts w:ascii="Times New Roman" w:hAnsi="Times New Roman" w:cs="Times New Roman"/>
          <w:i/>
          <w:iCs/>
          <w:sz w:val="24"/>
          <w:szCs w:val="24"/>
        </w:rPr>
        <w:t xml:space="preserve"> et al.</w:t>
      </w:r>
      <w:r>
        <w:rPr>
          <w:rFonts w:ascii="Times New Roman" w:hAnsi="Times New Roman" w:cs="Times New Roman"/>
          <w:sz w:val="24"/>
          <w:szCs w:val="24"/>
        </w:rPr>
        <w:t>, 1997a, Reape and McCabe, 2010, Reape and McCabe, 2008)</w:t>
      </w:r>
      <w:r w:rsidRPr="002734D2">
        <w:rPr>
          <w:rFonts w:ascii="Times New Roman" w:hAnsi="Times New Roman" w:cs="Times New Roman"/>
          <w:sz w:val="24"/>
          <w:szCs w:val="24"/>
        </w:rPr>
        <w:t>. Autophagic cell death on the other hand occurs without chromatin condensation and is accompanied by massive autophagic vacuolisation of the cytoplasm (Kroemer</w:t>
      </w:r>
      <w:r w:rsidRPr="002734D2">
        <w:rPr>
          <w:rFonts w:ascii="Times New Roman" w:hAnsi="Times New Roman" w:cs="Times New Roman"/>
          <w:i/>
          <w:iCs/>
          <w:sz w:val="24"/>
          <w:szCs w:val="24"/>
        </w:rPr>
        <w:t xml:space="preserve"> et al.</w:t>
      </w:r>
      <w:r w:rsidRPr="002734D2">
        <w:rPr>
          <w:rFonts w:ascii="Times New Roman" w:hAnsi="Times New Roman" w:cs="Times New Roman"/>
          <w:sz w:val="24"/>
          <w:szCs w:val="24"/>
        </w:rPr>
        <w:t>, 2008) while necrosis is often described as unorganised cell destruction pro</w:t>
      </w:r>
      <w:r>
        <w:rPr>
          <w:rFonts w:ascii="Times New Roman" w:hAnsi="Times New Roman" w:cs="Times New Roman"/>
          <w:sz w:val="24"/>
          <w:szCs w:val="24"/>
        </w:rPr>
        <w:t xml:space="preserve">cess which occurs following </w:t>
      </w:r>
      <w:r w:rsidRPr="002734D2">
        <w:rPr>
          <w:rFonts w:ascii="Times New Roman" w:hAnsi="Times New Roman" w:cs="Times New Roman"/>
          <w:sz w:val="24"/>
          <w:szCs w:val="24"/>
        </w:rPr>
        <w:t xml:space="preserve">overwhelming stress. During necrosis the cell loses its ability to osmoregulate which results in water and ion influx and swelling of </w:t>
      </w:r>
      <w:r>
        <w:rPr>
          <w:rFonts w:ascii="Times New Roman" w:hAnsi="Times New Roman" w:cs="Times New Roman"/>
          <w:sz w:val="24"/>
          <w:szCs w:val="24"/>
        </w:rPr>
        <w:t xml:space="preserve">the </w:t>
      </w:r>
      <w:r w:rsidRPr="002734D2">
        <w:rPr>
          <w:rFonts w:ascii="Times New Roman" w:hAnsi="Times New Roman" w:cs="Times New Roman"/>
          <w:sz w:val="24"/>
          <w:szCs w:val="24"/>
        </w:rPr>
        <w:t>cell membrane and organelles (Lennon</w:t>
      </w:r>
      <w:r w:rsidRPr="002734D2">
        <w:rPr>
          <w:rFonts w:ascii="Times New Roman" w:hAnsi="Times New Roman" w:cs="Times New Roman"/>
          <w:i/>
          <w:iCs/>
          <w:sz w:val="24"/>
          <w:szCs w:val="24"/>
        </w:rPr>
        <w:t xml:space="preserve"> et al.</w:t>
      </w:r>
      <w:r w:rsidRPr="002734D2">
        <w:rPr>
          <w:rFonts w:ascii="Times New Roman" w:hAnsi="Times New Roman" w:cs="Times New Roman"/>
          <w:sz w:val="24"/>
          <w:szCs w:val="24"/>
        </w:rPr>
        <w:t>, 1991, Lockshin and Zakeri, 2004). Until recently, necrosis has been considered a passive and accidental cellular event, but recent data suggests that in certain cases this process can be programmed and controlled to a certain extent (Festjens</w:t>
      </w:r>
      <w:r w:rsidRPr="002734D2">
        <w:rPr>
          <w:rFonts w:ascii="Times New Roman" w:hAnsi="Times New Roman" w:cs="Times New Roman"/>
          <w:i/>
          <w:iCs/>
          <w:sz w:val="24"/>
          <w:szCs w:val="24"/>
        </w:rPr>
        <w:t xml:space="preserve"> et al.</w:t>
      </w:r>
      <w:r w:rsidRPr="002734D2">
        <w:rPr>
          <w:rFonts w:ascii="Times New Roman" w:hAnsi="Times New Roman" w:cs="Times New Roman"/>
          <w:sz w:val="24"/>
          <w:szCs w:val="24"/>
        </w:rPr>
        <w:t xml:space="preserve">, 2006, Golstein and Kroemer, 2007). Similarities between the cell death programmes seen in animal and plant </w:t>
      </w:r>
      <w:r>
        <w:rPr>
          <w:rFonts w:ascii="Times New Roman" w:hAnsi="Times New Roman" w:cs="Times New Roman"/>
          <w:sz w:val="24"/>
          <w:szCs w:val="24"/>
        </w:rPr>
        <w:t xml:space="preserve">cells </w:t>
      </w:r>
      <w:r w:rsidRPr="002734D2">
        <w:rPr>
          <w:rFonts w:ascii="Times New Roman" w:hAnsi="Times New Roman" w:cs="Times New Roman"/>
          <w:sz w:val="24"/>
          <w:szCs w:val="24"/>
        </w:rPr>
        <w:t xml:space="preserve">such as conservation of autophagic genes or apoptotic cell shrinkage, chromatin condensation, </w:t>
      </w:r>
      <w:smartTag w:uri="urn:schemas-microsoft-com:office:smarttags" w:element="stockticker">
        <w:r w:rsidRPr="002734D2">
          <w:rPr>
            <w:rFonts w:ascii="Times New Roman" w:hAnsi="Times New Roman" w:cs="Times New Roman"/>
            <w:sz w:val="24"/>
            <w:szCs w:val="24"/>
          </w:rPr>
          <w:t>DNA</w:t>
        </w:r>
      </w:smartTag>
      <w:r w:rsidRPr="002734D2">
        <w:rPr>
          <w:rFonts w:ascii="Times New Roman" w:hAnsi="Times New Roman" w:cs="Times New Roman"/>
          <w:sz w:val="24"/>
          <w:szCs w:val="24"/>
        </w:rPr>
        <w:t xml:space="preserve"> fragmentation and mitochondrial release of cytochrome </w:t>
      </w:r>
      <w:r w:rsidRPr="002734D2">
        <w:rPr>
          <w:rFonts w:ascii="Times New Roman" w:hAnsi="Times New Roman" w:cs="Times New Roman"/>
          <w:i/>
          <w:iCs/>
          <w:sz w:val="24"/>
          <w:szCs w:val="24"/>
        </w:rPr>
        <w:t>c</w:t>
      </w:r>
      <w:r w:rsidRPr="002734D2">
        <w:rPr>
          <w:rFonts w:ascii="Times New Roman" w:hAnsi="Times New Roman" w:cs="Times New Roman"/>
          <w:sz w:val="24"/>
          <w:szCs w:val="24"/>
        </w:rPr>
        <w:t xml:space="preserve"> (cyt </w:t>
      </w:r>
      <w:r w:rsidRPr="002734D2">
        <w:rPr>
          <w:rFonts w:ascii="Times New Roman" w:hAnsi="Times New Roman" w:cs="Times New Roman"/>
          <w:i/>
          <w:iCs/>
          <w:sz w:val="24"/>
          <w:szCs w:val="24"/>
        </w:rPr>
        <w:t>c</w:t>
      </w:r>
      <w:r w:rsidRPr="002734D2">
        <w:rPr>
          <w:rFonts w:ascii="Times New Roman" w:hAnsi="Times New Roman" w:cs="Times New Roman"/>
          <w:sz w:val="24"/>
          <w:szCs w:val="24"/>
        </w:rPr>
        <w:t xml:space="preserve">) suggest that at least some death mechanisms are conserved throughout the plant and animal kingdoms, having been derived from ancestral unicellular death programmes. </w:t>
      </w:r>
    </w:p>
    <w:p w:rsidR="004B4E5E" w:rsidRPr="00451B44" w:rsidRDefault="004B4E5E" w:rsidP="002B4B8D">
      <w:pPr>
        <w:pStyle w:val="ListParagraph"/>
        <w:autoSpaceDE w:val="0"/>
        <w:autoSpaceDN w:val="0"/>
        <w:adjustRightInd w:val="0"/>
        <w:spacing w:after="0" w:line="480" w:lineRule="auto"/>
        <w:ind w:left="357"/>
        <w:rPr>
          <w:rFonts w:ascii="Times New Roman" w:hAnsi="Times New Roman" w:cs="Times New Roman"/>
          <w:b/>
          <w:bCs/>
          <w:sz w:val="24"/>
          <w:szCs w:val="24"/>
        </w:rPr>
      </w:pPr>
    </w:p>
    <w:p w:rsidR="004B4E5E" w:rsidRDefault="004B4E5E" w:rsidP="002B4B8D">
      <w:pPr>
        <w:spacing w:line="480" w:lineRule="auto"/>
        <w:rPr>
          <w:rFonts w:ascii="Times New Roman" w:hAnsi="Times New Roman" w:cs="Times New Roman"/>
          <w:i/>
          <w:iCs/>
          <w:sz w:val="24"/>
          <w:szCs w:val="24"/>
        </w:rPr>
      </w:pPr>
      <w:r>
        <w:rPr>
          <w:rFonts w:ascii="Times New Roman" w:hAnsi="Times New Roman" w:cs="Times New Roman"/>
          <w:i/>
          <w:iCs/>
          <w:sz w:val="24"/>
          <w:szCs w:val="24"/>
        </w:rPr>
        <w:t>&lt;Fig. 1</w:t>
      </w:r>
      <w:r w:rsidRPr="00451B44">
        <w:rPr>
          <w:rFonts w:ascii="Times New Roman" w:hAnsi="Times New Roman" w:cs="Times New Roman"/>
          <w:i/>
          <w:iCs/>
          <w:sz w:val="24"/>
          <w:szCs w:val="24"/>
        </w:rPr>
        <w:t xml:space="preserve"> (A photo of AL-PCD) near here&gt; </w:t>
      </w:r>
    </w:p>
    <w:p w:rsidR="004B4E5E" w:rsidRPr="00451B44" w:rsidRDefault="004B4E5E" w:rsidP="002B4B8D">
      <w:pPr>
        <w:spacing w:line="480" w:lineRule="auto"/>
        <w:rPr>
          <w:rFonts w:ascii="Times New Roman" w:hAnsi="Times New Roman" w:cs="Times New Roman"/>
          <w:sz w:val="24"/>
          <w:szCs w:val="24"/>
        </w:rPr>
      </w:pPr>
    </w:p>
    <w:p w:rsidR="004B4E5E" w:rsidRPr="00451B44" w:rsidRDefault="004B4E5E" w:rsidP="00C005B5">
      <w:pPr>
        <w:pStyle w:val="ListParagraph"/>
        <w:numPr>
          <w:ilvl w:val="2"/>
          <w:numId w:val="21"/>
        </w:numPr>
        <w:spacing w:line="480" w:lineRule="auto"/>
        <w:ind w:left="1134" w:hanging="425"/>
        <w:rPr>
          <w:rFonts w:ascii="Times New Roman" w:hAnsi="Times New Roman" w:cs="Times New Roman"/>
          <w:b/>
          <w:bCs/>
          <w:sz w:val="24"/>
          <w:szCs w:val="24"/>
        </w:rPr>
      </w:pPr>
      <w:r>
        <w:rPr>
          <w:rFonts w:ascii="Times New Roman" w:hAnsi="Times New Roman" w:cs="Times New Roman"/>
          <w:b/>
          <w:bCs/>
          <w:sz w:val="24"/>
          <w:szCs w:val="24"/>
        </w:rPr>
        <w:t>Recognizing, and reporting,</w:t>
      </w:r>
      <w:r w:rsidRPr="00451B44">
        <w:rPr>
          <w:rFonts w:ascii="Times New Roman" w:hAnsi="Times New Roman" w:cs="Times New Roman"/>
          <w:b/>
          <w:bCs/>
          <w:sz w:val="24"/>
          <w:szCs w:val="24"/>
        </w:rPr>
        <w:t xml:space="preserve"> different </w:t>
      </w:r>
      <w:r>
        <w:rPr>
          <w:rFonts w:ascii="Times New Roman" w:hAnsi="Times New Roman" w:cs="Times New Roman"/>
          <w:b/>
          <w:bCs/>
          <w:sz w:val="24"/>
          <w:szCs w:val="24"/>
        </w:rPr>
        <w:t>modes of cell death</w:t>
      </w:r>
      <w:r w:rsidRPr="00451B44">
        <w:rPr>
          <w:rFonts w:ascii="Times New Roman" w:hAnsi="Times New Roman" w:cs="Times New Roman"/>
          <w:b/>
          <w:bCs/>
          <w:sz w:val="24"/>
          <w:szCs w:val="24"/>
        </w:rPr>
        <w:t xml:space="preserve"> in plants</w:t>
      </w:r>
    </w:p>
    <w:p w:rsidR="001F39CD" w:rsidRDefault="004B4E5E" w:rsidP="001F39CD">
      <w:pPr>
        <w:spacing w:line="480" w:lineRule="auto"/>
        <w:rPr>
          <w:rFonts w:ascii="Times New Roman" w:hAnsi="Times New Roman" w:cs="Times New Roman"/>
          <w:sz w:val="24"/>
          <w:szCs w:val="24"/>
        </w:rPr>
      </w:pPr>
      <w:r w:rsidRPr="00451B44">
        <w:rPr>
          <w:rFonts w:ascii="Times New Roman" w:hAnsi="Times New Roman" w:cs="Times New Roman"/>
          <w:sz w:val="24"/>
          <w:szCs w:val="24"/>
        </w:rPr>
        <w:t>PCD is a broad term describing multiple, possibly overlapping death pathways operating in eukaryotic cells. New types of organi</w:t>
      </w:r>
      <w:r>
        <w:rPr>
          <w:rFonts w:ascii="Times New Roman" w:hAnsi="Times New Roman" w:cs="Times New Roman"/>
          <w:sz w:val="24"/>
          <w:szCs w:val="24"/>
        </w:rPr>
        <w:t>s</w:t>
      </w:r>
      <w:r w:rsidRPr="00451B44">
        <w:rPr>
          <w:rFonts w:ascii="Times New Roman" w:hAnsi="Times New Roman" w:cs="Times New Roman"/>
          <w:sz w:val="24"/>
          <w:szCs w:val="24"/>
        </w:rPr>
        <w:t xml:space="preserve">ed cell death are being described and </w:t>
      </w:r>
      <w:r>
        <w:rPr>
          <w:rFonts w:ascii="Times New Roman" w:hAnsi="Times New Roman" w:cs="Times New Roman"/>
          <w:sz w:val="24"/>
          <w:szCs w:val="24"/>
        </w:rPr>
        <w:t xml:space="preserve">the </w:t>
      </w:r>
      <w:r w:rsidRPr="00451B44">
        <w:rPr>
          <w:rFonts w:ascii="Times New Roman" w:hAnsi="Times New Roman" w:cs="Times New Roman"/>
          <w:sz w:val="24"/>
          <w:szCs w:val="24"/>
        </w:rPr>
        <w:t xml:space="preserve">terminology referring to PCD </w:t>
      </w:r>
      <w:r>
        <w:rPr>
          <w:rFonts w:ascii="Times New Roman" w:hAnsi="Times New Roman" w:cs="Times New Roman"/>
          <w:sz w:val="24"/>
          <w:szCs w:val="24"/>
        </w:rPr>
        <w:t>is constantly expanding</w:t>
      </w:r>
      <w:r w:rsidRPr="00451B44">
        <w:rPr>
          <w:rFonts w:ascii="Times New Roman" w:hAnsi="Times New Roman" w:cs="Times New Roman"/>
          <w:sz w:val="24"/>
          <w:szCs w:val="24"/>
        </w:rPr>
        <w:t xml:space="preserve"> </w:t>
      </w:r>
      <w:r>
        <w:rPr>
          <w:rFonts w:ascii="Times New Roman" w:hAnsi="Times New Roman" w:cs="Times New Roman"/>
          <w:sz w:val="24"/>
          <w:szCs w:val="24"/>
        </w:rPr>
        <w:t>(Kroemer</w:t>
      </w:r>
      <w:r w:rsidRPr="00EA5B5D">
        <w:rPr>
          <w:rFonts w:ascii="Times New Roman" w:hAnsi="Times New Roman" w:cs="Times New Roman"/>
          <w:i/>
          <w:iCs/>
          <w:sz w:val="24"/>
          <w:szCs w:val="24"/>
        </w:rPr>
        <w:t xml:space="preserve"> et al.</w:t>
      </w:r>
      <w:r>
        <w:rPr>
          <w:rFonts w:ascii="Times New Roman" w:hAnsi="Times New Roman" w:cs="Times New Roman"/>
          <w:sz w:val="24"/>
          <w:szCs w:val="24"/>
        </w:rPr>
        <w:t>, 2008)</w:t>
      </w:r>
      <w:r w:rsidRPr="00451B44">
        <w:rPr>
          <w:rFonts w:ascii="Times New Roman" w:hAnsi="Times New Roman" w:cs="Times New Roman"/>
          <w:sz w:val="24"/>
          <w:szCs w:val="24"/>
        </w:rPr>
        <w:t xml:space="preserve">. It seems </w:t>
      </w:r>
      <w:r>
        <w:rPr>
          <w:rFonts w:ascii="Times New Roman" w:hAnsi="Times New Roman" w:cs="Times New Roman"/>
          <w:sz w:val="24"/>
          <w:szCs w:val="24"/>
        </w:rPr>
        <w:t xml:space="preserve">unlikely </w:t>
      </w:r>
      <w:r w:rsidRPr="00451B44">
        <w:rPr>
          <w:rFonts w:ascii="Times New Roman" w:hAnsi="Times New Roman" w:cs="Times New Roman"/>
          <w:sz w:val="24"/>
          <w:szCs w:val="24"/>
        </w:rPr>
        <w:t>that a definite and unconditional distinction between different forms of cell death</w:t>
      </w:r>
      <w:r>
        <w:rPr>
          <w:rFonts w:ascii="Times New Roman" w:hAnsi="Times New Roman" w:cs="Times New Roman"/>
          <w:sz w:val="24"/>
          <w:szCs w:val="24"/>
        </w:rPr>
        <w:t>,</w:t>
      </w:r>
      <w:r w:rsidRPr="00451B44">
        <w:rPr>
          <w:rFonts w:ascii="Times New Roman" w:hAnsi="Times New Roman" w:cs="Times New Roman"/>
          <w:sz w:val="24"/>
          <w:szCs w:val="24"/>
        </w:rPr>
        <w:t xml:space="preserve"> based only morphological criteria</w:t>
      </w:r>
      <w:r>
        <w:rPr>
          <w:rFonts w:ascii="Times New Roman" w:hAnsi="Times New Roman" w:cs="Times New Roman"/>
          <w:sz w:val="24"/>
          <w:szCs w:val="24"/>
        </w:rPr>
        <w:t>,</w:t>
      </w:r>
      <w:r w:rsidRPr="00451B44">
        <w:rPr>
          <w:rFonts w:ascii="Times New Roman" w:hAnsi="Times New Roman" w:cs="Times New Roman"/>
          <w:sz w:val="24"/>
          <w:szCs w:val="24"/>
        </w:rPr>
        <w:t xml:space="preserve"> can be establishe</w:t>
      </w:r>
      <w:r>
        <w:rPr>
          <w:rFonts w:ascii="Times New Roman" w:hAnsi="Times New Roman" w:cs="Times New Roman"/>
          <w:sz w:val="24"/>
          <w:szCs w:val="24"/>
        </w:rPr>
        <w:t>d,</w:t>
      </w:r>
      <w:r w:rsidRPr="00451B44">
        <w:rPr>
          <w:rFonts w:ascii="Times New Roman" w:hAnsi="Times New Roman" w:cs="Times New Roman"/>
          <w:sz w:val="24"/>
          <w:szCs w:val="24"/>
        </w:rPr>
        <w:t xml:space="preserve"> as </w:t>
      </w:r>
      <w:r>
        <w:rPr>
          <w:rFonts w:ascii="Times New Roman" w:hAnsi="Times New Roman" w:cs="Times New Roman"/>
          <w:sz w:val="24"/>
          <w:szCs w:val="24"/>
        </w:rPr>
        <w:t xml:space="preserve">dying cells often display </w:t>
      </w:r>
      <w:r w:rsidRPr="00451B44">
        <w:rPr>
          <w:rFonts w:ascii="Times New Roman" w:hAnsi="Times New Roman" w:cs="Times New Roman"/>
          <w:sz w:val="24"/>
          <w:szCs w:val="24"/>
        </w:rPr>
        <w:t>mixed cell de</w:t>
      </w:r>
      <w:r>
        <w:rPr>
          <w:rFonts w:ascii="Times New Roman" w:hAnsi="Times New Roman" w:cs="Times New Roman"/>
          <w:sz w:val="24"/>
          <w:szCs w:val="24"/>
        </w:rPr>
        <w:t>ath morphologies</w:t>
      </w:r>
      <w:r w:rsidRPr="00451B44">
        <w:rPr>
          <w:rFonts w:ascii="Times New Roman" w:hAnsi="Times New Roman" w:cs="Times New Roman"/>
          <w:sz w:val="24"/>
          <w:szCs w:val="24"/>
        </w:rPr>
        <w:t xml:space="preserve"> </w:t>
      </w:r>
      <w:r>
        <w:rPr>
          <w:rFonts w:ascii="Times New Roman" w:hAnsi="Times New Roman" w:cs="Times New Roman"/>
          <w:sz w:val="24"/>
          <w:szCs w:val="24"/>
        </w:rPr>
        <w:t>(Martin and Baehrecke, 2004, Nicotera and Melino, 2004)</w:t>
      </w:r>
      <w:r w:rsidRPr="00451B44">
        <w:rPr>
          <w:rFonts w:ascii="Times New Roman" w:hAnsi="Times New Roman" w:cs="Times New Roman"/>
          <w:sz w:val="24"/>
          <w:szCs w:val="24"/>
        </w:rPr>
        <w:t xml:space="preserve">. The contribution to a particular cell death pathway by specific cellular death machinery is still being defined. It is </w:t>
      </w:r>
      <w:r>
        <w:rPr>
          <w:rFonts w:ascii="Times New Roman" w:hAnsi="Times New Roman" w:cs="Times New Roman"/>
          <w:sz w:val="24"/>
          <w:szCs w:val="24"/>
        </w:rPr>
        <w:t xml:space="preserve">therefore </w:t>
      </w:r>
      <w:r w:rsidRPr="00451B44">
        <w:rPr>
          <w:rFonts w:ascii="Times New Roman" w:hAnsi="Times New Roman" w:cs="Times New Roman"/>
          <w:sz w:val="24"/>
          <w:szCs w:val="24"/>
        </w:rPr>
        <w:t>important to introduce a non-rigid, but uniform nomenclature and if possible give details (e.g. in terms of time</w:t>
      </w:r>
      <w:r w:rsidR="001F39CD">
        <w:rPr>
          <w:rFonts w:ascii="Times New Roman" w:hAnsi="Times New Roman" w:cs="Times New Roman"/>
          <w:sz w:val="24"/>
          <w:szCs w:val="24"/>
        </w:rPr>
        <w:t xml:space="preserve">, </w:t>
      </w:r>
      <w:r w:rsidRPr="00451B44">
        <w:rPr>
          <w:rFonts w:ascii="Times New Roman" w:hAnsi="Times New Roman" w:cs="Times New Roman"/>
          <w:sz w:val="24"/>
          <w:szCs w:val="24"/>
        </w:rPr>
        <w:t>morphology</w:t>
      </w:r>
      <w:r w:rsidR="001F39CD">
        <w:rPr>
          <w:rFonts w:ascii="Times New Roman" w:hAnsi="Times New Roman" w:cs="Times New Roman"/>
          <w:sz w:val="24"/>
          <w:szCs w:val="24"/>
        </w:rPr>
        <w:t>,</w:t>
      </w:r>
      <w:r w:rsidRPr="00451B44">
        <w:rPr>
          <w:rFonts w:ascii="Times New Roman" w:hAnsi="Times New Roman" w:cs="Times New Roman"/>
          <w:sz w:val="24"/>
          <w:szCs w:val="24"/>
        </w:rPr>
        <w:t xml:space="preserve"> and presence of different markers) defining the specific type of cell death under investigation, rather than simply referring to the process as PCD </w:t>
      </w:r>
      <w:r>
        <w:rPr>
          <w:rFonts w:ascii="Times New Roman" w:hAnsi="Times New Roman" w:cs="Times New Roman"/>
          <w:sz w:val="24"/>
          <w:szCs w:val="24"/>
        </w:rPr>
        <w:t>(Reape and McCabe, 2008). In the case of plant cells</w:t>
      </w:r>
      <w:r w:rsidRPr="00451B44">
        <w:rPr>
          <w:rFonts w:ascii="Times New Roman" w:hAnsi="Times New Roman" w:cs="Times New Roman"/>
          <w:sz w:val="24"/>
          <w:szCs w:val="24"/>
        </w:rPr>
        <w:t>, clear descriptions of the processes examined is particul</w:t>
      </w:r>
      <w:r>
        <w:rPr>
          <w:rFonts w:ascii="Times New Roman" w:hAnsi="Times New Roman" w:cs="Times New Roman"/>
          <w:sz w:val="24"/>
          <w:szCs w:val="24"/>
        </w:rPr>
        <w:t xml:space="preserve">arly important, especially as </w:t>
      </w:r>
      <w:r w:rsidRPr="00451B44">
        <w:rPr>
          <w:rFonts w:ascii="Times New Roman" w:hAnsi="Times New Roman" w:cs="Times New Roman"/>
          <w:sz w:val="24"/>
          <w:szCs w:val="24"/>
        </w:rPr>
        <w:t xml:space="preserve">the mechanisms of </w:t>
      </w:r>
      <w:r>
        <w:rPr>
          <w:rFonts w:ascii="Times New Roman" w:hAnsi="Times New Roman" w:cs="Times New Roman"/>
          <w:sz w:val="24"/>
          <w:szCs w:val="24"/>
        </w:rPr>
        <w:t>plant PCD are far less understood</w:t>
      </w:r>
      <w:r w:rsidRPr="00451B44">
        <w:rPr>
          <w:rFonts w:ascii="Times New Roman" w:hAnsi="Times New Roman" w:cs="Times New Roman"/>
          <w:sz w:val="24"/>
          <w:szCs w:val="24"/>
        </w:rPr>
        <w:t xml:space="preserve"> compared to the animal kingdom. Nomenclature and definitions created and used traditionally for description of cell death in an</w:t>
      </w:r>
      <w:r>
        <w:rPr>
          <w:rFonts w:ascii="Times New Roman" w:hAnsi="Times New Roman" w:cs="Times New Roman"/>
          <w:sz w:val="24"/>
          <w:szCs w:val="24"/>
        </w:rPr>
        <w:t xml:space="preserve">imal cells may not always be </w:t>
      </w:r>
      <w:r w:rsidRPr="00451B44">
        <w:rPr>
          <w:rFonts w:ascii="Times New Roman" w:hAnsi="Times New Roman" w:cs="Times New Roman"/>
          <w:sz w:val="24"/>
          <w:szCs w:val="24"/>
        </w:rPr>
        <w:t>adequ</w:t>
      </w:r>
      <w:r>
        <w:rPr>
          <w:rFonts w:ascii="Times New Roman" w:hAnsi="Times New Roman" w:cs="Times New Roman"/>
          <w:sz w:val="24"/>
          <w:szCs w:val="24"/>
        </w:rPr>
        <w:t>ate for plant-focused research</w:t>
      </w:r>
      <w:r w:rsidRPr="00451B44">
        <w:rPr>
          <w:rFonts w:ascii="Times New Roman" w:hAnsi="Times New Roman" w:cs="Times New Roman"/>
          <w:sz w:val="24"/>
          <w:szCs w:val="24"/>
        </w:rPr>
        <w:t xml:space="preserve"> and their misuse may result in conf</w:t>
      </w:r>
      <w:r>
        <w:rPr>
          <w:rFonts w:ascii="Times New Roman" w:hAnsi="Times New Roman" w:cs="Times New Roman"/>
          <w:sz w:val="24"/>
          <w:szCs w:val="24"/>
        </w:rPr>
        <w:t>usion and incorrect interpretation of data</w:t>
      </w:r>
      <w:r w:rsidRPr="00451B44">
        <w:rPr>
          <w:rFonts w:ascii="Times New Roman" w:hAnsi="Times New Roman" w:cs="Times New Roman"/>
          <w:sz w:val="24"/>
          <w:szCs w:val="24"/>
        </w:rPr>
        <w:t xml:space="preserve">. </w:t>
      </w:r>
      <w:r>
        <w:rPr>
          <w:rFonts w:ascii="Times New Roman" w:hAnsi="Times New Roman" w:cs="Times New Roman"/>
          <w:sz w:val="24"/>
          <w:szCs w:val="24"/>
        </w:rPr>
        <w:t xml:space="preserve">Therefore it is advisable that </w:t>
      </w:r>
      <w:r w:rsidRPr="00451B44">
        <w:rPr>
          <w:rFonts w:ascii="Times New Roman" w:hAnsi="Times New Roman" w:cs="Times New Roman"/>
          <w:sz w:val="24"/>
          <w:szCs w:val="24"/>
        </w:rPr>
        <w:t xml:space="preserve">experimental data is carefully analysed with special focus put on the methodology and experimental design used by the researchers. For example, the presence of hallmark features of AL-PCD, such as </w:t>
      </w:r>
      <w:r w:rsidRPr="003E491D">
        <w:rPr>
          <w:rFonts w:ascii="Times New Roman" w:hAnsi="Times New Roman" w:cs="Times New Roman"/>
          <w:sz w:val="24"/>
          <w:szCs w:val="24"/>
        </w:rPr>
        <w:t>cyt</w:t>
      </w:r>
      <w:r w:rsidRPr="00F744F3">
        <w:rPr>
          <w:rFonts w:ascii="Times New Roman" w:hAnsi="Times New Roman" w:cs="Times New Roman"/>
          <w:i/>
          <w:iCs/>
          <w:sz w:val="24"/>
          <w:szCs w:val="24"/>
        </w:rPr>
        <w:t xml:space="preserve"> c</w:t>
      </w:r>
      <w:r w:rsidRPr="00451B44">
        <w:rPr>
          <w:rFonts w:ascii="Times New Roman" w:hAnsi="Times New Roman" w:cs="Times New Roman"/>
          <w:sz w:val="24"/>
          <w:szCs w:val="24"/>
        </w:rPr>
        <w:t xml:space="preserve"> release or </w:t>
      </w:r>
      <w:smartTag w:uri="urn:schemas-microsoft-com:office:smarttags" w:element="stockticker">
        <w:r w:rsidRPr="00451B44">
          <w:rPr>
            <w:rFonts w:ascii="Times New Roman" w:hAnsi="Times New Roman" w:cs="Times New Roman"/>
            <w:sz w:val="24"/>
            <w:szCs w:val="24"/>
          </w:rPr>
          <w:t>DNA</w:t>
        </w:r>
      </w:smartTag>
      <w:r w:rsidRPr="00451B44">
        <w:rPr>
          <w:rFonts w:ascii="Times New Roman" w:hAnsi="Times New Roman" w:cs="Times New Roman"/>
          <w:sz w:val="24"/>
          <w:szCs w:val="24"/>
        </w:rPr>
        <w:t xml:space="preserve"> laddering should be monitored throughout the course of the cell death process rather than at one particular time point. </w:t>
      </w:r>
      <w:r>
        <w:rPr>
          <w:rFonts w:ascii="Times New Roman" w:hAnsi="Times New Roman" w:cs="Times New Roman"/>
          <w:sz w:val="24"/>
          <w:szCs w:val="24"/>
        </w:rPr>
        <w:t xml:space="preserve">Furthermore, </w:t>
      </w:r>
      <w:r w:rsidRPr="00451B44">
        <w:rPr>
          <w:rFonts w:ascii="Times New Roman" w:hAnsi="Times New Roman" w:cs="Times New Roman"/>
          <w:sz w:val="24"/>
          <w:szCs w:val="24"/>
        </w:rPr>
        <w:t>if cell death is induced by application</w:t>
      </w:r>
      <w:r>
        <w:rPr>
          <w:rFonts w:ascii="Times New Roman" w:hAnsi="Times New Roman" w:cs="Times New Roman"/>
          <w:sz w:val="24"/>
          <w:szCs w:val="24"/>
        </w:rPr>
        <w:t xml:space="preserve"> of external stimuli</w:t>
      </w:r>
      <w:r w:rsidRPr="00451B44">
        <w:rPr>
          <w:rFonts w:ascii="Times New Roman" w:hAnsi="Times New Roman" w:cs="Times New Roman"/>
          <w:sz w:val="24"/>
          <w:szCs w:val="24"/>
        </w:rPr>
        <w:t xml:space="preserve">, the magnitude of the stress applied has to be carefully selected to ensure that it is sufficient to induce PCD, but not </w:t>
      </w:r>
      <w:r>
        <w:rPr>
          <w:rFonts w:ascii="Times New Roman" w:hAnsi="Times New Roman" w:cs="Times New Roman"/>
          <w:sz w:val="24"/>
          <w:szCs w:val="24"/>
        </w:rPr>
        <w:t>so high that it is overwhelming and results</w:t>
      </w:r>
      <w:r w:rsidRPr="00451B44">
        <w:rPr>
          <w:rFonts w:ascii="Times New Roman" w:hAnsi="Times New Roman" w:cs="Times New Roman"/>
          <w:sz w:val="24"/>
          <w:szCs w:val="24"/>
        </w:rPr>
        <w:t xml:space="preserve"> in necrosis</w:t>
      </w:r>
      <w:r w:rsidRPr="008016B2">
        <w:rPr>
          <w:rFonts w:ascii="Times New Roman" w:hAnsi="Times New Roman" w:cs="Times New Roman"/>
          <w:sz w:val="24"/>
          <w:szCs w:val="24"/>
        </w:rPr>
        <w:t xml:space="preserve"> </w:t>
      </w:r>
      <w:r>
        <w:rPr>
          <w:rFonts w:ascii="Times New Roman" w:hAnsi="Times New Roman" w:cs="Times New Roman"/>
          <w:sz w:val="24"/>
          <w:szCs w:val="24"/>
        </w:rPr>
        <w:t>(</w:t>
      </w:r>
      <w:r w:rsidRPr="00451B44">
        <w:rPr>
          <w:rFonts w:ascii="Times New Roman" w:hAnsi="Times New Roman" w:cs="Times New Roman"/>
          <w:sz w:val="24"/>
          <w:szCs w:val="24"/>
        </w:rPr>
        <w:t xml:space="preserve">McCabe </w:t>
      </w:r>
      <w:r w:rsidRPr="00451B44">
        <w:rPr>
          <w:rFonts w:ascii="Times New Roman" w:hAnsi="Times New Roman" w:cs="Times New Roman"/>
          <w:i/>
          <w:iCs/>
          <w:sz w:val="24"/>
          <w:szCs w:val="24"/>
        </w:rPr>
        <w:t>et al.</w:t>
      </w:r>
      <w:r>
        <w:rPr>
          <w:rFonts w:ascii="Times New Roman" w:hAnsi="Times New Roman" w:cs="Times New Roman"/>
          <w:i/>
          <w:iCs/>
          <w:sz w:val="24"/>
          <w:szCs w:val="24"/>
        </w:rPr>
        <w:t>,</w:t>
      </w:r>
      <w:r w:rsidRPr="00451B44">
        <w:rPr>
          <w:rFonts w:ascii="Times New Roman" w:hAnsi="Times New Roman" w:cs="Times New Roman"/>
          <w:i/>
          <w:iCs/>
          <w:sz w:val="24"/>
          <w:szCs w:val="24"/>
        </w:rPr>
        <w:t xml:space="preserve"> </w:t>
      </w:r>
      <w:r>
        <w:rPr>
          <w:rFonts w:ascii="Times New Roman" w:hAnsi="Times New Roman" w:cs="Times New Roman"/>
          <w:sz w:val="24"/>
          <w:szCs w:val="24"/>
        </w:rPr>
        <w:t>(1997a)</w:t>
      </w:r>
      <w:r w:rsidRPr="00451B44">
        <w:rPr>
          <w:rFonts w:ascii="Times New Roman" w:hAnsi="Times New Roman" w:cs="Times New Roman"/>
          <w:sz w:val="24"/>
          <w:szCs w:val="24"/>
        </w:rPr>
        <w:t>. One should also</w:t>
      </w:r>
      <w:r>
        <w:rPr>
          <w:rFonts w:ascii="Times New Roman" w:hAnsi="Times New Roman" w:cs="Times New Roman"/>
          <w:sz w:val="24"/>
          <w:szCs w:val="24"/>
        </w:rPr>
        <w:t xml:space="preserve"> critically consider the assays used to investigate</w:t>
      </w:r>
      <w:r w:rsidRPr="00451B44">
        <w:rPr>
          <w:rFonts w:ascii="Times New Roman" w:hAnsi="Times New Roman" w:cs="Times New Roman"/>
          <w:sz w:val="24"/>
          <w:szCs w:val="24"/>
        </w:rPr>
        <w:t xml:space="preserve"> different </w:t>
      </w:r>
      <w:r>
        <w:rPr>
          <w:rFonts w:ascii="Times New Roman" w:hAnsi="Times New Roman" w:cs="Times New Roman"/>
          <w:sz w:val="24"/>
          <w:szCs w:val="24"/>
        </w:rPr>
        <w:t xml:space="preserve">instances of PCD </w:t>
      </w:r>
      <w:r w:rsidRPr="00451B44">
        <w:rPr>
          <w:rFonts w:ascii="Times New Roman" w:hAnsi="Times New Roman" w:cs="Times New Roman"/>
          <w:sz w:val="24"/>
          <w:szCs w:val="24"/>
        </w:rPr>
        <w:t>and be aware of both the advantages and drawbacks of each particular assay. For example, monodansylcadaverine (MDC</w:t>
      </w:r>
      <w:r>
        <w:rPr>
          <w:rFonts w:ascii="Times New Roman" w:hAnsi="Times New Roman" w:cs="Times New Roman"/>
          <w:sz w:val="24"/>
          <w:szCs w:val="24"/>
        </w:rPr>
        <w:t>) has been</w:t>
      </w:r>
      <w:r w:rsidRPr="00451B44">
        <w:rPr>
          <w:rFonts w:ascii="Times New Roman" w:hAnsi="Times New Roman" w:cs="Times New Roman"/>
          <w:sz w:val="24"/>
          <w:szCs w:val="24"/>
        </w:rPr>
        <w:t xml:space="preserve"> considered an autophagy-specific marker but its </w:t>
      </w:r>
      <w:r>
        <w:rPr>
          <w:rFonts w:ascii="Times New Roman" w:hAnsi="Times New Roman" w:cs="Times New Roman"/>
          <w:sz w:val="24"/>
          <w:szCs w:val="24"/>
        </w:rPr>
        <w:t xml:space="preserve">specificity </w:t>
      </w:r>
      <w:r w:rsidRPr="00451B44">
        <w:rPr>
          <w:rFonts w:ascii="Times New Roman" w:hAnsi="Times New Roman" w:cs="Times New Roman"/>
          <w:sz w:val="24"/>
          <w:szCs w:val="24"/>
        </w:rPr>
        <w:t xml:space="preserve">is now being questioned </w:t>
      </w:r>
      <w:r>
        <w:rPr>
          <w:rFonts w:ascii="Times New Roman" w:hAnsi="Times New Roman" w:cs="Times New Roman"/>
          <w:sz w:val="24"/>
          <w:szCs w:val="24"/>
        </w:rPr>
        <w:t>(see Section IV</w:t>
      </w:r>
      <w:r w:rsidRPr="0068494A">
        <w:rPr>
          <w:rFonts w:ascii="Times New Roman" w:hAnsi="Times New Roman" w:cs="Times New Roman"/>
          <w:sz w:val="24"/>
          <w:szCs w:val="24"/>
        </w:rPr>
        <w:t>)</w:t>
      </w:r>
      <w:r>
        <w:rPr>
          <w:rFonts w:ascii="Times New Roman" w:hAnsi="Times New Roman" w:cs="Times New Roman"/>
          <w:sz w:val="24"/>
          <w:szCs w:val="24"/>
        </w:rPr>
        <w:t xml:space="preserve"> </w:t>
      </w:r>
      <w:r w:rsidR="001F39CD" w:rsidRPr="00086ED6">
        <w:rPr>
          <w:rFonts w:ascii="Times New Roman" w:hAnsi="Times New Roman" w:cs="Times New Roman"/>
          <w:sz w:val="24"/>
          <w:szCs w:val="24"/>
        </w:rPr>
        <w:t>and sample preparation procedures have occasionally been shown to affect the outcome of a PCD biochemical assay</w:t>
      </w:r>
      <w:r w:rsidRPr="00451B44">
        <w:rPr>
          <w:rFonts w:ascii="Times New Roman" w:hAnsi="Times New Roman" w:cs="Times New Roman"/>
          <w:sz w:val="24"/>
          <w:szCs w:val="24"/>
        </w:rPr>
        <w:t xml:space="preserve">, such as TUNEL </w:t>
      </w:r>
      <w:r>
        <w:rPr>
          <w:rFonts w:ascii="Times New Roman" w:hAnsi="Times New Roman" w:cs="Times New Roman"/>
          <w:sz w:val="24"/>
          <w:szCs w:val="24"/>
        </w:rPr>
        <w:t>(Wang</w:t>
      </w:r>
      <w:r w:rsidRPr="00E54DA4">
        <w:rPr>
          <w:rFonts w:ascii="Times New Roman" w:hAnsi="Times New Roman" w:cs="Times New Roman"/>
          <w:i/>
          <w:iCs/>
          <w:sz w:val="24"/>
          <w:szCs w:val="24"/>
        </w:rPr>
        <w:t xml:space="preserve"> et al.</w:t>
      </w:r>
      <w:r>
        <w:rPr>
          <w:rFonts w:ascii="Times New Roman" w:hAnsi="Times New Roman" w:cs="Times New Roman"/>
          <w:sz w:val="24"/>
          <w:szCs w:val="24"/>
        </w:rPr>
        <w:t>, 1996)</w:t>
      </w:r>
      <w:r w:rsidRPr="00451B44">
        <w:rPr>
          <w:rFonts w:ascii="Times New Roman" w:hAnsi="Times New Roman" w:cs="Times New Roman"/>
          <w:sz w:val="24"/>
          <w:szCs w:val="24"/>
        </w:rPr>
        <w:t>.</w:t>
      </w:r>
    </w:p>
    <w:p w:rsidR="004B4E5E" w:rsidRPr="00451B44" w:rsidRDefault="004B4E5E" w:rsidP="002B4B8D">
      <w:pPr>
        <w:spacing w:line="480" w:lineRule="auto"/>
        <w:rPr>
          <w:rFonts w:ascii="Times New Roman" w:hAnsi="Times New Roman" w:cs="Times New Roman"/>
          <w:sz w:val="24"/>
          <w:szCs w:val="24"/>
        </w:rPr>
      </w:pPr>
      <w:r>
        <w:rPr>
          <w:rFonts w:ascii="Times New Roman" w:hAnsi="Times New Roman" w:cs="Times New Roman"/>
          <w:sz w:val="24"/>
          <w:szCs w:val="24"/>
        </w:rPr>
        <w:t>The optimal means</w:t>
      </w:r>
      <w:r w:rsidRPr="00451B44">
        <w:rPr>
          <w:rFonts w:ascii="Times New Roman" w:hAnsi="Times New Roman" w:cs="Times New Roman"/>
          <w:sz w:val="24"/>
          <w:szCs w:val="24"/>
        </w:rPr>
        <w:t xml:space="preserve"> of communicating results concerning cell death events in plants is to provide the scientific audience with comprehensive descriptions of morphology, biochemistry and timing-related data, rather than using PCD as the general term describing the wh</w:t>
      </w:r>
      <w:r>
        <w:rPr>
          <w:rFonts w:ascii="Times New Roman" w:hAnsi="Times New Roman" w:cs="Times New Roman"/>
          <w:sz w:val="24"/>
          <w:szCs w:val="24"/>
        </w:rPr>
        <w:t>ole death process. In this review, while examining</w:t>
      </w:r>
      <w:r w:rsidRPr="00451B44">
        <w:rPr>
          <w:rFonts w:ascii="Times New Roman" w:hAnsi="Times New Roman" w:cs="Times New Roman"/>
          <w:sz w:val="24"/>
          <w:szCs w:val="24"/>
        </w:rPr>
        <w:t xml:space="preserve"> diverse example</w:t>
      </w:r>
      <w:r>
        <w:rPr>
          <w:rFonts w:ascii="Times New Roman" w:hAnsi="Times New Roman" w:cs="Times New Roman"/>
          <w:sz w:val="24"/>
          <w:szCs w:val="24"/>
        </w:rPr>
        <w:t>s of plant PCD, we have endeavoured to describe</w:t>
      </w:r>
      <w:r w:rsidRPr="00451B44">
        <w:rPr>
          <w:rFonts w:ascii="Times New Roman" w:hAnsi="Times New Roman" w:cs="Times New Roman"/>
          <w:sz w:val="24"/>
          <w:szCs w:val="24"/>
        </w:rPr>
        <w:t xml:space="preserve"> the characteristic features and events accompanying the type of cell death under consideration.</w:t>
      </w:r>
    </w:p>
    <w:p w:rsidR="004B4E5E" w:rsidRPr="00451B44" w:rsidRDefault="004B4E5E" w:rsidP="002B4B8D">
      <w:pPr>
        <w:spacing w:line="480" w:lineRule="auto"/>
        <w:rPr>
          <w:rFonts w:ascii="Times New Roman" w:hAnsi="Times New Roman" w:cs="Times New Roman"/>
          <w:sz w:val="24"/>
          <w:szCs w:val="24"/>
        </w:rPr>
      </w:pPr>
    </w:p>
    <w:p w:rsidR="004B4E5E" w:rsidRPr="00451B44" w:rsidRDefault="004B4E5E" w:rsidP="00912CF3">
      <w:pPr>
        <w:pStyle w:val="ListParagraph"/>
        <w:numPr>
          <w:ilvl w:val="0"/>
          <w:numId w:val="24"/>
        </w:numPr>
        <w:autoSpaceDE w:val="0"/>
        <w:autoSpaceDN w:val="0"/>
        <w:adjustRightInd w:val="0"/>
        <w:spacing w:after="0" w:line="480" w:lineRule="auto"/>
        <w:ind w:hanging="2814"/>
        <w:rPr>
          <w:rFonts w:ascii="Times New Roman" w:hAnsi="Times New Roman" w:cs="Times New Roman"/>
          <w:b/>
          <w:bCs/>
          <w:sz w:val="24"/>
          <w:szCs w:val="24"/>
        </w:rPr>
      </w:pPr>
      <w:r w:rsidRPr="00451B44">
        <w:rPr>
          <w:rFonts w:ascii="Times New Roman" w:hAnsi="Times New Roman" w:cs="Times New Roman"/>
          <w:b/>
          <w:bCs/>
          <w:sz w:val="24"/>
          <w:szCs w:val="24"/>
        </w:rPr>
        <w:t>Regulators of plant PCD</w:t>
      </w:r>
    </w:p>
    <w:p w:rsidR="004B4E5E" w:rsidRPr="00451B44" w:rsidRDefault="004B4E5E" w:rsidP="00912CF3">
      <w:pPr>
        <w:pStyle w:val="ListParagraph"/>
        <w:numPr>
          <w:ilvl w:val="0"/>
          <w:numId w:val="25"/>
        </w:numPr>
        <w:autoSpaceDE w:val="0"/>
        <w:autoSpaceDN w:val="0"/>
        <w:adjustRightInd w:val="0"/>
        <w:spacing w:after="0" w:line="480" w:lineRule="auto"/>
        <w:rPr>
          <w:rFonts w:ascii="Times New Roman" w:hAnsi="Times New Roman" w:cs="Times New Roman"/>
          <w:b/>
          <w:bCs/>
          <w:sz w:val="24"/>
          <w:szCs w:val="24"/>
        </w:rPr>
      </w:pPr>
      <w:r w:rsidRPr="00451B44">
        <w:rPr>
          <w:rFonts w:ascii="Times New Roman" w:hAnsi="Times New Roman" w:cs="Times New Roman"/>
          <w:b/>
          <w:bCs/>
          <w:sz w:val="24"/>
          <w:szCs w:val="24"/>
        </w:rPr>
        <w:t>Mitochondria and chloroplast</w:t>
      </w:r>
      <w:r>
        <w:rPr>
          <w:rFonts w:ascii="Times New Roman" w:hAnsi="Times New Roman" w:cs="Times New Roman"/>
          <w:b/>
          <w:bCs/>
          <w:sz w:val="24"/>
          <w:szCs w:val="24"/>
        </w:rPr>
        <w:t>s</w:t>
      </w:r>
    </w:p>
    <w:p w:rsidR="004B4E5E" w:rsidRPr="00451B44" w:rsidRDefault="004B4E5E" w:rsidP="002B4B8D">
      <w:pPr>
        <w:autoSpaceDE w:val="0"/>
        <w:autoSpaceDN w:val="0"/>
        <w:adjustRightInd w:val="0"/>
        <w:spacing w:after="0" w:line="480" w:lineRule="auto"/>
        <w:rPr>
          <w:rFonts w:ascii="Times New Roman" w:hAnsi="Times New Roman" w:cs="Times New Roman"/>
          <w:color w:val="000000"/>
          <w:sz w:val="24"/>
          <w:szCs w:val="24"/>
        </w:rPr>
      </w:pPr>
      <w:r w:rsidRPr="00451B44">
        <w:rPr>
          <w:rFonts w:ascii="Times New Roman" w:hAnsi="Times New Roman" w:cs="Times New Roman"/>
          <w:sz w:val="24"/>
          <w:szCs w:val="24"/>
        </w:rPr>
        <w:t xml:space="preserve">Although </w:t>
      </w:r>
      <w:r>
        <w:rPr>
          <w:rFonts w:ascii="Times New Roman" w:hAnsi="Times New Roman" w:cs="Times New Roman"/>
          <w:sz w:val="24"/>
          <w:szCs w:val="24"/>
        </w:rPr>
        <w:t xml:space="preserve">the </w:t>
      </w:r>
      <w:r w:rsidRPr="00451B44">
        <w:rPr>
          <w:rFonts w:ascii="Times New Roman" w:hAnsi="Times New Roman" w:cs="Times New Roman"/>
          <w:sz w:val="24"/>
          <w:szCs w:val="24"/>
        </w:rPr>
        <w:t>regulation of plant PCD has been a subject of intensive rese</w:t>
      </w:r>
      <w:r>
        <w:rPr>
          <w:rFonts w:ascii="Times New Roman" w:hAnsi="Times New Roman" w:cs="Times New Roman"/>
          <w:sz w:val="24"/>
          <w:szCs w:val="24"/>
        </w:rPr>
        <w:t>arch</w:t>
      </w:r>
      <w:r w:rsidRPr="00451B44">
        <w:rPr>
          <w:rFonts w:ascii="Times New Roman" w:hAnsi="Times New Roman" w:cs="Times New Roman"/>
          <w:sz w:val="24"/>
          <w:szCs w:val="24"/>
        </w:rPr>
        <w:t xml:space="preserve">, the sequence of events leading to organised cell death has </w:t>
      </w:r>
      <w:r>
        <w:rPr>
          <w:rFonts w:ascii="Times New Roman" w:hAnsi="Times New Roman" w:cs="Times New Roman"/>
          <w:sz w:val="24"/>
          <w:szCs w:val="24"/>
        </w:rPr>
        <w:t>only begun to emerge</w:t>
      </w:r>
      <w:r w:rsidRPr="00451B44">
        <w:rPr>
          <w:rFonts w:ascii="Times New Roman" w:hAnsi="Times New Roman" w:cs="Times New Roman"/>
          <w:sz w:val="24"/>
          <w:szCs w:val="24"/>
        </w:rPr>
        <w:t xml:space="preserve">. </w:t>
      </w:r>
      <w:r w:rsidR="008A1688">
        <w:rPr>
          <w:rFonts w:ascii="Times New Roman" w:hAnsi="Times New Roman" w:cs="Times New Roman"/>
          <w:color w:val="000000"/>
          <w:sz w:val="24"/>
          <w:szCs w:val="24"/>
        </w:rPr>
        <w:t>D</w:t>
      </w:r>
      <w:r w:rsidRPr="00451B44">
        <w:rPr>
          <w:rFonts w:ascii="Times New Roman" w:hAnsi="Times New Roman" w:cs="Times New Roman"/>
          <w:color w:val="000000"/>
          <w:sz w:val="24"/>
          <w:szCs w:val="24"/>
        </w:rPr>
        <w:t xml:space="preserve">ue to </w:t>
      </w:r>
      <w:r>
        <w:rPr>
          <w:rFonts w:ascii="Times New Roman" w:hAnsi="Times New Roman" w:cs="Times New Roman"/>
          <w:color w:val="000000"/>
          <w:sz w:val="24"/>
          <w:szCs w:val="24"/>
        </w:rPr>
        <w:t>the assumed evolutionary</w:t>
      </w:r>
      <w:r w:rsidRPr="00451B44">
        <w:rPr>
          <w:rFonts w:ascii="Times New Roman" w:hAnsi="Times New Roman" w:cs="Times New Roman"/>
          <w:color w:val="000000"/>
          <w:sz w:val="24"/>
          <w:szCs w:val="24"/>
        </w:rPr>
        <w:t xml:space="preserve"> conservation of at least some elements of the PCD machinery</w:t>
      </w:r>
      <w:r w:rsidR="008A1688">
        <w:rPr>
          <w:rFonts w:ascii="Times New Roman" w:hAnsi="Times New Roman" w:cs="Times New Roman"/>
          <w:color w:val="000000"/>
          <w:sz w:val="24"/>
          <w:szCs w:val="24"/>
        </w:rPr>
        <w:t>, s</w:t>
      </w:r>
      <w:r w:rsidR="008A1688" w:rsidRPr="00451B44">
        <w:rPr>
          <w:rFonts w:ascii="Times New Roman" w:hAnsi="Times New Roman" w:cs="Times New Roman"/>
          <w:color w:val="000000"/>
          <w:sz w:val="24"/>
          <w:szCs w:val="24"/>
        </w:rPr>
        <w:t xml:space="preserve">ignificant </w:t>
      </w:r>
      <w:r w:rsidR="008A1688">
        <w:rPr>
          <w:rFonts w:ascii="Times New Roman" w:hAnsi="Times New Roman" w:cs="Times New Roman"/>
          <w:color w:val="000000"/>
          <w:sz w:val="24"/>
          <w:szCs w:val="24"/>
        </w:rPr>
        <w:t>research efforts have focused on examining</w:t>
      </w:r>
      <w:r w:rsidR="008A1688" w:rsidRPr="00451B44">
        <w:rPr>
          <w:rFonts w:ascii="Times New Roman" w:hAnsi="Times New Roman" w:cs="Times New Roman"/>
          <w:color w:val="000000"/>
          <w:sz w:val="24"/>
          <w:szCs w:val="24"/>
        </w:rPr>
        <w:t xml:space="preserve"> </w:t>
      </w:r>
      <w:r w:rsidR="008A1688">
        <w:rPr>
          <w:rFonts w:ascii="Times New Roman" w:hAnsi="Times New Roman" w:cs="Times New Roman"/>
          <w:color w:val="000000"/>
          <w:sz w:val="24"/>
          <w:szCs w:val="24"/>
        </w:rPr>
        <w:t xml:space="preserve">the </w:t>
      </w:r>
      <w:r w:rsidR="008A1688" w:rsidRPr="00451B44">
        <w:rPr>
          <w:rFonts w:ascii="Times New Roman" w:hAnsi="Times New Roman" w:cs="Times New Roman"/>
          <w:color w:val="000000"/>
          <w:sz w:val="24"/>
          <w:szCs w:val="24"/>
        </w:rPr>
        <w:t>similarities between PCD programmes i</w:t>
      </w:r>
      <w:r w:rsidR="008A1688">
        <w:rPr>
          <w:rFonts w:ascii="Times New Roman" w:hAnsi="Times New Roman" w:cs="Times New Roman"/>
          <w:color w:val="000000"/>
          <w:sz w:val="24"/>
          <w:szCs w:val="24"/>
        </w:rPr>
        <w:t>n animal and plant cells</w:t>
      </w:r>
      <w:r w:rsidRPr="00451B44">
        <w:rPr>
          <w:rFonts w:ascii="Times New Roman" w:hAnsi="Times New Roman" w:cs="Times New Roman"/>
          <w:color w:val="000000"/>
          <w:sz w:val="24"/>
          <w:szCs w:val="24"/>
        </w:rPr>
        <w:t>.</w:t>
      </w:r>
      <w:r w:rsidRPr="00451B44">
        <w:rPr>
          <w:rFonts w:ascii="Times New Roman" w:hAnsi="Times New Roman" w:cs="Times New Roman"/>
          <w:sz w:val="24"/>
          <w:szCs w:val="24"/>
        </w:rPr>
        <w:t xml:space="preserve"> </w:t>
      </w:r>
      <w:r w:rsidRPr="00451B44">
        <w:rPr>
          <w:rFonts w:ascii="Times New Roman" w:hAnsi="Times New Roman" w:cs="Times New Roman"/>
          <w:color w:val="000000"/>
          <w:sz w:val="24"/>
          <w:szCs w:val="24"/>
        </w:rPr>
        <w:t>In animal cells, apoptosis can be activated either through the intrinsic or extrinsic pathway. The i</w:t>
      </w:r>
      <w:r w:rsidRPr="00451B44">
        <w:rPr>
          <w:rFonts w:ascii="Times New Roman" w:hAnsi="Times New Roman" w:cs="Times New Roman"/>
          <w:sz w:val="24"/>
          <w:szCs w:val="24"/>
        </w:rPr>
        <w:t>ntrinsic pathway is triggered by</w:t>
      </w:r>
      <w:r>
        <w:rPr>
          <w:rFonts w:ascii="Times New Roman" w:hAnsi="Times New Roman" w:cs="Times New Roman"/>
          <w:sz w:val="24"/>
          <w:szCs w:val="24"/>
        </w:rPr>
        <w:t xml:space="preserve"> increased cellular stress (for example,</w:t>
      </w:r>
      <w:r w:rsidRPr="00451B44">
        <w:rPr>
          <w:rFonts w:ascii="Times New Roman" w:hAnsi="Times New Roman" w:cs="Times New Roman"/>
          <w:sz w:val="24"/>
          <w:szCs w:val="24"/>
        </w:rPr>
        <w:t xml:space="preserve"> DNA damage caused by different factors). When a stress signal is received, cytoplasm-residing proapoptotic proteins bind to the outer membrane of the mitochondria, inducing mitochondrial permeability transition pore for</w:t>
      </w:r>
      <w:r>
        <w:rPr>
          <w:rFonts w:ascii="Times New Roman" w:hAnsi="Times New Roman" w:cs="Times New Roman"/>
          <w:sz w:val="24"/>
          <w:szCs w:val="24"/>
        </w:rPr>
        <w:t>mation and release of cyt</w:t>
      </w:r>
      <w:r w:rsidRPr="00451B44">
        <w:rPr>
          <w:rFonts w:ascii="Times New Roman" w:hAnsi="Times New Roman" w:cs="Times New Roman"/>
          <w:sz w:val="24"/>
          <w:szCs w:val="24"/>
        </w:rPr>
        <w:t xml:space="preserve"> </w:t>
      </w:r>
      <w:r w:rsidRPr="00F744F3">
        <w:rPr>
          <w:rFonts w:ascii="Times New Roman" w:hAnsi="Times New Roman" w:cs="Times New Roman"/>
          <w:i/>
          <w:iCs/>
          <w:sz w:val="24"/>
          <w:szCs w:val="24"/>
        </w:rPr>
        <w:t>c</w:t>
      </w:r>
      <w:r w:rsidRPr="00451B44">
        <w:rPr>
          <w:rFonts w:ascii="Times New Roman" w:hAnsi="Times New Roman" w:cs="Times New Roman"/>
          <w:sz w:val="24"/>
          <w:szCs w:val="24"/>
        </w:rPr>
        <w:t xml:space="preserve"> </w:t>
      </w:r>
      <w:r w:rsidRPr="00451B44">
        <w:rPr>
          <w:rFonts w:ascii="Times New Roman" w:hAnsi="Times New Roman" w:cs="Times New Roman"/>
          <w:noProof/>
          <w:sz w:val="24"/>
          <w:szCs w:val="24"/>
        </w:rPr>
        <w:t>(Yang</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1997)</w:t>
      </w:r>
      <w:r w:rsidRPr="00451B44">
        <w:rPr>
          <w:rFonts w:ascii="Times New Roman" w:hAnsi="Times New Roman" w:cs="Times New Roman"/>
          <w:sz w:val="24"/>
          <w:szCs w:val="24"/>
        </w:rPr>
        <w:t xml:space="preserve"> and other </w:t>
      </w:r>
      <w:r>
        <w:rPr>
          <w:rFonts w:ascii="Times New Roman" w:hAnsi="Times New Roman" w:cs="Times New Roman"/>
          <w:sz w:val="24"/>
          <w:szCs w:val="24"/>
        </w:rPr>
        <w:t>apoptotic-related proteins such as,</w:t>
      </w:r>
      <w:r w:rsidRPr="00451B44">
        <w:rPr>
          <w:rFonts w:ascii="Times New Roman" w:hAnsi="Times New Roman" w:cs="Times New Roman"/>
          <w:sz w:val="24"/>
          <w:szCs w:val="24"/>
        </w:rPr>
        <w:t xml:space="preserve"> endonuclease G</w:t>
      </w:r>
      <w:r>
        <w:rPr>
          <w:rFonts w:ascii="Times New Roman" w:hAnsi="Times New Roman" w:cs="Times New Roman"/>
          <w:sz w:val="24"/>
          <w:szCs w:val="24"/>
        </w:rPr>
        <w:t xml:space="preserve"> (endo G) </w:t>
      </w:r>
      <w:r w:rsidRPr="00451B44">
        <w:rPr>
          <w:rFonts w:ascii="Times New Roman" w:hAnsi="Times New Roman" w:cs="Times New Roman"/>
          <w:noProof/>
          <w:sz w:val="24"/>
          <w:szCs w:val="24"/>
        </w:rPr>
        <w:t>(Li</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2001)</w:t>
      </w:r>
      <w:r w:rsidRPr="00451B44">
        <w:rPr>
          <w:rFonts w:ascii="Times New Roman" w:hAnsi="Times New Roman" w:cs="Times New Roman"/>
          <w:sz w:val="24"/>
          <w:szCs w:val="24"/>
        </w:rPr>
        <w:t xml:space="preserve">, apoptosis inducing factor (AIF) </w:t>
      </w:r>
      <w:r w:rsidRPr="00451B44">
        <w:rPr>
          <w:rFonts w:ascii="Times New Roman" w:hAnsi="Times New Roman" w:cs="Times New Roman"/>
          <w:noProof/>
          <w:sz w:val="24"/>
          <w:szCs w:val="24"/>
        </w:rPr>
        <w:t>(Susin</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1996)</w:t>
      </w:r>
      <w:r w:rsidRPr="00451B44">
        <w:rPr>
          <w:rFonts w:ascii="Times New Roman" w:hAnsi="Times New Roman" w:cs="Times New Roman"/>
          <w:sz w:val="24"/>
          <w:szCs w:val="24"/>
        </w:rPr>
        <w:t xml:space="preserve">, high temperature requirement A2 (HtrA2/Omi) </w:t>
      </w:r>
      <w:r w:rsidRPr="00451B44">
        <w:rPr>
          <w:rFonts w:ascii="Times New Roman" w:hAnsi="Times New Roman" w:cs="Times New Roman"/>
          <w:noProof/>
          <w:sz w:val="24"/>
          <w:szCs w:val="24"/>
        </w:rPr>
        <w:t>(Suzuki</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2001)</w:t>
      </w:r>
      <w:r>
        <w:rPr>
          <w:rFonts w:ascii="Times New Roman" w:hAnsi="Times New Roman" w:cs="Times New Roman"/>
          <w:sz w:val="24"/>
          <w:szCs w:val="24"/>
        </w:rPr>
        <w:t>, and</w:t>
      </w:r>
      <w:r w:rsidRPr="00451B44">
        <w:rPr>
          <w:rFonts w:ascii="Times New Roman" w:hAnsi="Times New Roman" w:cs="Times New Roman"/>
          <w:sz w:val="24"/>
          <w:szCs w:val="24"/>
        </w:rPr>
        <w:t xml:space="preserve"> second mitochondria-derived activator of caspase/direct IAP binding protein with low pI (SMAC/Diablo) </w:t>
      </w:r>
      <w:r w:rsidRPr="00451B44">
        <w:rPr>
          <w:rFonts w:ascii="Times New Roman" w:hAnsi="Times New Roman" w:cs="Times New Roman"/>
          <w:noProof/>
          <w:sz w:val="24"/>
          <w:szCs w:val="24"/>
        </w:rPr>
        <w:t>(Du</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2000)</w:t>
      </w:r>
      <w:r>
        <w:rPr>
          <w:rFonts w:ascii="Times New Roman" w:hAnsi="Times New Roman" w:cs="Times New Roman"/>
          <w:sz w:val="24"/>
          <w:szCs w:val="24"/>
        </w:rPr>
        <w:t>. Upon release</w:t>
      </w:r>
      <w:r w:rsidRPr="00451B44">
        <w:rPr>
          <w:rFonts w:ascii="Times New Roman" w:hAnsi="Times New Roman" w:cs="Times New Roman"/>
          <w:sz w:val="24"/>
          <w:szCs w:val="24"/>
        </w:rPr>
        <w:t>, cyt</w:t>
      </w:r>
      <w:r>
        <w:rPr>
          <w:rFonts w:ascii="Times New Roman" w:hAnsi="Times New Roman" w:cs="Times New Roman"/>
          <w:sz w:val="24"/>
          <w:szCs w:val="24"/>
        </w:rPr>
        <w:t xml:space="preserve"> </w:t>
      </w:r>
      <w:r w:rsidRPr="00F744F3">
        <w:rPr>
          <w:rFonts w:ascii="Times New Roman" w:hAnsi="Times New Roman" w:cs="Times New Roman"/>
          <w:i/>
          <w:iCs/>
          <w:sz w:val="24"/>
          <w:szCs w:val="24"/>
        </w:rPr>
        <w:t>c</w:t>
      </w:r>
      <w:r w:rsidRPr="00451B44">
        <w:rPr>
          <w:rFonts w:ascii="Times New Roman" w:hAnsi="Times New Roman" w:cs="Times New Roman"/>
          <w:sz w:val="24"/>
          <w:szCs w:val="24"/>
        </w:rPr>
        <w:t xml:space="preserve"> induces assembly of a complex termed the </w:t>
      </w:r>
      <w:r w:rsidRPr="00451B44">
        <w:rPr>
          <w:rStyle w:val="nbapihighlight"/>
          <w:rFonts w:ascii="Times New Roman" w:hAnsi="Times New Roman" w:cs="Times New Roman"/>
          <w:sz w:val="24"/>
          <w:szCs w:val="24"/>
        </w:rPr>
        <w:t>apoptosome, which a</w:t>
      </w:r>
      <w:r w:rsidRPr="00451B44">
        <w:rPr>
          <w:rFonts w:ascii="Times New Roman" w:hAnsi="Times New Roman" w:cs="Times New Roman"/>
          <w:sz w:val="24"/>
          <w:szCs w:val="24"/>
        </w:rPr>
        <w:t xml:space="preserve">ctivates </w:t>
      </w:r>
      <w:r w:rsidRPr="00451B44">
        <w:rPr>
          <w:rStyle w:val="nbapihighlight"/>
          <w:rFonts w:ascii="Times New Roman" w:hAnsi="Times New Roman" w:cs="Times New Roman"/>
          <w:sz w:val="24"/>
          <w:szCs w:val="24"/>
        </w:rPr>
        <w:t>caspase-9</w:t>
      </w:r>
      <w:r w:rsidRPr="00451B44">
        <w:rPr>
          <w:rFonts w:ascii="Times New Roman" w:hAnsi="Times New Roman" w:cs="Times New Roman"/>
          <w:sz w:val="24"/>
          <w:szCs w:val="24"/>
        </w:rPr>
        <w:t xml:space="preserve">, promoting further </w:t>
      </w:r>
      <w:r w:rsidRPr="00451B44">
        <w:rPr>
          <w:rStyle w:val="nbapihighlight"/>
          <w:rFonts w:ascii="Times New Roman" w:hAnsi="Times New Roman" w:cs="Times New Roman"/>
          <w:sz w:val="24"/>
          <w:szCs w:val="24"/>
        </w:rPr>
        <w:t>caspase activation</w:t>
      </w:r>
      <w:r w:rsidRPr="00451B44">
        <w:rPr>
          <w:rFonts w:ascii="Times New Roman" w:hAnsi="Times New Roman" w:cs="Times New Roman"/>
          <w:sz w:val="24"/>
          <w:szCs w:val="24"/>
        </w:rPr>
        <w:t xml:space="preserve"> events and subsequent cellular demolition </w:t>
      </w:r>
      <w:r w:rsidRPr="00451B44">
        <w:rPr>
          <w:rStyle w:val="nbapihighlight"/>
          <w:rFonts w:ascii="Times New Roman" w:hAnsi="Times New Roman" w:cs="Times New Roman"/>
          <w:noProof/>
          <w:sz w:val="24"/>
          <w:szCs w:val="24"/>
        </w:rPr>
        <w:t>(Adrain and Martin, 2001)</w:t>
      </w:r>
      <w:r w:rsidRPr="00451B44">
        <w:rPr>
          <w:rFonts w:ascii="Times New Roman" w:hAnsi="Times New Roman" w:cs="Times New Roman"/>
          <w:sz w:val="24"/>
          <w:szCs w:val="24"/>
        </w:rPr>
        <w:t>. The e</w:t>
      </w:r>
      <w:r>
        <w:rPr>
          <w:rFonts w:ascii="Times New Roman" w:hAnsi="Times New Roman" w:cs="Times New Roman"/>
          <w:color w:val="000000"/>
          <w:sz w:val="24"/>
          <w:szCs w:val="24"/>
        </w:rPr>
        <w:t>xtrinsic pathway is activated</w:t>
      </w:r>
      <w:r w:rsidRPr="00451B44">
        <w:rPr>
          <w:rFonts w:ascii="Times New Roman" w:hAnsi="Times New Roman" w:cs="Times New Roman"/>
          <w:color w:val="000000"/>
          <w:sz w:val="24"/>
          <w:szCs w:val="24"/>
        </w:rPr>
        <w:t xml:space="preserve"> when signalling molecules (ligands) bind to transmembrane death receptors of the cell which induce signal cascades leading to caspases activation and </w:t>
      </w:r>
      <w:r>
        <w:rPr>
          <w:rFonts w:ascii="Times New Roman" w:hAnsi="Times New Roman" w:cs="Times New Roman"/>
          <w:color w:val="000000"/>
          <w:sz w:val="24"/>
          <w:szCs w:val="24"/>
        </w:rPr>
        <w:t xml:space="preserve">subsequent </w:t>
      </w:r>
      <w:r w:rsidRPr="00451B44">
        <w:rPr>
          <w:rFonts w:ascii="Times New Roman" w:hAnsi="Times New Roman" w:cs="Times New Roman"/>
          <w:color w:val="000000"/>
          <w:sz w:val="24"/>
          <w:szCs w:val="24"/>
        </w:rPr>
        <w:t>permeabilisation of the mitochondria</w:t>
      </w:r>
      <w:r>
        <w:rPr>
          <w:rFonts w:ascii="Times New Roman" w:hAnsi="Times New Roman" w:cs="Times New Roman"/>
          <w:color w:val="000000"/>
          <w:sz w:val="24"/>
          <w:szCs w:val="24"/>
        </w:rPr>
        <w:t>l outer membrane</w:t>
      </w:r>
      <w:r w:rsidRPr="00451B44">
        <w:rPr>
          <w:rFonts w:ascii="Times New Roman" w:hAnsi="Times New Roman" w:cs="Times New Roman"/>
          <w:color w:val="000000"/>
          <w:sz w:val="24"/>
          <w:szCs w:val="24"/>
        </w:rPr>
        <w:t xml:space="preserve">. </w:t>
      </w:r>
    </w:p>
    <w:p w:rsidR="004B4E5E" w:rsidRDefault="004B4E5E" w:rsidP="002B4B8D">
      <w:pPr>
        <w:autoSpaceDE w:val="0"/>
        <w:autoSpaceDN w:val="0"/>
        <w:adjustRightInd w:val="0"/>
        <w:spacing w:after="0" w:line="480" w:lineRule="auto"/>
        <w:rPr>
          <w:rFonts w:ascii="Times New Roman" w:hAnsi="Times New Roman" w:cs="Times New Roman"/>
          <w:color w:val="000000"/>
          <w:sz w:val="24"/>
          <w:szCs w:val="24"/>
        </w:rPr>
      </w:pPr>
    </w:p>
    <w:p w:rsidR="004B4E5E" w:rsidRPr="00451B44" w:rsidRDefault="004B4E5E" w:rsidP="002B4B8D">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color w:val="000000"/>
          <w:sz w:val="24"/>
          <w:szCs w:val="24"/>
        </w:rPr>
        <w:t>Experimental data</w:t>
      </w:r>
      <w:r w:rsidRPr="00451B44">
        <w:rPr>
          <w:rFonts w:ascii="Times New Roman" w:hAnsi="Times New Roman" w:cs="Times New Roman"/>
          <w:color w:val="000000"/>
          <w:sz w:val="24"/>
          <w:szCs w:val="24"/>
        </w:rPr>
        <w:t xml:space="preserve"> </w:t>
      </w:r>
      <w:r>
        <w:rPr>
          <w:rFonts w:ascii="Times New Roman" w:hAnsi="Times New Roman" w:cs="Times New Roman"/>
          <w:color w:val="000000"/>
          <w:sz w:val="24"/>
          <w:szCs w:val="24"/>
        </w:rPr>
        <w:t>also points to</w:t>
      </w:r>
      <w:r w:rsidRPr="00451B44">
        <w:rPr>
          <w:rFonts w:ascii="Times New Roman" w:hAnsi="Times New Roman" w:cs="Times New Roman"/>
          <w:color w:val="000000"/>
          <w:sz w:val="24"/>
          <w:szCs w:val="24"/>
        </w:rPr>
        <w:t xml:space="preserve"> involvement of </w:t>
      </w:r>
      <w:r>
        <w:rPr>
          <w:rFonts w:ascii="Times New Roman" w:hAnsi="Times New Roman" w:cs="Times New Roman"/>
          <w:color w:val="000000"/>
          <w:sz w:val="24"/>
          <w:szCs w:val="24"/>
        </w:rPr>
        <w:t xml:space="preserve">the </w:t>
      </w:r>
      <w:r w:rsidRPr="00451B44">
        <w:rPr>
          <w:rFonts w:ascii="Times New Roman" w:hAnsi="Times New Roman" w:cs="Times New Roman"/>
          <w:color w:val="000000"/>
          <w:sz w:val="24"/>
          <w:szCs w:val="24"/>
        </w:rPr>
        <w:t>mitochondria</w:t>
      </w:r>
      <w:r>
        <w:rPr>
          <w:rFonts w:ascii="Times New Roman" w:hAnsi="Times New Roman" w:cs="Times New Roman"/>
          <w:color w:val="000000"/>
          <w:sz w:val="24"/>
          <w:szCs w:val="24"/>
        </w:rPr>
        <w:t>,</w:t>
      </w:r>
      <w:r w:rsidRPr="00451B44">
        <w:rPr>
          <w:rFonts w:ascii="Times New Roman" w:hAnsi="Times New Roman" w:cs="Times New Roman"/>
          <w:color w:val="000000"/>
          <w:sz w:val="24"/>
          <w:szCs w:val="24"/>
        </w:rPr>
        <w:t xml:space="preserve"> and molecules exp</w:t>
      </w:r>
      <w:r>
        <w:rPr>
          <w:rFonts w:ascii="Times New Roman" w:hAnsi="Times New Roman" w:cs="Times New Roman"/>
          <w:color w:val="000000"/>
          <w:sz w:val="24"/>
          <w:szCs w:val="24"/>
        </w:rPr>
        <w:t>ressing caspase-like activity, during</w:t>
      </w:r>
      <w:r w:rsidRPr="00451B44">
        <w:rPr>
          <w:rFonts w:ascii="Times New Roman" w:hAnsi="Times New Roman" w:cs="Times New Roman"/>
          <w:color w:val="000000"/>
          <w:sz w:val="24"/>
          <w:szCs w:val="24"/>
        </w:rPr>
        <w:t xml:space="preserve"> PCD </w:t>
      </w:r>
      <w:r>
        <w:rPr>
          <w:rFonts w:ascii="Times New Roman" w:hAnsi="Times New Roman" w:cs="Times New Roman"/>
          <w:color w:val="000000"/>
          <w:sz w:val="24"/>
          <w:szCs w:val="24"/>
        </w:rPr>
        <w:t>activation in plant cells</w:t>
      </w:r>
      <w:r w:rsidRPr="00451B44">
        <w:rPr>
          <w:rFonts w:ascii="Times New Roman" w:hAnsi="Times New Roman" w:cs="Times New Roman"/>
          <w:color w:val="000000"/>
          <w:sz w:val="24"/>
          <w:szCs w:val="24"/>
        </w:rPr>
        <w:t xml:space="preserve">. Moreover, recently the potential role of the chloroplast in </w:t>
      </w:r>
      <w:r>
        <w:rPr>
          <w:rFonts w:ascii="Times New Roman" w:hAnsi="Times New Roman" w:cs="Times New Roman"/>
          <w:color w:val="000000"/>
          <w:sz w:val="24"/>
          <w:szCs w:val="24"/>
        </w:rPr>
        <w:t xml:space="preserve">regulating </w:t>
      </w:r>
      <w:r w:rsidRPr="00451B44">
        <w:rPr>
          <w:rFonts w:ascii="Times New Roman" w:hAnsi="Times New Roman" w:cs="Times New Roman"/>
          <w:color w:val="000000"/>
          <w:sz w:val="24"/>
          <w:szCs w:val="24"/>
        </w:rPr>
        <w:t xml:space="preserve">AL-PCD has </w:t>
      </w:r>
      <w:r>
        <w:rPr>
          <w:rFonts w:ascii="Times New Roman" w:hAnsi="Times New Roman" w:cs="Times New Roman"/>
          <w:color w:val="000000"/>
          <w:sz w:val="24"/>
          <w:szCs w:val="24"/>
        </w:rPr>
        <w:t xml:space="preserve">been suggested </w:t>
      </w:r>
      <w:r w:rsidRPr="00451B44">
        <w:rPr>
          <w:rFonts w:ascii="Times New Roman" w:hAnsi="Times New Roman" w:cs="Times New Roman"/>
          <w:color w:val="000000"/>
          <w:sz w:val="24"/>
          <w:szCs w:val="24"/>
        </w:rPr>
        <w:t>(Doyle</w:t>
      </w:r>
      <w:r w:rsidRPr="00451B44">
        <w:rPr>
          <w:rFonts w:ascii="Times New Roman" w:hAnsi="Times New Roman" w:cs="Times New Roman"/>
          <w:i/>
          <w:iCs/>
          <w:color w:val="000000"/>
          <w:sz w:val="24"/>
          <w:szCs w:val="24"/>
        </w:rPr>
        <w:t xml:space="preserve"> et al.</w:t>
      </w:r>
      <w:r w:rsidRPr="00451B44">
        <w:rPr>
          <w:rFonts w:ascii="Times New Roman" w:hAnsi="Times New Roman" w:cs="Times New Roman"/>
          <w:color w:val="000000"/>
          <w:sz w:val="24"/>
          <w:szCs w:val="24"/>
        </w:rPr>
        <w:t>, 2010, Seo</w:t>
      </w:r>
      <w:r w:rsidRPr="00451B44">
        <w:rPr>
          <w:rFonts w:ascii="Times New Roman" w:hAnsi="Times New Roman" w:cs="Times New Roman"/>
          <w:i/>
          <w:iCs/>
          <w:color w:val="000000"/>
          <w:sz w:val="24"/>
          <w:szCs w:val="24"/>
        </w:rPr>
        <w:t xml:space="preserve"> et al.</w:t>
      </w:r>
      <w:r w:rsidRPr="00451B44">
        <w:rPr>
          <w:rFonts w:ascii="Times New Roman" w:hAnsi="Times New Roman" w:cs="Times New Roman"/>
          <w:color w:val="000000"/>
          <w:sz w:val="24"/>
          <w:szCs w:val="24"/>
        </w:rPr>
        <w:t>, 2000, Wright</w:t>
      </w:r>
      <w:r w:rsidRPr="00451B44">
        <w:rPr>
          <w:rFonts w:ascii="Times New Roman" w:hAnsi="Times New Roman" w:cs="Times New Roman"/>
          <w:i/>
          <w:iCs/>
          <w:color w:val="000000"/>
          <w:sz w:val="24"/>
          <w:szCs w:val="24"/>
        </w:rPr>
        <w:t xml:space="preserve"> et al.</w:t>
      </w:r>
      <w:r w:rsidRPr="00451B44">
        <w:rPr>
          <w:rFonts w:ascii="Times New Roman" w:hAnsi="Times New Roman" w:cs="Times New Roman"/>
          <w:color w:val="000000"/>
          <w:sz w:val="24"/>
          <w:szCs w:val="24"/>
        </w:rPr>
        <w:t xml:space="preserve">, 2009). </w:t>
      </w:r>
      <w:r w:rsidRPr="00451B44">
        <w:rPr>
          <w:rFonts w:ascii="Times New Roman" w:hAnsi="Times New Roman" w:cs="Times New Roman"/>
          <w:sz w:val="24"/>
          <w:szCs w:val="24"/>
        </w:rPr>
        <w:t xml:space="preserve">Blackstone and Green </w:t>
      </w:r>
      <w:r w:rsidRPr="00451B44">
        <w:rPr>
          <w:rFonts w:ascii="Times New Roman" w:hAnsi="Times New Roman" w:cs="Times New Roman"/>
          <w:noProof/>
          <w:sz w:val="24"/>
          <w:szCs w:val="24"/>
        </w:rPr>
        <w:t>(1999)</w:t>
      </w:r>
      <w:r w:rsidRPr="00451B44">
        <w:rPr>
          <w:rFonts w:ascii="Times New Roman" w:hAnsi="Times New Roman" w:cs="Times New Roman"/>
          <w:sz w:val="24"/>
          <w:szCs w:val="24"/>
        </w:rPr>
        <w:t xml:space="preserve"> have hypothesised </w:t>
      </w:r>
      <w:r>
        <w:rPr>
          <w:rFonts w:ascii="Times New Roman" w:hAnsi="Times New Roman" w:cs="Times New Roman"/>
          <w:sz w:val="24"/>
          <w:szCs w:val="24"/>
        </w:rPr>
        <w:t>that the release of cyt</w:t>
      </w:r>
      <w:r w:rsidRPr="00451B44">
        <w:rPr>
          <w:rFonts w:ascii="Times New Roman" w:hAnsi="Times New Roman" w:cs="Times New Roman"/>
          <w:sz w:val="24"/>
          <w:szCs w:val="24"/>
        </w:rPr>
        <w:t xml:space="preserve"> </w:t>
      </w:r>
      <w:r w:rsidRPr="00F744F3">
        <w:rPr>
          <w:rFonts w:ascii="Times New Roman" w:hAnsi="Times New Roman" w:cs="Times New Roman"/>
          <w:i/>
          <w:iCs/>
          <w:sz w:val="24"/>
          <w:szCs w:val="24"/>
        </w:rPr>
        <w:t>c</w:t>
      </w:r>
      <w:r w:rsidRPr="00451B44">
        <w:rPr>
          <w:rFonts w:ascii="Times New Roman" w:hAnsi="Times New Roman" w:cs="Times New Roman"/>
          <w:sz w:val="24"/>
          <w:szCs w:val="24"/>
        </w:rPr>
        <w:t xml:space="preserve"> and upregulation of mitochondrial reactive oxygen species (ROS) production during </w:t>
      </w:r>
      <w:r>
        <w:rPr>
          <w:rFonts w:ascii="Times New Roman" w:hAnsi="Times New Roman" w:cs="Times New Roman"/>
          <w:sz w:val="24"/>
          <w:szCs w:val="24"/>
        </w:rPr>
        <w:t xml:space="preserve">PCD, are </w:t>
      </w:r>
      <w:r w:rsidRPr="00451B44">
        <w:rPr>
          <w:rFonts w:ascii="Times New Roman" w:hAnsi="Times New Roman" w:cs="Times New Roman"/>
          <w:sz w:val="24"/>
          <w:szCs w:val="24"/>
        </w:rPr>
        <w:t>vestige</w:t>
      </w:r>
      <w:r>
        <w:rPr>
          <w:rFonts w:ascii="Times New Roman" w:hAnsi="Times New Roman" w:cs="Times New Roman"/>
          <w:sz w:val="24"/>
          <w:szCs w:val="24"/>
        </w:rPr>
        <w:t xml:space="preserve">s of ancient events that arose during </w:t>
      </w:r>
      <w:r w:rsidRPr="00451B44">
        <w:rPr>
          <w:rFonts w:ascii="Times New Roman" w:hAnsi="Times New Roman" w:cs="Times New Roman"/>
          <w:sz w:val="24"/>
          <w:szCs w:val="24"/>
        </w:rPr>
        <w:t xml:space="preserve">proto-mitochondrion – host </w:t>
      </w:r>
      <w:r>
        <w:rPr>
          <w:rFonts w:ascii="Times New Roman" w:hAnsi="Times New Roman" w:cs="Times New Roman"/>
          <w:sz w:val="24"/>
          <w:szCs w:val="24"/>
        </w:rPr>
        <w:t xml:space="preserve">cell </w:t>
      </w:r>
      <w:r w:rsidRPr="00451B44">
        <w:rPr>
          <w:rFonts w:ascii="Times New Roman" w:hAnsi="Times New Roman" w:cs="Times New Roman"/>
          <w:sz w:val="24"/>
          <w:szCs w:val="24"/>
        </w:rPr>
        <w:t xml:space="preserve">conflict. As suggested by Reape and McCabe </w:t>
      </w:r>
      <w:r w:rsidRPr="00451B44">
        <w:rPr>
          <w:rFonts w:ascii="Times New Roman" w:hAnsi="Times New Roman" w:cs="Times New Roman"/>
          <w:noProof/>
          <w:sz w:val="24"/>
          <w:szCs w:val="24"/>
        </w:rPr>
        <w:t>(2010)</w:t>
      </w:r>
      <w:r w:rsidRPr="00451B44">
        <w:rPr>
          <w:rFonts w:ascii="Times New Roman" w:hAnsi="Times New Roman" w:cs="Times New Roman"/>
          <w:sz w:val="24"/>
          <w:szCs w:val="24"/>
        </w:rPr>
        <w:t xml:space="preserve">, </w:t>
      </w:r>
      <w:r>
        <w:rPr>
          <w:rFonts w:ascii="Times New Roman" w:hAnsi="Times New Roman" w:cs="Times New Roman"/>
          <w:sz w:val="24"/>
          <w:szCs w:val="24"/>
        </w:rPr>
        <w:t xml:space="preserve">an apoptotic role for the chloroplast may also relate to the endosymbiotic origin of this organelle, as </w:t>
      </w:r>
      <w:r w:rsidRPr="00451B44">
        <w:rPr>
          <w:rFonts w:ascii="Times New Roman" w:hAnsi="Times New Roman" w:cs="Times New Roman"/>
          <w:sz w:val="24"/>
          <w:szCs w:val="24"/>
        </w:rPr>
        <w:t xml:space="preserve">it </w:t>
      </w:r>
      <w:r>
        <w:rPr>
          <w:rFonts w:ascii="Times New Roman" w:hAnsi="Times New Roman" w:cs="Times New Roman"/>
          <w:sz w:val="24"/>
          <w:szCs w:val="24"/>
        </w:rPr>
        <w:t>too is</w:t>
      </w:r>
      <w:r w:rsidRPr="00451B44">
        <w:rPr>
          <w:rFonts w:ascii="Times New Roman" w:hAnsi="Times New Roman" w:cs="Times New Roman"/>
          <w:sz w:val="24"/>
          <w:szCs w:val="24"/>
        </w:rPr>
        <w:t xml:space="preserve"> a significant producer of ROS within the cell.</w:t>
      </w:r>
      <w:r>
        <w:rPr>
          <w:rFonts w:ascii="Times New Roman" w:hAnsi="Times New Roman" w:cs="Times New Roman"/>
          <w:sz w:val="24"/>
          <w:szCs w:val="24"/>
        </w:rPr>
        <w:t xml:space="preserve"> </w:t>
      </w:r>
      <w:r w:rsidRPr="00451B44">
        <w:rPr>
          <w:rFonts w:ascii="Times New Roman" w:hAnsi="Times New Roman" w:cs="Times New Roman"/>
          <w:sz w:val="24"/>
          <w:szCs w:val="24"/>
        </w:rPr>
        <w:t>During normal plant life cycles, ROS</w:t>
      </w:r>
      <w:r>
        <w:rPr>
          <w:rFonts w:ascii="Times New Roman" w:hAnsi="Times New Roman" w:cs="Times New Roman"/>
          <w:sz w:val="24"/>
          <w:szCs w:val="24"/>
        </w:rPr>
        <w:t xml:space="preserve"> produced during processes such as</w:t>
      </w:r>
      <w:r w:rsidRPr="00451B44">
        <w:rPr>
          <w:rFonts w:ascii="Times New Roman" w:hAnsi="Times New Roman" w:cs="Times New Roman"/>
          <w:sz w:val="24"/>
          <w:szCs w:val="24"/>
        </w:rPr>
        <w:t xml:space="preserve"> photosynthesis or respiration are </w:t>
      </w:r>
      <w:r>
        <w:rPr>
          <w:rFonts w:ascii="Times New Roman" w:hAnsi="Times New Roman" w:cs="Times New Roman"/>
          <w:sz w:val="24"/>
          <w:szCs w:val="24"/>
        </w:rPr>
        <w:t xml:space="preserve">normally </w:t>
      </w:r>
      <w:r w:rsidRPr="00451B44">
        <w:rPr>
          <w:rFonts w:ascii="Times New Roman" w:hAnsi="Times New Roman" w:cs="Times New Roman"/>
          <w:sz w:val="24"/>
          <w:szCs w:val="24"/>
        </w:rPr>
        <w:t>scavenged by the plant</w:t>
      </w:r>
      <w:r>
        <w:rPr>
          <w:rFonts w:ascii="Times New Roman" w:hAnsi="Times New Roman" w:cs="Times New Roman"/>
          <w:sz w:val="24"/>
          <w:szCs w:val="24"/>
        </w:rPr>
        <w:t>’</w:t>
      </w:r>
      <w:r w:rsidRPr="00451B44">
        <w:rPr>
          <w:rFonts w:ascii="Times New Roman" w:hAnsi="Times New Roman" w:cs="Times New Roman"/>
          <w:sz w:val="24"/>
          <w:szCs w:val="24"/>
        </w:rPr>
        <w:t xml:space="preserve">s antioxidant defence system. However, this delicate balance can be distorted by </w:t>
      </w:r>
      <w:r>
        <w:rPr>
          <w:rFonts w:ascii="Times New Roman" w:hAnsi="Times New Roman" w:cs="Times New Roman"/>
          <w:sz w:val="24"/>
          <w:szCs w:val="24"/>
        </w:rPr>
        <w:t xml:space="preserve">an array of </w:t>
      </w:r>
      <w:r w:rsidRPr="00451B44">
        <w:rPr>
          <w:rFonts w:ascii="Times New Roman" w:hAnsi="Times New Roman" w:cs="Times New Roman"/>
          <w:sz w:val="24"/>
          <w:szCs w:val="24"/>
        </w:rPr>
        <w:t>stress</w:t>
      </w:r>
      <w:r>
        <w:rPr>
          <w:rFonts w:ascii="Times New Roman" w:hAnsi="Times New Roman" w:cs="Times New Roman"/>
          <w:sz w:val="24"/>
          <w:szCs w:val="24"/>
        </w:rPr>
        <w:t>es</w:t>
      </w:r>
      <w:r w:rsidRPr="00451B44">
        <w:rPr>
          <w:rFonts w:ascii="Times New Roman" w:hAnsi="Times New Roman" w:cs="Times New Roman"/>
          <w:sz w:val="24"/>
          <w:szCs w:val="24"/>
        </w:rPr>
        <w:t xml:space="preserve">, </w:t>
      </w:r>
      <w:r>
        <w:rPr>
          <w:rFonts w:ascii="Times New Roman" w:hAnsi="Times New Roman" w:cs="Times New Roman"/>
          <w:sz w:val="24"/>
          <w:szCs w:val="24"/>
        </w:rPr>
        <w:t xml:space="preserve"> such as </w:t>
      </w:r>
      <w:r w:rsidRPr="00451B44">
        <w:rPr>
          <w:rFonts w:ascii="Times New Roman" w:hAnsi="Times New Roman" w:cs="Times New Roman"/>
          <w:sz w:val="24"/>
          <w:szCs w:val="24"/>
        </w:rPr>
        <w:t>drought and desiccation, salt stress, chilling, heat shock, heavy metals, ultraviolet radiation, air pollutants such as ozone and SO</w:t>
      </w:r>
      <w:r w:rsidRPr="00451B44">
        <w:rPr>
          <w:rFonts w:ascii="Times New Roman" w:hAnsi="Times New Roman" w:cs="Times New Roman"/>
          <w:sz w:val="24"/>
          <w:szCs w:val="24"/>
          <w:vertAlign w:val="subscript"/>
        </w:rPr>
        <w:t>2</w:t>
      </w:r>
      <w:r w:rsidRPr="00451B44">
        <w:rPr>
          <w:rFonts w:ascii="Times New Roman" w:hAnsi="Times New Roman" w:cs="Times New Roman"/>
          <w:sz w:val="24"/>
          <w:szCs w:val="24"/>
        </w:rPr>
        <w:t xml:space="preserve">, mechanical stress, nutrient deprivation and </w:t>
      </w:r>
      <w:r>
        <w:rPr>
          <w:rFonts w:ascii="Times New Roman" w:hAnsi="Times New Roman" w:cs="Times New Roman"/>
          <w:sz w:val="24"/>
          <w:szCs w:val="24"/>
        </w:rPr>
        <w:t>pathogen attack, which result in</w:t>
      </w:r>
      <w:r w:rsidRPr="00451B44">
        <w:rPr>
          <w:rFonts w:ascii="Times New Roman" w:hAnsi="Times New Roman" w:cs="Times New Roman"/>
          <w:sz w:val="24"/>
          <w:szCs w:val="24"/>
        </w:rPr>
        <w:t xml:space="preserve"> enhanced reactive oxygen intermediates production (Mittler</w:t>
      </w:r>
      <w:r>
        <w:rPr>
          <w:rFonts w:ascii="Times New Roman" w:hAnsi="Times New Roman" w:cs="Times New Roman"/>
          <w:sz w:val="24"/>
          <w:szCs w:val="24"/>
        </w:rPr>
        <w:t>,</w:t>
      </w:r>
      <w:r w:rsidRPr="00451B44">
        <w:rPr>
          <w:rFonts w:ascii="Times New Roman" w:hAnsi="Times New Roman" w:cs="Times New Roman"/>
          <w:sz w:val="24"/>
          <w:szCs w:val="24"/>
        </w:rPr>
        <w:t xml:space="preserve"> </w:t>
      </w:r>
      <w:r>
        <w:rPr>
          <w:rFonts w:ascii="Times New Roman" w:hAnsi="Times New Roman" w:cs="Times New Roman"/>
          <w:sz w:val="24"/>
          <w:szCs w:val="24"/>
        </w:rPr>
        <w:t xml:space="preserve">2002 </w:t>
      </w:r>
      <w:r w:rsidRPr="00451B44">
        <w:rPr>
          <w:rFonts w:ascii="Times New Roman" w:hAnsi="Times New Roman" w:cs="Times New Roman"/>
          <w:sz w:val="24"/>
          <w:szCs w:val="24"/>
        </w:rPr>
        <w:t xml:space="preserve">and references therein). Although ROS can cause physicochemical damage, they are also thought to play an important role as signalling molecules for the activation of stress defence pathways </w:t>
      </w:r>
      <w:r w:rsidRPr="00451B44">
        <w:rPr>
          <w:rFonts w:ascii="Times New Roman" w:hAnsi="Times New Roman" w:cs="Times New Roman"/>
          <w:noProof/>
          <w:sz w:val="24"/>
          <w:szCs w:val="24"/>
        </w:rPr>
        <w:t>(Dat</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2000)</w:t>
      </w:r>
      <w:r>
        <w:rPr>
          <w:rFonts w:ascii="Times New Roman" w:hAnsi="Times New Roman" w:cs="Times New Roman"/>
          <w:sz w:val="24"/>
          <w:szCs w:val="24"/>
        </w:rPr>
        <w:t xml:space="preserve">. </w:t>
      </w:r>
      <w:r w:rsidRPr="00451B44">
        <w:rPr>
          <w:rFonts w:ascii="Times New Roman" w:hAnsi="Times New Roman" w:cs="Times New Roman"/>
          <w:sz w:val="24"/>
          <w:szCs w:val="24"/>
        </w:rPr>
        <w:t xml:space="preserve">Indeed, PCD can be triggered by accumulation of ROS </w:t>
      </w:r>
      <w:r>
        <w:rPr>
          <w:rFonts w:ascii="Times New Roman" w:hAnsi="Times New Roman" w:cs="Times New Roman"/>
          <w:sz w:val="24"/>
          <w:szCs w:val="24"/>
        </w:rPr>
        <w:t>(Chen and Dickman, 2004, Laloi</w:t>
      </w:r>
      <w:r w:rsidRPr="00081AAD">
        <w:rPr>
          <w:rFonts w:ascii="Times New Roman" w:hAnsi="Times New Roman" w:cs="Times New Roman"/>
          <w:i/>
          <w:iCs/>
          <w:sz w:val="24"/>
          <w:szCs w:val="24"/>
        </w:rPr>
        <w:t xml:space="preserve"> et al.</w:t>
      </w:r>
      <w:r>
        <w:rPr>
          <w:rFonts w:ascii="Times New Roman" w:hAnsi="Times New Roman" w:cs="Times New Roman"/>
          <w:sz w:val="24"/>
          <w:szCs w:val="24"/>
        </w:rPr>
        <w:t>, 2004, Pennell and Lamb, 1997, Wagner</w:t>
      </w:r>
      <w:r w:rsidRPr="00081AAD">
        <w:rPr>
          <w:rFonts w:ascii="Times New Roman" w:hAnsi="Times New Roman" w:cs="Times New Roman"/>
          <w:i/>
          <w:iCs/>
          <w:sz w:val="24"/>
          <w:szCs w:val="24"/>
        </w:rPr>
        <w:t xml:space="preserve"> et al.</w:t>
      </w:r>
      <w:r>
        <w:rPr>
          <w:rFonts w:ascii="Times New Roman" w:hAnsi="Times New Roman" w:cs="Times New Roman"/>
          <w:sz w:val="24"/>
          <w:szCs w:val="24"/>
        </w:rPr>
        <w:t>, 2004)</w:t>
      </w:r>
      <w:r w:rsidRPr="00451B44">
        <w:rPr>
          <w:rFonts w:ascii="Times New Roman" w:hAnsi="Times New Roman" w:cs="Times New Roman"/>
          <w:sz w:val="24"/>
          <w:szCs w:val="24"/>
        </w:rPr>
        <w:t xml:space="preserve"> and evidence suggests that this occurs by activation of genetically programmed pathways of gene expression, which lead to controlled cell suicide events </w:t>
      </w:r>
      <w:r>
        <w:rPr>
          <w:rFonts w:ascii="Times New Roman" w:hAnsi="Times New Roman" w:cs="Times New Roman"/>
          <w:sz w:val="24"/>
          <w:szCs w:val="24"/>
        </w:rPr>
        <w:t>(Foyer and Noctor, 2005a, Foyer and Noctor, 2005b)</w:t>
      </w:r>
      <w:r w:rsidRPr="00451B44">
        <w:rPr>
          <w:rFonts w:ascii="Times New Roman" w:hAnsi="Times New Roman" w:cs="Times New Roman"/>
          <w:sz w:val="24"/>
          <w:szCs w:val="24"/>
        </w:rPr>
        <w:t>.</w:t>
      </w:r>
    </w:p>
    <w:p w:rsidR="004B4E5E" w:rsidRPr="00451B44" w:rsidRDefault="004B4E5E" w:rsidP="002B4B8D">
      <w:pPr>
        <w:autoSpaceDE w:val="0"/>
        <w:autoSpaceDN w:val="0"/>
        <w:adjustRightInd w:val="0"/>
        <w:spacing w:after="0" w:line="480" w:lineRule="auto"/>
        <w:rPr>
          <w:rFonts w:ascii="Times New Roman" w:hAnsi="Times New Roman" w:cs="Times New Roman"/>
          <w:sz w:val="24"/>
          <w:szCs w:val="24"/>
        </w:rPr>
      </w:pPr>
    </w:p>
    <w:p w:rsidR="004B4E5E" w:rsidRPr="00451B44" w:rsidRDefault="004B4E5E" w:rsidP="00912CF3">
      <w:pPr>
        <w:pStyle w:val="ListParagraph"/>
        <w:numPr>
          <w:ilvl w:val="4"/>
          <w:numId w:val="18"/>
        </w:numPr>
        <w:autoSpaceDE w:val="0"/>
        <w:autoSpaceDN w:val="0"/>
        <w:adjustRightInd w:val="0"/>
        <w:spacing w:after="0" w:line="480" w:lineRule="auto"/>
        <w:ind w:hanging="2466"/>
        <w:rPr>
          <w:rFonts w:ascii="Times New Roman" w:hAnsi="Times New Roman" w:cs="Times New Roman"/>
          <w:b/>
          <w:bCs/>
          <w:sz w:val="24"/>
          <w:szCs w:val="24"/>
        </w:rPr>
      </w:pPr>
      <w:r w:rsidRPr="00451B44">
        <w:rPr>
          <w:rFonts w:ascii="Times New Roman" w:hAnsi="Times New Roman" w:cs="Times New Roman"/>
          <w:b/>
          <w:bCs/>
          <w:sz w:val="24"/>
          <w:szCs w:val="24"/>
        </w:rPr>
        <w:t>Mitochondria – key regulators of plant PCD?</w:t>
      </w:r>
    </w:p>
    <w:p w:rsidR="004B4E5E" w:rsidRPr="00451B44" w:rsidRDefault="004B4E5E" w:rsidP="002B4B8D">
      <w:pPr>
        <w:autoSpaceDE w:val="0"/>
        <w:autoSpaceDN w:val="0"/>
        <w:adjustRightInd w:val="0"/>
        <w:spacing w:after="0" w:line="480" w:lineRule="auto"/>
        <w:rPr>
          <w:rFonts w:ascii="Times New Roman" w:hAnsi="Times New Roman" w:cs="Times New Roman"/>
          <w:sz w:val="24"/>
          <w:szCs w:val="24"/>
        </w:rPr>
      </w:pPr>
      <w:r w:rsidRPr="00451B44">
        <w:rPr>
          <w:rFonts w:ascii="Times New Roman" w:hAnsi="Times New Roman" w:cs="Times New Roman"/>
          <w:sz w:val="24"/>
          <w:szCs w:val="24"/>
        </w:rPr>
        <w:t xml:space="preserve">The mitochondrion is a central regulator of apoptosis in animal cells and </w:t>
      </w:r>
      <w:r>
        <w:rPr>
          <w:rFonts w:ascii="Times New Roman" w:hAnsi="Times New Roman" w:cs="Times New Roman"/>
          <w:sz w:val="24"/>
          <w:szCs w:val="24"/>
        </w:rPr>
        <w:t xml:space="preserve">a similar regulatory role has been </w:t>
      </w:r>
      <w:r w:rsidRPr="00451B44">
        <w:rPr>
          <w:rFonts w:ascii="Times New Roman" w:hAnsi="Times New Roman" w:cs="Times New Roman"/>
          <w:sz w:val="24"/>
          <w:szCs w:val="24"/>
        </w:rPr>
        <w:t xml:space="preserve">suggested by </w:t>
      </w:r>
      <w:r>
        <w:rPr>
          <w:rFonts w:ascii="Times New Roman" w:hAnsi="Times New Roman" w:cs="Times New Roman"/>
          <w:sz w:val="24"/>
          <w:szCs w:val="24"/>
        </w:rPr>
        <w:t xml:space="preserve">several </w:t>
      </w:r>
      <w:r w:rsidRPr="00451B44">
        <w:rPr>
          <w:rFonts w:ascii="Times New Roman" w:hAnsi="Times New Roman" w:cs="Times New Roman"/>
          <w:sz w:val="24"/>
          <w:szCs w:val="24"/>
        </w:rPr>
        <w:t>plant PCD studies (Balk</w:t>
      </w:r>
      <w:r w:rsidRPr="00451B44">
        <w:rPr>
          <w:rFonts w:ascii="Times New Roman" w:hAnsi="Times New Roman" w:cs="Times New Roman"/>
          <w:i/>
          <w:iCs/>
          <w:sz w:val="24"/>
          <w:szCs w:val="24"/>
        </w:rPr>
        <w:t xml:space="preserve"> et al.</w:t>
      </w:r>
      <w:r w:rsidRPr="00451B44">
        <w:rPr>
          <w:rFonts w:ascii="Times New Roman" w:hAnsi="Times New Roman" w:cs="Times New Roman"/>
          <w:sz w:val="24"/>
          <w:szCs w:val="24"/>
        </w:rPr>
        <w:t xml:space="preserve">, 2003, Scott and Logan, 2008). Balk </w:t>
      </w:r>
      <w:r w:rsidRPr="00451B44">
        <w:rPr>
          <w:rFonts w:ascii="Times New Roman" w:hAnsi="Times New Roman" w:cs="Times New Roman"/>
          <w:i/>
          <w:iCs/>
          <w:sz w:val="24"/>
          <w:szCs w:val="24"/>
        </w:rPr>
        <w:t xml:space="preserve">et al. </w:t>
      </w:r>
      <w:r w:rsidRPr="00451B44">
        <w:rPr>
          <w:rFonts w:ascii="Times New Roman" w:hAnsi="Times New Roman" w:cs="Times New Roman"/>
          <w:noProof/>
          <w:sz w:val="24"/>
          <w:szCs w:val="24"/>
        </w:rPr>
        <w:t>(2003)</w:t>
      </w:r>
      <w:r w:rsidRPr="00451B44">
        <w:rPr>
          <w:rFonts w:ascii="Times New Roman" w:hAnsi="Times New Roman" w:cs="Times New Roman"/>
          <w:sz w:val="24"/>
          <w:szCs w:val="24"/>
        </w:rPr>
        <w:t xml:space="preserve"> used an</w:t>
      </w:r>
      <w:r w:rsidRPr="00451B44">
        <w:rPr>
          <w:rFonts w:ascii="Times New Roman" w:hAnsi="Times New Roman" w:cs="Times New Roman"/>
          <w:i/>
          <w:iCs/>
          <w:sz w:val="24"/>
          <w:szCs w:val="24"/>
        </w:rPr>
        <w:t xml:space="preserve"> Arabidopsis</w:t>
      </w:r>
      <w:r w:rsidRPr="00451B44">
        <w:rPr>
          <w:rFonts w:ascii="Times New Roman" w:hAnsi="Times New Roman" w:cs="Times New Roman"/>
          <w:sz w:val="24"/>
          <w:szCs w:val="24"/>
        </w:rPr>
        <w:t xml:space="preserve"> cell-free system to monitor PCD-associated changes in isolated nuclei</w:t>
      </w:r>
      <w:r>
        <w:rPr>
          <w:rFonts w:ascii="Times New Roman" w:hAnsi="Times New Roman" w:cs="Times New Roman"/>
          <w:sz w:val="24"/>
          <w:szCs w:val="24"/>
        </w:rPr>
        <w:t xml:space="preserve"> when they where incubated with mitochondria and/or cytosolic extract</w:t>
      </w:r>
      <w:r w:rsidRPr="00451B44">
        <w:rPr>
          <w:rFonts w:ascii="Times New Roman" w:hAnsi="Times New Roman" w:cs="Times New Roman"/>
          <w:sz w:val="24"/>
          <w:szCs w:val="24"/>
        </w:rPr>
        <w:t xml:space="preserve">. They observed that </w:t>
      </w:r>
      <w:r>
        <w:rPr>
          <w:rFonts w:ascii="Times New Roman" w:hAnsi="Times New Roman" w:cs="Times New Roman"/>
          <w:sz w:val="24"/>
          <w:szCs w:val="24"/>
        </w:rPr>
        <w:t xml:space="preserve">adding broken mitochondria resulted in DNA degradation by two mechanisms. One mechanism required the addition of cytosol and resulted in DNA fragmentation after 12 hours. The second mechanism did not require the cytosol and led to </w:t>
      </w:r>
      <w:r w:rsidRPr="00451B44">
        <w:rPr>
          <w:rFonts w:ascii="Times New Roman" w:hAnsi="Times New Roman" w:cs="Times New Roman"/>
          <w:color w:val="000000"/>
          <w:sz w:val="24"/>
          <w:szCs w:val="24"/>
        </w:rPr>
        <w:t>the induction of high-molecular-weight fragmentation of DNA and chromatin condensation</w:t>
      </w:r>
      <w:r>
        <w:rPr>
          <w:rFonts w:ascii="Times New Roman" w:hAnsi="Times New Roman" w:cs="Times New Roman"/>
          <w:color w:val="000000"/>
          <w:sz w:val="24"/>
          <w:szCs w:val="24"/>
        </w:rPr>
        <w:t>. They found</w:t>
      </w:r>
      <w:r w:rsidRPr="00451B44">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a </w:t>
      </w:r>
      <w:r w:rsidRPr="00451B44">
        <w:rPr>
          <w:rFonts w:ascii="Times New Roman" w:hAnsi="Times New Roman" w:cs="Times New Roman"/>
          <w:color w:val="000000"/>
          <w:sz w:val="24"/>
          <w:szCs w:val="24"/>
        </w:rPr>
        <w:t>Mg</w:t>
      </w:r>
      <w:r w:rsidRPr="00451B44">
        <w:rPr>
          <w:rFonts w:ascii="Times New Roman" w:hAnsi="Times New Roman" w:cs="Times New Roman"/>
          <w:color w:val="000000"/>
          <w:sz w:val="24"/>
          <w:szCs w:val="24"/>
          <w:vertAlign w:val="superscript"/>
        </w:rPr>
        <w:t>2+</w:t>
      </w:r>
      <w:r w:rsidRPr="00451B44">
        <w:rPr>
          <w:rFonts w:ascii="Times New Roman" w:hAnsi="Times New Roman" w:cs="Times New Roman"/>
          <w:color w:val="000000"/>
          <w:sz w:val="24"/>
          <w:szCs w:val="24"/>
        </w:rPr>
        <w:t xml:space="preserve"> dependent nuclease contained in the IMS </w:t>
      </w:r>
      <w:r>
        <w:rPr>
          <w:rFonts w:ascii="Times New Roman" w:hAnsi="Times New Roman" w:cs="Times New Roman"/>
          <w:color w:val="000000"/>
          <w:sz w:val="24"/>
          <w:szCs w:val="24"/>
        </w:rPr>
        <w:t xml:space="preserve">was </w:t>
      </w:r>
      <w:r w:rsidRPr="00451B44">
        <w:rPr>
          <w:rFonts w:ascii="Times New Roman" w:hAnsi="Times New Roman" w:cs="Times New Roman"/>
          <w:color w:val="000000"/>
          <w:sz w:val="24"/>
          <w:szCs w:val="24"/>
        </w:rPr>
        <w:t>involved in the high molecular weight DNA cleavage and chromatin condensation</w:t>
      </w:r>
      <w:r>
        <w:rPr>
          <w:rFonts w:ascii="Times New Roman" w:hAnsi="Times New Roman" w:cs="Times New Roman"/>
          <w:color w:val="000000"/>
          <w:sz w:val="24"/>
          <w:szCs w:val="24"/>
        </w:rPr>
        <w:t xml:space="preserve"> (Balk </w:t>
      </w:r>
      <w:r w:rsidRPr="00F90CFE">
        <w:rPr>
          <w:rFonts w:ascii="Times New Roman" w:hAnsi="Times New Roman" w:cs="Times New Roman"/>
          <w:i/>
          <w:iCs/>
          <w:color w:val="000000"/>
          <w:sz w:val="24"/>
          <w:szCs w:val="24"/>
        </w:rPr>
        <w:t>et al</w:t>
      </w:r>
      <w:r>
        <w:rPr>
          <w:rFonts w:ascii="Times New Roman" w:hAnsi="Times New Roman" w:cs="Times New Roman"/>
          <w:color w:val="000000"/>
          <w:sz w:val="24"/>
          <w:szCs w:val="24"/>
        </w:rPr>
        <w:t>., 2003)</w:t>
      </w:r>
      <w:r w:rsidRPr="00451B44">
        <w:rPr>
          <w:rFonts w:ascii="Times New Roman" w:hAnsi="Times New Roman" w:cs="Times New Roman"/>
          <w:color w:val="000000"/>
          <w:sz w:val="24"/>
          <w:szCs w:val="24"/>
        </w:rPr>
        <w:t xml:space="preserve">. Scott and Logan </w:t>
      </w:r>
      <w:r w:rsidRPr="00451B44">
        <w:rPr>
          <w:rFonts w:ascii="Times New Roman" w:hAnsi="Times New Roman" w:cs="Times New Roman"/>
          <w:noProof/>
          <w:color w:val="000000"/>
          <w:sz w:val="24"/>
          <w:szCs w:val="24"/>
        </w:rPr>
        <w:t>(2008)</w:t>
      </w:r>
      <w:r w:rsidRPr="00451B44">
        <w:rPr>
          <w:rFonts w:ascii="Times New Roman" w:hAnsi="Times New Roman" w:cs="Times New Roman"/>
          <w:color w:val="000000"/>
          <w:sz w:val="24"/>
          <w:szCs w:val="24"/>
        </w:rPr>
        <w:t xml:space="preserve"> used an </w:t>
      </w:r>
      <w:r w:rsidRPr="00451B44">
        <w:rPr>
          <w:rFonts w:ascii="Times New Roman" w:hAnsi="Times New Roman" w:cs="Times New Roman"/>
          <w:i/>
          <w:iCs/>
          <w:color w:val="000000"/>
          <w:sz w:val="24"/>
          <w:szCs w:val="24"/>
        </w:rPr>
        <w:t>Arabidopsis</w:t>
      </w:r>
      <w:r w:rsidRPr="00451B44">
        <w:rPr>
          <w:rFonts w:ascii="Times New Roman" w:hAnsi="Times New Roman" w:cs="Times New Roman"/>
          <w:color w:val="000000"/>
          <w:sz w:val="24"/>
          <w:szCs w:val="24"/>
        </w:rPr>
        <w:t xml:space="preserve"> protoplast system expressing mitochondrial targeted GFP to investigate the role of mitochondria in plant cell death. They observed that very shortly after chemical (ROS) or physical (moderate heat treatment) stress, mitochondria undergo a so-called mitochondrial morphology transition (MMT), gaining a swollen appearance and this preceded cell death by many hours. MMT was eliminated by pre-incubation with lant</w:t>
      </w:r>
      <w:r>
        <w:rPr>
          <w:rFonts w:ascii="Times New Roman" w:hAnsi="Times New Roman" w:cs="Times New Roman"/>
          <w:color w:val="000000"/>
          <w:sz w:val="24"/>
          <w:szCs w:val="24"/>
        </w:rPr>
        <w:t>hanum chloride (calcium channel blocker), cyclosporin A</w:t>
      </w:r>
      <w:r w:rsidRPr="00451B44">
        <w:rPr>
          <w:rFonts w:ascii="Times New Roman" w:hAnsi="Times New Roman" w:cs="Times New Roman"/>
          <w:color w:val="000000"/>
          <w:sz w:val="24"/>
          <w:szCs w:val="24"/>
        </w:rPr>
        <w:t xml:space="preserve"> </w:t>
      </w:r>
      <w:r>
        <w:rPr>
          <w:rFonts w:ascii="Times New Roman" w:hAnsi="Times New Roman" w:cs="Times New Roman"/>
          <w:color w:val="000000"/>
          <w:sz w:val="24"/>
          <w:szCs w:val="24"/>
        </w:rPr>
        <w:t>(</w:t>
      </w:r>
      <w:r w:rsidRPr="00451B44">
        <w:rPr>
          <w:rFonts w:ascii="Times New Roman" w:hAnsi="Times New Roman" w:cs="Times New Roman"/>
          <w:color w:val="000000"/>
          <w:sz w:val="24"/>
          <w:szCs w:val="24"/>
        </w:rPr>
        <w:t>inhibitor of permeability transition pore formation) or superoxi</w:t>
      </w:r>
      <w:r>
        <w:rPr>
          <w:rFonts w:ascii="Times New Roman" w:hAnsi="Times New Roman" w:cs="Times New Roman"/>
          <w:color w:val="000000"/>
          <w:sz w:val="24"/>
          <w:szCs w:val="24"/>
        </w:rPr>
        <w:t>de dismutase analogue TEMPOL (</w:t>
      </w:r>
      <w:r w:rsidRPr="00451B44">
        <w:rPr>
          <w:rFonts w:ascii="Times New Roman" w:hAnsi="Times New Roman" w:cs="Times New Roman"/>
          <w:color w:val="000000"/>
          <w:sz w:val="24"/>
          <w:szCs w:val="24"/>
        </w:rPr>
        <w:t>ROS scaven</w:t>
      </w:r>
      <w:r>
        <w:rPr>
          <w:rFonts w:ascii="Times New Roman" w:hAnsi="Times New Roman" w:cs="Times New Roman"/>
          <w:color w:val="000000"/>
          <w:sz w:val="24"/>
          <w:szCs w:val="24"/>
        </w:rPr>
        <w:t>ger), and as a result</w:t>
      </w:r>
      <w:r w:rsidRPr="00451B44">
        <w:rPr>
          <w:rFonts w:ascii="Times New Roman" w:hAnsi="Times New Roman" w:cs="Times New Roman"/>
          <w:color w:val="000000"/>
          <w:sz w:val="24"/>
          <w:szCs w:val="24"/>
        </w:rPr>
        <w:t xml:space="preserve"> cell death was blocked. Cha</w:t>
      </w:r>
      <w:r>
        <w:rPr>
          <w:rFonts w:ascii="Times New Roman" w:hAnsi="Times New Roman" w:cs="Times New Roman"/>
          <w:color w:val="000000"/>
          <w:sz w:val="24"/>
          <w:szCs w:val="24"/>
        </w:rPr>
        <w:t xml:space="preserve">nges in mitochondrial shape has </w:t>
      </w:r>
      <w:r w:rsidRPr="00451B44">
        <w:rPr>
          <w:rFonts w:ascii="Times New Roman" w:hAnsi="Times New Roman" w:cs="Times New Roman"/>
          <w:color w:val="000000"/>
          <w:sz w:val="24"/>
          <w:szCs w:val="24"/>
        </w:rPr>
        <w:t xml:space="preserve">also </w:t>
      </w:r>
      <w:r>
        <w:rPr>
          <w:rFonts w:ascii="Times New Roman" w:hAnsi="Times New Roman" w:cs="Times New Roman"/>
          <w:color w:val="000000"/>
          <w:sz w:val="24"/>
          <w:szCs w:val="24"/>
        </w:rPr>
        <w:t xml:space="preserve">been reported in </w:t>
      </w:r>
      <w:r w:rsidRPr="00451B44">
        <w:rPr>
          <w:rFonts w:ascii="Times New Roman" w:hAnsi="Times New Roman" w:cs="Times New Roman"/>
          <w:color w:val="000000"/>
          <w:sz w:val="24"/>
          <w:szCs w:val="24"/>
        </w:rPr>
        <w:t xml:space="preserve">other studies on UV-C </w:t>
      </w:r>
      <w:r w:rsidRPr="00451B44">
        <w:rPr>
          <w:rFonts w:ascii="Times New Roman" w:hAnsi="Times New Roman" w:cs="Times New Roman"/>
          <w:noProof/>
          <w:color w:val="000000"/>
          <w:sz w:val="24"/>
          <w:szCs w:val="24"/>
        </w:rPr>
        <w:t>(Gao</w:t>
      </w:r>
      <w:r w:rsidRPr="00451B44">
        <w:rPr>
          <w:rFonts w:ascii="Times New Roman" w:hAnsi="Times New Roman" w:cs="Times New Roman"/>
          <w:i/>
          <w:iCs/>
          <w:noProof/>
          <w:color w:val="000000"/>
          <w:sz w:val="24"/>
          <w:szCs w:val="24"/>
        </w:rPr>
        <w:t xml:space="preserve"> et al.</w:t>
      </w:r>
      <w:r w:rsidRPr="00451B44">
        <w:rPr>
          <w:rFonts w:ascii="Times New Roman" w:hAnsi="Times New Roman" w:cs="Times New Roman"/>
          <w:noProof/>
          <w:color w:val="000000"/>
          <w:sz w:val="24"/>
          <w:szCs w:val="24"/>
        </w:rPr>
        <w:t>, 2008a)</w:t>
      </w:r>
      <w:r w:rsidRPr="00451B44">
        <w:rPr>
          <w:rFonts w:ascii="Times New Roman" w:hAnsi="Times New Roman" w:cs="Times New Roman"/>
          <w:color w:val="000000"/>
          <w:sz w:val="24"/>
          <w:szCs w:val="24"/>
        </w:rPr>
        <w:t xml:space="preserve"> or protoporphyrin IX - PPIX </w:t>
      </w:r>
      <w:r w:rsidRPr="00451B44">
        <w:rPr>
          <w:rFonts w:ascii="Times New Roman" w:hAnsi="Times New Roman" w:cs="Times New Roman"/>
          <w:noProof/>
          <w:color w:val="000000"/>
          <w:sz w:val="24"/>
          <w:szCs w:val="24"/>
        </w:rPr>
        <w:t>(Yao and Greenberg, 2006)</w:t>
      </w:r>
      <w:r w:rsidRPr="00451B44">
        <w:rPr>
          <w:rFonts w:ascii="Times New Roman" w:hAnsi="Times New Roman" w:cs="Times New Roman"/>
          <w:color w:val="000000"/>
          <w:sz w:val="24"/>
          <w:szCs w:val="24"/>
        </w:rPr>
        <w:t xml:space="preserve"> induced PCD in </w:t>
      </w:r>
      <w:r w:rsidRPr="00451B44">
        <w:rPr>
          <w:rFonts w:ascii="Times New Roman" w:hAnsi="Times New Roman" w:cs="Times New Roman"/>
          <w:i/>
          <w:iCs/>
          <w:color w:val="000000"/>
          <w:sz w:val="24"/>
          <w:szCs w:val="24"/>
        </w:rPr>
        <w:t xml:space="preserve">Arabidopsis </w:t>
      </w:r>
      <w:r w:rsidRPr="00451B44">
        <w:rPr>
          <w:rFonts w:ascii="Times New Roman" w:hAnsi="Times New Roman" w:cs="Times New Roman"/>
          <w:color w:val="000000"/>
          <w:sz w:val="24"/>
          <w:szCs w:val="24"/>
        </w:rPr>
        <w:t xml:space="preserve">protoplasts and also prior to the final stages of senescence in </w:t>
      </w:r>
      <w:r w:rsidRPr="00451B44">
        <w:rPr>
          <w:rFonts w:ascii="Times New Roman" w:hAnsi="Times New Roman" w:cs="Times New Roman"/>
          <w:i/>
          <w:iCs/>
          <w:color w:val="000000"/>
          <w:sz w:val="24"/>
          <w:szCs w:val="24"/>
        </w:rPr>
        <w:t>Medicago truncatula</w:t>
      </w:r>
      <w:r w:rsidRPr="00451B44">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(barrel clover) </w:t>
      </w:r>
      <w:r w:rsidRPr="00451B44">
        <w:rPr>
          <w:rFonts w:ascii="Times New Roman" w:hAnsi="Times New Roman" w:cs="Times New Roman"/>
          <w:color w:val="000000"/>
          <w:sz w:val="24"/>
          <w:szCs w:val="24"/>
        </w:rPr>
        <w:t>cell suspension culture</w:t>
      </w:r>
      <w:r>
        <w:rPr>
          <w:rFonts w:ascii="Times New Roman" w:hAnsi="Times New Roman" w:cs="Times New Roman"/>
          <w:color w:val="000000"/>
          <w:sz w:val="24"/>
          <w:szCs w:val="24"/>
        </w:rPr>
        <w:t>s</w:t>
      </w:r>
      <w:r w:rsidRPr="00451B44">
        <w:rPr>
          <w:rFonts w:ascii="Times New Roman" w:hAnsi="Times New Roman" w:cs="Times New Roman"/>
          <w:color w:val="000000"/>
          <w:sz w:val="24"/>
          <w:szCs w:val="24"/>
        </w:rPr>
        <w:t xml:space="preserve"> </w:t>
      </w:r>
      <w:r w:rsidRPr="00451B44">
        <w:rPr>
          <w:rFonts w:ascii="Times New Roman" w:hAnsi="Times New Roman" w:cs="Times New Roman"/>
          <w:noProof/>
          <w:color w:val="000000"/>
          <w:sz w:val="24"/>
          <w:szCs w:val="24"/>
        </w:rPr>
        <w:t>(Zottini</w:t>
      </w:r>
      <w:r w:rsidRPr="00451B44">
        <w:rPr>
          <w:rFonts w:ascii="Times New Roman" w:hAnsi="Times New Roman" w:cs="Times New Roman"/>
          <w:i/>
          <w:iCs/>
          <w:noProof/>
          <w:color w:val="000000"/>
          <w:sz w:val="24"/>
          <w:szCs w:val="24"/>
        </w:rPr>
        <w:t xml:space="preserve"> et al.</w:t>
      </w:r>
      <w:r w:rsidRPr="00451B44">
        <w:rPr>
          <w:rFonts w:ascii="Times New Roman" w:hAnsi="Times New Roman" w:cs="Times New Roman"/>
          <w:noProof/>
          <w:color w:val="000000"/>
          <w:sz w:val="24"/>
          <w:szCs w:val="24"/>
        </w:rPr>
        <w:t>, 2006)</w:t>
      </w:r>
      <w:r>
        <w:rPr>
          <w:rFonts w:ascii="Times New Roman" w:hAnsi="Times New Roman" w:cs="Times New Roman"/>
          <w:color w:val="000000"/>
          <w:sz w:val="24"/>
          <w:szCs w:val="24"/>
        </w:rPr>
        <w:t xml:space="preserve">. The </w:t>
      </w:r>
      <w:r w:rsidRPr="00451B44">
        <w:rPr>
          <w:rFonts w:ascii="Times New Roman" w:hAnsi="Times New Roman" w:cs="Times New Roman"/>
          <w:color w:val="000000"/>
          <w:sz w:val="24"/>
          <w:szCs w:val="24"/>
        </w:rPr>
        <w:t xml:space="preserve">aforementioned studies suggest that the mitochondrial events constitute a relatively early and significant component of plant cell PCD. </w:t>
      </w:r>
    </w:p>
    <w:p w:rsidR="004B4E5E" w:rsidRDefault="004B4E5E" w:rsidP="002B4B8D">
      <w:pPr>
        <w:autoSpaceDE w:val="0"/>
        <w:autoSpaceDN w:val="0"/>
        <w:adjustRightInd w:val="0"/>
        <w:spacing w:after="0" w:line="480" w:lineRule="auto"/>
        <w:rPr>
          <w:rFonts w:ascii="Times New Roman" w:hAnsi="Times New Roman" w:cs="Times New Roman"/>
          <w:sz w:val="24"/>
          <w:szCs w:val="24"/>
        </w:rPr>
      </w:pPr>
    </w:p>
    <w:p w:rsidR="004B4E5E" w:rsidRPr="00451B44" w:rsidRDefault="004B4E5E" w:rsidP="002B4B8D">
      <w:pPr>
        <w:autoSpaceDE w:val="0"/>
        <w:autoSpaceDN w:val="0"/>
        <w:adjustRightInd w:val="0"/>
        <w:spacing w:after="0" w:line="480" w:lineRule="auto"/>
        <w:rPr>
          <w:rFonts w:ascii="Times New Roman" w:hAnsi="Times New Roman" w:cs="Times New Roman"/>
          <w:sz w:val="24"/>
          <w:szCs w:val="24"/>
        </w:rPr>
      </w:pPr>
      <w:r w:rsidRPr="00451B44">
        <w:rPr>
          <w:rFonts w:ascii="Times New Roman" w:hAnsi="Times New Roman" w:cs="Times New Roman"/>
          <w:sz w:val="24"/>
          <w:szCs w:val="24"/>
        </w:rPr>
        <w:t>Consistent with animal cell death studie</w:t>
      </w:r>
      <w:r>
        <w:rPr>
          <w:rFonts w:ascii="Times New Roman" w:hAnsi="Times New Roman" w:cs="Times New Roman"/>
          <w:sz w:val="24"/>
          <w:szCs w:val="24"/>
        </w:rPr>
        <w:t xml:space="preserve">s, the release of cyt </w:t>
      </w:r>
      <w:r w:rsidRPr="00F744F3">
        <w:rPr>
          <w:rFonts w:ascii="Times New Roman" w:hAnsi="Times New Roman" w:cs="Times New Roman"/>
          <w:i/>
          <w:iCs/>
          <w:sz w:val="24"/>
          <w:szCs w:val="24"/>
        </w:rPr>
        <w:t>c</w:t>
      </w:r>
      <w:r>
        <w:rPr>
          <w:rFonts w:ascii="Times New Roman" w:hAnsi="Times New Roman" w:cs="Times New Roman"/>
          <w:sz w:val="24"/>
          <w:szCs w:val="24"/>
        </w:rPr>
        <w:t xml:space="preserve"> has been</w:t>
      </w:r>
      <w:r w:rsidRPr="00451B44">
        <w:rPr>
          <w:rFonts w:ascii="Times New Roman" w:hAnsi="Times New Roman" w:cs="Times New Roman"/>
          <w:sz w:val="24"/>
          <w:szCs w:val="24"/>
        </w:rPr>
        <w:t xml:space="preserve"> reported during P</w:t>
      </w:r>
      <w:r>
        <w:rPr>
          <w:rFonts w:ascii="Times New Roman" w:hAnsi="Times New Roman" w:cs="Times New Roman"/>
          <w:sz w:val="24"/>
          <w:szCs w:val="24"/>
        </w:rPr>
        <w:t>CD events in plant systems, for example,</w:t>
      </w:r>
      <w:r w:rsidRPr="00451B44">
        <w:rPr>
          <w:rFonts w:ascii="Times New Roman" w:hAnsi="Times New Roman" w:cs="Times New Roman"/>
          <w:sz w:val="24"/>
          <w:szCs w:val="24"/>
        </w:rPr>
        <w:t xml:space="preserve"> during developmental PCD in the tapetum of CMS sunflower </w:t>
      </w:r>
      <w:r w:rsidRPr="00451B44">
        <w:rPr>
          <w:rFonts w:ascii="Times New Roman" w:hAnsi="Times New Roman" w:cs="Times New Roman"/>
          <w:noProof/>
          <w:sz w:val="24"/>
          <w:szCs w:val="24"/>
        </w:rPr>
        <w:t>(Balk and Leaver, 2001)</w:t>
      </w:r>
      <w:r w:rsidRPr="00451B44">
        <w:rPr>
          <w:rFonts w:ascii="Times New Roman" w:hAnsi="Times New Roman" w:cs="Times New Roman"/>
          <w:sz w:val="24"/>
          <w:szCs w:val="24"/>
        </w:rPr>
        <w:t xml:space="preserve">, death of pollen tubes during self-incompatibility in </w:t>
      </w:r>
      <w:r w:rsidRPr="00451B44">
        <w:rPr>
          <w:rFonts w:ascii="Times New Roman" w:hAnsi="Times New Roman" w:cs="Times New Roman"/>
          <w:i/>
          <w:iCs/>
          <w:sz w:val="24"/>
          <w:szCs w:val="24"/>
        </w:rPr>
        <w:t>Papaver</w:t>
      </w:r>
      <w:r w:rsidRPr="00451B44">
        <w:rPr>
          <w:rFonts w:ascii="Times New Roman" w:hAnsi="Times New Roman" w:cs="Times New Roman"/>
          <w:sz w:val="24"/>
          <w:szCs w:val="24"/>
        </w:rPr>
        <w:t xml:space="preserve"> </w:t>
      </w:r>
      <w:r>
        <w:rPr>
          <w:rFonts w:ascii="Times New Roman" w:hAnsi="Times New Roman" w:cs="Times New Roman"/>
          <w:sz w:val="24"/>
          <w:szCs w:val="24"/>
        </w:rPr>
        <w:t xml:space="preserve">(poppy) </w:t>
      </w:r>
      <w:r w:rsidRPr="00451B44">
        <w:rPr>
          <w:rFonts w:ascii="Times New Roman" w:hAnsi="Times New Roman" w:cs="Times New Roman"/>
          <w:sz w:val="24"/>
          <w:szCs w:val="24"/>
        </w:rPr>
        <w:t xml:space="preserve">pollen </w:t>
      </w:r>
      <w:r w:rsidRPr="00451B44">
        <w:rPr>
          <w:rFonts w:ascii="Times New Roman" w:hAnsi="Times New Roman" w:cs="Times New Roman"/>
          <w:noProof/>
          <w:sz w:val="24"/>
          <w:szCs w:val="24"/>
        </w:rPr>
        <w:t>(Thomas and Franklin-Tong, 2004)</w:t>
      </w:r>
      <w:r w:rsidRPr="00451B44">
        <w:rPr>
          <w:rFonts w:ascii="Times New Roman" w:hAnsi="Times New Roman" w:cs="Times New Roman"/>
          <w:sz w:val="24"/>
          <w:szCs w:val="24"/>
        </w:rPr>
        <w:t>, or in cell culture models after applicatio</w:t>
      </w:r>
      <w:r>
        <w:rPr>
          <w:rFonts w:ascii="Times New Roman" w:hAnsi="Times New Roman" w:cs="Times New Roman"/>
          <w:sz w:val="24"/>
          <w:szCs w:val="24"/>
        </w:rPr>
        <w:t>n of death inducing stimuli such as,</w:t>
      </w:r>
      <w:r w:rsidRPr="00451B44">
        <w:rPr>
          <w:rFonts w:ascii="Times New Roman" w:hAnsi="Times New Roman" w:cs="Times New Roman"/>
          <w:sz w:val="24"/>
          <w:szCs w:val="24"/>
        </w:rPr>
        <w:t xml:space="preserve"> heat shock, D-mannose, menadione, harpin or ceramide treatment </w:t>
      </w:r>
      <w:r>
        <w:rPr>
          <w:rFonts w:ascii="Times New Roman" w:hAnsi="Times New Roman" w:cs="Times New Roman"/>
          <w:sz w:val="24"/>
          <w:szCs w:val="24"/>
        </w:rPr>
        <w:t>(Balk</w:t>
      </w:r>
      <w:r w:rsidRPr="00B75D86">
        <w:rPr>
          <w:rFonts w:ascii="Times New Roman" w:hAnsi="Times New Roman" w:cs="Times New Roman"/>
          <w:i/>
          <w:iCs/>
          <w:sz w:val="24"/>
          <w:szCs w:val="24"/>
        </w:rPr>
        <w:t xml:space="preserve"> et al.</w:t>
      </w:r>
      <w:r>
        <w:rPr>
          <w:rFonts w:ascii="Times New Roman" w:hAnsi="Times New Roman" w:cs="Times New Roman"/>
          <w:sz w:val="24"/>
          <w:szCs w:val="24"/>
        </w:rPr>
        <w:t>, 2003, Balk</w:t>
      </w:r>
      <w:r w:rsidRPr="00B75D86">
        <w:rPr>
          <w:rFonts w:ascii="Times New Roman" w:hAnsi="Times New Roman" w:cs="Times New Roman"/>
          <w:i/>
          <w:iCs/>
          <w:sz w:val="24"/>
          <w:szCs w:val="24"/>
        </w:rPr>
        <w:t xml:space="preserve"> et al.</w:t>
      </w:r>
      <w:r>
        <w:rPr>
          <w:rFonts w:ascii="Times New Roman" w:hAnsi="Times New Roman" w:cs="Times New Roman"/>
          <w:sz w:val="24"/>
          <w:szCs w:val="24"/>
        </w:rPr>
        <w:t>, 1999, Krause and Durner, 2004, Stein and Hansen, 1999, Sun</w:t>
      </w:r>
      <w:r w:rsidRPr="00B75D86">
        <w:rPr>
          <w:rFonts w:ascii="Times New Roman" w:hAnsi="Times New Roman" w:cs="Times New Roman"/>
          <w:i/>
          <w:iCs/>
          <w:sz w:val="24"/>
          <w:szCs w:val="24"/>
        </w:rPr>
        <w:t xml:space="preserve"> et al.</w:t>
      </w:r>
      <w:r>
        <w:rPr>
          <w:rFonts w:ascii="Times New Roman" w:hAnsi="Times New Roman" w:cs="Times New Roman"/>
          <w:sz w:val="24"/>
          <w:szCs w:val="24"/>
        </w:rPr>
        <w:t>, 1999, Vacca</w:t>
      </w:r>
      <w:r w:rsidRPr="00B75D86">
        <w:rPr>
          <w:rFonts w:ascii="Times New Roman" w:hAnsi="Times New Roman" w:cs="Times New Roman"/>
          <w:i/>
          <w:iCs/>
          <w:sz w:val="24"/>
          <w:szCs w:val="24"/>
        </w:rPr>
        <w:t xml:space="preserve"> et al.</w:t>
      </w:r>
      <w:r>
        <w:rPr>
          <w:rFonts w:ascii="Times New Roman" w:hAnsi="Times New Roman" w:cs="Times New Roman"/>
          <w:sz w:val="24"/>
          <w:szCs w:val="24"/>
        </w:rPr>
        <w:t>, 2006, Yao</w:t>
      </w:r>
      <w:r w:rsidRPr="00B75D86">
        <w:rPr>
          <w:rFonts w:ascii="Times New Roman" w:hAnsi="Times New Roman" w:cs="Times New Roman"/>
          <w:i/>
          <w:iCs/>
          <w:sz w:val="24"/>
          <w:szCs w:val="24"/>
        </w:rPr>
        <w:t xml:space="preserve"> et al.</w:t>
      </w:r>
      <w:r>
        <w:rPr>
          <w:rFonts w:ascii="Times New Roman" w:hAnsi="Times New Roman" w:cs="Times New Roman"/>
          <w:sz w:val="24"/>
          <w:szCs w:val="24"/>
        </w:rPr>
        <w:t>, 2004)</w:t>
      </w:r>
      <w:r w:rsidRPr="00451B44">
        <w:rPr>
          <w:rFonts w:ascii="Times New Roman" w:hAnsi="Times New Roman" w:cs="Times New Roman"/>
          <w:sz w:val="24"/>
          <w:szCs w:val="24"/>
        </w:rPr>
        <w:t xml:space="preserve">. </w:t>
      </w:r>
      <w:r w:rsidRPr="00F744F3">
        <w:rPr>
          <w:rFonts w:ascii="Times New Roman" w:hAnsi="Times New Roman" w:cs="Times New Roman"/>
          <w:sz w:val="24"/>
          <w:szCs w:val="24"/>
        </w:rPr>
        <w:t xml:space="preserve">Cyt </w:t>
      </w:r>
      <w:r w:rsidRPr="00F744F3">
        <w:rPr>
          <w:rFonts w:ascii="Times New Roman" w:hAnsi="Times New Roman" w:cs="Times New Roman"/>
          <w:i/>
          <w:iCs/>
          <w:sz w:val="24"/>
          <w:szCs w:val="24"/>
        </w:rPr>
        <w:t>c</w:t>
      </w:r>
      <w:r>
        <w:rPr>
          <w:rFonts w:ascii="Times New Roman" w:hAnsi="Times New Roman" w:cs="Times New Roman"/>
          <w:sz w:val="24"/>
          <w:szCs w:val="24"/>
        </w:rPr>
        <w:t xml:space="preserve"> release has</w:t>
      </w:r>
      <w:r w:rsidRPr="00451B44">
        <w:rPr>
          <w:rFonts w:ascii="Times New Roman" w:hAnsi="Times New Roman" w:cs="Times New Roman"/>
          <w:sz w:val="24"/>
          <w:szCs w:val="24"/>
        </w:rPr>
        <w:t xml:space="preserve"> also </w:t>
      </w:r>
      <w:r>
        <w:rPr>
          <w:rFonts w:ascii="Times New Roman" w:hAnsi="Times New Roman" w:cs="Times New Roman"/>
          <w:sz w:val="24"/>
          <w:szCs w:val="24"/>
        </w:rPr>
        <w:t xml:space="preserve">been </w:t>
      </w:r>
      <w:r w:rsidRPr="00451B44">
        <w:rPr>
          <w:rFonts w:ascii="Times New Roman" w:hAnsi="Times New Roman" w:cs="Times New Roman"/>
          <w:sz w:val="24"/>
          <w:szCs w:val="24"/>
        </w:rPr>
        <w:t xml:space="preserve">observed during differentiation of TEs in </w:t>
      </w:r>
      <w:r w:rsidRPr="00451B44">
        <w:rPr>
          <w:rFonts w:ascii="Times New Roman" w:hAnsi="Times New Roman" w:cs="Times New Roman"/>
          <w:i/>
          <w:iCs/>
          <w:sz w:val="24"/>
          <w:szCs w:val="24"/>
        </w:rPr>
        <w:t xml:space="preserve">Zinnia </w:t>
      </w:r>
      <w:r w:rsidRPr="00451B44">
        <w:rPr>
          <w:rFonts w:ascii="Times New Roman" w:hAnsi="Times New Roman" w:cs="Times New Roman"/>
          <w:sz w:val="24"/>
          <w:szCs w:val="24"/>
        </w:rPr>
        <w:t xml:space="preserve">cultures </w:t>
      </w:r>
      <w:r w:rsidRPr="00451B44">
        <w:rPr>
          <w:rFonts w:ascii="Times New Roman" w:hAnsi="Times New Roman" w:cs="Times New Roman"/>
          <w:noProof/>
          <w:sz w:val="24"/>
          <w:szCs w:val="24"/>
        </w:rPr>
        <w:t>(Yu</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2002)</w:t>
      </w:r>
      <w:r w:rsidRPr="00451B44">
        <w:rPr>
          <w:rFonts w:ascii="Times New Roman" w:hAnsi="Times New Roman" w:cs="Times New Roman"/>
          <w:sz w:val="24"/>
          <w:szCs w:val="24"/>
        </w:rPr>
        <w:t xml:space="preserve"> and </w:t>
      </w:r>
      <w:r>
        <w:rPr>
          <w:rFonts w:ascii="Times New Roman" w:hAnsi="Times New Roman" w:cs="Times New Roman"/>
          <w:sz w:val="24"/>
          <w:szCs w:val="24"/>
        </w:rPr>
        <w:t>following activation of the HR</w:t>
      </w:r>
      <w:r w:rsidRPr="00451B44">
        <w:rPr>
          <w:rFonts w:ascii="Times New Roman" w:hAnsi="Times New Roman" w:cs="Times New Roman"/>
          <w:sz w:val="24"/>
          <w:szCs w:val="24"/>
        </w:rPr>
        <w:t xml:space="preserve"> (Curtis and Wolpert, 2002, Kiba</w:t>
      </w:r>
      <w:r w:rsidRPr="00451B44">
        <w:rPr>
          <w:rFonts w:ascii="Times New Roman" w:hAnsi="Times New Roman" w:cs="Times New Roman"/>
          <w:i/>
          <w:iCs/>
          <w:sz w:val="24"/>
          <w:szCs w:val="24"/>
        </w:rPr>
        <w:t xml:space="preserve"> et al.</w:t>
      </w:r>
      <w:r w:rsidRPr="00451B44">
        <w:rPr>
          <w:rFonts w:ascii="Times New Roman" w:hAnsi="Times New Roman" w:cs="Times New Roman"/>
          <w:sz w:val="24"/>
          <w:szCs w:val="24"/>
        </w:rPr>
        <w:t xml:space="preserve">, 2006). Nevertheless, purified cyt </w:t>
      </w:r>
      <w:r w:rsidRPr="00F744F3">
        <w:rPr>
          <w:rFonts w:ascii="Times New Roman" w:hAnsi="Times New Roman" w:cs="Times New Roman"/>
          <w:i/>
          <w:iCs/>
          <w:sz w:val="24"/>
          <w:szCs w:val="24"/>
        </w:rPr>
        <w:t>c</w:t>
      </w:r>
      <w:r w:rsidRPr="00451B44">
        <w:rPr>
          <w:rFonts w:ascii="Times New Roman" w:hAnsi="Times New Roman" w:cs="Times New Roman"/>
          <w:sz w:val="24"/>
          <w:szCs w:val="24"/>
        </w:rPr>
        <w:t xml:space="preserve"> itself was not sufficient to induce PCD in </w:t>
      </w:r>
      <w:r>
        <w:rPr>
          <w:rFonts w:ascii="Times New Roman" w:hAnsi="Times New Roman" w:cs="Times New Roman"/>
          <w:sz w:val="24"/>
          <w:szCs w:val="24"/>
        </w:rPr>
        <w:t xml:space="preserve">an </w:t>
      </w:r>
      <w:r w:rsidRPr="006C307C">
        <w:rPr>
          <w:rFonts w:ascii="Times New Roman" w:hAnsi="Times New Roman" w:cs="Times New Roman"/>
          <w:i/>
          <w:iCs/>
          <w:sz w:val="24"/>
          <w:szCs w:val="24"/>
        </w:rPr>
        <w:t xml:space="preserve">Arabidopsis </w:t>
      </w:r>
      <w:r w:rsidRPr="00451B44">
        <w:rPr>
          <w:rFonts w:ascii="Times New Roman" w:hAnsi="Times New Roman" w:cs="Times New Roman"/>
          <w:sz w:val="24"/>
          <w:szCs w:val="24"/>
        </w:rPr>
        <w:t xml:space="preserve">cell free system </w:t>
      </w:r>
      <w:r w:rsidRPr="00451B44">
        <w:rPr>
          <w:rFonts w:ascii="Times New Roman" w:hAnsi="Times New Roman" w:cs="Times New Roman"/>
          <w:noProof/>
          <w:sz w:val="24"/>
          <w:szCs w:val="24"/>
        </w:rPr>
        <w:t>(Balk</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2003)</w:t>
      </w:r>
      <w:r w:rsidRPr="00451B44">
        <w:rPr>
          <w:rFonts w:ascii="Times New Roman" w:hAnsi="Times New Roman" w:cs="Times New Roman"/>
          <w:sz w:val="24"/>
          <w:szCs w:val="24"/>
        </w:rPr>
        <w:t xml:space="preserve"> and the death of TEs in </w:t>
      </w:r>
      <w:r w:rsidRPr="00451B44">
        <w:rPr>
          <w:rFonts w:ascii="Times New Roman" w:hAnsi="Times New Roman" w:cs="Times New Roman"/>
          <w:i/>
          <w:iCs/>
          <w:sz w:val="24"/>
          <w:szCs w:val="24"/>
        </w:rPr>
        <w:t>Zinnia elegans</w:t>
      </w:r>
      <w:r w:rsidRPr="00451B44">
        <w:rPr>
          <w:rFonts w:ascii="Times New Roman" w:hAnsi="Times New Roman" w:cs="Times New Roman"/>
          <w:sz w:val="24"/>
          <w:szCs w:val="24"/>
        </w:rPr>
        <w:t xml:space="preserve"> culture could be blocked </w:t>
      </w:r>
      <w:r>
        <w:rPr>
          <w:rFonts w:ascii="Times New Roman" w:hAnsi="Times New Roman" w:cs="Times New Roman"/>
          <w:sz w:val="24"/>
          <w:szCs w:val="24"/>
        </w:rPr>
        <w:t xml:space="preserve">with cyclosporine A, </w:t>
      </w:r>
      <w:r w:rsidRPr="00451B44">
        <w:rPr>
          <w:rFonts w:ascii="Times New Roman" w:hAnsi="Times New Roman" w:cs="Times New Roman"/>
          <w:sz w:val="24"/>
          <w:szCs w:val="24"/>
        </w:rPr>
        <w:t xml:space="preserve">without blocking cyt </w:t>
      </w:r>
      <w:r w:rsidRPr="00C64D1B">
        <w:rPr>
          <w:rFonts w:ascii="Times New Roman" w:hAnsi="Times New Roman" w:cs="Times New Roman"/>
          <w:i/>
          <w:iCs/>
          <w:sz w:val="24"/>
          <w:szCs w:val="24"/>
        </w:rPr>
        <w:t>c</w:t>
      </w:r>
      <w:r w:rsidRPr="00451B44">
        <w:rPr>
          <w:rFonts w:ascii="Times New Roman" w:hAnsi="Times New Roman" w:cs="Times New Roman"/>
          <w:sz w:val="24"/>
          <w:szCs w:val="24"/>
        </w:rPr>
        <w:t xml:space="preserve"> release</w:t>
      </w:r>
      <w:r>
        <w:rPr>
          <w:rFonts w:ascii="Times New Roman" w:hAnsi="Times New Roman" w:cs="Times New Roman"/>
          <w:sz w:val="24"/>
          <w:szCs w:val="24"/>
        </w:rPr>
        <w:t>,</w:t>
      </w:r>
      <w:r w:rsidRPr="00451B44">
        <w:rPr>
          <w:rFonts w:ascii="Times New Roman" w:hAnsi="Times New Roman" w:cs="Times New Roman"/>
          <w:sz w:val="24"/>
          <w:szCs w:val="24"/>
        </w:rPr>
        <w:t xml:space="preserve"> suggesting that </w:t>
      </w:r>
      <w:r w:rsidRPr="00F744F3">
        <w:rPr>
          <w:rFonts w:ascii="Times New Roman" w:hAnsi="Times New Roman" w:cs="Times New Roman"/>
          <w:sz w:val="24"/>
          <w:szCs w:val="24"/>
        </w:rPr>
        <w:t xml:space="preserve">cyt </w:t>
      </w:r>
      <w:r w:rsidRPr="00C64D1B">
        <w:rPr>
          <w:rFonts w:ascii="Times New Roman" w:hAnsi="Times New Roman" w:cs="Times New Roman"/>
          <w:i/>
          <w:iCs/>
          <w:sz w:val="24"/>
          <w:szCs w:val="24"/>
        </w:rPr>
        <w:t>c</w:t>
      </w:r>
      <w:r w:rsidRPr="00451B44">
        <w:rPr>
          <w:rFonts w:ascii="Times New Roman" w:hAnsi="Times New Roman" w:cs="Times New Roman"/>
          <w:sz w:val="24"/>
          <w:szCs w:val="24"/>
        </w:rPr>
        <w:t xml:space="preserve"> relocation is insufficient to trigger death in these cells </w:t>
      </w:r>
      <w:r w:rsidRPr="00451B44">
        <w:rPr>
          <w:rFonts w:ascii="Times New Roman" w:hAnsi="Times New Roman" w:cs="Times New Roman"/>
          <w:noProof/>
          <w:sz w:val="24"/>
          <w:szCs w:val="24"/>
        </w:rPr>
        <w:t>(Yu</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2002)</w:t>
      </w:r>
      <w:r w:rsidRPr="00451B44">
        <w:rPr>
          <w:rFonts w:ascii="Times New Roman" w:hAnsi="Times New Roman" w:cs="Times New Roman"/>
          <w:sz w:val="24"/>
          <w:szCs w:val="24"/>
        </w:rPr>
        <w:t>. There</w:t>
      </w:r>
      <w:r>
        <w:rPr>
          <w:rFonts w:ascii="Times New Roman" w:hAnsi="Times New Roman" w:cs="Times New Roman"/>
          <w:sz w:val="24"/>
          <w:szCs w:val="24"/>
        </w:rPr>
        <w:t>fore, unlike in animal cells, plant</w:t>
      </w:r>
      <w:r w:rsidRPr="00451B44">
        <w:rPr>
          <w:rFonts w:ascii="Times New Roman" w:hAnsi="Times New Roman" w:cs="Times New Roman"/>
          <w:sz w:val="24"/>
          <w:szCs w:val="24"/>
        </w:rPr>
        <w:t xml:space="preserve"> cyt </w:t>
      </w:r>
      <w:r w:rsidRPr="00C64D1B">
        <w:rPr>
          <w:rFonts w:ascii="Times New Roman" w:hAnsi="Times New Roman" w:cs="Times New Roman"/>
          <w:i/>
          <w:iCs/>
          <w:sz w:val="24"/>
          <w:szCs w:val="24"/>
        </w:rPr>
        <w:t>c</w:t>
      </w:r>
      <w:r>
        <w:rPr>
          <w:rFonts w:ascii="Times New Roman" w:hAnsi="Times New Roman" w:cs="Times New Roman"/>
          <w:sz w:val="24"/>
          <w:szCs w:val="24"/>
        </w:rPr>
        <w:t xml:space="preserve"> may</w:t>
      </w:r>
      <w:r w:rsidRPr="00451B44">
        <w:rPr>
          <w:rFonts w:ascii="Times New Roman" w:hAnsi="Times New Roman" w:cs="Times New Roman"/>
          <w:sz w:val="24"/>
          <w:szCs w:val="24"/>
        </w:rPr>
        <w:t xml:space="preserve"> not </w:t>
      </w:r>
      <w:r>
        <w:rPr>
          <w:rFonts w:ascii="Times New Roman" w:hAnsi="Times New Roman" w:cs="Times New Roman"/>
          <w:sz w:val="24"/>
          <w:szCs w:val="24"/>
        </w:rPr>
        <w:t xml:space="preserve">be </w:t>
      </w:r>
      <w:r w:rsidRPr="00451B44">
        <w:rPr>
          <w:rFonts w:ascii="Times New Roman" w:hAnsi="Times New Roman" w:cs="Times New Roman"/>
          <w:sz w:val="24"/>
          <w:szCs w:val="24"/>
        </w:rPr>
        <w:t>a direct protease activator, but participates in the cell dea</w:t>
      </w:r>
      <w:r>
        <w:rPr>
          <w:rFonts w:ascii="Times New Roman" w:hAnsi="Times New Roman" w:cs="Times New Roman"/>
          <w:sz w:val="24"/>
          <w:szCs w:val="24"/>
        </w:rPr>
        <w:t>th process in other ways. It has been</w:t>
      </w:r>
      <w:r w:rsidRPr="00451B44">
        <w:rPr>
          <w:rFonts w:ascii="Times New Roman" w:hAnsi="Times New Roman" w:cs="Times New Roman"/>
          <w:sz w:val="24"/>
          <w:szCs w:val="24"/>
        </w:rPr>
        <w:t xml:space="preserve"> suggested that cyt </w:t>
      </w:r>
      <w:r w:rsidRPr="00C64D1B">
        <w:rPr>
          <w:rFonts w:ascii="Times New Roman" w:hAnsi="Times New Roman" w:cs="Times New Roman"/>
          <w:i/>
          <w:iCs/>
          <w:sz w:val="24"/>
          <w:szCs w:val="24"/>
        </w:rPr>
        <w:t>c</w:t>
      </w:r>
      <w:r w:rsidRPr="00451B44">
        <w:rPr>
          <w:rFonts w:ascii="Times New Roman" w:hAnsi="Times New Roman" w:cs="Times New Roman"/>
          <w:sz w:val="24"/>
          <w:szCs w:val="24"/>
        </w:rPr>
        <w:t xml:space="preserve"> can activate or amplify the cell death process by disrupting electron transport, which would lead to generation of lethal levels of ROS, creating a feedback loop leading to augmentation of the initial PCD-inducing cellular stress signal </w:t>
      </w:r>
      <w:r w:rsidRPr="00451B44">
        <w:rPr>
          <w:rFonts w:ascii="Times New Roman" w:hAnsi="Times New Roman" w:cs="Times New Roman"/>
          <w:noProof/>
          <w:sz w:val="24"/>
          <w:szCs w:val="24"/>
        </w:rPr>
        <w:t>(Reape and McCabe, 2010)</w:t>
      </w:r>
      <w:r w:rsidRPr="00451B44">
        <w:rPr>
          <w:rFonts w:ascii="Times New Roman" w:hAnsi="Times New Roman" w:cs="Times New Roman"/>
          <w:sz w:val="24"/>
          <w:szCs w:val="24"/>
        </w:rPr>
        <w:t xml:space="preserve">. </w:t>
      </w:r>
    </w:p>
    <w:p w:rsidR="004B4E5E" w:rsidRPr="00451B44" w:rsidRDefault="004B4E5E" w:rsidP="002B4B8D">
      <w:pPr>
        <w:spacing w:line="480" w:lineRule="auto"/>
        <w:rPr>
          <w:rFonts w:ascii="Times New Roman" w:hAnsi="Times New Roman" w:cs="Times New Roman"/>
          <w:sz w:val="24"/>
          <w:szCs w:val="24"/>
        </w:rPr>
      </w:pPr>
    </w:p>
    <w:p w:rsidR="004B4E5E" w:rsidRPr="00451B44" w:rsidRDefault="004B4E5E" w:rsidP="002B4B8D">
      <w:pPr>
        <w:spacing w:line="480" w:lineRule="auto"/>
        <w:rPr>
          <w:rFonts w:ascii="Times New Roman" w:hAnsi="Times New Roman" w:cs="Times New Roman"/>
          <w:sz w:val="24"/>
          <w:szCs w:val="24"/>
        </w:rPr>
      </w:pPr>
      <w:r>
        <w:rPr>
          <w:rFonts w:ascii="Times New Roman" w:hAnsi="Times New Roman" w:cs="Times New Roman"/>
          <w:sz w:val="24"/>
          <w:szCs w:val="24"/>
        </w:rPr>
        <w:t xml:space="preserve">During </w:t>
      </w:r>
      <w:r w:rsidRPr="00451B44">
        <w:rPr>
          <w:rFonts w:ascii="Times New Roman" w:hAnsi="Times New Roman" w:cs="Times New Roman"/>
          <w:sz w:val="24"/>
          <w:szCs w:val="24"/>
        </w:rPr>
        <w:t xml:space="preserve">animal apoptosis, release of </w:t>
      </w:r>
      <w:r w:rsidRPr="00F744F3">
        <w:rPr>
          <w:rFonts w:ascii="Times New Roman" w:hAnsi="Times New Roman" w:cs="Times New Roman"/>
          <w:sz w:val="24"/>
          <w:szCs w:val="24"/>
        </w:rPr>
        <w:t xml:space="preserve">cyt </w:t>
      </w:r>
      <w:r w:rsidRPr="00C64D1B">
        <w:rPr>
          <w:rFonts w:ascii="Times New Roman" w:hAnsi="Times New Roman" w:cs="Times New Roman"/>
          <w:i/>
          <w:iCs/>
          <w:sz w:val="24"/>
          <w:szCs w:val="24"/>
        </w:rPr>
        <w:t>c</w:t>
      </w:r>
      <w:r w:rsidRPr="00451B44">
        <w:rPr>
          <w:rFonts w:ascii="Times New Roman" w:hAnsi="Times New Roman" w:cs="Times New Roman"/>
          <w:sz w:val="24"/>
          <w:szCs w:val="24"/>
        </w:rPr>
        <w:t xml:space="preserve"> is an indicator of mitochondrial membrane permeabilisation (MMP), and is considered ‘the point of no return’ </w:t>
      </w:r>
      <w:r w:rsidRPr="00451B44">
        <w:rPr>
          <w:rFonts w:ascii="Times New Roman" w:hAnsi="Times New Roman" w:cs="Times New Roman"/>
          <w:noProof/>
          <w:sz w:val="24"/>
          <w:szCs w:val="24"/>
        </w:rPr>
        <w:t>(Kroemer</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2007)</w:t>
      </w:r>
      <w:r w:rsidRPr="00451B44">
        <w:rPr>
          <w:rFonts w:ascii="Times New Roman" w:hAnsi="Times New Roman" w:cs="Times New Roman"/>
          <w:sz w:val="24"/>
          <w:szCs w:val="24"/>
        </w:rPr>
        <w:t xml:space="preserve">. In mammalian cells, MMP can occur through a Bax/Bcl-2 controlled pore, when the balance between pro (Bcl-2, Bcl-xL) and anti (Bax, Bid, Bad, Bak) –apoptotic proteins is disturbed </w:t>
      </w:r>
      <w:r w:rsidRPr="00451B44">
        <w:rPr>
          <w:rFonts w:ascii="Times New Roman" w:hAnsi="Times New Roman" w:cs="Times New Roman"/>
          <w:noProof/>
          <w:sz w:val="24"/>
          <w:szCs w:val="24"/>
        </w:rPr>
        <w:t>(Youle and Strasser, 2008)</w:t>
      </w:r>
      <w:r>
        <w:rPr>
          <w:rFonts w:ascii="Times New Roman" w:hAnsi="Times New Roman" w:cs="Times New Roman"/>
          <w:sz w:val="24"/>
          <w:szCs w:val="24"/>
        </w:rPr>
        <w:t xml:space="preserve">. Although </w:t>
      </w:r>
      <w:r w:rsidRPr="00451B44">
        <w:rPr>
          <w:rFonts w:ascii="Times New Roman" w:hAnsi="Times New Roman" w:cs="Times New Roman"/>
          <w:sz w:val="24"/>
          <w:szCs w:val="24"/>
        </w:rPr>
        <w:t>a</w:t>
      </w:r>
      <w:r>
        <w:rPr>
          <w:rFonts w:ascii="Times New Roman" w:hAnsi="Times New Roman" w:cs="Times New Roman"/>
          <w:sz w:val="24"/>
          <w:szCs w:val="24"/>
        </w:rPr>
        <w:t>n evolutionarily</w:t>
      </w:r>
      <w:r w:rsidRPr="00451B44">
        <w:rPr>
          <w:rFonts w:ascii="Times New Roman" w:hAnsi="Times New Roman" w:cs="Times New Roman"/>
          <w:sz w:val="24"/>
          <w:szCs w:val="24"/>
        </w:rPr>
        <w:t xml:space="preserve"> conserved death suppressor Bax Inhibitor-1 (BI-1) exists in plants (</w:t>
      </w:r>
      <w:r>
        <w:rPr>
          <w:rFonts w:ascii="Times New Roman" w:hAnsi="Times New Roman" w:cs="Times New Roman"/>
          <w:sz w:val="24"/>
          <w:szCs w:val="24"/>
        </w:rPr>
        <w:t xml:space="preserve">(Hückelhoven, 2004) and references therein), </w:t>
      </w:r>
      <w:r w:rsidRPr="00451B44">
        <w:rPr>
          <w:rFonts w:ascii="Times New Roman" w:hAnsi="Times New Roman" w:cs="Times New Roman"/>
          <w:sz w:val="24"/>
          <w:szCs w:val="24"/>
        </w:rPr>
        <w:t xml:space="preserve">to date there is no evidence for the existence of plant homologues of the Bcl-2 </w:t>
      </w:r>
      <w:r>
        <w:rPr>
          <w:rFonts w:ascii="Times New Roman" w:hAnsi="Times New Roman" w:cs="Times New Roman"/>
          <w:sz w:val="24"/>
          <w:szCs w:val="24"/>
        </w:rPr>
        <w:t>family proteins. MMP in animal cells can also be</w:t>
      </w:r>
      <w:r w:rsidRPr="00451B44">
        <w:rPr>
          <w:rFonts w:ascii="Times New Roman" w:hAnsi="Times New Roman" w:cs="Times New Roman"/>
          <w:sz w:val="24"/>
          <w:szCs w:val="24"/>
        </w:rPr>
        <w:t xml:space="preserve"> achieved by formation of </w:t>
      </w:r>
      <w:r>
        <w:rPr>
          <w:rFonts w:ascii="Times New Roman" w:hAnsi="Times New Roman" w:cs="Times New Roman"/>
          <w:sz w:val="24"/>
          <w:szCs w:val="24"/>
        </w:rPr>
        <w:t xml:space="preserve">the </w:t>
      </w:r>
      <w:r w:rsidRPr="00451B44">
        <w:rPr>
          <w:rFonts w:ascii="Times New Roman" w:hAnsi="Times New Roman" w:cs="Times New Roman"/>
          <w:sz w:val="24"/>
          <w:szCs w:val="24"/>
        </w:rPr>
        <w:t xml:space="preserve">permeability transition pore (PTP) and </w:t>
      </w:r>
      <w:r>
        <w:rPr>
          <w:rFonts w:ascii="Times New Roman" w:hAnsi="Times New Roman" w:cs="Times New Roman"/>
          <w:sz w:val="24"/>
          <w:szCs w:val="24"/>
        </w:rPr>
        <w:t xml:space="preserve">subsequent </w:t>
      </w:r>
      <w:r w:rsidRPr="00451B44">
        <w:rPr>
          <w:rFonts w:ascii="Times New Roman" w:hAnsi="Times New Roman" w:cs="Times New Roman"/>
          <w:sz w:val="24"/>
          <w:szCs w:val="24"/>
        </w:rPr>
        <w:t xml:space="preserve">release of </w:t>
      </w:r>
      <w:r>
        <w:rPr>
          <w:rFonts w:ascii="Times New Roman" w:hAnsi="Times New Roman" w:cs="Times New Roman"/>
          <w:sz w:val="24"/>
          <w:szCs w:val="24"/>
        </w:rPr>
        <w:t xml:space="preserve">mitochondrial proapoptotic proteins. </w:t>
      </w:r>
      <w:r w:rsidRPr="00451B44">
        <w:rPr>
          <w:rFonts w:ascii="Times New Roman" w:hAnsi="Times New Roman" w:cs="Times New Roman"/>
          <w:sz w:val="24"/>
          <w:szCs w:val="24"/>
        </w:rPr>
        <w:t>PTP is formed as a</w:t>
      </w:r>
      <w:r>
        <w:rPr>
          <w:rFonts w:ascii="Times New Roman" w:hAnsi="Times New Roman" w:cs="Times New Roman"/>
          <w:sz w:val="24"/>
          <w:szCs w:val="24"/>
        </w:rPr>
        <w:t xml:space="preserve"> protein complex at apposition </w:t>
      </w:r>
      <w:r w:rsidRPr="00451B44">
        <w:rPr>
          <w:rFonts w:ascii="Times New Roman" w:hAnsi="Times New Roman" w:cs="Times New Roman"/>
          <w:sz w:val="24"/>
          <w:szCs w:val="24"/>
        </w:rPr>
        <w:t xml:space="preserve">sites between </w:t>
      </w:r>
      <w:r>
        <w:rPr>
          <w:rFonts w:ascii="Times New Roman" w:hAnsi="Times New Roman" w:cs="Times New Roman"/>
          <w:sz w:val="24"/>
          <w:szCs w:val="24"/>
        </w:rPr>
        <w:t xml:space="preserve">the </w:t>
      </w:r>
      <w:r w:rsidRPr="00451B44">
        <w:rPr>
          <w:rFonts w:ascii="Times New Roman" w:hAnsi="Times New Roman" w:cs="Times New Roman"/>
          <w:sz w:val="24"/>
          <w:szCs w:val="24"/>
        </w:rPr>
        <w:t xml:space="preserve">inner and outer mitochondrial membranes, and is composed of the voltage dependent anion channel (VDAC), adenine nucleotide translocator (ANT), cylophilin D and the benzodiazepine receptor </w:t>
      </w:r>
      <w:r w:rsidRPr="00451B44">
        <w:rPr>
          <w:rFonts w:ascii="Times New Roman" w:hAnsi="Times New Roman" w:cs="Times New Roman"/>
          <w:noProof/>
          <w:sz w:val="24"/>
          <w:szCs w:val="24"/>
        </w:rPr>
        <w:t>(Jones, 2000)</w:t>
      </w:r>
      <w:r w:rsidRPr="00451B44">
        <w:rPr>
          <w:rFonts w:ascii="Times New Roman" w:hAnsi="Times New Roman" w:cs="Times New Roman"/>
          <w:sz w:val="24"/>
          <w:szCs w:val="24"/>
        </w:rPr>
        <w:t>. As a</w:t>
      </w:r>
      <w:r>
        <w:rPr>
          <w:rFonts w:ascii="Times New Roman" w:hAnsi="Times New Roman" w:cs="Times New Roman"/>
          <w:sz w:val="24"/>
          <w:szCs w:val="24"/>
        </w:rPr>
        <w:t xml:space="preserve"> consequence of PTP formation, the following</w:t>
      </w:r>
      <w:r w:rsidRPr="00451B44">
        <w:rPr>
          <w:rFonts w:ascii="Times New Roman" w:hAnsi="Times New Roman" w:cs="Times New Roman"/>
          <w:sz w:val="24"/>
          <w:szCs w:val="24"/>
        </w:rPr>
        <w:t xml:space="preserve"> sequ</w:t>
      </w:r>
      <w:r>
        <w:rPr>
          <w:rFonts w:ascii="Times New Roman" w:hAnsi="Times New Roman" w:cs="Times New Roman"/>
          <w:sz w:val="24"/>
          <w:szCs w:val="24"/>
        </w:rPr>
        <w:t>ence of events occurs</w:t>
      </w:r>
      <w:r w:rsidRPr="00451B44">
        <w:rPr>
          <w:rFonts w:ascii="Times New Roman" w:hAnsi="Times New Roman" w:cs="Times New Roman"/>
          <w:sz w:val="24"/>
          <w:szCs w:val="24"/>
        </w:rPr>
        <w:t>; depolarisation of the inner mitochondrial membrane, rapid water influx, osmotic swelling of the mitochondria, rupture of outer mit</w:t>
      </w:r>
      <w:r>
        <w:rPr>
          <w:rFonts w:ascii="Times New Roman" w:hAnsi="Times New Roman" w:cs="Times New Roman"/>
          <w:sz w:val="24"/>
          <w:szCs w:val="24"/>
        </w:rPr>
        <w:t xml:space="preserve">ochondrial membrane and, finally, the </w:t>
      </w:r>
      <w:r w:rsidRPr="00451B44">
        <w:rPr>
          <w:rFonts w:ascii="Times New Roman" w:hAnsi="Times New Roman" w:cs="Times New Roman"/>
          <w:sz w:val="24"/>
          <w:szCs w:val="24"/>
        </w:rPr>
        <w:t xml:space="preserve">release of mitochondrial IMS proteins including cyt </w:t>
      </w:r>
      <w:r w:rsidRPr="00C64D1B">
        <w:rPr>
          <w:rFonts w:ascii="Times New Roman" w:hAnsi="Times New Roman" w:cs="Times New Roman"/>
          <w:i/>
          <w:iCs/>
          <w:sz w:val="24"/>
          <w:szCs w:val="24"/>
        </w:rPr>
        <w:t>c</w:t>
      </w:r>
      <w:r>
        <w:rPr>
          <w:rFonts w:ascii="Times New Roman" w:hAnsi="Times New Roman" w:cs="Times New Roman"/>
          <w:sz w:val="24"/>
          <w:szCs w:val="24"/>
        </w:rPr>
        <w:t>. PTP formation can</w:t>
      </w:r>
      <w:r w:rsidRPr="00451B44">
        <w:rPr>
          <w:rFonts w:ascii="Times New Roman" w:hAnsi="Times New Roman" w:cs="Times New Roman"/>
          <w:sz w:val="24"/>
          <w:szCs w:val="24"/>
        </w:rPr>
        <w:t xml:space="preserve"> be triggered by increase in [Ca</w:t>
      </w:r>
      <w:r w:rsidRPr="00451B44">
        <w:rPr>
          <w:rFonts w:ascii="Times New Roman" w:hAnsi="Times New Roman" w:cs="Times New Roman"/>
          <w:sz w:val="24"/>
          <w:szCs w:val="24"/>
          <w:vertAlign w:val="superscript"/>
        </w:rPr>
        <w:t>2+</w:t>
      </w:r>
      <w:r w:rsidRPr="00451B44">
        <w:rPr>
          <w:rFonts w:ascii="Times New Roman" w:hAnsi="Times New Roman" w:cs="Times New Roman"/>
          <w:sz w:val="24"/>
          <w:szCs w:val="24"/>
        </w:rPr>
        <w:t xml:space="preserve">], especially at conditions </w:t>
      </w:r>
      <w:r>
        <w:rPr>
          <w:rFonts w:ascii="Times New Roman" w:hAnsi="Times New Roman" w:cs="Times New Roman"/>
          <w:sz w:val="24"/>
          <w:szCs w:val="24"/>
        </w:rPr>
        <w:t xml:space="preserve">of </w:t>
      </w:r>
      <w:r w:rsidRPr="00451B44">
        <w:rPr>
          <w:rFonts w:ascii="Times New Roman" w:hAnsi="Times New Roman" w:cs="Times New Roman"/>
          <w:sz w:val="24"/>
          <w:szCs w:val="24"/>
        </w:rPr>
        <w:t xml:space="preserve">low ATP </w:t>
      </w:r>
      <w:r w:rsidRPr="00451B44">
        <w:rPr>
          <w:rFonts w:ascii="Times New Roman" w:hAnsi="Times New Roman" w:cs="Times New Roman"/>
          <w:noProof/>
          <w:sz w:val="24"/>
          <w:szCs w:val="24"/>
        </w:rPr>
        <w:t>(Crompton, 1999)</w:t>
      </w:r>
      <w:r>
        <w:rPr>
          <w:rFonts w:ascii="Times New Roman" w:hAnsi="Times New Roman" w:cs="Times New Roman"/>
          <w:sz w:val="24"/>
          <w:szCs w:val="24"/>
        </w:rPr>
        <w:t xml:space="preserve"> or</w:t>
      </w:r>
      <w:r w:rsidRPr="00451B44">
        <w:rPr>
          <w:rFonts w:ascii="Times New Roman" w:hAnsi="Times New Roman" w:cs="Times New Roman"/>
          <w:sz w:val="24"/>
          <w:szCs w:val="24"/>
        </w:rPr>
        <w:t xml:space="preserve"> ROS induced stress </w:t>
      </w:r>
      <w:r w:rsidRPr="00451B44">
        <w:rPr>
          <w:rFonts w:ascii="Times New Roman" w:hAnsi="Times New Roman" w:cs="Times New Roman"/>
          <w:noProof/>
          <w:sz w:val="24"/>
          <w:szCs w:val="24"/>
        </w:rPr>
        <w:t>(Petronilli</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1994)</w:t>
      </w:r>
      <w:r w:rsidRPr="00451B44">
        <w:rPr>
          <w:rFonts w:ascii="Times New Roman" w:hAnsi="Times New Roman" w:cs="Times New Roman"/>
          <w:sz w:val="24"/>
          <w:szCs w:val="24"/>
        </w:rPr>
        <w:t xml:space="preserve">. Indeed calcium influx seems an important event in plant PCD and application of calcium binding agents, calcium channel inhibitors or agents </w:t>
      </w:r>
      <w:r w:rsidRPr="00451B44">
        <w:rPr>
          <w:rFonts w:ascii="Times New Roman" w:hAnsi="Times New Roman" w:cs="Times New Roman"/>
          <w:sz w:val="24"/>
          <w:szCs w:val="24"/>
          <w:lang w:eastAsia="en-IE"/>
        </w:rPr>
        <w:t>inhibiting calcium release from internal stores significantly a</w:t>
      </w:r>
      <w:r>
        <w:rPr>
          <w:rFonts w:ascii="Times New Roman" w:hAnsi="Times New Roman" w:cs="Times New Roman"/>
          <w:sz w:val="24"/>
          <w:szCs w:val="24"/>
          <w:lang w:eastAsia="en-IE"/>
        </w:rPr>
        <w:t>ffected numerous PCD events, for example,</w:t>
      </w:r>
      <w:r w:rsidRPr="00451B44">
        <w:rPr>
          <w:rFonts w:ascii="Times New Roman" w:hAnsi="Times New Roman" w:cs="Times New Roman"/>
          <w:sz w:val="24"/>
          <w:szCs w:val="24"/>
          <w:lang w:eastAsia="en-IE"/>
        </w:rPr>
        <w:t xml:space="preserve"> causing HR inhibition in </w:t>
      </w:r>
      <w:r w:rsidRPr="00451B44">
        <w:rPr>
          <w:rFonts w:ascii="Times New Roman" w:hAnsi="Times New Roman" w:cs="Times New Roman"/>
          <w:sz w:val="24"/>
          <w:szCs w:val="24"/>
        </w:rPr>
        <w:t xml:space="preserve">soybean leaves </w:t>
      </w:r>
      <w:r w:rsidRPr="00451B44">
        <w:rPr>
          <w:rFonts w:ascii="Times New Roman" w:hAnsi="Times New Roman" w:cs="Times New Roman"/>
          <w:noProof/>
          <w:sz w:val="24"/>
          <w:szCs w:val="24"/>
        </w:rPr>
        <w:t>(Levine</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1996)</w:t>
      </w:r>
      <w:r w:rsidRPr="00451B44">
        <w:rPr>
          <w:rFonts w:ascii="Times New Roman" w:hAnsi="Times New Roman" w:cs="Times New Roman"/>
          <w:sz w:val="24"/>
          <w:szCs w:val="24"/>
        </w:rPr>
        <w:t xml:space="preserve">, reducing developmental PCD in lace plant </w:t>
      </w:r>
      <w:r w:rsidRPr="00451B44">
        <w:rPr>
          <w:rFonts w:ascii="Times New Roman" w:hAnsi="Times New Roman" w:cs="Times New Roman"/>
          <w:noProof/>
          <w:sz w:val="24"/>
          <w:szCs w:val="24"/>
        </w:rPr>
        <w:t>(Elliott and Gunawardena, 2010)</w:t>
      </w:r>
      <w:r>
        <w:rPr>
          <w:rFonts w:ascii="Times New Roman" w:hAnsi="Times New Roman" w:cs="Times New Roman"/>
          <w:sz w:val="24"/>
          <w:szCs w:val="24"/>
        </w:rPr>
        <w:t xml:space="preserve"> or</w:t>
      </w:r>
      <w:r w:rsidRPr="00451B44">
        <w:rPr>
          <w:rFonts w:ascii="Times New Roman" w:hAnsi="Times New Roman" w:cs="Times New Roman"/>
          <w:sz w:val="24"/>
          <w:szCs w:val="24"/>
        </w:rPr>
        <w:t xml:space="preserve"> during aerenchyma formation (Drew</w:t>
      </w:r>
      <w:r w:rsidRPr="00451B44">
        <w:rPr>
          <w:rFonts w:ascii="Times New Roman" w:hAnsi="Times New Roman" w:cs="Times New Roman"/>
          <w:i/>
          <w:iCs/>
          <w:sz w:val="24"/>
          <w:szCs w:val="24"/>
        </w:rPr>
        <w:t xml:space="preserve"> et al.</w:t>
      </w:r>
      <w:r w:rsidRPr="00451B44">
        <w:rPr>
          <w:rFonts w:ascii="Times New Roman" w:hAnsi="Times New Roman" w:cs="Times New Roman"/>
          <w:sz w:val="24"/>
          <w:szCs w:val="24"/>
        </w:rPr>
        <w:t>, 2000, He</w:t>
      </w:r>
      <w:r w:rsidRPr="00451B44">
        <w:rPr>
          <w:rFonts w:ascii="Times New Roman" w:hAnsi="Times New Roman" w:cs="Times New Roman"/>
          <w:i/>
          <w:iCs/>
          <w:sz w:val="24"/>
          <w:szCs w:val="24"/>
        </w:rPr>
        <w:t xml:space="preserve"> et al.</w:t>
      </w:r>
      <w:r w:rsidRPr="00451B44">
        <w:rPr>
          <w:rFonts w:ascii="Times New Roman" w:hAnsi="Times New Roman" w:cs="Times New Roman"/>
          <w:sz w:val="24"/>
          <w:szCs w:val="24"/>
        </w:rPr>
        <w:t>, 1996b)</w:t>
      </w:r>
      <w:r>
        <w:rPr>
          <w:rFonts w:ascii="Times New Roman" w:hAnsi="Times New Roman" w:cs="Times New Roman"/>
          <w:sz w:val="24"/>
          <w:szCs w:val="24"/>
        </w:rPr>
        <w:t>,</w:t>
      </w:r>
      <w:r w:rsidRPr="00451B44">
        <w:rPr>
          <w:rFonts w:ascii="Times New Roman" w:hAnsi="Times New Roman" w:cs="Times New Roman"/>
          <w:sz w:val="24"/>
          <w:szCs w:val="24"/>
        </w:rPr>
        <w:t xml:space="preserve"> or by preventing salt stress induced PCD in rice root tip cells </w:t>
      </w:r>
      <w:r w:rsidRPr="00451B44">
        <w:rPr>
          <w:rFonts w:ascii="Times New Roman" w:hAnsi="Times New Roman" w:cs="Times New Roman"/>
          <w:noProof/>
          <w:sz w:val="24"/>
          <w:szCs w:val="24"/>
        </w:rPr>
        <w:t>(Li</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2007a)</w:t>
      </w:r>
      <w:r w:rsidRPr="00451B44">
        <w:rPr>
          <w:rFonts w:ascii="Times New Roman" w:hAnsi="Times New Roman" w:cs="Times New Roman"/>
          <w:sz w:val="24"/>
          <w:szCs w:val="24"/>
        </w:rPr>
        <w:t xml:space="preserve">.  Therefore, </w:t>
      </w:r>
      <w:r>
        <w:rPr>
          <w:rFonts w:ascii="Times New Roman" w:hAnsi="Times New Roman" w:cs="Times New Roman"/>
          <w:sz w:val="24"/>
          <w:szCs w:val="24"/>
        </w:rPr>
        <w:t xml:space="preserve">it seems likely </w:t>
      </w:r>
      <w:r w:rsidRPr="00451B44">
        <w:rPr>
          <w:rFonts w:ascii="Times New Roman" w:hAnsi="Times New Roman" w:cs="Times New Roman"/>
          <w:sz w:val="24"/>
          <w:szCs w:val="24"/>
        </w:rPr>
        <w:t>Ca</w:t>
      </w:r>
      <w:r w:rsidRPr="00451B44">
        <w:rPr>
          <w:rFonts w:ascii="Times New Roman" w:hAnsi="Times New Roman" w:cs="Times New Roman"/>
          <w:sz w:val="24"/>
          <w:szCs w:val="24"/>
          <w:vertAlign w:val="superscript"/>
        </w:rPr>
        <w:t>2+</w:t>
      </w:r>
      <w:r>
        <w:rPr>
          <w:rFonts w:ascii="Times New Roman" w:hAnsi="Times New Roman" w:cs="Times New Roman"/>
          <w:sz w:val="24"/>
          <w:szCs w:val="24"/>
        </w:rPr>
        <w:t xml:space="preserve"> is involved in</w:t>
      </w:r>
      <w:r w:rsidRPr="00451B44">
        <w:rPr>
          <w:rFonts w:ascii="Times New Roman" w:hAnsi="Times New Roman" w:cs="Times New Roman"/>
          <w:sz w:val="24"/>
          <w:szCs w:val="24"/>
        </w:rPr>
        <w:t xml:space="preserve"> PCD relat</w:t>
      </w:r>
      <w:r>
        <w:rPr>
          <w:rFonts w:ascii="Times New Roman" w:hAnsi="Times New Roman" w:cs="Times New Roman"/>
          <w:sz w:val="24"/>
          <w:szCs w:val="24"/>
        </w:rPr>
        <w:t>ed signalling and indeed, it has been</w:t>
      </w:r>
      <w:r w:rsidRPr="00451B44">
        <w:rPr>
          <w:rFonts w:ascii="Times New Roman" w:hAnsi="Times New Roman" w:cs="Times New Roman"/>
          <w:sz w:val="24"/>
          <w:szCs w:val="24"/>
        </w:rPr>
        <w:t xml:space="preserve"> proposed to mediate the mitochondrial permeability transition (MPT) events (Lin</w:t>
      </w:r>
      <w:r w:rsidRPr="00451B44">
        <w:rPr>
          <w:rFonts w:ascii="Times New Roman" w:hAnsi="Times New Roman" w:cs="Times New Roman"/>
          <w:i/>
          <w:iCs/>
          <w:sz w:val="24"/>
          <w:szCs w:val="24"/>
        </w:rPr>
        <w:t xml:space="preserve"> et al.</w:t>
      </w:r>
      <w:r w:rsidRPr="00451B44">
        <w:rPr>
          <w:rFonts w:ascii="Times New Roman" w:hAnsi="Times New Roman" w:cs="Times New Roman"/>
          <w:sz w:val="24"/>
          <w:szCs w:val="24"/>
        </w:rPr>
        <w:t>, 2005, Wang</w:t>
      </w:r>
      <w:r w:rsidRPr="00451B44">
        <w:rPr>
          <w:rFonts w:ascii="Times New Roman" w:hAnsi="Times New Roman" w:cs="Times New Roman"/>
          <w:i/>
          <w:iCs/>
          <w:sz w:val="24"/>
          <w:szCs w:val="24"/>
        </w:rPr>
        <w:t xml:space="preserve"> et al.</w:t>
      </w:r>
      <w:r w:rsidRPr="00451B44">
        <w:rPr>
          <w:rFonts w:ascii="Times New Roman" w:hAnsi="Times New Roman" w:cs="Times New Roman"/>
          <w:sz w:val="24"/>
          <w:szCs w:val="24"/>
        </w:rPr>
        <w:t>, 2006). Another mechanism by which Ca</w:t>
      </w:r>
      <w:r w:rsidRPr="00451B44">
        <w:rPr>
          <w:rFonts w:ascii="Times New Roman" w:hAnsi="Times New Roman" w:cs="Times New Roman"/>
          <w:sz w:val="24"/>
          <w:szCs w:val="24"/>
          <w:vertAlign w:val="superscript"/>
        </w:rPr>
        <w:t>2+</w:t>
      </w:r>
      <w:r w:rsidRPr="00451B44">
        <w:rPr>
          <w:rFonts w:ascii="Times New Roman" w:hAnsi="Times New Roman" w:cs="Times New Roman"/>
          <w:sz w:val="24"/>
          <w:szCs w:val="24"/>
        </w:rPr>
        <w:t xml:space="preserve"> controls </w:t>
      </w:r>
      <w:r>
        <w:rPr>
          <w:rFonts w:ascii="Times New Roman" w:hAnsi="Times New Roman" w:cs="Times New Roman"/>
          <w:sz w:val="24"/>
          <w:szCs w:val="24"/>
        </w:rPr>
        <w:t>PCD</w:t>
      </w:r>
      <w:r w:rsidRPr="00451B44">
        <w:rPr>
          <w:rFonts w:ascii="Times New Roman" w:hAnsi="Times New Roman" w:cs="Times New Roman"/>
          <w:sz w:val="24"/>
          <w:szCs w:val="24"/>
        </w:rPr>
        <w:t xml:space="preserve"> in mammalian cells is the activation of the calcium/</w:t>
      </w:r>
      <w:r w:rsidRPr="00451B44">
        <w:rPr>
          <w:rStyle w:val="nbapihighlight"/>
          <w:rFonts w:ascii="Times New Roman" w:hAnsi="Times New Roman" w:cs="Times New Roman"/>
          <w:sz w:val="24"/>
          <w:szCs w:val="24"/>
        </w:rPr>
        <w:t>magnesium</w:t>
      </w:r>
      <w:r w:rsidRPr="00451B44">
        <w:rPr>
          <w:rFonts w:ascii="Times New Roman" w:hAnsi="Times New Roman" w:cs="Times New Roman"/>
          <w:sz w:val="24"/>
          <w:szCs w:val="24"/>
        </w:rPr>
        <w:t>-dependent endonuclease responsible for DNA fragmentation (Wyllie, 1980)</w:t>
      </w:r>
      <w:r>
        <w:rPr>
          <w:rFonts w:ascii="Times New Roman" w:hAnsi="Times New Roman" w:cs="Times New Roman"/>
          <w:sz w:val="24"/>
          <w:szCs w:val="24"/>
        </w:rPr>
        <w:t xml:space="preserve">. </w:t>
      </w:r>
      <w:r w:rsidRPr="00451B44">
        <w:rPr>
          <w:rFonts w:ascii="Times New Roman" w:hAnsi="Times New Roman" w:cs="Times New Roman"/>
          <w:sz w:val="24"/>
          <w:szCs w:val="24"/>
        </w:rPr>
        <w:t>HR-associated nuclease activities in tobacco were also stimulated by Ca</w:t>
      </w:r>
      <w:r w:rsidRPr="00451B44">
        <w:rPr>
          <w:rFonts w:ascii="Times New Roman" w:hAnsi="Times New Roman" w:cs="Times New Roman"/>
          <w:sz w:val="24"/>
          <w:szCs w:val="24"/>
          <w:vertAlign w:val="superscript"/>
        </w:rPr>
        <w:t xml:space="preserve">2+ </w:t>
      </w:r>
      <w:r w:rsidRPr="00451B44">
        <w:rPr>
          <w:rFonts w:ascii="Times New Roman" w:hAnsi="Times New Roman" w:cs="Times New Roman"/>
          <w:noProof/>
          <w:sz w:val="24"/>
          <w:szCs w:val="24"/>
        </w:rPr>
        <w:t>(Mittler and Lam, 1995)</w:t>
      </w:r>
      <w:r>
        <w:rPr>
          <w:rFonts w:ascii="Times New Roman" w:hAnsi="Times New Roman" w:cs="Times New Roman"/>
          <w:sz w:val="24"/>
          <w:szCs w:val="24"/>
        </w:rPr>
        <w:t xml:space="preserve"> and i</w:t>
      </w:r>
      <w:r w:rsidRPr="00451B44">
        <w:rPr>
          <w:rFonts w:ascii="Times New Roman" w:hAnsi="Times New Roman" w:cs="Times New Roman"/>
          <w:sz w:val="24"/>
          <w:szCs w:val="24"/>
        </w:rPr>
        <w:t>nterestingly, they were inhibited not only by calcium chelators</w:t>
      </w:r>
      <w:r>
        <w:rPr>
          <w:rFonts w:ascii="Times New Roman" w:hAnsi="Times New Roman" w:cs="Times New Roman"/>
          <w:sz w:val="24"/>
          <w:szCs w:val="24"/>
        </w:rPr>
        <w:t>,</w:t>
      </w:r>
      <w:r w:rsidRPr="00451B44">
        <w:rPr>
          <w:rFonts w:ascii="Times New Roman" w:hAnsi="Times New Roman" w:cs="Times New Roman"/>
          <w:sz w:val="24"/>
          <w:szCs w:val="24"/>
        </w:rPr>
        <w:t xml:space="preserve"> but also by Zn</w:t>
      </w:r>
      <w:r w:rsidRPr="00451B44">
        <w:rPr>
          <w:rFonts w:ascii="Times New Roman" w:hAnsi="Times New Roman" w:cs="Times New Roman"/>
          <w:sz w:val="24"/>
          <w:szCs w:val="24"/>
          <w:vertAlign w:val="superscript"/>
        </w:rPr>
        <w:t>2+</w:t>
      </w:r>
      <w:r w:rsidRPr="00451B44">
        <w:rPr>
          <w:rFonts w:ascii="Times New Roman" w:hAnsi="Times New Roman" w:cs="Times New Roman"/>
          <w:sz w:val="24"/>
          <w:szCs w:val="24"/>
        </w:rPr>
        <w:t xml:space="preserve"> ions. This life-promoting function of Zn</w:t>
      </w:r>
      <w:r w:rsidRPr="00BC36EB">
        <w:rPr>
          <w:rFonts w:ascii="Times New Roman" w:hAnsi="Times New Roman" w:cs="Times New Roman"/>
          <w:sz w:val="24"/>
          <w:szCs w:val="24"/>
          <w:vertAlign w:val="superscript"/>
        </w:rPr>
        <w:t>2+</w:t>
      </w:r>
      <w:r w:rsidRPr="00451B44">
        <w:rPr>
          <w:rFonts w:ascii="Times New Roman" w:hAnsi="Times New Roman" w:cs="Times New Roman"/>
          <w:sz w:val="24"/>
          <w:szCs w:val="24"/>
        </w:rPr>
        <w:t xml:space="preserve"> was confirmed by Helmersson </w:t>
      </w:r>
      <w:r w:rsidRPr="00451B44">
        <w:rPr>
          <w:rFonts w:ascii="Times New Roman" w:hAnsi="Times New Roman" w:cs="Times New Roman"/>
          <w:i/>
          <w:iCs/>
          <w:sz w:val="24"/>
          <w:szCs w:val="24"/>
        </w:rPr>
        <w:t>et al.</w:t>
      </w:r>
      <w:r>
        <w:rPr>
          <w:rFonts w:ascii="Times New Roman" w:hAnsi="Times New Roman" w:cs="Times New Roman"/>
          <w:i/>
          <w:iCs/>
          <w:sz w:val="24"/>
          <w:szCs w:val="24"/>
        </w:rPr>
        <w:t xml:space="preserve"> </w:t>
      </w:r>
      <w:r w:rsidRPr="00451B44">
        <w:rPr>
          <w:rFonts w:ascii="Times New Roman" w:hAnsi="Times New Roman" w:cs="Times New Roman"/>
          <w:noProof/>
          <w:sz w:val="24"/>
          <w:szCs w:val="24"/>
        </w:rPr>
        <w:t>(2008)</w:t>
      </w:r>
      <w:r>
        <w:rPr>
          <w:rFonts w:ascii="Times New Roman" w:hAnsi="Times New Roman" w:cs="Times New Roman"/>
          <w:sz w:val="24"/>
          <w:szCs w:val="24"/>
        </w:rPr>
        <w:t>, who found that a</w:t>
      </w:r>
      <w:r w:rsidRPr="00451B44">
        <w:rPr>
          <w:rFonts w:ascii="Times New Roman" w:hAnsi="Times New Roman" w:cs="Times New Roman"/>
          <w:sz w:val="24"/>
          <w:szCs w:val="24"/>
        </w:rPr>
        <w:t xml:space="preserve"> decrease in free intracellular [Zn</w:t>
      </w:r>
      <w:r w:rsidRPr="00451B44">
        <w:rPr>
          <w:rFonts w:ascii="Times New Roman" w:hAnsi="Times New Roman" w:cs="Times New Roman"/>
          <w:sz w:val="24"/>
          <w:szCs w:val="24"/>
          <w:vertAlign w:val="superscript"/>
        </w:rPr>
        <w:t>2+</w:t>
      </w:r>
      <w:r w:rsidRPr="00451B44">
        <w:rPr>
          <w:rFonts w:ascii="Times New Roman" w:hAnsi="Times New Roman" w:cs="Times New Roman"/>
          <w:sz w:val="24"/>
          <w:szCs w:val="24"/>
        </w:rPr>
        <w:t xml:space="preserve">] induced cell death in </w:t>
      </w:r>
      <w:r w:rsidRPr="00451B44">
        <w:rPr>
          <w:rStyle w:val="apple-style-span"/>
          <w:rFonts w:ascii="Times New Roman" w:hAnsi="Times New Roman" w:cs="Times New Roman"/>
          <w:i/>
          <w:iCs/>
          <w:color w:val="000000"/>
          <w:sz w:val="24"/>
          <w:szCs w:val="24"/>
        </w:rPr>
        <w:t>Picea abies</w:t>
      </w:r>
      <w:r>
        <w:rPr>
          <w:rFonts w:ascii="Times New Roman" w:hAnsi="Times New Roman" w:cs="Times New Roman"/>
          <w:sz w:val="24"/>
          <w:szCs w:val="24"/>
        </w:rPr>
        <w:t xml:space="preserve"> (Norway Spruce) embryos. In the same study,</w:t>
      </w:r>
      <w:r w:rsidRPr="00451B44">
        <w:rPr>
          <w:rFonts w:ascii="Times New Roman" w:hAnsi="Times New Roman" w:cs="Times New Roman"/>
          <w:sz w:val="24"/>
          <w:szCs w:val="24"/>
        </w:rPr>
        <w:t xml:space="preserve"> plant metacaspases were </w:t>
      </w:r>
      <w:r>
        <w:rPr>
          <w:rFonts w:ascii="Times New Roman" w:hAnsi="Times New Roman" w:cs="Times New Roman"/>
          <w:sz w:val="24"/>
          <w:szCs w:val="24"/>
        </w:rPr>
        <w:t>found to be suppressed by increasing</w:t>
      </w:r>
      <w:r w:rsidRPr="00451B44">
        <w:rPr>
          <w:rFonts w:ascii="Times New Roman" w:hAnsi="Times New Roman" w:cs="Times New Roman"/>
          <w:sz w:val="24"/>
          <w:szCs w:val="24"/>
        </w:rPr>
        <w:t xml:space="preserve"> levels of Zn</w:t>
      </w:r>
      <w:r w:rsidRPr="00451B44">
        <w:rPr>
          <w:rFonts w:ascii="Times New Roman" w:hAnsi="Times New Roman" w:cs="Times New Roman"/>
          <w:sz w:val="24"/>
          <w:szCs w:val="24"/>
          <w:vertAlign w:val="superscript"/>
        </w:rPr>
        <w:t>2+</w:t>
      </w:r>
      <w:r w:rsidRPr="00451B44">
        <w:rPr>
          <w:rFonts w:ascii="Times New Roman" w:hAnsi="Times New Roman" w:cs="Times New Roman"/>
          <w:sz w:val="24"/>
          <w:szCs w:val="24"/>
        </w:rPr>
        <w:t xml:space="preserve"> and cell death levels decreased accordingly. It has been postulated that Zn</w:t>
      </w:r>
      <w:r w:rsidRPr="00451B44">
        <w:rPr>
          <w:rFonts w:ascii="Times New Roman" w:hAnsi="Times New Roman" w:cs="Times New Roman"/>
          <w:sz w:val="24"/>
          <w:szCs w:val="24"/>
          <w:vertAlign w:val="superscript"/>
        </w:rPr>
        <w:t>2+</w:t>
      </w:r>
      <w:r w:rsidRPr="00451B44">
        <w:rPr>
          <w:rFonts w:ascii="Times New Roman" w:hAnsi="Times New Roman" w:cs="Times New Roman"/>
          <w:sz w:val="24"/>
          <w:szCs w:val="24"/>
        </w:rPr>
        <w:t xml:space="preserve"> may interfere with calcium by acting as a</w:t>
      </w:r>
      <w:r>
        <w:rPr>
          <w:rFonts w:ascii="Times New Roman" w:hAnsi="Times New Roman" w:cs="Times New Roman"/>
          <w:sz w:val="24"/>
          <w:szCs w:val="24"/>
        </w:rPr>
        <w:t xml:space="preserve"> calcium dependant endonuclease</w:t>
      </w:r>
      <w:r w:rsidRPr="00451B44">
        <w:rPr>
          <w:rFonts w:ascii="Times New Roman" w:hAnsi="Times New Roman" w:cs="Times New Roman"/>
          <w:sz w:val="24"/>
          <w:szCs w:val="24"/>
        </w:rPr>
        <w:t xml:space="preserve"> blocker </w:t>
      </w:r>
      <w:r w:rsidRPr="00451B44">
        <w:rPr>
          <w:rFonts w:ascii="Times New Roman" w:hAnsi="Times New Roman" w:cs="Times New Roman"/>
          <w:noProof/>
          <w:sz w:val="24"/>
          <w:szCs w:val="24"/>
        </w:rPr>
        <w:t>(Lohmann and Beyersmann, 1993)</w:t>
      </w:r>
      <w:r w:rsidRPr="00451B44">
        <w:rPr>
          <w:rFonts w:ascii="Times New Roman" w:hAnsi="Times New Roman" w:cs="Times New Roman"/>
          <w:sz w:val="24"/>
          <w:szCs w:val="24"/>
        </w:rPr>
        <w:t>.</w:t>
      </w:r>
    </w:p>
    <w:p w:rsidR="004B4E5E" w:rsidRPr="00451B44" w:rsidRDefault="004B4E5E" w:rsidP="002B4B8D">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 xml:space="preserve">There is evidence of PTP involvement in </w:t>
      </w:r>
      <w:r w:rsidRPr="00451B44">
        <w:rPr>
          <w:rFonts w:ascii="Times New Roman" w:hAnsi="Times New Roman" w:cs="Times New Roman"/>
          <w:sz w:val="24"/>
          <w:szCs w:val="24"/>
        </w:rPr>
        <w:t>p</w:t>
      </w:r>
      <w:r>
        <w:rPr>
          <w:rFonts w:ascii="Times New Roman" w:hAnsi="Times New Roman" w:cs="Times New Roman"/>
          <w:sz w:val="24"/>
          <w:szCs w:val="24"/>
        </w:rPr>
        <w:t>lant PCD processes. For example</w:t>
      </w:r>
      <w:r w:rsidRPr="00451B44">
        <w:rPr>
          <w:rFonts w:ascii="Times New Roman" w:hAnsi="Times New Roman" w:cs="Times New Roman"/>
          <w:sz w:val="24"/>
          <w:szCs w:val="24"/>
        </w:rPr>
        <w:t xml:space="preserve">, oxidative burst and breakdown of mitochondrial membrane potential was noted early in victorin-induced PCD in oat cells </w:t>
      </w:r>
      <w:r w:rsidRPr="00451B44">
        <w:rPr>
          <w:rFonts w:ascii="Times New Roman" w:hAnsi="Times New Roman" w:cs="Times New Roman"/>
          <w:noProof/>
          <w:sz w:val="24"/>
          <w:szCs w:val="24"/>
        </w:rPr>
        <w:t>(Yao</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2002)</w:t>
      </w:r>
      <w:r w:rsidRPr="00451B44">
        <w:rPr>
          <w:rFonts w:ascii="Times New Roman" w:hAnsi="Times New Roman" w:cs="Times New Roman"/>
          <w:sz w:val="24"/>
          <w:szCs w:val="24"/>
        </w:rPr>
        <w:t xml:space="preserve">, Moreover, application of CsA, which blocks PTP formation, was shown to inhibit calcium induced swelling of isolated potato mitochondria </w:t>
      </w:r>
      <w:r w:rsidRPr="00451B44">
        <w:rPr>
          <w:rFonts w:ascii="Times New Roman" w:hAnsi="Times New Roman" w:cs="Times New Roman"/>
          <w:noProof/>
          <w:sz w:val="24"/>
          <w:szCs w:val="24"/>
        </w:rPr>
        <w:t>(Arpagaus</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2002)</w:t>
      </w:r>
      <w:r w:rsidRPr="00451B44">
        <w:rPr>
          <w:rFonts w:ascii="Times New Roman" w:hAnsi="Times New Roman" w:cs="Times New Roman"/>
          <w:sz w:val="24"/>
          <w:szCs w:val="24"/>
        </w:rPr>
        <w:t xml:space="preserve">, oxidative stress induced PCD in </w:t>
      </w:r>
      <w:r w:rsidRPr="00451B44">
        <w:rPr>
          <w:rFonts w:ascii="Times New Roman" w:hAnsi="Times New Roman" w:cs="Times New Roman"/>
          <w:i/>
          <w:iCs/>
          <w:sz w:val="24"/>
          <w:szCs w:val="24"/>
        </w:rPr>
        <w:t xml:space="preserve">Arabidopsis </w:t>
      </w:r>
      <w:r w:rsidRPr="00451B44">
        <w:rPr>
          <w:rFonts w:ascii="Times New Roman" w:hAnsi="Times New Roman" w:cs="Times New Roman"/>
          <w:sz w:val="24"/>
          <w:szCs w:val="24"/>
        </w:rPr>
        <w:t xml:space="preserve">cell suspension cultures </w:t>
      </w:r>
      <w:r>
        <w:rPr>
          <w:rFonts w:ascii="Times New Roman" w:hAnsi="Times New Roman" w:cs="Times New Roman"/>
          <w:sz w:val="24"/>
          <w:szCs w:val="24"/>
        </w:rPr>
        <w:t>(Tiwari</w:t>
      </w:r>
      <w:r w:rsidRPr="006944F9">
        <w:rPr>
          <w:rFonts w:ascii="Times New Roman" w:hAnsi="Times New Roman" w:cs="Times New Roman"/>
          <w:i/>
          <w:iCs/>
          <w:sz w:val="24"/>
          <w:szCs w:val="24"/>
        </w:rPr>
        <w:t xml:space="preserve"> et al.</w:t>
      </w:r>
      <w:r>
        <w:rPr>
          <w:rFonts w:ascii="Times New Roman" w:hAnsi="Times New Roman" w:cs="Times New Roman"/>
          <w:sz w:val="24"/>
          <w:szCs w:val="24"/>
        </w:rPr>
        <w:t>, 2002)</w:t>
      </w:r>
      <w:r w:rsidRPr="00451B44">
        <w:rPr>
          <w:rFonts w:ascii="Times New Roman" w:hAnsi="Times New Roman" w:cs="Times New Roman"/>
          <w:sz w:val="24"/>
          <w:szCs w:val="24"/>
        </w:rPr>
        <w:t>, betulinic acid triggered PCD of tracheary elements</w:t>
      </w:r>
      <w:r>
        <w:rPr>
          <w:rFonts w:ascii="Times New Roman" w:hAnsi="Times New Roman" w:cs="Times New Roman"/>
          <w:sz w:val="24"/>
          <w:szCs w:val="24"/>
        </w:rPr>
        <w:t xml:space="preserve"> </w:t>
      </w:r>
      <w:r w:rsidRPr="00451B44">
        <w:rPr>
          <w:rFonts w:ascii="Times New Roman" w:hAnsi="Times New Roman" w:cs="Times New Roman"/>
          <w:noProof/>
          <w:sz w:val="24"/>
          <w:szCs w:val="24"/>
        </w:rPr>
        <w:t>(Yu</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2002)</w:t>
      </w:r>
      <w:r w:rsidRPr="00451B44">
        <w:rPr>
          <w:rFonts w:ascii="Times New Roman" w:hAnsi="Times New Roman" w:cs="Times New Roman"/>
          <w:sz w:val="24"/>
          <w:szCs w:val="24"/>
        </w:rPr>
        <w:t xml:space="preserve"> and death induced by nitric oxide in </w:t>
      </w:r>
      <w:r w:rsidRPr="00451B44">
        <w:rPr>
          <w:rFonts w:ascii="Times New Roman" w:hAnsi="Times New Roman" w:cs="Times New Roman"/>
          <w:i/>
          <w:iCs/>
          <w:sz w:val="24"/>
          <w:szCs w:val="24"/>
        </w:rPr>
        <w:t>Citrus sinensis</w:t>
      </w:r>
      <w:r w:rsidRPr="00451B44">
        <w:rPr>
          <w:rFonts w:ascii="Times New Roman" w:hAnsi="Times New Roman" w:cs="Times New Roman"/>
          <w:sz w:val="24"/>
          <w:szCs w:val="24"/>
        </w:rPr>
        <w:t xml:space="preserve"> cells </w:t>
      </w:r>
      <w:r w:rsidRPr="00451B44">
        <w:rPr>
          <w:rFonts w:ascii="Times New Roman" w:hAnsi="Times New Roman" w:cs="Times New Roman"/>
          <w:noProof/>
          <w:sz w:val="24"/>
          <w:szCs w:val="24"/>
        </w:rPr>
        <w:t>(Saviani</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2002)</w:t>
      </w:r>
      <w:r w:rsidRPr="00451B44">
        <w:rPr>
          <w:rFonts w:ascii="Times New Roman" w:hAnsi="Times New Roman" w:cs="Times New Roman"/>
          <w:sz w:val="24"/>
          <w:szCs w:val="24"/>
        </w:rPr>
        <w:t xml:space="preserve">. CsA has been also shown to inhibit the loss of mitochondrial membrane potential and cyt </w:t>
      </w:r>
      <w:r w:rsidRPr="00C64D1B">
        <w:rPr>
          <w:rFonts w:ascii="Times New Roman" w:hAnsi="Times New Roman" w:cs="Times New Roman"/>
          <w:i/>
          <w:iCs/>
          <w:sz w:val="24"/>
          <w:szCs w:val="24"/>
        </w:rPr>
        <w:t>c</w:t>
      </w:r>
      <w:r w:rsidRPr="00451B44">
        <w:rPr>
          <w:rFonts w:ascii="Times New Roman" w:hAnsi="Times New Roman" w:cs="Times New Roman"/>
          <w:sz w:val="24"/>
          <w:szCs w:val="24"/>
        </w:rPr>
        <w:t xml:space="preserve"> release from </w:t>
      </w:r>
      <w:r w:rsidRPr="00451B44">
        <w:rPr>
          <w:rFonts w:ascii="Times New Roman" w:hAnsi="Times New Roman" w:cs="Times New Roman"/>
          <w:i/>
          <w:iCs/>
          <w:sz w:val="24"/>
          <w:szCs w:val="24"/>
        </w:rPr>
        <w:t xml:space="preserve">Arabidopsis </w:t>
      </w:r>
      <w:r w:rsidRPr="00451B44">
        <w:rPr>
          <w:rFonts w:ascii="Times New Roman" w:hAnsi="Times New Roman" w:cs="Times New Roman"/>
          <w:sz w:val="24"/>
          <w:szCs w:val="24"/>
        </w:rPr>
        <w:t xml:space="preserve">protoplasts treated with PPIX and C2 ceramide </w:t>
      </w:r>
      <w:r w:rsidRPr="00451B44">
        <w:rPr>
          <w:rFonts w:ascii="Times New Roman" w:hAnsi="Times New Roman" w:cs="Times New Roman"/>
          <w:noProof/>
          <w:sz w:val="24"/>
          <w:szCs w:val="24"/>
        </w:rPr>
        <w:t>(Yao</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2004)</w:t>
      </w:r>
      <w:r w:rsidRPr="00451B44">
        <w:rPr>
          <w:rFonts w:ascii="Times New Roman" w:hAnsi="Times New Roman" w:cs="Times New Roman"/>
          <w:sz w:val="24"/>
          <w:szCs w:val="24"/>
        </w:rPr>
        <w:t xml:space="preserve">. </w:t>
      </w:r>
    </w:p>
    <w:p w:rsidR="004B4E5E" w:rsidRDefault="004B4E5E" w:rsidP="002B4B8D">
      <w:pPr>
        <w:autoSpaceDE w:val="0"/>
        <w:autoSpaceDN w:val="0"/>
        <w:adjustRightInd w:val="0"/>
        <w:spacing w:after="0" w:line="480" w:lineRule="auto"/>
        <w:rPr>
          <w:rFonts w:ascii="Times New Roman" w:hAnsi="Times New Roman" w:cs="Times New Roman"/>
          <w:color w:val="000000"/>
          <w:sz w:val="24"/>
          <w:szCs w:val="24"/>
        </w:rPr>
      </w:pPr>
    </w:p>
    <w:p w:rsidR="004B4E5E" w:rsidRPr="00451B44" w:rsidRDefault="004B4E5E" w:rsidP="002B4B8D">
      <w:pPr>
        <w:autoSpaceDE w:val="0"/>
        <w:autoSpaceDN w:val="0"/>
        <w:adjustRightInd w:val="0"/>
        <w:spacing w:after="0" w:line="480" w:lineRule="auto"/>
        <w:rPr>
          <w:rFonts w:ascii="Times New Roman" w:hAnsi="Times New Roman" w:cs="Times New Roman"/>
          <w:sz w:val="24"/>
          <w:szCs w:val="24"/>
        </w:rPr>
      </w:pPr>
      <w:r w:rsidRPr="00451B44">
        <w:rPr>
          <w:rFonts w:ascii="Times New Roman" w:hAnsi="Times New Roman" w:cs="Times New Roman"/>
          <w:color w:val="000000"/>
          <w:sz w:val="24"/>
          <w:szCs w:val="24"/>
        </w:rPr>
        <w:t xml:space="preserve">Hexokinases are enzymes </w:t>
      </w:r>
      <w:r>
        <w:rPr>
          <w:rFonts w:ascii="Times New Roman" w:hAnsi="Times New Roman" w:cs="Times New Roman"/>
          <w:color w:val="000000"/>
          <w:sz w:val="24"/>
          <w:szCs w:val="24"/>
        </w:rPr>
        <w:t>that participate</w:t>
      </w:r>
      <w:r w:rsidRPr="00451B44">
        <w:rPr>
          <w:rFonts w:ascii="Times New Roman" w:hAnsi="Times New Roman" w:cs="Times New Roman"/>
          <w:color w:val="000000"/>
          <w:sz w:val="24"/>
          <w:szCs w:val="24"/>
        </w:rPr>
        <w:t xml:space="preserve"> in a variety of </w:t>
      </w:r>
      <w:r>
        <w:rPr>
          <w:rFonts w:ascii="Times New Roman" w:hAnsi="Times New Roman" w:cs="Times New Roman"/>
          <w:color w:val="000000"/>
          <w:sz w:val="24"/>
          <w:szCs w:val="24"/>
        </w:rPr>
        <w:t>cellular processes</w:t>
      </w:r>
      <w:r w:rsidRPr="00451B44">
        <w:rPr>
          <w:rFonts w:ascii="Times New Roman" w:hAnsi="Times New Roman" w:cs="Times New Roman"/>
          <w:color w:val="000000"/>
          <w:sz w:val="24"/>
          <w:szCs w:val="24"/>
        </w:rPr>
        <w:t xml:space="preserve">. The </w:t>
      </w:r>
      <w:r w:rsidRPr="00451B44">
        <w:rPr>
          <w:rFonts w:ascii="Times New Roman" w:hAnsi="Times New Roman" w:cs="Times New Roman"/>
          <w:sz w:val="24"/>
          <w:szCs w:val="24"/>
        </w:rPr>
        <w:t>mitochondria-associated hexokinase</w:t>
      </w:r>
      <w:r w:rsidRPr="00451B44">
        <w:rPr>
          <w:rFonts w:ascii="Times New Roman" w:hAnsi="Times New Roman" w:cs="Times New Roman"/>
          <w:sz w:val="24"/>
          <w:szCs w:val="24"/>
          <w:vertAlign w:val="superscript"/>
        </w:rPr>
        <w:t xml:space="preserve"> </w:t>
      </w:r>
      <w:r>
        <w:rPr>
          <w:rFonts w:ascii="Times New Roman" w:hAnsi="Times New Roman" w:cs="Times New Roman"/>
          <w:sz w:val="24"/>
          <w:szCs w:val="24"/>
        </w:rPr>
        <w:t>has been</w:t>
      </w:r>
      <w:r w:rsidRPr="00451B44">
        <w:rPr>
          <w:rFonts w:ascii="Times New Roman" w:hAnsi="Times New Roman" w:cs="Times New Roman"/>
          <w:sz w:val="24"/>
          <w:szCs w:val="24"/>
        </w:rPr>
        <w:t xml:space="preserve"> shown to play an important role in control of mammalian apoptosis (Birnbaum, 2004, Downward, 2003, Majewski</w:t>
      </w:r>
      <w:r w:rsidRPr="00451B44">
        <w:rPr>
          <w:rFonts w:ascii="Times New Roman" w:hAnsi="Times New Roman" w:cs="Times New Roman"/>
          <w:i/>
          <w:iCs/>
          <w:sz w:val="24"/>
          <w:szCs w:val="24"/>
        </w:rPr>
        <w:t xml:space="preserve"> et al.</w:t>
      </w:r>
      <w:r>
        <w:rPr>
          <w:rFonts w:ascii="Times New Roman" w:hAnsi="Times New Roman" w:cs="Times New Roman"/>
          <w:sz w:val="24"/>
          <w:szCs w:val="24"/>
        </w:rPr>
        <w:t>, 2004). It</w:t>
      </w:r>
      <w:r w:rsidRPr="00451B44">
        <w:rPr>
          <w:rFonts w:ascii="Times New Roman" w:hAnsi="Times New Roman" w:cs="Times New Roman"/>
          <w:sz w:val="24"/>
          <w:szCs w:val="24"/>
        </w:rPr>
        <w:t xml:space="preserve"> bind</w:t>
      </w:r>
      <w:r>
        <w:rPr>
          <w:rFonts w:ascii="Times New Roman" w:hAnsi="Times New Roman" w:cs="Times New Roman"/>
          <w:sz w:val="24"/>
          <w:szCs w:val="24"/>
        </w:rPr>
        <w:t>s</w:t>
      </w:r>
      <w:r w:rsidRPr="00451B44">
        <w:rPr>
          <w:rFonts w:ascii="Times New Roman" w:hAnsi="Times New Roman" w:cs="Times New Roman"/>
          <w:sz w:val="24"/>
          <w:szCs w:val="24"/>
        </w:rPr>
        <w:t xml:space="preserve"> to the VDAC and interfere</w:t>
      </w:r>
      <w:r>
        <w:rPr>
          <w:rFonts w:ascii="Times New Roman" w:hAnsi="Times New Roman" w:cs="Times New Roman"/>
          <w:sz w:val="24"/>
          <w:szCs w:val="24"/>
        </w:rPr>
        <w:t>s</w:t>
      </w:r>
      <w:r w:rsidRPr="00451B44">
        <w:rPr>
          <w:rFonts w:ascii="Times New Roman" w:hAnsi="Times New Roman" w:cs="Times New Roman"/>
          <w:sz w:val="24"/>
          <w:szCs w:val="24"/>
        </w:rPr>
        <w:t xml:space="preserve"> with the opening of the PTP, thereby inhibiting cyt </w:t>
      </w:r>
      <w:r w:rsidRPr="00C64D1B">
        <w:rPr>
          <w:rFonts w:ascii="Times New Roman" w:hAnsi="Times New Roman" w:cs="Times New Roman"/>
          <w:i/>
          <w:iCs/>
          <w:sz w:val="24"/>
          <w:szCs w:val="24"/>
        </w:rPr>
        <w:t>c</w:t>
      </w:r>
      <w:r w:rsidRPr="00451B44">
        <w:rPr>
          <w:rFonts w:ascii="Times New Roman" w:hAnsi="Times New Roman" w:cs="Times New Roman"/>
          <w:sz w:val="24"/>
          <w:szCs w:val="24"/>
        </w:rPr>
        <w:t xml:space="preserve"> release and consequently preventing apoptosis (Azoulay-Zohar</w:t>
      </w:r>
      <w:r w:rsidRPr="00451B44">
        <w:rPr>
          <w:rFonts w:ascii="Times New Roman" w:hAnsi="Times New Roman" w:cs="Times New Roman"/>
          <w:i/>
          <w:iCs/>
          <w:sz w:val="24"/>
          <w:szCs w:val="24"/>
        </w:rPr>
        <w:t xml:space="preserve"> et al.</w:t>
      </w:r>
      <w:r w:rsidRPr="00451B44">
        <w:rPr>
          <w:rFonts w:ascii="Times New Roman" w:hAnsi="Times New Roman" w:cs="Times New Roman"/>
          <w:sz w:val="24"/>
          <w:szCs w:val="24"/>
        </w:rPr>
        <w:t>, 2004, Pastorino</w:t>
      </w:r>
      <w:r w:rsidRPr="00451B44">
        <w:rPr>
          <w:rFonts w:ascii="Times New Roman" w:hAnsi="Times New Roman" w:cs="Times New Roman"/>
          <w:i/>
          <w:iCs/>
          <w:sz w:val="24"/>
          <w:szCs w:val="24"/>
        </w:rPr>
        <w:t xml:space="preserve"> et al.</w:t>
      </w:r>
      <w:r w:rsidRPr="00451B44">
        <w:rPr>
          <w:rFonts w:ascii="Times New Roman" w:hAnsi="Times New Roman" w:cs="Times New Roman"/>
          <w:sz w:val="24"/>
          <w:szCs w:val="24"/>
        </w:rPr>
        <w:t>, 2002)</w:t>
      </w:r>
      <w:r>
        <w:rPr>
          <w:rFonts w:ascii="Times New Roman" w:hAnsi="Times New Roman" w:cs="Times New Roman"/>
          <w:sz w:val="24"/>
          <w:szCs w:val="24"/>
        </w:rPr>
        <w:t xml:space="preserve">. </w:t>
      </w:r>
      <w:r w:rsidRPr="00451B44">
        <w:rPr>
          <w:rFonts w:ascii="Times New Roman" w:hAnsi="Times New Roman" w:cs="Times New Roman"/>
          <w:sz w:val="24"/>
          <w:szCs w:val="24"/>
        </w:rPr>
        <w:t xml:space="preserve">Kim </w:t>
      </w:r>
      <w:r w:rsidRPr="00451B44">
        <w:rPr>
          <w:rFonts w:ascii="Times New Roman" w:hAnsi="Times New Roman" w:cs="Times New Roman"/>
          <w:i/>
          <w:iCs/>
          <w:sz w:val="24"/>
          <w:szCs w:val="24"/>
        </w:rPr>
        <w:t>et al.</w:t>
      </w:r>
      <w:r w:rsidRPr="00451B44">
        <w:rPr>
          <w:rFonts w:ascii="Times New Roman" w:hAnsi="Times New Roman" w:cs="Times New Roman"/>
          <w:sz w:val="24"/>
          <w:szCs w:val="24"/>
        </w:rPr>
        <w:t xml:space="preserve"> </w:t>
      </w:r>
      <w:r w:rsidRPr="00451B44">
        <w:rPr>
          <w:rFonts w:ascii="Times New Roman" w:hAnsi="Times New Roman" w:cs="Times New Roman"/>
          <w:noProof/>
          <w:sz w:val="24"/>
          <w:szCs w:val="24"/>
        </w:rPr>
        <w:t>(2006)</w:t>
      </w:r>
      <w:r>
        <w:rPr>
          <w:rFonts w:ascii="Times New Roman" w:hAnsi="Times New Roman" w:cs="Times New Roman"/>
          <w:sz w:val="24"/>
          <w:szCs w:val="24"/>
        </w:rPr>
        <w:t xml:space="preserve"> have</w:t>
      </w:r>
      <w:r w:rsidRPr="00451B44">
        <w:rPr>
          <w:rFonts w:ascii="Times New Roman" w:hAnsi="Times New Roman" w:cs="Times New Roman"/>
          <w:sz w:val="24"/>
          <w:szCs w:val="24"/>
        </w:rPr>
        <w:t xml:space="preserve"> s</w:t>
      </w:r>
      <w:r>
        <w:rPr>
          <w:rFonts w:ascii="Times New Roman" w:hAnsi="Times New Roman" w:cs="Times New Roman"/>
          <w:sz w:val="24"/>
          <w:szCs w:val="24"/>
        </w:rPr>
        <w:t>hown that plant hexokinases</w:t>
      </w:r>
      <w:r w:rsidRPr="00451B44">
        <w:rPr>
          <w:rFonts w:ascii="Times New Roman" w:hAnsi="Times New Roman" w:cs="Times New Roman"/>
          <w:sz w:val="24"/>
          <w:szCs w:val="24"/>
        </w:rPr>
        <w:t xml:space="preserve"> participate in the regulation of PCD in </w:t>
      </w:r>
      <w:r w:rsidRPr="00451B44">
        <w:rPr>
          <w:rFonts w:ascii="Times New Roman" w:hAnsi="Times New Roman" w:cs="Times New Roman"/>
          <w:i/>
          <w:iCs/>
          <w:sz w:val="24"/>
          <w:szCs w:val="24"/>
        </w:rPr>
        <w:t>Nicotiana benthamiana</w:t>
      </w:r>
      <w:r>
        <w:rPr>
          <w:rFonts w:ascii="Times New Roman" w:hAnsi="Times New Roman" w:cs="Times New Roman"/>
          <w:sz w:val="24"/>
          <w:szCs w:val="24"/>
        </w:rPr>
        <w:t>. T</w:t>
      </w:r>
      <w:r w:rsidRPr="00451B44">
        <w:rPr>
          <w:rFonts w:ascii="Times New Roman" w:hAnsi="Times New Roman" w:cs="Times New Roman"/>
          <w:sz w:val="24"/>
          <w:szCs w:val="24"/>
        </w:rPr>
        <w:t>obacco rattle virus (TRV)–based</w:t>
      </w:r>
      <w:r w:rsidRPr="00451B44">
        <w:rPr>
          <w:rFonts w:ascii="Times New Roman" w:hAnsi="Times New Roman" w:cs="Times New Roman"/>
          <w:sz w:val="24"/>
          <w:szCs w:val="24"/>
          <w:vertAlign w:val="superscript"/>
        </w:rPr>
        <w:t xml:space="preserve"> </w:t>
      </w:r>
      <w:r w:rsidRPr="00451B44">
        <w:rPr>
          <w:rFonts w:ascii="Times New Roman" w:hAnsi="Times New Roman" w:cs="Times New Roman"/>
          <w:sz w:val="24"/>
          <w:szCs w:val="24"/>
        </w:rPr>
        <w:t xml:space="preserve">virus-induced gene silencing (VIGS) of the hexokinase gene </w:t>
      </w:r>
      <w:r w:rsidRPr="00451B44">
        <w:rPr>
          <w:rFonts w:ascii="Times New Roman" w:hAnsi="Times New Roman" w:cs="Times New Roman"/>
          <w:i/>
          <w:iCs/>
          <w:sz w:val="24"/>
          <w:szCs w:val="24"/>
        </w:rPr>
        <w:t xml:space="preserve">Hxk1 </w:t>
      </w:r>
      <w:r w:rsidRPr="00451B44">
        <w:rPr>
          <w:rFonts w:ascii="Times New Roman" w:hAnsi="Times New Roman" w:cs="Times New Roman"/>
          <w:sz w:val="24"/>
          <w:szCs w:val="24"/>
        </w:rPr>
        <w:t>was shown to</w:t>
      </w:r>
      <w:r w:rsidRPr="00451B44">
        <w:rPr>
          <w:rFonts w:ascii="Times New Roman" w:hAnsi="Times New Roman" w:cs="Times New Roman"/>
          <w:i/>
          <w:iCs/>
          <w:sz w:val="24"/>
          <w:szCs w:val="24"/>
        </w:rPr>
        <w:t xml:space="preserve"> </w:t>
      </w:r>
      <w:r w:rsidRPr="00451B44">
        <w:rPr>
          <w:rFonts w:ascii="Times New Roman" w:hAnsi="Times New Roman" w:cs="Times New Roman"/>
          <w:sz w:val="24"/>
          <w:szCs w:val="24"/>
        </w:rPr>
        <w:t>induce the spontaneous formation of lesions in leaves. Cells within these lesions exhibited AL-</w:t>
      </w:r>
      <w:r>
        <w:rPr>
          <w:rFonts w:ascii="Times New Roman" w:hAnsi="Times New Roman" w:cs="Times New Roman"/>
          <w:sz w:val="24"/>
          <w:szCs w:val="24"/>
        </w:rPr>
        <w:t>PCD characteristic features such as,</w:t>
      </w:r>
      <w:r w:rsidRPr="00451B44">
        <w:rPr>
          <w:rFonts w:ascii="Times New Roman" w:hAnsi="Times New Roman" w:cs="Times New Roman"/>
          <w:sz w:val="24"/>
          <w:szCs w:val="24"/>
        </w:rPr>
        <w:t xml:space="preserve"> nuclear condensation, DNA fragmentation, </w:t>
      </w:r>
      <w:r>
        <w:rPr>
          <w:rFonts w:ascii="Times New Roman" w:hAnsi="Times New Roman" w:cs="Times New Roman"/>
          <w:sz w:val="24"/>
          <w:szCs w:val="24"/>
        </w:rPr>
        <w:t xml:space="preserve">loss </w:t>
      </w:r>
      <w:r w:rsidRPr="00451B44">
        <w:rPr>
          <w:rFonts w:ascii="Times New Roman" w:hAnsi="Times New Roman" w:cs="Times New Roman"/>
          <w:sz w:val="24"/>
          <w:szCs w:val="24"/>
        </w:rPr>
        <w:t xml:space="preserve">of mitochondrial membrane potential, cyt </w:t>
      </w:r>
      <w:r w:rsidRPr="00C64D1B">
        <w:rPr>
          <w:rFonts w:ascii="Times New Roman" w:hAnsi="Times New Roman" w:cs="Times New Roman"/>
          <w:i/>
          <w:iCs/>
          <w:sz w:val="24"/>
          <w:szCs w:val="24"/>
        </w:rPr>
        <w:t>c</w:t>
      </w:r>
      <w:r w:rsidRPr="00451B44">
        <w:rPr>
          <w:rFonts w:ascii="Times New Roman" w:hAnsi="Times New Roman" w:cs="Times New Roman"/>
          <w:sz w:val="24"/>
          <w:szCs w:val="24"/>
        </w:rPr>
        <w:t xml:space="preserve"> release, activation of caspase-9-like and c</w:t>
      </w:r>
      <w:r>
        <w:rPr>
          <w:rFonts w:ascii="Times New Roman" w:hAnsi="Times New Roman" w:cs="Times New Roman"/>
          <w:sz w:val="24"/>
          <w:szCs w:val="24"/>
        </w:rPr>
        <w:t>aspase-3-like proteases.</w:t>
      </w:r>
      <w:r w:rsidRPr="00451B44">
        <w:rPr>
          <w:rFonts w:ascii="Times New Roman" w:hAnsi="Times New Roman" w:cs="Times New Roman"/>
          <w:sz w:val="24"/>
          <w:szCs w:val="24"/>
        </w:rPr>
        <w:t xml:space="preserve"> </w:t>
      </w:r>
      <w:r w:rsidRPr="00A05889">
        <w:rPr>
          <w:rFonts w:ascii="Times New Roman" w:hAnsi="Times New Roman" w:cs="Times New Roman"/>
          <w:i/>
          <w:sz w:val="24"/>
          <w:szCs w:val="24"/>
        </w:rPr>
        <w:t>Hxk1</w:t>
      </w:r>
      <w:r w:rsidRPr="00451B44">
        <w:rPr>
          <w:rFonts w:ascii="Times New Roman" w:hAnsi="Times New Roman" w:cs="Times New Roman"/>
          <w:sz w:val="24"/>
          <w:szCs w:val="24"/>
        </w:rPr>
        <w:t xml:space="preserve"> was </w:t>
      </w:r>
      <w:r>
        <w:rPr>
          <w:rFonts w:ascii="Times New Roman" w:hAnsi="Times New Roman" w:cs="Times New Roman"/>
          <w:sz w:val="24"/>
          <w:szCs w:val="24"/>
        </w:rPr>
        <w:t xml:space="preserve">shown to be </w:t>
      </w:r>
      <w:r w:rsidRPr="00451B44">
        <w:rPr>
          <w:rFonts w:ascii="Times New Roman" w:hAnsi="Times New Roman" w:cs="Times New Roman"/>
          <w:sz w:val="24"/>
          <w:szCs w:val="24"/>
        </w:rPr>
        <w:t>associated with the mitochondria, its expression</w:t>
      </w:r>
      <w:r w:rsidRPr="00451B44">
        <w:rPr>
          <w:rFonts w:ascii="Times New Roman" w:hAnsi="Times New Roman" w:cs="Times New Roman"/>
          <w:sz w:val="24"/>
          <w:szCs w:val="24"/>
          <w:vertAlign w:val="superscript"/>
        </w:rPr>
        <w:t xml:space="preserve"> </w:t>
      </w:r>
      <w:r w:rsidRPr="00451B44">
        <w:rPr>
          <w:rFonts w:ascii="Times New Roman" w:hAnsi="Times New Roman" w:cs="Times New Roman"/>
          <w:sz w:val="24"/>
          <w:szCs w:val="24"/>
        </w:rPr>
        <w:t xml:space="preserve">was stimulated by various cell death–inducing stresses and moreover overexpression of mitochondria-associated </w:t>
      </w:r>
      <w:r w:rsidRPr="00451B44">
        <w:rPr>
          <w:rFonts w:ascii="Times New Roman" w:hAnsi="Times New Roman" w:cs="Times New Roman"/>
          <w:i/>
          <w:iCs/>
          <w:sz w:val="24"/>
          <w:szCs w:val="24"/>
        </w:rPr>
        <w:t>Arabidopsis</w:t>
      </w:r>
      <w:r w:rsidRPr="00451B44">
        <w:rPr>
          <w:rFonts w:ascii="Times New Roman" w:hAnsi="Times New Roman" w:cs="Times New Roman"/>
          <w:sz w:val="24"/>
          <w:szCs w:val="24"/>
        </w:rPr>
        <w:t xml:space="preserve"> hexokinases Hxk1 and Hxk2, increased the plants resistance to oxidative stress induced cell death. </w:t>
      </w:r>
      <w:r>
        <w:rPr>
          <w:rFonts w:ascii="Times New Roman" w:hAnsi="Times New Roman" w:cs="Times New Roman"/>
          <w:sz w:val="24"/>
          <w:szCs w:val="24"/>
        </w:rPr>
        <w:t xml:space="preserve">Other studies have shown </w:t>
      </w:r>
      <w:r w:rsidRPr="00451B44">
        <w:rPr>
          <w:rFonts w:ascii="Times New Roman" w:hAnsi="Times New Roman" w:cs="Times New Roman"/>
          <w:sz w:val="24"/>
          <w:szCs w:val="24"/>
        </w:rPr>
        <w:t>mitocho</w:t>
      </w:r>
      <w:r>
        <w:rPr>
          <w:rFonts w:ascii="Times New Roman" w:hAnsi="Times New Roman" w:cs="Times New Roman"/>
          <w:sz w:val="24"/>
          <w:szCs w:val="24"/>
        </w:rPr>
        <w:t>ndria-associated hexokinases have an antioxidant role in potato tubers</w:t>
      </w:r>
      <w:r w:rsidRPr="00451B44">
        <w:rPr>
          <w:rFonts w:ascii="Times New Roman" w:hAnsi="Times New Roman" w:cs="Times New Roman"/>
          <w:sz w:val="24"/>
          <w:szCs w:val="24"/>
        </w:rPr>
        <w:t xml:space="preserve"> </w:t>
      </w:r>
      <w:r>
        <w:rPr>
          <w:rFonts w:ascii="Times New Roman" w:hAnsi="Times New Roman" w:cs="Times New Roman"/>
          <w:sz w:val="24"/>
          <w:szCs w:val="24"/>
        </w:rPr>
        <w:t>(Camacho-Pereira</w:t>
      </w:r>
      <w:r w:rsidRPr="000B0BB3">
        <w:rPr>
          <w:rFonts w:ascii="Times New Roman" w:hAnsi="Times New Roman" w:cs="Times New Roman"/>
          <w:i/>
          <w:iCs/>
          <w:sz w:val="24"/>
          <w:szCs w:val="24"/>
        </w:rPr>
        <w:t xml:space="preserve"> et al.</w:t>
      </w:r>
      <w:r>
        <w:rPr>
          <w:rFonts w:ascii="Times New Roman" w:hAnsi="Times New Roman" w:cs="Times New Roman"/>
          <w:sz w:val="24"/>
          <w:szCs w:val="24"/>
        </w:rPr>
        <w:t>, 2009). Studies</w:t>
      </w:r>
      <w:r w:rsidRPr="00451B44">
        <w:rPr>
          <w:rFonts w:ascii="Times New Roman" w:hAnsi="Times New Roman" w:cs="Times New Roman"/>
          <w:sz w:val="24"/>
          <w:szCs w:val="24"/>
        </w:rPr>
        <w:t xml:space="preserve"> suggesting that mitochondria-associated hexokinase activity could be involved in the regulation of both mitochondrial respiration</w:t>
      </w:r>
      <w:r>
        <w:rPr>
          <w:rFonts w:ascii="Times New Roman" w:hAnsi="Times New Roman" w:cs="Times New Roman"/>
          <w:sz w:val="24"/>
          <w:szCs w:val="24"/>
        </w:rPr>
        <w:t>,</w:t>
      </w:r>
      <w:r w:rsidRPr="00451B44">
        <w:rPr>
          <w:rFonts w:ascii="Times New Roman" w:hAnsi="Times New Roman" w:cs="Times New Roman"/>
          <w:sz w:val="24"/>
          <w:szCs w:val="24"/>
        </w:rPr>
        <w:t xml:space="preserve"> and ROS production</w:t>
      </w:r>
      <w:r>
        <w:rPr>
          <w:rFonts w:ascii="Times New Roman" w:hAnsi="Times New Roman" w:cs="Times New Roman"/>
          <w:sz w:val="24"/>
          <w:szCs w:val="24"/>
        </w:rPr>
        <w:t>,</w:t>
      </w:r>
      <w:r w:rsidRPr="00451B44">
        <w:rPr>
          <w:rFonts w:ascii="Times New Roman" w:hAnsi="Times New Roman" w:cs="Times New Roman"/>
          <w:sz w:val="24"/>
          <w:szCs w:val="24"/>
        </w:rPr>
        <w:t xml:space="preserve"> in plants was recently reviewed by Bolouri-Moghaddam</w:t>
      </w:r>
      <w:r w:rsidRPr="00451B44">
        <w:rPr>
          <w:rFonts w:ascii="Times New Roman" w:hAnsi="Times New Roman" w:cs="Times New Roman"/>
          <w:i/>
          <w:iCs/>
          <w:sz w:val="24"/>
          <w:szCs w:val="24"/>
        </w:rPr>
        <w:t xml:space="preserve"> et al.</w:t>
      </w:r>
      <w:r w:rsidRPr="00451B44">
        <w:rPr>
          <w:rFonts w:ascii="Times New Roman" w:hAnsi="Times New Roman" w:cs="Times New Roman"/>
          <w:sz w:val="24"/>
          <w:szCs w:val="24"/>
        </w:rPr>
        <w:t xml:space="preserve"> </w:t>
      </w:r>
      <w:r w:rsidRPr="00451B44">
        <w:rPr>
          <w:rFonts w:ascii="Times New Roman" w:hAnsi="Times New Roman" w:cs="Times New Roman"/>
          <w:noProof/>
          <w:sz w:val="24"/>
          <w:szCs w:val="24"/>
        </w:rPr>
        <w:t>(2010)</w:t>
      </w:r>
      <w:r>
        <w:rPr>
          <w:rFonts w:ascii="Times New Roman" w:hAnsi="Times New Roman" w:cs="Times New Roman"/>
          <w:sz w:val="24"/>
          <w:szCs w:val="24"/>
        </w:rPr>
        <w:t>. It is worth noting that chloroplast</w:t>
      </w:r>
      <w:r w:rsidRPr="00451B44">
        <w:rPr>
          <w:rFonts w:ascii="Times New Roman" w:hAnsi="Times New Roman" w:cs="Times New Roman"/>
          <w:sz w:val="24"/>
          <w:szCs w:val="24"/>
        </w:rPr>
        <w:t xml:space="preserve"> hexokinases</w:t>
      </w:r>
      <w:r>
        <w:rPr>
          <w:rFonts w:ascii="Times New Roman" w:hAnsi="Times New Roman" w:cs="Times New Roman"/>
          <w:sz w:val="24"/>
          <w:szCs w:val="24"/>
        </w:rPr>
        <w:t xml:space="preserve"> could also have a role as antioxidants in plants </w:t>
      </w:r>
      <w:r w:rsidRPr="00451B44">
        <w:rPr>
          <w:rFonts w:ascii="Times New Roman" w:hAnsi="Times New Roman" w:cs="Times New Roman"/>
          <w:sz w:val="24"/>
          <w:szCs w:val="24"/>
        </w:rPr>
        <w:t>(Giese</w:t>
      </w:r>
      <w:r w:rsidRPr="00451B44">
        <w:rPr>
          <w:rFonts w:ascii="Times New Roman" w:hAnsi="Times New Roman" w:cs="Times New Roman"/>
          <w:i/>
          <w:iCs/>
          <w:sz w:val="24"/>
          <w:szCs w:val="24"/>
        </w:rPr>
        <w:t xml:space="preserve"> et al.</w:t>
      </w:r>
      <w:r w:rsidRPr="00451B44">
        <w:rPr>
          <w:rFonts w:ascii="Times New Roman" w:hAnsi="Times New Roman" w:cs="Times New Roman"/>
          <w:sz w:val="24"/>
          <w:szCs w:val="24"/>
        </w:rPr>
        <w:t>, 2005, Wiese</w:t>
      </w:r>
      <w:r w:rsidRPr="00451B44">
        <w:rPr>
          <w:rFonts w:ascii="Times New Roman" w:hAnsi="Times New Roman" w:cs="Times New Roman"/>
          <w:i/>
          <w:iCs/>
          <w:sz w:val="24"/>
          <w:szCs w:val="24"/>
        </w:rPr>
        <w:t xml:space="preserve"> et al.</w:t>
      </w:r>
      <w:r w:rsidRPr="00451B44">
        <w:rPr>
          <w:rFonts w:ascii="Times New Roman" w:hAnsi="Times New Roman" w:cs="Times New Roman"/>
          <w:sz w:val="24"/>
          <w:szCs w:val="24"/>
        </w:rPr>
        <w:t>, 1999).</w:t>
      </w:r>
    </w:p>
    <w:p w:rsidR="004B4E5E" w:rsidRDefault="004B4E5E" w:rsidP="002B4B8D">
      <w:pPr>
        <w:autoSpaceDE w:val="0"/>
        <w:autoSpaceDN w:val="0"/>
        <w:adjustRightInd w:val="0"/>
        <w:spacing w:after="0" w:line="480" w:lineRule="auto"/>
        <w:rPr>
          <w:rFonts w:ascii="Times New Roman" w:hAnsi="Times New Roman" w:cs="Times New Roman"/>
          <w:sz w:val="24"/>
          <w:szCs w:val="24"/>
        </w:rPr>
      </w:pPr>
    </w:p>
    <w:p w:rsidR="004B4E5E" w:rsidRPr="00451B44" w:rsidRDefault="004B4E5E" w:rsidP="00BF42BA">
      <w:pPr>
        <w:pStyle w:val="ListParagraph"/>
        <w:numPr>
          <w:ilvl w:val="4"/>
          <w:numId w:val="18"/>
        </w:numPr>
        <w:autoSpaceDE w:val="0"/>
        <w:autoSpaceDN w:val="0"/>
        <w:adjustRightInd w:val="0"/>
        <w:spacing w:after="0" w:line="480" w:lineRule="auto"/>
        <w:ind w:hanging="2487"/>
        <w:rPr>
          <w:rFonts w:ascii="Times New Roman" w:hAnsi="Times New Roman" w:cs="Times New Roman"/>
          <w:b/>
          <w:bCs/>
          <w:sz w:val="24"/>
          <w:szCs w:val="24"/>
        </w:rPr>
      </w:pPr>
      <w:r>
        <w:rPr>
          <w:rFonts w:ascii="Times New Roman" w:hAnsi="Times New Roman" w:cs="Times New Roman"/>
          <w:b/>
          <w:bCs/>
          <w:sz w:val="24"/>
          <w:szCs w:val="24"/>
        </w:rPr>
        <w:t>Putative</w:t>
      </w:r>
      <w:r w:rsidRPr="00451B44">
        <w:rPr>
          <w:rFonts w:ascii="Times New Roman" w:hAnsi="Times New Roman" w:cs="Times New Roman"/>
          <w:b/>
          <w:bCs/>
          <w:sz w:val="24"/>
          <w:szCs w:val="24"/>
        </w:rPr>
        <w:t xml:space="preserve"> role of </w:t>
      </w:r>
      <w:r>
        <w:rPr>
          <w:rFonts w:ascii="Times New Roman" w:hAnsi="Times New Roman" w:cs="Times New Roman"/>
          <w:b/>
          <w:bCs/>
          <w:sz w:val="24"/>
          <w:szCs w:val="24"/>
        </w:rPr>
        <w:t xml:space="preserve">the </w:t>
      </w:r>
      <w:r w:rsidRPr="00451B44">
        <w:rPr>
          <w:rFonts w:ascii="Times New Roman" w:hAnsi="Times New Roman" w:cs="Times New Roman"/>
          <w:b/>
          <w:bCs/>
          <w:sz w:val="24"/>
          <w:szCs w:val="24"/>
        </w:rPr>
        <w:t xml:space="preserve">chloroplast in </w:t>
      </w:r>
      <w:r>
        <w:rPr>
          <w:rFonts w:ascii="Times New Roman" w:hAnsi="Times New Roman" w:cs="Times New Roman"/>
          <w:b/>
          <w:bCs/>
          <w:sz w:val="24"/>
          <w:szCs w:val="24"/>
        </w:rPr>
        <w:t>regulating PCD</w:t>
      </w:r>
    </w:p>
    <w:p w:rsidR="004B4E5E" w:rsidRPr="00451B44" w:rsidRDefault="004B4E5E" w:rsidP="002B4B8D">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E</w:t>
      </w:r>
      <w:r w:rsidRPr="00451B44">
        <w:rPr>
          <w:rFonts w:ascii="Times New Roman" w:hAnsi="Times New Roman" w:cs="Times New Roman"/>
          <w:sz w:val="24"/>
          <w:szCs w:val="24"/>
        </w:rPr>
        <w:t xml:space="preserve">levation in ROS is often associated with PCD </w:t>
      </w:r>
      <w:r>
        <w:rPr>
          <w:rFonts w:ascii="Times New Roman" w:hAnsi="Times New Roman" w:cs="Times New Roman"/>
          <w:sz w:val="24"/>
          <w:szCs w:val="24"/>
        </w:rPr>
        <w:t>and t</w:t>
      </w:r>
      <w:r w:rsidRPr="00451B44">
        <w:rPr>
          <w:rFonts w:ascii="Times New Roman" w:hAnsi="Times New Roman" w:cs="Times New Roman"/>
          <w:sz w:val="24"/>
          <w:szCs w:val="24"/>
        </w:rPr>
        <w:t xml:space="preserve">he chloroplast is one of the main </w:t>
      </w:r>
      <w:r>
        <w:rPr>
          <w:rFonts w:ascii="Times New Roman" w:hAnsi="Times New Roman" w:cs="Times New Roman"/>
          <w:sz w:val="24"/>
          <w:szCs w:val="24"/>
        </w:rPr>
        <w:t xml:space="preserve">sources of </w:t>
      </w:r>
      <w:r w:rsidRPr="00451B44">
        <w:rPr>
          <w:rFonts w:ascii="Times New Roman" w:hAnsi="Times New Roman" w:cs="Times New Roman"/>
          <w:sz w:val="24"/>
          <w:szCs w:val="24"/>
        </w:rPr>
        <w:t>ROS in leaf cells (Asada, 2006, Zapata</w:t>
      </w:r>
      <w:r w:rsidRPr="00451B44">
        <w:rPr>
          <w:rFonts w:ascii="Times New Roman" w:hAnsi="Times New Roman" w:cs="Times New Roman"/>
          <w:i/>
          <w:iCs/>
          <w:sz w:val="24"/>
          <w:szCs w:val="24"/>
        </w:rPr>
        <w:t xml:space="preserve"> et al.</w:t>
      </w:r>
      <w:r w:rsidRPr="00451B44">
        <w:rPr>
          <w:rFonts w:ascii="Times New Roman" w:hAnsi="Times New Roman" w:cs="Times New Roman"/>
          <w:sz w:val="24"/>
          <w:szCs w:val="24"/>
        </w:rPr>
        <w:t xml:space="preserve">, 2005). </w:t>
      </w:r>
      <w:r>
        <w:rPr>
          <w:rFonts w:ascii="Times New Roman" w:hAnsi="Times New Roman" w:cs="Times New Roman"/>
          <w:sz w:val="24"/>
          <w:szCs w:val="24"/>
        </w:rPr>
        <w:t>Indeed data is emerging</w:t>
      </w:r>
      <w:r w:rsidRPr="00451B44">
        <w:rPr>
          <w:rFonts w:ascii="Times New Roman" w:hAnsi="Times New Roman" w:cs="Times New Roman"/>
          <w:sz w:val="24"/>
          <w:szCs w:val="24"/>
        </w:rPr>
        <w:t xml:space="preserve"> </w:t>
      </w:r>
      <w:r>
        <w:rPr>
          <w:rFonts w:ascii="Times New Roman" w:hAnsi="Times New Roman" w:cs="Times New Roman"/>
          <w:sz w:val="24"/>
          <w:szCs w:val="24"/>
        </w:rPr>
        <w:t>that suggests the chloroplast does influence rates of</w:t>
      </w:r>
      <w:r w:rsidRPr="00451B44">
        <w:rPr>
          <w:rFonts w:ascii="Times New Roman" w:hAnsi="Times New Roman" w:cs="Times New Roman"/>
          <w:sz w:val="24"/>
          <w:szCs w:val="24"/>
        </w:rPr>
        <w:t xml:space="preserve"> PCD</w:t>
      </w:r>
      <w:r>
        <w:rPr>
          <w:rFonts w:ascii="Times New Roman" w:hAnsi="Times New Roman" w:cs="Times New Roman"/>
          <w:sz w:val="24"/>
          <w:szCs w:val="24"/>
        </w:rPr>
        <w:t xml:space="preserve"> in some cells, although</w:t>
      </w:r>
      <w:r w:rsidRPr="00451B44">
        <w:rPr>
          <w:rFonts w:ascii="Times New Roman" w:hAnsi="Times New Roman" w:cs="Times New Roman"/>
          <w:sz w:val="24"/>
          <w:szCs w:val="24"/>
        </w:rPr>
        <w:t xml:space="preserve"> its </w:t>
      </w:r>
      <w:r>
        <w:rPr>
          <w:rFonts w:ascii="Times New Roman" w:hAnsi="Times New Roman" w:cs="Times New Roman"/>
          <w:sz w:val="24"/>
          <w:szCs w:val="24"/>
        </w:rPr>
        <w:t>specific role is</w:t>
      </w:r>
      <w:r w:rsidRPr="00451B44">
        <w:rPr>
          <w:rFonts w:ascii="Times New Roman" w:hAnsi="Times New Roman" w:cs="Times New Roman"/>
          <w:sz w:val="24"/>
          <w:szCs w:val="24"/>
        </w:rPr>
        <w:t xml:space="preserve"> still to be elucidated. </w:t>
      </w:r>
      <w:r>
        <w:rPr>
          <w:rFonts w:ascii="Times New Roman" w:hAnsi="Times New Roman" w:cs="Times New Roman"/>
          <w:sz w:val="24"/>
          <w:szCs w:val="24"/>
        </w:rPr>
        <w:t>For example, t</w:t>
      </w:r>
      <w:r w:rsidRPr="00451B44">
        <w:rPr>
          <w:rFonts w:ascii="Times New Roman" w:hAnsi="Times New Roman" w:cs="Times New Roman"/>
          <w:sz w:val="24"/>
          <w:szCs w:val="24"/>
        </w:rPr>
        <w:t>ransgenic tobacco plants defective in the plastid ndhF gene</w:t>
      </w:r>
      <w:r>
        <w:rPr>
          <w:rFonts w:ascii="Times New Roman" w:hAnsi="Times New Roman" w:cs="Times New Roman"/>
          <w:sz w:val="24"/>
          <w:szCs w:val="24"/>
        </w:rPr>
        <w:t>, and subsequently therefore characterised by</w:t>
      </w:r>
      <w:r w:rsidRPr="00451B44">
        <w:rPr>
          <w:rFonts w:ascii="Times New Roman" w:hAnsi="Times New Roman" w:cs="Times New Roman"/>
          <w:sz w:val="24"/>
          <w:szCs w:val="24"/>
        </w:rPr>
        <w:t xml:space="preserve"> altered ROS production</w:t>
      </w:r>
      <w:r>
        <w:rPr>
          <w:rFonts w:ascii="Times New Roman" w:hAnsi="Times New Roman" w:cs="Times New Roman"/>
          <w:sz w:val="24"/>
          <w:szCs w:val="24"/>
        </w:rPr>
        <w:t>, exhibit</w:t>
      </w:r>
      <w:r w:rsidRPr="00451B44">
        <w:rPr>
          <w:rFonts w:ascii="Times New Roman" w:hAnsi="Times New Roman" w:cs="Times New Roman"/>
          <w:sz w:val="24"/>
          <w:szCs w:val="24"/>
        </w:rPr>
        <w:t xml:space="preserve"> delayed senescence </w:t>
      </w:r>
      <w:r w:rsidRPr="00451B44">
        <w:rPr>
          <w:rFonts w:ascii="Times New Roman" w:hAnsi="Times New Roman" w:cs="Times New Roman"/>
          <w:noProof/>
          <w:sz w:val="24"/>
          <w:szCs w:val="24"/>
        </w:rPr>
        <w:t>(Zapata</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2005)</w:t>
      </w:r>
      <w:r w:rsidRPr="00451B44">
        <w:rPr>
          <w:rFonts w:ascii="Times New Roman" w:hAnsi="Times New Roman" w:cs="Times New Roman"/>
          <w:sz w:val="24"/>
          <w:szCs w:val="24"/>
        </w:rPr>
        <w:t xml:space="preserve">. </w:t>
      </w:r>
      <w:r w:rsidRPr="00451B44">
        <w:rPr>
          <w:rFonts w:ascii="Times New Roman" w:hAnsi="Times New Roman" w:cs="Times New Roman"/>
          <w:noProof/>
          <w:sz w:val="24"/>
          <w:szCs w:val="24"/>
        </w:rPr>
        <w:t>Samuilov</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xml:space="preserve">, </w:t>
      </w:r>
      <w:r>
        <w:rPr>
          <w:rFonts w:ascii="Times New Roman" w:hAnsi="Times New Roman" w:cs="Times New Roman"/>
          <w:noProof/>
          <w:sz w:val="24"/>
          <w:szCs w:val="24"/>
        </w:rPr>
        <w:t>(</w:t>
      </w:r>
      <w:r w:rsidRPr="00451B44">
        <w:rPr>
          <w:rFonts w:ascii="Times New Roman" w:hAnsi="Times New Roman" w:cs="Times New Roman"/>
          <w:noProof/>
          <w:sz w:val="24"/>
          <w:szCs w:val="24"/>
        </w:rPr>
        <w:t>2003</w:t>
      </w:r>
      <w:r>
        <w:rPr>
          <w:rFonts w:ascii="Times New Roman" w:hAnsi="Times New Roman" w:cs="Times New Roman"/>
          <w:noProof/>
          <w:sz w:val="24"/>
          <w:szCs w:val="24"/>
        </w:rPr>
        <w:t xml:space="preserve">) have shown that </w:t>
      </w:r>
      <w:r>
        <w:rPr>
          <w:rFonts w:ascii="Times New Roman" w:hAnsi="Times New Roman" w:cs="Times New Roman"/>
          <w:sz w:val="24"/>
          <w:szCs w:val="24"/>
        </w:rPr>
        <w:t>c</w:t>
      </w:r>
      <w:r w:rsidRPr="00451B44">
        <w:rPr>
          <w:rFonts w:ascii="Times New Roman" w:hAnsi="Times New Roman" w:cs="Times New Roman"/>
          <w:sz w:val="24"/>
          <w:szCs w:val="24"/>
        </w:rPr>
        <w:t xml:space="preserve">yanide induced PCD was promoted by chloroplasts </w:t>
      </w:r>
      <w:r>
        <w:rPr>
          <w:rFonts w:ascii="Times New Roman" w:hAnsi="Times New Roman" w:cs="Times New Roman"/>
          <w:sz w:val="24"/>
          <w:szCs w:val="24"/>
        </w:rPr>
        <w:t>while the HR response in tobacco wa</w:t>
      </w:r>
      <w:r w:rsidRPr="00451B44">
        <w:rPr>
          <w:rFonts w:ascii="Times New Roman" w:hAnsi="Times New Roman" w:cs="Times New Roman"/>
          <w:sz w:val="24"/>
          <w:szCs w:val="24"/>
        </w:rPr>
        <w:t xml:space="preserve">s accelerated by loss of chloroplast function </w:t>
      </w:r>
      <w:r w:rsidRPr="00451B44">
        <w:rPr>
          <w:rFonts w:ascii="Times New Roman" w:hAnsi="Times New Roman" w:cs="Times New Roman"/>
          <w:noProof/>
          <w:sz w:val="24"/>
          <w:szCs w:val="24"/>
        </w:rPr>
        <w:t>(Seo</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2000)</w:t>
      </w:r>
      <w:r w:rsidRPr="00451B44">
        <w:rPr>
          <w:rFonts w:ascii="Times New Roman" w:hAnsi="Times New Roman" w:cs="Times New Roman"/>
          <w:sz w:val="24"/>
          <w:szCs w:val="24"/>
        </w:rPr>
        <w:t xml:space="preserve">. Recently, light and dark grown suspension cultures of </w:t>
      </w:r>
      <w:r w:rsidRPr="00451B44">
        <w:rPr>
          <w:rFonts w:ascii="Times New Roman" w:hAnsi="Times New Roman" w:cs="Times New Roman"/>
          <w:i/>
          <w:iCs/>
          <w:sz w:val="24"/>
          <w:szCs w:val="24"/>
        </w:rPr>
        <w:t xml:space="preserve">Arabidopsis </w:t>
      </w:r>
      <w:r w:rsidRPr="00451B44">
        <w:rPr>
          <w:rFonts w:ascii="Times New Roman" w:hAnsi="Times New Roman" w:cs="Times New Roman"/>
          <w:sz w:val="24"/>
          <w:szCs w:val="24"/>
        </w:rPr>
        <w:t xml:space="preserve">were used to gain insight into the influence of the chloroplast on AL-PCD </w:t>
      </w:r>
      <w:r w:rsidRPr="00451B44">
        <w:rPr>
          <w:rFonts w:ascii="Times New Roman" w:hAnsi="Times New Roman" w:cs="Times New Roman"/>
          <w:noProof/>
          <w:sz w:val="24"/>
          <w:szCs w:val="24"/>
        </w:rPr>
        <w:t>(Doyle</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2010)</w:t>
      </w:r>
      <w:r w:rsidRPr="00451B44">
        <w:rPr>
          <w:rFonts w:ascii="Times New Roman" w:hAnsi="Times New Roman" w:cs="Times New Roman"/>
          <w:sz w:val="24"/>
          <w:szCs w:val="24"/>
        </w:rPr>
        <w:t xml:space="preserve">. The level of heat induced AL-PCD was </w:t>
      </w:r>
      <w:r>
        <w:rPr>
          <w:rFonts w:ascii="Times New Roman" w:hAnsi="Times New Roman" w:cs="Times New Roman"/>
          <w:sz w:val="24"/>
          <w:szCs w:val="24"/>
        </w:rPr>
        <w:t xml:space="preserve">found to be </w:t>
      </w:r>
      <w:r w:rsidRPr="00451B44">
        <w:rPr>
          <w:rFonts w:ascii="Times New Roman" w:hAnsi="Times New Roman" w:cs="Times New Roman"/>
          <w:sz w:val="24"/>
          <w:szCs w:val="24"/>
        </w:rPr>
        <w:t>significantly higher in dark grown cultures (</w:t>
      </w:r>
      <w:r>
        <w:rPr>
          <w:rFonts w:ascii="Times New Roman" w:hAnsi="Times New Roman" w:cs="Times New Roman"/>
          <w:sz w:val="24"/>
          <w:szCs w:val="24"/>
        </w:rPr>
        <w:t xml:space="preserve">cells </w:t>
      </w:r>
      <w:r w:rsidRPr="00451B44">
        <w:rPr>
          <w:rFonts w:ascii="Times New Roman" w:hAnsi="Times New Roman" w:cs="Times New Roman"/>
          <w:sz w:val="24"/>
          <w:szCs w:val="24"/>
        </w:rPr>
        <w:t>lacking</w:t>
      </w:r>
      <w:r>
        <w:rPr>
          <w:rFonts w:ascii="Times New Roman" w:hAnsi="Times New Roman" w:cs="Times New Roman"/>
          <w:sz w:val="24"/>
          <w:szCs w:val="24"/>
        </w:rPr>
        <w:t xml:space="preserve"> developed chloroplasts) than</w:t>
      </w:r>
      <w:r w:rsidRPr="00451B44">
        <w:rPr>
          <w:rFonts w:ascii="Times New Roman" w:hAnsi="Times New Roman" w:cs="Times New Roman"/>
          <w:sz w:val="24"/>
          <w:szCs w:val="24"/>
        </w:rPr>
        <w:t xml:space="preserve"> in light grown cultures</w:t>
      </w:r>
      <w:r>
        <w:rPr>
          <w:rFonts w:ascii="Times New Roman" w:hAnsi="Times New Roman" w:cs="Times New Roman"/>
          <w:sz w:val="24"/>
          <w:szCs w:val="24"/>
        </w:rPr>
        <w:t xml:space="preserve"> (cells containing</w:t>
      </w:r>
      <w:r w:rsidRPr="00451B44">
        <w:rPr>
          <w:rFonts w:ascii="Times New Roman" w:hAnsi="Times New Roman" w:cs="Times New Roman"/>
          <w:sz w:val="24"/>
          <w:szCs w:val="24"/>
        </w:rPr>
        <w:t xml:space="preserve"> functional chloroplast</w:t>
      </w:r>
      <w:r>
        <w:rPr>
          <w:rFonts w:ascii="Times New Roman" w:hAnsi="Times New Roman" w:cs="Times New Roman"/>
          <w:sz w:val="24"/>
          <w:szCs w:val="24"/>
        </w:rPr>
        <w:t>s). Cells in l</w:t>
      </w:r>
      <w:r w:rsidRPr="00451B44">
        <w:rPr>
          <w:rFonts w:ascii="Times New Roman" w:hAnsi="Times New Roman" w:cs="Times New Roman"/>
          <w:sz w:val="24"/>
          <w:szCs w:val="24"/>
        </w:rPr>
        <w:t xml:space="preserve">ight grown cultures </w:t>
      </w:r>
      <w:r>
        <w:rPr>
          <w:rFonts w:ascii="Times New Roman" w:hAnsi="Times New Roman" w:cs="Times New Roman"/>
          <w:sz w:val="24"/>
          <w:szCs w:val="24"/>
        </w:rPr>
        <w:t>were more prone to</w:t>
      </w:r>
      <w:r w:rsidRPr="00451B44">
        <w:rPr>
          <w:rFonts w:ascii="Times New Roman" w:hAnsi="Times New Roman" w:cs="Times New Roman"/>
          <w:sz w:val="24"/>
          <w:szCs w:val="24"/>
        </w:rPr>
        <w:t xml:space="preserve"> necrosis, suggesting an increase in cellular stress </w:t>
      </w:r>
      <w:r>
        <w:rPr>
          <w:rFonts w:ascii="Times New Roman" w:hAnsi="Times New Roman" w:cs="Times New Roman"/>
          <w:sz w:val="24"/>
          <w:szCs w:val="24"/>
        </w:rPr>
        <w:t xml:space="preserve">(thought to be due to increased chloroplast produced ROS) </w:t>
      </w:r>
      <w:r w:rsidRPr="00451B44">
        <w:rPr>
          <w:rFonts w:ascii="Times New Roman" w:hAnsi="Times New Roman" w:cs="Times New Roman"/>
          <w:sz w:val="24"/>
          <w:szCs w:val="24"/>
        </w:rPr>
        <w:t xml:space="preserve">due to the presence of functional </w:t>
      </w:r>
      <w:r>
        <w:rPr>
          <w:rFonts w:ascii="Times New Roman" w:hAnsi="Times New Roman" w:cs="Times New Roman"/>
          <w:sz w:val="24"/>
          <w:szCs w:val="24"/>
        </w:rPr>
        <w:t>chloroplasts. A</w:t>
      </w:r>
      <w:r w:rsidRPr="00451B44">
        <w:rPr>
          <w:rFonts w:ascii="Times New Roman" w:hAnsi="Times New Roman" w:cs="Times New Roman"/>
          <w:sz w:val="24"/>
          <w:szCs w:val="24"/>
        </w:rPr>
        <w:t xml:space="preserve">ntioxidant treatment of light grown </w:t>
      </w:r>
      <w:r w:rsidRPr="00451B44">
        <w:rPr>
          <w:rFonts w:ascii="Times New Roman" w:hAnsi="Times New Roman" w:cs="Times New Roman"/>
          <w:i/>
          <w:iCs/>
          <w:sz w:val="24"/>
          <w:szCs w:val="24"/>
        </w:rPr>
        <w:t>Arabidopsis</w:t>
      </w:r>
      <w:r w:rsidRPr="00451B44">
        <w:rPr>
          <w:rFonts w:ascii="Times New Roman" w:hAnsi="Times New Roman" w:cs="Times New Roman"/>
          <w:sz w:val="24"/>
          <w:szCs w:val="24"/>
        </w:rPr>
        <w:t xml:space="preserve"> suspension cultures did not protect cells from death but increased levels of AL-PCD </w:t>
      </w:r>
      <w:r w:rsidRPr="00451B44">
        <w:rPr>
          <w:rFonts w:ascii="Times New Roman" w:hAnsi="Times New Roman" w:cs="Times New Roman"/>
          <w:noProof/>
          <w:sz w:val="24"/>
          <w:szCs w:val="24"/>
        </w:rPr>
        <w:t>(Doyle</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2010)</w:t>
      </w:r>
      <w:r w:rsidRPr="00451B44">
        <w:rPr>
          <w:rFonts w:ascii="Times New Roman" w:hAnsi="Times New Roman" w:cs="Times New Roman"/>
          <w:sz w:val="24"/>
          <w:szCs w:val="24"/>
        </w:rPr>
        <w:t>, reducing stres</w:t>
      </w:r>
      <w:r>
        <w:rPr>
          <w:rFonts w:ascii="Times New Roman" w:hAnsi="Times New Roman" w:cs="Times New Roman"/>
          <w:sz w:val="24"/>
          <w:szCs w:val="24"/>
        </w:rPr>
        <w:t>s from an overwhelming (</w:t>
      </w:r>
      <w:r w:rsidRPr="00451B44">
        <w:rPr>
          <w:rFonts w:ascii="Times New Roman" w:hAnsi="Times New Roman" w:cs="Times New Roman"/>
          <w:sz w:val="24"/>
          <w:szCs w:val="24"/>
        </w:rPr>
        <w:t>necrosis</w:t>
      </w:r>
      <w:r>
        <w:rPr>
          <w:rFonts w:ascii="Times New Roman" w:hAnsi="Times New Roman" w:cs="Times New Roman"/>
          <w:sz w:val="24"/>
          <w:szCs w:val="24"/>
        </w:rPr>
        <w:t xml:space="preserve"> inducing</w:t>
      </w:r>
      <w:r w:rsidRPr="00451B44">
        <w:rPr>
          <w:rFonts w:ascii="Times New Roman" w:hAnsi="Times New Roman" w:cs="Times New Roman"/>
          <w:sz w:val="24"/>
          <w:szCs w:val="24"/>
        </w:rPr>
        <w:t>) to a moderate (</w:t>
      </w:r>
      <w:r>
        <w:rPr>
          <w:rFonts w:ascii="Times New Roman" w:hAnsi="Times New Roman" w:cs="Times New Roman"/>
          <w:sz w:val="24"/>
          <w:szCs w:val="24"/>
        </w:rPr>
        <w:t>AL-PCD inducing</w:t>
      </w:r>
      <w:r w:rsidRPr="00451B44">
        <w:rPr>
          <w:rFonts w:ascii="Times New Roman" w:hAnsi="Times New Roman" w:cs="Times New Roman"/>
          <w:sz w:val="24"/>
          <w:szCs w:val="24"/>
        </w:rPr>
        <w:t xml:space="preserve">) level. </w:t>
      </w:r>
    </w:p>
    <w:p w:rsidR="004B4E5E" w:rsidRDefault="004B4E5E" w:rsidP="002B4B8D">
      <w:pPr>
        <w:autoSpaceDE w:val="0"/>
        <w:autoSpaceDN w:val="0"/>
        <w:adjustRightInd w:val="0"/>
        <w:spacing w:after="0" w:line="480" w:lineRule="auto"/>
        <w:rPr>
          <w:rFonts w:ascii="Times New Roman" w:hAnsi="Times New Roman" w:cs="Times New Roman"/>
          <w:sz w:val="24"/>
          <w:szCs w:val="24"/>
        </w:rPr>
      </w:pPr>
    </w:p>
    <w:p w:rsidR="004B4E5E" w:rsidRPr="00451B44" w:rsidRDefault="004B4E5E" w:rsidP="002B4B8D">
      <w:pPr>
        <w:autoSpaceDE w:val="0"/>
        <w:autoSpaceDN w:val="0"/>
        <w:adjustRightInd w:val="0"/>
        <w:spacing w:after="0" w:line="480" w:lineRule="auto"/>
        <w:rPr>
          <w:rFonts w:ascii="Times New Roman" w:hAnsi="Times New Roman" w:cs="Times New Roman"/>
          <w:sz w:val="24"/>
          <w:szCs w:val="24"/>
        </w:rPr>
      </w:pPr>
      <w:r w:rsidRPr="00451B44">
        <w:rPr>
          <w:rFonts w:ascii="Times New Roman" w:hAnsi="Times New Roman" w:cs="Times New Roman"/>
          <w:i/>
          <w:iCs/>
          <w:sz w:val="24"/>
          <w:szCs w:val="24"/>
        </w:rPr>
        <w:t>Arabidopsis</w:t>
      </w:r>
      <w:r w:rsidRPr="00451B44">
        <w:rPr>
          <w:rFonts w:ascii="Times New Roman" w:hAnsi="Times New Roman" w:cs="Times New Roman"/>
          <w:sz w:val="24"/>
          <w:szCs w:val="24"/>
        </w:rPr>
        <w:t xml:space="preserve"> MDARs (monodehydroascorbate reductases) are close homologues of Apoptosis Inducing Factor (Lisenbee</w:t>
      </w:r>
      <w:r w:rsidRPr="00451B44">
        <w:rPr>
          <w:rFonts w:ascii="Times New Roman" w:hAnsi="Times New Roman" w:cs="Times New Roman"/>
          <w:i/>
          <w:iCs/>
          <w:sz w:val="24"/>
          <w:szCs w:val="24"/>
        </w:rPr>
        <w:t xml:space="preserve"> et al.</w:t>
      </w:r>
      <w:r>
        <w:rPr>
          <w:rFonts w:ascii="Times New Roman" w:hAnsi="Times New Roman" w:cs="Times New Roman"/>
          <w:sz w:val="24"/>
          <w:szCs w:val="24"/>
        </w:rPr>
        <w:t>, 2005), which during cell death,</w:t>
      </w:r>
      <w:r w:rsidRPr="00451B44">
        <w:rPr>
          <w:rFonts w:ascii="Times New Roman" w:hAnsi="Times New Roman" w:cs="Times New Roman"/>
          <w:sz w:val="24"/>
          <w:szCs w:val="24"/>
        </w:rPr>
        <w:t xml:space="preserve"> ha</w:t>
      </w:r>
      <w:r w:rsidR="00A05889">
        <w:rPr>
          <w:rFonts w:ascii="Times New Roman" w:hAnsi="Times New Roman" w:cs="Times New Roman"/>
          <w:sz w:val="24"/>
          <w:szCs w:val="24"/>
        </w:rPr>
        <w:t>v</w:t>
      </w:r>
      <w:r w:rsidRPr="00451B44">
        <w:rPr>
          <w:rFonts w:ascii="Times New Roman" w:hAnsi="Times New Roman" w:cs="Times New Roman"/>
          <w:sz w:val="24"/>
          <w:szCs w:val="24"/>
        </w:rPr>
        <w:t xml:space="preserve"> a pro-apoptotic function in animal</w:t>
      </w:r>
      <w:r>
        <w:rPr>
          <w:rFonts w:ascii="Times New Roman" w:hAnsi="Times New Roman" w:cs="Times New Roman"/>
          <w:sz w:val="24"/>
          <w:szCs w:val="24"/>
        </w:rPr>
        <w:t xml:space="preserve"> cells. P</w:t>
      </w:r>
      <w:r w:rsidRPr="00451B44">
        <w:rPr>
          <w:rFonts w:ascii="Times New Roman" w:hAnsi="Times New Roman" w:cs="Times New Roman"/>
          <w:sz w:val="24"/>
          <w:szCs w:val="24"/>
        </w:rPr>
        <w:t xml:space="preserve">lant MDARs </w:t>
      </w:r>
      <w:r>
        <w:rPr>
          <w:rFonts w:ascii="Times New Roman" w:hAnsi="Times New Roman" w:cs="Times New Roman"/>
          <w:sz w:val="24"/>
          <w:szCs w:val="24"/>
        </w:rPr>
        <w:t xml:space="preserve">are </w:t>
      </w:r>
      <w:r w:rsidRPr="00451B44">
        <w:rPr>
          <w:rFonts w:ascii="Times New Roman" w:hAnsi="Times New Roman" w:cs="Times New Roman"/>
          <w:sz w:val="24"/>
          <w:szCs w:val="24"/>
        </w:rPr>
        <w:t xml:space="preserve">involved in the ascorbate-glutathione antioxidant cycle </w:t>
      </w:r>
      <w:r>
        <w:rPr>
          <w:rFonts w:ascii="Times New Roman" w:hAnsi="Times New Roman" w:cs="Times New Roman"/>
          <w:sz w:val="24"/>
          <w:szCs w:val="24"/>
        </w:rPr>
        <w:t>and seem to play</w:t>
      </w:r>
      <w:r w:rsidRPr="00451B44">
        <w:rPr>
          <w:rFonts w:ascii="Times New Roman" w:hAnsi="Times New Roman" w:cs="Times New Roman"/>
          <w:sz w:val="24"/>
          <w:szCs w:val="24"/>
        </w:rPr>
        <w:t xml:space="preserve"> an important role in plants’ protection against ROS damage and oxidative stress </w:t>
      </w:r>
      <w:r w:rsidRPr="00451B44">
        <w:rPr>
          <w:rFonts w:ascii="Times New Roman" w:hAnsi="Times New Roman" w:cs="Times New Roman"/>
          <w:noProof/>
          <w:sz w:val="24"/>
          <w:szCs w:val="24"/>
        </w:rPr>
        <w:t>(Mittler, 2002)</w:t>
      </w:r>
      <w:r>
        <w:rPr>
          <w:rFonts w:ascii="Times New Roman" w:hAnsi="Times New Roman" w:cs="Times New Roman"/>
          <w:sz w:val="24"/>
          <w:szCs w:val="24"/>
        </w:rPr>
        <w:t>.</w:t>
      </w:r>
      <w:r w:rsidRPr="00451B44">
        <w:rPr>
          <w:rFonts w:ascii="Times New Roman" w:hAnsi="Times New Roman" w:cs="Times New Roman"/>
          <w:sz w:val="24"/>
          <w:szCs w:val="24"/>
        </w:rPr>
        <w:t xml:space="preserve"> MDAR 1 and dehydr</w:t>
      </w:r>
      <w:r>
        <w:rPr>
          <w:rFonts w:ascii="Times New Roman" w:hAnsi="Times New Roman" w:cs="Times New Roman"/>
          <w:sz w:val="24"/>
          <w:szCs w:val="24"/>
        </w:rPr>
        <w:t>oascorbate reductase (DHAR) are downregulated during senescence of</w:t>
      </w:r>
      <w:r w:rsidRPr="00451B44">
        <w:rPr>
          <w:rFonts w:ascii="Times New Roman" w:hAnsi="Times New Roman" w:cs="Times New Roman"/>
          <w:sz w:val="24"/>
          <w:szCs w:val="24"/>
        </w:rPr>
        <w:t xml:space="preserve"> broccoli florets </w:t>
      </w:r>
      <w:r w:rsidRPr="00451B44">
        <w:rPr>
          <w:rFonts w:ascii="Times New Roman" w:hAnsi="Times New Roman" w:cs="Times New Roman"/>
          <w:noProof/>
          <w:sz w:val="24"/>
          <w:szCs w:val="24"/>
        </w:rPr>
        <w:t>(Nishikawa</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2003)</w:t>
      </w:r>
      <w:r w:rsidRPr="00451B44">
        <w:rPr>
          <w:rFonts w:ascii="Times New Roman" w:hAnsi="Times New Roman" w:cs="Times New Roman"/>
          <w:sz w:val="24"/>
          <w:szCs w:val="24"/>
        </w:rPr>
        <w:t xml:space="preserve"> and a decrease in M</w:t>
      </w:r>
      <w:r>
        <w:rPr>
          <w:rFonts w:ascii="Times New Roman" w:hAnsi="Times New Roman" w:cs="Times New Roman"/>
          <w:sz w:val="24"/>
          <w:szCs w:val="24"/>
        </w:rPr>
        <w:t xml:space="preserve">DAR transcript was </w:t>
      </w:r>
      <w:r w:rsidRPr="00451B44">
        <w:rPr>
          <w:rFonts w:ascii="Times New Roman" w:hAnsi="Times New Roman" w:cs="Times New Roman"/>
          <w:sz w:val="24"/>
          <w:szCs w:val="24"/>
        </w:rPr>
        <w:t xml:space="preserve">observed during </w:t>
      </w:r>
      <w:r w:rsidRPr="00451B44">
        <w:rPr>
          <w:rFonts w:ascii="Times New Roman" w:hAnsi="Times New Roman" w:cs="Times New Roman"/>
          <w:i/>
          <w:iCs/>
          <w:sz w:val="24"/>
          <w:szCs w:val="24"/>
        </w:rPr>
        <w:t>Ipomoea nil</w:t>
      </w:r>
      <w:r w:rsidRPr="00451B44">
        <w:rPr>
          <w:rFonts w:ascii="Times New Roman" w:hAnsi="Times New Roman" w:cs="Times New Roman"/>
          <w:sz w:val="24"/>
          <w:szCs w:val="24"/>
        </w:rPr>
        <w:t xml:space="preserve"> </w:t>
      </w:r>
      <w:r>
        <w:rPr>
          <w:rFonts w:ascii="Times New Roman" w:hAnsi="Times New Roman" w:cs="Times New Roman"/>
          <w:sz w:val="24"/>
          <w:szCs w:val="24"/>
        </w:rPr>
        <w:t xml:space="preserve">(morning glory) </w:t>
      </w:r>
      <w:r w:rsidRPr="00451B44">
        <w:rPr>
          <w:rFonts w:ascii="Times New Roman" w:hAnsi="Times New Roman" w:cs="Times New Roman"/>
          <w:sz w:val="24"/>
          <w:szCs w:val="24"/>
        </w:rPr>
        <w:t xml:space="preserve">petal senescence </w:t>
      </w:r>
      <w:r w:rsidRPr="00451B44">
        <w:rPr>
          <w:rFonts w:ascii="Times New Roman" w:hAnsi="Times New Roman" w:cs="Times New Roman"/>
          <w:noProof/>
          <w:sz w:val="24"/>
          <w:szCs w:val="24"/>
        </w:rPr>
        <w:t>(Yamada</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2009)</w:t>
      </w:r>
      <w:r w:rsidRPr="00451B44">
        <w:rPr>
          <w:rFonts w:ascii="Times New Roman" w:hAnsi="Times New Roman" w:cs="Times New Roman"/>
          <w:sz w:val="24"/>
          <w:szCs w:val="24"/>
        </w:rPr>
        <w:t xml:space="preserve">.  Taking into account that PCD </w:t>
      </w:r>
      <w:r>
        <w:rPr>
          <w:rFonts w:ascii="Times New Roman" w:hAnsi="Times New Roman" w:cs="Times New Roman"/>
          <w:sz w:val="24"/>
          <w:szCs w:val="24"/>
        </w:rPr>
        <w:t xml:space="preserve">is the terminal event in </w:t>
      </w:r>
      <w:r w:rsidRPr="00451B44">
        <w:rPr>
          <w:rFonts w:ascii="Times New Roman" w:hAnsi="Times New Roman" w:cs="Times New Roman"/>
          <w:sz w:val="24"/>
          <w:szCs w:val="24"/>
        </w:rPr>
        <w:t>the senescence process</w:t>
      </w:r>
      <w:r>
        <w:rPr>
          <w:rFonts w:ascii="Times New Roman" w:hAnsi="Times New Roman" w:cs="Times New Roman"/>
          <w:sz w:val="24"/>
          <w:szCs w:val="24"/>
        </w:rPr>
        <w:t>,</w:t>
      </w:r>
      <w:r w:rsidRPr="00451B44">
        <w:rPr>
          <w:rFonts w:ascii="Times New Roman" w:hAnsi="Times New Roman" w:cs="Times New Roman"/>
          <w:sz w:val="24"/>
          <w:szCs w:val="24"/>
        </w:rPr>
        <w:t xml:space="preserve"> and ROS are believed to be involved in PCD-related signalling</w:t>
      </w:r>
      <w:r>
        <w:rPr>
          <w:rFonts w:ascii="Times New Roman" w:hAnsi="Times New Roman" w:cs="Times New Roman"/>
          <w:sz w:val="24"/>
          <w:szCs w:val="24"/>
        </w:rPr>
        <w:t>,</w:t>
      </w:r>
      <w:r w:rsidRPr="00451B44">
        <w:rPr>
          <w:rFonts w:ascii="Times New Roman" w:hAnsi="Times New Roman" w:cs="Times New Roman"/>
          <w:sz w:val="24"/>
          <w:szCs w:val="24"/>
        </w:rPr>
        <w:t xml:space="preserve"> this decrease in antioxid</w:t>
      </w:r>
      <w:r>
        <w:rPr>
          <w:rFonts w:ascii="Times New Roman" w:hAnsi="Times New Roman" w:cs="Times New Roman"/>
          <w:sz w:val="24"/>
          <w:szCs w:val="24"/>
        </w:rPr>
        <w:t>ant protection may be significant</w:t>
      </w:r>
      <w:r w:rsidRPr="00451B44">
        <w:rPr>
          <w:rFonts w:ascii="Times New Roman" w:hAnsi="Times New Roman" w:cs="Times New Roman"/>
          <w:sz w:val="24"/>
          <w:szCs w:val="24"/>
        </w:rPr>
        <w:t xml:space="preserve">. MDARs are dual targeted to both </w:t>
      </w:r>
      <w:r>
        <w:rPr>
          <w:rFonts w:ascii="Times New Roman" w:hAnsi="Times New Roman" w:cs="Times New Roman"/>
          <w:sz w:val="24"/>
          <w:szCs w:val="24"/>
        </w:rPr>
        <w:t xml:space="preserve">the </w:t>
      </w:r>
      <w:r w:rsidRPr="00451B44">
        <w:rPr>
          <w:rFonts w:ascii="Times New Roman" w:hAnsi="Times New Roman" w:cs="Times New Roman"/>
          <w:sz w:val="24"/>
          <w:szCs w:val="24"/>
        </w:rPr>
        <w:t>mitochondria and chloroplast (Chew</w:t>
      </w:r>
      <w:r w:rsidRPr="00451B44">
        <w:rPr>
          <w:rFonts w:ascii="Times New Roman" w:hAnsi="Times New Roman" w:cs="Times New Roman"/>
          <w:i/>
          <w:iCs/>
          <w:sz w:val="24"/>
          <w:szCs w:val="24"/>
        </w:rPr>
        <w:t xml:space="preserve"> et al.</w:t>
      </w:r>
      <w:r w:rsidRPr="00451B44">
        <w:rPr>
          <w:rFonts w:ascii="Times New Roman" w:hAnsi="Times New Roman" w:cs="Times New Roman"/>
          <w:sz w:val="24"/>
          <w:szCs w:val="24"/>
        </w:rPr>
        <w:t>, 2003, Obara</w:t>
      </w:r>
      <w:r w:rsidRPr="00451B44">
        <w:rPr>
          <w:rFonts w:ascii="Times New Roman" w:hAnsi="Times New Roman" w:cs="Times New Roman"/>
          <w:i/>
          <w:iCs/>
          <w:sz w:val="24"/>
          <w:szCs w:val="24"/>
        </w:rPr>
        <w:t xml:space="preserve"> et al.</w:t>
      </w:r>
      <w:r w:rsidRPr="00451B44">
        <w:rPr>
          <w:rFonts w:ascii="Times New Roman" w:hAnsi="Times New Roman" w:cs="Times New Roman"/>
          <w:sz w:val="24"/>
          <w:szCs w:val="24"/>
        </w:rPr>
        <w:t>, 2002)</w:t>
      </w:r>
      <w:r>
        <w:rPr>
          <w:rFonts w:ascii="Times New Roman" w:hAnsi="Times New Roman" w:cs="Times New Roman"/>
          <w:sz w:val="24"/>
          <w:szCs w:val="24"/>
        </w:rPr>
        <w:t xml:space="preserve"> which </w:t>
      </w:r>
      <w:r w:rsidRPr="00451B44">
        <w:rPr>
          <w:rFonts w:ascii="Times New Roman" w:hAnsi="Times New Roman" w:cs="Times New Roman"/>
          <w:sz w:val="24"/>
          <w:szCs w:val="24"/>
        </w:rPr>
        <w:t>suggest</w:t>
      </w:r>
      <w:r>
        <w:rPr>
          <w:rFonts w:ascii="Times New Roman" w:hAnsi="Times New Roman" w:cs="Times New Roman"/>
          <w:sz w:val="24"/>
          <w:szCs w:val="24"/>
        </w:rPr>
        <w:t>s</w:t>
      </w:r>
      <w:r w:rsidRPr="00451B44">
        <w:rPr>
          <w:rFonts w:ascii="Times New Roman" w:hAnsi="Times New Roman" w:cs="Times New Roman"/>
          <w:sz w:val="24"/>
          <w:szCs w:val="24"/>
        </w:rPr>
        <w:t xml:space="preserve"> that both organelles </w:t>
      </w:r>
      <w:r>
        <w:rPr>
          <w:rFonts w:ascii="Times New Roman" w:hAnsi="Times New Roman" w:cs="Times New Roman"/>
          <w:sz w:val="24"/>
          <w:szCs w:val="24"/>
        </w:rPr>
        <w:t xml:space="preserve">may be </w:t>
      </w:r>
      <w:r w:rsidRPr="00451B44">
        <w:rPr>
          <w:rFonts w:ascii="Times New Roman" w:hAnsi="Times New Roman" w:cs="Times New Roman"/>
          <w:sz w:val="24"/>
          <w:szCs w:val="24"/>
        </w:rPr>
        <w:t>important in PCD regulation.</w:t>
      </w:r>
    </w:p>
    <w:p w:rsidR="004B4E5E" w:rsidRDefault="004B4E5E" w:rsidP="002B4B8D">
      <w:pPr>
        <w:autoSpaceDE w:val="0"/>
        <w:autoSpaceDN w:val="0"/>
        <w:adjustRightInd w:val="0"/>
        <w:spacing w:after="0" w:line="480" w:lineRule="auto"/>
        <w:rPr>
          <w:rFonts w:ascii="Times New Roman" w:hAnsi="Times New Roman" w:cs="Times New Roman"/>
          <w:sz w:val="24"/>
          <w:szCs w:val="24"/>
        </w:rPr>
      </w:pPr>
    </w:p>
    <w:p w:rsidR="004B4E5E" w:rsidRDefault="004B4E5E" w:rsidP="002B4B8D">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 xml:space="preserve">Research by </w:t>
      </w:r>
      <w:r w:rsidRPr="00451B44">
        <w:rPr>
          <w:rFonts w:ascii="Times New Roman" w:hAnsi="Times New Roman" w:cs="Times New Roman"/>
          <w:sz w:val="24"/>
          <w:szCs w:val="24"/>
        </w:rPr>
        <w:t xml:space="preserve">Yao and Greenberg </w:t>
      </w:r>
      <w:r w:rsidRPr="00451B44">
        <w:rPr>
          <w:rFonts w:ascii="Times New Roman" w:hAnsi="Times New Roman" w:cs="Times New Roman"/>
          <w:noProof/>
          <w:sz w:val="24"/>
          <w:szCs w:val="24"/>
        </w:rPr>
        <w:t>(2006)</w:t>
      </w:r>
      <w:r>
        <w:rPr>
          <w:rFonts w:ascii="Times New Roman" w:hAnsi="Times New Roman" w:cs="Times New Roman"/>
          <w:sz w:val="24"/>
          <w:szCs w:val="24"/>
        </w:rPr>
        <w:t xml:space="preserve"> also suggests</w:t>
      </w:r>
      <w:r w:rsidRPr="00451B44">
        <w:rPr>
          <w:rFonts w:ascii="Times New Roman" w:hAnsi="Times New Roman" w:cs="Times New Roman"/>
          <w:sz w:val="24"/>
          <w:szCs w:val="24"/>
        </w:rPr>
        <w:t xml:space="preserve"> that both chloroplast and mitochondrial events pl</w:t>
      </w:r>
      <w:r>
        <w:rPr>
          <w:rFonts w:ascii="Times New Roman" w:hAnsi="Times New Roman" w:cs="Times New Roman"/>
          <w:sz w:val="24"/>
          <w:szCs w:val="24"/>
        </w:rPr>
        <w:t>ay a role in PCD. They showed</w:t>
      </w:r>
      <w:r w:rsidRPr="00451B44">
        <w:rPr>
          <w:rFonts w:ascii="Times New Roman" w:hAnsi="Times New Roman" w:cs="Times New Roman"/>
          <w:sz w:val="24"/>
          <w:szCs w:val="24"/>
        </w:rPr>
        <w:t xml:space="preserve"> that</w:t>
      </w:r>
      <w:r w:rsidRPr="00451B44">
        <w:rPr>
          <w:rFonts w:ascii="Times New Roman" w:hAnsi="Times New Roman" w:cs="Times New Roman"/>
          <w:i/>
          <w:iCs/>
          <w:sz w:val="24"/>
          <w:szCs w:val="24"/>
        </w:rPr>
        <w:t xml:space="preserve"> </w:t>
      </w:r>
      <w:r w:rsidRPr="008F3514">
        <w:rPr>
          <w:rFonts w:ascii="Times New Roman" w:hAnsi="Times New Roman" w:cs="Times New Roman"/>
          <w:sz w:val="24"/>
          <w:szCs w:val="24"/>
        </w:rPr>
        <w:t>the</w:t>
      </w:r>
      <w:r>
        <w:rPr>
          <w:rFonts w:ascii="Times New Roman" w:hAnsi="Times New Roman" w:cs="Times New Roman"/>
          <w:i/>
          <w:iCs/>
          <w:sz w:val="24"/>
          <w:szCs w:val="24"/>
        </w:rPr>
        <w:t xml:space="preserve"> </w:t>
      </w:r>
      <w:r w:rsidRPr="00451B44">
        <w:rPr>
          <w:rFonts w:ascii="Times New Roman" w:hAnsi="Times New Roman" w:cs="Times New Roman"/>
          <w:i/>
          <w:iCs/>
          <w:sz w:val="24"/>
          <w:szCs w:val="24"/>
        </w:rPr>
        <w:t>Arabidopsis</w:t>
      </w:r>
      <w:r w:rsidRPr="00451B44">
        <w:rPr>
          <w:rFonts w:ascii="Times New Roman" w:hAnsi="Times New Roman" w:cs="Times New Roman"/>
          <w:sz w:val="24"/>
          <w:szCs w:val="24"/>
        </w:rPr>
        <w:t xml:space="preserve"> chloroplast localized protein ACD2 (accelerated cell death 2) shifts upon pathogen infection from being largely in </w:t>
      </w:r>
      <w:r>
        <w:rPr>
          <w:rFonts w:ascii="Times New Roman" w:hAnsi="Times New Roman" w:cs="Times New Roman"/>
          <w:sz w:val="24"/>
          <w:szCs w:val="24"/>
        </w:rPr>
        <w:t>chloroplasts, to partitioning between</w:t>
      </w:r>
      <w:r w:rsidRPr="00451B44">
        <w:rPr>
          <w:rFonts w:ascii="Times New Roman" w:hAnsi="Times New Roman" w:cs="Times New Roman"/>
          <w:sz w:val="24"/>
          <w:szCs w:val="24"/>
        </w:rPr>
        <w:t xml:space="preserve"> chloroplasts, mitochondria, and to a small extent, the cytosol. ACD2 was shown to shield root protoplasts from light and PPIX induced PCD and overexpression of both ACD2 (locali</w:t>
      </w:r>
      <w:r>
        <w:rPr>
          <w:rFonts w:ascii="Times New Roman" w:hAnsi="Times New Roman" w:cs="Times New Roman"/>
          <w:sz w:val="24"/>
          <w:szCs w:val="24"/>
        </w:rPr>
        <w:t>s</w:t>
      </w:r>
      <w:r w:rsidRPr="00451B44">
        <w:rPr>
          <w:rFonts w:ascii="Times New Roman" w:hAnsi="Times New Roman" w:cs="Times New Roman"/>
          <w:sz w:val="24"/>
          <w:szCs w:val="24"/>
        </w:rPr>
        <w:t>ed in mitochondria and chloroplast) and ascorbate peroxidise (locali</w:t>
      </w:r>
      <w:r>
        <w:rPr>
          <w:rFonts w:ascii="Times New Roman" w:hAnsi="Times New Roman" w:cs="Times New Roman"/>
          <w:sz w:val="24"/>
          <w:szCs w:val="24"/>
        </w:rPr>
        <w:t>s</w:t>
      </w:r>
      <w:r w:rsidRPr="00451B44">
        <w:rPr>
          <w:rFonts w:ascii="Times New Roman" w:hAnsi="Times New Roman" w:cs="Times New Roman"/>
          <w:sz w:val="24"/>
          <w:szCs w:val="24"/>
        </w:rPr>
        <w:t xml:space="preserve">ed in chloroplast) reduced </w:t>
      </w:r>
      <w:r w:rsidRPr="00451B44">
        <w:rPr>
          <w:rFonts w:ascii="Times New Roman" w:hAnsi="Times New Roman" w:cs="Times New Roman"/>
          <w:i/>
          <w:iCs/>
          <w:sz w:val="24"/>
          <w:szCs w:val="24"/>
        </w:rPr>
        <w:t xml:space="preserve">Pseudomonas syringae </w:t>
      </w:r>
      <w:r w:rsidRPr="00451B44">
        <w:rPr>
          <w:rFonts w:ascii="Times New Roman" w:hAnsi="Times New Roman" w:cs="Times New Roman"/>
          <w:sz w:val="24"/>
          <w:szCs w:val="24"/>
        </w:rPr>
        <w:t xml:space="preserve">induced PCD. </w:t>
      </w:r>
      <w:r>
        <w:rPr>
          <w:rFonts w:ascii="Times New Roman" w:hAnsi="Times New Roman" w:cs="Times New Roman"/>
          <w:sz w:val="24"/>
          <w:szCs w:val="24"/>
        </w:rPr>
        <w:t>Porphyrin-related molecules can</w:t>
      </w:r>
      <w:r w:rsidRPr="00451B44">
        <w:rPr>
          <w:rFonts w:ascii="Times New Roman" w:hAnsi="Times New Roman" w:cs="Times New Roman"/>
          <w:sz w:val="24"/>
          <w:szCs w:val="24"/>
        </w:rPr>
        <w:t xml:space="preserve"> generate reactive oxygen species, cause altered organelle behaviour, and </w:t>
      </w:r>
      <w:r>
        <w:rPr>
          <w:rFonts w:ascii="Times New Roman" w:hAnsi="Times New Roman" w:cs="Times New Roman"/>
          <w:sz w:val="24"/>
          <w:szCs w:val="24"/>
        </w:rPr>
        <w:t xml:space="preserve">can activate </w:t>
      </w:r>
      <w:r w:rsidRPr="00451B44">
        <w:rPr>
          <w:rFonts w:ascii="Times New Roman" w:hAnsi="Times New Roman" w:cs="Times New Roman"/>
          <w:sz w:val="24"/>
          <w:szCs w:val="24"/>
        </w:rPr>
        <w:t>a cascade of PCD-inducing events</w:t>
      </w:r>
      <w:r>
        <w:rPr>
          <w:rFonts w:ascii="Times New Roman" w:hAnsi="Times New Roman" w:cs="Times New Roman"/>
          <w:sz w:val="24"/>
          <w:szCs w:val="24"/>
        </w:rPr>
        <w:t>.</w:t>
      </w:r>
      <w:r w:rsidRPr="00451B44">
        <w:rPr>
          <w:rFonts w:ascii="Times New Roman" w:hAnsi="Times New Roman" w:cs="Times New Roman"/>
          <w:sz w:val="24"/>
          <w:szCs w:val="24"/>
        </w:rPr>
        <w:t xml:space="preserve"> </w:t>
      </w:r>
      <w:r>
        <w:rPr>
          <w:rFonts w:ascii="Times New Roman" w:hAnsi="Times New Roman" w:cs="Times New Roman"/>
          <w:sz w:val="24"/>
          <w:szCs w:val="24"/>
        </w:rPr>
        <w:t>The a</w:t>
      </w:r>
      <w:r w:rsidRPr="00451B44">
        <w:rPr>
          <w:rFonts w:ascii="Times New Roman" w:hAnsi="Times New Roman" w:cs="Times New Roman"/>
          <w:sz w:val="24"/>
          <w:szCs w:val="24"/>
        </w:rPr>
        <w:t>uthors hypothesi</w:t>
      </w:r>
      <w:r>
        <w:rPr>
          <w:rFonts w:ascii="Times New Roman" w:hAnsi="Times New Roman" w:cs="Times New Roman"/>
          <w:sz w:val="24"/>
          <w:szCs w:val="24"/>
        </w:rPr>
        <w:t>s</w:t>
      </w:r>
      <w:r w:rsidRPr="00451B44">
        <w:rPr>
          <w:rFonts w:ascii="Times New Roman" w:hAnsi="Times New Roman" w:cs="Times New Roman"/>
          <w:sz w:val="24"/>
          <w:szCs w:val="24"/>
        </w:rPr>
        <w:t xml:space="preserve">ed that during infection ACD2 may bind/reduce </w:t>
      </w:r>
      <w:r>
        <w:rPr>
          <w:rFonts w:ascii="Times New Roman" w:hAnsi="Times New Roman" w:cs="Times New Roman"/>
          <w:sz w:val="24"/>
          <w:szCs w:val="24"/>
        </w:rPr>
        <w:t xml:space="preserve">porphyrin-related molecules </w:t>
      </w:r>
      <w:r w:rsidRPr="00451B44">
        <w:rPr>
          <w:rFonts w:ascii="Times New Roman" w:hAnsi="Times New Roman" w:cs="Times New Roman"/>
          <w:sz w:val="24"/>
          <w:szCs w:val="24"/>
        </w:rPr>
        <w:t>in the mitochondria</w:t>
      </w:r>
      <w:r>
        <w:rPr>
          <w:rFonts w:ascii="Times New Roman" w:hAnsi="Times New Roman" w:cs="Times New Roman"/>
          <w:sz w:val="24"/>
          <w:szCs w:val="24"/>
        </w:rPr>
        <w:t>,</w:t>
      </w:r>
      <w:r w:rsidRPr="00451B44">
        <w:rPr>
          <w:rFonts w:ascii="Times New Roman" w:hAnsi="Times New Roman" w:cs="Times New Roman"/>
          <w:sz w:val="24"/>
          <w:szCs w:val="24"/>
        </w:rPr>
        <w:t xml:space="preserve"> a</w:t>
      </w:r>
      <w:r>
        <w:rPr>
          <w:rFonts w:ascii="Times New Roman" w:hAnsi="Times New Roman" w:cs="Times New Roman"/>
          <w:sz w:val="24"/>
          <w:szCs w:val="24"/>
        </w:rPr>
        <w:t xml:space="preserve">nd possibly in the chloroplasts, thereby protecting cells from PCD activation </w:t>
      </w:r>
      <w:r w:rsidRPr="00451B44">
        <w:rPr>
          <w:rFonts w:ascii="Times New Roman" w:hAnsi="Times New Roman" w:cs="Times New Roman"/>
          <w:noProof/>
          <w:sz w:val="24"/>
          <w:szCs w:val="24"/>
        </w:rPr>
        <w:t>(Yao and Greenberg, 2006)</w:t>
      </w:r>
      <w:r w:rsidRPr="00451B44">
        <w:rPr>
          <w:rFonts w:ascii="Times New Roman" w:hAnsi="Times New Roman" w:cs="Times New Roman"/>
          <w:sz w:val="24"/>
          <w:szCs w:val="24"/>
        </w:rPr>
        <w:t xml:space="preserve">. Indeed, </w:t>
      </w:r>
      <w:r w:rsidRPr="00451B44">
        <w:rPr>
          <w:rFonts w:ascii="Times New Roman" w:hAnsi="Times New Roman" w:cs="Times New Roman"/>
          <w:i/>
          <w:iCs/>
          <w:sz w:val="24"/>
          <w:szCs w:val="24"/>
        </w:rPr>
        <w:t xml:space="preserve">acd2 </w:t>
      </w:r>
      <w:r w:rsidRPr="00451B44">
        <w:rPr>
          <w:rFonts w:ascii="Times New Roman" w:hAnsi="Times New Roman" w:cs="Times New Roman"/>
          <w:sz w:val="24"/>
          <w:szCs w:val="24"/>
        </w:rPr>
        <w:t>mutant has been</w:t>
      </w:r>
      <w:r>
        <w:rPr>
          <w:rFonts w:ascii="Times New Roman" w:hAnsi="Times New Roman" w:cs="Times New Roman"/>
          <w:sz w:val="24"/>
          <w:szCs w:val="24"/>
        </w:rPr>
        <w:t xml:space="preserve"> previously demonstrated to undergo</w:t>
      </w:r>
      <w:r w:rsidRPr="00451B44">
        <w:rPr>
          <w:rFonts w:ascii="Times New Roman" w:hAnsi="Times New Roman" w:cs="Times New Roman"/>
          <w:sz w:val="24"/>
          <w:szCs w:val="24"/>
        </w:rPr>
        <w:t xml:space="preserve"> excessive cell death during infection and </w:t>
      </w:r>
      <w:r>
        <w:rPr>
          <w:rFonts w:ascii="Times New Roman" w:hAnsi="Times New Roman" w:cs="Times New Roman"/>
          <w:sz w:val="24"/>
          <w:szCs w:val="24"/>
        </w:rPr>
        <w:t xml:space="preserve">displays </w:t>
      </w:r>
      <w:r w:rsidRPr="00451B44">
        <w:rPr>
          <w:rFonts w:ascii="Times New Roman" w:hAnsi="Times New Roman" w:cs="Times New Roman"/>
          <w:sz w:val="24"/>
          <w:szCs w:val="24"/>
        </w:rPr>
        <w:t>spontaneous spreading cell death (Greenberg</w:t>
      </w:r>
      <w:r w:rsidRPr="00451B44">
        <w:rPr>
          <w:rFonts w:ascii="Times New Roman" w:hAnsi="Times New Roman" w:cs="Times New Roman"/>
          <w:i/>
          <w:iCs/>
          <w:sz w:val="24"/>
          <w:szCs w:val="24"/>
        </w:rPr>
        <w:t xml:space="preserve"> et al.</w:t>
      </w:r>
      <w:r w:rsidRPr="00451B44">
        <w:rPr>
          <w:rFonts w:ascii="Times New Roman" w:hAnsi="Times New Roman" w:cs="Times New Roman"/>
          <w:sz w:val="24"/>
          <w:szCs w:val="24"/>
        </w:rPr>
        <w:t>, 1994).</w:t>
      </w:r>
      <w:r>
        <w:rPr>
          <w:rFonts w:ascii="Times New Roman" w:hAnsi="Times New Roman" w:cs="Times New Roman"/>
          <w:sz w:val="24"/>
          <w:szCs w:val="24"/>
        </w:rPr>
        <w:t xml:space="preserve"> </w:t>
      </w:r>
      <w:r w:rsidRPr="00451B44">
        <w:rPr>
          <w:rFonts w:ascii="Times New Roman" w:hAnsi="Times New Roman" w:cs="Times New Roman"/>
          <w:sz w:val="24"/>
          <w:szCs w:val="24"/>
        </w:rPr>
        <w:t xml:space="preserve">Wright </w:t>
      </w:r>
      <w:r w:rsidRPr="00451B44">
        <w:rPr>
          <w:rFonts w:ascii="Times New Roman" w:hAnsi="Times New Roman" w:cs="Times New Roman"/>
          <w:i/>
          <w:iCs/>
          <w:sz w:val="24"/>
          <w:szCs w:val="24"/>
        </w:rPr>
        <w:t>et al.</w:t>
      </w:r>
      <w:r w:rsidRPr="00451B44">
        <w:rPr>
          <w:rFonts w:ascii="Times New Roman" w:hAnsi="Times New Roman" w:cs="Times New Roman"/>
          <w:sz w:val="24"/>
          <w:szCs w:val="24"/>
        </w:rPr>
        <w:t xml:space="preserve"> </w:t>
      </w:r>
      <w:r w:rsidRPr="00451B44">
        <w:rPr>
          <w:rFonts w:ascii="Times New Roman" w:hAnsi="Times New Roman" w:cs="Times New Roman"/>
          <w:noProof/>
          <w:sz w:val="24"/>
          <w:szCs w:val="24"/>
        </w:rPr>
        <w:t>(2009)</w:t>
      </w:r>
      <w:r>
        <w:rPr>
          <w:rFonts w:ascii="Times New Roman" w:hAnsi="Times New Roman" w:cs="Times New Roman"/>
          <w:sz w:val="24"/>
          <w:szCs w:val="24"/>
        </w:rPr>
        <w:t xml:space="preserve"> observed an interesting chloroplast phenomenon</w:t>
      </w:r>
      <w:r w:rsidRPr="00451B44">
        <w:rPr>
          <w:rFonts w:ascii="Times New Roman" w:hAnsi="Times New Roman" w:cs="Times New Roman"/>
          <w:sz w:val="24"/>
          <w:szCs w:val="24"/>
        </w:rPr>
        <w:t xml:space="preserve"> during developmental PCD in lace plan</w:t>
      </w:r>
      <w:r>
        <w:rPr>
          <w:rFonts w:ascii="Times New Roman" w:hAnsi="Times New Roman" w:cs="Times New Roman"/>
          <w:sz w:val="24"/>
          <w:szCs w:val="24"/>
        </w:rPr>
        <w:t>t. At the later stages of PCD, they observed</w:t>
      </w:r>
      <w:r w:rsidRPr="00451B44">
        <w:rPr>
          <w:rFonts w:ascii="Times New Roman" w:hAnsi="Times New Roman" w:cs="Times New Roman"/>
          <w:sz w:val="24"/>
          <w:szCs w:val="24"/>
        </w:rPr>
        <w:t xml:space="preserve"> </w:t>
      </w:r>
      <w:r>
        <w:rPr>
          <w:rFonts w:ascii="Times New Roman" w:hAnsi="Times New Roman" w:cs="Times New Roman"/>
          <w:sz w:val="24"/>
          <w:szCs w:val="24"/>
        </w:rPr>
        <w:t xml:space="preserve">the cells’ </w:t>
      </w:r>
      <w:r w:rsidRPr="00451B44">
        <w:rPr>
          <w:rFonts w:ascii="Times New Roman" w:hAnsi="Times New Roman" w:cs="Times New Roman"/>
          <w:sz w:val="24"/>
          <w:szCs w:val="24"/>
        </w:rPr>
        <w:t>chloroplasts gather</w:t>
      </w:r>
      <w:r>
        <w:rPr>
          <w:rFonts w:ascii="Times New Roman" w:hAnsi="Times New Roman" w:cs="Times New Roman"/>
          <w:sz w:val="24"/>
          <w:szCs w:val="24"/>
        </w:rPr>
        <w:t>ing</w:t>
      </w:r>
      <w:r w:rsidRPr="00451B44">
        <w:rPr>
          <w:rFonts w:ascii="Times New Roman" w:hAnsi="Times New Roman" w:cs="Times New Roman"/>
          <w:sz w:val="24"/>
          <w:szCs w:val="24"/>
        </w:rPr>
        <w:t xml:space="preserve"> around the nucleus and form</w:t>
      </w:r>
      <w:r>
        <w:rPr>
          <w:rFonts w:ascii="Times New Roman" w:hAnsi="Times New Roman" w:cs="Times New Roman"/>
          <w:sz w:val="24"/>
          <w:szCs w:val="24"/>
        </w:rPr>
        <w:t>ing</w:t>
      </w:r>
      <w:r w:rsidRPr="00451B44">
        <w:rPr>
          <w:rFonts w:ascii="Times New Roman" w:hAnsi="Times New Roman" w:cs="Times New Roman"/>
          <w:sz w:val="24"/>
          <w:szCs w:val="24"/>
        </w:rPr>
        <w:t xml:space="preserve"> indents in the nuclear periphery. Similarly, in the case of tobacco cells under osmotic stress, chloroplasts</w:t>
      </w:r>
      <w:r>
        <w:rPr>
          <w:rFonts w:ascii="Times New Roman" w:hAnsi="Times New Roman" w:cs="Times New Roman"/>
          <w:sz w:val="24"/>
          <w:szCs w:val="24"/>
        </w:rPr>
        <w:t xml:space="preserve"> </w:t>
      </w:r>
      <w:r w:rsidRPr="00451B44">
        <w:rPr>
          <w:rFonts w:ascii="Times New Roman" w:hAnsi="Times New Roman" w:cs="Times New Roman"/>
          <w:sz w:val="24"/>
          <w:szCs w:val="24"/>
        </w:rPr>
        <w:t xml:space="preserve">also clustered around the nucleus, where the tonoplast forms a cavity </w:t>
      </w:r>
      <w:r w:rsidRPr="00451B44">
        <w:rPr>
          <w:rFonts w:ascii="Times New Roman" w:hAnsi="Times New Roman" w:cs="Times New Roman"/>
          <w:noProof/>
          <w:sz w:val="24"/>
          <w:szCs w:val="24"/>
        </w:rPr>
        <w:t>(Reisen</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2005)</w:t>
      </w:r>
      <w:r w:rsidRPr="00451B44">
        <w:rPr>
          <w:rFonts w:ascii="Times New Roman" w:hAnsi="Times New Roman" w:cs="Times New Roman"/>
          <w:sz w:val="24"/>
          <w:szCs w:val="24"/>
        </w:rPr>
        <w:t>. This chloroplast distribution may be irrelevant, but the c</w:t>
      </w:r>
      <w:r>
        <w:rPr>
          <w:rFonts w:ascii="Times New Roman" w:hAnsi="Times New Roman" w:cs="Times New Roman"/>
          <w:sz w:val="24"/>
          <w:szCs w:val="24"/>
        </w:rPr>
        <w:t xml:space="preserve">loseness of two organelles suggests that </w:t>
      </w:r>
      <w:r w:rsidRPr="00451B44">
        <w:rPr>
          <w:rFonts w:ascii="Times New Roman" w:hAnsi="Times New Roman" w:cs="Times New Roman"/>
          <w:sz w:val="24"/>
          <w:szCs w:val="24"/>
        </w:rPr>
        <w:t xml:space="preserve">the chloroplast </w:t>
      </w:r>
      <w:r>
        <w:rPr>
          <w:rFonts w:ascii="Times New Roman" w:hAnsi="Times New Roman" w:cs="Times New Roman"/>
          <w:sz w:val="24"/>
          <w:szCs w:val="24"/>
        </w:rPr>
        <w:t>may indeed be</w:t>
      </w:r>
      <w:r w:rsidRPr="00451B44">
        <w:rPr>
          <w:rFonts w:ascii="Times New Roman" w:hAnsi="Times New Roman" w:cs="Times New Roman"/>
          <w:sz w:val="24"/>
          <w:szCs w:val="24"/>
        </w:rPr>
        <w:t xml:space="preserve"> involved in the regulation of PCD. </w:t>
      </w:r>
    </w:p>
    <w:p w:rsidR="004B4E5E" w:rsidRPr="00451B44" w:rsidRDefault="004B4E5E" w:rsidP="002B4B8D">
      <w:pPr>
        <w:autoSpaceDE w:val="0"/>
        <w:autoSpaceDN w:val="0"/>
        <w:adjustRightInd w:val="0"/>
        <w:spacing w:after="0" w:line="480" w:lineRule="auto"/>
        <w:rPr>
          <w:rFonts w:ascii="Times New Roman" w:hAnsi="Times New Roman" w:cs="Times New Roman"/>
          <w:sz w:val="24"/>
          <w:szCs w:val="24"/>
        </w:rPr>
      </w:pPr>
    </w:p>
    <w:p w:rsidR="004B4E5E" w:rsidRPr="00451B44" w:rsidRDefault="004B4E5E" w:rsidP="002B4B8D">
      <w:pPr>
        <w:autoSpaceDE w:val="0"/>
        <w:autoSpaceDN w:val="0"/>
        <w:adjustRightInd w:val="0"/>
        <w:spacing w:after="0" w:line="480" w:lineRule="auto"/>
        <w:rPr>
          <w:rFonts w:ascii="Times New Roman" w:hAnsi="Times New Roman" w:cs="Times New Roman"/>
          <w:sz w:val="24"/>
          <w:szCs w:val="24"/>
        </w:rPr>
      </w:pPr>
      <w:r w:rsidRPr="00451B44">
        <w:rPr>
          <w:rFonts w:ascii="Times New Roman" w:hAnsi="Times New Roman" w:cs="Times New Roman"/>
          <w:sz w:val="24"/>
          <w:szCs w:val="24"/>
        </w:rPr>
        <w:t xml:space="preserve">Leaf epidermal peels are an interesting system for studying the role of chloroplasts in PCD regulation </w:t>
      </w:r>
      <w:r w:rsidRPr="00451B44">
        <w:rPr>
          <w:rFonts w:ascii="Times New Roman" w:hAnsi="Times New Roman" w:cs="Times New Roman"/>
          <w:noProof/>
          <w:sz w:val="24"/>
          <w:szCs w:val="24"/>
        </w:rPr>
        <w:t>(Samuilov</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2003)</w:t>
      </w:r>
      <w:r>
        <w:rPr>
          <w:rFonts w:ascii="Times New Roman" w:hAnsi="Times New Roman" w:cs="Times New Roman"/>
          <w:sz w:val="24"/>
          <w:szCs w:val="24"/>
        </w:rPr>
        <w:t>. T</w:t>
      </w:r>
      <w:r w:rsidRPr="00451B44">
        <w:rPr>
          <w:rFonts w:ascii="Times New Roman" w:hAnsi="Times New Roman" w:cs="Times New Roman"/>
          <w:sz w:val="24"/>
          <w:szCs w:val="24"/>
        </w:rPr>
        <w:t xml:space="preserve">he </w:t>
      </w:r>
      <w:r>
        <w:rPr>
          <w:rFonts w:ascii="Times New Roman" w:hAnsi="Times New Roman" w:cs="Times New Roman"/>
          <w:sz w:val="24"/>
          <w:szCs w:val="24"/>
        </w:rPr>
        <w:t xml:space="preserve">epidermal </w:t>
      </w:r>
      <w:r w:rsidRPr="00451B44">
        <w:rPr>
          <w:rFonts w:ascii="Times New Roman" w:hAnsi="Times New Roman" w:cs="Times New Roman"/>
          <w:sz w:val="24"/>
          <w:szCs w:val="24"/>
        </w:rPr>
        <w:t>peel represents a monolayer of cells</w:t>
      </w:r>
      <w:r>
        <w:rPr>
          <w:rFonts w:ascii="Times New Roman" w:hAnsi="Times New Roman" w:cs="Times New Roman"/>
          <w:sz w:val="24"/>
          <w:szCs w:val="24"/>
        </w:rPr>
        <w:t xml:space="preserve"> and this tissue</w:t>
      </w:r>
      <w:r w:rsidRPr="00451B44">
        <w:rPr>
          <w:rFonts w:ascii="Times New Roman" w:hAnsi="Times New Roman" w:cs="Times New Roman"/>
          <w:sz w:val="24"/>
          <w:szCs w:val="24"/>
        </w:rPr>
        <w:t xml:space="preserve"> is convenient </w:t>
      </w:r>
      <w:r>
        <w:rPr>
          <w:rFonts w:ascii="Times New Roman" w:hAnsi="Times New Roman" w:cs="Times New Roman"/>
          <w:sz w:val="24"/>
          <w:szCs w:val="24"/>
        </w:rPr>
        <w:t>to use with light microscopy</w:t>
      </w:r>
      <w:r w:rsidRPr="00451B44">
        <w:rPr>
          <w:rFonts w:ascii="Times New Roman" w:hAnsi="Times New Roman" w:cs="Times New Roman"/>
          <w:sz w:val="24"/>
          <w:szCs w:val="24"/>
        </w:rPr>
        <w:t>. M</w:t>
      </w:r>
      <w:r>
        <w:rPr>
          <w:rFonts w:ascii="Times New Roman" w:hAnsi="Times New Roman" w:cs="Times New Roman"/>
          <w:sz w:val="24"/>
          <w:szCs w:val="24"/>
        </w:rPr>
        <w:t>oreover, it is highly useful tissue</w:t>
      </w:r>
      <w:r w:rsidRPr="00451B44">
        <w:rPr>
          <w:rFonts w:ascii="Times New Roman" w:hAnsi="Times New Roman" w:cs="Times New Roman"/>
          <w:sz w:val="24"/>
          <w:szCs w:val="24"/>
        </w:rPr>
        <w:t xml:space="preserve"> for studying the role of the chloroplast because the peel consists of two types of cells: guard cells (chloroplast containing phototrophic cells) and epidermal cells (chemotrophic and</w:t>
      </w:r>
      <w:r>
        <w:rPr>
          <w:rFonts w:ascii="Times New Roman" w:hAnsi="Times New Roman" w:cs="Times New Roman"/>
          <w:sz w:val="24"/>
          <w:szCs w:val="24"/>
        </w:rPr>
        <w:t xml:space="preserve"> without chloroplasts). To date</w:t>
      </w:r>
      <w:r w:rsidRPr="00451B44">
        <w:rPr>
          <w:rFonts w:ascii="Times New Roman" w:hAnsi="Times New Roman" w:cs="Times New Roman"/>
          <w:sz w:val="24"/>
          <w:szCs w:val="24"/>
        </w:rPr>
        <w:t>, leaf epidermal peels have been used for PCD related observations in several studies which focused on guard cells only or on both guard cells and epidermal cells (Ali</w:t>
      </w:r>
      <w:r w:rsidRPr="00451B44">
        <w:rPr>
          <w:rFonts w:ascii="Times New Roman" w:hAnsi="Times New Roman" w:cs="Times New Roman"/>
          <w:i/>
          <w:iCs/>
          <w:sz w:val="24"/>
          <w:szCs w:val="24"/>
        </w:rPr>
        <w:t xml:space="preserve"> et al.</w:t>
      </w:r>
      <w:r w:rsidRPr="00451B44">
        <w:rPr>
          <w:rFonts w:ascii="Times New Roman" w:hAnsi="Times New Roman" w:cs="Times New Roman"/>
          <w:sz w:val="24"/>
          <w:szCs w:val="24"/>
        </w:rPr>
        <w:t>, 2007, Kiselevsky</w:t>
      </w:r>
      <w:r w:rsidRPr="00451B44">
        <w:rPr>
          <w:rFonts w:ascii="Times New Roman" w:hAnsi="Times New Roman" w:cs="Times New Roman"/>
          <w:i/>
          <w:iCs/>
          <w:sz w:val="24"/>
          <w:szCs w:val="24"/>
        </w:rPr>
        <w:t xml:space="preserve"> et al.</w:t>
      </w:r>
      <w:r w:rsidRPr="00451B44">
        <w:rPr>
          <w:rFonts w:ascii="Times New Roman" w:hAnsi="Times New Roman" w:cs="Times New Roman"/>
          <w:sz w:val="24"/>
          <w:szCs w:val="24"/>
        </w:rPr>
        <w:t>, 2010, Samuilov</w:t>
      </w:r>
      <w:r w:rsidRPr="00451B44">
        <w:rPr>
          <w:rFonts w:ascii="Times New Roman" w:hAnsi="Times New Roman" w:cs="Times New Roman"/>
          <w:i/>
          <w:iCs/>
          <w:sz w:val="24"/>
          <w:szCs w:val="24"/>
        </w:rPr>
        <w:t xml:space="preserve"> et al.</w:t>
      </w:r>
      <w:r w:rsidRPr="00451B44">
        <w:rPr>
          <w:rFonts w:ascii="Times New Roman" w:hAnsi="Times New Roman" w:cs="Times New Roman"/>
          <w:sz w:val="24"/>
          <w:szCs w:val="24"/>
        </w:rPr>
        <w:t>, 2003, Vasil’ev</w:t>
      </w:r>
      <w:r w:rsidRPr="00451B44">
        <w:rPr>
          <w:rFonts w:ascii="Times New Roman" w:hAnsi="Times New Roman" w:cs="Times New Roman"/>
          <w:i/>
          <w:iCs/>
          <w:sz w:val="24"/>
          <w:szCs w:val="24"/>
        </w:rPr>
        <w:t xml:space="preserve"> et al.</w:t>
      </w:r>
      <w:r w:rsidRPr="00451B44">
        <w:rPr>
          <w:rFonts w:ascii="Times New Roman" w:hAnsi="Times New Roman" w:cs="Times New Roman"/>
          <w:sz w:val="24"/>
          <w:szCs w:val="24"/>
        </w:rPr>
        <w:t xml:space="preserve">, 2009). For example, Samuilov </w:t>
      </w:r>
      <w:r w:rsidRPr="00451B44">
        <w:rPr>
          <w:rFonts w:ascii="Times New Roman" w:hAnsi="Times New Roman" w:cs="Times New Roman"/>
          <w:i/>
          <w:iCs/>
          <w:sz w:val="24"/>
          <w:szCs w:val="24"/>
        </w:rPr>
        <w:t>et al.</w:t>
      </w:r>
      <w:r>
        <w:rPr>
          <w:rFonts w:ascii="Times New Roman" w:hAnsi="Times New Roman" w:cs="Times New Roman"/>
          <w:i/>
          <w:iCs/>
          <w:sz w:val="24"/>
          <w:szCs w:val="24"/>
        </w:rPr>
        <w:t xml:space="preserve"> </w:t>
      </w:r>
      <w:r>
        <w:rPr>
          <w:rFonts w:ascii="Times New Roman" w:hAnsi="Times New Roman" w:cs="Times New Roman"/>
          <w:sz w:val="24"/>
          <w:szCs w:val="24"/>
        </w:rPr>
        <w:t>(2003) used p</w:t>
      </w:r>
      <w:r w:rsidRPr="00451B44">
        <w:rPr>
          <w:rFonts w:ascii="Times New Roman" w:hAnsi="Times New Roman" w:cs="Times New Roman"/>
          <w:sz w:val="24"/>
          <w:szCs w:val="24"/>
        </w:rPr>
        <w:t>eels from pea (</w:t>
      </w:r>
      <w:r w:rsidRPr="003D2E65">
        <w:rPr>
          <w:rFonts w:ascii="Times New Roman" w:hAnsi="Times New Roman" w:cs="Times New Roman"/>
          <w:i/>
          <w:iCs/>
          <w:sz w:val="24"/>
          <w:szCs w:val="24"/>
        </w:rPr>
        <w:t>Pisum sativum</w:t>
      </w:r>
      <w:r w:rsidRPr="00451B44">
        <w:rPr>
          <w:rFonts w:ascii="Times New Roman" w:hAnsi="Times New Roman" w:cs="Times New Roman"/>
          <w:sz w:val="24"/>
          <w:szCs w:val="24"/>
        </w:rPr>
        <w:t xml:space="preserve"> L.) leaves </w:t>
      </w:r>
      <w:r>
        <w:rPr>
          <w:rFonts w:ascii="Times New Roman" w:hAnsi="Times New Roman" w:cs="Times New Roman"/>
          <w:sz w:val="24"/>
          <w:szCs w:val="24"/>
        </w:rPr>
        <w:t>and</w:t>
      </w:r>
      <w:r w:rsidRPr="00451B44">
        <w:rPr>
          <w:rFonts w:ascii="Times New Roman" w:hAnsi="Times New Roman" w:cs="Times New Roman"/>
          <w:sz w:val="24"/>
          <w:szCs w:val="24"/>
        </w:rPr>
        <w:t xml:space="preserve"> treated </w:t>
      </w:r>
      <w:r>
        <w:rPr>
          <w:rFonts w:ascii="Times New Roman" w:hAnsi="Times New Roman" w:cs="Times New Roman"/>
          <w:sz w:val="24"/>
          <w:szCs w:val="24"/>
        </w:rPr>
        <w:t xml:space="preserve">them with </w:t>
      </w:r>
      <w:r w:rsidRPr="00451B44">
        <w:rPr>
          <w:rFonts w:ascii="Times New Roman" w:hAnsi="Times New Roman" w:cs="Times New Roman"/>
          <w:sz w:val="24"/>
          <w:szCs w:val="24"/>
        </w:rPr>
        <w:t>cy</w:t>
      </w:r>
      <w:r>
        <w:rPr>
          <w:rFonts w:ascii="Times New Roman" w:hAnsi="Times New Roman" w:cs="Times New Roman"/>
          <w:sz w:val="24"/>
          <w:szCs w:val="24"/>
        </w:rPr>
        <w:t xml:space="preserve">anide to induce PCD. They observed that </w:t>
      </w:r>
      <w:r w:rsidRPr="00451B44">
        <w:rPr>
          <w:rFonts w:ascii="Times New Roman" w:hAnsi="Times New Roman" w:cs="Times New Roman"/>
          <w:sz w:val="24"/>
          <w:szCs w:val="24"/>
        </w:rPr>
        <w:t>illumination</w:t>
      </w:r>
      <w:r>
        <w:rPr>
          <w:rFonts w:ascii="Times New Roman" w:hAnsi="Times New Roman" w:cs="Times New Roman"/>
          <w:sz w:val="24"/>
          <w:szCs w:val="24"/>
        </w:rPr>
        <w:t xml:space="preserve"> of</w:t>
      </w:r>
      <w:r w:rsidRPr="00451B44">
        <w:rPr>
          <w:rFonts w:ascii="Times New Roman" w:hAnsi="Times New Roman" w:cs="Times New Roman"/>
          <w:sz w:val="24"/>
          <w:szCs w:val="24"/>
        </w:rPr>
        <w:t xml:space="preserve"> chloroplast-</w:t>
      </w:r>
      <w:r>
        <w:rPr>
          <w:rFonts w:ascii="Times New Roman" w:hAnsi="Times New Roman" w:cs="Times New Roman"/>
          <w:sz w:val="24"/>
          <w:szCs w:val="24"/>
        </w:rPr>
        <w:t>containing guard cells enhanced</w:t>
      </w:r>
      <w:r w:rsidRPr="00451B44">
        <w:rPr>
          <w:rFonts w:ascii="Times New Roman" w:hAnsi="Times New Roman" w:cs="Times New Roman"/>
          <w:sz w:val="24"/>
          <w:szCs w:val="24"/>
        </w:rPr>
        <w:t xml:space="preserve"> </w:t>
      </w:r>
      <w:r>
        <w:rPr>
          <w:rFonts w:ascii="Times New Roman" w:hAnsi="Times New Roman" w:cs="Times New Roman"/>
          <w:sz w:val="24"/>
          <w:szCs w:val="24"/>
        </w:rPr>
        <w:t>PCD rates, while</w:t>
      </w:r>
      <w:r w:rsidRPr="00451B44">
        <w:rPr>
          <w:rFonts w:ascii="Times New Roman" w:hAnsi="Times New Roman" w:cs="Times New Roman"/>
          <w:sz w:val="24"/>
          <w:szCs w:val="24"/>
        </w:rPr>
        <w:t xml:space="preserve"> </w:t>
      </w:r>
      <w:r>
        <w:rPr>
          <w:rFonts w:ascii="Times New Roman" w:hAnsi="Times New Roman" w:cs="Times New Roman"/>
          <w:sz w:val="24"/>
          <w:szCs w:val="24"/>
        </w:rPr>
        <w:t>rates of death in the epidermal cells were unchanged</w:t>
      </w:r>
      <w:r w:rsidRPr="00451B44">
        <w:rPr>
          <w:rFonts w:ascii="Times New Roman" w:hAnsi="Times New Roman" w:cs="Times New Roman"/>
          <w:sz w:val="24"/>
          <w:szCs w:val="24"/>
        </w:rPr>
        <w:t>.</w:t>
      </w:r>
    </w:p>
    <w:p w:rsidR="004B4E5E" w:rsidRPr="00451B44" w:rsidRDefault="004B4E5E" w:rsidP="002B4B8D">
      <w:pPr>
        <w:autoSpaceDE w:val="0"/>
        <w:autoSpaceDN w:val="0"/>
        <w:adjustRightInd w:val="0"/>
        <w:spacing w:after="0" w:line="480" w:lineRule="auto"/>
        <w:rPr>
          <w:rFonts w:ascii="Times New Roman" w:hAnsi="Times New Roman" w:cs="Times New Roman"/>
          <w:sz w:val="24"/>
          <w:szCs w:val="24"/>
        </w:rPr>
      </w:pPr>
    </w:p>
    <w:p w:rsidR="004B4E5E" w:rsidRPr="00451B44" w:rsidRDefault="004B4E5E" w:rsidP="00BF42BA">
      <w:pPr>
        <w:pStyle w:val="ListParagraph"/>
        <w:numPr>
          <w:ilvl w:val="0"/>
          <w:numId w:val="25"/>
        </w:numPr>
        <w:autoSpaceDE w:val="0"/>
        <w:autoSpaceDN w:val="0"/>
        <w:adjustRightInd w:val="0"/>
        <w:spacing w:after="0" w:line="480" w:lineRule="auto"/>
        <w:ind w:hanging="731"/>
        <w:rPr>
          <w:rFonts w:ascii="Times New Roman" w:hAnsi="Times New Roman" w:cs="Times New Roman"/>
          <w:b/>
          <w:bCs/>
          <w:sz w:val="24"/>
          <w:szCs w:val="24"/>
        </w:rPr>
      </w:pPr>
      <w:r>
        <w:rPr>
          <w:rFonts w:ascii="Times New Roman" w:hAnsi="Times New Roman" w:cs="Times New Roman"/>
          <w:b/>
          <w:bCs/>
          <w:sz w:val="24"/>
          <w:szCs w:val="24"/>
        </w:rPr>
        <w:t>Metacaspase</w:t>
      </w:r>
      <w:r w:rsidRPr="00451B44">
        <w:rPr>
          <w:rFonts w:ascii="Times New Roman" w:hAnsi="Times New Roman" w:cs="Times New Roman"/>
          <w:b/>
          <w:bCs/>
          <w:sz w:val="24"/>
          <w:szCs w:val="24"/>
        </w:rPr>
        <w:t xml:space="preserve"> and caspase-like activities</w:t>
      </w:r>
    </w:p>
    <w:p w:rsidR="004B4E5E" w:rsidRPr="00451B44" w:rsidRDefault="004B4E5E" w:rsidP="002B4B8D">
      <w:pPr>
        <w:autoSpaceDE w:val="0"/>
        <w:autoSpaceDN w:val="0"/>
        <w:adjustRightInd w:val="0"/>
        <w:spacing w:after="0" w:line="480" w:lineRule="auto"/>
        <w:rPr>
          <w:rFonts w:ascii="Times New Roman" w:hAnsi="Times New Roman" w:cs="Times New Roman"/>
          <w:sz w:val="24"/>
          <w:szCs w:val="24"/>
        </w:rPr>
      </w:pPr>
      <w:r w:rsidRPr="00451B44">
        <w:rPr>
          <w:rFonts w:ascii="Times New Roman" w:hAnsi="Times New Roman" w:cs="Times New Roman"/>
          <w:i/>
          <w:iCs/>
          <w:sz w:val="24"/>
          <w:szCs w:val="24"/>
        </w:rPr>
        <w:t>Arabidopsis</w:t>
      </w:r>
      <w:r w:rsidRPr="00451B44">
        <w:rPr>
          <w:rFonts w:ascii="Times New Roman" w:hAnsi="Times New Roman" w:cs="Times New Roman"/>
          <w:sz w:val="24"/>
          <w:szCs w:val="24"/>
        </w:rPr>
        <w:t xml:space="preserve"> lacks canonical caspases which can be activated in animal cells as a result of cyt </w:t>
      </w:r>
      <w:r w:rsidRPr="00C64D1B">
        <w:rPr>
          <w:rFonts w:ascii="Times New Roman" w:hAnsi="Times New Roman" w:cs="Times New Roman"/>
          <w:i/>
          <w:iCs/>
          <w:sz w:val="24"/>
          <w:szCs w:val="24"/>
        </w:rPr>
        <w:t>c</w:t>
      </w:r>
      <w:r w:rsidRPr="00451B44">
        <w:rPr>
          <w:rFonts w:ascii="Times New Roman" w:hAnsi="Times New Roman" w:cs="Times New Roman"/>
          <w:sz w:val="24"/>
          <w:szCs w:val="24"/>
        </w:rPr>
        <w:t xml:space="preserve"> release. However, a small family of phylogenetically dista</w:t>
      </w:r>
      <w:r>
        <w:rPr>
          <w:rFonts w:ascii="Times New Roman" w:hAnsi="Times New Roman" w:cs="Times New Roman"/>
          <w:sz w:val="24"/>
          <w:szCs w:val="24"/>
        </w:rPr>
        <w:t>nt genes, named metacaspases, have been</w:t>
      </w:r>
      <w:r w:rsidRPr="00451B44">
        <w:rPr>
          <w:rFonts w:ascii="Times New Roman" w:hAnsi="Times New Roman" w:cs="Times New Roman"/>
          <w:sz w:val="24"/>
          <w:szCs w:val="24"/>
        </w:rPr>
        <w:t xml:space="preserve"> identified in the </w:t>
      </w:r>
      <w:r w:rsidRPr="00451B44">
        <w:rPr>
          <w:rFonts w:ascii="Times New Roman" w:hAnsi="Times New Roman" w:cs="Times New Roman"/>
          <w:i/>
          <w:iCs/>
          <w:sz w:val="24"/>
          <w:szCs w:val="24"/>
        </w:rPr>
        <w:t>Arabidopsis</w:t>
      </w:r>
      <w:r w:rsidRPr="00451B44">
        <w:rPr>
          <w:rFonts w:ascii="Times New Roman" w:hAnsi="Times New Roman" w:cs="Times New Roman"/>
          <w:sz w:val="24"/>
          <w:szCs w:val="24"/>
        </w:rPr>
        <w:t xml:space="preserve"> genome </w:t>
      </w:r>
      <w:r w:rsidRPr="00451B44">
        <w:rPr>
          <w:rFonts w:ascii="Times New Roman" w:hAnsi="Times New Roman" w:cs="Times New Roman"/>
          <w:noProof/>
          <w:sz w:val="24"/>
          <w:szCs w:val="24"/>
        </w:rPr>
        <w:t>(Uren</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2000)</w:t>
      </w:r>
      <w:r>
        <w:rPr>
          <w:rFonts w:ascii="Times New Roman" w:hAnsi="Times New Roman" w:cs="Times New Roman"/>
          <w:sz w:val="24"/>
          <w:szCs w:val="24"/>
        </w:rPr>
        <w:t>. Nine metacaspases have been</w:t>
      </w:r>
      <w:r w:rsidRPr="00451B44">
        <w:rPr>
          <w:rFonts w:ascii="Times New Roman" w:hAnsi="Times New Roman" w:cs="Times New Roman"/>
          <w:sz w:val="24"/>
          <w:szCs w:val="24"/>
        </w:rPr>
        <w:t xml:space="preserve"> identified in</w:t>
      </w:r>
      <w:r w:rsidRPr="00451B44">
        <w:rPr>
          <w:rFonts w:ascii="Times New Roman" w:hAnsi="Times New Roman" w:cs="Times New Roman"/>
          <w:i/>
          <w:iCs/>
          <w:sz w:val="24"/>
          <w:szCs w:val="24"/>
        </w:rPr>
        <w:t xml:space="preserve"> Arabidopsis </w:t>
      </w:r>
      <w:r w:rsidRPr="00451B44">
        <w:rPr>
          <w:rFonts w:ascii="Times New Roman" w:hAnsi="Times New Roman" w:cs="Times New Roman"/>
          <w:noProof/>
          <w:sz w:val="24"/>
          <w:szCs w:val="24"/>
        </w:rPr>
        <w:t>(Watanabe and Lam, 2004)</w:t>
      </w:r>
      <w:r w:rsidRPr="00451B44">
        <w:rPr>
          <w:rFonts w:ascii="Times New Roman" w:hAnsi="Times New Roman" w:cs="Times New Roman"/>
          <w:sz w:val="24"/>
          <w:szCs w:val="24"/>
        </w:rPr>
        <w:t xml:space="preserve">; however they fail to cleave caspase substrates </w:t>
      </w:r>
      <w:r w:rsidRPr="00451B44">
        <w:rPr>
          <w:rFonts w:ascii="Times New Roman" w:hAnsi="Times New Roman" w:cs="Times New Roman"/>
          <w:noProof/>
          <w:sz w:val="24"/>
          <w:szCs w:val="24"/>
        </w:rPr>
        <w:t>(Bonneau</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2008)</w:t>
      </w:r>
      <w:r w:rsidRPr="00451B44">
        <w:rPr>
          <w:rFonts w:ascii="Times New Roman" w:hAnsi="Times New Roman" w:cs="Times New Roman"/>
          <w:sz w:val="24"/>
          <w:szCs w:val="24"/>
        </w:rPr>
        <w:t>.  Nevertheless, sever</w:t>
      </w:r>
      <w:r>
        <w:rPr>
          <w:rFonts w:ascii="Times New Roman" w:hAnsi="Times New Roman" w:cs="Times New Roman"/>
          <w:sz w:val="24"/>
          <w:szCs w:val="24"/>
        </w:rPr>
        <w:t>al studies reported metacaspase</w:t>
      </w:r>
      <w:r w:rsidRPr="00451B44">
        <w:rPr>
          <w:rFonts w:ascii="Times New Roman" w:hAnsi="Times New Roman" w:cs="Times New Roman"/>
          <w:sz w:val="24"/>
          <w:szCs w:val="24"/>
        </w:rPr>
        <w:t xml:space="preserve"> involvement in PCD during</w:t>
      </w:r>
      <w:r w:rsidRPr="00451B44">
        <w:rPr>
          <w:rStyle w:val="atl"/>
          <w:rFonts w:ascii="Times New Roman" w:hAnsi="Times New Roman" w:cs="Times New Roman"/>
          <w:sz w:val="24"/>
          <w:szCs w:val="24"/>
        </w:rPr>
        <w:t xml:space="preserve"> embryogenesis of </w:t>
      </w:r>
      <w:r>
        <w:rPr>
          <w:rStyle w:val="atl"/>
          <w:rFonts w:ascii="Times New Roman" w:hAnsi="Times New Roman" w:cs="Times New Roman"/>
          <w:i/>
          <w:iCs/>
          <w:sz w:val="24"/>
          <w:szCs w:val="24"/>
        </w:rPr>
        <w:t>P.</w:t>
      </w:r>
      <w:r w:rsidRPr="00451B44">
        <w:rPr>
          <w:rStyle w:val="atl"/>
          <w:rFonts w:ascii="Times New Roman" w:hAnsi="Times New Roman" w:cs="Times New Roman"/>
          <w:i/>
          <w:iCs/>
          <w:sz w:val="24"/>
          <w:szCs w:val="24"/>
        </w:rPr>
        <w:t xml:space="preserve"> abies</w:t>
      </w:r>
      <w:r w:rsidRPr="00451B44">
        <w:rPr>
          <w:rStyle w:val="atl"/>
          <w:rFonts w:ascii="Times New Roman" w:hAnsi="Times New Roman" w:cs="Times New Roman"/>
          <w:sz w:val="24"/>
          <w:szCs w:val="24"/>
        </w:rPr>
        <w:t xml:space="preserve"> </w:t>
      </w:r>
      <w:r w:rsidRPr="00451B44">
        <w:rPr>
          <w:rFonts w:ascii="Times New Roman" w:hAnsi="Times New Roman" w:cs="Times New Roman"/>
          <w:sz w:val="24"/>
          <w:szCs w:val="24"/>
        </w:rPr>
        <w:t>(Bozhkov</w:t>
      </w:r>
      <w:r w:rsidRPr="00451B44">
        <w:rPr>
          <w:rFonts w:ascii="Times New Roman" w:hAnsi="Times New Roman" w:cs="Times New Roman"/>
          <w:i/>
          <w:iCs/>
          <w:sz w:val="24"/>
          <w:szCs w:val="24"/>
        </w:rPr>
        <w:t xml:space="preserve"> et al.</w:t>
      </w:r>
      <w:r w:rsidRPr="00451B44">
        <w:rPr>
          <w:rFonts w:ascii="Times New Roman" w:hAnsi="Times New Roman" w:cs="Times New Roman"/>
          <w:sz w:val="24"/>
          <w:szCs w:val="24"/>
        </w:rPr>
        <w:t>, 2005b, Suarez</w:t>
      </w:r>
      <w:r w:rsidRPr="00451B44">
        <w:rPr>
          <w:rFonts w:ascii="Times New Roman" w:hAnsi="Times New Roman" w:cs="Times New Roman"/>
          <w:i/>
          <w:iCs/>
          <w:sz w:val="24"/>
          <w:szCs w:val="24"/>
        </w:rPr>
        <w:t xml:space="preserve"> et al.</w:t>
      </w:r>
      <w:r w:rsidRPr="00451B44">
        <w:rPr>
          <w:rFonts w:ascii="Times New Roman" w:hAnsi="Times New Roman" w:cs="Times New Roman"/>
          <w:sz w:val="24"/>
          <w:szCs w:val="24"/>
        </w:rPr>
        <w:t>, 2004) and during death induced by UV-C exposure, H</w:t>
      </w:r>
      <w:r w:rsidRPr="00451B44">
        <w:rPr>
          <w:rFonts w:ascii="Times New Roman" w:hAnsi="Times New Roman" w:cs="Times New Roman"/>
          <w:sz w:val="24"/>
          <w:szCs w:val="24"/>
          <w:vertAlign w:val="subscript"/>
        </w:rPr>
        <w:t>2</w:t>
      </w:r>
      <w:r w:rsidRPr="00451B44">
        <w:rPr>
          <w:rFonts w:ascii="Times New Roman" w:hAnsi="Times New Roman" w:cs="Times New Roman"/>
          <w:sz w:val="24"/>
          <w:szCs w:val="24"/>
        </w:rPr>
        <w:t>O</w:t>
      </w:r>
      <w:r w:rsidRPr="00451B44">
        <w:rPr>
          <w:rFonts w:ascii="Times New Roman" w:hAnsi="Times New Roman" w:cs="Times New Roman"/>
          <w:sz w:val="24"/>
          <w:szCs w:val="24"/>
          <w:vertAlign w:val="subscript"/>
        </w:rPr>
        <w:t>2</w:t>
      </w:r>
      <w:r w:rsidRPr="00451B44">
        <w:rPr>
          <w:rFonts w:ascii="Times New Roman" w:hAnsi="Times New Roman" w:cs="Times New Roman"/>
          <w:sz w:val="24"/>
          <w:szCs w:val="24"/>
        </w:rPr>
        <w:t>, or methyl viologen</w:t>
      </w:r>
      <w:r>
        <w:rPr>
          <w:rFonts w:ascii="Times New Roman" w:hAnsi="Times New Roman" w:cs="Times New Roman"/>
          <w:sz w:val="24"/>
          <w:szCs w:val="24"/>
        </w:rPr>
        <w:t xml:space="preserve"> in</w:t>
      </w:r>
      <w:r w:rsidRPr="009A1554">
        <w:rPr>
          <w:rFonts w:ascii="Times New Roman" w:hAnsi="Times New Roman" w:cs="Times New Roman"/>
          <w:i/>
          <w:iCs/>
          <w:sz w:val="24"/>
          <w:szCs w:val="24"/>
        </w:rPr>
        <w:t xml:space="preserve"> Arabidopsis</w:t>
      </w:r>
      <w:r w:rsidRPr="00451B44">
        <w:rPr>
          <w:rFonts w:ascii="Times New Roman" w:hAnsi="Times New Roman" w:cs="Times New Roman"/>
          <w:sz w:val="24"/>
          <w:szCs w:val="24"/>
        </w:rPr>
        <w:t xml:space="preserve"> (He</w:t>
      </w:r>
      <w:r w:rsidRPr="00451B44">
        <w:rPr>
          <w:rFonts w:ascii="Times New Roman" w:hAnsi="Times New Roman" w:cs="Times New Roman"/>
          <w:i/>
          <w:iCs/>
          <w:sz w:val="24"/>
          <w:szCs w:val="24"/>
        </w:rPr>
        <w:t xml:space="preserve"> et al.</w:t>
      </w:r>
      <w:r w:rsidRPr="00451B44">
        <w:rPr>
          <w:rFonts w:ascii="Times New Roman" w:hAnsi="Times New Roman" w:cs="Times New Roman"/>
          <w:sz w:val="24"/>
          <w:szCs w:val="24"/>
        </w:rPr>
        <w:t xml:space="preserve">, 2008). Metacaspase mcII-Pa initiates the burst of caspase activity that is responsible for PCD of the proembryogenic masses (PEMs) and the suspensor in somatic embryos of </w:t>
      </w:r>
      <w:r>
        <w:rPr>
          <w:rFonts w:ascii="Times New Roman" w:hAnsi="Times New Roman" w:cs="Times New Roman"/>
          <w:i/>
          <w:iCs/>
          <w:sz w:val="24"/>
          <w:szCs w:val="24"/>
        </w:rPr>
        <w:t>P.</w:t>
      </w:r>
      <w:r w:rsidRPr="00451B44">
        <w:rPr>
          <w:rFonts w:ascii="Times New Roman" w:hAnsi="Times New Roman" w:cs="Times New Roman"/>
          <w:i/>
          <w:iCs/>
          <w:sz w:val="24"/>
          <w:szCs w:val="24"/>
        </w:rPr>
        <w:t xml:space="preserve"> abies </w:t>
      </w:r>
      <w:r w:rsidRPr="00451B44">
        <w:rPr>
          <w:rFonts w:ascii="Times New Roman" w:hAnsi="Times New Roman" w:cs="Times New Roman"/>
          <w:noProof/>
          <w:sz w:val="24"/>
          <w:szCs w:val="24"/>
        </w:rPr>
        <w:t>(Suarez</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2004)</w:t>
      </w:r>
      <w:r w:rsidRPr="00451B44">
        <w:rPr>
          <w:rFonts w:ascii="Times New Roman" w:hAnsi="Times New Roman" w:cs="Times New Roman"/>
          <w:sz w:val="24"/>
          <w:szCs w:val="24"/>
        </w:rPr>
        <w:t xml:space="preserve">. Metacaspases localise to the nucleus and cytoplasm and execute nuclear and cytoplasmic degradation upstream of a vacuolar collapse </w:t>
      </w:r>
      <w:r w:rsidRPr="00451B44">
        <w:rPr>
          <w:rFonts w:ascii="Times New Roman" w:hAnsi="Times New Roman" w:cs="Times New Roman"/>
          <w:noProof/>
          <w:sz w:val="24"/>
          <w:szCs w:val="24"/>
        </w:rPr>
        <w:t>(Bozhkov</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2005b)</w:t>
      </w:r>
      <w:r w:rsidRPr="00451B44">
        <w:rPr>
          <w:rFonts w:ascii="Times New Roman" w:hAnsi="Times New Roman" w:cs="Times New Roman"/>
          <w:sz w:val="24"/>
          <w:szCs w:val="24"/>
        </w:rPr>
        <w:t xml:space="preserve">. Recently, the first natural metacaspase substrate was identified. Sundstrom </w:t>
      </w:r>
      <w:r w:rsidRPr="00451B44">
        <w:rPr>
          <w:rFonts w:ascii="Times New Roman" w:hAnsi="Times New Roman" w:cs="Times New Roman"/>
          <w:i/>
          <w:iCs/>
          <w:sz w:val="24"/>
          <w:szCs w:val="24"/>
        </w:rPr>
        <w:t>et al.</w:t>
      </w:r>
      <w:r w:rsidRPr="00451B44">
        <w:rPr>
          <w:rFonts w:ascii="Times New Roman" w:hAnsi="Times New Roman" w:cs="Times New Roman"/>
          <w:sz w:val="24"/>
          <w:szCs w:val="24"/>
        </w:rPr>
        <w:t xml:space="preserve"> </w:t>
      </w:r>
      <w:r w:rsidRPr="00451B44">
        <w:rPr>
          <w:rFonts w:ascii="Times New Roman" w:hAnsi="Times New Roman" w:cs="Times New Roman"/>
          <w:noProof/>
          <w:sz w:val="24"/>
          <w:szCs w:val="24"/>
        </w:rPr>
        <w:t>(2009)</w:t>
      </w:r>
      <w:r w:rsidRPr="00451B44">
        <w:rPr>
          <w:rFonts w:ascii="Times New Roman" w:hAnsi="Times New Roman" w:cs="Times New Roman"/>
          <w:sz w:val="24"/>
          <w:szCs w:val="24"/>
        </w:rPr>
        <w:t xml:space="preserve"> showed that a metacaspase mcII-Pa cleaves a phylogenetically conserved protein, TSN (Tudor staphylococcal nuclease), during both developmental and stress-induced PCD. Moreover, TSN knockdown was demonstrated to result in activation of ectopic cell death during reproduction, impairing plant fertility. Interestingly, human TSN, which is a multifunctional gene expression regulator, is cleaved by caspase-3 during apoptosis and therefore, despite different properties, caspases and metacaspases can cleave common molecules in the cell, which suggests possible evolutionary conservation between animal and plant PCD pathways </w:t>
      </w:r>
      <w:r w:rsidRPr="00451B44">
        <w:rPr>
          <w:rFonts w:ascii="Times New Roman" w:hAnsi="Times New Roman" w:cs="Times New Roman"/>
          <w:noProof/>
          <w:sz w:val="24"/>
          <w:szCs w:val="24"/>
        </w:rPr>
        <w:t>(Sundstrom</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2009)</w:t>
      </w:r>
      <w:r w:rsidRPr="00451B44">
        <w:rPr>
          <w:rFonts w:ascii="Times New Roman" w:hAnsi="Times New Roman" w:cs="Times New Roman"/>
          <w:sz w:val="24"/>
          <w:szCs w:val="24"/>
        </w:rPr>
        <w:t>.</w:t>
      </w:r>
      <w:r>
        <w:rPr>
          <w:rFonts w:ascii="Times New Roman" w:hAnsi="Times New Roman" w:cs="Times New Roman"/>
          <w:sz w:val="24"/>
          <w:szCs w:val="24"/>
        </w:rPr>
        <w:t xml:space="preserve"> Recently, an experimental evidence for the role of two type I metacaspases, AtMC1 and AtMC2, in control of PCD in </w:t>
      </w:r>
      <w:r w:rsidRPr="003F179C">
        <w:rPr>
          <w:rFonts w:ascii="Times New Roman" w:hAnsi="Times New Roman" w:cs="Times New Roman"/>
          <w:i/>
          <w:iCs/>
          <w:sz w:val="24"/>
          <w:szCs w:val="24"/>
        </w:rPr>
        <w:t>Arabidopsis</w:t>
      </w:r>
      <w:r>
        <w:rPr>
          <w:rFonts w:ascii="Times New Roman" w:hAnsi="Times New Roman" w:cs="Times New Roman"/>
          <w:sz w:val="24"/>
          <w:szCs w:val="24"/>
        </w:rPr>
        <w:t xml:space="preserve"> was published by Coll</w:t>
      </w:r>
      <w:r w:rsidRPr="00E11A18">
        <w:rPr>
          <w:rFonts w:ascii="Times New Roman" w:hAnsi="Times New Roman" w:cs="Times New Roman"/>
          <w:i/>
          <w:iCs/>
          <w:sz w:val="24"/>
          <w:szCs w:val="24"/>
        </w:rPr>
        <w:t xml:space="preserve"> et al.</w:t>
      </w:r>
      <w:r>
        <w:rPr>
          <w:rFonts w:ascii="Times New Roman" w:hAnsi="Times New Roman" w:cs="Times New Roman"/>
          <w:sz w:val="24"/>
          <w:szCs w:val="24"/>
        </w:rPr>
        <w:t xml:space="preserve"> (2010). They established AtMC1 as a pro-death caspase-like protein required for both superoxide-dependent cell death in a reactive oxygen-sensitized state and for hypersensitive response mediated by </w:t>
      </w:r>
      <w:r w:rsidRPr="00E11A18">
        <w:rPr>
          <w:rFonts w:ascii="Times New Roman" w:hAnsi="Times New Roman" w:cs="Times New Roman"/>
          <w:sz w:val="24"/>
          <w:szCs w:val="24"/>
        </w:rPr>
        <w:t>nucleotide-binding site leucine-rich repeat</w:t>
      </w:r>
      <w:r>
        <w:rPr>
          <w:rFonts w:ascii="Times New Roman" w:hAnsi="Times New Roman" w:cs="Times New Roman"/>
          <w:sz w:val="24"/>
          <w:szCs w:val="24"/>
        </w:rPr>
        <w:t xml:space="preserve"> immune receptor proteins, whereas AtMC2 was shown to act antagonistically. AtMC1 function requires conserved caspase-like putative catalytic residues, but negative regulation of cell death by AtMC2 is independent of the putative catalytic residues.</w:t>
      </w:r>
    </w:p>
    <w:p w:rsidR="004B4E5E" w:rsidRDefault="004B4E5E" w:rsidP="002B4B8D">
      <w:pPr>
        <w:autoSpaceDE w:val="0"/>
        <w:autoSpaceDN w:val="0"/>
        <w:adjustRightInd w:val="0"/>
        <w:spacing w:after="0" w:line="480" w:lineRule="auto"/>
        <w:rPr>
          <w:rFonts w:ascii="Times New Roman" w:hAnsi="Times New Roman" w:cs="Times New Roman"/>
          <w:sz w:val="24"/>
          <w:szCs w:val="24"/>
        </w:rPr>
      </w:pPr>
    </w:p>
    <w:p w:rsidR="004B4E5E" w:rsidRDefault="004B4E5E" w:rsidP="002B4B8D">
      <w:pPr>
        <w:autoSpaceDE w:val="0"/>
        <w:autoSpaceDN w:val="0"/>
        <w:adjustRightInd w:val="0"/>
        <w:spacing w:after="0" w:line="480" w:lineRule="auto"/>
        <w:rPr>
          <w:rFonts w:ascii="Times New Roman" w:hAnsi="Times New Roman" w:cs="Times New Roman"/>
          <w:sz w:val="24"/>
          <w:szCs w:val="24"/>
        </w:rPr>
      </w:pPr>
      <w:r w:rsidRPr="00451B44">
        <w:rPr>
          <w:rFonts w:ascii="Times New Roman" w:hAnsi="Times New Roman" w:cs="Times New Roman"/>
          <w:sz w:val="24"/>
          <w:szCs w:val="24"/>
        </w:rPr>
        <w:t>Caspase-like activity has bee</w:t>
      </w:r>
      <w:r>
        <w:rPr>
          <w:rFonts w:ascii="Times New Roman" w:hAnsi="Times New Roman" w:cs="Times New Roman"/>
          <w:sz w:val="24"/>
          <w:szCs w:val="24"/>
        </w:rPr>
        <w:t>n detected numerous times in</w:t>
      </w:r>
      <w:r w:rsidRPr="00451B44">
        <w:rPr>
          <w:rFonts w:ascii="Times New Roman" w:hAnsi="Times New Roman" w:cs="Times New Roman"/>
          <w:sz w:val="24"/>
          <w:szCs w:val="24"/>
        </w:rPr>
        <w:t xml:space="preserve"> plant</w:t>
      </w:r>
      <w:r>
        <w:rPr>
          <w:rFonts w:ascii="Times New Roman" w:hAnsi="Times New Roman" w:cs="Times New Roman"/>
          <w:sz w:val="24"/>
          <w:szCs w:val="24"/>
        </w:rPr>
        <w:t xml:space="preserve"> cells undergoing</w:t>
      </w:r>
      <w:r w:rsidRPr="00451B44">
        <w:rPr>
          <w:rFonts w:ascii="Times New Roman" w:hAnsi="Times New Roman" w:cs="Times New Roman"/>
          <w:sz w:val="24"/>
          <w:szCs w:val="24"/>
        </w:rPr>
        <w:t xml:space="preserve"> PCD</w:t>
      </w:r>
      <w:r>
        <w:rPr>
          <w:rFonts w:ascii="Times New Roman" w:hAnsi="Times New Roman" w:cs="Times New Roman"/>
          <w:sz w:val="24"/>
          <w:szCs w:val="24"/>
        </w:rPr>
        <w:t>, and</w:t>
      </w:r>
      <w:r w:rsidRPr="00451B44">
        <w:rPr>
          <w:rFonts w:ascii="Times New Roman" w:hAnsi="Times New Roman" w:cs="Times New Roman"/>
          <w:sz w:val="24"/>
          <w:szCs w:val="24"/>
        </w:rPr>
        <w:t xml:space="preserve"> applic</w:t>
      </w:r>
      <w:r>
        <w:rPr>
          <w:rFonts w:ascii="Times New Roman" w:hAnsi="Times New Roman" w:cs="Times New Roman"/>
          <w:sz w:val="24"/>
          <w:szCs w:val="24"/>
        </w:rPr>
        <w:t xml:space="preserve">ation of caspase inhibitors have been </w:t>
      </w:r>
      <w:r w:rsidRPr="00451B44">
        <w:rPr>
          <w:rFonts w:ascii="Times New Roman" w:hAnsi="Times New Roman" w:cs="Times New Roman"/>
          <w:sz w:val="24"/>
          <w:szCs w:val="24"/>
        </w:rPr>
        <w:t>shown to suppress cell death (Chichkova</w:t>
      </w:r>
      <w:r w:rsidRPr="00451B44">
        <w:rPr>
          <w:rFonts w:ascii="Times New Roman" w:hAnsi="Times New Roman" w:cs="Times New Roman"/>
          <w:i/>
          <w:iCs/>
          <w:sz w:val="24"/>
          <w:szCs w:val="24"/>
        </w:rPr>
        <w:t xml:space="preserve"> et al.</w:t>
      </w:r>
      <w:r w:rsidRPr="00451B44">
        <w:rPr>
          <w:rFonts w:ascii="Times New Roman" w:hAnsi="Times New Roman" w:cs="Times New Roman"/>
          <w:sz w:val="24"/>
          <w:szCs w:val="24"/>
        </w:rPr>
        <w:t>, 2004, D'Silva</w:t>
      </w:r>
      <w:r w:rsidRPr="00451B44">
        <w:rPr>
          <w:rFonts w:ascii="Times New Roman" w:hAnsi="Times New Roman" w:cs="Times New Roman"/>
          <w:i/>
          <w:iCs/>
          <w:sz w:val="24"/>
          <w:szCs w:val="24"/>
        </w:rPr>
        <w:t xml:space="preserve"> et al.</w:t>
      </w:r>
      <w:r w:rsidRPr="00451B44">
        <w:rPr>
          <w:rFonts w:ascii="Times New Roman" w:hAnsi="Times New Roman" w:cs="Times New Roman"/>
          <w:sz w:val="24"/>
          <w:szCs w:val="24"/>
        </w:rPr>
        <w:t>, 1998, del Pozo and Lam, 1998, Dickman</w:t>
      </w:r>
      <w:r w:rsidRPr="00451B44">
        <w:rPr>
          <w:rFonts w:ascii="Times New Roman" w:hAnsi="Times New Roman" w:cs="Times New Roman"/>
          <w:i/>
          <w:iCs/>
          <w:sz w:val="24"/>
          <w:szCs w:val="24"/>
        </w:rPr>
        <w:t xml:space="preserve"> et al.</w:t>
      </w:r>
      <w:r w:rsidRPr="00451B44">
        <w:rPr>
          <w:rFonts w:ascii="Times New Roman" w:hAnsi="Times New Roman" w:cs="Times New Roman"/>
          <w:sz w:val="24"/>
          <w:szCs w:val="24"/>
        </w:rPr>
        <w:t>, 2001, Iakimo</w:t>
      </w:r>
      <w:r>
        <w:rPr>
          <w:rFonts w:ascii="Times New Roman" w:hAnsi="Times New Roman" w:cs="Times New Roman"/>
          <w:sz w:val="24"/>
          <w:szCs w:val="24"/>
        </w:rPr>
        <w:t xml:space="preserve">va and Woltering, 2009). </w:t>
      </w:r>
      <w:r w:rsidRPr="00451B44">
        <w:rPr>
          <w:rFonts w:ascii="Times New Roman" w:hAnsi="Times New Roman" w:cs="Times New Roman"/>
          <w:sz w:val="24"/>
          <w:szCs w:val="24"/>
        </w:rPr>
        <w:t>VEIDase caspase-like activity</w:t>
      </w:r>
      <w:r>
        <w:rPr>
          <w:rFonts w:ascii="Times New Roman" w:hAnsi="Times New Roman" w:cs="Times New Roman"/>
          <w:sz w:val="24"/>
          <w:szCs w:val="24"/>
        </w:rPr>
        <w:t>,</w:t>
      </w:r>
      <w:r w:rsidRPr="00451B44">
        <w:rPr>
          <w:rFonts w:ascii="Times New Roman" w:hAnsi="Times New Roman" w:cs="Times New Roman"/>
          <w:sz w:val="24"/>
          <w:szCs w:val="24"/>
        </w:rPr>
        <w:t xml:space="preserve"> </w:t>
      </w:r>
      <w:r>
        <w:rPr>
          <w:rFonts w:ascii="Times New Roman" w:hAnsi="Times New Roman" w:cs="Times New Roman"/>
          <w:sz w:val="24"/>
          <w:szCs w:val="24"/>
        </w:rPr>
        <w:t>which is similar to</w:t>
      </w:r>
      <w:r w:rsidRPr="00451B44">
        <w:rPr>
          <w:rFonts w:ascii="Times New Roman" w:hAnsi="Times New Roman" w:cs="Times New Roman"/>
          <w:sz w:val="24"/>
          <w:szCs w:val="24"/>
        </w:rPr>
        <w:t xml:space="preserve"> both caspase-6 in </w:t>
      </w:r>
      <w:r>
        <w:rPr>
          <w:rFonts w:ascii="Times New Roman" w:hAnsi="Times New Roman" w:cs="Times New Roman"/>
          <w:sz w:val="24"/>
          <w:szCs w:val="24"/>
        </w:rPr>
        <w:t>mammalian cells and the YCA1 metacaspase in yeast</w:t>
      </w:r>
      <w:r w:rsidRPr="00451B44">
        <w:rPr>
          <w:rFonts w:ascii="Times New Roman" w:hAnsi="Times New Roman" w:cs="Times New Roman"/>
          <w:sz w:val="24"/>
          <w:szCs w:val="24"/>
        </w:rPr>
        <w:t xml:space="preserve">, was shown to be the only caspase-like activity induced during embryogenesis of </w:t>
      </w:r>
      <w:r>
        <w:rPr>
          <w:rFonts w:ascii="Times New Roman" w:hAnsi="Times New Roman" w:cs="Times New Roman"/>
          <w:i/>
          <w:iCs/>
          <w:sz w:val="24"/>
          <w:szCs w:val="24"/>
        </w:rPr>
        <w:t>P.</w:t>
      </w:r>
      <w:r w:rsidRPr="00451B44">
        <w:rPr>
          <w:rFonts w:ascii="Times New Roman" w:hAnsi="Times New Roman" w:cs="Times New Roman"/>
          <w:i/>
          <w:iCs/>
          <w:sz w:val="24"/>
          <w:szCs w:val="24"/>
        </w:rPr>
        <w:t xml:space="preserve"> abies</w:t>
      </w:r>
      <w:r w:rsidRPr="00451B44">
        <w:rPr>
          <w:rFonts w:ascii="Times New Roman" w:hAnsi="Times New Roman" w:cs="Times New Roman"/>
          <w:sz w:val="24"/>
          <w:szCs w:val="24"/>
        </w:rPr>
        <w:t xml:space="preserve"> and was necessary for correct differentiation of the suspensor cells </w:t>
      </w:r>
      <w:r w:rsidRPr="00451B44">
        <w:rPr>
          <w:rFonts w:ascii="Times New Roman" w:hAnsi="Times New Roman" w:cs="Times New Roman"/>
          <w:noProof/>
          <w:sz w:val="24"/>
          <w:szCs w:val="24"/>
        </w:rPr>
        <w:t>(Bozhkov</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2003)</w:t>
      </w:r>
      <w:r w:rsidRPr="00451B44">
        <w:rPr>
          <w:rFonts w:ascii="Times New Roman" w:hAnsi="Times New Roman" w:cs="Times New Roman"/>
          <w:sz w:val="24"/>
          <w:szCs w:val="24"/>
        </w:rPr>
        <w:t xml:space="preserve">. Caspase-like activity was also demonstrated </w:t>
      </w:r>
      <w:r>
        <w:rPr>
          <w:rFonts w:ascii="Times New Roman" w:hAnsi="Times New Roman" w:cs="Times New Roman"/>
          <w:sz w:val="24"/>
          <w:szCs w:val="24"/>
        </w:rPr>
        <w:t xml:space="preserve">to be active </w:t>
      </w:r>
      <w:r w:rsidRPr="00451B44">
        <w:rPr>
          <w:rFonts w:ascii="Times New Roman" w:hAnsi="Times New Roman" w:cs="Times New Roman"/>
          <w:sz w:val="24"/>
          <w:szCs w:val="24"/>
        </w:rPr>
        <w:t xml:space="preserve">during development of the barley caryopsis </w:t>
      </w:r>
      <w:r>
        <w:rPr>
          <w:rFonts w:ascii="Times New Roman" w:hAnsi="Times New Roman" w:cs="Times New Roman"/>
          <w:sz w:val="24"/>
          <w:szCs w:val="24"/>
        </w:rPr>
        <w:t>(Boren</w:t>
      </w:r>
      <w:r w:rsidRPr="00081AAD">
        <w:rPr>
          <w:rFonts w:ascii="Times New Roman" w:hAnsi="Times New Roman" w:cs="Times New Roman"/>
          <w:i/>
          <w:iCs/>
          <w:sz w:val="24"/>
          <w:szCs w:val="24"/>
        </w:rPr>
        <w:t xml:space="preserve"> et al.</w:t>
      </w:r>
      <w:r>
        <w:rPr>
          <w:rFonts w:ascii="Times New Roman" w:hAnsi="Times New Roman" w:cs="Times New Roman"/>
          <w:sz w:val="24"/>
          <w:szCs w:val="24"/>
        </w:rPr>
        <w:t>, 2006)</w:t>
      </w:r>
      <w:r w:rsidRPr="00451B44">
        <w:rPr>
          <w:rFonts w:ascii="Times New Roman" w:hAnsi="Times New Roman" w:cs="Times New Roman"/>
          <w:sz w:val="24"/>
          <w:szCs w:val="24"/>
        </w:rPr>
        <w:t xml:space="preserve">. A functional analogue of animal caspases was identified in tobacco by Chichkova et </w:t>
      </w:r>
      <w:r w:rsidRPr="00451B44">
        <w:rPr>
          <w:rFonts w:ascii="Times New Roman" w:hAnsi="Times New Roman" w:cs="Times New Roman"/>
          <w:i/>
          <w:iCs/>
          <w:sz w:val="24"/>
          <w:szCs w:val="24"/>
        </w:rPr>
        <w:t xml:space="preserve">al. </w:t>
      </w:r>
      <w:r w:rsidRPr="00451B44">
        <w:rPr>
          <w:rFonts w:ascii="Times New Roman" w:hAnsi="Times New Roman" w:cs="Times New Roman"/>
          <w:noProof/>
          <w:sz w:val="24"/>
          <w:szCs w:val="24"/>
        </w:rPr>
        <w:t>(2004)</w:t>
      </w:r>
      <w:r w:rsidRPr="00451B44">
        <w:rPr>
          <w:rFonts w:ascii="Times New Roman" w:hAnsi="Times New Roman" w:cs="Times New Roman"/>
          <w:sz w:val="24"/>
          <w:szCs w:val="24"/>
        </w:rPr>
        <w:t xml:space="preserve">, who described a protease exhibiting high selectivity towards the </w:t>
      </w:r>
      <w:r w:rsidRPr="00451B44">
        <w:rPr>
          <w:rFonts w:ascii="Times New Roman" w:hAnsi="Times New Roman" w:cs="Times New Roman"/>
          <w:i/>
          <w:iCs/>
          <w:sz w:val="24"/>
          <w:szCs w:val="24"/>
        </w:rPr>
        <w:t xml:space="preserve">Agrobacterium tumefaciens </w:t>
      </w:r>
      <w:r w:rsidRPr="00451B44">
        <w:rPr>
          <w:rFonts w:ascii="Times New Roman" w:hAnsi="Times New Roman" w:cs="Times New Roman"/>
          <w:sz w:val="24"/>
          <w:szCs w:val="24"/>
        </w:rPr>
        <w:t xml:space="preserve">VirD2 protein, cleaving </w:t>
      </w:r>
      <w:r>
        <w:rPr>
          <w:rFonts w:ascii="Times New Roman" w:hAnsi="Times New Roman" w:cs="Times New Roman"/>
          <w:sz w:val="24"/>
          <w:szCs w:val="24"/>
        </w:rPr>
        <w:t>it in a caspase-like manner. This</w:t>
      </w:r>
      <w:r w:rsidRPr="00451B44">
        <w:rPr>
          <w:rFonts w:ascii="Times New Roman" w:hAnsi="Times New Roman" w:cs="Times New Roman"/>
          <w:sz w:val="24"/>
          <w:szCs w:val="24"/>
        </w:rPr>
        <w:t xml:space="preserve"> caspase-like protease (CLP) </w:t>
      </w:r>
      <w:r>
        <w:rPr>
          <w:rFonts w:ascii="Times New Roman" w:hAnsi="Times New Roman" w:cs="Times New Roman"/>
          <w:sz w:val="24"/>
          <w:szCs w:val="24"/>
        </w:rPr>
        <w:t>was dormant in healthy tissues but was</w:t>
      </w:r>
      <w:r w:rsidRPr="00451B44">
        <w:rPr>
          <w:rFonts w:ascii="Times New Roman" w:hAnsi="Times New Roman" w:cs="Times New Roman"/>
          <w:sz w:val="24"/>
          <w:szCs w:val="24"/>
        </w:rPr>
        <w:t xml:space="preserve"> activated in the course of TMV-induced HR and when its activity was suppressed </w:t>
      </w:r>
      <w:r>
        <w:rPr>
          <w:rFonts w:ascii="Times New Roman" w:hAnsi="Times New Roman" w:cs="Times New Roman"/>
          <w:sz w:val="24"/>
          <w:szCs w:val="24"/>
        </w:rPr>
        <w:t xml:space="preserve">by </w:t>
      </w:r>
      <w:r w:rsidRPr="00451B44">
        <w:rPr>
          <w:rFonts w:ascii="Times New Roman" w:hAnsi="Times New Roman" w:cs="Times New Roman"/>
          <w:sz w:val="24"/>
          <w:szCs w:val="24"/>
        </w:rPr>
        <w:t xml:space="preserve">a peptide aldehyde matching its cleavage site, PCD mediated by TMV was inhibited in tobacco leaves </w:t>
      </w:r>
      <w:r w:rsidRPr="00451B44">
        <w:rPr>
          <w:rFonts w:ascii="Times New Roman" w:hAnsi="Times New Roman" w:cs="Times New Roman"/>
          <w:noProof/>
          <w:sz w:val="24"/>
          <w:szCs w:val="24"/>
        </w:rPr>
        <w:t>(Chichkova</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2004)</w:t>
      </w:r>
      <w:r w:rsidRPr="00451B44">
        <w:rPr>
          <w:rFonts w:ascii="Times New Roman" w:hAnsi="Times New Roman" w:cs="Times New Roman"/>
          <w:sz w:val="24"/>
          <w:szCs w:val="24"/>
        </w:rPr>
        <w:t>. Moreover, CLPs with specificity and biochemical properties similar to the tobacco enzyme</w:t>
      </w:r>
      <w:r>
        <w:rPr>
          <w:rFonts w:ascii="Times New Roman" w:hAnsi="Times New Roman" w:cs="Times New Roman"/>
          <w:sz w:val="24"/>
          <w:szCs w:val="24"/>
        </w:rPr>
        <w:t>,</w:t>
      </w:r>
      <w:r w:rsidRPr="00451B44">
        <w:rPr>
          <w:rFonts w:ascii="Times New Roman" w:hAnsi="Times New Roman" w:cs="Times New Roman"/>
          <w:sz w:val="24"/>
          <w:szCs w:val="24"/>
        </w:rPr>
        <w:t xml:space="preserve"> were found to be ubiquitous in plants and sensitive to </w:t>
      </w:r>
      <w:r>
        <w:rPr>
          <w:rFonts w:ascii="Times New Roman" w:hAnsi="Times New Roman" w:cs="Times New Roman"/>
          <w:sz w:val="24"/>
          <w:szCs w:val="24"/>
        </w:rPr>
        <w:t xml:space="preserve">a </w:t>
      </w:r>
      <w:r w:rsidRPr="00451B44">
        <w:rPr>
          <w:rFonts w:ascii="Times New Roman" w:hAnsi="Times New Roman" w:cs="Times New Roman"/>
          <w:sz w:val="24"/>
          <w:szCs w:val="24"/>
        </w:rPr>
        <w:t xml:space="preserve">range of peptide aldehyde inhibitors of animal caspases </w:t>
      </w:r>
      <w:r w:rsidRPr="00451B44">
        <w:rPr>
          <w:rFonts w:ascii="Times New Roman" w:hAnsi="Times New Roman" w:cs="Times New Roman"/>
          <w:noProof/>
          <w:sz w:val="24"/>
          <w:szCs w:val="24"/>
        </w:rPr>
        <w:t>(Chichkova</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2008)</w:t>
      </w:r>
      <w:r>
        <w:rPr>
          <w:rFonts w:ascii="Times New Roman" w:hAnsi="Times New Roman" w:cs="Times New Roman"/>
          <w:sz w:val="24"/>
          <w:szCs w:val="24"/>
        </w:rPr>
        <w:t xml:space="preserve">. Recently, Chichkova </w:t>
      </w:r>
      <w:r w:rsidRPr="00451B44">
        <w:rPr>
          <w:rFonts w:ascii="Times New Roman" w:hAnsi="Times New Roman" w:cs="Times New Roman"/>
          <w:i/>
          <w:iCs/>
          <w:noProof/>
          <w:sz w:val="24"/>
          <w:szCs w:val="24"/>
        </w:rPr>
        <w:t>et al.</w:t>
      </w:r>
      <w:r w:rsidRPr="00451B44">
        <w:rPr>
          <w:rFonts w:ascii="Times New Roman" w:hAnsi="Times New Roman" w:cs="Times New Roman"/>
          <w:noProof/>
          <w:sz w:val="24"/>
          <w:szCs w:val="24"/>
        </w:rPr>
        <w:t xml:space="preserve">, </w:t>
      </w:r>
      <w:r>
        <w:rPr>
          <w:rFonts w:ascii="Times New Roman" w:hAnsi="Times New Roman" w:cs="Times New Roman"/>
          <w:noProof/>
          <w:sz w:val="24"/>
          <w:szCs w:val="24"/>
        </w:rPr>
        <w:t>(</w:t>
      </w:r>
      <w:r w:rsidRPr="00451B44">
        <w:rPr>
          <w:rFonts w:ascii="Times New Roman" w:hAnsi="Times New Roman" w:cs="Times New Roman"/>
          <w:noProof/>
          <w:sz w:val="24"/>
          <w:szCs w:val="24"/>
        </w:rPr>
        <w:t>2010</w:t>
      </w:r>
      <w:r>
        <w:rPr>
          <w:rFonts w:ascii="Times New Roman" w:hAnsi="Times New Roman" w:cs="Times New Roman"/>
          <w:noProof/>
          <w:sz w:val="24"/>
          <w:szCs w:val="24"/>
        </w:rPr>
        <w:t>)</w:t>
      </w:r>
      <w:r w:rsidRPr="00451B44">
        <w:rPr>
          <w:rFonts w:ascii="Times New Roman" w:hAnsi="Times New Roman" w:cs="Times New Roman"/>
          <w:sz w:val="24"/>
          <w:szCs w:val="24"/>
        </w:rPr>
        <w:t xml:space="preserve"> reported </w:t>
      </w:r>
      <w:r>
        <w:rPr>
          <w:rFonts w:ascii="Times New Roman" w:hAnsi="Times New Roman" w:cs="Times New Roman"/>
          <w:sz w:val="24"/>
          <w:szCs w:val="24"/>
        </w:rPr>
        <w:t xml:space="preserve">the </w:t>
      </w:r>
      <w:r w:rsidRPr="00451B44">
        <w:rPr>
          <w:rFonts w:ascii="Times New Roman" w:hAnsi="Times New Roman" w:cs="Times New Roman"/>
          <w:sz w:val="24"/>
          <w:szCs w:val="24"/>
        </w:rPr>
        <w:t>isolation and identification of this protease</w:t>
      </w:r>
      <w:r w:rsidRPr="001E6F1D">
        <w:rPr>
          <w:rFonts w:ascii="Times New Roman" w:hAnsi="Times New Roman" w:cs="Times New Roman"/>
          <w:sz w:val="24"/>
          <w:szCs w:val="24"/>
        </w:rPr>
        <w:t xml:space="preserve"> </w:t>
      </w:r>
      <w:r w:rsidRPr="00451B44">
        <w:rPr>
          <w:rFonts w:ascii="Times New Roman" w:hAnsi="Times New Roman" w:cs="Times New Roman"/>
          <w:sz w:val="24"/>
          <w:szCs w:val="24"/>
        </w:rPr>
        <w:t>from rice and tobacco, wh</w:t>
      </w:r>
      <w:r>
        <w:rPr>
          <w:rFonts w:ascii="Times New Roman" w:hAnsi="Times New Roman" w:cs="Times New Roman"/>
          <w:sz w:val="24"/>
          <w:szCs w:val="24"/>
        </w:rPr>
        <w:t>ich they named phytaspase (</w:t>
      </w:r>
      <w:r w:rsidRPr="00451B44">
        <w:rPr>
          <w:rFonts w:ascii="Times New Roman" w:hAnsi="Times New Roman" w:cs="Times New Roman"/>
          <w:sz w:val="24"/>
          <w:szCs w:val="24"/>
        </w:rPr>
        <w:t xml:space="preserve">plant aspartate-specific protease). Phytaspase was found to be synthesised as a proenzyme and autocatalytically processed to generate a mature enzyme. Overexpression/silencing studies showed that phytaspase is essential for PCD-related responses to biotic (TMV) and abiotic stresses. The authors also discovered that this enzyme is constitutively secreted into the apoplast before PCD, but surprisingly it is partially reimported into the cell during PCD. Another plant protease exhibiting caspase-like activity analogous to that of caspase-1 is vacuolar-processing enzyme (VPE), required for PCD induced by TMV </w:t>
      </w:r>
      <w:r w:rsidRPr="00451B44">
        <w:rPr>
          <w:rFonts w:ascii="Times New Roman" w:hAnsi="Times New Roman" w:cs="Times New Roman"/>
          <w:noProof/>
          <w:sz w:val="24"/>
          <w:szCs w:val="24"/>
        </w:rPr>
        <w:t>(Hatsugai</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2004)</w:t>
      </w:r>
      <w:r w:rsidRPr="00451B44">
        <w:rPr>
          <w:rFonts w:ascii="Times New Roman" w:hAnsi="Times New Roman" w:cs="Times New Roman"/>
          <w:sz w:val="24"/>
          <w:szCs w:val="24"/>
        </w:rPr>
        <w:t xml:space="preserve">, fumonisin </w:t>
      </w:r>
      <w:r w:rsidRPr="00451B44">
        <w:rPr>
          <w:rFonts w:ascii="Times New Roman" w:hAnsi="Times New Roman" w:cs="Times New Roman"/>
          <w:noProof/>
          <w:sz w:val="24"/>
          <w:szCs w:val="24"/>
        </w:rPr>
        <w:t>(Kuroyanagi</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2005)</w:t>
      </w:r>
      <w:r w:rsidRPr="00451B44">
        <w:rPr>
          <w:rFonts w:ascii="Times New Roman" w:hAnsi="Times New Roman" w:cs="Times New Roman"/>
          <w:sz w:val="24"/>
          <w:szCs w:val="24"/>
        </w:rPr>
        <w:t xml:space="preserve"> or developmental cell death in seeds </w:t>
      </w:r>
      <w:r w:rsidRPr="00451B44">
        <w:rPr>
          <w:rFonts w:ascii="Times New Roman" w:hAnsi="Times New Roman" w:cs="Times New Roman"/>
          <w:noProof/>
          <w:sz w:val="24"/>
          <w:szCs w:val="24"/>
        </w:rPr>
        <w:t>(Nakaune</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2005)</w:t>
      </w:r>
      <w:r>
        <w:rPr>
          <w:rFonts w:ascii="Times New Roman" w:hAnsi="Times New Roman" w:cs="Times New Roman"/>
          <w:sz w:val="24"/>
          <w:szCs w:val="24"/>
        </w:rPr>
        <w:t>. Further</w:t>
      </w:r>
      <w:r w:rsidRPr="00451B44">
        <w:rPr>
          <w:rFonts w:ascii="Times New Roman" w:hAnsi="Times New Roman" w:cs="Times New Roman"/>
          <w:sz w:val="24"/>
          <w:szCs w:val="24"/>
        </w:rPr>
        <w:t xml:space="preserve"> examples of caspase-like molecules inv</w:t>
      </w:r>
      <w:r>
        <w:rPr>
          <w:rFonts w:ascii="Times New Roman" w:hAnsi="Times New Roman" w:cs="Times New Roman"/>
          <w:sz w:val="24"/>
          <w:szCs w:val="24"/>
        </w:rPr>
        <w:t>olved in plant PCD have been</w:t>
      </w:r>
      <w:r w:rsidRPr="00451B44">
        <w:rPr>
          <w:rFonts w:ascii="Times New Roman" w:hAnsi="Times New Roman" w:cs="Times New Roman"/>
          <w:sz w:val="24"/>
          <w:szCs w:val="24"/>
        </w:rPr>
        <w:t xml:space="preserve"> reviewed by Reape and McCabe </w:t>
      </w:r>
      <w:r w:rsidRPr="00451B44">
        <w:rPr>
          <w:rFonts w:ascii="Times New Roman" w:hAnsi="Times New Roman" w:cs="Times New Roman"/>
          <w:noProof/>
          <w:sz w:val="24"/>
          <w:szCs w:val="24"/>
        </w:rPr>
        <w:t>(2008)</w:t>
      </w:r>
      <w:r w:rsidRPr="00451B44">
        <w:rPr>
          <w:rFonts w:ascii="Times New Roman" w:hAnsi="Times New Roman" w:cs="Times New Roman"/>
          <w:sz w:val="24"/>
          <w:szCs w:val="24"/>
        </w:rPr>
        <w:t xml:space="preserve"> and Bonneau</w:t>
      </w:r>
      <w:r w:rsidRPr="00451B44">
        <w:rPr>
          <w:rFonts w:ascii="Times New Roman" w:hAnsi="Times New Roman" w:cs="Times New Roman"/>
          <w:i/>
          <w:iCs/>
          <w:sz w:val="24"/>
          <w:szCs w:val="24"/>
        </w:rPr>
        <w:t xml:space="preserve"> et al.</w:t>
      </w:r>
      <w:r w:rsidRPr="00451B44">
        <w:rPr>
          <w:rFonts w:ascii="Times New Roman" w:hAnsi="Times New Roman" w:cs="Times New Roman"/>
          <w:sz w:val="24"/>
          <w:szCs w:val="24"/>
        </w:rPr>
        <w:t xml:space="preserve"> </w:t>
      </w:r>
      <w:r w:rsidRPr="00451B44">
        <w:rPr>
          <w:rFonts w:ascii="Times New Roman" w:hAnsi="Times New Roman" w:cs="Times New Roman"/>
          <w:noProof/>
          <w:sz w:val="24"/>
          <w:szCs w:val="24"/>
        </w:rPr>
        <w:t>(2008)</w:t>
      </w:r>
      <w:r w:rsidRPr="00451B44">
        <w:rPr>
          <w:rFonts w:ascii="Times New Roman" w:hAnsi="Times New Roman" w:cs="Times New Roman"/>
          <w:sz w:val="24"/>
          <w:szCs w:val="24"/>
        </w:rPr>
        <w:t>. Future work aiming to identify the location, mode of action and natural substrates of plant proteases involved in the executi</w:t>
      </w:r>
      <w:r>
        <w:rPr>
          <w:rFonts w:ascii="Times New Roman" w:hAnsi="Times New Roman" w:cs="Times New Roman"/>
          <w:sz w:val="24"/>
          <w:szCs w:val="24"/>
        </w:rPr>
        <w:t>on of PCD, will provide</w:t>
      </w:r>
      <w:r w:rsidRPr="00451B44">
        <w:rPr>
          <w:rFonts w:ascii="Times New Roman" w:hAnsi="Times New Roman" w:cs="Times New Roman"/>
          <w:sz w:val="24"/>
          <w:szCs w:val="24"/>
        </w:rPr>
        <w:t xml:space="preserve"> insights i</w:t>
      </w:r>
      <w:r>
        <w:rPr>
          <w:rFonts w:ascii="Times New Roman" w:hAnsi="Times New Roman" w:cs="Times New Roman"/>
          <w:sz w:val="24"/>
          <w:szCs w:val="24"/>
        </w:rPr>
        <w:t>nto plant PCD pathways. Table 1</w:t>
      </w:r>
      <w:r w:rsidRPr="00451B44">
        <w:rPr>
          <w:rFonts w:ascii="Times New Roman" w:hAnsi="Times New Roman" w:cs="Times New Roman"/>
          <w:sz w:val="24"/>
          <w:szCs w:val="24"/>
        </w:rPr>
        <w:t xml:space="preserve"> summari</w:t>
      </w:r>
      <w:r>
        <w:rPr>
          <w:rFonts w:ascii="Times New Roman" w:hAnsi="Times New Roman" w:cs="Times New Roman"/>
          <w:sz w:val="24"/>
          <w:szCs w:val="24"/>
        </w:rPr>
        <w:t xml:space="preserve">ses </w:t>
      </w:r>
      <w:r w:rsidRPr="00451B44">
        <w:rPr>
          <w:rFonts w:ascii="Times New Roman" w:hAnsi="Times New Roman" w:cs="Times New Roman"/>
          <w:sz w:val="24"/>
          <w:szCs w:val="24"/>
        </w:rPr>
        <w:t>evidence for</w:t>
      </w:r>
      <w:r>
        <w:rPr>
          <w:rFonts w:ascii="Times New Roman" w:hAnsi="Times New Roman" w:cs="Times New Roman"/>
          <w:sz w:val="24"/>
          <w:szCs w:val="24"/>
        </w:rPr>
        <w:t xml:space="preserve"> the</w:t>
      </w:r>
      <w:r w:rsidRPr="00451B44">
        <w:rPr>
          <w:rFonts w:ascii="Times New Roman" w:hAnsi="Times New Roman" w:cs="Times New Roman"/>
          <w:sz w:val="24"/>
          <w:szCs w:val="24"/>
        </w:rPr>
        <w:t xml:space="preserve"> </w:t>
      </w:r>
      <w:r>
        <w:rPr>
          <w:rFonts w:ascii="Times New Roman" w:hAnsi="Times New Roman" w:cs="Times New Roman"/>
          <w:sz w:val="24"/>
          <w:szCs w:val="24"/>
        </w:rPr>
        <w:t xml:space="preserve">possible </w:t>
      </w:r>
      <w:r w:rsidRPr="00451B44">
        <w:rPr>
          <w:rFonts w:ascii="Times New Roman" w:hAnsi="Times New Roman" w:cs="Times New Roman"/>
          <w:sz w:val="24"/>
          <w:szCs w:val="24"/>
        </w:rPr>
        <w:t>role of metacaspase</w:t>
      </w:r>
      <w:r>
        <w:rPr>
          <w:rFonts w:ascii="Times New Roman" w:hAnsi="Times New Roman" w:cs="Times New Roman"/>
          <w:sz w:val="24"/>
          <w:szCs w:val="24"/>
        </w:rPr>
        <w:t>s and caspase-like activities during</w:t>
      </w:r>
      <w:r w:rsidRPr="00451B44">
        <w:rPr>
          <w:rFonts w:ascii="Times New Roman" w:hAnsi="Times New Roman" w:cs="Times New Roman"/>
          <w:sz w:val="24"/>
          <w:szCs w:val="24"/>
        </w:rPr>
        <w:t xml:space="preserve"> plant </w:t>
      </w:r>
      <w:r>
        <w:rPr>
          <w:rFonts w:ascii="Times New Roman" w:hAnsi="Times New Roman" w:cs="Times New Roman"/>
          <w:sz w:val="24"/>
          <w:szCs w:val="24"/>
        </w:rPr>
        <w:t>PCD</w:t>
      </w:r>
      <w:r w:rsidRPr="00451B44">
        <w:rPr>
          <w:rFonts w:ascii="Times New Roman" w:hAnsi="Times New Roman" w:cs="Times New Roman"/>
          <w:sz w:val="24"/>
          <w:szCs w:val="24"/>
        </w:rPr>
        <w:t>.</w:t>
      </w:r>
    </w:p>
    <w:p w:rsidR="004B4E5E" w:rsidRDefault="004B4E5E" w:rsidP="002B4B8D">
      <w:pPr>
        <w:autoSpaceDE w:val="0"/>
        <w:autoSpaceDN w:val="0"/>
        <w:adjustRightInd w:val="0"/>
        <w:spacing w:after="0" w:line="480" w:lineRule="auto"/>
        <w:rPr>
          <w:rFonts w:ascii="Times New Roman" w:hAnsi="Times New Roman" w:cs="Times New Roman"/>
          <w:sz w:val="24"/>
          <w:szCs w:val="24"/>
        </w:rPr>
      </w:pPr>
    </w:p>
    <w:p w:rsidR="004B4E5E" w:rsidRPr="001A4E63" w:rsidRDefault="004B4E5E" w:rsidP="002B4B8D">
      <w:pPr>
        <w:autoSpaceDE w:val="0"/>
        <w:autoSpaceDN w:val="0"/>
        <w:adjustRightInd w:val="0"/>
        <w:spacing w:after="0" w:line="480" w:lineRule="auto"/>
        <w:rPr>
          <w:rFonts w:ascii="Times New Roman" w:hAnsi="Times New Roman" w:cs="Times New Roman"/>
          <w:i/>
          <w:iCs/>
          <w:sz w:val="24"/>
          <w:szCs w:val="24"/>
        </w:rPr>
      </w:pPr>
      <w:r w:rsidRPr="001A4E63">
        <w:rPr>
          <w:rFonts w:ascii="Times New Roman" w:hAnsi="Times New Roman" w:cs="Times New Roman"/>
          <w:i/>
          <w:iCs/>
          <w:sz w:val="24"/>
          <w:szCs w:val="24"/>
        </w:rPr>
        <w:t>&lt;Table. 1 near here&gt;</w:t>
      </w:r>
    </w:p>
    <w:p w:rsidR="004B4E5E" w:rsidRPr="00451B44" w:rsidRDefault="004B4E5E" w:rsidP="002B4B8D">
      <w:pPr>
        <w:autoSpaceDE w:val="0"/>
        <w:autoSpaceDN w:val="0"/>
        <w:adjustRightInd w:val="0"/>
        <w:spacing w:after="0" w:line="480" w:lineRule="auto"/>
        <w:rPr>
          <w:rFonts w:ascii="Times New Roman" w:hAnsi="Times New Roman" w:cs="Times New Roman"/>
          <w:b/>
          <w:bCs/>
          <w:sz w:val="24"/>
          <w:szCs w:val="24"/>
        </w:rPr>
      </w:pPr>
    </w:p>
    <w:p w:rsidR="004B4E5E" w:rsidRPr="00451B44" w:rsidRDefault="004B4E5E" w:rsidP="00BF42BA">
      <w:pPr>
        <w:pStyle w:val="ListParagraph"/>
        <w:numPr>
          <w:ilvl w:val="0"/>
          <w:numId w:val="25"/>
        </w:numPr>
        <w:autoSpaceDE w:val="0"/>
        <w:autoSpaceDN w:val="0"/>
        <w:adjustRightInd w:val="0"/>
        <w:spacing w:after="0" w:line="480" w:lineRule="auto"/>
        <w:ind w:left="1434" w:hanging="725"/>
        <w:rPr>
          <w:rFonts w:ascii="Times New Roman" w:hAnsi="Times New Roman" w:cs="Times New Roman"/>
          <w:b/>
          <w:bCs/>
          <w:sz w:val="24"/>
          <w:szCs w:val="24"/>
        </w:rPr>
      </w:pPr>
      <w:r w:rsidRPr="00451B44">
        <w:rPr>
          <w:rFonts w:ascii="Times New Roman" w:hAnsi="Times New Roman" w:cs="Times New Roman"/>
          <w:b/>
          <w:bCs/>
          <w:sz w:val="24"/>
          <w:szCs w:val="24"/>
        </w:rPr>
        <w:t xml:space="preserve">Endomembrane </w:t>
      </w:r>
      <w:r>
        <w:rPr>
          <w:rFonts w:ascii="Times New Roman" w:hAnsi="Times New Roman" w:cs="Times New Roman"/>
          <w:b/>
          <w:bCs/>
          <w:sz w:val="24"/>
          <w:szCs w:val="24"/>
        </w:rPr>
        <w:t>s</w:t>
      </w:r>
      <w:r w:rsidRPr="00451B44">
        <w:rPr>
          <w:rFonts w:ascii="Times New Roman" w:hAnsi="Times New Roman" w:cs="Times New Roman"/>
          <w:b/>
          <w:bCs/>
          <w:sz w:val="24"/>
          <w:szCs w:val="24"/>
        </w:rPr>
        <w:t xml:space="preserve">ystem </w:t>
      </w:r>
      <w:r>
        <w:rPr>
          <w:rFonts w:ascii="Times New Roman" w:hAnsi="Times New Roman" w:cs="Times New Roman"/>
          <w:b/>
          <w:bCs/>
          <w:sz w:val="24"/>
          <w:szCs w:val="24"/>
        </w:rPr>
        <w:t>m</w:t>
      </w:r>
      <w:r w:rsidRPr="00451B44">
        <w:rPr>
          <w:rFonts w:ascii="Times New Roman" w:hAnsi="Times New Roman" w:cs="Times New Roman"/>
          <w:b/>
          <w:bCs/>
          <w:sz w:val="24"/>
          <w:szCs w:val="24"/>
        </w:rPr>
        <w:t xml:space="preserve">ediated </w:t>
      </w:r>
      <w:r>
        <w:rPr>
          <w:rFonts w:ascii="Times New Roman" w:hAnsi="Times New Roman" w:cs="Times New Roman"/>
          <w:b/>
          <w:bCs/>
          <w:sz w:val="24"/>
          <w:szCs w:val="24"/>
        </w:rPr>
        <w:t>c</w:t>
      </w:r>
      <w:r w:rsidRPr="00451B44">
        <w:rPr>
          <w:rFonts w:ascii="Times New Roman" w:hAnsi="Times New Roman" w:cs="Times New Roman"/>
          <w:b/>
          <w:bCs/>
          <w:sz w:val="24"/>
          <w:szCs w:val="24"/>
        </w:rPr>
        <w:t>ontrol of PCD</w:t>
      </w:r>
    </w:p>
    <w:p w:rsidR="004B4E5E" w:rsidRPr="00451B44" w:rsidRDefault="004B4E5E" w:rsidP="002B4B8D">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Cacas (2010) discussed</w:t>
      </w:r>
      <w:r w:rsidRPr="00451B44">
        <w:rPr>
          <w:rFonts w:ascii="Times New Roman" w:hAnsi="Times New Roman" w:cs="Times New Roman"/>
          <w:sz w:val="24"/>
          <w:szCs w:val="24"/>
        </w:rPr>
        <w:t xml:space="preserve"> the possible regulation of PCD events mediated by the cell endomembrane system (ES). The author propose</w:t>
      </w:r>
      <w:r>
        <w:rPr>
          <w:rFonts w:ascii="Times New Roman" w:hAnsi="Times New Roman" w:cs="Times New Roman"/>
          <w:sz w:val="24"/>
          <w:szCs w:val="24"/>
        </w:rPr>
        <w:t>d</w:t>
      </w:r>
      <w:r w:rsidRPr="00451B44">
        <w:rPr>
          <w:rFonts w:ascii="Times New Roman" w:hAnsi="Times New Roman" w:cs="Times New Roman"/>
          <w:sz w:val="24"/>
          <w:szCs w:val="24"/>
        </w:rPr>
        <w:t xml:space="preserve"> that the components of </w:t>
      </w:r>
      <w:r>
        <w:rPr>
          <w:rFonts w:ascii="Times New Roman" w:hAnsi="Times New Roman" w:cs="Times New Roman"/>
          <w:sz w:val="24"/>
          <w:szCs w:val="24"/>
        </w:rPr>
        <w:t xml:space="preserve">the </w:t>
      </w:r>
      <w:r w:rsidRPr="00451B44">
        <w:rPr>
          <w:rFonts w:ascii="Times New Roman" w:hAnsi="Times New Roman" w:cs="Times New Roman"/>
          <w:sz w:val="24"/>
          <w:szCs w:val="24"/>
        </w:rPr>
        <w:t>E</w:t>
      </w:r>
      <w:r>
        <w:rPr>
          <w:rFonts w:ascii="Times New Roman" w:hAnsi="Times New Roman" w:cs="Times New Roman"/>
          <w:sz w:val="24"/>
          <w:szCs w:val="24"/>
        </w:rPr>
        <w:t>S (endoplasmic reticulum (</w:t>
      </w:r>
      <w:r w:rsidRPr="00451B44">
        <w:rPr>
          <w:rFonts w:ascii="Times New Roman" w:hAnsi="Times New Roman" w:cs="Times New Roman"/>
          <w:sz w:val="24"/>
          <w:szCs w:val="24"/>
        </w:rPr>
        <w:t>ER</w:t>
      </w:r>
      <w:r>
        <w:rPr>
          <w:rFonts w:ascii="Times New Roman" w:hAnsi="Times New Roman" w:cs="Times New Roman"/>
          <w:sz w:val="24"/>
          <w:szCs w:val="24"/>
        </w:rPr>
        <w:t>), Golgi apparatus (</w:t>
      </w:r>
      <w:r w:rsidRPr="00451B44">
        <w:rPr>
          <w:rFonts w:ascii="Times New Roman" w:hAnsi="Times New Roman" w:cs="Times New Roman"/>
          <w:sz w:val="24"/>
          <w:szCs w:val="24"/>
        </w:rPr>
        <w:t>GA</w:t>
      </w:r>
      <w:r>
        <w:rPr>
          <w:rFonts w:ascii="Times New Roman" w:hAnsi="Times New Roman" w:cs="Times New Roman"/>
          <w:sz w:val="24"/>
          <w:szCs w:val="24"/>
        </w:rPr>
        <w:t>),</w:t>
      </w:r>
      <w:r w:rsidRPr="00451B44">
        <w:rPr>
          <w:rFonts w:ascii="Times New Roman" w:hAnsi="Times New Roman" w:cs="Times New Roman"/>
          <w:sz w:val="24"/>
          <w:szCs w:val="24"/>
        </w:rPr>
        <w:t xml:space="preserve"> and the vacuole) may orchestrate cellular death, as various PCD mediators are prese</w:t>
      </w:r>
      <w:r>
        <w:rPr>
          <w:rFonts w:ascii="Times New Roman" w:hAnsi="Times New Roman" w:cs="Times New Roman"/>
          <w:sz w:val="24"/>
          <w:szCs w:val="24"/>
        </w:rPr>
        <w:t xml:space="preserve">nt along the ES or can travel via </w:t>
      </w:r>
      <w:r w:rsidRPr="00451B44">
        <w:rPr>
          <w:rFonts w:ascii="Times New Roman" w:hAnsi="Times New Roman" w:cs="Times New Roman"/>
          <w:sz w:val="24"/>
          <w:szCs w:val="24"/>
        </w:rPr>
        <w:t xml:space="preserve">the secretory pathway en route to specific destinations </w:t>
      </w:r>
      <w:r>
        <w:rPr>
          <w:rFonts w:ascii="Times New Roman" w:hAnsi="Times New Roman" w:cs="Times New Roman"/>
          <w:sz w:val="24"/>
          <w:szCs w:val="24"/>
        </w:rPr>
        <w:t>(Cacas, 2010)</w:t>
      </w:r>
      <w:r w:rsidRPr="00451B44">
        <w:rPr>
          <w:rFonts w:ascii="Times New Roman" w:hAnsi="Times New Roman" w:cs="Times New Roman"/>
          <w:sz w:val="24"/>
          <w:szCs w:val="24"/>
        </w:rPr>
        <w:t>.</w:t>
      </w:r>
    </w:p>
    <w:p w:rsidR="004B4E5E" w:rsidRPr="00451B44" w:rsidRDefault="004B4E5E" w:rsidP="002B4B8D">
      <w:pPr>
        <w:autoSpaceDE w:val="0"/>
        <w:autoSpaceDN w:val="0"/>
        <w:adjustRightInd w:val="0"/>
        <w:spacing w:after="0" w:line="480" w:lineRule="auto"/>
        <w:rPr>
          <w:rFonts w:ascii="Times New Roman" w:hAnsi="Times New Roman" w:cs="Times New Roman"/>
          <w:sz w:val="24"/>
          <w:szCs w:val="24"/>
        </w:rPr>
      </w:pPr>
    </w:p>
    <w:p w:rsidR="004B4E5E" w:rsidRPr="00451B44" w:rsidRDefault="004B4E5E" w:rsidP="00BF42BA">
      <w:pPr>
        <w:pStyle w:val="ListParagraph"/>
        <w:numPr>
          <w:ilvl w:val="0"/>
          <w:numId w:val="26"/>
        </w:numPr>
        <w:autoSpaceDE w:val="0"/>
        <w:autoSpaceDN w:val="0"/>
        <w:adjustRightInd w:val="0"/>
        <w:spacing w:after="0" w:line="480" w:lineRule="auto"/>
        <w:ind w:firstLine="414"/>
        <w:rPr>
          <w:rFonts w:ascii="Times New Roman" w:hAnsi="Times New Roman" w:cs="Times New Roman"/>
          <w:b/>
          <w:bCs/>
          <w:sz w:val="24"/>
          <w:szCs w:val="24"/>
        </w:rPr>
      </w:pPr>
      <w:r w:rsidRPr="00451B44">
        <w:rPr>
          <w:rFonts w:ascii="Times New Roman" w:hAnsi="Times New Roman" w:cs="Times New Roman"/>
          <w:b/>
          <w:bCs/>
          <w:sz w:val="24"/>
          <w:szCs w:val="24"/>
        </w:rPr>
        <w:t>ER stress</w:t>
      </w:r>
    </w:p>
    <w:p w:rsidR="004B4E5E" w:rsidRPr="00451B44" w:rsidRDefault="004B4E5E" w:rsidP="002B4B8D">
      <w:pPr>
        <w:autoSpaceDE w:val="0"/>
        <w:autoSpaceDN w:val="0"/>
        <w:adjustRightInd w:val="0"/>
        <w:spacing w:after="0" w:line="480" w:lineRule="auto"/>
        <w:rPr>
          <w:rFonts w:ascii="Times New Roman" w:hAnsi="Times New Roman" w:cs="Times New Roman"/>
          <w:sz w:val="24"/>
          <w:szCs w:val="24"/>
        </w:rPr>
      </w:pPr>
      <w:r w:rsidRPr="00451B44">
        <w:rPr>
          <w:rFonts w:ascii="Times New Roman" w:hAnsi="Times New Roman" w:cs="Times New Roman"/>
          <w:sz w:val="24"/>
          <w:szCs w:val="24"/>
        </w:rPr>
        <w:t>Stress can cause accumulation of unfolded proteins in the ER, triggering an evolutionarily conserved response, termed</w:t>
      </w:r>
      <w:r>
        <w:rPr>
          <w:rFonts w:ascii="Times New Roman" w:hAnsi="Times New Roman" w:cs="Times New Roman"/>
          <w:sz w:val="24"/>
          <w:szCs w:val="24"/>
        </w:rPr>
        <w:t xml:space="preserve"> unfolded protein response</w:t>
      </w:r>
      <w:r w:rsidRPr="00451B44">
        <w:rPr>
          <w:rFonts w:ascii="Times New Roman" w:hAnsi="Times New Roman" w:cs="Times New Roman"/>
          <w:sz w:val="24"/>
          <w:szCs w:val="24"/>
        </w:rPr>
        <w:t xml:space="preserve"> </w:t>
      </w:r>
      <w:r>
        <w:rPr>
          <w:rFonts w:ascii="Times New Roman" w:hAnsi="Times New Roman" w:cs="Times New Roman"/>
          <w:sz w:val="24"/>
          <w:szCs w:val="24"/>
        </w:rPr>
        <w:t>(</w:t>
      </w:r>
      <w:r w:rsidRPr="00451B44">
        <w:rPr>
          <w:rFonts w:ascii="Times New Roman" w:hAnsi="Times New Roman" w:cs="Times New Roman"/>
          <w:sz w:val="24"/>
          <w:szCs w:val="24"/>
        </w:rPr>
        <w:t>UPR</w:t>
      </w:r>
      <w:r>
        <w:rPr>
          <w:rFonts w:ascii="Times New Roman" w:hAnsi="Times New Roman" w:cs="Times New Roman"/>
          <w:sz w:val="24"/>
          <w:szCs w:val="24"/>
        </w:rPr>
        <w:t>)</w:t>
      </w:r>
      <w:r w:rsidRPr="00451B44">
        <w:rPr>
          <w:rFonts w:ascii="Times New Roman" w:hAnsi="Times New Roman" w:cs="Times New Roman"/>
          <w:sz w:val="24"/>
          <w:szCs w:val="24"/>
        </w:rPr>
        <w:t xml:space="preserve"> </w:t>
      </w:r>
      <w:r w:rsidRPr="00451B44">
        <w:rPr>
          <w:rFonts w:ascii="Times New Roman" w:hAnsi="Times New Roman" w:cs="Times New Roman"/>
          <w:noProof/>
          <w:sz w:val="24"/>
          <w:szCs w:val="24"/>
        </w:rPr>
        <w:t>(Xu</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2005)</w:t>
      </w:r>
      <w:r w:rsidRPr="00451B44">
        <w:rPr>
          <w:rFonts w:ascii="Times New Roman" w:hAnsi="Times New Roman" w:cs="Times New Roman"/>
          <w:sz w:val="24"/>
          <w:szCs w:val="24"/>
        </w:rPr>
        <w:t xml:space="preserve">. In plants, UPR is thought to be involved in seed development and pathogen response </w:t>
      </w:r>
      <w:r w:rsidRPr="00451B44">
        <w:rPr>
          <w:rFonts w:ascii="Times New Roman" w:hAnsi="Times New Roman" w:cs="Times New Roman"/>
          <w:noProof/>
          <w:sz w:val="24"/>
          <w:szCs w:val="24"/>
        </w:rPr>
        <w:t>(Vitale and Ceriotti, 2004)</w:t>
      </w:r>
      <w:r>
        <w:rPr>
          <w:rFonts w:ascii="Times New Roman" w:hAnsi="Times New Roman" w:cs="Times New Roman"/>
          <w:sz w:val="24"/>
          <w:szCs w:val="24"/>
        </w:rPr>
        <w:t>. In animal cells</w:t>
      </w:r>
      <w:r w:rsidRPr="00451B44">
        <w:rPr>
          <w:rFonts w:ascii="Times New Roman" w:hAnsi="Times New Roman" w:cs="Times New Roman"/>
          <w:sz w:val="24"/>
          <w:szCs w:val="24"/>
        </w:rPr>
        <w:t>, UPR can lead either to restoration of proper protein folding and ER homeostasis or, if the protein folding defect c</w:t>
      </w:r>
      <w:r>
        <w:rPr>
          <w:rFonts w:ascii="Times New Roman" w:hAnsi="Times New Roman" w:cs="Times New Roman"/>
          <w:sz w:val="24"/>
          <w:szCs w:val="24"/>
        </w:rPr>
        <w:t>annot be resolved, PCD may be triggered</w:t>
      </w:r>
      <w:r w:rsidRPr="00451B44">
        <w:rPr>
          <w:rFonts w:ascii="Times New Roman" w:hAnsi="Times New Roman" w:cs="Times New Roman"/>
          <w:sz w:val="24"/>
          <w:szCs w:val="24"/>
        </w:rPr>
        <w:t xml:space="preserve"> as the result of chronic activation of UPR signalling </w:t>
      </w:r>
      <w:r w:rsidRPr="00451B44">
        <w:rPr>
          <w:rFonts w:ascii="Times New Roman" w:hAnsi="Times New Roman" w:cs="Times New Roman"/>
          <w:noProof/>
          <w:sz w:val="24"/>
          <w:szCs w:val="24"/>
        </w:rPr>
        <w:t>(Malhotra and Kaufman, 2007)</w:t>
      </w:r>
      <w:r w:rsidRPr="00451B44">
        <w:rPr>
          <w:rFonts w:ascii="Times New Roman" w:hAnsi="Times New Roman" w:cs="Times New Roman"/>
          <w:sz w:val="24"/>
          <w:szCs w:val="24"/>
        </w:rPr>
        <w:t xml:space="preserve">. </w:t>
      </w:r>
      <w:r>
        <w:rPr>
          <w:rFonts w:ascii="Times New Roman" w:hAnsi="Times New Roman" w:cs="Times New Roman"/>
          <w:sz w:val="24"/>
          <w:szCs w:val="24"/>
        </w:rPr>
        <w:t>Alt</w:t>
      </w:r>
      <w:r w:rsidRPr="00451B44">
        <w:rPr>
          <w:rFonts w:ascii="Times New Roman" w:hAnsi="Times New Roman" w:cs="Times New Roman"/>
          <w:sz w:val="24"/>
          <w:szCs w:val="24"/>
        </w:rPr>
        <w:t>hough plant UPR signalling pathways still require deciphering</w:t>
      </w:r>
      <w:r>
        <w:rPr>
          <w:rFonts w:ascii="Times New Roman" w:hAnsi="Times New Roman" w:cs="Times New Roman"/>
          <w:sz w:val="24"/>
          <w:szCs w:val="24"/>
        </w:rPr>
        <w:t>,</w:t>
      </w:r>
      <w:r w:rsidRPr="00451B44">
        <w:rPr>
          <w:rFonts w:ascii="Times New Roman" w:hAnsi="Times New Roman" w:cs="Times New Roman"/>
          <w:sz w:val="24"/>
          <w:szCs w:val="24"/>
        </w:rPr>
        <w:t xml:space="preserve"> </w:t>
      </w:r>
      <w:r>
        <w:rPr>
          <w:rFonts w:ascii="Times New Roman" w:hAnsi="Times New Roman" w:cs="Times New Roman"/>
          <w:sz w:val="24"/>
          <w:szCs w:val="24"/>
        </w:rPr>
        <w:t>c</w:t>
      </w:r>
      <w:r w:rsidRPr="00451B44">
        <w:rPr>
          <w:rFonts w:ascii="Times New Roman" w:hAnsi="Times New Roman" w:cs="Times New Roman"/>
          <w:sz w:val="24"/>
          <w:szCs w:val="24"/>
        </w:rPr>
        <w:t xml:space="preserve">ounterparts of several yeasts and animal UPR </w:t>
      </w:r>
      <w:r>
        <w:rPr>
          <w:rFonts w:ascii="Times New Roman" w:hAnsi="Times New Roman" w:cs="Times New Roman"/>
          <w:sz w:val="24"/>
          <w:szCs w:val="24"/>
        </w:rPr>
        <w:t>effectors have been</w:t>
      </w:r>
      <w:r w:rsidRPr="00451B44">
        <w:rPr>
          <w:rFonts w:ascii="Times New Roman" w:hAnsi="Times New Roman" w:cs="Times New Roman"/>
          <w:sz w:val="24"/>
          <w:szCs w:val="24"/>
        </w:rPr>
        <w:t xml:space="preserve"> identified in plants (Koizumi</w:t>
      </w:r>
      <w:r w:rsidRPr="00451B44">
        <w:rPr>
          <w:rFonts w:ascii="Times New Roman" w:hAnsi="Times New Roman" w:cs="Times New Roman"/>
          <w:i/>
          <w:iCs/>
          <w:sz w:val="24"/>
          <w:szCs w:val="24"/>
        </w:rPr>
        <w:t xml:space="preserve"> et al.</w:t>
      </w:r>
      <w:r w:rsidRPr="00451B44">
        <w:rPr>
          <w:rFonts w:ascii="Times New Roman" w:hAnsi="Times New Roman" w:cs="Times New Roman"/>
          <w:sz w:val="24"/>
          <w:szCs w:val="24"/>
        </w:rPr>
        <w:t>, 2001, Okushima</w:t>
      </w:r>
      <w:r w:rsidRPr="00451B44">
        <w:rPr>
          <w:rFonts w:ascii="Times New Roman" w:hAnsi="Times New Roman" w:cs="Times New Roman"/>
          <w:i/>
          <w:iCs/>
          <w:sz w:val="24"/>
          <w:szCs w:val="24"/>
        </w:rPr>
        <w:t xml:space="preserve"> et al.</w:t>
      </w:r>
      <w:r w:rsidRPr="00451B44">
        <w:rPr>
          <w:rFonts w:ascii="Times New Roman" w:hAnsi="Times New Roman" w:cs="Times New Roman"/>
          <w:sz w:val="24"/>
          <w:szCs w:val="24"/>
        </w:rPr>
        <w:t>, 2002)</w:t>
      </w:r>
      <w:r>
        <w:rPr>
          <w:rFonts w:ascii="Times New Roman" w:hAnsi="Times New Roman" w:cs="Times New Roman"/>
          <w:sz w:val="24"/>
          <w:szCs w:val="24"/>
        </w:rPr>
        <w:t xml:space="preserve"> and </w:t>
      </w:r>
      <w:r w:rsidRPr="00451B44">
        <w:rPr>
          <w:rFonts w:ascii="Times New Roman" w:hAnsi="Times New Roman" w:cs="Times New Roman"/>
          <w:sz w:val="24"/>
          <w:szCs w:val="24"/>
        </w:rPr>
        <w:t xml:space="preserve">plant-specific UPR regulators have been discovered </w:t>
      </w:r>
      <w:r w:rsidRPr="00451B44">
        <w:rPr>
          <w:rFonts w:ascii="Times New Roman" w:hAnsi="Times New Roman" w:cs="Times New Roman"/>
          <w:noProof/>
          <w:sz w:val="24"/>
          <w:szCs w:val="24"/>
        </w:rPr>
        <w:t>(Oh</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2003)</w:t>
      </w:r>
      <w:r w:rsidRPr="00451B44">
        <w:rPr>
          <w:rFonts w:ascii="Times New Roman" w:hAnsi="Times New Roman" w:cs="Times New Roman"/>
          <w:sz w:val="24"/>
          <w:szCs w:val="24"/>
        </w:rPr>
        <w:t>. Studies connecting abiotic/biotic stress tolerance with ER resident</w:t>
      </w:r>
      <w:r>
        <w:rPr>
          <w:rFonts w:ascii="Times New Roman" w:hAnsi="Times New Roman" w:cs="Times New Roman"/>
          <w:sz w:val="24"/>
          <w:szCs w:val="24"/>
        </w:rPr>
        <w:t xml:space="preserve"> proteins (</w:t>
      </w:r>
      <w:r w:rsidRPr="00451B44">
        <w:rPr>
          <w:rFonts w:ascii="Times New Roman" w:hAnsi="Times New Roman" w:cs="Times New Roman"/>
          <w:sz w:val="24"/>
          <w:szCs w:val="24"/>
        </w:rPr>
        <w:t>for example</w:t>
      </w:r>
      <w:r>
        <w:rPr>
          <w:rFonts w:ascii="Times New Roman" w:hAnsi="Times New Roman" w:cs="Times New Roman"/>
          <w:sz w:val="24"/>
          <w:szCs w:val="24"/>
        </w:rPr>
        <w:t>;</w:t>
      </w:r>
      <w:r w:rsidRPr="00451B44">
        <w:rPr>
          <w:rFonts w:ascii="Times New Roman" w:hAnsi="Times New Roman" w:cs="Times New Roman"/>
          <w:sz w:val="24"/>
          <w:szCs w:val="24"/>
        </w:rPr>
        <w:t xml:space="preserve"> </w:t>
      </w:r>
      <w:r>
        <w:rPr>
          <w:rFonts w:ascii="Times New Roman" w:hAnsi="Times New Roman" w:cs="Times New Roman"/>
          <w:sz w:val="24"/>
          <w:szCs w:val="24"/>
        </w:rPr>
        <w:t>Alvim</w:t>
      </w:r>
      <w:r w:rsidRPr="00E54DA4">
        <w:rPr>
          <w:rFonts w:ascii="Times New Roman" w:hAnsi="Times New Roman" w:cs="Times New Roman"/>
          <w:i/>
          <w:iCs/>
          <w:sz w:val="24"/>
          <w:szCs w:val="24"/>
        </w:rPr>
        <w:t xml:space="preserve"> et al.</w:t>
      </w:r>
      <w:r>
        <w:rPr>
          <w:rFonts w:ascii="Times New Roman" w:hAnsi="Times New Roman" w:cs="Times New Roman"/>
          <w:sz w:val="24"/>
          <w:szCs w:val="24"/>
        </w:rPr>
        <w:t>, 2001, Danon</w:t>
      </w:r>
      <w:r w:rsidRPr="00E54DA4">
        <w:rPr>
          <w:rFonts w:ascii="Times New Roman" w:hAnsi="Times New Roman" w:cs="Times New Roman"/>
          <w:i/>
          <w:iCs/>
          <w:sz w:val="24"/>
          <w:szCs w:val="24"/>
        </w:rPr>
        <w:t xml:space="preserve"> et al.</w:t>
      </w:r>
      <w:r>
        <w:rPr>
          <w:rFonts w:ascii="Times New Roman" w:hAnsi="Times New Roman" w:cs="Times New Roman"/>
          <w:sz w:val="24"/>
          <w:szCs w:val="24"/>
        </w:rPr>
        <w:t>, 2004, Gao</w:t>
      </w:r>
      <w:r w:rsidRPr="00E54DA4">
        <w:rPr>
          <w:rFonts w:ascii="Times New Roman" w:hAnsi="Times New Roman" w:cs="Times New Roman"/>
          <w:i/>
          <w:iCs/>
          <w:sz w:val="24"/>
          <w:szCs w:val="24"/>
        </w:rPr>
        <w:t xml:space="preserve"> et al.</w:t>
      </w:r>
      <w:r>
        <w:rPr>
          <w:rFonts w:ascii="Times New Roman" w:hAnsi="Times New Roman" w:cs="Times New Roman"/>
          <w:sz w:val="24"/>
          <w:szCs w:val="24"/>
        </w:rPr>
        <w:t>, 2008b, Jelitto-Van Dooren</w:t>
      </w:r>
      <w:r w:rsidRPr="00E54DA4">
        <w:rPr>
          <w:rFonts w:ascii="Times New Roman" w:hAnsi="Times New Roman" w:cs="Times New Roman"/>
          <w:i/>
          <w:iCs/>
          <w:sz w:val="24"/>
          <w:szCs w:val="24"/>
        </w:rPr>
        <w:t xml:space="preserve"> et al.</w:t>
      </w:r>
      <w:r>
        <w:rPr>
          <w:rFonts w:ascii="Times New Roman" w:hAnsi="Times New Roman" w:cs="Times New Roman"/>
          <w:sz w:val="24"/>
          <w:szCs w:val="24"/>
        </w:rPr>
        <w:t>, 1999)</w:t>
      </w:r>
      <w:r w:rsidRPr="00451B44">
        <w:rPr>
          <w:rFonts w:ascii="Times New Roman" w:hAnsi="Times New Roman" w:cs="Times New Roman"/>
          <w:sz w:val="24"/>
          <w:szCs w:val="24"/>
        </w:rPr>
        <w:t xml:space="preserve"> imply a stress-sensing role of </w:t>
      </w:r>
      <w:r>
        <w:rPr>
          <w:rFonts w:ascii="Times New Roman" w:hAnsi="Times New Roman" w:cs="Times New Roman"/>
          <w:sz w:val="24"/>
          <w:szCs w:val="24"/>
        </w:rPr>
        <w:t xml:space="preserve">the </w:t>
      </w:r>
      <w:r w:rsidRPr="00451B44">
        <w:rPr>
          <w:rFonts w:ascii="Times New Roman" w:hAnsi="Times New Roman" w:cs="Times New Roman"/>
          <w:sz w:val="24"/>
          <w:szCs w:val="24"/>
        </w:rPr>
        <w:t xml:space="preserve">ER in plant cells </w:t>
      </w:r>
      <w:r>
        <w:rPr>
          <w:rFonts w:ascii="Times New Roman" w:hAnsi="Times New Roman" w:cs="Times New Roman"/>
          <w:sz w:val="24"/>
          <w:szCs w:val="24"/>
        </w:rPr>
        <w:t>(Cacas, 2010)</w:t>
      </w:r>
      <w:r w:rsidRPr="00451B44">
        <w:rPr>
          <w:rFonts w:ascii="Times New Roman" w:hAnsi="Times New Roman" w:cs="Times New Roman"/>
          <w:sz w:val="24"/>
          <w:szCs w:val="24"/>
        </w:rPr>
        <w:t xml:space="preserve">. Indeed, </w:t>
      </w:r>
      <w:r>
        <w:rPr>
          <w:rFonts w:ascii="Times New Roman" w:hAnsi="Times New Roman" w:cs="Times New Roman"/>
          <w:sz w:val="24"/>
          <w:szCs w:val="24"/>
        </w:rPr>
        <w:t>chemically-induced ER stress has been</w:t>
      </w:r>
      <w:r w:rsidRPr="00451B44">
        <w:rPr>
          <w:rFonts w:ascii="Times New Roman" w:hAnsi="Times New Roman" w:cs="Times New Roman"/>
          <w:sz w:val="24"/>
          <w:szCs w:val="24"/>
        </w:rPr>
        <w:t xml:space="preserve"> shown to induce </w:t>
      </w:r>
      <w:r>
        <w:rPr>
          <w:rFonts w:ascii="Times New Roman" w:hAnsi="Times New Roman" w:cs="Times New Roman"/>
          <w:sz w:val="24"/>
          <w:szCs w:val="24"/>
        </w:rPr>
        <w:t xml:space="preserve">apoptotic-like PCD </w:t>
      </w:r>
      <w:r w:rsidRPr="00451B44">
        <w:rPr>
          <w:rFonts w:ascii="Times New Roman" w:hAnsi="Times New Roman" w:cs="Times New Roman"/>
          <w:sz w:val="24"/>
          <w:szCs w:val="24"/>
        </w:rPr>
        <w:t>in sycamore cell cultures where accumulation of hyd</w:t>
      </w:r>
      <w:r>
        <w:rPr>
          <w:rFonts w:ascii="Times New Roman" w:hAnsi="Times New Roman" w:cs="Times New Roman"/>
          <w:sz w:val="24"/>
          <w:szCs w:val="24"/>
        </w:rPr>
        <w:t xml:space="preserve">rogen peroxide, </w:t>
      </w:r>
      <w:r w:rsidRPr="00451B44">
        <w:rPr>
          <w:rFonts w:ascii="Times New Roman" w:hAnsi="Times New Roman" w:cs="Times New Roman"/>
          <w:sz w:val="24"/>
          <w:szCs w:val="24"/>
        </w:rPr>
        <w:t>shrinkage of cyto</w:t>
      </w:r>
      <w:r>
        <w:rPr>
          <w:rFonts w:ascii="Times New Roman" w:hAnsi="Times New Roman" w:cs="Times New Roman"/>
          <w:sz w:val="24"/>
          <w:szCs w:val="24"/>
        </w:rPr>
        <w:t>plasm and detection of a DNA ladder occurred</w:t>
      </w:r>
      <w:r w:rsidRPr="00451B44">
        <w:rPr>
          <w:rFonts w:ascii="Times New Roman" w:hAnsi="Times New Roman" w:cs="Times New Roman"/>
          <w:sz w:val="24"/>
          <w:szCs w:val="24"/>
        </w:rPr>
        <w:t xml:space="preserve"> </w:t>
      </w:r>
      <w:r w:rsidRPr="00451B44">
        <w:rPr>
          <w:rFonts w:ascii="Times New Roman" w:hAnsi="Times New Roman" w:cs="Times New Roman"/>
          <w:noProof/>
          <w:sz w:val="24"/>
          <w:szCs w:val="24"/>
        </w:rPr>
        <w:t>(Crosti</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2001)</w:t>
      </w:r>
      <w:r w:rsidRPr="00451B44">
        <w:rPr>
          <w:rFonts w:ascii="Times New Roman" w:hAnsi="Times New Roman" w:cs="Times New Roman"/>
          <w:sz w:val="24"/>
          <w:szCs w:val="24"/>
        </w:rPr>
        <w:t xml:space="preserve">. </w:t>
      </w:r>
      <w:r>
        <w:rPr>
          <w:rFonts w:ascii="Times New Roman" w:hAnsi="Times New Roman" w:cs="Times New Roman"/>
          <w:sz w:val="24"/>
          <w:szCs w:val="24"/>
        </w:rPr>
        <w:t>While i</w:t>
      </w:r>
      <w:r w:rsidRPr="00451B44">
        <w:rPr>
          <w:rFonts w:ascii="Times New Roman" w:hAnsi="Times New Roman" w:cs="Times New Roman"/>
          <w:sz w:val="24"/>
          <w:szCs w:val="24"/>
        </w:rPr>
        <w:t xml:space="preserve">n soybean cells, the accumulation of hydrogen peroxide, </w:t>
      </w:r>
      <w:r w:rsidRPr="00F744F3">
        <w:rPr>
          <w:rFonts w:ascii="Times New Roman" w:hAnsi="Times New Roman" w:cs="Times New Roman"/>
          <w:sz w:val="24"/>
          <w:szCs w:val="24"/>
        </w:rPr>
        <w:t xml:space="preserve">cyt </w:t>
      </w:r>
      <w:r w:rsidRPr="00C64D1B">
        <w:rPr>
          <w:rFonts w:ascii="Times New Roman" w:hAnsi="Times New Roman" w:cs="Times New Roman"/>
          <w:i/>
          <w:iCs/>
          <w:sz w:val="24"/>
          <w:szCs w:val="24"/>
        </w:rPr>
        <w:t>c</w:t>
      </w:r>
      <w:r w:rsidRPr="00451B44">
        <w:rPr>
          <w:rFonts w:ascii="Times New Roman" w:hAnsi="Times New Roman" w:cs="Times New Roman"/>
          <w:sz w:val="24"/>
          <w:szCs w:val="24"/>
        </w:rPr>
        <w:t xml:space="preserve"> release from mitochondria, caspase 9- and caspase 3-like protease activation, cytoplasmic shrinkage and chromatin condensation were highlighted </w:t>
      </w:r>
      <w:r w:rsidRPr="00451B44">
        <w:rPr>
          <w:rFonts w:ascii="Times New Roman" w:hAnsi="Times New Roman" w:cs="Times New Roman"/>
          <w:noProof/>
          <w:sz w:val="24"/>
          <w:szCs w:val="24"/>
        </w:rPr>
        <w:t>(Zuppini</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2004)</w:t>
      </w:r>
      <w:r w:rsidRPr="00451B44">
        <w:rPr>
          <w:rFonts w:ascii="Times New Roman" w:hAnsi="Times New Roman" w:cs="Times New Roman"/>
          <w:sz w:val="24"/>
          <w:szCs w:val="24"/>
        </w:rPr>
        <w:t xml:space="preserve">, and in </w:t>
      </w:r>
      <w:r w:rsidRPr="00451B44">
        <w:rPr>
          <w:rFonts w:ascii="Times New Roman" w:hAnsi="Times New Roman" w:cs="Times New Roman"/>
          <w:i/>
          <w:iCs/>
          <w:sz w:val="24"/>
          <w:szCs w:val="24"/>
        </w:rPr>
        <w:t>Arabidopsis</w:t>
      </w:r>
      <w:r w:rsidRPr="00451B44">
        <w:rPr>
          <w:rFonts w:ascii="Times New Roman" w:hAnsi="Times New Roman" w:cs="Times New Roman"/>
          <w:sz w:val="24"/>
          <w:szCs w:val="24"/>
        </w:rPr>
        <w:t>, the accumulation of H</w:t>
      </w:r>
      <w:r w:rsidRPr="00451B44">
        <w:rPr>
          <w:rFonts w:ascii="Times New Roman" w:hAnsi="Times New Roman" w:cs="Times New Roman"/>
          <w:sz w:val="24"/>
          <w:szCs w:val="24"/>
          <w:vertAlign w:val="subscript"/>
        </w:rPr>
        <w:t>2</w:t>
      </w:r>
      <w:r w:rsidRPr="00451B44">
        <w:rPr>
          <w:rFonts w:ascii="Times New Roman" w:hAnsi="Times New Roman" w:cs="Times New Roman"/>
          <w:sz w:val="24"/>
          <w:szCs w:val="24"/>
        </w:rPr>
        <w:t>O</w:t>
      </w:r>
      <w:r w:rsidRPr="00451B44">
        <w:rPr>
          <w:rFonts w:ascii="Times New Roman" w:hAnsi="Times New Roman" w:cs="Times New Roman"/>
          <w:sz w:val="24"/>
          <w:szCs w:val="24"/>
          <w:vertAlign w:val="subscript"/>
        </w:rPr>
        <w:t>2</w:t>
      </w:r>
      <w:r w:rsidRPr="00451B44">
        <w:rPr>
          <w:rFonts w:ascii="Times New Roman" w:hAnsi="Times New Roman" w:cs="Times New Roman"/>
          <w:sz w:val="24"/>
          <w:szCs w:val="24"/>
        </w:rPr>
        <w:t xml:space="preserve">, chromatin condensation, and oligonucleosomal fragmentation of nuclear DNA was recorded </w:t>
      </w:r>
      <w:r w:rsidRPr="00451B44">
        <w:rPr>
          <w:rFonts w:ascii="Times New Roman" w:hAnsi="Times New Roman" w:cs="Times New Roman"/>
          <w:noProof/>
          <w:sz w:val="24"/>
          <w:szCs w:val="24"/>
        </w:rPr>
        <w:t>(Watanabe and Lam, 2008)</w:t>
      </w:r>
      <w:r w:rsidRPr="00451B44">
        <w:rPr>
          <w:rFonts w:ascii="Times New Roman" w:hAnsi="Times New Roman" w:cs="Times New Roman"/>
          <w:sz w:val="24"/>
          <w:szCs w:val="24"/>
        </w:rPr>
        <w:t>. Genes known to be upregulated by ER stress, for in</w:t>
      </w:r>
      <w:r>
        <w:rPr>
          <w:rFonts w:ascii="Times New Roman" w:hAnsi="Times New Roman" w:cs="Times New Roman"/>
          <w:sz w:val="24"/>
          <w:szCs w:val="24"/>
        </w:rPr>
        <w:t>stance molecular chaperone binding protein (BiP)</w:t>
      </w:r>
      <w:r w:rsidRPr="00451B44">
        <w:rPr>
          <w:rFonts w:ascii="Times New Roman" w:hAnsi="Times New Roman" w:cs="Times New Roman"/>
          <w:sz w:val="24"/>
          <w:szCs w:val="24"/>
        </w:rPr>
        <w:t>, protein disulfide isomerase (PDI), carleticulin (CRT1 and CRT2) and calnexin (CNX1) (Kamauchi</w:t>
      </w:r>
      <w:r w:rsidRPr="00451B44">
        <w:rPr>
          <w:rFonts w:ascii="Times New Roman" w:hAnsi="Times New Roman" w:cs="Times New Roman"/>
          <w:i/>
          <w:iCs/>
          <w:sz w:val="24"/>
          <w:szCs w:val="24"/>
        </w:rPr>
        <w:t xml:space="preserve"> et al.</w:t>
      </w:r>
      <w:r w:rsidRPr="00451B44">
        <w:rPr>
          <w:rFonts w:ascii="Times New Roman" w:hAnsi="Times New Roman" w:cs="Times New Roman"/>
          <w:sz w:val="24"/>
          <w:szCs w:val="24"/>
        </w:rPr>
        <w:t>, 2005, Koizumi</w:t>
      </w:r>
      <w:r w:rsidRPr="00451B44">
        <w:rPr>
          <w:rFonts w:ascii="Times New Roman" w:hAnsi="Times New Roman" w:cs="Times New Roman"/>
          <w:i/>
          <w:iCs/>
          <w:sz w:val="24"/>
          <w:szCs w:val="24"/>
        </w:rPr>
        <w:t xml:space="preserve"> et al.</w:t>
      </w:r>
      <w:r w:rsidRPr="00451B44">
        <w:rPr>
          <w:rFonts w:ascii="Times New Roman" w:hAnsi="Times New Roman" w:cs="Times New Roman"/>
          <w:sz w:val="24"/>
          <w:szCs w:val="24"/>
        </w:rPr>
        <w:t>, 2001, Noh</w:t>
      </w:r>
      <w:r w:rsidRPr="00451B44">
        <w:rPr>
          <w:rFonts w:ascii="Times New Roman" w:hAnsi="Times New Roman" w:cs="Times New Roman"/>
          <w:i/>
          <w:iCs/>
          <w:sz w:val="24"/>
          <w:szCs w:val="24"/>
        </w:rPr>
        <w:t xml:space="preserve"> et al.</w:t>
      </w:r>
      <w:r w:rsidRPr="00451B44">
        <w:rPr>
          <w:rFonts w:ascii="Times New Roman" w:hAnsi="Times New Roman" w:cs="Times New Roman"/>
          <w:sz w:val="24"/>
          <w:szCs w:val="24"/>
        </w:rPr>
        <w:t xml:space="preserve">, 2003, Urade, 2009) can be treated as UPR markers. In </w:t>
      </w:r>
      <w:r w:rsidRPr="00451B44">
        <w:rPr>
          <w:rFonts w:ascii="Times New Roman" w:hAnsi="Times New Roman" w:cs="Times New Roman"/>
          <w:i/>
          <w:iCs/>
          <w:sz w:val="24"/>
          <w:szCs w:val="24"/>
        </w:rPr>
        <w:t>Arabidopsis</w:t>
      </w:r>
      <w:r w:rsidRPr="00451B44">
        <w:rPr>
          <w:rFonts w:ascii="Times New Roman" w:hAnsi="Times New Roman" w:cs="Times New Roman"/>
          <w:sz w:val="24"/>
          <w:szCs w:val="24"/>
        </w:rPr>
        <w:t xml:space="preserve">, </w:t>
      </w:r>
      <w:r>
        <w:rPr>
          <w:rFonts w:ascii="Times New Roman" w:hAnsi="Times New Roman" w:cs="Times New Roman"/>
          <w:sz w:val="24"/>
          <w:szCs w:val="24"/>
        </w:rPr>
        <w:t>the</w:t>
      </w:r>
      <w:r w:rsidRPr="00451B44">
        <w:rPr>
          <w:rFonts w:ascii="Times New Roman" w:hAnsi="Times New Roman" w:cs="Times New Roman"/>
          <w:sz w:val="24"/>
          <w:szCs w:val="24"/>
        </w:rPr>
        <w:t xml:space="preserve"> ER is an intracellular calcium store, which can be accessed and mobili</w:t>
      </w:r>
      <w:r>
        <w:rPr>
          <w:rFonts w:ascii="Times New Roman" w:hAnsi="Times New Roman" w:cs="Times New Roman"/>
          <w:sz w:val="24"/>
          <w:szCs w:val="24"/>
        </w:rPr>
        <w:t>s</w:t>
      </w:r>
      <w:r w:rsidRPr="00451B44">
        <w:rPr>
          <w:rFonts w:ascii="Times New Roman" w:hAnsi="Times New Roman" w:cs="Times New Roman"/>
          <w:sz w:val="24"/>
          <w:szCs w:val="24"/>
        </w:rPr>
        <w:t>ed for signalling purposes during stress response</w:t>
      </w:r>
      <w:r>
        <w:rPr>
          <w:rFonts w:ascii="Times New Roman" w:hAnsi="Times New Roman" w:cs="Times New Roman"/>
          <w:sz w:val="24"/>
          <w:szCs w:val="24"/>
        </w:rPr>
        <w:t xml:space="preserve"> and possibly during activation of PCD</w:t>
      </w:r>
      <w:r w:rsidRPr="00451B44">
        <w:rPr>
          <w:rFonts w:ascii="Times New Roman" w:hAnsi="Times New Roman" w:cs="Times New Roman"/>
          <w:sz w:val="24"/>
          <w:szCs w:val="24"/>
        </w:rPr>
        <w:t xml:space="preserve"> </w:t>
      </w:r>
      <w:r w:rsidRPr="00451B44">
        <w:rPr>
          <w:rFonts w:ascii="Times New Roman" w:hAnsi="Times New Roman" w:cs="Times New Roman"/>
          <w:noProof/>
          <w:sz w:val="24"/>
          <w:szCs w:val="24"/>
        </w:rPr>
        <w:t>(Wyatt</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2002)</w:t>
      </w:r>
      <w:r w:rsidRPr="00451B44">
        <w:rPr>
          <w:rFonts w:ascii="Times New Roman" w:hAnsi="Times New Roman" w:cs="Times New Roman"/>
          <w:sz w:val="24"/>
          <w:szCs w:val="24"/>
        </w:rPr>
        <w:t>.  Furthermore, the ER residing prote</w:t>
      </w:r>
      <w:r>
        <w:rPr>
          <w:rFonts w:ascii="Times New Roman" w:hAnsi="Times New Roman" w:cs="Times New Roman"/>
          <w:sz w:val="24"/>
          <w:szCs w:val="24"/>
        </w:rPr>
        <w:t>in, At-BI1 (Bax Inhibitor-1) has been</w:t>
      </w:r>
      <w:r w:rsidRPr="00451B44">
        <w:rPr>
          <w:rFonts w:ascii="Times New Roman" w:hAnsi="Times New Roman" w:cs="Times New Roman"/>
          <w:sz w:val="24"/>
          <w:szCs w:val="24"/>
        </w:rPr>
        <w:t xml:space="preserve"> proposed to be involved in protection against ER stress by mediating calcium fluxes,</w:t>
      </w:r>
      <w:r>
        <w:rPr>
          <w:rFonts w:ascii="Times New Roman" w:hAnsi="Times New Roman" w:cs="Times New Roman"/>
          <w:sz w:val="24"/>
          <w:szCs w:val="24"/>
        </w:rPr>
        <w:t xml:space="preserve"> as its overexpression decreases</w:t>
      </w:r>
      <w:r w:rsidRPr="00451B44">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451B44">
        <w:rPr>
          <w:rFonts w:ascii="Times New Roman" w:hAnsi="Times New Roman" w:cs="Times New Roman"/>
          <w:sz w:val="24"/>
          <w:szCs w:val="24"/>
        </w:rPr>
        <w:t xml:space="preserve">cytosolic calcium peak </w:t>
      </w:r>
      <w:r>
        <w:rPr>
          <w:rFonts w:ascii="Times New Roman" w:hAnsi="Times New Roman" w:cs="Times New Roman"/>
          <w:sz w:val="24"/>
          <w:szCs w:val="24"/>
        </w:rPr>
        <w:t xml:space="preserve">that occurs </w:t>
      </w:r>
      <w:r w:rsidRPr="00451B44">
        <w:rPr>
          <w:rFonts w:ascii="Times New Roman" w:hAnsi="Times New Roman" w:cs="Times New Roman"/>
          <w:sz w:val="24"/>
          <w:szCs w:val="24"/>
        </w:rPr>
        <w:t>in response to c</w:t>
      </w:r>
      <w:r>
        <w:rPr>
          <w:rFonts w:ascii="Times New Roman" w:hAnsi="Times New Roman" w:cs="Times New Roman"/>
          <w:sz w:val="24"/>
          <w:szCs w:val="24"/>
        </w:rPr>
        <w:t>yclopiazonic acid, and increases</w:t>
      </w:r>
      <w:r w:rsidRPr="00451B44">
        <w:rPr>
          <w:rFonts w:ascii="Times New Roman" w:hAnsi="Times New Roman" w:cs="Times New Roman"/>
          <w:sz w:val="24"/>
          <w:szCs w:val="24"/>
        </w:rPr>
        <w:t xml:space="preserve"> tolerance to this drug in </w:t>
      </w:r>
      <w:r w:rsidRPr="00451B44">
        <w:rPr>
          <w:rFonts w:ascii="Times New Roman" w:hAnsi="Times New Roman" w:cs="Times New Roman"/>
          <w:i/>
          <w:iCs/>
          <w:sz w:val="24"/>
          <w:szCs w:val="24"/>
        </w:rPr>
        <w:t>Arabidopsis</w:t>
      </w:r>
      <w:r w:rsidRPr="00451B44">
        <w:rPr>
          <w:rFonts w:ascii="Times New Roman" w:hAnsi="Times New Roman" w:cs="Times New Roman"/>
          <w:sz w:val="24"/>
          <w:szCs w:val="24"/>
        </w:rPr>
        <w:t xml:space="preserve"> </w:t>
      </w:r>
      <w:r w:rsidRPr="00451B44">
        <w:rPr>
          <w:rFonts w:ascii="Times New Roman" w:hAnsi="Times New Roman" w:cs="Times New Roman"/>
          <w:noProof/>
          <w:sz w:val="24"/>
          <w:szCs w:val="24"/>
        </w:rPr>
        <w:t>(Ihara-Ohori</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2007)</w:t>
      </w:r>
      <w:r>
        <w:rPr>
          <w:rFonts w:ascii="Times New Roman" w:hAnsi="Times New Roman" w:cs="Times New Roman"/>
          <w:sz w:val="24"/>
          <w:szCs w:val="24"/>
        </w:rPr>
        <w:t>. It has</w:t>
      </w:r>
      <w:r w:rsidRPr="00451B44">
        <w:rPr>
          <w:rFonts w:ascii="Times New Roman" w:hAnsi="Times New Roman" w:cs="Times New Roman"/>
          <w:sz w:val="24"/>
          <w:szCs w:val="24"/>
        </w:rPr>
        <w:t xml:space="preserve"> also </w:t>
      </w:r>
      <w:r>
        <w:rPr>
          <w:rFonts w:ascii="Times New Roman" w:hAnsi="Times New Roman" w:cs="Times New Roman"/>
          <w:sz w:val="24"/>
          <w:szCs w:val="24"/>
        </w:rPr>
        <w:t>been proposed that BI1 can</w:t>
      </w:r>
      <w:r w:rsidRPr="00451B44">
        <w:rPr>
          <w:rFonts w:ascii="Times New Roman" w:hAnsi="Times New Roman" w:cs="Times New Roman"/>
          <w:sz w:val="24"/>
          <w:szCs w:val="24"/>
        </w:rPr>
        <w:t xml:space="preserve"> indirectly control the intracellular concentration of known PCD regulators like sphingolipids </w:t>
      </w:r>
      <w:r w:rsidRPr="00451B44">
        <w:rPr>
          <w:rFonts w:ascii="Times New Roman" w:hAnsi="Times New Roman" w:cs="Times New Roman"/>
          <w:noProof/>
          <w:sz w:val="24"/>
          <w:szCs w:val="24"/>
        </w:rPr>
        <w:t>(Nagano</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2009)</w:t>
      </w:r>
      <w:r w:rsidRPr="00451B44">
        <w:rPr>
          <w:rFonts w:ascii="Times New Roman" w:hAnsi="Times New Roman" w:cs="Times New Roman"/>
          <w:sz w:val="24"/>
          <w:szCs w:val="24"/>
        </w:rPr>
        <w:t xml:space="preserve">. Therefore, as concluded by Cacas </w:t>
      </w:r>
      <w:r>
        <w:rPr>
          <w:rFonts w:ascii="Times New Roman" w:hAnsi="Times New Roman" w:cs="Times New Roman"/>
          <w:sz w:val="24"/>
          <w:szCs w:val="24"/>
        </w:rPr>
        <w:t>(2010)</w:t>
      </w:r>
      <w:r w:rsidRPr="00451B44">
        <w:rPr>
          <w:rFonts w:ascii="Times New Roman" w:hAnsi="Times New Roman" w:cs="Times New Roman"/>
          <w:sz w:val="24"/>
          <w:szCs w:val="24"/>
        </w:rPr>
        <w:t xml:space="preserve">, there is strong evidence linking ER stress with PCD pathway(s), </w:t>
      </w:r>
      <w:r w:rsidR="00A05889" w:rsidRPr="00086ED6">
        <w:rPr>
          <w:rFonts w:ascii="Times New Roman" w:hAnsi="Times New Roman" w:cs="Times New Roman"/>
          <w:sz w:val="24"/>
          <w:szCs w:val="24"/>
        </w:rPr>
        <w:t>however, whether ER stress is essential for all PCD events or is specific for certain types of PCD has not yet been resolved</w:t>
      </w:r>
      <w:r w:rsidR="00A05889">
        <w:rPr>
          <w:rFonts w:ascii="Times New Roman" w:hAnsi="Times New Roman" w:cs="Times New Roman"/>
          <w:sz w:val="24"/>
          <w:szCs w:val="24"/>
        </w:rPr>
        <w:t xml:space="preserve">. </w:t>
      </w:r>
      <w:r w:rsidRPr="00451B44">
        <w:rPr>
          <w:rFonts w:ascii="Times New Roman" w:hAnsi="Times New Roman" w:cs="Times New Roman"/>
          <w:sz w:val="24"/>
          <w:szCs w:val="24"/>
        </w:rPr>
        <w:t xml:space="preserve"> Also, the details of the pathway(s) by which ER stres</w:t>
      </w:r>
      <w:r>
        <w:rPr>
          <w:rFonts w:ascii="Times New Roman" w:hAnsi="Times New Roman" w:cs="Times New Roman"/>
          <w:sz w:val="24"/>
          <w:szCs w:val="24"/>
        </w:rPr>
        <w:t>s induces death have still to</w:t>
      </w:r>
      <w:r w:rsidRPr="00451B44">
        <w:rPr>
          <w:rFonts w:ascii="Times New Roman" w:hAnsi="Times New Roman" w:cs="Times New Roman"/>
          <w:sz w:val="24"/>
          <w:szCs w:val="24"/>
        </w:rPr>
        <w:t xml:space="preserve"> be elucidated. </w:t>
      </w:r>
    </w:p>
    <w:p w:rsidR="004B4E5E" w:rsidRPr="00451B44" w:rsidRDefault="004B4E5E" w:rsidP="002B4B8D">
      <w:pPr>
        <w:autoSpaceDE w:val="0"/>
        <w:autoSpaceDN w:val="0"/>
        <w:adjustRightInd w:val="0"/>
        <w:spacing w:after="0" w:line="480" w:lineRule="auto"/>
        <w:rPr>
          <w:rFonts w:ascii="Times New Roman" w:hAnsi="Times New Roman" w:cs="Times New Roman"/>
          <w:sz w:val="24"/>
          <w:szCs w:val="24"/>
        </w:rPr>
      </w:pPr>
    </w:p>
    <w:p w:rsidR="004B4E5E" w:rsidRPr="00451B44" w:rsidRDefault="004B4E5E" w:rsidP="00BF42BA">
      <w:pPr>
        <w:pStyle w:val="ListParagraph"/>
        <w:numPr>
          <w:ilvl w:val="0"/>
          <w:numId w:val="26"/>
        </w:numPr>
        <w:autoSpaceDE w:val="0"/>
        <w:autoSpaceDN w:val="0"/>
        <w:adjustRightInd w:val="0"/>
        <w:spacing w:after="0" w:line="480" w:lineRule="auto"/>
        <w:ind w:firstLine="414"/>
        <w:rPr>
          <w:rFonts w:ascii="Times New Roman" w:hAnsi="Times New Roman" w:cs="Times New Roman"/>
          <w:b/>
          <w:bCs/>
          <w:sz w:val="24"/>
          <w:szCs w:val="24"/>
        </w:rPr>
      </w:pPr>
      <w:r w:rsidRPr="00451B44">
        <w:rPr>
          <w:rFonts w:ascii="Times New Roman" w:hAnsi="Times New Roman" w:cs="Times New Roman"/>
          <w:b/>
          <w:bCs/>
          <w:sz w:val="24"/>
          <w:szCs w:val="24"/>
        </w:rPr>
        <w:t>Peroxisomes</w:t>
      </w:r>
    </w:p>
    <w:p w:rsidR="004B4E5E" w:rsidRDefault="004B4E5E" w:rsidP="002B4B8D">
      <w:pPr>
        <w:autoSpaceDE w:val="0"/>
        <w:autoSpaceDN w:val="0"/>
        <w:adjustRightInd w:val="0"/>
        <w:spacing w:after="0" w:line="480" w:lineRule="auto"/>
        <w:rPr>
          <w:rFonts w:ascii="Times New Roman" w:hAnsi="Times New Roman" w:cs="Times New Roman"/>
          <w:sz w:val="24"/>
          <w:szCs w:val="24"/>
        </w:rPr>
      </w:pPr>
      <w:r w:rsidRPr="00451B44">
        <w:rPr>
          <w:rFonts w:ascii="Times New Roman" w:hAnsi="Times New Roman" w:cs="Times New Roman"/>
          <w:sz w:val="24"/>
          <w:szCs w:val="24"/>
        </w:rPr>
        <w:t xml:space="preserve">Peroxisomes are single membrane bound, subcellular respiratory organelles, </w:t>
      </w:r>
      <w:r w:rsidR="00A05889">
        <w:rPr>
          <w:rFonts w:ascii="Times New Roman" w:hAnsi="Times New Roman" w:cs="Times New Roman"/>
          <w:sz w:val="24"/>
          <w:szCs w:val="24"/>
        </w:rPr>
        <w:t>that</w:t>
      </w:r>
      <w:r w:rsidRPr="00451B44">
        <w:rPr>
          <w:rFonts w:ascii="Times New Roman" w:hAnsi="Times New Roman" w:cs="Times New Roman"/>
          <w:sz w:val="24"/>
          <w:szCs w:val="24"/>
        </w:rPr>
        <w:t xml:space="preserve"> contain catalase and H</w:t>
      </w:r>
      <w:r w:rsidRPr="00451B44">
        <w:rPr>
          <w:rFonts w:ascii="Times New Roman" w:hAnsi="Times New Roman" w:cs="Times New Roman"/>
          <w:sz w:val="24"/>
          <w:szCs w:val="24"/>
          <w:vertAlign w:val="subscript"/>
        </w:rPr>
        <w:t>2</w:t>
      </w:r>
      <w:r w:rsidRPr="00451B44">
        <w:rPr>
          <w:rFonts w:ascii="Times New Roman" w:hAnsi="Times New Roman" w:cs="Times New Roman"/>
          <w:sz w:val="24"/>
          <w:szCs w:val="24"/>
        </w:rPr>
        <w:t>O</w:t>
      </w:r>
      <w:r w:rsidRPr="00451B44">
        <w:rPr>
          <w:rFonts w:ascii="Times New Roman" w:hAnsi="Times New Roman" w:cs="Times New Roman"/>
          <w:sz w:val="24"/>
          <w:szCs w:val="24"/>
          <w:vertAlign w:val="subscript"/>
        </w:rPr>
        <w:t xml:space="preserve">2 </w:t>
      </w:r>
      <w:r w:rsidRPr="00451B44">
        <w:rPr>
          <w:rFonts w:ascii="Times New Roman" w:hAnsi="Times New Roman" w:cs="Times New Roman"/>
          <w:sz w:val="24"/>
          <w:szCs w:val="24"/>
        </w:rPr>
        <w:t xml:space="preserve">producing flavin oxidases as basic enzymatic constituents </w:t>
      </w:r>
      <w:r w:rsidRPr="00451B44">
        <w:rPr>
          <w:rFonts w:ascii="Times New Roman" w:hAnsi="Times New Roman" w:cs="Times New Roman"/>
          <w:noProof/>
          <w:sz w:val="24"/>
          <w:szCs w:val="24"/>
        </w:rPr>
        <w:t>(del Río</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2002)</w:t>
      </w:r>
      <w:r w:rsidRPr="00451B44">
        <w:rPr>
          <w:rFonts w:ascii="Times New Roman" w:hAnsi="Times New Roman" w:cs="Times New Roman"/>
          <w:sz w:val="24"/>
          <w:szCs w:val="24"/>
        </w:rPr>
        <w:t xml:space="preserve">. Peroxisomes </w:t>
      </w:r>
      <w:r>
        <w:rPr>
          <w:rFonts w:ascii="Times New Roman" w:hAnsi="Times New Roman" w:cs="Times New Roman"/>
          <w:sz w:val="24"/>
          <w:szCs w:val="24"/>
        </w:rPr>
        <w:t>were traditionally regarded as</w:t>
      </w:r>
      <w:r w:rsidRPr="00451B44">
        <w:rPr>
          <w:rFonts w:ascii="Times New Roman" w:hAnsi="Times New Roman" w:cs="Times New Roman"/>
          <w:sz w:val="24"/>
          <w:szCs w:val="24"/>
        </w:rPr>
        <w:t xml:space="preserve"> semiautonomous, static, and homogenous subcellular compartments whose assembly, as organelles outside the secretory and endocytic pathways of vesicular flow, does not involve intercompartmental vesicular trafficking </w:t>
      </w:r>
      <w:r w:rsidRPr="00451B44">
        <w:rPr>
          <w:rFonts w:ascii="Times New Roman" w:hAnsi="Times New Roman" w:cs="Times New Roman"/>
          <w:noProof/>
          <w:sz w:val="24"/>
          <w:szCs w:val="24"/>
        </w:rPr>
        <w:t>(Lazarow, 2003)</w:t>
      </w:r>
      <w:r w:rsidRPr="00451B44">
        <w:rPr>
          <w:rFonts w:ascii="Times New Roman" w:hAnsi="Times New Roman" w:cs="Times New Roman"/>
          <w:sz w:val="24"/>
          <w:szCs w:val="24"/>
        </w:rPr>
        <w:t>. However, it was recently postulated that peroxisomes derive from the ER and form a multicompartmental endomembrane system similar to the secretory endomembrane system of vesicular flow (reviewed by Titorenko and Mullen</w:t>
      </w:r>
      <w:r>
        <w:rPr>
          <w:rFonts w:ascii="Times New Roman" w:hAnsi="Times New Roman" w:cs="Times New Roman"/>
          <w:sz w:val="24"/>
          <w:szCs w:val="24"/>
        </w:rPr>
        <w:t>,</w:t>
      </w:r>
      <w:r w:rsidRPr="00451B44">
        <w:rPr>
          <w:rFonts w:ascii="Times New Roman" w:hAnsi="Times New Roman" w:cs="Times New Roman"/>
          <w:sz w:val="24"/>
          <w:szCs w:val="24"/>
        </w:rPr>
        <w:t xml:space="preserve"> </w:t>
      </w:r>
      <w:r>
        <w:rPr>
          <w:rFonts w:ascii="Times New Roman" w:hAnsi="Times New Roman" w:cs="Times New Roman"/>
          <w:sz w:val="24"/>
          <w:szCs w:val="24"/>
        </w:rPr>
        <w:t>2006,</w:t>
      </w:r>
      <w:r w:rsidRPr="00451B44">
        <w:rPr>
          <w:rFonts w:ascii="Times New Roman" w:hAnsi="Times New Roman" w:cs="Times New Roman"/>
          <w:sz w:val="24"/>
          <w:szCs w:val="24"/>
        </w:rPr>
        <w:t xml:space="preserve"> Titorenko </w:t>
      </w:r>
      <w:r w:rsidRPr="00451B44">
        <w:rPr>
          <w:rFonts w:ascii="Times New Roman" w:hAnsi="Times New Roman" w:cs="Times New Roman"/>
          <w:i/>
          <w:iCs/>
          <w:sz w:val="24"/>
          <w:szCs w:val="24"/>
        </w:rPr>
        <w:t>et al.</w:t>
      </w:r>
      <w:r>
        <w:rPr>
          <w:rFonts w:ascii="Times New Roman" w:hAnsi="Times New Roman" w:cs="Times New Roman"/>
          <w:i/>
          <w:iCs/>
          <w:sz w:val="24"/>
          <w:szCs w:val="24"/>
        </w:rPr>
        <w:t>,</w:t>
      </w:r>
      <w:r w:rsidRPr="00451B44">
        <w:rPr>
          <w:rFonts w:ascii="Times New Roman" w:hAnsi="Times New Roman" w:cs="Times New Roman"/>
          <w:sz w:val="24"/>
          <w:szCs w:val="24"/>
        </w:rPr>
        <w:t xml:space="preserve"> </w:t>
      </w:r>
      <w:r>
        <w:rPr>
          <w:rFonts w:ascii="Times New Roman" w:hAnsi="Times New Roman" w:cs="Times New Roman"/>
          <w:sz w:val="24"/>
          <w:szCs w:val="24"/>
        </w:rPr>
        <w:t>2008)</w:t>
      </w:r>
      <w:r w:rsidRPr="00451B44">
        <w:rPr>
          <w:rFonts w:ascii="Times New Roman" w:hAnsi="Times New Roman" w:cs="Times New Roman"/>
          <w:sz w:val="24"/>
          <w:szCs w:val="24"/>
        </w:rPr>
        <w:t>. Peroxisomes, which are characteri</w:t>
      </w:r>
      <w:r>
        <w:rPr>
          <w:rFonts w:ascii="Times New Roman" w:hAnsi="Times New Roman" w:cs="Times New Roman"/>
          <w:sz w:val="24"/>
          <w:szCs w:val="24"/>
        </w:rPr>
        <w:t>s</w:t>
      </w:r>
      <w:r w:rsidRPr="00451B44">
        <w:rPr>
          <w:rFonts w:ascii="Times New Roman" w:hAnsi="Times New Roman" w:cs="Times New Roman"/>
          <w:sz w:val="24"/>
          <w:szCs w:val="24"/>
        </w:rPr>
        <w:t xml:space="preserve">ed by an essentially oxidative type of metabolism, are a source of </w:t>
      </w:r>
      <w:r>
        <w:rPr>
          <w:rFonts w:ascii="Times New Roman" w:hAnsi="Times New Roman" w:cs="Times New Roman"/>
          <w:sz w:val="24"/>
          <w:szCs w:val="24"/>
        </w:rPr>
        <w:t>signalling molecules</w:t>
      </w:r>
      <w:r w:rsidRPr="00451B44">
        <w:rPr>
          <w:rFonts w:ascii="Times New Roman" w:hAnsi="Times New Roman" w:cs="Times New Roman"/>
          <w:sz w:val="24"/>
          <w:szCs w:val="24"/>
        </w:rPr>
        <w:t xml:space="preserve"> </w:t>
      </w:r>
      <w:r>
        <w:rPr>
          <w:rFonts w:ascii="Times New Roman" w:hAnsi="Times New Roman" w:cs="Times New Roman"/>
          <w:sz w:val="24"/>
          <w:szCs w:val="24"/>
        </w:rPr>
        <w:t xml:space="preserve">such as </w:t>
      </w:r>
      <w:r w:rsidRPr="00451B44">
        <w:rPr>
          <w:rFonts w:ascii="Times New Roman" w:hAnsi="Times New Roman" w:cs="Times New Roman"/>
          <w:sz w:val="24"/>
          <w:szCs w:val="24"/>
        </w:rPr>
        <w:t xml:space="preserve">ROS and nitric oxide, releasing these messenger molecules to the cytosol </w:t>
      </w:r>
      <w:r>
        <w:rPr>
          <w:rFonts w:ascii="Times New Roman" w:hAnsi="Times New Roman" w:cs="Times New Roman"/>
          <w:sz w:val="24"/>
          <w:szCs w:val="24"/>
        </w:rPr>
        <w:t xml:space="preserve">where they play a role in PCD activation </w:t>
      </w:r>
      <w:r w:rsidRPr="00451B44">
        <w:rPr>
          <w:rFonts w:ascii="Times New Roman" w:hAnsi="Times New Roman" w:cs="Times New Roman"/>
          <w:sz w:val="24"/>
          <w:szCs w:val="24"/>
        </w:rPr>
        <w:t>(Corpas</w:t>
      </w:r>
      <w:r w:rsidRPr="00451B44">
        <w:rPr>
          <w:rFonts w:ascii="Times New Roman" w:hAnsi="Times New Roman" w:cs="Times New Roman"/>
          <w:i/>
          <w:iCs/>
          <w:sz w:val="24"/>
          <w:szCs w:val="24"/>
        </w:rPr>
        <w:t xml:space="preserve"> et al.</w:t>
      </w:r>
      <w:r w:rsidRPr="00451B44">
        <w:rPr>
          <w:rFonts w:ascii="Times New Roman" w:hAnsi="Times New Roman" w:cs="Times New Roman"/>
          <w:sz w:val="24"/>
          <w:szCs w:val="24"/>
        </w:rPr>
        <w:t>, 2001, Nyathi and Baker, 2006)</w:t>
      </w:r>
      <w:r>
        <w:rPr>
          <w:rFonts w:ascii="Times New Roman" w:hAnsi="Times New Roman" w:cs="Times New Roman"/>
          <w:sz w:val="24"/>
          <w:szCs w:val="24"/>
        </w:rPr>
        <w:t xml:space="preserve">. Moreover, </w:t>
      </w:r>
      <w:r w:rsidRPr="00451B44">
        <w:rPr>
          <w:rFonts w:ascii="Times New Roman" w:hAnsi="Times New Roman" w:cs="Times New Roman"/>
          <w:sz w:val="24"/>
          <w:szCs w:val="24"/>
        </w:rPr>
        <w:t xml:space="preserve">research </w:t>
      </w:r>
      <w:r>
        <w:rPr>
          <w:rFonts w:ascii="Times New Roman" w:hAnsi="Times New Roman" w:cs="Times New Roman"/>
          <w:sz w:val="24"/>
          <w:szCs w:val="24"/>
        </w:rPr>
        <w:t xml:space="preserve">also </w:t>
      </w:r>
      <w:r w:rsidRPr="00451B44">
        <w:rPr>
          <w:rFonts w:ascii="Times New Roman" w:hAnsi="Times New Roman" w:cs="Times New Roman"/>
          <w:sz w:val="24"/>
          <w:szCs w:val="24"/>
        </w:rPr>
        <w:t xml:space="preserve">suggests that they play a role in senescence </w:t>
      </w:r>
      <w:r>
        <w:rPr>
          <w:rFonts w:ascii="Times New Roman" w:hAnsi="Times New Roman" w:cs="Times New Roman"/>
          <w:sz w:val="24"/>
          <w:szCs w:val="24"/>
        </w:rPr>
        <w:t>(del Rio</w:t>
      </w:r>
      <w:r w:rsidRPr="006944F9">
        <w:rPr>
          <w:rFonts w:ascii="Times New Roman" w:hAnsi="Times New Roman" w:cs="Times New Roman"/>
          <w:i/>
          <w:iCs/>
          <w:sz w:val="24"/>
          <w:szCs w:val="24"/>
        </w:rPr>
        <w:t xml:space="preserve"> et al.</w:t>
      </w:r>
      <w:r>
        <w:rPr>
          <w:rFonts w:ascii="Times New Roman" w:hAnsi="Times New Roman" w:cs="Times New Roman"/>
          <w:sz w:val="24"/>
          <w:szCs w:val="24"/>
        </w:rPr>
        <w:t>, 1998)</w:t>
      </w:r>
      <w:r w:rsidRPr="00451B44">
        <w:rPr>
          <w:rFonts w:ascii="Times New Roman" w:hAnsi="Times New Roman" w:cs="Times New Roman"/>
          <w:sz w:val="24"/>
          <w:szCs w:val="24"/>
        </w:rPr>
        <w:t xml:space="preserve">. </w:t>
      </w:r>
    </w:p>
    <w:p w:rsidR="004B4E5E" w:rsidRPr="00451B44" w:rsidRDefault="004B4E5E" w:rsidP="002B4B8D">
      <w:pPr>
        <w:autoSpaceDE w:val="0"/>
        <w:autoSpaceDN w:val="0"/>
        <w:adjustRightInd w:val="0"/>
        <w:spacing w:after="0" w:line="480" w:lineRule="auto"/>
        <w:rPr>
          <w:rFonts w:ascii="Times New Roman" w:hAnsi="Times New Roman" w:cs="Times New Roman"/>
          <w:sz w:val="24"/>
          <w:szCs w:val="24"/>
        </w:rPr>
      </w:pPr>
    </w:p>
    <w:p w:rsidR="004B4E5E" w:rsidRPr="00451B44" w:rsidRDefault="004B4E5E" w:rsidP="00BF42BA">
      <w:pPr>
        <w:pStyle w:val="ListParagraph"/>
        <w:numPr>
          <w:ilvl w:val="0"/>
          <w:numId w:val="26"/>
        </w:numPr>
        <w:autoSpaceDE w:val="0"/>
        <w:autoSpaceDN w:val="0"/>
        <w:adjustRightInd w:val="0"/>
        <w:spacing w:after="0" w:line="480" w:lineRule="auto"/>
        <w:ind w:left="2517" w:hanging="1383"/>
        <w:rPr>
          <w:rFonts w:ascii="Times New Roman" w:hAnsi="Times New Roman" w:cs="Times New Roman"/>
          <w:b/>
          <w:bCs/>
          <w:sz w:val="24"/>
          <w:szCs w:val="24"/>
        </w:rPr>
      </w:pPr>
      <w:r w:rsidRPr="00451B44">
        <w:rPr>
          <w:rFonts w:ascii="Times New Roman" w:hAnsi="Times New Roman" w:cs="Times New Roman"/>
          <w:b/>
          <w:bCs/>
          <w:sz w:val="24"/>
          <w:szCs w:val="24"/>
        </w:rPr>
        <w:t>Golgi apparatus</w:t>
      </w:r>
    </w:p>
    <w:p w:rsidR="004B4E5E" w:rsidRPr="00451B44" w:rsidRDefault="004B4E5E" w:rsidP="002B4B8D">
      <w:pPr>
        <w:autoSpaceDE w:val="0"/>
        <w:autoSpaceDN w:val="0"/>
        <w:adjustRightInd w:val="0"/>
        <w:spacing w:after="0" w:line="480" w:lineRule="auto"/>
        <w:rPr>
          <w:rFonts w:ascii="Times New Roman" w:hAnsi="Times New Roman" w:cs="Times New Roman"/>
          <w:sz w:val="24"/>
          <w:szCs w:val="24"/>
        </w:rPr>
      </w:pPr>
      <w:r w:rsidRPr="00451B44">
        <w:rPr>
          <w:rFonts w:ascii="Times New Roman" w:hAnsi="Times New Roman" w:cs="Times New Roman"/>
          <w:sz w:val="24"/>
          <w:szCs w:val="24"/>
        </w:rPr>
        <w:t xml:space="preserve">Recently, research suggests a putative role for the Golgi Apparatus in PCD signalling. Gubser </w:t>
      </w:r>
      <w:r w:rsidRPr="00451B44">
        <w:rPr>
          <w:rFonts w:ascii="Times New Roman" w:hAnsi="Times New Roman" w:cs="Times New Roman"/>
          <w:i/>
          <w:iCs/>
          <w:sz w:val="24"/>
          <w:szCs w:val="24"/>
        </w:rPr>
        <w:t>et al.</w:t>
      </w:r>
      <w:r w:rsidR="00A05889">
        <w:rPr>
          <w:rFonts w:ascii="Times New Roman" w:hAnsi="Times New Roman" w:cs="Times New Roman"/>
          <w:sz w:val="24"/>
          <w:szCs w:val="24"/>
        </w:rPr>
        <w:t xml:space="preserve"> (2007) recently identified a Golgi apparatus</w:t>
      </w:r>
      <w:r w:rsidRPr="00451B44">
        <w:rPr>
          <w:rFonts w:ascii="Times New Roman" w:hAnsi="Times New Roman" w:cs="Times New Roman"/>
          <w:sz w:val="24"/>
          <w:szCs w:val="24"/>
        </w:rPr>
        <w:t xml:space="preserve">-resident apoptosis inhibitor (GAAP) which has homologues in all sequenced plant genomes </w:t>
      </w:r>
      <w:r>
        <w:rPr>
          <w:rFonts w:ascii="Times New Roman" w:hAnsi="Times New Roman" w:cs="Times New Roman"/>
          <w:sz w:val="24"/>
          <w:szCs w:val="24"/>
        </w:rPr>
        <w:t>(Cacas, 2010). However, a</w:t>
      </w:r>
      <w:r w:rsidRPr="00451B44">
        <w:rPr>
          <w:rFonts w:ascii="Times New Roman" w:hAnsi="Times New Roman" w:cs="Times New Roman"/>
          <w:sz w:val="24"/>
          <w:szCs w:val="24"/>
        </w:rPr>
        <w:t xml:space="preserve"> functional investigation of </w:t>
      </w:r>
      <w:r w:rsidRPr="00451B44">
        <w:rPr>
          <w:rFonts w:ascii="Times New Roman" w:hAnsi="Times New Roman" w:cs="Times New Roman"/>
          <w:i/>
          <w:iCs/>
          <w:sz w:val="24"/>
          <w:szCs w:val="24"/>
        </w:rPr>
        <w:t>Arabidopsis</w:t>
      </w:r>
      <w:r w:rsidRPr="00451B44">
        <w:rPr>
          <w:rFonts w:ascii="Times New Roman" w:hAnsi="Times New Roman" w:cs="Times New Roman"/>
          <w:sz w:val="24"/>
          <w:szCs w:val="24"/>
        </w:rPr>
        <w:t xml:space="preserve"> GAAP multigenic family is required to elucidate the possible contribution of G</w:t>
      </w:r>
      <w:r w:rsidR="00A05889">
        <w:rPr>
          <w:rFonts w:ascii="Times New Roman" w:hAnsi="Times New Roman" w:cs="Times New Roman"/>
          <w:sz w:val="24"/>
          <w:szCs w:val="24"/>
        </w:rPr>
        <w:t xml:space="preserve">olgi apparatus </w:t>
      </w:r>
      <w:r w:rsidRPr="00451B44">
        <w:rPr>
          <w:rFonts w:ascii="Times New Roman" w:hAnsi="Times New Roman" w:cs="Times New Roman"/>
          <w:sz w:val="24"/>
          <w:szCs w:val="24"/>
        </w:rPr>
        <w:t xml:space="preserve">to PCD </w:t>
      </w:r>
      <w:r>
        <w:rPr>
          <w:rFonts w:ascii="Times New Roman" w:hAnsi="Times New Roman" w:cs="Times New Roman"/>
          <w:sz w:val="24"/>
          <w:szCs w:val="24"/>
        </w:rPr>
        <w:t>(Cacas, 2010)</w:t>
      </w:r>
      <w:r w:rsidRPr="00451B44">
        <w:rPr>
          <w:rFonts w:ascii="Times New Roman" w:hAnsi="Times New Roman" w:cs="Times New Roman"/>
          <w:sz w:val="24"/>
          <w:szCs w:val="24"/>
        </w:rPr>
        <w:t>.</w:t>
      </w:r>
    </w:p>
    <w:p w:rsidR="004B4E5E" w:rsidRPr="00451B44" w:rsidRDefault="004B4E5E" w:rsidP="002B4B8D">
      <w:pPr>
        <w:autoSpaceDE w:val="0"/>
        <w:autoSpaceDN w:val="0"/>
        <w:adjustRightInd w:val="0"/>
        <w:spacing w:after="0" w:line="480" w:lineRule="auto"/>
        <w:rPr>
          <w:rFonts w:ascii="Times New Roman" w:hAnsi="Times New Roman" w:cs="Times New Roman"/>
          <w:sz w:val="24"/>
          <w:szCs w:val="24"/>
        </w:rPr>
      </w:pPr>
    </w:p>
    <w:p w:rsidR="004B4E5E" w:rsidRPr="00451B44" w:rsidRDefault="004B4E5E" w:rsidP="00BF42BA">
      <w:pPr>
        <w:pStyle w:val="ListParagraph"/>
        <w:numPr>
          <w:ilvl w:val="0"/>
          <w:numId w:val="26"/>
        </w:numPr>
        <w:autoSpaceDE w:val="0"/>
        <w:autoSpaceDN w:val="0"/>
        <w:adjustRightInd w:val="0"/>
        <w:spacing w:after="0" w:line="480" w:lineRule="auto"/>
        <w:ind w:left="2517" w:hanging="1383"/>
        <w:rPr>
          <w:rFonts w:ascii="Times New Roman" w:hAnsi="Times New Roman" w:cs="Times New Roman"/>
          <w:b/>
          <w:bCs/>
          <w:sz w:val="24"/>
          <w:szCs w:val="24"/>
        </w:rPr>
      </w:pPr>
      <w:r w:rsidRPr="00451B44">
        <w:rPr>
          <w:rFonts w:ascii="Times New Roman" w:hAnsi="Times New Roman" w:cs="Times New Roman"/>
          <w:b/>
          <w:bCs/>
          <w:sz w:val="24"/>
          <w:szCs w:val="24"/>
        </w:rPr>
        <w:t xml:space="preserve">Vacuole </w:t>
      </w:r>
    </w:p>
    <w:p w:rsidR="004B4E5E" w:rsidRPr="00451B44" w:rsidRDefault="004B4E5E" w:rsidP="002B4B8D">
      <w:pPr>
        <w:autoSpaceDE w:val="0"/>
        <w:autoSpaceDN w:val="0"/>
        <w:adjustRightInd w:val="0"/>
        <w:spacing w:after="0" w:line="480" w:lineRule="auto"/>
        <w:rPr>
          <w:rFonts w:ascii="Times New Roman" w:hAnsi="Times New Roman" w:cs="Times New Roman"/>
          <w:sz w:val="24"/>
          <w:szCs w:val="24"/>
        </w:rPr>
      </w:pPr>
      <w:r w:rsidRPr="00451B44">
        <w:rPr>
          <w:rFonts w:ascii="Times New Roman" w:hAnsi="Times New Roman" w:cs="Times New Roman"/>
          <w:sz w:val="24"/>
          <w:szCs w:val="24"/>
        </w:rPr>
        <w:t>The vacuole is a degradative organelle and is thought to participate in a variety of processes including PCD. Vacuola</w:t>
      </w:r>
      <w:r>
        <w:rPr>
          <w:rFonts w:ascii="Times New Roman" w:hAnsi="Times New Roman" w:cs="Times New Roman"/>
          <w:sz w:val="24"/>
          <w:szCs w:val="24"/>
        </w:rPr>
        <w:t>r processing enzymes (VPEs) have been</w:t>
      </w:r>
      <w:r w:rsidRPr="00451B44">
        <w:rPr>
          <w:rFonts w:ascii="Times New Roman" w:hAnsi="Times New Roman" w:cs="Times New Roman"/>
          <w:sz w:val="24"/>
          <w:szCs w:val="24"/>
        </w:rPr>
        <w:t xml:space="preserve"> proposed to be caspase-like executioners of PCD during HR </w:t>
      </w:r>
      <w:r w:rsidRPr="00451B44">
        <w:rPr>
          <w:rFonts w:ascii="Times New Roman" w:hAnsi="Times New Roman" w:cs="Times New Roman"/>
          <w:noProof/>
          <w:sz w:val="24"/>
          <w:szCs w:val="24"/>
        </w:rPr>
        <w:t>(Hatsugai</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2004)</w:t>
      </w:r>
      <w:r>
        <w:rPr>
          <w:rFonts w:ascii="Times New Roman" w:hAnsi="Times New Roman" w:cs="Times New Roman"/>
          <w:sz w:val="24"/>
          <w:szCs w:val="24"/>
        </w:rPr>
        <w:t xml:space="preserve"> and they have</w:t>
      </w:r>
      <w:r w:rsidRPr="00451B44">
        <w:rPr>
          <w:rFonts w:ascii="Times New Roman" w:hAnsi="Times New Roman" w:cs="Times New Roman"/>
          <w:sz w:val="24"/>
          <w:szCs w:val="24"/>
        </w:rPr>
        <w:t xml:space="preserve"> also </w:t>
      </w:r>
      <w:r>
        <w:rPr>
          <w:rFonts w:ascii="Times New Roman" w:hAnsi="Times New Roman" w:cs="Times New Roman"/>
          <w:sz w:val="24"/>
          <w:szCs w:val="24"/>
        </w:rPr>
        <w:t xml:space="preserve">been </w:t>
      </w:r>
      <w:r w:rsidRPr="00451B44">
        <w:rPr>
          <w:rFonts w:ascii="Times New Roman" w:hAnsi="Times New Roman" w:cs="Times New Roman"/>
          <w:sz w:val="24"/>
          <w:szCs w:val="24"/>
        </w:rPr>
        <w:t xml:space="preserve">found to be necessary for mycotoxin-induced cell death in </w:t>
      </w:r>
      <w:r w:rsidRPr="00451B44">
        <w:rPr>
          <w:rFonts w:ascii="Times New Roman" w:hAnsi="Times New Roman" w:cs="Times New Roman"/>
          <w:i/>
          <w:iCs/>
          <w:sz w:val="24"/>
          <w:szCs w:val="24"/>
        </w:rPr>
        <w:t>Arabidopsis</w:t>
      </w:r>
      <w:r w:rsidRPr="00451B44">
        <w:rPr>
          <w:rFonts w:ascii="Times New Roman" w:hAnsi="Times New Roman" w:cs="Times New Roman"/>
          <w:sz w:val="24"/>
          <w:szCs w:val="24"/>
        </w:rPr>
        <w:t xml:space="preserve"> </w:t>
      </w:r>
      <w:r w:rsidRPr="00451B44">
        <w:rPr>
          <w:rFonts w:ascii="Times New Roman" w:hAnsi="Times New Roman" w:cs="Times New Roman"/>
          <w:noProof/>
          <w:sz w:val="24"/>
          <w:szCs w:val="24"/>
        </w:rPr>
        <w:t>(Kuroyanagi</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2005)</w:t>
      </w:r>
      <w:r w:rsidRPr="00451B44">
        <w:rPr>
          <w:rFonts w:ascii="Times New Roman" w:hAnsi="Times New Roman" w:cs="Times New Roman"/>
          <w:sz w:val="24"/>
          <w:szCs w:val="24"/>
        </w:rPr>
        <w:t xml:space="preserve">. Another vacuolar protease, δVPE is involved in cell death associated with early seed development </w:t>
      </w:r>
      <w:r w:rsidRPr="00451B44">
        <w:rPr>
          <w:rFonts w:ascii="Times New Roman" w:hAnsi="Times New Roman" w:cs="Times New Roman"/>
          <w:noProof/>
          <w:sz w:val="24"/>
          <w:szCs w:val="24"/>
        </w:rPr>
        <w:t>(Nakaune</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2005)</w:t>
      </w:r>
      <w:r w:rsidRPr="00451B44">
        <w:rPr>
          <w:rFonts w:ascii="Times New Roman" w:hAnsi="Times New Roman" w:cs="Times New Roman"/>
          <w:sz w:val="24"/>
          <w:szCs w:val="24"/>
        </w:rPr>
        <w:t xml:space="preserve">. </w:t>
      </w:r>
    </w:p>
    <w:p w:rsidR="004B4E5E" w:rsidRPr="00451B44" w:rsidRDefault="004B4E5E" w:rsidP="002B4B8D">
      <w:pPr>
        <w:autoSpaceDE w:val="0"/>
        <w:autoSpaceDN w:val="0"/>
        <w:adjustRightInd w:val="0"/>
        <w:spacing w:after="0" w:line="480" w:lineRule="auto"/>
        <w:rPr>
          <w:rFonts w:ascii="Times New Roman" w:hAnsi="Times New Roman" w:cs="Times New Roman"/>
          <w:sz w:val="24"/>
          <w:szCs w:val="24"/>
        </w:rPr>
      </w:pPr>
    </w:p>
    <w:p w:rsidR="004B4E5E" w:rsidRPr="00965ACE" w:rsidRDefault="004B4E5E" w:rsidP="00BF42BA">
      <w:pPr>
        <w:pStyle w:val="ListParagraph"/>
        <w:numPr>
          <w:ilvl w:val="0"/>
          <w:numId w:val="26"/>
        </w:numPr>
        <w:autoSpaceDE w:val="0"/>
        <w:autoSpaceDN w:val="0"/>
        <w:adjustRightInd w:val="0"/>
        <w:spacing w:after="0" w:line="480" w:lineRule="auto"/>
        <w:ind w:left="1560" w:hanging="426"/>
        <w:rPr>
          <w:rFonts w:ascii="Times New Roman" w:hAnsi="Times New Roman" w:cs="Times New Roman"/>
          <w:b/>
          <w:bCs/>
          <w:sz w:val="24"/>
          <w:szCs w:val="24"/>
        </w:rPr>
      </w:pPr>
      <w:r>
        <w:rPr>
          <w:rFonts w:ascii="Times New Roman" w:hAnsi="Times New Roman" w:cs="Times New Roman"/>
          <w:b/>
          <w:bCs/>
          <w:sz w:val="24"/>
          <w:szCs w:val="24"/>
        </w:rPr>
        <w:t>Tra</w:t>
      </w:r>
      <w:r w:rsidRPr="00965ACE">
        <w:rPr>
          <w:rFonts w:ascii="Times New Roman" w:hAnsi="Times New Roman" w:cs="Times New Roman"/>
          <w:b/>
          <w:bCs/>
          <w:sz w:val="24"/>
          <w:szCs w:val="24"/>
        </w:rPr>
        <w:t>nsport mechanism of degradative molecules through secretory pathway</w:t>
      </w:r>
    </w:p>
    <w:p w:rsidR="004B4E5E" w:rsidRDefault="004B4E5E" w:rsidP="002B4B8D">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A</w:t>
      </w:r>
      <w:r w:rsidRPr="00451B44">
        <w:rPr>
          <w:rFonts w:ascii="Times New Roman" w:hAnsi="Times New Roman" w:cs="Times New Roman"/>
          <w:sz w:val="24"/>
          <w:szCs w:val="24"/>
        </w:rPr>
        <w:t xml:space="preserve"> variety of PCD regulators reside in the minimal secretory pathway (encompassing the nuclear envelope and ER, the GA, the vacuole and small vesicular carriers that shuttle between these different compartments </w:t>
      </w:r>
      <w:r w:rsidRPr="00451B44">
        <w:rPr>
          <w:rFonts w:ascii="Times New Roman" w:hAnsi="Times New Roman" w:cs="Times New Roman"/>
          <w:noProof/>
          <w:sz w:val="24"/>
          <w:szCs w:val="24"/>
        </w:rPr>
        <w:t>(Foresti and Denecke, 2008)</w:t>
      </w:r>
      <w:r>
        <w:rPr>
          <w:rFonts w:ascii="Times New Roman" w:hAnsi="Times New Roman" w:cs="Times New Roman"/>
          <w:sz w:val="24"/>
          <w:szCs w:val="24"/>
        </w:rPr>
        <w:t xml:space="preserve"> </w:t>
      </w:r>
      <w:r w:rsidRPr="00451B44">
        <w:rPr>
          <w:rFonts w:ascii="Times New Roman" w:hAnsi="Times New Roman" w:cs="Times New Roman"/>
          <w:sz w:val="24"/>
          <w:szCs w:val="24"/>
        </w:rPr>
        <w:t xml:space="preserve">supporting a role for the ES in the initiation/transduction of cell death signals </w:t>
      </w:r>
      <w:r>
        <w:rPr>
          <w:rFonts w:ascii="Times New Roman" w:hAnsi="Times New Roman" w:cs="Times New Roman"/>
          <w:sz w:val="24"/>
          <w:szCs w:val="24"/>
        </w:rPr>
        <w:t>(Cacas, 2010). However, it is unclear</w:t>
      </w:r>
      <w:r w:rsidRPr="00451B44">
        <w:rPr>
          <w:rFonts w:ascii="Times New Roman" w:hAnsi="Times New Roman" w:cs="Times New Roman"/>
          <w:sz w:val="24"/>
          <w:szCs w:val="24"/>
        </w:rPr>
        <w:t xml:space="preserve"> how the degradative molecules (like VPE) travel through the secretory pathway without causing any damage </w:t>
      </w:r>
      <w:r>
        <w:rPr>
          <w:rFonts w:ascii="Times New Roman" w:hAnsi="Times New Roman" w:cs="Times New Roman"/>
          <w:sz w:val="24"/>
          <w:szCs w:val="24"/>
        </w:rPr>
        <w:t>(Cacas, 2010)</w:t>
      </w:r>
      <w:r w:rsidRPr="00451B44">
        <w:rPr>
          <w:rFonts w:ascii="Times New Roman" w:hAnsi="Times New Roman" w:cs="Times New Roman"/>
          <w:sz w:val="24"/>
          <w:szCs w:val="24"/>
        </w:rPr>
        <w:t xml:space="preserve">. A potential explanation may be provided by the mechanism described by Andeme Ondzighi (2008), who studied AL-PCD in </w:t>
      </w:r>
      <w:r>
        <w:rPr>
          <w:rFonts w:ascii="Times New Roman" w:hAnsi="Times New Roman" w:cs="Times New Roman"/>
          <w:sz w:val="24"/>
          <w:szCs w:val="24"/>
        </w:rPr>
        <w:t xml:space="preserve">the </w:t>
      </w:r>
      <w:r w:rsidRPr="00451B44">
        <w:rPr>
          <w:rFonts w:ascii="Times New Roman" w:hAnsi="Times New Roman" w:cs="Times New Roman"/>
          <w:sz w:val="24"/>
          <w:szCs w:val="24"/>
        </w:rPr>
        <w:t>endothelium of developing seeds. It was revealed that protein disulfide isomerise 5 (PDI5), which oxidi</w:t>
      </w:r>
      <w:r>
        <w:rPr>
          <w:rFonts w:ascii="Times New Roman" w:hAnsi="Times New Roman" w:cs="Times New Roman"/>
          <w:sz w:val="24"/>
          <w:szCs w:val="24"/>
        </w:rPr>
        <w:t>z</w:t>
      </w:r>
      <w:r w:rsidRPr="00451B44">
        <w:rPr>
          <w:rFonts w:ascii="Times New Roman" w:hAnsi="Times New Roman" w:cs="Times New Roman"/>
          <w:sz w:val="24"/>
          <w:szCs w:val="24"/>
        </w:rPr>
        <w:t>es, reduces, and isomerizes disulfid</w:t>
      </w:r>
      <w:r>
        <w:rPr>
          <w:rFonts w:ascii="Times New Roman" w:hAnsi="Times New Roman" w:cs="Times New Roman"/>
          <w:sz w:val="24"/>
          <w:szCs w:val="24"/>
        </w:rPr>
        <w:t>e bonds of proteins, accumulates</w:t>
      </w:r>
      <w:r w:rsidRPr="00451B44">
        <w:rPr>
          <w:rFonts w:ascii="Times New Roman" w:hAnsi="Times New Roman" w:cs="Times New Roman"/>
          <w:sz w:val="24"/>
          <w:szCs w:val="24"/>
        </w:rPr>
        <w:t xml:space="preserve"> in protein storage vacuoles prior to tissue self-destruction and </w:t>
      </w:r>
      <w:r>
        <w:rPr>
          <w:rFonts w:ascii="Times New Roman" w:hAnsi="Times New Roman" w:cs="Times New Roman"/>
          <w:sz w:val="24"/>
          <w:szCs w:val="24"/>
        </w:rPr>
        <w:t xml:space="preserve">a </w:t>
      </w:r>
      <w:r w:rsidRPr="00451B44">
        <w:rPr>
          <w:rFonts w:ascii="Times New Roman" w:hAnsi="Times New Roman" w:cs="Times New Roman"/>
          <w:sz w:val="24"/>
          <w:szCs w:val="24"/>
        </w:rPr>
        <w:t>subsequent decrease in its concentration was correlated with the progress of cell death. Moreover, PDI5 was shown to interact with three cysteine proteases, one of which, together with PDI5, trafficked from th</w:t>
      </w:r>
      <w:r w:rsidR="00A05889">
        <w:rPr>
          <w:rFonts w:ascii="Times New Roman" w:hAnsi="Times New Roman" w:cs="Times New Roman"/>
          <w:sz w:val="24"/>
          <w:szCs w:val="24"/>
        </w:rPr>
        <w:t xml:space="preserve">e ER through the Golgi apparatus </w:t>
      </w:r>
      <w:r w:rsidRPr="00451B44">
        <w:rPr>
          <w:rFonts w:ascii="Times New Roman" w:hAnsi="Times New Roman" w:cs="Times New Roman"/>
          <w:sz w:val="24"/>
          <w:szCs w:val="24"/>
        </w:rPr>
        <w:t xml:space="preserve">to vacuoles and its recombinant form, was functionally inhibited by recombinant PDI5 </w:t>
      </w:r>
      <w:r w:rsidRPr="00451B44">
        <w:rPr>
          <w:rFonts w:ascii="Times New Roman" w:hAnsi="Times New Roman" w:cs="Times New Roman"/>
          <w:i/>
          <w:iCs/>
          <w:sz w:val="24"/>
          <w:szCs w:val="24"/>
        </w:rPr>
        <w:t>in vitro</w:t>
      </w:r>
      <w:r w:rsidRPr="00451B44">
        <w:rPr>
          <w:rFonts w:ascii="Times New Roman" w:hAnsi="Times New Roman" w:cs="Times New Roman"/>
          <w:sz w:val="24"/>
          <w:szCs w:val="24"/>
        </w:rPr>
        <w:t xml:space="preserve">. Loss of PDI5 function led to premature initiation of PCD during embryogenesis, suggesting a role for this co-chaperone in the regulation of PCD timing and converting the protein storage vacuole into a lytic vacuole </w:t>
      </w:r>
      <w:r w:rsidRPr="00451B44">
        <w:rPr>
          <w:rFonts w:ascii="Times New Roman" w:hAnsi="Times New Roman" w:cs="Times New Roman"/>
          <w:noProof/>
          <w:sz w:val="24"/>
          <w:szCs w:val="24"/>
        </w:rPr>
        <w:t>(Andeme Ondzighi</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2008)</w:t>
      </w:r>
      <w:r w:rsidRPr="00451B44">
        <w:rPr>
          <w:rFonts w:ascii="Times New Roman" w:hAnsi="Times New Roman" w:cs="Times New Roman"/>
          <w:sz w:val="24"/>
          <w:szCs w:val="24"/>
        </w:rPr>
        <w:t xml:space="preserve">. PDI were also detected in ricinosomes (protease precursor vesicles) in senescing plant tissue </w:t>
      </w:r>
      <w:r w:rsidRPr="00451B44">
        <w:rPr>
          <w:rFonts w:ascii="Times New Roman" w:hAnsi="Times New Roman" w:cs="Times New Roman"/>
          <w:noProof/>
          <w:sz w:val="24"/>
          <w:szCs w:val="24"/>
        </w:rPr>
        <w:t>(Schmid</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2001)</w:t>
      </w:r>
      <w:r w:rsidRPr="00451B44">
        <w:rPr>
          <w:rFonts w:ascii="Times New Roman" w:hAnsi="Times New Roman" w:cs="Times New Roman"/>
          <w:sz w:val="24"/>
          <w:szCs w:val="24"/>
        </w:rPr>
        <w:t xml:space="preserve">. </w:t>
      </w:r>
    </w:p>
    <w:p w:rsidR="004B4E5E" w:rsidRDefault="004B4E5E" w:rsidP="002B4B8D">
      <w:pPr>
        <w:autoSpaceDE w:val="0"/>
        <w:autoSpaceDN w:val="0"/>
        <w:adjustRightInd w:val="0"/>
        <w:spacing w:after="0" w:line="480" w:lineRule="auto"/>
        <w:rPr>
          <w:rFonts w:ascii="Times New Roman" w:hAnsi="Times New Roman" w:cs="Times New Roman"/>
          <w:sz w:val="24"/>
          <w:szCs w:val="24"/>
        </w:rPr>
      </w:pPr>
    </w:p>
    <w:p w:rsidR="004B4E5E" w:rsidRPr="00451B44" w:rsidRDefault="004B4E5E" w:rsidP="00BF42BA">
      <w:pPr>
        <w:pStyle w:val="ListParagraph"/>
        <w:numPr>
          <w:ilvl w:val="0"/>
          <w:numId w:val="25"/>
        </w:numPr>
        <w:autoSpaceDE w:val="0"/>
        <w:autoSpaceDN w:val="0"/>
        <w:adjustRightInd w:val="0"/>
        <w:spacing w:after="0" w:line="480" w:lineRule="auto"/>
        <w:ind w:hanging="731"/>
        <w:rPr>
          <w:rFonts w:ascii="Times New Roman" w:hAnsi="Times New Roman" w:cs="Times New Roman"/>
          <w:b/>
          <w:bCs/>
          <w:sz w:val="24"/>
          <w:szCs w:val="24"/>
        </w:rPr>
      </w:pPr>
      <w:r w:rsidRPr="00451B44">
        <w:rPr>
          <w:rFonts w:ascii="Times New Roman" w:hAnsi="Times New Roman" w:cs="Times New Roman"/>
          <w:b/>
          <w:bCs/>
          <w:sz w:val="24"/>
          <w:szCs w:val="24"/>
        </w:rPr>
        <w:t>Sphingolipids and plant PCD</w:t>
      </w:r>
    </w:p>
    <w:p w:rsidR="004B4E5E" w:rsidRPr="007C3F5E" w:rsidRDefault="004B4E5E" w:rsidP="002B4B8D">
      <w:pPr>
        <w:spacing w:line="480" w:lineRule="auto"/>
        <w:rPr>
          <w:rFonts w:ascii="Times New Roman" w:hAnsi="Times New Roman" w:cs="Times New Roman"/>
          <w:vanish/>
          <w:sz w:val="24"/>
          <w:szCs w:val="24"/>
        </w:rPr>
      </w:pPr>
      <w:r w:rsidRPr="00451B44">
        <w:rPr>
          <w:rFonts w:ascii="Times New Roman" w:hAnsi="Times New Roman" w:cs="Times New Roman"/>
          <w:sz w:val="24"/>
          <w:szCs w:val="24"/>
        </w:rPr>
        <w:t>Sphingolipids are ubiquitous constit</w:t>
      </w:r>
      <w:r>
        <w:rPr>
          <w:rFonts w:ascii="Times New Roman" w:hAnsi="Times New Roman" w:cs="Times New Roman"/>
          <w:sz w:val="24"/>
          <w:szCs w:val="24"/>
        </w:rPr>
        <w:t>uents of</w:t>
      </w:r>
      <w:r w:rsidRPr="00451B44">
        <w:rPr>
          <w:rFonts w:ascii="Times New Roman" w:hAnsi="Times New Roman" w:cs="Times New Roman"/>
          <w:sz w:val="24"/>
          <w:szCs w:val="24"/>
        </w:rPr>
        <w:t xml:space="preserve"> eukaryotic c</w:t>
      </w:r>
      <w:r>
        <w:rPr>
          <w:rFonts w:ascii="Times New Roman" w:hAnsi="Times New Roman" w:cs="Times New Roman"/>
          <w:sz w:val="24"/>
          <w:szCs w:val="24"/>
        </w:rPr>
        <w:t>ells and in their complex forms they constitute</w:t>
      </w:r>
      <w:r w:rsidRPr="00451B44">
        <w:rPr>
          <w:rFonts w:ascii="Times New Roman" w:hAnsi="Times New Roman" w:cs="Times New Roman"/>
          <w:sz w:val="24"/>
          <w:szCs w:val="24"/>
        </w:rPr>
        <w:t xml:space="preserve"> major components of cell membranes. They are thought to protect the cell surface by forming part of the chemically resistant and mechanically strong outer shell of the lipid bilayer </w:t>
      </w:r>
      <w:r w:rsidRPr="00451B44">
        <w:rPr>
          <w:rFonts w:ascii="Times New Roman" w:hAnsi="Times New Roman" w:cs="Times New Roman"/>
          <w:noProof/>
          <w:sz w:val="24"/>
          <w:szCs w:val="24"/>
        </w:rPr>
        <w:t>(Takabe</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2008)</w:t>
      </w:r>
      <w:r w:rsidRPr="00451B44">
        <w:rPr>
          <w:rFonts w:ascii="Times New Roman" w:hAnsi="Times New Roman" w:cs="Times New Roman"/>
          <w:sz w:val="24"/>
          <w:szCs w:val="24"/>
        </w:rPr>
        <w:t>. In plants, sphingolipids account for as much as 40% of the plasma membrane and tonoplast lipids (Markham</w:t>
      </w:r>
      <w:r w:rsidRPr="00451B44">
        <w:rPr>
          <w:rFonts w:ascii="Times New Roman" w:hAnsi="Times New Roman" w:cs="Times New Roman"/>
          <w:i/>
          <w:iCs/>
          <w:sz w:val="24"/>
          <w:szCs w:val="24"/>
        </w:rPr>
        <w:t xml:space="preserve"> et al.</w:t>
      </w:r>
      <w:r w:rsidRPr="00451B44">
        <w:rPr>
          <w:rFonts w:ascii="Times New Roman" w:hAnsi="Times New Roman" w:cs="Times New Roman"/>
          <w:sz w:val="24"/>
          <w:szCs w:val="24"/>
        </w:rPr>
        <w:t>, 2006, Sperling</w:t>
      </w:r>
      <w:r w:rsidRPr="00451B44">
        <w:rPr>
          <w:rFonts w:ascii="Times New Roman" w:hAnsi="Times New Roman" w:cs="Times New Roman"/>
          <w:i/>
          <w:iCs/>
          <w:sz w:val="24"/>
          <w:szCs w:val="24"/>
        </w:rPr>
        <w:t xml:space="preserve"> et al.</w:t>
      </w:r>
      <w:r w:rsidRPr="00451B44">
        <w:rPr>
          <w:rFonts w:ascii="Times New Roman" w:hAnsi="Times New Roman" w:cs="Times New Roman"/>
          <w:sz w:val="24"/>
          <w:szCs w:val="24"/>
        </w:rPr>
        <w:t>, 2005)</w:t>
      </w:r>
      <w:r>
        <w:rPr>
          <w:rFonts w:ascii="Times New Roman" w:hAnsi="Times New Roman" w:cs="Times New Roman"/>
          <w:sz w:val="24"/>
          <w:szCs w:val="24"/>
        </w:rPr>
        <w:t xml:space="preserve"> and altering</w:t>
      </w:r>
      <w:r w:rsidRPr="00451B44">
        <w:rPr>
          <w:rFonts w:ascii="Times New Roman" w:hAnsi="Times New Roman" w:cs="Times New Roman"/>
          <w:sz w:val="24"/>
          <w:szCs w:val="24"/>
        </w:rPr>
        <w:t xml:space="preserve"> sp</w:t>
      </w:r>
      <w:r>
        <w:rPr>
          <w:rFonts w:ascii="Times New Roman" w:hAnsi="Times New Roman" w:cs="Times New Roman"/>
          <w:sz w:val="24"/>
          <w:szCs w:val="24"/>
        </w:rPr>
        <w:t xml:space="preserve">hingolipid metabolism often leads to </w:t>
      </w:r>
      <w:r w:rsidRPr="00451B44">
        <w:rPr>
          <w:rFonts w:ascii="Times New Roman" w:hAnsi="Times New Roman" w:cs="Times New Roman"/>
          <w:sz w:val="24"/>
          <w:szCs w:val="24"/>
        </w:rPr>
        <w:t>embryo lethality</w:t>
      </w:r>
      <w:r>
        <w:rPr>
          <w:rFonts w:ascii="Times New Roman" w:hAnsi="Times New Roman" w:cs="Times New Roman"/>
          <w:sz w:val="24"/>
          <w:szCs w:val="24"/>
        </w:rPr>
        <w:t xml:space="preserve"> in</w:t>
      </w:r>
      <w:r w:rsidRPr="00451B44">
        <w:rPr>
          <w:rFonts w:ascii="Times New Roman" w:hAnsi="Times New Roman" w:cs="Times New Roman"/>
          <w:sz w:val="24"/>
          <w:szCs w:val="24"/>
        </w:rPr>
        <w:t xml:space="preserve"> </w:t>
      </w:r>
      <w:r w:rsidRPr="00451B44">
        <w:rPr>
          <w:rFonts w:ascii="Times New Roman" w:hAnsi="Times New Roman" w:cs="Times New Roman"/>
          <w:i/>
          <w:iCs/>
          <w:sz w:val="24"/>
          <w:szCs w:val="24"/>
        </w:rPr>
        <w:t>Arabidopsis</w:t>
      </w:r>
      <w:r w:rsidRPr="00451B44">
        <w:rPr>
          <w:rFonts w:ascii="Times New Roman" w:hAnsi="Times New Roman" w:cs="Times New Roman"/>
          <w:sz w:val="24"/>
          <w:szCs w:val="24"/>
        </w:rPr>
        <w:t xml:space="preserve"> </w:t>
      </w:r>
      <w:r w:rsidRPr="00451B44">
        <w:rPr>
          <w:rFonts w:ascii="Times New Roman" w:hAnsi="Times New Roman" w:cs="Times New Roman"/>
          <w:noProof/>
          <w:sz w:val="24"/>
          <w:szCs w:val="24"/>
        </w:rPr>
        <w:t>(Chen</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2006)</w:t>
      </w:r>
      <w:r w:rsidRPr="00451B44">
        <w:rPr>
          <w:rFonts w:ascii="Times New Roman" w:hAnsi="Times New Roman" w:cs="Times New Roman"/>
          <w:sz w:val="24"/>
          <w:szCs w:val="24"/>
        </w:rPr>
        <w:t xml:space="preserve">. </w:t>
      </w:r>
    </w:p>
    <w:p w:rsidR="004B4E5E" w:rsidRPr="00451B44" w:rsidRDefault="004B4E5E" w:rsidP="002B4B8D">
      <w:pPr>
        <w:spacing w:line="480" w:lineRule="auto"/>
        <w:rPr>
          <w:rFonts w:ascii="Times New Roman" w:hAnsi="Times New Roman" w:cs="Times New Roman"/>
          <w:sz w:val="24"/>
          <w:szCs w:val="24"/>
        </w:rPr>
      </w:pPr>
      <w:r w:rsidRPr="00451B44">
        <w:rPr>
          <w:rFonts w:ascii="Times New Roman" w:hAnsi="Times New Roman" w:cs="Times New Roman"/>
          <w:sz w:val="24"/>
          <w:szCs w:val="24"/>
        </w:rPr>
        <w:t xml:space="preserve">Sphingolipids are integral players in many processes in eukaryotic organisms such as in the response to heat stress, cell proliferation, cell growth, apoptosis and PCD (Chalfant and Spiegel, 2005, Jenkins, 2003, Spiegel and Milstien, 2003, Wallis and Browse, 2010). In animals, their involvement in so many wide-ranging processes is due to their functionality both in and outside the cell, where amongst other targets, they are ligands of five specific G protein-coupled cell surface receptors (GPCRs) (Spiegel and Milstien, 2003). </w:t>
      </w:r>
    </w:p>
    <w:p w:rsidR="004B4E5E" w:rsidRPr="004E56A1" w:rsidRDefault="004B4E5E" w:rsidP="002B4B8D">
      <w:pPr>
        <w:spacing w:line="480" w:lineRule="auto"/>
        <w:rPr>
          <w:rFonts w:ascii="Times New Roman" w:hAnsi="Times New Roman" w:cs="Times New Roman"/>
          <w:sz w:val="24"/>
          <w:szCs w:val="24"/>
        </w:rPr>
      </w:pPr>
      <w:r>
        <w:rPr>
          <w:rFonts w:ascii="Times New Roman" w:hAnsi="Times New Roman" w:cs="Times New Roman"/>
          <w:sz w:val="24"/>
          <w:szCs w:val="24"/>
        </w:rPr>
        <w:t>Several</w:t>
      </w:r>
      <w:r w:rsidRPr="00451B44">
        <w:rPr>
          <w:rFonts w:ascii="Times New Roman" w:hAnsi="Times New Roman" w:cs="Times New Roman"/>
          <w:sz w:val="24"/>
          <w:szCs w:val="24"/>
        </w:rPr>
        <w:t xml:space="preserve"> comprehensive reviews have been published recently detailing the structure, metabolism and function of sphingolipids in plants (Lynch and Dunn, 2004, Pata</w:t>
      </w:r>
      <w:r w:rsidRPr="00451B44">
        <w:rPr>
          <w:rFonts w:ascii="Times New Roman" w:hAnsi="Times New Roman" w:cs="Times New Roman"/>
          <w:i/>
          <w:iCs/>
          <w:sz w:val="24"/>
          <w:szCs w:val="24"/>
        </w:rPr>
        <w:t xml:space="preserve"> et al.</w:t>
      </w:r>
      <w:r w:rsidRPr="00451B44">
        <w:rPr>
          <w:rFonts w:ascii="Times New Roman" w:hAnsi="Times New Roman" w:cs="Times New Roman"/>
          <w:sz w:val="24"/>
          <w:szCs w:val="24"/>
        </w:rPr>
        <w:t>, 2010, Sperling and Heinz, 2003). Plant sphingolipids are composed of a relatively simple long base chain (LCB) of 18 carbons (a sphingoid base) bound to a fatty acid via an amide link. LCBs or fatty acids can differ due to the addition or subtraction of hydroxyl groups and the degree of unsaturation. In addition, the fatty acid can contain between 16 to 26 carbon atoms and sphingolipids can also have phosphate groups attached. Taking this wealth of possible structural modifications into account and allowing for stereoisomers of some of these molecules, the number of probable individual sphingolipids is vast.</w:t>
      </w:r>
    </w:p>
    <w:p w:rsidR="004B4E5E" w:rsidRPr="00451B44" w:rsidRDefault="004B4E5E" w:rsidP="002B4B8D">
      <w:pPr>
        <w:spacing w:line="480" w:lineRule="auto"/>
        <w:rPr>
          <w:rFonts w:ascii="Times New Roman" w:hAnsi="Times New Roman" w:cs="Times New Roman"/>
          <w:sz w:val="24"/>
          <w:szCs w:val="24"/>
        </w:rPr>
      </w:pPr>
      <w:r w:rsidRPr="00451B44">
        <w:rPr>
          <w:rFonts w:ascii="Times New Roman" w:hAnsi="Times New Roman" w:cs="Times New Roman"/>
          <w:sz w:val="24"/>
          <w:szCs w:val="24"/>
          <w:lang w:val="en-GB"/>
        </w:rPr>
        <w:t xml:space="preserve">Early research into sphingolipid-mediated PCD, identified the sphingolipid metabolites </w:t>
      </w:r>
      <w:r w:rsidRPr="00451B44">
        <w:rPr>
          <w:rFonts w:ascii="Times New Roman" w:hAnsi="Times New Roman" w:cs="Times New Roman"/>
          <w:sz w:val="24"/>
          <w:szCs w:val="24"/>
        </w:rPr>
        <w:t xml:space="preserve">S1P </w:t>
      </w:r>
      <w:r w:rsidRPr="00451B44">
        <w:rPr>
          <w:rFonts w:ascii="Times New Roman" w:hAnsi="Times New Roman" w:cs="Times New Roman"/>
          <w:sz w:val="24"/>
          <w:szCs w:val="24"/>
          <w:lang w:val="en-GB"/>
        </w:rPr>
        <w:t xml:space="preserve">and ceramide as important signalling molecules in cell fate decisions </w:t>
      </w:r>
      <w:r w:rsidRPr="00451B44">
        <w:rPr>
          <w:rFonts w:ascii="Times New Roman" w:hAnsi="Times New Roman" w:cs="Times New Roman"/>
          <w:sz w:val="24"/>
          <w:szCs w:val="24"/>
        </w:rPr>
        <w:t>(Taha</w:t>
      </w:r>
      <w:r w:rsidRPr="00451B44">
        <w:rPr>
          <w:rFonts w:ascii="Times New Roman" w:hAnsi="Times New Roman" w:cs="Times New Roman"/>
          <w:i/>
          <w:iCs/>
          <w:sz w:val="24"/>
          <w:szCs w:val="24"/>
        </w:rPr>
        <w:t xml:space="preserve"> et al.</w:t>
      </w:r>
      <w:r w:rsidRPr="00451B44">
        <w:rPr>
          <w:rFonts w:ascii="Times New Roman" w:hAnsi="Times New Roman" w:cs="Times New Roman"/>
          <w:sz w:val="24"/>
          <w:szCs w:val="24"/>
        </w:rPr>
        <w:t>, 2006b). In mammalian cells, it has been suggested that ceramide is a pro apoptotic signal while S1P protects against death</w:t>
      </w:r>
      <w:r>
        <w:rPr>
          <w:rFonts w:ascii="Times New Roman" w:hAnsi="Times New Roman" w:cs="Times New Roman"/>
          <w:sz w:val="24"/>
          <w:szCs w:val="24"/>
        </w:rPr>
        <w:t xml:space="preserve">. </w:t>
      </w:r>
      <w:r w:rsidRPr="00451B44">
        <w:rPr>
          <w:rFonts w:ascii="Times New Roman" w:hAnsi="Times New Roman" w:cs="Times New Roman"/>
          <w:sz w:val="24"/>
          <w:szCs w:val="24"/>
        </w:rPr>
        <w:t xml:space="preserve">Cuvillier </w:t>
      </w:r>
      <w:r w:rsidRPr="00451B44">
        <w:rPr>
          <w:rFonts w:ascii="Times New Roman" w:hAnsi="Times New Roman" w:cs="Times New Roman"/>
          <w:i/>
          <w:iCs/>
          <w:sz w:val="24"/>
          <w:szCs w:val="24"/>
        </w:rPr>
        <w:t>et al</w:t>
      </w:r>
      <w:r w:rsidRPr="00451B44">
        <w:rPr>
          <w:rFonts w:ascii="Times New Roman" w:hAnsi="Times New Roman" w:cs="Times New Roman"/>
          <w:sz w:val="24"/>
          <w:szCs w:val="24"/>
        </w:rPr>
        <w:t>. (1996)</w:t>
      </w:r>
      <w:r>
        <w:rPr>
          <w:rFonts w:ascii="Times New Roman" w:hAnsi="Times New Roman" w:cs="Times New Roman"/>
          <w:sz w:val="24"/>
          <w:szCs w:val="24"/>
        </w:rPr>
        <w:t xml:space="preserve"> </w:t>
      </w:r>
      <w:r w:rsidRPr="00451B44">
        <w:rPr>
          <w:rFonts w:ascii="Times New Roman" w:hAnsi="Times New Roman" w:cs="Times New Roman"/>
          <w:sz w:val="24"/>
          <w:szCs w:val="24"/>
        </w:rPr>
        <w:t>found that ceramide-induced apoptosis was atten</w:t>
      </w:r>
      <w:r>
        <w:rPr>
          <w:rFonts w:ascii="Times New Roman" w:hAnsi="Times New Roman" w:cs="Times New Roman"/>
          <w:sz w:val="24"/>
          <w:szCs w:val="24"/>
        </w:rPr>
        <w:t>uated by the application of S1P, i</w:t>
      </w:r>
      <w:r w:rsidRPr="00451B44">
        <w:rPr>
          <w:rFonts w:ascii="Times New Roman" w:hAnsi="Times New Roman" w:cs="Times New Roman"/>
          <w:sz w:val="24"/>
          <w:szCs w:val="24"/>
        </w:rPr>
        <w:t xml:space="preserve">n addition, they found that inhibition of sphingosine kinase induces apoptosis but death is attenuated by the application of exogenous S1P. Furthermore, Cuvillier </w:t>
      </w:r>
      <w:r w:rsidRPr="00451B44">
        <w:rPr>
          <w:rFonts w:ascii="Times New Roman" w:hAnsi="Times New Roman" w:cs="Times New Roman"/>
          <w:i/>
          <w:iCs/>
          <w:sz w:val="24"/>
          <w:szCs w:val="24"/>
        </w:rPr>
        <w:t>et al.</w:t>
      </w:r>
      <w:r w:rsidRPr="00451B44">
        <w:rPr>
          <w:rFonts w:ascii="Times New Roman" w:hAnsi="Times New Roman" w:cs="Times New Roman"/>
          <w:sz w:val="24"/>
          <w:szCs w:val="24"/>
        </w:rPr>
        <w:t xml:space="preserve"> </w:t>
      </w:r>
      <w:r w:rsidRPr="00451B44">
        <w:rPr>
          <w:rFonts w:ascii="Times New Roman" w:hAnsi="Times New Roman" w:cs="Times New Roman"/>
          <w:noProof/>
          <w:sz w:val="24"/>
          <w:szCs w:val="24"/>
        </w:rPr>
        <w:t>(1998)</w:t>
      </w:r>
      <w:r w:rsidRPr="00451B44">
        <w:rPr>
          <w:rFonts w:ascii="Times New Roman" w:hAnsi="Times New Roman" w:cs="Times New Roman"/>
          <w:sz w:val="24"/>
          <w:szCs w:val="24"/>
        </w:rPr>
        <w:t xml:space="preserve"> found that S1P protected against apoptosis in serum deprived hippocampal neuron</w:t>
      </w:r>
      <w:r>
        <w:rPr>
          <w:rFonts w:ascii="Times New Roman" w:hAnsi="Times New Roman" w:cs="Times New Roman"/>
          <w:sz w:val="24"/>
          <w:szCs w:val="24"/>
        </w:rPr>
        <w:t xml:space="preserve">al cells </w:t>
      </w:r>
      <w:r w:rsidRPr="00451B44">
        <w:rPr>
          <w:rFonts w:ascii="Times New Roman" w:hAnsi="Times New Roman" w:cs="Times New Roman"/>
          <w:sz w:val="24"/>
          <w:szCs w:val="24"/>
        </w:rPr>
        <w:t xml:space="preserve">and Colombaioni </w:t>
      </w:r>
      <w:r w:rsidRPr="00451B44">
        <w:rPr>
          <w:rFonts w:ascii="Times New Roman" w:hAnsi="Times New Roman" w:cs="Times New Roman"/>
          <w:i/>
          <w:iCs/>
          <w:sz w:val="24"/>
          <w:szCs w:val="24"/>
        </w:rPr>
        <w:t>et al.</w:t>
      </w:r>
      <w:r w:rsidRPr="00451B44">
        <w:rPr>
          <w:rFonts w:ascii="Times New Roman" w:hAnsi="Times New Roman" w:cs="Times New Roman"/>
          <w:sz w:val="24"/>
          <w:szCs w:val="24"/>
        </w:rPr>
        <w:t xml:space="preserve"> </w:t>
      </w:r>
      <w:r w:rsidRPr="00451B44">
        <w:rPr>
          <w:rFonts w:ascii="Times New Roman" w:hAnsi="Times New Roman" w:cs="Times New Roman"/>
          <w:noProof/>
          <w:sz w:val="24"/>
          <w:szCs w:val="24"/>
        </w:rPr>
        <w:t>(2002)</w:t>
      </w:r>
      <w:r w:rsidRPr="00451B44">
        <w:rPr>
          <w:rFonts w:ascii="Times New Roman" w:hAnsi="Times New Roman" w:cs="Times New Roman"/>
          <w:sz w:val="24"/>
          <w:szCs w:val="24"/>
        </w:rPr>
        <w:t xml:space="preserve"> used thin layer chromatography to identify an endogenous rise in ceramide a</w:t>
      </w:r>
      <w:r>
        <w:rPr>
          <w:rFonts w:ascii="Times New Roman" w:hAnsi="Times New Roman" w:cs="Times New Roman"/>
          <w:sz w:val="24"/>
          <w:szCs w:val="24"/>
        </w:rPr>
        <w:t>fter the same treatment. I</w:t>
      </w:r>
      <w:r w:rsidRPr="00451B44">
        <w:rPr>
          <w:rFonts w:ascii="Times New Roman" w:hAnsi="Times New Roman" w:cs="Times New Roman"/>
          <w:sz w:val="24"/>
          <w:szCs w:val="24"/>
        </w:rPr>
        <w:t>t is now hypothesi</w:t>
      </w:r>
      <w:r>
        <w:rPr>
          <w:rFonts w:ascii="Times New Roman" w:hAnsi="Times New Roman" w:cs="Times New Roman"/>
          <w:sz w:val="24"/>
          <w:szCs w:val="24"/>
        </w:rPr>
        <w:t>z</w:t>
      </w:r>
      <w:r w:rsidRPr="00451B44">
        <w:rPr>
          <w:rFonts w:ascii="Times New Roman" w:hAnsi="Times New Roman" w:cs="Times New Roman"/>
          <w:sz w:val="24"/>
          <w:szCs w:val="24"/>
        </w:rPr>
        <w:t xml:space="preserve">ed that </w:t>
      </w:r>
      <w:r>
        <w:rPr>
          <w:rFonts w:ascii="Times New Roman" w:hAnsi="Times New Roman" w:cs="Times New Roman"/>
          <w:sz w:val="24"/>
          <w:szCs w:val="24"/>
        </w:rPr>
        <w:t xml:space="preserve">in animal cells </w:t>
      </w:r>
      <w:r w:rsidRPr="00451B44">
        <w:rPr>
          <w:rFonts w:ascii="Times New Roman" w:hAnsi="Times New Roman" w:cs="Times New Roman"/>
          <w:sz w:val="24"/>
          <w:szCs w:val="24"/>
        </w:rPr>
        <w:t xml:space="preserve">a </w:t>
      </w:r>
      <w:r>
        <w:rPr>
          <w:rFonts w:ascii="Times New Roman" w:hAnsi="Times New Roman" w:cs="Times New Roman"/>
          <w:sz w:val="24"/>
          <w:szCs w:val="24"/>
        </w:rPr>
        <w:t xml:space="preserve">sphingolipid </w:t>
      </w:r>
      <w:r w:rsidRPr="00451B44">
        <w:rPr>
          <w:rFonts w:ascii="Times New Roman" w:hAnsi="Times New Roman" w:cs="Times New Roman"/>
          <w:sz w:val="24"/>
          <w:szCs w:val="24"/>
        </w:rPr>
        <w:t xml:space="preserve">rheostat </w:t>
      </w:r>
      <w:r>
        <w:rPr>
          <w:rFonts w:ascii="Times New Roman" w:hAnsi="Times New Roman" w:cs="Times New Roman"/>
          <w:sz w:val="24"/>
          <w:szCs w:val="24"/>
        </w:rPr>
        <w:t xml:space="preserve">exists which determines cell fate, </w:t>
      </w:r>
      <w:r w:rsidRPr="00451B44">
        <w:rPr>
          <w:rFonts w:ascii="Times New Roman" w:hAnsi="Times New Roman" w:cs="Times New Roman"/>
          <w:sz w:val="24"/>
          <w:szCs w:val="24"/>
        </w:rPr>
        <w:t>with the relative levels of intercellular ceramide and S1P being the key players (Hait</w:t>
      </w:r>
      <w:r w:rsidRPr="00451B44">
        <w:rPr>
          <w:rFonts w:ascii="Times New Roman" w:hAnsi="Times New Roman" w:cs="Times New Roman"/>
          <w:i/>
          <w:iCs/>
          <w:sz w:val="24"/>
          <w:szCs w:val="24"/>
        </w:rPr>
        <w:t xml:space="preserve"> et al.</w:t>
      </w:r>
      <w:r w:rsidRPr="00451B44">
        <w:rPr>
          <w:rFonts w:ascii="Times New Roman" w:hAnsi="Times New Roman" w:cs="Times New Roman"/>
          <w:sz w:val="24"/>
          <w:szCs w:val="24"/>
        </w:rPr>
        <w:t xml:space="preserve">, 2006). </w:t>
      </w:r>
    </w:p>
    <w:p w:rsidR="004B4E5E" w:rsidRDefault="004B4E5E" w:rsidP="000B2C2C">
      <w:pPr>
        <w:autoSpaceDE w:val="0"/>
        <w:autoSpaceDN w:val="0"/>
        <w:adjustRightInd w:val="0"/>
        <w:spacing w:after="0" w:line="480" w:lineRule="auto"/>
        <w:rPr>
          <w:rFonts w:ascii="Times New Roman" w:hAnsi="Times New Roman" w:cs="Times New Roman"/>
          <w:sz w:val="24"/>
          <w:szCs w:val="24"/>
        </w:rPr>
      </w:pPr>
      <w:r w:rsidRPr="00451B44">
        <w:rPr>
          <w:rFonts w:ascii="Times New Roman" w:hAnsi="Times New Roman" w:cs="Times New Roman"/>
          <w:sz w:val="24"/>
          <w:szCs w:val="24"/>
        </w:rPr>
        <w:t xml:space="preserve">Evidence exists to suggest that sphingolipids also modulate cell fate in plant cells. For example, numerous plant-based studies suggest that fumonisin B1 (FB1) and </w:t>
      </w:r>
      <w:r w:rsidRPr="00451B44">
        <w:rPr>
          <w:rFonts w:ascii="Times New Roman" w:hAnsi="Times New Roman" w:cs="Times New Roman"/>
          <w:i/>
          <w:iCs/>
          <w:sz w:val="24"/>
          <w:szCs w:val="24"/>
        </w:rPr>
        <w:t xml:space="preserve">Alternaria alternate lycopersici </w:t>
      </w:r>
      <w:r w:rsidRPr="00451B44">
        <w:rPr>
          <w:rFonts w:ascii="Times New Roman" w:hAnsi="Times New Roman" w:cs="Times New Roman"/>
          <w:sz w:val="24"/>
          <w:szCs w:val="24"/>
        </w:rPr>
        <w:t>(AAL) toxin cause apoptotic cell death in various species by inhibiting ceramide</w:t>
      </w:r>
      <w:r>
        <w:rPr>
          <w:rFonts w:ascii="Times New Roman" w:hAnsi="Times New Roman" w:cs="Times New Roman"/>
          <w:sz w:val="24"/>
          <w:szCs w:val="24"/>
        </w:rPr>
        <w:t xml:space="preserve"> synthase activity. </w:t>
      </w:r>
      <w:r w:rsidRPr="00451B44">
        <w:rPr>
          <w:rFonts w:ascii="Times New Roman" w:hAnsi="Times New Roman" w:cs="Times New Roman"/>
          <w:sz w:val="24"/>
          <w:szCs w:val="24"/>
        </w:rPr>
        <w:t xml:space="preserve">Asai </w:t>
      </w:r>
      <w:r w:rsidRPr="00451B44">
        <w:rPr>
          <w:rFonts w:ascii="Times New Roman" w:hAnsi="Times New Roman" w:cs="Times New Roman"/>
          <w:i/>
          <w:iCs/>
          <w:sz w:val="24"/>
          <w:szCs w:val="24"/>
        </w:rPr>
        <w:t>et al.</w:t>
      </w:r>
      <w:r w:rsidRPr="00451B44">
        <w:rPr>
          <w:rFonts w:ascii="Times New Roman" w:hAnsi="Times New Roman" w:cs="Times New Roman"/>
          <w:sz w:val="24"/>
          <w:szCs w:val="24"/>
        </w:rPr>
        <w:t xml:space="preserve"> </w:t>
      </w:r>
      <w:r w:rsidRPr="00451B44">
        <w:rPr>
          <w:rFonts w:ascii="Times New Roman" w:hAnsi="Times New Roman" w:cs="Times New Roman"/>
          <w:noProof/>
          <w:sz w:val="24"/>
          <w:szCs w:val="24"/>
        </w:rPr>
        <w:t>(2000)</w:t>
      </w:r>
      <w:r w:rsidRPr="00451B44">
        <w:rPr>
          <w:rFonts w:ascii="Times New Roman" w:hAnsi="Times New Roman" w:cs="Times New Roman"/>
          <w:sz w:val="24"/>
          <w:szCs w:val="24"/>
        </w:rPr>
        <w:t xml:space="preserve"> found that the fungal toxin FB1 induces PCD in </w:t>
      </w:r>
      <w:r w:rsidRPr="00451B44">
        <w:rPr>
          <w:rFonts w:ascii="Times New Roman" w:hAnsi="Times New Roman" w:cs="Times New Roman"/>
          <w:i/>
          <w:iCs/>
          <w:sz w:val="24"/>
          <w:szCs w:val="24"/>
        </w:rPr>
        <w:t>Arabidopsis</w:t>
      </w:r>
      <w:r w:rsidRPr="00451B44">
        <w:rPr>
          <w:rFonts w:ascii="Times New Roman" w:hAnsi="Times New Roman" w:cs="Times New Roman"/>
          <w:sz w:val="24"/>
          <w:szCs w:val="24"/>
        </w:rPr>
        <w:t xml:space="preserve"> protoplasts and this death depends on the jasmonate, ethylene, and salicylic acid signalling pathways indicating that in concert with an array of </w:t>
      </w:r>
      <w:r>
        <w:rPr>
          <w:rFonts w:ascii="Times New Roman" w:hAnsi="Times New Roman" w:cs="Times New Roman"/>
          <w:sz w:val="24"/>
          <w:szCs w:val="24"/>
        </w:rPr>
        <w:t>plant growth regulator (</w:t>
      </w:r>
      <w:r w:rsidRPr="00451B44">
        <w:rPr>
          <w:rFonts w:ascii="Times New Roman" w:hAnsi="Times New Roman" w:cs="Times New Roman"/>
          <w:sz w:val="24"/>
          <w:szCs w:val="24"/>
        </w:rPr>
        <w:t>PGR</w:t>
      </w:r>
      <w:r>
        <w:rPr>
          <w:rFonts w:ascii="Times New Roman" w:hAnsi="Times New Roman" w:cs="Times New Roman"/>
          <w:sz w:val="24"/>
          <w:szCs w:val="24"/>
        </w:rPr>
        <w:t>)</w:t>
      </w:r>
      <w:r w:rsidRPr="00451B44">
        <w:rPr>
          <w:rFonts w:ascii="Times New Roman" w:hAnsi="Times New Roman" w:cs="Times New Roman"/>
          <w:sz w:val="24"/>
          <w:szCs w:val="24"/>
        </w:rPr>
        <w:t xml:space="preserve"> signalling pathways, sphingolipids are integral in the HR. Further investigation of SPT subunits used a mutant of LCB1 named </w:t>
      </w:r>
      <w:r w:rsidRPr="00451B44">
        <w:rPr>
          <w:rFonts w:ascii="Times New Roman" w:hAnsi="Times New Roman" w:cs="Times New Roman"/>
          <w:i/>
          <w:iCs/>
          <w:sz w:val="24"/>
          <w:szCs w:val="24"/>
        </w:rPr>
        <w:t xml:space="preserve">fumonisin B1 resistant11-1 </w:t>
      </w:r>
      <w:r w:rsidRPr="00451B44">
        <w:rPr>
          <w:rFonts w:ascii="Times New Roman" w:hAnsi="Times New Roman" w:cs="Times New Roman"/>
          <w:sz w:val="24"/>
          <w:szCs w:val="24"/>
        </w:rPr>
        <w:t>(</w:t>
      </w:r>
      <w:r w:rsidRPr="00451B44">
        <w:rPr>
          <w:rFonts w:ascii="Times New Roman" w:hAnsi="Times New Roman" w:cs="Times New Roman"/>
          <w:i/>
          <w:iCs/>
          <w:sz w:val="24"/>
          <w:szCs w:val="24"/>
        </w:rPr>
        <w:t>fbr11-1</w:t>
      </w:r>
      <w:r w:rsidRPr="00451B44">
        <w:rPr>
          <w:rFonts w:ascii="Times New Roman" w:hAnsi="Times New Roman" w:cs="Times New Roman"/>
          <w:sz w:val="24"/>
          <w:szCs w:val="24"/>
        </w:rPr>
        <w:t xml:space="preserve">). This mutant was unable to initiate PCD when treated with FB1 but direct feeding experiments showed that the LCBs dihydrosphingosine, phytosphingosine and sphingosine induced ROS which induced cell death. Later research which focused on examining internal levels of ceramide, found that FB1 and AAL toxin also inhibited ceramide synthase, causing higher levels of PCD in tomato leaves. In these experiments, analysis of sphingolipid metabolism changes in the dying cells showed that free LCBs accrued and disruption of sphingolipid synthesis occurred </w:t>
      </w:r>
      <w:r w:rsidRPr="00451B44">
        <w:rPr>
          <w:rFonts w:ascii="Times New Roman" w:hAnsi="Times New Roman" w:cs="Times New Roman"/>
          <w:noProof/>
          <w:sz w:val="24"/>
          <w:szCs w:val="24"/>
        </w:rPr>
        <w:t>(Spassieva</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2002)</w:t>
      </w:r>
      <w:r w:rsidRPr="00451B44">
        <w:rPr>
          <w:rFonts w:ascii="Times New Roman" w:hAnsi="Times New Roman" w:cs="Times New Roman"/>
          <w:sz w:val="24"/>
          <w:szCs w:val="24"/>
        </w:rPr>
        <w:t>.</w:t>
      </w:r>
    </w:p>
    <w:p w:rsidR="004B4E5E" w:rsidRPr="00451B44" w:rsidRDefault="004B4E5E" w:rsidP="002B4B8D">
      <w:pPr>
        <w:spacing w:line="480" w:lineRule="auto"/>
        <w:rPr>
          <w:rFonts w:ascii="Times New Roman" w:hAnsi="Times New Roman" w:cs="Times New Roman"/>
          <w:sz w:val="24"/>
          <w:szCs w:val="24"/>
        </w:rPr>
      </w:pPr>
      <w:r w:rsidRPr="00451B44">
        <w:rPr>
          <w:rFonts w:ascii="Times New Roman" w:hAnsi="Times New Roman" w:cs="Times New Roman"/>
          <w:sz w:val="24"/>
          <w:szCs w:val="24"/>
        </w:rPr>
        <w:t>More recent research shows that SphK1 and CerK may both be key determinants of the balance between cell death and cell survival. SphKs lipid kinases</w:t>
      </w:r>
      <w:r>
        <w:rPr>
          <w:rFonts w:ascii="Times New Roman" w:hAnsi="Times New Roman" w:cs="Times New Roman"/>
          <w:sz w:val="24"/>
          <w:szCs w:val="24"/>
        </w:rPr>
        <w:t xml:space="preserve">, </w:t>
      </w:r>
      <w:r w:rsidRPr="00451B44">
        <w:rPr>
          <w:rFonts w:ascii="Times New Roman" w:hAnsi="Times New Roman" w:cs="Times New Roman"/>
          <w:sz w:val="24"/>
          <w:szCs w:val="24"/>
        </w:rPr>
        <w:t>responsible for the phosphor</w:t>
      </w:r>
      <w:r>
        <w:rPr>
          <w:rFonts w:ascii="Times New Roman" w:hAnsi="Times New Roman" w:cs="Times New Roman"/>
          <w:sz w:val="24"/>
          <w:szCs w:val="24"/>
        </w:rPr>
        <w:t xml:space="preserve">ylation of sphingosine to S1P, </w:t>
      </w:r>
      <w:r w:rsidRPr="00451B44">
        <w:rPr>
          <w:rFonts w:ascii="Times New Roman" w:hAnsi="Times New Roman" w:cs="Times New Roman"/>
          <w:sz w:val="24"/>
          <w:szCs w:val="24"/>
        </w:rPr>
        <w:t>are evolutionary highly</w:t>
      </w:r>
      <w:r>
        <w:rPr>
          <w:rFonts w:ascii="Times New Roman" w:hAnsi="Times New Roman" w:cs="Times New Roman"/>
          <w:sz w:val="24"/>
          <w:szCs w:val="24"/>
        </w:rPr>
        <w:t xml:space="preserve"> conserved and have been identified</w:t>
      </w:r>
      <w:r w:rsidRPr="00451B44">
        <w:rPr>
          <w:rFonts w:ascii="Times New Roman" w:hAnsi="Times New Roman" w:cs="Times New Roman"/>
          <w:sz w:val="24"/>
          <w:szCs w:val="24"/>
        </w:rPr>
        <w:t xml:space="preserve"> in amoeba, yeast, </w:t>
      </w:r>
      <w:r w:rsidRPr="00451B44">
        <w:rPr>
          <w:rFonts w:ascii="Times New Roman" w:hAnsi="Times New Roman" w:cs="Times New Roman"/>
          <w:i/>
          <w:iCs/>
          <w:sz w:val="24"/>
          <w:szCs w:val="24"/>
        </w:rPr>
        <w:t>C. elegans,</w:t>
      </w:r>
      <w:r w:rsidRPr="00451B44">
        <w:rPr>
          <w:rFonts w:ascii="Times New Roman" w:hAnsi="Times New Roman" w:cs="Times New Roman"/>
          <w:sz w:val="24"/>
          <w:szCs w:val="24"/>
        </w:rPr>
        <w:t xml:space="preserve"> </w:t>
      </w:r>
      <w:r w:rsidRPr="00451B44">
        <w:rPr>
          <w:rFonts w:ascii="Times New Roman" w:hAnsi="Times New Roman" w:cs="Times New Roman"/>
          <w:i/>
          <w:iCs/>
          <w:sz w:val="24"/>
          <w:szCs w:val="24"/>
        </w:rPr>
        <w:t>Drosophila</w:t>
      </w:r>
      <w:r w:rsidR="00A05889" w:rsidRPr="00A05889">
        <w:rPr>
          <w:rFonts w:ascii="Times New Roman" w:hAnsi="Times New Roman" w:cs="Times New Roman"/>
          <w:i/>
          <w:sz w:val="24"/>
          <w:szCs w:val="24"/>
        </w:rPr>
        <w:t xml:space="preserve"> </w:t>
      </w:r>
      <w:r w:rsidR="00A05889" w:rsidRPr="00086ED6">
        <w:rPr>
          <w:rFonts w:ascii="Times New Roman" w:hAnsi="Times New Roman" w:cs="Times New Roman"/>
          <w:i/>
          <w:sz w:val="24"/>
          <w:szCs w:val="24"/>
        </w:rPr>
        <w:t>melanogaster</w:t>
      </w:r>
      <w:r w:rsidRPr="00451B44">
        <w:rPr>
          <w:rFonts w:ascii="Times New Roman" w:hAnsi="Times New Roman" w:cs="Times New Roman"/>
          <w:sz w:val="24"/>
          <w:szCs w:val="24"/>
        </w:rPr>
        <w:t xml:space="preserve"> and </w:t>
      </w:r>
      <w:r w:rsidRPr="00451B44">
        <w:rPr>
          <w:rFonts w:ascii="Times New Roman" w:hAnsi="Times New Roman" w:cs="Times New Roman"/>
          <w:i/>
          <w:iCs/>
          <w:sz w:val="24"/>
          <w:szCs w:val="24"/>
        </w:rPr>
        <w:t>A. thaliana</w:t>
      </w:r>
      <w:r w:rsidRPr="00451B44">
        <w:rPr>
          <w:rFonts w:ascii="Times New Roman" w:hAnsi="Times New Roman" w:cs="Times New Roman"/>
          <w:sz w:val="24"/>
          <w:szCs w:val="24"/>
        </w:rPr>
        <w:t xml:space="preserve"> </w:t>
      </w:r>
      <w:r w:rsidRPr="00451B44">
        <w:rPr>
          <w:rFonts w:ascii="Times New Roman" w:hAnsi="Times New Roman" w:cs="Times New Roman"/>
          <w:noProof/>
          <w:sz w:val="24"/>
          <w:szCs w:val="24"/>
        </w:rPr>
        <w:t>(Alemany</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2007)</w:t>
      </w:r>
      <w:r w:rsidRPr="00451B44">
        <w:rPr>
          <w:rFonts w:ascii="Times New Roman" w:hAnsi="Times New Roman" w:cs="Times New Roman"/>
          <w:sz w:val="24"/>
          <w:szCs w:val="24"/>
        </w:rPr>
        <w:t xml:space="preserve">. A recent addition to the family of bioactive sphingolipids that might play a role in plant PCD is ceramide-1-phosphate (C1P). Ceramide can be phosphorylated by ceramidases kinase (CerK) to form C1P </w:t>
      </w:r>
      <w:r>
        <w:rPr>
          <w:rFonts w:ascii="Times New Roman" w:hAnsi="Times New Roman" w:cs="Times New Roman"/>
          <w:sz w:val="24"/>
          <w:szCs w:val="24"/>
        </w:rPr>
        <w:t>(Chalfant and Spiegel, 2005, Liang</w:t>
      </w:r>
      <w:r w:rsidRPr="00B44A89">
        <w:rPr>
          <w:rFonts w:ascii="Times New Roman" w:hAnsi="Times New Roman" w:cs="Times New Roman"/>
          <w:i/>
          <w:iCs/>
          <w:sz w:val="24"/>
          <w:szCs w:val="24"/>
        </w:rPr>
        <w:t xml:space="preserve"> et al.</w:t>
      </w:r>
      <w:r>
        <w:rPr>
          <w:rFonts w:ascii="Times New Roman" w:hAnsi="Times New Roman" w:cs="Times New Roman"/>
          <w:sz w:val="24"/>
          <w:szCs w:val="24"/>
        </w:rPr>
        <w:t xml:space="preserve">, 2003). In mammalian cells, </w:t>
      </w:r>
      <w:r w:rsidRPr="00451B44">
        <w:rPr>
          <w:rFonts w:ascii="Times New Roman" w:hAnsi="Times New Roman" w:cs="Times New Roman"/>
          <w:sz w:val="24"/>
          <w:szCs w:val="24"/>
        </w:rPr>
        <w:t>SphKs have been shown to have differing substrate specificity and be differentially expressed at various stages of development</w:t>
      </w:r>
      <w:r>
        <w:rPr>
          <w:rFonts w:ascii="Times New Roman" w:hAnsi="Times New Roman" w:cs="Times New Roman"/>
          <w:sz w:val="24"/>
          <w:szCs w:val="24"/>
        </w:rPr>
        <w:t xml:space="preserve"> (Alemany</w:t>
      </w:r>
      <w:r w:rsidRPr="00A14D3B">
        <w:rPr>
          <w:rFonts w:ascii="Times New Roman" w:hAnsi="Times New Roman" w:cs="Times New Roman"/>
          <w:i/>
          <w:iCs/>
          <w:sz w:val="24"/>
          <w:szCs w:val="24"/>
        </w:rPr>
        <w:t xml:space="preserve"> et al.</w:t>
      </w:r>
      <w:r>
        <w:rPr>
          <w:rFonts w:ascii="Times New Roman" w:hAnsi="Times New Roman" w:cs="Times New Roman"/>
          <w:sz w:val="24"/>
          <w:szCs w:val="24"/>
        </w:rPr>
        <w:t>, 2007). T</w:t>
      </w:r>
      <w:r w:rsidRPr="00451B44">
        <w:rPr>
          <w:rFonts w:ascii="Times New Roman" w:hAnsi="Times New Roman" w:cs="Times New Roman"/>
          <w:sz w:val="24"/>
          <w:szCs w:val="24"/>
        </w:rPr>
        <w:t>w</w:t>
      </w:r>
      <w:r>
        <w:rPr>
          <w:rFonts w:ascii="Times New Roman" w:hAnsi="Times New Roman" w:cs="Times New Roman"/>
          <w:sz w:val="24"/>
          <w:szCs w:val="24"/>
        </w:rPr>
        <w:t>o isoforms of SphKs have been i</w:t>
      </w:r>
      <w:r w:rsidRPr="00451B44">
        <w:rPr>
          <w:rFonts w:ascii="Times New Roman" w:hAnsi="Times New Roman" w:cs="Times New Roman"/>
          <w:sz w:val="24"/>
          <w:szCs w:val="24"/>
        </w:rPr>
        <w:t>dentified in mammals; SphK1 and Sph</w:t>
      </w:r>
      <w:r>
        <w:rPr>
          <w:rFonts w:ascii="Times New Roman" w:hAnsi="Times New Roman" w:cs="Times New Roman"/>
          <w:sz w:val="24"/>
          <w:szCs w:val="24"/>
        </w:rPr>
        <w:t>K2 (Maceyka</w:t>
      </w:r>
      <w:r w:rsidRPr="00150745">
        <w:rPr>
          <w:rFonts w:ascii="Times New Roman" w:hAnsi="Times New Roman" w:cs="Times New Roman"/>
          <w:i/>
          <w:iCs/>
          <w:sz w:val="24"/>
          <w:szCs w:val="24"/>
        </w:rPr>
        <w:t xml:space="preserve"> et al.</w:t>
      </w:r>
      <w:r>
        <w:rPr>
          <w:rFonts w:ascii="Times New Roman" w:hAnsi="Times New Roman" w:cs="Times New Roman"/>
          <w:sz w:val="24"/>
          <w:szCs w:val="24"/>
        </w:rPr>
        <w:t xml:space="preserve">, 2005). </w:t>
      </w:r>
      <w:r w:rsidRPr="00451B44">
        <w:rPr>
          <w:rFonts w:ascii="Times New Roman" w:hAnsi="Times New Roman" w:cs="Times New Roman"/>
          <w:sz w:val="24"/>
          <w:szCs w:val="24"/>
        </w:rPr>
        <w:t xml:space="preserve">SphKs are activated by five specific GPCRs and three other putative GPCRs located on the cell surface </w:t>
      </w:r>
      <w:r w:rsidRPr="00451B44">
        <w:rPr>
          <w:rFonts w:ascii="Times New Roman" w:hAnsi="Times New Roman" w:cs="Times New Roman"/>
          <w:noProof/>
          <w:sz w:val="24"/>
          <w:szCs w:val="24"/>
        </w:rPr>
        <w:t>(Takabe</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2008)</w:t>
      </w:r>
      <w:r w:rsidRPr="00451B44">
        <w:rPr>
          <w:rFonts w:ascii="Times New Roman" w:hAnsi="Times New Roman" w:cs="Times New Roman"/>
          <w:sz w:val="24"/>
          <w:szCs w:val="24"/>
        </w:rPr>
        <w:t xml:space="preserve">. The regulation of SphK1and SphK2 is poorly understood but SphK1 appears to promote cell growth while SphK2 promotes PCD. Although they appear to have opposing roles, Alemany </w:t>
      </w:r>
      <w:r w:rsidRPr="00451B44">
        <w:rPr>
          <w:rFonts w:ascii="Times New Roman" w:hAnsi="Times New Roman" w:cs="Times New Roman"/>
          <w:i/>
          <w:iCs/>
          <w:sz w:val="24"/>
          <w:szCs w:val="24"/>
        </w:rPr>
        <w:t>et al.</w:t>
      </w:r>
      <w:r w:rsidRPr="00451B44">
        <w:rPr>
          <w:rFonts w:ascii="Times New Roman" w:hAnsi="Times New Roman" w:cs="Times New Roman"/>
          <w:sz w:val="24"/>
          <w:szCs w:val="24"/>
        </w:rPr>
        <w:t xml:space="preserve"> </w:t>
      </w:r>
      <w:r w:rsidRPr="00451B44">
        <w:rPr>
          <w:rFonts w:ascii="Times New Roman" w:hAnsi="Times New Roman" w:cs="Times New Roman"/>
          <w:noProof/>
          <w:sz w:val="24"/>
          <w:szCs w:val="24"/>
        </w:rPr>
        <w:t>(2007)</w:t>
      </w:r>
      <w:r w:rsidRPr="00451B44">
        <w:rPr>
          <w:rFonts w:ascii="Times New Roman" w:hAnsi="Times New Roman" w:cs="Times New Roman"/>
          <w:sz w:val="24"/>
          <w:szCs w:val="24"/>
        </w:rPr>
        <w:t xml:space="preserve"> report that they can substitute for each other. Subsequently, Coursol </w:t>
      </w:r>
      <w:r w:rsidRPr="00451B44">
        <w:rPr>
          <w:rFonts w:ascii="Times New Roman" w:hAnsi="Times New Roman" w:cs="Times New Roman"/>
          <w:i/>
          <w:iCs/>
          <w:sz w:val="24"/>
          <w:szCs w:val="24"/>
        </w:rPr>
        <w:t>et al.</w:t>
      </w:r>
      <w:r w:rsidRPr="00451B44">
        <w:rPr>
          <w:rFonts w:ascii="Times New Roman" w:hAnsi="Times New Roman" w:cs="Times New Roman"/>
          <w:sz w:val="24"/>
          <w:szCs w:val="24"/>
        </w:rPr>
        <w:t xml:space="preserve"> </w:t>
      </w:r>
      <w:r w:rsidRPr="00451B44">
        <w:rPr>
          <w:rFonts w:ascii="Times New Roman" w:hAnsi="Times New Roman" w:cs="Times New Roman"/>
          <w:noProof/>
          <w:sz w:val="24"/>
          <w:szCs w:val="24"/>
        </w:rPr>
        <w:t>(2003)</w:t>
      </w:r>
      <w:r w:rsidRPr="00451B44">
        <w:rPr>
          <w:rFonts w:ascii="Times New Roman" w:hAnsi="Times New Roman" w:cs="Times New Roman"/>
          <w:sz w:val="24"/>
          <w:szCs w:val="24"/>
        </w:rPr>
        <w:t xml:space="preserve"> demonstrated the presence of SphK activity in </w:t>
      </w:r>
      <w:r w:rsidRPr="00451B44">
        <w:rPr>
          <w:rFonts w:ascii="Times New Roman" w:hAnsi="Times New Roman" w:cs="Times New Roman"/>
          <w:i/>
          <w:iCs/>
          <w:sz w:val="24"/>
          <w:szCs w:val="24"/>
        </w:rPr>
        <w:t>Arabidopsis</w:t>
      </w:r>
      <w:r w:rsidRPr="00451B44">
        <w:rPr>
          <w:rFonts w:ascii="Times New Roman" w:hAnsi="Times New Roman" w:cs="Times New Roman"/>
          <w:sz w:val="24"/>
          <w:szCs w:val="24"/>
        </w:rPr>
        <w:t xml:space="preserve"> and found that the enzyme activity is stimulated by ABA in mesophyll and guard cell protoplasts.  Furthermore, Co</w:t>
      </w:r>
      <w:r>
        <w:rPr>
          <w:rFonts w:ascii="Times New Roman" w:hAnsi="Times New Roman" w:cs="Times New Roman"/>
          <w:sz w:val="24"/>
          <w:szCs w:val="24"/>
        </w:rPr>
        <w:t>ursol’s group</w:t>
      </w:r>
      <w:r w:rsidRPr="00451B44">
        <w:rPr>
          <w:rFonts w:ascii="Times New Roman" w:hAnsi="Times New Roman" w:cs="Times New Roman"/>
          <w:sz w:val="24"/>
          <w:szCs w:val="24"/>
        </w:rPr>
        <w:t xml:space="preserve"> found that phytosphingosine can act as a substrate for </w:t>
      </w:r>
      <w:r w:rsidRPr="00451B44">
        <w:rPr>
          <w:rFonts w:ascii="Times New Roman" w:hAnsi="Times New Roman" w:cs="Times New Roman"/>
          <w:i/>
          <w:iCs/>
          <w:sz w:val="24"/>
          <w:szCs w:val="24"/>
        </w:rPr>
        <w:t>Arabidopsis</w:t>
      </w:r>
      <w:r w:rsidRPr="00451B44">
        <w:rPr>
          <w:rFonts w:ascii="Times New Roman" w:hAnsi="Times New Roman" w:cs="Times New Roman"/>
          <w:sz w:val="24"/>
          <w:szCs w:val="24"/>
        </w:rPr>
        <w:t xml:space="preserve"> SphK. Phytosphingosine is the most abundant LCB in plants and once phosphorylated, it can act as a regulator of guard cell aperture </w:t>
      </w:r>
      <w:r w:rsidRPr="00451B44">
        <w:rPr>
          <w:rFonts w:ascii="Times New Roman" w:hAnsi="Times New Roman" w:cs="Times New Roman"/>
          <w:noProof/>
          <w:sz w:val="24"/>
          <w:szCs w:val="24"/>
        </w:rPr>
        <w:t>(Coursol</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2005)</w:t>
      </w:r>
      <w:r w:rsidRPr="00451B44">
        <w:rPr>
          <w:rFonts w:ascii="Times New Roman" w:hAnsi="Times New Roman" w:cs="Times New Roman"/>
          <w:sz w:val="24"/>
          <w:szCs w:val="24"/>
        </w:rPr>
        <w:t>. Further investigations showed that knockdown of SphK in breast cancer cells causes a decrease in the internal level of S1P while at the same time increases the l</w:t>
      </w:r>
      <w:r>
        <w:rPr>
          <w:rFonts w:ascii="Times New Roman" w:hAnsi="Times New Roman" w:cs="Times New Roman"/>
          <w:sz w:val="24"/>
          <w:szCs w:val="24"/>
        </w:rPr>
        <w:t xml:space="preserve">evels of </w:t>
      </w:r>
      <w:r w:rsidRPr="00451B44">
        <w:rPr>
          <w:rFonts w:ascii="Times New Roman" w:hAnsi="Times New Roman" w:cs="Times New Roman"/>
          <w:sz w:val="24"/>
          <w:szCs w:val="24"/>
        </w:rPr>
        <w:t xml:space="preserve">ceramide  </w:t>
      </w:r>
      <w:r w:rsidRPr="00451B44">
        <w:rPr>
          <w:rFonts w:ascii="Times New Roman" w:hAnsi="Times New Roman" w:cs="Times New Roman"/>
          <w:noProof/>
          <w:sz w:val="24"/>
          <w:szCs w:val="24"/>
        </w:rPr>
        <w:t>(Taha</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2006a)</w:t>
      </w:r>
      <w:r w:rsidRPr="00451B44">
        <w:rPr>
          <w:rFonts w:ascii="Times New Roman" w:hAnsi="Times New Roman" w:cs="Times New Roman"/>
          <w:sz w:val="24"/>
          <w:szCs w:val="24"/>
        </w:rPr>
        <w:t xml:space="preserve">. Interestingly, ceramide levels have also been shown to increase when yeast cells are heat treated </w:t>
      </w:r>
      <w:r w:rsidRPr="00451B44">
        <w:rPr>
          <w:rFonts w:ascii="Times New Roman" w:hAnsi="Times New Roman" w:cs="Times New Roman"/>
          <w:noProof/>
          <w:sz w:val="24"/>
          <w:szCs w:val="24"/>
        </w:rPr>
        <w:t>(Mao</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1999)</w:t>
      </w:r>
      <w:r w:rsidRPr="00451B44">
        <w:rPr>
          <w:rFonts w:ascii="Times New Roman" w:hAnsi="Times New Roman" w:cs="Times New Roman"/>
          <w:sz w:val="24"/>
          <w:szCs w:val="24"/>
        </w:rPr>
        <w:t xml:space="preserve">. This large body of work adds convincing evidence for the existence of the sphingolipid rheostat that we mentioned previously. Research by Alden </w:t>
      </w:r>
      <w:r w:rsidRPr="00451B44">
        <w:rPr>
          <w:rFonts w:ascii="Times New Roman" w:hAnsi="Times New Roman" w:cs="Times New Roman"/>
          <w:i/>
          <w:iCs/>
          <w:sz w:val="24"/>
          <w:szCs w:val="24"/>
        </w:rPr>
        <w:t>et al</w:t>
      </w:r>
      <w:r w:rsidR="00A05889">
        <w:rPr>
          <w:rFonts w:ascii="Times New Roman" w:hAnsi="Times New Roman" w:cs="Times New Roman"/>
          <w:i/>
          <w:iCs/>
          <w:sz w:val="24"/>
          <w:szCs w:val="24"/>
        </w:rPr>
        <w:t>.</w:t>
      </w:r>
      <w:r w:rsidRPr="00451B44">
        <w:rPr>
          <w:rFonts w:ascii="Times New Roman" w:hAnsi="Times New Roman" w:cs="Times New Roman"/>
          <w:sz w:val="24"/>
          <w:szCs w:val="24"/>
        </w:rPr>
        <w:t xml:space="preserve"> (</w:t>
      </w:r>
      <w:r w:rsidR="00A05889">
        <w:rPr>
          <w:rFonts w:ascii="Times New Roman" w:hAnsi="Times New Roman" w:cs="Times New Roman"/>
          <w:sz w:val="24"/>
          <w:szCs w:val="24"/>
        </w:rPr>
        <w:t>2011</w:t>
      </w:r>
      <w:r w:rsidRPr="00451B44">
        <w:rPr>
          <w:rFonts w:ascii="Times New Roman" w:hAnsi="Times New Roman" w:cs="Times New Roman"/>
          <w:sz w:val="24"/>
          <w:szCs w:val="24"/>
        </w:rPr>
        <w:t xml:space="preserve">) attempted to test the sphingolipid rheostat hypothesis in plant cells by exogenously treating suspension cultures of </w:t>
      </w:r>
      <w:r w:rsidRPr="00451B44">
        <w:rPr>
          <w:rFonts w:ascii="Times New Roman" w:hAnsi="Times New Roman" w:cs="Times New Roman"/>
          <w:i/>
          <w:iCs/>
          <w:sz w:val="24"/>
          <w:szCs w:val="24"/>
        </w:rPr>
        <w:t>A. thaliana</w:t>
      </w:r>
      <w:r w:rsidRPr="00451B44">
        <w:rPr>
          <w:rFonts w:ascii="Times New Roman" w:hAnsi="Times New Roman" w:cs="Times New Roman"/>
          <w:sz w:val="24"/>
          <w:szCs w:val="24"/>
        </w:rPr>
        <w:t xml:space="preserve"> with S1P, heat-stressing the cultures to induce the heat shock response and then examining levels of PCD using characteristic protoplast retraction morphology. Results showed that augmenting exogenous levels of S1P infers a protective effect against PCD at temperatures that without the addition of S1P, would normally induce PCD. Conversely, when exogenous ceramide was added to the cultures, it induced PCD in a concentration dependent manner.</w:t>
      </w:r>
    </w:p>
    <w:p w:rsidR="004B4E5E" w:rsidRPr="00451B44" w:rsidRDefault="004B4E5E" w:rsidP="002B4B8D">
      <w:pPr>
        <w:spacing w:line="480" w:lineRule="auto"/>
        <w:rPr>
          <w:rFonts w:ascii="Times New Roman" w:hAnsi="Times New Roman" w:cs="Times New Roman"/>
          <w:sz w:val="24"/>
          <w:szCs w:val="24"/>
        </w:rPr>
      </w:pPr>
      <w:r>
        <w:rPr>
          <w:rFonts w:ascii="Times New Roman" w:hAnsi="Times New Roman" w:cs="Times New Roman"/>
          <w:sz w:val="24"/>
          <w:szCs w:val="24"/>
        </w:rPr>
        <w:t>C</w:t>
      </w:r>
      <w:r w:rsidRPr="00451B44">
        <w:rPr>
          <w:rFonts w:ascii="Times New Roman" w:hAnsi="Times New Roman" w:cs="Times New Roman"/>
          <w:sz w:val="24"/>
          <w:szCs w:val="24"/>
        </w:rPr>
        <w:t>eramide and S1P have emerged as key signalling molecules in the control of cell survival</w:t>
      </w:r>
      <w:r>
        <w:rPr>
          <w:rFonts w:ascii="Times New Roman" w:hAnsi="Times New Roman" w:cs="Times New Roman"/>
          <w:sz w:val="24"/>
          <w:szCs w:val="24"/>
        </w:rPr>
        <w:t xml:space="preserve"> and death in plant cells. It has been</w:t>
      </w:r>
      <w:r w:rsidRPr="00451B44">
        <w:rPr>
          <w:rFonts w:ascii="Times New Roman" w:hAnsi="Times New Roman" w:cs="Times New Roman"/>
          <w:sz w:val="24"/>
          <w:szCs w:val="24"/>
        </w:rPr>
        <w:t xml:space="preserve"> proposed that in healthy unstressed cells, the levels of ceramide and S1P balance each other but when a stress such as heat is applied, the level of ceramide increases and PCD is induced </w:t>
      </w:r>
      <w:r w:rsidRPr="00451B44">
        <w:rPr>
          <w:rFonts w:ascii="Times New Roman" w:hAnsi="Times New Roman" w:cs="Times New Roman"/>
          <w:noProof/>
          <w:sz w:val="24"/>
          <w:szCs w:val="24"/>
        </w:rPr>
        <w:t>(Takabe</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2008)</w:t>
      </w:r>
      <w:r>
        <w:rPr>
          <w:rFonts w:ascii="Times New Roman" w:hAnsi="Times New Roman" w:cs="Times New Roman"/>
          <w:sz w:val="24"/>
          <w:szCs w:val="24"/>
        </w:rPr>
        <w:t xml:space="preserve">. </w:t>
      </w:r>
      <w:r w:rsidRPr="00451B44">
        <w:rPr>
          <w:rFonts w:ascii="Times New Roman" w:hAnsi="Times New Roman" w:cs="Times New Roman"/>
          <w:sz w:val="24"/>
          <w:szCs w:val="24"/>
        </w:rPr>
        <w:t xml:space="preserve">As previously mentioned, ceramide can be phosphorylated by ceramidases kinase (CerK) to form C1P.  BLAST searches have identified putative homologs of the human CerK enzyme in plants, nematodes and insects but not in yeast </w:t>
      </w:r>
      <w:r w:rsidRPr="00451B44">
        <w:rPr>
          <w:rFonts w:ascii="Times New Roman" w:hAnsi="Times New Roman" w:cs="Times New Roman"/>
          <w:noProof/>
          <w:sz w:val="24"/>
          <w:szCs w:val="24"/>
        </w:rPr>
        <w:t>(Sugiura</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2002)</w:t>
      </w:r>
      <w:r w:rsidRPr="00451B44">
        <w:rPr>
          <w:rFonts w:ascii="Times New Roman" w:hAnsi="Times New Roman" w:cs="Times New Roman"/>
          <w:sz w:val="24"/>
          <w:szCs w:val="24"/>
        </w:rPr>
        <w:t xml:space="preserve">. Mammalian research reviewed by Arana </w:t>
      </w:r>
      <w:r w:rsidRPr="00451B44">
        <w:rPr>
          <w:rFonts w:ascii="Times New Roman" w:hAnsi="Times New Roman" w:cs="Times New Roman"/>
          <w:i/>
          <w:iCs/>
          <w:sz w:val="24"/>
          <w:szCs w:val="24"/>
        </w:rPr>
        <w:t>et al.</w:t>
      </w:r>
      <w:r w:rsidRPr="00451B44">
        <w:rPr>
          <w:rFonts w:ascii="Times New Roman" w:hAnsi="Times New Roman" w:cs="Times New Roman"/>
          <w:sz w:val="24"/>
          <w:szCs w:val="24"/>
        </w:rPr>
        <w:t xml:space="preserve"> </w:t>
      </w:r>
      <w:r w:rsidRPr="00451B44">
        <w:rPr>
          <w:rFonts w:ascii="Times New Roman" w:hAnsi="Times New Roman" w:cs="Times New Roman"/>
          <w:noProof/>
          <w:sz w:val="24"/>
          <w:szCs w:val="24"/>
        </w:rPr>
        <w:t>(2010)</w:t>
      </w:r>
      <w:r w:rsidRPr="00451B44">
        <w:rPr>
          <w:rFonts w:ascii="Times New Roman" w:hAnsi="Times New Roman" w:cs="Times New Roman"/>
          <w:sz w:val="24"/>
          <w:szCs w:val="24"/>
        </w:rPr>
        <w:t xml:space="preserve"> has suggested that C1P has the opposite effect to ceramide in that it has prosurvival properties. Modifications in the level of sphingolipids have been shown to be directly associated with PCD. Research by Brodersen </w:t>
      </w:r>
      <w:r>
        <w:rPr>
          <w:rFonts w:ascii="Times New Roman" w:hAnsi="Times New Roman" w:cs="Times New Roman"/>
          <w:i/>
          <w:iCs/>
          <w:sz w:val="24"/>
          <w:szCs w:val="24"/>
        </w:rPr>
        <w:t>et al. (</w:t>
      </w:r>
      <w:r>
        <w:rPr>
          <w:rFonts w:ascii="Times New Roman" w:hAnsi="Times New Roman" w:cs="Times New Roman"/>
          <w:sz w:val="24"/>
          <w:szCs w:val="24"/>
        </w:rPr>
        <w:t>2002)</w:t>
      </w:r>
      <w:r w:rsidRPr="00451B44">
        <w:rPr>
          <w:rFonts w:ascii="Times New Roman" w:hAnsi="Times New Roman" w:cs="Times New Roman"/>
          <w:sz w:val="24"/>
          <w:szCs w:val="24"/>
        </w:rPr>
        <w:t xml:space="preserve"> found that the unusual cell death in the </w:t>
      </w:r>
      <w:r w:rsidRPr="00451B44">
        <w:rPr>
          <w:rFonts w:ascii="Times New Roman" w:hAnsi="Times New Roman" w:cs="Times New Roman"/>
          <w:i/>
          <w:iCs/>
          <w:sz w:val="24"/>
          <w:szCs w:val="24"/>
        </w:rPr>
        <w:t>Arabidopsis</w:t>
      </w:r>
      <w:r w:rsidRPr="00451B44">
        <w:rPr>
          <w:rFonts w:ascii="Times New Roman" w:hAnsi="Times New Roman" w:cs="Times New Roman"/>
          <w:sz w:val="24"/>
          <w:szCs w:val="24"/>
        </w:rPr>
        <w:t xml:space="preserve"> mutant </w:t>
      </w:r>
      <w:r w:rsidRPr="00451B44">
        <w:rPr>
          <w:rFonts w:ascii="Times New Roman" w:hAnsi="Times New Roman" w:cs="Times New Roman"/>
          <w:i/>
          <w:iCs/>
          <w:sz w:val="24"/>
          <w:szCs w:val="24"/>
        </w:rPr>
        <w:t>acd11</w:t>
      </w:r>
      <w:r w:rsidRPr="00451B44">
        <w:rPr>
          <w:rFonts w:ascii="Times New Roman" w:hAnsi="Times New Roman" w:cs="Times New Roman"/>
          <w:sz w:val="24"/>
          <w:szCs w:val="24"/>
        </w:rPr>
        <w:t xml:space="preserve"> was most likely caused by perturbation of sphingolipid metabolism. They came to this conclusion by examining the </w:t>
      </w:r>
      <w:r w:rsidRPr="00451B44">
        <w:rPr>
          <w:rFonts w:ascii="Times New Roman" w:hAnsi="Times New Roman" w:cs="Times New Roman"/>
          <w:i/>
          <w:iCs/>
          <w:sz w:val="24"/>
          <w:szCs w:val="24"/>
        </w:rPr>
        <w:t>in vitro</w:t>
      </w:r>
      <w:r w:rsidRPr="00451B44">
        <w:rPr>
          <w:rFonts w:ascii="Times New Roman" w:hAnsi="Times New Roman" w:cs="Times New Roman"/>
          <w:sz w:val="24"/>
          <w:szCs w:val="24"/>
        </w:rPr>
        <w:t xml:space="preserve"> enzymatic activities of ACD11 as a sphingosine transfer protein. </w:t>
      </w:r>
    </w:p>
    <w:p w:rsidR="004B4E5E" w:rsidRPr="00451B44" w:rsidRDefault="004B4E5E" w:rsidP="002B4B8D">
      <w:pPr>
        <w:spacing w:line="480" w:lineRule="auto"/>
        <w:rPr>
          <w:rFonts w:ascii="Times New Roman" w:hAnsi="Times New Roman" w:cs="Times New Roman"/>
          <w:sz w:val="24"/>
          <w:szCs w:val="24"/>
        </w:rPr>
      </w:pPr>
      <w:r w:rsidRPr="00451B44">
        <w:rPr>
          <w:rFonts w:ascii="Times New Roman" w:hAnsi="Times New Roman" w:cs="Times New Roman"/>
          <w:sz w:val="24"/>
          <w:szCs w:val="24"/>
        </w:rPr>
        <w:t xml:space="preserve">Liang </w:t>
      </w:r>
      <w:r w:rsidRPr="00451B44">
        <w:rPr>
          <w:rFonts w:ascii="Times New Roman" w:hAnsi="Times New Roman" w:cs="Times New Roman"/>
          <w:i/>
          <w:iCs/>
          <w:sz w:val="24"/>
          <w:szCs w:val="24"/>
        </w:rPr>
        <w:t>et al.</w:t>
      </w:r>
      <w:r w:rsidRPr="00451B44">
        <w:rPr>
          <w:rFonts w:ascii="Times New Roman" w:hAnsi="Times New Roman" w:cs="Times New Roman"/>
          <w:sz w:val="24"/>
          <w:szCs w:val="24"/>
        </w:rPr>
        <w:t xml:space="preserve"> </w:t>
      </w:r>
      <w:r w:rsidRPr="00451B44">
        <w:rPr>
          <w:rFonts w:ascii="Times New Roman" w:hAnsi="Times New Roman" w:cs="Times New Roman"/>
          <w:noProof/>
          <w:sz w:val="24"/>
          <w:szCs w:val="24"/>
        </w:rPr>
        <w:t>(2003)</w:t>
      </w:r>
      <w:r>
        <w:rPr>
          <w:rFonts w:ascii="Times New Roman" w:hAnsi="Times New Roman" w:cs="Times New Roman"/>
          <w:sz w:val="24"/>
          <w:szCs w:val="24"/>
        </w:rPr>
        <w:t xml:space="preserve"> examined the </w:t>
      </w:r>
      <w:r w:rsidRPr="00451B44">
        <w:rPr>
          <w:rFonts w:ascii="Times New Roman" w:hAnsi="Times New Roman" w:cs="Times New Roman"/>
          <w:sz w:val="24"/>
          <w:szCs w:val="24"/>
        </w:rPr>
        <w:t xml:space="preserve">CerK mutant </w:t>
      </w:r>
      <w:r w:rsidRPr="00451B44">
        <w:rPr>
          <w:rFonts w:ascii="Times New Roman" w:hAnsi="Times New Roman" w:cs="Times New Roman"/>
          <w:i/>
          <w:iCs/>
          <w:sz w:val="24"/>
          <w:szCs w:val="24"/>
        </w:rPr>
        <w:t>Arabidopsis</w:t>
      </w:r>
      <w:r w:rsidRPr="00451B44">
        <w:rPr>
          <w:rFonts w:ascii="Times New Roman" w:hAnsi="Times New Roman" w:cs="Times New Roman"/>
          <w:sz w:val="24"/>
          <w:szCs w:val="24"/>
        </w:rPr>
        <w:t xml:space="preserve"> </w:t>
      </w:r>
      <w:r w:rsidRPr="00451B44">
        <w:rPr>
          <w:rFonts w:ascii="Times New Roman" w:hAnsi="Times New Roman" w:cs="Times New Roman"/>
          <w:i/>
          <w:iCs/>
          <w:sz w:val="24"/>
          <w:szCs w:val="24"/>
        </w:rPr>
        <w:t>accelerated cell death 5 (acd5)</w:t>
      </w:r>
      <w:r w:rsidRPr="00451B44">
        <w:rPr>
          <w:rFonts w:ascii="Times New Roman" w:hAnsi="Times New Roman" w:cs="Times New Roman"/>
          <w:sz w:val="24"/>
          <w:szCs w:val="24"/>
        </w:rPr>
        <w:t xml:space="preserve">. ACD5 encodes a protein with ceramide kinase activity which causes an accumulation of nonphosphorylated ceramides in the plant. They found that </w:t>
      </w:r>
      <w:r w:rsidRPr="00451B44">
        <w:rPr>
          <w:rFonts w:ascii="Times New Roman" w:hAnsi="Times New Roman" w:cs="Times New Roman"/>
          <w:i/>
          <w:iCs/>
          <w:sz w:val="24"/>
          <w:szCs w:val="24"/>
        </w:rPr>
        <w:t>acd5</w:t>
      </w:r>
      <w:r w:rsidRPr="00451B44">
        <w:rPr>
          <w:rFonts w:ascii="Times New Roman" w:hAnsi="Times New Roman" w:cs="Times New Roman"/>
          <w:sz w:val="24"/>
          <w:szCs w:val="24"/>
        </w:rPr>
        <w:t xml:space="preserve"> exhibited extreme PCD when </w:t>
      </w:r>
      <w:r w:rsidRPr="00451B44">
        <w:rPr>
          <w:rFonts w:ascii="Times New Roman" w:hAnsi="Times New Roman" w:cs="Times New Roman"/>
          <w:i/>
          <w:iCs/>
          <w:sz w:val="24"/>
          <w:szCs w:val="24"/>
        </w:rPr>
        <w:t>Arabidopsis</w:t>
      </w:r>
      <w:r w:rsidRPr="00451B44">
        <w:rPr>
          <w:rFonts w:ascii="Times New Roman" w:hAnsi="Times New Roman" w:cs="Times New Roman"/>
          <w:sz w:val="24"/>
          <w:szCs w:val="24"/>
        </w:rPr>
        <w:t xml:space="preserve"> protoplasts were treated with the bacterial pathogen </w:t>
      </w:r>
      <w:r w:rsidRPr="00451B44">
        <w:rPr>
          <w:rFonts w:ascii="Times New Roman" w:hAnsi="Times New Roman" w:cs="Times New Roman"/>
          <w:i/>
          <w:iCs/>
          <w:sz w:val="24"/>
          <w:szCs w:val="24"/>
        </w:rPr>
        <w:t>Pseudomonas syringae</w:t>
      </w:r>
      <w:r w:rsidRPr="00451B44">
        <w:rPr>
          <w:rFonts w:ascii="Times New Roman" w:hAnsi="Times New Roman" w:cs="Times New Roman"/>
          <w:sz w:val="24"/>
          <w:szCs w:val="24"/>
        </w:rPr>
        <w:t xml:space="preserve">. When they tested the effect of ceramide on </w:t>
      </w:r>
      <w:r w:rsidRPr="00451B44">
        <w:rPr>
          <w:rFonts w:ascii="Times New Roman" w:hAnsi="Times New Roman" w:cs="Times New Roman"/>
          <w:i/>
          <w:iCs/>
          <w:sz w:val="24"/>
          <w:szCs w:val="24"/>
        </w:rPr>
        <w:t>acd</w:t>
      </w:r>
      <w:r w:rsidRPr="00451B44">
        <w:rPr>
          <w:rFonts w:ascii="Times New Roman" w:hAnsi="Times New Roman" w:cs="Times New Roman"/>
          <w:sz w:val="24"/>
          <w:szCs w:val="24"/>
        </w:rPr>
        <w:t xml:space="preserve">5 and wild type protoplasts, they found that ceramide treatment induced more PCD in </w:t>
      </w:r>
      <w:r w:rsidRPr="00451B44">
        <w:rPr>
          <w:rFonts w:ascii="Times New Roman" w:hAnsi="Times New Roman" w:cs="Times New Roman"/>
          <w:i/>
          <w:iCs/>
          <w:sz w:val="24"/>
          <w:szCs w:val="24"/>
        </w:rPr>
        <w:t>acd</w:t>
      </w:r>
      <w:r w:rsidRPr="00451B44">
        <w:rPr>
          <w:rFonts w:ascii="Times New Roman" w:hAnsi="Times New Roman" w:cs="Times New Roman"/>
          <w:sz w:val="24"/>
          <w:szCs w:val="24"/>
        </w:rPr>
        <w:t>5 protoplasts than the wild type. In addition, the application of C1P partially abrogate</w:t>
      </w:r>
      <w:r>
        <w:rPr>
          <w:rFonts w:ascii="Times New Roman" w:hAnsi="Times New Roman" w:cs="Times New Roman"/>
          <w:sz w:val="24"/>
          <w:szCs w:val="24"/>
        </w:rPr>
        <w:t xml:space="preserve">d the effect of ceramide providing </w:t>
      </w:r>
      <w:r w:rsidRPr="00451B44">
        <w:rPr>
          <w:rFonts w:ascii="Times New Roman" w:hAnsi="Times New Roman" w:cs="Times New Roman"/>
          <w:sz w:val="24"/>
          <w:szCs w:val="24"/>
        </w:rPr>
        <w:t xml:space="preserve">evidence that a balance between ceramide and C1P may control PCD in plants. </w:t>
      </w:r>
    </w:p>
    <w:p w:rsidR="004B4E5E" w:rsidRPr="00451B44" w:rsidRDefault="004B4E5E" w:rsidP="002B4B8D">
      <w:pPr>
        <w:spacing w:line="480" w:lineRule="auto"/>
        <w:rPr>
          <w:rFonts w:ascii="Times New Roman" w:hAnsi="Times New Roman" w:cs="Times New Roman"/>
          <w:sz w:val="24"/>
          <w:szCs w:val="24"/>
        </w:rPr>
      </w:pPr>
      <w:r>
        <w:rPr>
          <w:rFonts w:ascii="Times New Roman" w:hAnsi="Times New Roman" w:cs="Times New Roman"/>
          <w:sz w:val="24"/>
          <w:szCs w:val="24"/>
        </w:rPr>
        <w:t xml:space="preserve">In plants there is evidence that suggests </w:t>
      </w:r>
      <w:r w:rsidRPr="00451B44">
        <w:rPr>
          <w:rFonts w:ascii="Times New Roman" w:hAnsi="Times New Roman" w:cs="Times New Roman"/>
          <w:sz w:val="24"/>
          <w:szCs w:val="24"/>
        </w:rPr>
        <w:t>sphingolipids may act in conce</w:t>
      </w:r>
      <w:r>
        <w:rPr>
          <w:rFonts w:ascii="Times New Roman" w:hAnsi="Times New Roman" w:cs="Times New Roman"/>
          <w:sz w:val="24"/>
          <w:szCs w:val="24"/>
        </w:rPr>
        <w:t>rt with PGR</w:t>
      </w:r>
      <w:r w:rsidRPr="00451B44">
        <w:rPr>
          <w:rFonts w:ascii="Times New Roman" w:hAnsi="Times New Roman" w:cs="Times New Roman"/>
          <w:sz w:val="24"/>
          <w:szCs w:val="24"/>
        </w:rPr>
        <w:t xml:space="preserve"> pathways, ROS and Ca</w:t>
      </w:r>
      <w:r w:rsidRPr="00451B44">
        <w:rPr>
          <w:rFonts w:ascii="Times New Roman" w:hAnsi="Times New Roman" w:cs="Times New Roman"/>
          <w:sz w:val="24"/>
          <w:szCs w:val="24"/>
          <w:vertAlign w:val="superscript"/>
        </w:rPr>
        <w:t xml:space="preserve">2+ </w:t>
      </w:r>
      <w:r w:rsidRPr="00451B44">
        <w:rPr>
          <w:rFonts w:ascii="Times New Roman" w:hAnsi="Times New Roman" w:cs="Times New Roman"/>
          <w:sz w:val="24"/>
          <w:szCs w:val="24"/>
        </w:rPr>
        <w:t xml:space="preserve">to modulate </w:t>
      </w:r>
      <w:r>
        <w:rPr>
          <w:rFonts w:ascii="Times New Roman" w:hAnsi="Times New Roman" w:cs="Times New Roman"/>
          <w:sz w:val="24"/>
          <w:szCs w:val="24"/>
        </w:rPr>
        <w:t xml:space="preserve">developmental pathways including </w:t>
      </w:r>
      <w:r w:rsidRPr="00451B44">
        <w:rPr>
          <w:rFonts w:ascii="Times New Roman" w:hAnsi="Times New Roman" w:cs="Times New Roman"/>
          <w:sz w:val="24"/>
          <w:szCs w:val="24"/>
        </w:rPr>
        <w:t>PCD. A nu</w:t>
      </w:r>
      <w:r>
        <w:rPr>
          <w:rFonts w:ascii="Times New Roman" w:hAnsi="Times New Roman" w:cs="Times New Roman"/>
          <w:sz w:val="24"/>
          <w:szCs w:val="24"/>
        </w:rPr>
        <w:t xml:space="preserve">mber of sphingolipids have </w:t>
      </w:r>
      <w:r w:rsidRPr="00451B44">
        <w:rPr>
          <w:rFonts w:ascii="Times New Roman" w:hAnsi="Times New Roman" w:cs="Times New Roman"/>
          <w:sz w:val="24"/>
          <w:szCs w:val="24"/>
        </w:rPr>
        <w:t>been shown to regulate cellular Ca</w:t>
      </w:r>
      <w:r w:rsidRPr="00451B44">
        <w:rPr>
          <w:rFonts w:ascii="Times New Roman" w:hAnsi="Times New Roman" w:cs="Times New Roman"/>
          <w:sz w:val="24"/>
          <w:szCs w:val="24"/>
          <w:vertAlign w:val="superscript"/>
        </w:rPr>
        <w:t>2+</w:t>
      </w:r>
      <w:r w:rsidRPr="00451B44">
        <w:rPr>
          <w:rFonts w:ascii="Times New Roman" w:hAnsi="Times New Roman" w:cs="Times New Roman"/>
          <w:sz w:val="24"/>
          <w:szCs w:val="24"/>
        </w:rPr>
        <w:t xml:space="preserve"> homeostasis and other Ca</w:t>
      </w:r>
      <w:r w:rsidRPr="00451B44">
        <w:rPr>
          <w:rFonts w:ascii="Times New Roman" w:hAnsi="Times New Roman" w:cs="Times New Roman"/>
          <w:sz w:val="24"/>
          <w:szCs w:val="24"/>
          <w:vertAlign w:val="superscript"/>
        </w:rPr>
        <w:t>2+</w:t>
      </w:r>
      <w:r w:rsidRPr="00451B44">
        <w:rPr>
          <w:rFonts w:ascii="Times New Roman" w:hAnsi="Times New Roman" w:cs="Times New Roman"/>
          <w:sz w:val="24"/>
          <w:szCs w:val="24"/>
        </w:rPr>
        <w:t xml:space="preserve"> dependent pathways. Work by Ng </w:t>
      </w:r>
      <w:r w:rsidRPr="00451B44">
        <w:rPr>
          <w:rFonts w:ascii="Times New Roman" w:hAnsi="Times New Roman" w:cs="Times New Roman"/>
          <w:i/>
          <w:iCs/>
          <w:sz w:val="24"/>
          <w:szCs w:val="24"/>
        </w:rPr>
        <w:t>et al.</w:t>
      </w:r>
      <w:r w:rsidRPr="00451B44">
        <w:rPr>
          <w:rFonts w:ascii="Times New Roman" w:hAnsi="Times New Roman" w:cs="Times New Roman"/>
          <w:sz w:val="24"/>
          <w:szCs w:val="24"/>
        </w:rPr>
        <w:t xml:space="preserve"> </w:t>
      </w:r>
      <w:r w:rsidRPr="00451B44">
        <w:rPr>
          <w:rFonts w:ascii="Times New Roman" w:hAnsi="Times New Roman" w:cs="Times New Roman"/>
          <w:noProof/>
          <w:sz w:val="24"/>
          <w:szCs w:val="24"/>
        </w:rPr>
        <w:t>(2001)</w:t>
      </w:r>
      <w:r w:rsidRPr="00451B44">
        <w:rPr>
          <w:rFonts w:ascii="Times New Roman" w:hAnsi="Times New Roman" w:cs="Times New Roman"/>
          <w:sz w:val="24"/>
          <w:szCs w:val="24"/>
        </w:rPr>
        <w:t xml:space="preserve"> suggest that S1P acts as a Ca</w:t>
      </w:r>
      <w:r w:rsidRPr="00451B44">
        <w:rPr>
          <w:rFonts w:ascii="Times New Roman" w:hAnsi="Times New Roman" w:cs="Times New Roman"/>
          <w:sz w:val="24"/>
          <w:szCs w:val="24"/>
          <w:vertAlign w:val="superscript"/>
        </w:rPr>
        <w:t>2+</w:t>
      </w:r>
      <w:r w:rsidRPr="00451B44">
        <w:rPr>
          <w:rFonts w:ascii="Times New Roman" w:hAnsi="Times New Roman" w:cs="Times New Roman"/>
          <w:sz w:val="24"/>
          <w:szCs w:val="24"/>
        </w:rPr>
        <w:t xml:space="preserve"> mobilising molecule </w:t>
      </w:r>
      <w:r>
        <w:rPr>
          <w:rFonts w:ascii="Times New Roman" w:hAnsi="Times New Roman" w:cs="Times New Roman"/>
          <w:sz w:val="24"/>
          <w:szCs w:val="24"/>
        </w:rPr>
        <w:t>in plants. It was shown that</w:t>
      </w:r>
      <w:r w:rsidRPr="00451B44">
        <w:rPr>
          <w:rFonts w:ascii="Times New Roman" w:hAnsi="Times New Roman" w:cs="Times New Roman"/>
          <w:sz w:val="24"/>
          <w:szCs w:val="24"/>
        </w:rPr>
        <w:t xml:space="preserve"> guard cells </w:t>
      </w:r>
      <w:r>
        <w:rPr>
          <w:rFonts w:ascii="Times New Roman" w:hAnsi="Times New Roman" w:cs="Times New Roman"/>
          <w:sz w:val="24"/>
          <w:szCs w:val="24"/>
        </w:rPr>
        <w:t xml:space="preserve">subjected to drought </w:t>
      </w:r>
      <w:r w:rsidRPr="00451B44">
        <w:rPr>
          <w:rFonts w:ascii="Times New Roman" w:hAnsi="Times New Roman" w:cs="Times New Roman"/>
          <w:sz w:val="24"/>
          <w:szCs w:val="24"/>
        </w:rPr>
        <w:t xml:space="preserve">accumulated S1P and that in this case, S1P mediates </w:t>
      </w:r>
      <w:r>
        <w:rPr>
          <w:rFonts w:ascii="Times New Roman" w:hAnsi="Times New Roman" w:cs="Times New Roman"/>
          <w:sz w:val="24"/>
          <w:szCs w:val="24"/>
        </w:rPr>
        <w:t>guard cell</w:t>
      </w:r>
      <w:r w:rsidRPr="00451B44">
        <w:rPr>
          <w:rFonts w:ascii="Times New Roman" w:hAnsi="Times New Roman" w:cs="Times New Roman"/>
          <w:sz w:val="24"/>
          <w:szCs w:val="24"/>
        </w:rPr>
        <w:t xml:space="preserve"> response to drought and ABA. Subsequent research by Townley </w:t>
      </w:r>
      <w:r w:rsidRPr="00451B44">
        <w:rPr>
          <w:rFonts w:ascii="Times New Roman" w:hAnsi="Times New Roman" w:cs="Times New Roman"/>
          <w:i/>
          <w:iCs/>
          <w:sz w:val="24"/>
          <w:szCs w:val="24"/>
        </w:rPr>
        <w:t>et al.</w:t>
      </w:r>
      <w:r w:rsidRPr="00451B44">
        <w:rPr>
          <w:rFonts w:ascii="Times New Roman" w:hAnsi="Times New Roman" w:cs="Times New Roman"/>
          <w:sz w:val="24"/>
          <w:szCs w:val="24"/>
        </w:rPr>
        <w:t xml:space="preserve"> </w:t>
      </w:r>
      <w:r w:rsidRPr="00451B44">
        <w:rPr>
          <w:rFonts w:ascii="Times New Roman" w:hAnsi="Times New Roman" w:cs="Times New Roman"/>
          <w:noProof/>
          <w:sz w:val="24"/>
          <w:szCs w:val="24"/>
        </w:rPr>
        <w:t>(2005)</w:t>
      </w:r>
      <w:r w:rsidRPr="00451B44">
        <w:rPr>
          <w:rFonts w:ascii="Times New Roman" w:hAnsi="Times New Roman" w:cs="Times New Roman"/>
          <w:sz w:val="24"/>
          <w:szCs w:val="24"/>
        </w:rPr>
        <w:t xml:space="preserve"> linked ROS</w:t>
      </w:r>
      <w:r>
        <w:rPr>
          <w:rFonts w:ascii="Times New Roman" w:hAnsi="Times New Roman" w:cs="Times New Roman"/>
          <w:sz w:val="24"/>
          <w:szCs w:val="24"/>
        </w:rPr>
        <w:t>,</w:t>
      </w:r>
      <w:r w:rsidRPr="00451B44">
        <w:rPr>
          <w:rFonts w:ascii="Times New Roman" w:hAnsi="Times New Roman" w:cs="Times New Roman"/>
          <w:sz w:val="24"/>
          <w:szCs w:val="24"/>
        </w:rPr>
        <w:t xml:space="preserve"> sphingolipids and Ca</w:t>
      </w:r>
      <w:r w:rsidRPr="00451B44">
        <w:rPr>
          <w:rFonts w:ascii="Times New Roman" w:hAnsi="Times New Roman" w:cs="Times New Roman"/>
          <w:sz w:val="24"/>
          <w:szCs w:val="24"/>
          <w:vertAlign w:val="superscript"/>
        </w:rPr>
        <w:t>2+</w:t>
      </w:r>
      <w:r>
        <w:rPr>
          <w:rFonts w:ascii="Times New Roman" w:hAnsi="Times New Roman" w:cs="Times New Roman"/>
          <w:sz w:val="24"/>
          <w:szCs w:val="24"/>
        </w:rPr>
        <w:t xml:space="preserve"> </w:t>
      </w:r>
      <w:r w:rsidRPr="00451B44">
        <w:rPr>
          <w:rFonts w:ascii="Times New Roman" w:hAnsi="Times New Roman" w:cs="Times New Roman"/>
          <w:sz w:val="24"/>
          <w:szCs w:val="24"/>
        </w:rPr>
        <w:t>pathways when they showed a transient change in Ca</w:t>
      </w:r>
      <w:r w:rsidRPr="00451B44">
        <w:rPr>
          <w:rFonts w:ascii="Times New Roman" w:hAnsi="Times New Roman" w:cs="Times New Roman"/>
          <w:sz w:val="24"/>
          <w:szCs w:val="24"/>
          <w:vertAlign w:val="superscript"/>
        </w:rPr>
        <w:t>2+</w:t>
      </w:r>
      <w:r w:rsidRPr="00451B44">
        <w:rPr>
          <w:rFonts w:ascii="Times New Roman" w:hAnsi="Times New Roman" w:cs="Times New Roman"/>
          <w:sz w:val="24"/>
          <w:szCs w:val="24"/>
        </w:rPr>
        <w:t xml:space="preserve"> and ROS in </w:t>
      </w:r>
      <w:r w:rsidRPr="00451B44">
        <w:rPr>
          <w:rFonts w:ascii="Times New Roman" w:hAnsi="Times New Roman" w:cs="Times New Roman"/>
          <w:i/>
          <w:iCs/>
          <w:sz w:val="24"/>
          <w:szCs w:val="24"/>
        </w:rPr>
        <w:t>Arabidopsis</w:t>
      </w:r>
      <w:r w:rsidRPr="00451B44">
        <w:rPr>
          <w:rFonts w:ascii="Times New Roman" w:hAnsi="Times New Roman" w:cs="Times New Roman"/>
          <w:sz w:val="24"/>
          <w:szCs w:val="24"/>
        </w:rPr>
        <w:t xml:space="preserve"> cell suspension cultures that have been treated with synthetic ceramide. Recently, Lachaud </w:t>
      </w:r>
      <w:r w:rsidRPr="00451B44">
        <w:rPr>
          <w:rFonts w:ascii="Times New Roman" w:hAnsi="Times New Roman" w:cs="Times New Roman"/>
          <w:i/>
          <w:iCs/>
          <w:sz w:val="24"/>
          <w:szCs w:val="24"/>
        </w:rPr>
        <w:t>et al.</w:t>
      </w:r>
      <w:r w:rsidRPr="00451B44">
        <w:rPr>
          <w:rFonts w:ascii="Times New Roman" w:hAnsi="Times New Roman" w:cs="Times New Roman"/>
          <w:sz w:val="24"/>
          <w:szCs w:val="24"/>
        </w:rPr>
        <w:t xml:space="preserve"> </w:t>
      </w:r>
      <w:r w:rsidRPr="00451B44">
        <w:rPr>
          <w:rFonts w:ascii="Times New Roman" w:hAnsi="Times New Roman" w:cs="Times New Roman"/>
          <w:noProof/>
          <w:sz w:val="24"/>
          <w:szCs w:val="24"/>
          <w:lang w:val="en-GB"/>
        </w:rPr>
        <w:t>(2010)</w:t>
      </w:r>
      <w:r w:rsidRPr="00451B44">
        <w:rPr>
          <w:rFonts w:ascii="Times New Roman" w:hAnsi="Times New Roman" w:cs="Times New Roman"/>
          <w:sz w:val="24"/>
          <w:szCs w:val="24"/>
          <w:lang w:val="en-GB"/>
        </w:rPr>
        <w:t xml:space="preserve"> </w:t>
      </w:r>
      <w:r w:rsidR="00A05889">
        <w:rPr>
          <w:rFonts w:ascii="Times New Roman" w:hAnsi="Times New Roman" w:cs="Times New Roman"/>
          <w:sz w:val="24"/>
          <w:szCs w:val="24"/>
          <w:lang w:val="en-GB"/>
        </w:rPr>
        <w:t>have shown</w:t>
      </w:r>
      <w:r w:rsidRPr="00451B44">
        <w:rPr>
          <w:rFonts w:ascii="Times New Roman" w:hAnsi="Times New Roman" w:cs="Times New Roman"/>
          <w:sz w:val="24"/>
          <w:szCs w:val="24"/>
        </w:rPr>
        <w:t xml:space="preserve"> that when </w:t>
      </w:r>
      <w:r w:rsidRPr="00451B44">
        <w:rPr>
          <w:rFonts w:ascii="Times New Roman" w:hAnsi="Times New Roman" w:cs="Times New Roman"/>
          <w:i/>
          <w:iCs/>
          <w:sz w:val="24"/>
          <w:szCs w:val="24"/>
        </w:rPr>
        <w:t>D-erythro</w:t>
      </w:r>
      <w:r w:rsidRPr="00451B44">
        <w:rPr>
          <w:rFonts w:ascii="Times New Roman" w:hAnsi="Times New Roman" w:cs="Times New Roman"/>
          <w:sz w:val="24"/>
          <w:szCs w:val="24"/>
        </w:rPr>
        <w:t>-sphinganine (DHS) was exogenously applied, endogenous levels of LCBs rose in tobacco BY-2 cells. This was followed by dosage-dependent increases in free cellular Ca</w:t>
      </w:r>
      <w:r w:rsidRPr="00451B44">
        <w:rPr>
          <w:rFonts w:ascii="Times New Roman" w:hAnsi="Times New Roman" w:cs="Times New Roman"/>
          <w:sz w:val="24"/>
          <w:szCs w:val="24"/>
          <w:vertAlign w:val="superscript"/>
        </w:rPr>
        <w:t>2+</w:t>
      </w:r>
      <w:r w:rsidRPr="00451B44">
        <w:rPr>
          <w:rFonts w:ascii="Times New Roman" w:hAnsi="Times New Roman" w:cs="Times New Roman"/>
          <w:sz w:val="24"/>
          <w:szCs w:val="24"/>
        </w:rPr>
        <w:t xml:space="preserve"> and subsequent PCD. When lanthanum chloride, a Ca</w:t>
      </w:r>
      <w:r w:rsidRPr="00451B44">
        <w:rPr>
          <w:rFonts w:ascii="Times New Roman" w:hAnsi="Times New Roman" w:cs="Times New Roman"/>
          <w:sz w:val="24"/>
          <w:szCs w:val="24"/>
          <w:vertAlign w:val="superscript"/>
        </w:rPr>
        <w:t>2+</w:t>
      </w:r>
      <w:r w:rsidRPr="00451B44">
        <w:rPr>
          <w:rFonts w:ascii="Times New Roman" w:hAnsi="Times New Roman" w:cs="Times New Roman"/>
          <w:sz w:val="24"/>
          <w:szCs w:val="24"/>
        </w:rPr>
        <w:t xml:space="preserve"> channel blocker was used, cellular fluctuations of Ca</w:t>
      </w:r>
      <w:r w:rsidRPr="00451B44">
        <w:rPr>
          <w:rFonts w:ascii="Times New Roman" w:hAnsi="Times New Roman" w:cs="Times New Roman"/>
          <w:sz w:val="24"/>
          <w:szCs w:val="24"/>
          <w:vertAlign w:val="superscript"/>
        </w:rPr>
        <w:t>2+</w:t>
      </w:r>
      <w:r w:rsidRPr="00451B44">
        <w:rPr>
          <w:rFonts w:ascii="Times New Roman" w:hAnsi="Times New Roman" w:cs="Times New Roman"/>
          <w:sz w:val="24"/>
          <w:szCs w:val="24"/>
        </w:rPr>
        <w:t xml:space="preserve"> were attenuated and PCD levels were reduced.  </w:t>
      </w:r>
    </w:p>
    <w:p w:rsidR="004B4E5E" w:rsidRPr="00451B44" w:rsidRDefault="004B4E5E" w:rsidP="002B4B8D">
      <w:pPr>
        <w:spacing w:line="480" w:lineRule="auto"/>
        <w:rPr>
          <w:rFonts w:ascii="Times New Roman" w:hAnsi="Times New Roman" w:cs="Times New Roman"/>
          <w:sz w:val="24"/>
          <w:szCs w:val="24"/>
        </w:rPr>
      </w:pPr>
    </w:p>
    <w:p w:rsidR="004B4E5E" w:rsidRPr="00451B44" w:rsidRDefault="004B4E5E" w:rsidP="00BF42BA">
      <w:pPr>
        <w:pStyle w:val="ListParagraph"/>
        <w:numPr>
          <w:ilvl w:val="0"/>
          <w:numId w:val="24"/>
        </w:numPr>
        <w:autoSpaceDE w:val="0"/>
        <w:autoSpaceDN w:val="0"/>
        <w:adjustRightInd w:val="0"/>
        <w:spacing w:after="0" w:line="480" w:lineRule="auto"/>
        <w:ind w:hanging="2814"/>
        <w:rPr>
          <w:rFonts w:ascii="Times New Roman" w:hAnsi="Times New Roman" w:cs="Times New Roman"/>
          <w:b/>
          <w:bCs/>
          <w:sz w:val="24"/>
          <w:szCs w:val="24"/>
        </w:rPr>
      </w:pPr>
      <w:r>
        <w:rPr>
          <w:rFonts w:ascii="Times New Roman" w:hAnsi="Times New Roman" w:cs="Times New Roman"/>
          <w:b/>
          <w:bCs/>
          <w:sz w:val="24"/>
          <w:szCs w:val="24"/>
        </w:rPr>
        <w:t xml:space="preserve">Role of PCD in developmental, defence and stress responses. </w:t>
      </w:r>
    </w:p>
    <w:p w:rsidR="004B4E5E" w:rsidRDefault="004B4E5E" w:rsidP="002B4B8D">
      <w:pPr>
        <w:autoSpaceDE w:val="0"/>
        <w:autoSpaceDN w:val="0"/>
        <w:adjustRightInd w:val="0"/>
        <w:spacing w:after="0" w:line="480" w:lineRule="auto"/>
        <w:rPr>
          <w:rStyle w:val="nbapihighlight"/>
          <w:rFonts w:ascii="Times New Roman" w:hAnsi="Times New Roman" w:cs="Times New Roman"/>
          <w:sz w:val="24"/>
          <w:szCs w:val="24"/>
        </w:rPr>
      </w:pPr>
      <w:r>
        <w:rPr>
          <w:rStyle w:val="nbapihighlight"/>
          <w:rFonts w:ascii="Times New Roman" w:hAnsi="Times New Roman" w:cs="Times New Roman"/>
          <w:sz w:val="24"/>
          <w:szCs w:val="24"/>
        </w:rPr>
        <w:t>PCD is an essential component</w:t>
      </w:r>
      <w:r w:rsidRPr="00451B44">
        <w:rPr>
          <w:rStyle w:val="nbapihighlight"/>
          <w:rFonts w:ascii="Times New Roman" w:hAnsi="Times New Roman" w:cs="Times New Roman"/>
          <w:sz w:val="24"/>
          <w:szCs w:val="24"/>
        </w:rPr>
        <w:t xml:space="preserve"> of complex multicellular body plan formation. The fol</w:t>
      </w:r>
      <w:r>
        <w:rPr>
          <w:rStyle w:val="nbapihighlight"/>
          <w:rFonts w:ascii="Times New Roman" w:hAnsi="Times New Roman" w:cs="Times New Roman"/>
          <w:sz w:val="24"/>
          <w:szCs w:val="24"/>
        </w:rPr>
        <w:t>lowing sections serve to illustrate</w:t>
      </w:r>
      <w:r w:rsidRPr="00451B44">
        <w:rPr>
          <w:rStyle w:val="nbapihighlight"/>
          <w:rFonts w:ascii="Times New Roman" w:hAnsi="Times New Roman" w:cs="Times New Roman"/>
          <w:sz w:val="24"/>
          <w:szCs w:val="24"/>
        </w:rPr>
        <w:t xml:space="preserve"> how developmentally regulated</w:t>
      </w:r>
      <w:r>
        <w:rPr>
          <w:rStyle w:val="nbapihighlight"/>
          <w:rFonts w:ascii="Times New Roman" w:hAnsi="Times New Roman" w:cs="Times New Roman"/>
          <w:sz w:val="24"/>
          <w:szCs w:val="24"/>
        </w:rPr>
        <w:t>,</w:t>
      </w:r>
      <w:r w:rsidRPr="00451B44">
        <w:rPr>
          <w:rStyle w:val="nbapihighlight"/>
          <w:rFonts w:ascii="Times New Roman" w:hAnsi="Times New Roman" w:cs="Times New Roman"/>
          <w:sz w:val="24"/>
          <w:szCs w:val="24"/>
        </w:rPr>
        <w:t xml:space="preserve"> and environmentally induced</w:t>
      </w:r>
      <w:r>
        <w:rPr>
          <w:rStyle w:val="nbapihighlight"/>
          <w:rFonts w:ascii="Times New Roman" w:hAnsi="Times New Roman" w:cs="Times New Roman"/>
          <w:sz w:val="24"/>
          <w:szCs w:val="24"/>
        </w:rPr>
        <w:t>,</w:t>
      </w:r>
      <w:r w:rsidRPr="00451B44">
        <w:rPr>
          <w:rStyle w:val="nbapihighlight"/>
          <w:rFonts w:ascii="Times New Roman" w:hAnsi="Times New Roman" w:cs="Times New Roman"/>
          <w:sz w:val="24"/>
          <w:szCs w:val="24"/>
        </w:rPr>
        <w:t xml:space="preserve"> changes in plant structure cannot be accomplished without PCD mediating the remodelling of cells and tissues. </w:t>
      </w:r>
    </w:p>
    <w:p w:rsidR="004B4E5E" w:rsidRPr="00451B44" w:rsidRDefault="004B4E5E" w:rsidP="002B4B8D">
      <w:pPr>
        <w:autoSpaceDE w:val="0"/>
        <w:autoSpaceDN w:val="0"/>
        <w:adjustRightInd w:val="0"/>
        <w:spacing w:after="0" w:line="480" w:lineRule="auto"/>
        <w:rPr>
          <w:rStyle w:val="nbapihighlight"/>
          <w:rFonts w:ascii="Times New Roman" w:hAnsi="Times New Roman" w:cs="Times New Roman"/>
          <w:b/>
          <w:bCs/>
          <w:sz w:val="24"/>
          <w:szCs w:val="24"/>
        </w:rPr>
      </w:pPr>
    </w:p>
    <w:p w:rsidR="004B4E5E" w:rsidRPr="00451B44" w:rsidRDefault="004B4E5E" w:rsidP="00BF42BA">
      <w:pPr>
        <w:pStyle w:val="ListParagraph"/>
        <w:numPr>
          <w:ilvl w:val="0"/>
          <w:numId w:val="27"/>
        </w:numPr>
        <w:autoSpaceDE w:val="0"/>
        <w:autoSpaceDN w:val="0"/>
        <w:adjustRightInd w:val="0"/>
        <w:spacing w:after="0" w:line="480" w:lineRule="auto"/>
        <w:ind w:hanging="11"/>
        <w:rPr>
          <w:rStyle w:val="nbapihighlight"/>
          <w:rFonts w:ascii="Times New Roman" w:hAnsi="Times New Roman" w:cs="Times New Roman"/>
          <w:b/>
          <w:bCs/>
          <w:sz w:val="24"/>
          <w:szCs w:val="24"/>
        </w:rPr>
      </w:pPr>
      <w:r>
        <w:rPr>
          <w:rStyle w:val="nbapihighlight"/>
          <w:rFonts w:ascii="Times New Roman" w:hAnsi="Times New Roman" w:cs="Times New Roman"/>
          <w:b/>
          <w:bCs/>
          <w:sz w:val="24"/>
          <w:szCs w:val="24"/>
        </w:rPr>
        <w:t>PCD in vegetative tissue development</w:t>
      </w:r>
    </w:p>
    <w:p w:rsidR="004B4E5E" w:rsidRPr="00451B44" w:rsidRDefault="004B4E5E" w:rsidP="002B4B8D">
      <w:pPr>
        <w:autoSpaceDE w:val="0"/>
        <w:autoSpaceDN w:val="0"/>
        <w:adjustRightInd w:val="0"/>
        <w:spacing w:after="0" w:line="480" w:lineRule="auto"/>
        <w:rPr>
          <w:rStyle w:val="nbapihighlight"/>
          <w:rFonts w:ascii="Times New Roman" w:hAnsi="Times New Roman" w:cs="Times New Roman"/>
          <w:sz w:val="24"/>
          <w:szCs w:val="24"/>
        </w:rPr>
      </w:pPr>
      <w:r w:rsidRPr="00451B44">
        <w:rPr>
          <w:rStyle w:val="nbapihighlight"/>
          <w:rFonts w:ascii="Times New Roman" w:hAnsi="Times New Roman" w:cs="Times New Roman"/>
          <w:sz w:val="24"/>
          <w:szCs w:val="24"/>
        </w:rPr>
        <w:t>PCD events associated with plant development occur at specified points and locations throughout the plant life-cycl</w:t>
      </w:r>
      <w:r>
        <w:rPr>
          <w:rStyle w:val="nbapihighlight"/>
          <w:rFonts w:ascii="Times New Roman" w:hAnsi="Times New Roman" w:cs="Times New Roman"/>
          <w:sz w:val="24"/>
          <w:szCs w:val="24"/>
        </w:rPr>
        <w:t>e. Cell death plays a crucial</w:t>
      </w:r>
      <w:r w:rsidRPr="00451B44">
        <w:rPr>
          <w:rStyle w:val="nbapihighlight"/>
          <w:rFonts w:ascii="Times New Roman" w:hAnsi="Times New Roman" w:cs="Times New Roman"/>
          <w:sz w:val="24"/>
          <w:szCs w:val="24"/>
        </w:rPr>
        <w:t xml:space="preserve"> role in </w:t>
      </w:r>
      <w:r>
        <w:rPr>
          <w:rStyle w:val="nbapihighlight"/>
          <w:rFonts w:ascii="Times New Roman" w:hAnsi="Times New Roman" w:cs="Times New Roman"/>
          <w:sz w:val="24"/>
          <w:szCs w:val="24"/>
        </w:rPr>
        <w:t xml:space="preserve">the correct development of many </w:t>
      </w:r>
      <w:r w:rsidRPr="00451B44">
        <w:rPr>
          <w:rStyle w:val="nbapihighlight"/>
          <w:rFonts w:ascii="Times New Roman" w:hAnsi="Times New Roman" w:cs="Times New Roman"/>
          <w:sz w:val="24"/>
          <w:szCs w:val="24"/>
        </w:rPr>
        <w:t xml:space="preserve">vegetative plant tissues, for example as the final step of xylogenesis, during root cap sloughing, leaf morphogenesis, trichome differentiation and in late senescence. </w:t>
      </w:r>
    </w:p>
    <w:p w:rsidR="004B4E5E" w:rsidRPr="00451B44" w:rsidRDefault="004B4E5E" w:rsidP="002B4B8D">
      <w:pPr>
        <w:autoSpaceDE w:val="0"/>
        <w:autoSpaceDN w:val="0"/>
        <w:adjustRightInd w:val="0"/>
        <w:spacing w:after="0" w:line="480" w:lineRule="auto"/>
        <w:rPr>
          <w:rStyle w:val="nbapihighlight"/>
          <w:rFonts w:ascii="Times New Roman" w:hAnsi="Times New Roman" w:cs="Times New Roman"/>
          <w:sz w:val="24"/>
          <w:szCs w:val="24"/>
        </w:rPr>
      </w:pPr>
    </w:p>
    <w:p w:rsidR="004B4E5E" w:rsidRPr="00451B44" w:rsidRDefault="004B4E5E" w:rsidP="00BF42BA">
      <w:pPr>
        <w:pStyle w:val="ListParagraph"/>
        <w:numPr>
          <w:ilvl w:val="0"/>
          <w:numId w:val="28"/>
        </w:numPr>
        <w:autoSpaceDE w:val="0"/>
        <w:autoSpaceDN w:val="0"/>
        <w:adjustRightInd w:val="0"/>
        <w:spacing w:after="0" w:line="480" w:lineRule="auto"/>
        <w:ind w:firstLine="414"/>
        <w:rPr>
          <w:rFonts w:ascii="Times New Roman" w:hAnsi="Times New Roman" w:cs="Times New Roman"/>
          <w:b/>
          <w:bCs/>
          <w:sz w:val="24"/>
          <w:szCs w:val="24"/>
          <w:lang w:eastAsia="en-IE"/>
        </w:rPr>
      </w:pPr>
      <w:r w:rsidRPr="00451B44">
        <w:rPr>
          <w:rFonts w:ascii="Times New Roman" w:hAnsi="Times New Roman" w:cs="Times New Roman"/>
          <w:b/>
          <w:bCs/>
          <w:sz w:val="24"/>
          <w:szCs w:val="24"/>
          <w:lang w:eastAsia="en-IE"/>
        </w:rPr>
        <w:t>Xylogenesis</w:t>
      </w:r>
    </w:p>
    <w:p w:rsidR="004B4E5E" w:rsidRDefault="004B4E5E" w:rsidP="002B4B8D">
      <w:pPr>
        <w:autoSpaceDE w:val="0"/>
        <w:autoSpaceDN w:val="0"/>
        <w:adjustRightInd w:val="0"/>
        <w:spacing w:after="0" w:line="480" w:lineRule="auto"/>
        <w:rPr>
          <w:rFonts w:ascii="Times New Roman" w:hAnsi="Times New Roman" w:cs="Times New Roman"/>
          <w:sz w:val="24"/>
          <w:szCs w:val="24"/>
        </w:rPr>
      </w:pPr>
      <w:r w:rsidRPr="00451B44">
        <w:rPr>
          <w:rFonts w:ascii="Times New Roman" w:hAnsi="Times New Roman" w:cs="Times New Roman"/>
          <w:sz w:val="24"/>
          <w:szCs w:val="24"/>
          <w:lang w:eastAsia="en-IE"/>
        </w:rPr>
        <w:t xml:space="preserve">Vascular plants form xylem – a system of rigid, hollow tubes for water transport from </w:t>
      </w:r>
      <w:r>
        <w:rPr>
          <w:rFonts w:ascii="Times New Roman" w:hAnsi="Times New Roman" w:cs="Times New Roman"/>
          <w:sz w:val="24"/>
          <w:szCs w:val="24"/>
          <w:lang w:eastAsia="en-IE"/>
        </w:rPr>
        <w:t xml:space="preserve">the </w:t>
      </w:r>
      <w:r w:rsidRPr="00451B44">
        <w:rPr>
          <w:rFonts w:ascii="Times New Roman" w:hAnsi="Times New Roman" w:cs="Times New Roman"/>
          <w:sz w:val="24"/>
          <w:szCs w:val="24"/>
          <w:lang w:eastAsia="en-IE"/>
        </w:rPr>
        <w:t>roots to the rest of plant. Differentiating t</w:t>
      </w:r>
      <w:r w:rsidRPr="00451B44">
        <w:rPr>
          <w:rFonts w:ascii="Times New Roman" w:hAnsi="Times New Roman" w:cs="Times New Roman"/>
          <w:sz w:val="24"/>
          <w:szCs w:val="24"/>
        </w:rPr>
        <w:t xml:space="preserve">racheary </w:t>
      </w:r>
      <w:r>
        <w:rPr>
          <w:rFonts w:ascii="Times New Roman" w:hAnsi="Times New Roman" w:cs="Times New Roman"/>
          <w:sz w:val="24"/>
          <w:szCs w:val="24"/>
        </w:rPr>
        <w:t xml:space="preserve">elements </w:t>
      </w:r>
      <w:r w:rsidRPr="00451B44">
        <w:rPr>
          <w:rFonts w:ascii="Times New Roman" w:hAnsi="Times New Roman" w:cs="Times New Roman"/>
          <w:sz w:val="24"/>
          <w:szCs w:val="24"/>
        </w:rPr>
        <w:t>(TEs), whic</w:t>
      </w:r>
      <w:r>
        <w:rPr>
          <w:rFonts w:ascii="Times New Roman" w:hAnsi="Times New Roman" w:cs="Times New Roman"/>
          <w:sz w:val="24"/>
          <w:szCs w:val="24"/>
        </w:rPr>
        <w:t>h are the distinctive xylem cells</w:t>
      </w:r>
      <w:r w:rsidRPr="00451B44">
        <w:rPr>
          <w:rFonts w:ascii="Times New Roman" w:hAnsi="Times New Roman" w:cs="Times New Roman"/>
          <w:sz w:val="24"/>
          <w:szCs w:val="24"/>
        </w:rPr>
        <w:t>, are characteri</w:t>
      </w:r>
      <w:r>
        <w:rPr>
          <w:rFonts w:ascii="Times New Roman" w:hAnsi="Times New Roman" w:cs="Times New Roman"/>
          <w:sz w:val="24"/>
          <w:szCs w:val="24"/>
        </w:rPr>
        <w:t>s</w:t>
      </w:r>
      <w:r w:rsidRPr="00451B44">
        <w:rPr>
          <w:rFonts w:ascii="Times New Roman" w:hAnsi="Times New Roman" w:cs="Times New Roman"/>
          <w:sz w:val="24"/>
          <w:szCs w:val="24"/>
        </w:rPr>
        <w:t xml:space="preserve">ed by the formation of a secondary cell wall with annular, spiral, reticulate, or pitted thickenings </w:t>
      </w:r>
      <w:r w:rsidRPr="00451B44">
        <w:rPr>
          <w:rFonts w:ascii="Times New Roman" w:hAnsi="Times New Roman" w:cs="Times New Roman"/>
          <w:noProof/>
          <w:sz w:val="24"/>
          <w:szCs w:val="24"/>
        </w:rPr>
        <w:t>(Fukuda, 1997)</w:t>
      </w:r>
      <w:r w:rsidRPr="00451B44">
        <w:rPr>
          <w:rFonts w:ascii="Times New Roman" w:hAnsi="Times New Roman" w:cs="Times New Roman"/>
          <w:sz w:val="24"/>
          <w:szCs w:val="24"/>
        </w:rPr>
        <w:t>. A maturing TE loses its contents forming a functional corpse consisting of a hollow tube, and this process is broadly recogni</w:t>
      </w:r>
      <w:r>
        <w:rPr>
          <w:rFonts w:ascii="Times New Roman" w:hAnsi="Times New Roman" w:cs="Times New Roman"/>
          <w:sz w:val="24"/>
          <w:szCs w:val="24"/>
        </w:rPr>
        <w:t>s</w:t>
      </w:r>
      <w:r w:rsidRPr="00451B44">
        <w:rPr>
          <w:rFonts w:ascii="Times New Roman" w:hAnsi="Times New Roman" w:cs="Times New Roman"/>
          <w:sz w:val="24"/>
          <w:szCs w:val="24"/>
        </w:rPr>
        <w:t xml:space="preserve">ed as the example of developmental PCD in plants </w:t>
      </w:r>
      <w:r w:rsidRPr="00451B44">
        <w:rPr>
          <w:rFonts w:ascii="Times New Roman" w:hAnsi="Times New Roman" w:cs="Times New Roman"/>
          <w:noProof/>
          <w:sz w:val="24"/>
          <w:szCs w:val="24"/>
        </w:rPr>
        <w:t>(Pennell and Lamb, 1997)</w:t>
      </w:r>
      <w:r w:rsidRPr="00451B44">
        <w:rPr>
          <w:rFonts w:ascii="Times New Roman" w:hAnsi="Times New Roman" w:cs="Times New Roman"/>
          <w:sz w:val="24"/>
          <w:szCs w:val="24"/>
        </w:rPr>
        <w:t xml:space="preserve">. During differentiation of TEs, hydrolytic enzymes including proteases, DNases and RNases </w:t>
      </w:r>
      <w:r w:rsidRPr="00451B44">
        <w:rPr>
          <w:rFonts w:ascii="Times New Roman" w:hAnsi="Times New Roman" w:cs="Times New Roman"/>
          <w:noProof/>
          <w:sz w:val="24"/>
          <w:szCs w:val="24"/>
        </w:rPr>
        <w:t>(Fukuda, 1997)</w:t>
      </w:r>
      <w:r w:rsidRPr="00451B44">
        <w:rPr>
          <w:rFonts w:ascii="Times New Roman" w:hAnsi="Times New Roman" w:cs="Times New Roman"/>
          <w:sz w:val="24"/>
          <w:szCs w:val="24"/>
        </w:rPr>
        <w:t xml:space="preserve"> accumulate in the large, central vacuole. Once the secondary cell wall is formed, </w:t>
      </w:r>
      <w:r>
        <w:rPr>
          <w:rFonts w:ascii="Times New Roman" w:hAnsi="Times New Roman" w:cs="Times New Roman"/>
          <w:sz w:val="24"/>
          <w:szCs w:val="24"/>
        </w:rPr>
        <w:t xml:space="preserve">the tonoplast ruptures and </w:t>
      </w:r>
      <w:r w:rsidRPr="00451B44">
        <w:rPr>
          <w:rFonts w:ascii="Times New Roman" w:hAnsi="Times New Roman" w:cs="Times New Roman"/>
          <w:sz w:val="24"/>
          <w:szCs w:val="24"/>
        </w:rPr>
        <w:t xml:space="preserve">releases its hydrolytic load to the cytoplasm </w:t>
      </w:r>
      <w:r w:rsidRPr="00451B44">
        <w:rPr>
          <w:rFonts w:ascii="Times New Roman" w:hAnsi="Times New Roman" w:cs="Times New Roman"/>
          <w:noProof/>
          <w:sz w:val="24"/>
          <w:szCs w:val="24"/>
        </w:rPr>
        <w:t>(Groover</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1997)</w:t>
      </w:r>
      <w:r w:rsidRPr="00451B44">
        <w:rPr>
          <w:rFonts w:ascii="Times New Roman" w:hAnsi="Times New Roman" w:cs="Times New Roman"/>
          <w:sz w:val="24"/>
          <w:szCs w:val="24"/>
        </w:rPr>
        <w:t xml:space="preserve">, resulting in the degradation of cell contents, including organelles and part of the cell wall </w:t>
      </w:r>
      <w:r w:rsidRPr="00451B44">
        <w:rPr>
          <w:rFonts w:ascii="Times New Roman" w:hAnsi="Times New Roman" w:cs="Times New Roman"/>
          <w:noProof/>
          <w:sz w:val="24"/>
          <w:szCs w:val="24"/>
        </w:rPr>
        <w:t>(Fukuda, 2000)</w:t>
      </w:r>
      <w:r w:rsidRPr="00451B44">
        <w:rPr>
          <w:rFonts w:ascii="Times New Roman" w:hAnsi="Times New Roman" w:cs="Times New Roman"/>
          <w:sz w:val="24"/>
          <w:szCs w:val="24"/>
        </w:rPr>
        <w:t>.</w:t>
      </w:r>
    </w:p>
    <w:p w:rsidR="004B4E5E" w:rsidRPr="00451B44" w:rsidRDefault="004B4E5E" w:rsidP="002B4B8D">
      <w:pPr>
        <w:autoSpaceDE w:val="0"/>
        <w:autoSpaceDN w:val="0"/>
        <w:adjustRightInd w:val="0"/>
        <w:spacing w:after="0" w:line="480" w:lineRule="auto"/>
        <w:rPr>
          <w:rFonts w:ascii="Times New Roman" w:hAnsi="Times New Roman" w:cs="Times New Roman"/>
          <w:sz w:val="24"/>
          <w:szCs w:val="24"/>
        </w:rPr>
      </w:pPr>
    </w:p>
    <w:p w:rsidR="004B4E5E" w:rsidRDefault="004B4E5E" w:rsidP="002B4B8D">
      <w:pPr>
        <w:autoSpaceDE w:val="0"/>
        <w:autoSpaceDN w:val="0"/>
        <w:adjustRightInd w:val="0"/>
        <w:spacing w:after="0" w:line="480" w:lineRule="auto"/>
        <w:rPr>
          <w:rFonts w:ascii="Times New Roman" w:hAnsi="Times New Roman" w:cs="Times New Roman"/>
          <w:i/>
          <w:iCs/>
          <w:sz w:val="24"/>
          <w:szCs w:val="24"/>
        </w:rPr>
      </w:pPr>
      <w:r w:rsidRPr="00451B44">
        <w:rPr>
          <w:rFonts w:ascii="Times New Roman" w:hAnsi="Times New Roman" w:cs="Times New Roman"/>
          <w:sz w:val="24"/>
          <w:szCs w:val="24"/>
        </w:rPr>
        <w:t xml:space="preserve">The sequence of events during xylogenesis has been widely studied with the use of an </w:t>
      </w:r>
      <w:r w:rsidRPr="00451B44">
        <w:rPr>
          <w:rFonts w:ascii="Times New Roman" w:hAnsi="Times New Roman" w:cs="Times New Roman"/>
          <w:i/>
          <w:iCs/>
          <w:sz w:val="24"/>
          <w:szCs w:val="24"/>
        </w:rPr>
        <w:t xml:space="preserve">in vitro </w:t>
      </w:r>
      <w:r w:rsidRPr="00451B44">
        <w:rPr>
          <w:rFonts w:ascii="Times New Roman" w:hAnsi="Times New Roman" w:cs="Times New Roman"/>
          <w:sz w:val="24"/>
          <w:szCs w:val="24"/>
        </w:rPr>
        <w:t xml:space="preserve">system based on cell cultures derived from isolated </w:t>
      </w:r>
      <w:r>
        <w:rPr>
          <w:rFonts w:ascii="Times New Roman" w:hAnsi="Times New Roman" w:cs="Times New Roman"/>
          <w:i/>
          <w:iCs/>
          <w:sz w:val="24"/>
          <w:szCs w:val="24"/>
        </w:rPr>
        <w:t>Z.</w:t>
      </w:r>
      <w:r w:rsidRPr="00451B44">
        <w:rPr>
          <w:rFonts w:ascii="Times New Roman" w:hAnsi="Times New Roman" w:cs="Times New Roman"/>
          <w:i/>
          <w:iCs/>
          <w:sz w:val="24"/>
          <w:szCs w:val="24"/>
        </w:rPr>
        <w:t xml:space="preserve"> elegans</w:t>
      </w:r>
      <w:r w:rsidRPr="00451B44">
        <w:rPr>
          <w:rFonts w:ascii="Times New Roman" w:hAnsi="Times New Roman" w:cs="Times New Roman"/>
          <w:sz w:val="24"/>
          <w:szCs w:val="24"/>
        </w:rPr>
        <w:t xml:space="preserve"> mesophyll cells </w:t>
      </w:r>
      <w:r>
        <w:rPr>
          <w:rFonts w:ascii="Times New Roman" w:hAnsi="Times New Roman" w:cs="Times New Roman"/>
          <w:sz w:val="24"/>
          <w:szCs w:val="24"/>
        </w:rPr>
        <w:t>(Fukuda, 1997, Fukuda and Komamine, 1980, Fukuda</w:t>
      </w:r>
      <w:r w:rsidRPr="00E54DA4">
        <w:rPr>
          <w:rFonts w:ascii="Times New Roman" w:hAnsi="Times New Roman" w:cs="Times New Roman"/>
          <w:i/>
          <w:iCs/>
          <w:sz w:val="24"/>
          <w:szCs w:val="24"/>
        </w:rPr>
        <w:t xml:space="preserve"> et al.</w:t>
      </w:r>
      <w:r>
        <w:rPr>
          <w:rFonts w:ascii="Times New Roman" w:hAnsi="Times New Roman" w:cs="Times New Roman"/>
          <w:sz w:val="24"/>
          <w:szCs w:val="24"/>
        </w:rPr>
        <w:t>, 1998)</w:t>
      </w:r>
      <w:r w:rsidRPr="00451B44">
        <w:rPr>
          <w:rFonts w:ascii="Times New Roman" w:hAnsi="Times New Roman" w:cs="Times New Roman"/>
          <w:sz w:val="24"/>
          <w:szCs w:val="24"/>
        </w:rPr>
        <w:t xml:space="preserve">. In this model system, single isolated mesophyll cells transdifferentiate directly (without division) into TEs when cultured in the presence of the phytohormones auxin and cytokinin </w:t>
      </w:r>
      <w:r w:rsidRPr="00451B44">
        <w:rPr>
          <w:rFonts w:ascii="Times New Roman" w:hAnsi="Times New Roman" w:cs="Times New Roman"/>
          <w:noProof/>
          <w:sz w:val="24"/>
          <w:szCs w:val="24"/>
        </w:rPr>
        <w:t>(Fukuda and Komamine, 1980)</w:t>
      </w:r>
      <w:r w:rsidRPr="00451B44">
        <w:rPr>
          <w:rFonts w:ascii="Times New Roman" w:hAnsi="Times New Roman" w:cs="Times New Roman"/>
          <w:sz w:val="24"/>
          <w:szCs w:val="24"/>
        </w:rPr>
        <w:t xml:space="preserve">. The high frequency of differentiation and the possibility of being able to observe single cells make this an attractive system with which to study TE differentiation (Chasan, 1994, Fukuda, 1994, Fukuda, 1996). Twumasi </w:t>
      </w:r>
      <w:r w:rsidRPr="00451B44">
        <w:rPr>
          <w:rFonts w:ascii="Times New Roman" w:hAnsi="Times New Roman" w:cs="Times New Roman"/>
          <w:i/>
          <w:iCs/>
          <w:sz w:val="24"/>
          <w:szCs w:val="24"/>
        </w:rPr>
        <w:t>et al.</w:t>
      </w:r>
      <w:r>
        <w:rPr>
          <w:rFonts w:ascii="Times New Roman" w:hAnsi="Times New Roman" w:cs="Times New Roman"/>
          <w:i/>
          <w:iCs/>
          <w:sz w:val="24"/>
          <w:szCs w:val="24"/>
        </w:rPr>
        <w:t xml:space="preserve"> </w:t>
      </w:r>
      <w:r w:rsidRPr="00451B44">
        <w:rPr>
          <w:rFonts w:ascii="Times New Roman" w:hAnsi="Times New Roman" w:cs="Times New Roman"/>
          <w:sz w:val="24"/>
          <w:szCs w:val="24"/>
        </w:rPr>
        <w:t xml:space="preserve">(2009) recently reported an improved method of establishing </w:t>
      </w:r>
      <w:r>
        <w:rPr>
          <w:rFonts w:ascii="Times New Roman" w:hAnsi="Times New Roman" w:cs="Times New Roman"/>
          <w:i/>
          <w:iCs/>
          <w:sz w:val="24"/>
          <w:szCs w:val="24"/>
        </w:rPr>
        <w:t>Z.</w:t>
      </w:r>
      <w:r w:rsidRPr="00451B44">
        <w:rPr>
          <w:rFonts w:ascii="Times New Roman" w:hAnsi="Times New Roman" w:cs="Times New Roman"/>
          <w:i/>
          <w:iCs/>
          <w:sz w:val="24"/>
          <w:szCs w:val="24"/>
        </w:rPr>
        <w:t xml:space="preserve"> elegans</w:t>
      </w:r>
      <w:r w:rsidRPr="00451B44">
        <w:rPr>
          <w:rFonts w:ascii="Times New Roman" w:hAnsi="Times New Roman" w:cs="Times New Roman"/>
          <w:sz w:val="24"/>
          <w:szCs w:val="24"/>
        </w:rPr>
        <w:t xml:space="preserve"> suspension cultures characteri</w:t>
      </w:r>
      <w:r>
        <w:rPr>
          <w:rFonts w:ascii="Times New Roman" w:hAnsi="Times New Roman" w:cs="Times New Roman"/>
          <w:sz w:val="24"/>
          <w:szCs w:val="24"/>
        </w:rPr>
        <w:t xml:space="preserve">sed by </w:t>
      </w:r>
      <w:r w:rsidRPr="00451B44">
        <w:rPr>
          <w:rFonts w:ascii="Times New Roman" w:hAnsi="Times New Roman" w:cs="Times New Roman"/>
          <w:sz w:val="24"/>
          <w:szCs w:val="24"/>
        </w:rPr>
        <w:t>in</w:t>
      </w:r>
      <w:r>
        <w:rPr>
          <w:rFonts w:ascii="Times New Roman" w:hAnsi="Times New Roman" w:cs="Times New Roman"/>
          <w:sz w:val="24"/>
          <w:szCs w:val="24"/>
        </w:rPr>
        <w:t>creased TE yields as high as 76%</w:t>
      </w:r>
      <w:r w:rsidRPr="00451B44">
        <w:rPr>
          <w:rFonts w:ascii="Times New Roman" w:hAnsi="Times New Roman" w:cs="Times New Roman"/>
          <w:sz w:val="24"/>
          <w:szCs w:val="24"/>
        </w:rPr>
        <w:t>.</w:t>
      </w:r>
      <w:r>
        <w:rPr>
          <w:rFonts w:ascii="Times New Roman" w:hAnsi="Times New Roman" w:cs="Times New Roman"/>
          <w:sz w:val="24"/>
          <w:szCs w:val="24"/>
        </w:rPr>
        <w:t xml:space="preserve"> </w:t>
      </w:r>
      <w:r w:rsidRPr="00451B44">
        <w:rPr>
          <w:rFonts w:ascii="Times New Roman" w:hAnsi="Times New Roman" w:cs="Times New Roman"/>
          <w:i/>
          <w:iCs/>
          <w:sz w:val="24"/>
          <w:szCs w:val="24"/>
        </w:rPr>
        <w:t>Arabidopsis</w:t>
      </w:r>
      <w:r w:rsidRPr="00451B44">
        <w:rPr>
          <w:rFonts w:ascii="Times New Roman" w:hAnsi="Times New Roman" w:cs="Times New Roman"/>
          <w:sz w:val="24"/>
          <w:szCs w:val="24"/>
        </w:rPr>
        <w:t xml:space="preserve"> cells cultures with induced TE differe</w:t>
      </w:r>
      <w:r>
        <w:rPr>
          <w:rFonts w:ascii="Times New Roman" w:hAnsi="Times New Roman" w:cs="Times New Roman"/>
          <w:sz w:val="24"/>
          <w:szCs w:val="24"/>
        </w:rPr>
        <w:t>ntiation have been established</w:t>
      </w:r>
      <w:r w:rsidRPr="00451B44">
        <w:rPr>
          <w:rFonts w:ascii="Times New Roman" w:hAnsi="Times New Roman" w:cs="Times New Roman"/>
          <w:sz w:val="24"/>
          <w:szCs w:val="24"/>
        </w:rPr>
        <w:t xml:space="preserve"> </w:t>
      </w:r>
      <w:r w:rsidRPr="00451B44">
        <w:rPr>
          <w:rFonts w:ascii="Times New Roman" w:hAnsi="Times New Roman" w:cs="Times New Roman"/>
          <w:noProof/>
          <w:sz w:val="24"/>
          <w:szCs w:val="24"/>
        </w:rPr>
        <w:t>(Oda</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2005)</w:t>
      </w:r>
      <w:r>
        <w:rPr>
          <w:rFonts w:ascii="Times New Roman" w:hAnsi="Times New Roman" w:cs="Times New Roman"/>
          <w:sz w:val="24"/>
          <w:szCs w:val="24"/>
        </w:rPr>
        <w:t xml:space="preserve"> and</w:t>
      </w:r>
      <w:r w:rsidRPr="00451B44">
        <w:rPr>
          <w:rFonts w:ascii="Times New Roman" w:hAnsi="Times New Roman" w:cs="Times New Roman"/>
          <w:sz w:val="24"/>
          <w:szCs w:val="24"/>
        </w:rPr>
        <w:t xml:space="preserve"> TE differentiation has been </w:t>
      </w:r>
      <w:r>
        <w:rPr>
          <w:rFonts w:ascii="Times New Roman" w:hAnsi="Times New Roman" w:cs="Times New Roman"/>
          <w:sz w:val="24"/>
          <w:szCs w:val="24"/>
        </w:rPr>
        <w:t>investigated in tree species such as</w:t>
      </w:r>
      <w:r w:rsidRPr="00451B44">
        <w:rPr>
          <w:rFonts w:ascii="Times New Roman" w:hAnsi="Times New Roman" w:cs="Times New Roman"/>
          <w:sz w:val="24"/>
          <w:szCs w:val="24"/>
        </w:rPr>
        <w:t xml:space="preserve"> poplar (Hertzberg</w:t>
      </w:r>
      <w:r w:rsidRPr="00451B44">
        <w:rPr>
          <w:rFonts w:ascii="Times New Roman" w:hAnsi="Times New Roman" w:cs="Times New Roman"/>
          <w:i/>
          <w:iCs/>
          <w:sz w:val="24"/>
          <w:szCs w:val="24"/>
        </w:rPr>
        <w:t xml:space="preserve"> et al.</w:t>
      </w:r>
      <w:r w:rsidRPr="00451B44">
        <w:rPr>
          <w:rFonts w:ascii="Times New Roman" w:hAnsi="Times New Roman" w:cs="Times New Roman"/>
          <w:sz w:val="24"/>
          <w:szCs w:val="24"/>
        </w:rPr>
        <w:t>, 2001, Schrader</w:t>
      </w:r>
      <w:r w:rsidRPr="00451B44">
        <w:rPr>
          <w:rFonts w:ascii="Times New Roman" w:hAnsi="Times New Roman" w:cs="Times New Roman"/>
          <w:i/>
          <w:iCs/>
          <w:sz w:val="24"/>
          <w:szCs w:val="24"/>
        </w:rPr>
        <w:t xml:space="preserve"> et al.</w:t>
      </w:r>
      <w:r w:rsidRPr="00451B44">
        <w:rPr>
          <w:rFonts w:ascii="Times New Roman" w:hAnsi="Times New Roman" w:cs="Times New Roman"/>
          <w:sz w:val="24"/>
          <w:szCs w:val="24"/>
        </w:rPr>
        <w:t>, 2004)</w:t>
      </w:r>
      <w:r>
        <w:rPr>
          <w:rFonts w:ascii="Times New Roman" w:hAnsi="Times New Roman" w:cs="Times New Roman"/>
          <w:sz w:val="24"/>
          <w:szCs w:val="24"/>
        </w:rPr>
        <w:t xml:space="preserve">.  TE differentiation </w:t>
      </w:r>
      <w:r w:rsidRPr="00451B44">
        <w:rPr>
          <w:rFonts w:ascii="Times New Roman" w:hAnsi="Times New Roman" w:cs="Times New Roman"/>
          <w:sz w:val="24"/>
          <w:szCs w:val="24"/>
        </w:rPr>
        <w:t xml:space="preserve">has also been investigated in </w:t>
      </w:r>
      <w:r w:rsidRPr="00451B44">
        <w:rPr>
          <w:rFonts w:ascii="Times New Roman" w:hAnsi="Times New Roman" w:cs="Times New Roman"/>
          <w:i/>
          <w:iCs/>
          <w:sz w:val="24"/>
          <w:szCs w:val="24"/>
        </w:rPr>
        <w:t>Arabidopsis</w:t>
      </w:r>
      <w:r w:rsidRPr="00451B44">
        <w:rPr>
          <w:rFonts w:ascii="Times New Roman" w:hAnsi="Times New Roman" w:cs="Times New Roman"/>
          <w:sz w:val="24"/>
          <w:szCs w:val="24"/>
        </w:rPr>
        <w:t xml:space="preserve"> mutants exhibiting alternations in vascular tissue (Turner and Somerville, 1997).</w:t>
      </w:r>
      <w:r w:rsidRPr="00451B44">
        <w:rPr>
          <w:rFonts w:ascii="Times New Roman" w:hAnsi="Times New Roman" w:cs="Times New Roman"/>
          <w:i/>
          <w:iCs/>
          <w:sz w:val="24"/>
          <w:szCs w:val="24"/>
        </w:rPr>
        <w:t xml:space="preserve"> </w:t>
      </w:r>
    </w:p>
    <w:p w:rsidR="004B4E5E" w:rsidRDefault="004B4E5E" w:rsidP="002B4B8D">
      <w:pPr>
        <w:autoSpaceDE w:val="0"/>
        <w:autoSpaceDN w:val="0"/>
        <w:adjustRightInd w:val="0"/>
        <w:spacing w:after="0" w:line="480" w:lineRule="auto"/>
        <w:rPr>
          <w:rFonts w:ascii="Times New Roman" w:hAnsi="Times New Roman" w:cs="Times New Roman"/>
          <w:sz w:val="24"/>
          <w:szCs w:val="24"/>
        </w:rPr>
      </w:pPr>
    </w:p>
    <w:p w:rsidR="004B4E5E" w:rsidRPr="00451B44" w:rsidRDefault="004B4E5E" w:rsidP="002B4B8D">
      <w:pPr>
        <w:autoSpaceDE w:val="0"/>
        <w:autoSpaceDN w:val="0"/>
        <w:adjustRightInd w:val="0"/>
        <w:spacing w:after="0" w:line="480" w:lineRule="auto"/>
        <w:rPr>
          <w:rFonts w:ascii="Times New Roman" w:hAnsi="Times New Roman" w:cs="Times New Roman"/>
          <w:sz w:val="24"/>
          <w:szCs w:val="24"/>
        </w:rPr>
      </w:pPr>
      <w:r w:rsidRPr="00451B44">
        <w:rPr>
          <w:rFonts w:ascii="Times New Roman" w:hAnsi="Times New Roman" w:cs="Times New Roman"/>
          <w:sz w:val="24"/>
          <w:szCs w:val="24"/>
        </w:rPr>
        <w:t xml:space="preserve">Several studies have shown that cell death during xylogenesis exhibits features characteristic of PCD. First of all, TE differentiation is an active process, accompanied by upregulation of genes triggering cell destruction </w:t>
      </w:r>
      <w:r w:rsidRPr="00451B44">
        <w:rPr>
          <w:rFonts w:ascii="Times New Roman" w:hAnsi="Times New Roman" w:cs="Times New Roman"/>
          <w:noProof/>
          <w:sz w:val="24"/>
          <w:szCs w:val="24"/>
        </w:rPr>
        <w:t>(Turner</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2007)</w:t>
      </w:r>
      <w:r w:rsidRPr="00451B44">
        <w:rPr>
          <w:rFonts w:ascii="Times New Roman" w:hAnsi="Times New Roman" w:cs="Times New Roman"/>
          <w:sz w:val="24"/>
          <w:szCs w:val="24"/>
        </w:rPr>
        <w:t xml:space="preserve">. The fact that cyclohexamide treatment was shown to suppress TE death in </w:t>
      </w:r>
      <w:r w:rsidRPr="00451B44">
        <w:rPr>
          <w:rFonts w:ascii="Times New Roman" w:hAnsi="Times New Roman" w:cs="Times New Roman"/>
          <w:i/>
          <w:iCs/>
          <w:sz w:val="24"/>
          <w:szCs w:val="24"/>
        </w:rPr>
        <w:t>Zinnia</w:t>
      </w:r>
      <w:r w:rsidRPr="00451B44">
        <w:rPr>
          <w:rFonts w:ascii="Times New Roman" w:hAnsi="Times New Roman" w:cs="Times New Roman"/>
          <w:sz w:val="24"/>
          <w:szCs w:val="24"/>
        </w:rPr>
        <w:t xml:space="preserve"> cultures indicates that protein synthesis is a prerequisite for the process </w:t>
      </w:r>
      <w:r w:rsidRPr="00451B44">
        <w:rPr>
          <w:rFonts w:ascii="Times New Roman" w:hAnsi="Times New Roman" w:cs="Times New Roman"/>
          <w:noProof/>
          <w:sz w:val="24"/>
          <w:szCs w:val="24"/>
        </w:rPr>
        <w:t>(Kuriyama, 1999)</w:t>
      </w:r>
      <w:r w:rsidRPr="00451B44">
        <w:rPr>
          <w:rFonts w:ascii="Times New Roman" w:hAnsi="Times New Roman" w:cs="Times New Roman"/>
          <w:sz w:val="24"/>
          <w:szCs w:val="24"/>
        </w:rPr>
        <w:t xml:space="preserve">. Extracellular calcium uptake is also required for completion of TE maturation </w:t>
      </w:r>
      <w:r w:rsidRPr="00451B44">
        <w:rPr>
          <w:rFonts w:ascii="Times New Roman" w:hAnsi="Times New Roman" w:cs="Times New Roman"/>
          <w:noProof/>
          <w:sz w:val="24"/>
          <w:szCs w:val="24"/>
        </w:rPr>
        <w:t>(Roberts and Haigler, 1990)</w:t>
      </w:r>
      <w:r w:rsidRPr="00451B44">
        <w:rPr>
          <w:rFonts w:ascii="Times New Roman" w:hAnsi="Times New Roman" w:cs="Times New Roman"/>
          <w:sz w:val="24"/>
          <w:szCs w:val="24"/>
        </w:rPr>
        <w:t xml:space="preserve">. </w:t>
      </w:r>
      <w:r w:rsidRPr="00F744F3">
        <w:rPr>
          <w:rFonts w:ascii="Times New Roman" w:hAnsi="Times New Roman" w:cs="Times New Roman"/>
          <w:sz w:val="24"/>
          <w:szCs w:val="24"/>
        </w:rPr>
        <w:t xml:space="preserve">Cyt </w:t>
      </w:r>
      <w:r w:rsidRPr="00C64D1B">
        <w:rPr>
          <w:rFonts w:ascii="Times New Roman" w:hAnsi="Times New Roman" w:cs="Times New Roman"/>
          <w:i/>
          <w:iCs/>
          <w:sz w:val="24"/>
          <w:szCs w:val="24"/>
        </w:rPr>
        <w:t>c</w:t>
      </w:r>
      <w:r w:rsidRPr="00451B44">
        <w:rPr>
          <w:rFonts w:ascii="Times New Roman" w:hAnsi="Times New Roman" w:cs="Times New Roman"/>
          <w:sz w:val="24"/>
          <w:szCs w:val="24"/>
        </w:rPr>
        <w:t xml:space="preserve"> release prior to TE PCD has been detected, although this release was not sufficient to trigger PCD and therefore the causative role of </w:t>
      </w:r>
      <w:r w:rsidRPr="00F744F3">
        <w:rPr>
          <w:rFonts w:ascii="Times New Roman" w:hAnsi="Times New Roman" w:cs="Times New Roman"/>
          <w:sz w:val="24"/>
          <w:szCs w:val="24"/>
        </w:rPr>
        <w:t xml:space="preserve">cyt </w:t>
      </w:r>
      <w:r w:rsidRPr="00C64D1B">
        <w:rPr>
          <w:rFonts w:ascii="Times New Roman" w:hAnsi="Times New Roman" w:cs="Times New Roman"/>
          <w:i/>
          <w:iCs/>
          <w:sz w:val="24"/>
          <w:szCs w:val="24"/>
        </w:rPr>
        <w:t>c</w:t>
      </w:r>
      <w:r w:rsidRPr="00451B44">
        <w:rPr>
          <w:rFonts w:ascii="Times New Roman" w:hAnsi="Times New Roman" w:cs="Times New Roman"/>
          <w:sz w:val="24"/>
          <w:szCs w:val="24"/>
        </w:rPr>
        <w:t xml:space="preserve"> in this death is questionable </w:t>
      </w:r>
      <w:r w:rsidRPr="00451B44">
        <w:rPr>
          <w:rFonts w:ascii="Times New Roman" w:hAnsi="Times New Roman" w:cs="Times New Roman"/>
          <w:noProof/>
          <w:sz w:val="24"/>
          <w:szCs w:val="24"/>
        </w:rPr>
        <w:t>(Yu</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2002)</w:t>
      </w:r>
      <w:r w:rsidRPr="00451B44">
        <w:rPr>
          <w:rFonts w:ascii="Times New Roman" w:hAnsi="Times New Roman" w:cs="Times New Roman"/>
          <w:sz w:val="24"/>
          <w:szCs w:val="24"/>
        </w:rPr>
        <w:t>. Depolari</w:t>
      </w:r>
      <w:r>
        <w:rPr>
          <w:rFonts w:ascii="Times New Roman" w:hAnsi="Times New Roman" w:cs="Times New Roman"/>
          <w:sz w:val="24"/>
          <w:szCs w:val="24"/>
        </w:rPr>
        <w:t>s</w:t>
      </w:r>
      <w:r w:rsidRPr="00451B44">
        <w:rPr>
          <w:rFonts w:ascii="Times New Roman" w:hAnsi="Times New Roman" w:cs="Times New Roman"/>
          <w:sz w:val="24"/>
          <w:szCs w:val="24"/>
        </w:rPr>
        <w:t>ation of mitochondrial membrane</w:t>
      </w:r>
      <w:r>
        <w:rPr>
          <w:rFonts w:ascii="Times New Roman" w:hAnsi="Times New Roman" w:cs="Times New Roman"/>
          <w:sz w:val="24"/>
          <w:szCs w:val="24"/>
        </w:rPr>
        <w:t>s</w:t>
      </w:r>
      <w:r w:rsidRPr="00451B44">
        <w:rPr>
          <w:rFonts w:ascii="Times New Roman" w:hAnsi="Times New Roman" w:cs="Times New Roman"/>
          <w:sz w:val="24"/>
          <w:szCs w:val="24"/>
        </w:rPr>
        <w:t xml:space="preserve"> and changes in mitochondrial ultrastructure pri</w:t>
      </w:r>
      <w:r>
        <w:rPr>
          <w:rFonts w:ascii="Times New Roman" w:hAnsi="Times New Roman" w:cs="Times New Roman"/>
          <w:sz w:val="24"/>
          <w:szCs w:val="24"/>
        </w:rPr>
        <w:t>or to vacuolar collapse suggests</w:t>
      </w:r>
      <w:r w:rsidRPr="00451B44">
        <w:rPr>
          <w:rFonts w:ascii="Times New Roman" w:hAnsi="Times New Roman" w:cs="Times New Roman"/>
          <w:sz w:val="24"/>
          <w:szCs w:val="24"/>
        </w:rPr>
        <w:t xml:space="preserve"> involvement</w:t>
      </w:r>
      <w:r>
        <w:rPr>
          <w:rFonts w:ascii="Times New Roman" w:hAnsi="Times New Roman" w:cs="Times New Roman"/>
          <w:sz w:val="24"/>
          <w:szCs w:val="24"/>
        </w:rPr>
        <w:t xml:space="preserve"> of mitochondria in TE</w:t>
      </w:r>
      <w:r w:rsidRPr="00451B44">
        <w:rPr>
          <w:rFonts w:ascii="Times New Roman" w:hAnsi="Times New Roman" w:cs="Times New Roman"/>
          <w:sz w:val="24"/>
          <w:szCs w:val="24"/>
        </w:rPr>
        <w:t xml:space="preserve"> PCD </w:t>
      </w:r>
      <w:r w:rsidRPr="00451B44">
        <w:rPr>
          <w:rFonts w:ascii="Times New Roman" w:hAnsi="Times New Roman" w:cs="Times New Roman"/>
          <w:noProof/>
          <w:sz w:val="24"/>
          <w:szCs w:val="24"/>
        </w:rPr>
        <w:t>(Yu</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2002)</w:t>
      </w:r>
      <w:r w:rsidRPr="00451B44">
        <w:rPr>
          <w:rFonts w:ascii="Times New Roman" w:hAnsi="Times New Roman" w:cs="Times New Roman"/>
          <w:sz w:val="24"/>
          <w:szCs w:val="24"/>
        </w:rPr>
        <w:t xml:space="preserve">. Suppression of TE differentiation in the presence of human caspase inhibitors has </w:t>
      </w:r>
      <w:r>
        <w:rPr>
          <w:rFonts w:ascii="Times New Roman" w:hAnsi="Times New Roman" w:cs="Times New Roman"/>
          <w:sz w:val="24"/>
          <w:szCs w:val="24"/>
        </w:rPr>
        <w:t xml:space="preserve">also </w:t>
      </w:r>
      <w:r w:rsidRPr="00451B44">
        <w:rPr>
          <w:rFonts w:ascii="Times New Roman" w:hAnsi="Times New Roman" w:cs="Times New Roman"/>
          <w:sz w:val="24"/>
          <w:szCs w:val="24"/>
        </w:rPr>
        <w:t xml:space="preserve">been reported, which suggests </w:t>
      </w:r>
      <w:r>
        <w:rPr>
          <w:rFonts w:ascii="Times New Roman" w:hAnsi="Times New Roman" w:cs="Times New Roman"/>
          <w:sz w:val="24"/>
          <w:szCs w:val="24"/>
        </w:rPr>
        <w:t>a role for</w:t>
      </w:r>
      <w:r w:rsidRPr="00451B44">
        <w:rPr>
          <w:rFonts w:ascii="Times New Roman" w:hAnsi="Times New Roman" w:cs="Times New Roman"/>
          <w:sz w:val="24"/>
          <w:szCs w:val="24"/>
        </w:rPr>
        <w:t xml:space="preserve"> caspase-like proteases in the process </w:t>
      </w:r>
      <w:r w:rsidRPr="00451B44">
        <w:rPr>
          <w:rFonts w:ascii="Times New Roman" w:hAnsi="Times New Roman" w:cs="Times New Roman"/>
          <w:noProof/>
          <w:sz w:val="24"/>
          <w:szCs w:val="24"/>
        </w:rPr>
        <w:t>(Iakimova and Woltering, 2009)</w:t>
      </w:r>
      <w:r w:rsidRPr="00451B44">
        <w:rPr>
          <w:rFonts w:ascii="Times New Roman" w:hAnsi="Times New Roman" w:cs="Times New Roman"/>
          <w:sz w:val="24"/>
          <w:szCs w:val="24"/>
        </w:rPr>
        <w:t xml:space="preserve">. </w:t>
      </w:r>
      <w:r>
        <w:rPr>
          <w:rFonts w:ascii="Times New Roman" w:hAnsi="Times New Roman" w:cs="Times New Roman"/>
          <w:sz w:val="24"/>
          <w:szCs w:val="24"/>
        </w:rPr>
        <w:t>However, a</w:t>
      </w:r>
      <w:r w:rsidRPr="00451B44">
        <w:rPr>
          <w:rFonts w:ascii="Times New Roman" w:hAnsi="Times New Roman" w:cs="Times New Roman"/>
          <w:sz w:val="24"/>
          <w:szCs w:val="24"/>
        </w:rPr>
        <w:t>poptotic hallmarks such as prominent chromatin condensation and nuclear fragmentation are not generally observed during TE differentiation (Groover</w:t>
      </w:r>
      <w:r w:rsidRPr="00451B44">
        <w:rPr>
          <w:rFonts w:ascii="Times New Roman" w:hAnsi="Times New Roman" w:cs="Times New Roman"/>
          <w:i/>
          <w:iCs/>
          <w:sz w:val="24"/>
          <w:szCs w:val="24"/>
        </w:rPr>
        <w:t xml:space="preserve"> et al.</w:t>
      </w:r>
      <w:r w:rsidRPr="00451B44">
        <w:rPr>
          <w:rFonts w:ascii="Times New Roman" w:hAnsi="Times New Roman" w:cs="Times New Roman"/>
          <w:sz w:val="24"/>
          <w:szCs w:val="24"/>
        </w:rPr>
        <w:t>, 1997, Obara</w:t>
      </w:r>
      <w:r w:rsidRPr="00451B44">
        <w:rPr>
          <w:rFonts w:ascii="Times New Roman" w:hAnsi="Times New Roman" w:cs="Times New Roman"/>
          <w:i/>
          <w:iCs/>
          <w:sz w:val="24"/>
          <w:szCs w:val="24"/>
        </w:rPr>
        <w:t xml:space="preserve"> et al.</w:t>
      </w:r>
      <w:r w:rsidRPr="00451B44">
        <w:rPr>
          <w:rFonts w:ascii="Times New Roman" w:hAnsi="Times New Roman" w:cs="Times New Roman"/>
          <w:sz w:val="24"/>
          <w:szCs w:val="24"/>
        </w:rPr>
        <w:t xml:space="preserve">, 2001) and only one study reported appearance of </w:t>
      </w:r>
      <w:r>
        <w:rPr>
          <w:rFonts w:ascii="Times New Roman" w:hAnsi="Times New Roman" w:cs="Times New Roman"/>
          <w:sz w:val="24"/>
          <w:szCs w:val="24"/>
        </w:rPr>
        <w:t xml:space="preserve">a </w:t>
      </w:r>
      <w:r w:rsidRPr="00451B44">
        <w:rPr>
          <w:rFonts w:ascii="Times New Roman" w:hAnsi="Times New Roman" w:cs="Times New Roman"/>
          <w:sz w:val="24"/>
          <w:szCs w:val="24"/>
        </w:rPr>
        <w:t>weak DNA ladder in developing secondary xylem of</w:t>
      </w:r>
      <w:r w:rsidRPr="00451B44">
        <w:rPr>
          <w:rFonts w:ascii="Times New Roman" w:hAnsi="Times New Roman" w:cs="Times New Roman"/>
          <w:i/>
          <w:iCs/>
          <w:sz w:val="24"/>
          <w:szCs w:val="24"/>
        </w:rPr>
        <w:t xml:space="preserve"> Eucommia ulmoides </w:t>
      </w:r>
      <w:r w:rsidRPr="00451B44">
        <w:rPr>
          <w:rFonts w:ascii="Times New Roman" w:hAnsi="Times New Roman" w:cs="Times New Roman"/>
          <w:noProof/>
          <w:sz w:val="24"/>
          <w:szCs w:val="24"/>
        </w:rPr>
        <w:t>(Cao</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2003)</w:t>
      </w:r>
      <w:r w:rsidRPr="00451B44">
        <w:rPr>
          <w:rFonts w:ascii="Times New Roman" w:hAnsi="Times New Roman" w:cs="Times New Roman"/>
          <w:sz w:val="24"/>
          <w:szCs w:val="24"/>
        </w:rPr>
        <w:t xml:space="preserve">. DNA degradation has been shown in developing TE </w:t>
      </w:r>
      <w:r w:rsidRPr="00451B44">
        <w:rPr>
          <w:rFonts w:ascii="Times New Roman" w:hAnsi="Times New Roman" w:cs="Times New Roman"/>
          <w:i/>
          <w:iCs/>
          <w:sz w:val="24"/>
          <w:szCs w:val="24"/>
        </w:rPr>
        <w:t>in vitro</w:t>
      </w:r>
      <w:r w:rsidRPr="00451B44">
        <w:rPr>
          <w:rFonts w:ascii="Times New Roman" w:hAnsi="Times New Roman" w:cs="Times New Roman"/>
          <w:sz w:val="24"/>
          <w:szCs w:val="24"/>
        </w:rPr>
        <w:t xml:space="preserve"> </w:t>
      </w:r>
      <w:r w:rsidRPr="00451B44">
        <w:rPr>
          <w:rFonts w:ascii="Times New Roman" w:hAnsi="Times New Roman" w:cs="Times New Roman"/>
          <w:noProof/>
          <w:sz w:val="24"/>
          <w:szCs w:val="24"/>
        </w:rPr>
        <w:t>(Groover</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1997)</w:t>
      </w:r>
      <w:r w:rsidRPr="00451B44">
        <w:rPr>
          <w:rFonts w:ascii="Times New Roman" w:hAnsi="Times New Roman" w:cs="Times New Roman"/>
          <w:sz w:val="24"/>
          <w:szCs w:val="24"/>
        </w:rPr>
        <w:t xml:space="preserve"> and </w:t>
      </w:r>
      <w:r w:rsidRPr="00451B44">
        <w:rPr>
          <w:rFonts w:ascii="Times New Roman" w:hAnsi="Times New Roman" w:cs="Times New Roman"/>
          <w:i/>
          <w:iCs/>
          <w:sz w:val="24"/>
          <w:szCs w:val="24"/>
        </w:rPr>
        <w:t>in vivo</w:t>
      </w:r>
      <w:r w:rsidRPr="00451B44">
        <w:rPr>
          <w:rFonts w:ascii="Times New Roman" w:hAnsi="Times New Roman" w:cs="Times New Roman"/>
          <w:sz w:val="24"/>
          <w:szCs w:val="24"/>
        </w:rPr>
        <w:t xml:space="preserve"> </w:t>
      </w:r>
      <w:r w:rsidRPr="00451B44">
        <w:rPr>
          <w:rFonts w:ascii="Times New Roman" w:hAnsi="Times New Roman" w:cs="Times New Roman"/>
          <w:noProof/>
          <w:sz w:val="24"/>
          <w:szCs w:val="24"/>
        </w:rPr>
        <w:t>(Mittler and Lam, 1995)</w:t>
      </w:r>
      <w:r w:rsidRPr="00451B44">
        <w:rPr>
          <w:rFonts w:ascii="Times New Roman" w:hAnsi="Times New Roman" w:cs="Times New Roman"/>
          <w:sz w:val="24"/>
          <w:szCs w:val="24"/>
        </w:rPr>
        <w:t xml:space="preserve"> and this degradation was presumed </w:t>
      </w:r>
      <w:r>
        <w:rPr>
          <w:rFonts w:ascii="Times New Roman" w:hAnsi="Times New Roman" w:cs="Times New Roman"/>
          <w:sz w:val="24"/>
          <w:szCs w:val="24"/>
        </w:rPr>
        <w:t xml:space="preserve">to </w:t>
      </w:r>
      <w:r w:rsidRPr="00451B44">
        <w:rPr>
          <w:rFonts w:ascii="Times New Roman" w:hAnsi="Times New Roman" w:cs="Times New Roman"/>
          <w:sz w:val="24"/>
          <w:szCs w:val="24"/>
        </w:rPr>
        <w:t xml:space="preserve">occur after the release of endonucleases previously contained within the vacuole </w:t>
      </w:r>
      <w:r w:rsidRPr="00451B44">
        <w:rPr>
          <w:rFonts w:ascii="Times New Roman" w:hAnsi="Times New Roman" w:cs="Times New Roman"/>
          <w:noProof/>
          <w:sz w:val="24"/>
          <w:szCs w:val="24"/>
        </w:rPr>
        <w:t>(Obara</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2001)</w:t>
      </w:r>
      <w:r w:rsidRPr="00451B44">
        <w:rPr>
          <w:rFonts w:ascii="Times New Roman" w:hAnsi="Times New Roman" w:cs="Times New Roman"/>
          <w:sz w:val="24"/>
          <w:szCs w:val="24"/>
        </w:rPr>
        <w:t>.</w:t>
      </w:r>
    </w:p>
    <w:p w:rsidR="004B4E5E" w:rsidRPr="00451B44" w:rsidRDefault="004B4E5E" w:rsidP="002B4B8D">
      <w:pPr>
        <w:autoSpaceDE w:val="0"/>
        <w:autoSpaceDN w:val="0"/>
        <w:adjustRightInd w:val="0"/>
        <w:spacing w:after="0" w:line="480" w:lineRule="auto"/>
        <w:rPr>
          <w:rFonts w:ascii="Times New Roman" w:hAnsi="Times New Roman" w:cs="Times New Roman"/>
          <w:sz w:val="24"/>
          <w:szCs w:val="24"/>
        </w:rPr>
      </w:pPr>
      <w:r w:rsidRPr="00451B44">
        <w:rPr>
          <w:rFonts w:ascii="Times New Roman" w:hAnsi="Times New Roman" w:cs="Times New Roman"/>
          <w:sz w:val="24"/>
          <w:szCs w:val="24"/>
        </w:rPr>
        <w:t xml:space="preserve"> </w:t>
      </w:r>
    </w:p>
    <w:p w:rsidR="004B4E5E" w:rsidRPr="00451B44" w:rsidRDefault="004B4E5E" w:rsidP="00BF42BA">
      <w:pPr>
        <w:pStyle w:val="ListParagraph"/>
        <w:numPr>
          <w:ilvl w:val="0"/>
          <w:numId w:val="28"/>
        </w:numPr>
        <w:autoSpaceDE w:val="0"/>
        <w:autoSpaceDN w:val="0"/>
        <w:adjustRightInd w:val="0"/>
        <w:spacing w:after="0" w:line="480" w:lineRule="auto"/>
        <w:ind w:firstLine="414"/>
        <w:rPr>
          <w:rFonts w:ascii="Times New Roman" w:hAnsi="Times New Roman" w:cs="Times New Roman"/>
          <w:b/>
          <w:bCs/>
          <w:sz w:val="24"/>
          <w:szCs w:val="24"/>
          <w:lang w:eastAsia="en-IE"/>
        </w:rPr>
      </w:pPr>
      <w:r w:rsidRPr="00451B44">
        <w:rPr>
          <w:rFonts w:ascii="Times New Roman" w:hAnsi="Times New Roman" w:cs="Times New Roman"/>
          <w:b/>
          <w:bCs/>
          <w:sz w:val="24"/>
          <w:szCs w:val="24"/>
          <w:lang w:eastAsia="en-IE"/>
        </w:rPr>
        <w:t>Root cap</w:t>
      </w:r>
    </w:p>
    <w:p w:rsidR="004B4E5E" w:rsidRPr="00451B44" w:rsidRDefault="004B4E5E" w:rsidP="002B4B8D">
      <w:pPr>
        <w:autoSpaceDE w:val="0"/>
        <w:autoSpaceDN w:val="0"/>
        <w:adjustRightInd w:val="0"/>
        <w:spacing w:after="0" w:line="480" w:lineRule="auto"/>
        <w:rPr>
          <w:rFonts w:ascii="Times New Roman" w:hAnsi="Times New Roman" w:cs="Times New Roman"/>
          <w:sz w:val="24"/>
          <w:szCs w:val="24"/>
          <w:lang w:eastAsia="en-IE"/>
        </w:rPr>
      </w:pPr>
      <w:r w:rsidRPr="00451B44">
        <w:rPr>
          <w:rFonts w:ascii="Times New Roman" w:hAnsi="Times New Roman" w:cs="Times New Roman"/>
          <w:sz w:val="24"/>
          <w:szCs w:val="24"/>
          <w:lang w:eastAsia="en-IE"/>
        </w:rPr>
        <w:t>The tip of the root is covered by the cap, which consists of living parenchyma cells</w:t>
      </w:r>
      <w:r>
        <w:rPr>
          <w:rFonts w:ascii="Times New Roman" w:hAnsi="Times New Roman" w:cs="Times New Roman"/>
          <w:sz w:val="24"/>
          <w:szCs w:val="24"/>
          <w:lang w:eastAsia="en-IE"/>
        </w:rPr>
        <w:t xml:space="preserve"> </w:t>
      </w:r>
      <w:r w:rsidRPr="00451B44">
        <w:rPr>
          <w:rFonts w:ascii="Times New Roman" w:hAnsi="Times New Roman" w:cs="Times New Roman"/>
          <w:sz w:val="24"/>
          <w:szCs w:val="24"/>
          <w:lang w:eastAsia="en-IE"/>
        </w:rPr>
        <w:t xml:space="preserve">derived continuously from the apical meristem </w:t>
      </w:r>
      <w:r w:rsidRPr="00451B44">
        <w:rPr>
          <w:rFonts w:ascii="Times New Roman" w:hAnsi="Times New Roman" w:cs="Times New Roman"/>
          <w:noProof/>
          <w:sz w:val="24"/>
          <w:szCs w:val="24"/>
          <w:lang w:eastAsia="en-IE"/>
        </w:rPr>
        <w:t>(Esau, 1977)</w:t>
      </w:r>
      <w:r w:rsidRPr="00451B44">
        <w:rPr>
          <w:rFonts w:ascii="Times New Roman" w:hAnsi="Times New Roman" w:cs="Times New Roman"/>
          <w:sz w:val="24"/>
          <w:szCs w:val="24"/>
          <w:lang w:eastAsia="en-IE"/>
        </w:rPr>
        <w:t xml:space="preserve">. The root cap protects the root apical meristem during germination and seedling growth </w:t>
      </w:r>
      <w:r w:rsidRPr="00451B44">
        <w:rPr>
          <w:rFonts w:ascii="Times New Roman" w:hAnsi="Times New Roman" w:cs="Times New Roman"/>
          <w:noProof/>
          <w:sz w:val="24"/>
          <w:szCs w:val="24"/>
          <w:lang w:eastAsia="en-IE"/>
        </w:rPr>
        <w:t>(Pennell and Lamb, 1997)</w:t>
      </w:r>
      <w:r w:rsidRPr="00451B44">
        <w:rPr>
          <w:rFonts w:ascii="Times New Roman" w:hAnsi="Times New Roman" w:cs="Times New Roman"/>
          <w:sz w:val="24"/>
          <w:szCs w:val="24"/>
          <w:lang w:eastAsia="en-IE"/>
        </w:rPr>
        <w:t xml:space="preserve"> and root cap cells are continually displaced to the root periphery by new cells </w:t>
      </w:r>
      <w:r w:rsidRPr="00451B44">
        <w:rPr>
          <w:rFonts w:ascii="Times New Roman" w:hAnsi="Times New Roman" w:cs="Times New Roman"/>
          <w:noProof/>
          <w:sz w:val="24"/>
          <w:szCs w:val="24"/>
          <w:lang w:eastAsia="en-IE"/>
        </w:rPr>
        <w:t>(Schiefelbein</w:t>
      </w:r>
      <w:r w:rsidRPr="00451B44">
        <w:rPr>
          <w:rFonts w:ascii="Times New Roman" w:hAnsi="Times New Roman" w:cs="Times New Roman"/>
          <w:i/>
          <w:iCs/>
          <w:noProof/>
          <w:sz w:val="24"/>
          <w:szCs w:val="24"/>
          <w:lang w:eastAsia="en-IE"/>
        </w:rPr>
        <w:t xml:space="preserve"> et al.</w:t>
      </w:r>
      <w:r w:rsidRPr="00451B44">
        <w:rPr>
          <w:rFonts w:ascii="Times New Roman" w:hAnsi="Times New Roman" w:cs="Times New Roman"/>
          <w:noProof/>
          <w:sz w:val="24"/>
          <w:szCs w:val="24"/>
          <w:lang w:eastAsia="en-IE"/>
        </w:rPr>
        <w:t>, 1997)</w:t>
      </w:r>
      <w:r w:rsidRPr="00451B44">
        <w:rPr>
          <w:rFonts w:ascii="Times New Roman" w:hAnsi="Times New Roman" w:cs="Times New Roman"/>
          <w:sz w:val="24"/>
          <w:szCs w:val="24"/>
          <w:lang w:eastAsia="en-IE"/>
        </w:rPr>
        <w:t>, where they may continue to live for several days</w:t>
      </w:r>
      <w:r>
        <w:rPr>
          <w:rFonts w:ascii="Times New Roman" w:hAnsi="Times New Roman" w:cs="Times New Roman"/>
          <w:sz w:val="24"/>
          <w:szCs w:val="24"/>
          <w:lang w:eastAsia="en-IE"/>
        </w:rPr>
        <w:t>,</w:t>
      </w:r>
      <w:r w:rsidRPr="00451B44">
        <w:rPr>
          <w:rFonts w:ascii="Times New Roman" w:hAnsi="Times New Roman" w:cs="Times New Roman"/>
          <w:sz w:val="24"/>
          <w:szCs w:val="24"/>
          <w:lang w:eastAsia="en-IE"/>
        </w:rPr>
        <w:t xml:space="preserve"> after which they die (Harkes, 1973, Pennell and Lamb, 1997, Schiefelbein</w:t>
      </w:r>
      <w:r w:rsidRPr="00451B44">
        <w:rPr>
          <w:rFonts w:ascii="Times New Roman" w:hAnsi="Times New Roman" w:cs="Times New Roman"/>
          <w:i/>
          <w:iCs/>
          <w:sz w:val="24"/>
          <w:szCs w:val="24"/>
          <w:lang w:eastAsia="en-IE"/>
        </w:rPr>
        <w:t xml:space="preserve"> et al.</w:t>
      </w:r>
      <w:r w:rsidRPr="00451B44">
        <w:rPr>
          <w:rFonts w:ascii="Times New Roman" w:hAnsi="Times New Roman" w:cs="Times New Roman"/>
          <w:sz w:val="24"/>
          <w:szCs w:val="24"/>
          <w:lang w:eastAsia="en-IE"/>
        </w:rPr>
        <w:t xml:space="preserve">, 1997). This death is a normal part of development rather than an effect of mechanical stress during soil penetration, as it also occurs when roots are grown in water </w:t>
      </w:r>
      <w:r w:rsidRPr="00451B44">
        <w:rPr>
          <w:rFonts w:ascii="Times New Roman" w:hAnsi="Times New Roman" w:cs="Times New Roman"/>
          <w:noProof/>
          <w:sz w:val="24"/>
          <w:szCs w:val="24"/>
          <w:lang w:eastAsia="en-IE"/>
        </w:rPr>
        <w:t>(Pennell and Lamb, 1997)</w:t>
      </w:r>
      <w:r w:rsidRPr="00451B44">
        <w:rPr>
          <w:rFonts w:ascii="Times New Roman" w:hAnsi="Times New Roman" w:cs="Times New Roman"/>
          <w:sz w:val="24"/>
          <w:szCs w:val="24"/>
          <w:lang w:eastAsia="en-IE"/>
        </w:rPr>
        <w:t xml:space="preserve">. Wang </w:t>
      </w:r>
      <w:r w:rsidRPr="00FF2B27">
        <w:rPr>
          <w:rFonts w:ascii="Times New Roman" w:hAnsi="Times New Roman" w:cs="Times New Roman"/>
          <w:i/>
          <w:iCs/>
          <w:sz w:val="24"/>
          <w:szCs w:val="24"/>
          <w:lang w:eastAsia="en-IE"/>
        </w:rPr>
        <w:t>et al.</w:t>
      </w:r>
      <w:r w:rsidRPr="00451B44">
        <w:rPr>
          <w:rFonts w:ascii="Times New Roman" w:hAnsi="Times New Roman" w:cs="Times New Roman"/>
          <w:sz w:val="24"/>
          <w:szCs w:val="24"/>
          <w:lang w:eastAsia="en-IE"/>
        </w:rPr>
        <w:t xml:space="preserve"> </w:t>
      </w:r>
      <w:r w:rsidRPr="00451B44">
        <w:rPr>
          <w:rFonts w:ascii="Times New Roman" w:hAnsi="Times New Roman" w:cs="Times New Roman"/>
          <w:noProof/>
          <w:sz w:val="24"/>
          <w:szCs w:val="24"/>
          <w:lang w:eastAsia="en-IE"/>
        </w:rPr>
        <w:t>(1996)</w:t>
      </w:r>
      <w:r w:rsidRPr="00451B44">
        <w:rPr>
          <w:rFonts w:ascii="Times New Roman" w:hAnsi="Times New Roman" w:cs="Times New Roman"/>
          <w:sz w:val="24"/>
          <w:szCs w:val="24"/>
          <w:lang w:eastAsia="en-IE"/>
        </w:rPr>
        <w:t xml:space="preserve"> noted that dying onion root cap cells shrink to form distinct bodies containing fragmented DNA and formation of these bodies appeared to be the final step before a cell was shed from the root cap. DNA staining showed condensation of nuclei in dying onion root cap cells and TUNEL assay confirmed accumulation of free 3’-OH ends in the DNA </w:t>
      </w:r>
      <w:r w:rsidRPr="00451B44">
        <w:rPr>
          <w:rFonts w:ascii="Times New Roman" w:hAnsi="Times New Roman" w:cs="Times New Roman"/>
          <w:noProof/>
          <w:sz w:val="24"/>
          <w:szCs w:val="24"/>
          <w:lang w:eastAsia="en-IE"/>
        </w:rPr>
        <w:t>(Wang</w:t>
      </w:r>
      <w:r w:rsidRPr="00451B44">
        <w:rPr>
          <w:rFonts w:ascii="Times New Roman" w:hAnsi="Times New Roman" w:cs="Times New Roman"/>
          <w:i/>
          <w:iCs/>
          <w:noProof/>
          <w:sz w:val="24"/>
          <w:szCs w:val="24"/>
          <w:lang w:eastAsia="en-IE"/>
        </w:rPr>
        <w:t xml:space="preserve"> et al.</w:t>
      </w:r>
      <w:r w:rsidRPr="00451B44">
        <w:rPr>
          <w:rFonts w:ascii="Times New Roman" w:hAnsi="Times New Roman" w:cs="Times New Roman"/>
          <w:noProof/>
          <w:sz w:val="24"/>
          <w:szCs w:val="24"/>
          <w:lang w:eastAsia="en-IE"/>
        </w:rPr>
        <w:t>, 1996)</w:t>
      </w:r>
      <w:r>
        <w:rPr>
          <w:rFonts w:ascii="Times New Roman" w:hAnsi="Times New Roman" w:cs="Times New Roman"/>
          <w:sz w:val="24"/>
          <w:szCs w:val="24"/>
          <w:lang w:eastAsia="en-IE"/>
        </w:rPr>
        <w:t>. These</w:t>
      </w:r>
      <w:r w:rsidRPr="00451B44">
        <w:rPr>
          <w:rFonts w:ascii="Times New Roman" w:hAnsi="Times New Roman" w:cs="Times New Roman"/>
          <w:sz w:val="24"/>
          <w:szCs w:val="24"/>
          <w:lang w:eastAsia="en-IE"/>
        </w:rPr>
        <w:t xml:space="preserve"> characteristic</w:t>
      </w:r>
      <w:r>
        <w:rPr>
          <w:rFonts w:ascii="Times New Roman" w:hAnsi="Times New Roman" w:cs="Times New Roman"/>
          <w:sz w:val="24"/>
          <w:szCs w:val="24"/>
          <w:lang w:eastAsia="en-IE"/>
        </w:rPr>
        <w:t xml:space="preserve"> PCD</w:t>
      </w:r>
      <w:r w:rsidRPr="00451B44">
        <w:rPr>
          <w:rFonts w:ascii="Times New Roman" w:hAnsi="Times New Roman" w:cs="Times New Roman"/>
          <w:sz w:val="24"/>
          <w:szCs w:val="24"/>
          <w:lang w:eastAsia="en-IE"/>
        </w:rPr>
        <w:t xml:space="preserve"> features</w:t>
      </w:r>
      <w:r>
        <w:rPr>
          <w:rFonts w:ascii="Times New Roman" w:hAnsi="Times New Roman" w:cs="Times New Roman"/>
          <w:sz w:val="24"/>
          <w:szCs w:val="24"/>
          <w:lang w:eastAsia="en-IE"/>
        </w:rPr>
        <w:t>,</w:t>
      </w:r>
      <w:r w:rsidRPr="00451B44">
        <w:rPr>
          <w:rFonts w:ascii="Times New Roman" w:hAnsi="Times New Roman" w:cs="Times New Roman"/>
          <w:sz w:val="24"/>
          <w:szCs w:val="24"/>
          <w:lang w:eastAsia="en-IE"/>
        </w:rPr>
        <w:t xml:space="preserve"> together with the fact that dying cells are exposed on the root surface</w:t>
      </w:r>
      <w:r>
        <w:rPr>
          <w:rFonts w:ascii="Times New Roman" w:hAnsi="Times New Roman" w:cs="Times New Roman"/>
          <w:sz w:val="24"/>
          <w:szCs w:val="24"/>
          <w:lang w:eastAsia="en-IE"/>
        </w:rPr>
        <w:t>, make</w:t>
      </w:r>
      <w:r w:rsidRPr="00451B44">
        <w:rPr>
          <w:rFonts w:ascii="Times New Roman" w:hAnsi="Times New Roman" w:cs="Times New Roman"/>
          <w:sz w:val="24"/>
          <w:szCs w:val="24"/>
          <w:lang w:eastAsia="en-IE"/>
        </w:rPr>
        <w:t xml:space="preserve"> root cap cells potentially interesting targets of cell death-related research. Isolation of mutants exhibiting altered PCD in root cap cells would facilitate elucidation of this death process regulation. Moreover, maize root cap cells can be cultured in the form of a cell suspension culture in order to obtain large number of isolated cap cells </w:t>
      </w:r>
      <w:r w:rsidRPr="00451B44">
        <w:rPr>
          <w:rFonts w:ascii="Times New Roman" w:hAnsi="Times New Roman" w:cs="Times New Roman"/>
          <w:noProof/>
          <w:sz w:val="24"/>
          <w:szCs w:val="24"/>
          <w:lang w:eastAsia="en-IE"/>
        </w:rPr>
        <w:t>(Caporali, 1983)</w:t>
      </w:r>
      <w:r w:rsidRPr="00451B44">
        <w:rPr>
          <w:rFonts w:ascii="Times New Roman" w:hAnsi="Times New Roman" w:cs="Times New Roman"/>
          <w:sz w:val="24"/>
          <w:szCs w:val="24"/>
          <w:lang w:eastAsia="en-IE"/>
        </w:rPr>
        <w:t xml:space="preserve">. </w:t>
      </w:r>
    </w:p>
    <w:p w:rsidR="004B4E5E" w:rsidRPr="00451B44" w:rsidRDefault="004B4E5E" w:rsidP="002B4B8D">
      <w:pPr>
        <w:autoSpaceDE w:val="0"/>
        <w:autoSpaceDN w:val="0"/>
        <w:adjustRightInd w:val="0"/>
        <w:spacing w:after="0" w:line="480" w:lineRule="auto"/>
        <w:rPr>
          <w:rFonts w:ascii="Times New Roman" w:hAnsi="Times New Roman" w:cs="Times New Roman"/>
          <w:sz w:val="24"/>
          <w:szCs w:val="24"/>
          <w:lang w:eastAsia="en-IE"/>
        </w:rPr>
      </w:pPr>
    </w:p>
    <w:p w:rsidR="004B4E5E" w:rsidRPr="00451B44" w:rsidRDefault="004B4E5E" w:rsidP="00BF42BA">
      <w:pPr>
        <w:pStyle w:val="ListParagraph"/>
        <w:numPr>
          <w:ilvl w:val="0"/>
          <w:numId w:val="28"/>
        </w:numPr>
        <w:autoSpaceDE w:val="0"/>
        <w:autoSpaceDN w:val="0"/>
        <w:adjustRightInd w:val="0"/>
        <w:spacing w:after="0" w:line="480" w:lineRule="auto"/>
        <w:ind w:left="2517" w:hanging="1383"/>
        <w:rPr>
          <w:rFonts w:ascii="Times New Roman" w:hAnsi="Times New Roman" w:cs="Times New Roman"/>
          <w:b/>
          <w:bCs/>
          <w:sz w:val="24"/>
          <w:szCs w:val="24"/>
          <w:lang w:eastAsia="en-IE"/>
        </w:rPr>
      </w:pPr>
      <w:r w:rsidRPr="00451B44">
        <w:rPr>
          <w:rFonts w:ascii="Times New Roman" w:hAnsi="Times New Roman" w:cs="Times New Roman"/>
          <w:b/>
          <w:bCs/>
          <w:sz w:val="24"/>
          <w:szCs w:val="24"/>
          <w:lang w:eastAsia="en-IE"/>
        </w:rPr>
        <w:t>Leaf morphogenesis</w:t>
      </w:r>
    </w:p>
    <w:p w:rsidR="004B4E5E" w:rsidRPr="00451B44" w:rsidRDefault="004B4E5E" w:rsidP="002B4B8D">
      <w:pPr>
        <w:autoSpaceDE w:val="0"/>
        <w:autoSpaceDN w:val="0"/>
        <w:adjustRightInd w:val="0"/>
        <w:spacing w:after="0" w:line="480" w:lineRule="auto"/>
        <w:rPr>
          <w:rFonts w:ascii="Times New Roman" w:hAnsi="Times New Roman" w:cs="Times New Roman"/>
          <w:sz w:val="24"/>
          <w:szCs w:val="24"/>
        </w:rPr>
      </w:pPr>
      <w:r w:rsidRPr="00451B44">
        <w:rPr>
          <w:rFonts w:ascii="Times New Roman" w:hAnsi="Times New Roman" w:cs="Times New Roman"/>
          <w:sz w:val="24"/>
          <w:szCs w:val="24"/>
          <w:lang w:eastAsia="en-IE"/>
        </w:rPr>
        <w:t>Formation of complex leaf shape during leaf morphogenesis is another example of developmentally controlled PCD. Swiss cheese plant (</w:t>
      </w:r>
      <w:r w:rsidRPr="00451B44">
        <w:rPr>
          <w:rFonts w:ascii="Times New Roman" w:hAnsi="Times New Roman" w:cs="Times New Roman"/>
          <w:i/>
          <w:iCs/>
          <w:sz w:val="24"/>
          <w:szCs w:val="24"/>
          <w:lang w:eastAsia="en-IE"/>
        </w:rPr>
        <w:t>Monstera obliqua</w:t>
      </w:r>
      <w:r w:rsidRPr="00451B44">
        <w:rPr>
          <w:rFonts w:ascii="Times New Roman" w:hAnsi="Times New Roman" w:cs="Times New Roman"/>
          <w:sz w:val="24"/>
          <w:szCs w:val="24"/>
          <w:lang w:eastAsia="en-IE"/>
        </w:rPr>
        <w:t xml:space="preserve">, </w:t>
      </w:r>
      <w:r w:rsidRPr="00451B44">
        <w:rPr>
          <w:rFonts w:ascii="Times New Roman" w:hAnsi="Times New Roman" w:cs="Times New Roman"/>
          <w:i/>
          <w:iCs/>
          <w:sz w:val="24"/>
          <w:szCs w:val="24"/>
          <w:lang w:eastAsia="en-IE"/>
        </w:rPr>
        <w:t>Monstera deliciosa</w:t>
      </w:r>
      <w:r w:rsidRPr="00451B44">
        <w:rPr>
          <w:rFonts w:ascii="Times New Roman" w:hAnsi="Times New Roman" w:cs="Times New Roman"/>
          <w:sz w:val="24"/>
          <w:szCs w:val="24"/>
          <w:lang w:eastAsia="en-IE"/>
        </w:rPr>
        <w:t>) or Madagascar lace plant (</w:t>
      </w:r>
      <w:r w:rsidRPr="00451B44">
        <w:rPr>
          <w:rFonts w:ascii="Times New Roman" w:hAnsi="Times New Roman" w:cs="Times New Roman"/>
          <w:i/>
          <w:iCs/>
          <w:sz w:val="24"/>
          <w:szCs w:val="24"/>
          <w:lang w:eastAsia="en-IE"/>
        </w:rPr>
        <w:t>Aponogeton madagascariensis</w:t>
      </w:r>
      <w:r w:rsidRPr="00451B44">
        <w:rPr>
          <w:rFonts w:ascii="Times New Roman" w:hAnsi="Times New Roman" w:cs="Times New Roman"/>
          <w:sz w:val="24"/>
          <w:szCs w:val="24"/>
          <w:lang w:eastAsia="en-IE"/>
        </w:rPr>
        <w:t xml:space="preserve">) both exhibit </w:t>
      </w:r>
      <w:r w:rsidRPr="00451B44">
        <w:rPr>
          <w:rFonts w:ascii="Times New Roman" w:hAnsi="Times New Roman" w:cs="Times New Roman"/>
          <w:sz w:val="24"/>
          <w:szCs w:val="24"/>
        </w:rPr>
        <w:t>remodelling of leaf blades occurring through the death of discrete</w:t>
      </w:r>
      <w:r w:rsidRPr="00451B44">
        <w:rPr>
          <w:rFonts w:ascii="Times New Roman" w:hAnsi="Times New Roman" w:cs="Times New Roman"/>
          <w:sz w:val="24"/>
          <w:szCs w:val="24"/>
          <w:vertAlign w:val="superscript"/>
        </w:rPr>
        <w:t xml:space="preserve"> </w:t>
      </w:r>
      <w:r w:rsidRPr="00451B44">
        <w:rPr>
          <w:rFonts w:ascii="Times New Roman" w:hAnsi="Times New Roman" w:cs="Times New Roman"/>
          <w:sz w:val="24"/>
          <w:szCs w:val="24"/>
        </w:rPr>
        <w:t>subpopulations of ce</w:t>
      </w:r>
      <w:r>
        <w:rPr>
          <w:rFonts w:ascii="Times New Roman" w:hAnsi="Times New Roman" w:cs="Times New Roman"/>
          <w:sz w:val="24"/>
          <w:szCs w:val="24"/>
        </w:rPr>
        <w:t xml:space="preserve">lls, a process which is </w:t>
      </w:r>
      <w:r w:rsidRPr="00451B44">
        <w:rPr>
          <w:rFonts w:ascii="Times New Roman" w:hAnsi="Times New Roman" w:cs="Times New Roman"/>
          <w:sz w:val="24"/>
          <w:szCs w:val="24"/>
        </w:rPr>
        <w:t xml:space="preserve"> rarely encountered in leaf shape development </w:t>
      </w:r>
      <w:r w:rsidRPr="00451B44">
        <w:rPr>
          <w:rFonts w:ascii="Times New Roman" w:hAnsi="Times New Roman" w:cs="Times New Roman"/>
          <w:noProof/>
          <w:sz w:val="24"/>
          <w:szCs w:val="24"/>
        </w:rPr>
        <w:t>(Gunawardena</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2004)</w:t>
      </w:r>
      <w:r w:rsidRPr="00451B44">
        <w:rPr>
          <w:rFonts w:ascii="Times New Roman" w:hAnsi="Times New Roman" w:cs="Times New Roman"/>
          <w:sz w:val="24"/>
          <w:szCs w:val="24"/>
        </w:rPr>
        <w:t xml:space="preserve">. </w:t>
      </w:r>
      <w:r w:rsidRPr="00451B44">
        <w:rPr>
          <w:rFonts w:ascii="Times New Roman" w:hAnsi="Times New Roman" w:cs="Times New Roman"/>
          <w:i/>
          <w:iCs/>
          <w:sz w:val="24"/>
          <w:szCs w:val="24"/>
        </w:rPr>
        <w:t xml:space="preserve">Monstera </w:t>
      </w:r>
      <w:r w:rsidRPr="00451B44">
        <w:rPr>
          <w:rFonts w:ascii="Times New Roman" w:hAnsi="Times New Roman" w:cs="Times New Roman"/>
          <w:sz w:val="24"/>
          <w:szCs w:val="24"/>
        </w:rPr>
        <w:t>leaves are characteri</w:t>
      </w:r>
      <w:r>
        <w:rPr>
          <w:rFonts w:ascii="Times New Roman" w:hAnsi="Times New Roman" w:cs="Times New Roman"/>
          <w:sz w:val="24"/>
          <w:szCs w:val="24"/>
        </w:rPr>
        <w:t>s</w:t>
      </w:r>
      <w:r w:rsidRPr="00451B44">
        <w:rPr>
          <w:rFonts w:ascii="Times New Roman" w:hAnsi="Times New Roman" w:cs="Times New Roman"/>
          <w:sz w:val="24"/>
          <w:szCs w:val="24"/>
        </w:rPr>
        <w:t xml:space="preserve">ed by small, distinctive perforations composed of dead cells formed early in development, which as the leaf expands, extend their area to fissures of significant size </w:t>
      </w:r>
      <w:r w:rsidRPr="00451B44">
        <w:rPr>
          <w:rFonts w:ascii="Times New Roman" w:hAnsi="Times New Roman" w:cs="Times New Roman"/>
          <w:noProof/>
          <w:sz w:val="24"/>
          <w:szCs w:val="24"/>
        </w:rPr>
        <w:t>(Gunawardena</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2005)</w:t>
      </w:r>
      <w:r w:rsidRPr="00451B44">
        <w:rPr>
          <w:rFonts w:ascii="Times New Roman" w:hAnsi="Times New Roman" w:cs="Times New Roman"/>
          <w:sz w:val="24"/>
          <w:szCs w:val="24"/>
        </w:rPr>
        <w:t xml:space="preserve">. Indeed, dying cells of </w:t>
      </w:r>
      <w:r w:rsidRPr="00451B44">
        <w:rPr>
          <w:rFonts w:ascii="Times New Roman" w:hAnsi="Times New Roman" w:cs="Times New Roman"/>
          <w:i/>
          <w:iCs/>
          <w:sz w:val="24"/>
          <w:szCs w:val="24"/>
        </w:rPr>
        <w:t xml:space="preserve">Monstera </w:t>
      </w:r>
      <w:r>
        <w:rPr>
          <w:rFonts w:ascii="Times New Roman" w:hAnsi="Times New Roman" w:cs="Times New Roman"/>
          <w:sz w:val="24"/>
          <w:szCs w:val="24"/>
        </w:rPr>
        <w:t xml:space="preserve">exhibit several </w:t>
      </w:r>
      <w:r w:rsidRPr="00451B44">
        <w:rPr>
          <w:rFonts w:ascii="Times New Roman" w:hAnsi="Times New Roman" w:cs="Times New Roman"/>
          <w:sz w:val="24"/>
          <w:szCs w:val="24"/>
        </w:rPr>
        <w:t xml:space="preserve">characteristic features such as chromatin and cytoplasm condensation, DNA degradation (although internucleosomal cleavage was not observed), disrupted vacuole and finally, organelles remaining intact until late in the process </w:t>
      </w:r>
      <w:r w:rsidRPr="00451B44">
        <w:rPr>
          <w:rFonts w:ascii="Times New Roman" w:hAnsi="Times New Roman" w:cs="Times New Roman"/>
          <w:noProof/>
          <w:sz w:val="24"/>
          <w:szCs w:val="24"/>
        </w:rPr>
        <w:t>(Gunawardena</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2005)</w:t>
      </w:r>
      <w:r w:rsidRPr="00451B44">
        <w:rPr>
          <w:rFonts w:ascii="Times New Roman" w:hAnsi="Times New Roman" w:cs="Times New Roman"/>
          <w:sz w:val="24"/>
          <w:szCs w:val="24"/>
        </w:rPr>
        <w:t xml:space="preserve">. PCD occurs simultaneously throughout the perforation site and the boundary between dying and healthy cells is sharply delineated, suggesting that all target cells receive a death signal in unison </w:t>
      </w:r>
      <w:r w:rsidRPr="00451B44">
        <w:rPr>
          <w:rFonts w:ascii="Times New Roman" w:hAnsi="Times New Roman" w:cs="Times New Roman"/>
          <w:noProof/>
          <w:sz w:val="24"/>
          <w:szCs w:val="24"/>
        </w:rPr>
        <w:t>(Gunawardena</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2005)</w:t>
      </w:r>
      <w:r w:rsidRPr="00451B44">
        <w:rPr>
          <w:rFonts w:ascii="Times New Roman" w:hAnsi="Times New Roman" w:cs="Times New Roman"/>
          <w:sz w:val="24"/>
          <w:szCs w:val="24"/>
        </w:rPr>
        <w:t xml:space="preserve">. This is not the case of lace plant leaves, where a complex and a unique lattice-like pattern of equidistantly positioned perforations is formed at a specific developmental point </w:t>
      </w:r>
      <w:r>
        <w:rPr>
          <w:rFonts w:ascii="Times New Roman" w:hAnsi="Times New Roman" w:cs="Times New Roman"/>
          <w:sz w:val="24"/>
          <w:szCs w:val="24"/>
        </w:rPr>
        <w:t>(Gunawardena</w:t>
      </w:r>
      <w:r w:rsidRPr="00E54DA4">
        <w:rPr>
          <w:rFonts w:ascii="Times New Roman" w:hAnsi="Times New Roman" w:cs="Times New Roman"/>
          <w:i/>
          <w:iCs/>
          <w:sz w:val="24"/>
          <w:szCs w:val="24"/>
        </w:rPr>
        <w:t xml:space="preserve"> et al.</w:t>
      </w:r>
      <w:r>
        <w:rPr>
          <w:rFonts w:ascii="Times New Roman" w:hAnsi="Times New Roman" w:cs="Times New Roman"/>
          <w:sz w:val="24"/>
          <w:szCs w:val="24"/>
        </w:rPr>
        <w:t>, 2004, Serguéeff, 1907)</w:t>
      </w:r>
      <w:r w:rsidRPr="00451B44">
        <w:rPr>
          <w:rFonts w:ascii="Times New Roman" w:hAnsi="Times New Roman" w:cs="Times New Roman"/>
          <w:sz w:val="24"/>
          <w:szCs w:val="24"/>
        </w:rPr>
        <w:t>.</w:t>
      </w:r>
      <w:r w:rsidRPr="00451B44">
        <w:rPr>
          <w:rFonts w:ascii="Times New Roman" w:hAnsi="Times New Roman" w:cs="Times New Roman"/>
          <w:sz w:val="24"/>
          <w:szCs w:val="24"/>
          <w:lang w:eastAsia="en-IE"/>
        </w:rPr>
        <w:t xml:space="preserve"> PCD in lace plant leaves</w:t>
      </w:r>
      <w:r>
        <w:rPr>
          <w:rFonts w:ascii="Times New Roman" w:hAnsi="Times New Roman" w:cs="Times New Roman"/>
          <w:sz w:val="24"/>
          <w:szCs w:val="24"/>
          <w:lang w:eastAsia="en-IE"/>
        </w:rPr>
        <w:t xml:space="preserve"> (Fig. 2) </w:t>
      </w:r>
      <w:r w:rsidRPr="00451B44">
        <w:rPr>
          <w:rFonts w:ascii="Times New Roman" w:hAnsi="Times New Roman" w:cs="Times New Roman"/>
          <w:sz w:val="24"/>
          <w:szCs w:val="24"/>
          <w:lang w:eastAsia="en-IE"/>
        </w:rPr>
        <w:t xml:space="preserve">is initiated by centrally located cells within each perforation and cell death extends sequentially as the perforation expands, stopping </w:t>
      </w:r>
      <w:r w:rsidRPr="00451B44">
        <w:rPr>
          <w:rFonts w:ascii="Times New Roman" w:hAnsi="Times New Roman" w:cs="Times New Roman"/>
          <w:sz w:val="24"/>
          <w:szCs w:val="24"/>
        </w:rPr>
        <w:t>approximately five cell layers from the vascular tissue. Occurrence of PCD in</w:t>
      </w:r>
      <w:r>
        <w:rPr>
          <w:rFonts w:ascii="Times New Roman" w:hAnsi="Times New Roman" w:cs="Times New Roman"/>
          <w:sz w:val="24"/>
          <w:szCs w:val="24"/>
        </w:rPr>
        <w:t xml:space="preserve"> lace plant leaf perforations has been</w:t>
      </w:r>
      <w:r w:rsidRPr="00451B44">
        <w:rPr>
          <w:rFonts w:ascii="Times New Roman" w:hAnsi="Times New Roman" w:cs="Times New Roman"/>
          <w:sz w:val="24"/>
          <w:szCs w:val="24"/>
        </w:rPr>
        <w:t xml:space="preserve"> confirmed by features </w:t>
      </w:r>
      <w:r>
        <w:rPr>
          <w:rFonts w:ascii="Times New Roman" w:hAnsi="Times New Roman" w:cs="Times New Roman"/>
          <w:sz w:val="24"/>
          <w:szCs w:val="24"/>
        </w:rPr>
        <w:t>such as</w:t>
      </w:r>
      <w:r w:rsidRPr="00451B44">
        <w:rPr>
          <w:rFonts w:ascii="Times New Roman" w:hAnsi="Times New Roman" w:cs="Times New Roman"/>
          <w:sz w:val="24"/>
          <w:szCs w:val="24"/>
        </w:rPr>
        <w:t xml:space="preserve"> DNA degradation (without DNA ladder), invagination of membranes, abundant</w:t>
      </w:r>
      <w:r w:rsidRPr="00451B44">
        <w:rPr>
          <w:rFonts w:ascii="Times New Roman" w:hAnsi="Times New Roman" w:cs="Times New Roman"/>
          <w:sz w:val="24"/>
          <w:szCs w:val="24"/>
          <w:vertAlign w:val="superscript"/>
        </w:rPr>
        <w:t xml:space="preserve"> </w:t>
      </w:r>
      <w:r w:rsidRPr="00451B44">
        <w:rPr>
          <w:rFonts w:ascii="Times New Roman" w:hAnsi="Times New Roman" w:cs="Times New Roman"/>
          <w:sz w:val="24"/>
          <w:szCs w:val="24"/>
        </w:rPr>
        <w:t>vesicles, shrinkage of the cytoplasm, and the late degradation</w:t>
      </w:r>
      <w:r w:rsidRPr="00451B44">
        <w:rPr>
          <w:rFonts w:ascii="Times New Roman" w:hAnsi="Times New Roman" w:cs="Times New Roman"/>
          <w:sz w:val="24"/>
          <w:szCs w:val="24"/>
          <w:vertAlign w:val="superscript"/>
        </w:rPr>
        <w:t xml:space="preserve"> </w:t>
      </w:r>
      <w:r w:rsidRPr="00451B44">
        <w:rPr>
          <w:rFonts w:ascii="Times New Roman" w:hAnsi="Times New Roman" w:cs="Times New Roman"/>
          <w:sz w:val="24"/>
          <w:szCs w:val="24"/>
        </w:rPr>
        <w:t xml:space="preserve">of organelles </w:t>
      </w:r>
      <w:r w:rsidRPr="00451B44">
        <w:rPr>
          <w:rFonts w:ascii="Times New Roman" w:hAnsi="Times New Roman" w:cs="Times New Roman"/>
          <w:noProof/>
          <w:sz w:val="24"/>
          <w:szCs w:val="24"/>
        </w:rPr>
        <w:t>(Gunawardena</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2004)</w:t>
      </w:r>
      <w:r w:rsidRPr="00451B44">
        <w:rPr>
          <w:rFonts w:ascii="Times New Roman" w:hAnsi="Times New Roman" w:cs="Times New Roman"/>
          <w:sz w:val="24"/>
          <w:szCs w:val="24"/>
        </w:rPr>
        <w:t xml:space="preserve">. Moreover, treatment of aquatic lace plants with a calcium channel blocker, resulted in the reduction of perforation formation but without detrimental effects on leaf growth, therefore providing indirect evidence of the possible role of calcium in this developmental PCD </w:t>
      </w:r>
      <w:r w:rsidRPr="00451B44">
        <w:rPr>
          <w:rFonts w:ascii="Times New Roman" w:hAnsi="Times New Roman" w:cs="Times New Roman"/>
          <w:noProof/>
          <w:sz w:val="24"/>
          <w:szCs w:val="24"/>
        </w:rPr>
        <w:t>(Elliott and Gunawardena, 2010)</w:t>
      </w:r>
      <w:r w:rsidRPr="00451B44">
        <w:rPr>
          <w:rFonts w:ascii="Times New Roman" w:hAnsi="Times New Roman" w:cs="Times New Roman"/>
          <w:sz w:val="24"/>
          <w:szCs w:val="24"/>
        </w:rPr>
        <w:t xml:space="preserve">. Lace plant is considered an attractive system for PCD studies due to accessibility of dying cells (significantly higher than for </w:t>
      </w:r>
      <w:r w:rsidRPr="00451B44">
        <w:rPr>
          <w:rFonts w:ascii="Times New Roman" w:hAnsi="Times New Roman" w:cs="Times New Roman"/>
          <w:i/>
          <w:iCs/>
          <w:sz w:val="24"/>
          <w:szCs w:val="24"/>
        </w:rPr>
        <w:t>Monstera</w:t>
      </w:r>
      <w:r w:rsidRPr="00451B44">
        <w:rPr>
          <w:rFonts w:ascii="Times New Roman" w:hAnsi="Times New Roman" w:cs="Times New Roman"/>
          <w:sz w:val="24"/>
          <w:szCs w:val="24"/>
        </w:rPr>
        <w:t>) and the predictability of the length of time it takes for perforations to develop (developmental stage). Other advantages include the</w:t>
      </w:r>
      <w:r w:rsidR="00A05889">
        <w:rPr>
          <w:rFonts w:ascii="Times New Roman" w:hAnsi="Times New Roman" w:cs="Times New Roman"/>
          <w:sz w:val="24"/>
          <w:szCs w:val="24"/>
        </w:rPr>
        <w:t xml:space="preserve"> cells</w:t>
      </w:r>
      <w:r w:rsidRPr="00451B44">
        <w:rPr>
          <w:rFonts w:ascii="Times New Roman" w:hAnsi="Times New Roman" w:cs="Times New Roman"/>
          <w:sz w:val="24"/>
          <w:szCs w:val="24"/>
        </w:rPr>
        <w:t xml:space="preserve"> location (in relation to the vein system)</w:t>
      </w:r>
      <w:r>
        <w:rPr>
          <w:rFonts w:ascii="Times New Roman" w:hAnsi="Times New Roman" w:cs="Times New Roman"/>
          <w:sz w:val="24"/>
          <w:szCs w:val="24"/>
        </w:rPr>
        <w:t xml:space="preserve"> </w:t>
      </w:r>
      <w:r w:rsidRPr="00451B44">
        <w:rPr>
          <w:rFonts w:ascii="Times New Roman" w:hAnsi="Times New Roman" w:cs="Times New Roman"/>
          <w:sz w:val="24"/>
          <w:szCs w:val="24"/>
        </w:rPr>
        <w:t xml:space="preserve">and the fact that this plant can be propagated in sterile conditions relatively easily </w:t>
      </w:r>
      <w:r w:rsidRPr="00451B44">
        <w:rPr>
          <w:rFonts w:ascii="Times New Roman" w:hAnsi="Times New Roman" w:cs="Times New Roman"/>
          <w:noProof/>
          <w:sz w:val="24"/>
          <w:szCs w:val="24"/>
        </w:rPr>
        <w:t>(Gunawardena, 2008)</w:t>
      </w:r>
      <w:r w:rsidRPr="00451B44">
        <w:rPr>
          <w:rFonts w:ascii="Times New Roman" w:hAnsi="Times New Roman" w:cs="Times New Roman"/>
          <w:sz w:val="24"/>
          <w:szCs w:val="24"/>
        </w:rPr>
        <w:t xml:space="preserve">. </w:t>
      </w:r>
    </w:p>
    <w:p w:rsidR="004B4E5E" w:rsidRPr="00965ACE" w:rsidRDefault="004B4E5E" w:rsidP="002B4B8D">
      <w:pPr>
        <w:autoSpaceDE w:val="0"/>
        <w:autoSpaceDN w:val="0"/>
        <w:adjustRightInd w:val="0"/>
        <w:spacing w:after="0" w:line="480" w:lineRule="auto"/>
        <w:rPr>
          <w:rFonts w:ascii="Times New Roman" w:hAnsi="Times New Roman" w:cs="Times New Roman"/>
          <w:i/>
          <w:iCs/>
          <w:sz w:val="24"/>
          <w:szCs w:val="24"/>
        </w:rPr>
      </w:pPr>
    </w:p>
    <w:p w:rsidR="004B4E5E" w:rsidRPr="00965ACE" w:rsidRDefault="004B4E5E" w:rsidP="002B4B8D">
      <w:pPr>
        <w:autoSpaceDE w:val="0"/>
        <w:autoSpaceDN w:val="0"/>
        <w:adjustRightInd w:val="0"/>
        <w:spacing w:after="0" w:line="480" w:lineRule="auto"/>
        <w:rPr>
          <w:rFonts w:ascii="Times New Roman" w:hAnsi="Times New Roman" w:cs="Times New Roman"/>
          <w:i/>
          <w:iCs/>
          <w:sz w:val="24"/>
          <w:szCs w:val="24"/>
        </w:rPr>
      </w:pPr>
      <w:r w:rsidRPr="00965ACE">
        <w:rPr>
          <w:rFonts w:ascii="Times New Roman" w:hAnsi="Times New Roman" w:cs="Times New Roman"/>
          <w:i/>
          <w:iCs/>
          <w:sz w:val="24"/>
          <w:szCs w:val="24"/>
        </w:rPr>
        <w:t>&lt;Fig. 2 near here&gt;</w:t>
      </w:r>
    </w:p>
    <w:p w:rsidR="004B4E5E" w:rsidRPr="00451B44" w:rsidRDefault="004B4E5E" w:rsidP="002B4B8D">
      <w:pPr>
        <w:autoSpaceDE w:val="0"/>
        <w:autoSpaceDN w:val="0"/>
        <w:adjustRightInd w:val="0"/>
        <w:spacing w:after="0" w:line="480" w:lineRule="auto"/>
        <w:rPr>
          <w:rFonts w:ascii="Times New Roman" w:hAnsi="Times New Roman" w:cs="Times New Roman"/>
          <w:sz w:val="24"/>
          <w:szCs w:val="24"/>
        </w:rPr>
      </w:pPr>
    </w:p>
    <w:p w:rsidR="004B4E5E" w:rsidRPr="00451B44" w:rsidRDefault="004B4E5E" w:rsidP="00BF42BA">
      <w:pPr>
        <w:pStyle w:val="ListParagraph"/>
        <w:numPr>
          <w:ilvl w:val="0"/>
          <w:numId w:val="28"/>
        </w:numPr>
        <w:autoSpaceDE w:val="0"/>
        <w:autoSpaceDN w:val="0"/>
        <w:adjustRightInd w:val="0"/>
        <w:spacing w:after="0" w:line="480" w:lineRule="auto"/>
        <w:ind w:left="2517" w:hanging="1383"/>
        <w:rPr>
          <w:rFonts w:ascii="Times New Roman" w:hAnsi="Times New Roman" w:cs="Times New Roman"/>
          <w:b/>
          <w:bCs/>
          <w:sz w:val="24"/>
          <w:szCs w:val="24"/>
          <w:lang w:eastAsia="en-IE"/>
        </w:rPr>
      </w:pPr>
      <w:r w:rsidRPr="00451B44">
        <w:rPr>
          <w:rFonts w:ascii="Times New Roman" w:hAnsi="Times New Roman" w:cs="Times New Roman"/>
          <w:b/>
          <w:bCs/>
          <w:sz w:val="24"/>
          <w:szCs w:val="24"/>
          <w:lang w:eastAsia="en-IE"/>
        </w:rPr>
        <w:t>Trichome differentiation</w:t>
      </w:r>
    </w:p>
    <w:p w:rsidR="004B4E5E" w:rsidRDefault="004B4E5E" w:rsidP="002B4B8D">
      <w:pPr>
        <w:autoSpaceDE w:val="0"/>
        <w:autoSpaceDN w:val="0"/>
        <w:adjustRightInd w:val="0"/>
        <w:spacing w:after="0" w:line="480" w:lineRule="auto"/>
        <w:rPr>
          <w:rFonts w:ascii="Times New Roman" w:hAnsi="Times New Roman" w:cs="Times New Roman"/>
          <w:sz w:val="24"/>
          <w:szCs w:val="24"/>
        </w:rPr>
      </w:pPr>
      <w:r w:rsidRPr="00451B44">
        <w:rPr>
          <w:rFonts w:ascii="Times New Roman" w:hAnsi="Times New Roman" w:cs="Times New Roman"/>
          <w:sz w:val="24"/>
          <w:szCs w:val="24"/>
          <w:lang w:eastAsia="en-IE"/>
        </w:rPr>
        <w:t xml:space="preserve">Trichomes are shoot epidermal hairs, found on the majority of plants and are composed of either single or several cells </w:t>
      </w:r>
      <w:r w:rsidRPr="00451B44">
        <w:rPr>
          <w:rFonts w:ascii="Times New Roman" w:hAnsi="Times New Roman" w:cs="Times New Roman"/>
          <w:noProof/>
          <w:sz w:val="24"/>
          <w:szCs w:val="24"/>
          <w:lang w:eastAsia="en-IE"/>
        </w:rPr>
        <w:t>(Esau, 1977)</w:t>
      </w:r>
      <w:r w:rsidRPr="00451B44">
        <w:rPr>
          <w:rFonts w:ascii="Times New Roman" w:hAnsi="Times New Roman" w:cs="Times New Roman"/>
          <w:sz w:val="24"/>
          <w:szCs w:val="24"/>
          <w:lang w:eastAsia="en-IE"/>
        </w:rPr>
        <w:t>. They play various protective roles,</w:t>
      </w:r>
      <w:r>
        <w:rPr>
          <w:rFonts w:ascii="Times New Roman" w:hAnsi="Times New Roman" w:cs="Times New Roman"/>
          <w:sz w:val="24"/>
          <w:szCs w:val="24"/>
          <w:lang w:eastAsia="en-IE"/>
        </w:rPr>
        <w:t xml:space="preserve"> such as,</w:t>
      </w:r>
      <w:r w:rsidRPr="00451B44">
        <w:rPr>
          <w:rFonts w:ascii="Times New Roman" w:hAnsi="Times New Roman" w:cs="Times New Roman"/>
          <w:sz w:val="24"/>
          <w:szCs w:val="24"/>
          <w:lang w:eastAsia="en-IE"/>
        </w:rPr>
        <w:t xml:space="preserve"> being a mechanical barrier to insect herbivores, </w:t>
      </w:r>
      <w:r>
        <w:rPr>
          <w:rFonts w:ascii="Times New Roman" w:hAnsi="Times New Roman" w:cs="Times New Roman"/>
          <w:sz w:val="24"/>
          <w:szCs w:val="24"/>
          <w:lang w:eastAsia="en-IE"/>
        </w:rPr>
        <w:t xml:space="preserve">filtering </w:t>
      </w:r>
      <w:r w:rsidRPr="00451B44">
        <w:rPr>
          <w:rFonts w:ascii="Times New Roman" w:hAnsi="Times New Roman" w:cs="Times New Roman"/>
          <w:sz w:val="24"/>
          <w:szCs w:val="24"/>
          <w:lang w:eastAsia="en-IE"/>
        </w:rPr>
        <w:t xml:space="preserve">UV light and reducing respiration </w:t>
      </w:r>
      <w:r>
        <w:rPr>
          <w:rFonts w:ascii="Times New Roman" w:hAnsi="Times New Roman" w:cs="Times New Roman"/>
          <w:sz w:val="24"/>
          <w:szCs w:val="24"/>
          <w:lang w:eastAsia="en-IE"/>
        </w:rPr>
        <w:t>(Fordyce and Agrawal, 2001, Karabourniotis</w:t>
      </w:r>
      <w:r w:rsidRPr="00E54DA4">
        <w:rPr>
          <w:rFonts w:ascii="Times New Roman" w:hAnsi="Times New Roman" w:cs="Times New Roman"/>
          <w:i/>
          <w:iCs/>
          <w:sz w:val="24"/>
          <w:szCs w:val="24"/>
          <w:lang w:eastAsia="en-IE"/>
        </w:rPr>
        <w:t xml:space="preserve"> et al.</w:t>
      </w:r>
      <w:r>
        <w:rPr>
          <w:rFonts w:ascii="Times New Roman" w:hAnsi="Times New Roman" w:cs="Times New Roman"/>
          <w:sz w:val="24"/>
          <w:szCs w:val="24"/>
          <w:lang w:eastAsia="en-IE"/>
        </w:rPr>
        <w:t>, 1992, Levin, 1973, Ripley</w:t>
      </w:r>
      <w:r w:rsidRPr="00E54DA4">
        <w:rPr>
          <w:rFonts w:ascii="Times New Roman" w:hAnsi="Times New Roman" w:cs="Times New Roman"/>
          <w:i/>
          <w:iCs/>
          <w:sz w:val="24"/>
          <w:szCs w:val="24"/>
          <w:lang w:eastAsia="en-IE"/>
        </w:rPr>
        <w:t xml:space="preserve"> et al.</w:t>
      </w:r>
      <w:r>
        <w:rPr>
          <w:rFonts w:ascii="Times New Roman" w:hAnsi="Times New Roman" w:cs="Times New Roman"/>
          <w:sz w:val="24"/>
          <w:szCs w:val="24"/>
          <w:lang w:eastAsia="en-IE"/>
        </w:rPr>
        <w:t xml:space="preserve">, 1999, Van Dam and Hare, 1998). </w:t>
      </w:r>
      <w:r w:rsidRPr="00451B44">
        <w:rPr>
          <w:rFonts w:ascii="Times New Roman" w:hAnsi="Times New Roman" w:cs="Times New Roman"/>
          <w:sz w:val="24"/>
          <w:szCs w:val="24"/>
          <w:lang w:eastAsia="en-IE"/>
        </w:rPr>
        <w:t xml:space="preserve">Plants belonging to the genus </w:t>
      </w:r>
      <w:r w:rsidRPr="00451B44">
        <w:rPr>
          <w:rFonts w:ascii="Times New Roman" w:hAnsi="Times New Roman" w:cs="Times New Roman"/>
          <w:i/>
          <w:iCs/>
          <w:sz w:val="24"/>
          <w:szCs w:val="24"/>
          <w:lang w:eastAsia="en-IE"/>
        </w:rPr>
        <w:t>Tillandsia</w:t>
      </w:r>
      <w:r w:rsidRPr="00451B44">
        <w:rPr>
          <w:rFonts w:ascii="Times New Roman" w:hAnsi="Times New Roman" w:cs="Times New Roman"/>
          <w:sz w:val="24"/>
          <w:szCs w:val="24"/>
          <w:lang w:eastAsia="en-IE"/>
        </w:rPr>
        <w:t xml:space="preserve"> are able to survive independent of soil in the neotropical epiphytic environment, as their adventitious roots function only to adhere to substratum </w:t>
      </w:r>
      <w:r w:rsidRPr="00451B44">
        <w:rPr>
          <w:rFonts w:ascii="Times New Roman" w:hAnsi="Times New Roman" w:cs="Times New Roman"/>
          <w:noProof/>
          <w:sz w:val="24"/>
          <w:szCs w:val="24"/>
          <w:lang w:eastAsia="en-IE"/>
        </w:rPr>
        <w:t>(Papini</w:t>
      </w:r>
      <w:r w:rsidRPr="00451B44">
        <w:rPr>
          <w:rFonts w:ascii="Times New Roman" w:hAnsi="Times New Roman" w:cs="Times New Roman"/>
          <w:i/>
          <w:iCs/>
          <w:noProof/>
          <w:sz w:val="24"/>
          <w:szCs w:val="24"/>
          <w:lang w:eastAsia="en-IE"/>
        </w:rPr>
        <w:t xml:space="preserve"> et al.</w:t>
      </w:r>
      <w:r w:rsidRPr="00451B44">
        <w:rPr>
          <w:rFonts w:ascii="Times New Roman" w:hAnsi="Times New Roman" w:cs="Times New Roman"/>
          <w:noProof/>
          <w:sz w:val="24"/>
          <w:szCs w:val="24"/>
          <w:lang w:eastAsia="en-IE"/>
        </w:rPr>
        <w:t>, 2009)</w:t>
      </w:r>
      <w:r w:rsidRPr="00451B44">
        <w:rPr>
          <w:rFonts w:ascii="Times New Roman" w:hAnsi="Times New Roman" w:cs="Times New Roman"/>
          <w:sz w:val="24"/>
          <w:szCs w:val="24"/>
          <w:lang w:eastAsia="en-IE"/>
        </w:rPr>
        <w:t xml:space="preserve">. Epiphytism of </w:t>
      </w:r>
      <w:r w:rsidRPr="00451B44">
        <w:rPr>
          <w:rFonts w:ascii="Times New Roman" w:hAnsi="Times New Roman" w:cs="Times New Roman"/>
          <w:i/>
          <w:iCs/>
          <w:sz w:val="24"/>
          <w:szCs w:val="24"/>
          <w:lang w:eastAsia="en-IE"/>
        </w:rPr>
        <w:t>Tillandsia</w:t>
      </w:r>
      <w:r w:rsidRPr="00451B44">
        <w:rPr>
          <w:rFonts w:ascii="Times New Roman" w:hAnsi="Times New Roman" w:cs="Times New Roman"/>
          <w:sz w:val="24"/>
          <w:szCs w:val="24"/>
          <w:lang w:eastAsia="en-IE"/>
        </w:rPr>
        <w:t xml:space="preserve"> plants is possible due to a large number of peltate trichomes on their leaf epidermis, which are specialised in the absorption of solutions </w:t>
      </w:r>
      <w:r w:rsidRPr="00451B44">
        <w:rPr>
          <w:rFonts w:ascii="Times New Roman" w:hAnsi="Times New Roman" w:cs="Times New Roman"/>
          <w:noProof/>
          <w:sz w:val="24"/>
          <w:szCs w:val="24"/>
          <w:lang w:eastAsia="en-IE"/>
        </w:rPr>
        <w:t>(Brighigna, 1974)</w:t>
      </w:r>
      <w:r w:rsidRPr="00451B44">
        <w:rPr>
          <w:rFonts w:ascii="Times New Roman" w:hAnsi="Times New Roman" w:cs="Times New Roman"/>
          <w:sz w:val="24"/>
          <w:szCs w:val="24"/>
          <w:lang w:eastAsia="en-IE"/>
        </w:rPr>
        <w:t>. The absorbing trichome in</w:t>
      </w:r>
      <w:r w:rsidRPr="00451B44">
        <w:rPr>
          <w:rFonts w:ascii="Times New Roman" w:hAnsi="Times New Roman" w:cs="Times New Roman"/>
          <w:i/>
          <w:iCs/>
          <w:sz w:val="24"/>
          <w:szCs w:val="24"/>
          <w:lang w:eastAsia="en-IE"/>
        </w:rPr>
        <w:t xml:space="preserve"> Tillandsia</w:t>
      </w:r>
      <w:r w:rsidRPr="00451B44">
        <w:rPr>
          <w:rFonts w:ascii="Times New Roman" w:hAnsi="Times New Roman" w:cs="Times New Roman"/>
          <w:sz w:val="24"/>
          <w:szCs w:val="24"/>
          <w:lang w:eastAsia="en-IE"/>
        </w:rPr>
        <w:t xml:space="preserve"> has a nail-like shape, formed by an axis (stem) connected to the internal tissues of the leaf and by an external shield. At the last stage of trichome development, </w:t>
      </w:r>
      <w:r w:rsidRPr="00451B44">
        <w:rPr>
          <w:rFonts w:ascii="Times New Roman" w:hAnsi="Times New Roman" w:cs="Times New Roman"/>
          <w:sz w:val="24"/>
          <w:szCs w:val="24"/>
        </w:rPr>
        <w:t>the shield cells die and this death event is characteri</w:t>
      </w:r>
      <w:r>
        <w:rPr>
          <w:rFonts w:ascii="Times New Roman" w:hAnsi="Times New Roman" w:cs="Times New Roman"/>
          <w:sz w:val="24"/>
          <w:szCs w:val="24"/>
        </w:rPr>
        <w:t>s</w:t>
      </w:r>
      <w:r w:rsidRPr="00451B44">
        <w:rPr>
          <w:rFonts w:ascii="Times New Roman" w:hAnsi="Times New Roman" w:cs="Times New Roman"/>
          <w:sz w:val="24"/>
          <w:szCs w:val="24"/>
        </w:rPr>
        <w:t>ed by chromatin cond</w:t>
      </w:r>
      <w:r>
        <w:rPr>
          <w:rFonts w:ascii="Times New Roman" w:hAnsi="Times New Roman" w:cs="Times New Roman"/>
          <w:sz w:val="24"/>
          <w:szCs w:val="24"/>
        </w:rPr>
        <w:t>ensation, nuclear fragmentation and</w:t>
      </w:r>
      <w:r w:rsidRPr="00451B44">
        <w:rPr>
          <w:rFonts w:ascii="Times New Roman" w:hAnsi="Times New Roman" w:cs="Times New Roman"/>
          <w:sz w:val="24"/>
          <w:szCs w:val="24"/>
        </w:rPr>
        <w:t xml:space="preserve"> ER dilation </w:t>
      </w:r>
      <w:r w:rsidRPr="00451B44">
        <w:rPr>
          <w:rFonts w:ascii="Times New Roman" w:hAnsi="Times New Roman" w:cs="Times New Roman"/>
          <w:noProof/>
          <w:sz w:val="24"/>
          <w:szCs w:val="24"/>
        </w:rPr>
        <w:t>(Papini</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2009)</w:t>
      </w:r>
      <w:r>
        <w:rPr>
          <w:rFonts w:ascii="Times New Roman" w:hAnsi="Times New Roman" w:cs="Times New Roman"/>
          <w:sz w:val="24"/>
          <w:szCs w:val="24"/>
        </w:rPr>
        <w:t xml:space="preserve">. </w:t>
      </w:r>
    </w:p>
    <w:p w:rsidR="004B4E5E" w:rsidRDefault="004B4E5E" w:rsidP="002B4B8D">
      <w:pPr>
        <w:autoSpaceDE w:val="0"/>
        <w:autoSpaceDN w:val="0"/>
        <w:adjustRightInd w:val="0"/>
        <w:spacing w:after="0" w:line="480" w:lineRule="auto"/>
        <w:rPr>
          <w:rFonts w:ascii="Times New Roman" w:hAnsi="Times New Roman" w:cs="Times New Roman"/>
          <w:sz w:val="24"/>
          <w:szCs w:val="24"/>
        </w:rPr>
      </w:pPr>
    </w:p>
    <w:p w:rsidR="004B4E5E" w:rsidRPr="000127DC" w:rsidRDefault="004B4E5E" w:rsidP="002B4B8D">
      <w:pPr>
        <w:autoSpaceDE w:val="0"/>
        <w:autoSpaceDN w:val="0"/>
        <w:adjustRightInd w:val="0"/>
        <w:spacing w:after="0" w:line="480" w:lineRule="auto"/>
        <w:rPr>
          <w:rFonts w:ascii="Times New Roman" w:hAnsi="Times New Roman" w:cs="Times New Roman"/>
          <w:sz w:val="24"/>
          <w:szCs w:val="24"/>
          <w:lang w:eastAsia="en-IE"/>
        </w:rPr>
      </w:pPr>
      <w:r>
        <w:rPr>
          <w:rFonts w:ascii="Times New Roman" w:hAnsi="Times New Roman" w:cs="Times New Roman"/>
          <w:sz w:val="24"/>
          <w:szCs w:val="24"/>
        </w:rPr>
        <w:t>A</w:t>
      </w:r>
      <w:r w:rsidRPr="00451B44">
        <w:rPr>
          <w:rFonts w:ascii="Times New Roman" w:hAnsi="Times New Roman" w:cs="Times New Roman"/>
          <w:sz w:val="24"/>
          <w:szCs w:val="24"/>
        </w:rPr>
        <w:t xml:space="preserve">s trichomes are present in large numbers on the surface of the leaf/stem and are composed of single/few cells they provide an easily observable, identifiable and </w:t>
      </w:r>
      <w:r w:rsidRPr="00451B44">
        <w:rPr>
          <w:rFonts w:ascii="Times New Roman" w:hAnsi="Times New Roman" w:cs="Times New Roman"/>
          <w:i/>
          <w:iCs/>
          <w:sz w:val="24"/>
          <w:szCs w:val="24"/>
        </w:rPr>
        <w:t>in vivo</w:t>
      </w:r>
      <w:r w:rsidRPr="00451B44">
        <w:rPr>
          <w:rFonts w:ascii="Times New Roman" w:hAnsi="Times New Roman" w:cs="Times New Roman"/>
          <w:sz w:val="24"/>
          <w:szCs w:val="24"/>
        </w:rPr>
        <w:t xml:space="preserve"> target for PCD related research. For instance, Schnittger and colleagues </w:t>
      </w:r>
      <w:r w:rsidRPr="00451B44">
        <w:rPr>
          <w:rFonts w:ascii="Times New Roman" w:hAnsi="Times New Roman" w:cs="Times New Roman"/>
          <w:noProof/>
          <w:sz w:val="24"/>
          <w:szCs w:val="24"/>
        </w:rPr>
        <w:t>(2003)</w:t>
      </w:r>
      <w:r w:rsidRPr="00451B44">
        <w:rPr>
          <w:rFonts w:ascii="Times New Roman" w:hAnsi="Times New Roman" w:cs="Times New Roman"/>
          <w:sz w:val="24"/>
          <w:szCs w:val="24"/>
        </w:rPr>
        <w:t xml:space="preserve"> investigated the function of CDK inhibitor proteins (ICK/KRPs) on cell growth and differentiation</w:t>
      </w:r>
      <w:r w:rsidRPr="0096461D">
        <w:rPr>
          <w:rFonts w:ascii="Times New Roman" w:hAnsi="Times New Roman" w:cs="Times New Roman"/>
          <w:sz w:val="24"/>
          <w:szCs w:val="24"/>
        </w:rPr>
        <w:t xml:space="preserve"> </w:t>
      </w:r>
      <w:r>
        <w:rPr>
          <w:rFonts w:ascii="Times New Roman" w:hAnsi="Times New Roman" w:cs="Times New Roman"/>
          <w:sz w:val="24"/>
          <w:szCs w:val="24"/>
        </w:rPr>
        <w:t>by expressing</w:t>
      </w:r>
      <w:r w:rsidRPr="00451B44">
        <w:rPr>
          <w:rFonts w:ascii="Times New Roman" w:hAnsi="Times New Roman" w:cs="Times New Roman"/>
          <w:sz w:val="24"/>
          <w:szCs w:val="24"/>
        </w:rPr>
        <w:t xml:space="preserve"> ICK/KRP under a trichome specific promoter in </w:t>
      </w:r>
      <w:r w:rsidRPr="00451B44">
        <w:rPr>
          <w:rFonts w:ascii="Times New Roman" w:hAnsi="Times New Roman" w:cs="Times New Roman"/>
          <w:i/>
          <w:iCs/>
          <w:sz w:val="24"/>
          <w:szCs w:val="24"/>
        </w:rPr>
        <w:t>Arabidopsis</w:t>
      </w:r>
      <w:r>
        <w:rPr>
          <w:rFonts w:ascii="Times New Roman" w:hAnsi="Times New Roman" w:cs="Times New Roman"/>
          <w:i/>
          <w:iCs/>
          <w:sz w:val="24"/>
          <w:szCs w:val="24"/>
        </w:rPr>
        <w:t>.</w:t>
      </w:r>
      <w:r w:rsidRPr="00451B44">
        <w:rPr>
          <w:rFonts w:ascii="Times New Roman" w:hAnsi="Times New Roman" w:cs="Times New Roman"/>
          <w:sz w:val="24"/>
          <w:szCs w:val="24"/>
        </w:rPr>
        <w:t xml:space="preserve"> </w:t>
      </w:r>
      <w:r>
        <w:rPr>
          <w:rFonts w:ascii="Times New Roman" w:hAnsi="Times New Roman" w:cs="Times New Roman"/>
          <w:sz w:val="24"/>
          <w:szCs w:val="24"/>
        </w:rPr>
        <w:t>ICK/KRPs shares</w:t>
      </w:r>
      <w:r w:rsidRPr="00451B44">
        <w:rPr>
          <w:rFonts w:ascii="Times New Roman" w:hAnsi="Times New Roman" w:cs="Times New Roman"/>
          <w:sz w:val="24"/>
          <w:szCs w:val="24"/>
        </w:rPr>
        <w:t xml:space="preserve"> </w:t>
      </w:r>
      <w:r>
        <w:rPr>
          <w:rFonts w:ascii="Times New Roman" w:hAnsi="Times New Roman" w:cs="Times New Roman"/>
          <w:sz w:val="24"/>
          <w:szCs w:val="24"/>
        </w:rPr>
        <w:t xml:space="preserve">some sequence </w:t>
      </w:r>
      <w:r w:rsidRPr="00451B44">
        <w:rPr>
          <w:rFonts w:ascii="Times New Roman" w:hAnsi="Times New Roman" w:cs="Times New Roman"/>
          <w:sz w:val="24"/>
          <w:szCs w:val="24"/>
        </w:rPr>
        <w:t>homology to animal p27</w:t>
      </w:r>
      <w:r w:rsidRPr="00451B44">
        <w:rPr>
          <w:rFonts w:ascii="Times New Roman" w:hAnsi="Times New Roman" w:cs="Times New Roman"/>
          <w:sz w:val="24"/>
          <w:szCs w:val="24"/>
          <w:vertAlign w:val="superscript"/>
        </w:rPr>
        <w:t>Kip1</w:t>
      </w:r>
      <w:r w:rsidRPr="00451B44">
        <w:rPr>
          <w:rFonts w:ascii="Times New Roman" w:hAnsi="Times New Roman" w:cs="Times New Roman"/>
          <w:noProof/>
          <w:sz w:val="24"/>
          <w:szCs w:val="24"/>
        </w:rPr>
        <w:t>(De Veylder</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2001)</w:t>
      </w:r>
      <w:r w:rsidRPr="00451B44">
        <w:rPr>
          <w:rFonts w:ascii="Times New Roman" w:hAnsi="Times New Roman" w:cs="Times New Roman"/>
          <w:sz w:val="24"/>
          <w:szCs w:val="24"/>
        </w:rPr>
        <w:t xml:space="preserve">, a cell-cycle inhibitor which can induce apoptosis </w:t>
      </w:r>
      <w:r w:rsidRPr="00451B44">
        <w:rPr>
          <w:rFonts w:ascii="Times New Roman" w:hAnsi="Times New Roman" w:cs="Times New Roman"/>
          <w:noProof/>
          <w:sz w:val="24"/>
          <w:szCs w:val="24"/>
        </w:rPr>
        <w:t>(Katayose</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1997)</w:t>
      </w:r>
      <w:r w:rsidRPr="00451B44">
        <w:rPr>
          <w:rFonts w:ascii="Times New Roman" w:hAnsi="Times New Roman" w:cs="Times New Roman"/>
          <w:sz w:val="24"/>
          <w:szCs w:val="24"/>
        </w:rPr>
        <w:t>.</w:t>
      </w:r>
      <w:r w:rsidRPr="00451B44">
        <w:rPr>
          <w:rFonts w:ascii="Times New Roman" w:hAnsi="Times New Roman" w:cs="Times New Roman"/>
          <w:i/>
          <w:iCs/>
          <w:sz w:val="24"/>
          <w:szCs w:val="24"/>
        </w:rPr>
        <w:t xml:space="preserve"> </w:t>
      </w:r>
      <w:r w:rsidRPr="0096461D">
        <w:rPr>
          <w:rFonts w:ascii="Times New Roman" w:hAnsi="Times New Roman" w:cs="Times New Roman"/>
          <w:sz w:val="24"/>
          <w:szCs w:val="24"/>
        </w:rPr>
        <w:t>They</w:t>
      </w:r>
      <w:r>
        <w:rPr>
          <w:rFonts w:ascii="Times New Roman" w:hAnsi="Times New Roman" w:cs="Times New Roman"/>
          <w:sz w:val="24"/>
          <w:szCs w:val="24"/>
        </w:rPr>
        <w:t xml:space="preserve"> demonstrated</w:t>
      </w:r>
      <w:r w:rsidRPr="00451B44">
        <w:rPr>
          <w:rFonts w:ascii="Times New Roman" w:hAnsi="Times New Roman" w:cs="Times New Roman"/>
          <w:sz w:val="24"/>
          <w:szCs w:val="24"/>
        </w:rPr>
        <w:t xml:space="preserve"> that</w:t>
      </w:r>
      <w:r w:rsidRPr="00451B44">
        <w:rPr>
          <w:rFonts w:ascii="Times New Roman" w:hAnsi="Times New Roman" w:cs="Times New Roman"/>
          <w:i/>
          <w:iCs/>
          <w:sz w:val="24"/>
          <w:szCs w:val="24"/>
        </w:rPr>
        <w:t xml:space="preserve"> Arabidopsis</w:t>
      </w:r>
      <w:r w:rsidRPr="00451B44">
        <w:rPr>
          <w:rFonts w:ascii="Times New Roman" w:hAnsi="Times New Roman" w:cs="Times New Roman"/>
          <w:sz w:val="24"/>
          <w:szCs w:val="24"/>
        </w:rPr>
        <w:t xml:space="preserve"> trichomes where ICK/KRPs were overexpressed died earlier than wild type (WT) trichomes and it was observed that their nuclear s</w:t>
      </w:r>
      <w:r>
        <w:rPr>
          <w:rFonts w:ascii="Times New Roman" w:hAnsi="Times New Roman" w:cs="Times New Roman"/>
          <w:sz w:val="24"/>
          <w:szCs w:val="24"/>
        </w:rPr>
        <w:t>tructure started to change (</w:t>
      </w:r>
      <w:r w:rsidRPr="00451B44">
        <w:rPr>
          <w:rFonts w:ascii="Times New Roman" w:hAnsi="Times New Roman" w:cs="Times New Roman"/>
          <w:sz w:val="24"/>
          <w:szCs w:val="24"/>
        </w:rPr>
        <w:t xml:space="preserve">the chromocenters and the nucleolus disappeared) suggesting the programmed nature of this death </w:t>
      </w:r>
      <w:r w:rsidRPr="00451B44">
        <w:rPr>
          <w:rFonts w:ascii="Times New Roman" w:hAnsi="Times New Roman" w:cs="Times New Roman"/>
          <w:noProof/>
          <w:sz w:val="24"/>
          <w:szCs w:val="24"/>
        </w:rPr>
        <w:t>(Schnittger</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2003)</w:t>
      </w:r>
      <w:r>
        <w:rPr>
          <w:rFonts w:ascii="Times New Roman" w:hAnsi="Times New Roman" w:cs="Times New Roman"/>
          <w:sz w:val="24"/>
          <w:szCs w:val="24"/>
        </w:rPr>
        <w:t xml:space="preserve">. </w:t>
      </w:r>
      <w:r w:rsidRPr="00451B44">
        <w:rPr>
          <w:rFonts w:ascii="Times New Roman" w:hAnsi="Times New Roman" w:cs="Times New Roman"/>
          <w:sz w:val="24"/>
          <w:szCs w:val="24"/>
        </w:rPr>
        <w:t xml:space="preserve">Reina-Pinto </w:t>
      </w:r>
      <w:r w:rsidRPr="00451B44">
        <w:rPr>
          <w:rFonts w:ascii="Times New Roman" w:hAnsi="Times New Roman" w:cs="Times New Roman"/>
          <w:i/>
          <w:iCs/>
          <w:sz w:val="24"/>
          <w:szCs w:val="24"/>
        </w:rPr>
        <w:t>et al.</w:t>
      </w:r>
      <w:r w:rsidRPr="00451B44">
        <w:rPr>
          <w:rFonts w:ascii="Times New Roman" w:hAnsi="Times New Roman" w:cs="Times New Roman"/>
          <w:sz w:val="24"/>
          <w:szCs w:val="24"/>
        </w:rPr>
        <w:t xml:space="preserve"> (2009) reported that the epidermal mis-expression of fatty acid elongase1 (FAE1) in </w:t>
      </w:r>
      <w:r w:rsidRPr="00451B44">
        <w:rPr>
          <w:rFonts w:ascii="Times New Roman" w:hAnsi="Times New Roman" w:cs="Times New Roman"/>
          <w:i/>
          <w:iCs/>
          <w:sz w:val="24"/>
          <w:szCs w:val="24"/>
        </w:rPr>
        <w:t>Arabidopsis,</w:t>
      </w:r>
      <w:r w:rsidRPr="00451B44">
        <w:rPr>
          <w:rFonts w:ascii="Times New Roman" w:hAnsi="Times New Roman" w:cs="Times New Roman"/>
          <w:sz w:val="24"/>
          <w:szCs w:val="24"/>
        </w:rPr>
        <w:t xml:space="preserve"> induced a cell-type specific cell death program</w:t>
      </w:r>
      <w:r>
        <w:rPr>
          <w:rFonts w:ascii="Times New Roman" w:hAnsi="Times New Roman" w:cs="Times New Roman"/>
          <w:sz w:val="24"/>
          <w:szCs w:val="24"/>
        </w:rPr>
        <w:t>me</w:t>
      </w:r>
      <w:r w:rsidRPr="00451B44">
        <w:rPr>
          <w:rFonts w:ascii="Times New Roman" w:hAnsi="Times New Roman" w:cs="Times New Roman"/>
          <w:sz w:val="24"/>
          <w:szCs w:val="24"/>
        </w:rPr>
        <w:t xml:space="preserve"> in trichome cells, with death characteri</w:t>
      </w:r>
      <w:r>
        <w:rPr>
          <w:rFonts w:ascii="Times New Roman" w:hAnsi="Times New Roman" w:cs="Times New Roman"/>
          <w:sz w:val="24"/>
          <w:szCs w:val="24"/>
        </w:rPr>
        <w:t>s</w:t>
      </w:r>
      <w:r w:rsidRPr="00451B44">
        <w:rPr>
          <w:rFonts w:ascii="Times New Roman" w:hAnsi="Times New Roman" w:cs="Times New Roman"/>
          <w:sz w:val="24"/>
          <w:szCs w:val="24"/>
        </w:rPr>
        <w:t>ed by loss of viability</w:t>
      </w:r>
      <w:r w:rsidRPr="00451B44">
        <w:rPr>
          <w:rFonts w:ascii="Times New Roman" w:hAnsi="Times New Roman" w:cs="Times New Roman"/>
          <w:sz w:val="24"/>
          <w:szCs w:val="24"/>
          <w:vertAlign w:val="superscript"/>
        </w:rPr>
        <w:t xml:space="preserve"> </w:t>
      </w:r>
      <w:r w:rsidRPr="00451B44">
        <w:rPr>
          <w:rFonts w:ascii="Times New Roman" w:hAnsi="Times New Roman" w:cs="Times New Roman"/>
          <w:sz w:val="24"/>
          <w:szCs w:val="24"/>
        </w:rPr>
        <w:t xml:space="preserve">and membrane integrity, generation of ROS, and DNA fragmentation. Therefore, it may be concluded that trichomes are potentially </w:t>
      </w:r>
      <w:r>
        <w:rPr>
          <w:rFonts w:ascii="Times New Roman" w:hAnsi="Times New Roman" w:cs="Times New Roman"/>
          <w:sz w:val="24"/>
          <w:szCs w:val="24"/>
        </w:rPr>
        <w:t xml:space="preserve">an </w:t>
      </w:r>
      <w:r w:rsidRPr="00451B44">
        <w:rPr>
          <w:rFonts w:ascii="Times New Roman" w:hAnsi="Times New Roman" w:cs="Times New Roman"/>
          <w:sz w:val="24"/>
          <w:szCs w:val="24"/>
        </w:rPr>
        <w:t>attractive model system for investigating PCD, especially since the characteristic AL-PCD ‘corpse’ morphology can be induced in</w:t>
      </w:r>
      <w:r>
        <w:rPr>
          <w:rFonts w:ascii="Times New Roman" w:hAnsi="Times New Roman" w:cs="Times New Roman"/>
          <w:sz w:val="24"/>
          <w:szCs w:val="24"/>
        </w:rPr>
        <w:t xml:space="preserve"> trichomes by stress treatment </w:t>
      </w:r>
      <w:r w:rsidRPr="00451B44">
        <w:rPr>
          <w:rFonts w:ascii="Times New Roman" w:hAnsi="Times New Roman" w:cs="Times New Roman"/>
          <w:sz w:val="24"/>
          <w:szCs w:val="24"/>
        </w:rPr>
        <w:t>and easily examined under the microscope</w:t>
      </w:r>
      <w:r>
        <w:rPr>
          <w:rFonts w:ascii="Times New Roman" w:hAnsi="Times New Roman" w:cs="Times New Roman"/>
          <w:sz w:val="24"/>
          <w:szCs w:val="24"/>
        </w:rPr>
        <w:t xml:space="preserve"> </w:t>
      </w:r>
      <w:r w:rsidRPr="000127DC">
        <w:rPr>
          <w:rFonts w:ascii="Times New Roman" w:hAnsi="Times New Roman" w:cs="Times New Roman"/>
          <w:sz w:val="24"/>
          <w:szCs w:val="24"/>
        </w:rPr>
        <w:t>(Fig. 1</w:t>
      </w:r>
      <w:r>
        <w:rPr>
          <w:rFonts w:ascii="Times New Roman" w:hAnsi="Times New Roman" w:cs="Times New Roman"/>
          <w:sz w:val="24"/>
          <w:szCs w:val="24"/>
        </w:rPr>
        <w:t>E</w:t>
      </w:r>
      <w:r w:rsidRPr="000127DC">
        <w:rPr>
          <w:rFonts w:ascii="Times New Roman" w:hAnsi="Times New Roman" w:cs="Times New Roman"/>
          <w:sz w:val="24"/>
          <w:szCs w:val="24"/>
        </w:rPr>
        <w:t>).</w:t>
      </w:r>
    </w:p>
    <w:p w:rsidR="004B4E5E" w:rsidRDefault="004B4E5E" w:rsidP="002B4B8D">
      <w:pPr>
        <w:autoSpaceDE w:val="0"/>
        <w:autoSpaceDN w:val="0"/>
        <w:adjustRightInd w:val="0"/>
        <w:spacing w:after="0" w:line="480" w:lineRule="auto"/>
        <w:rPr>
          <w:rFonts w:ascii="Times New Roman" w:hAnsi="Times New Roman" w:cs="Times New Roman"/>
          <w:sz w:val="24"/>
          <w:szCs w:val="24"/>
        </w:rPr>
      </w:pPr>
    </w:p>
    <w:p w:rsidR="004B4E5E" w:rsidRPr="00451B44" w:rsidRDefault="004B4E5E" w:rsidP="002B4B8D">
      <w:pPr>
        <w:autoSpaceDE w:val="0"/>
        <w:autoSpaceDN w:val="0"/>
        <w:adjustRightInd w:val="0"/>
        <w:spacing w:after="0" w:line="480" w:lineRule="auto"/>
        <w:rPr>
          <w:rFonts w:ascii="Times New Roman" w:hAnsi="Times New Roman" w:cs="Times New Roman"/>
          <w:sz w:val="24"/>
          <w:szCs w:val="24"/>
        </w:rPr>
      </w:pPr>
    </w:p>
    <w:p w:rsidR="004B4E5E" w:rsidRPr="00451B44" w:rsidRDefault="004B4E5E" w:rsidP="00BF42BA">
      <w:pPr>
        <w:pStyle w:val="ListParagraph"/>
        <w:numPr>
          <w:ilvl w:val="0"/>
          <w:numId w:val="28"/>
        </w:numPr>
        <w:autoSpaceDE w:val="0"/>
        <w:autoSpaceDN w:val="0"/>
        <w:adjustRightInd w:val="0"/>
        <w:spacing w:after="0" w:line="480" w:lineRule="auto"/>
        <w:ind w:left="2517" w:hanging="1383"/>
        <w:rPr>
          <w:rFonts w:ascii="Times New Roman" w:hAnsi="Times New Roman" w:cs="Times New Roman"/>
          <w:b/>
          <w:bCs/>
          <w:sz w:val="24"/>
          <w:szCs w:val="24"/>
          <w:lang w:eastAsia="en-IE"/>
        </w:rPr>
      </w:pPr>
      <w:r w:rsidRPr="00451B44">
        <w:rPr>
          <w:rFonts w:ascii="Times New Roman" w:hAnsi="Times New Roman" w:cs="Times New Roman"/>
          <w:b/>
          <w:bCs/>
          <w:sz w:val="24"/>
          <w:szCs w:val="24"/>
          <w:lang w:eastAsia="en-IE"/>
        </w:rPr>
        <w:t>Senescence</w:t>
      </w:r>
    </w:p>
    <w:p w:rsidR="004B4E5E" w:rsidRPr="00451B44" w:rsidRDefault="004B4E5E" w:rsidP="002B4B8D">
      <w:pPr>
        <w:autoSpaceDE w:val="0"/>
        <w:autoSpaceDN w:val="0"/>
        <w:adjustRightInd w:val="0"/>
        <w:spacing w:after="0" w:line="480" w:lineRule="auto"/>
        <w:rPr>
          <w:rFonts w:ascii="Times New Roman" w:hAnsi="Times New Roman" w:cs="Times New Roman"/>
          <w:sz w:val="24"/>
          <w:szCs w:val="24"/>
        </w:rPr>
      </w:pPr>
      <w:r w:rsidRPr="00451B44">
        <w:rPr>
          <w:rFonts w:ascii="Times New Roman" w:hAnsi="Times New Roman" w:cs="Times New Roman"/>
          <w:sz w:val="24"/>
          <w:szCs w:val="24"/>
        </w:rPr>
        <w:t>Senescence can be considered the last stage of plant vegetative and reproductive</w:t>
      </w:r>
      <w:r w:rsidRPr="00451B44">
        <w:rPr>
          <w:rFonts w:ascii="Times New Roman" w:hAnsi="Times New Roman" w:cs="Times New Roman"/>
          <w:sz w:val="24"/>
          <w:szCs w:val="24"/>
          <w:vertAlign w:val="superscript"/>
        </w:rPr>
        <w:t xml:space="preserve"> </w:t>
      </w:r>
      <w:r w:rsidRPr="00451B44">
        <w:rPr>
          <w:rFonts w:ascii="Times New Roman" w:hAnsi="Times New Roman" w:cs="Times New Roman"/>
          <w:sz w:val="24"/>
          <w:szCs w:val="24"/>
        </w:rPr>
        <w:t xml:space="preserve">development and is followed by </w:t>
      </w:r>
      <w:r>
        <w:rPr>
          <w:rFonts w:ascii="Times New Roman" w:hAnsi="Times New Roman" w:cs="Times New Roman"/>
          <w:sz w:val="24"/>
          <w:szCs w:val="24"/>
        </w:rPr>
        <w:t xml:space="preserve">the </w:t>
      </w:r>
      <w:r w:rsidRPr="00451B44">
        <w:rPr>
          <w:rFonts w:ascii="Times New Roman" w:hAnsi="Times New Roman" w:cs="Times New Roman"/>
          <w:sz w:val="24"/>
          <w:szCs w:val="24"/>
        </w:rPr>
        <w:t>death of cells and organs. It is an ordered process characteri</w:t>
      </w:r>
      <w:r>
        <w:rPr>
          <w:rFonts w:ascii="Times New Roman" w:hAnsi="Times New Roman" w:cs="Times New Roman"/>
          <w:sz w:val="24"/>
          <w:szCs w:val="24"/>
        </w:rPr>
        <w:t>s</w:t>
      </w:r>
      <w:r w:rsidRPr="00451B44">
        <w:rPr>
          <w:rFonts w:ascii="Times New Roman" w:hAnsi="Times New Roman" w:cs="Times New Roman"/>
          <w:sz w:val="24"/>
          <w:szCs w:val="24"/>
        </w:rPr>
        <w:t>ed by complex changes in cell structure, metabolism and gene expression resulting in degradation and remobili</w:t>
      </w:r>
      <w:r>
        <w:rPr>
          <w:rFonts w:ascii="Times New Roman" w:hAnsi="Times New Roman" w:cs="Times New Roman"/>
          <w:sz w:val="24"/>
          <w:szCs w:val="24"/>
        </w:rPr>
        <w:t>s</w:t>
      </w:r>
      <w:r w:rsidRPr="00451B44">
        <w:rPr>
          <w:rFonts w:ascii="Times New Roman" w:hAnsi="Times New Roman" w:cs="Times New Roman"/>
          <w:sz w:val="24"/>
          <w:szCs w:val="24"/>
        </w:rPr>
        <w:t>ation activities aimed at retrieving valuable nutrients and their allocation to viable part</w:t>
      </w:r>
      <w:r>
        <w:rPr>
          <w:rFonts w:ascii="Times New Roman" w:hAnsi="Times New Roman" w:cs="Times New Roman"/>
          <w:sz w:val="24"/>
          <w:szCs w:val="24"/>
        </w:rPr>
        <w:t>s of the plant (e.g. seeds).</w:t>
      </w:r>
      <w:r w:rsidRPr="00451B44">
        <w:rPr>
          <w:rFonts w:ascii="Times New Roman" w:hAnsi="Times New Roman" w:cs="Times New Roman"/>
          <w:sz w:val="24"/>
          <w:szCs w:val="24"/>
        </w:rPr>
        <w:t xml:space="preserve"> Senescence cul</w:t>
      </w:r>
      <w:r>
        <w:rPr>
          <w:rFonts w:ascii="Times New Roman" w:hAnsi="Times New Roman" w:cs="Times New Roman"/>
          <w:sz w:val="24"/>
          <w:szCs w:val="24"/>
        </w:rPr>
        <w:t>minates in organ death, but can often be reversed</w:t>
      </w:r>
      <w:r w:rsidRPr="00451B44">
        <w:rPr>
          <w:rFonts w:ascii="Times New Roman" w:hAnsi="Times New Roman" w:cs="Times New Roman"/>
          <w:sz w:val="24"/>
          <w:szCs w:val="24"/>
        </w:rPr>
        <w:t xml:space="preserve"> </w:t>
      </w:r>
      <w:r>
        <w:rPr>
          <w:rFonts w:ascii="Times New Roman" w:hAnsi="Times New Roman" w:cs="Times New Roman"/>
          <w:sz w:val="24"/>
          <w:szCs w:val="24"/>
        </w:rPr>
        <w:t xml:space="preserve">quite </w:t>
      </w:r>
      <w:r w:rsidRPr="00451B44">
        <w:rPr>
          <w:rFonts w:ascii="Times New Roman" w:hAnsi="Times New Roman" w:cs="Times New Roman"/>
          <w:sz w:val="24"/>
          <w:szCs w:val="24"/>
        </w:rPr>
        <w:t xml:space="preserve">late </w:t>
      </w:r>
      <w:r>
        <w:rPr>
          <w:rFonts w:ascii="Times New Roman" w:hAnsi="Times New Roman" w:cs="Times New Roman"/>
          <w:sz w:val="24"/>
          <w:szCs w:val="24"/>
        </w:rPr>
        <w:t xml:space="preserve">in </w:t>
      </w:r>
      <w:r w:rsidRPr="00451B44">
        <w:rPr>
          <w:rFonts w:ascii="Times New Roman" w:hAnsi="Times New Roman" w:cs="Times New Roman"/>
          <w:sz w:val="24"/>
          <w:szCs w:val="24"/>
        </w:rPr>
        <w:t xml:space="preserve">the process </w:t>
      </w:r>
      <w:r w:rsidRPr="00451B44">
        <w:rPr>
          <w:rFonts w:ascii="Times New Roman" w:hAnsi="Times New Roman" w:cs="Times New Roman"/>
          <w:noProof/>
          <w:sz w:val="24"/>
          <w:szCs w:val="24"/>
        </w:rPr>
        <w:t>(Thomas</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2003)</w:t>
      </w:r>
      <w:r w:rsidRPr="00451B44">
        <w:rPr>
          <w:rFonts w:ascii="Times New Roman" w:hAnsi="Times New Roman" w:cs="Times New Roman"/>
          <w:sz w:val="24"/>
          <w:szCs w:val="24"/>
        </w:rPr>
        <w:t xml:space="preserve">. </w:t>
      </w:r>
      <w:r>
        <w:rPr>
          <w:rFonts w:ascii="Times New Roman" w:hAnsi="Times New Roman" w:cs="Times New Roman"/>
          <w:sz w:val="24"/>
          <w:szCs w:val="24"/>
        </w:rPr>
        <w:t>However,</w:t>
      </w:r>
      <w:r w:rsidRPr="00451B44">
        <w:rPr>
          <w:rFonts w:ascii="Times New Roman" w:hAnsi="Times New Roman" w:cs="Times New Roman"/>
          <w:sz w:val="24"/>
          <w:szCs w:val="24"/>
        </w:rPr>
        <w:t xml:space="preserve"> the relation</w:t>
      </w:r>
      <w:r>
        <w:rPr>
          <w:rFonts w:ascii="Times New Roman" w:hAnsi="Times New Roman" w:cs="Times New Roman"/>
          <w:sz w:val="24"/>
          <w:szCs w:val="24"/>
        </w:rPr>
        <w:t>ship</w:t>
      </w:r>
      <w:r w:rsidRPr="00451B44">
        <w:rPr>
          <w:rFonts w:ascii="Times New Roman" w:hAnsi="Times New Roman" w:cs="Times New Roman"/>
          <w:sz w:val="24"/>
          <w:szCs w:val="24"/>
        </w:rPr>
        <w:t xml:space="preserve"> between PCD and senescence</w:t>
      </w:r>
      <w:r>
        <w:rPr>
          <w:rFonts w:ascii="Times New Roman" w:hAnsi="Times New Roman" w:cs="Times New Roman"/>
          <w:sz w:val="24"/>
          <w:szCs w:val="24"/>
        </w:rPr>
        <w:t xml:space="preserve"> is much debated amongst research groups</w:t>
      </w:r>
      <w:r w:rsidRPr="00451B44">
        <w:rPr>
          <w:rFonts w:ascii="Times New Roman" w:hAnsi="Times New Roman" w:cs="Times New Roman"/>
          <w:sz w:val="24"/>
          <w:szCs w:val="24"/>
        </w:rPr>
        <w:t>. Attitudes vary from implying a total overlap and synchronous progress of both processes (van Doorn and Woltering, 2008, van Doorn and Woltering, 2004), via assumed, but not defined overlap, up to the belief that senescence and PCD are separate processes (Delorme</w:t>
      </w:r>
      <w:r w:rsidRPr="00451B44">
        <w:rPr>
          <w:rFonts w:ascii="Times New Roman" w:hAnsi="Times New Roman" w:cs="Times New Roman"/>
          <w:i/>
          <w:iCs/>
          <w:sz w:val="24"/>
          <w:szCs w:val="24"/>
        </w:rPr>
        <w:t xml:space="preserve"> et al.</w:t>
      </w:r>
      <w:r w:rsidRPr="00451B44">
        <w:rPr>
          <w:rFonts w:ascii="Times New Roman" w:hAnsi="Times New Roman" w:cs="Times New Roman"/>
          <w:sz w:val="24"/>
          <w:szCs w:val="24"/>
        </w:rPr>
        <w:t>, 2000, Thomas</w:t>
      </w:r>
      <w:r w:rsidRPr="00451B44">
        <w:rPr>
          <w:rFonts w:ascii="Times New Roman" w:hAnsi="Times New Roman" w:cs="Times New Roman"/>
          <w:i/>
          <w:iCs/>
          <w:sz w:val="24"/>
          <w:szCs w:val="24"/>
        </w:rPr>
        <w:t xml:space="preserve"> et al.</w:t>
      </w:r>
      <w:r w:rsidRPr="00451B44">
        <w:rPr>
          <w:rFonts w:ascii="Times New Roman" w:hAnsi="Times New Roman" w:cs="Times New Roman"/>
          <w:sz w:val="24"/>
          <w:szCs w:val="24"/>
        </w:rPr>
        <w:t xml:space="preserve">, 2003). </w:t>
      </w:r>
      <w:r>
        <w:rPr>
          <w:rFonts w:ascii="Times New Roman" w:hAnsi="Times New Roman" w:cs="Times New Roman"/>
          <w:sz w:val="24"/>
          <w:szCs w:val="24"/>
        </w:rPr>
        <w:t xml:space="preserve">Certainly the death </w:t>
      </w:r>
      <w:r w:rsidRPr="00451B44">
        <w:rPr>
          <w:rFonts w:ascii="Times New Roman" w:hAnsi="Times New Roman" w:cs="Times New Roman"/>
          <w:sz w:val="24"/>
          <w:szCs w:val="24"/>
        </w:rPr>
        <w:t xml:space="preserve">finalising </w:t>
      </w:r>
      <w:r>
        <w:rPr>
          <w:rFonts w:ascii="Times New Roman" w:hAnsi="Times New Roman" w:cs="Times New Roman"/>
          <w:sz w:val="24"/>
          <w:szCs w:val="24"/>
        </w:rPr>
        <w:t xml:space="preserve">the </w:t>
      </w:r>
      <w:r w:rsidRPr="00451B44">
        <w:rPr>
          <w:rFonts w:ascii="Times New Roman" w:hAnsi="Times New Roman" w:cs="Times New Roman"/>
          <w:sz w:val="24"/>
          <w:szCs w:val="24"/>
        </w:rPr>
        <w:t>senescence process exhibits apoptotic</w:t>
      </w:r>
      <w:r>
        <w:rPr>
          <w:rFonts w:ascii="Times New Roman" w:hAnsi="Times New Roman" w:cs="Times New Roman"/>
          <w:sz w:val="24"/>
          <w:szCs w:val="24"/>
        </w:rPr>
        <w:t xml:space="preserve"> like features such as a condensed nucleus, </w:t>
      </w:r>
      <w:r w:rsidRPr="00451B44">
        <w:rPr>
          <w:rFonts w:ascii="Times New Roman" w:hAnsi="Times New Roman" w:cs="Times New Roman"/>
          <w:sz w:val="24"/>
          <w:szCs w:val="24"/>
        </w:rPr>
        <w:t>shrinkage of the cytoplasm away from the cell wall (Delorme</w:t>
      </w:r>
      <w:r w:rsidRPr="00451B44">
        <w:rPr>
          <w:rFonts w:ascii="Times New Roman" w:hAnsi="Times New Roman" w:cs="Times New Roman"/>
          <w:i/>
          <w:iCs/>
          <w:sz w:val="24"/>
          <w:szCs w:val="24"/>
        </w:rPr>
        <w:t xml:space="preserve"> et al.</w:t>
      </w:r>
      <w:r w:rsidRPr="00451B44">
        <w:rPr>
          <w:rFonts w:ascii="Times New Roman" w:hAnsi="Times New Roman" w:cs="Times New Roman"/>
          <w:sz w:val="24"/>
          <w:szCs w:val="24"/>
        </w:rPr>
        <w:t>, 2000, Swidzinski</w:t>
      </w:r>
      <w:r w:rsidRPr="00451B44">
        <w:rPr>
          <w:rFonts w:ascii="Times New Roman" w:hAnsi="Times New Roman" w:cs="Times New Roman"/>
          <w:i/>
          <w:iCs/>
          <w:sz w:val="24"/>
          <w:szCs w:val="24"/>
        </w:rPr>
        <w:t xml:space="preserve"> et al.</w:t>
      </w:r>
      <w:r w:rsidRPr="00451B44">
        <w:rPr>
          <w:rFonts w:ascii="Times New Roman" w:hAnsi="Times New Roman" w:cs="Times New Roman"/>
          <w:sz w:val="24"/>
          <w:szCs w:val="24"/>
        </w:rPr>
        <w:t>, 2002)</w:t>
      </w:r>
      <w:r>
        <w:rPr>
          <w:rFonts w:ascii="Times New Roman" w:hAnsi="Times New Roman" w:cs="Times New Roman"/>
          <w:sz w:val="24"/>
          <w:szCs w:val="24"/>
        </w:rPr>
        <w:t xml:space="preserve"> and</w:t>
      </w:r>
      <w:r w:rsidRPr="00451B44">
        <w:rPr>
          <w:rFonts w:ascii="Times New Roman" w:hAnsi="Times New Roman" w:cs="Times New Roman"/>
          <w:sz w:val="24"/>
          <w:szCs w:val="24"/>
        </w:rPr>
        <w:t xml:space="preserve"> oligonucleosomal DNA cleavage (Delorme</w:t>
      </w:r>
      <w:r w:rsidRPr="00451B44">
        <w:rPr>
          <w:rFonts w:ascii="Times New Roman" w:hAnsi="Times New Roman" w:cs="Times New Roman"/>
          <w:i/>
          <w:iCs/>
          <w:sz w:val="24"/>
          <w:szCs w:val="24"/>
        </w:rPr>
        <w:t xml:space="preserve"> et al.</w:t>
      </w:r>
      <w:r w:rsidRPr="00451B44">
        <w:rPr>
          <w:rFonts w:ascii="Times New Roman" w:hAnsi="Times New Roman" w:cs="Times New Roman"/>
          <w:sz w:val="24"/>
          <w:szCs w:val="24"/>
        </w:rPr>
        <w:t>, 2000, Kawai and Uchimiya, 2000, Yamada</w:t>
      </w:r>
      <w:r w:rsidRPr="00451B44">
        <w:rPr>
          <w:rFonts w:ascii="Times New Roman" w:hAnsi="Times New Roman" w:cs="Times New Roman"/>
          <w:i/>
          <w:iCs/>
          <w:sz w:val="24"/>
          <w:szCs w:val="24"/>
        </w:rPr>
        <w:t xml:space="preserve"> et al.</w:t>
      </w:r>
      <w:r w:rsidRPr="00451B44">
        <w:rPr>
          <w:rFonts w:ascii="Times New Roman" w:hAnsi="Times New Roman" w:cs="Times New Roman"/>
          <w:sz w:val="24"/>
          <w:szCs w:val="24"/>
        </w:rPr>
        <w:t xml:space="preserve">, 2004). The PCD associated gene, Bax inhibitor-1 (Bl-1) is upregulated during flower senescence in oilseed rape and tobacco </w:t>
      </w:r>
      <w:r w:rsidRPr="00451B44">
        <w:rPr>
          <w:rFonts w:ascii="Times New Roman" w:hAnsi="Times New Roman" w:cs="Times New Roman"/>
          <w:noProof/>
          <w:sz w:val="24"/>
          <w:szCs w:val="24"/>
        </w:rPr>
        <w:t>(Bolduc</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2003)</w:t>
      </w:r>
      <w:r w:rsidRPr="00451B44">
        <w:rPr>
          <w:rFonts w:ascii="Times New Roman" w:hAnsi="Times New Roman" w:cs="Times New Roman"/>
          <w:sz w:val="24"/>
          <w:szCs w:val="24"/>
        </w:rPr>
        <w:t xml:space="preserve"> and also during post-harvest senescence in broccoli </w:t>
      </w:r>
      <w:r w:rsidRPr="00451B44">
        <w:rPr>
          <w:rFonts w:ascii="Times New Roman" w:hAnsi="Times New Roman" w:cs="Times New Roman"/>
          <w:noProof/>
          <w:sz w:val="24"/>
          <w:szCs w:val="24"/>
        </w:rPr>
        <w:t>(Coupe</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2004)</w:t>
      </w:r>
      <w:r w:rsidRPr="00451B44">
        <w:rPr>
          <w:rFonts w:ascii="Times New Roman" w:hAnsi="Times New Roman" w:cs="Times New Roman"/>
          <w:sz w:val="24"/>
          <w:szCs w:val="24"/>
        </w:rPr>
        <w:t xml:space="preserve"> while defender against apoptotic cell death (DAD1) is upregulated during senescence of leaves, fruits and relatively long-lasting petals in apple </w:t>
      </w:r>
      <w:r w:rsidRPr="00451B44">
        <w:rPr>
          <w:rFonts w:ascii="Times New Roman" w:hAnsi="Times New Roman" w:cs="Times New Roman"/>
          <w:noProof/>
          <w:sz w:val="24"/>
          <w:szCs w:val="24"/>
        </w:rPr>
        <w:t>(Dong</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1998)</w:t>
      </w:r>
      <w:r w:rsidRPr="00451B44">
        <w:rPr>
          <w:rFonts w:ascii="Times New Roman" w:hAnsi="Times New Roman" w:cs="Times New Roman"/>
          <w:sz w:val="24"/>
          <w:szCs w:val="24"/>
        </w:rPr>
        <w:t>. It is als</w:t>
      </w:r>
      <w:r>
        <w:rPr>
          <w:rFonts w:ascii="Times New Roman" w:hAnsi="Times New Roman" w:cs="Times New Roman"/>
          <w:sz w:val="24"/>
          <w:szCs w:val="24"/>
        </w:rPr>
        <w:t>o notable, that during the initial</w:t>
      </w:r>
      <w:r w:rsidRPr="00451B44">
        <w:rPr>
          <w:rFonts w:ascii="Times New Roman" w:hAnsi="Times New Roman" w:cs="Times New Roman"/>
          <w:sz w:val="24"/>
          <w:szCs w:val="24"/>
        </w:rPr>
        <w:t xml:space="preserve"> stages of leaf senescence, an increase in low-molecular weight antioxidants such as like α-tocopherol is observed </w:t>
      </w:r>
      <w:r w:rsidRPr="00451B44">
        <w:rPr>
          <w:rFonts w:ascii="Times New Roman" w:hAnsi="Times New Roman" w:cs="Times New Roman"/>
          <w:noProof/>
          <w:sz w:val="24"/>
          <w:szCs w:val="24"/>
        </w:rPr>
        <w:t>(Munne-Bosch and Penuelas, 2003)</w:t>
      </w:r>
      <w:r w:rsidRPr="00451B44">
        <w:rPr>
          <w:rFonts w:ascii="Times New Roman" w:hAnsi="Times New Roman" w:cs="Times New Roman"/>
          <w:sz w:val="24"/>
          <w:szCs w:val="24"/>
        </w:rPr>
        <w:t xml:space="preserve"> possibly to protect the cellular functions required for progression and completion of cellular recycling. However, in the latter stages of senescence, antioxidants level decreases and a concomitant increase in lipid peroxidation and protein oxidation takes place </w:t>
      </w:r>
      <w:r w:rsidRPr="00451B44">
        <w:rPr>
          <w:rFonts w:ascii="Times New Roman" w:hAnsi="Times New Roman" w:cs="Times New Roman"/>
          <w:noProof/>
          <w:sz w:val="24"/>
          <w:szCs w:val="24"/>
        </w:rPr>
        <w:t>(Munne-Bosch and Penuelas, 2003)</w:t>
      </w:r>
      <w:r w:rsidRPr="00451B44">
        <w:rPr>
          <w:rFonts w:ascii="Times New Roman" w:hAnsi="Times New Roman" w:cs="Times New Roman"/>
          <w:sz w:val="24"/>
          <w:szCs w:val="24"/>
        </w:rPr>
        <w:t xml:space="preserve">. Moreover, AL-PCD hallmarks (morphology and laddering) during senescence of cucumber cotyledons were not observed until as late as 12 h before organ death </w:t>
      </w:r>
      <w:r w:rsidRPr="00451B44">
        <w:rPr>
          <w:rFonts w:ascii="Times New Roman" w:hAnsi="Times New Roman" w:cs="Times New Roman"/>
          <w:noProof/>
          <w:sz w:val="24"/>
          <w:szCs w:val="24"/>
        </w:rPr>
        <w:t>(Delorme</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2000)</w:t>
      </w:r>
      <w:r w:rsidRPr="00451B44">
        <w:rPr>
          <w:rFonts w:ascii="Times New Roman" w:hAnsi="Times New Roman" w:cs="Times New Roman"/>
          <w:sz w:val="24"/>
          <w:szCs w:val="24"/>
        </w:rPr>
        <w:t xml:space="preserve">. It is therefore possible that as long as the recycling of nutrients takes place during senescence, </w:t>
      </w:r>
      <w:r>
        <w:rPr>
          <w:rFonts w:ascii="Times New Roman" w:hAnsi="Times New Roman" w:cs="Times New Roman"/>
          <w:sz w:val="24"/>
          <w:szCs w:val="24"/>
        </w:rPr>
        <w:t>AL-</w:t>
      </w:r>
      <w:r w:rsidRPr="00451B44">
        <w:rPr>
          <w:rFonts w:ascii="Times New Roman" w:hAnsi="Times New Roman" w:cs="Times New Roman"/>
          <w:sz w:val="24"/>
          <w:szCs w:val="24"/>
        </w:rPr>
        <w:t xml:space="preserve">PCD is actively suppressed </w:t>
      </w:r>
      <w:r w:rsidRPr="00451B44">
        <w:rPr>
          <w:rFonts w:ascii="Times New Roman" w:hAnsi="Times New Roman" w:cs="Times New Roman"/>
          <w:noProof/>
          <w:sz w:val="24"/>
          <w:szCs w:val="24"/>
        </w:rPr>
        <w:t>(Reape and McCabe, 2008)</w:t>
      </w:r>
      <w:r w:rsidRPr="00451B44">
        <w:rPr>
          <w:rFonts w:ascii="Times New Roman" w:hAnsi="Times New Roman" w:cs="Times New Roman"/>
          <w:sz w:val="24"/>
          <w:szCs w:val="24"/>
        </w:rPr>
        <w:t xml:space="preserve">. </w:t>
      </w:r>
    </w:p>
    <w:p w:rsidR="004B4E5E" w:rsidRPr="00451B44" w:rsidRDefault="004B4E5E" w:rsidP="002B4B8D">
      <w:pPr>
        <w:autoSpaceDE w:val="0"/>
        <w:autoSpaceDN w:val="0"/>
        <w:adjustRightInd w:val="0"/>
        <w:spacing w:after="0" w:line="480" w:lineRule="auto"/>
        <w:rPr>
          <w:rFonts w:ascii="Times New Roman" w:hAnsi="Times New Roman" w:cs="Times New Roman"/>
          <w:sz w:val="24"/>
          <w:szCs w:val="24"/>
        </w:rPr>
      </w:pPr>
    </w:p>
    <w:p w:rsidR="004B4E5E" w:rsidRPr="00451B44" w:rsidRDefault="004B4E5E" w:rsidP="00BF42BA">
      <w:pPr>
        <w:pStyle w:val="ListParagraph"/>
        <w:numPr>
          <w:ilvl w:val="0"/>
          <w:numId w:val="27"/>
        </w:numPr>
        <w:autoSpaceDE w:val="0"/>
        <w:autoSpaceDN w:val="0"/>
        <w:adjustRightInd w:val="0"/>
        <w:spacing w:after="0" w:line="480" w:lineRule="auto"/>
        <w:ind w:hanging="11"/>
        <w:rPr>
          <w:rFonts w:ascii="Times New Roman" w:hAnsi="Times New Roman" w:cs="Times New Roman"/>
          <w:b/>
          <w:bCs/>
          <w:sz w:val="24"/>
          <w:szCs w:val="24"/>
          <w:lang w:eastAsia="en-IE"/>
        </w:rPr>
      </w:pPr>
      <w:r>
        <w:rPr>
          <w:rFonts w:ascii="Times New Roman" w:hAnsi="Times New Roman" w:cs="Times New Roman"/>
          <w:b/>
          <w:bCs/>
          <w:sz w:val="24"/>
          <w:szCs w:val="24"/>
          <w:lang w:eastAsia="en-IE"/>
        </w:rPr>
        <w:t xml:space="preserve"> PCD in </w:t>
      </w:r>
      <w:r w:rsidRPr="00451B44">
        <w:rPr>
          <w:rFonts w:ascii="Times New Roman" w:hAnsi="Times New Roman" w:cs="Times New Roman"/>
          <w:b/>
          <w:bCs/>
          <w:sz w:val="24"/>
          <w:szCs w:val="24"/>
          <w:lang w:eastAsia="en-IE"/>
        </w:rPr>
        <w:t xml:space="preserve">reproductive </w:t>
      </w:r>
      <w:r>
        <w:rPr>
          <w:rFonts w:ascii="Times New Roman" w:hAnsi="Times New Roman" w:cs="Times New Roman"/>
          <w:b/>
          <w:bCs/>
          <w:sz w:val="24"/>
          <w:szCs w:val="24"/>
          <w:lang w:eastAsia="en-IE"/>
        </w:rPr>
        <w:t xml:space="preserve">tissue </w:t>
      </w:r>
      <w:r w:rsidRPr="00451B44">
        <w:rPr>
          <w:rFonts w:ascii="Times New Roman" w:hAnsi="Times New Roman" w:cs="Times New Roman"/>
          <w:b/>
          <w:bCs/>
          <w:sz w:val="24"/>
          <w:szCs w:val="24"/>
          <w:lang w:eastAsia="en-IE"/>
        </w:rPr>
        <w:t>development</w:t>
      </w:r>
    </w:p>
    <w:p w:rsidR="004B4E5E" w:rsidRDefault="004B4E5E" w:rsidP="002B4B8D">
      <w:pPr>
        <w:spacing w:line="480" w:lineRule="auto"/>
        <w:rPr>
          <w:rFonts w:ascii="Times New Roman" w:hAnsi="Times New Roman" w:cs="Times New Roman"/>
          <w:sz w:val="24"/>
          <w:szCs w:val="24"/>
        </w:rPr>
      </w:pPr>
      <w:r w:rsidRPr="00451B44">
        <w:rPr>
          <w:rFonts w:ascii="Times New Roman" w:hAnsi="Times New Roman" w:cs="Times New Roman"/>
          <w:sz w:val="24"/>
          <w:szCs w:val="24"/>
        </w:rPr>
        <w:t xml:space="preserve">PCD functions in many natural plant processes as a facet of reproductive growth and development. Embryo formation in angiosperms and gymnosperms relies on PCD for organ formation. During embryo formation, the suspensor and the nucellus are eliminated by PCD, as are supernumerary embryos. As has been discussed earlier, PCD has been clearly implicated in xylogenesis in maturing plants but new research suggests that xylogenesis, aided by PCD, may start as early as the mature embryonic stage. During embryo germination, the central endosperm and the aleurone layer are degraded by PCD. In evolutionary terms, plant diversity has been driven to some extent by the PCD-dependent process by which plants force outbreeding by making their own pollen incompatible with their stigma. In the following sections, each of these reproductive PCDs will be discussed in detail and the cellular and molecular features of particular types of cell death will become apparent. </w:t>
      </w:r>
    </w:p>
    <w:p w:rsidR="004B4E5E" w:rsidRPr="00451B44" w:rsidRDefault="004B4E5E" w:rsidP="002B4B8D">
      <w:pPr>
        <w:spacing w:line="480" w:lineRule="auto"/>
        <w:rPr>
          <w:rFonts w:ascii="Times New Roman" w:hAnsi="Times New Roman" w:cs="Times New Roman"/>
          <w:sz w:val="24"/>
          <w:szCs w:val="24"/>
        </w:rPr>
      </w:pPr>
    </w:p>
    <w:p w:rsidR="004B4E5E" w:rsidRPr="00451B44" w:rsidRDefault="004B4E5E" w:rsidP="00BF42BA">
      <w:pPr>
        <w:pStyle w:val="ListParagraph"/>
        <w:numPr>
          <w:ilvl w:val="0"/>
          <w:numId w:val="29"/>
        </w:numPr>
        <w:spacing w:line="480" w:lineRule="auto"/>
        <w:ind w:firstLine="348"/>
        <w:rPr>
          <w:rFonts w:ascii="Times New Roman" w:hAnsi="Times New Roman" w:cs="Times New Roman"/>
          <w:b/>
          <w:bCs/>
          <w:sz w:val="24"/>
          <w:szCs w:val="24"/>
        </w:rPr>
      </w:pPr>
      <w:r w:rsidRPr="00451B44">
        <w:rPr>
          <w:rFonts w:ascii="Times New Roman" w:hAnsi="Times New Roman" w:cs="Times New Roman"/>
          <w:b/>
          <w:bCs/>
          <w:sz w:val="24"/>
          <w:szCs w:val="24"/>
          <w:lang w:eastAsia="en-IE"/>
        </w:rPr>
        <w:t>Embryo formation and germination</w:t>
      </w:r>
    </w:p>
    <w:p w:rsidR="004B4E5E" w:rsidRPr="00451B44" w:rsidRDefault="004B4E5E" w:rsidP="002B4B8D">
      <w:pPr>
        <w:spacing w:line="480" w:lineRule="auto"/>
        <w:rPr>
          <w:rFonts w:ascii="Times New Roman" w:hAnsi="Times New Roman" w:cs="Times New Roman"/>
          <w:sz w:val="24"/>
          <w:szCs w:val="24"/>
        </w:rPr>
      </w:pPr>
      <w:r w:rsidRPr="00451B44">
        <w:rPr>
          <w:rFonts w:ascii="Times New Roman" w:hAnsi="Times New Roman" w:cs="Times New Roman"/>
          <w:sz w:val="24"/>
          <w:szCs w:val="24"/>
        </w:rPr>
        <w:t xml:space="preserve">During both plant and mammalian life cycles, the first occurrences of developmental PCD occur during embryogenesis </w:t>
      </w:r>
      <w:r w:rsidRPr="00451B44">
        <w:rPr>
          <w:rFonts w:ascii="Times New Roman" w:hAnsi="Times New Roman" w:cs="Times New Roman"/>
          <w:noProof/>
          <w:sz w:val="24"/>
          <w:szCs w:val="24"/>
        </w:rPr>
        <w:t>(Brill</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1999)</w:t>
      </w:r>
      <w:r w:rsidRPr="00451B44">
        <w:rPr>
          <w:rFonts w:ascii="Times New Roman" w:hAnsi="Times New Roman" w:cs="Times New Roman"/>
          <w:sz w:val="24"/>
          <w:szCs w:val="24"/>
        </w:rPr>
        <w:t xml:space="preserve">. Angiosperms and gymnosperms diverged from a common ancestor 300 million years ago </w:t>
      </w:r>
      <w:r w:rsidRPr="00451B44">
        <w:rPr>
          <w:rFonts w:ascii="Times New Roman" w:hAnsi="Times New Roman" w:cs="Times New Roman"/>
          <w:noProof/>
          <w:sz w:val="24"/>
          <w:szCs w:val="24"/>
        </w:rPr>
        <w:t>(Bowe</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2000)</w:t>
      </w:r>
      <w:r w:rsidRPr="00451B44">
        <w:rPr>
          <w:rFonts w:ascii="Times New Roman" w:hAnsi="Times New Roman" w:cs="Times New Roman"/>
          <w:sz w:val="24"/>
          <w:szCs w:val="24"/>
        </w:rPr>
        <w:t xml:space="preserve"> and separate evolutionary paths have resulted in distinct developmental processes leading to seed. For instance, gymnosperm embryos originate from a single fertilisation event resulting in a diploid embryo with the notable absence of an endosperm tissue </w:t>
      </w:r>
      <w:r w:rsidRPr="00451B44">
        <w:rPr>
          <w:rFonts w:ascii="Times New Roman" w:hAnsi="Times New Roman" w:cs="Times New Roman"/>
          <w:noProof/>
          <w:sz w:val="24"/>
          <w:szCs w:val="24"/>
        </w:rPr>
        <w:t>(Singh, 1978)</w:t>
      </w:r>
      <w:r w:rsidRPr="00451B44">
        <w:rPr>
          <w:rFonts w:ascii="Times New Roman" w:hAnsi="Times New Roman" w:cs="Times New Roman"/>
          <w:sz w:val="24"/>
          <w:szCs w:val="24"/>
        </w:rPr>
        <w:t xml:space="preserve">, whereas regeneration of angiosperms is instigated with a double fertilisation event that produces a diploid single-celled zygote and an endosperm precursor cell </w:t>
      </w:r>
      <w:r w:rsidRPr="00451B44">
        <w:rPr>
          <w:rFonts w:ascii="Times New Roman" w:hAnsi="Times New Roman" w:cs="Times New Roman"/>
          <w:noProof/>
          <w:sz w:val="24"/>
          <w:szCs w:val="24"/>
        </w:rPr>
        <w:t>(Cairney and Pullman, 2007)</w:t>
      </w:r>
      <w:r w:rsidRPr="00451B44">
        <w:rPr>
          <w:rFonts w:ascii="Times New Roman" w:hAnsi="Times New Roman" w:cs="Times New Roman"/>
          <w:sz w:val="24"/>
          <w:szCs w:val="24"/>
        </w:rPr>
        <w:t xml:space="preserve">. The all-encompassing term ‘embryogenesis’ describes the subsequent stages of development. PCD plays an integral role during embryogenesis </w:t>
      </w:r>
      <w:r w:rsidRPr="00451B44">
        <w:rPr>
          <w:rFonts w:ascii="Times New Roman" w:hAnsi="Times New Roman" w:cs="Times New Roman"/>
          <w:noProof/>
          <w:sz w:val="24"/>
          <w:szCs w:val="24"/>
        </w:rPr>
        <w:t>(Bozhkov</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2005a)</w:t>
      </w:r>
      <w:r w:rsidRPr="00451B44">
        <w:rPr>
          <w:rFonts w:ascii="Times New Roman" w:hAnsi="Times New Roman" w:cs="Times New Roman"/>
          <w:sz w:val="24"/>
          <w:szCs w:val="24"/>
        </w:rPr>
        <w:t>. Firstly, a group of cells known collectively as the suspensor are eliminated by PCD. The suspensor anchors the embryo in a growing seed but also acts as a ‘lifeline’ a</w:t>
      </w:r>
      <w:r>
        <w:rPr>
          <w:rFonts w:ascii="Times New Roman" w:hAnsi="Times New Roman" w:cs="Times New Roman"/>
          <w:sz w:val="24"/>
          <w:szCs w:val="24"/>
        </w:rPr>
        <w:t>long which nutrients and PGRs</w:t>
      </w:r>
      <w:r w:rsidRPr="00451B44">
        <w:rPr>
          <w:rFonts w:ascii="Times New Roman" w:hAnsi="Times New Roman" w:cs="Times New Roman"/>
          <w:sz w:val="24"/>
          <w:szCs w:val="24"/>
        </w:rPr>
        <w:t xml:space="preserve"> travel to and from the seed during development (Friml</w:t>
      </w:r>
      <w:r w:rsidRPr="00451B44">
        <w:rPr>
          <w:rFonts w:ascii="Times New Roman" w:hAnsi="Times New Roman" w:cs="Times New Roman"/>
          <w:i/>
          <w:iCs/>
          <w:sz w:val="24"/>
          <w:szCs w:val="24"/>
        </w:rPr>
        <w:t xml:space="preserve"> et al.</w:t>
      </w:r>
      <w:r w:rsidRPr="00451B44">
        <w:rPr>
          <w:rFonts w:ascii="Times New Roman" w:hAnsi="Times New Roman" w:cs="Times New Roman"/>
          <w:sz w:val="24"/>
          <w:szCs w:val="24"/>
        </w:rPr>
        <w:t xml:space="preserve">, 2003, Yeung and Meinke, 1993). Also, PCD occurs to facilitate the elimination of all but one dominant embryo during monozygotic polyembryony (Bell, 1996). This phenomenon occurs when many embryos arise from the same zygote and usually, only one dominant embryo survives while the remainder die by PCD. Finally, the nucellus is degraded by PCD to create space for the expanding endosperm. </w:t>
      </w:r>
    </w:p>
    <w:p w:rsidR="004B4E5E" w:rsidRPr="00451B44" w:rsidRDefault="004B4E5E" w:rsidP="002B4B8D">
      <w:pPr>
        <w:spacing w:line="480" w:lineRule="auto"/>
        <w:rPr>
          <w:rFonts w:ascii="Times New Roman" w:hAnsi="Times New Roman" w:cs="Times New Roman"/>
          <w:sz w:val="24"/>
          <w:szCs w:val="24"/>
        </w:rPr>
      </w:pPr>
      <w:r w:rsidRPr="00451B44" w:rsidDel="00BE49E0">
        <w:rPr>
          <w:rFonts w:ascii="Times New Roman" w:hAnsi="Times New Roman" w:cs="Times New Roman"/>
          <w:sz w:val="24"/>
          <w:szCs w:val="24"/>
        </w:rPr>
        <w:t>Due to its inaccessible location</w:t>
      </w:r>
      <w:r w:rsidRPr="00451B44" w:rsidDel="00BE49E0">
        <w:rPr>
          <w:rFonts w:ascii="Times New Roman" w:hAnsi="Times New Roman" w:cs="Times New Roman"/>
          <w:i/>
          <w:iCs/>
          <w:sz w:val="24"/>
          <w:szCs w:val="24"/>
        </w:rPr>
        <w:t xml:space="preserve">, </w:t>
      </w:r>
      <w:r w:rsidRPr="00451B44" w:rsidDel="00BE49E0">
        <w:rPr>
          <w:rFonts w:ascii="Times New Roman" w:hAnsi="Times New Roman" w:cs="Times New Roman"/>
          <w:sz w:val="24"/>
          <w:szCs w:val="24"/>
        </w:rPr>
        <w:t>the embryo is a difficult life-stage to study</w:t>
      </w:r>
      <w:r w:rsidRPr="00451B44" w:rsidDel="00BE49E0">
        <w:rPr>
          <w:rFonts w:ascii="Times New Roman" w:hAnsi="Times New Roman" w:cs="Times New Roman"/>
          <w:i/>
          <w:iCs/>
          <w:sz w:val="24"/>
          <w:szCs w:val="24"/>
        </w:rPr>
        <w:t xml:space="preserve"> in vivo </w:t>
      </w:r>
      <w:r w:rsidRPr="00451B44" w:rsidDel="00BE49E0">
        <w:rPr>
          <w:rFonts w:ascii="Times New Roman" w:hAnsi="Times New Roman" w:cs="Times New Roman"/>
          <w:sz w:val="24"/>
          <w:szCs w:val="24"/>
        </w:rPr>
        <w:t xml:space="preserve">as it is buried under numerous cell layers and as is the case with angiosperms, often embedded within the endosperm </w:t>
      </w:r>
      <w:r w:rsidRPr="00451B44" w:rsidDel="00BE49E0">
        <w:rPr>
          <w:rFonts w:ascii="Times New Roman" w:hAnsi="Times New Roman" w:cs="Times New Roman"/>
          <w:noProof/>
          <w:sz w:val="24"/>
          <w:szCs w:val="24"/>
        </w:rPr>
        <w:t>(Maheshwari, 1950)</w:t>
      </w:r>
      <w:r w:rsidRPr="00451B44" w:rsidDel="00BE49E0">
        <w:rPr>
          <w:rFonts w:ascii="Times New Roman" w:hAnsi="Times New Roman" w:cs="Times New Roman"/>
          <w:sz w:val="24"/>
          <w:szCs w:val="24"/>
        </w:rPr>
        <w:t xml:space="preserve">. In addition, ovules generally develop asynchronously </w:t>
      </w:r>
      <w:r w:rsidRPr="00451B44" w:rsidDel="00BE49E0">
        <w:rPr>
          <w:rFonts w:ascii="Times New Roman" w:hAnsi="Times New Roman" w:cs="Times New Roman"/>
          <w:noProof/>
          <w:sz w:val="24"/>
          <w:szCs w:val="24"/>
        </w:rPr>
        <w:t>(Owens, 1995)</w:t>
      </w:r>
      <w:r w:rsidRPr="00451B44" w:rsidDel="00BE49E0">
        <w:rPr>
          <w:rFonts w:ascii="Times New Roman" w:hAnsi="Times New Roman" w:cs="Times New Roman"/>
          <w:sz w:val="24"/>
          <w:szCs w:val="24"/>
        </w:rPr>
        <w:t xml:space="preserve"> resulting in embryos at varying stages of development.</w:t>
      </w:r>
      <w:r w:rsidRPr="00451B44">
        <w:rPr>
          <w:rFonts w:ascii="Times New Roman" w:hAnsi="Times New Roman" w:cs="Times New Roman"/>
          <w:sz w:val="24"/>
          <w:szCs w:val="24"/>
        </w:rPr>
        <w:t xml:space="preserve"> Somatic embryogenesis of gymnosperms to mass-produce genetic clones of elite conifer genotypes for use in forestry has emerged as a novel system for the examination of embryos in all stages of development. Embryogenic cultures of many angiosperms have been established successfully, including carrot and </w:t>
      </w:r>
      <w:r w:rsidRPr="00451B44">
        <w:rPr>
          <w:rFonts w:ascii="Times New Roman" w:hAnsi="Times New Roman" w:cs="Times New Roman"/>
          <w:i/>
          <w:iCs/>
          <w:sz w:val="24"/>
          <w:szCs w:val="24"/>
        </w:rPr>
        <w:t>Arabidopsis</w:t>
      </w:r>
      <w:r w:rsidRPr="00451B44">
        <w:rPr>
          <w:rFonts w:ascii="Times New Roman" w:hAnsi="Times New Roman" w:cs="Times New Roman"/>
          <w:sz w:val="24"/>
          <w:szCs w:val="24"/>
        </w:rPr>
        <w:t xml:space="preserve"> (Mordhorst</w:t>
      </w:r>
      <w:r w:rsidRPr="00451B44">
        <w:rPr>
          <w:rFonts w:ascii="Times New Roman" w:hAnsi="Times New Roman" w:cs="Times New Roman"/>
          <w:i/>
          <w:iCs/>
          <w:sz w:val="24"/>
          <w:szCs w:val="24"/>
        </w:rPr>
        <w:t xml:space="preserve"> et al.</w:t>
      </w:r>
      <w:r w:rsidRPr="00451B44">
        <w:rPr>
          <w:rFonts w:ascii="Times New Roman" w:hAnsi="Times New Roman" w:cs="Times New Roman"/>
          <w:sz w:val="24"/>
          <w:szCs w:val="24"/>
        </w:rPr>
        <w:t xml:space="preserve">, 1998, Nomura and Komamine, 1986) and single carrot-cells in suspension cultures can develop into somatic embryos </w:t>
      </w:r>
      <w:r w:rsidRPr="00451B44">
        <w:rPr>
          <w:rFonts w:ascii="Times New Roman" w:hAnsi="Times New Roman" w:cs="Times New Roman"/>
          <w:noProof/>
          <w:sz w:val="24"/>
          <w:szCs w:val="24"/>
        </w:rPr>
        <w:t>(McCabe</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1997b)</w:t>
      </w:r>
      <w:r w:rsidRPr="00451B44">
        <w:rPr>
          <w:rFonts w:ascii="Times New Roman" w:hAnsi="Times New Roman" w:cs="Times New Roman"/>
          <w:sz w:val="24"/>
          <w:szCs w:val="24"/>
        </w:rPr>
        <w:t>.</w:t>
      </w:r>
      <w:r w:rsidRPr="00451B44" w:rsidDel="00BE49E0">
        <w:rPr>
          <w:rFonts w:ascii="Times New Roman" w:hAnsi="Times New Roman" w:cs="Times New Roman"/>
          <w:sz w:val="24"/>
          <w:szCs w:val="24"/>
        </w:rPr>
        <w:t xml:space="preserve"> </w:t>
      </w:r>
      <w:r w:rsidRPr="00451B44">
        <w:rPr>
          <w:rFonts w:ascii="Times New Roman" w:hAnsi="Times New Roman" w:cs="Times New Roman"/>
          <w:sz w:val="24"/>
          <w:szCs w:val="24"/>
        </w:rPr>
        <w:t xml:space="preserve">Interestingly, a novel method of producing </w:t>
      </w:r>
      <w:r w:rsidRPr="00451B44">
        <w:rPr>
          <w:rFonts w:ascii="Times New Roman" w:hAnsi="Times New Roman" w:cs="Times New Roman"/>
          <w:i/>
          <w:iCs/>
          <w:sz w:val="24"/>
          <w:szCs w:val="24"/>
        </w:rPr>
        <w:t>Brassica napus</w:t>
      </w:r>
      <w:r w:rsidRPr="00451B44">
        <w:rPr>
          <w:rFonts w:ascii="Times New Roman" w:hAnsi="Times New Roman" w:cs="Times New Roman"/>
          <w:sz w:val="24"/>
          <w:szCs w:val="24"/>
        </w:rPr>
        <w:t xml:space="preserve"> (rapeseed) embryos from a megaspore culture results in individual embryos with the suspensor attached and may be useful in the future for studying embryogenesis and PCD of the suspensor </w:t>
      </w:r>
      <w:r w:rsidRPr="00451B44">
        <w:rPr>
          <w:rFonts w:ascii="Times New Roman" w:hAnsi="Times New Roman" w:cs="Times New Roman"/>
          <w:noProof/>
          <w:sz w:val="24"/>
          <w:szCs w:val="24"/>
        </w:rPr>
        <w:t>(Supena</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2008)</w:t>
      </w:r>
      <w:r w:rsidRPr="00451B44">
        <w:rPr>
          <w:rFonts w:ascii="Times New Roman" w:hAnsi="Times New Roman" w:cs="Times New Roman"/>
          <w:sz w:val="24"/>
          <w:szCs w:val="24"/>
        </w:rPr>
        <w:t>. Advantages of e</w:t>
      </w:r>
      <w:r w:rsidRPr="00451B44" w:rsidDel="00BE49E0">
        <w:rPr>
          <w:rFonts w:ascii="Times New Roman" w:hAnsi="Times New Roman" w:cs="Times New Roman"/>
          <w:sz w:val="24"/>
          <w:szCs w:val="24"/>
        </w:rPr>
        <w:t xml:space="preserve">mbryogenesis originating from </w:t>
      </w:r>
      <w:r w:rsidRPr="00451B44" w:rsidDel="00BE49E0">
        <w:rPr>
          <w:rFonts w:ascii="Times New Roman" w:hAnsi="Times New Roman" w:cs="Times New Roman"/>
          <w:i/>
          <w:iCs/>
          <w:sz w:val="24"/>
          <w:szCs w:val="24"/>
        </w:rPr>
        <w:t xml:space="preserve">in vitro </w:t>
      </w:r>
      <w:r w:rsidRPr="00451B44" w:rsidDel="00BE49E0">
        <w:rPr>
          <w:rFonts w:ascii="Times New Roman" w:hAnsi="Times New Roman" w:cs="Times New Roman"/>
          <w:sz w:val="24"/>
          <w:szCs w:val="24"/>
        </w:rPr>
        <w:t>cultured somatic cells</w:t>
      </w:r>
      <w:r w:rsidRPr="00451B44" w:rsidDel="00BE49E0">
        <w:rPr>
          <w:rFonts w:ascii="Times New Roman" w:hAnsi="Times New Roman" w:cs="Times New Roman"/>
          <w:sz w:val="24"/>
          <w:szCs w:val="24"/>
          <w:vertAlign w:val="superscript"/>
        </w:rPr>
        <w:t xml:space="preserve"> </w:t>
      </w:r>
      <w:r w:rsidRPr="00451B44">
        <w:rPr>
          <w:rFonts w:ascii="Times New Roman" w:hAnsi="Times New Roman" w:cs="Times New Roman"/>
          <w:sz w:val="24"/>
          <w:szCs w:val="24"/>
        </w:rPr>
        <w:t xml:space="preserve">is the possibility of obtaining </w:t>
      </w:r>
      <w:r w:rsidRPr="00451B44" w:rsidDel="00BE49E0">
        <w:rPr>
          <w:rFonts w:ascii="Times New Roman" w:hAnsi="Times New Roman" w:cs="Times New Roman"/>
          <w:sz w:val="24"/>
          <w:szCs w:val="24"/>
        </w:rPr>
        <w:t>embryos</w:t>
      </w:r>
      <w:r w:rsidRPr="00451B44">
        <w:rPr>
          <w:rFonts w:ascii="Times New Roman" w:hAnsi="Times New Roman" w:cs="Times New Roman"/>
          <w:sz w:val="24"/>
          <w:szCs w:val="24"/>
        </w:rPr>
        <w:t>, which are</w:t>
      </w:r>
      <w:r w:rsidRPr="00451B44" w:rsidDel="00BE49E0">
        <w:rPr>
          <w:rFonts w:ascii="Times New Roman" w:hAnsi="Times New Roman" w:cs="Times New Roman"/>
          <w:sz w:val="24"/>
          <w:szCs w:val="24"/>
        </w:rPr>
        <w:t xml:space="preserve"> free of the ovule,</w:t>
      </w:r>
      <w:r w:rsidRPr="00451B44">
        <w:rPr>
          <w:rFonts w:ascii="Times New Roman" w:hAnsi="Times New Roman" w:cs="Times New Roman"/>
          <w:sz w:val="24"/>
          <w:szCs w:val="24"/>
        </w:rPr>
        <w:t xml:space="preserve"> synchronous, more</w:t>
      </w:r>
      <w:r w:rsidRPr="00451B44" w:rsidDel="00BE49E0">
        <w:rPr>
          <w:rFonts w:ascii="Times New Roman" w:hAnsi="Times New Roman" w:cs="Times New Roman"/>
          <w:sz w:val="24"/>
          <w:szCs w:val="24"/>
        </w:rPr>
        <w:t xml:space="preserve"> numerous</w:t>
      </w:r>
      <w:r w:rsidRPr="00451B44">
        <w:rPr>
          <w:rFonts w:ascii="Times New Roman" w:hAnsi="Times New Roman" w:cs="Times New Roman"/>
          <w:sz w:val="24"/>
          <w:szCs w:val="24"/>
        </w:rPr>
        <w:t xml:space="preserve"> induction of embryos</w:t>
      </w:r>
      <w:r w:rsidRPr="00451B44" w:rsidDel="00BE49E0">
        <w:rPr>
          <w:rFonts w:ascii="Times New Roman" w:hAnsi="Times New Roman" w:cs="Times New Roman"/>
          <w:sz w:val="24"/>
          <w:szCs w:val="24"/>
        </w:rPr>
        <w:t xml:space="preserve"> and </w:t>
      </w:r>
      <w:r w:rsidRPr="00451B44">
        <w:rPr>
          <w:rFonts w:ascii="Times New Roman" w:hAnsi="Times New Roman" w:cs="Times New Roman"/>
          <w:sz w:val="24"/>
          <w:szCs w:val="24"/>
        </w:rPr>
        <w:t>ease of manipulation. Cell cultures capable of somatic embryogenesis can be induced to do so simply by varying or withd</w:t>
      </w:r>
      <w:r>
        <w:rPr>
          <w:rFonts w:ascii="Times New Roman" w:hAnsi="Times New Roman" w:cs="Times New Roman"/>
          <w:sz w:val="24"/>
          <w:szCs w:val="24"/>
        </w:rPr>
        <w:t>rawing PGRs</w:t>
      </w:r>
      <w:r w:rsidRPr="00451B44">
        <w:rPr>
          <w:rFonts w:ascii="Times New Roman" w:hAnsi="Times New Roman" w:cs="Times New Roman"/>
          <w:sz w:val="24"/>
          <w:szCs w:val="24"/>
        </w:rPr>
        <w:t xml:space="preserve"> </w:t>
      </w:r>
      <w:r>
        <w:rPr>
          <w:rFonts w:ascii="Times New Roman" w:hAnsi="Times New Roman" w:cs="Times New Roman"/>
          <w:sz w:val="24"/>
          <w:szCs w:val="24"/>
        </w:rPr>
        <w:t>(Bozhkov</w:t>
      </w:r>
      <w:r w:rsidRPr="00E54DA4">
        <w:rPr>
          <w:rFonts w:ascii="Times New Roman" w:hAnsi="Times New Roman" w:cs="Times New Roman"/>
          <w:i/>
          <w:iCs/>
          <w:sz w:val="24"/>
          <w:szCs w:val="24"/>
        </w:rPr>
        <w:t xml:space="preserve"> et al.</w:t>
      </w:r>
      <w:r>
        <w:rPr>
          <w:rFonts w:ascii="Times New Roman" w:hAnsi="Times New Roman" w:cs="Times New Roman"/>
          <w:sz w:val="24"/>
          <w:szCs w:val="24"/>
        </w:rPr>
        <w:t>, 2002, Kawashima and Goldberg, 2010, Larsson</w:t>
      </w:r>
      <w:r w:rsidRPr="00E54DA4">
        <w:rPr>
          <w:rFonts w:ascii="Times New Roman" w:hAnsi="Times New Roman" w:cs="Times New Roman"/>
          <w:i/>
          <w:iCs/>
          <w:sz w:val="24"/>
          <w:szCs w:val="24"/>
        </w:rPr>
        <w:t xml:space="preserve"> et al.</w:t>
      </w:r>
      <w:r>
        <w:rPr>
          <w:rFonts w:ascii="Times New Roman" w:hAnsi="Times New Roman" w:cs="Times New Roman"/>
          <w:sz w:val="24"/>
          <w:szCs w:val="24"/>
        </w:rPr>
        <w:t>, 2008, Nomura and Komamine, 1986)</w:t>
      </w:r>
      <w:r w:rsidRPr="00451B44">
        <w:rPr>
          <w:rFonts w:ascii="Times New Roman" w:hAnsi="Times New Roman" w:cs="Times New Roman"/>
          <w:sz w:val="24"/>
          <w:szCs w:val="24"/>
        </w:rPr>
        <w:t xml:space="preserve">, resulting in a culture of numerous embryos all at the same stage of development. </w:t>
      </w:r>
    </w:p>
    <w:p w:rsidR="004B4E5E" w:rsidRPr="00451B44" w:rsidRDefault="004B4E5E" w:rsidP="00BF42BA">
      <w:pPr>
        <w:pStyle w:val="ListParagraph"/>
        <w:numPr>
          <w:ilvl w:val="1"/>
          <w:numId w:val="29"/>
        </w:numPr>
        <w:autoSpaceDE w:val="0"/>
        <w:autoSpaceDN w:val="0"/>
        <w:adjustRightInd w:val="0"/>
        <w:spacing w:after="0" w:line="480" w:lineRule="auto"/>
        <w:ind w:left="3595" w:hanging="2177"/>
        <w:rPr>
          <w:rFonts w:ascii="Times New Roman" w:hAnsi="Times New Roman" w:cs="Times New Roman"/>
          <w:sz w:val="24"/>
          <w:szCs w:val="24"/>
        </w:rPr>
      </w:pPr>
      <w:r w:rsidRPr="00451B44">
        <w:rPr>
          <w:rFonts w:ascii="Times New Roman" w:hAnsi="Times New Roman" w:cs="Times New Roman"/>
          <w:b/>
          <w:bCs/>
          <w:sz w:val="24"/>
          <w:szCs w:val="24"/>
        </w:rPr>
        <w:t>Suspensor elimination by PCD</w:t>
      </w:r>
    </w:p>
    <w:p w:rsidR="004B4E5E" w:rsidRPr="00451B44" w:rsidRDefault="004B4E5E" w:rsidP="002B4B8D">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Embryogenesis in dicotyledon</w:t>
      </w:r>
      <w:r w:rsidRPr="00451B44">
        <w:rPr>
          <w:rFonts w:ascii="Times New Roman" w:hAnsi="Times New Roman" w:cs="Times New Roman"/>
          <w:sz w:val="24"/>
          <w:szCs w:val="24"/>
        </w:rPr>
        <w:t xml:space="preserve"> plants has been defined as having three overlapping phases </w:t>
      </w:r>
      <w:r w:rsidRPr="00451B44">
        <w:rPr>
          <w:rFonts w:ascii="Times New Roman" w:hAnsi="Times New Roman" w:cs="Times New Roman"/>
          <w:noProof/>
          <w:sz w:val="24"/>
          <w:szCs w:val="24"/>
        </w:rPr>
        <w:t>(West and Harada, 1993)</w:t>
      </w:r>
      <w:r w:rsidRPr="00451B44">
        <w:rPr>
          <w:rFonts w:ascii="Times New Roman" w:hAnsi="Times New Roman" w:cs="Times New Roman"/>
          <w:sz w:val="24"/>
          <w:szCs w:val="24"/>
        </w:rPr>
        <w:t xml:space="preserve">. The first phase, the latter of which is most reliant on cell death, culminates in extensive morphological changes during which the polar axis of the plant body is delineated and the axis of the shoot and root meristems become apparent. The second phase involves the storage of reserves such as carbohydrate, lipids and proteins, followed by embryo maturation. During the third and final stage, the embryo becomes desiccated and enters a period of dormancy.  </w:t>
      </w:r>
    </w:p>
    <w:p w:rsidR="004B4E5E" w:rsidRDefault="004B4E5E" w:rsidP="002B4B8D">
      <w:pPr>
        <w:autoSpaceDE w:val="0"/>
        <w:autoSpaceDN w:val="0"/>
        <w:adjustRightInd w:val="0"/>
        <w:spacing w:after="0" w:line="480" w:lineRule="auto"/>
        <w:rPr>
          <w:rFonts w:ascii="Times New Roman" w:hAnsi="Times New Roman" w:cs="Times New Roman"/>
          <w:sz w:val="24"/>
          <w:szCs w:val="24"/>
        </w:rPr>
      </w:pPr>
    </w:p>
    <w:p w:rsidR="004B4E5E" w:rsidRPr="00451B44" w:rsidRDefault="004B4E5E" w:rsidP="002B4B8D">
      <w:pPr>
        <w:autoSpaceDE w:val="0"/>
        <w:autoSpaceDN w:val="0"/>
        <w:adjustRightInd w:val="0"/>
        <w:spacing w:after="0" w:line="480" w:lineRule="auto"/>
        <w:rPr>
          <w:rFonts w:ascii="Times New Roman" w:hAnsi="Times New Roman" w:cs="Times New Roman"/>
          <w:sz w:val="24"/>
          <w:szCs w:val="24"/>
        </w:rPr>
      </w:pPr>
      <w:r w:rsidRPr="00451B44">
        <w:rPr>
          <w:rFonts w:ascii="Times New Roman" w:hAnsi="Times New Roman" w:cs="Times New Roman"/>
          <w:sz w:val="24"/>
          <w:szCs w:val="24"/>
        </w:rPr>
        <w:t>Although there are significant differences in the cell division patterns of devel</w:t>
      </w:r>
      <w:r>
        <w:rPr>
          <w:rFonts w:ascii="Times New Roman" w:hAnsi="Times New Roman" w:cs="Times New Roman"/>
          <w:sz w:val="24"/>
          <w:szCs w:val="24"/>
        </w:rPr>
        <w:t xml:space="preserve">oping </w:t>
      </w:r>
      <w:r w:rsidRPr="00451B44">
        <w:rPr>
          <w:rFonts w:ascii="Times New Roman" w:hAnsi="Times New Roman" w:cs="Times New Roman"/>
          <w:sz w:val="24"/>
          <w:szCs w:val="24"/>
        </w:rPr>
        <w:t xml:space="preserve">conifer and flowering plant seeds </w:t>
      </w:r>
      <w:r w:rsidRPr="00451B44">
        <w:rPr>
          <w:rFonts w:ascii="Times New Roman" w:hAnsi="Times New Roman" w:cs="Times New Roman"/>
          <w:noProof/>
          <w:sz w:val="24"/>
          <w:szCs w:val="24"/>
        </w:rPr>
        <w:t>(Cairney and Pullman, 2007)</w:t>
      </w:r>
      <w:r w:rsidRPr="00451B44">
        <w:rPr>
          <w:rFonts w:ascii="Times New Roman" w:hAnsi="Times New Roman" w:cs="Times New Roman"/>
          <w:sz w:val="24"/>
          <w:szCs w:val="24"/>
        </w:rPr>
        <w:t xml:space="preserve">, the first phase of development of the embryo in seed plants can be generalised as follows; the zygote divides into a small group of cells and subsequent differentiation results in an embryo and a short stalk-like structure called the suspensor. Suspensor morphology differs remarkably between species (Kawashima and Goldberg, 2010, Maheshwari, 1950, Yeung and Meinke, 1993). In </w:t>
      </w:r>
      <w:r w:rsidRPr="00451B44">
        <w:rPr>
          <w:rFonts w:ascii="Times New Roman" w:hAnsi="Times New Roman" w:cs="Times New Roman"/>
          <w:i/>
          <w:iCs/>
          <w:sz w:val="24"/>
          <w:szCs w:val="24"/>
        </w:rPr>
        <w:t>Arabidopsis</w:t>
      </w:r>
      <w:r w:rsidRPr="00451B44">
        <w:rPr>
          <w:rFonts w:ascii="Times New Roman" w:hAnsi="Times New Roman" w:cs="Times New Roman"/>
          <w:sz w:val="24"/>
          <w:szCs w:val="24"/>
        </w:rPr>
        <w:t xml:space="preserve"> the suspensor is composed of a row of seven cells, in the orchid it can be a single cell and in runner bean, the suspensor can be composed of over 200 cells </w:t>
      </w:r>
      <w:r>
        <w:rPr>
          <w:rFonts w:ascii="Times New Roman" w:hAnsi="Times New Roman" w:cs="Times New Roman"/>
          <w:sz w:val="24"/>
          <w:szCs w:val="24"/>
        </w:rPr>
        <w:t>(Kawashima and Goldberg, 2010, Lombardi</w:t>
      </w:r>
      <w:r w:rsidRPr="00E54DA4">
        <w:rPr>
          <w:rFonts w:ascii="Times New Roman" w:hAnsi="Times New Roman" w:cs="Times New Roman"/>
          <w:i/>
          <w:iCs/>
          <w:sz w:val="24"/>
          <w:szCs w:val="24"/>
        </w:rPr>
        <w:t xml:space="preserve"> et al.</w:t>
      </w:r>
      <w:r>
        <w:rPr>
          <w:rFonts w:ascii="Times New Roman" w:hAnsi="Times New Roman" w:cs="Times New Roman"/>
          <w:sz w:val="24"/>
          <w:szCs w:val="24"/>
        </w:rPr>
        <w:t>, 2007c). As highlighted in</w:t>
      </w:r>
      <w:r w:rsidRPr="00451B44">
        <w:rPr>
          <w:rFonts w:ascii="Times New Roman" w:hAnsi="Times New Roman" w:cs="Times New Roman"/>
          <w:sz w:val="24"/>
          <w:szCs w:val="24"/>
        </w:rPr>
        <w:t xml:space="preserve"> the Leguminosae</w:t>
      </w:r>
      <w:r w:rsidRPr="00451B44">
        <w:rPr>
          <w:rFonts w:ascii="Times New Roman" w:hAnsi="Times New Roman" w:cs="Times New Roman"/>
          <w:b/>
          <w:bCs/>
          <w:sz w:val="24"/>
          <w:szCs w:val="24"/>
        </w:rPr>
        <w:t xml:space="preserve">, </w:t>
      </w:r>
      <w:r w:rsidRPr="00451B44">
        <w:rPr>
          <w:rFonts w:ascii="Times New Roman" w:hAnsi="Times New Roman" w:cs="Times New Roman"/>
          <w:sz w:val="24"/>
          <w:szCs w:val="24"/>
        </w:rPr>
        <w:t>morphological differences can occur between members of the same family; some members have a one-celled suspensor</w:t>
      </w:r>
      <w:r>
        <w:rPr>
          <w:rFonts w:ascii="Times New Roman" w:hAnsi="Times New Roman" w:cs="Times New Roman"/>
          <w:sz w:val="24"/>
          <w:szCs w:val="24"/>
        </w:rPr>
        <w:t xml:space="preserve"> while others have</w:t>
      </w:r>
      <w:r w:rsidRPr="00451B44">
        <w:rPr>
          <w:rFonts w:ascii="Times New Roman" w:hAnsi="Times New Roman" w:cs="Times New Roman"/>
          <w:sz w:val="24"/>
          <w:szCs w:val="24"/>
        </w:rPr>
        <w:t xml:space="preserve"> structure</w:t>
      </w:r>
      <w:r>
        <w:rPr>
          <w:rFonts w:ascii="Times New Roman" w:hAnsi="Times New Roman" w:cs="Times New Roman"/>
          <w:sz w:val="24"/>
          <w:szCs w:val="24"/>
        </w:rPr>
        <w:t>s</w:t>
      </w:r>
      <w:r w:rsidRPr="00451B44">
        <w:rPr>
          <w:rFonts w:ascii="Times New Roman" w:hAnsi="Times New Roman" w:cs="Times New Roman"/>
          <w:sz w:val="24"/>
          <w:szCs w:val="24"/>
        </w:rPr>
        <w:t xml:space="preserve"> compr</w:t>
      </w:r>
      <w:r>
        <w:rPr>
          <w:rFonts w:ascii="Times New Roman" w:hAnsi="Times New Roman" w:cs="Times New Roman"/>
          <w:sz w:val="24"/>
          <w:szCs w:val="24"/>
        </w:rPr>
        <w:t>ised of large numbers of</w:t>
      </w:r>
      <w:r w:rsidRPr="00451B44">
        <w:rPr>
          <w:rFonts w:ascii="Times New Roman" w:hAnsi="Times New Roman" w:cs="Times New Roman"/>
          <w:sz w:val="24"/>
          <w:szCs w:val="24"/>
        </w:rPr>
        <w:t xml:space="preserve"> cells </w:t>
      </w:r>
      <w:r w:rsidRPr="00451B44">
        <w:rPr>
          <w:rFonts w:ascii="Times New Roman" w:hAnsi="Times New Roman" w:cs="Times New Roman"/>
          <w:noProof/>
          <w:sz w:val="24"/>
          <w:szCs w:val="24"/>
        </w:rPr>
        <w:t>(Lersten, 1983)</w:t>
      </w:r>
      <w:r w:rsidRPr="00451B44">
        <w:rPr>
          <w:rFonts w:ascii="Times New Roman" w:hAnsi="Times New Roman" w:cs="Times New Roman"/>
          <w:sz w:val="24"/>
          <w:szCs w:val="24"/>
        </w:rPr>
        <w:t xml:space="preserve">. Crucially, most seed plant embryos possess suspensors </w:t>
      </w:r>
      <w:r w:rsidRPr="00451B44">
        <w:rPr>
          <w:rFonts w:ascii="Times New Roman" w:hAnsi="Times New Roman" w:cs="Times New Roman"/>
          <w:noProof/>
          <w:sz w:val="24"/>
          <w:szCs w:val="24"/>
        </w:rPr>
        <w:t>(Yeung and Meinke, 1993)</w:t>
      </w:r>
      <w:r w:rsidRPr="00451B44">
        <w:rPr>
          <w:rFonts w:ascii="Times New Roman" w:hAnsi="Times New Roman" w:cs="Times New Roman"/>
          <w:sz w:val="24"/>
          <w:szCs w:val="24"/>
        </w:rPr>
        <w:t xml:space="preserve"> and in all cases, they are eliminated by PCD and do not contribute to the next generation </w:t>
      </w:r>
      <w:r w:rsidRPr="00451B44">
        <w:rPr>
          <w:rFonts w:ascii="Times New Roman" w:hAnsi="Times New Roman" w:cs="Times New Roman"/>
          <w:noProof/>
          <w:sz w:val="24"/>
          <w:szCs w:val="24"/>
        </w:rPr>
        <w:t>(Bozhkov</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2005a)</w:t>
      </w:r>
      <w:r w:rsidRPr="00451B44">
        <w:rPr>
          <w:rFonts w:ascii="Times New Roman" w:hAnsi="Times New Roman" w:cs="Times New Roman"/>
          <w:sz w:val="24"/>
          <w:szCs w:val="24"/>
        </w:rPr>
        <w:t xml:space="preserve">. </w:t>
      </w:r>
    </w:p>
    <w:p w:rsidR="004B4E5E" w:rsidRDefault="004B4E5E" w:rsidP="002B4B8D">
      <w:pPr>
        <w:autoSpaceDE w:val="0"/>
        <w:autoSpaceDN w:val="0"/>
        <w:adjustRightInd w:val="0"/>
        <w:spacing w:after="0" w:line="480" w:lineRule="auto"/>
        <w:rPr>
          <w:rFonts w:ascii="Times New Roman" w:hAnsi="Times New Roman" w:cs="Times New Roman"/>
          <w:sz w:val="24"/>
          <w:szCs w:val="24"/>
        </w:rPr>
      </w:pPr>
    </w:p>
    <w:p w:rsidR="004B4E5E" w:rsidRPr="00451B44" w:rsidRDefault="004B4E5E" w:rsidP="002B4B8D">
      <w:pPr>
        <w:autoSpaceDE w:val="0"/>
        <w:autoSpaceDN w:val="0"/>
        <w:adjustRightInd w:val="0"/>
        <w:spacing w:after="0" w:line="480" w:lineRule="auto"/>
        <w:rPr>
          <w:rFonts w:ascii="Times New Roman" w:hAnsi="Times New Roman" w:cs="Times New Roman"/>
          <w:sz w:val="24"/>
          <w:szCs w:val="24"/>
        </w:rPr>
      </w:pPr>
      <w:r w:rsidRPr="00451B44">
        <w:rPr>
          <w:rFonts w:ascii="Times New Roman" w:hAnsi="Times New Roman" w:cs="Times New Roman"/>
          <w:sz w:val="24"/>
          <w:szCs w:val="24"/>
        </w:rPr>
        <w:t>During somatic embryogenesis, the dicotyledonous gymnosperm Norway spruce produces proembryogenic masses (PEMs) from which individual somatic embryos arise. Two waves of PCD occur during somatic embryogenesis; the first eliminates the PEMs and the second eliminates the embryo suspensor cells. The suspensors exhibit AL-PCD hallmarks such as nuclear lobbing, degradation of nuclear DNA into 50 kb and multiples of 180bp fragments. Interestingly, the death pathway appears to follow an autophagic type PCD route where firstly the organelles and nucleus are dismantled, followed by lysis of the tonoplast, resulting in a large empty cell (Filonova</w:t>
      </w:r>
      <w:r w:rsidRPr="00451B44">
        <w:rPr>
          <w:rFonts w:ascii="Times New Roman" w:hAnsi="Times New Roman" w:cs="Times New Roman"/>
          <w:i/>
          <w:iCs/>
          <w:sz w:val="24"/>
          <w:szCs w:val="24"/>
        </w:rPr>
        <w:t xml:space="preserve"> et al.</w:t>
      </w:r>
      <w:r w:rsidRPr="00451B44">
        <w:rPr>
          <w:rFonts w:ascii="Times New Roman" w:hAnsi="Times New Roman" w:cs="Times New Roman"/>
          <w:sz w:val="24"/>
          <w:szCs w:val="24"/>
        </w:rPr>
        <w:t xml:space="preserve">, 2000). This study used the terminal deoxynucleotidyl transferase dUTP nick end labeling (TUNEL) assay to demonstrate that DNA had been degraded. The TUNEL assay has also been used to successfully identify DNA degradation during the PCD-mediated elimination of the suspensor in </w:t>
      </w:r>
      <w:r w:rsidRPr="00451B44">
        <w:rPr>
          <w:rFonts w:ascii="Times New Roman" w:hAnsi="Times New Roman" w:cs="Times New Roman"/>
          <w:i/>
          <w:iCs/>
          <w:sz w:val="24"/>
          <w:szCs w:val="24"/>
        </w:rPr>
        <w:t>Zea mays</w:t>
      </w:r>
      <w:r w:rsidRPr="00451B44">
        <w:rPr>
          <w:rFonts w:ascii="Times New Roman" w:hAnsi="Times New Roman" w:cs="Times New Roman"/>
          <w:sz w:val="24"/>
          <w:szCs w:val="24"/>
        </w:rPr>
        <w:t xml:space="preserve"> (maize), </w:t>
      </w:r>
      <w:r w:rsidRPr="00451B44">
        <w:rPr>
          <w:rFonts w:ascii="Times New Roman" w:hAnsi="Times New Roman" w:cs="Times New Roman"/>
          <w:i/>
          <w:iCs/>
          <w:sz w:val="24"/>
          <w:szCs w:val="24"/>
        </w:rPr>
        <w:t>Phaseolus coccineus</w:t>
      </w:r>
      <w:r w:rsidRPr="00451B44">
        <w:rPr>
          <w:rFonts w:ascii="Times New Roman" w:hAnsi="Times New Roman" w:cs="Times New Roman"/>
          <w:sz w:val="24"/>
          <w:szCs w:val="24"/>
        </w:rPr>
        <w:t xml:space="preserve"> (runner bean) and </w:t>
      </w:r>
      <w:r w:rsidRPr="00451B44">
        <w:rPr>
          <w:rStyle w:val="Emphasis"/>
          <w:rFonts w:ascii="Times New Roman" w:hAnsi="Times New Roman" w:cs="Times New Roman"/>
          <w:sz w:val="24"/>
          <w:szCs w:val="24"/>
        </w:rPr>
        <w:t>Abies alba</w:t>
      </w:r>
      <w:r w:rsidRPr="00451B44">
        <w:rPr>
          <w:rFonts w:ascii="Times New Roman" w:hAnsi="Times New Roman" w:cs="Times New Roman"/>
          <w:sz w:val="24"/>
          <w:szCs w:val="24"/>
        </w:rPr>
        <w:t xml:space="preserve"> (European Silver Fir) embryos </w:t>
      </w:r>
      <w:r>
        <w:rPr>
          <w:rFonts w:ascii="Times New Roman" w:hAnsi="Times New Roman" w:cs="Times New Roman"/>
          <w:sz w:val="24"/>
          <w:szCs w:val="24"/>
        </w:rPr>
        <w:t>(Giuliani</w:t>
      </w:r>
      <w:r w:rsidRPr="00870823">
        <w:rPr>
          <w:rFonts w:ascii="Times New Roman" w:hAnsi="Times New Roman" w:cs="Times New Roman"/>
          <w:i/>
          <w:iCs/>
          <w:sz w:val="24"/>
          <w:szCs w:val="24"/>
        </w:rPr>
        <w:t xml:space="preserve"> et al.</w:t>
      </w:r>
      <w:r>
        <w:rPr>
          <w:rFonts w:ascii="Times New Roman" w:hAnsi="Times New Roman" w:cs="Times New Roman"/>
          <w:sz w:val="24"/>
          <w:szCs w:val="24"/>
        </w:rPr>
        <w:t>, 2002, Lombardi</w:t>
      </w:r>
      <w:r w:rsidRPr="00870823">
        <w:rPr>
          <w:rFonts w:ascii="Times New Roman" w:hAnsi="Times New Roman" w:cs="Times New Roman"/>
          <w:i/>
          <w:iCs/>
          <w:sz w:val="24"/>
          <w:szCs w:val="24"/>
        </w:rPr>
        <w:t xml:space="preserve"> et al.</w:t>
      </w:r>
      <w:r>
        <w:rPr>
          <w:rFonts w:ascii="Times New Roman" w:hAnsi="Times New Roman" w:cs="Times New Roman"/>
          <w:sz w:val="24"/>
          <w:szCs w:val="24"/>
        </w:rPr>
        <w:t>, 2007c, Petrussa</w:t>
      </w:r>
      <w:r w:rsidRPr="00870823">
        <w:rPr>
          <w:rFonts w:ascii="Times New Roman" w:hAnsi="Times New Roman" w:cs="Times New Roman"/>
          <w:i/>
          <w:iCs/>
          <w:sz w:val="24"/>
          <w:szCs w:val="24"/>
        </w:rPr>
        <w:t xml:space="preserve"> et al.</w:t>
      </w:r>
      <w:r>
        <w:rPr>
          <w:rFonts w:ascii="Times New Roman" w:hAnsi="Times New Roman" w:cs="Times New Roman"/>
          <w:sz w:val="24"/>
          <w:szCs w:val="24"/>
        </w:rPr>
        <w:t>, 2009)</w:t>
      </w:r>
      <w:r w:rsidRPr="00451B44">
        <w:rPr>
          <w:rFonts w:ascii="Times New Roman" w:hAnsi="Times New Roman" w:cs="Times New Roman"/>
          <w:sz w:val="24"/>
          <w:szCs w:val="24"/>
        </w:rPr>
        <w:t xml:space="preserve">. </w:t>
      </w:r>
      <w:r w:rsidRPr="00451B44">
        <w:rPr>
          <w:rFonts w:ascii="Times New Roman" w:hAnsi="Times New Roman" w:cs="Times New Roman"/>
          <w:noProof/>
          <w:sz w:val="24"/>
          <w:szCs w:val="24"/>
        </w:rPr>
        <w:t>Lombardi</w:t>
      </w:r>
      <w:r w:rsidRPr="00451B44">
        <w:rPr>
          <w:rFonts w:ascii="Times New Roman" w:hAnsi="Times New Roman" w:cs="Times New Roman"/>
          <w:i/>
          <w:iCs/>
          <w:noProof/>
          <w:sz w:val="24"/>
          <w:szCs w:val="24"/>
        </w:rPr>
        <w:t xml:space="preserve"> et al</w:t>
      </w:r>
      <w:r>
        <w:rPr>
          <w:rFonts w:ascii="Times New Roman" w:hAnsi="Times New Roman" w:cs="Times New Roman"/>
          <w:sz w:val="24"/>
          <w:szCs w:val="24"/>
        </w:rPr>
        <w:t>.</w:t>
      </w:r>
      <w:r w:rsidRPr="00451B44">
        <w:rPr>
          <w:rFonts w:ascii="Times New Roman" w:hAnsi="Times New Roman" w:cs="Times New Roman"/>
          <w:sz w:val="24"/>
          <w:szCs w:val="24"/>
        </w:rPr>
        <w:t xml:space="preserve"> (2007b) have shown that cyt </w:t>
      </w:r>
      <w:r w:rsidRPr="00451B44">
        <w:rPr>
          <w:rFonts w:ascii="Times New Roman" w:hAnsi="Times New Roman" w:cs="Times New Roman"/>
          <w:i/>
          <w:iCs/>
          <w:sz w:val="24"/>
          <w:szCs w:val="24"/>
        </w:rPr>
        <w:t>c</w:t>
      </w:r>
      <w:r w:rsidRPr="00451B44">
        <w:rPr>
          <w:rFonts w:ascii="Times New Roman" w:hAnsi="Times New Roman" w:cs="Times New Roman"/>
          <w:sz w:val="24"/>
          <w:szCs w:val="24"/>
        </w:rPr>
        <w:t xml:space="preserve"> is released from the mitochondria and metacaspases are induced just prior to PCD in runner bean suspensors. Moreover, research using somatic embryos of</w:t>
      </w:r>
      <w:r>
        <w:rPr>
          <w:rStyle w:val="Emphasis"/>
          <w:rFonts w:ascii="Times New Roman" w:hAnsi="Times New Roman" w:cs="Times New Roman"/>
          <w:sz w:val="24"/>
          <w:szCs w:val="24"/>
        </w:rPr>
        <w:t xml:space="preserve"> A.</w:t>
      </w:r>
      <w:r w:rsidRPr="00451B44">
        <w:rPr>
          <w:rStyle w:val="Emphasis"/>
          <w:rFonts w:ascii="Times New Roman" w:hAnsi="Times New Roman" w:cs="Times New Roman"/>
          <w:sz w:val="24"/>
          <w:szCs w:val="24"/>
        </w:rPr>
        <w:t xml:space="preserve"> alba</w:t>
      </w:r>
      <w:r w:rsidRPr="00451B44">
        <w:rPr>
          <w:rFonts w:ascii="Times New Roman" w:hAnsi="Times New Roman" w:cs="Times New Roman"/>
          <w:sz w:val="24"/>
          <w:szCs w:val="24"/>
        </w:rPr>
        <w:t xml:space="preserve"> </w:t>
      </w:r>
      <w:r w:rsidRPr="00451B44">
        <w:rPr>
          <w:rFonts w:ascii="Times New Roman" w:hAnsi="Times New Roman" w:cs="Times New Roman"/>
          <w:noProof/>
          <w:sz w:val="24"/>
          <w:szCs w:val="24"/>
        </w:rPr>
        <w:t>(Petrussa</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2009)</w:t>
      </w:r>
      <w:r w:rsidRPr="00451B44">
        <w:rPr>
          <w:rFonts w:ascii="Times New Roman" w:hAnsi="Times New Roman" w:cs="Times New Roman"/>
          <w:sz w:val="24"/>
          <w:szCs w:val="24"/>
        </w:rPr>
        <w:t xml:space="preserve"> has shown that increased activity of K</w:t>
      </w:r>
      <w:r w:rsidRPr="00451B44">
        <w:rPr>
          <w:rFonts w:ascii="Times New Roman" w:hAnsi="Times New Roman" w:cs="Times New Roman"/>
          <w:sz w:val="24"/>
          <w:szCs w:val="24"/>
          <w:vertAlign w:val="superscript"/>
        </w:rPr>
        <w:t>+</w:t>
      </w:r>
      <w:r w:rsidRPr="00451B44">
        <w:rPr>
          <w:rFonts w:ascii="Times New Roman" w:hAnsi="Times New Roman" w:cs="Times New Roman"/>
          <w:sz w:val="24"/>
          <w:szCs w:val="24"/>
        </w:rPr>
        <w:t xml:space="preserve"> channels on the mitochondrial membrane could increase the flow of K</w:t>
      </w:r>
      <w:r w:rsidRPr="00451B44">
        <w:rPr>
          <w:rFonts w:ascii="Times New Roman" w:hAnsi="Times New Roman" w:cs="Times New Roman"/>
          <w:sz w:val="24"/>
          <w:szCs w:val="24"/>
          <w:vertAlign w:val="superscript"/>
        </w:rPr>
        <w:t>+</w:t>
      </w:r>
      <w:r w:rsidRPr="00451B44">
        <w:rPr>
          <w:rFonts w:ascii="Times New Roman" w:hAnsi="Times New Roman" w:cs="Times New Roman"/>
          <w:sz w:val="24"/>
          <w:szCs w:val="24"/>
        </w:rPr>
        <w:t xml:space="preserve"> ions into the mitochondrial matrix. In doing so, the researchers suggest that the resulting mitochondrial swelling may induce cyt</w:t>
      </w:r>
      <w:r w:rsidRPr="00451B44">
        <w:rPr>
          <w:rFonts w:ascii="Times New Roman" w:hAnsi="Times New Roman" w:cs="Times New Roman"/>
          <w:i/>
          <w:iCs/>
          <w:sz w:val="24"/>
          <w:szCs w:val="24"/>
        </w:rPr>
        <w:t xml:space="preserve"> c</w:t>
      </w:r>
      <w:r w:rsidRPr="00451B44">
        <w:rPr>
          <w:rFonts w:ascii="Times New Roman" w:hAnsi="Times New Roman" w:cs="Times New Roman"/>
          <w:sz w:val="24"/>
          <w:szCs w:val="24"/>
        </w:rPr>
        <w:t xml:space="preserve"> release. </w:t>
      </w:r>
    </w:p>
    <w:p w:rsidR="004B4E5E" w:rsidRDefault="004B4E5E" w:rsidP="002B4B8D">
      <w:pPr>
        <w:autoSpaceDE w:val="0"/>
        <w:autoSpaceDN w:val="0"/>
        <w:adjustRightInd w:val="0"/>
        <w:spacing w:after="0" w:line="480" w:lineRule="auto"/>
        <w:rPr>
          <w:rFonts w:ascii="Times New Roman" w:hAnsi="Times New Roman" w:cs="Times New Roman"/>
          <w:sz w:val="24"/>
          <w:szCs w:val="24"/>
        </w:rPr>
      </w:pPr>
    </w:p>
    <w:p w:rsidR="004B4E5E" w:rsidRDefault="004B4E5E" w:rsidP="002B4B8D">
      <w:pPr>
        <w:autoSpaceDE w:val="0"/>
        <w:autoSpaceDN w:val="0"/>
        <w:adjustRightInd w:val="0"/>
        <w:spacing w:after="0" w:line="480" w:lineRule="auto"/>
        <w:rPr>
          <w:rFonts w:ascii="Times New Roman" w:hAnsi="Times New Roman" w:cs="Times New Roman"/>
          <w:sz w:val="24"/>
          <w:szCs w:val="24"/>
        </w:rPr>
      </w:pPr>
      <w:r w:rsidRPr="00451B44">
        <w:rPr>
          <w:rFonts w:ascii="Times New Roman" w:hAnsi="Times New Roman" w:cs="Times New Roman"/>
          <w:sz w:val="24"/>
          <w:szCs w:val="24"/>
        </w:rPr>
        <w:t xml:space="preserve">PCD elimination of suspensor </w:t>
      </w:r>
      <w:r>
        <w:rPr>
          <w:rFonts w:ascii="Times New Roman" w:hAnsi="Times New Roman" w:cs="Times New Roman"/>
          <w:sz w:val="24"/>
          <w:szCs w:val="24"/>
        </w:rPr>
        <w:t>cells has also been studied in</w:t>
      </w:r>
      <w:r w:rsidRPr="00451B44">
        <w:rPr>
          <w:rFonts w:ascii="Times New Roman" w:hAnsi="Times New Roman" w:cs="Times New Roman"/>
          <w:sz w:val="24"/>
          <w:szCs w:val="24"/>
        </w:rPr>
        <w:t xml:space="preserve"> relation to factors such as concentrat</w:t>
      </w:r>
      <w:r>
        <w:rPr>
          <w:rFonts w:ascii="Times New Roman" w:hAnsi="Times New Roman" w:cs="Times New Roman"/>
          <w:sz w:val="24"/>
          <w:szCs w:val="24"/>
        </w:rPr>
        <w:t>ion of PGR</w:t>
      </w:r>
      <w:r w:rsidRPr="00451B44">
        <w:rPr>
          <w:rFonts w:ascii="Times New Roman" w:hAnsi="Times New Roman" w:cs="Times New Roman"/>
          <w:sz w:val="24"/>
          <w:szCs w:val="24"/>
        </w:rPr>
        <w:t>s, cytoskeleton arrangem</w:t>
      </w:r>
      <w:r>
        <w:rPr>
          <w:rFonts w:ascii="Times New Roman" w:hAnsi="Times New Roman" w:cs="Times New Roman"/>
          <w:sz w:val="24"/>
          <w:szCs w:val="24"/>
        </w:rPr>
        <w:t>ent and arabinogalactan protein expression</w:t>
      </w:r>
      <w:r w:rsidRPr="00451B44">
        <w:rPr>
          <w:rFonts w:ascii="Times New Roman" w:hAnsi="Times New Roman" w:cs="Times New Roman"/>
          <w:sz w:val="24"/>
          <w:szCs w:val="24"/>
        </w:rPr>
        <w:t xml:space="preserve"> </w:t>
      </w:r>
      <w:r>
        <w:rPr>
          <w:rFonts w:ascii="Times New Roman" w:hAnsi="Times New Roman" w:cs="Times New Roman"/>
          <w:sz w:val="24"/>
          <w:szCs w:val="24"/>
        </w:rPr>
        <w:t>(Gao and Showalter, 1999, Larsson</w:t>
      </w:r>
      <w:r w:rsidRPr="00E54DA4">
        <w:rPr>
          <w:rFonts w:ascii="Times New Roman" w:hAnsi="Times New Roman" w:cs="Times New Roman"/>
          <w:i/>
          <w:iCs/>
          <w:sz w:val="24"/>
          <w:szCs w:val="24"/>
        </w:rPr>
        <w:t xml:space="preserve"> et al.</w:t>
      </w:r>
      <w:r>
        <w:rPr>
          <w:rFonts w:ascii="Times New Roman" w:hAnsi="Times New Roman" w:cs="Times New Roman"/>
          <w:sz w:val="24"/>
          <w:szCs w:val="24"/>
        </w:rPr>
        <w:t>, 2008, Majewska-Sawka and Nothnagel, 2000, Smertenko</w:t>
      </w:r>
      <w:r w:rsidRPr="00E54DA4">
        <w:rPr>
          <w:rFonts w:ascii="Times New Roman" w:hAnsi="Times New Roman" w:cs="Times New Roman"/>
          <w:i/>
          <w:iCs/>
          <w:sz w:val="24"/>
          <w:szCs w:val="24"/>
        </w:rPr>
        <w:t xml:space="preserve"> et al.</w:t>
      </w:r>
      <w:r>
        <w:rPr>
          <w:rFonts w:ascii="Times New Roman" w:hAnsi="Times New Roman" w:cs="Times New Roman"/>
          <w:sz w:val="24"/>
          <w:szCs w:val="24"/>
        </w:rPr>
        <w:t xml:space="preserve">, 2003). </w:t>
      </w:r>
      <w:r w:rsidRPr="00451B44">
        <w:rPr>
          <w:rFonts w:ascii="Times New Roman" w:hAnsi="Times New Roman" w:cs="Times New Roman"/>
          <w:sz w:val="24"/>
          <w:szCs w:val="24"/>
        </w:rPr>
        <w:t>The addition and subtraction of PGRs have been show to influence PCD rates during embryogenesis. It has been shown that conifer PEMs produce somatic embryos once the PGRs cytokinin</w:t>
      </w:r>
      <w:r>
        <w:rPr>
          <w:rFonts w:ascii="Times New Roman" w:hAnsi="Times New Roman" w:cs="Times New Roman"/>
          <w:sz w:val="24"/>
          <w:szCs w:val="24"/>
        </w:rPr>
        <w:t xml:space="preserve"> and auxin have been withdrawn (Larsson</w:t>
      </w:r>
      <w:r w:rsidRPr="00E54DA4">
        <w:rPr>
          <w:rFonts w:ascii="Times New Roman" w:hAnsi="Times New Roman" w:cs="Times New Roman"/>
          <w:i/>
          <w:iCs/>
          <w:sz w:val="24"/>
          <w:szCs w:val="24"/>
        </w:rPr>
        <w:t xml:space="preserve"> et al.</w:t>
      </w:r>
      <w:r>
        <w:rPr>
          <w:rFonts w:ascii="Times New Roman" w:hAnsi="Times New Roman" w:cs="Times New Roman"/>
          <w:sz w:val="24"/>
          <w:szCs w:val="24"/>
        </w:rPr>
        <w:t>, 2008)</w:t>
      </w:r>
      <w:r w:rsidRPr="00451B44">
        <w:rPr>
          <w:rFonts w:ascii="Times New Roman" w:hAnsi="Times New Roman" w:cs="Times New Roman"/>
          <w:sz w:val="24"/>
          <w:szCs w:val="24"/>
        </w:rPr>
        <w:t xml:space="preserve">. Larsson </w:t>
      </w:r>
      <w:r w:rsidRPr="00451B44">
        <w:rPr>
          <w:rFonts w:ascii="Times New Roman" w:hAnsi="Times New Roman" w:cs="Times New Roman"/>
          <w:i/>
          <w:iCs/>
          <w:sz w:val="24"/>
          <w:szCs w:val="24"/>
        </w:rPr>
        <w:t>et al</w:t>
      </w:r>
      <w:r w:rsidRPr="00451B44">
        <w:rPr>
          <w:rFonts w:ascii="Times New Roman" w:hAnsi="Times New Roman" w:cs="Times New Roman"/>
          <w:sz w:val="24"/>
          <w:szCs w:val="24"/>
        </w:rPr>
        <w:t xml:space="preserve">., </w:t>
      </w:r>
      <w:r>
        <w:rPr>
          <w:rFonts w:ascii="Times New Roman" w:hAnsi="Times New Roman" w:cs="Times New Roman"/>
          <w:sz w:val="24"/>
          <w:szCs w:val="24"/>
        </w:rPr>
        <w:t>(2008)</w:t>
      </w:r>
      <w:r w:rsidRPr="00451B44">
        <w:rPr>
          <w:rFonts w:ascii="Times New Roman" w:hAnsi="Times New Roman" w:cs="Times New Roman"/>
          <w:sz w:val="24"/>
          <w:szCs w:val="24"/>
        </w:rPr>
        <w:t xml:space="preserve"> used the auxin transport inhib</w:t>
      </w:r>
      <w:r>
        <w:rPr>
          <w:rFonts w:ascii="Times New Roman" w:hAnsi="Times New Roman" w:cs="Times New Roman"/>
          <w:sz w:val="24"/>
          <w:szCs w:val="24"/>
        </w:rPr>
        <w:t>itor 1-N-naphtylphthalamic acid</w:t>
      </w:r>
      <w:r w:rsidRPr="00451B44">
        <w:rPr>
          <w:rFonts w:ascii="Times New Roman" w:hAnsi="Times New Roman" w:cs="Times New Roman"/>
          <w:sz w:val="24"/>
          <w:szCs w:val="24"/>
        </w:rPr>
        <w:t xml:space="preserve"> (NPA)</w:t>
      </w:r>
      <w:r>
        <w:rPr>
          <w:rFonts w:ascii="Times New Roman" w:hAnsi="Times New Roman" w:cs="Times New Roman"/>
          <w:sz w:val="24"/>
          <w:szCs w:val="24"/>
        </w:rPr>
        <w:t>,</w:t>
      </w:r>
      <w:r w:rsidRPr="00451B44">
        <w:rPr>
          <w:rFonts w:ascii="Times New Roman" w:hAnsi="Times New Roman" w:cs="Times New Roman"/>
          <w:sz w:val="24"/>
          <w:szCs w:val="24"/>
        </w:rPr>
        <w:t xml:space="preserve"> to disrupt the polar auxin dynamics of </w:t>
      </w:r>
      <w:r>
        <w:rPr>
          <w:rFonts w:ascii="Times New Roman" w:hAnsi="Times New Roman" w:cs="Times New Roman"/>
          <w:i/>
          <w:iCs/>
          <w:sz w:val="24"/>
          <w:szCs w:val="24"/>
        </w:rPr>
        <w:t>P.</w:t>
      </w:r>
      <w:r w:rsidRPr="00451B44">
        <w:rPr>
          <w:rFonts w:ascii="Times New Roman" w:hAnsi="Times New Roman" w:cs="Times New Roman"/>
          <w:i/>
          <w:iCs/>
          <w:sz w:val="24"/>
          <w:szCs w:val="24"/>
        </w:rPr>
        <w:t xml:space="preserve"> abies</w:t>
      </w:r>
      <w:r w:rsidRPr="00451B44">
        <w:rPr>
          <w:rFonts w:ascii="Times New Roman" w:hAnsi="Times New Roman" w:cs="Times New Roman"/>
          <w:sz w:val="24"/>
          <w:szCs w:val="24"/>
        </w:rPr>
        <w:t xml:space="preserve">. This resulted in the normal cell number in the embryo and suspensor being altered and endogenous levels of the auxin indole acetic acid (IAA) doubled. Furthermore, if normal auxin movement was blocked during the period of critical cell division leading up to growth and elongation of the suspensor, the suspensor cells fail to undergo PCD. Smertenko </w:t>
      </w:r>
      <w:r w:rsidRPr="00451B44">
        <w:rPr>
          <w:rFonts w:ascii="Times New Roman" w:hAnsi="Times New Roman" w:cs="Times New Roman"/>
          <w:noProof/>
          <w:sz w:val="24"/>
          <w:szCs w:val="24"/>
        </w:rPr>
        <w:t>(2003)</w:t>
      </w:r>
      <w:r w:rsidRPr="00451B44">
        <w:rPr>
          <w:rFonts w:ascii="Times New Roman" w:hAnsi="Times New Roman" w:cs="Times New Roman"/>
          <w:sz w:val="24"/>
          <w:szCs w:val="24"/>
        </w:rPr>
        <w:t xml:space="preserve"> investigated the structure of microtubule and F-action filaments in normal embryo and suspensor cells and found that total degradation of the microtubules and disorganisation of the F-action in the suspensor cells but normal organisation of the microtubules and F-action in embryo cells. Upon treatment with F-action depolymerisation drugs, normal cell patterning in the embryo was disrupted resulting in an embryo double the normal size. In addition, elongation of the suspensor cells was hindered and PCD did not occur in the suspensor cells. </w:t>
      </w:r>
    </w:p>
    <w:p w:rsidR="004B4E5E" w:rsidRPr="00451B44" w:rsidRDefault="004B4E5E" w:rsidP="002B4B8D">
      <w:pPr>
        <w:autoSpaceDE w:val="0"/>
        <w:autoSpaceDN w:val="0"/>
        <w:adjustRightInd w:val="0"/>
        <w:spacing w:after="0" w:line="480" w:lineRule="auto"/>
        <w:rPr>
          <w:rFonts w:ascii="Times New Roman" w:hAnsi="Times New Roman" w:cs="Times New Roman"/>
          <w:sz w:val="24"/>
          <w:szCs w:val="24"/>
        </w:rPr>
      </w:pPr>
    </w:p>
    <w:p w:rsidR="004B4E5E" w:rsidRPr="00451B44" w:rsidRDefault="004B4E5E" w:rsidP="002B4B8D">
      <w:pPr>
        <w:autoSpaceDE w:val="0"/>
        <w:autoSpaceDN w:val="0"/>
        <w:adjustRightInd w:val="0"/>
        <w:spacing w:after="0" w:line="480" w:lineRule="auto"/>
        <w:rPr>
          <w:rFonts w:ascii="Times New Roman" w:hAnsi="Times New Roman" w:cs="Times New Roman"/>
          <w:sz w:val="24"/>
          <w:szCs w:val="24"/>
        </w:rPr>
      </w:pPr>
      <w:r w:rsidRPr="00451B44">
        <w:rPr>
          <w:rFonts w:ascii="Times New Roman" w:hAnsi="Times New Roman" w:cs="Times New Roman"/>
          <w:sz w:val="24"/>
          <w:szCs w:val="24"/>
        </w:rPr>
        <w:t>Arabinogalactan proteins (AGPs) are hydroxyproline-rich glycoproteins</w:t>
      </w:r>
      <w:r w:rsidRPr="00451B44">
        <w:rPr>
          <w:rFonts w:ascii="Times New Roman" w:hAnsi="Times New Roman" w:cs="Times New Roman"/>
          <w:sz w:val="24"/>
          <w:szCs w:val="24"/>
          <w:vertAlign w:val="superscript"/>
        </w:rPr>
        <w:t xml:space="preserve"> </w:t>
      </w:r>
      <w:r w:rsidRPr="00451B44">
        <w:rPr>
          <w:rFonts w:ascii="Times New Roman" w:hAnsi="Times New Roman" w:cs="Times New Roman"/>
          <w:sz w:val="24"/>
          <w:szCs w:val="24"/>
        </w:rPr>
        <w:t>prese</w:t>
      </w:r>
      <w:r>
        <w:rPr>
          <w:rFonts w:ascii="Times New Roman" w:hAnsi="Times New Roman" w:cs="Times New Roman"/>
          <w:sz w:val="24"/>
          <w:szCs w:val="24"/>
        </w:rPr>
        <w:t>nt at the plasma membrane and</w:t>
      </w:r>
      <w:r w:rsidRPr="00451B44">
        <w:rPr>
          <w:rFonts w:ascii="Times New Roman" w:hAnsi="Times New Roman" w:cs="Times New Roman"/>
          <w:sz w:val="24"/>
          <w:szCs w:val="24"/>
        </w:rPr>
        <w:t xml:space="preserve"> extracellular matrices of most plant cells (Du</w:t>
      </w:r>
      <w:r w:rsidRPr="00451B44">
        <w:rPr>
          <w:rFonts w:ascii="Times New Roman" w:hAnsi="Times New Roman" w:cs="Times New Roman"/>
          <w:i/>
          <w:iCs/>
          <w:sz w:val="24"/>
          <w:szCs w:val="24"/>
        </w:rPr>
        <w:t xml:space="preserve"> et al.</w:t>
      </w:r>
      <w:r w:rsidRPr="00451B44">
        <w:rPr>
          <w:rFonts w:ascii="Times New Roman" w:hAnsi="Times New Roman" w:cs="Times New Roman"/>
          <w:sz w:val="24"/>
          <w:szCs w:val="24"/>
        </w:rPr>
        <w:t>, 1996, Mashiguchi</w:t>
      </w:r>
      <w:r w:rsidRPr="00451B44">
        <w:rPr>
          <w:rFonts w:ascii="Times New Roman" w:hAnsi="Times New Roman" w:cs="Times New Roman"/>
          <w:i/>
          <w:iCs/>
          <w:sz w:val="24"/>
          <w:szCs w:val="24"/>
        </w:rPr>
        <w:t xml:space="preserve"> et al.</w:t>
      </w:r>
      <w:r w:rsidRPr="00451B44">
        <w:rPr>
          <w:rFonts w:ascii="Times New Roman" w:hAnsi="Times New Roman" w:cs="Times New Roman"/>
          <w:sz w:val="24"/>
          <w:szCs w:val="24"/>
        </w:rPr>
        <w:t>, 2008). Secondary monoclonal antibodies can be raised against AGPs and in the past have been successfully used to i</w:t>
      </w:r>
      <w:r>
        <w:rPr>
          <w:rFonts w:ascii="Times New Roman" w:hAnsi="Times New Roman" w:cs="Times New Roman"/>
          <w:sz w:val="24"/>
          <w:szCs w:val="24"/>
        </w:rPr>
        <w:t>dentify and sort somatic embryo</w:t>
      </w:r>
      <w:r w:rsidRPr="00451B44">
        <w:rPr>
          <w:rFonts w:ascii="Times New Roman" w:hAnsi="Times New Roman" w:cs="Times New Roman"/>
          <w:sz w:val="24"/>
          <w:szCs w:val="24"/>
        </w:rPr>
        <w:t xml:space="preserve"> carrot cells into specific AGP expression and non-expressing cultures </w:t>
      </w:r>
      <w:r w:rsidRPr="00451B44">
        <w:rPr>
          <w:rFonts w:ascii="Times New Roman" w:hAnsi="Times New Roman" w:cs="Times New Roman"/>
          <w:noProof/>
          <w:sz w:val="24"/>
          <w:szCs w:val="24"/>
        </w:rPr>
        <w:t>(McCabe</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1997b)</w:t>
      </w:r>
      <w:r w:rsidRPr="00451B44">
        <w:rPr>
          <w:rFonts w:ascii="Times New Roman" w:hAnsi="Times New Roman" w:cs="Times New Roman"/>
          <w:sz w:val="24"/>
          <w:szCs w:val="24"/>
        </w:rPr>
        <w:t xml:space="preserve">. Filonova </w:t>
      </w:r>
      <w:r w:rsidRPr="00451B44">
        <w:rPr>
          <w:rFonts w:ascii="Times New Roman" w:hAnsi="Times New Roman" w:cs="Times New Roman"/>
          <w:i/>
          <w:iCs/>
          <w:sz w:val="24"/>
          <w:szCs w:val="24"/>
        </w:rPr>
        <w:t>et al</w:t>
      </w:r>
      <w:r>
        <w:rPr>
          <w:rFonts w:ascii="Times New Roman" w:hAnsi="Times New Roman" w:cs="Times New Roman"/>
          <w:sz w:val="24"/>
          <w:szCs w:val="24"/>
        </w:rPr>
        <w:t>.,</w:t>
      </w:r>
      <w:r w:rsidRPr="00451B44">
        <w:rPr>
          <w:rFonts w:ascii="Times New Roman" w:hAnsi="Times New Roman" w:cs="Times New Roman"/>
          <w:sz w:val="24"/>
          <w:szCs w:val="24"/>
        </w:rPr>
        <w:t xml:space="preserve"> (2000) identified a disparity in the expression </w:t>
      </w:r>
      <w:r>
        <w:rPr>
          <w:rFonts w:ascii="Times New Roman" w:hAnsi="Times New Roman" w:cs="Times New Roman"/>
          <w:sz w:val="24"/>
          <w:szCs w:val="24"/>
        </w:rPr>
        <w:t>of the monoclonal antibody</w:t>
      </w:r>
      <w:r w:rsidRPr="00451B44">
        <w:rPr>
          <w:rFonts w:ascii="Times New Roman" w:hAnsi="Times New Roman" w:cs="Times New Roman"/>
          <w:sz w:val="24"/>
          <w:szCs w:val="24"/>
        </w:rPr>
        <w:t xml:space="preserve"> JIM13-reactive epitopes of AGPs in the cell walls of PEMs and somatic embryos. They found that the majority of PEM cells expressed the epitope, but expression was absent in the early somatic embryos. As reviewed by </w:t>
      </w:r>
      <w:r w:rsidRPr="00451B44">
        <w:rPr>
          <w:rFonts w:ascii="Times New Roman" w:hAnsi="Times New Roman" w:cs="Times New Roman"/>
          <w:noProof/>
          <w:sz w:val="24"/>
          <w:szCs w:val="24"/>
        </w:rPr>
        <w:t xml:space="preserve">Majewska-Sawka and Nothnagel </w:t>
      </w:r>
      <w:r w:rsidRPr="00451B44">
        <w:rPr>
          <w:rFonts w:ascii="Times New Roman" w:hAnsi="Times New Roman" w:cs="Times New Roman"/>
          <w:sz w:val="24"/>
          <w:szCs w:val="24"/>
        </w:rPr>
        <w:t>(2000)</w:t>
      </w:r>
      <w:r>
        <w:rPr>
          <w:rFonts w:ascii="Times New Roman" w:hAnsi="Times New Roman" w:cs="Times New Roman"/>
          <w:sz w:val="24"/>
          <w:szCs w:val="24"/>
        </w:rPr>
        <w:t>, there is</w:t>
      </w:r>
      <w:r w:rsidRPr="00451B44">
        <w:rPr>
          <w:rFonts w:ascii="Times New Roman" w:hAnsi="Times New Roman" w:cs="Times New Roman"/>
          <w:sz w:val="24"/>
          <w:szCs w:val="24"/>
        </w:rPr>
        <w:t xml:space="preserve"> evidence that AGPs may play a role in plant PCD. For example, </w:t>
      </w:r>
      <w:r w:rsidRPr="00451B44">
        <w:rPr>
          <w:rFonts w:ascii="Times New Roman" w:hAnsi="Times New Roman" w:cs="Times New Roman"/>
          <w:noProof/>
          <w:sz w:val="24"/>
          <w:szCs w:val="24"/>
        </w:rPr>
        <w:t>Gao and Showalter</w:t>
      </w:r>
      <w:r w:rsidRPr="00451B44">
        <w:rPr>
          <w:rFonts w:ascii="Times New Roman" w:hAnsi="Times New Roman" w:cs="Times New Roman"/>
          <w:sz w:val="24"/>
          <w:szCs w:val="24"/>
        </w:rPr>
        <w:t xml:space="preserve"> (1999) used (β-D-Glc)</w:t>
      </w:r>
      <w:r w:rsidRPr="00451B44">
        <w:rPr>
          <w:rFonts w:ascii="Times New Roman" w:hAnsi="Times New Roman" w:cs="Times New Roman"/>
          <w:sz w:val="24"/>
          <w:szCs w:val="24"/>
          <w:vertAlign w:val="subscript"/>
        </w:rPr>
        <w:t xml:space="preserve">3 </w:t>
      </w:r>
      <w:r w:rsidRPr="00451B44">
        <w:rPr>
          <w:rFonts w:ascii="Times New Roman" w:hAnsi="Times New Roman" w:cs="Times New Roman"/>
          <w:sz w:val="24"/>
          <w:szCs w:val="24"/>
        </w:rPr>
        <w:t xml:space="preserve">to bind AGPs of suspension cultures of </w:t>
      </w:r>
      <w:r w:rsidRPr="00451B44">
        <w:rPr>
          <w:rFonts w:ascii="Times New Roman" w:hAnsi="Times New Roman" w:cs="Times New Roman"/>
          <w:i/>
          <w:iCs/>
          <w:sz w:val="24"/>
          <w:szCs w:val="24"/>
        </w:rPr>
        <w:t>Arabidopsis</w:t>
      </w:r>
      <w:r w:rsidRPr="00451B44">
        <w:rPr>
          <w:rFonts w:ascii="Times New Roman" w:hAnsi="Times New Roman" w:cs="Times New Roman"/>
          <w:sz w:val="24"/>
          <w:szCs w:val="24"/>
        </w:rPr>
        <w:t xml:space="preserve"> and found that PCD was induced. Previously, immunocytochemical detection studies suggested that particular AGPs mark cells destined for PCD. In fact, it is specifically the JIM13-reactive and JIM-14 reactive epitopes of AGPs which mark the cells destined for PCD. For instance, JIM13 and JIM14 reactive epitopes in maturing sclerenchyma cells of maize col</w:t>
      </w:r>
      <w:r>
        <w:rPr>
          <w:rFonts w:ascii="Times New Roman" w:hAnsi="Times New Roman" w:cs="Times New Roman"/>
          <w:sz w:val="24"/>
          <w:szCs w:val="24"/>
        </w:rPr>
        <w:t xml:space="preserve">eoptiles have been identified </w:t>
      </w:r>
      <w:r w:rsidRPr="00451B44">
        <w:rPr>
          <w:rFonts w:ascii="Times New Roman" w:hAnsi="Times New Roman" w:cs="Times New Roman"/>
          <w:noProof/>
          <w:sz w:val="24"/>
          <w:szCs w:val="24"/>
        </w:rPr>
        <w:t>(Schindler</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1995)</w:t>
      </w:r>
      <w:r>
        <w:rPr>
          <w:rFonts w:ascii="Times New Roman" w:hAnsi="Times New Roman" w:cs="Times New Roman"/>
          <w:sz w:val="24"/>
          <w:szCs w:val="24"/>
        </w:rPr>
        <w:t>,</w:t>
      </w:r>
      <w:r w:rsidRPr="00451B44">
        <w:rPr>
          <w:rFonts w:ascii="Times New Roman" w:hAnsi="Times New Roman" w:cs="Times New Roman"/>
          <w:sz w:val="24"/>
          <w:szCs w:val="24"/>
        </w:rPr>
        <w:t xml:space="preserve"> while a JIM13-reactive epitope in </w:t>
      </w:r>
      <w:r w:rsidRPr="00451B44">
        <w:rPr>
          <w:rFonts w:ascii="Times New Roman" w:hAnsi="Times New Roman" w:cs="Times New Roman"/>
          <w:i/>
          <w:iCs/>
          <w:sz w:val="24"/>
          <w:szCs w:val="24"/>
        </w:rPr>
        <w:t>Z</w:t>
      </w:r>
      <w:r>
        <w:rPr>
          <w:rFonts w:ascii="Times New Roman" w:hAnsi="Times New Roman" w:cs="Times New Roman"/>
          <w:i/>
          <w:iCs/>
          <w:sz w:val="24"/>
          <w:szCs w:val="24"/>
        </w:rPr>
        <w:t>.</w:t>
      </w:r>
      <w:r w:rsidRPr="00451B44">
        <w:rPr>
          <w:rFonts w:ascii="Times New Roman" w:hAnsi="Times New Roman" w:cs="Times New Roman"/>
          <w:sz w:val="24"/>
          <w:szCs w:val="24"/>
        </w:rPr>
        <w:t xml:space="preserve"> </w:t>
      </w:r>
      <w:r w:rsidRPr="00451B44">
        <w:rPr>
          <w:rFonts w:ascii="Times New Roman" w:hAnsi="Times New Roman" w:cs="Times New Roman"/>
          <w:i/>
          <w:iCs/>
          <w:sz w:val="24"/>
          <w:szCs w:val="24"/>
        </w:rPr>
        <w:t>elegans</w:t>
      </w:r>
      <w:r>
        <w:rPr>
          <w:rFonts w:ascii="Times New Roman" w:hAnsi="Times New Roman" w:cs="Times New Roman"/>
          <w:sz w:val="24"/>
          <w:szCs w:val="24"/>
        </w:rPr>
        <w:t xml:space="preserve"> is localised to </w:t>
      </w:r>
      <w:r w:rsidRPr="00451B44">
        <w:rPr>
          <w:rFonts w:ascii="Times New Roman" w:hAnsi="Times New Roman" w:cs="Times New Roman"/>
          <w:sz w:val="24"/>
          <w:szCs w:val="24"/>
        </w:rPr>
        <w:t xml:space="preserve">the secondary thickenings of mature TEs but not in their surrounding primary walls </w:t>
      </w:r>
      <w:r w:rsidRPr="00451B44">
        <w:rPr>
          <w:rFonts w:ascii="Times New Roman" w:hAnsi="Times New Roman" w:cs="Times New Roman"/>
          <w:noProof/>
          <w:sz w:val="24"/>
          <w:szCs w:val="24"/>
        </w:rPr>
        <w:t>(Stacey</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1995)</w:t>
      </w:r>
      <w:r w:rsidRPr="00451B44">
        <w:rPr>
          <w:rFonts w:ascii="Times New Roman" w:hAnsi="Times New Roman" w:cs="Times New Roman"/>
          <w:sz w:val="24"/>
          <w:szCs w:val="24"/>
        </w:rPr>
        <w:t>.</w:t>
      </w:r>
    </w:p>
    <w:p w:rsidR="004B4E5E" w:rsidRDefault="004B4E5E" w:rsidP="002B4B8D">
      <w:pPr>
        <w:spacing w:line="480" w:lineRule="auto"/>
        <w:rPr>
          <w:rFonts w:ascii="Times New Roman" w:hAnsi="Times New Roman" w:cs="Times New Roman"/>
          <w:sz w:val="24"/>
          <w:szCs w:val="24"/>
        </w:rPr>
      </w:pPr>
    </w:p>
    <w:p w:rsidR="004B4E5E" w:rsidRPr="00451B44" w:rsidRDefault="004B4E5E" w:rsidP="002B4B8D">
      <w:pPr>
        <w:spacing w:line="480" w:lineRule="auto"/>
        <w:rPr>
          <w:rFonts w:ascii="Times New Roman" w:hAnsi="Times New Roman" w:cs="Times New Roman"/>
          <w:sz w:val="24"/>
          <w:szCs w:val="24"/>
        </w:rPr>
      </w:pPr>
      <w:r w:rsidRPr="00451B44">
        <w:rPr>
          <w:rFonts w:ascii="Times New Roman" w:hAnsi="Times New Roman" w:cs="Times New Roman"/>
          <w:sz w:val="24"/>
          <w:szCs w:val="24"/>
        </w:rPr>
        <w:t xml:space="preserve">Undoubtedly, future work aimed at clarifying the mechanisms that influence embryogenesis and PCD will involve the use of embryo-specific mutants. Many embryo-specific mutants have been identified in </w:t>
      </w:r>
      <w:r w:rsidRPr="00451B44">
        <w:rPr>
          <w:rFonts w:ascii="Times New Roman" w:hAnsi="Times New Roman" w:cs="Times New Roman"/>
          <w:i/>
          <w:iCs/>
          <w:sz w:val="24"/>
          <w:szCs w:val="24"/>
        </w:rPr>
        <w:t>Arabidopsis</w:t>
      </w:r>
      <w:r w:rsidRPr="00451B44">
        <w:rPr>
          <w:rFonts w:ascii="Times New Roman" w:hAnsi="Times New Roman" w:cs="Times New Roman"/>
          <w:sz w:val="24"/>
          <w:szCs w:val="24"/>
        </w:rPr>
        <w:t xml:space="preserve"> but the majority result in embryo lethality (Bozhkov</w:t>
      </w:r>
      <w:r w:rsidRPr="00451B44">
        <w:rPr>
          <w:rFonts w:ascii="Times New Roman" w:hAnsi="Times New Roman" w:cs="Times New Roman"/>
          <w:i/>
          <w:iCs/>
          <w:sz w:val="24"/>
          <w:szCs w:val="24"/>
        </w:rPr>
        <w:t xml:space="preserve"> et al.</w:t>
      </w:r>
      <w:r w:rsidRPr="00451B44">
        <w:rPr>
          <w:rFonts w:ascii="Times New Roman" w:hAnsi="Times New Roman" w:cs="Times New Roman"/>
          <w:sz w:val="24"/>
          <w:szCs w:val="24"/>
        </w:rPr>
        <w:t xml:space="preserve">, 2005a, Marsden and Meinke, 1985). Fortunately, thus far two embryo-specific mutants useful for studying suspensor death have been identified. Firstly, the </w:t>
      </w:r>
      <w:r w:rsidRPr="00451B44">
        <w:rPr>
          <w:rFonts w:ascii="Times New Roman" w:hAnsi="Times New Roman" w:cs="Times New Roman"/>
          <w:i/>
          <w:iCs/>
          <w:sz w:val="24"/>
          <w:szCs w:val="24"/>
        </w:rPr>
        <w:t>yda</w:t>
      </w:r>
      <w:r w:rsidRPr="00451B44">
        <w:rPr>
          <w:rFonts w:ascii="Times New Roman" w:hAnsi="Times New Roman" w:cs="Times New Roman"/>
          <w:sz w:val="24"/>
          <w:szCs w:val="24"/>
        </w:rPr>
        <w:t xml:space="preserve"> embryo-specific mutant results in a loss-of-function mutation of YODA, a gene encoding a mitogen-activated protease kinase kinase kinase (MAPKK kinase) </w:t>
      </w:r>
      <w:r w:rsidRPr="00451B44">
        <w:rPr>
          <w:rFonts w:ascii="Times New Roman" w:hAnsi="Times New Roman" w:cs="Times New Roman"/>
          <w:noProof/>
          <w:sz w:val="24"/>
          <w:szCs w:val="24"/>
        </w:rPr>
        <w:t>(Lukowitz</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2004)</w:t>
      </w:r>
      <w:r>
        <w:rPr>
          <w:rFonts w:ascii="Times New Roman" w:hAnsi="Times New Roman" w:cs="Times New Roman"/>
          <w:sz w:val="24"/>
          <w:szCs w:val="24"/>
        </w:rPr>
        <w:t xml:space="preserve"> and t</w:t>
      </w:r>
      <w:r w:rsidRPr="00451B44">
        <w:rPr>
          <w:rFonts w:ascii="Times New Roman" w:hAnsi="Times New Roman" w:cs="Times New Roman"/>
          <w:sz w:val="24"/>
          <w:szCs w:val="24"/>
        </w:rPr>
        <w:t xml:space="preserve">he involvement of MAP kinase signalling cascades in eukaryotic PCD have been well documented (Chang and Karin, 2001). During normal development, the </w:t>
      </w:r>
      <w:r w:rsidRPr="00451B44">
        <w:rPr>
          <w:rFonts w:ascii="Times New Roman" w:hAnsi="Times New Roman" w:cs="Times New Roman"/>
          <w:i/>
          <w:iCs/>
          <w:sz w:val="24"/>
          <w:szCs w:val="24"/>
        </w:rPr>
        <w:t>Arabidopsis</w:t>
      </w:r>
      <w:r w:rsidRPr="00451B44">
        <w:rPr>
          <w:rFonts w:ascii="Times New Roman" w:hAnsi="Times New Roman" w:cs="Times New Roman"/>
          <w:sz w:val="24"/>
          <w:szCs w:val="24"/>
        </w:rPr>
        <w:t xml:space="preserve"> zygote divides into two daughter cells of unequal size. The basal cell gives rise to the suspensor while the apical cell proceeds to form the embryo proper. YODA suppresses elongation and alters division of the zygote resulting in a basal and apical cell of equal size. Consequently, the crucial role the basal cell plays in determining polarity is lost. Instead of being incorporated into the suspensor, the basal cell is incorporated into the embryo resulting in a hyper-elongated suspensor and no recognisable embryo formation.  </w:t>
      </w:r>
      <w:r w:rsidRPr="00451B44">
        <w:rPr>
          <w:rFonts w:ascii="Times New Roman" w:hAnsi="Times New Roman" w:cs="Times New Roman"/>
          <w:i/>
          <w:iCs/>
          <w:sz w:val="24"/>
          <w:szCs w:val="24"/>
        </w:rPr>
        <w:t>Vacuoleless1 (vcl1</w:t>
      </w:r>
      <w:r>
        <w:rPr>
          <w:rFonts w:ascii="Times New Roman" w:hAnsi="Times New Roman" w:cs="Times New Roman"/>
          <w:i/>
          <w:iCs/>
          <w:sz w:val="24"/>
          <w:szCs w:val="24"/>
        </w:rPr>
        <w:t>)</w:t>
      </w:r>
      <w:r w:rsidRPr="00451B44">
        <w:rPr>
          <w:rFonts w:ascii="Times New Roman" w:hAnsi="Times New Roman" w:cs="Times New Roman"/>
          <w:i/>
          <w:iCs/>
          <w:sz w:val="24"/>
          <w:szCs w:val="24"/>
        </w:rPr>
        <w:t>,</w:t>
      </w:r>
      <w:r w:rsidRPr="00451B44">
        <w:rPr>
          <w:rFonts w:ascii="Times New Roman" w:hAnsi="Times New Roman" w:cs="Times New Roman"/>
          <w:sz w:val="24"/>
          <w:szCs w:val="24"/>
        </w:rPr>
        <w:t xml:space="preserve"> another </w:t>
      </w:r>
      <w:r w:rsidRPr="00451B44">
        <w:rPr>
          <w:rFonts w:ascii="Times New Roman" w:hAnsi="Times New Roman" w:cs="Times New Roman"/>
          <w:i/>
          <w:iCs/>
          <w:sz w:val="24"/>
          <w:szCs w:val="24"/>
        </w:rPr>
        <w:t xml:space="preserve">Arabidopsis </w:t>
      </w:r>
      <w:r w:rsidRPr="00451B44">
        <w:rPr>
          <w:rFonts w:ascii="Times New Roman" w:hAnsi="Times New Roman" w:cs="Times New Roman"/>
          <w:sz w:val="24"/>
          <w:szCs w:val="24"/>
        </w:rPr>
        <w:t xml:space="preserve">embryo-specific mutant that lacks vacuoles is also useful for studying suspensor death </w:t>
      </w:r>
      <w:r w:rsidRPr="00451B44">
        <w:rPr>
          <w:rFonts w:ascii="Times New Roman" w:hAnsi="Times New Roman" w:cs="Times New Roman"/>
          <w:noProof/>
          <w:sz w:val="24"/>
          <w:szCs w:val="24"/>
        </w:rPr>
        <w:t>(Rojo</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2001)</w:t>
      </w:r>
      <w:r w:rsidRPr="00451B44">
        <w:rPr>
          <w:rFonts w:ascii="Times New Roman" w:hAnsi="Times New Roman" w:cs="Times New Roman"/>
          <w:sz w:val="24"/>
          <w:szCs w:val="24"/>
        </w:rPr>
        <w:t xml:space="preserve">. The cells of the suspensor are usually highly vacuolated </w:t>
      </w:r>
      <w:r w:rsidRPr="00451B44">
        <w:rPr>
          <w:rFonts w:ascii="Times New Roman" w:hAnsi="Times New Roman" w:cs="Times New Roman"/>
          <w:noProof/>
          <w:sz w:val="24"/>
          <w:szCs w:val="24"/>
        </w:rPr>
        <w:t>(Bozhkov</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2005a)</w:t>
      </w:r>
      <w:r w:rsidRPr="00451B44">
        <w:rPr>
          <w:rFonts w:ascii="Times New Roman" w:hAnsi="Times New Roman" w:cs="Times New Roman"/>
          <w:sz w:val="24"/>
          <w:szCs w:val="24"/>
        </w:rPr>
        <w:t xml:space="preserve"> but in this mutant, the vacuole is completely absent. In addition the embryo progressively accumulates autophagosomes until most of its internal organisation is lost. Consequently, the </w:t>
      </w:r>
      <w:r w:rsidRPr="00451B44">
        <w:rPr>
          <w:rFonts w:ascii="Times New Roman" w:hAnsi="Times New Roman" w:cs="Times New Roman"/>
          <w:i/>
          <w:iCs/>
          <w:sz w:val="24"/>
          <w:szCs w:val="24"/>
        </w:rPr>
        <w:t>vacl1</w:t>
      </w:r>
      <w:r w:rsidRPr="00451B44">
        <w:rPr>
          <w:rFonts w:ascii="Times New Roman" w:hAnsi="Times New Roman" w:cs="Times New Roman"/>
          <w:sz w:val="24"/>
          <w:szCs w:val="24"/>
        </w:rPr>
        <w:t xml:space="preserve"> mutant may be useful for investigating the apparent overlapping of AL-PCD and autophagic PCD in the elimination of embryo suspensor cells </w:t>
      </w:r>
      <w:r w:rsidRPr="00451B44">
        <w:rPr>
          <w:rFonts w:ascii="Times New Roman" w:hAnsi="Times New Roman" w:cs="Times New Roman"/>
          <w:noProof/>
          <w:sz w:val="24"/>
          <w:szCs w:val="24"/>
        </w:rPr>
        <w:t>(Sanmartin</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2005)</w:t>
      </w:r>
      <w:r w:rsidRPr="00451B44">
        <w:rPr>
          <w:rFonts w:ascii="Times New Roman" w:hAnsi="Times New Roman" w:cs="Times New Roman"/>
          <w:sz w:val="24"/>
          <w:szCs w:val="24"/>
        </w:rPr>
        <w:t>.</w:t>
      </w:r>
    </w:p>
    <w:p w:rsidR="004B4E5E" w:rsidRPr="00451B44" w:rsidRDefault="004B4E5E" w:rsidP="002B4B8D">
      <w:pPr>
        <w:spacing w:line="480" w:lineRule="auto"/>
        <w:rPr>
          <w:rFonts w:ascii="Times New Roman" w:hAnsi="Times New Roman" w:cs="Times New Roman"/>
          <w:sz w:val="24"/>
          <w:szCs w:val="24"/>
        </w:rPr>
      </w:pPr>
    </w:p>
    <w:p w:rsidR="004B4E5E" w:rsidRPr="00451B44" w:rsidRDefault="004B4E5E" w:rsidP="00BF42BA">
      <w:pPr>
        <w:pStyle w:val="ListParagraph"/>
        <w:numPr>
          <w:ilvl w:val="1"/>
          <w:numId w:val="29"/>
        </w:numPr>
        <w:spacing w:line="480" w:lineRule="auto"/>
        <w:ind w:left="3595" w:hanging="2177"/>
        <w:rPr>
          <w:rFonts w:ascii="Times New Roman" w:hAnsi="Times New Roman" w:cs="Times New Roman"/>
          <w:b/>
          <w:bCs/>
          <w:sz w:val="24"/>
          <w:szCs w:val="24"/>
        </w:rPr>
      </w:pPr>
      <w:r w:rsidRPr="00451B44">
        <w:rPr>
          <w:rFonts w:ascii="Times New Roman" w:hAnsi="Times New Roman" w:cs="Times New Roman"/>
          <w:b/>
          <w:bCs/>
          <w:sz w:val="24"/>
          <w:szCs w:val="24"/>
        </w:rPr>
        <w:t>Embryo abortion</w:t>
      </w:r>
    </w:p>
    <w:p w:rsidR="004B4E5E" w:rsidRDefault="004B4E5E" w:rsidP="002B4B8D">
      <w:pPr>
        <w:autoSpaceDE w:val="0"/>
        <w:autoSpaceDN w:val="0"/>
        <w:adjustRightInd w:val="0"/>
        <w:spacing w:after="0" w:line="480" w:lineRule="auto"/>
        <w:rPr>
          <w:rFonts w:ascii="Times New Roman" w:hAnsi="Times New Roman" w:cs="Times New Roman"/>
          <w:sz w:val="24"/>
          <w:szCs w:val="24"/>
        </w:rPr>
      </w:pPr>
      <w:r w:rsidRPr="00451B44">
        <w:rPr>
          <w:rFonts w:ascii="Times New Roman" w:hAnsi="Times New Roman" w:cs="Times New Roman"/>
          <w:sz w:val="24"/>
          <w:szCs w:val="24"/>
        </w:rPr>
        <w:t xml:space="preserve">For at least twenty genera of gymnosperms, it is a normal strategy of plant reproduction for many embryos to arise from the same zygote in a process termed monozygotic polyembryony </w:t>
      </w:r>
      <w:r>
        <w:rPr>
          <w:rFonts w:ascii="Times New Roman" w:hAnsi="Times New Roman" w:cs="Times New Roman"/>
          <w:sz w:val="24"/>
          <w:szCs w:val="24"/>
        </w:rPr>
        <w:t>(Singh, 1978, Sorensen, 1982, Zhivotovsky, 2002)</w:t>
      </w:r>
      <w:r w:rsidRPr="00451B44">
        <w:rPr>
          <w:rFonts w:ascii="Times New Roman" w:hAnsi="Times New Roman" w:cs="Times New Roman"/>
          <w:sz w:val="24"/>
          <w:szCs w:val="24"/>
        </w:rPr>
        <w:t>. This too is apparent in the animal kingdom where thus far, polyembryony has been identified in 18 taxa in at least six different phyla (Craig</w:t>
      </w:r>
      <w:r w:rsidRPr="00451B44">
        <w:rPr>
          <w:rFonts w:ascii="Times New Roman" w:hAnsi="Times New Roman" w:cs="Times New Roman"/>
          <w:i/>
          <w:iCs/>
          <w:sz w:val="24"/>
          <w:szCs w:val="24"/>
        </w:rPr>
        <w:t xml:space="preserve"> et al.</w:t>
      </w:r>
      <w:r w:rsidRPr="00451B44">
        <w:rPr>
          <w:rFonts w:ascii="Times New Roman" w:hAnsi="Times New Roman" w:cs="Times New Roman"/>
          <w:sz w:val="24"/>
          <w:szCs w:val="24"/>
        </w:rPr>
        <w:t>, 1997, Zhurov</w:t>
      </w:r>
      <w:r w:rsidRPr="00451B44">
        <w:rPr>
          <w:rFonts w:ascii="Times New Roman" w:hAnsi="Times New Roman" w:cs="Times New Roman"/>
          <w:i/>
          <w:iCs/>
          <w:sz w:val="24"/>
          <w:szCs w:val="24"/>
        </w:rPr>
        <w:t xml:space="preserve"> et al.</w:t>
      </w:r>
      <w:r w:rsidRPr="00451B44">
        <w:rPr>
          <w:rFonts w:ascii="Times New Roman" w:hAnsi="Times New Roman" w:cs="Times New Roman"/>
          <w:sz w:val="24"/>
          <w:szCs w:val="24"/>
        </w:rPr>
        <w:t xml:space="preserve">, 2007). Interestingly, polyembryony is rare in angiosperms </w:t>
      </w:r>
      <w:r w:rsidRPr="00451B44">
        <w:rPr>
          <w:rFonts w:ascii="Times New Roman" w:hAnsi="Times New Roman" w:cs="Times New Roman"/>
          <w:noProof/>
          <w:sz w:val="24"/>
          <w:szCs w:val="24"/>
        </w:rPr>
        <w:t>(Sorensen, 1982)</w:t>
      </w:r>
      <w:r>
        <w:rPr>
          <w:rFonts w:ascii="Times New Roman" w:hAnsi="Times New Roman" w:cs="Times New Roman"/>
          <w:color w:val="000000"/>
          <w:sz w:val="24"/>
          <w:szCs w:val="24"/>
        </w:rPr>
        <w:t>, where</w:t>
      </w:r>
      <w:r w:rsidRPr="00451B44">
        <w:rPr>
          <w:rFonts w:ascii="Times New Roman" w:hAnsi="Times New Roman" w:cs="Times New Roman"/>
          <w:sz w:val="24"/>
          <w:szCs w:val="24"/>
        </w:rPr>
        <w:t xml:space="preserve"> abortion of the non-dominant embryos by PCD is common. </w:t>
      </w:r>
      <w:r>
        <w:rPr>
          <w:rFonts w:ascii="Times New Roman" w:hAnsi="Times New Roman" w:cs="Times New Roman"/>
          <w:sz w:val="24"/>
          <w:szCs w:val="24"/>
        </w:rPr>
        <w:t>Peter Bell argued</w:t>
      </w:r>
      <w:r w:rsidRPr="00451B44">
        <w:rPr>
          <w:rFonts w:ascii="Times New Roman" w:hAnsi="Times New Roman" w:cs="Times New Roman"/>
          <w:sz w:val="24"/>
          <w:szCs w:val="24"/>
        </w:rPr>
        <w:t xml:space="preserve"> that the organised death of three of the four meg</w:t>
      </w:r>
      <w:r>
        <w:rPr>
          <w:rFonts w:ascii="Times New Roman" w:hAnsi="Times New Roman" w:cs="Times New Roman"/>
          <w:sz w:val="24"/>
          <w:szCs w:val="24"/>
        </w:rPr>
        <w:t>aspores in a seed plant tetrad wa</w:t>
      </w:r>
      <w:r w:rsidRPr="00451B44">
        <w:rPr>
          <w:rFonts w:ascii="Times New Roman" w:hAnsi="Times New Roman" w:cs="Times New Roman"/>
          <w:sz w:val="24"/>
          <w:szCs w:val="24"/>
        </w:rPr>
        <w:t>s a result of PCD</w:t>
      </w:r>
      <w:r>
        <w:rPr>
          <w:rFonts w:ascii="Times New Roman" w:hAnsi="Times New Roman" w:cs="Times New Roman"/>
          <w:sz w:val="24"/>
          <w:szCs w:val="24"/>
        </w:rPr>
        <w:t xml:space="preserve"> (Bell, 1996)</w:t>
      </w:r>
      <w:r w:rsidRPr="00451B44">
        <w:rPr>
          <w:rFonts w:ascii="Times New Roman" w:hAnsi="Times New Roman" w:cs="Times New Roman"/>
          <w:sz w:val="24"/>
          <w:szCs w:val="24"/>
        </w:rPr>
        <w:t xml:space="preserve">. Bell also suggests that a single gene may be sufficient to start PCD in the megaspores of the fern </w:t>
      </w:r>
      <w:r w:rsidRPr="00451B44">
        <w:rPr>
          <w:rFonts w:ascii="Times New Roman" w:hAnsi="Times New Roman" w:cs="Times New Roman"/>
          <w:i/>
          <w:iCs/>
          <w:sz w:val="24"/>
          <w:szCs w:val="24"/>
        </w:rPr>
        <w:t>Marsilea</w:t>
      </w:r>
      <w:r w:rsidRPr="00451B44">
        <w:rPr>
          <w:rFonts w:ascii="Times New Roman" w:hAnsi="Times New Roman" w:cs="Times New Roman"/>
          <w:sz w:val="24"/>
          <w:szCs w:val="24"/>
        </w:rPr>
        <w:t xml:space="preserve"> and that the genetic mechanism controlling this death may be related to that controlling self-incompatibility. Embryo abortion has also been identified in </w:t>
      </w:r>
      <w:r w:rsidRPr="00451B44">
        <w:rPr>
          <w:rFonts w:ascii="Times New Roman" w:hAnsi="Times New Roman" w:cs="Times New Roman"/>
          <w:i/>
          <w:iCs/>
          <w:sz w:val="24"/>
          <w:szCs w:val="24"/>
        </w:rPr>
        <w:t>Pinus</w:t>
      </w:r>
      <w:r w:rsidRPr="00451B44">
        <w:rPr>
          <w:rFonts w:ascii="Times New Roman" w:hAnsi="Times New Roman" w:cs="Times New Roman"/>
          <w:sz w:val="24"/>
          <w:szCs w:val="24"/>
        </w:rPr>
        <w:t xml:space="preserve"> </w:t>
      </w:r>
      <w:r w:rsidRPr="00451B44">
        <w:rPr>
          <w:rFonts w:ascii="Times New Roman" w:hAnsi="Times New Roman" w:cs="Times New Roman"/>
          <w:i/>
          <w:iCs/>
          <w:sz w:val="24"/>
          <w:szCs w:val="24"/>
        </w:rPr>
        <w:t>sylvestris</w:t>
      </w:r>
      <w:r w:rsidRPr="00451B44">
        <w:rPr>
          <w:rFonts w:ascii="Times New Roman" w:hAnsi="Times New Roman" w:cs="Times New Roman"/>
          <w:sz w:val="24"/>
          <w:szCs w:val="24"/>
        </w:rPr>
        <w:t xml:space="preserve"> (Scots Pine), a species which makes a good model system for the study of embryo </w:t>
      </w:r>
      <w:r w:rsidR="00A05889" w:rsidRPr="00086ED6">
        <w:rPr>
          <w:rFonts w:ascii="Times New Roman" w:hAnsi="Times New Roman" w:cs="Times New Roman"/>
          <w:sz w:val="24"/>
          <w:szCs w:val="24"/>
        </w:rPr>
        <w:t>abortion due to the fact that multiple equal-sized embryos arise from the same zygote, all of which are all in the same location</w:t>
      </w:r>
      <w:r w:rsidRPr="00451B44">
        <w:rPr>
          <w:rFonts w:ascii="Times New Roman" w:hAnsi="Times New Roman" w:cs="Times New Roman"/>
          <w:sz w:val="24"/>
          <w:szCs w:val="24"/>
        </w:rPr>
        <w:t xml:space="preserve"> and in close proximity to one another </w:t>
      </w:r>
      <w:r w:rsidRPr="00451B44">
        <w:rPr>
          <w:rFonts w:ascii="Times New Roman" w:hAnsi="Times New Roman" w:cs="Times New Roman"/>
          <w:noProof/>
          <w:sz w:val="24"/>
          <w:szCs w:val="24"/>
        </w:rPr>
        <w:t>(Filonova</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2002)</w:t>
      </w:r>
      <w:r w:rsidRPr="00451B44">
        <w:rPr>
          <w:rFonts w:ascii="Times New Roman" w:hAnsi="Times New Roman" w:cs="Times New Roman"/>
          <w:sz w:val="24"/>
          <w:szCs w:val="24"/>
        </w:rPr>
        <w:t xml:space="preserve">. This particular study clarified the steps that lead to the formation of multiple embryos and the subsequent abortion of all but one. Firstly the product of the zygote, a single embryo, cleaves into many embryos of the same size. All of the embryos start their development at the same rate until one out-competes the rest and becomes dominant. After dominance is established, the remaining embryos suffer a decline in growth rate. Once the dominant embryo reaches its cotyledon stage, the rest of the embryos are eliminated by PCD. This schedule of events was elucidated by examining levels of DNA integrity using the TUNEL assay over the entire time course of these events. The researchers found that DNA was already being fragmented in the suspensor cells of the non-dominant embryos while the dominant embryo was achieving dominance. The embryos themselves did not stain positive for DNA fragmentation until the cotyledon stage was attained by the dominant embryo after which ultra-structural examination of the embryos uncovered many enlarged </w:t>
      </w:r>
      <w:r>
        <w:rPr>
          <w:rFonts w:ascii="Times New Roman" w:hAnsi="Times New Roman" w:cs="Times New Roman"/>
          <w:sz w:val="24"/>
          <w:szCs w:val="24"/>
        </w:rPr>
        <w:t>vacuoles engulfing and degraded</w:t>
      </w:r>
      <w:r w:rsidRPr="00451B44">
        <w:rPr>
          <w:rFonts w:ascii="Times New Roman" w:hAnsi="Times New Roman" w:cs="Times New Roman"/>
          <w:sz w:val="24"/>
          <w:szCs w:val="24"/>
        </w:rPr>
        <w:t xml:space="preserve"> cell organelles, therefore suggesting a possible autophagic cell death process</w:t>
      </w:r>
      <w:r>
        <w:rPr>
          <w:rFonts w:ascii="Times New Roman" w:hAnsi="Times New Roman" w:cs="Times New Roman"/>
          <w:sz w:val="24"/>
          <w:szCs w:val="24"/>
        </w:rPr>
        <w:t xml:space="preserve"> (</w:t>
      </w:r>
      <w:r w:rsidRPr="00451B44">
        <w:rPr>
          <w:rFonts w:ascii="Times New Roman" w:hAnsi="Times New Roman" w:cs="Times New Roman"/>
          <w:noProof/>
          <w:sz w:val="24"/>
          <w:szCs w:val="24"/>
        </w:rPr>
        <w:t>Filonova</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2002</w:t>
      </w:r>
      <w:r>
        <w:rPr>
          <w:rFonts w:ascii="Times New Roman" w:hAnsi="Times New Roman" w:cs="Times New Roman"/>
          <w:noProof/>
          <w:sz w:val="24"/>
          <w:szCs w:val="24"/>
        </w:rPr>
        <w:t>)</w:t>
      </w:r>
      <w:r w:rsidRPr="00451B44">
        <w:rPr>
          <w:rFonts w:ascii="Times New Roman" w:hAnsi="Times New Roman" w:cs="Times New Roman"/>
          <w:sz w:val="24"/>
          <w:szCs w:val="24"/>
        </w:rPr>
        <w:t xml:space="preserve">. </w:t>
      </w:r>
    </w:p>
    <w:p w:rsidR="004B4E5E" w:rsidRPr="00451B44" w:rsidRDefault="004B4E5E" w:rsidP="002B4B8D">
      <w:pPr>
        <w:autoSpaceDE w:val="0"/>
        <w:autoSpaceDN w:val="0"/>
        <w:adjustRightInd w:val="0"/>
        <w:spacing w:after="0" w:line="480" w:lineRule="auto"/>
        <w:rPr>
          <w:rFonts w:ascii="Times New Roman" w:hAnsi="Times New Roman" w:cs="Times New Roman"/>
          <w:color w:val="000000"/>
          <w:sz w:val="24"/>
          <w:szCs w:val="24"/>
        </w:rPr>
      </w:pPr>
    </w:p>
    <w:p w:rsidR="004B4E5E" w:rsidRPr="00451B44" w:rsidRDefault="004B4E5E" w:rsidP="00BF42BA">
      <w:pPr>
        <w:pStyle w:val="ListParagraph"/>
        <w:numPr>
          <w:ilvl w:val="1"/>
          <w:numId w:val="29"/>
        </w:numPr>
        <w:spacing w:line="480" w:lineRule="auto"/>
        <w:ind w:left="3595" w:hanging="2177"/>
        <w:rPr>
          <w:rFonts w:ascii="Times New Roman" w:hAnsi="Times New Roman" w:cs="Times New Roman"/>
          <w:b/>
          <w:bCs/>
          <w:sz w:val="24"/>
          <w:szCs w:val="24"/>
        </w:rPr>
      </w:pPr>
      <w:r w:rsidRPr="00451B44">
        <w:rPr>
          <w:rFonts w:ascii="Times New Roman" w:hAnsi="Times New Roman" w:cs="Times New Roman"/>
          <w:b/>
          <w:bCs/>
          <w:sz w:val="24"/>
          <w:szCs w:val="24"/>
        </w:rPr>
        <w:t>Nucellus PCD</w:t>
      </w:r>
    </w:p>
    <w:p w:rsidR="004B4E5E" w:rsidRPr="00451B44" w:rsidRDefault="005C674D" w:rsidP="002B4B8D">
      <w:pPr>
        <w:autoSpaceDE w:val="0"/>
        <w:autoSpaceDN w:val="0"/>
        <w:adjustRightInd w:val="0"/>
        <w:spacing w:after="0" w:line="480" w:lineRule="auto"/>
        <w:rPr>
          <w:rFonts w:ascii="Times New Roman" w:hAnsi="Times New Roman" w:cs="Times New Roman"/>
          <w:sz w:val="24"/>
          <w:szCs w:val="24"/>
        </w:rPr>
      </w:pPr>
      <w:r w:rsidRPr="00086ED6">
        <w:rPr>
          <w:rFonts w:ascii="Times New Roman" w:hAnsi="Times New Roman" w:cs="Times New Roman"/>
          <w:sz w:val="24"/>
          <w:szCs w:val="24"/>
        </w:rPr>
        <w:t>In angiosperms, the nucellus contains the embryo sac and is surrounded by the integuments. As occurs in the majority of known examples, the nucellus begins to degenerate immediately after fertilisation and in doing so, provides nutrients to the young embryo and the growing endosperm, leaving a cavity into which the embryo and endosperm grow.</w:t>
      </w:r>
      <w:r w:rsidR="004B4E5E">
        <w:rPr>
          <w:rFonts w:ascii="Times New Roman" w:hAnsi="Times New Roman" w:cs="Times New Roman"/>
          <w:sz w:val="24"/>
          <w:szCs w:val="24"/>
        </w:rPr>
        <w:t xml:space="preserve"> </w:t>
      </w:r>
      <w:r w:rsidR="004B4E5E" w:rsidRPr="00451B44">
        <w:rPr>
          <w:rFonts w:ascii="Times New Roman" w:hAnsi="Times New Roman" w:cs="Times New Roman"/>
          <w:sz w:val="24"/>
          <w:szCs w:val="24"/>
        </w:rPr>
        <w:t xml:space="preserve">Greenwood </w:t>
      </w:r>
      <w:r w:rsidR="004B4E5E" w:rsidRPr="00451B44">
        <w:rPr>
          <w:rFonts w:ascii="Times New Roman" w:hAnsi="Times New Roman" w:cs="Times New Roman"/>
          <w:i/>
          <w:iCs/>
          <w:sz w:val="24"/>
          <w:szCs w:val="24"/>
        </w:rPr>
        <w:t>et al.</w:t>
      </w:r>
      <w:r w:rsidR="004B4E5E" w:rsidRPr="00451B44">
        <w:rPr>
          <w:rFonts w:ascii="Times New Roman" w:hAnsi="Times New Roman" w:cs="Times New Roman"/>
          <w:sz w:val="24"/>
          <w:szCs w:val="24"/>
        </w:rPr>
        <w:t xml:space="preserve"> </w:t>
      </w:r>
      <w:r w:rsidR="004B4E5E" w:rsidRPr="00451B44">
        <w:rPr>
          <w:rFonts w:ascii="Times New Roman" w:hAnsi="Times New Roman" w:cs="Times New Roman"/>
          <w:noProof/>
          <w:sz w:val="24"/>
          <w:szCs w:val="24"/>
        </w:rPr>
        <w:t>(2005)</w:t>
      </w:r>
      <w:r w:rsidR="004B4E5E" w:rsidRPr="00451B44">
        <w:rPr>
          <w:rFonts w:ascii="Times New Roman" w:hAnsi="Times New Roman" w:cs="Times New Roman"/>
          <w:sz w:val="24"/>
          <w:szCs w:val="24"/>
        </w:rPr>
        <w:t xml:space="preserve"> used electron micrography to identify labyrinthine ingrowths on the thin external walls of expanding endosperm cells, these ingrowths being morphologically characteristic of cells that carry out a transfer function. These transfer cells were situated on the outmost layer of the endosperm, which suggests the catabolites released by the</w:t>
      </w:r>
      <w:r w:rsidR="004B4E5E" w:rsidRPr="00451B44">
        <w:rPr>
          <w:rFonts w:ascii="Times New Roman" w:hAnsi="Times New Roman" w:cs="Times New Roman"/>
          <w:b/>
          <w:bCs/>
          <w:sz w:val="24"/>
          <w:szCs w:val="24"/>
        </w:rPr>
        <w:t xml:space="preserve"> </w:t>
      </w:r>
      <w:r w:rsidR="004B4E5E" w:rsidRPr="00451B44">
        <w:rPr>
          <w:rFonts w:ascii="Times New Roman" w:hAnsi="Times New Roman" w:cs="Times New Roman"/>
          <w:sz w:val="24"/>
          <w:szCs w:val="24"/>
        </w:rPr>
        <w:t xml:space="preserve">dying nucellar cells are taken up via these morphologically differentiated cells. Although the nucellar cells take on a crushed appearance in line with the expanding endosperm, it has been frequently confirmed that nucellar cells are programmed to die rather than suffering gross mechanical damage which may induce a necrotic type death. </w:t>
      </w:r>
    </w:p>
    <w:p w:rsidR="004B4E5E" w:rsidRDefault="004B4E5E" w:rsidP="002B4B8D">
      <w:pPr>
        <w:autoSpaceDE w:val="0"/>
        <w:autoSpaceDN w:val="0"/>
        <w:adjustRightInd w:val="0"/>
        <w:spacing w:after="0" w:line="480" w:lineRule="auto"/>
        <w:rPr>
          <w:rFonts w:ascii="Times New Roman" w:hAnsi="Times New Roman" w:cs="Times New Roman"/>
          <w:sz w:val="24"/>
          <w:szCs w:val="24"/>
        </w:rPr>
      </w:pPr>
    </w:p>
    <w:p w:rsidR="004B4E5E" w:rsidRPr="00451B44" w:rsidRDefault="004B4E5E" w:rsidP="002B4B8D">
      <w:pPr>
        <w:autoSpaceDE w:val="0"/>
        <w:autoSpaceDN w:val="0"/>
        <w:adjustRightInd w:val="0"/>
        <w:spacing w:after="0" w:line="480" w:lineRule="auto"/>
        <w:rPr>
          <w:rFonts w:ascii="Times New Roman" w:hAnsi="Times New Roman" w:cs="Times New Roman"/>
          <w:sz w:val="24"/>
          <w:szCs w:val="24"/>
        </w:rPr>
      </w:pPr>
      <w:r w:rsidRPr="00451B44">
        <w:rPr>
          <w:rFonts w:ascii="Times New Roman" w:hAnsi="Times New Roman" w:cs="Times New Roman"/>
          <w:sz w:val="24"/>
          <w:szCs w:val="24"/>
        </w:rPr>
        <w:t xml:space="preserve">The degradation of the nucellus seems to occur in all flowering plants with some differences in the rate and pattern of breakdown between species. In studies of </w:t>
      </w:r>
      <w:r w:rsidRPr="00451B44">
        <w:rPr>
          <w:rFonts w:ascii="Times New Roman" w:hAnsi="Times New Roman" w:cs="Times New Roman"/>
          <w:i/>
          <w:iCs/>
          <w:sz w:val="24"/>
          <w:szCs w:val="24"/>
        </w:rPr>
        <w:t>Sechium edule</w:t>
      </w:r>
      <w:r w:rsidRPr="00451B44">
        <w:rPr>
          <w:rFonts w:ascii="Times New Roman" w:hAnsi="Times New Roman" w:cs="Times New Roman"/>
          <w:sz w:val="24"/>
          <w:szCs w:val="24"/>
        </w:rPr>
        <w:t xml:space="preserve"> (chayote), </w:t>
      </w:r>
      <w:r w:rsidRPr="00451B44">
        <w:rPr>
          <w:rFonts w:ascii="Times New Roman" w:hAnsi="Times New Roman" w:cs="Times New Roman"/>
          <w:i/>
          <w:iCs/>
          <w:sz w:val="24"/>
          <w:szCs w:val="24"/>
        </w:rPr>
        <w:t xml:space="preserve">Ricinus communis </w:t>
      </w:r>
      <w:r w:rsidRPr="00451B44">
        <w:rPr>
          <w:rFonts w:ascii="Times New Roman" w:hAnsi="Times New Roman" w:cs="Times New Roman"/>
          <w:sz w:val="24"/>
          <w:szCs w:val="24"/>
        </w:rPr>
        <w:t>(castor oil plant)</w:t>
      </w:r>
      <w:r w:rsidRPr="00451B44">
        <w:rPr>
          <w:rFonts w:ascii="Times New Roman" w:hAnsi="Times New Roman" w:cs="Times New Roman"/>
          <w:b/>
          <w:bCs/>
          <w:sz w:val="24"/>
          <w:szCs w:val="24"/>
        </w:rPr>
        <w:t xml:space="preserve"> </w:t>
      </w:r>
      <w:r w:rsidRPr="00451B44">
        <w:rPr>
          <w:rFonts w:ascii="Times New Roman" w:hAnsi="Times New Roman" w:cs="Times New Roman"/>
          <w:sz w:val="24"/>
          <w:szCs w:val="24"/>
        </w:rPr>
        <w:t xml:space="preserve">and </w:t>
      </w:r>
      <w:r w:rsidRPr="00451B44">
        <w:rPr>
          <w:rFonts w:ascii="Times New Roman" w:hAnsi="Times New Roman" w:cs="Times New Roman"/>
          <w:i/>
          <w:iCs/>
          <w:sz w:val="24"/>
          <w:szCs w:val="24"/>
        </w:rPr>
        <w:t>Triticium aestivum</w:t>
      </w:r>
      <w:r w:rsidRPr="00451B44">
        <w:rPr>
          <w:rFonts w:ascii="Times New Roman" w:hAnsi="Times New Roman" w:cs="Times New Roman"/>
          <w:sz w:val="24"/>
          <w:szCs w:val="24"/>
        </w:rPr>
        <w:t xml:space="preserve"> (wheat) researchers used the TUNEL assay to highlight DNA fragmentation during PCD of the nucellus. Interestingly, strong TUNEL staining was evident in only the first two to three layers of nucellar cells along the side of the nucellus closest to the expanding endosperm (Domínguez</w:t>
      </w:r>
      <w:r w:rsidRPr="00451B44">
        <w:rPr>
          <w:rFonts w:ascii="Times New Roman" w:hAnsi="Times New Roman" w:cs="Times New Roman"/>
          <w:i/>
          <w:iCs/>
          <w:sz w:val="24"/>
          <w:szCs w:val="24"/>
        </w:rPr>
        <w:t xml:space="preserve"> et al.</w:t>
      </w:r>
      <w:r w:rsidRPr="00451B44">
        <w:rPr>
          <w:rFonts w:ascii="Times New Roman" w:hAnsi="Times New Roman" w:cs="Times New Roman"/>
          <w:sz w:val="24"/>
          <w:szCs w:val="24"/>
        </w:rPr>
        <w:t>, 2001, Greenwood</w:t>
      </w:r>
      <w:r w:rsidRPr="00451B44">
        <w:rPr>
          <w:rFonts w:ascii="Times New Roman" w:hAnsi="Times New Roman" w:cs="Times New Roman"/>
          <w:i/>
          <w:iCs/>
          <w:sz w:val="24"/>
          <w:szCs w:val="24"/>
        </w:rPr>
        <w:t xml:space="preserve"> et al.</w:t>
      </w:r>
      <w:r w:rsidRPr="00451B44">
        <w:rPr>
          <w:rFonts w:ascii="Times New Roman" w:hAnsi="Times New Roman" w:cs="Times New Roman"/>
          <w:sz w:val="24"/>
          <w:szCs w:val="24"/>
        </w:rPr>
        <w:t>, 2005, Lombardi</w:t>
      </w:r>
      <w:r w:rsidRPr="00451B44">
        <w:rPr>
          <w:rFonts w:ascii="Times New Roman" w:hAnsi="Times New Roman" w:cs="Times New Roman"/>
          <w:i/>
          <w:iCs/>
          <w:sz w:val="24"/>
          <w:szCs w:val="24"/>
        </w:rPr>
        <w:t xml:space="preserve"> et al.</w:t>
      </w:r>
      <w:r w:rsidRPr="00451B44">
        <w:rPr>
          <w:rFonts w:ascii="Times New Roman" w:hAnsi="Times New Roman" w:cs="Times New Roman"/>
          <w:sz w:val="24"/>
          <w:szCs w:val="24"/>
        </w:rPr>
        <w:t xml:space="preserve">, 2007a).  Lombardi </w:t>
      </w:r>
      <w:r w:rsidRPr="00451B44">
        <w:rPr>
          <w:rFonts w:ascii="Times New Roman" w:hAnsi="Times New Roman" w:cs="Times New Roman"/>
          <w:i/>
          <w:iCs/>
          <w:sz w:val="24"/>
          <w:szCs w:val="24"/>
        </w:rPr>
        <w:t>et al.,</w:t>
      </w:r>
      <w:r w:rsidRPr="00451B44">
        <w:rPr>
          <w:rFonts w:ascii="Times New Roman" w:hAnsi="Times New Roman" w:cs="Times New Roman"/>
          <w:sz w:val="24"/>
          <w:szCs w:val="24"/>
        </w:rPr>
        <w:t xml:space="preserve"> </w:t>
      </w:r>
      <w:r w:rsidRPr="00451B44">
        <w:rPr>
          <w:rFonts w:ascii="Times New Roman" w:hAnsi="Times New Roman" w:cs="Times New Roman"/>
          <w:noProof/>
          <w:sz w:val="24"/>
          <w:szCs w:val="24"/>
        </w:rPr>
        <w:t>(2007b)</w:t>
      </w:r>
      <w:r w:rsidRPr="00451B44">
        <w:rPr>
          <w:rFonts w:ascii="Times New Roman" w:hAnsi="Times New Roman" w:cs="Times New Roman"/>
          <w:sz w:val="24"/>
          <w:szCs w:val="24"/>
        </w:rPr>
        <w:t xml:space="preserve"> also report the lack of a nucleolus in the outermost cells of the nucellar cells undergoing PCD in </w:t>
      </w:r>
      <w:r w:rsidRPr="00451B44">
        <w:rPr>
          <w:rFonts w:ascii="Times New Roman" w:hAnsi="Times New Roman" w:cs="Times New Roman"/>
          <w:i/>
          <w:iCs/>
          <w:sz w:val="24"/>
          <w:szCs w:val="24"/>
        </w:rPr>
        <w:t>Sechium edule</w:t>
      </w:r>
      <w:r w:rsidRPr="00451B44">
        <w:rPr>
          <w:rFonts w:ascii="Times New Roman" w:hAnsi="Times New Roman" w:cs="Times New Roman"/>
          <w:sz w:val="24"/>
          <w:szCs w:val="24"/>
        </w:rPr>
        <w:t xml:space="preserve">. Although not characterised as PCD at the time, similar DNA alterations were identified in the dying nucellar cells of </w:t>
      </w:r>
      <w:r w:rsidRPr="00451B44">
        <w:rPr>
          <w:rFonts w:ascii="Times New Roman" w:hAnsi="Times New Roman" w:cs="Times New Roman"/>
          <w:i/>
          <w:iCs/>
          <w:sz w:val="24"/>
          <w:szCs w:val="24"/>
        </w:rPr>
        <w:t xml:space="preserve">Oenothera biennis </w:t>
      </w:r>
      <w:r w:rsidRPr="00451B44">
        <w:rPr>
          <w:rFonts w:ascii="Times New Roman" w:hAnsi="Times New Roman" w:cs="Times New Roman"/>
          <w:sz w:val="24"/>
          <w:szCs w:val="24"/>
        </w:rPr>
        <w:t xml:space="preserve">(Evening Primrose) and </w:t>
      </w:r>
      <w:r w:rsidRPr="00451B44">
        <w:rPr>
          <w:rFonts w:ascii="Times New Roman" w:hAnsi="Times New Roman" w:cs="Times New Roman"/>
          <w:i/>
          <w:iCs/>
          <w:sz w:val="24"/>
          <w:szCs w:val="24"/>
        </w:rPr>
        <w:t xml:space="preserve">Hordeum vulgare </w:t>
      </w:r>
      <w:r w:rsidRPr="00451B44">
        <w:rPr>
          <w:rFonts w:ascii="Times New Roman" w:hAnsi="Times New Roman" w:cs="Times New Roman"/>
          <w:sz w:val="24"/>
          <w:szCs w:val="24"/>
        </w:rPr>
        <w:t>(barley) (de Halac, 1980, Norstog, 1974).</w:t>
      </w:r>
      <w:r w:rsidRPr="00451B44">
        <w:rPr>
          <w:rFonts w:ascii="Times New Roman" w:hAnsi="Times New Roman" w:cs="Times New Roman"/>
          <w:i/>
          <w:iCs/>
          <w:sz w:val="24"/>
          <w:szCs w:val="24"/>
        </w:rPr>
        <w:t xml:space="preserve"> </w:t>
      </w:r>
      <w:r w:rsidRPr="00451B44">
        <w:rPr>
          <w:rFonts w:ascii="Times New Roman" w:hAnsi="Times New Roman" w:cs="Times New Roman"/>
          <w:sz w:val="24"/>
          <w:szCs w:val="24"/>
        </w:rPr>
        <w:t xml:space="preserve">What </w:t>
      </w:r>
      <w:r>
        <w:rPr>
          <w:rFonts w:ascii="Times New Roman" w:hAnsi="Times New Roman" w:cs="Times New Roman"/>
          <w:sz w:val="24"/>
          <w:szCs w:val="24"/>
        </w:rPr>
        <w:t xml:space="preserve">initiates PCD in the nucellus? </w:t>
      </w:r>
      <w:r w:rsidRPr="00451B44">
        <w:rPr>
          <w:rFonts w:ascii="Times New Roman" w:hAnsi="Times New Roman" w:cs="Times New Roman"/>
          <w:sz w:val="24"/>
          <w:szCs w:val="24"/>
        </w:rPr>
        <w:t xml:space="preserve">Ricinosomes are organelles which originate from the lumen of the endoplasmic reticulum and have been identified as PCD elicitors during nucellus death in </w:t>
      </w:r>
      <w:r w:rsidRPr="00451B44">
        <w:rPr>
          <w:rFonts w:ascii="Times New Roman" w:hAnsi="Times New Roman" w:cs="Times New Roman"/>
          <w:i/>
          <w:iCs/>
          <w:sz w:val="24"/>
          <w:szCs w:val="24"/>
        </w:rPr>
        <w:t>Ricinus</w:t>
      </w:r>
      <w:r w:rsidRPr="00451B44">
        <w:rPr>
          <w:rFonts w:ascii="Times New Roman" w:hAnsi="Times New Roman" w:cs="Times New Roman"/>
          <w:sz w:val="24"/>
          <w:szCs w:val="24"/>
        </w:rPr>
        <w:t xml:space="preserve"> seeds. Previously, they have been labelled as cellular ‘bombers’ after it was documented that ricinosomes bud from the ER at the same time as extensive DNA breakdown is instigated during PCD </w:t>
      </w:r>
      <w:r w:rsidRPr="00451B44">
        <w:rPr>
          <w:rFonts w:ascii="Times New Roman" w:hAnsi="Times New Roman" w:cs="Times New Roman"/>
          <w:noProof/>
          <w:sz w:val="24"/>
          <w:szCs w:val="24"/>
        </w:rPr>
        <w:t>(Greenwood</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2005)</w:t>
      </w:r>
      <w:r w:rsidRPr="00451B44">
        <w:rPr>
          <w:rFonts w:ascii="Times New Roman" w:hAnsi="Times New Roman" w:cs="Times New Roman"/>
          <w:sz w:val="24"/>
          <w:szCs w:val="24"/>
        </w:rPr>
        <w:t>. Ricinosomes harbour a pro-cysteine endopeptidase (CysEP) enzyme with a wide-ranging affinity for different proteins targeted for breakdown during PCD (Than</w:t>
      </w:r>
      <w:r w:rsidRPr="00451B44">
        <w:rPr>
          <w:rFonts w:ascii="Times New Roman" w:hAnsi="Times New Roman" w:cs="Times New Roman"/>
          <w:i/>
          <w:iCs/>
          <w:sz w:val="24"/>
          <w:szCs w:val="24"/>
        </w:rPr>
        <w:t xml:space="preserve"> et al.</w:t>
      </w:r>
      <w:r w:rsidRPr="00451B44">
        <w:rPr>
          <w:rFonts w:ascii="Times New Roman" w:hAnsi="Times New Roman" w:cs="Times New Roman"/>
          <w:sz w:val="24"/>
          <w:szCs w:val="24"/>
        </w:rPr>
        <w:t>, 2004)</w:t>
      </w:r>
      <w:r w:rsidRPr="00451B44">
        <w:rPr>
          <w:rFonts w:ascii="Times New Roman" w:hAnsi="Times New Roman" w:cs="Times New Roman"/>
          <w:b/>
          <w:bCs/>
          <w:sz w:val="24"/>
          <w:szCs w:val="24"/>
        </w:rPr>
        <w:t xml:space="preserve">.  </w:t>
      </w:r>
      <w:r w:rsidRPr="00451B44">
        <w:rPr>
          <w:rFonts w:ascii="Times New Roman" w:hAnsi="Times New Roman" w:cs="Times New Roman"/>
          <w:sz w:val="24"/>
          <w:szCs w:val="24"/>
        </w:rPr>
        <w:t>Ricinosomes</w:t>
      </w:r>
      <w:r>
        <w:rPr>
          <w:rFonts w:ascii="Times New Roman" w:hAnsi="Times New Roman" w:cs="Times New Roman"/>
          <w:sz w:val="24"/>
          <w:szCs w:val="24"/>
        </w:rPr>
        <w:t>,</w:t>
      </w:r>
      <w:r w:rsidRPr="00451B44">
        <w:rPr>
          <w:rFonts w:ascii="Times New Roman" w:hAnsi="Times New Roman" w:cs="Times New Roman"/>
          <w:sz w:val="24"/>
          <w:szCs w:val="24"/>
        </w:rPr>
        <w:t xml:space="preserve"> and the role they play in senescing plant tissues</w:t>
      </w:r>
      <w:r>
        <w:rPr>
          <w:rFonts w:ascii="Times New Roman" w:hAnsi="Times New Roman" w:cs="Times New Roman"/>
          <w:sz w:val="24"/>
          <w:szCs w:val="24"/>
        </w:rPr>
        <w:t>,</w:t>
      </w:r>
      <w:r w:rsidRPr="00451B44">
        <w:rPr>
          <w:rFonts w:ascii="Times New Roman" w:hAnsi="Times New Roman" w:cs="Times New Roman"/>
          <w:sz w:val="24"/>
          <w:szCs w:val="24"/>
        </w:rPr>
        <w:t xml:space="preserve"> is extensively reviewed by Gietl and Schmid </w:t>
      </w:r>
      <w:r w:rsidRPr="00451B44">
        <w:rPr>
          <w:rFonts w:ascii="Times New Roman" w:hAnsi="Times New Roman" w:cs="Times New Roman"/>
          <w:noProof/>
          <w:sz w:val="24"/>
          <w:szCs w:val="24"/>
        </w:rPr>
        <w:t>(2001)</w:t>
      </w:r>
      <w:r w:rsidRPr="00451B44">
        <w:rPr>
          <w:rFonts w:ascii="Times New Roman" w:hAnsi="Times New Roman" w:cs="Times New Roman"/>
          <w:sz w:val="24"/>
          <w:szCs w:val="24"/>
        </w:rPr>
        <w:t xml:space="preserve">. Genomic studies aimed at examining </w:t>
      </w:r>
      <w:r>
        <w:rPr>
          <w:rFonts w:ascii="Times New Roman" w:hAnsi="Times New Roman" w:cs="Times New Roman"/>
          <w:sz w:val="24"/>
          <w:szCs w:val="24"/>
        </w:rPr>
        <w:t xml:space="preserve">the </w:t>
      </w:r>
      <w:r w:rsidRPr="00451B44">
        <w:rPr>
          <w:rFonts w:ascii="Times New Roman" w:hAnsi="Times New Roman" w:cs="Times New Roman"/>
          <w:sz w:val="24"/>
          <w:szCs w:val="24"/>
        </w:rPr>
        <w:t>activity of proteinases</w:t>
      </w:r>
      <w:r>
        <w:rPr>
          <w:rFonts w:ascii="Times New Roman" w:hAnsi="Times New Roman" w:cs="Times New Roman"/>
          <w:sz w:val="24"/>
          <w:szCs w:val="24"/>
        </w:rPr>
        <w:t>,</w:t>
      </w:r>
      <w:r w:rsidRPr="00451B44">
        <w:rPr>
          <w:rFonts w:ascii="Times New Roman" w:hAnsi="Times New Roman" w:cs="Times New Roman"/>
          <w:sz w:val="24"/>
          <w:szCs w:val="24"/>
        </w:rPr>
        <w:t xml:space="preserve"> and studies investigating the induction of plant metacaspases sensitive to specific inhibitors</w:t>
      </w:r>
      <w:r>
        <w:rPr>
          <w:rFonts w:ascii="Times New Roman" w:hAnsi="Times New Roman" w:cs="Times New Roman"/>
          <w:sz w:val="24"/>
          <w:szCs w:val="24"/>
        </w:rPr>
        <w:t>,</w:t>
      </w:r>
      <w:r w:rsidRPr="00451B44">
        <w:rPr>
          <w:rFonts w:ascii="Times New Roman" w:hAnsi="Times New Roman" w:cs="Times New Roman"/>
          <w:sz w:val="24"/>
          <w:szCs w:val="24"/>
        </w:rPr>
        <w:t xml:space="preserve"> have added to our knowledge of nucellus death. Chen and Foolad </w:t>
      </w:r>
      <w:r w:rsidRPr="00451B44">
        <w:rPr>
          <w:rFonts w:ascii="Times New Roman" w:hAnsi="Times New Roman" w:cs="Times New Roman"/>
          <w:noProof/>
          <w:sz w:val="24"/>
          <w:szCs w:val="24"/>
        </w:rPr>
        <w:t>(1997)</w:t>
      </w:r>
      <w:r w:rsidRPr="00451B44">
        <w:rPr>
          <w:rFonts w:ascii="Times New Roman" w:hAnsi="Times New Roman" w:cs="Times New Roman"/>
          <w:sz w:val="24"/>
          <w:szCs w:val="24"/>
        </w:rPr>
        <w:t xml:space="preserve"> identified the nucellin gene in nucellar cells of barley that functions as a protease during PCD and is upregulated in dying nucellar cells after fertilisation. Further work by Linnestad </w:t>
      </w:r>
      <w:r w:rsidRPr="00451B44">
        <w:rPr>
          <w:rFonts w:ascii="Times New Roman" w:hAnsi="Times New Roman" w:cs="Times New Roman"/>
          <w:noProof/>
          <w:sz w:val="24"/>
          <w:szCs w:val="24"/>
        </w:rPr>
        <w:t>(1998)</w:t>
      </w:r>
      <w:r w:rsidRPr="00451B44">
        <w:rPr>
          <w:rFonts w:ascii="Times New Roman" w:hAnsi="Times New Roman" w:cs="Times New Roman"/>
          <w:sz w:val="24"/>
          <w:szCs w:val="24"/>
        </w:rPr>
        <w:t xml:space="preserve"> localised the nucellin gene expression to the cell walls of barley nucellar cells, indicating that this particular protease may play a role in cell wall turnover. Furthermore, a rice ortholog of nucellin (named aspartic</w:t>
      </w:r>
      <w:r w:rsidRPr="00451B44">
        <w:rPr>
          <w:rFonts w:ascii="Times New Roman" w:hAnsi="Times New Roman" w:cs="Times New Roman"/>
          <w:sz w:val="24"/>
          <w:szCs w:val="24"/>
          <w:vertAlign w:val="superscript"/>
        </w:rPr>
        <w:t xml:space="preserve"> </w:t>
      </w:r>
      <w:r w:rsidRPr="00451B44">
        <w:rPr>
          <w:rFonts w:ascii="Times New Roman" w:hAnsi="Times New Roman" w:cs="Times New Roman"/>
          <w:sz w:val="24"/>
          <w:szCs w:val="24"/>
        </w:rPr>
        <w:t>protease1 (OsAsp1)</w:t>
      </w:r>
      <w:r>
        <w:rPr>
          <w:rFonts w:ascii="Times New Roman" w:hAnsi="Times New Roman" w:cs="Times New Roman"/>
          <w:sz w:val="24"/>
          <w:szCs w:val="24"/>
        </w:rPr>
        <w:t>)</w:t>
      </w:r>
      <w:r w:rsidRPr="00451B44">
        <w:rPr>
          <w:rFonts w:ascii="Times New Roman" w:hAnsi="Times New Roman" w:cs="Times New Roman"/>
          <w:sz w:val="24"/>
          <w:szCs w:val="24"/>
        </w:rPr>
        <w:t xml:space="preserve"> has been identified as a protease active during PCD in the nucellus of rice embryos </w:t>
      </w:r>
      <w:r w:rsidRPr="00451B44">
        <w:rPr>
          <w:rFonts w:ascii="Times New Roman" w:hAnsi="Times New Roman" w:cs="Times New Roman"/>
          <w:noProof/>
          <w:sz w:val="24"/>
          <w:szCs w:val="24"/>
        </w:rPr>
        <w:t>(Bi</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2005)</w:t>
      </w:r>
      <w:r w:rsidRPr="00451B44">
        <w:rPr>
          <w:rFonts w:ascii="Times New Roman" w:hAnsi="Times New Roman" w:cs="Times New Roman"/>
          <w:sz w:val="24"/>
          <w:szCs w:val="24"/>
        </w:rPr>
        <w:t xml:space="preserve">. A cysteine protease has also been localised to the nucellar cells during PCD in </w:t>
      </w:r>
      <w:r w:rsidRPr="00451B44">
        <w:rPr>
          <w:rFonts w:ascii="Times New Roman" w:hAnsi="Times New Roman" w:cs="Times New Roman"/>
          <w:i/>
          <w:iCs/>
          <w:sz w:val="24"/>
          <w:szCs w:val="24"/>
        </w:rPr>
        <w:t>Solanum melongena</w:t>
      </w:r>
      <w:r w:rsidRPr="00451B44">
        <w:rPr>
          <w:rFonts w:ascii="Times New Roman" w:hAnsi="Times New Roman" w:cs="Times New Roman"/>
          <w:sz w:val="24"/>
          <w:szCs w:val="24"/>
        </w:rPr>
        <w:t xml:space="preserve"> (Brinjal) </w:t>
      </w:r>
      <w:r w:rsidRPr="00451B44">
        <w:rPr>
          <w:rFonts w:ascii="Times New Roman" w:hAnsi="Times New Roman" w:cs="Times New Roman"/>
          <w:noProof/>
          <w:sz w:val="24"/>
          <w:szCs w:val="24"/>
        </w:rPr>
        <w:t>(Xu and Chye, 1999)</w:t>
      </w:r>
      <w:r w:rsidRPr="00451B44">
        <w:rPr>
          <w:rFonts w:ascii="Times New Roman" w:hAnsi="Times New Roman" w:cs="Times New Roman"/>
          <w:sz w:val="24"/>
          <w:szCs w:val="24"/>
        </w:rPr>
        <w:t>.</w:t>
      </w:r>
      <w:r w:rsidRPr="00451B44">
        <w:rPr>
          <w:rFonts w:ascii="Times New Roman" w:hAnsi="Times New Roman" w:cs="Times New Roman"/>
          <w:b/>
          <w:bCs/>
          <w:sz w:val="24"/>
          <w:szCs w:val="24"/>
        </w:rPr>
        <w:t xml:space="preserve"> </w:t>
      </w:r>
      <w:r w:rsidRPr="00451B44">
        <w:rPr>
          <w:rFonts w:ascii="Times New Roman" w:hAnsi="Times New Roman" w:cs="Times New Roman"/>
          <w:sz w:val="24"/>
          <w:szCs w:val="24"/>
        </w:rPr>
        <w:t xml:space="preserve">Lombardi </w:t>
      </w:r>
      <w:r w:rsidRPr="00451B44">
        <w:rPr>
          <w:rFonts w:ascii="Times New Roman" w:hAnsi="Times New Roman" w:cs="Times New Roman"/>
          <w:i/>
          <w:iCs/>
          <w:sz w:val="24"/>
          <w:szCs w:val="24"/>
        </w:rPr>
        <w:t>et al.</w:t>
      </w:r>
      <w:r w:rsidRPr="00451B44">
        <w:rPr>
          <w:rFonts w:ascii="Times New Roman" w:hAnsi="Times New Roman" w:cs="Times New Roman"/>
          <w:b/>
          <w:bCs/>
          <w:sz w:val="24"/>
          <w:szCs w:val="24"/>
        </w:rPr>
        <w:t xml:space="preserve"> </w:t>
      </w:r>
      <w:r w:rsidRPr="00451B44">
        <w:rPr>
          <w:rFonts w:ascii="Times New Roman" w:hAnsi="Times New Roman" w:cs="Times New Roman"/>
          <w:noProof/>
          <w:sz w:val="24"/>
          <w:szCs w:val="24"/>
        </w:rPr>
        <w:t>(2007a)</w:t>
      </w:r>
      <w:r w:rsidRPr="00451B44">
        <w:rPr>
          <w:rFonts w:ascii="Times New Roman" w:hAnsi="Times New Roman" w:cs="Times New Roman"/>
          <w:sz w:val="24"/>
          <w:szCs w:val="24"/>
        </w:rPr>
        <w:t xml:space="preserve"> highlighted increased activity of serine, aspartic, and cysteine proteases in the dying nucellar cells of </w:t>
      </w:r>
      <w:r w:rsidRPr="00451B44">
        <w:rPr>
          <w:rFonts w:ascii="Times New Roman" w:hAnsi="Times New Roman" w:cs="Times New Roman"/>
          <w:i/>
          <w:iCs/>
          <w:sz w:val="24"/>
          <w:szCs w:val="24"/>
        </w:rPr>
        <w:t>Sechium edule</w:t>
      </w:r>
      <w:r w:rsidRPr="00451B44">
        <w:rPr>
          <w:rFonts w:ascii="Times New Roman" w:hAnsi="Times New Roman" w:cs="Times New Roman"/>
          <w:sz w:val="24"/>
          <w:szCs w:val="24"/>
        </w:rPr>
        <w:t xml:space="preserve">. Of these proteases, the cysteine proteases are most closely related to the caspases responsible for PCD in animals. Lombardi </w:t>
      </w:r>
      <w:r w:rsidRPr="00451B44">
        <w:rPr>
          <w:rFonts w:ascii="Times New Roman" w:hAnsi="Times New Roman" w:cs="Times New Roman"/>
          <w:i/>
          <w:iCs/>
          <w:sz w:val="24"/>
          <w:szCs w:val="24"/>
        </w:rPr>
        <w:t>et al.</w:t>
      </w:r>
      <w:r w:rsidRPr="00451B44">
        <w:rPr>
          <w:rFonts w:ascii="Times New Roman" w:hAnsi="Times New Roman" w:cs="Times New Roman"/>
          <w:sz w:val="24"/>
          <w:szCs w:val="24"/>
        </w:rPr>
        <w:t xml:space="preserve"> </w:t>
      </w:r>
      <w:r w:rsidRPr="00451B44">
        <w:rPr>
          <w:rFonts w:ascii="Times New Roman" w:hAnsi="Times New Roman" w:cs="Times New Roman"/>
          <w:noProof/>
          <w:sz w:val="24"/>
          <w:szCs w:val="24"/>
        </w:rPr>
        <w:t>(2007b)</w:t>
      </w:r>
      <w:r w:rsidRPr="00451B44">
        <w:rPr>
          <w:rFonts w:ascii="Times New Roman" w:hAnsi="Times New Roman" w:cs="Times New Roman"/>
          <w:sz w:val="24"/>
          <w:szCs w:val="24"/>
        </w:rPr>
        <w:t xml:space="preserve"> further narrowed their search for a plant-like caspase, by confirming caspase-1, 3, and 6-like prote</w:t>
      </w:r>
      <w:r>
        <w:rPr>
          <w:rFonts w:ascii="Times New Roman" w:hAnsi="Times New Roman" w:cs="Times New Roman"/>
          <w:sz w:val="24"/>
          <w:szCs w:val="24"/>
        </w:rPr>
        <w:t>ase activity in the</w:t>
      </w:r>
      <w:r w:rsidRPr="00451B44">
        <w:rPr>
          <w:rFonts w:ascii="Times New Roman" w:hAnsi="Times New Roman" w:cs="Times New Roman"/>
          <w:sz w:val="24"/>
          <w:szCs w:val="24"/>
        </w:rPr>
        <w:t xml:space="preserve"> nucellar cells</w:t>
      </w:r>
      <w:r>
        <w:rPr>
          <w:rFonts w:ascii="Times New Roman" w:hAnsi="Times New Roman" w:cs="Times New Roman"/>
          <w:sz w:val="24"/>
          <w:szCs w:val="24"/>
        </w:rPr>
        <w:t xml:space="preserve"> undergoing PCD</w:t>
      </w:r>
      <w:r w:rsidRPr="00451B44">
        <w:rPr>
          <w:rFonts w:ascii="Times New Roman" w:hAnsi="Times New Roman" w:cs="Times New Roman"/>
          <w:sz w:val="24"/>
          <w:szCs w:val="24"/>
        </w:rPr>
        <w:t xml:space="preserve">.  </w:t>
      </w:r>
    </w:p>
    <w:p w:rsidR="004B4E5E" w:rsidRDefault="004B4E5E" w:rsidP="002B4B8D">
      <w:pPr>
        <w:autoSpaceDE w:val="0"/>
        <w:autoSpaceDN w:val="0"/>
        <w:adjustRightInd w:val="0"/>
        <w:spacing w:after="0" w:line="480" w:lineRule="auto"/>
        <w:rPr>
          <w:rFonts w:ascii="Times New Roman" w:hAnsi="Times New Roman" w:cs="Times New Roman"/>
          <w:sz w:val="24"/>
          <w:szCs w:val="24"/>
        </w:rPr>
      </w:pPr>
    </w:p>
    <w:p w:rsidR="004B4E5E" w:rsidRPr="00451B44" w:rsidRDefault="004B4E5E" w:rsidP="002B4B8D">
      <w:pPr>
        <w:autoSpaceDE w:val="0"/>
        <w:autoSpaceDN w:val="0"/>
        <w:adjustRightInd w:val="0"/>
        <w:spacing w:after="0" w:line="480" w:lineRule="auto"/>
        <w:rPr>
          <w:rFonts w:ascii="Times New Roman" w:hAnsi="Times New Roman" w:cs="Times New Roman"/>
          <w:sz w:val="24"/>
          <w:szCs w:val="24"/>
        </w:rPr>
      </w:pPr>
      <w:r w:rsidRPr="00451B44">
        <w:rPr>
          <w:rFonts w:ascii="Times New Roman" w:hAnsi="Times New Roman" w:cs="Times New Roman"/>
          <w:sz w:val="24"/>
          <w:szCs w:val="24"/>
        </w:rPr>
        <w:t xml:space="preserve">Recent studies have investigated </w:t>
      </w:r>
      <w:r>
        <w:rPr>
          <w:rFonts w:ascii="Times New Roman" w:hAnsi="Times New Roman" w:cs="Times New Roman"/>
          <w:sz w:val="24"/>
          <w:szCs w:val="24"/>
        </w:rPr>
        <w:t>possible l</w:t>
      </w:r>
      <w:r w:rsidRPr="00451B44">
        <w:rPr>
          <w:rFonts w:ascii="Times New Roman" w:hAnsi="Times New Roman" w:cs="Times New Roman"/>
          <w:sz w:val="24"/>
          <w:szCs w:val="24"/>
        </w:rPr>
        <w:t>inks between nucellus death and the growth of the pollen tube. Gymnosperm pollen tube growth progresses much more slowly tha</w:t>
      </w:r>
      <w:r>
        <w:rPr>
          <w:rFonts w:ascii="Times New Roman" w:hAnsi="Times New Roman" w:cs="Times New Roman"/>
          <w:sz w:val="24"/>
          <w:szCs w:val="24"/>
        </w:rPr>
        <w:t>n that of angiosperms making it</w:t>
      </w:r>
      <w:r w:rsidRPr="00451B44">
        <w:rPr>
          <w:rFonts w:ascii="Times New Roman" w:hAnsi="Times New Roman" w:cs="Times New Roman"/>
          <w:sz w:val="24"/>
          <w:szCs w:val="24"/>
        </w:rPr>
        <w:t xml:space="preserve"> an excellent model system for the study of nucellus breakdown.  Researchers examined </w:t>
      </w:r>
      <w:r w:rsidRPr="00451B44">
        <w:rPr>
          <w:rFonts w:ascii="Times New Roman" w:hAnsi="Times New Roman" w:cs="Times New Roman"/>
          <w:i/>
          <w:iCs/>
          <w:sz w:val="24"/>
          <w:szCs w:val="24"/>
        </w:rPr>
        <w:t xml:space="preserve">Pinus densiflora </w:t>
      </w:r>
      <w:r w:rsidRPr="00451B44">
        <w:rPr>
          <w:rFonts w:ascii="Times New Roman" w:hAnsi="Times New Roman" w:cs="Times New Roman"/>
          <w:sz w:val="24"/>
          <w:szCs w:val="24"/>
        </w:rPr>
        <w:t>(Japanese Red Pine ) pollen tube growth through the nucellus</w:t>
      </w:r>
      <w:r>
        <w:rPr>
          <w:rFonts w:ascii="Times New Roman" w:hAnsi="Times New Roman" w:cs="Times New Roman"/>
          <w:sz w:val="24"/>
          <w:szCs w:val="24"/>
        </w:rPr>
        <w:t>,</w:t>
      </w:r>
      <w:r w:rsidRPr="00451B44">
        <w:rPr>
          <w:rFonts w:ascii="Times New Roman" w:hAnsi="Times New Roman" w:cs="Times New Roman"/>
          <w:sz w:val="24"/>
          <w:szCs w:val="24"/>
        </w:rPr>
        <w:t xml:space="preserve"> and the level of TUNEL staining in the cells adjacent to it</w:t>
      </w:r>
      <w:r>
        <w:rPr>
          <w:rFonts w:ascii="Times New Roman" w:hAnsi="Times New Roman" w:cs="Times New Roman"/>
          <w:sz w:val="24"/>
          <w:szCs w:val="24"/>
        </w:rPr>
        <w:t>,</w:t>
      </w:r>
      <w:r w:rsidRPr="00451B44">
        <w:rPr>
          <w:rFonts w:ascii="Times New Roman" w:hAnsi="Times New Roman" w:cs="Times New Roman"/>
          <w:sz w:val="24"/>
          <w:szCs w:val="24"/>
        </w:rPr>
        <w:t xml:space="preserve"> and identified a layer of cells around the growing pollen tube that were dying by PCD. The nucellar cells nearest the pollen tube exhibited strong staining compared to the cells further away. In addition, as the tube grew further into the nucellus, pollen tube branching extended th</w:t>
      </w:r>
      <w:r>
        <w:rPr>
          <w:rFonts w:ascii="Times New Roman" w:hAnsi="Times New Roman" w:cs="Times New Roman"/>
          <w:sz w:val="24"/>
          <w:szCs w:val="24"/>
        </w:rPr>
        <w:t>e range of TUNEL positive cells</w:t>
      </w:r>
      <w:r w:rsidRPr="00451B44">
        <w:rPr>
          <w:rFonts w:ascii="Times New Roman" w:hAnsi="Times New Roman" w:cs="Times New Roman"/>
          <w:sz w:val="24"/>
          <w:szCs w:val="24"/>
        </w:rPr>
        <w:t xml:space="preserve"> </w:t>
      </w:r>
      <w:r w:rsidRPr="00451B44">
        <w:rPr>
          <w:rFonts w:ascii="Times New Roman" w:hAnsi="Times New Roman" w:cs="Times New Roman"/>
          <w:noProof/>
          <w:sz w:val="24"/>
          <w:szCs w:val="24"/>
        </w:rPr>
        <w:t>(Hiratsuka</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2002)</w:t>
      </w:r>
      <w:r w:rsidRPr="00451B44">
        <w:rPr>
          <w:rFonts w:ascii="Times New Roman" w:hAnsi="Times New Roman" w:cs="Times New Roman"/>
          <w:sz w:val="24"/>
          <w:szCs w:val="24"/>
        </w:rPr>
        <w:t xml:space="preserve">. Furthermore, ultrastructural examination of the nucellus has shown the death of nucellar cells next to the growing pollen tube tip of </w:t>
      </w:r>
      <w:r w:rsidRPr="00451B44">
        <w:rPr>
          <w:rFonts w:ascii="Times New Roman" w:hAnsi="Times New Roman" w:cs="Times New Roman"/>
          <w:i/>
          <w:iCs/>
          <w:sz w:val="24"/>
          <w:szCs w:val="24"/>
        </w:rPr>
        <w:t>Pseudotsuga menziesii</w:t>
      </w:r>
      <w:r w:rsidRPr="00451B44">
        <w:rPr>
          <w:rFonts w:ascii="Times New Roman" w:hAnsi="Times New Roman" w:cs="Times New Roman"/>
          <w:sz w:val="24"/>
          <w:szCs w:val="24"/>
        </w:rPr>
        <w:t xml:space="preserve"> (Douglas fir) </w:t>
      </w:r>
      <w:r w:rsidRPr="00451B44">
        <w:rPr>
          <w:rFonts w:ascii="Times New Roman" w:hAnsi="Times New Roman" w:cs="Times New Roman"/>
          <w:noProof/>
          <w:sz w:val="24"/>
          <w:szCs w:val="24"/>
        </w:rPr>
        <w:t>(Owens and Morris, 1990)</w:t>
      </w:r>
      <w:r w:rsidRPr="00451B44">
        <w:rPr>
          <w:rFonts w:ascii="Times New Roman" w:hAnsi="Times New Roman" w:cs="Times New Roman"/>
          <w:sz w:val="24"/>
          <w:szCs w:val="24"/>
        </w:rPr>
        <w:t xml:space="preserve">. However, these studies cannot be taken as </w:t>
      </w:r>
      <w:r>
        <w:rPr>
          <w:rFonts w:ascii="Times New Roman" w:hAnsi="Times New Roman" w:cs="Times New Roman"/>
          <w:sz w:val="24"/>
          <w:szCs w:val="24"/>
        </w:rPr>
        <w:t xml:space="preserve">definitive </w:t>
      </w:r>
      <w:r w:rsidRPr="00451B44">
        <w:rPr>
          <w:rFonts w:ascii="Times New Roman" w:hAnsi="Times New Roman" w:cs="Times New Roman"/>
          <w:sz w:val="24"/>
          <w:szCs w:val="24"/>
        </w:rPr>
        <w:t>evidence of pollen tube ind</w:t>
      </w:r>
      <w:r>
        <w:rPr>
          <w:rFonts w:ascii="Times New Roman" w:hAnsi="Times New Roman" w:cs="Times New Roman"/>
          <w:sz w:val="24"/>
          <w:szCs w:val="24"/>
        </w:rPr>
        <w:t>uced PCD, as in cotton</w:t>
      </w:r>
      <w:r w:rsidRPr="00451B44">
        <w:rPr>
          <w:rFonts w:ascii="Times New Roman" w:hAnsi="Times New Roman" w:cs="Times New Roman"/>
          <w:sz w:val="24"/>
          <w:szCs w:val="24"/>
        </w:rPr>
        <w:t xml:space="preserve"> a column of nucellar cells undergoes degeneration before the arrival of the pollen tube. The pattern of degeneration is from the embryo sac towards the micropyle </w:t>
      </w:r>
      <w:r w:rsidRPr="00451B44">
        <w:rPr>
          <w:rFonts w:ascii="Times New Roman" w:hAnsi="Times New Roman" w:cs="Times New Roman"/>
          <w:noProof/>
          <w:sz w:val="24"/>
          <w:szCs w:val="24"/>
        </w:rPr>
        <w:t>(Jensen, 1969)</w:t>
      </w:r>
      <w:r w:rsidRPr="00451B44">
        <w:rPr>
          <w:rFonts w:ascii="Times New Roman" w:hAnsi="Times New Roman" w:cs="Times New Roman"/>
          <w:sz w:val="24"/>
          <w:szCs w:val="24"/>
        </w:rPr>
        <w:t xml:space="preserve"> indicating that fertilisation is not always necessary to trigger PCD in the nucellus and perhaps, the death signal emanates from the embryo sac instead. </w:t>
      </w:r>
    </w:p>
    <w:p w:rsidR="004B4E5E" w:rsidRPr="00451B44" w:rsidRDefault="004B4E5E" w:rsidP="002B4B8D">
      <w:pPr>
        <w:autoSpaceDE w:val="0"/>
        <w:autoSpaceDN w:val="0"/>
        <w:adjustRightInd w:val="0"/>
        <w:spacing w:after="0" w:line="480" w:lineRule="auto"/>
        <w:rPr>
          <w:rFonts w:ascii="Times New Roman" w:hAnsi="Times New Roman" w:cs="Times New Roman"/>
          <w:sz w:val="24"/>
          <w:szCs w:val="24"/>
        </w:rPr>
      </w:pPr>
    </w:p>
    <w:p w:rsidR="004B4E5E" w:rsidRPr="00451B44" w:rsidRDefault="004B4E5E" w:rsidP="00BF42BA">
      <w:pPr>
        <w:pStyle w:val="ListParagraph"/>
        <w:numPr>
          <w:ilvl w:val="1"/>
          <w:numId w:val="29"/>
        </w:numPr>
        <w:autoSpaceDE w:val="0"/>
        <w:autoSpaceDN w:val="0"/>
        <w:adjustRightInd w:val="0"/>
        <w:spacing w:after="0" w:line="480" w:lineRule="auto"/>
        <w:ind w:left="3595" w:hanging="2177"/>
        <w:rPr>
          <w:rFonts w:ascii="Times New Roman" w:hAnsi="Times New Roman" w:cs="Times New Roman"/>
          <w:b/>
          <w:bCs/>
          <w:sz w:val="24"/>
          <w:szCs w:val="24"/>
        </w:rPr>
      </w:pPr>
      <w:r>
        <w:rPr>
          <w:rFonts w:ascii="Times New Roman" w:hAnsi="Times New Roman" w:cs="Times New Roman"/>
          <w:b/>
          <w:bCs/>
          <w:sz w:val="24"/>
          <w:szCs w:val="24"/>
        </w:rPr>
        <w:t>Endosperm and aleurone cell PCD</w:t>
      </w:r>
      <w:r w:rsidRPr="00451B44">
        <w:rPr>
          <w:rFonts w:ascii="Times New Roman" w:hAnsi="Times New Roman" w:cs="Times New Roman"/>
          <w:b/>
          <w:bCs/>
          <w:sz w:val="24"/>
          <w:szCs w:val="24"/>
        </w:rPr>
        <w:t xml:space="preserve"> </w:t>
      </w:r>
    </w:p>
    <w:p w:rsidR="004B4E5E" w:rsidRPr="00451B44" w:rsidRDefault="004B4E5E" w:rsidP="002B4B8D">
      <w:pPr>
        <w:autoSpaceDE w:val="0"/>
        <w:autoSpaceDN w:val="0"/>
        <w:adjustRightInd w:val="0"/>
        <w:spacing w:after="0" w:line="480" w:lineRule="auto"/>
        <w:rPr>
          <w:rFonts w:ascii="Times New Roman" w:hAnsi="Times New Roman" w:cs="Times New Roman"/>
          <w:sz w:val="24"/>
          <w:szCs w:val="24"/>
        </w:rPr>
      </w:pPr>
      <w:r w:rsidRPr="00451B44">
        <w:rPr>
          <w:rFonts w:ascii="Times New Roman" w:hAnsi="Times New Roman" w:cs="Times New Roman"/>
          <w:sz w:val="24"/>
          <w:szCs w:val="24"/>
        </w:rPr>
        <w:t>The endosperm of angiosperms functions as</w:t>
      </w:r>
      <w:r>
        <w:rPr>
          <w:rFonts w:ascii="Times New Roman" w:hAnsi="Times New Roman" w:cs="Times New Roman"/>
          <w:sz w:val="24"/>
          <w:szCs w:val="24"/>
        </w:rPr>
        <w:t xml:space="preserve"> a nutrient storage tissue for the</w:t>
      </w:r>
      <w:r w:rsidRPr="00451B44">
        <w:rPr>
          <w:rFonts w:ascii="Times New Roman" w:hAnsi="Times New Roman" w:cs="Times New Roman"/>
          <w:sz w:val="24"/>
          <w:szCs w:val="24"/>
        </w:rPr>
        <w:t xml:space="preserve"> seedling during germination </w:t>
      </w:r>
      <w:r w:rsidRPr="00451B44">
        <w:rPr>
          <w:rFonts w:ascii="Times New Roman" w:hAnsi="Times New Roman" w:cs="Times New Roman"/>
          <w:noProof/>
          <w:sz w:val="24"/>
          <w:szCs w:val="24"/>
        </w:rPr>
        <w:t>(Olsen, 1998)</w:t>
      </w:r>
      <w:r w:rsidRPr="00451B44">
        <w:rPr>
          <w:rFonts w:ascii="Times New Roman" w:hAnsi="Times New Roman" w:cs="Times New Roman"/>
          <w:sz w:val="24"/>
          <w:szCs w:val="24"/>
        </w:rPr>
        <w:t>. There is diversity among flowering plant species in the nature of the food reserves stored in the endosperm, for example</w:t>
      </w:r>
      <w:r>
        <w:rPr>
          <w:rFonts w:ascii="Times New Roman" w:hAnsi="Times New Roman" w:cs="Times New Roman"/>
          <w:sz w:val="24"/>
          <w:szCs w:val="24"/>
        </w:rPr>
        <w:t>,</w:t>
      </w:r>
      <w:r w:rsidRPr="00451B44">
        <w:rPr>
          <w:rFonts w:ascii="Times New Roman" w:hAnsi="Times New Roman" w:cs="Times New Roman"/>
          <w:sz w:val="24"/>
          <w:szCs w:val="24"/>
        </w:rPr>
        <w:t xml:space="preserve"> starch-laden a</w:t>
      </w:r>
      <w:r>
        <w:rPr>
          <w:rFonts w:ascii="Times New Roman" w:hAnsi="Times New Roman" w:cs="Times New Roman"/>
          <w:sz w:val="24"/>
          <w:szCs w:val="24"/>
        </w:rPr>
        <w:t xml:space="preserve">myloplasts and protein bodies, </w:t>
      </w:r>
      <w:r w:rsidRPr="00451B44">
        <w:rPr>
          <w:rFonts w:ascii="Times New Roman" w:hAnsi="Times New Roman" w:cs="Times New Roman"/>
          <w:sz w:val="24"/>
          <w:szCs w:val="24"/>
        </w:rPr>
        <w:t xml:space="preserve">lipids, a variety of carbohydrates and a miscellaneous array of other organic and inorganic molecules </w:t>
      </w:r>
      <w:r w:rsidRPr="00451B44">
        <w:rPr>
          <w:rFonts w:ascii="Times New Roman" w:hAnsi="Times New Roman" w:cs="Times New Roman"/>
          <w:noProof/>
          <w:sz w:val="24"/>
          <w:szCs w:val="24"/>
        </w:rPr>
        <w:t>(Lopes and Larkins, 1993)</w:t>
      </w:r>
      <w:r w:rsidRPr="00451B44">
        <w:rPr>
          <w:rFonts w:ascii="Times New Roman" w:hAnsi="Times New Roman" w:cs="Times New Roman"/>
          <w:sz w:val="24"/>
          <w:szCs w:val="24"/>
        </w:rPr>
        <w:t>. The endosperm is usually comprised of two different tissues. The aleurone layer, usually only one cell thick in most cereals but morphologically diverse between species, surrounds the endosperm (Fath</w:t>
      </w:r>
      <w:r w:rsidRPr="00451B44">
        <w:rPr>
          <w:rFonts w:ascii="Times New Roman" w:hAnsi="Times New Roman" w:cs="Times New Roman"/>
          <w:i/>
          <w:iCs/>
          <w:sz w:val="24"/>
          <w:szCs w:val="24"/>
        </w:rPr>
        <w:t xml:space="preserve"> et al.</w:t>
      </w:r>
      <w:r w:rsidRPr="00451B44">
        <w:rPr>
          <w:rFonts w:ascii="Times New Roman" w:hAnsi="Times New Roman" w:cs="Times New Roman"/>
          <w:sz w:val="24"/>
          <w:szCs w:val="24"/>
        </w:rPr>
        <w:t>, 2000, Mrva</w:t>
      </w:r>
      <w:r w:rsidRPr="00451B44">
        <w:rPr>
          <w:rFonts w:ascii="Times New Roman" w:hAnsi="Times New Roman" w:cs="Times New Roman"/>
          <w:i/>
          <w:iCs/>
          <w:sz w:val="24"/>
          <w:szCs w:val="24"/>
        </w:rPr>
        <w:t xml:space="preserve"> et al.</w:t>
      </w:r>
      <w:r w:rsidRPr="00451B44">
        <w:rPr>
          <w:rFonts w:ascii="Times New Roman" w:hAnsi="Times New Roman" w:cs="Times New Roman"/>
          <w:sz w:val="24"/>
          <w:szCs w:val="24"/>
        </w:rPr>
        <w:t xml:space="preserve">, 2006). The endosperm cells begin to undergo PCD until eventually, all but the outermost cells die.  The outermost layer of cells becomes the aleurone layer and in contrast to the endosperm cells, this layer remains viable even in the mature seed stage with death delayed until just after germination </w:t>
      </w:r>
      <w:r w:rsidRPr="00451B44">
        <w:rPr>
          <w:rFonts w:ascii="Times New Roman" w:hAnsi="Times New Roman" w:cs="Times New Roman"/>
          <w:noProof/>
          <w:sz w:val="24"/>
          <w:szCs w:val="24"/>
        </w:rPr>
        <w:t>(Fath</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2000)</w:t>
      </w:r>
      <w:r w:rsidRPr="00451B44">
        <w:rPr>
          <w:rFonts w:ascii="Times New Roman" w:hAnsi="Times New Roman" w:cs="Times New Roman"/>
          <w:sz w:val="24"/>
          <w:szCs w:val="24"/>
        </w:rPr>
        <w:t xml:space="preserve">. Gymnosperms lack an endosperm but alternatively, similar to the function of the endosperm in angiosperms, it is proposed that the gymnosperm gametophyte mobilises nutrients to the gymnosperm seedling </w:t>
      </w:r>
      <w:r w:rsidRPr="00451B44">
        <w:rPr>
          <w:rFonts w:ascii="Times New Roman" w:hAnsi="Times New Roman" w:cs="Times New Roman"/>
          <w:noProof/>
          <w:sz w:val="24"/>
          <w:szCs w:val="24"/>
        </w:rPr>
        <w:t>(Baroux</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2002)</w:t>
      </w:r>
      <w:r w:rsidRPr="00451B44">
        <w:rPr>
          <w:rFonts w:ascii="Times New Roman" w:hAnsi="Times New Roman" w:cs="Times New Roman"/>
          <w:sz w:val="24"/>
          <w:szCs w:val="24"/>
        </w:rPr>
        <w:t xml:space="preserve">. Seed development ends in a maturation step that leads to a decline in the rate of accumulation of reserves and to dehydration and dormancy. A large body of work aimed at investigating hormonal interactions during the regulation of seed dormancy release and germination of seeds is reviewed comprehensively by Finch-Savage and Leubner-Metzger  </w:t>
      </w:r>
      <w:r w:rsidRPr="00451B44">
        <w:rPr>
          <w:rFonts w:ascii="Times New Roman" w:hAnsi="Times New Roman" w:cs="Times New Roman"/>
          <w:noProof/>
          <w:sz w:val="24"/>
          <w:szCs w:val="24"/>
        </w:rPr>
        <w:t>(2006)</w:t>
      </w:r>
      <w:r w:rsidRPr="00451B44">
        <w:rPr>
          <w:rFonts w:ascii="Times New Roman" w:hAnsi="Times New Roman" w:cs="Times New Roman"/>
          <w:sz w:val="24"/>
          <w:szCs w:val="24"/>
        </w:rPr>
        <w:t xml:space="preserve"> and Koornneef </w:t>
      </w:r>
      <w:r w:rsidRPr="00451B44">
        <w:rPr>
          <w:rFonts w:ascii="Times New Roman" w:hAnsi="Times New Roman" w:cs="Times New Roman"/>
          <w:i/>
          <w:iCs/>
          <w:sz w:val="24"/>
          <w:szCs w:val="24"/>
        </w:rPr>
        <w:t xml:space="preserve">et al., </w:t>
      </w:r>
      <w:r w:rsidRPr="00451B44">
        <w:rPr>
          <w:rFonts w:ascii="Times New Roman" w:hAnsi="Times New Roman" w:cs="Times New Roman"/>
          <w:noProof/>
          <w:sz w:val="24"/>
          <w:szCs w:val="24"/>
        </w:rPr>
        <w:t>(2002)</w:t>
      </w:r>
      <w:r w:rsidRPr="00451B44">
        <w:rPr>
          <w:rFonts w:ascii="Times New Roman" w:hAnsi="Times New Roman" w:cs="Times New Roman"/>
          <w:sz w:val="24"/>
          <w:szCs w:val="24"/>
        </w:rPr>
        <w:t xml:space="preserve"> but to remain within the scope of this review, we can presume that a fine balance between the endogenous levels of the PGRs, gibberellic acid (GA) and abscisic acid (ABA) regulate seed germination and subsequent PCD in the aleurone layer. As cereal seeds mature, the levels of ABA rise which serves to halt germination of an immature embryo </w:t>
      </w:r>
      <w:r w:rsidRPr="00451B44">
        <w:rPr>
          <w:rFonts w:ascii="Times New Roman" w:hAnsi="Times New Roman" w:cs="Times New Roman"/>
          <w:noProof/>
          <w:sz w:val="24"/>
          <w:szCs w:val="24"/>
        </w:rPr>
        <w:t>(Lopes and Larkins, 1993)</w:t>
      </w:r>
      <w:r w:rsidRPr="00451B44">
        <w:rPr>
          <w:rFonts w:ascii="Times New Roman" w:hAnsi="Times New Roman" w:cs="Times New Roman"/>
          <w:sz w:val="24"/>
          <w:szCs w:val="24"/>
        </w:rPr>
        <w:t>. Soon after germination begins, the embryo increases its production of GA and the aleurone cells begin synthesising and releasing a battery of hydrolytic enzymes such as</w:t>
      </w:r>
      <w:r w:rsidRPr="00451B44">
        <w:rPr>
          <w:rFonts w:ascii="Times New Roman" w:hAnsi="Times New Roman" w:cs="Times New Roman"/>
          <w:b/>
          <w:bCs/>
          <w:sz w:val="24"/>
          <w:szCs w:val="24"/>
        </w:rPr>
        <w:t xml:space="preserve"> </w:t>
      </w:r>
      <w:r w:rsidRPr="00451B44">
        <w:rPr>
          <w:rFonts w:ascii="Times New Roman" w:hAnsi="Times New Roman" w:cs="Times New Roman"/>
          <w:sz w:val="24"/>
          <w:szCs w:val="24"/>
        </w:rPr>
        <w:t xml:space="preserve">α-amylase </w:t>
      </w:r>
      <w:r w:rsidRPr="00451B44">
        <w:rPr>
          <w:rFonts w:ascii="Times New Roman" w:hAnsi="Times New Roman" w:cs="Times New Roman"/>
          <w:noProof/>
          <w:sz w:val="24"/>
          <w:szCs w:val="24"/>
        </w:rPr>
        <w:t>(Bethke</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1999)</w:t>
      </w:r>
      <w:r w:rsidRPr="00451B44">
        <w:rPr>
          <w:rFonts w:ascii="Times New Roman" w:hAnsi="Times New Roman" w:cs="Times New Roman"/>
          <w:sz w:val="24"/>
          <w:szCs w:val="24"/>
        </w:rPr>
        <w:t>. These enzymes breakdown lipids, proteins, nucleic acids and the cell wall polysaccharides of the endosperm during germination therefore mobilising nutrients to the growing plantlet (Mrva</w:t>
      </w:r>
      <w:r w:rsidRPr="00451B44">
        <w:rPr>
          <w:rFonts w:ascii="Times New Roman" w:hAnsi="Times New Roman" w:cs="Times New Roman"/>
          <w:i/>
          <w:iCs/>
          <w:sz w:val="24"/>
          <w:szCs w:val="24"/>
        </w:rPr>
        <w:t xml:space="preserve"> et al.</w:t>
      </w:r>
      <w:r w:rsidRPr="00451B44">
        <w:rPr>
          <w:rFonts w:ascii="Times New Roman" w:hAnsi="Times New Roman" w:cs="Times New Roman"/>
          <w:sz w:val="24"/>
          <w:szCs w:val="24"/>
        </w:rPr>
        <w:t>, 2006). Once it has completed its task and the endosperm is degraded, the aleurone layer is programmed to die by PCD (</w:t>
      </w:r>
      <w:r>
        <w:rPr>
          <w:rFonts w:ascii="Times New Roman" w:hAnsi="Times New Roman" w:cs="Times New Roman"/>
          <w:sz w:val="24"/>
          <w:szCs w:val="24"/>
        </w:rPr>
        <w:t>(Mrva</w:t>
      </w:r>
      <w:r w:rsidRPr="00E54DA4">
        <w:rPr>
          <w:rFonts w:ascii="Times New Roman" w:hAnsi="Times New Roman" w:cs="Times New Roman"/>
          <w:i/>
          <w:iCs/>
          <w:sz w:val="24"/>
          <w:szCs w:val="24"/>
        </w:rPr>
        <w:t xml:space="preserve"> et al.</w:t>
      </w:r>
      <w:r>
        <w:rPr>
          <w:rFonts w:ascii="Times New Roman" w:hAnsi="Times New Roman" w:cs="Times New Roman"/>
          <w:sz w:val="24"/>
          <w:szCs w:val="24"/>
        </w:rPr>
        <w:t>, 2006)</w:t>
      </w:r>
      <w:r w:rsidRPr="00451B44">
        <w:rPr>
          <w:rFonts w:ascii="Times New Roman" w:hAnsi="Times New Roman" w:cs="Times New Roman"/>
          <w:sz w:val="24"/>
          <w:szCs w:val="24"/>
        </w:rPr>
        <w:t xml:space="preserve"> and references therein.)</w:t>
      </w:r>
    </w:p>
    <w:p w:rsidR="004B4E5E" w:rsidRDefault="004B4E5E" w:rsidP="002B4B8D">
      <w:pPr>
        <w:autoSpaceDE w:val="0"/>
        <w:autoSpaceDN w:val="0"/>
        <w:adjustRightInd w:val="0"/>
        <w:spacing w:after="0" w:line="480" w:lineRule="auto"/>
        <w:rPr>
          <w:rFonts w:ascii="Times New Roman" w:hAnsi="Times New Roman" w:cs="Times New Roman"/>
          <w:sz w:val="24"/>
          <w:szCs w:val="24"/>
        </w:rPr>
      </w:pPr>
    </w:p>
    <w:p w:rsidR="004B4E5E" w:rsidRPr="00451B44" w:rsidRDefault="004B4E5E" w:rsidP="002B4B8D">
      <w:pPr>
        <w:autoSpaceDE w:val="0"/>
        <w:autoSpaceDN w:val="0"/>
        <w:adjustRightInd w:val="0"/>
        <w:spacing w:after="0" w:line="480" w:lineRule="auto"/>
        <w:rPr>
          <w:rFonts w:ascii="Times New Roman" w:hAnsi="Times New Roman" w:cs="Times New Roman"/>
          <w:sz w:val="24"/>
          <w:szCs w:val="24"/>
        </w:rPr>
      </w:pPr>
      <w:r w:rsidRPr="00451B44">
        <w:rPr>
          <w:rFonts w:ascii="Times New Roman" w:hAnsi="Times New Roman" w:cs="Times New Roman"/>
          <w:sz w:val="24"/>
          <w:szCs w:val="24"/>
        </w:rPr>
        <w:t xml:space="preserve">Until 1997, the role of the PGR ethylene in the onset of PCD in endosperm had not been elucidated.  Previously, ethylene had been implicated in the formation of aerenchyma in maize roots </w:t>
      </w:r>
      <w:r w:rsidRPr="00451B44">
        <w:rPr>
          <w:rFonts w:ascii="Times New Roman" w:hAnsi="Times New Roman" w:cs="Times New Roman"/>
          <w:noProof/>
          <w:sz w:val="24"/>
          <w:szCs w:val="24"/>
        </w:rPr>
        <w:t>(Campbell and Drew, 1983)</w:t>
      </w:r>
      <w:r w:rsidRPr="00451B44">
        <w:rPr>
          <w:rFonts w:ascii="Times New Roman" w:hAnsi="Times New Roman" w:cs="Times New Roman"/>
          <w:sz w:val="24"/>
          <w:szCs w:val="24"/>
        </w:rPr>
        <w:t xml:space="preserve"> and subsequently as a mediator in the signal transduction pa</w:t>
      </w:r>
      <w:r>
        <w:rPr>
          <w:rFonts w:ascii="Times New Roman" w:hAnsi="Times New Roman" w:cs="Times New Roman"/>
          <w:sz w:val="24"/>
          <w:szCs w:val="24"/>
        </w:rPr>
        <w:t xml:space="preserve">thway which leads to PCD after </w:t>
      </w:r>
      <w:r w:rsidRPr="00451B44">
        <w:rPr>
          <w:rFonts w:ascii="Times New Roman" w:hAnsi="Times New Roman" w:cs="Times New Roman"/>
          <w:sz w:val="24"/>
          <w:szCs w:val="24"/>
        </w:rPr>
        <w:t xml:space="preserve">the hypersensitive response in </w:t>
      </w:r>
      <w:r w:rsidRPr="00451B44">
        <w:rPr>
          <w:rFonts w:ascii="Times New Roman" w:hAnsi="Times New Roman" w:cs="Times New Roman"/>
          <w:i/>
          <w:iCs/>
          <w:sz w:val="24"/>
          <w:szCs w:val="24"/>
        </w:rPr>
        <w:t>Arabidopsis</w:t>
      </w:r>
      <w:r w:rsidRPr="00451B44">
        <w:rPr>
          <w:rFonts w:ascii="Times New Roman" w:hAnsi="Times New Roman" w:cs="Times New Roman"/>
          <w:sz w:val="24"/>
          <w:szCs w:val="24"/>
        </w:rPr>
        <w:t xml:space="preserve"> is trig</w:t>
      </w:r>
      <w:r>
        <w:rPr>
          <w:rFonts w:ascii="Times New Roman" w:hAnsi="Times New Roman" w:cs="Times New Roman"/>
          <w:sz w:val="24"/>
          <w:szCs w:val="24"/>
        </w:rPr>
        <w:t>gered by pathogen attack</w:t>
      </w:r>
      <w:r w:rsidRPr="00451B44">
        <w:rPr>
          <w:rFonts w:ascii="Times New Roman" w:hAnsi="Times New Roman" w:cs="Times New Roman"/>
          <w:sz w:val="24"/>
          <w:szCs w:val="24"/>
        </w:rPr>
        <w:t xml:space="preserve"> </w:t>
      </w:r>
      <w:r w:rsidRPr="00451B44">
        <w:rPr>
          <w:rFonts w:ascii="Times New Roman" w:hAnsi="Times New Roman" w:cs="Times New Roman"/>
          <w:noProof/>
          <w:sz w:val="24"/>
          <w:szCs w:val="24"/>
        </w:rPr>
        <w:t>(Greenberg and Ausubel, 1993)</w:t>
      </w:r>
      <w:r w:rsidRPr="00451B44">
        <w:rPr>
          <w:rFonts w:ascii="Times New Roman" w:hAnsi="Times New Roman" w:cs="Times New Roman"/>
          <w:sz w:val="24"/>
          <w:szCs w:val="24"/>
        </w:rPr>
        <w:t>. Beltrano</w:t>
      </w:r>
      <w:r w:rsidRPr="00451B44">
        <w:rPr>
          <w:rFonts w:ascii="Times New Roman" w:hAnsi="Times New Roman" w:cs="Times New Roman"/>
          <w:i/>
          <w:iCs/>
          <w:sz w:val="24"/>
          <w:szCs w:val="24"/>
        </w:rPr>
        <w:t xml:space="preserve"> et al., </w:t>
      </w:r>
      <w:r w:rsidRPr="00451B44">
        <w:rPr>
          <w:rFonts w:ascii="Times New Roman" w:hAnsi="Times New Roman" w:cs="Times New Roman"/>
          <w:noProof/>
          <w:sz w:val="24"/>
          <w:szCs w:val="24"/>
        </w:rPr>
        <w:t>(1994)</w:t>
      </w:r>
      <w:r w:rsidRPr="00451B44">
        <w:rPr>
          <w:rFonts w:ascii="Times New Roman" w:hAnsi="Times New Roman" w:cs="Times New Roman"/>
          <w:sz w:val="24"/>
          <w:szCs w:val="24"/>
        </w:rPr>
        <w:t xml:space="preserve"> investigated wheat ear maturation and found that ethylene positively regulated grain maturation. In light of these studies, </w:t>
      </w:r>
      <w:r>
        <w:rPr>
          <w:rFonts w:ascii="Times New Roman" w:hAnsi="Times New Roman" w:cs="Times New Roman"/>
          <w:sz w:val="24"/>
          <w:szCs w:val="24"/>
        </w:rPr>
        <w:t>a research team lead by Daniel</w:t>
      </w:r>
      <w:r w:rsidRPr="00451B44">
        <w:rPr>
          <w:rFonts w:ascii="Times New Roman" w:hAnsi="Times New Roman" w:cs="Times New Roman"/>
          <w:sz w:val="24"/>
          <w:szCs w:val="24"/>
        </w:rPr>
        <w:t xml:space="preserve"> Gallie, investigated whether ethylene signalling was required for the onset of PCD in the central endosperm of </w:t>
      </w:r>
      <w:r>
        <w:rPr>
          <w:rFonts w:ascii="Times New Roman" w:hAnsi="Times New Roman" w:cs="Times New Roman"/>
          <w:i/>
          <w:iCs/>
          <w:sz w:val="24"/>
          <w:szCs w:val="24"/>
        </w:rPr>
        <w:t>Z.</w:t>
      </w:r>
      <w:r w:rsidRPr="00451B44">
        <w:rPr>
          <w:rFonts w:ascii="Times New Roman" w:hAnsi="Times New Roman" w:cs="Times New Roman"/>
          <w:i/>
          <w:iCs/>
          <w:sz w:val="24"/>
          <w:szCs w:val="24"/>
        </w:rPr>
        <w:t xml:space="preserve"> mays</w:t>
      </w:r>
      <w:r>
        <w:rPr>
          <w:rFonts w:ascii="Times New Roman" w:hAnsi="Times New Roman" w:cs="Times New Roman"/>
          <w:sz w:val="24"/>
          <w:szCs w:val="24"/>
        </w:rPr>
        <w:t xml:space="preserve"> </w:t>
      </w:r>
      <w:r w:rsidRPr="00451B44">
        <w:rPr>
          <w:rFonts w:ascii="Times New Roman" w:hAnsi="Times New Roman" w:cs="Times New Roman"/>
          <w:sz w:val="24"/>
          <w:szCs w:val="24"/>
        </w:rPr>
        <w:t>and wheat (Young and Gallie, 2000b, Young</w:t>
      </w:r>
      <w:r w:rsidRPr="00451B44">
        <w:rPr>
          <w:rFonts w:ascii="Times New Roman" w:hAnsi="Times New Roman" w:cs="Times New Roman"/>
          <w:i/>
          <w:iCs/>
          <w:sz w:val="24"/>
          <w:szCs w:val="24"/>
        </w:rPr>
        <w:t xml:space="preserve"> et al.</w:t>
      </w:r>
      <w:r w:rsidRPr="00451B44">
        <w:rPr>
          <w:rFonts w:ascii="Times New Roman" w:hAnsi="Times New Roman" w:cs="Times New Roman"/>
          <w:sz w:val="24"/>
          <w:szCs w:val="24"/>
        </w:rPr>
        <w:t xml:space="preserve">, 1997). They found that when exogenous ethylene was applied to maize kernels and wheat ears throughout seed development, a greater amount of DNA fragmentation occurred and cell death manifested earlier and was more extensive. Additionally, they found that PCD patterning differs between maize and wheat. For instance in maize, PCD starts with the upper central endosperm and expands laterally, whereas PCD in the wheat endosperm is initiated and continues randomly. Is it now known that ethylene peaks during two distinct developmental phases. </w:t>
      </w:r>
      <w:r>
        <w:rPr>
          <w:rFonts w:ascii="Times New Roman" w:hAnsi="Times New Roman" w:cs="Times New Roman"/>
          <w:sz w:val="24"/>
          <w:szCs w:val="24"/>
        </w:rPr>
        <w:t>In maize t</w:t>
      </w:r>
      <w:r w:rsidRPr="00451B44">
        <w:rPr>
          <w:rFonts w:ascii="Times New Roman" w:hAnsi="Times New Roman" w:cs="Times New Roman"/>
          <w:sz w:val="24"/>
          <w:szCs w:val="24"/>
        </w:rPr>
        <w:t>he first peak corresponds with the morphological manifestation of</w:t>
      </w:r>
      <w:r>
        <w:rPr>
          <w:rFonts w:ascii="Times New Roman" w:hAnsi="Times New Roman" w:cs="Times New Roman"/>
          <w:sz w:val="24"/>
          <w:szCs w:val="24"/>
        </w:rPr>
        <w:t xml:space="preserve"> PCD in the endosperm</w:t>
      </w:r>
      <w:r w:rsidRPr="00451B44">
        <w:rPr>
          <w:rFonts w:ascii="Times New Roman" w:hAnsi="Times New Roman" w:cs="Times New Roman"/>
          <w:sz w:val="24"/>
          <w:szCs w:val="24"/>
        </w:rPr>
        <w:t xml:space="preserve"> and the latter coincides with an upregulation of nuclease activity and subsequent DNA fragmentation </w:t>
      </w:r>
      <w:r w:rsidRPr="00451B44">
        <w:rPr>
          <w:rFonts w:ascii="Times New Roman" w:hAnsi="Times New Roman" w:cs="Times New Roman"/>
          <w:noProof/>
          <w:sz w:val="24"/>
          <w:szCs w:val="24"/>
        </w:rPr>
        <w:t>(Young and Gallie, 2000a)</w:t>
      </w:r>
      <w:r w:rsidRPr="00451B44">
        <w:rPr>
          <w:rFonts w:ascii="Times New Roman" w:hAnsi="Times New Roman" w:cs="Times New Roman"/>
          <w:sz w:val="24"/>
          <w:szCs w:val="24"/>
        </w:rPr>
        <w:t xml:space="preserve">. Further work by Young and Gallie </w:t>
      </w:r>
      <w:r w:rsidRPr="00451B44">
        <w:rPr>
          <w:rFonts w:ascii="Times New Roman" w:hAnsi="Times New Roman" w:cs="Times New Roman"/>
          <w:noProof/>
          <w:sz w:val="24"/>
          <w:szCs w:val="24"/>
        </w:rPr>
        <w:t>(2000b)</w:t>
      </w:r>
      <w:r w:rsidRPr="00451B44">
        <w:rPr>
          <w:rFonts w:ascii="Times New Roman" w:hAnsi="Times New Roman" w:cs="Times New Roman"/>
          <w:sz w:val="24"/>
          <w:szCs w:val="24"/>
        </w:rPr>
        <w:t xml:space="preserve"> tested an inhibitor of ABA biosynthesis on ethylene production in maize and found that inhibition of ABA caused an increase in ethylene production which accelerated PCD in the endosperm. Overall, these results</w:t>
      </w:r>
      <w:r w:rsidRPr="00451B44">
        <w:rPr>
          <w:rFonts w:ascii="Times New Roman" w:hAnsi="Times New Roman" w:cs="Times New Roman"/>
          <w:color w:val="FF0000"/>
          <w:sz w:val="24"/>
          <w:szCs w:val="24"/>
        </w:rPr>
        <w:t xml:space="preserve"> </w:t>
      </w:r>
      <w:r w:rsidRPr="00451B44">
        <w:rPr>
          <w:rFonts w:ascii="Times New Roman" w:hAnsi="Times New Roman" w:cs="Times New Roman"/>
          <w:sz w:val="24"/>
          <w:szCs w:val="24"/>
        </w:rPr>
        <w:t xml:space="preserve">suggest that an imbalance in ABA and ethylene levels affects the initiation and subsequent rate of execution of PCD during maize endosperm development. More recent studies using wheat confirmed the findings reported in maize. Li </w:t>
      </w:r>
      <w:r w:rsidRPr="00451B44">
        <w:rPr>
          <w:rFonts w:ascii="Times New Roman" w:hAnsi="Times New Roman" w:cs="Times New Roman"/>
          <w:i/>
          <w:iCs/>
          <w:sz w:val="24"/>
          <w:szCs w:val="24"/>
        </w:rPr>
        <w:t>et al.</w:t>
      </w:r>
      <w:r w:rsidRPr="00451B44">
        <w:rPr>
          <w:rFonts w:ascii="Times New Roman" w:hAnsi="Times New Roman" w:cs="Times New Roman"/>
          <w:sz w:val="24"/>
          <w:szCs w:val="24"/>
        </w:rPr>
        <w:t xml:space="preserve"> </w:t>
      </w:r>
      <w:r w:rsidRPr="00451B44">
        <w:rPr>
          <w:rFonts w:ascii="Times New Roman" w:hAnsi="Times New Roman" w:cs="Times New Roman"/>
          <w:noProof/>
          <w:sz w:val="24"/>
          <w:szCs w:val="24"/>
        </w:rPr>
        <w:t>(2004)</w:t>
      </w:r>
      <w:r w:rsidRPr="00451B44">
        <w:rPr>
          <w:rFonts w:ascii="Times New Roman" w:hAnsi="Times New Roman" w:cs="Times New Roman"/>
          <w:sz w:val="24"/>
          <w:szCs w:val="24"/>
        </w:rPr>
        <w:t xml:space="preserve"> found that DNA fragmentation in wheat endosperm cells undergoing PCD could be accelerated by ethylene while treatment with ABA did not delay the onset of DNA fragmentation but did reduce the extent of DNA fragmentation. PCD in endosperm cells is not solely influenced by PGR fluctuations but is also accompanied by the accumulation of a spectrum of nuclease and protease activities. As was shown in nucellus PCD, an antibody against a cysteine endoprotease located ricinosomes in the cells of the endosperm of castor bean seeds </w:t>
      </w:r>
      <w:r w:rsidRPr="00451B44">
        <w:rPr>
          <w:rFonts w:ascii="Times New Roman" w:hAnsi="Times New Roman" w:cs="Times New Roman"/>
          <w:noProof/>
          <w:sz w:val="24"/>
          <w:szCs w:val="24"/>
        </w:rPr>
        <w:t>(Schmid</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1999)</w:t>
      </w:r>
      <w:r w:rsidRPr="00451B44">
        <w:rPr>
          <w:rFonts w:ascii="Times New Roman" w:hAnsi="Times New Roman" w:cs="Times New Roman"/>
          <w:sz w:val="24"/>
          <w:szCs w:val="24"/>
        </w:rPr>
        <w:t>. TUNEL staining revealed extensive DNA fragmentation which corresponded to release of ricinosomes into the</w:t>
      </w:r>
      <w:r>
        <w:rPr>
          <w:rFonts w:ascii="Times New Roman" w:hAnsi="Times New Roman" w:cs="Times New Roman"/>
          <w:sz w:val="24"/>
          <w:szCs w:val="24"/>
        </w:rPr>
        <w:t xml:space="preserve"> cytoplasm.</w:t>
      </w:r>
      <w:r w:rsidRPr="00451B44">
        <w:rPr>
          <w:rFonts w:ascii="Times New Roman" w:hAnsi="Times New Roman" w:cs="Times New Roman"/>
          <w:sz w:val="24"/>
          <w:szCs w:val="24"/>
        </w:rPr>
        <w:t xml:space="preserve"> VEIDase, a caspase-like</w:t>
      </w:r>
      <w:r>
        <w:rPr>
          <w:rFonts w:ascii="Times New Roman" w:hAnsi="Times New Roman" w:cs="Times New Roman"/>
          <w:sz w:val="24"/>
          <w:szCs w:val="24"/>
        </w:rPr>
        <w:t xml:space="preserve"> protease, homologous to</w:t>
      </w:r>
      <w:r w:rsidRPr="00451B44">
        <w:rPr>
          <w:rFonts w:ascii="Times New Roman" w:hAnsi="Times New Roman" w:cs="Times New Roman"/>
          <w:sz w:val="24"/>
          <w:szCs w:val="24"/>
        </w:rPr>
        <w:t xml:space="preserve"> mammal</w:t>
      </w:r>
      <w:r>
        <w:rPr>
          <w:rFonts w:ascii="Times New Roman" w:hAnsi="Times New Roman" w:cs="Times New Roman"/>
          <w:sz w:val="24"/>
          <w:szCs w:val="24"/>
        </w:rPr>
        <w:t>ian</w:t>
      </w:r>
      <w:r w:rsidRPr="00451B44">
        <w:rPr>
          <w:rFonts w:ascii="Times New Roman" w:hAnsi="Times New Roman" w:cs="Times New Roman"/>
          <w:sz w:val="24"/>
          <w:szCs w:val="24"/>
        </w:rPr>
        <w:t xml:space="preserve"> caspase-6</w:t>
      </w:r>
      <w:r>
        <w:rPr>
          <w:rFonts w:ascii="Times New Roman" w:hAnsi="Times New Roman" w:cs="Times New Roman"/>
          <w:sz w:val="24"/>
          <w:szCs w:val="24"/>
        </w:rPr>
        <w:t>,</w:t>
      </w:r>
      <w:r w:rsidRPr="00451B44">
        <w:rPr>
          <w:rFonts w:ascii="Times New Roman" w:hAnsi="Times New Roman" w:cs="Times New Roman"/>
          <w:sz w:val="24"/>
          <w:szCs w:val="24"/>
        </w:rPr>
        <w:t xml:space="preserve"> was shown to be localised </w:t>
      </w:r>
      <w:r w:rsidRPr="00451B44">
        <w:rPr>
          <w:rFonts w:ascii="Times New Roman" w:hAnsi="Times New Roman" w:cs="Times New Roman"/>
          <w:i/>
          <w:iCs/>
          <w:sz w:val="24"/>
          <w:szCs w:val="24"/>
        </w:rPr>
        <w:t>in vivo</w:t>
      </w:r>
      <w:r w:rsidRPr="00451B44">
        <w:rPr>
          <w:rFonts w:ascii="Times New Roman" w:hAnsi="Times New Roman" w:cs="Times New Roman"/>
          <w:sz w:val="24"/>
          <w:szCs w:val="24"/>
        </w:rPr>
        <w:t xml:space="preserve"> to vesicles in randomly distributed cells of the endosperm in developing barley caryopsis </w:t>
      </w:r>
      <w:r>
        <w:rPr>
          <w:rFonts w:ascii="Times New Roman" w:hAnsi="Times New Roman" w:cs="Times New Roman"/>
          <w:sz w:val="24"/>
          <w:szCs w:val="24"/>
        </w:rPr>
        <w:t>(Boren</w:t>
      </w:r>
      <w:r w:rsidRPr="00081AAD">
        <w:rPr>
          <w:rFonts w:ascii="Times New Roman" w:hAnsi="Times New Roman" w:cs="Times New Roman"/>
          <w:i/>
          <w:iCs/>
          <w:sz w:val="24"/>
          <w:szCs w:val="24"/>
        </w:rPr>
        <w:t xml:space="preserve"> et al.</w:t>
      </w:r>
      <w:r>
        <w:rPr>
          <w:rFonts w:ascii="Times New Roman" w:hAnsi="Times New Roman" w:cs="Times New Roman"/>
          <w:sz w:val="24"/>
          <w:szCs w:val="24"/>
        </w:rPr>
        <w:t>, 2006). Interestingly, these</w:t>
      </w:r>
      <w:r w:rsidRPr="00451B44">
        <w:rPr>
          <w:rFonts w:ascii="Times New Roman" w:hAnsi="Times New Roman" w:cs="Times New Roman"/>
          <w:sz w:val="24"/>
          <w:szCs w:val="24"/>
        </w:rPr>
        <w:t xml:space="preserve"> vesicles were identified as autophagosomes which could be indicative of autophagic cell death. </w:t>
      </w:r>
    </w:p>
    <w:p w:rsidR="004B4E5E" w:rsidRDefault="004B4E5E" w:rsidP="002B4B8D">
      <w:pPr>
        <w:autoSpaceDE w:val="0"/>
        <w:autoSpaceDN w:val="0"/>
        <w:adjustRightInd w:val="0"/>
        <w:spacing w:after="0" w:line="480" w:lineRule="auto"/>
        <w:rPr>
          <w:rFonts w:ascii="Times New Roman" w:hAnsi="Times New Roman" w:cs="Times New Roman"/>
          <w:sz w:val="24"/>
          <w:szCs w:val="24"/>
        </w:rPr>
      </w:pPr>
    </w:p>
    <w:p w:rsidR="004B4E5E" w:rsidRPr="00451B44" w:rsidRDefault="004B4E5E" w:rsidP="002B4B8D">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T</w:t>
      </w:r>
      <w:r w:rsidRPr="00451B44">
        <w:rPr>
          <w:rFonts w:ascii="Times New Roman" w:hAnsi="Times New Roman" w:cs="Times New Roman"/>
          <w:sz w:val="24"/>
          <w:szCs w:val="24"/>
        </w:rPr>
        <w:t>he characteristic hallmarks of apoptosis such as DNA fragmentation, plasma membrane and nuclear blebbing and formation of apoptotic bodies are ab</w:t>
      </w:r>
      <w:r>
        <w:rPr>
          <w:rFonts w:ascii="Times New Roman" w:hAnsi="Times New Roman" w:cs="Times New Roman"/>
          <w:sz w:val="24"/>
          <w:szCs w:val="24"/>
        </w:rPr>
        <w:t>sent in dying aleurone cells. A</w:t>
      </w:r>
      <w:r w:rsidRPr="00451B44">
        <w:rPr>
          <w:rFonts w:ascii="Times New Roman" w:hAnsi="Times New Roman" w:cs="Times New Roman"/>
          <w:sz w:val="24"/>
          <w:szCs w:val="24"/>
        </w:rPr>
        <w:t xml:space="preserve">leurone cells become highly vacuolarised prior to death </w:t>
      </w:r>
      <w:r w:rsidRPr="00451B44">
        <w:rPr>
          <w:rFonts w:ascii="Times New Roman" w:hAnsi="Times New Roman" w:cs="Times New Roman"/>
          <w:noProof/>
          <w:sz w:val="24"/>
          <w:szCs w:val="24"/>
        </w:rPr>
        <w:t>(Bethke</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1999)</w:t>
      </w:r>
      <w:r w:rsidRPr="00451B44">
        <w:rPr>
          <w:rFonts w:ascii="Times New Roman" w:hAnsi="Times New Roman" w:cs="Times New Roman"/>
          <w:sz w:val="24"/>
          <w:szCs w:val="24"/>
        </w:rPr>
        <w:t xml:space="preserve"> and death is triggered by a sudden loss of plasma membrane integrity resulting in cellular autolysis (Fath</w:t>
      </w:r>
      <w:r w:rsidRPr="00451B44">
        <w:rPr>
          <w:rFonts w:ascii="Times New Roman" w:hAnsi="Times New Roman" w:cs="Times New Roman"/>
          <w:i/>
          <w:iCs/>
          <w:sz w:val="24"/>
          <w:szCs w:val="24"/>
        </w:rPr>
        <w:t xml:space="preserve"> et al.</w:t>
      </w:r>
      <w:r w:rsidRPr="00451B44">
        <w:rPr>
          <w:rFonts w:ascii="Times New Roman" w:hAnsi="Times New Roman" w:cs="Times New Roman"/>
          <w:sz w:val="24"/>
          <w:szCs w:val="24"/>
        </w:rPr>
        <w:t>, 2000, Fath</w:t>
      </w:r>
      <w:r w:rsidRPr="00451B44">
        <w:rPr>
          <w:rFonts w:ascii="Times New Roman" w:hAnsi="Times New Roman" w:cs="Times New Roman"/>
          <w:i/>
          <w:iCs/>
          <w:sz w:val="24"/>
          <w:szCs w:val="24"/>
        </w:rPr>
        <w:t xml:space="preserve"> et al.</w:t>
      </w:r>
      <w:r w:rsidRPr="00451B44">
        <w:rPr>
          <w:rFonts w:ascii="Times New Roman" w:hAnsi="Times New Roman" w:cs="Times New Roman"/>
          <w:sz w:val="24"/>
          <w:szCs w:val="24"/>
        </w:rPr>
        <w:t xml:space="preserve">, 1999). PCD of the aleurone layer commences once germination is initiated which suggests that PCD in aleurone tissue could be influenced by environmental stimuli normally associated with germination. Germination is a stressful developmental stage for a plant therefore may have to have evolved methods of dealing with challenges such as </w:t>
      </w:r>
      <w:r w:rsidRPr="00451B44">
        <w:rPr>
          <w:rFonts w:ascii="Times New Roman" w:hAnsi="Times New Roman" w:cs="Times New Roman"/>
          <w:color w:val="000000"/>
          <w:sz w:val="24"/>
          <w:szCs w:val="24"/>
        </w:rPr>
        <w:t>hypoxia and osmotic stress. Consequently, it is possible that many interacting transduction pathways are present in aleurone cells making the elucidation of transduction pathways complicated. For example, ABA, GA and oxygen stress induce their own exclusive</w:t>
      </w:r>
      <w:r w:rsidRPr="00451B44">
        <w:rPr>
          <w:rFonts w:ascii="Times New Roman" w:hAnsi="Times New Roman" w:cs="Times New Roman"/>
          <w:color w:val="FF0000"/>
          <w:sz w:val="24"/>
          <w:szCs w:val="24"/>
        </w:rPr>
        <w:t xml:space="preserve"> </w:t>
      </w:r>
      <w:r w:rsidRPr="00451B44">
        <w:rPr>
          <w:rFonts w:ascii="Times New Roman" w:hAnsi="Times New Roman" w:cs="Times New Roman"/>
          <w:color w:val="000000"/>
          <w:sz w:val="24"/>
          <w:szCs w:val="24"/>
        </w:rPr>
        <w:t>responses while it has been shown that a simu</w:t>
      </w:r>
      <w:r>
        <w:rPr>
          <w:rFonts w:ascii="Times New Roman" w:hAnsi="Times New Roman" w:cs="Times New Roman"/>
          <w:color w:val="000000"/>
          <w:sz w:val="24"/>
          <w:szCs w:val="24"/>
        </w:rPr>
        <w:t>ltaneous lack of oxygen and ABA</w:t>
      </w:r>
      <w:r w:rsidRPr="00451B44">
        <w:rPr>
          <w:rFonts w:ascii="Times New Roman" w:hAnsi="Times New Roman" w:cs="Times New Roman"/>
          <w:color w:val="000000"/>
          <w:sz w:val="24"/>
          <w:szCs w:val="24"/>
        </w:rPr>
        <w:t xml:space="preserve">, alters the GA transduction pathway </w:t>
      </w:r>
      <w:r w:rsidRPr="00451B44">
        <w:rPr>
          <w:rFonts w:ascii="Times New Roman" w:hAnsi="Times New Roman" w:cs="Times New Roman"/>
          <w:noProof/>
          <w:color w:val="000000"/>
          <w:sz w:val="24"/>
          <w:szCs w:val="24"/>
        </w:rPr>
        <w:t>(Kuo</w:t>
      </w:r>
      <w:r w:rsidRPr="00451B44">
        <w:rPr>
          <w:rFonts w:ascii="Times New Roman" w:hAnsi="Times New Roman" w:cs="Times New Roman"/>
          <w:i/>
          <w:iCs/>
          <w:noProof/>
          <w:color w:val="000000"/>
          <w:sz w:val="24"/>
          <w:szCs w:val="24"/>
        </w:rPr>
        <w:t xml:space="preserve"> et al.</w:t>
      </w:r>
      <w:r w:rsidRPr="00451B44">
        <w:rPr>
          <w:rFonts w:ascii="Times New Roman" w:hAnsi="Times New Roman" w:cs="Times New Roman"/>
          <w:noProof/>
          <w:color w:val="000000"/>
          <w:sz w:val="24"/>
          <w:szCs w:val="24"/>
        </w:rPr>
        <w:t>, 1996)</w:t>
      </w:r>
      <w:r w:rsidRPr="00451B44">
        <w:rPr>
          <w:rFonts w:ascii="Times New Roman" w:hAnsi="Times New Roman" w:cs="Times New Roman"/>
          <w:color w:val="000000"/>
          <w:sz w:val="24"/>
          <w:szCs w:val="24"/>
        </w:rPr>
        <w:t xml:space="preserve">. </w:t>
      </w:r>
    </w:p>
    <w:p w:rsidR="004B4E5E" w:rsidRDefault="004B4E5E" w:rsidP="002B4B8D">
      <w:pPr>
        <w:spacing w:after="0" w:line="480" w:lineRule="auto"/>
        <w:rPr>
          <w:rFonts w:ascii="Times New Roman" w:hAnsi="Times New Roman" w:cs="Times New Roman"/>
          <w:sz w:val="24"/>
          <w:szCs w:val="24"/>
        </w:rPr>
      </w:pPr>
    </w:p>
    <w:p w:rsidR="004B4E5E" w:rsidRDefault="004B4E5E" w:rsidP="00E46935">
      <w:pPr>
        <w:spacing w:after="0" w:line="480" w:lineRule="auto"/>
        <w:rPr>
          <w:rFonts w:ascii="Times New Roman" w:hAnsi="Times New Roman" w:cs="Times New Roman"/>
          <w:sz w:val="24"/>
          <w:szCs w:val="24"/>
        </w:rPr>
      </w:pPr>
      <w:r w:rsidRPr="00451B44">
        <w:rPr>
          <w:rFonts w:ascii="Times New Roman" w:hAnsi="Times New Roman" w:cs="Times New Roman"/>
          <w:sz w:val="24"/>
          <w:szCs w:val="24"/>
        </w:rPr>
        <w:t xml:space="preserve">PCD in barley aleurone cells is accompanied by activation of nuclease and protease activity and the release of a range of hydrolases including, serine, aspartic and cysteine proteases. Domínguez and Cejudo </w:t>
      </w:r>
      <w:r w:rsidRPr="00451B44">
        <w:rPr>
          <w:rFonts w:ascii="Times New Roman" w:hAnsi="Times New Roman" w:cs="Times New Roman"/>
          <w:noProof/>
          <w:sz w:val="24"/>
          <w:szCs w:val="24"/>
        </w:rPr>
        <w:t>(1998)</w:t>
      </w:r>
      <w:r w:rsidRPr="00451B44">
        <w:rPr>
          <w:rFonts w:ascii="Times New Roman" w:hAnsi="Times New Roman" w:cs="Times New Roman"/>
          <w:sz w:val="24"/>
          <w:szCs w:val="24"/>
        </w:rPr>
        <w:t xml:space="preserve"> report that a serine-protease and a cysteine protease are expressed during PCD of the aleurone layer in wheat. Despite the evidence to suggest that proteases play a central role in cell death, a study by Bethke </w:t>
      </w:r>
      <w:r w:rsidRPr="00451B44">
        <w:rPr>
          <w:rFonts w:ascii="Times New Roman" w:hAnsi="Times New Roman" w:cs="Times New Roman"/>
          <w:i/>
          <w:iCs/>
          <w:sz w:val="24"/>
          <w:szCs w:val="24"/>
        </w:rPr>
        <w:t>et al.</w:t>
      </w:r>
      <w:r w:rsidRPr="00451B44">
        <w:rPr>
          <w:rFonts w:ascii="Times New Roman" w:hAnsi="Times New Roman" w:cs="Times New Roman"/>
          <w:sz w:val="24"/>
          <w:szCs w:val="24"/>
        </w:rPr>
        <w:t xml:space="preserve"> </w:t>
      </w:r>
      <w:r w:rsidRPr="00451B44">
        <w:rPr>
          <w:rFonts w:ascii="Times New Roman" w:hAnsi="Times New Roman" w:cs="Times New Roman"/>
          <w:noProof/>
          <w:sz w:val="24"/>
          <w:szCs w:val="24"/>
        </w:rPr>
        <w:t>(1999)</w:t>
      </w:r>
      <w:r w:rsidRPr="00451B44">
        <w:rPr>
          <w:rFonts w:ascii="Times New Roman" w:hAnsi="Times New Roman" w:cs="Times New Roman"/>
          <w:sz w:val="24"/>
          <w:szCs w:val="24"/>
        </w:rPr>
        <w:t xml:space="preserve"> cautioned against earmarking these proteases for consideration in the cellular autolysis death seen in aleurone death. This study treated barley aleurone protoplasts with media conditioned with the aforementioned hydrolases and PCD levels stayed unchanged. This suggests that it is not a toxic accumulation of hydrolytic enzymes that induce PCD in the aleurone cells. Subsequent examination of proteases which are synthesi</w:t>
      </w:r>
      <w:r>
        <w:rPr>
          <w:rFonts w:ascii="Times New Roman" w:hAnsi="Times New Roman" w:cs="Times New Roman"/>
          <w:sz w:val="24"/>
          <w:szCs w:val="24"/>
        </w:rPr>
        <w:t>s</w:t>
      </w:r>
      <w:r w:rsidRPr="00451B44">
        <w:rPr>
          <w:rFonts w:ascii="Times New Roman" w:hAnsi="Times New Roman" w:cs="Times New Roman"/>
          <w:sz w:val="24"/>
          <w:szCs w:val="24"/>
        </w:rPr>
        <w:t xml:space="preserve">ed but not secreted from the aleurone cells prompted the discovery of a candidate which may play a role in effecting cell death in the aleurone. RunbergRoos and Saarma </w:t>
      </w:r>
      <w:r w:rsidRPr="00451B44">
        <w:rPr>
          <w:rFonts w:ascii="Times New Roman" w:hAnsi="Times New Roman" w:cs="Times New Roman"/>
          <w:noProof/>
          <w:sz w:val="24"/>
          <w:szCs w:val="24"/>
        </w:rPr>
        <w:t>(1998)</w:t>
      </w:r>
      <w:r w:rsidRPr="00451B44">
        <w:rPr>
          <w:rFonts w:ascii="Times New Roman" w:hAnsi="Times New Roman" w:cs="Times New Roman"/>
          <w:sz w:val="24"/>
          <w:szCs w:val="24"/>
        </w:rPr>
        <w:t xml:space="preserve"> found accumulations of phytepsin during autolysis of developing TE and sieve cells in barley roots. Phytepsin is a plant homologue to cathepsin D, a mammalian lysosomal aspartic proteinase which has been shown to mediate PCD in HeLa cells. Thus protease mediated death may be an important facet of aleurone PCD. </w:t>
      </w:r>
    </w:p>
    <w:p w:rsidR="004B4E5E" w:rsidRDefault="004B4E5E" w:rsidP="00E46935">
      <w:pPr>
        <w:spacing w:after="0" w:line="480" w:lineRule="auto"/>
        <w:rPr>
          <w:rFonts w:ascii="Times New Roman" w:hAnsi="Times New Roman" w:cs="Times New Roman"/>
          <w:sz w:val="24"/>
          <w:szCs w:val="24"/>
        </w:rPr>
      </w:pPr>
    </w:p>
    <w:p w:rsidR="004B4E5E" w:rsidRDefault="004B4E5E" w:rsidP="00E46935">
      <w:pPr>
        <w:spacing w:after="0" w:line="480" w:lineRule="auto"/>
        <w:rPr>
          <w:rFonts w:ascii="Times New Roman" w:hAnsi="Times New Roman" w:cs="Times New Roman"/>
          <w:sz w:val="24"/>
          <w:szCs w:val="24"/>
        </w:rPr>
      </w:pPr>
      <w:r w:rsidRPr="00451B44">
        <w:rPr>
          <w:rFonts w:ascii="Times New Roman" w:hAnsi="Times New Roman" w:cs="Times New Roman"/>
          <w:sz w:val="24"/>
          <w:szCs w:val="24"/>
        </w:rPr>
        <w:t>In recent years, the aleurone layer has been used as a model system to examine the role of ROS in plant PCD. There are at least two proposed functions of ROS during plant PCD. Firstly, ROS in the form of hydrogen peroxide (H</w:t>
      </w:r>
      <w:r w:rsidRPr="00451B44">
        <w:rPr>
          <w:rFonts w:ascii="Times New Roman" w:hAnsi="Times New Roman" w:cs="Times New Roman"/>
          <w:sz w:val="24"/>
          <w:szCs w:val="24"/>
          <w:vertAlign w:val="subscript"/>
        </w:rPr>
        <w:t>2</w:t>
      </w:r>
      <w:r w:rsidRPr="00451B44">
        <w:rPr>
          <w:rFonts w:ascii="Times New Roman" w:hAnsi="Times New Roman" w:cs="Times New Roman"/>
          <w:sz w:val="24"/>
          <w:szCs w:val="24"/>
        </w:rPr>
        <w:t>O</w:t>
      </w:r>
      <w:r w:rsidRPr="00451B44">
        <w:rPr>
          <w:rFonts w:ascii="Times New Roman" w:hAnsi="Times New Roman" w:cs="Times New Roman"/>
          <w:sz w:val="24"/>
          <w:szCs w:val="24"/>
          <w:vertAlign w:val="subscript"/>
        </w:rPr>
        <w:t>2</w:t>
      </w:r>
      <w:r w:rsidRPr="00451B44">
        <w:rPr>
          <w:rFonts w:ascii="Times New Roman" w:hAnsi="Times New Roman" w:cs="Times New Roman"/>
          <w:sz w:val="24"/>
          <w:szCs w:val="24"/>
        </w:rPr>
        <w:t xml:space="preserve">), have been show to induce a cascade culminating in death </w:t>
      </w:r>
      <w:r w:rsidRPr="00451B44">
        <w:rPr>
          <w:rFonts w:ascii="Times New Roman" w:hAnsi="Times New Roman" w:cs="Times New Roman"/>
          <w:noProof/>
          <w:sz w:val="24"/>
          <w:szCs w:val="24"/>
        </w:rPr>
        <w:t>(Lamb and Dixon, 1997)</w:t>
      </w:r>
      <w:r w:rsidRPr="00451B44">
        <w:rPr>
          <w:rFonts w:ascii="Times New Roman" w:hAnsi="Times New Roman" w:cs="Times New Roman"/>
          <w:sz w:val="24"/>
          <w:szCs w:val="24"/>
        </w:rPr>
        <w:t>. Secondly, application of exogenous ROS can kill directly, as was the case when barley aleurone protoplasts were incubated with GA and media containing H</w:t>
      </w:r>
      <w:r w:rsidRPr="00451B44">
        <w:rPr>
          <w:rFonts w:ascii="Times New Roman" w:hAnsi="Times New Roman" w:cs="Times New Roman"/>
          <w:sz w:val="24"/>
          <w:szCs w:val="24"/>
          <w:vertAlign w:val="subscript"/>
        </w:rPr>
        <w:t>2</w:t>
      </w:r>
      <w:r w:rsidRPr="00451B44">
        <w:rPr>
          <w:rFonts w:ascii="Times New Roman" w:hAnsi="Times New Roman" w:cs="Times New Roman"/>
          <w:sz w:val="24"/>
          <w:szCs w:val="24"/>
        </w:rPr>
        <w:t>O</w:t>
      </w:r>
      <w:r w:rsidRPr="00451B44">
        <w:rPr>
          <w:rFonts w:ascii="Times New Roman" w:hAnsi="Times New Roman" w:cs="Times New Roman"/>
          <w:sz w:val="24"/>
          <w:szCs w:val="24"/>
          <w:vertAlign w:val="subscript"/>
        </w:rPr>
        <w:t>2</w:t>
      </w:r>
      <w:r>
        <w:rPr>
          <w:rFonts w:ascii="Times New Roman" w:hAnsi="Times New Roman" w:cs="Times New Roman"/>
          <w:sz w:val="24"/>
          <w:szCs w:val="24"/>
        </w:rPr>
        <w:t xml:space="preserve"> </w:t>
      </w:r>
      <w:r w:rsidRPr="00451B44">
        <w:rPr>
          <w:rFonts w:ascii="Times New Roman" w:hAnsi="Times New Roman" w:cs="Times New Roman"/>
          <w:noProof/>
          <w:sz w:val="24"/>
          <w:szCs w:val="24"/>
        </w:rPr>
        <w:t>(Bethke and Jones, 2001)</w:t>
      </w:r>
      <w:r w:rsidRPr="00451B44">
        <w:rPr>
          <w:rFonts w:ascii="Times New Roman" w:hAnsi="Times New Roman" w:cs="Times New Roman"/>
          <w:sz w:val="24"/>
          <w:szCs w:val="24"/>
        </w:rPr>
        <w:t xml:space="preserve">. The aleurone cells are rich in mitochondria and glyoxysomes </w:t>
      </w:r>
      <w:r w:rsidRPr="00451B44">
        <w:rPr>
          <w:rFonts w:ascii="Times New Roman" w:hAnsi="Times New Roman" w:cs="Times New Roman"/>
          <w:noProof/>
          <w:sz w:val="24"/>
          <w:szCs w:val="24"/>
        </w:rPr>
        <w:t>(Jones, 1969)</w:t>
      </w:r>
      <w:r w:rsidRPr="00451B44">
        <w:rPr>
          <w:rFonts w:ascii="Times New Roman" w:hAnsi="Times New Roman" w:cs="Times New Roman"/>
          <w:sz w:val="24"/>
          <w:szCs w:val="24"/>
        </w:rPr>
        <w:t xml:space="preserve">. Glyoxysomes harbour peroxisomal β-oxidation enzymes which hydrolyse fatty acids to acetyl-CoA during endosperm and aleurone degradation and in doing so, are natural producers of ROS in aleurone cells </w:t>
      </w:r>
      <w:r>
        <w:rPr>
          <w:rFonts w:ascii="Times New Roman" w:hAnsi="Times New Roman" w:cs="Times New Roman"/>
          <w:sz w:val="24"/>
          <w:szCs w:val="24"/>
        </w:rPr>
        <w:t>(del Rio</w:t>
      </w:r>
      <w:r w:rsidRPr="006944F9">
        <w:rPr>
          <w:rFonts w:ascii="Times New Roman" w:hAnsi="Times New Roman" w:cs="Times New Roman"/>
          <w:i/>
          <w:iCs/>
          <w:sz w:val="24"/>
          <w:szCs w:val="24"/>
        </w:rPr>
        <w:t xml:space="preserve"> et al.</w:t>
      </w:r>
      <w:r>
        <w:rPr>
          <w:rFonts w:ascii="Times New Roman" w:hAnsi="Times New Roman" w:cs="Times New Roman"/>
          <w:sz w:val="24"/>
          <w:szCs w:val="24"/>
        </w:rPr>
        <w:t>, 1998)</w:t>
      </w:r>
      <w:r w:rsidRPr="00451B44">
        <w:rPr>
          <w:rFonts w:ascii="Times New Roman" w:hAnsi="Times New Roman" w:cs="Times New Roman"/>
          <w:sz w:val="24"/>
          <w:szCs w:val="24"/>
        </w:rPr>
        <w:t xml:space="preserve">. Mitochondria are abundant in aleurone cells and are also potent producers of ROS via the electron transport chain during ATP production </w:t>
      </w:r>
      <w:r w:rsidRPr="00451B44">
        <w:rPr>
          <w:rFonts w:ascii="Times New Roman" w:hAnsi="Times New Roman" w:cs="Times New Roman"/>
          <w:noProof/>
          <w:sz w:val="24"/>
          <w:szCs w:val="24"/>
        </w:rPr>
        <w:t>(Maxwell</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1999)</w:t>
      </w:r>
      <w:r w:rsidRPr="00451B44">
        <w:rPr>
          <w:rFonts w:ascii="Times New Roman" w:hAnsi="Times New Roman" w:cs="Times New Roman"/>
          <w:sz w:val="24"/>
          <w:szCs w:val="24"/>
        </w:rPr>
        <w:t xml:space="preserve">. Research has shown that altered electron transport in transgenic </w:t>
      </w:r>
      <w:r w:rsidRPr="00451B44">
        <w:rPr>
          <w:rFonts w:ascii="Times New Roman" w:hAnsi="Times New Roman" w:cs="Times New Roman"/>
          <w:i/>
          <w:iCs/>
          <w:sz w:val="24"/>
          <w:szCs w:val="24"/>
        </w:rPr>
        <w:t>Nicotiana tabacum</w:t>
      </w:r>
      <w:r w:rsidRPr="00451B44">
        <w:rPr>
          <w:rFonts w:ascii="Times New Roman" w:hAnsi="Times New Roman" w:cs="Times New Roman"/>
          <w:sz w:val="24"/>
          <w:szCs w:val="24"/>
        </w:rPr>
        <w:t xml:space="preserve"> (tobacco) without mitochondrial</w:t>
      </w:r>
      <w:r w:rsidRPr="00451B44">
        <w:rPr>
          <w:rFonts w:ascii="Times New Roman" w:hAnsi="Times New Roman" w:cs="Times New Roman"/>
          <w:sz w:val="24"/>
          <w:szCs w:val="24"/>
          <w:vertAlign w:val="superscript"/>
        </w:rPr>
        <w:t xml:space="preserve"> </w:t>
      </w:r>
      <w:r w:rsidRPr="00451B44">
        <w:rPr>
          <w:rFonts w:ascii="Times New Roman" w:hAnsi="Times New Roman" w:cs="Times New Roman"/>
          <w:sz w:val="24"/>
          <w:szCs w:val="24"/>
        </w:rPr>
        <w:t xml:space="preserve">alternative oxidase (AOX), induces a change in ROS which corresponds to an increased susceptibility to cell death signalling molecules such as salicylic acid and nitric oxide (NO) </w:t>
      </w:r>
      <w:r w:rsidRPr="00451B44">
        <w:rPr>
          <w:rFonts w:ascii="Times New Roman" w:hAnsi="Times New Roman" w:cs="Times New Roman"/>
          <w:noProof/>
          <w:sz w:val="24"/>
          <w:szCs w:val="24"/>
        </w:rPr>
        <w:t>(Amirsadeghi</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2006)</w:t>
      </w:r>
      <w:r w:rsidRPr="00451B44">
        <w:rPr>
          <w:rFonts w:ascii="Times New Roman" w:hAnsi="Times New Roman" w:cs="Times New Roman"/>
          <w:sz w:val="24"/>
          <w:szCs w:val="24"/>
        </w:rPr>
        <w:t>.</w:t>
      </w:r>
      <w:r w:rsidRPr="00451B44">
        <w:rPr>
          <w:rFonts w:ascii="Times New Roman" w:hAnsi="Times New Roman" w:cs="Times New Roman"/>
          <w:b/>
          <w:bCs/>
          <w:sz w:val="24"/>
          <w:szCs w:val="24"/>
        </w:rPr>
        <w:t xml:space="preserve"> </w:t>
      </w:r>
      <w:r w:rsidRPr="00451B44">
        <w:rPr>
          <w:rFonts w:ascii="Times New Roman" w:hAnsi="Times New Roman" w:cs="Times New Roman"/>
          <w:sz w:val="24"/>
          <w:szCs w:val="24"/>
        </w:rPr>
        <w:t xml:space="preserve">Interestingly, Beligni </w:t>
      </w:r>
      <w:r w:rsidRPr="00451B44">
        <w:rPr>
          <w:rFonts w:ascii="Times New Roman" w:hAnsi="Times New Roman" w:cs="Times New Roman"/>
          <w:i/>
          <w:iCs/>
          <w:sz w:val="24"/>
          <w:szCs w:val="24"/>
        </w:rPr>
        <w:t>et al.</w:t>
      </w:r>
      <w:r w:rsidRPr="00451B44">
        <w:rPr>
          <w:rFonts w:ascii="Times New Roman" w:hAnsi="Times New Roman" w:cs="Times New Roman"/>
          <w:sz w:val="24"/>
          <w:szCs w:val="24"/>
        </w:rPr>
        <w:t xml:space="preserve"> </w:t>
      </w:r>
      <w:r w:rsidRPr="00451B44">
        <w:rPr>
          <w:rFonts w:ascii="Times New Roman" w:hAnsi="Times New Roman" w:cs="Times New Roman"/>
          <w:noProof/>
          <w:sz w:val="24"/>
          <w:szCs w:val="24"/>
        </w:rPr>
        <w:t>(2002)</w:t>
      </w:r>
      <w:r w:rsidRPr="00451B44">
        <w:rPr>
          <w:rFonts w:ascii="Times New Roman" w:hAnsi="Times New Roman" w:cs="Times New Roman"/>
          <w:sz w:val="24"/>
          <w:szCs w:val="24"/>
        </w:rPr>
        <w:t xml:space="preserve"> used barley aleurone protoplasts to show that NO acts as a scavenger of ROS and in doing so delays cell death. A study by Fath </w:t>
      </w:r>
      <w:r w:rsidRPr="00451B44">
        <w:rPr>
          <w:rFonts w:ascii="Times New Roman" w:hAnsi="Times New Roman" w:cs="Times New Roman"/>
          <w:i/>
          <w:iCs/>
          <w:sz w:val="24"/>
          <w:szCs w:val="24"/>
        </w:rPr>
        <w:t>et al.</w:t>
      </w:r>
      <w:r w:rsidRPr="00451B44">
        <w:rPr>
          <w:rFonts w:ascii="Times New Roman" w:hAnsi="Times New Roman" w:cs="Times New Roman"/>
          <w:sz w:val="24"/>
          <w:szCs w:val="24"/>
        </w:rPr>
        <w:t xml:space="preserve"> </w:t>
      </w:r>
      <w:r w:rsidRPr="00451B44">
        <w:rPr>
          <w:rFonts w:ascii="Times New Roman" w:hAnsi="Times New Roman" w:cs="Times New Roman"/>
          <w:noProof/>
          <w:sz w:val="24"/>
          <w:szCs w:val="24"/>
        </w:rPr>
        <w:t>(2002)</w:t>
      </w:r>
      <w:r w:rsidRPr="00451B44">
        <w:rPr>
          <w:rFonts w:ascii="Times New Roman" w:hAnsi="Times New Roman" w:cs="Times New Roman"/>
          <w:sz w:val="24"/>
          <w:szCs w:val="24"/>
        </w:rPr>
        <w:t xml:space="preserve"> investigated the ROS generating ability of glyoxysomes and mitochondria in barley aleurone protoplasts and examined the influence these organelles exert on PCD levels when treated with varying levels of PGRs. The researchers found that H</w:t>
      </w:r>
      <w:r w:rsidRPr="00451B44">
        <w:rPr>
          <w:rFonts w:ascii="Times New Roman" w:hAnsi="Times New Roman" w:cs="Times New Roman"/>
          <w:sz w:val="24"/>
          <w:szCs w:val="24"/>
          <w:vertAlign w:val="subscript"/>
        </w:rPr>
        <w:t>2</w:t>
      </w:r>
      <w:r w:rsidRPr="00451B44">
        <w:rPr>
          <w:rFonts w:ascii="Times New Roman" w:hAnsi="Times New Roman" w:cs="Times New Roman"/>
          <w:sz w:val="24"/>
          <w:szCs w:val="24"/>
        </w:rPr>
        <w:t>O</w:t>
      </w:r>
      <w:r w:rsidRPr="00451B44">
        <w:rPr>
          <w:rFonts w:ascii="Times New Roman" w:hAnsi="Times New Roman" w:cs="Times New Roman"/>
          <w:sz w:val="24"/>
          <w:szCs w:val="24"/>
          <w:vertAlign w:val="subscript"/>
        </w:rPr>
        <w:t>2</w:t>
      </w:r>
      <w:r w:rsidRPr="00451B44">
        <w:rPr>
          <w:rFonts w:ascii="Times New Roman" w:hAnsi="Times New Roman" w:cs="Times New Roman"/>
          <w:sz w:val="24"/>
          <w:szCs w:val="24"/>
        </w:rPr>
        <w:t xml:space="preserve"> killed GA-treated but not ABA-treated aleurone protoplasts, while ABA allowed aleurone protoplasts to abrogate the negative effect of exogenously applied H</w:t>
      </w:r>
      <w:r w:rsidRPr="00451B44">
        <w:rPr>
          <w:rFonts w:ascii="Times New Roman" w:hAnsi="Times New Roman" w:cs="Times New Roman"/>
          <w:sz w:val="24"/>
          <w:szCs w:val="24"/>
          <w:vertAlign w:val="subscript"/>
        </w:rPr>
        <w:t>2</w:t>
      </w:r>
      <w:r w:rsidRPr="00451B44">
        <w:rPr>
          <w:rFonts w:ascii="Times New Roman" w:hAnsi="Times New Roman" w:cs="Times New Roman"/>
          <w:sz w:val="24"/>
          <w:szCs w:val="24"/>
        </w:rPr>
        <w:t>O</w:t>
      </w:r>
      <w:r w:rsidRPr="00451B44">
        <w:rPr>
          <w:rFonts w:ascii="Times New Roman" w:hAnsi="Times New Roman" w:cs="Times New Roman"/>
          <w:sz w:val="24"/>
          <w:szCs w:val="24"/>
          <w:vertAlign w:val="subscript"/>
        </w:rPr>
        <w:t>2</w:t>
      </w:r>
      <w:r w:rsidRPr="00451B44">
        <w:rPr>
          <w:rFonts w:ascii="Times New Roman" w:hAnsi="Times New Roman" w:cs="Times New Roman"/>
          <w:sz w:val="24"/>
          <w:szCs w:val="24"/>
        </w:rPr>
        <w:t xml:space="preserve">. When antioxidants were applied as scavengers of ROS, GA induced cell death was reduced which reiterates the role of ROS during hormonally regulated PCD of aleurone cells. </w:t>
      </w:r>
    </w:p>
    <w:p w:rsidR="004B4E5E" w:rsidRPr="00451B44" w:rsidRDefault="004B4E5E" w:rsidP="00E46935">
      <w:pPr>
        <w:spacing w:after="0" w:line="480" w:lineRule="auto"/>
        <w:rPr>
          <w:rFonts w:ascii="Times New Roman" w:hAnsi="Times New Roman" w:cs="Times New Roman"/>
          <w:sz w:val="24"/>
          <w:szCs w:val="24"/>
        </w:rPr>
      </w:pPr>
    </w:p>
    <w:p w:rsidR="004B4E5E" w:rsidRPr="00451B44" w:rsidRDefault="004B4E5E" w:rsidP="002B4B8D">
      <w:pPr>
        <w:spacing w:line="480" w:lineRule="auto"/>
        <w:rPr>
          <w:rFonts w:ascii="Times New Roman" w:hAnsi="Times New Roman" w:cs="Times New Roman"/>
          <w:sz w:val="24"/>
          <w:szCs w:val="24"/>
        </w:rPr>
      </w:pPr>
      <w:r w:rsidRPr="00451B44">
        <w:rPr>
          <w:rFonts w:ascii="Times New Roman" w:hAnsi="Times New Roman" w:cs="Times New Roman"/>
          <w:sz w:val="24"/>
          <w:szCs w:val="24"/>
        </w:rPr>
        <w:t xml:space="preserve">In section </w:t>
      </w:r>
      <w:r>
        <w:rPr>
          <w:rFonts w:ascii="Times New Roman" w:hAnsi="Times New Roman" w:cs="Times New Roman"/>
          <w:sz w:val="24"/>
          <w:szCs w:val="24"/>
        </w:rPr>
        <w:t>IIIB1a</w:t>
      </w:r>
      <w:r w:rsidRPr="00451B44">
        <w:rPr>
          <w:rFonts w:ascii="Times New Roman" w:hAnsi="Times New Roman" w:cs="Times New Roman"/>
          <w:sz w:val="24"/>
          <w:szCs w:val="24"/>
        </w:rPr>
        <w:t xml:space="preserve"> we reviewed literature that proposed a role for AGPs in </w:t>
      </w:r>
      <w:r>
        <w:rPr>
          <w:rFonts w:ascii="Times New Roman" w:hAnsi="Times New Roman" w:cs="Times New Roman"/>
          <w:sz w:val="24"/>
          <w:szCs w:val="24"/>
        </w:rPr>
        <w:t xml:space="preserve">embryo and </w:t>
      </w:r>
      <w:r w:rsidRPr="00451B44">
        <w:rPr>
          <w:rFonts w:ascii="Times New Roman" w:hAnsi="Times New Roman" w:cs="Times New Roman"/>
          <w:sz w:val="24"/>
          <w:szCs w:val="24"/>
        </w:rPr>
        <w:t xml:space="preserve">xylem differentiation PCD. Suzuki </w:t>
      </w:r>
      <w:r w:rsidRPr="00451B44">
        <w:rPr>
          <w:rFonts w:ascii="Times New Roman" w:hAnsi="Times New Roman" w:cs="Times New Roman"/>
          <w:i/>
          <w:iCs/>
          <w:sz w:val="24"/>
          <w:szCs w:val="24"/>
        </w:rPr>
        <w:t>et al.</w:t>
      </w:r>
      <w:r w:rsidRPr="00451B44">
        <w:rPr>
          <w:rFonts w:ascii="Times New Roman" w:hAnsi="Times New Roman" w:cs="Times New Roman"/>
          <w:sz w:val="24"/>
          <w:szCs w:val="24"/>
        </w:rPr>
        <w:t xml:space="preserve"> </w:t>
      </w:r>
      <w:r w:rsidRPr="00451B44">
        <w:rPr>
          <w:rFonts w:ascii="Times New Roman" w:hAnsi="Times New Roman" w:cs="Times New Roman"/>
          <w:noProof/>
          <w:sz w:val="24"/>
          <w:szCs w:val="24"/>
        </w:rPr>
        <w:t>(2002)</w:t>
      </w:r>
      <w:r w:rsidRPr="00451B44">
        <w:rPr>
          <w:rFonts w:ascii="Times New Roman" w:hAnsi="Times New Roman" w:cs="Times New Roman"/>
          <w:sz w:val="24"/>
          <w:szCs w:val="24"/>
        </w:rPr>
        <w:t xml:space="preserve"> used a synthetic chemical, β-glucosyl Yariv reagent (β-GlcY) to bind specifically to AGPs and found that GA-induced α-amylase production was inhibited as a result of β-GlcY treatment</w:t>
      </w:r>
      <w:r w:rsidRPr="00451B44">
        <w:rPr>
          <w:rFonts w:ascii="Times New Roman" w:hAnsi="Times New Roman" w:cs="Times New Roman"/>
          <w:sz w:val="24"/>
          <w:szCs w:val="24"/>
          <w:vertAlign w:val="superscript"/>
        </w:rPr>
        <w:t xml:space="preserve"> </w:t>
      </w:r>
      <w:r w:rsidRPr="00451B44">
        <w:rPr>
          <w:rFonts w:ascii="Times New Roman" w:hAnsi="Times New Roman" w:cs="Times New Roman"/>
          <w:sz w:val="24"/>
          <w:szCs w:val="24"/>
        </w:rPr>
        <w:t>in barley aleurone protoplasts. Interestingly</w:t>
      </w:r>
      <w:r>
        <w:rPr>
          <w:rFonts w:ascii="Times New Roman" w:hAnsi="Times New Roman" w:cs="Times New Roman"/>
          <w:sz w:val="24"/>
          <w:szCs w:val="24"/>
        </w:rPr>
        <w:t xml:space="preserve">, as protoplasts are devoid of </w:t>
      </w:r>
      <w:r w:rsidRPr="00451B44">
        <w:rPr>
          <w:rFonts w:ascii="Times New Roman" w:hAnsi="Times New Roman" w:cs="Times New Roman"/>
          <w:sz w:val="24"/>
          <w:szCs w:val="24"/>
        </w:rPr>
        <w:t xml:space="preserve">cell walls, this suggests that the AGPs that function in α-amylase induction are localised in the plasma membrane. In a subsequent study, the researchers discovered that β-GlcY also inhibited GA-induced PCD in aleurone cells </w:t>
      </w:r>
      <w:r w:rsidRPr="00451B44">
        <w:rPr>
          <w:rFonts w:ascii="Times New Roman" w:hAnsi="Times New Roman" w:cs="Times New Roman"/>
          <w:noProof/>
          <w:sz w:val="24"/>
          <w:szCs w:val="24"/>
        </w:rPr>
        <w:t>(Mashiguchi</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2008)</w:t>
      </w:r>
      <w:r w:rsidRPr="00451B44">
        <w:rPr>
          <w:rFonts w:ascii="Times New Roman" w:hAnsi="Times New Roman" w:cs="Times New Roman"/>
          <w:sz w:val="24"/>
          <w:szCs w:val="24"/>
        </w:rPr>
        <w:t xml:space="preserve"> and in doing so added further evidence suggesting a potential role </w:t>
      </w:r>
      <w:r>
        <w:rPr>
          <w:rFonts w:ascii="Times New Roman" w:hAnsi="Times New Roman" w:cs="Times New Roman"/>
          <w:sz w:val="24"/>
          <w:szCs w:val="24"/>
        </w:rPr>
        <w:t xml:space="preserve">for AGPs </w:t>
      </w:r>
      <w:r w:rsidRPr="00451B44">
        <w:rPr>
          <w:rFonts w:ascii="Times New Roman" w:hAnsi="Times New Roman" w:cs="Times New Roman"/>
          <w:sz w:val="24"/>
          <w:szCs w:val="24"/>
        </w:rPr>
        <w:t xml:space="preserve">in PCD. </w:t>
      </w:r>
    </w:p>
    <w:p w:rsidR="004B4E5E" w:rsidRPr="00890067" w:rsidRDefault="004B4E5E" w:rsidP="002B4B8D">
      <w:pPr>
        <w:spacing w:after="0" w:line="480" w:lineRule="auto"/>
        <w:rPr>
          <w:rFonts w:ascii="Times New Roman" w:hAnsi="Times New Roman" w:cs="Times New Roman"/>
          <w:sz w:val="24"/>
          <w:szCs w:val="24"/>
        </w:rPr>
      </w:pPr>
    </w:p>
    <w:p w:rsidR="004B4E5E" w:rsidRPr="00451B44" w:rsidRDefault="004B4E5E" w:rsidP="00035E18">
      <w:pPr>
        <w:pStyle w:val="ListParagraph"/>
        <w:numPr>
          <w:ilvl w:val="0"/>
          <w:numId w:val="29"/>
        </w:numPr>
        <w:spacing w:line="480" w:lineRule="auto"/>
        <w:ind w:firstLine="348"/>
        <w:rPr>
          <w:rFonts w:ascii="Times New Roman" w:hAnsi="Times New Roman" w:cs="Times New Roman"/>
          <w:b/>
          <w:bCs/>
          <w:sz w:val="24"/>
          <w:szCs w:val="24"/>
        </w:rPr>
      </w:pPr>
      <w:r>
        <w:rPr>
          <w:rFonts w:ascii="Times New Roman" w:hAnsi="Times New Roman" w:cs="Times New Roman"/>
          <w:b/>
          <w:bCs/>
          <w:sz w:val="24"/>
          <w:szCs w:val="24"/>
        </w:rPr>
        <w:t>Anther d</w:t>
      </w:r>
      <w:r w:rsidRPr="00451B44">
        <w:rPr>
          <w:rFonts w:ascii="Times New Roman" w:hAnsi="Times New Roman" w:cs="Times New Roman"/>
          <w:b/>
          <w:bCs/>
          <w:sz w:val="24"/>
          <w:szCs w:val="24"/>
        </w:rPr>
        <w:t>ehiscence</w:t>
      </w:r>
    </w:p>
    <w:p w:rsidR="004B4E5E" w:rsidRPr="00451B44" w:rsidRDefault="004B4E5E" w:rsidP="002B4B8D">
      <w:pPr>
        <w:autoSpaceDE w:val="0"/>
        <w:autoSpaceDN w:val="0"/>
        <w:adjustRightInd w:val="0"/>
        <w:spacing w:after="0" w:line="480" w:lineRule="auto"/>
        <w:rPr>
          <w:rFonts w:ascii="Times New Roman" w:hAnsi="Times New Roman" w:cs="Times New Roman"/>
          <w:sz w:val="24"/>
          <w:szCs w:val="24"/>
        </w:rPr>
      </w:pPr>
      <w:r w:rsidRPr="00451B44">
        <w:rPr>
          <w:rFonts w:ascii="Times New Roman" w:hAnsi="Times New Roman" w:cs="Times New Roman"/>
          <w:sz w:val="24"/>
          <w:szCs w:val="24"/>
        </w:rPr>
        <w:t>Development and dehiscence of the anther and the subsequent release of pollen are dependent on PCD of the tapetum and other sporophytic tissues. Pollen release, is facilitated by the degeneration of anther cells in the stomium, a rib-like structure that runs through the epidermis along the l</w:t>
      </w:r>
      <w:r>
        <w:rPr>
          <w:rFonts w:ascii="Times New Roman" w:hAnsi="Times New Roman" w:cs="Times New Roman"/>
          <w:sz w:val="24"/>
          <w:szCs w:val="24"/>
        </w:rPr>
        <w:t>ateral side of each anther half</w:t>
      </w:r>
      <w:r w:rsidRPr="00451B44">
        <w:rPr>
          <w:rFonts w:ascii="Times New Roman" w:hAnsi="Times New Roman" w:cs="Times New Roman"/>
          <w:sz w:val="24"/>
          <w:szCs w:val="24"/>
        </w:rPr>
        <w:t xml:space="preserve">. Failed dehiscence leads to male sterility in </w:t>
      </w:r>
      <w:r w:rsidRPr="00451B44">
        <w:rPr>
          <w:rFonts w:ascii="Times New Roman" w:hAnsi="Times New Roman" w:cs="Times New Roman"/>
          <w:i/>
          <w:iCs/>
          <w:sz w:val="24"/>
          <w:szCs w:val="24"/>
        </w:rPr>
        <w:t>Arabidopsis</w:t>
      </w:r>
      <w:r w:rsidRPr="00451B44">
        <w:rPr>
          <w:rFonts w:ascii="Times New Roman" w:hAnsi="Times New Roman" w:cs="Times New Roman"/>
          <w:sz w:val="24"/>
          <w:szCs w:val="24"/>
        </w:rPr>
        <w:t xml:space="preserve"> </w:t>
      </w:r>
      <w:r>
        <w:rPr>
          <w:rFonts w:ascii="Times New Roman" w:hAnsi="Times New Roman" w:cs="Times New Roman"/>
          <w:sz w:val="24"/>
          <w:szCs w:val="24"/>
        </w:rPr>
        <w:t xml:space="preserve">and </w:t>
      </w:r>
      <w:r w:rsidRPr="00451B44">
        <w:rPr>
          <w:rFonts w:ascii="Times New Roman" w:hAnsi="Times New Roman" w:cs="Times New Roman"/>
          <w:sz w:val="24"/>
          <w:szCs w:val="24"/>
        </w:rPr>
        <w:t xml:space="preserve">tobacco plants </w:t>
      </w:r>
      <w:r>
        <w:rPr>
          <w:rFonts w:ascii="Times New Roman" w:hAnsi="Times New Roman" w:cs="Times New Roman"/>
          <w:sz w:val="24"/>
          <w:szCs w:val="24"/>
        </w:rPr>
        <w:t>(Beals and Goldberg, 1997)</w:t>
      </w:r>
      <w:r w:rsidRPr="00451B44">
        <w:rPr>
          <w:rFonts w:ascii="Times New Roman" w:hAnsi="Times New Roman" w:cs="Times New Roman"/>
          <w:sz w:val="24"/>
          <w:szCs w:val="24"/>
        </w:rPr>
        <w:t>. The endothecium, which is flanked by the tapetum and the epidermis, undergoes degeneration just before anther dehiscence. Additionally, a specialised cell cluster known as the circular cell cluster, is located next to the stomium and this also dies (</w:t>
      </w:r>
      <w:r>
        <w:rPr>
          <w:rFonts w:ascii="Times New Roman" w:hAnsi="Times New Roman" w:cs="Times New Roman"/>
          <w:sz w:val="24"/>
          <w:szCs w:val="24"/>
        </w:rPr>
        <w:t>Wu and Cheung, 2000,</w:t>
      </w:r>
      <w:r w:rsidRPr="00451B44">
        <w:rPr>
          <w:rFonts w:ascii="Times New Roman" w:hAnsi="Times New Roman" w:cs="Times New Roman"/>
          <w:sz w:val="24"/>
          <w:szCs w:val="24"/>
        </w:rPr>
        <w:t xml:space="preserve"> and references therein.)</w:t>
      </w:r>
    </w:p>
    <w:p w:rsidR="004B4E5E" w:rsidRDefault="004B4E5E" w:rsidP="002B4B8D">
      <w:pPr>
        <w:autoSpaceDE w:val="0"/>
        <w:autoSpaceDN w:val="0"/>
        <w:adjustRightInd w:val="0"/>
        <w:spacing w:after="0" w:line="480" w:lineRule="auto"/>
        <w:rPr>
          <w:rFonts w:ascii="Times New Roman" w:hAnsi="Times New Roman" w:cs="Times New Roman"/>
          <w:sz w:val="24"/>
          <w:szCs w:val="24"/>
        </w:rPr>
      </w:pPr>
    </w:p>
    <w:p w:rsidR="004B4E5E" w:rsidRPr="00451B44" w:rsidRDefault="004B4E5E" w:rsidP="002B4B8D">
      <w:pPr>
        <w:autoSpaceDE w:val="0"/>
        <w:autoSpaceDN w:val="0"/>
        <w:adjustRightInd w:val="0"/>
        <w:spacing w:after="0" w:line="480" w:lineRule="auto"/>
        <w:rPr>
          <w:rFonts w:ascii="Times New Roman" w:hAnsi="Times New Roman" w:cs="Times New Roman"/>
          <w:sz w:val="24"/>
          <w:szCs w:val="24"/>
        </w:rPr>
      </w:pPr>
      <w:r w:rsidRPr="00451B44">
        <w:rPr>
          <w:rFonts w:ascii="Times New Roman" w:hAnsi="Times New Roman" w:cs="Times New Roman"/>
          <w:sz w:val="24"/>
          <w:szCs w:val="24"/>
        </w:rPr>
        <w:t>Tapetal cell death coincides with the development of the microgametophytes and as is the case with nucellus and aleurone cell death (</w:t>
      </w:r>
      <w:r>
        <w:rPr>
          <w:rFonts w:ascii="Times New Roman" w:hAnsi="Times New Roman" w:cs="Times New Roman"/>
          <w:sz w:val="24"/>
          <w:szCs w:val="24"/>
        </w:rPr>
        <w:t>see S</w:t>
      </w:r>
      <w:r w:rsidRPr="00451B44">
        <w:rPr>
          <w:rFonts w:ascii="Times New Roman" w:hAnsi="Times New Roman" w:cs="Times New Roman"/>
          <w:sz w:val="24"/>
          <w:szCs w:val="24"/>
        </w:rPr>
        <w:t>ection</w:t>
      </w:r>
      <w:r>
        <w:rPr>
          <w:rFonts w:ascii="Times New Roman" w:hAnsi="Times New Roman" w:cs="Times New Roman"/>
          <w:sz w:val="24"/>
          <w:szCs w:val="24"/>
        </w:rPr>
        <w:t xml:space="preserve"> IIIB1c and IIIB1d</w:t>
      </w:r>
      <w:r w:rsidRPr="00065520">
        <w:rPr>
          <w:rFonts w:ascii="Times New Roman" w:hAnsi="Times New Roman" w:cs="Times New Roman"/>
          <w:sz w:val="24"/>
          <w:szCs w:val="24"/>
        </w:rPr>
        <w:t>),</w:t>
      </w:r>
      <w:r w:rsidRPr="00451B44">
        <w:rPr>
          <w:rFonts w:ascii="Times New Roman" w:hAnsi="Times New Roman" w:cs="Times New Roman"/>
          <w:sz w:val="24"/>
          <w:szCs w:val="24"/>
        </w:rPr>
        <w:t xml:space="preserve"> the constituents resulting from tapetal PCD provide nutrients, play a role in pollen exine sculpting and are incorporated into the pollen wall (Varnier</w:t>
      </w:r>
      <w:r w:rsidRPr="00451B44">
        <w:rPr>
          <w:rFonts w:ascii="Times New Roman" w:hAnsi="Times New Roman" w:cs="Times New Roman"/>
          <w:i/>
          <w:iCs/>
          <w:sz w:val="24"/>
          <w:szCs w:val="24"/>
        </w:rPr>
        <w:t xml:space="preserve"> et al.</w:t>
      </w:r>
      <w:r w:rsidRPr="00451B44">
        <w:rPr>
          <w:rFonts w:ascii="Times New Roman" w:hAnsi="Times New Roman" w:cs="Times New Roman"/>
          <w:sz w:val="24"/>
          <w:szCs w:val="24"/>
        </w:rPr>
        <w:t xml:space="preserve">, 2005, Vizcay-Barrena and Wilson, 2006, Wu and Cheung, 2000). The timing of tapetal cell death must be highly regulated as premature death can cause pollen abortion. Shi </w:t>
      </w:r>
      <w:r w:rsidRPr="00451B44">
        <w:rPr>
          <w:rFonts w:ascii="Times New Roman" w:hAnsi="Times New Roman" w:cs="Times New Roman"/>
          <w:i/>
          <w:iCs/>
          <w:sz w:val="24"/>
          <w:szCs w:val="24"/>
        </w:rPr>
        <w:t>et al.</w:t>
      </w:r>
      <w:r w:rsidRPr="00451B44">
        <w:rPr>
          <w:rFonts w:ascii="Times New Roman" w:hAnsi="Times New Roman" w:cs="Times New Roman"/>
          <w:sz w:val="24"/>
          <w:szCs w:val="24"/>
        </w:rPr>
        <w:t xml:space="preserve"> </w:t>
      </w:r>
      <w:r w:rsidRPr="00451B44">
        <w:rPr>
          <w:rFonts w:ascii="Times New Roman" w:hAnsi="Times New Roman" w:cs="Times New Roman"/>
          <w:noProof/>
          <w:sz w:val="24"/>
          <w:szCs w:val="24"/>
        </w:rPr>
        <w:t>(2009)</w:t>
      </w:r>
      <w:r w:rsidRPr="00451B44">
        <w:rPr>
          <w:rFonts w:ascii="Times New Roman" w:hAnsi="Times New Roman" w:cs="Times New Roman"/>
          <w:sz w:val="24"/>
          <w:szCs w:val="24"/>
        </w:rPr>
        <w:t xml:space="preserve"> examined tapetum cells of mutant rice and found that premature tapetum degeneration was a major cause of pollen abortion. </w:t>
      </w:r>
    </w:p>
    <w:p w:rsidR="004B4E5E" w:rsidRDefault="004B4E5E" w:rsidP="008E68F8">
      <w:pPr>
        <w:spacing w:after="0" w:line="480" w:lineRule="auto"/>
        <w:rPr>
          <w:rFonts w:ascii="Times New Roman" w:hAnsi="Times New Roman" w:cs="Times New Roman"/>
          <w:sz w:val="24"/>
          <w:szCs w:val="24"/>
        </w:rPr>
      </w:pPr>
    </w:p>
    <w:p w:rsidR="004B4E5E" w:rsidRDefault="004B4E5E" w:rsidP="002B4B8D">
      <w:pPr>
        <w:spacing w:line="480" w:lineRule="auto"/>
        <w:rPr>
          <w:rFonts w:ascii="Times New Roman" w:hAnsi="Times New Roman" w:cs="Times New Roman"/>
          <w:sz w:val="24"/>
          <w:szCs w:val="24"/>
        </w:rPr>
      </w:pPr>
      <w:r w:rsidRPr="00451B44">
        <w:rPr>
          <w:rFonts w:ascii="Times New Roman" w:hAnsi="Times New Roman" w:cs="Times New Roman"/>
          <w:sz w:val="24"/>
          <w:szCs w:val="24"/>
        </w:rPr>
        <w:t>It is clear from aforementioned studies that anther-associated PCD is connected with nutrient recycling activities so it was not surprisi</w:t>
      </w:r>
      <w:r>
        <w:rPr>
          <w:rFonts w:ascii="Times New Roman" w:hAnsi="Times New Roman" w:cs="Times New Roman"/>
          <w:sz w:val="24"/>
          <w:szCs w:val="24"/>
        </w:rPr>
        <w:t>ng that recently published work</w:t>
      </w:r>
      <w:r w:rsidRPr="00451B44">
        <w:rPr>
          <w:rFonts w:ascii="Times New Roman" w:hAnsi="Times New Roman" w:cs="Times New Roman"/>
          <w:sz w:val="24"/>
          <w:szCs w:val="24"/>
        </w:rPr>
        <w:t xml:space="preserve"> </w:t>
      </w:r>
      <w:r w:rsidRPr="00451B44">
        <w:rPr>
          <w:rFonts w:ascii="Times New Roman" w:hAnsi="Times New Roman" w:cs="Times New Roman"/>
          <w:noProof/>
          <w:sz w:val="24"/>
          <w:szCs w:val="24"/>
        </w:rPr>
        <w:t>(Senatore</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2009)</w:t>
      </w:r>
      <w:r w:rsidRPr="00451B44">
        <w:rPr>
          <w:rFonts w:ascii="Times New Roman" w:hAnsi="Times New Roman" w:cs="Times New Roman"/>
          <w:sz w:val="24"/>
          <w:szCs w:val="24"/>
        </w:rPr>
        <w:t xml:space="preserve"> localised ricinosomes in the septum, the connective tissue and the anther endothecium of </w:t>
      </w:r>
      <w:r w:rsidRPr="00451B44">
        <w:rPr>
          <w:rFonts w:ascii="Times New Roman" w:hAnsi="Times New Roman" w:cs="Times New Roman"/>
          <w:i/>
          <w:iCs/>
          <w:sz w:val="24"/>
          <w:szCs w:val="24"/>
        </w:rPr>
        <w:t>Solanum lycopersicum</w:t>
      </w:r>
      <w:r>
        <w:rPr>
          <w:rFonts w:ascii="Times New Roman" w:hAnsi="Times New Roman" w:cs="Times New Roman"/>
          <w:sz w:val="24"/>
          <w:szCs w:val="24"/>
        </w:rPr>
        <w:t xml:space="preserve"> (t</w:t>
      </w:r>
      <w:r w:rsidRPr="00451B44">
        <w:rPr>
          <w:rFonts w:ascii="Times New Roman" w:hAnsi="Times New Roman" w:cs="Times New Roman"/>
          <w:sz w:val="24"/>
          <w:szCs w:val="24"/>
        </w:rPr>
        <w:t xml:space="preserve">omato). All these cell tissues types are destined to die by PCD during anther dehiscence and pollen maturation </w:t>
      </w:r>
      <w:r w:rsidRPr="00451B44">
        <w:rPr>
          <w:rFonts w:ascii="Times New Roman" w:hAnsi="Times New Roman" w:cs="Times New Roman"/>
          <w:noProof/>
          <w:sz w:val="24"/>
          <w:szCs w:val="24"/>
        </w:rPr>
        <w:t>(Varnier</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2005)</w:t>
      </w:r>
      <w:r w:rsidRPr="00451B44">
        <w:rPr>
          <w:rFonts w:ascii="Times New Roman" w:hAnsi="Times New Roman" w:cs="Times New Roman"/>
          <w:sz w:val="24"/>
          <w:szCs w:val="24"/>
        </w:rPr>
        <w:t>, indicating that ricinosomes and the proteases they harbour are likely to play a role in PCD in these tissues. Studies carried out by Cecchetti</w:t>
      </w:r>
      <w:r w:rsidRPr="00451B44">
        <w:rPr>
          <w:rFonts w:ascii="Times New Roman" w:hAnsi="Times New Roman" w:cs="Times New Roman"/>
          <w:i/>
          <w:iCs/>
          <w:sz w:val="24"/>
          <w:szCs w:val="24"/>
        </w:rPr>
        <w:t xml:space="preserve"> et al.</w:t>
      </w:r>
      <w:r w:rsidRPr="00451B44">
        <w:rPr>
          <w:rFonts w:ascii="Times New Roman" w:hAnsi="Times New Roman" w:cs="Times New Roman"/>
          <w:sz w:val="24"/>
          <w:szCs w:val="24"/>
        </w:rPr>
        <w:t xml:space="preserve">, </w:t>
      </w:r>
      <w:r w:rsidRPr="00451B44">
        <w:rPr>
          <w:rFonts w:ascii="Times New Roman" w:hAnsi="Times New Roman" w:cs="Times New Roman"/>
          <w:noProof/>
          <w:sz w:val="24"/>
          <w:szCs w:val="24"/>
        </w:rPr>
        <w:t xml:space="preserve">(2004) </w:t>
      </w:r>
      <w:r w:rsidRPr="00451B44">
        <w:rPr>
          <w:rFonts w:ascii="Times New Roman" w:hAnsi="Times New Roman" w:cs="Times New Roman"/>
          <w:sz w:val="24"/>
          <w:szCs w:val="24"/>
        </w:rPr>
        <w:t xml:space="preserve">examined early stage anther dehiscence and pollen maturation in tobacco flowers and suggested that auxin may be integral in both of these processes. Furthermore, Cecchetti </w:t>
      </w:r>
      <w:r w:rsidRPr="00451B44">
        <w:rPr>
          <w:rFonts w:ascii="Times New Roman" w:hAnsi="Times New Roman" w:cs="Times New Roman"/>
          <w:i/>
          <w:iCs/>
          <w:sz w:val="24"/>
          <w:szCs w:val="24"/>
        </w:rPr>
        <w:t>et al.</w:t>
      </w:r>
      <w:r w:rsidRPr="00451B44">
        <w:rPr>
          <w:rFonts w:ascii="Times New Roman" w:hAnsi="Times New Roman" w:cs="Times New Roman"/>
          <w:sz w:val="24"/>
          <w:szCs w:val="24"/>
        </w:rPr>
        <w:t xml:space="preserve"> </w:t>
      </w:r>
      <w:r w:rsidRPr="00451B44">
        <w:rPr>
          <w:rFonts w:ascii="Times New Roman" w:hAnsi="Times New Roman" w:cs="Times New Roman"/>
          <w:noProof/>
          <w:sz w:val="24"/>
          <w:szCs w:val="24"/>
        </w:rPr>
        <w:t>(2008)</w:t>
      </w:r>
      <w:r w:rsidRPr="00451B44">
        <w:rPr>
          <w:rFonts w:ascii="Times New Roman" w:hAnsi="Times New Roman" w:cs="Times New Roman"/>
          <w:sz w:val="24"/>
          <w:szCs w:val="24"/>
        </w:rPr>
        <w:t xml:space="preserve"> examined anther dehiscence and pollen maturation in </w:t>
      </w:r>
      <w:r w:rsidRPr="00451B44">
        <w:rPr>
          <w:rFonts w:ascii="Times New Roman" w:hAnsi="Times New Roman" w:cs="Times New Roman"/>
          <w:i/>
          <w:iCs/>
          <w:sz w:val="24"/>
          <w:szCs w:val="24"/>
        </w:rPr>
        <w:t>Arabidopsis</w:t>
      </w:r>
      <w:r w:rsidRPr="00451B44">
        <w:rPr>
          <w:rFonts w:ascii="Times New Roman" w:hAnsi="Times New Roman" w:cs="Times New Roman"/>
          <w:sz w:val="24"/>
          <w:szCs w:val="24"/>
        </w:rPr>
        <w:t xml:space="preserve"> using </w:t>
      </w:r>
      <w:r w:rsidRPr="00451B44">
        <w:rPr>
          <w:rFonts w:ascii="Times New Roman" w:hAnsi="Times New Roman" w:cs="Times New Roman"/>
          <w:i/>
          <w:iCs/>
          <w:sz w:val="24"/>
          <w:szCs w:val="24"/>
        </w:rPr>
        <w:t>in situ</w:t>
      </w:r>
      <w:r w:rsidRPr="00451B44">
        <w:rPr>
          <w:rFonts w:ascii="Times New Roman" w:hAnsi="Times New Roman" w:cs="Times New Roman"/>
          <w:sz w:val="24"/>
          <w:szCs w:val="24"/>
        </w:rPr>
        <w:t xml:space="preserve"> hybridisation of the auxin biosynthetic genes YUC2 and YUC6 and auxin receptor-encoding genes TIR1, AFB1, AFB2, and AFB3. This study confirmed that auxin is synthesi</w:t>
      </w:r>
      <w:r>
        <w:rPr>
          <w:rFonts w:ascii="Times New Roman" w:hAnsi="Times New Roman" w:cs="Times New Roman"/>
          <w:sz w:val="24"/>
          <w:szCs w:val="24"/>
        </w:rPr>
        <w:t>s</w:t>
      </w:r>
      <w:r w:rsidRPr="00451B44">
        <w:rPr>
          <w:rFonts w:ascii="Times New Roman" w:hAnsi="Times New Roman" w:cs="Times New Roman"/>
          <w:sz w:val="24"/>
          <w:szCs w:val="24"/>
        </w:rPr>
        <w:t xml:space="preserve">ed in anthers and timing of auxin fluctuation is crucial to effect correct pollen maturation and cell dehiscence. </w:t>
      </w:r>
    </w:p>
    <w:p w:rsidR="004B4E5E" w:rsidRDefault="004B4E5E" w:rsidP="002B4B8D">
      <w:pPr>
        <w:spacing w:line="480" w:lineRule="auto"/>
        <w:rPr>
          <w:rFonts w:ascii="Times New Roman" w:hAnsi="Times New Roman" w:cs="Times New Roman"/>
          <w:sz w:val="24"/>
          <w:szCs w:val="24"/>
        </w:rPr>
      </w:pPr>
      <w:r w:rsidRPr="00451B44">
        <w:rPr>
          <w:rFonts w:ascii="Times New Roman" w:hAnsi="Times New Roman" w:cs="Times New Roman"/>
          <w:sz w:val="24"/>
          <w:szCs w:val="24"/>
        </w:rPr>
        <w:t xml:space="preserve">A study examining cytoplasmic male sterility (CMS) in sunflower plants has provided additional insight on a possible role for cyt </w:t>
      </w:r>
      <w:r w:rsidRPr="00451B44">
        <w:rPr>
          <w:rFonts w:ascii="Times New Roman" w:hAnsi="Times New Roman" w:cs="Times New Roman"/>
          <w:i/>
          <w:iCs/>
          <w:sz w:val="24"/>
          <w:szCs w:val="24"/>
        </w:rPr>
        <w:t>c</w:t>
      </w:r>
      <w:r w:rsidRPr="00451B44">
        <w:rPr>
          <w:rFonts w:ascii="Times New Roman" w:hAnsi="Times New Roman" w:cs="Times New Roman"/>
          <w:sz w:val="24"/>
          <w:szCs w:val="24"/>
        </w:rPr>
        <w:t xml:space="preserve"> in plant PCD. CMS mutants occur in many plant species where mutations in the mitochondrial genome affect anther and/or pollen development. </w:t>
      </w:r>
      <w:r>
        <w:rPr>
          <w:rFonts w:ascii="Times New Roman" w:hAnsi="Times New Roman" w:cs="Times New Roman"/>
          <w:sz w:val="24"/>
          <w:szCs w:val="24"/>
        </w:rPr>
        <w:t>Balk and Leaver, (2001)</w:t>
      </w:r>
      <w:r w:rsidRPr="00451B44">
        <w:rPr>
          <w:rFonts w:ascii="Times New Roman" w:hAnsi="Times New Roman" w:cs="Times New Roman"/>
          <w:sz w:val="24"/>
          <w:szCs w:val="24"/>
        </w:rPr>
        <w:t xml:space="preserve"> identified characteristic hallmar</w:t>
      </w:r>
      <w:r>
        <w:rPr>
          <w:rFonts w:ascii="Times New Roman" w:hAnsi="Times New Roman" w:cs="Times New Roman"/>
          <w:sz w:val="24"/>
          <w:szCs w:val="24"/>
        </w:rPr>
        <w:t>ks of apoptotic-like PCD demonstrating</w:t>
      </w:r>
      <w:r w:rsidRPr="00451B44">
        <w:rPr>
          <w:rFonts w:ascii="Times New Roman" w:hAnsi="Times New Roman" w:cs="Times New Roman"/>
          <w:sz w:val="24"/>
          <w:szCs w:val="24"/>
        </w:rPr>
        <w:t xml:space="preserve"> that a signal in the cytoplasm of the sunflower mutant PET1-CMS </w:t>
      </w:r>
      <w:r>
        <w:rPr>
          <w:rFonts w:ascii="Times New Roman" w:hAnsi="Times New Roman" w:cs="Times New Roman"/>
          <w:sz w:val="24"/>
          <w:szCs w:val="24"/>
        </w:rPr>
        <w:t xml:space="preserve">leads to </w:t>
      </w:r>
      <w:r w:rsidRPr="00451B44">
        <w:rPr>
          <w:rFonts w:ascii="Times New Roman" w:hAnsi="Times New Roman" w:cs="Times New Roman"/>
          <w:sz w:val="24"/>
          <w:szCs w:val="24"/>
        </w:rPr>
        <w:t>premature PCD of the tapetal cells</w:t>
      </w:r>
      <w:r>
        <w:rPr>
          <w:rFonts w:ascii="Times New Roman" w:hAnsi="Times New Roman" w:cs="Times New Roman"/>
          <w:sz w:val="24"/>
          <w:szCs w:val="24"/>
        </w:rPr>
        <w:t>,</w:t>
      </w:r>
      <w:r w:rsidRPr="00451B44">
        <w:rPr>
          <w:rFonts w:ascii="Times New Roman" w:hAnsi="Times New Roman" w:cs="Times New Roman"/>
          <w:sz w:val="24"/>
          <w:szCs w:val="24"/>
        </w:rPr>
        <w:t xml:space="preserve"> which</w:t>
      </w:r>
      <w:r w:rsidRPr="00451B44">
        <w:rPr>
          <w:rFonts w:ascii="Times New Roman" w:hAnsi="Times New Roman" w:cs="Times New Roman"/>
          <w:sz w:val="24"/>
          <w:szCs w:val="24"/>
          <w:vertAlign w:val="superscript"/>
        </w:rPr>
        <w:t xml:space="preserve"> </w:t>
      </w:r>
      <w:r w:rsidRPr="00451B44">
        <w:rPr>
          <w:rFonts w:ascii="Times New Roman" w:hAnsi="Times New Roman" w:cs="Times New Roman"/>
          <w:sz w:val="24"/>
          <w:szCs w:val="24"/>
        </w:rPr>
        <w:t>then expands to other anther tissues. Subsequent immunocytochemical</w:t>
      </w:r>
      <w:r w:rsidRPr="00451B44">
        <w:rPr>
          <w:rFonts w:ascii="Times New Roman" w:hAnsi="Times New Roman" w:cs="Times New Roman"/>
          <w:sz w:val="24"/>
          <w:szCs w:val="24"/>
          <w:vertAlign w:val="superscript"/>
        </w:rPr>
        <w:t xml:space="preserve"> </w:t>
      </w:r>
      <w:r w:rsidRPr="00451B44">
        <w:rPr>
          <w:rFonts w:ascii="Times New Roman" w:hAnsi="Times New Roman" w:cs="Times New Roman"/>
          <w:sz w:val="24"/>
          <w:szCs w:val="24"/>
        </w:rPr>
        <w:t xml:space="preserve">study showed that cyt </w:t>
      </w:r>
      <w:r w:rsidRPr="00451B44">
        <w:rPr>
          <w:rFonts w:ascii="Times New Roman" w:hAnsi="Times New Roman" w:cs="Times New Roman"/>
          <w:i/>
          <w:iCs/>
          <w:sz w:val="24"/>
          <w:szCs w:val="24"/>
        </w:rPr>
        <w:t>c</w:t>
      </w:r>
      <w:r w:rsidRPr="00451B44">
        <w:rPr>
          <w:rFonts w:ascii="Times New Roman" w:hAnsi="Times New Roman" w:cs="Times New Roman"/>
          <w:sz w:val="24"/>
          <w:szCs w:val="24"/>
        </w:rPr>
        <w:t xml:space="preserve"> was partially released from</w:t>
      </w:r>
      <w:r w:rsidRPr="00451B44">
        <w:rPr>
          <w:rFonts w:ascii="Times New Roman" w:hAnsi="Times New Roman" w:cs="Times New Roman"/>
          <w:sz w:val="24"/>
          <w:szCs w:val="24"/>
          <w:vertAlign w:val="superscript"/>
        </w:rPr>
        <w:t xml:space="preserve"> </w:t>
      </w:r>
      <w:r w:rsidRPr="00451B44">
        <w:rPr>
          <w:rFonts w:ascii="Times New Roman" w:hAnsi="Times New Roman" w:cs="Times New Roman"/>
          <w:sz w:val="24"/>
          <w:szCs w:val="24"/>
        </w:rPr>
        <w:t>the mitochondria into the cytosol of tapetal cells before PCD occurred.</w:t>
      </w:r>
      <w:r>
        <w:rPr>
          <w:rFonts w:ascii="Times New Roman" w:hAnsi="Times New Roman" w:cs="Times New Roman"/>
          <w:sz w:val="24"/>
          <w:szCs w:val="24"/>
        </w:rPr>
        <w:t xml:space="preserve"> </w:t>
      </w:r>
    </w:p>
    <w:p w:rsidR="004B4E5E" w:rsidRPr="00451B44" w:rsidRDefault="004B4E5E" w:rsidP="002B4B8D">
      <w:pPr>
        <w:spacing w:line="480" w:lineRule="auto"/>
        <w:rPr>
          <w:rFonts w:ascii="Times New Roman" w:hAnsi="Times New Roman" w:cs="Times New Roman"/>
          <w:sz w:val="24"/>
          <w:szCs w:val="24"/>
        </w:rPr>
      </w:pPr>
    </w:p>
    <w:p w:rsidR="004B4E5E" w:rsidRPr="0068494A" w:rsidRDefault="004B4E5E" w:rsidP="00035E18">
      <w:pPr>
        <w:pStyle w:val="ListParagraph"/>
        <w:numPr>
          <w:ilvl w:val="0"/>
          <w:numId w:val="29"/>
        </w:numPr>
        <w:spacing w:line="480" w:lineRule="auto"/>
        <w:ind w:left="2517" w:hanging="1383"/>
        <w:rPr>
          <w:rFonts w:ascii="Times New Roman" w:hAnsi="Times New Roman" w:cs="Times New Roman"/>
          <w:b/>
          <w:bCs/>
          <w:sz w:val="24"/>
          <w:szCs w:val="24"/>
        </w:rPr>
      </w:pPr>
      <w:r w:rsidRPr="00451B44">
        <w:rPr>
          <w:rFonts w:ascii="Times New Roman" w:hAnsi="Times New Roman" w:cs="Times New Roman"/>
          <w:b/>
          <w:bCs/>
          <w:sz w:val="24"/>
          <w:szCs w:val="24"/>
        </w:rPr>
        <w:t>Pollen self-incompatibility</w:t>
      </w:r>
    </w:p>
    <w:p w:rsidR="004B4E5E" w:rsidRPr="00451B44" w:rsidRDefault="004B4E5E" w:rsidP="002B4B8D">
      <w:pPr>
        <w:spacing w:line="480" w:lineRule="auto"/>
        <w:rPr>
          <w:rFonts w:ascii="Times New Roman" w:hAnsi="Times New Roman" w:cs="Times New Roman"/>
          <w:sz w:val="24"/>
          <w:szCs w:val="24"/>
        </w:rPr>
      </w:pPr>
      <w:r w:rsidRPr="00451B44">
        <w:rPr>
          <w:rFonts w:ascii="Times New Roman" w:hAnsi="Times New Roman" w:cs="Times New Roman"/>
          <w:sz w:val="24"/>
          <w:szCs w:val="24"/>
        </w:rPr>
        <w:t>Pollen self incompatibility (SI) has evolved independently several times in angiosperms and is thought to have contributed to the successful radiat</w:t>
      </w:r>
      <w:r>
        <w:rPr>
          <w:rFonts w:ascii="Times New Roman" w:hAnsi="Times New Roman" w:cs="Times New Roman"/>
          <w:sz w:val="24"/>
          <w:szCs w:val="24"/>
        </w:rPr>
        <w:t>ion of flowering plants</w:t>
      </w:r>
      <w:r w:rsidRPr="00451B44">
        <w:rPr>
          <w:rFonts w:ascii="Times New Roman" w:hAnsi="Times New Roman" w:cs="Times New Roman"/>
          <w:sz w:val="24"/>
          <w:szCs w:val="24"/>
        </w:rPr>
        <w:t xml:space="preserve"> (Charlesworth</w:t>
      </w:r>
      <w:r w:rsidRPr="00451B44">
        <w:rPr>
          <w:rFonts w:ascii="Times New Roman" w:hAnsi="Times New Roman" w:cs="Times New Roman"/>
          <w:i/>
          <w:iCs/>
          <w:sz w:val="24"/>
          <w:szCs w:val="24"/>
        </w:rPr>
        <w:t xml:space="preserve"> et al.</w:t>
      </w:r>
      <w:r w:rsidRPr="00451B44">
        <w:rPr>
          <w:rFonts w:ascii="Times New Roman" w:hAnsi="Times New Roman" w:cs="Times New Roman"/>
          <w:sz w:val="24"/>
          <w:szCs w:val="24"/>
        </w:rPr>
        <w:t xml:space="preserve">, 2005, Rea and Nasrallah, 2008). During SI, the pollen and pistil interact to degrade invading pollen from an incompatible source. This could be pollen from a different species, or pollen from the plant’s own anther. </w:t>
      </w:r>
    </w:p>
    <w:p w:rsidR="004B4E5E" w:rsidRPr="00451B44" w:rsidRDefault="004B4E5E" w:rsidP="002B4B8D">
      <w:pPr>
        <w:spacing w:line="480" w:lineRule="auto"/>
        <w:rPr>
          <w:rFonts w:ascii="Times New Roman" w:hAnsi="Times New Roman" w:cs="Times New Roman"/>
          <w:sz w:val="24"/>
          <w:szCs w:val="24"/>
        </w:rPr>
      </w:pPr>
      <w:r w:rsidRPr="00451B44">
        <w:rPr>
          <w:rFonts w:ascii="Times New Roman" w:hAnsi="Times New Roman" w:cs="Times New Roman"/>
          <w:sz w:val="24"/>
          <w:szCs w:val="24"/>
        </w:rPr>
        <w:t xml:space="preserve">Three mechanisms controlling SI have emerged and not all of these mechanisms involve PCD; SI control of the gametophyte has been characterised in Solanaceae, Rosaceae and </w:t>
      </w:r>
      <w:r w:rsidRPr="00451B44">
        <w:rPr>
          <w:rFonts w:ascii="Times New Roman" w:hAnsi="Times New Roman" w:cs="Times New Roman"/>
          <w:i/>
          <w:iCs/>
          <w:sz w:val="24"/>
          <w:szCs w:val="24"/>
        </w:rPr>
        <w:t>Anthirrhinum</w:t>
      </w:r>
      <w:r w:rsidRPr="00451B44">
        <w:rPr>
          <w:rFonts w:ascii="Times New Roman" w:hAnsi="Times New Roman" w:cs="Times New Roman"/>
          <w:sz w:val="24"/>
          <w:szCs w:val="24"/>
        </w:rPr>
        <w:t xml:space="preserve"> while </w:t>
      </w:r>
      <w:r w:rsidRPr="00451B44">
        <w:rPr>
          <w:rFonts w:ascii="Times New Roman" w:hAnsi="Times New Roman" w:cs="Times New Roman"/>
          <w:i/>
          <w:iCs/>
          <w:sz w:val="24"/>
          <w:szCs w:val="24"/>
        </w:rPr>
        <w:t>Brassica</w:t>
      </w:r>
      <w:r w:rsidRPr="00451B44">
        <w:rPr>
          <w:rFonts w:ascii="Times New Roman" w:hAnsi="Times New Roman" w:cs="Times New Roman"/>
          <w:sz w:val="24"/>
          <w:szCs w:val="24"/>
        </w:rPr>
        <w:t xml:space="preserve"> SI is mediated by the sporophyte </w:t>
      </w:r>
      <w:r w:rsidRPr="00451B44">
        <w:rPr>
          <w:rFonts w:ascii="Times New Roman" w:hAnsi="Times New Roman" w:cs="Times New Roman"/>
          <w:noProof/>
          <w:sz w:val="24"/>
          <w:szCs w:val="24"/>
        </w:rPr>
        <w:t>(Rea and Nasrallah, 2008)</w:t>
      </w:r>
      <w:r w:rsidRPr="00451B44">
        <w:rPr>
          <w:rFonts w:ascii="Times New Roman" w:hAnsi="Times New Roman" w:cs="Times New Roman"/>
          <w:sz w:val="24"/>
          <w:szCs w:val="24"/>
        </w:rPr>
        <w:t>. SI in the nightshade, rose and snapdragon family is mediated by non-specific S-RNases (</w:t>
      </w:r>
      <w:r w:rsidRPr="00451B44">
        <w:rPr>
          <w:rFonts w:ascii="Times New Roman" w:hAnsi="Times New Roman" w:cs="Times New Roman"/>
          <w:i/>
          <w:iCs/>
          <w:sz w:val="24"/>
          <w:szCs w:val="24"/>
        </w:rPr>
        <w:t>S</w:t>
      </w:r>
      <w:r w:rsidRPr="00451B44">
        <w:rPr>
          <w:rFonts w:ascii="Times New Roman" w:hAnsi="Times New Roman" w:cs="Times New Roman"/>
          <w:sz w:val="24"/>
          <w:szCs w:val="24"/>
        </w:rPr>
        <w:t xml:space="preserve">-locus ribonucleases) which degrade RNA in the pollen germ tube, thus pollen tube elongation is halted early, usually in the upper third section of the style </w:t>
      </w:r>
      <w:r w:rsidRPr="00451B44">
        <w:rPr>
          <w:rFonts w:ascii="Times New Roman" w:hAnsi="Times New Roman" w:cs="Times New Roman"/>
          <w:noProof/>
          <w:sz w:val="24"/>
          <w:szCs w:val="24"/>
        </w:rPr>
        <w:t>(McClure and Franklin-Tong, 2006)</w:t>
      </w:r>
      <w:r w:rsidRPr="00451B44">
        <w:rPr>
          <w:rFonts w:ascii="Times New Roman" w:hAnsi="Times New Roman" w:cs="Times New Roman"/>
          <w:sz w:val="24"/>
          <w:szCs w:val="24"/>
        </w:rPr>
        <w:t xml:space="preserve">. Conversely, Brassica SI is achieved by the action of two </w:t>
      </w:r>
      <w:r w:rsidRPr="00451B44">
        <w:rPr>
          <w:rFonts w:ascii="Times New Roman" w:hAnsi="Times New Roman" w:cs="Times New Roman"/>
          <w:i/>
          <w:iCs/>
          <w:sz w:val="24"/>
          <w:szCs w:val="24"/>
        </w:rPr>
        <w:t>S-</w:t>
      </w:r>
      <w:r w:rsidRPr="00451B44">
        <w:rPr>
          <w:rFonts w:ascii="Times New Roman" w:hAnsi="Times New Roman" w:cs="Times New Roman"/>
          <w:sz w:val="24"/>
          <w:szCs w:val="24"/>
        </w:rPr>
        <w:t xml:space="preserve">locus genes: the </w:t>
      </w:r>
      <w:r w:rsidRPr="00451B44">
        <w:rPr>
          <w:rFonts w:ascii="Times New Roman" w:hAnsi="Times New Roman" w:cs="Times New Roman"/>
          <w:i/>
          <w:iCs/>
          <w:sz w:val="24"/>
          <w:szCs w:val="24"/>
        </w:rPr>
        <w:t>S-</w:t>
      </w:r>
      <w:r w:rsidRPr="00451B44">
        <w:rPr>
          <w:rFonts w:ascii="Times New Roman" w:hAnsi="Times New Roman" w:cs="Times New Roman"/>
          <w:sz w:val="24"/>
          <w:szCs w:val="24"/>
        </w:rPr>
        <w:t>locus receptor kinase (</w:t>
      </w:r>
      <w:r w:rsidRPr="00451B44">
        <w:rPr>
          <w:rFonts w:ascii="Times New Roman" w:hAnsi="Times New Roman" w:cs="Times New Roman"/>
          <w:i/>
          <w:iCs/>
          <w:sz w:val="24"/>
          <w:szCs w:val="24"/>
        </w:rPr>
        <w:t>SRK</w:t>
      </w:r>
      <w:r w:rsidRPr="00451B44">
        <w:rPr>
          <w:rFonts w:ascii="Times New Roman" w:hAnsi="Times New Roman" w:cs="Times New Roman"/>
          <w:sz w:val="24"/>
          <w:szCs w:val="24"/>
        </w:rPr>
        <w:t xml:space="preserve">) gene located in the stigma epidermal cells and the pollen-coat-localised </w:t>
      </w:r>
      <w:r w:rsidRPr="00451B44">
        <w:rPr>
          <w:rFonts w:ascii="Times New Roman" w:hAnsi="Times New Roman" w:cs="Times New Roman"/>
          <w:i/>
          <w:iCs/>
          <w:sz w:val="24"/>
          <w:szCs w:val="24"/>
        </w:rPr>
        <w:t>S-</w:t>
      </w:r>
      <w:r w:rsidRPr="00451B44">
        <w:rPr>
          <w:rFonts w:ascii="Times New Roman" w:hAnsi="Times New Roman" w:cs="Times New Roman"/>
          <w:sz w:val="24"/>
          <w:szCs w:val="24"/>
        </w:rPr>
        <w:t>locus cysteine-rich protein (</w:t>
      </w:r>
      <w:r w:rsidRPr="00451B44">
        <w:rPr>
          <w:rFonts w:ascii="Times New Roman" w:hAnsi="Times New Roman" w:cs="Times New Roman"/>
          <w:i/>
          <w:iCs/>
          <w:sz w:val="24"/>
          <w:szCs w:val="24"/>
        </w:rPr>
        <w:t>SCR</w:t>
      </w:r>
      <w:r w:rsidRPr="00451B44">
        <w:rPr>
          <w:rFonts w:ascii="Times New Roman" w:hAnsi="Times New Roman" w:cs="Times New Roman"/>
          <w:sz w:val="24"/>
          <w:szCs w:val="24"/>
        </w:rPr>
        <w:t xml:space="preserve">) gene, which encodes the ligand for the SRK receptor. Interactions between these two gene products prevent the germination of an incompatible pollen grain </w:t>
      </w:r>
      <w:r w:rsidRPr="00451B44">
        <w:rPr>
          <w:rFonts w:ascii="Times New Roman" w:hAnsi="Times New Roman" w:cs="Times New Roman"/>
          <w:noProof/>
          <w:sz w:val="24"/>
          <w:szCs w:val="24"/>
        </w:rPr>
        <w:t>(Haasen and Goring, 2010)</w:t>
      </w:r>
      <w:r w:rsidRPr="00451B44">
        <w:rPr>
          <w:rFonts w:ascii="Times New Roman" w:hAnsi="Times New Roman" w:cs="Times New Roman"/>
          <w:sz w:val="24"/>
          <w:szCs w:val="24"/>
        </w:rPr>
        <w:t xml:space="preserve">. SI in </w:t>
      </w:r>
      <w:r w:rsidRPr="00451B44">
        <w:rPr>
          <w:rFonts w:ascii="Times New Roman" w:hAnsi="Times New Roman" w:cs="Times New Roman"/>
          <w:i/>
          <w:iCs/>
          <w:sz w:val="24"/>
          <w:szCs w:val="24"/>
        </w:rPr>
        <w:t>Papaver</w:t>
      </w:r>
      <w:r w:rsidRPr="00451B44">
        <w:rPr>
          <w:rFonts w:ascii="Times New Roman" w:hAnsi="Times New Roman" w:cs="Times New Roman"/>
          <w:sz w:val="24"/>
          <w:szCs w:val="24"/>
        </w:rPr>
        <w:t xml:space="preserve"> is late acting, in that the pollen germinates, grows into the stigma and growth is subsequently terminated, culminating in PCD of the pollen germ tube. </w:t>
      </w:r>
      <w:r w:rsidRPr="00451B44">
        <w:rPr>
          <w:rFonts w:ascii="Times New Roman" w:hAnsi="Times New Roman" w:cs="Times New Roman"/>
          <w:color w:val="FF0000"/>
          <w:sz w:val="24"/>
          <w:szCs w:val="24"/>
        </w:rPr>
        <w:t xml:space="preserve"> </w:t>
      </w:r>
    </w:p>
    <w:p w:rsidR="004B4E5E" w:rsidRPr="00711364" w:rsidRDefault="004B4E5E" w:rsidP="002B4B8D">
      <w:pPr>
        <w:spacing w:line="480" w:lineRule="auto"/>
        <w:rPr>
          <w:rFonts w:ascii="Times New Roman" w:hAnsi="Times New Roman" w:cs="Times New Roman"/>
          <w:sz w:val="24"/>
          <w:szCs w:val="24"/>
        </w:rPr>
      </w:pPr>
      <w:r w:rsidRPr="00451B44">
        <w:rPr>
          <w:rFonts w:ascii="Times New Roman" w:hAnsi="Times New Roman" w:cs="Times New Roman"/>
          <w:sz w:val="24"/>
          <w:szCs w:val="24"/>
        </w:rPr>
        <w:t>SI in poppy is genetically controlled by a single multi-allelic S locus (Foote</w:t>
      </w:r>
      <w:r w:rsidRPr="00451B44">
        <w:rPr>
          <w:rFonts w:ascii="Times New Roman" w:hAnsi="Times New Roman" w:cs="Times New Roman"/>
          <w:i/>
          <w:iCs/>
          <w:sz w:val="24"/>
          <w:szCs w:val="24"/>
        </w:rPr>
        <w:t xml:space="preserve"> et al.</w:t>
      </w:r>
      <w:r w:rsidRPr="00451B44">
        <w:rPr>
          <w:rFonts w:ascii="Times New Roman" w:hAnsi="Times New Roman" w:cs="Times New Roman"/>
          <w:sz w:val="24"/>
          <w:szCs w:val="24"/>
        </w:rPr>
        <w:t xml:space="preserve">, 1994). Genes on this locus have been earmarked as recognisers of non-compatible pollen; it has been proposed that the stigma secretes small S gene products which accumulate in the </w:t>
      </w:r>
      <w:r w:rsidRPr="00711364">
        <w:rPr>
          <w:rFonts w:ascii="Times New Roman" w:hAnsi="Times New Roman" w:cs="Times New Roman"/>
          <w:sz w:val="24"/>
          <w:szCs w:val="24"/>
        </w:rPr>
        <w:t>extracellular matrix and interact with the incompatible pollen carrying the corresponding S allele</w:t>
      </w:r>
      <w:r w:rsidRPr="00711364">
        <w:rPr>
          <w:rFonts w:ascii="Times New Roman" w:hAnsi="Times New Roman" w:cs="Times New Roman"/>
          <w:b/>
          <w:bCs/>
          <w:sz w:val="24"/>
          <w:szCs w:val="24"/>
        </w:rPr>
        <w:t xml:space="preserve"> </w:t>
      </w:r>
      <w:r w:rsidRPr="00711364">
        <w:rPr>
          <w:rFonts w:ascii="Times New Roman" w:hAnsi="Times New Roman" w:cs="Times New Roman"/>
          <w:sz w:val="24"/>
          <w:szCs w:val="24"/>
        </w:rPr>
        <w:t>(Kakeda</w:t>
      </w:r>
      <w:r w:rsidRPr="00711364">
        <w:rPr>
          <w:rFonts w:ascii="Times New Roman" w:hAnsi="Times New Roman" w:cs="Times New Roman"/>
          <w:i/>
          <w:iCs/>
          <w:sz w:val="24"/>
          <w:szCs w:val="24"/>
        </w:rPr>
        <w:t xml:space="preserve"> et al.</w:t>
      </w:r>
      <w:r w:rsidRPr="00711364">
        <w:rPr>
          <w:rFonts w:ascii="Times New Roman" w:hAnsi="Times New Roman" w:cs="Times New Roman"/>
          <w:sz w:val="24"/>
          <w:szCs w:val="24"/>
        </w:rPr>
        <w:t>, 1998). This induces a Ca</w:t>
      </w:r>
      <w:r w:rsidRPr="00711364">
        <w:rPr>
          <w:rFonts w:ascii="Times New Roman" w:hAnsi="Times New Roman" w:cs="Times New Roman"/>
          <w:sz w:val="24"/>
          <w:szCs w:val="24"/>
          <w:vertAlign w:val="superscript"/>
        </w:rPr>
        <w:t>2+</w:t>
      </w:r>
      <w:r w:rsidRPr="00711364">
        <w:rPr>
          <w:rFonts w:ascii="Times New Roman" w:hAnsi="Times New Roman" w:cs="Times New Roman"/>
          <w:sz w:val="24"/>
          <w:szCs w:val="24"/>
        </w:rPr>
        <w:t xml:space="preserve">-dependent signalling cascade which stops pollen tube growth and culminates in PCD of the pollen tube. </w:t>
      </w:r>
    </w:p>
    <w:p w:rsidR="004B4E5E" w:rsidRPr="00451B44" w:rsidRDefault="004B4E5E" w:rsidP="002B4B8D">
      <w:pPr>
        <w:spacing w:line="480" w:lineRule="auto"/>
        <w:rPr>
          <w:rFonts w:ascii="Times New Roman" w:hAnsi="Times New Roman" w:cs="Times New Roman"/>
          <w:sz w:val="24"/>
          <w:szCs w:val="24"/>
        </w:rPr>
      </w:pPr>
      <w:r w:rsidRPr="00711364">
        <w:rPr>
          <w:rFonts w:ascii="Times New Roman" w:hAnsi="Times New Roman" w:cs="Times New Roman"/>
          <w:sz w:val="24"/>
          <w:szCs w:val="24"/>
        </w:rPr>
        <w:t>As d</w:t>
      </w:r>
      <w:r>
        <w:rPr>
          <w:rFonts w:ascii="Times New Roman" w:hAnsi="Times New Roman" w:cs="Times New Roman"/>
          <w:sz w:val="24"/>
          <w:szCs w:val="24"/>
        </w:rPr>
        <w:t>iscussed in section IIA1,</w:t>
      </w:r>
      <w:r w:rsidRPr="00711364">
        <w:rPr>
          <w:rFonts w:ascii="Times New Roman" w:hAnsi="Times New Roman" w:cs="Times New Roman"/>
          <w:sz w:val="24"/>
          <w:szCs w:val="24"/>
        </w:rPr>
        <w:t xml:space="preserve"> Ca</w:t>
      </w:r>
      <w:r w:rsidRPr="00711364">
        <w:rPr>
          <w:rFonts w:ascii="Times New Roman" w:hAnsi="Times New Roman" w:cs="Times New Roman"/>
          <w:sz w:val="24"/>
          <w:szCs w:val="24"/>
          <w:vertAlign w:val="superscript"/>
        </w:rPr>
        <w:t>2+</w:t>
      </w:r>
      <w:r w:rsidRPr="00711364">
        <w:rPr>
          <w:rFonts w:ascii="Times New Roman" w:hAnsi="Times New Roman" w:cs="Times New Roman"/>
          <w:sz w:val="24"/>
          <w:szCs w:val="24"/>
        </w:rPr>
        <w:t xml:space="preserve"> signalling has been implicated in a wide</w:t>
      </w:r>
      <w:r w:rsidRPr="00451B44">
        <w:rPr>
          <w:rFonts w:ascii="Times New Roman" w:hAnsi="Times New Roman" w:cs="Times New Roman"/>
          <w:sz w:val="24"/>
          <w:szCs w:val="24"/>
        </w:rPr>
        <w:t xml:space="preserve"> variety of PCD responses. A seri</w:t>
      </w:r>
      <w:r>
        <w:rPr>
          <w:rFonts w:ascii="Times New Roman" w:hAnsi="Times New Roman" w:cs="Times New Roman"/>
          <w:sz w:val="24"/>
          <w:szCs w:val="24"/>
        </w:rPr>
        <w:t>es of studies by</w:t>
      </w:r>
      <w:r w:rsidRPr="00451B44">
        <w:rPr>
          <w:rFonts w:ascii="Times New Roman" w:hAnsi="Times New Roman" w:cs="Times New Roman"/>
          <w:sz w:val="24"/>
          <w:szCs w:val="24"/>
        </w:rPr>
        <w:t xml:space="preserve"> Vernonica Franklin-Tong</w:t>
      </w:r>
      <w:r>
        <w:rPr>
          <w:rFonts w:ascii="Times New Roman" w:hAnsi="Times New Roman" w:cs="Times New Roman"/>
          <w:sz w:val="24"/>
          <w:szCs w:val="24"/>
        </w:rPr>
        <w:t>’s research group</w:t>
      </w:r>
      <w:r w:rsidRPr="00451B44">
        <w:rPr>
          <w:rFonts w:ascii="Times New Roman" w:hAnsi="Times New Roman" w:cs="Times New Roman"/>
          <w:i/>
          <w:iCs/>
          <w:sz w:val="24"/>
          <w:szCs w:val="24"/>
        </w:rPr>
        <w:t xml:space="preserve">, </w:t>
      </w:r>
      <w:r>
        <w:rPr>
          <w:rFonts w:ascii="Times New Roman" w:hAnsi="Times New Roman" w:cs="Times New Roman"/>
          <w:sz w:val="24"/>
          <w:szCs w:val="24"/>
        </w:rPr>
        <w:t>(Franklin-Tong</w:t>
      </w:r>
      <w:r w:rsidRPr="00A43B68">
        <w:rPr>
          <w:rFonts w:ascii="Times New Roman" w:hAnsi="Times New Roman" w:cs="Times New Roman"/>
          <w:i/>
          <w:iCs/>
          <w:sz w:val="24"/>
          <w:szCs w:val="24"/>
        </w:rPr>
        <w:t xml:space="preserve"> et al.</w:t>
      </w:r>
      <w:r>
        <w:rPr>
          <w:rFonts w:ascii="Times New Roman" w:hAnsi="Times New Roman" w:cs="Times New Roman"/>
          <w:sz w:val="24"/>
          <w:szCs w:val="24"/>
        </w:rPr>
        <w:t>, 1997, Franklin-Tong</w:t>
      </w:r>
      <w:r w:rsidRPr="00A43B68">
        <w:rPr>
          <w:rFonts w:ascii="Times New Roman" w:hAnsi="Times New Roman" w:cs="Times New Roman"/>
          <w:i/>
          <w:iCs/>
          <w:sz w:val="24"/>
          <w:szCs w:val="24"/>
        </w:rPr>
        <w:t xml:space="preserve"> et al.</w:t>
      </w:r>
      <w:r>
        <w:rPr>
          <w:rFonts w:ascii="Times New Roman" w:hAnsi="Times New Roman" w:cs="Times New Roman"/>
          <w:sz w:val="24"/>
          <w:szCs w:val="24"/>
        </w:rPr>
        <w:t>, 1995, Franklin-Tong</w:t>
      </w:r>
      <w:r w:rsidRPr="00A43B68">
        <w:rPr>
          <w:rFonts w:ascii="Times New Roman" w:hAnsi="Times New Roman" w:cs="Times New Roman"/>
          <w:i/>
          <w:iCs/>
          <w:sz w:val="24"/>
          <w:szCs w:val="24"/>
        </w:rPr>
        <w:t xml:space="preserve"> et al.</w:t>
      </w:r>
      <w:r>
        <w:rPr>
          <w:rFonts w:ascii="Times New Roman" w:hAnsi="Times New Roman" w:cs="Times New Roman"/>
          <w:sz w:val="24"/>
          <w:szCs w:val="24"/>
        </w:rPr>
        <w:t>, 1993)</w:t>
      </w:r>
      <w:r w:rsidRPr="00451B44">
        <w:rPr>
          <w:rFonts w:ascii="Times New Roman" w:hAnsi="Times New Roman" w:cs="Times New Roman"/>
          <w:sz w:val="24"/>
          <w:szCs w:val="24"/>
        </w:rPr>
        <w:t xml:space="preserve"> demonstrated a swift and large increase in free Ca</w:t>
      </w:r>
      <w:r w:rsidRPr="00451B44">
        <w:rPr>
          <w:rFonts w:ascii="Times New Roman" w:hAnsi="Times New Roman" w:cs="Times New Roman"/>
          <w:sz w:val="24"/>
          <w:szCs w:val="24"/>
          <w:vertAlign w:val="superscript"/>
        </w:rPr>
        <w:t>2+</w:t>
      </w:r>
      <w:r w:rsidRPr="00451B44">
        <w:rPr>
          <w:rFonts w:ascii="Times New Roman" w:hAnsi="Times New Roman" w:cs="Times New Roman"/>
          <w:sz w:val="24"/>
          <w:szCs w:val="24"/>
        </w:rPr>
        <w:t xml:space="preserve"> in the cytoplasm of incompatible pollen tubes. A subsequent study highlighted an influx of extracellular Ca</w:t>
      </w:r>
      <w:r w:rsidRPr="00451B44">
        <w:rPr>
          <w:rFonts w:ascii="Times New Roman" w:hAnsi="Times New Roman" w:cs="Times New Roman"/>
          <w:sz w:val="24"/>
          <w:szCs w:val="24"/>
          <w:vertAlign w:val="superscript"/>
        </w:rPr>
        <w:t>2+</w:t>
      </w:r>
      <w:r w:rsidRPr="00451B44">
        <w:rPr>
          <w:rFonts w:ascii="Times New Roman" w:hAnsi="Times New Roman" w:cs="Times New Roman"/>
          <w:sz w:val="24"/>
          <w:szCs w:val="24"/>
        </w:rPr>
        <w:t xml:space="preserve"> targeted to just behind the tube tip </w:t>
      </w:r>
      <w:r w:rsidRPr="00451B44">
        <w:rPr>
          <w:rFonts w:ascii="Times New Roman" w:hAnsi="Times New Roman" w:cs="Times New Roman"/>
          <w:noProof/>
          <w:sz w:val="24"/>
          <w:szCs w:val="24"/>
        </w:rPr>
        <w:t>(Franklin-Tong</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2002)</w:t>
      </w:r>
      <w:r w:rsidRPr="00451B44">
        <w:rPr>
          <w:rFonts w:ascii="Times New Roman" w:hAnsi="Times New Roman" w:cs="Times New Roman"/>
          <w:sz w:val="24"/>
          <w:szCs w:val="24"/>
        </w:rPr>
        <w:t xml:space="preserve">. Normally, this site requires tightly controlled calcium gradients for normal tube growth but Franklin-Tong </w:t>
      </w:r>
      <w:r w:rsidRPr="00451B44">
        <w:rPr>
          <w:rFonts w:ascii="Times New Roman" w:hAnsi="Times New Roman" w:cs="Times New Roman"/>
          <w:i/>
          <w:iCs/>
          <w:sz w:val="24"/>
          <w:szCs w:val="24"/>
        </w:rPr>
        <w:t>et al.,</w:t>
      </w:r>
      <w:r w:rsidRPr="00451B44">
        <w:rPr>
          <w:rFonts w:ascii="Times New Roman" w:hAnsi="Times New Roman" w:cs="Times New Roman"/>
          <w:sz w:val="24"/>
          <w:szCs w:val="24"/>
        </w:rPr>
        <w:t xml:space="preserve"> </w:t>
      </w:r>
      <w:r w:rsidRPr="00451B44">
        <w:rPr>
          <w:rFonts w:ascii="Times New Roman" w:hAnsi="Times New Roman" w:cs="Times New Roman"/>
          <w:noProof/>
          <w:sz w:val="24"/>
          <w:szCs w:val="24"/>
        </w:rPr>
        <w:t>(2002)</w:t>
      </w:r>
      <w:r w:rsidRPr="00451B44">
        <w:rPr>
          <w:rFonts w:ascii="Times New Roman" w:hAnsi="Times New Roman" w:cs="Times New Roman"/>
          <w:sz w:val="24"/>
          <w:szCs w:val="24"/>
        </w:rPr>
        <w:t xml:space="preserve"> found that the normal calcium gradient dissipates within 1 min</w:t>
      </w:r>
      <w:r>
        <w:rPr>
          <w:rFonts w:ascii="Times New Roman" w:hAnsi="Times New Roman" w:cs="Times New Roman"/>
          <w:sz w:val="24"/>
          <w:szCs w:val="24"/>
        </w:rPr>
        <w:t>ute</w:t>
      </w:r>
      <w:r w:rsidRPr="00451B44">
        <w:rPr>
          <w:rFonts w:ascii="Times New Roman" w:hAnsi="Times New Roman" w:cs="Times New Roman"/>
          <w:sz w:val="24"/>
          <w:szCs w:val="24"/>
        </w:rPr>
        <w:t xml:space="preserve"> of calcium influx. </w:t>
      </w:r>
    </w:p>
    <w:p w:rsidR="004B4E5E" w:rsidRPr="00451B44" w:rsidRDefault="004B4E5E" w:rsidP="002B4B8D">
      <w:pPr>
        <w:spacing w:after="0" w:line="480" w:lineRule="auto"/>
        <w:rPr>
          <w:rFonts w:ascii="Times New Roman" w:hAnsi="Times New Roman" w:cs="Times New Roman"/>
          <w:sz w:val="24"/>
          <w:szCs w:val="24"/>
        </w:rPr>
      </w:pPr>
      <w:r w:rsidRPr="00451B44">
        <w:rPr>
          <w:rFonts w:ascii="Times New Roman" w:hAnsi="Times New Roman" w:cs="Times New Roman"/>
          <w:sz w:val="24"/>
          <w:szCs w:val="24"/>
        </w:rPr>
        <w:t xml:space="preserve">Within 60 seconds, the calcium imbalance triggers depolymerisation and rapid rearrangement of the actin cytoskeleton </w:t>
      </w:r>
      <w:r w:rsidRPr="00451B44">
        <w:rPr>
          <w:rFonts w:ascii="Times New Roman" w:hAnsi="Times New Roman" w:cs="Times New Roman"/>
          <w:noProof/>
          <w:sz w:val="24"/>
          <w:szCs w:val="24"/>
        </w:rPr>
        <w:t>(Geitmann</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2000)</w:t>
      </w:r>
      <w:r w:rsidRPr="00451B44">
        <w:rPr>
          <w:rFonts w:ascii="Times New Roman" w:hAnsi="Times New Roman" w:cs="Times New Roman"/>
          <w:sz w:val="24"/>
          <w:szCs w:val="24"/>
        </w:rPr>
        <w:t xml:space="preserve"> which is persistent for at least 1 hour </w:t>
      </w:r>
      <w:r w:rsidRPr="00451B44">
        <w:rPr>
          <w:rFonts w:ascii="Times New Roman" w:hAnsi="Times New Roman" w:cs="Times New Roman"/>
          <w:noProof/>
          <w:sz w:val="24"/>
          <w:szCs w:val="24"/>
        </w:rPr>
        <w:t>(Snowman</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2002)</w:t>
      </w:r>
      <w:r w:rsidRPr="00451B44">
        <w:rPr>
          <w:rFonts w:ascii="Times New Roman" w:hAnsi="Times New Roman" w:cs="Times New Roman"/>
          <w:sz w:val="24"/>
          <w:szCs w:val="24"/>
        </w:rPr>
        <w:t xml:space="preserve"> and interestingly, such rapid and gross changes in the actin cytoskeleton is enough to cause PCD by itself </w:t>
      </w:r>
      <w:r w:rsidRPr="00451B44">
        <w:rPr>
          <w:rFonts w:ascii="Times New Roman" w:hAnsi="Times New Roman" w:cs="Times New Roman"/>
          <w:noProof/>
          <w:sz w:val="24"/>
          <w:szCs w:val="24"/>
        </w:rPr>
        <w:t>(Thomas</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2006)</w:t>
      </w:r>
      <w:r w:rsidRPr="00451B44">
        <w:rPr>
          <w:rFonts w:ascii="Times New Roman" w:hAnsi="Times New Roman" w:cs="Times New Roman"/>
          <w:sz w:val="24"/>
          <w:szCs w:val="24"/>
        </w:rPr>
        <w:t>. Furthermore, the rapid change in [Ca</w:t>
      </w:r>
      <w:r w:rsidRPr="00451B44">
        <w:rPr>
          <w:rFonts w:ascii="Times New Roman" w:hAnsi="Times New Roman" w:cs="Times New Roman"/>
          <w:sz w:val="24"/>
          <w:szCs w:val="24"/>
          <w:vertAlign w:val="superscript"/>
        </w:rPr>
        <w:t>2+</w:t>
      </w:r>
      <w:r w:rsidRPr="00451B44">
        <w:rPr>
          <w:rFonts w:ascii="Times New Roman" w:hAnsi="Times New Roman" w:cs="Times New Roman"/>
          <w:sz w:val="24"/>
          <w:szCs w:val="24"/>
        </w:rPr>
        <w:t xml:space="preserve">] also triggers a mitogen-activated protein kinase (MAPK) cascade. Li </w:t>
      </w:r>
      <w:r w:rsidRPr="00451B44">
        <w:rPr>
          <w:rFonts w:ascii="Times New Roman" w:hAnsi="Times New Roman" w:cs="Times New Roman"/>
          <w:i/>
          <w:iCs/>
          <w:sz w:val="24"/>
          <w:szCs w:val="24"/>
        </w:rPr>
        <w:t>et al.,</w:t>
      </w:r>
      <w:r w:rsidRPr="00451B44">
        <w:rPr>
          <w:rFonts w:ascii="Times New Roman" w:hAnsi="Times New Roman" w:cs="Times New Roman"/>
          <w:sz w:val="24"/>
          <w:szCs w:val="24"/>
        </w:rPr>
        <w:t xml:space="preserve"> </w:t>
      </w:r>
      <w:r w:rsidRPr="00451B44">
        <w:rPr>
          <w:rFonts w:ascii="Times New Roman" w:hAnsi="Times New Roman" w:cs="Times New Roman"/>
          <w:noProof/>
          <w:sz w:val="24"/>
          <w:szCs w:val="24"/>
        </w:rPr>
        <w:t>(2007b)</w:t>
      </w:r>
      <w:r w:rsidRPr="00451B44">
        <w:rPr>
          <w:rFonts w:ascii="Times New Roman" w:hAnsi="Times New Roman" w:cs="Times New Roman"/>
          <w:sz w:val="24"/>
          <w:szCs w:val="24"/>
        </w:rPr>
        <w:t xml:space="preserve"> and </w:t>
      </w:r>
      <w:r w:rsidRPr="00451B44">
        <w:rPr>
          <w:rFonts w:ascii="Times New Roman" w:hAnsi="Times New Roman" w:cs="Times New Roman"/>
          <w:noProof/>
          <w:sz w:val="24"/>
          <w:szCs w:val="24"/>
        </w:rPr>
        <w:t>Li and Franklin-Tong</w:t>
      </w:r>
      <w:r w:rsidRPr="00451B44">
        <w:rPr>
          <w:rFonts w:ascii="Times New Roman" w:hAnsi="Times New Roman" w:cs="Times New Roman"/>
          <w:sz w:val="24"/>
          <w:szCs w:val="24"/>
        </w:rPr>
        <w:t xml:space="preserve"> (2008) identified p56 MAPK as the only MAPK activated during SI and in doing so, implicated MAPK signalling involvement during early PCD. </w:t>
      </w:r>
    </w:p>
    <w:p w:rsidR="004B4E5E" w:rsidRPr="00451B44" w:rsidRDefault="004B4E5E" w:rsidP="002B4B8D">
      <w:pPr>
        <w:spacing w:after="0" w:line="480" w:lineRule="auto"/>
        <w:rPr>
          <w:rFonts w:ascii="Times New Roman" w:hAnsi="Times New Roman" w:cs="Times New Roman"/>
          <w:sz w:val="24"/>
          <w:szCs w:val="24"/>
        </w:rPr>
      </w:pPr>
      <w:r w:rsidRPr="00451B44">
        <w:rPr>
          <w:rFonts w:ascii="Times New Roman" w:hAnsi="Times New Roman" w:cs="Times New Roman"/>
          <w:sz w:val="24"/>
          <w:szCs w:val="24"/>
        </w:rPr>
        <w:t xml:space="preserve">Rudd </w:t>
      </w:r>
      <w:r w:rsidRPr="00451B44">
        <w:rPr>
          <w:rFonts w:ascii="Times New Roman" w:hAnsi="Times New Roman" w:cs="Times New Roman"/>
          <w:i/>
          <w:iCs/>
          <w:sz w:val="24"/>
          <w:szCs w:val="24"/>
        </w:rPr>
        <w:t xml:space="preserve">et al., </w:t>
      </w:r>
      <w:r w:rsidRPr="00451B44">
        <w:rPr>
          <w:rFonts w:ascii="Times New Roman" w:hAnsi="Times New Roman" w:cs="Times New Roman"/>
          <w:noProof/>
          <w:sz w:val="24"/>
          <w:szCs w:val="24"/>
        </w:rPr>
        <w:t>(1996)</w:t>
      </w:r>
      <w:r w:rsidRPr="00451B44">
        <w:rPr>
          <w:rFonts w:ascii="Times New Roman" w:hAnsi="Times New Roman" w:cs="Times New Roman"/>
          <w:sz w:val="24"/>
          <w:szCs w:val="24"/>
        </w:rPr>
        <w:t xml:space="preserve"> found that within 90 seconds of [Ca</w:t>
      </w:r>
      <w:r w:rsidRPr="00451B44">
        <w:rPr>
          <w:rFonts w:ascii="Times New Roman" w:hAnsi="Times New Roman" w:cs="Times New Roman"/>
          <w:sz w:val="24"/>
          <w:szCs w:val="24"/>
          <w:vertAlign w:val="superscript"/>
        </w:rPr>
        <w:t>2+</w:t>
      </w:r>
      <w:r w:rsidRPr="00451B44">
        <w:rPr>
          <w:rFonts w:ascii="Times New Roman" w:hAnsi="Times New Roman" w:cs="Times New Roman"/>
          <w:sz w:val="24"/>
          <w:szCs w:val="24"/>
        </w:rPr>
        <w:t>] change, two cytosol pollen proteins are hyperphosphorylated in a Ca</w:t>
      </w:r>
      <w:r w:rsidRPr="00451B44">
        <w:rPr>
          <w:rFonts w:ascii="Times New Roman" w:hAnsi="Times New Roman" w:cs="Times New Roman"/>
          <w:sz w:val="24"/>
          <w:szCs w:val="24"/>
          <w:vertAlign w:val="superscript"/>
        </w:rPr>
        <w:t>2+</w:t>
      </w:r>
      <w:r w:rsidRPr="00451B44">
        <w:rPr>
          <w:rFonts w:ascii="Times New Roman" w:hAnsi="Times New Roman" w:cs="Times New Roman"/>
          <w:sz w:val="24"/>
          <w:szCs w:val="24"/>
        </w:rPr>
        <w:t xml:space="preserve">-dependent manner thereby reducing their activity and resulting in incompatible pollen inhibition. Later, de Graaf </w:t>
      </w:r>
      <w:r w:rsidRPr="00451B44">
        <w:rPr>
          <w:rFonts w:ascii="Times New Roman" w:hAnsi="Times New Roman" w:cs="Times New Roman"/>
          <w:i/>
          <w:iCs/>
          <w:sz w:val="24"/>
          <w:szCs w:val="24"/>
        </w:rPr>
        <w:t>et al.,</w:t>
      </w:r>
      <w:r w:rsidRPr="00451B44">
        <w:rPr>
          <w:rFonts w:ascii="Times New Roman" w:hAnsi="Times New Roman" w:cs="Times New Roman"/>
          <w:sz w:val="24"/>
          <w:szCs w:val="24"/>
        </w:rPr>
        <w:t xml:space="preserve"> </w:t>
      </w:r>
      <w:r w:rsidRPr="00451B44">
        <w:rPr>
          <w:rFonts w:ascii="Times New Roman" w:hAnsi="Times New Roman" w:cs="Times New Roman"/>
          <w:noProof/>
          <w:sz w:val="24"/>
          <w:szCs w:val="24"/>
        </w:rPr>
        <w:t>(2006)</w:t>
      </w:r>
      <w:r w:rsidRPr="00451B44">
        <w:rPr>
          <w:rFonts w:ascii="Times New Roman" w:hAnsi="Times New Roman" w:cs="Times New Roman"/>
          <w:sz w:val="24"/>
          <w:szCs w:val="24"/>
        </w:rPr>
        <w:t xml:space="preserve"> identified these proteins as the soluble inorganic pyrophosphatases (sPPases), Pr-p26.1a and Pr-p26.1b.</w:t>
      </w:r>
    </w:p>
    <w:p w:rsidR="004B4E5E" w:rsidRPr="00451B44" w:rsidRDefault="004B4E5E" w:rsidP="002B4B8D">
      <w:pPr>
        <w:spacing w:after="0" w:line="480" w:lineRule="auto"/>
        <w:rPr>
          <w:rFonts w:ascii="Times New Roman" w:hAnsi="Times New Roman" w:cs="Times New Roman"/>
          <w:sz w:val="24"/>
          <w:szCs w:val="24"/>
        </w:rPr>
      </w:pPr>
      <w:r w:rsidRPr="00451B44">
        <w:rPr>
          <w:rFonts w:ascii="Times New Roman" w:hAnsi="Times New Roman" w:cs="Times New Roman"/>
          <w:sz w:val="24"/>
          <w:szCs w:val="24"/>
        </w:rPr>
        <w:t xml:space="preserve">Calcium influx, actin rearrangement, pollen protein phosphorylation and MAPK activation can be seen as the preliminary stages of SI in </w:t>
      </w:r>
      <w:r w:rsidRPr="00451B44">
        <w:rPr>
          <w:rFonts w:ascii="Times New Roman" w:hAnsi="Times New Roman" w:cs="Times New Roman"/>
          <w:i/>
          <w:iCs/>
          <w:sz w:val="24"/>
          <w:szCs w:val="24"/>
        </w:rPr>
        <w:t>Papaver</w:t>
      </w:r>
      <w:r w:rsidRPr="00451B44">
        <w:rPr>
          <w:rFonts w:ascii="Times New Roman" w:hAnsi="Times New Roman" w:cs="Times New Roman"/>
          <w:sz w:val="24"/>
          <w:szCs w:val="24"/>
        </w:rPr>
        <w:t xml:space="preserve"> after which various events exhibiting the hallmarks of PCD occur. For instance, a study by Jordan </w:t>
      </w:r>
      <w:r w:rsidRPr="00451B44">
        <w:rPr>
          <w:rFonts w:ascii="Times New Roman" w:hAnsi="Times New Roman" w:cs="Times New Roman"/>
          <w:i/>
          <w:iCs/>
          <w:sz w:val="24"/>
          <w:szCs w:val="24"/>
        </w:rPr>
        <w:t xml:space="preserve">et al. </w:t>
      </w:r>
      <w:r w:rsidRPr="00451B44">
        <w:rPr>
          <w:rFonts w:ascii="Times New Roman" w:hAnsi="Times New Roman" w:cs="Times New Roman"/>
          <w:noProof/>
          <w:sz w:val="24"/>
          <w:szCs w:val="24"/>
        </w:rPr>
        <w:t>(2000)</w:t>
      </w:r>
      <w:r>
        <w:rPr>
          <w:rFonts w:ascii="Times New Roman" w:hAnsi="Times New Roman" w:cs="Times New Roman"/>
          <w:sz w:val="24"/>
          <w:szCs w:val="24"/>
        </w:rPr>
        <w:t xml:space="preserve"> </w:t>
      </w:r>
      <w:r w:rsidRPr="00451B44">
        <w:rPr>
          <w:rFonts w:ascii="Times New Roman" w:hAnsi="Times New Roman" w:cs="Times New Roman"/>
          <w:sz w:val="24"/>
          <w:szCs w:val="24"/>
        </w:rPr>
        <w:t xml:space="preserve">used a TUNEL assay to show characteristic PCD DNA fragmentation in </w:t>
      </w:r>
      <w:r w:rsidRPr="00451B44">
        <w:rPr>
          <w:rFonts w:ascii="Times New Roman" w:hAnsi="Times New Roman" w:cs="Times New Roman"/>
          <w:i/>
          <w:iCs/>
          <w:sz w:val="24"/>
          <w:szCs w:val="24"/>
        </w:rPr>
        <w:t>Papaver</w:t>
      </w:r>
      <w:r w:rsidRPr="00451B44">
        <w:rPr>
          <w:rFonts w:ascii="Times New Roman" w:hAnsi="Times New Roman" w:cs="Times New Roman"/>
          <w:sz w:val="24"/>
          <w:szCs w:val="24"/>
        </w:rPr>
        <w:t xml:space="preserve"> pollen tubes of an incompatible source that had been treated with S proteins. Furthermore, similar results were obtained by Thomas &amp; Franklin-Tong, </w:t>
      </w:r>
      <w:r w:rsidRPr="00451B44">
        <w:rPr>
          <w:rFonts w:ascii="Times New Roman" w:hAnsi="Times New Roman" w:cs="Times New Roman"/>
          <w:noProof/>
          <w:sz w:val="24"/>
          <w:szCs w:val="24"/>
        </w:rPr>
        <w:t>(2004)</w:t>
      </w:r>
      <w:r w:rsidRPr="00451B44">
        <w:rPr>
          <w:rFonts w:ascii="Times New Roman" w:hAnsi="Times New Roman" w:cs="Times New Roman"/>
          <w:sz w:val="24"/>
          <w:szCs w:val="24"/>
        </w:rPr>
        <w:t xml:space="preserve"> when they used TUNEL to identify DNA fragmentation in </w:t>
      </w:r>
      <w:r w:rsidRPr="00451B44">
        <w:rPr>
          <w:rFonts w:ascii="Times New Roman" w:hAnsi="Times New Roman" w:cs="Times New Roman"/>
          <w:i/>
          <w:iCs/>
          <w:sz w:val="24"/>
          <w:szCs w:val="24"/>
        </w:rPr>
        <w:t>Papaver</w:t>
      </w:r>
      <w:r w:rsidRPr="00451B44">
        <w:rPr>
          <w:rFonts w:ascii="Times New Roman" w:hAnsi="Times New Roman" w:cs="Times New Roman"/>
          <w:sz w:val="24"/>
          <w:szCs w:val="24"/>
        </w:rPr>
        <w:t xml:space="preserve"> and positively correlated this DNA fragmentation with caspase-3-like activity and the application of S proteins. Additionally, an increase in cytosolic cyt </w:t>
      </w:r>
      <w:r w:rsidRPr="00451B44">
        <w:rPr>
          <w:rFonts w:ascii="Times New Roman" w:hAnsi="Times New Roman" w:cs="Times New Roman"/>
          <w:i/>
          <w:iCs/>
          <w:sz w:val="24"/>
          <w:szCs w:val="24"/>
        </w:rPr>
        <w:t>c</w:t>
      </w:r>
      <w:r w:rsidRPr="00451B44">
        <w:rPr>
          <w:rFonts w:ascii="Times New Roman" w:hAnsi="Times New Roman" w:cs="Times New Roman"/>
          <w:sz w:val="24"/>
          <w:szCs w:val="24"/>
        </w:rPr>
        <w:t xml:space="preserve"> was also identified and cyt </w:t>
      </w:r>
      <w:r w:rsidRPr="00451B44">
        <w:rPr>
          <w:rFonts w:ascii="Times New Roman" w:hAnsi="Times New Roman" w:cs="Times New Roman"/>
          <w:i/>
          <w:iCs/>
          <w:sz w:val="24"/>
          <w:szCs w:val="24"/>
        </w:rPr>
        <w:t>c</w:t>
      </w:r>
      <w:r w:rsidRPr="00451B44">
        <w:rPr>
          <w:rFonts w:ascii="Times New Roman" w:hAnsi="Times New Roman" w:cs="Times New Roman"/>
          <w:sz w:val="24"/>
          <w:szCs w:val="24"/>
        </w:rPr>
        <w:t xml:space="preserve"> leakage was detected 1–2 h</w:t>
      </w:r>
      <w:r>
        <w:rPr>
          <w:rFonts w:ascii="Times New Roman" w:hAnsi="Times New Roman" w:cs="Times New Roman"/>
          <w:sz w:val="24"/>
          <w:szCs w:val="24"/>
        </w:rPr>
        <w:t>ours</w:t>
      </w:r>
      <w:r w:rsidRPr="00451B44">
        <w:rPr>
          <w:rFonts w:ascii="Times New Roman" w:hAnsi="Times New Roman" w:cs="Times New Roman"/>
          <w:sz w:val="24"/>
          <w:szCs w:val="24"/>
        </w:rPr>
        <w:t xml:space="preserve"> after SI induction. </w:t>
      </w:r>
    </w:p>
    <w:p w:rsidR="004B4E5E" w:rsidRDefault="004B4E5E" w:rsidP="002B4B8D">
      <w:pPr>
        <w:spacing w:after="0" w:line="480" w:lineRule="auto"/>
        <w:rPr>
          <w:rFonts w:ascii="Times New Roman" w:hAnsi="Times New Roman" w:cs="Times New Roman"/>
          <w:sz w:val="24"/>
          <w:szCs w:val="24"/>
        </w:rPr>
      </w:pPr>
    </w:p>
    <w:p w:rsidR="004B4E5E" w:rsidRPr="00451B44" w:rsidRDefault="004B4E5E" w:rsidP="002B4B8D">
      <w:pPr>
        <w:spacing w:after="0" w:line="480" w:lineRule="auto"/>
        <w:rPr>
          <w:rFonts w:ascii="Times New Roman" w:hAnsi="Times New Roman" w:cs="Times New Roman"/>
          <w:sz w:val="24"/>
          <w:szCs w:val="24"/>
        </w:rPr>
      </w:pPr>
      <w:r w:rsidRPr="00451B44">
        <w:rPr>
          <w:rFonts w:ascii="Times New Roman" w:hAnsi="Times New Roman" w:cs="Times New Roman"/>
          <w:sz w:val="24"/>
          <w:szCs w:val="24"/>
        </w:rPr>
        <w:t xml:space="preserve">To date, the majority of the work investigating PCD during SI has focused on </w:t>
      </w:r>
      <w:r w:rsidRPr="00451B44">
        <w:rPr>
          <w:rFonts w:ascii="Times New Roman" w:hAnsi="Times New Roman" w:cs="Times New Roman"/>
          <w:i/>
          <w:iCs/>
          <w:sz w:val="24"/>
          <w:szCs w:val="24"/>
        </w:rPr>
        <w:t>Papaver</w:t>
      </w:r>
      <w:r w:rsidRPr="00451B44">
        <w:rPr>
          <w:rFonts w:ascii="Times New Roman" w:hAnsi="Times New Roman" w:cs="Times New Roman"/>
          <w:sz w:val="24"/>
          <w:szCs w:val="24"/>
        </w:rPr>
        <w:t xml:space="preserve"> with its di</w:t>
      </w:r>
      <w:r>
        <w:rPr>
          <w:rFonts w:ascii="Times New Roman" w:hAnsi="Times New Roman" w:cs="Times New Roman"/>
          <w:sz w:val="24"/>
          <w:szCs w:val="24"/>
        </w:rPr>
        <w:t xml:space="preserve">stinct SI mechanism. Recently, </w:t>
      </w:r>
      <w:r w:rsidRPr="00451B44">
        <w:rPr>
          <w:rFonts w:ascii="Times New Roman" w:hAnsi="Times New Roman" w:cs="Times New Roman"/>
          <w:sz w:val="24"/>
          <w:szCs w:val="24"/>
        </w:rPr>
        <w:t xml:space="preserve">PCD hallmarks have been identified in incompatible pollen tubes growing through the styles of </w:t>
      </w:r>
      <w:r w:rsidRPr="00451B44">
        <w:rPr>
          <w:rFonts w:ascii="Times New Roman" w:hAnsi="Times New Roman" w:cs="Times New Roman"/>
          <w:i/>
          <w:iCs/>
          <w:sz w:val="24"/>
          <w:szCs w:val="24"/>
        </w:rPr>
        <w:t>Olea europaea</w:t>
      </w:r>
      <w:r>
        <w:rPr>
          <w:rFonts w:ascii="Times New Roman" w:hAnsi="Times New Roman" w:cs="Times New Roman"/>
          <w:sz w:val="24"/>
          <w:szCs w:val="24"/>
        </w:rPr>
        <w:t xml:space="preserve"> (common olive</w:t>
      </w:r>
      <w:r w:rsidRPr="008301A3">
        <w:rPr>
          <w:rFonts w:ascii="Times New Roman" w:hAnsi="Times New Roman" w:cs="Times New Roman"/>
          <w:sz w:val="24"/>
          <w:szCs w:val="24"/>
        </w:rPr>
        <w:t>)</w:t>
      </w:r>
      <w:r w:rsidRPr="00451B44">
        <w:rPr>
          <w:rFonts w:ascii="Times New Roman" w:hAnsi="Times New Roman" w:cs="Times New Roman"/>
          <w:i/>
          <w:iCs/>
          <w:sz w:val="24"/>
          <w:szCs w:val="24"/>
        </w:rPr>
        <w:t xml:space="preserve"> </w:t>
      </w:r>
      <w:r w:rsidRPr="00451B44">
        <w:rPr>
          <w:rFonts w:ascii="Times New Roman" w:hAnsi="Times New Roman" w:cs="Times New Roman"/>
          <w:noProof/>
          <w:sz w:val="24"/>
          <w:szCs w:val="24"/>
        </w:rPr>
        <w:t>(Irene</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2010)</w:t>
      </w:r>
      <w:r w:rsidRPr="00451B44">
        <w:rPr>
          <w:rFonts w:ascii="Times New Roman" w:hAnsi="Times New Roman" w:cs="Times New Roman"/>
          <w:sz w:val="24"/>
          <w:szCs w:val="24"/>
        </w:rPr>
        <w:t xml:space="preserve"> and </w:t>
      </w:r>
      <w:r w:rsidRPr="00451B44">
        <w:rPr>
          <w:rFonts w:ascii="Times New Roman" w:hAnsi="Times New Roman" w:cs="Times New Roman"/>
          <w:i/>
          <w:iCs/>
          <w:sz w:val="24"/>
          <w:szCs w:val="24"/>
        </w:rPr>
        <w:t>Pyrus pyrifolia</w:t>
      </w:r>
      <w:r w:rsidRPr="00451B44">
        <w:rPr>
          <w:rFonts w:ascii="Times New Roman" w:hAnsi="Times New Roman" w:cs="Times New Roman"/>
          <w:sz w:val="24"/>
          <w:szCs w:val="24"/>
        </w:rPr>
        <w:t xml:space="preserve"> </w:t>
      </w:r>
      <w:r>
        <w:rPr>
          <w:rFonts w:ascii="Times New Roman" w:hAnsi="Times New Roman" w:cs="Times New Roman"/>
          <w:sz w:val="24"/>
          <w:szCs w:val="24"/>
        </w:rPr>
        <w:t xml:space="preserve">(asian pear) </w:t>
      </w:r>
      <w:r w:rsidRPr="00451B44">
        <w:rPr>
          <w:rFonts w:ascii="Times New Roman" w:hAnsi="Times New Roman" w:cs="Times New Roman"/>
          <w:noProof/>
          <w:sz w:val="24"/>
          <w:szCs w:val="24"/>
        </w:rPr>
        <w:t>(Wang</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2009)</w:t>
      </w:r>
      <w:r w:rsidRPr="00451B44">
        <w:rPr>
          <w:rFonts w:ascii="Times New Roman" w:hAnsi="Times New Roman" w:cs="Times New Roman"/>
          <w:sz w:val="24"/>
          <w:szCs w:val="24"/>
        </w:rPr>
        <w:t xml:space="preserve">. SI in </w:t>
      </w:r>
      <w:r w:rsidRPr="00451B44">
        <w:rPr>
          <w:rFonts w:ascii="Times New Roman" w:hAnsi="Times New Roman" w:cs="Times New Roman"/>
          <w:i/>
          <w:iCs/>
          <w:sz w:val="24"/>
          <w:szCs w:val="24"/>
        </w:rPr>
        <w:t>P. pyrifolia</w:t>
      </w:r>
      <w:r w:rsidRPr="00451B44">
        <w:rPr>
          <w:rFonts w:ascii="Times New Roman" w:hAnsi="Times New Roman" w:cs="Times New Roman"/>
          <w:sz w:val="24"/>
          <w:szCs w:val="24"/>
        </w:rPr>
        <w:t xml:space="preserve"> has been shown to be under the control of gametophytic S-RNases </w:t>
      </w:r>
      <w:r w:rsidRPr="00451B44">
        <w:rPr>
          <w:rFonts w:ascii="Times New Roman" w:hAnsi="Times New Roman" w:cs="Times New Roman"/>
          <w:noProof/>
          <w:sz w:val="24"/>
          <w:szCs w:val="24"/>
        </w:rPr>
        <w:t>(Matsuura</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2001)</w:t>
      </w:r>
      <w:r w:rsidRPr="00451B44">
        <w:rPr>
          <w:rFonts w:ascii="Times New Roman" w:hAnsi="Times New Roman" w:cs="Times New Roman"/>
          <w:sz w:val="24"/>
          <w:szCs w:val="24"/>
        </w:rPr>
        <w:t xml:space="preserve"> although S-RNase activity has not yet been identified in the olive pollen </w:t>
      </w:r>
      <w:r w:rsidRPr="00451B44">
        <w:rPr>
          <w:rFonts w:ascii="Times New Roman" w:hAnsi="Times New Roman" w:cs="Times New Roman"/>
          <w:noProof/>
          <w:sz w:val="24"/>
          <w:szCs w:val="24"/>
        </w:rPr>
        <w:t>(Irene</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2010)</w:t>
      </w:r>
      <w:r w:rsidRPr="00451B44">
        <w:rPr>
          <w:rFonts w:ascii="Times New Roman" w:hAnsi="Times New Roman" w:cs="Times New Roman"/>
          <w:sz w:val="24"/>
          <w:szCs w:val="24"/>
        </w:rPr>
        <w:t xml:space="preserve"> nevertheless, these recent studies suggest that PCD may play a role in S-RN</w:t>
      </w:r>
      <w:r>
        <w:rPr>
          <w:rFonts w:ascii="Times New Roman" w:hAnsi="Times New Roman" w:cs="Times New Roman"/>
          <w:sz w:val="24"/>
          <w:szCs w:val="24"/>
        </w:rPr>
        <w:t xml:space="preserve">ase mediated SI. For instance, </w:t>
      </w:r>
      <w:r w:rsidRPr="00451B44">
        <w:rPr>
          <w:rFonts w:ascii="Times New Roman" w:hAnsi="Times New Roman" w:cs="Times New Roman"/>
          <w:sz w:val="24"/>
          <w:szCs w:val="24"/>
        </w:rPr>
        <w:t xml:space="preserve">Irene </w:t>
      </w:r>
      <w:r w:rsidRPr="00451B44">
        <w:rPr>
          <w:rFonts w:ascii="Times New Roman" w:hAnsi="Times New Roman" w:cs="Times New Roman"/>
          <w:i/>
          <w:iCs/>
          <w:sz w:val="24"/>
          <w:szCs w:val="24"/>
        </w:rPr>
        <w:t>et al.,</w:t>
      </w:r>
      <w:r w:rsidRPr="00451B44">
        <w:rPr>
          <w:rFonts w:ascii="Times New Roman" w:hAnsi="Times New Roman" w:cs="Times New Roman"/>
          <w:sz w:val="24"/>
          <w:szCs w:val="24"/>
        </w:rPr>
        <w:t xml:space="preserve"> </w:t>
      </w:r>
      <w:r w:rsidRPr="00451B44">
        <w:rPr>
          <w:rFonts w:ascii="Times New Roman" w:hAnsi="Times New Roman" w:cs="Times New Roman"/>
          <w:noProof/>
          <w:sz w:val="24"/>
          <w:szCs w:val="24"/>
        </w:rPr>
        <w:t>(2010)</w:t>
      </w:r>
      <w:r w:rsidRPr="00451B44">
        <w:rPr>
          <w:rFonts w:ascii="Times New Roman" w:hAnsi="Times New Roman" w:cs="Times New Roman"/>
          <w:sz w:val="24"/>
          <w:szCs w:val="24"/>
        </w:rPr>
        <w:t xml:space="preserve"> identified DNA fragmentation and caspase-3-like activity, while Wang </w:t>
      </w:r>
      <w:r w:rsidRPr="00451B44">
        <w:rPr>
          <w:rFonts w:ascii="Times New Roman" w:hAnsi="Times New Roman" w:cs="Times New Roman"/>
          <w:i/>
          <w:iCs/>
          <w:sz w:val="24"/>
          <w:szCs w:val="24"/>
        </w:rPr>
        <w:t>et al.,</w:t>
      </w:r>
      <w:r w:rsidRPr="00451B44">
        <w:rPr>
          <w:rFonts w:ascii="Times New Roman" w:hAnsi="Times New Roman" w:cs="Times New Roman"/>
          <w:sz w:val="24"/>
          <w:szCs w:val="24"/>
        </w:rPr>
        <w:t xml:space="preserve"> </w:t>
      </w:r>
      <w:r w:rsidRPr="00451B44">
        <w:rPr>
          <w:rFonts w:ascii="Times New Roman" w:hAnsi="Times New Roman" w:cs="Times New Roman"/>
          <w:noProof/>
          <w:sz w:val="24"/>
          <w:szCs w:val="24"/>
        </w:rPr>
        <w:t>(2009)</w:t>
      </w:r>
      <w:r w:rsidRPr="00451B44">
        <w:rPr>
          <w:rFonts w:ascii="Times New Roman" w:hAnsi="Times New Roman" w:cs="Times New Roman"/>
          <w:sz w:val="24"/>
          <w:szCs w:val="24"/>
        </w:rPr>
        <w:t xml:space="preserve"> discovered DNA fragmentation and loss of mitochondrial potential with the release of </w:t>
      </w:r>
      <w:r w:rsidRPr="00F744F3">
        <w:rPr>
          <w:rFonts w:ascii="Times New Roman" w:hAnsi="Times New Roman" w:cs="Times New Roman"/>
          <w:sz w:val="24"/>
          <w:szCs w:val="24"/>
        </w:rPr>
        <w:t xml:space="preserve">cyt </w:t>
      </w:r>
      <w:r w:rsidRPr="00C64D1B">
        <w:rPr>
          <w:rFonts w:ascii="Times New Roman" w:hAnsi="Times New Roman" w:cs="Times New Roman"/>
          <w:i/>
          <w:iCs/>
          <w:sz w:val="24"/>
          <w:szCs w:val="24"/>
        </w:rPr>
        <w:t>c</w:t>
      </w:r>
      <w:r w:rsidRPr="00451B44">
        <w:rPr>
          <w:rFonts w:ascii="Times New Roman" w:hAnsi="Times New Roman" w:cs="Times New Roman"/>
          <w:sz w:val="24"/>
          <w:szCs w:val="24"/>
        </w:rPr>
        <w:t xml:space="preserve"> in the incompatible pollen tubes of olive and pear respectively. </w:t>
      </w:r>
    </w:p>
    <w:p w:rsidR="004B4E5E" w:rsidRPr="00451B44" w:rsidRDefault="004B4E5E" w:rsidP="002B4B8D">
      <w:pPr>
        <w:spacing w:after="0" w:line="480" w:lineRule="auto"/>
        <w:rPr>
          <w:rFonts w:ascii="Times New Roman" w:hAnsi="Times New Roman" w:cs="Times New Roman"/>
          <w:sz w:val="24"/>
          <w:szCs w:val="24"/>
        </w:rPr>
      </w:pPr>
    </w:p>
    <w:p w:rsidR="004B4E5E" w:rsidRPr="00BA30BA" w:rsidRDefault="004B4E5E" w:rsidP="00035E18">
      <w:pPr>
        <w:pStyle w:val="ListParagraph"/>
        <w:numPr>
          <w:ilvl w:val="0"/>
          <w:numId w:val="29"/>
        </w:numPr>
        <w:spacing w:after="0" w:line="480" w:lineRule="auto"/>
        <w:ind w:left="2517" w:hanging="1383"/>
        <w:rPr>
          <w:rFonts w:ascii="Times New Roman" w:hAnsi="Times New Roman" w:cs="Times New Roman"/>
          <w:b/>
          <w:bCs/>
          <w:sz w:val="24"/>
          <w:szCs w:val="24"/>
          <w:u w:val="single"/>
        </w:rPr>
      </w:pPr>
      <w:r w:rsidRPr="00451B44">
        <w:rPr>
          <w:rFonts w:ascii="Times New Roman" w:hAnsi="Times New Roman" w:cs="Times New Roman"/>
          <w:b/>
          <w:bCs/>
          <w:sz w:val="24"/>
          <w:szCs w:val="24"/>
        </w:rPr>
        <w:t>Selective abortion of primordia in some unisexual plants</w:t>
      </w:r>
    </w:p>
    <w:p w:rsidR="004B4E5E" w:rsidRPr="00451B44" w:rsidRDefault="004B4E5E" w:rsidP="002B4B8D">
      <w:pPr>
        <w:spacing w:line="480" w:lineRule="auto"/>
        <w:rPr>
          <w:rFonts w:ascii="Times New Roman" w:hAnsi="Times New Roman" w:cs="Times New Roman"/>
          <w:sz w:val="24"/>
          <w:szCs w:val="24"/>
        </w:rPr>
      </w:pPr>
      <w:r w:rsidRPr="00451B44">
        <w:rPr>
          <w:rFonts w:ascii="Times New Roman" w:hAnsi="Times New Roman" w:cs="Times New Roman"/>
          <w:sz w:val="24"/>
          <w:szCs w:val="24"/>
        </w:rPr>
        <w:t xml:space="preserve">In some unisexual plants, such as maize and </w:t>
      </w:r>
      <w:r w:rsidRPr="00451B44">
        <w:rPr>
          <w:rFonts w:ascii="Times New Roman" w:hAnsi="Times New Roman" w:cs="Times New Roman"/>
          <w:i/>
          <w:iCs/>
          <w:sz w:val="24"/>
          <w:szCs w:val="24"/>
        </w:rPr>
        <w:t xml:space="preserve">Silene latifolia </w:t>
      </w:r>
      <w:r w:rsidRPr="00451B44">
        <w:rPr>
          <w:rFonts w:ascii="Times New Roman" w:hAnsi="Times New Roman" w:cs="Times New Roman"/>
          <w:sz w:val="24"/>
          <w:szCs w:val="24"/>
        </w:rPr>
        <w:t xml:space="preserve">(white campion), cells in either the male or female primordial must die by PCD in order to limit the flower to one sex </w:t>
      </w:r>
      <w:r w:rsidRPr="00451B44">
        <w:rPr>
          <w:rFonts w:ascii="Times New Roman" w:hAnsi="Times New Roman" w:cs="Times New Roman"/>
          <w:noProof/>
          <w:sz w:val="24"/>
          <w:szCs w:val="24"/>
        </w:rPr>
        <w:t>(Wu and Cheung, 2000)</w:t>
      </w:r>
      <w:r w:rsidRPr="00451B44">
        <w:rPr>
          <w:rFonts w:ascii="Times New Roman" w:hAnsi="Times New Roman" w:cs="Times New Roman"/>
          <w:sz w:val="24"/>
          <w:szCs w:val="24"/>
        </w:rPr>
        <w:t xml:space="preserve">. In maize, the gynoecial initials are abolished in the male flowers and stamen development ceases in the female flowers. In both cases, cell death in these aforementioned tissues is preceded by extensive vacuolisation and the loss of organelle and cytoplasmic integrity </w:t>
      </w:r>
      <w:r w:rsidRPr="00451B44">
        <w:rPr>
          <w:rFonts w:ascii="Times New Roman" w:hAnsi="Times New Roman" w:cs="Times New Roman"/>
          <w:noProof/>
          <w:sz w:val="24"/>
          <w:szCs w:val="24"/>
        </w:rPr>
        <w:t>(Cheng</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1983)</w:t>
      </w:r>
      <w:r w:rsidRPr="00451B44">
        <w:rPr>
          <w:rFonts w:ascii="Times New Roman" w:hAnsi="Times New Roman" w:cs="Times New Roman"/>
          <w:sz w:val="24"/>
          <w:szCs w:val="24"/>
        </w:rPr>
        <w:t xml:space="preserve"> indicating a PCD route to death. </w:t>
      </w:r>
      <w:r w:rsidRPr="00451B44">
        <w:rPr>
          <w:rFonts w:ascii="Times New Roman" w:hAnsi="Times New Roman" w:cs="Times New Roman"/>
          <w:color w:val="FFC000"/>
          <w:sz w:val="24"/>
          <w:szCs w:val="24"/>
          <w:u w:val="single"/>
        </w:rPr>
        <w:t xml:space="preserve"> </w:t>
      </w:r>
    </w:p>
    <w:p w:rsidR="004B4E5E" w:rsidRPr="00451B44" w:rsidRDefault="004B4E5E" w:rsidP="002B4B8D">
      <w:pPr>
        <w:autoSpaceDE w:val="0"/>
        <w:autoSpaceDN w:val="0"/>
        <w:adjustRightInd w:val="0"/>
        <w:spacing w:after="0" w:line="480" w:lineRule="auto"/>
        <w:rPr>
          <w:rFonts w:ascii="Times New Roman" w:hAnsi="Times New Roman" w:cs="Times New Roman"/>
          <w:b/>
          <w:bCs/>
          <w:sz w:val="24"/>
          <w:szCs w:val="24"/>
          <w:highlight w:val="yellow"/>
          <w:lang w:eastAsia="en-IE"/>
        </w:rPr>
      </w:pPr>
    </w:p>
    <w:p w:rsidR="004B4E5E" w:rsidRDefault="004B4E5E" w:rsidP="00035E18">
      <w:pPr>
        <w:numPr>
          <w:ilvl w:val="0"/>
          <w:numId w:val="27"/>
        </w:numPr>
        <w:autoSpaceDE w:val="0"/>
        <w:autoSpaceDN w:val="0"/>
        <w:adjustRightInd w:val="0"/>
        <w:spacing w:after="0" w:line="480" w:lineRule="auto"/>
        <w:ind w:hanging="11"/>
        <w:rPr>
          <w:rFonts w:ascii="Times New Roman" w:hAnsi="Times New Roman" w:cs="Times New Roman"/>
          <w:b/>
          <w:bCs/>
          <w:sz w:val="24"/>
          <w:szCs w:val="24"/>
          <w:lang w:eastAsia="en-IE"/>
        </w:rPr>
      </w:pPr>
      <w:r>
        <w:rPr>
          <w:rFonts w:ascii="Times New Roman" w:hAnsi="Times New Roman" w:cs="Times New Roman"/>
          <w:b/>
          <w:bCs/>
          <w:sz w:val="24"/>
          <w:szCs w:val="24"/>
          <w:lang w:eastAsia="en-IE"/>
        </w:rPr>
        <w:t>The PCD response to abiotic and biotic stress</w:t>
      </w:r>
    </w:p>
    <w:p w:rsidR="004B4E5E" w:rsidRDefault="004B4E5E" w:rsidP="002B4B8D">
      <w:pPr>
        <w:autoSpaceDE w:val="0"/>
        <w:autoSpaceDN w:val="0"/>
        <w:adjustRightInd w:val="0"/>
        <w:spacing w:after="0" w:line="480" w:lineRule="auto"/>
        <w:ind w:firstLine="426"/>
        <w:rPr>
          <w:rFonts w:ascii="Times New Roman" w:hAnsi="Times New Roman" w:cs="Times New Roman"/>
          <w:b/>
          <w:bCs/>
          <w:sz w:val="24"/>
          <w:szCs w:val="24"/>
          <w:lang w:eastAsia="en-IE"/>
        </w:rPr>
      </w:pPr>
    </w:p>
    <w:p w:rsidR="004B4E5E" w:rsidRPr="00B3586E" w:rsidRDefault="004B4E5E" w:rsidP="00035E18">
      <w:pPr>
        <w:pStyle w:val="ListParagraph"/>
        <w:numPr>
          <w:ilvl w:val="0"/>
          <w:numId w:val="30"/>
        </w:numPr>
        <w:autoSpaceDE w:val="0"/>
        <w:autoSpaceDN w:val="0"/>
        <w:adjustRightInd w:val="0"/>
        <w:spacing w:after="0" w:line="480" w:lineRule="auto"/>
        <w:ind w:firstLine="348"/>
        <w:rPr>
          <w:rFonts w:ascii="Times New Roman" w:hAnsi="Times New Roman" w:cs="Times New Roman"/>
          <w:b/>
          <w:bCs/>
          <w:sz w:val="24"/>
          <w:szCs w:val="24"/>
          <w:lang w:eastAsia="en-IE"/>
        </w:rPr>
      </w:pPr>
      <w:r>
        <w:rPr>
          <w:rFonts w:ascii="Times New Roman" w:hAnsi="Times New Roman" w:cs="Times New Roman"/>
          <w:b/>
          <w:bCs/>
          <w:sz w:val="24"/>
          <w:szCs w:val="24"/>
          <w:lang w:eastAsia="en-IE"/>
        </w:rPr>
        <w:t>PCD during plant–</w:t>
      </w:r>
      <w:r w:rsidRPr="00B3586E">
        <w:rPr>
          <w:rFonts w:ascii="Times New Roman" w:hAnsi="Times New Roman" w:cs="Times New Roman"/>
          <w:b/>
          <w:bCs/>
          <w:sz w:val="24"/>
          <w:szCs w:val="24"/>
          <w:lang w:eastAsia="en-IE"/>
        </w:rPr>
        <w:t>environment interactions</w:t>
      </w:r>
    </w:p>
    <w:p w:rsidR="004B4E5E" w:rsidRPr="00451B44" w:rsidRDefault="004B4E5E" w:rsidP="002B4B8D">
      <w:pPr>
        <w:autoSpaceDE w:val="0"/>
        <w:autoSpaceDN w:val="0"/>
        <w:adjustRightInd w:val="0"/>
        <w:spacing w:after="0" w:line="480" w:lineRule="auto"/>
        <w:rPr>
          <w:rFonts w:ascii="Times New Roman" w:hAnsi="Times New Roman" w:cs="Times New Roman"/>
          <w:sz w:val="24"/>
          <w:szCs w:val="24"/>
          <w:lang w:eastAsia="en-IE"/>
        </w:rPr>
      </w:pPr>
    </w:p>
    <w:p w:rsidR="004B4E5E" w:rsidRPr="00451B44" w:rsidRDefault="004B4E5E" w:rsidP="002B4B8D">
      <w:pPr>
        <w:autoSpaceDE w:val="0"/>
        <w:autoSpaceDN w:val="0"/>
        <w:adjustRightInd w:val="0"/>
        <w:spacing w:after="0" w:line="480" w:lineRule="auto"/>
        <w:rPr>
          <w:rFonts w:ascii="Times New Roman" w:hAnsi="Times New Roman" w:cs="Times New Roman"/>
          <w:sz w:val="24"/>
          <w:szCs w:val="24"/>
          <w:lang w:eastAsia="en-IE"/>
        </w:rPr>
      </w:pPr>
      <w:r w:rsidRPr="00451B44">
        <w:rPr>
          <w:rFonts w:ascii="Times New Roman" w:hAnsi="Times New Roman" w:cs="Times New Roman"/>
          <w:sz w:val="24"/>
          <w:szCs w:val="24"/>
          <w:lang w:eastAsia="en-IE"/>
        </w:rPr>
        <w:t>In habitats throughout the world, abiotic stresses such as flooding, temperature fluctuations, salt and excessive exposure to UV light pose a constant challenge to plant survival. Due to plants’ lack of mobility they cannot escape environmental stresses or indeed pathogen attack. Consequently, plants have evolved stress and defence responses which often involve</w:t>
      </w:r>
      <w:r>
        <w:rPr>
          <w:rFonts w:ascii="Times New Roman" w:hAnsi="Times New Roman" w:cs="Times New Roman"/>
          <w:sz w:val="24"/>
          <w:szCs w:val="24"/>
          <w:lang w:eastAsia="en-IE"/>
        </w:rPr>
        <w:t xml:space="preserve"> PCD. There is</w:t>
      </w:r>
      <w:r w:rsidRPr="00451B44">
        <w:rPr>
          <w:rFonts w:ascii="Times New Roman" w:hAnsi="Times New Roman" w:cs="Times New Roman"/>
          <w:sz w:val="24"/>
          <w:szCs w:val="24"/>
          <w:lang w:eastAsia="en-IE"/>
        </w:rPr>
        <w:t xml:space="preserve"> pressure to mitigate the effects of biotic and abiotic pressures by developing </w:t>
      </w:r>
      <w:r>
        <w:rPr>
          <w:rFonts w:ascii="Times New Roman" w:hAnsi="Times New Roman" w:cs="Times New Roman"/>
          <w:sz w:val="24"/>
          <w:szCs w:val="24"/>
          <w:lang w:eastAsia="en-IE"/>
        </w:rPr>
        <w:t>stress tolerant crops in order to achieve</w:t>
      </w:r>
      <w:r w:rsidRPr="00451B44">
        <w:rPr>
          <w:rFonts w:ascii="Times New Roman" w:hAnsi="Times New Roman" w:cs="Times New Roman"/>
          <w:sz w:val="24"/>
          <w:szCs w:val="24"/>
          <w:lang w:eastAsia="en-IE"/>
        </w:rPr>
        <w:t xml:space="preserve"> the high yields necessary to feed a burgeoning human population </w:t>
      </w:r>
      <w:r w:rsidRPr="00451B44">
        <w:rPr>
          <w:rFonts w:ascii="Times New Roman" w:hAnsi="Times New Roman" w:cs="Times New Roman"/>
          <w:noProof/>
          <w:sz w:val="24"/>
          <w:szCs w:val="24"/>
          <w:lang w:eastAsia="en-IE"/>
        </w:rPr>
        <w:t>(Mahajan and Tuteja, 2005)</w:t>
      </w:r>
      <w:r w:rsidRPr="00451B44">
        <w:rPr>
          <w:rFonts w:ascii="Times New Roman" w:hAnsi="Times New Roman" w:cs="Times New Roman"/>
          <w:sz w:val="24"/>
          <w:szCs w:val="24"/>
          <w:lang w:eastAsia="en-IE"/>
        </w:rPr>
        <w:t xml:space="preserve">. To attain this goal, it is first important to understand the types of PCD induced by a wide range of pressures. Only then can </w:t>
      </w:r>
      <w:r>
        <w:rPr>
          <w:rFonts w:ascii="Times New Roman" w:hAnsi="Times New Roman" w:cs="Times New Roman"/>
          <w:sz w:val="24"/>
          <w:szCs w:val="24"/>
          <w:lang w:eastAsia="en-IE"/>
        </w:rPr>
        <w:t>we understand how plants can adapt</w:t>
      </w:r>
      <w:r w:rsidRPr="00451B44">
        <w:rPr>
          <w:rFonts w:ascii="Times New Roman" w:hAnsi="Times New Roman" w:cs="Times New Roman"/>
          <w:sz w:val="24"/>
          <w:szCs w:val="24"/>
          <w:lang w:eastAsia="en-IE"/>
        </w:rPr>
        <w:t xml:space="preserve"> to </w:t>
      </w:r>
      <w:r>
        <w:rPr>
          <w:rFonts w:ascii="Times New Roman" w:hAnsi="Times New Roman" w:cs="Times New Roman"/>
          <w:sz w:val="24"/>
          <w:szCs w:val="24"/>
          <w:lang w:eastAsia="en-IE"/>
        </w:rPr>
        <w:t>tolerate varying levels of stress</w:t>
      </w:r>
      <w:r w:rsidRPr="00451B44">
        <w:rPr>
          <w:rFonts w:ascii="Times New Roman" w:hAnsi="Times New Roman" w:cs="Times New Roman"/>
          <w:sz w:val="24"/>
          <w:szCs w:val="24"/>
          <w:lang w:eastAsia="en-IE"/>
        </w:rPr>
        <w:t xml:space="preserve"> and use this information to generate plants that can adapt to a changing environment. </w:t>
      </w:r>
    </w:p>
    <w:p w:rsidR="004B4E5E" w:rsidRPr="00451B44" w:rsidRDefault="004B4E5E" w:rsidP="002B4B8D">
      <w:pPr>
        <w:autoSpaceDE w:val="0"/>
        <w:autoSpaceDN w:val="0"/>
        <w:adjustRightInd w:val="0"/>
        <w:spacing w:after="0" w:line="480" w:lineRule="auto"/>
        <w:rPr>
          <w:rFonts w:ascii="Times New Roman" w:hAnsi="Times New Roman" w:cs="Times New Roman"/>
          <w:sz w:val="24"/>
          <w:szCs w:val="24"/>
          <w:lang w:eastAsia="en-IE"/>
        </w:rPr>
      </w:pPr>
    </w:p>
    <w:p w:rsidR="004B4E5E" w:rsidRPr="00B3586E" w:rsidRDefault="004B4E5E" w:rsidP="00035E18">
      <w:pPr>
        <w:pStyle w:val="ListParagraph"/>
        <w:numPr>
          <w:ilvl w:val="1"/>
          <w:numId w:val="29"/>
        </w:numPr>
        <w:autoSpaceDE w:val="0"/>
        <w:autoSpaceDN w:val="0"/>
        <w:adjustRightInd w:val="0"/>
        <w:spacing w:after="0" w:line="480" w:lineRule="auto"/>
        <w:ind w:hanging="88"/>
        <w:rPr>
          <w:rFonts w:ascii="Times New Roman" w:hAnsi="Times New Roman" w:cs="Times New Roman"/>
          <w:b/>
          <w:bCs/>
          <w:sz w:val="24"/>
          <w:szCs w:val="24"/>
          <w:lang w:eastAsia="en-IE"/>
        </w:rPr>
      </w:pPr>
      <w:r w:rsidRPr="00B3586E">
        <w:rPr>
          <w:rFonts w:ascii="Times New Roman" w:hAnsi="Times New Roman" w:cs="Times New Roman"/>
          <w:b/>
          <w:bCs/>
          <w:sz w:val="24"/>
          <w:szCs w:val="24"/>
          <w:lang w:eastAsia="en-IE"/>
        </w:rPr>
        <w:t>Hypoxia stress – aerenchyma formation</w:t>
      </w:r>
    </w:p>
    <w:p w:rsidR="004B4E5E" w:rsidRPr="00451B44" w:rsidRDefault="004B4E5E" w:rsidP="002B4B8D">
      <w:pPr>
        <w:autoSpaceDE w:val="0"/>
        <w:autoSpaceDN w:val="0"/>
        <w:adjustRightInd w:val="0"/>
        <w:spacing w:after="0" w:line="480" w:lineRule="auto"/>
        <w:rPr>
          <w:rFonts w:ascii="Times New Roman" w:hAnsi="Times New Roman" w:cs="Times New Roman"/>
          <w:sz w:val="24"/>
          <w:szCs w:val="24"/>
          <w:lang w:eastAsia="en-IE"/>
        </w:rPr>
      </w:pPr>
      <w:r w:rsidRPr="00451B44">
        <w:rPr>
          <w:rFonts w:ascii="Times New Roman" w:hAnsi="Times New Roman" w:cs="Times New Roman"/>
          <w:sz w:val="24"/>
          <w:szCs w:val="24"/>
          <w:lang w:eastAsia="en-IE"/>
        </w:rPr>
        <w:t xml:space="preserve">Aerenchyma is a tissue composed of a network of interconnected gas conducting intercellular spaces which provide plant roots with oxygen under hypoxic conditions. There are two types of aerenchyma: lysigenous, formed by collapse and programmed death of certain cells in the cortical region of the root to form air-filled cavities </w:t>
      </w:r>
      <w:r w:rsidRPr="00451B44">
        <w:rPr>
          <w:rFonts w:ascii="Times New Roman" w:hAnsi="Times New Roman" w:cs="Times New Roman"/>
          <w:noProof/>
          <w:sz w:val="24"/>
          <w:szCs w:val="24"/>
          <w:lang w:eastAsia="en-IE"/>
        </w:rPr>
        <w:t>(Kawai</w:t>
      </w:r>
      <w:r w:rsidRPr="00451B44">
        <w:rPr>
          <w:rFonts w:ascii="Times New Roman" w:hAnsi="Times New Roman" w:cs="Times New Roman"/>
          <w:i/>
          <w:iCs/>
          <w:noProof/>
          <w:sz w:val="24"/>
          <w:szCs w:val="24"/>
          <w:lang w:eastAsia="en-IE"/>
        </w:rPr>
        <w:t xml:space="preserve"> et al.</w:t>
      </w:r>
      <w:r w:rsidRPr="00451B44">
        <w:rPr>
          <w:rFonts w:ascii="Times New Roman" w:hAnsi="Times New Roman" w:cs="Times New Roman"/>
          <w:noProof/>
          <w:sz w:val="24"/>
          <w:szCs w:val="24"/>
          <w:lang w:eastAsia="en-IE"/>
        </w:rPr>
        <w:t>, 1998)</w:t>
      </w:r>
      <w:r>
        <w:rPr>
          <w:rFonts w:ascii="Times New Roman" w:hAnsi="Times New Roman" w:cs="Times New Roman"/>
          <w:sz w:val="24"/>
          <w:szCs w:val="24"/>
          <w:lang w:eastAsia="en-IE"/>
        </w:rPr>
        <w:t>,</w:t>
      </w:r>
      <w:r w:rsidRPr="00451B44">
        <w:rPr>
          <w:rFonts w:ascii="Times New Roman" w:hAnsi="Times New Roman" w:cs="Times New Roman"/>
          <w:sz w:val="24"/>
          <w:szCs w:val="24"/>
          <w:lang w:eastAsia="en-IE"/>
        </w:rPr>
        <w:t xml:space="preserve"> and schizogenous, which develops through breakdown of pectic substances in the middle lamellae resulting in cell separation </w:t>
      </w:r>
      <w:r w:rsidRPr="00451B44">
        <w:rPr>
          <w:rFonts w:ascii="Times New Roman" w:hAnsi="Times New Roman" w:cs="Times New Roman"/>
          <w:noProof/>
          <w:sz w:val="24"/>
          <w:szCs w:val="24"/>
          <w:lang w:eastAsia="en-IE"/>
        </w:rPr>
        <w:t>(Laan</w:t>
      </w:r>
      <w:r w:rsidRPr="00451B44">
        <w:rPr>
          <w:rFonts w:ascii="Times New Roman" w:hAnsi="Times New Roman" w:cs="Times New Roman"/>
          <w:i/>
          <w:iCs/>
          <w:noProof/>
          <w:sz w:val="24"/>
          <w:szCs w:val="24"/>
          <w:lang w:eastAsia="en-IE"/>
        </w:rPr>
        <w:t xml:space="preserve"> et al.</w:t>
      </w:r>
      <w:r w:rsidRPr="00451B44">
        <w:rPr>
          <w:rFonts w:ascii="Times New Roman" w:hAnsi="Times New Roman" w:cs="Times New Roman"/>
          <w:noProof/>
          <w:sz w:val="24"/>
          <w:szCs w:val="24"/>
          <w:lang w:eastAsia="en-IE"/>
        </w:rPr>
        <w:t>, 1989)</w:t>
      </w:r>
      <w:r w:rsidRPr="00451B44">
        <w:rPr>
          <w:rFonts w:ascii="Times New Roman" w:hAnsi="Times New Roman" w:cs="Times New Roman"/>
          <w:sz w:val="24"/>
          <w:szCs w:val="24"/>
          <w:lang w:eastAsia="en-IE"/>
        </w:rPr>
        <w:t>. In many wetland species, aerenchyma is formed in a constitutive manner (even in dry conditions), be</w:t>
      </w:r>
      <w:r>
        <w:rPr>
          <w:rFonts w:ascii="Times New Roman" w:hAnsi="Times New Roman" w:cs="Times New Roman"/>
          <w:sz w:val="24"/>
          <w:szCs w:val="24"/>
          <w:lang w:eastAsia="en-IE"/>
        </w:rPr>
        <w:t>ing a pre-adaptive mechanism which</w:t>
      </w:r>
      <w:r w:rsidRPr="00451B44">
        <w:rPr>
          <w:rFonts w:ascii="Times New Roman" w:hAnsi="Times New Roman" w:cs="Times New Roman"/>
          <w:sz w:val="24"/>
          <w:szCs w:val="24"/>
          <w:lang w:eastAsia="en-IE"/>
        </w:rPr>
        <w:t xml:space="preserve"> can be enhanced in case of flooding in </w:t>
      </w:r>
      <w:r>
        <w:rPr>
          <w:rFonts w:ascii="Times New Roman" w:hAnsi="Times New Roman" w:cs="Times New Roman"/>
          <w:sz w:val="24"/>
          <w:szCs w:val="24"/>
          <w:lang w:eastAsia="en-IE"/>
        </w:rPr>
        <w:t xml:space="preserve">species such as </w:t>
      </w:r>
      <w:r w:rsidRPr="00451B44">
        <w:rPr>
          <w:rFonts w:ascii="Times New Roman" w:hAnsi="Times New Roman" w:cs="Times New Roman"/>
          <w:sz w:val="24"/>
          <w:szCs w:val="24"/>
          <w:lang w:eastAsia="en-IE"/>
        </w:rPr>
        <w:t xml:space="preserve">rice </w:t>
      </w:r>
      <w:r w:rsidRPr="00451B44">
        <w:rPr>
          <w:rFonts w:ascii="Times New Roman" w:hAnsi="Times New Roman" w:cs="Times New Roman"/>
          <w:noProof/>
          <w:sz w:val="24"/>
          <w:szCs w:val="24"/>
          <w:lang w:eastAsia="en-IE"/>
        </w:rPr>
        <w:t>(Jackson</w:t>
      </w:r>
      <w:r w:rsidRPr="00451B44">
        <w:rPr>
          <w:rFonts w:ascii="Times New Roman" w:hAnsi="Times New Roman" w:cs="Times New Roman"/>
          <w:i/>
          <w:iCs/>
          <w:noProof/>
          <w:sz w:val="24"/>
          <w:szCs w:val="24"/>
          <w:lang w:eastAsia="en-IE"/>
        </w:rPr>
        <w:t xml:space="preserve"> et al.</w:t>
      </w:r>
      <w:r w:rsidRPr="00451B44">
        <w:rPr>
          <w:rFonts w:ascii="Times New Roman" w:hAnsi="Times New Roman" w:cs="Times New Roman"/>
          <w:noProof/>
          <w:sz w:val="24"/>
          <w:szCs w:val="24"/>
          <w:lang w:eastAsia="en-IE"/>
        </w:rPr>
        <w:t>, 1985)</w:t>
      </w:r>
      <w:r w:rsidRPr="00451B44">
        <w:rPr>
          <w:rFonts w:ascii="Times New Roman" w:hAnsi="Times New Roman" w:cs="Times New Roman"/>
          <w:sz w:val="24"/>
          <w:szCs w:val="24"/>
          <w:lang w:eastAsia="en-IE"/>
        </w:rPr>
        <w:t xml:space="preserve"> or </w:t>
      </w:r>
      <w:r w:rsidRPr="00451B44">
        <w:rPr>
          <w:rFonts w:ascii="Times New Roman" w:hAnsi="Times New Roman" w:cs="Times New Roman"/>
          <w:i/>
          <w:iCs/>
          <w:sz w:val="24"/>
          <w:szCs w:val="24"/>
          <w:lang w:eastAsia="en-IE"/>
        </w:rPr>
        <w:t>Juncus effuses</w:t>
      </w:r>
      <w:r w:rsidRPr="00451B44">
        <w:rPr>
          <w:rFonts w:ascii="Times New Roman" w:hAnsi="Times New Roman" w:cs="Times New Roman"/>
          <w:sz w:val="24"/>
          <w:szCs w:val="24"/>
          <w:lang w:eastAsia="en-IE"/>
        </w:rPr>
        <w:t xml:space="preserve"> </w:t>
      </w:r>
      <w:r w:rsidRPr="00451B44">
        <w:rPr>
          <w:rFonts w:ascii="Times New Roman" w:hAnsi="Times New Roman" w:cs="Times New Roman"/>
          <w:noProof/>
          <w:sz w:val="24"/>
          <w:szCs w:val="24"/>
          <w:lang w:eastAsia="en-IE"/>
        </w:rPr>
        <w:t>(Visser and Bögemann, 2006)</w:t>
      </w:r>
      <w:r w:rsidRPr="00451B44">
        <w:rPr>
          <w:rFonts w:ascii="Times New Roman" w:hAnsi="Times New Roman" w:cs="Times New Roman"/>
          <w:sz w:val="24"/>
          <w:szCs w:val="24"/>
          <w:lang w:eastAsia="en-IE"/>
        </w:rPr>
        <w:t xml:space="preserve">. Aerenchyma can also be formed in many dryland species where it is induced by adverse environmental conditions like hypoxia, for instance in maize </w:t>
      </w:r>
      <w:r w:rsidRPr="00451B44">
        <w:rPr>
          <w:rFonts w:ascii="Times New Roman" w:hAnsi="Times New Roman" w:cs="Times New Roman"/>
          <w:noProof/>
          <w:sz w:val="24"/>
          <w:szCs w:val="24"/>
          <w:lang w:eastAsia="en-IE"/>
        </w:rPr>
        <w:t>(Konings, 1982)</w:t>
      </w:r>
      <w:r w:rsidRPr="00451B44">
        <w:rPr>
          <w:rFonts w:ascii="Times New Roman" w:hAnsi="Times New Roman" w:cs="Times New Roman"/>
          <w:sz w:val="24"/>
          <w:szCs w:val="24"/>
          <w:lang w:eastAsia="en-IE"/>
        </w:rPr>
        <w:t xml:space="preserve">, wheat </w:t>
      </w:r>
      <w:r w:rsidRPr="00451B44">
        <w:rPr>
          <w:rFonts w:ascii="Times New Roman" w:hAnsi="Times New Roman" w:cs="Times New Roman"/>
          <w:noProof/>
          <w:sz w:val="24"/>
          <w:szCs w:val="24"/>
          <w:lang w:eastAsia="en-IE"/>
        </w:rPr>
        <w:t>(Thomson</w:t>
      </w:r>
      <w:r w:rsidRPr="00451B44">
        <w:rPr>
          <w:rFonts w:ascii="Times New Roman" w:hAnsi="Times New Roman" w:cs="Times New Roman"/>
          <w:i/>
          <w:iCs/>
          <w:noProof/>
          <w:sz w:val="24"/>
          <w:szCs w:val="24"/>
          <w:lang w:eastAsia="en-IE"/>
        </w:rPr>
        <w:t xml:space="preserve"> et al.</w:t>
      </w:r>
      <w:r w:rsidRPr="00451B44">
        <w:rPr>
          <w:rFonts w:ascii="Times New Roman" w:hAnsi="Times New Roman" w:cs="Times New Roman"/>
          <w:noProof/>
          <w:sz w:val="24"/>
          <w:szCs w:val="24"/>
          <w:lang w:eastAsia="en-IE"/>
        </w:rPr>
        <w:t>, 1990)</w:t>
      </w:r>
      <w:r>
        <w:rPr>
          <w:rFonts w:ascii="Times New Roman" w:hAnsi="Times New Roman" w:cs="Times New Roman"/>
          <w:sz w:val="24"/>
          <w:szCs w:val="24"/>
          <w:lang w:eastAsia="en-IE"/>
        </w:rPr>
        <w:t>,</w:t>
      </w:r>
      <w:r w:rsidRPr="00451B44">
        <w:rPr>
          <w:rFonts w:ascii="Times New Roman" w:hAnsi="Times New Roman" w:cs="Times New Roman"/>
          <w:sz w:val="24"/>
          <w:szCs w:val="24"/>
          <w:lang w:eastAsia="en-IE"/>
        </w:rPr>
        <w:t xml:space="preserve"> sunflower </w:t>
      </w:r>
      <w:r w:rsidRPr="00451B44">
        <w:rPr>
          <w:rFonts w:ascii="Times New Roman" w:hAnsi="Times New Roman" w:cs="Times New Roman"/>
          <w:noProof/>
          <w:sz w:val="24"/>
          <w:szCs w:val="24"/>
          <w:lang w:eastAsia="en-IE"/>
        </w:rPr>
        <w:t>(Kawase and Whitmoyer, 1980)</w:t>
      </w:r>
      <w:r w:rsidRPr="00451B44">
        <w:rPr>
          <w:rFonts w:ascii="Times New Roman" w:hAnsi="Times New Roman" w:cs="Times New Roman"/>
          <w:sz w:val="24"/>
          <w:szCs w:val="24"/>
          <w:lang w:eastAsia="en-IE"/>
        </w:rPr>
        <w:t xml:space="preserve"> and tomato </w:t>
      </w:r>
      <w:r w:rsidRPr="00451B44">
        <w:rPr>
          <w:rFonts w:ascii="Times New Roman" w:hAnsi="Times New Roman" w:cs="Times New Roman"/>
          <w:noProof/>
          <w:sz w:val="24"/>
          <w:szCs w:val="24"/>
          <w:lang w:eastAsia="en-IE"/>
        </w:rPr>
        <w:t>(Kawase, 1981)</w:t>
      </w:r>
      <w:r w:rsidRPr="00451B44">
        <w:rPr>
          <w:rFonts w:ascii="Times New Roman" w:hAnsi="Times New Roman" w:cs="Times New Roman"/>
          <w:sz w:val="24"/>
          <w:szCs w:val="24"/>
          <w:lang w:eastAsia="en-IE"/>
        </w:rPr>
        <w:t>. Formation of lysigenous aerenchyma can be also stimulated by other abiotic stress</w:t>
      </w:r>
      <w:r>
        <w:rPr>
          <w:rFonts w:ascii="Times New Roman" w:hAnsi="Times New Roman" w:cs="Times New Roman"/>
          <w:sz w:val="24"/>
          <w:szCs w:val="24"/>
          <w:lang w:eastAsia="en-IE"/>
        </w:rPr>
        <w:t>es which decrease</w:t>
      </w:r>
      <w:r w:rsidRPr="00451B44">
        <w:rPr>
          <w:rFonts w:ascii="Times New Roman" w:hAnsi="Times New Roman" w:cs="Times New Roman"/>
          <w:sz w:val="24"/>
          <w:szCs w:val="24"/>
          <w:lang w:eastAsia="en-IE"/>
        </w:rPr>
        <w:t xml:space="preserve"> the amount of available oxygen for respiration or the level</w:t>
      </w:r>
      <w:r>
        <w:rPr>
          <w:rFonts w:ascii="Times New Roman" w:hAnsi="Times New Roman" w:cs="Times New Roman"/>
          <w:sz w:val="24"/>
          <w:szCs w:val="24"/>
          <w:lang w:eastAsia="en-IE"/>
        </w:rPr>
        <w:t xml:space="preserve"> of available nutrients. This is</w:t>
      </w:r>
      <w:r w:rsidRPr="00451B44">
        <w:rPr>
          <w:rFonts w:ascii="Times New Roman" w:hAnsi="Times New Roman" w:cs="Times New Roman"/>
          <w:sz w:val="24"/>
          <w:szCs w:val="24"/>
          <w:lang w:eastAsia="en-IE"/>
        </w:rPr>
        <w:t xml:space="preserve"> beca</w:t>
      </w:r>
      <w:r>
        <w:rPr>
          <w:rFonts w:ascii="Times New Roman" w:hAnsi="Times New Roman" w:cs="Times New Roman"/>
          <w:sz w:val="24"/>
          <w:szCs w:val="24"/>
          <w:lang w:eastAsia="en-IE"/>
        </w:rPr>
        <w:t>use aerenchyma development leads to</w:t>
      </w:r>
      <w:r w:rsidRPr="00451B44">
        <w:rPr>
          <w:rFonts w:ascii="Times New Roman" w:hAnsi="Times New Roman" w:cs="Times New Roman"/>
          <w:sz w:val="24"/>
          <w:szCs w:val="24"/>
          <w:lang w:eastAsia="en-IE"/>
        </w:rPr>
        <w:t xml:space="preserve"> less root respiration/less root organic material input while the same surface area is used for nutrient uptake </w:t>
      </w:r>
      <w:r w:rsidRPr="00451B44">
        <w:rPr>
          <w:rFonts w:ascii="Times New Roman" w:hAnsi="Times New Roman" w:cs="Times New Roman"/>
          <w:noProof/>
          <w:sz w:val="24"/>
          <w:szCs w:val="24"/>
          <w:lang w:eastAsia="en-IE"/>
        </w:rPr>
        <w:t>(Fagerstedt, 2010)</w:t>
      </w:r>
      <w:r w:rsidRPr="00451B44">
        <w:rPr>
          <w:rFonts w:ascii="Times New Roman" w:hAnsi="Times New Roman" w:cs="Times New Roman"/>
          <w:sz w:val="24"/>
          <w:szCs w:val="24"/>
          <w:lang w:eastAsia="en-IE"/>
        </w:rPr>
        <w:t xml:space="preserve">. </w:t>
      </w:r>
      <w:r w:rsidRPr="00451B44">
        <w:rPr>
          <w:rFonts w:ascii="Times New Roman" w:hAnsi="Times New Roman" w:cs="Times New Roman"/>
          <w:sz w:val="24"/>
          <w:szCs w:val="24"/>
        </w:rPr>
        <w:t xml:space="preserve">Other inducers of lysigenous aerenchyma formation are high temperature, nitrogen </w:t>
      </w:r>
      <w:r w:rsidRPr="00451B44">
        <w:rPr>
          <w:rFonts w:ascii="Times New Roman" w:hAnsi="Times New Roman" w:cs="Times New Roman"/>
          <w:noProof/>
          <w:sz w:val="24"/>
          <w:szCs w:val="24"/>
        </w:rPr>
        <w:t>(Konings and Verschuren, 1980)</w:t>
      </w:r>
      <w:r w:rsidRPr="00451B44">
        <w:rPr>
          <w:rFonts w:ascii="Times New Roman" w:hAnsi="Times New Roman" w:cs="Times New Roman"/>
          <w:sz w:val="24"/>
          <w:szCs w:val="24"/>
        </w:rPr>
        <w:t xml:space="preserve">, phosphorous </w:t>
      </w:r>
      <w:r w:rsidRPr="00451B44">
        <w:rPr>
          <w:rFonts w:ascii="Times New Roman" w:hAnsi="Times New Roman" w:cs="Times New Roman"/>
          <w:noProof/>
          <w:sz w:val="24"/>
          <w:szCs w:val="24"/>
        </w:rPr>
        <w:t>(Fan</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2003)</w:t>
      </w:r>
      <w:r>
        <w:rPr>
          <w:rFonts w:ascii="Times New Roman" w:hAnsi="Times New Roman" w:cs="Times New Roman"/>
          <w:sz w:val="24"/>
          <w:szCs w:val="24"/>
        </w:rPr>
        <w:t xml:space="preserve"> or </w:t>
      </w:r>
      <w:r w:rsidRPr="00451B44">
        <w:rPr>
          <w:rFonts w:ascii="Times New Roman" w:hAnsi="Times New Roman" w:cs="Times New Roman"/>
          <w:sz w:val="24"/>
          <w:szCs w:val="24"/>
        </w:rPr>
        <w:t xml:space="preserve">sulphur deficiencies </w:t>
      </w:r>
      <w:r w:rsidRPr="00451B44">
        <w:rPr>
          <w:rFonts w:ascii="Times New Roman" w:hAnsi="Times New Roman" w:cs="Times New Roman"/>
          <w:noProof/>
          <w:sz w:val="24"/>
          <w:szCs w:val="24"/>
        </w:rPr>
        <w:t>(Bouranis</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2003)</w:t>
      </w:r>
      <w:r>
        <w:rPr>
          <w:rFonts w:ascii="Times New Roman" w:hAnsi="Times New Roman" w:cs="Times New Roman"/>
          <w:noProof/>
          <w:sz w:val="24"/>
          <w:szCs w:val="24"/>
        </w:rPr>
        <w:t>,</w:t>
      </w:r>
      <w:r>
        <w:rPr>
          <w:rFonts w:ascii="Times New Roman" w:hAnsi="Times New Roman" w:cs="Times New Roman"/>
          <w:sz w:val="24"/>
          <w:szCs w:val="24"/>
        </w:rPr>
        <w:t xml:space="preserve"> or</w:t>
      </w:r>
      <w:r w:rsidRPr="00451B44">
        <w:rPr>
          <w:rFonts w:ascii="Times New Roman" w:hAnsi="Times New Roman" w:cs="Times New Roman"/>
          <w:sz w:val="24"/>
          <w:szCs w:val="24"/>
        </w:rPr>
        <w:t xml:space="preserve"> mechanical impedance </w:t>
      </w:r>
      <w:r w:rsidRPr="00451B44">
        <w:rPr>
          <w:rFonts w:ascii="Times New Roman" w:hAnsi="Times New Roman" w:cs="Times New Roman"/>
          <w:noProof/>
          <w:sz w:val="24"/>
          <w:szCs w:val="24"/>
        </w:rPr>
        <w:t>(He</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1996a)</w:t>
      </w:r>
      <w:r w:rsidRPr="00451B44">
        <w:rPr>
          <w:rFonts w:ascii="Times New Roman" w:hAnsi="Times New Roman" w:cs="Times New Roman"/>
          <w:sz w:val="24"/>
          <w:szCs w:val="24"/>
        </w:rPr>
        <w:t xml:space="preserve">. </w:t>
      </w:r>
    </w:p>
    <w:p w:rsidR="004B4E5E" w:rsidRDefault="004B4E5E" w:rsidP="002B4B8D">
      <w:pPr>
        <w:autoSpaceDE w:val="0"/>
        <w:autoSpaceDN w:val="0"/>
        <w:adjustRightInd w:val="0"/>
        <w:spacing w:after="0" w:line="480" w:lineRule="auto"/>
        <w:rPr>
          <w:rFonts w:ascii="Times New Roman" w:hAnsi="Times New Roman" w:cs="Times New Roman"/>
          <w:sz w:val="24"/>
          <w:szCs w:val="24"/>
          <w:lang w:eastAsia="en-IE"/>
        </w:rPr>
      </w:pPr>
    </w:p>
    <w:p w:rsidR="004B4E5E" w:rsidRPr="00451B44" w:rsidRDefault="004B4E5E" w:rsidP="002B4B8D">
      <w:pPr>
        <w:autoSpaceDE w:val="0"/>
        <w:autoSpaceDN w:val="0"/>
        <w:adjustRightInd w:val="0"/>
        <w:spacing w:after="0" w:line="480" w:lineRule="auto"/>
        <w:rPr>
          <w:rFonts w:ascii="Times New Roman" w:hAnsi="Times New Roman" w:cs="Times New Roman"/>
          <w:sz w:val="24"/>
          <w:szCs w:val="24"/>
          <w:lang w:eastAsia="en-IE"/>
        </w:rPr>
      </w:pPr>
      <w:r w:rsidRPr="00451B44">
        <w:rPr>
          <w:rFonts w:ascii="Times New Roman" w:hAnsi="Times New Roman" w:cs="Times New Roman"/>
          <w:sz w:val="24"/>
          <w:szCs w:val="24"/>
          <w:lang w:eastAsia="en-IE"/>
        </w:rPr>
        <w:t>Cell death during lys</w:t>
      </w:r>
      <w:r>
        <w:rPr>
          <w:rFonts w:ascii="Times New Roman" w:hAnsi="Times New Roman" w:cs="Times New Roman"/>
          <w:sz w:val="24"/>
          <w:szCs w:val="24"/>
          <w:lang w:eastAsia="en-IE"/>
        </w:rPr>
        <w:t>igenous aerenchyma formation has been</w:t>
      </w:r>
      <w:r w:rsidRPr="00451B44">
        <w:rPr>
          <w:rFonts w:ascii="Times New Roman" w:hAnsi="Times New Roman" w:cs="Times New Roman"/>
          <w:sz w:val="24"/>
          <w:szCs w:val="24"/>
          <w:lang w:eastAsia="en-IE"/>
        </w:rPr>
        <w:t xml:space="preserve"> investigated in maize </w:t>
      </w:r>
      <w:r w:rsidRPr="00451B44">
        <w:rPr>
          <w:rFonts w:ascii="Times New Roman" w:hAnsi="Times New Roman" w:cs="Times New Roman"/>
          <w:noProof/>
          <w:sz w:val="24"/>
          <w:szCs w:val="24"/>
          <w:lang w:eastAsia="en-IE"/>
        </w:rPr>
        <w:t>(Gunawardena</w:t>
      </w:r>
      <w:r w:rsidRPr="00451B44">
        <w:rPr>
          <w:rFonts w:ascii="Times New Roman" w:hAnsi="Times New Roman" w:cs="Times New Roman"/>
          <w:i/>
          <w:iCs/>
          <w:noProof/>
          <w:sz w:val="24"/>
          <w:szCs w:val="24"/>
          <w:lang w:eastAsia="en-IE"/>
        </w:rPr>
        <w:t xml:space="preserve"> et al.</w:t>
      </w:r>
      <w:r w:rsidRPr="00451B44">
        <w:rPr>
          <w:rFonts w:ascii="Times New Roman" w:hAnsi="Times New Roman" w:cs="Times New Roman"/>
          <w:noProof/>
          <w:sz w:val="24"/>
          <w:szCs w:val="24"/>
          <w:lang w:eastAsia="en-IE"/>
        </w:rPr>
        <w:t>, 2001)</w:t>
      </w:r>
      <w:r w:rsidRPr="00451B44">
        <w:rPr>
          <w:rFonts w:ascii="Times New Roman" w:hAnsi="Times New Roman" w:cs="Times New Roman"/>
          <w:sz w:val="24"/>
          <w:szCs w:val="24"/>
          <w:lang w:eastAsia="en-IE"/>
        </w:rPr>
        <w:t xml:space="preserve"> and hallmark features of PCD were obs</w:t>
      </w:r>
      <w:r>
        <w:rPr>
          <w:rFonts w:ascii="Times New Roman" w:hAnsi="Times New Roman" w:cs="Times New Roman"/>
          <w:sz w:val="24"/>
          <w:szCs w:val="24"/>
          <w:lang w:eastAsia="en-IE"/>
        </w:rPr>
        <w:t>erved during this process including</w:t>
      </w:r>
      <w:r w:rsidRPr="00451B44">
        <w:rPr>
          <w:rFonts w:ascii="Times New Roman" w:hAnsi="Times New Roman" w:cs="Times New Roman"/>
          <w:sz w:val="24"/>
          <w:szCs w:val="24"/>
          <w:lang w:eastAsia="en-IE"/>
        </w:rPr>
        <w:t xml:space="preserve"> cytoplasmic changes and plasma membrane invagination, DNA internucleosomal fragmentation and chromatin condensation, cellular condensation and the presence of intact organelles surrounded by membrane, which resemble apoptotic bodies. Interestingly, formation of aerenchyma can be blocked in the presence of ca</w:t>
      </w:r>
      <w:r>
        <w:rPr>
          <w:rFonts w:ascii="Times New Roman" w:hAnsi="Times New Roman" w:cs="Times New Roman"/>
          <w:sz w:val="24"/>
          <w:szCs w:val="24"/>
          <w:lang w:eastAsia="en-IE"/>
        </w:rPr>
        <w:t>lcium binding agent EGTA or application of</w:t>
      </w:r>
      <w:r w:rsidRPr="00451B44">
        <w:rPr>
          <w:rFonts w:ascii="Times New Roman" w:hAnsi="Times New Roman" w:cs="Times New Roman"/>
          <w:sz w:val="24"/>
          <w:szCs w:val="24"/>
          <w:lang w:eastAsia="en-IE"/>
        </w:rPr>
        <w:t xml:space="preserve"> </w:t>
      </w:r>
      <w:r>
        <w:rPr>
          <w:rFonts w:ascii="Times New Roman" w:hAnsi="Times New Roman" w:cs="Times New Roman"/>
          <w:sz w:val="24"/>
          <w:szCs w:val="24"/>
          <w:lang w:eastAsia="en-IE"/>
        </w:rPr>
        <w:t>R</w:t>
      </w:r>
      <w:r w:rsidRPr="00451B44">
        <w:rPr>
          <w:rFonts w:ascii="Times New Roman" w:hAnsi="Times New Roman" w:cs="Times New Roman"/>
          <w:sz w:val="24"/>
          <w:szCs w:val="24"/>
          <w:lang w:eastAsia="en-IE"/>
        </w:rPr>
        <w:t>utheni</w:t>
      </w:r>
      <w:r>
        <w:rPr>
          <w:rFonts w:ascii="Times New Roman" w:hAnsi="Times New Roman" w:cs="Times New Roman"/>
          <w:sz w:val="24"/>
          <w:szCs w:val="24"/>
          <w:lang w:eastAsia="en-IE"/>
        </w:rPr>
        <w:t>u</w:t>
      </w:r>
      <w:r w:rsidRPr="00451B44">
        <w:rPr>
          <w:rFonts w:ascii="Times New Roman" w:hAnsi="Times New Roman" w:cs="Times New Roman"/>
          <w:sz w:val="24"/>
          <w:szCs w:val="24"/>
          <w:lang w:eastAsia="en-IE"/>
        </w:rPr>
        <w:t xml:space="preserve">m </w:t>
      </w:r>
      <w:r>
        <w:rPr>
          <w:rFonts w:ascii="Times New Roman" w:hAnsi="Times New Roman" w:cs="Times New Roman"/>
          <w:sz w:val="24"/>
          <w:szCs w:val="24"/>
          <w:lang w:eastAsia="en-IE"/>
        </w:rPr>
        <w:t xml:space="preserve">Red - </w:t>
      </w:r>
      <w:r w:rsidRPr="00451B44">
        <w:rPr>
          <w:rFonts w:ascii="Times New Roman" w:hAnsi="Times New Roman" w:cs="Times New Roman"/>
          <w:sz w:val="24"/>
          <w:szCs w:val="24"/>
          <w:lang w:eastAsia="en-IE"/>
        </w:rPr>
        <w:t xml:space="preserve">which inhibits calcium release from internal stores </w:t>
      </w:r>
      <w:r>
        <w:rPr>
          <w:rFonts w:ascii="Times New Roman" w:hAnsi="Times New Roman" w:cs="Times New Roman"/>
          <w:sz w:val="24"/>
          <w:szCs w:val="24"/>
          <w:lang w:eastAsia="en-IE"/>
        </w:rPr>
        <w:t>such as the ER and mitochondria</w:t>
      </w:r>
      <w:r w:rsidRPr="00451B44">
        <w:rPr>
          <w:rFonts w:ascii="Times New Roman" w:hAnsi="Times New Roman" w:cs="Times New Roman"/>
          <w:sz w:val="24"/>
          <w:szCs w:val="24"/>
          <w:lang w:eastAsia="en-IE"/>
        </w:rPr>
        <w:t xml:space="preserve"> (Drew</w:t>
      </w:r>
      <w:r w:rsidRPr="00451B44">
        <w:rPr>
          <w:rFonts w:ascii="Times New Roman" w:hAnsi="Times New Roman" w:cs="Times New Roman"/>
          <w:i/>
          <w:iCs/>
          <w:sz w:val="24"/>
          <w:szCs w:val="24"/>
          <w:lang w:eastAsia="en-IE"/>
        </w:rPr>
        <w:t xml:space="preserve"> et al.</w:t>
      </w:r>
      <w:r w:rsidRPr="00451B44">
        <w:rPr>
          <w:rFonts w:ascii="Times New Roman" w:hAnsi="Times New Roman" w:cs="Times New Roman"/>
          <w:sz w:val="24"/>
          <w:szCs w:val="24"/>
          <w:lang w:eastAsia="en-IE"/>
        </w:rPr>
        <w:t>, 2000, He</w:t>
      </w:r>
      <w:r w:rsidRPr="00451B44">
        <w:rPr>
          <w:rFonts w:ascii="Times New Roman" w:hAnsi="Times New Roman" w:cs="Times New Roman"/>
          <w:i/>
          <w:iCs/>
          <w:sz w:val="24"/>
          <w:szCs w:val="24"/>
          <w:lang w:eastAsia="en-IE"/>
        </w:rPr>
        <w:t xml:space="preserve"> et al.</w:t>
      </w:r>
      <w:r w:rsidRPr="00451B44">
        <w:rPr>
          <w:rFonts w:ascii="Times New Roman" w:hAnsi="Times New Roman" w:cs="Times New Roman"/>
          <w:sz w:val="24"/>
          <w:szCs w:val="24"/>
          <w:lang w:eastAsia="en-IE"/>
        </w:rPr>
        <w:t xml:space="preserve">, 1996b). Analogously, agents increasing cytosolic free calcium (caffeine, thapsigargin) were shown to promote cell death </w:t>
      </w:r>
      <w:r w:rsidRPr="00451B44">
        <w:rPr>
          <w:rFonts w:ascii="Times New Roman" w:hAnsi="Times New Roman" w:cs="Times New Roman"/>
          <w:noProof/>
          <w:sz w:val="24"/>
          <w:szCs w:val="24"/>
          <w:lang w:eastAsia="en-IE"/>
        </w:rPr>
        <w:t>(He</w:t>
      </w:r>
      <w:r w:rsidRPr="00451B44">
        <w:rPr>
          <w:rFonts w:ascii="Times New Roman" w:hAnsi="Times New Roman" w:cs="Times New Roman"/>
          <w:i/>
          <w:iCs/>
          <w:noProof/>
          <w:sz w:val="24"/>
          <w:szCs w:val="24"/>
          <w:lang w:eastAsia="en-IE"/>
        </w:rPr>
        <w:t xml:space="preserve"> et al.</w:t>
      </w:r>
      <w:r w:rsidRPr="00451B44">
        <w:rPr>
          <w:rFonts w:ascii="Times New Roman" w:hAnsi="Times New Roman" w:cs="Times New Roman"/>
          <w:noProof/>
          <w:sz w:val="24"/>
          <w:szCs w:val="24"/>
          <w:lang w:eastAsia="en-IE"/>
        </w:rPr>
        <w:t>, 1996b)</w:t>
      </w:r>
      <w:r w:rsidRPr="00451B44">
        <w:rPr>
          <w:rFonts w:ascii="Times New Roman" w:hAnsi="Times New Roman" w:cs="Times New Roman"/>
          <w:sz w:val="24"/>
          <w:szCs w:val="24"/>
          <w:lang w:eastAsia="en-IE"/>
        </w:rPr>
        <w:t xml:space="preserve">. </w:t>
      </w:r>
    </w:p>
    <w:p w:rsidR="004B4E5E" w:rsidRPr="00451B44" w:rsidRDefault="004B4E5E" w:rsidP="002B4B8D">
      <w:pPr>
        <w:autoSpaceDE w:val="0"/>
        <w:autoSpaceDN w:val="0"/>
        <w:adjustRightInd w:val="0"/>
        <w:spacing w:after="0" w:line="480" w:lineRule="auto"/>
        <w:rPr>
          <w:rFonts w:ascii="Times New Roman" w:hAnsi="Times New Roman" w:cs="Times New Roman"/>
          <w:sz w:val="24"/>
          <w:szCs w:val="24"/>
          <w:lang w:eastAsia="en-IE"/>
        </w:rPr>
      </w:pPr>
    </w:p>
    <w:p w:rsidR="004B4E5E" w:rsidRPr="00993866" w:rsidRDefault="004B4E5E" w:rsidP="00035E18">
      <w:pPr>
        <w:pStyle w:val="ListParagraph"/>
        <w:numPr>
          <w:ilvl w:val="1"/>
          <w:numId w:val="29"/>
        </w:numPr>
        <w:autoSpaceDE w:val="0"/>
        <w:autoSpaceDN w:val="0"/>
        <w:adjustRightInd w:val="0"/>
        <w:spacing w:after="0" w:line="480" w:lineRule="auto"/>
        <w:ind w:hanging="88"/>
        <w:rPr>
          <w:rFonts w:ascii="Times New Roman" w:hAnsi="Times New Roman" w:cs="Times New Roman"/>
          <w:b/>
          <w:bCs/>
          <w:sz w:val="24"/>
          <w:szCs w:val="24"/>
        </w:rPr>
      </w:pPr>
      <w:r w:rsidRPr="00993866">
        <w:rPr>
          <w:rFonts w:ascii="Times New Roman" w:hAnsi="Times New Roman" w:cs="Times New Roman"/>
          <w:b/>
          <w:bCs/>
          <w:sz w:val="24"/>
          <w:szCs w:val="24"/>
        </w:rPr>
        <w:t>Salt &amp; drought stress</w:t>
      </w:r>
    </w:p>
    <w:p w:rsidR="004B4E5E" w:rsidRPr="00451B44" w:rsidRDefault="004B4E5E" w:rsidP="002B4B8D">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 xml:space="preserve">Small </w:t>
      </w:r>
      <w:r w:rsidRPr="00451B44">
        <w:rPr>
          <w:rFonts w:ascii="Times New Roman" w:hAnsi="Times New Roman" w:cs="Times New Roman"/>
          <w:sz w:val="24"/>
          <w:szCs w:val="24"/>
        </w:rPr>
        <w:t xml:space="preserve">increases in salinity can hinder root and shoot growth </w:t>
      </w:r>
      <w:r>
        <w:rPr>
          <w:rFonts w:ascii="Times New Roman" w:hAnsi="Times New Roman" w:cs="Times New Roman"/>
          <w:sz w:val="24"/>
          <w:szCs w:val="24"/>
        </w:rPr>
        <w:t>and p</w:t>
      </w:r>
      <w:r w:rsidRPr="00451B44">
        <w:rPr>
          <w:rFonts w:ascii="Times New Roman" w:hAnsi="Times New Roman" w:cs="Times New Roman"/>
          <w:sz w:val="24"/>
          <w:szCs w:val="24"/>
        </w:rPr>
        <w:t xml:space="preserve">lants growing in </w:t>
      </w:r>
      <w:r>
        <w:rPr>
          <w:rFonts w:ascii="Times New Roman" w:hAnsi="Times New Roman" w:cs="Times New Roman"/>
          <w:sz w:val="24"/>
          <w:szCs w:val="24"/>
        </w:rPr>
        <w:t xml:space="preserve">arid and semi–arid environments are constantly subjected to salt stress </w:t>
      </w:r>
      <w:r w:rsidRPr="00451B44">
        <w:rPr>
          <w:rFonts w:ascii="Times New Roman" w:hAnsi="Times New Roman" w:cs="Times New Roman"/>
          <w:sz w:val="24"/>
          <w:szCs w:val="24"/>
        </w:rPr>
        <w:t>(Tuteja</w:t>
      </w:r>
      <w:r w:rsidRPr="00451B44">
        <w:rPr>
          <w:rFonts w:ascii="Times New Roman" w:hAnsi="Times New Roman" w:cs="Times New Roman"/>
          <w:i/>
          <w:iCs/>
          <w:sz w:val="24"/>
          <w:szCs w:val="24"/>
        </w:rPr>
        <w:t xml:space="preserve"> et al.</w:t>
      </w:r>
      <w:r w:rsidRPr="00451B44">
        <w:rPr>
          <w:rFonts w:ascii="Times New Roman" w:hAnsi="Times New Roman" w:cs="Times New Roman"/>
          <w:sz w:val="24"/>
          <w:szCs w:val="24"/>
        </w:rPr>
        <w:t>, 2007). Increased salinity damages the plant in a variety of ways, by deregulating ion channels and inducing osmotic pressure which leads to a reduction in soil water uptake (Williams and Dickman, 2008)</w:t>
      </w:r>
      <w:r>
        <w:rPr>
          <w:rFonts w:ascii="Times New Roman" w:hAnsi="Times New Roman" w:cs="Times New Roman"/>
          <w:sz w:val="24"/>
          <w:szCs w:val="24"/>
        </w:rPr>
        <w:t>. PCD is an important</w:t>
      </w:r>
      <w:r w:rsidRPr="00451B44">
        <w:rPr>
          <w:rFonts w:ascii="Times New Roman" w:hAnsi="Times New Roman" w:cs="Times New Roman"/>
          <w:sz w:val="24"/>
          <w:szCs w:val="24"/>
        </w:rPr>
        <w:t xml:space="preserve"> response to salt stress as it allows the plant enough time to acquire increased tolerance. It may be counterintuitive to consider that PCD of a primary root is necessary to adapt to saline conditions, as significant levels of death in the primary root may compromise whole plant survival. However, Huh </w:t>
      </w:r>
      <w:r w:rsidRPr="00451B44">
        <w:rPr>
          <w:rFonts w:ascii="Times New Roman" w:hAnsi="Times New Roman" w:cs="Times New Roman"/>
          <w:i/>
          <w:iCs/>
          <w:sz w:val="24"/>
          <w:szCs w:val="24"/>
        </w:rPr>
        <w:t>et al</w:t>
      </w:r>
      <w:r w:rsidRPr="00451B44">
        <w:rPr>
          <w:rFonts w:ascii="Times New Roman" w:hAnsi="Times New Roman" w:cs="Times New Roman"/>
          <w:sz w:val="24"/>
          <w:szCs w:val="24"/>
        </w:rPr>
        <w:t>., (2002) suggest that while near-</w:t>
      </w:r>
      <w:r>
        <w:rPr>
          <w:rFonts w:ascii="Times New Roman" w:hAnsi="Times New Roman" w:cs="Times New Roman"/>
          <w:sz w:val="24"/>
          <w:szCs w:val="24"/>
        </w:rPr>
        <w:t>lethal salt</w:t>
      </w:r>
      <w:r w:rsidRPr="00451B44">
        <w:rPr>
          <w:rFonts w:ascii="Times New Roman" w:hAnsi="Times New Roman" w:cs="Times New Roman"/>
          <w:sz w:val="24"/>
          <w:szCs w:val="24"/>
        </w:rPr>
        <w:t xml:space="preserve"> stress of the primary root will indeed lead to its elimination the plant is sustained by the growth of new roots. Consequently, the stress eradicates the roots most susceptible to PCD while presumably, any new roots will be more adapted to the stress conditions.</w:t>
      </w:r>
    </w:p>
    <w:p w:rsidR="004B4E5E" w:rsidRDefault="004B4E5E" w:rsidP="002B4B8D">
      <w:pPr>
        <w:autoSpaceDE w:val="0"/>
        <w:autoSpaceDN w:val="0"/>
        <w:adjustRightInd w:val="0"/>
        <w:spacing w:after="0" w:line="480" w:lineRule="auto"/>
        <w:rPr>
          <w:rFonts w:ascii="Times New Roman" w:hAnsi="Times New Roman" w:cs="Times New Roman"/>
          <w:sz w:val="24"/>
          <w:szCs w:val="24"/>
        </w:rPr>
      </w:pPr>
      <w:r w:rsidRPr="00451B44">
        <w:rPr>
          <w:rFonts w:ascii="Times New Roman" w:hAnsi="Times New Roman" w:cs="Times New Roman"/>
          <w:sz w:val="24"/>
          <w:szCs w:val="24"/>
        </w:rPr>
        <w:t xml:space="preserve">Zuppini </w:t>
      </w:r>
      <w:r w:rsidRPr="00451B44">
        <w:rPr>
          <w:rFonts w:ascii="Times New Roman" w:hAnsi="Times New Roman" w:cs="Times New Roman"/>
          <w:i/>
          <w:iCs/>
          <w:sz w:val="24"/>
          <w:szCs w:val="24"/>
        </w:rPr>
        <w:t>et al.,</w:t>
      </w:r>
      <w:r w:rsidRPr="00451B44">
        <w:rPr>
          <w:rFonts w:ascii="Times New Roman" w:hAnsi="Times New Roman" w:cs="Times New Roman"/>
          <w:sz w:val="24"/>
          <w:szCs w:val="24"/>
        </w:rPr>
        <w:t xml:space="preserve"> (2010)</w:t>
      </w:r>
      <w:r>
        <w:rPr>
          <w:rFonts w:ascii="Times New Roman" w:hAnsi="Times New Roman" w:cs="Times New Roman"/>
          <w:sz w:val="24"/>
          <w:szCs w:val="24"/>
        </w:rPr>
        <w:t xml:space="preserve"> identified</w:t>
      </w:r>
      <w:r w:rsidRPr="00451B44">
        <w:rPr>
          <w:rFonts w:ascii="Times New Roman" w:hAnsi="Times New Roman" w:cs="Times New Roman"/>
          <w:sz w:val="24"/>
          <w:szCs w:val="24"/>
        </w:rPr>
        <w:t xml:space="preserve"> ch</w:t>
      </w:r>
      <w:r>
        <w:rPr>
          <w:rFonts w:ascii="Times New Roman" w:hAnsi="Times New Roman" w:cs="Times New Roman"/>
          <w:sz w:val="24"/>
          <w:szCs w:val="24"/>
        </w:rPr>
        <w:t xml:space="preserve">aracteristic hallmarks of PCD such as </w:t>
      </w:r>
      <w:r w:rsidRPr="00451B44">
        <w:rPr>
          <w:rFonts w:ascii="Times New Roman" w:hAnsi="Times New Roman" w:cs="Times New Roman"/>
          <w:sz w:val="24"/>
          <w:szCs w:val="24"/>
        </w:rPr>
        <w:t>increased production of H</w:t>
      </w:r>
      <w:r w:rsidRPr="00451B44">
        <w:rPr>
          <w:rFonts w:ascii="Times New Roman" w:hAnsi="Times New Roman" w:cs="Times New Roman"/>
          <w:sz w:val="24"/>
          <w:szCs w:val="24"/>
          <w:vertAlign w:val="subscript"/>
        </w:rPr>
        <w:t>2</w:t>
      </w:r>
      <w:r w:rsidRPr="00451B44">
        <w:rPr>
          <w:rFonts w:ascii="Times New Roman" w:hAnsi="Times New Roman" w:cs="Times New Roman"/>
          <w:sz w:val="24"/>
          <w:szCs w:val="24"/>
        </w:rPr>
        <w:t>O</w:t>
      </w:r>
      <w:r w:rsidRPr="00451B44">
        <w:rPr>
          <w:rFonts w:ascii="Times New Roman" w:hAnsi="Times New Roman" w:cs="Times New Roman"/>
          <w:sz w:val="24"/>
          <w:szCs w:val="24"/>
          <w:vertAlign w:val="subscript"/>
        </w:rPr>
        <w:t>2</w:t>
      </w:r>
      <w:r w:rsidRPr="00451B44">
        <w:rPr>
          <w:rFonts w:ascii="Times New Roman" w:hAnsi="Times New Roman" w:cs="Times New Roman"/>
          <w:sz w:val="24"/>
          <w:szCs w:val="24"/>
        </w:rPr>
        <w:t xml:space="preserve"> and enhanced caspase 3-like activity when they examined salt-induced PCD in the unicellular algae </w:t>
      </w:r>
      <w:r w:rsidRPr="00451B44">
        <w:rPr>
          <w:rFonts w:ascii="Times New Roman" w:hAnsi="Times New Roman" w:cs="Times New Roman"/>
          <w:i/>
          <w:iCs/>
          <w:sz w:val="24"/>
          <w:szCs w:val="24"/>
        </w:rPr>
        <w:t>Chlorella saccharophila</w:t>
      </w:r>
      <w:r w:rsidRPr="00451B44">
        <w:rPr>
          <w:rFonts w:ascii="Times New Roman" w:hAnsi="Times New Roman" w:cs="Times New Roman"/>
          <w:sz w:val="24"/>
          <w:szCs w:val="24"/>
        </w:rPr>
        <w:t xml:space="preserve">. Similarly, Affenzeller </w:t>
      </w:r>
      <w:r w:rsidRPr="00451B44">
        <w:rPr>
          <w:rFonts w:ascii="Times New Roman" w:hAnsi="Times New Roman" w:cs="Times New Roman"/>
          <w:i/>
          <w:iCs/>
          <w:sz w:val="24"/>
          <w:szCs w:val="24"/>
        </w:rPr>
        <w:t>et al.,</w:t>
      </w:r>
      <w:r w:rsidRPr="00451B44">
        <w:rPr>
          <w:rFonts w:ascii="Times New Roman" w:hAnsi="Times New Roman" w:cs="Times New Roman"/>
          <w:sz w:val="24"/>
          <w:szCs w:val="24"/>
        </w:rPr>
        <w:t xml:space="preserve"> (2009)</w:t>
      </w:r>
      <w:r>
        <w:rPr>
          <w:rFonts w:ascii="Times New Roman" w:hAnsi="Times New Roman" w:cs="Times New Roman"/>
          <w:sz w:val="24"/>
          <w:szCs w:val="24"/>
        </w:rPr>
        <w:t xml:space="preserve"> studied </w:t>
      </w:r>
      <w:r w:rsidRPr="00451B44">
        <w:rPr>
          <w:rFonts w:ascii="Times New Roman" w:hAnsi="Times New Roman" w:cs="Times New Roman"/>
          <w:sz w:val="24"/>
          <w:szCs w:val="24"/>
        </w:rPr>
        <w:t xml:space="preserve">the freshwater green algae </w:t>
      </w:r>
      <w:r w:rsidRPr="00451B44">
        <w:rPr>
          <w:rFonts w:ascii="Times New Roman" w:hAnsi="Times New Roman" w:cs="Times New Roman"/>
          <w:i/>
          <w:iCs/>
          <w:sz w:val="24"/>
          <w:szCs w:val="24"/>
        </w:rPr>
        <w:t>Micrasterias denticulata</w:t>
      </w:r>
      <w:r w:rsidRPr="00451B44">
        <w:rPr>
          <w:rFonts w:ascii="Times New Roman" w:hAnsi="Times New Roman" w:cs="Times New Roman"/>
          <w:sz w:val="24"/>
          <w:szCs w:val="24"/>
        </w:rPr>
        <w:t xml:space="preserve"> and recognised an autophagic type PCD induced by NaCl but not the osmotic stressor sorbitol, indicating that it is the ionic and not the osmotic stress that induces PCD. Huh </w:t>
      </w:r>
      <w:r w:rsidRPr="00451B44">
        <w:rPr>
          <w:rFonts w:ascii="Times New Roman" w:hAnsi="Times New Roman" w:cs="Times New Roman"/>
          <w:i/>
          <w:iCs/>
          <w:sz w:val="24"/>
          <w:szCs w:val="24"/>
        </w:rPr>
        <w:t>et al.,</w:t>
      </w:r>
      <w:r w:rsidRPr="00451B44">
        <w:rPr>
          <w:rFonts w:ascii="Times New Roman" w:hAnsi="Times New Roman" w:cs="Times New Roman"/>
          <w:sz w:val="24"/>
          <w:szCs w:val="24"/>
        </w:rPr>
        <w:t xml:space="preserve"> (2002) published the first study that identified a salt-induced PCD in fungi when they showed that salt stress inhibited growth in yeast and caused an increase in autophagic-type PCD characterised by DNA fragmentation, vacuolisation and cell lysis. The plant root tip of a range of species has emerged as a model system for the study of the PCD response to various environmental stimuli, including salinity stress. Salt-ind</w:t>
      </w:r>
      <w:r>
        <w:rPr>
          <w:rFonts w:ascii="Times New Roman" w:hAnsi="Times New Roman" w:cs="Times New Roman"/>
          <w:sz w:val="24"/>
          <w:szCs w:val="24"/>
        </w:rPr>
        <w:t xml:space="preserve">uced PCD has been confirmed by </w:t>
      </w:r>
      <w:r w:rsidRPr="00451B44">
        <w:rPr>
          <w:rFonts w:ascii="Times New Roman" w:hAnsi="Times New Roman" w:cs="Times New Roman"/>
          <w:sz w:val="24"/>
          <w:szCs w:val="24"/>
        </w:rPr>
        <w:t>DNA fragmentation in the meristematic cells of barley roots</w:t>
      </w:r>
      <w:r>
        <w:rPr>
          <w:rFonts w:ascii="Times New Roman" w:hAnsi="Times New Roman" w:cs="Times New Roman"/>
          <w:sz w:val="24"/>
          <w:szCs w:val="24"/>
        </w:rPr>
        <w:t xml:space="preserve"> and </w:t>
      </w:r>
      <w:r w:rsidRPr="00451B44">
        <w:rPr>
          <w:rFonts w:ascii="Times New Roman" w:hAnsi="Times New Roman" w:cs="Times New Roman"/>
          <w:sz w:val="24"/>
          <w:szCs w:val="24"/>
        </w:rPr>
        <w:t>rice (Katsuhara and Kawasaki, 1996</w:t>
      </w:r>
      <w:r>
        <w:rPr>
          <w:rFonts w:ascii="Times New Roman" w:hAnsi="Times New Roman" w:cs="Times New Roman"/>
          <w:sz w:val="24"/>
          <w:szCs w:val="24"/>
        </w:rPr>
        <w:t xml:space="preserve">, </w:t>
      </w:r>
      <w:r w:rsidRPr="00451B44">
        <w:rPr>
          <w:rFonts w:ascii="Times New Roman" w:hAnsi="Times New Roman" w:cs="Times New Roman"/>
          <w:sz w:val="24"/>
          <w:szCs w:val="24"/>
        </w:rPr>
        <w:t>Liu</w:t>
      </w:r>
      <w:r w:rsidRPr="00451B44">
        <w:rPr>
          <w:rFonts w:ascii="Times New Roman" w:hAnsi="Times New Roman" w:cs="Times New Roman"/>
          <w:i/>
          <w:iCs/>
          <w:sz w:val="24"/>
          <w:szCs w:val="24"/>
        </w:rPr>
        <w:t xml:space="preserve"> et al.</w:t>
      </w:r>
      <w:r w:rsidRPr="00451B44">
        <w:rPr>
          <w:rFonts w:ascii="Times New Roman" w:hAnsi="Times New Roman" w:cs="Times New Roman"/>
          <w:sz w:val="24"/>
          <w:szCs w:val="24"/>
        </w:rPr>
        <w:t>, 2007).</w:t>
      </w:r>
    </w:p>
    <w:p w:rsidR="004B4E5E" w:rsidRPr="00451B44" w:rsidRDefault="004B4E5E" w:rsidP="002B4B8D">
      <w:pPr>
        <w:autoSpaceDE w:val="0"/>
        <w:autoSpaceDN w:val="0"/>
        <w:adjustRightInd w:val="0"/>
        <w:spacing w:after="0" w:line="480" w:lineRule="auto"/>
        <w:rPr>
          <w:rFonts w:ascii="Times New Roman" w:hAnsi="Times New Roman" w:cs="Times New Roman"/>
          <w:sz w:val="24"/>
          <w:szCs w:val="24"/>
        </w:rPr>
      </w:pPr>
      <w:r w:rsidRPr="00451B44">
        <w:rPr>
          <w:rFonts w:ascii="Times New Roman" w:hAnsi="Times New Roman" w:cs="Times New Roman"/>
          <w:sz w:val="24"/>
          <w:szCs w:val="24"/>
        </w:rPr>
        <w:t xml:space="preserve"> </w:t>
      </w:r>
    </w:p>
    <w:p w:rsidR="004B4E5E" w:rsidRDefault="004B4E5E" w:rsidP="002B4B8D">
      <w:pPr>
        <w:autoSpaceDE w:val="0"/>
        <w:autoSpaceDN w:val="0"/>
        <w:adjustRightInd w:val="0"/>
        <w:spacing w:after="0" w:line="480" w:lineRule="auto"/>
        <w:rPr>
          <w:rFonts w:ascii="Times New Roman" w:hAnsi="Times New Roman" w:cs="Times New Roman"/>
          <w:sz w:val="24"/>
          <w:szCs w:val="24"/>
        </w:rPr>
      </w:pPr>
      <w:r w:rsidRPr="00451B44">
        <w:rPr>
          <w:rFonts w:ascii="Times New Roman" w:hAnsi="Times New Roman" w:cs="Times New Roman"/>
          <w:sz w:val="24"/>
          <w:szCs w:val="24"/>
        </w:rPr>
        <w:t>A growing body of work has identified many putative mediators in the signalling pathway of salt-induced plant PCD, including ROS, mitochondria permeability transition and Ca</w:t>
      </w:r>
      <w:r w:rsidRPr="00451B44">
        <w:rPr>
          <w:rFonts w:ascii="Times New Roman" w:hAnsi="Times New Roman" w:cs="Times New Roman"/>
          <w:sz w:val="24"/>
          <w:szCs w:val="24"/>
          <w:vertAlign w:val="superscript"/>
        </w:rPr>
        <w:t>2+</w:t>
      </w:r>
      <w:r w:rsidRPr="00451B44">
        <w:rPr>
          <w:rFonts w:ascii="Times New Roman" w:hAnsi="Times New Roman" w:cs="Times New Roman"/>
          <w:sz w:val="24"/>
          <w:szCs w:val="24"/>
        </w:rPr>
        <w:t xml:space="preserve"> </w:t>
      </w:r>
      <w:r w:rsidRPr="00AF4E1D">
        <w:rPr>
          <w:rFonts w:ascii="Times New Roman" w:hAnsi="Times New Roman" w:cs="Times New Roman"/>
          <w:sz w:val="24"/>
          <w:szCs w:val="24"/>
          <w:lang w:val="en-US"/>
        </w:rPr>
        <w:t>(Chen</w:t>
      </w:r>
      <w:r w:rsidRPr="00AF4E1D">
        <w:rPr>
          <w:rFonts w:ascii="Times New Roman" w:hAnsi="Times New Roman" w:cs="Times New Roman"/>
          <w:i/>
          <w:iCs/>
          <w:sz w:val="24"/>
          <w:szCs w:val="24"/>
          <w:lang w:val="en-US"/>
        </w:rPr>
        <w:t xml:space="preserve"> et al.</w:t>
      </w:r>
      <w:r w:rsidRPr="00AF4E1D">
        <w:rPr>
          <w:rFonts w:ascii="Times New Roman" w:hAnsi="Times New Roman" w:cs="Times New Roman"/>
          <w:sz w:val="24"/>
          <w:szCs w:val="24"/>
          <w:lang w:val="en-US"/>
        </w:rPr>
        <w:t>, 2009, Lin</w:t>
      </w:r>
      <w:r w:rsidRPr="00AF4E1D">
        <w:rPr>
          <w:rFonts w:ascii="Times New Roman" w:hAnsi="Times New Roman" w:cs="Times New Roman"/>
          <w:i/>
          <w:iCs/>
          <w:sz w:val="24"/>
          <w:szCs w:val="24"/>
          <w:lang w:val="en-US"/>
        </w:rPr>
        <w:t xml:space="preserve"> et al.</w:t>
      </w:r>
      <w:r w:rsidRPr="00AF4E1D">
        <w:rPr>
          <w:rFonts w:ascii="Times New Roman" w:hAnsi="Times New Roman" w:cs="Times New Roman"/>
          <w:sz w:val="24"/>
          <w:szCs w:val="24"/>
          <w:lang w:val="en-US"/>
        </w:rPr>
        <w:t>, 2006, Lin</w:t>
      </w:r>
      <w:r w:rsidRPr="00AF4E1D">
        <w:rPr>
          <w:rFonts w:ascii="Times New Roman" w:hAnsi="Times New Roman" w:cs="Times New Roman"/>
          <w:i/>
          <w:iCs/>
          <w:sz w:val="24"/>
          <w:szCs w:val="24"/>
          <w:lang w:val="en-US"/>
        </w:rPr>
        <w:t xml:space="preserve"> et al.</w:t>
      </w:r>
      <w:r w:rsidRPr="00AF4E1D">
        <w:rPr>
          <w:rFonts w:ascii="Times New Roman" w:hAnsi="Times New Roman" w:cs="Times New Roman"/>
          <w:sz w:val="24"/>
          <w:szCs w:val="24"/>
          <w:lang w:val="en-US"/>
        </w:rPr>
        <w:t xml:space="preserve">, 2005, Rengel, 1992). </w:t>
      </w:r>
      <w:r w:rsidRPr="00451B44">
        <w:rPr>
          <w:rFonts w:ascii="Times New Roman" w:hAnsi="Times New Roman" w:cs="Times New Roman"/>
          <w:sz w:val="24"/>
          <w:szCs w:val="24"/>
        </w:rPr>
        <w:t>For example, increased ROS was observed before the orderly DNA degradation character</w:t>
      </w:r>
      <w:r>
        <w:rPr>
          <w:rFonts w:ascii="Times New Roman" w:hAnsi="Times New Roman" w:cs="Times New Roman"/>
          <w:sz w:val="24"/>
          <w:szCs w:val="24"/>
        </w:rPr>
        <w:t>istic of PCD had appeared in</w:t>
      </w:r>
      <w:r w:rsidRPr="00451B44">
        <w:rPr>
          <w:rFonts w:ascii="Times New Roman" w:hAnsi="Times New Roman" w:cs="Times New Roman"/>
          <w:sz w:val="24"/>
          <w:szCs w:val="24"/>
        </w:rPr>
        <w:t xml:space="preserve"> salt stressed tobacco protoplasts, and subsequen</w:t>
      </w:r>
      <w:r>
        <w:rPr>
          <w:rFonts w:ascii="Times New Roman" w:hAnsi="Times New Roman" w:cs="Times New Roman"/>
          <w:sz w:val="24"/>
          <w:szCs w:val="24"/>
        </w:rPr>
        <w:t xml:space="preserve">t treatment with ascorbic acid </w:t>
      </w:r>
      <w:r w:rsidRPr="00451B44">
        <w:rPr>
          <w:rFonts w:ascii="Times New Roman" w:hAnsi="Times New Roman" w:cs="Times New Roman"/>
          <w:sz w:val="24"/>
          <w:szCs w:val="24"/>
        </w:rPr>
        <w:t>routinely decreased ROS levels and the number of protoplasts undergoing PCD (Lin</w:t>
      </w:r>
      <w:r w:rsidRPr="00451B44">
        <w:rPr>
          <w:rFonts w:ascii="Times New Roman" w:hAnsi="Times New Roman" w:cs="Times New Roman"/>
          <w:i/>
          <w:iCs/>
          <w:sz w:val="24"/>
          <w:szCs w:val="24"/>
        </w:rPr>
        <w:t xml:space="preserve"> et al.</w:t>
      </w:r>
      <w:r>
        <w:rPr>
          <w:rFonts w:ascii="Times New Roman" w:hAnsi="Times New Roman" w:cs="Times New Roman"/>
          <w:sz w:val="24"/>
          <w:szCs w:val="24"/>
        </w:rPr>
        <w:t xml:space="preserve">, 2006). </w:t>
      </w:r>
      <w:r w:rsidRPr="00451B44">
        <w:rPr>
          <w:rFonts w:ascii="Times New Roman" w:hAnsi="Times New Roman" w:cs="Times New Roman"/>
          <w:sz w:val="24"/>
          <w:szCs w:val="24"/>
        </w:rPr>
        <w:t xml:space="preserve">Lin </w:t>
      </w:r>
      <w:r w:rsidRPr="00451B44">
        <w:rPr>
          <w:rFonts w:ascii="Times New Roman" w:hAnsi="Times New Roman" w:cs="Times New Roman"/>
          <w:i/>
          <w:iCs/>
          <w:sz w:val="24"/>
          <w:szCs w:val="24"/>
        </w:rPr>
        <w:t>et al</w:t>
      </w:r>
      <w:r w:rsidRPr="00451B44">
        <w:rPr>
          <w:rFonts w:ascii="Times New Roman" w:hAnsi="Times New Roman" w:cs="Times New Roman"/>
          <w:sz w:val="24"/>
          <w:szCs w:val="24"/>
        </w:rPr>
        <w:t>., (2005) used salt-treated tobacco protoplasts to investigate the role of Ca</w:t>
      </w:r>
      <w:r w:rsidRPr="00451B44">
        <w:rPr>
          <w:rFonts w:ascii="Times New Roman" w:hAnsi="Times New Roman" w:cs="Times New Roman"/>
          <w:sz w:val="24"/>
          <w:szCs w:val="24"/>
          <w:vertAlign w:val="superscript"/>
        </w:rPr>
        <w:t>2+</w:t>
      </w:r>
      <w:r>
        <w:rPr>
          <w:rFonts w:ascii="Times New Roman" w:hAnsi="Times New Roman" w:cs="Times New Roman"/>
          <w:sz w:val="24"/>
          <w:szCs w:val="24"/>
        </w:rPr>
        <w:t xml:space="preserve"> in PCD, and found that</w:t>
      </w:r>
      <w:r w:rsidRPr="00451B44">
        <w:rPr>
          <w:rFonts w:ascii="Times New Roman" w:hAnsi="Times New Roman" w:cs="Times New Roman"/>
          <w:sz w:val="24"/>
          <w:szCs w:val="24"/>
        </w:rPr>
        <w:t xml:space="preserve"> augmented cytosolic Ca</w:t>
      </w:r>
      <w:r w:rsidRPr="00451B44">
        <w:rPr>
          <w:rFonts w:ascii="Times New Roman" w:hAnsi="Times New Roman" w:cs="Times New Roman"/>
          <w:sz w:val="24"/>
          <w:szCs w:val="24"/>
          <w:vertAlign w:val="superscript"/>
        </w:rPr>
        <w:t>2+</w:t>
      </w:r>
      <w:r>
        <w:rPr>
          <w:rFonts w:ascii="Times New Roman" w:hAnsi="Times New Roman" w:cs="Times New Roman"/>
          <w:sz w:val="24"/>
          <w:szCs w:val="24"/>
        </w:rPr>
        <w:t>,</w:t>
      </w:r>
      <w:r w:rsidRPr="00451B44">
        <w:rPr>
          <w:rFonts w:ascii="Times New Roman" w:hAnsi="Times New Roman" w:cs="Times New Roman"/>
          <w:sz w:val="24"/>
          <w:szCs w:val="24"/>
        </w:rPr>
        <w:t xml:space="preserve"> together with the opening of mitochondrial permeability transition pore (MPTP)</w:t>
      </w:r>
      <w:r>
        <w:rPr>
          <w:rFonts w:ascii="Times New Roman" w:hAnsi="Times New Roman" w:cs="Times New Roman"/>
          <w:sz w:val="24"/>
          <w:szCs w:val="24"/>
        </w:rPr>
        <w:t>, may regulate PCD in</w:t>
      </w:r>
      <w:r w:rsidRPr="00451B44">
        <w:rPr>
          <w:rFonts w:ascii="Times New Roman" w:hAnsi="Times New Roman" w:cs="Times New Roman"/>
          <w:sz w:val="24"/>
          <w:szCs w:val="24"/>
        </w:rPr>
        <w:t xml:space="preserve"> salt-treated tobacco protoplasts. This was not the first study to suggest that ion imbalance might be r</w:t>
      </w:r>
      <w:r>
        <w:rPr>
          <w:rFonts w:ascii="Times New Roman" w:hAnsi="Times New Roman" w:cs="Times New Roman"/>
          <w:sz w:val="24"/>
          <w:szCs w:val="24"/>
        </w:rPr>
        <w:t>esponsible for salt-induced PCD, for example,</w:t>
      </w:r>
      <w:r w:rsidRPr="00451B44">
        <w:rPr>
          <w:rFonts w:ascii="Times New Roman" w:hAnsi="Times New Roman" w:cs="Times New Roman"/>
          <w:sz w:val="24"/>
          <w:szCs w:val="24"/>
        </w:rPr>
        <w:t xml:space="preserve"> Huh </w:t>
      </w:r>
      <w:r w:rsidRPr="00451B44">
        <w:rPr>
          <w:rFonts w:ascii="Times New Roman" w:hAnsi="Times New Roman" w:cs="Times New Roman"/>
          <w:i/>
          <w:iCs/>
          <w:sz w:val="24"/>
          <w:szCs w:val="24"/>
        </w:rPr>
        <w:t>et al</w:t>
      </w:r>
      <w:r w:rsidRPr="00451B44">
        <w:rPr>
          <w:rFonts w:ascii="Times New Roman" w:hAnsi="Times New Roman" w:cs="Times New Roman"/>
          <w:sz w:val="24"/>
          <w:szCs w:val="24"/>
        </w:rPr>
        <w:t xml:space="preserve">., (2002) compared wild type yeast and </w:t>
      </w:r>
      <w:r w:rsidRPr="00451B44">
        <w:rPr>
          <w:rFonts w:ascii="Times New Roman" w:hAnsi="Times New Roman" w:cs="Times New Roman"/>
          <w:i/>
          <w:iCs/>
          <w:sz w:val="24"/>
          <w:szCs w:val="24"/>
        </w:rPr>
        <w:t>Arabidopsis</w:t>
      </w:r>
      <w:r w:rsidRPr="00451B44">
        <w:rPr>
          <w:rFonts w:ascii="Times New Roman" w:hAnsi="Times New Roman" w:cs="Times New Roman"/>
          <w:sz w:val="24"/>
          <w:szCs w:val="24"/>
        </w:rPr>
        <w:t xml:space="preserve"> with mutants defective for ion homeostasis</w:t>
      </w:r>
      <w:r>
        <w:rPr>
          <w:rFonts w:ascii="Times New Roman" w:hAnsi="Times New Roman" w:cs="Times New Roman"/>
          <w:sz w:val="24"/>
          <w:szCs w:val="24"/>
        </w:rPr>
        <w:t>. They were able</w:t>
      </w:r>
      <w:r w:rsidRPr="00451B44">
        <w:rPr>
          <w:rFonts w:ascii="Times New Roman" w:hAnsi="Times New Roman" w:cs="Times New Roman"/>
          <w:sz w:val="24"/>
          <w:szCs w:val="24"/>
        </w:rPr>
        <w:t xml:space="preserve"> to show that characteristic hallmarks </w:t>
      </w:r>
      <w:r>
        <w:rPr>
          <w:rFonts w:ascii="Times New Roman" w:hAnsi="Times New Roman" w:cs="Times New Roman"/>
          <w:sz w:val="24"/>
          <w:szCs w:val="24"/>
        </w:rPr>
        <w:t xml:space="preserve">of autophagic type PCD such as </w:t>
      </w:r>
      <w:r w:rsidRPr="00451B44">
        <w:rPr>
          <w:rFonts w:ascii="Times New Roman" w:hAnsi="Times New Roman" w:cs="Times New Roman"/>
          <w:sz w:val="24"/>
          <w:szCs w:val="24"/>
        </w:rPr>
        <w:t>DNA fragmentation, vacuoli</w:t>
      </w:r>
      <w:r>
        <w:rPr>
          <w:rFonts w:ascii="Times New Roman" w:hAnsi="Times New Roman" w:cs="Times New Roman"/>
          <w:sz w:val="24"/>
          <w:szCs w:val="24"/>
        </w:rPr>
        <w:t>s</w:t>
      </w:r>
      <w:r w:rsidRPr="00451B44">
        <w:rPr>
          <w:rFonts w:ascii="Times New Roman" w:hAnsi="Times New Roman" w:cs="Times New Roman"/>
          <w:sz w:val="24"/>
          <w:szCs w:val="24"/>
        </w:rPr>
        <w:t>ation and cell lysis manifested more profoundly when Na</w:t>
      </w:r>
      <w:r w:rsidRPr="00451B44">
        <w:rPr>
          <w:rFonts w:ascii="Times New Roman" w:hAnsi="Times New Roman" w:cs="Times New Roman"/>
          <w:sz w:val="24"/>
          <w:szCs w:val="24"/>
          <w:vertAlign w:val="superscript"/>
        </w:rPr>
        <w:t xml:space="preserve">+ </w:t>
      </w:r>
      <w:r w:rsidRPr="00451B44">
        <w:rPr>
          <w:rFonts w:ascii="Times New Roman" w:hAnsi="Times New Roman" w:cs="Times New Roman"/>
          <w:sz w:val="24"/>
          <w:szCs w:val="24"/>
        </w:rPr>
        <w:t>homeosta</w:t>
      </w:r>
      <w:r>
        <w:rPr>
          <w:rFonts w:ascii="Times New Roman" w:hAnsi="Times New Roman" w:cs="Times New Roman"/>
          <w:sz w:val="24"/>
          <w:szCs w:val="24"/>
        </w:rPr>
        <w:t xml:space="preserve">sis was deregulated. </w:t>
      </w:r>
      <w:r w:rsidRPr="00451B44">
        <w:rPr>
          <w:rFonts w:ascii="Times New Roman" w:hAnsi="Times New Roman" w:cs="Times New Roman"/>
          <w:sz w:val="24"/>
          <w:szCs w:val="24"/>
        </w:rPr>
        <w:t xml:space="preserve">Shabala </w:t>
      </w:r>
      <w:r w:rsidRPr="00451B44">
        <w:rPr>
          <w:rFonts w:ascii="Times New Roman" w:hAnsi="Times New Roman" w:cs="Times New Roman"/>
          <w:i/>
          <w:iCs/>
          <w:sz w:val="24"/>
          <w:szCs w:val="24"/>
        </w:rPr>
        <w:t>et al</w:t>
      </w:r>
      <w:r w:rsidRPr="00451B44">
        <w:rPr>
          <w:rFonts w:ascii="Times New Roman" w:hAnsi="Times New Roman" w:cs="Times New Roman"/>
          <w:sz w:val="24"/>
          <w:szCs w:val="24"/>
        </w:rPr>
        <w:t>., (2007) showed that salt stress tolerance was enhanced in tobacco mesophyll cells that expressed the anti-apoptotic CED-9 gene, and this was due to altered K</w:t>
      </w:r>
      <w:r w:rsidRPr="00451B44">
        <w:rPr>
          <w:rFonts w:ascii="Times New Roman" w:hAnsi="Times New Roman" w:cs="Times New Roman"/>
          <w:sz w:val="24"/>
          <w:szCs w:val="24"/>
          <w:vertAlign w:val="superscript"/>
        </w:rPr>
        <w:t>+</w:t>
      </w:r>
      <w:r w:rsidRPr="00451B44">
        <w:rPr>
          <w:rFonts w:ascii="Times New Roman" w:hAnsi="Times New Roman" w:cs="Times New Roman"/>
          <w:sz w:val="24"/>
          <w:szCs w:val="24"/>
        </w:rPr>
        <w:t xml:space="preserve"> and H</w:t>
      </w:r>
      <w:r w:rsidRPr="00451B44">
        <w:rPr>
          <w:rFonts w:ascii="Times New Roman" w:hAnsi="Times New Roman" w:cs="Times New Roman"/>
          <w:sz w:val="24"/>
          <w:szCs w:val="24"/>
          <w:vertAlign w:val="superscript"/>
        </w:rPr>
        <w:t>+</w:t>
      </w:r>
      <w:r w:rsidRPr="00451B44">
        <w:rPr>
          <w:rFonts w:ascii="Times New Roman" w:hAnsi="Times New Roman" w:cs="Times New Roman"/>
          <w:sz w:val="24"/>
          <w:szCs w:val="24"/>
        </w:rPr>
        <w:t xml:space="preserve"> movement across the plasma membrane. To clarify the movement of ions during salt-induced PCD, Shabala, (2009) collated previous research findi</w:t>
      </w:r>
      <w:r>
        <w:rPr>
          <w:rFonts w:ascii="Times New Roman" w:hAnsi="Times New Roman" w:cs="Times New Roman"/>
          <w:sz w:val="24"/>
          <w:szCs w:val="24"/>
        </w:rPr>
        <w:t>ngs and suggested the following chain of ionic flux events: when under</w:t>
      </w:r>
      <w:r w:rsidRPr="00451B44">
        <w:rPr>
          <w:rFonts w:ascii="Times New Roman" w:hAnsi="Times New Roman" w:cs="Times New Roman"/>
          <w:sz w:val="24"/>
          <w:szCs w:val="24"/>
        </w:rPr>
        <w:t xml:space="preserve"> salt stress, Na</w:t>
      </w:r>
      <w:r w:rsidRPr="00451B44">
        <w:rPr>
          <w:rFonts w:ascii="Times New Roman" w:hAnsi="Times New Roman" w:cs="Times New Roman"/>
          <w:sz w:val="24"/>
          <w:szCs w:val="24"/>
          <w:vertAlign w:val="superscript"/>
        </w:rPr>
        <w:t>+</w:t>
      </w:r>
      <w:r w:rsidRPr="00451B44">
        <w:rPr>
          <w:rFonts w:ascii="Times New Roman" w:hAnsi="Times New Roman" w:cs="Times New Roman"/>
          <w:sz w:val="24"/>
          <w:szCs w:val="24"/>
        </w:rPr>
        <w:t xml:space="preserve"> entering the cell causes significant membrane depolarisation resulting in K</w:t>
      </w:r>
      <w:r w:rsidRPr="00451B44">
        <w:rPr>
          <w:rFonts w:ascii="Times New Roman" w:hAnsi="Times New Roman" w:cs="Times New Roman"/>
          <w:sz w:val="24"/>
          <w:szCs w:val="24"/>
          <w:vertAlign w:val="superscript"/>
        </w:rPr>
        <w:t>+</w:t>
      </w:r>
      <w:r>
        <w:rPr>
          <w:rFonts w:ascii="Times New Roman" w:hAnsi="Times New Roman" w:cs="Times New Roman"/>
          <w:sz w:val="24"/>
          <w:szCs w:val="24"/>
        </w:rPr>
        <w:t xml:space="preserve"> efflux, s</w:t>
      </w:r>
      <w:r w:rsidRPr="00451B44">
        <w:rPr>
          <w:rFonts w:ascii="Times New Roman" w:hAnsi="Times New Roman" w:cs="Times New Roman"/>
          <w:sz w:val="24"/>
          <w:szCs w:val="24"/>
        </w:rPr>
        <w:t>imultaneously, cytosolic [Ca</w:t>
      </w:r>
      <w:r w:rsidRPr="00451B44">
        <w:rPr>
          <w:rFonts w:ascii="Times New Roman" w:hAnsi="Times New Roman" w:cs="Times New Roman"/>
          <w:sz w:val="24"/>
          <w:szCs w:val="24"/>
          <w:vertAlign w:val="superscript"/>
        </w:rPr>
        <w:t>2+</w:t>
      </w:r>
      <w:r w:rsidRPr="00451B44">
        <w:rPr>
          <w:rFonts w:ascii="Times New Roman" w:hAnsi="Times New Roman" w:cs="Times New Roman"/>
          <w:sz w:val="24"/>
          <w:szCs w:val="24"/>
        </w:rPr>
        <w:t>] incr</w:t>
      </w:r>
      <w:r>
        <w:rPr>
          <w:rFonts w:ascii="Times New Roman" w:hAnsi="Times New Roman" w:cs="Times New Roman"/>
          <w:sz w:val="24"/>
          <w:szCs w:val="24"/>
        </w:rPr>
        <w:t>eases, leading to a sudden rise</w:t>
      </w:r>
      <w:r w:rsidRPr="00451B44">
        <w:rPr>
          <w:rFonts w:ascii="Times New Roman" w:hAnsi="Times New Roman" w:cs="Times New Roman"/>
          <w:sz w:val="24"/>
          <w:szCs w:val="24"/>
        </w:rPr>
        <w:t xml:space="preserve"> in cellular ROS which promotes further K</w:t>
      </w:r>
      <w:r w:rsidRPr="00451B44">
        <w:rPr>
          <w:rFonts w:ascii="Times New Roman" w:hAnsi="Times New Roman" w:cs="Times New Roman"/>
          <w:sz w:val="24"/>
          <w:szCs w:val="24"/>
          <w:vertAlign w:val="superscript"/>
        </w:rPr>
        <w:t>+</w:t>
      </w:r>
      <w:r w:rsidRPr="00451B44">
        <w:rPr>
          <w:rFonts w:ascii="Times New Roman" w:hAnsi="Times New Roman" w:cs="Times New Roman"/>
          <w:sz w:val="24"/>
          <w:szCs w:val="24"/>
        </w:rPr>
        <w:t xml:space="preserve"> efflux. A subsequent decrease in cytosolic K</w:t>
      </w:r>
      <w:r w:rsidRPr="00451B44">
        <w:rPr>
          <w:rFonts w:ascii="Times New Roman" w:hAnsi="Times New Roman" w:cs="Times New Roman"/>
          <w:sz w:val="24"/>
          <w:szCs w:val="24"/>
          <w:vertAlign w:val="superscript"/>
        </w:rPr>
        <w:t>+</w:t>
      </w:r>
      <w:r w:rsidRPr="00451B44">
        <w:rPr>
          <w:rFonts w:ascii="Times New Roman" w:hAnsi="Times New Roman" w:cs="Times New Roman"/>
          <w:sz w:val="24"/>
          <w:szCs w:val="24"/>
        </w:rPr>
        <w:t xml:space="preserve"> may activate caspase-like proteases which will lead to PCD but if there is no decline in K</w:t>
      </w:r>
      <w:r w:rsidRPr="00451B44">
        <w:rPr>
          <w:rFonts w:ascii="Times New Roman" w:hAnsi="Times New Roman" w:cs="Times New Roman"/>
          <w:sz w:val="24"/>
          <w:szCs w:val="24"/>
          <w:vertAlign w:val="superscript"/>
        </w:rPr>
        <w:t>+</w:t>
      </w:r>
      <w:r w:rsidRPr="00451B44">
        <w:rPr>
          <w:rFonts w:ascii="Times New Roman" w:hAnsi="Times New Roman" w:cs="Times New Roman"/>
          <w:sz w:val="24"/>
          <w:szCs w:val="24"/>
        </w:rPr>
        <w:t xml:space="preserve">, PCD will be attenuated. This </w:t>
      </w:r>
      <w:r>
        <w:rPr>
          <w:rFonts w:ascii="Times New Roman" w:hAnsi="Times New Roman" w:cs="Times New Roman"/>
          <w:sz w:val="24"/>
          <w:szCs w:val="24"/>
        </w:rPr>
        <w:t>would explain</w:t>
      </w:r>
      <w:r w:rsidRPr="00451B44">
        <w:rPr>
          <w:rFonts w:ascii="Times New Roman" w:hAnsi="Times New Roman" w:cs="Times New Roman"/>
          <w:sz w:val="24"/>
          <w:szCs w:val="24"/>
        </w:rPr>
        <w:t xml:space="preserve"> why PCD is not obs</w:t>
      </w:r>
      <w:r>
        <w:rPr>
          <w:rFonts w:ascii="Times New Roman" w:hAnsi="Times New Roman" w:cs="Times New Roman"/>
          <w:sz w:val="24"/>
          <w:szCs w:val="24"/>
        </w:rPr>
        <w:t>erved in sorbitol-treated cells</w:t>
      </w:r>
      <w:r w:rsidRPr="00451B44">
        <w:rPr>
          <w:rFonts w:ascii="Times New Roman" w:hAnsi="Times New Roman" w:cs="Times New Roman"/>
          <w:sz w:val="24"/>
          <w:szCs w:val="24"/>
        </w:rPr>
        <w:t xml:space="preserve"> (Affenzeller</w:t>
      </w:r>
      <w:r w:rsidRPr="00451B44">
        <w:rPr>
          <w:rFonts w:ascii="Times New Roman" w:hAnsi="Times New Roman" w:cs="Times New Roman"/>
          <w:i/>
          <w:iCs/>
          <w:sz w:val="24"/>
          <w:szCs w:val="24"/>
        </w:rPr>
        <w:t xml:space="preserve"> et al.</w:t>
      </w:r>
      <w:r w:rsidRPr="00451B44">
        <w:rPr>
          <w:rFonts w:ascii="Times New Roman" w:hAnsi="Times New Roman" w:cs="Times New Roman"/>
          <w:sz w:val="24"/>
          <w:szCs w:val="24"/>
        </w:rPr>
        <w:t>, 2009), or in cells where membrane depolarisation is prevented by zinc (Affenzeller</w:t>
      </w:r>
      <w:r w:rsidRPr="00451B44">
        <w:rPr>
          <w:rFonts w:ascii="Times New Roman" w:hAnsi="Times New Roman" w:cs="Times New Roman"/>
          <w:i/>
          <w:iCs/>
          <w:sz w:val="24"/>
          <w:szCs w:val="24"/>
        </w:rPr>
        <w:t xml:space="preserve"> et al.</w:t>
      </w:r>
      <w:r w:rsidRPr="00451B44">
        <w:rPr>
          <w:rFonts w:ascii="Times New Roman" w:hAnsi="Times New Roman" w:cs="Times New Roman"/>
          <w:sz w:val="24"/>
          <w:szCs w:val="24"/>
        </w:rPr>
        <w:t xml:space="preserve">, 2009) or lanthanum treatment </w:t>
      </w:r>
      <w:r w:rsidRPr="00451B44">
        <w:rPr>
          <w:rFonts w:ascii="Times New Roman" w:hAnsi="Times New Roman" w:cs="Times New Roman"/>
          <w:noProof/>
          <w:sz w:val="24"/>
          <w:szCs w:val="24"/>
        </w:rPr>
        <w:t>(Li</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2007a)</w:t>
      </w:r>
      <w:r w:rsidRPr="00451B44">
        <w:rPr>
          <w:rFonts w:ascii="Times New Roman" w:hAnsi="Times New Roman" w:cs="Times New Roman"/>
          <w:sz w:val="24"/>
          <w:szCs w:val="24"/>
        </w:rPr>
        <w:t>. Additional studies using stable overexpress</w:t>
      </w:r>
      <w:r>
        <w:rPr>
          <w:rFonts w:ascii="Times New Roman" w:hAnsi="Times New Roman" w:cs="Times New Roman"/>
          <w:sz w:val="24"/>
          <w:szCs w:val="24"/>
        </w:rPr>
        <w:t>ion of the animal anti-apoptotic</w:t>
      </w:r>
      <w:r w:rsidRPr="00451B44">
        <w:rPr>
          <w:rFonts w:ascii="Times New Roman" w:hAnsi="Times New Roman" w:cs="Times New Roman"/>
          <w:sz w:val="24"/>
          <w:szCs w:val="24"/>
        </w:rPr>
        <w:t xml:space="preserve"> genes CED-9 and Bcl-2 in plants, found that these genes inferred tolerance to many abiotic stresses including salt and drought </w:t>
      </w:r>
      <w:r>
        <w:rPr>
          <w:rFonts w:ascii="Times New Roman" w:hAnsi="Times New Roman" w:cs="Times New Roman"/>
          <w:sz w:val="24"/>
          <w:szCs w:val="24"/>
        </w:rPr>
        <w:t>(Chen and Dickman, 2004, Dickman</w:t>
      </w:r>
      <w:r w:rsidRPr="00081AAD">
        <w:rPr>
          <w:rFonts w:ascii="Times New Roman" w:hAnsi="Times New Roman" w:cs="Times New Roman"/>
          <w:i/>
          <w:iCs/>
          <w:sz w:val="24"/>
          <w:szCs w:val="24"/>
        </w:rPr>
        <w:t xml:space="preserve"> et al.</w:t>
      </w:r>
      <w:r>
        <w:rPr>
          <w:rFonts w:ascii="Times New Roman" w:hAnsi="Times New Roman" w:cs="Times New Roman"/>
          <w:sz w:val="24"/>
          <w:szCs w:val="24"/>
        </w:rPr>
        <w:t>, 2001)</w:t>
      </w:r>
      <w:r w:rsidRPr="00451B44">
        <w:rPr>
          <w:rFonts w:ascii="Times New Roman" w:hAnsi="Times New Roman" w:cs="Times New Roman"/>
          <w:sz w:val="24"/>
          <w:szCs w:val="24"/>
        </w:rPr>
        <w:t xml:space="preserve">. </w:t>
      </w:r>
    </w:p>
    <w:p w:rsidR="004B4E5E" w:rsidRPr="00451B44" w:rsidRDefault="004B4E5E" w:rsidP="002B4B8D">
      <w:pPr>
        <w:autoSpaceDE w:val="0"/>
        <w:autoSpaceDN w:val="0"/>
        <w:adjustRightInd w:val="0"/>
        <w:spacing w:after="0" w:line="480" w:lineRule="auto"/>
        <w:rPr>
          <w:rFonts w:ascii="Times New Roman" w:hAnsi="Times New Roman" w:cs="Times New Roman"/>
          <w:sz w:val="24"/>
          <w:szCs w:val="24"/>
        </w:rPr>
      </w:pPr>
    </w:p>
    <w:p w:rsidR="004B4E5E" w:rsidRPr="00451B44" w:rsidRDefault="004B4E5E" w:rsidP="002B4B8D">
      <w:pPr>
        <w:autoSpaceDE w:val="0"/>
        <w:autoSpaceDN w:val="0"/>
        <w:adjustRightInd w:val="0"/>
        <w:spacing w:after="0" w:line="480" w:lineRule="auto"/>
        <w:rPr>
          <w:rFonts w:ascii="Times New Roman" w:hAnsi="Times New Roman" w:cs="Times New Roman"/>
          <w:sz w:val="24"/>
          <w:szCs w:val="24"/>
        </w:rPr>
      </w:pPr>
      <w:r w:rsidRPr="00451B44">
        <w:rPr>
          <w:rFonts w:ascii="Times New Roman" w:hAnsi="Times New Roman" w:cs="Times New Roman"/>
          <w:sz w:val="24"/>
          <w:szCs w:val="24"/>
        </w:rPr>
        <w:t>Autophagic-like PCD has previously been observed in response to abiotic stresses. For example, the formation of aerenchyma in maize roots, induced by hypoxia</w:t>
      </w:r>
      <w:r>
        <w:rPr>
          <w:rFonts w:ascii="Times New Roman" w:hAnsi="Times New Roman" w:cs="Times New Roman"/>
          <w:sz w:val="24"/>
          <w:szCs w:val="24"/>
        </w:rPr>
        <w:t>,</w:t>
      </w:r>
      <w:r w:rsidRPr="00451B44">
        <w:rPr>
          <w:rFonts w:ascii="Times New Roman" w:hAnsi="Times New Roman" w:cs="Times New Roman"/>
          <w:sz w:val="24"/>
          <w:szCs w:val="24"/>
        </w:rPr>
        <w:t xml:space="preserve"> exhibits hallmarks of both apoptosis and autophagic PCD (Gunawardena</w:t>
      </w:r>
      <w:r w:rsidRPr="00451B44">
        <w:rPr>
          <w:rFonts w:ascii="Times New Roman" w:hAnsi="Times New Roman" w:cs="Times New Roman"/>
          <w:i/>
          <w:iCs/>
          <w:sz w:val="24"/>
          <w:szCs w:val="24"/>
        </w:rPr>
        <w:t xml:space="preserve"> et al.</w:t>
      </w:r>
      <w:r w:rsidRPr="00451B44">
        <w:rPr>
          <w:rFonts w:ascii="Times New Roman" w:hAnsi="Times New Roman" w:cs="Times New Roman"/>
          <w:sz w:val="24"/>
          <w:szCs w:val="24"/>
        </w:rPr>
        <w:t xml:space="preserve">, 2001). A more recent study using autophagy-defective RNAi-AtATG18a plants confirmed that autophagy is essential for tolerance to drought and salt stress in </w:t>
      </w:r>
      <w:r w:rsidRPr="00451B44">
        <w:rPr>
          <w:rFonts w:ascii="Times New Roman" w:hAnsi="Times New Roman" w:cs="Times New Roman"/>
          <w:i/>
          <w:iCs/>
          <w:sz w:val="24"/>
          <w:szCs w:val="24"/>
        </w:rPr>
        <w:t>Arabidopsis</w:t>
      </w:r>
      <w:r w:rsidRPr="00451B44">
        <w:rPr>
          <w:rFonts w:ascii="Times New Roman" w:hAnsi="Times New Roman" w:cs="Times New Roman"/>
          <w:sz w:val="24"/>
          <w:szCs w:val="24"/>
        </w:rPr>
        <w:t xml:space="preserve"> and loss of function results in increased sensitivity of the AtATG18a mutants to osmotic and salt stress (Liu</w:t>
      </w:r>
      <w:r w:rsidRPr="00451B44">
        <w:rPr>
          <w:rFonts w:ascii="Times New Roman" w:hAnsi="Times New Roman" w:cs="Times New Roman"/>
          <w:i/>
          <w:iCs/>
          <w:sz w:val="24"/>
          <w:szCs w:val="24"/>
        </w:rPr>
        <w:t xml:space="preserve"> et al.</w:t>
      </w:r>
      <w:r w:rsidRPr="00451B44">
        <w:rPr>
          <w:rFonts w:ascii="Times New Roman" w:hAnsi="Times New Roman" w:cs="Times New Roman"/>
          <w:sz w:val="24"/>
          <w:szCs w:val="24"/>
        </w:rPr>
        <w:t xml:space="preserve">, 2009). Wang </w:t>
      </w:r>
      <w:r w:rsidRPr="00451B44">
        <w:rPr>
          <w:rFonts w:ascii="Times New Roman" w:hAnsi="Times New Roman" w:cs="Times New Roman"/>
          <w:i/>
          <w:iCs/>
          <w:sz w:val="24"/>
          <w:szCs w:val="24"/>
        </w:rPr>
        <w:t>et al</w:t>
      </w:r>
      <w:r w:rsidRPr="00451B44">
        <w:rPr>
          <w:rFonts w:ascii="Times New Roman" w:hAnsi="Times New Roman" w:cs="Times New Roman"/>
          <w:sz w:val="24"/>
          <w:szCs w:val="24"/>
        </w:rPr>
        <w:t xml:space="preserve">., (2010) investigated the PCD response to salt stress in suspension cultures of the halophyte </w:t>
      </w:r>
      <w:r w:rsidRPr="00451B44">
        <w:rPr>
          <w:rFonts w:ascii="Times New Roman" w:hAnsi="Times New Roman" w:cs="Times New Roman"/>
          <w:i/>
          <w:iCs/>
          <w:sz w:val="24"/>
          <w:szCs w:val="24"/>
        </w:rPr>
        <w:t xml:space="preserve">Thellungiella halophila. </w:t>
      </w:r>
      <w:r w:rsidRPr="00451B44">
        <w:rPr>
          <w:rFonts w:ascii="Times New Roman" w:hAnsi="Times New Roman" w:cs="Times New Roman"/>
          <w:sz w:val="24"/>
          <w:szCs w:val="24"/>
        </w:rPr>
        <w:t xml:space="preserve">They found that characteristics similar to apoptosis, such as retraction of the protoplast, nuclear condensation, DNA laddering, cyt </w:t>
      </w:r>
      <w:r w:rsidRPr="00451B44">
        <w:rPr>
          <w:rFonts w:ascii="Times New Roman" w:hAnsi="Times New Roman" w:cs="Times New Roman"/>
          <w:i/>
          <w:iCs/>
          <w:sz w:val="24"/>
          <w:szCs w:val="24"/>
        </w:rPr>
        <w:t>c</w:t>
      </w:r>
      <w:r w:rsidRPr="00451B44">
        <w:rPr>
          <w:rFonts w:ascii="Times New Roman" w:hAnsi="Times New Roman" w:cs="Times New Roman"/>
          <w:sz w:val="24"/>
          <w:szCs w:val="24"/>
        </w:rPr>
        <w:t xml:space="preserve"> release and activation of caspase 3-like protease activity, were induced by treatment with 300mM NaCl. Interestingly, upon examination of transmission electron micrographs, cells exposed to 300nM NaCl appeared to be degrading their cytoplasmic contents using autophagic vesicles. Furthermore, no autophagic vacuoles were present in untreated cells or necrotic cells, suggesting that the autophagic vacuole is a fundamental component of salt stress induced PCD and that autophagic PCD and apoptotic-like PCD may act in concert depending on the stress applied. </w:t>
      </w:r>
    </w:p>
    <w:p w:rsidR="004B4E5E" w:rsidRDefault="004B4E5E" w:rsidP="002B4B8D">
      <w:pPr>
        <w:autoSpaceDE w:val="0"/>
        <w:autoSpaceDN w:val="0"/>
        <w:adjustRightInd w:val="0"/>
        <w:spacing w:after="0" w:line="480" w:lineRule="auto"/>
        <w:rPr>
          <w:rFonts w:ascii="Times New Roman" w:hAnsi="Times New Roman" w:cs="Times New Roman"/>
          <w:sz w:val="24"/>
          <w:szCs w:val="24"/>
        </w:rPr>
      </w:pPr>
    </w:p>
    <w:p w:rsidR="004B4E5E" w:rsidRDefault="004B4E5E" w:rsidP="002B4B8D">
      <w:pPr>
        <w:autoSpaceDE w:val="0"/>
        <w:autoSpaceDN w:val="0"/>
        <w:adjustRightInd w:val="0"/>
        <w:spacing w:after="0" w:line="480" w:lineRule="auto"/>
        <w:rPr>
          <w:rFonts w:ascii="Times New Roman" w:hAnsi="Times New Roman" w:cs="Times New Roman"/>
          <w:sz w:val="24"/>
          <w:szCs w:val="24"/>
        </w:rPr>
      </w:pPr>
      <w:r w:rsidRPr="00451B44">
        <w:rPr>
          <w:rFonts w:ascii="Times New Roman" w:hAnsi="Times New Roman" w:cs="Times New Roman"/>
          <w:sz w:val="24"/>
          <w:szCs w:val="24"/>
        </w:rPr>
        <w:t xml:space="preserve">Plants employ a number of strategies to acquire tolerance to high levels of salt. For instance, </w:t>
      </w:r>
      <w:r>
        <w:rPr>
          <w:rFonts w:ascii="Times New Roman" w:hAnsi="Times New Roman" w:cs="Times New Roman"/>
          <w:sz w:val="24"/>
          <w:szCs w:val="24"/>
        </w:rPr>
        <w:t xml:space="preserve">halophyte </w:t>
      </w:r>
      <w:r w:rsidRPr="00451B44">
        <w:rPr>
          <w:rFonts w:ascii="Times New Roman" w:hAnsi="Times New Roman" w:cs="Times New Roman"/>
          <w:sz w:val="24"/>
          <w:szCs w:val="24"/>
        </w:rPr>
        <w:t>plants that have adapted to living in sa</w:t>
      </w:r>
      <w:r>
        <w:rPr>
          <w:rFonts w:ascii="Times New Roman" w:hAnsi="Times New Roman" w:cs="Times New Roman"/>
          <w:sz w:val="24"/>
          <w:szCs w:val="24"/>
        </w:rPr>
        <w:t>line environments</w:t>
      </w:r>
      <w:r w:rsidRPr="00451B44">
        <w:rPr>
          <w:rFonts w:ascii="Times New Roman" w:hAnsi="Times New Roman" w:cs="Times New Roman"/>
          <w:sz w:val="24"/>
          <w:szCs w:val="24"/>
        </w:rPr>
        <w:t xml:space="preserve"> often accumulate solutes such as proline and betaine in their tissues which act as osmoprotectants. These molecules are highly water soluble and non-toxic at high concentrations (Park</w:t>
      </w:r>
      <w:r w:rsidRPr="00451B44">
        <w:rPr>
          <w:rFonts w:ascii="Times New Roman" w:hAnsi="Times New Roman" w:cs="Times New Roman"/>
          <w:i/>
          <w:iCs/>
          <w:sz w:val="24"/>
          <w:szCs w:val="24"/>
        </w:rPr>
        <w:t xml:space="preserve"> et al.</w:t>
      </w:r>
      <w:r w:rsidRPr="00451B44">
        <w:rPr>
          <w:rFonts w:ascii="Times New Roman" w:hAnsi="Times New Roman" w:cs="Times New Roman"/>
          <w:sz w:val="24"/>
          <w:szCs w:val="24"/>
        </w:rPr>
        <w:t xml:space="preserve">, 2006). Banu </w:t>
      </w:r>
      <w:r w:rsidRPr="00451B44">
        <w:rPr>
          <w:rFonts w:ascii="Times New Roman" w:hAnsi="Times New Roman" w:cs="Times New Roman"/>
          <w:i/>
          <w:iCs/>
          <w:sz w:val="24"/>
          <w:szCs w:val="24"/>
        </w:rPr>
        <w:t>et al</w:t>
      </w:r>
      <w:r w:rsidRPr="00451B44">
        <w:rPr>
          <w:rFonts w:ascii="Times New Roman" w:hAnsi="Times New Roman" w:cs="Times New Roman"/>
          <w:sz w:val="24"/>
          <w:szCs w:val="24"/>
        </w:rPr>
        <w:t>., (2009) exogenously applied proline and betaine to BY-2 tobacco cells exposed to high salinity and although cell death levels were unaffected, they found that ROS accumulation and lipid peroxidation of cell membrane</w:t>
      </w:r>
      <w:r>
        <w:rPr>
          <w:rFonts w:ascii="Times New Roman" w:hAnsi="Times New Roman" w:cs="Times New Roman"/>
          <w:sz w:val="24"/>
          <w:szCs w:val="24"/>
        </w:rPr>
        <w:t>s was reduced. R</w:t>
      </w:r>
      <w:r w:rsidRPr="00451B44">
        <w:rPr>
          <w:rFonts w:ascii="Times New Roman" w:hAnsi="Times New Roman" w:cs="Times New Roman"/>
          <w:sz w:val="24"/>
          <w:szCs w:val="24"/>
        </w:rPr>
        <w:t xml:space="preserve">esearch </w:t>
      </w:r>
      <w:r>
        <w:rPr>
          <w:rFonts w:ascii="Times New Roman" w:hAnsi="Times New Roman" w:cs="Times New Roman"/>
          <w:sz w:val="24"/>
          <w:szCs w:val="24"/>
        </w:rPr>
        <w:t xml:space="preserve">by </w:t>
      </w:r>
      <w:r w:rsidRPr="00F55405">
        <w:rPr>
          <w:rFonts w:ascii="Times New Roman" w:hAnsi="Times New Roman" w:cs="Times New Roman"/>
          <w:i/>
          <w:iCs/>
          <w:sz w:val="24"/>
          <w:szCs w:val="24"/>
        </w:rPr>
        <w:t>Ling et al.,</w:t>
      </w:r>
      <w:r>
        <w:rPr>
          <w:rFonts w:ascii="Times New Roman" w:hAnsi="Times New Roman" w:cs="Times New Roman"/>
          <w:sz w:val="24"/>
          <w:szCs w:val="24"/>
        </w:rPr>
        <w:t xml:space="preserve"> (2009) </w:t>
      </w:r>
      <w:r w:rsidRPr="00451B44">
        <w:rPr>
          <w:rFonts w:ascii="Times New Roman" w:hAnsi="Times New Roman" w:cs="Times New Roman"/>
          <w:sz w:val="24"/>
          <w:szCs w:val="24"/>
        </w:rPr>
        <w:t xml:space="preserve">suggests that carbon monoxide (CO) may be involved in plant tolerance against salinity stress. </w:t>
      </w:r>
      <w:r>
        <w:rPr>
          <w:rFonts w:ascii="Times New Roman" w:hAnsi="Times New Roman" w:cs="Times New Roman"/>
          <w:sz w:val="24"/>
          <w:szCs w:val="24"/>
        </w:rPr>
        <w:t>They</w:t>
      </w:r>
      <w:r w:rsidRPr="00451B44">
        <w:rPr>
          <w:rFonts w:ascii="Times New Roman" w:hAnsi="Times New Roman" w:cs="Times New Roman"/>
          <w:sz w:val="24"/>
          <w:szCs w:val="24"/>
        </w:rPr>
        <w:t xml:space="preserve"> used wheat</w:t>
      </w:r>
      <w:r>
        <w:rPr>
          <w:rFonts w:ascii="Times New Roman" w:hAnsi="Times New Roman" w:cs="Times New Roman"/>
          <w:sz w:val="24"/>
          <w:szCs w:val="24"/>
        </w:rPr>
        <w:t xml:space="preserve"> seedling roots to examine the e</w:t>
      </w:r>
      <w:r w:rsidRPr="00451B44">
        <w:rPr>
          <w:rFonts w:ascii="Times New Roman" w:hAnsi="Times New Roman" w:cs="Times New Roman"/>
          <w:sz w:val="24"/>
          <w:szCs w:val="24"/>
        </w:rPr>
        <w:t>ffects of endogenously synthesi</w:t>
      </w:r>
      <w:r>
        <w:rPr>
          <w:rFonts w:ascii="Times New Roman" w:hAnsi="Times New Roman" w:cs="Times New Roman"/>
          <w:sz w:val="24"/>
          <w:szCs w:val="24"/>
        </w:rPr>
        <w:t>z</w:t>
      </w:r>
      <w:r w:rsidRPr="00451B44">
        <w:rPr>
          <w:rFonts w:ascii="Times New Roman" w:hAnsi="Times New Roman" w:cs="Times New Roman"/>
          <w:sz w:val="24"/>
          <w:szCs w:val="24"/>
        </w:rPr>
        <w:t>ed and exogenously applied CO on salt tole</w:t>
      </w:r>
      <w:r>
        <w:rPr>
          <w:rFonts w:ascii="Times New Roman" w:hAnsi="Times New Roman" w:cs="Times New Roman"/>
          <w:sz w:val="24"/>
          <w:szCs w:val="24"/>
        </w:rPr>
        <w:t xml:space="preserve">rance. They </w:t>
      </w:r>
      <w:r w:rsidRPr="00451B44">
        <w:rPr>
          <w:rFonts w:ascii="Times New Roman" w:hAnsi="Times New Roman" w:cs="Times New Roman"/>
          <w:sz w:val="24"/>
          <w:szCs w:val="24"/>
        </w:rPr>
        <w:t>showed that</w:t>
      </w:r>
      <w:r>
        <w:rPr>
          <w:rFonts w:ascii="Times New Roman" w:hAnsi="Times New Roman" w:cs="Times New Roman"/>
          <w:sz w:val="24"/>
          <w:szCs w:val="24"/>
        </w:rPr>
        <w:t>,</w:t>
      </w:r>
      <w:r w:rsidRPr="00451B44">
        <w:rPr>
          <w:rFonts w:ascii="Times New Roman" w:hAnsi="Times New Roman" w:cs="Times New Roman"/>
          <w:sz w:val="24"/>
          <w:szCs w:val="24"/>
        </w:rPr>
        <w:t xml:space="preserve"> when salt stressed, wheat primary root tips dose-dependently synthesi</w:t>
      </w:r>
      <w:r>
        <w:rPr>
          <w:rFonts w:ascii="Times New Roman" w:hAnsi="Times New Roman" w:cs="Times New Roman"/>
          <w:sz w:val="24"/>
          <w:szCs w:val="24"/>
        </w:rPr>
        <w:t>z</w:t>
      </w:r>
      <w:r w:rsidRPr="00451B44">
        <w:rPr>
          <w:rFonts w:ascii="Times New Roman" w:hAnsi="Times New Roman" w:cs="Times New Roman"/>
          <w:sz w:val="24"/>
          <w:szCs w:val="24"/>
        </w:rPr>
        <w:t>e CO (which is then catalyzed by heme</w:t>
      </w:r>
      <w:r>
        <w:rPr>
          <w:rFonts w:ascii="Times New Roman" w:hAnsi="Times New Roman" w:cs="Times New Roman"/>
          <w:sz w:val="24"/>
          <w:szCs w:val="24"/>
        </w:rPr>
        <w:t xml:space="preserve"> oxygenase (HO)) and display</w:t>
      </w:r>
      <w:r w:rsidRPr="00451B44">
        <w:rPr>
          <w:rFonts w:ascii="Times New Roman" w:hAnsi="Times New Roman" w:cs="Times New Roman"/>
          <w:sz w:val="24"/>
          <w:szCs w:val="24"/>
        </w:rPr>
        <w:t xml:space="preserve"> inhibition of primary root growth and PCD. Additionally, they showed that root tip cell PCD increased in a dose-dependent manner and CO was released in significant amounts but only at the lower 100-200 </w:t>
      </w:r>
      <w:r>
        <w:rPr>
          <w:rFonts w:ascii="Times New Roman" w:hAnsi="Times New Roman" w:cs="Times New Roman"/>
          <w:sz w:val="24"/>
          <w:szCs w:val="24"/>
        </w:rPr>
        <w:t>m</w:t>
      </w:r>
      <w:r w:rsidRPr="00451B44">
        <w:rPr>
          <w:rFonts w:ascii="Times New Roman" w:hAnsi="Times New Roman" w:cs="Times New Roman"/>
          <w:sz w:val="24"/>
          <w:szCs w:val="24"/>
        </w:rPr>
        <w:t xml:space="preserve">M salt concentrations. Furthermore, they found that HO was able to delay PCD in those root cap cells exposed to 200 mM NaCl suggesting that CO may be involved in plant tolerance against salinity stress. Previous research by Tiwari </w:t>
      </w:r>
      <w:r w:rsidRPr="00451B44">
        <w:rPr>
          <w:rFonts w:ascii="Times New Roman" w:hAnsi="Times New Roman" w:cs="Times New Roman"/>
          <w:i/>
          <w:iCs/>
          <w:sz w:val="24"/>
          <w:szCs w:val="24"/>
        </w:rPr>
        <w:t xml:space="preserve">et al., </w:t>
      </w:r>
      <w:r>
        <w:rPr>
          <w:rFonts w:ascii="Times New Roman" w:hAnsi="Times New Roman" w:cs="Times New Roman"/>
          <w:sz w:val="24"/>
          <w:szCs w:val="24"/>
        </w:rPr>
        <w:t>(2002)</w:t>
      </w:r>
      <w:r w:rsidRPr="00451B44">
        <w:rPr>
          <w:rFonts w:ascii="Times New Roman" w:hAnsi="Times New Roman" w:cs="Times New Roman"/>
          <w:sz w:val="24"/>
          <w:szCs w:val="24"/>
        </w:rPr>
        <w:t xml:space="preserve"> suggested that a brief or continuous oxidative stress in </w:t>
      </w:r>
      <w:r w:rsidRPr="00451B44">
        <w:rPr>
          <w:rFonts w:ascii="Times New Roman" w:hAnsi="Times New Roman" w:cs="Times New Roman"/>
          <w:i/>
          <w:iCs/>
          <w:sz w:val="24"/>
          <w:szCs w:val="24"/>
        </w:rPr>
        <w:t>Arabidopsis</w:t>
      </w:r>
      <w:r w:rsidRPr="00451B44">
        <w:rPr>
          <w:rFonts w:ascii="Times New Roman" w:hAnsi="Times New Roman" w:cs="Times New Roman"/>
          <w:sz w:val="24"/>
          <w:szCs w:val="24"/>
        </w:rPr>
        <w:t xml:space="preserve"> cells decreased ATP production in the mitochondria and caused an increase in H</w:t>
      </w:r>
      <w:r w:rsidRPr="00451B44">
        <w:rPr>
          <w:rFonts w:ascii="Times New Roman" w:hAnsi="Times New Roman" w:cs="Times New Roman"/>
          <w:sz w:val="24"/>
          <w:szCs w:val="24"/>
          <w:vertAlign w:val="subscript"/>
        </w:rPr>
        <w:t>2</w:t>
      </w:r>
      <w:r w:rsidRPr="00451B44">
        <w:rPr>
          <w:rFonts w:ascii="Times New Roman" w:hAnsi="Times New Roman" w:cs="Times New Roman"/>
          <w:sz w:val="24"/>
          <w:szCs w:val="24"/>
        </w:rPr>
        <w:t>O</w:t>
      </w:r>
      <w:r w:rsidRPr="00451B44">
        <w:rPr>
          <w:rFonts w:ascii="Times New Roman" w:hAnsi="Times New Roman" w:cs="Times New Roman"/>
          <w:sz w:val="24"/>
          <w:szCs w:val="24"/>
          <w:vertAlign w:val="subscript"/>
        </w:rPr>
        <w:t>2</w:t>
      </w:r>
      <w:r w:rsidRPr="00451B44">
        <w:rPr>
          <w:rFonts w:ascii="Times New Roman" w:hAnsi="Times New Roman" w:cs="Times New Roman"/>
          <w:sz w:val="24"/>
          <w:szCs w:val="24"/>
        </w:rPr>
        <w:t xml:space="preserve"> production and subsequent cell death. Chen </w:t>
      </w:r>
      <w:r w:rsidRPr="00451B44">
        <w:rPr>
          <w:rFonts w:ascii="Times New Roman" w:hAnsi="Times New Roman" w:cs="Times New Roman"/>
          <w:i/>
          <w:iCs/>
          <w:sz w:val="24"/>
          <w:szCs w:val="24"/>
        </w:rPr>
        <w:t>et al.,</w:t>
      </w:r>
      <w:r w:rsidRPr="00451B44">
        <w:rPr>
          <w:rFonts w:ascii="Times New Roman" w:hAnsi="Times New Roman" w:cs="Times New Roman"/>
          <w:sz w:val="24"/>
          <w:szCs w:val="24"/>
        </w:rPr>
        <w:t xml:space="preserve"> (2009) examined changes in the mitochondria during PCD induction u</w:t>
      </w:r>
      <w:r>
        <w:rPr>
          <w:rFonts w:ascii="Times New Roman" w:hAnsi="Times New Roman" w:cs="Times New Roman"/>
          <w:sz w:val="24"/>
          <w:szCs w:val="24"/>
        </w:rPr>
        <w:t>sing salt-stress and found that</w:t>
      </w:r>
      <w:r w:rsidRPr="00451B44">
        <w:rPr>
          <w:rFonts w:ascii="Times New Roman" w:hAnsi="Times New Roman" w:cs="Times New Roman"/>
          <w:sz w:val="24"/>
          <w:szCs w:val="24"/>
        </w:rPr>
        <w:t xml:space="preserve"> 2 hours after exposure, mitochondrial integrity was compromised and a small amount of cyt </w:t>
      </w:r>
      <w:r w:rsidRPr="00451B44">
        <w:rPr>
          <w:rFonts w:ascii="Times New Roman" w:hAnsi="Times New Roman" w:cs="Times New Roman"/>
          <w:i/>
          <w:iCs/>
          <w:sz w:val="24"/>
          <w:szCs w:val="24"/>
        </w:rPr>
        <w:t>c</w:t>
      </w:r>
      <w:r w:rsidRPr="00451B44">
        <w:rPr>
          <w:rFonts w:ascii="Times New Roman" w:hAnsi="Times New Roman" w:cs="Times New Roman"/>
          <w:sz w:val="24"/>
          <w:szCs w:val="24"/>
        </w:rPr>
        <w:t xml:space="preserve"> was released. Analyses of the mitochondrial proteome identified 8 PCD related proteins. Upon examination of the upregulated proteins, a mitochondrial heat shock protein emerged as a potential candidate for PCD regulation while two of the four down-regulated proteins were </w:t>
      </w:r>
      <w:r w:rsidRPr="00F744F3">
        <w:rPr>
          <w:rFonts w:ascii="Times New Roman" w:hAnsi="Times New Roman" w:cs="Times New Roman"/>
          <w:sz w:val="24"/>
          <w:szCs w:val="24"/>
        </w:rPr>
        <w:t xml:space="preserve">cyt </w:t>
      </w:r>
      <w:r w:rsidRPr="00C64D1B">
        <w:rPr>
          <w:rFonts w:ascii="Times New Roman" w:hAnsi="Times New Roman" w:cs="Times New Roman"/>
          <w:i/>
          <w:iCs/>
          <w:sz w:val="24"/>
          <w:szCs w:val="24"/>
        </w:rPr>
        <w:t>c</w:t>
      </w:r>
      <w:r w:rsidRPr="00451B44">
        <w:rPr>
          <w:rFonts w:ascii="Times New Roman" w:hAnsi="Times New Roman" w:cs="Times New Roman"/>
          <w:sz w:val="24"/>
          <w:szCs w:val="24"/>
        </w:rPr>
        <w:t xml:space="preserve"> oxidase subunit 6b and ATP synthase beta subunit. </w:t>
      </w:r>
    </w:p>
    <w:p w:rsidR="004B4E5E" w:rsidRDefault="004B4E5E" w:rsidP="002B4B8D">
      <w:pPr>
        <w:autoSpaceDE w:val="0"/>
        <w:autoSpaceDN w:val="0"/>
        <w:adjustRightInd w:val="0"/>
        <w:spacing w:after="0" w:line="480" w:lineRule="auto"/>
        <w:rPr>
          <w:rFonts w:ascii="Times New Roman" w:hAnsi="Times New Roman" w:cs="Times New Roman"/>
          <w:sz w:val="24"/>
          <w:szCs w:val="24"/>
        </w:rPr>
      </w:pPr>
    </w:p>
    <w:p w:rsidR="004B4E5E" w:rsidRPr="00451B44" w:rsidRDefault="004B4E5E" w:rsidP="002B4B8D">
      <w:pPr>
        <w:autoSpaceDE w:val="0"/>
        <w:autoSpaceDN w:val="0"/>
        <w:adjustRightInd w:val="0"/>
        <w:spacing w:after="0" w:line="480" w:lineRule="auto"/>
        <w:rPr>
          <w:rFonts w:ascii="Times New Roman" w:hAnsi="Times New Roman" w:cs="Times New Roman"/>
          <w:sz w:val="24"/>
          <w:szCs w:val="24"/>
        </w:rPr>
      </w:pPr>
      <w:r w:rsidRPr="00451B44">
        <w:rPr>
          <w:rFonts w:ascii="Times New Roman" w:hAnsi="Times New Roman" w:cs="Times New Roman"/>
          <w:sz w:val="24"/>
          <w:szCs w:val="24"/>
        </w:rPr>
        <w:t xml:space="preserve">Drought is one of the more common abiotic stresses encountered by plants. As the root is the primary organ the plant uses to regulate water uptake, it is not surprising that root tissue is the first to experience water deficit. It has long been established that drought can induce PCD in plant cells and the first cells to die are root cells. Jupp and Newman (1987) recognised death in the root tips of </w:t>
      </w:r>
      <w:r w:rsidRPr="00451B44">
        <w:rPr>
          <w:rFonts w:ascii="Times New Roman" w:hAnsi="Times New Roman" w:cs="Times New Roman"/>
          <w:i/>
          <w:iCs/>
          <w:sz w:val="24"/>
          <w:szCs w:val="24"/>
        </w:rPr>
        <w:t>Lolium perenne</w:t>
      </w:r>
      <w:r>
        <w:rPr>
          <w:rFonts w:ascii="Times New Roman" w:hAnsi="Times New Roman" w:cs="Times New Roman"/>
          <w:sz w:val="24"/>
          <w:szCs w:val="24"/>
        </w:rPr>
        <w:t xml:space="preserve"> (perennial r</w:t>
      </w:r>
      <w:r w:rsidRPr="00451B44">
        <w:rPr>
          <w:rFonts w:ascii="Times New Roman" w:hAnsi="Times New Roman" w:cs="Times New Roman"/>
          <w:sz w:val="24"/>
          <w:szCs w:val="24"/>
        </w:rPr>
        <w:t>yegrass) as PCD induced by drought.</w:t>
      </w:r>
      <w:r w:rsidRPr="00451B44">
        <w:rPr>
          <w:rFonts w:ascii="Times New Roman" w:hAnsi="Times New Roman" w:cs="Times New Roman"/>
          <w:b/>
          <w:bCs/>
          <w:sz w:val="24"/>
          <w:szCs w:val="24"/>
        </w:rPr>
        <w:t xml:space="preserve"> </w:t>
      </w:r>
      <w:r w:rsidRPr="00451B44">
        <w:rPr>
          <w:rFonts w:ascii="Times New Roman" w:hAnsi="Times New Roman" w:cs="Times New Roman"/>
          <w:sz w:val="24"/>
          <w:szCs w:val="24"/>
        </w:rPr>
        <w:t>As rainfall is so unpredictable, root death due to water shortages is recognised widely in many agricultural crops and often older roots die by PCD, driving the growth of new roots which will expand to exploit different patches of damp soil (Goss and Watson, 2003). Often, these new lateral and adventitious roots are more tolerant to drought conditions (Duan</w:t>
      </w:r>
      <w:r w:rsidRPr="00451B44">
        <w:rPr>
          <w:rFonts w:ascii="Times New Roman" w:hAnsi="Times New Roman" w:cs="Times New Roman"/>
          <w:i/>
          <w:iCs/>
          <w:sz w:val="24"/>
          <w:szCs w:val="24"/>
        </w:rPr>
        <w:t xml:space="preserve"> et al.</w:t>
      </w:r>
      <w:r w:rsidRPr="00451B44">
        <w:rPr>
          <w:rFonts w:ascii="Times New Roman" w:hAnsi="Times New Roman" w:cs="Times New Roman"/>
          <w:sz w:val="24"/>
          <w:szCs w:val="24"/>
        </w:rPr>
        <w:t xml:space="preserve">, 2010). Despite the importance of the effect of drought stress on plant roots, the influences exerted on PCD induction pathways are poorly elucidated. One study which aimed to clarify the processes involved in this type of death was carried out by Duan </w:t>
      </w:r>
      <w:r w:rsidRPr="00451B44">
        <w:rPr>
          <w:rFonts w:ascii="Times New Roman" w:hAnsi="Times New Roman" w:cs="Times New Roman"/>
          <w:i/>
          <w:iCs/>
          <w:sz w:val="24"/>
          <w:szCs w:val="24"/>
        </w:rPr>
        <w:t>et al.,</w:t>
      </w:r>
      <w:r w:rsidRPr="00451B44">
        <w:rPr>
          <w:rFonts w:ascii="Times New Roman" w:hAnsi="Times New Roman" w:cs="Times New Roman"/>
          <w:sz w:val="24"/>
          <w:szCs w:val="24"/>
        </w:rPr>
        <w:t xml:space="preserve"> (2010). They found that the root apical meristems cells were the first cells to die by an autophagic type PCD characterised by highly vacuolated cells and degradation of the cell organelles. The team also detected a significant accumulation of ROS in the root tip cells and BAX inhibitor-1 (AtBI1) expression in the endoplasmic reticulum (ER) increased. Previously, AtBI1 has been shown to play a pivotal role in ER stress-mediated cell death (Watanabe and Lam, 2008). When Duan </w:t>
      </w:r>
      <w:r w:rsidRPr="00451B44">
        <w:rPr>
          <w:rFonts w:ascii="Times New Roman" w:hAnsi="Times New Roman" w:cs="Times New Roman"/>
          <w:i/>
          <w:iCs/>
          <w:sz w:val="24"/>
          <w:szCs w:val="24"/>
        </w:rPr>
        <w:t>et al.,</w:t>
      </w:r>
      <w:r w:rsidRPr="00451B44">
        <w:rPr>
          <w:rFonts w:ascii="Times New Roman" w:hAnsi="Times New Roman" w:cs="Times New Roman"/>
          <w:sz w:val="24"/>
          <w:szCs w:val="24"/>
        </w:rPr>
        <w:t xml:space="preserve"> (2010) examined the AtBI1 mutant, they found that death was accelerated, suggesting that the ER stress response pathway may also influence drought-induced PCD.</w:t>
      </w:r>
    </w:p>
    <w:p w:rsidR="004B4E5E" w:rsidRPr="00451B44" w:rsidRDefault="004B4E5E" w:rsidP="002B4B8D">
      <w:pPr>
        <w:autoSpaceDE w:val="0"/>
        <w:autoSpaceDN w:val="0"/>
        <w:adjustRightInd w:val="0"/>
        <w:spacing w:after="0" w:line="480" w:lineRule="auto"/>
        <w:rPr>
          <w:rFonts w:ascii="Times New Roman" w:hAnsi="Times New Roman" w:cs="Times New Roman"/>
          <w:b/>
          <w:bCs/>
          <w:sz w:val="24"/>
          <w:szCs w:val="24"/>
        </w:rPr>
      </w:pPr>
    </w:p>
    <w:p w:rsidR="004B4E5E" w:rsidRPr="00993866" w:rsidRDefault="004B4E5E" w:rsidP="00035E18">
      <w:pPr>
        <w:pStyle w:val="ListParagraph"/>
        <w:numPr>
          <w:ilvl w:val="1"/>
          <w:numId w:val="29"/>
        </w:numPr>
        <w:autoSpaceDE w:val="0"/>
        <w:autoSpaceDN w:val="0"/>
        <w:adjustRightInd w:val="0"/>
        <w:spacing w:after="0" w:line="480" w:lineRule="auto"/>
        <w:ind w:hanging="88"/>
        <w:rPr>
          <w:rFonts w:ascii="Times New Roman" w:hAnsi="Times New Roman" w:cs="Times New Roman"/>
          <w:b/>
          <w:bCs/>
          <w:sz w:val="24"/>
          <w:szCs w:val="24"/>
        </w:rPr>
      </w:pPr>
      <w:r w:rsidRPr="00993866">
        <w:rPr>
          <w:rFonts w:ascii="Times New Roman" w:hAnsi="Times New Roman" w:cs="Times New Roman"/>
          <w:b/>
          <w:bCs/>
          <w:sz w:val="24"/>
          <w:szCs w:val="24"/>
        </w:rPr>
        <w:t>Temperature stress</w:t>
      </w:r>
    </w:p>
    <w:p w:rsidR="004B4E5E" w:rsidRPr="00451B44" w:rsidRDefault="004B4E5E" w:rsidP="002B4B8D">
      <w:pPr>
        <w:autoSpaceDE w:val="0"/>
        <w:autoSpaceDN w:val="0"/>
        <w:adjustRightInd w:val="0"/>
        <w:spacing w:after="0" w:line="480" w:lineRule="auto"/>
        <w:rPr>
          <w:rFonts w:ascii="Times New Roman" w:hAnsi="Times New Roman" w:cs="Times New Roman"/>
          <w:sz w:val="24"/>
          <w:szCs w:val="24"/>
        </w:rPr>
      </w:pPr>
      <w:r w:rsidRPr="00451B44">
        <w:rPr>
          <w:rFonts w:ascii="Times New Roman" w:hAnsi="Times New Roman" w:cs="Times New Roman"/>
          <w:sz w:val="24"/>
          <w:szCs w:val="24"/>
        </w:rPr>
        <w:t>Fluctuations in temperature have a number of deleterious effects on the plant cell that lead to PCD activation in a variety of way</w:t>
      </w:r>
      <w:r>
        <w:rPr>
          <w:rFonts w:ascii="Times New Roman" w:hAnsi="Times New Roman" w:cs="Times New Roman"/>
          <w:sz w:val="24"/>
          <w:szCs w:val="24"/>
        </w:rPr>
        <w:t>s and</w:t>
      </w:r>
      <w:r w:rsidRPr="00451B44">
        <w:rPr>
          <w:rFonts w:ascii="Times New Roman" w:hAnsi="Times New Roman" w:cs="Times New Roman"/>
          <w:sz w:val="24"/>
          <w:szCs w:val="24"/>
        </w:rPr>
        <w:t xml:space="preserve"> therefore could</w:t>
      </w:r>
      <w:r>
        <w:rPr>
          <w:rFonts w:ascii="Times New Roman" w:hAnsi="Times New Roman" w:cs="Times New Roman"/>
          <w:sz w:val="24"/>
          <w:szCs w:val="24"/>
        </w:rPr>
        <w:t xml:space="preserve"> have multiple influences on</w:t>
      </w:r>
      <w:r w:rsidRPr="00451B44">
        <w:rPr>
          <w:rFonts w:ascii="Times New Roman" w:hAnsi="Times New Roman" w:cs="Times New Roman"/>
          <w:sz w:val="24"/>
          <w:szCs w:val="24"/>
        </w:rPr>
        <w:t xml:space="preserve"> pathways that initiate and control PCD. For instance, cold stress slows down enzymatic activity and membrane fluidity, destabilises protein complexes, promotes a build up of ROS in the cell and can cause leakages across membranes (Ruelland</w:t>
      </w:r>
      <w:r w:rsidRPr="00451B44">
        <w:rPr>
          <w:rFonts w:ascii="Times New Roman" w:hAnsi="Times New Roman" w:cs="Times New Roman"/>
          <w:i/>
          <w:iCs/>
          <w:sz w:val="24"/>
          <w:szCs w:val="24"/>
        </w:rPr>
        <w:t xml:space="preserve"> et al.</w:t>
      </w:r>
      <w:r w:rsidRPr="00451B44">
        <w:rPr>
          <w:rFonts w:ascii="Times New Roman" w:hAnsi="Times New Roman" w:cs="Times New Roman"/>
          <w:sz w:val="24"/>
          <w:szCs w:val="24"/>
        </w:rPr>
        <w:t>, 2009). Conversely, heat stress affects metabolic activity, alters protein folding, destabilises the cell cytoskeleton affecting membrane fluidity and impairs enzyme function via protein denaturation. Once the plant detects an increase in temperature, (reviewed by Ruelland and Zachowski</w:t>
      </w:r>
      <w:r>
        <w:rPr>
          <w:rFonts w:ascii="Times New Roman" w:hAnsi="Times New Roman" w:cs="Times New Roman"/>
          <w:sz w:val="24"/>
          <w:szCs w:val="24"/>
        </w:rPr>
        <w:t>,</w:t>
      </w:r>
      <w:r w:rsidRPr="00451B44">
        <w:rPr>
          <w:rFonts w:ascii="Times New Roman" w:hAnsi="Times New Roman" w:cs="Times New Roman"/>
          <w:sz w:val="24"/>
          <w:szCs w:val="24"/>
        </w:rPr>
        <w:t xml:space="preserve"> </w:t>
      </w:r>
      <w:r>
        <w:rPr>
          <w:rFonts w:ascii="Times New Roman" w:hAnsi="Times New Roman" w:cs="Times New Roman"/>
          <w:sz w:val="24"/>
          <w:szCs w:val="24"/>
        </w:rPr>
        <w:t>2010)</w:t>
      </w:r>
      <w:r w:rsidRPr="00451B44">
        <w:rPr>
          <w:rFonts w:ascii="Times New Roman" w:hAnsi="Times New Roman" w:cs="Times New Roman"/>
          <w:sz w:val="24"/>
          <w:szCs w:val="24"/>
        </w:rPr>
        <w:t xml:space="preserve">, an array of response mechanisms are initiated. Amongst those are the activation </w:t>
      </w:r>
      <w:r>
        <w:rPr>
          <w:rFonts w:ascii="Times New Roman" w:hAnsi="Times New Roman" w:cs="Times New Roman"/>
          <w:sz w:val="24"/>
          <w:szCs w:val="24"/>
        </w:rPr>
        <w:t xml:space="preserve">of heat shock proteins (HSPs), </w:t>
      </w:r>
      <w:r w:rsidRPr="00451B44">
        <w:rPr>
          <w:rFonts w:ascii="Times New Roman" w:hAnsi="Times New Roman" w:cs="Times New Roman"/>
          <w:sz w:val="24"/>
          <w:szCs w:val="24"/>
        </w:rPr>
        <w:t xml:space="preserve">release of cyt </w:t>
      </w:r>
      <w:r w:rsidRPr="00451B44">
        <w:rPr>
          <w:rFonts w:ascii="Times New Roman" w:hAnsi="Times New Roman" w:cs="Times New Roman"/>
          <w:i/>
          <w:iCs/>
          <w:sz w:val="24"/>
          <w:szCs w:val="24"/>
        </w:rPr>
        <w:t>c</w:t>
      </w:r>
      <w:r w:rsidRPr="00451B44">
        <w:rPr>
          <w:rFonts w:ascii="Times New Roman" w:hAnsi="Times New Roman" w:cs="Times New Roman"/>
          <w:sz w:val="24"/>
          <w:szCs w:val="24"/>
        </w:rPr>
        <w:t xml:space="preserve"> and it is proposed that the level of internal ceramide also increases </w:t>
      </w:r>
      <w:r>
        <w:rPr>
          <w:rFonts w:ascii="Times New Roman" w:hAnsi="Times New Roman" w:cs="Times New Roman"/>
          <w:sz w:val="24"/>
          <w:szCs w:val="24"/>
        </w:rPr>
        <w:t>(Balk</w:t>
      </w:r>
      <w:r w:rsidRPr="00A43B68">
        <w:rPr>
          <w:rFonts w:ascii="Times New Roman" w:hAnsi="Times New Roman" w:cs="Times New Roman"/>
          <w:i/>
          <w:iCs/>
          <w:sz w:val="24"/>
          <w:szCs w:val="24"/>
        </w:rPr>
        <w:t xml:space="preserve"> et al.</w:t>
      </w:r>
      <w:r>
        <w:rPr>
          <w:rFonts w:ascii="Times New Roman" w:hAnsi="Times New Roman" w:cs="Times New Roman"/>
          <w:sz w:val="24"/>
          <w:szCs w:val="24"/>
        </w:rPr>
        <w:t>, 1999, Ruelland and Zachowski, 2010, Takabe</w:t>
      </w:r>
      <w:r w:rsidRPr="00A43B68">
        <w:rPr>
          <w:rFonts w:ascii="Times New Roman" w:hAnsi="Times New Roman" w:cs="Times New Roman"/>
          <w:i/>
          <w:iCs/>
          <w:sz w:val="24"/>
          <w:szCs w:val="24"/>
        </w:rPr>
        <w:t xml:space="preserve"> et al.</w:t>
      </w:r>
      <w:r>
        <w:rPr>
          <w:rFonts w:ascii="Times New Roman" w:hAnsi="Times New Roman" w:cs="Times New Roman"/>
          <w:sz w:val="24"/>
          <w:szCs w:val="24"/>
        </w:rPr>
        <w:t>, 2008)</w:t>
      </w:r>
      <w:r w:rsidRPr="00451B44">
        <w:rPr>
          <w:rFonts w:ascii="Times New Roman" w:hAnsi="Times New Roman" w:cs="Times New Roman"/>
          <w:sz w:val="24"/>
          <w:szCs w:val="24"/>
        </w:rPr>
        <w:t xml:space="preserve">. </w:t>
      </w:r>
    </w:p>
    <w:p w:rsidR="004B4E5E" w:rsidRDefault="004B4E5E" w:rsidP="002B4B8D">
      <w:pPr>
        <w:autoSpaceDE w:val="0"/>
        <w:autoSpaceDN w:val="0"/>
        <w:adjustRightInd w:val="0"/>
        <w:spacing w:after="0" w:line="480" w:lineRule="auto"/>
        <w:rPr>
          <w:rFonts w:ascii="Times New Roman" w:hAnsi="Times New Roman" w:cs="Times New Roman"/>
          <w:sz w:val="24"/>
          <w:szCs w:val="24"/>
        </w:rPr>
      </w:pPr>
    </w:p>
    <w:p w:rsidR="004B4E5E" w:rsidRPr="00451B44" w:rsidRDefault="004B4E5E" w:rsidP="002B4B8D">
      <w:pPr>
        <w:autoSpaceDE w:val="0"/>
        <w:autoSpaceDN w:val="0"/>
        <w:adjustRightInd w:val="0"/>
        <w:spacing w:after="0" w:line="480" w:lineRule="auto"/>
        <w:rPr>
          <w:rFonts w:ascii="Times New Roman" w:hAnsi="Times New Roman" w:cs="Times New Roman"/>
          <w:sz w:val="24"/>
          <w:szCs w:val="24"/>
        </w:rPr>
      </w:pPr>
      <w:r w:rsidRPr="00451B44">
        <w:rPr>
          <w:rFonts w:ascii="Times New Roman" w:hAnsi="Times New Roman" w:cs="Times New Roman"/>
          <w:sz w:val="24"/>
          <w:szCs w:val="24"/>
        </w:rPr>
        <w:t>To facilitate plant growth in hot climates, plants have adopted a variety of mechanisms which allow them to develop a tolerance to temperature fluctuations. For instance, at a cellular level, mitogen-activated protein kinase (MAPK) and calcium-dependent protein kinase (CDPK) cascades are induced which then initiate the production of ROS scavengers and antioxidants. In addition, some species accumulate osmoprotectants in their tissues and utilise cellular chaperones such as heat shock proteins (Wahid</w:t>
      </w:r>
      <w:r w:rsidRPr="00451B44">
        <w:rPr>
          <w:rFonts w:ascii="Times New Roman" w:hAnsi="Times New Roman" w:cs="Times New Roman"/>
          <w:i/>
          <w:iCs/>
          <w:sz w:val="24"/>
          <w:szCs w:val="24"/>
        </w:rPr>
        <w:t xml:space="preserve"> et al.</w:t>
      </w:r>
      <w:r w:rsidRPr="00451B44">
        <w:rPr>
          <w:rFonts w:ascii="Times New Roman" w:hAnsi="Times New Roman" w:cs="Times New Roman"/>
          <w:sz w:val="24"/>
          <w:szCs w:val="24"/>
        </w:rPr>
        <w:t>, 2007)</w:t>
      </w:r>
      <w:r>
        <w:rPr>
          <w:rFonts w:ascii="Times New Roman" w:hAnsi="Times New Roman" w:cs="Times New Roman"/>
          <w:sz w:val="24"/>
          <w:szCs w:val="24"/>
        </w:rPr>
        <w:t xml:space="preserve">. </w:t>
      </w:r>
      <w:r w:rsidRPr="00451B44">
        <w:rPr>
          <w:rFonts w:ascii="Times New Roman" w:hAnsi="Times New Roman" w:cs="Times New Roman"/>
          <w:sz w:val="24"/>
          <w:szCs w:val="24"/>
        </w:rPr>
        <w:t xml:space="preserve">Koukalova </w:t>
      </w:r>
      <w:r w:rsidRPr="00451B44">
        <w:rPr>
          <w:rFonts w:ascii="Times New Roman" w:hAnsi="Times New Roman" w:cs="Times New Roman"/>
          <w:i/>
          <w:iCs/>
          <w:sz w:val="24"/>
          <w:szCs w:val="24"/>
        </w:rPr>
        <w:t xml:space="preserve">et al., </w:t>
      </w:r>
      <w:r w:rsidRPr="00451B44">
        <w:rPr>
          <w:rFonts w:ascii="Times New Roman" w:hAnsi="Times New Roman" w:cs="Times New Roman"/>
          <w:sz w:val="24"/>
          <w:szCs w:val="24"/>
        </w:rPr>
        <w:t xml:space="preserve">(1997) examined BY-2 tobacco cells exposed to cold stress of 5-6°C for a period of 5 weeks and found that DNA was first degraded into 50-100kb fragments after which late stage, internucleosomal cleavage occurred. Likewise, Ning et al., (2002) looked at PCD induced by cold treatment in maize root cells and highlighted features characteristic of PCD such as nuclear condensation and DNA fragmentation. </w:t>
      </w:r>
    </w:p>
    <w:p w:rsidR="004B4E5E" w:rsidRDefault="004B4E5E" w:rsidP="002B4B8D">
      <w:pPr>
        <w:autoSpaceDE w:val="0"/>
        <w:autoSpaceDN w:val="0"/>
        <w:adjustRightInd w:val="0"/>
        <w:spacing w:after="0" w:line="480" w:lineRule="auto"/>
        <w:rPr>
          <w:rFonts w:ascii="Times New Roman" w:hAnsi="Times New Roman" w:cs="Times New Roman"/>
          <w:sz w:val="24"/>
          <w:szCs w:val="24"/>
        </w:rPr>
      </w:pPr>
    </w:p>
    <w:p w:rsidR="004B4E5E" w:rsidRPr="00451B44" w:rsidRDefault="004B4E5E" w:rsidP="002B4B8D">
      <w:pPr>
        <w:autoSpaceDE w:val="0"/>
        <w:autoSpaceDN w:val="0"/>
        <w:adjustRightInd w:val="0"/>
        <w:spacing w:after="0" w:line="480" w:lineRule="auto"/>
        <w:rPr>
          <w:rFonts w:ascii="Times New Roman" w:hAnsi="Times New Roman" w:cs="Times New Roman"/>
          <w:sz w:val="24"/>
          <w:szCs w:val="24"/>
        </w:rPr>
      </w:pPr>
      <w:r w:rsidRPr="00451B44">
        <w:rPr>
          <w:rFonts w:ascii="Times New Roman" w:hAnsi="Times New Roman" w:cs="Times New Roman"/>
          <w:sz w:val="24"/>
          <w:szCs w:val="24"/>
        </w:rPr>
        <w:t xml:space="preserve">The heat-stress-induced PCD response (reviewed by Reape </w:t>
      </w:r>
      <w:r w:rsidRPr="00451B44">
        <w:rPr>
          <w:rFonts w:ascii="Times New Roman" w:hAnsi="Times New Roman" w:cs="Times New Roman"/>
          <w:i/>
          <w:iCs/>
          <w:sz w:val="24"/>
          <w:szCs w:val="24"/>
        </w:rPr>
        <w:t>et al.,</w:t>
      </w:r>
      <w:r w:rsidRPr="00451B44">
        <w:rPr>
          <w:rFonts w:ascii="Times New Roman" w:hAnsi="Times New Roman" w:cs="Times New Roman"/>
          <w:sz w:val="24"/>
          <w:szCs w:val="24"/>
        </w:rPr>
        <w:t xml:space="preserve"> </w:t>
      </w:r>
      <w:r>
        <w:rPr>
          <w:rFonts w:ascii="Times New Roman" w:hAnsi="Times New Roman" w:cs="Times New Roman"/>
          <w:sz w:val="24"/>
          <w:szCs w:val="24"/>
        </w:rPr>
        <w:t xml:space="preserve">2008) has emerged as a model system in order </w:t>
      </w:r>
      <w:r w:rsidRPr="00451B44">
        <w:rPr>
          <w:rFonts w:ascii="Times New Roman" w:hAnsi="Times New Roman" w:cs="Times New Roman"/>
          <w:sz w:val="24"/>
          <w:szCs w:val="24"/>
        </w:rPr>
        <w:t xml:space="preserve">to study plant PCD and has been used effectively in carrot </w:t>
      </w:r>
      <w:r w:rsidRPr="00451B44">
        <w:rPr>
          <w:rFonts w:ascii="Times New Roman" w:hAnsi="Times New Roman" w:cs="Times New Roman"/>
          <w:noProof/>
          <w:sz w:val="24"/>
          <w:szCs w:val="24"/>
        </w:rPr>
        <w:t>(McCabe</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1997a)</w:t>
      </w:r>
      <w:r w:rsidRPr="00451B44">
        <w:rPr>
          <w:rFonts w:ascii="Times New Roman" w:hAnsi="Times New Roman" w:cs="Times New Roman"/>
          <w:sz w:val="24"/>
          <w:szCs w:val="24"/>
        </w:rPr>
        <w:t xml:space="preserve">, </w:t>
      </w:r>
      <w:r w:rsidRPr="00451B44">
        <w:rPr>
          <w:rFonts w:ascii="Times New Roman" w:hAnsi="Times New Roman" w:cs="Times New Roman"/>
          <w:i/>
          <w:iCs/>
          <w:sz w:val="24"/>
          <w:szCs w:val="24"/>
        </w:rPr>
        <w:t>Arabidopsis</w:t>
      </w:r>
      <w:r w:rsidRPr="00451B44">
        <w:rPr>
          <w:rFonts w:ascii="Times New Roman" w:hAnsi="Times New Roman" w:cs="Times New Roman"/>
          <w:sz w:val="24"/>
          <w:szCs w:val="24"/>
        </w:rPr>
        <w:t xml:space="preserve"> (McCabe and Leaver, 2000), tobacco cells (Burbridge</w:t>
      </w:r>
      <w:r w:rsidRPr="00451B44">
        <w:rPr>
          <w:rFonts w:ascii="Times New Roman" w:hAnsi="Times New Roman" w:cs="Times New Roman"/>
          <w:i/>
          <w:iCs/>
          <w:sz w:val="24"/>
          <w:szCs w:val="24"/>
        </w:rPr>
        <w:t xml:space="preserve"> et al.</w:t>
      </w:r>
      <w:r w:rsidRPr="00451B44">
        <w:rPr>
          <w:rFonts w:ascii="Times New Roman" w:hAnsi="Times New Roman" w:cs="Times New Roman"/>
          <w:sz w:val="24"/>
          <w:szCs w:val="24"/>
        </w:rPr>
        <w:t xml:space="preserve">, 2006) and wheat leaves (Fan and Xing, 2004). Consequently, several potential players in the execution and/or regulation of PCD in response to </w:t>
      </w:r>
      <w:r>
        <w:rPr>
          <w:rFonts w:ascii="Times New Roman" w:hAnsi="Times New Roman" w:cs="Times New Roman"/>
          <w:sz w:val="24"/>
          <w:szCs w:val="24"/>
        </w:rPr>
        <w:t>heat treatment have emerged. On</w:t>
      </w:r>
      <w:r w:rsidRPr="00451B44">
        <w:rPr>
          <w:rFonts w:ascii="Times New Roman" w:hAnsi="Times New Roman" w:cs="Times New Roman"/>
          <w:sz w:val="24"/>
          <w:szCs w:val="24"/>
        </w:rPr>
        <w:t xml:space="preserve">e such PCD response is the release of </w:t>
      </w:r>
      <w:r w:rsidRPr="00F744F3">
        <w:rPr>
          <w:rFonts w:ascii="Times New Roman" w:hAnsi="Times New Roman" w:cs="Times New Roman"/>
          <w:sz w:val="24"/>
          <w:szCs w:val="24"/>
        </w:rPr>
        <w:t xml:space="preserve">cyt </w:t>
      </w:r>
      <w:r w:rsidRPr="00C64D1B">
        <w:rPr>
          <w:rFonts w:ascii="Times New Roman" w:hAnsi="Times New Roman" w:cs="Times New Roman"/>
          <w:i/>
          <w:iCs/>
          <w:sz w:val="24"/>
          <w:szCs w:val="24"/>
        </w:rPr>
        <w:t>c</w:t>
      </w:r>
      <w:r w:rsidRPr="00451B44">
        <w:rPr>
          <w:rFonts w:ascii="Times New Roman" w:hAnsi="Times New Roman" w:cs="Times New Roman"/>
          <w:sz w:val="24"/>
          <w:szCs w:val="24"/>
        </w:rPr>
        <w:t xml:space="preserve">. Balk </w:t>
      </w:r>
      <w:r w:rsidRPr="00451B44">
        <w:rPr>
          <w:rFonts w:ascii="Times New Roman" w:hAnsi="Times New Roman" w:cs="Times New Roman"/>
          <w:i/>
          <w:iCs/>
          <w:sz w:val="24"/>
          <w:szCs w:val="24"/>
        </w:rPr>
        <w:t>et al.,</w:t>
      </w:r>
      <w:r>
        <w:rPr>
          <w:rFonts w:ascii="Times New Roman" w:hAnsi="Times New Roman" w:cs="Times New Roman"/>
          <w:sz w:val="24"/>
          <w:szCs w:val="24"/>
        </w:rPr>
        <w:t>(1999)</w:t>
      </w:r>
      <w:r w:rsidRPr="00451B44">
        <w:rPr>
          <w:rFonts w:ascii="Times New Roman" w:hAnsi="Times New Roman" w:cs="Times New Roman"/>
          <w:sz w:val="24"/>
          <w:szCs w:val="24"/>
        </w:rPr>
        <w:t xml:space="preserve"> examined heat-induced PCD in cucumber plants and found that </w:t>
      </w:r>
      <w:r w:rsidRPr="00F744F3">
        <w:rPr>
          <w:rFonts w:ascii="Times New Roman" w:hAnsi="Times New Roman" w:cs="Times New Roman"/>
          <w:sz w:val="24"/>
          <w:szCs w:val="24"/>
        </w:rPr>
        <w:t xml:space="preserve">cyt </w:t>
      </w:r>
      <w:r w:rsidRPr="00C64D1B">
        <w:rPr>
          <w:rFonts w:ascii="Times New Roman" w:hAnsi="Times New Roman" w:cs="Times New Roman"/>
          <w:i/>
          <w:iCs/>
          <w:sz w:val="24"/>
          <w:szCs w:val="24"/>
        </w:rPr>
        <w:t>c</w:t>
      </w:r>
      <w:r w:rsidRPr="00451B44">
        <w:rPr>
          <w:rFonts w:ascii="Times New Roman" w:hAnsi="Times New Roman" w:cs="Times New Roman"/>
          <w:sz w:val="24"/>
          <w:szCs w:val="24"/>
        </w:rPr>
        <w:t xml:space="preserve"> was released from the mitochondria into the cytosol. Vacca </w:t>
      </w:r>
      <w:r w:rsidRPr="00D57A9A">
        <w:rPr>
          <w:rFonts w:ascii="Times New Roman" w:hAnsi="Times New Roman" w:cs="Times New Roman"/>
          <w:i/>
          <w:iCs/>
          <w:sz w:val="24"/>
          <w:szCs w:val="24"/>
        </w:rPr>
        <w:t>et al</w:t>
      </w:r>
      <w:r w:rsidRPr="00451B44">
        <w:rPr>
          <w:rFonts w:ascii="Times New Roman" w:hAnsi="Times New Roman" w:cs="Times New Roman"/>
          <w:sz w:val="24"/>
          <w:szCs w:val="24"/>
        </w:rPr>
        <w:t xml:space="preserve">., (2006) obtained similar results when they heat treated tobacco BY-2 cells and found that </w:t>
      </w:r>
      <w:r w:rsidRPr="00F744F3">
        <w:rPr>
          <w:rFonts w:ascii="Times New Roman" w:hAnsi="Times New Roman" w:cs="Times New Roman"/>
          <w:sz w:val="24"/>
          <w:szCs w:val="24"/>
        </w:rPr>
        <w:t xml:space="preserve">cyt </w:t>
      </w:r>
      <w:r w:rsidRPr="00C64D1B">
        <w:rPr>
          <w:rFonts w:ascii="Times New Roman" w:hAnsi="Times New Roman" w:cs="Times New Roman"/>
          <w:i/>
          <w:iCs/>
          <w:sz w:val="24"/>
          <w:szCs w:val="24"/>
        </w:rPr>
        <w:t>c</w:t>
      </w:r>
      <w:r w:rsidRPr="00451B44">
        <w:rPr>
          <w:rFonts w:ascii="Times New Roman" w:hAnsi="Times New Roman" w:cs="Times New Roman"/>
          <w:sz w:val="24"/>
          <w:szCs w:val="24"/>
        </w:rPr>
        <w:t xml:space="preserve"> was released in a ROS-dependent manner. The role of </w:t>
      </w:r>
      <w:r w:rsidRPr="00F744F3">
        <w:rPr>
          <w:rFonts w:ascii="Times New Roman" w:hAnsi="Times New Roman" w:cs="Times New Roman"/>
          <w:sz w:val="24"/>
          <w:szCs w:val="24"/>
        </w:rPr>
        <w:t xml:space="preserve">cyt </w:t>
      </w:r>
      <w:r w:rsidRPr="00C64D1B">
        <w:rPr>
          <w:rFonts w:ascii="Times New Roman" w:hAnsi="Times New Roman" w:cs="Times New Roman"/>
          <w:i/>
          <w:iCs/>
          <w:sz w:val="24"/>
          <w:szCs w:val="24"/>
        </w:rPr>
        <w:t>c</w:t>
      </w:r>
      <w:r w:rsidRPr="00451B44">
        <w:rPr>
          <w:rFonts w:ascii="Times New Roman" w:hAnsi="Times New Roman" w:cs="Times New Roman"/>
          <w:sz w:val="24"/>
          <w:szCs w:val="24"/>
        </w:rPr>
        <w:t xml:space="preserve"> is discussed in section </w:t>
      </w:r>
      <w:r>
        <w:rPr>
          <w:rFonts w:ascii="Times New Roman" w:hAnsi="Times New Roman" w:cs="Times New Roman"/>
          <w:sz w:val="24"/>
          <w:szCs w:val="24"/>
        </w:rPr>
        <w:t>IIA</w:t>
      </w:r>
      <w:r w:rsidRPr="00711364">
        <w:rPr>
          <w:rFonts w:ascii="Times New Roman" w:hAnsi="Times New Roman" w:cs="Times New Roman"/>
          <w:sz w:val="24"/>
          <w:szCs w:val="24"/>
        </w:rPr>
        <w:t>1</w:t>
      </w:r>
      <w:r>
        <w:rPr>
          <w:rFonts w:ascii="Times New Roman" w:hAnsi="Times New Roman" w:cs="Times New Roman"/>
          <w:sz w:val="24"/>
          <w:szCs w:val="24"/>
        </w:rPr>
        <w:t xml:space="preserve">, </w:t>
      </w:r>
      <w:r w:rsidRPr="00451B44">
        <w:rPr>
          <w:rFonts w:ascii="Times New Roman" w:hAnsi="Times New Roman" w:cs="Times New Roman"/>
          <w:sz w:val="24"/>
          <w:szCs w:val="24"/>
        </w:rPr>
        <w:t>of this review.</w:t>
      </w:r>
      <w:r>
        <w:rPr>
          <w:rFonts w:ascii="Times New Roman" w:hAnsi="Times New Roman" w:cs="Times New Roman"/>
          <w:sz w:val="24"/>
          <w:szCs w:val="24"/>
        </w:rPr>
        <w:t xml:space="preserve"> </w:t>
      </w:r>
      <w:r w:rsidRPr="00451B44">
        <w:rPr>
          <w:rFonts w:ascii="Times New Roman" w:hAnsi="Times New Roman" w:cs="Times New Roman"/>
          <w:sz w:val="24"/>
          <w:szCs w:val="24"/>
        </w:rPr>
        <w:t>Recent work</w:t>
      </w:r>
      <w:r w:rsidRPr="00451B44">
        <w:rPr>
          <w:rFonts w:ascii="Times New Roman" w:hAnsi="Times New Roman" w:cs="Times New Roman"/>
          <w:b/>
          <w:bCs/>
          <w:sz w:val="24"/>
          <w:szCs w:val="24"/>
        </w:rPr>
        <w:t xml:space="preserve"> </w:t>
      </w:r>
      <w:r w:rsidRPr="00451B44">
        <w:rPr>
          <w:rFonts w:ascii="Times New Roman" w:hAnsi="Times New Roman" w:cs="Times New Roman"/>
          <w:sz w:val="24"/>
          <w:szCs w:val="24"/>
        </w:rPr>
        <w:t xml:space="preserve">by Malerba </w:t>
      </w:r>
      <w:r w:rsidRPr="00451B44">
        <w:rPr>
          <w:rFonts w:ascii="Times New Roman" w:hAnsi="Times New Roman" w:cs="Times New Roman"/>
          <w:i/>
          <w:iCs/>
          <w:sz w:val="24"/>
          <w:szCs w:val="24"/>
        </w:rPr>
        <w:t xml:space="preserve">et al., </w:t>
      </w:r>
      <w:r w:rsidRPr="00451B44">
        <w:rPr>
          <w:rFonts w:ascii="Times New Roman" w:hAnsi="Times New Roman" w:cs="Times New Roman"/>
          <w:sz w:val="24"/>
          <w:szCs w:val="24"/>
        </w:rPr>
        <w:t>(2010) highlighted a possible role for ethylene in the heat stress response. They identified fragmentation of actin cytoskeleton filaments after heat stress (35, 45 and 50°C) and found that actin depolymerisation by heat stress was prevented by the ethylene production inhibitor Co</w:t>
      </w:r>
      <w:r w:rsidRPr="00451B44">
        <w:rPr>
          <w:rFonts w:ascii="Times New Roman" w:hAnsi="Times New Roman" w:cs="Times New Roman"/>
          <w:sz w:val="24"/>
          <w:szCs w:val="24"/>
          <w:vertAlign w:val="superscript"/>
        </w:rPr>
        <w:t>2+</w:t>
      </w:r>
      <w:r>
        <w:rPr>
          <w:rFonts w:ascii="Times New Roman" w:hAnsi="Times New Roman" w:cs="Times New Roman"/>
          <w:sz w:val="24"/>
          <w:szCs w:val="24"/>
        </w:rPr>
        <w:t xml:space="preserve">. Interestingly, </w:t>
      </w:r>
      <w:r w:rsidRPr="00451B44">
        <w:rPr>
          <w:rFonts w:ascii="Times New Roman" w:hAnsi="Times New Roman" w:cs="Times New Roman"/>
          <w:sz w:val="24"/>
          <w:szCs w:val="24"/>
        </w:rPr>
        <w:t>it was previously reported that reorgani</w:t>
      </w:r>
      <w:r>
        <w:rPr>
          <w:rFonts w:ascii="Times New Roman" w:hAnsi="Times New Roman" w:cs="Times New Roman"/>
          <w:sz w:val="24"/>
          <w:szCs w:val="24"/>
        </w:rPr>
        <w:t>s</w:t>
      </w:r>
      <w:r w:rsidRPr="00451B44">
        <w:rPr>
          <w:rFonts w:ascii="Times New Roman" w:hAnsi="Times New Roman" w:cs="Times New Roman"/>
          <w:sz w:val="24"/>
          <w:szCs w:val="24"/>
        </w:rPr>
        <w:t xml:space="preserve">ation of actin filaments occurs during PCD in embryos of </w:t>
      </w:r>
      <w:r>
        <w:rPr>
          <w:rFonts w:ascii="Times New Roman" w:hAnsi="Times New Roman" w:cs="Times New Roman"/>
          <w:i/>
          <w:iCs/>
          <w:sz w:val="24"/>
          <w:szCs w:val="24"/>
        </w:rPr>
        <w:t>P.</w:t>
      </w:r>
      <w:r w:rsidRPr="00451B44">
        <w:rPr>
          <w:rFonts w:ascii="Times New Roman" w:hAnsi="Times New Roman" w:cs="Times New Roman"/>
          <w:i/>
          <w:iCs/>
          <w:sz w:val="24"/>
          <w:szCs w:val="24"/>
        </w:rPr>
        <w:t xml:space="preserve"> abies</w:t>
      </w:r>
      <w:r w:rsidRPr="00451B44">
        <w:rPr>
          <w:rFonts w:ascii="Times New Roman" w:hAnsi="Times New Roman" w:cs="Times New Roman"/>
          <w:sz w:val="24"/>
          <w:szCs w:val="24"/>
        </w:rPr>
        <w:t xml:space="preserve"> and actin depolymerisation is enough to cause PCD in self-incompatible pollen of </w:t>
      </w:r>
      <w:r w:rsidRPr="00451B44">
        <w:rPr>
          <w:rFonts w:ascii="Times New Roman" w:hAnsi="Times New Roman" w:cs="Times New Roman"/>
          <w:i/>
          <w:iCs/>
          <w:sz w:val="24"/>
          <w:szCs w:val="24"/>
        </w:rPr>
        <w:t>Papaver rhoeas</w:t>
      </w:r>
      <w:r w:rsidRPr="00451B44">
        <w:rPr>
          <w:rFonts w:ascii="Times New Roman" w:hAnsi="Times New Roman" w:cs="Times New Roman"/>
          <w:sz w:val="24"/>
          <w:szCs w:val="24"/>
        </w:rPr>
        <w:t xml:space="preserve"> (Smertenko</w:t>
      </w:r>
      <w:r w:rsidRPr="00451B44">
        <w:rPr>
          <w:rFonts w:ascii="Times New Roman" w:hAnsi="Times New Roman" w:cs="Times New Roman"/>
          <w:i/>
          <w:iCs/>
          <w:sz w:val="24"/>
          <w:szCs w:val="24"/>
        </w:rPr>
        <w:t xml:space="preserve"> et al.</w:t>
      </w:r>
      <w:r w:rsidRPr="00451B44">
        <w:rPr>
          <w:rFonts w:ascii="Times New Roman" w:hAnsi="Times New Roman" w:cs="Times New Roman"/>
          <w:sz w:val="24"/>
          <w:szCs w:val="24"/>
        </w:rPr>
        <w:t>, 2003, Thomas</w:t>
      </w:r>
      <w:r w:rsidRPr="00451B44">
        <w:rPr>
          <w:rFonts w:ascii="Times New Roman" w:hAnsi="Times New Roman" w:cs="Times New Roman"/>
          <w:i/>
          <w:iCs/>
          <w:sz w:val="24"/>
          <w:szCs w:val="24"/>
        </w:rPr>
        <w:t xml:space="preserve"> et al.</w:t>
      </w:r>
      <w:r w:rsidRPr="00451B44">
        <w:rPr>
          <w:rFonts w:ascii="Times New Roman" w:hAnsi="Times New Roman" w:cs="Times New Roman"/>
          <w:sz w:val="24"/>
          <w:szCs w:val="24"/>
        </w:rPr>
        <w:t xml:space="preserve">, 2006). </w:t>
      </w:r>
    </w:p>
    <w:p w:rsidR="004B4E5E" w:rsidRDefault="004B4E5E" w:rsidP="002B4B8D">
      <w:pPr>
        <w:autoSpaceDE w:val="0"/>
        <w:autoSpaceDN w:val="0"/>
        <w:adjustRightInd w:val="0"/>
        <w:spacing w:after="0" w:line="480" w:lineRule="auto"/>
        <w:rPr>
          <w:rFonts w:ascii="Times New Roman" w:hAnsi="Times New Roman" w:cs="Times New Roman"/>
          <w:sz w:val="24"/>
          <w:szCs w:val="24"/>
        </w:rPr>
      </w:pPr>
    </w:p>
    <w:p w:rsidR="004B4E5E" w:rsidRPr="000208EB" w:rsidRDefault="004B4E5E" w:rsidP="002B4B8D">
      <w:pPr>
        <w:autoSpaceDE w:val="0"/>
        <w:autoSpaceDN w:val="0"/>
        <w:adjustRightInd w:val="0"/>
        <w:spacing w:after="0" w:line="480" w:lineRule="auto"/>
        <w:rPr>
          <w:rFonts w:ascii="Times New Roman" w:hAnsi="Times New Roman" w:cs="Times New Roman"/>
          <w:sz w:val="24"/>
          <w:szCs w:val="24"/>
        </w:rPr>
      </w:pPr>
      <w:r w:rsidRPr="00451B44">
        <w:rPr>
          <w:rFonts w:ascii="Times New Roman" w:hAnsi="Times New Roman" w:cs="Times New Roman"/>
          <w:sz w:val="24"/>
          <w:szCs w:val="24"/>
        </w:rPr>
        <w:t xml:space="preserve">Caspase-3-like proteases have been shown to play a role in PCD in </w:t>
      </w:r>
      <w:r w:rsidRPr="00451B44">
        <w:rPr>
          <w:rFonts w:ascii="Times New Roman" w:hAnsi="Times New Roman" w:cs="Times New Roman"/>
          <w:i/>
          <w:iCs/>
          <w:sz w:val="24"/>
          <w:szCs w:val="24"/>
        </w:rPr>
        <w:t>Chlorella</w:t>
      </w:r>
      <w:r w:rsidRPr="00451B44">
        <w:rPr>
          <w:rFonts w:ascii="Times New Roman" w:hAnsi="Times New Roman" w:cs="Times New Roman"/>
          <w:sz w:val="24"/>
          <w:szCs w:val="24"/>
        </w:rPr>
        <w:t xml:space="preserve"> </w:t>
      </w:r>
      <w:r w:rsidRPr="00451B44">
        <w:rPr>
          <w:rFonts w:ascii="Times New Roman" w:hAnsi="Times New Roman" w:cs="Times New Roman"/>
          <w:i/>
          <w:iCs/>
          <w:sz w:val="24"/>
          <w:szCs w:val="24"/>
        </w:rPr>
        <w:t xml:space="preserve">saccharophila </w:t>
      </w:r>
      <w:r w:rsidRPr="00451B44">
        <w:rPr>
          <w:rFonts w:ascii="Times New Roman" w:hAnsi="Times New Roman" w:cs="Times New Roman"/>
          <w:sz w:val="24"/>
          <w:szCs w:val="24"/>
        </w:rPr>
        <w:t>(Zuppini</w:t>
      </w:r>
      <w:r w:rsidRPr="00451B44">
        <w:rPr>
          <w:rFonts w:ascii="Times New Roman" w:hAnsi="Times New Roman" w:cs="Times New Roman"/>
          <w:i/>
          <w:iCs/>
          <w:sz w:val="24"/>
          <w:szCs w:val="24"/>
        </w:rPr>
        <w:t xml:space="preserve"> et al.</w:t>
      </w:r>
      <w:r w:rsidRPr="00451B44">
        <w:rPr>
          <w:rFonts w:ascii="Times New Roman" w:hAnsi="Times New Roman" w:cs="Times New Roman"/>
          <w:sz w:val="24"/>
          <w:szCs w:val="24"/>
        </w:rPr>
        <w:t xml:space="preserve">, 2007). Similarly, Tian </w:t>
      </w:r>
      <w:r w:rsidRPr="00451B44">
        <w:rPr>
          <w:rFonts w:ascii="Times New Roman" w:hAnsi="Times New Roman" w:cs="Times New Roman"/>
          <w:i/>
          <w:iCs/>
          <w:sz w:val="24"/>
          <w:szCs w:val="24"/>
        </w:rPr>
        <w:t>et al.,</w:t>
      </w:r>
      <w:r w:rsidRPr="00451B44">
        <w:rPr>
          <w:rFonts w:ascii="Times New Roman" w:hAnsi="Times New Roman" w:cs="Times New Roman"/>
          <w:sz w:val="24"/>
          <w:szCs w:val="24"/>
        </w:rPr>
        <w:t xml:space="preserve"> (2000) highlighted a role for caspase-like proteases in heat stress induced PCD in plants. They found that poly (ADP-ribose) polymerase (PARP), is cleaved by a caspase-3-like protease in tobacco suspension cells, with PCD manifesting at a late stage and exhibiting DNA laddering. HSPs have been shown to play vital roles in the execution of PCD in animal cells </w:t>
      </w:r>
      <w:r>
        <w:rPr>
          <w:rFonts w:ascii="Times New Roman" w:hAnsi="Times New Roman" w:cs="Times New Roman"/>
          <w:sz w:val="24"/>
          <w:szCs w:val="24"/>
        </w:rPr>
        <w:t>(Beere and Green, 2001, Garrido and Solary, 2003)</w:t>
      </w:r>
      <w:r w:rsidRPr="00451B44">
        <w:rPr>
          <w:rFonts w:ascii="Times New Roman" w:hAnsi="Times New Roman" w:cs="Times New Roman"/>
          <w:sz w:val="24"/>
          <w:szCs w:val="24"/>
        </w:rPr>
        <w:t xml:space="preserve">. </w:t>
      </w:r>
      <w:r w:rsidRPr="00451B44">
        <w:rPr>
          <w:rFonts w:ascii="Times New Roman" w:hAnsi="Times New Roman" w:cs="Times New Roman"/>
          <w:sz w:val="24"/>
          <w:szCs w:val="24"/>
          <w:lang w:val="en-GB"/>
        </w:rPr>
        <w:t xml:space="preserve">Tonsor, </w:t>
      </w:r>
      <w:r w:rsidRPr="00451B44">
        <w:rPr>
          <w:rFonts w:ascii="Times New Roman" w:hAnsi="Times New Roman" w:cs="Times New Roman"/>
          <w:i/>
          <w:iCs/>
          <w:sz w:val="24"/>
          <w:szCs w:val="24"/>
          <w:lang w:val="en-GB"/>
        </w:rPr>
        <w:t>et al</w:t>
      </w:r>
      <w:r w:rsidRPr="00451B44">
        <w:rPr>
          <w:rFonts w:ascii="Times New Roman" w:hAnsi="Times New Roman" w:cs="Times New Roman"/>
          <w:sz w:val="24"/>
          <w:szCs w:val="24"/>
          <w:lang w:val="en-GB"/>
        </w:rPr>
        <w:t>., (2008) reported that five families of HSPs including</w:t>
      </w:r>
      <w:r w:rsidR="005C674D">
        <w:rPr>
          <w:rFonts w:ascii="Times New Roman" w:hAnsi="Times New Roman" w:cs="Times New Roman"/>
          <w:sz w:val="24"/>
          <w:szCs w:val="24"/>
          <w:lang w:val="en-GB"/>
        </w:rPr>
        <w:t xml:space="preserve"> HSP60, HSP70, HSP90, HSP100 </w:t>
      </w:r>
      <w:r w:rsidR="005C674D" w:rsidRPr="00086ED6">
        <w:rPr>
          <w:rFonts w:ascii="Times New Roman" w:hAnsi="Times New Roman" w:cs="Times New Roman"/>
          <w:sz w:val="24"/>
          <w:szCs w:val="24"/>
        </w:rPr>
        <w:t>and small HSPs</w:t>
      </w:r>
      <w:r w:rsidRPr="00451B44">
        <w:rPr>
          <w:rFonts w:ascii="Times New Roman" w:hAnsi="Times New Roman" w:cs="Times New Roman"/>
          <w:sz w:val="24"/>
          <w:szCs w:val="24"/>
          <w:lang w:val="en-GB"/>
        </w:rPr>
        <w:t xml:space="preserve"> are essential in preventing protein agg</w:t>
      </w:r>
      <w:r>
        <w:rPr>
          <w:rFonts w:ascii="Times New Roman" w:hAnsi="Times New Roman" w:cs="Times New Roman"/>
          <w:sz w:val="24"/>
          <w:szCs w:val="24"/>
          <w:lang w:val="en-GB"/>
        </w:rPr>
        <w:t>regation and misfolding caused by heat treatment</w:t>
      </w:r>
      <w:r w:rsidRPr="00451B44">
        <w:rPr>
          <w:rFonts w:ascii="Times New Roman" w:hAnsi="Times New Roman" w:cs="Times New Roman"/>
          <w:sz w:val="24"/>
          <w:szCs w:val="24"/>
          <w:lang w:val="en-GB"/>
        </w:rPr>
        <w:t>. HSPs prevent misfolding by chaperoning the refolding of damaged or denatured proteins. They are highly conserved and are induced in animals, plants, yeast and insects after exposure to various abiotic and physiological stresses, including heat (Wang</w:t>
      </w:r>
      <w:r w:rsidRPr="00451B44">
        <w:rPr>
          <w:rFonts w:ascii="Times New Roman" w:hAnsi="Times New Roman" w:cs="Times New Roman"/>
          <w:i/>
          <w:iCs/>
          <w:sz w:val="24"/>
          <w:szCs w:val="24"/>
          <w:lang w:val="en-GB"/>
        </w:rPr>
        <w:t xml:space="preserve"> et al.</w:t>
      </w:r>
      <w:r w:rsidRPr="00451B44">
        <w:rPr>
          <w:rFonts w:ascii="Times New Roman" w:hAnsi="Times New Roman" w:cs="Times New Roman"/>
          <w:sz w:val="24"/>
          <w:szCs w:val="24"/>
          <w:lang w:val="en-GB"/>
        </w:rPr>
        <w:t>, 2004). After initial sub-lethal insult, the HSPs enhance protection and recovery and confer resistance to subsequent heat stress of the cell. It has been shown that HSPs can interact with apoptosis inducing factor thereby influencing caspase-independent PCD (Lanneau</w:t>
      </w:r>
      <w:r w:rsidRPr="00451B44">
        <w:rPr>
          <w:rFonts w:ascii="Times New Roman" w:hAnsi="Times New Roman" w:cs="Times New Roman"/>
          <w:i/>
          <w:iCs/>
          <w:sz w:val="24"/>
          <w:szCs w:val="24"/>
          <w:lang w:val="en-GB"/>
        </w:rPr>
        <w:t xml:space="preserve"> et al.</w:t>
      </w:r>
      <w:r w:rsidRPr="00451B44">
        <w:rPr>
          <w:rFonts w:ascii="Times New Roman" w:hAnsi="Times New Roman" w:cs="Times New Roman"/>
          <w:sz w:val="24"/>
          <w:szCs w:val="24"/>
          <w:lang w:val="en-GB"/>
        </w:rPr>
        <w:t xml:space="preserve">, 2008) therefore, it is probable that HSPs infer a protective effect on the cells. </w:t>
      </w:r>
    </w:p>
    <w:p w:rsidR="004B4E5E" w:rsidRDefault="004B4E5E" w:rsidP="002B4B8D">
      <w:pPr>
        <w:autoSpaceDE w:val="0"/>
        <w:autoSpaceDN w:val="0"/>
        <w:adjustRightInd w:val="0"/>
        <w:spacing w:after="0" w:line="480" w:lineRule="auto"/>
        <w:rPr>
          <w:rFonts w:ascii="Times New Roman" w:hAnsi="Times New Roman" w:cs="Times New Roman"/>
          <w:sz w:val="24"/>
          <w:szCs w:val="24"/>
          <w:lang w:val="en-GB"/>
        </w:rPr>
      </w:pPr>
    </w:p>
    <w:p w:rsidR="004B4E5E" w:rsidRDefault="004B4E5E" w:rsidP="002B4B8D">
      <w:pPr>
        <w:autoSpaceDE w:val="0"/>
        <w:autoSpaceDN w:val="0"/>
        <w:adjustRightInd w:val="0"/>
        <w:spacing w:after="0" w:line="480" w:lineRule="auto"/>
        <w:rPr>
          <w:rFonts w:ascii="Times New Roman" w:hAnsi="Times New Roman" w:cs="Times New Roman"/>
          <w:sz w:val="24"/>
          <w:szCs w:val="24"/>
          <w:lang w:val="en-GB"/>
        </w:rPr>
      </w:pPr>
    </w:p>
    <w:p w:rsidR="004B4E5E" w:rsidRPr="00451B44" w:rsidRDefault="004B4E5E" w:rsidP="002B4B8D">
      <w:pPr>
        <w:autoSpaceDE w:val="0"/>
        <w:autoSpaceDN w:val="0"/>
        <w:adjustRightInd w:val="0"/>
        <w:spacing w:after="0" w:line="480" w:lineRule="auto"/>
        <w:rPr>
          <w:rFonts w:ascii="Times New Roman" w:hAnsi="Times New Roman" w:cs="Times New Roman"/>
          <w:sz w:val="24"/>
          <w:szCs w:val="24"/>
          <w:lang w:val="en-GB"/>
        </w:rPr>
      </w:pPr>
    </w:p>
    <w:p w:rsidR="004B4E5E" w:rsidRPr="00993866" w:rsidRDefault="004B4E5E" w:rsidP="00035E18">
      <w:pPr>
        <w:pStyle w:val="ListParagraph"/>
        <w:numPr>
          <w:ilvl w:val="1"/>
          <w:numId w:val="29"/>
        </w:numPr>
        <w:autoSpaceDE w:val="0"/>
        <w:autoSpaceDN w:val="0"/>
        <w:adjustRightInd w:val="0"/>
        <w:spacing w:after="0" w:line="480" w:lineRule="auto"/>
        <w:ind w:hanging="88"/>
        <w:rPr>
          <w:rFonts w:ascii="Times New Roman" w:hAnsi="Times New Roman" w:cs="Times New Roman"/>
          <w:sz w:val="24"/>
          <w:szCs w:val="24"/>
        </w:rPr>
      </w:pPr>
      <w:r w:rsidRPr="00993866">
        <w:rPr>
          <w:rFonts w:ascii="Times New Roman" w:hAnsi="Times New Roman" w:cs="Times New Roman"/>
          <w:b/>
          <w:bCs/>
          <w:sz w:val="24"/>
          <w:szCs w:val="24"/>
        </w:rPr>
        <w:t>UV light stress</w:t>
      </w:r>
    </w:p>
    <w:p w:rsidR="004B4E5E" w:rsidRDefault="004B4E5E" w:rsidP="002B4B8D">
      <w:pPr>
        <w:autoSpaceDE w:val="0"/>
        <w:autoSpaceDN w:val="0"/>
        <w:adjustRightInd w:val="0"/>
        <w:spacing w:after="0" w:line="480" w:lineRule="auto"/>
        <w:rPr>
          <w:rFonts w:ascii="Times New Roman" w:hAnsi="Times New Roman" w:cs="Times New Roman"/>
          <w:sz w:val="24"/>
          <w:szCs w:val="24"/>
        </w:rPr>
      </w:pPr>
      <w:r w:rsidRPr="00451B44">
        <w:rPr>
          <w:rFonts w:ascii="Times New Roman" w:hAnsi="Times New Roman" w:cs="Times New Roman"/>
          <w:sz w:val="24"/>
          <w:szCs w:val="24"/>
        </w:rPr>
        <w:t xml:space="preserve">UV light is part of the electromagnetic spectrum and is divided into three </w:t>
      </w:r>
      <w:r>
        <w:rPr>
          <w:rFonts w:ascii="Times New Roman" w:hAnsi="Times New Roman" w:cs="Times New Roman"/>
          <w:sz w:val="24"/>
          <w:szCs w:val="24"/>
        </w:rPr>
        <w:t>classes according to wavelength,</w:t>
      </w:r>
      <w:r w:rsidRPr="00451B44">
        <w:rPr>
          <w:rFonts w:ascii="Times New Roman" w:hAnsi="Times New Roman" w:cs="Times New Roman"/>
          <w:sz w:val="24"/>
          <w:szCs w:val="24"/>
        </w:rPr>
        <w:t xml:space="preserve"> UV-C (&lt;280nm)</w:t>
      </w:r>
      <w:r>
        <w:rPr>
          <w:rFonts w:ascii="Times New Roman" w:hAnsi="Times New Roman" w:cs="Times New Roman"/>
          <w:sz w:val="24"/>
          <w:szCs w:val="24"/>
        </w:rPr>
        <w:t>,</w:t>
      </w:r>
      <w:r w:rsidRPr="00451B44">
        <w:rPr>
          <w:rFonts w:ascii="Times New Roman" w:hAnsi="Times New Roman" w:cs="Times New Roman"/>
          <w:sz w:val="24"/>
          <w:szCs w:val="24"/>
        </w:rPr>
        <w:t xml:space="preserve"> UV-B (between 280-320nm) and UV-A (between 320-390nm) (Stapleton, 1992). UV-A and UV-B penetrate the outer atmosphere to reach the earth’s surface however UV-C is filtered out in the upper atmosphere by ozone. Consequently, plants are not ordinarily exposed to UV-C radiation, but it is used widely as a mutagen as it elicits the same DNA</w:t>
      </w:r>
      <w:r>
        <w:rPr>
          <w:rFonts w:ascii="Times New Roman" w:hAnsi="Times New Roman" w:cs="Times New Roman"/>
          <w:sz w:val="24"/>
          <w:szCs w:val="24"/>
        </w:rPr>
        <w:t xml:space="preserve"> photoproduct responses as UV-B</w:t>
      </w:r>
      <w:r w:rsidRPr="00451B44">
        <w:rPr>
          <w:rFonts w:ascii="Times New Roman" w:hAnsi="Times New Roman" w:cs="Times New Roman"/>
          <w:sz w:val="24"/>
          <w:szCs w:val="24"/>
        </w:rPr>
        <w:t xml:space="preserve"> (Brash, 1997) and UV-C light sources are relatively less expensive than their UV-B counterparts (Stapleton, 1992). Another advantage of using UV-C is that it has a much shorter wavelength, so highly excited photons affect plant cells more quickly. Solar UV radiation has been shown to harm many plant processes by damaging DNA, cell proteins and membranes (Jansen</w:t>
      </w:r>
      <w:r w:rsidRPr="00451B44">
        <w:rPr>
          <w:rFonts w:ascii="Times New Roman" w:hAnsi="Times New Roman" w:cs="Times New Roman"/>
          <w:i/>
          <w:iCs/>
          <w:sz w:val="24"/>
          <w:szCs w:val="24"/>
        </w:rPr>
        <w:t xml:space="preserve"> et al.</w:t>
      </w:r>
      <w:r w:rsidRPr="00451B44">
        <w:rPr>
          <w:rFonts w:ascii="Times New Roman" w:hAnsi="Times New Roman" w:cs="Times New Roman"/>
          <w:sz w:val="24"/>
          <w:szCs w:val="24"/>
        </w:rPr>
        <w:t xml:space="preserve">, 1998) and UV has been used to induce apoptosis in animal cells </w:t>
      </w:r>
      <w:r>
        <w:rPr>
          <w:rFonts w:ascii="Times New Roman" w:hAnsi="Times New Roman" w:cs="Times New Roman"/>
          <w:sz w:val="24"/>
          <w:szCs w:val="24"/>
        </w:rPr>
        <w:t>(Kulms and Schwarz, 2002, Mammone</w:t>
      </w:r>
      <w:r w:rsidRPr="00A43B68">
        <w:rPr>
          <w:rFonts w:ascii="Times New Roman" w:hAnsi="Times New Roman" w:cs="Times New Roman"/>
          <w:i/>
          <w:iCs/>
          <w:sz w:val="24"/>
          <w:szCs w:val="24"/>
        </w:rPr>
        <w:t xml:space="preserve"> et al.</w:t>
      </w:r>
      <w:r>
        <w:rPr>
          <w:rFonts w:ascii="Times New Roman" w:hAnsi="Times New Roman" w:cs="Times New Roman"/>
          <w:sz w:val="24"/>
          <w:szCs w:val="24"/>
        </w:rPr>
        <w:t>, 2000, Martin and Cotter, 1991).</w:t>
      </w:r>
      <w:r w:rsidRPr="00451B44">
        <w:rPr>
          <w:rFonts w:ascii="Times New Roman" w:hAnsi="Times New Roman" w:cs="Times New Roman"/>
          <w:sz w:val="24"/>
          <w:szCs w:val="24"/>
        </w:rPr>
        <w:t xml:space="preserve"> UV light can also induce death in plant cells making it useful for the study of PCD in plants. Danon and Gallois (1998) carried out one of the first studies of UV-induced death in plants</w:t>
      </w:r>
      <w:r w:rsidRPr="00451B44">
        <w:rPr>
          <w:rFonts w:ascii="Times New Roman" w:hAnsi="Times New Roman" w:cs="Times New Roman"/>
          <w:i/>
          <w:iCs/>
          <w:sz w:val="24"/>
          <w:szCs w:val="24"/>
        </w:rPr>
        <w:t xml:space="preserve"> </w:t>
      </w:r>
      <w:r w:rsidRPr="00451B44">
        <w:rPr>
          <w:rFonts w:ascii="Times New Roman" w:hAnsi="Times New Roman" w:cs="Times New Roman"/>
          <w:sz w:val="24"/>
          <w:szCs w:val="24"/>
        </w:rPr>
        <w:t xml:space="preserve">when they documented DNA fragmentation and laddering after UV-C treatment of </w:t>
      </w:r>
      <w:r w:rsidRPr="00451B44">
        <w:rPr>
          <w:rFonts w:ascii="Times New Roman" w:hAnsi="Times New Roman" w:cs="Times New Roman"/>
          <w:i/>
          <w:iCs/>
          <w:sz w:val="24"/>
          <w:szCs w:val="24"/>
        </w:rPr>
        <w:t>Arabidopsis</w:t>
      </w:r>
      <w:r w:rsidRPr="00451B44">
        <w:rPr>
          <w:rFonts w:ascii="Times New Roman" w:hAnsi="Times New Roman" w:cs="Times New Roman"/>
          <w:sz w:val="24"/>
          <w:szCs w:val="24"/>
        </w:rPr>
        <w:t xml:space="preserve"> protoplasts. Danon </w:t>
      </w:r>
      <w:r w:rsidRPr="00451B44">
        <w:rPr>
          <w:rFonts w:ascii="Times New Roman" w:hAnsi="Times New Roman" w:cs="Times New Roman"/>
          <w:i/>
          <w:iCs/>
          <w:sz w:val="24"/>
          <w:szCs w:val="24"/>
        </w:rPr>
        <w:t>et al.</w:t>
      </w:r>
      <w:r w:rsidRPr="00451B44">
        <w:rPr>
          <w:rFonts w:ascii="Times New Roman" w:hAnsi="Times New Roman" w:cs="Times New Roman"/>
          <w:sz w:val="24"/>
          <w:szCs w:val="24"/>
        </w:rPr>
        <w:t xml:space="preserve"> (2004) used caspase inhibitors and transient expression of the p35 and </w:t>
      </w:r>
      <w:r w:rsidRPr="00451B44">
        <w:rPr>
          <w:rFonts w:ascii="Times New Roman" w:hAnsi="Times New Roman" w:cs="Times New Roman"/>
          <w:i/>
          <w:iCs/>
          <w:sz w:val="24"/>
          <w:szCs w:val="24"/>
        </w:rPr>
        <w:t xml:space="preserve">At-DAD </w:t>
      </w:r>
      <w:r w:rsidRPr="00451B44">
        <w:rPr>
          <w:rFonts w:ascii="Times New Roman" w:hAnsi="Times New Roman" w:cs="Times New Roman"/>
          <w:sz w:val="24"/>
          <w:szCs w:val="24"/>
        </w:rPr>
        <w:t xml:space="preserve">genes in </w:t>
      </w:r>
      <w:r w:rsidRPr="00451B44">
        <w:rPr>
          <w:rFonts w:ascii="Times New Roman" w:hAnsi="Times New Roman" w:cs="Times New Roman"/>
          <w:i/>
          <w:iCs/>
          <w:sz w:val="24"/>
          <w:szCs w:val="24"/>
        </w:rPr>
        <w:t>Arabidopsis</w:t>
      </w:r>
      <w:r w:rsidRPr="00451B44">
        <w:rPr>
          <w:rFonts w:ascii="Times New Roman" w:hAnsi="Times New Roman" w:cs="Times New Roman"/>
          <w:sz w:val="24"/>
          <w:szCs w:val="24"/>
        </w:rPr>
        <w:t xml:space="preserve"> protoplasts to confirm that UV-induced death is a form of PCD and that metacaspases and that the ER- localised </w:t>
      </w:r>
      <w:r w:rsidRPr="00451B44">
        <w:rPr>
          <w:rFonts w:ascii="Times New Roman" w:hAnsi="Times New Roman" w:cs="Times New Roman"/>
          <w:i/>
          <w:iCs/>
          <w:sz w:val="24"/>
          <w:szCs w:val="24"/>
        </w:rPr>
        <w:t>At-DAD</w:t>
      </w:r>
      <w:r w:rsidRPr="00451B44">
        <w:rPr>
          <w:rFonts w:ascii="Times New Roman" w:hAnsi="Times New Roman" w:cs="Times New Roman"/>
          <w:sz w:val="24"/>
          <w:szCs w:val="24"/>
        </w:rPr>
        <w:t xml:space="preserve"> may play a role in plant PCD. More recently, Lytvyn </w:t>
      </w:r>
      <w:r w:rsidRPr="00451B44">
        <w:rPr>
          <w:rFonts w:ascii="Times New Roman" w:hAnsi="Times New Roman" w:cs="Times New Roman"/>
          <w:i/>
          <w:iCs/>
          <w:sz w:val="24"/>
          <w:szCs w:val="24"/>
        </w:rPr>
        <w:t>et al</w:t>
      </w:r>
      <w:r w:rsidRPr="00451B44">
        <w:rPr>
          <w:rFonts w:ascii="Times New Roman" w:hAnsi="Times New Roman" w:cs="Times New Roman"/>
          <w:sz w:val="24"/>
          <w:szCs w:val="24"/>
        </w:rPr>
        <w:t>. (2010)</w:t>
      </w:r>
      <w:r>
        <w:rPr>
          <w:rFonts w:ascii="Times New Roman" w:hAnsi="Times New Roman" w:cs="Times New Roman"/>
          <w:sz w:val="24"/>
          <w:szCs w:val="24"/>
        </w:rPr>
        <w:t xml:space="preserve"> </w:t>
      </w:r>
      <w:r w:rsidRPr="00451B44">
        <w:rPr>
          <w:rFonts w:ascii="Times New Roman" w:hAnsi="Times New Roman" w:cs="Times New Roman"/>
          <w:sz w:val="24"/>
          <w:szCs w:val="24"/>
        </w:rPr>
        <w:t xml:space="preserve">observed typical apoptotic morphological features such as cell shrinkage, condensation of chromatin, DNA fragmentation and cell acidification in UV-B treated tobacco Bright-Yellow 2 cells. </w:t>
      </w:r>
    </w:p>
    <w:p w:rsidR="004B4E5E" w:rsidRDefault="004B4E5E" w:rsidP="002B4B8D">
      <w:pPr>
        <w:autoSpaceDE w:val="0"/>
        <w:autoSpaceDN w:val="0"/>
        <w:adjustRightInd w:val="0"/>
        <w:spacing w:after="0" w:line="480" w:lineRule="auto"/>
        <w:rPr>
          <w:rFonts w:ascii="Times New Roman" w:hAnsi="Times New Roman" w:cs="Times New Roman"/>
          <w:sz w:val="24"/>
          <w:szCs w:val="24"/>
        </w:rPr>
      </w:pPr>
    </w:p>
    <w:p w:rsidR="004B4E5E" w:rsidRPr="00451B44" w:rsidRDefault="004B4E5E" w:rsidP="002B4B8D">
      <w:pPr>
        <w:autoSpaceDE w:val="0"/>
        <w:autoSpaceDN w:val="0"/>
        <w:adjustRightInd w:val="0"/>
        <w:spacing w:after="0" w:line="480" w:lineRule="auto"/>
        <w:rPr>
          <w:rFonts w:ascii="Times New Roman" w:hAnsi="Times New Roman" w:cs="Times New Roman"/>
          <w:sz w:val="24"/>
          <w:szCs w:val="24"/>
        </w:rPr>
      </w:pPr>
      <w:r w:rsidRPr="00451B44">
        <w:rPr>
          <w:rFonts w:ascii="Times New Roman" w:hAnsi="Times New Roman" w:cs="Times New Roman"/>
          <w:sz w:val="24"/>
          <w:szCs w:val="24"/>
        </w:rPr>
        <w:t>Studies aimed at identifying regulators of UV-light-induced death have uncovered both metacaspases and ROS generation as key players (Bethke and Jones, 2001). For instance, studies of barley aleurone protoplasts have shown that illumination with UV light leads to rapid increases in the rate of ROS production, specifically H</w:t>
      </w:r>
      <w:r w:rsidRPr="00451B44">
        <w:rPr>
          <w:rFonts w:ascii="Times New Roman" w:hAnsi="Times New Roman" w:cs="Times New Roman"/>
          <w:sz w:val="24"/>
          <w:szCs w:val="24"/>
          <w:vertAlign w:val="subscript"/>
        </w:rPr>
        <w:t>2</w:t>
      </w:r>
      <w:r w:rsidRPr="00451B44">
        <w:rPr>
          <w:rFonts w:ascii="Times New Roman" w:hAnsi="Times New Roman" w:cs="Times New Roman"/>
          <w:sz w:val="24"/>
          <w:szCs w:val="24"/>
        </w:rPr>
        <w:t>O</w:t>
      </w:r>
      <w:r w:rsidRPr="00451B44">
        <w:rPr>
          <w:rFonts w:ascii="Times New Roman" w:hAnsi="Times New Roman" w:cs="Times New Roman"/>
          <w:sz w:val="24"/>
          <w:szCs w:val="24"/>
          <w:vertAlign w:val="subscript"/>
        </w:rPr>
        <w:t>2</w:t>
      </w:r>
      <w:r w:rsidRPr="00451B44">
        <w:rPr>
          <w:rFonts w:ascii="Times New Roman" w:hAnsi="Times New Roman" w:cs="Times New Roman"/>
          <w:sz w:val="24"/>
          <w:szCs w:val="24"/>
        </w:rPr>
        <w:t xml:space="preserve"> (Bethke and Jones, 2001). He </w:t>
      </w:r>
      <w:r w:rsidRPr="00451B44">
        <w:rPr>
          <w:rFonts w:ascii="Times New Roman" w:hAnsi="Times New Roman" w:cs="Times New Roman"/>
          <w:i/>
          <w:iCs/>
          <w:sz w:val="24"/>
          <w:szCs w:val="24"/>
        </w:rPr>
        <w:t>at al</w:t>
      </w:r>
      <w:r w:rsidRPr="00451B44">
        <w:rPr>
          <w:rFonts w:ascii="Times New Roman" w:hAnsi="Times New Roman" w:cs="Times New Roman"/>
          <w:sz w:val="24"/>
          <w:szCs w:val="24"/>
        </w:rPr>
        <w:t>. (2008), have shown that metacaspases play a role in H</w:t>
      </w:r>
      <w:r w:rsidRPr="00451B44">
        <w:rPr>
          <w:rFonts w:ascii="Times New Roman" w:hAnsi="Times New Roman" w:cs="Times New Roman"/>
          <w:sz w:val="24"/>
          <w:szCs w:val="24"/>
          <w:vertAlign w:val="subscript"/>
        </w:rPr>
        <w:t>2</w:t>
      </w:r>
      <w:r w:rsidRPr="00451B44">
        <w:rPr>
          <w:rFonts w:ascii="Times New Roman" w:hAnsi="Times New Roman" w:cs="Times New Roman"/>
          <w:sz w:val="24"/>
          <w:szCs w:val="24"/>
        </w:rPr>
        <w:t>O</w:t>
      </w:r>
      <w:r w:rsidRPr="00451B44">
        <w:rPr>
          <w:rFonts w:ascii="Times New Roman" w:hAnsi="Times New Roman" w:cs="Times New Roman"/>
          <w:sz w:val="24"/>
          <w:szCs w:val="24"/>
          <w:vertAlign w:val="subscript"/>
        </w:rPr>
        <w:t>2</w:t>
      </w:r>
      <w:r w:rsidRPr="00451B44">
        <w:rPr>
          <w:rFonts w:ascii="Times New Roman" w:hAnsi="Times New Roman" w:cs="Times New Roman"/>
          <w:sz w:val="24"/>
          <w:szCs w:val="24"/>
        </w:rPr>
        <w:t xml:space="preserve"> or UV-induced death. They examined the effect of oxidative stress on the expression of the plant metacaspases genes when they treated </w:t>
      </w:r>
      <w:r w:rsidRPr="00451B44">
        <w:rPr>
          <w:rFonts w:ascii="Times New Roman" w:hAnsi="Times New Roman" w:cs="Times New Roman"/>
          <w:i/>
          <w:iCs/>
          <w:sz w:val="24"/>
          <w:szCs w:val="24"/>
        </w:rPr>
        <w:t>Arabidopsis</w:t>
      </w:r>
      <w:r w:rsidRPr="00451B44">
        <w:rPr>
          <w:rFonts w:ascii="Times New Roman" w:hAnsi="Times New Roman" w:cs="Times New Roman"/>
          <w:sz w:val="24"/>
          <w:szCs w:val="24"/>
        </w:rPr>
        <w:t xml:space="preserve"> protoplasts with UV-C and H</w:t>
      </w:r>
      <w:r w:rsidRPr="00451B44">
        <w:rPr>
          <w:rFonts w:ascii="Times New Roman" w:hAnsi="Times New Roman" w:cs="Times New Roman"/>
          <w:sz w:val="24"/>
          <w:szCs w:val="24"/>
          <w:vertAlign w:val="subscript"/>
        </w:rPr>
        <w:t>2</w:t>
      </w:r>
      <w:r w:rsidRPr="00451B44">
        <w:rPr>
          <w:rFonts w:ascii="Times New Roman" w:hAnsi="Times New Roman" w:cs="Times New Roman"/>
          <w:sz w:val="24"/>
          <w:szCs w:val="24"/>
        </w:rPr>
        <w:t>O</w:t>
      </w:r>
      <w:r w:rsidRPr="00451B44">
        <w:rPr>
          <w:rFonts w:ascii="Times New Roman" w:hAnsi="Times New Roman" w:cs="Times New Roman"/>
          <w:sz w:val="24"/>
          <w:szCs w:val="24"/>
          <w:vertAlign w:val="subscript"/>
        </w:rPr>
        <w:t>2</w:t>
      </w:r>
      <w:r w:rsidRPr="00451B44">
        <w:rPr>
          <w:rFonts w:ascii="Times New Roman" w:hAnsi="Times New Roman" w:cs="Times New Roman"/>
          <w:sz w:val="24"/>
          <w:szCs w:val="24"/>
        </w:rPr>
        <w:t xml:space="preserve"> and found that of nine </w:t>
      </w:r>
      <w:r w:rsidRPr="00451B44">
        <w:rPr>
          <w:rFonts w:ascii="Times New Roman" w:hAnsi="Times New Roman" w:cs="Times New Roman"/>
          <w:i/>
          <w:iCs/>
          <w:sz w:val="24"/>
          <w:szCs w:val="24"/>
        </w:rPr>
        <w:t>Arabidopsis</w:t>
      </w:r>
      <w:r w:rsidRPr="00451B44">
        <w:rPr>
          <w:rFonts w:ascii="Times New Roman" w:hAnsi="Times New Roman" w:cs="Times New Roman"/>
          <w:sz w:val="24"/>
          <w:szCs w:val="24"/>
        </w:rPr>
        <w:t xml:space="preserve"> metacaspase genes, metacaspase-8 (AtMC8) was strongly up-regulated by these oxidative stresses. Interestingly, many studies have shown that once cells have been exposed to UV light, an additional period in continuous light is required for PCD to occur. For example, while He </w:t>
      </w:r>
      <w:r w:rsidRPr="00451B44">
        <w:rPr>
          <w:rFonts w:ascii="Times New Roman" w:hAnsi="Times New Roman" w:cs="Times New Roman"/>
          <w:i/>
          <w:iCs/>
          <w:sz w:val="24"/>
          <w:szCs w:val="24"/>
        </w:rPr>
        <w:t>et al.</w:t>
      </w:r>
      <w:r w:rsidRPr="00451B44">
        <w:rPr>
          <w:rFonts w:ascii="Times New Roman" w:hAnsi="Times New Roman" w:cs="Times New Roman"/>
          <w:sz w:val="24"/>
          <w:szCs w:val="24"/>
        </w:rPr>
        <w:t xml:space="preserve"> (2008) were investigating the first genetic evidence that a </w:t>
      </w:r>
      <w:r>
        <w:rPr>
          <w:rFonts w:ascii="Times New Roman" w:hAnsi="Times New Roman" w:cs="Times New Roman"/>
          <w:sz w:val="24"/>
          <w:szCs w:val="24"/>
        </w:rPr>
        <w:t>plant metacaspase plays a role i</w:t>
      </w:r>
      <w:r w:rsidRPr="00451B44">
        <w:rPr>
          <w:rFonts w:ascii="Times New Roman" w:hAnsi="Times New Roman" w:cs="Times New Roman"/>
          <w:sz w:val="24"/>
          <w:szCs w:val="24"/>
        </w:rPr>
        <w:t xml:space="preserve">n PCD, they found that death was dependent on an additional exposure to white light after UV exposure, indicating that this type of PCD may be light dependent. This light-dependent death is not an unusual occurrence and has been shown as a requirement for some types of plant PCD, induced by a variety of stimuli. As mentioned previously, Danon </w:t>
      </w:r>
      <w:r w:rsidRPr="00451B44">
        <w:rPr>
          <w:rFonts w:ascii="Times New Roman" w:hAnsi="Times New Roman" w:cs="Times New Roman"/>
          <w:i/>
          <w:iCs/>
          <w:sz w:val="24"/>
          <w:szCs w:val="24"/>
        </w:rPr>
        <w:t>et al</w:t>
      </w:r>
      <w:r w:rsidRPr="00451B44">
        <w:rPr>
          <w:rFonts w:ascii="Times New Roman" w:hAnsi="Times New Roman" w:cs="Times New Roman"/>
          <w:sz w:val="24"/>
          <w:szCs w:val="24"/>
        </w:rPr>
        <w:t xml:space="preserve">. (2004) </w:t>
      </w:r>
      <w:r>
        <w:rPr>
          <w:rFonts w:ascii="Times New Roman" w:hAnsi="Times New Roman" w:cs="Times New Roman"/>
          <w:sz w:val="24"/>
          <w:szCs w:val="24"/>
        </w:rPr>
        <w:t xml:space="preserve">also </w:t>
      </w:r>
      <w:r w:rsidRPr="00451B44">
        <w:rPr>
          <w:rFonts w:ascii="Times New Roman" w:hAnsi="Times New Roman" w:cs="Times New Roman"/>
          <w:sz w:val="24"/>
          <w:szCs w:val="24"/>
        </w:rPr>
        <w:t xml:space="preserve">found evidence that exposure to continuous light was necessary for death after UV-C overexposure. Similar observations were seen by Asai </w:t>
      </w:r>
      <w:r w:rsidRPr="00451B44">
        <w:rPr>
          <w:rFonts w:ascii="Times New Roman" w:hAnsi="Times New Roman" w:cs="Times New Roman"/>
          <w:i/>
          <w:iCs/>
          <w:sz w:val="24"/>
          <w:szCs w:val="24"/>
        </w:rPr>
        <w:t>et al.</w:t>
      </w:r>
      <w:r w:rsidRPr="00451B44">
        <w:rPr>
          <w:rFonts w:ascii="Times New Roman" w:hAnsi="Times New Roman" w:cs="Times New Roman"/>
          <w:sz w:val="24"/>
          <w:szCs w:val="24"/>
        </w:rPr>
        <w:t xml:space="preserve"> (2000) and Chandra-Shekara </w:t>
      </w:r>
      <w:r w:rsidRPr="00451B44">
        <w:rPr>
          <w:rFonts w:ascii="Times New Roman" w:hAnsi="Times New Roman" w:cs="Times New Roman"/>
          <w:i/>
          <w:iCs/>
          <w:sz w:val="24"/>
          <w:szCs w:val="24"/>
        </w:rPr>
        <w:t>et al.</w:t>
      </w:r>
      <w:r w:rsidRPr="00451B44">
        <w:rPr>
          <w:rFonts w:ascii="Times New Roman" w:hAnsi="Times New Roman" w:cs="Times New Roman"/>
          <w:sz w:val="24"/>
          <w:szCs w:val="24"/>
        </w:rPr>
        <w:t xml:space="preserve"> (2006) who found that death after treatment with the mycotoxin fumonisin B1 or triggering of the hypersensitive response was light-dependent. </w:t>
      </w:r>
    </w:p>
    <w:p w:rsidR="004B4E5E" w:rsidRDefault="004B4E5E" w:rsidP="002B4B8D">
      <w:pPr>
        <w:autoSpaceDE w:val="0"/>
        <w:autoSpaceDN w:val="0"/>
        <w:adjustRightInd w:val="0"/>
        <w:spacing w:after="0" w:line="480" w:lineRule="auto"/>
        <w:rPr>
          <w:rFonts w:ascii="Times New Roman" w:hAnsi="Times New Roman" w:cs="Times New Roman"/>
          <w:sz w:val="24"/>
          <w:szCs w:val="24"/>
        </w:rPr>
      </w:pPr>
    </w:p>
    <w:p w:rsidR="004B4E5E" w:rsidRDefault="004B4E5E" w:rsidP="002B4B8D">
      <w:pPr>
        <w:autoSpaceDE w:val="0"/>
        <w:autoSpaceDN w:val="0"/>
        <w:adjustRightInd w:val="0"/>
        <w:spacing w:after="0" w:line="480" w:lineRule="auto"/>
        <w:rPr>
          <w:rFonts w:ascii="Times New Roman" w:hAnsi="Times New Roman" w:cs="Times New Roman"/>
          <w:sz w:val="24"/>
          <w:szCs w:val="24"/>
        </w:rPr>
      </w:pPr>
      <w:r w:rsidRPr="00451B44">
        <w:rPr>
          <w:rFonts w:ascii="Times New Roman" w:hAnsi="Times New Roman" w:cs="Times New Roman"/>
          <w:sz w:val="24"/>
          <w:szCs w:val="24"/>
        </w:rPr>
        <w:t>Oxidative damage as a result of UV overexposure</w:t>
      </w:r>
      <w:r>
        <w:rPr>
          <w:rFonts w:ascii="Times New Roman" w:hAnsi="Times New Roman" w:cs="Times New Roman"/>
          <w:sz w:val="24"/>
          <w:szCs w:val="24"/>
        </w:rPr>
        <w:t xml:space="preserve"> has previously been documented</w:t>
      </w:r>
      <w:r w:rsidRPr="00451B44">
        <w:rPr>
          <w:rFonts w:ascii="Times New Roman" w:hAnsi="Times New Roman" w:cs="Times New Roman"/>
          <w:sz w:val="24"/>
          <w:szCs w:val="24"/>
        </w:rPr>
        <w:t xml:space="preserve"> in plants (Babu</w:t>
      </w:r>
      <w:r w:rsidRPr="00451B44">
        <w:rPr>
          <w:rFonts w:ascii="Times New Roman" w:hAnsi="Times New Roman" w:cs="Times New Roman"/>
          <w:i/>
          <w:iCs/>
          <w:sz w:val="24"/>
          <w:szCs w:val="24"/>
        </w:rPr>
        <w:t xml:space="preserve"> et al.</w:t>
      </w:r>
      <w:r w:rsidRPr="00451B44">
        <w:rPr>
          <w:rFonts w:ascii="Times New Roman" w:hAnsi="Times New Roman" w:cs="Times New Roman"/>
          <w:sz w:val="24"/>
          <w:szCs w:val="24"/>
        </w:rPr>
        <w:t xml:space="preserve">, 2003, He and Häder, 2002) and recent work by Gao </w:t>
      </w:r>
      <w:r w:rsidRPr="00451B44">
        <w:rPr>
          <w:rFonts w:ascii="Times New Roman" w:hAnsi="Times New Roman" w:cs="Times New Roman"/>
          <w:i/>
          <w:iCs/>
          <w:sz w:val="24"/>
          <w:szCs w:val="24"/>
        </w:rPr>
        <w:t>et al.</w:t>
      </w:r>
      <w:r w:rsidRPr="00451B44">
        <w:rPr>
          <w:rFonts w:ascii="Times New Roman" w:hAnsi="Times New Roman" w:cs="Times New Roman"/>
          <w:sz w:val="24"/>
          <w:szCs w:val="24"/>
        </w:rPr>
        <w:t xml:space="preserve"> </w:t>
      </w:r>
      <w:r w:rsidRPr="00451B44">
        <w:rPr>
          <w:rFonts w:ascii="Times New Roman" w:hAnsi="Times New Roman" w:cs="Times New Roman"/>
          <w:noProof/>
          <w:sz w:val="24"/>
          <w:szCs w:val="24"/>
        </w:rPr>
        <w:t>(2008a)</w:t>
      </w:r>
      <w:r w:rsidRPr="00451B44">
        <w:rPr>
          <w:rFonts w:ascii="Times New Roman" w:hAnsi="Times New Roman" w:cs="Times New Roman"/>
          <w:sz w:val="24"/>
          <w:szCs w:val="24"/>
        </w:rPr>
        <w:t xml:space="preserve"> found that ROS generated by mitochondrial and chloroplast dysfunction induced by UV-C overexposure, may be one of the principal sources of death-inducing ROS. In this study, death was also light-dependent and a burst of ROS activity was detected during light exposure after initial UV-C overexposure (Gao</w:t>
      </w:r>
      <w:r w:rsidRPr="00451B44">
        <w:rPr>
          <w:rFonts w:ascii="Times New Roman" w:hAnsi="Times New Roman" w:cs="Times New Roman"/>
          <w:i/>
          <w:iCs/>
          <w:sz w:val="24"/>
          <w:szCs w:val="24"/>
        </w:rPr>
        <w:t xml:space="preserve"> et al.</w:t>
      </w:r>
      <w:r w:rsidRPr="00451B44">
        <w:rPr>
          <w:rFonts w:ascii="Times New Roman" w:hAnsi="Times New Roman" w:cs="Times New Roman"/>
          <w:sz w:val="24"/>
          <w:szCs w:val="24"/>
        </w:rPr>
        <w:t xml:space="preserve">, 2008a). Interestingly, </w:t>
      </w:r>
      <w:r w:rsidRPr="00451B44">
        <w:rPr>
          <w:rFonts w:ascii="Times New Roman" w:hAnsi="Times New Roman" w:cs="Times New Roman"/>
          <w:sz w:val="24"/>
          <w:szCs w:val="24"/>
          <w:lang w:val="en-GB"/>
        </w:rPr>
        <w:t xml:space="preserve">Jenkins </w:t>
      </w:r>
      <w:r w:rsidRPr="00451B44">
        <w:rPr>
          <w:rFonts w:ascii="Times New Roman" w:hAnsi="Times New Roman" w:cs="Times New Roman"/>
          <w:i/>
          <w:iCs/>
          <w:sz w:val="24"/>
          <w:szCs w:val="24"/>
          <w:lang w:val="en-GB"/>
        </w:rPr>
        <w:t>et al.,</w:t>
      </w:r>
      <w:r w:rsidRPr="00451B44">
        <w:rPr>
          <w:rFonts w:ascii="Times New Roman" w:hAnsi="Times New Roman" w:cs="Times New Roman"/>
          <w:sz w:val="24"/>
          <w:szCs w:val="24"/>
          <w:lang w:val="en-GB"/>
        </w:rPr>
        <w:t xml:space="preserve"> (1997) uncovered a putative link between the UV and heat stress PCD response when they observed the early activation of</w:t>
      </w:r>
      <w:r>
        <w:rPr>
          <w:rFonts w:ascii="Times New Roman" w:hAnsi="Times New Roman" w:cs="Times New Roman"/>
          <w:sz w:val="24"/>
          <w:szCs w:val="24"/>
          <w:lang w:val="en-GB"/>
        </w:rPr>
        <w:t xml:space="preserve"> </w:t>
      </w:r>
      <w:r w:rsidRPr="00451B44">
        <w:rPr>
          <w:rFonts w:ascii="Times New Roman" w:hAnsi="Times New Roman" w:cs="Times New Roman"/>
          <w:sz w:val="24"/>
          <w:szCs w:val="24"/>
          <w:lang w:val="en-GB"/>
        </w:rPr>
        <w:t xml:space="preserve">HSP21 in the </w:t>
      </w:r>
      <w:r w:rsidRPr="00451B44">
        <w:rPr>
          <w:rFonts w:ascii="Times New Roman" w:hAnsi="Times New Roman" w:cs="Times New Roman"/>
          <w:i/>
          <w:iCs/>
          <w:sz w:val="24"/>
          <w:szCs w:val="24"/>
        </w:rPr>
        <w:t xml:space="preserve">uvh6 </w:t>
      </w:r>
      <w:r w:rsidRPr="00451B44">
        <w:rPr>
          <w:rFonts w:ascii="Times New Roman" w:hAnsi="Times New Roman" w:cs="Times New Roman"/>
          <w:sz w:val="24"/>
          <w:szCs w:val="24"/>
        </w:rPr>
        <w:t xml:space="preserve">mutant of </w:t>
      </w:r>
      <w:r w:rsidRPr="00451B44">
        <w:rPr>
          <w:rFonts w:ascii="Times New Roman" w:hAnsi="Times New Roman" w:cs="Times New Roman"/>
          <w:i/>
          <w:iCs/>
          <w:sz w:val="24"/>
          <w:szCs w:val="24"/>
        </w:rPr>
        <w:t>Arabidopsis</w:t>
      </w:r>
      <w:r w:rsidRPr="00451B44">
        <w:rPr>
          <w:rFonts w:ascii="Times New Roman" w:hAnsi="Times New Roman" w:cs="Times New Roman"/>
          <w:sz w:val="24"/>
          <w:szCs w:val="24"/>
        </w:rPr>
        <w:t xml:space="preserve"> which has an increased sensitivity to UV radiation. </w:t>
      </w:r>
    </w:p>
    <w:p w:rsidR="004B4E5E" w:rsidRPr="00451B44" w:rsidRDefault="004B4E5E" w:rsidP="002B4B8D">
      <w:pPr>
        <w:autoSpaceDE w:val="0"/>
        <w:autoSpaceDN w:val="0"/>
        <w:adjustRightInd w:val="0"/>
        <w:spacing w:after="0" w:line="480" w:lineRule="auto"/>
        <w:rPr>
          <w:rFonts w:ascii="Times New Roman" w:hAnsi="Times New Roman" w:cs="Times New Roman"/>
          <w:sz w:val="24"/>
          <w:szCs w:val="24"/>
        </w:rPr>
      </w:pPr>
    </w:p>
    <w:p w:rsidR="004B4E5E" w:rsidRPr="00451B44" w:rsidRDefault="004B4E5E" w:rsidP="00035E18">
      <w:pPr>
        <w:pStyle w:val="ListParagraph"/>
        <w:numPr>
          <w:ilvl w:val="0"/>
          <w:numId w:val="31"/>
        </w:numPr>
        <w:autoSpaceDE w:val="0"/>
        <w:autoSpaceDN w:val="0"/>
        <w:adjustRightInd w:val="0"/>
        <w:spacing w:after="0" w:line="480" w:lineRule="auto"/>
        <w:ind w:firstLine="348"/>
        <w:rPr>
          <w:rFonts w:ascii="Times New Roman" w:hAnsi="Times New Roman" w:cs="Times New Roman"/>
          <w:b/>
          <w:bCs/>
          <w:sz w:val="24"/>
          <w:szCs w:val="24"/>
          <w:lang w:eastAsia="en-IE"/>
        </w:rPr>
      </w:pPr>
      <w:r>
        <w:rPr>
          <w:rFonts w:ascii="Times New Roman" w:hAnsi="Times New Roman" w:cs="Times New Roman"/>
          <w:b/>
          <w:bCs/>
          <w:sz w:val="24"/>
          <w:szCs w:val="24"/>
          <w:lang w:eastAsia="en-IE"/>
        </w:rPr>
        <w:t>PCD during</w:t>
      </w:r>
      <w:r w:rsidRPr="00451B44">
        <w:rPr>
          <w:rFonts w:ascii="Times New Roman" w:hAnsi="Times New Roman" w:cs="Times New Roman"/>
          <w:b/>
          <w:bCs/>
          <w:sz w:val="24"/>
          <w:szCs w:val="24"/>
          <w:lang w:eastAsia="en-IE"/>
        </w:rPr>
        <w:t xml:space="preserve"> plant-pathogen interactions</w:t>
      </w:r>
    </w:p>
    <w:p w:rsidR="004B4E5E" w:rsidRPr="00451B44" w:rsidRDefault="004B4E5E" w:rsidP="002B4B8D">
      <w:pPr>
        <w:pStyle w:val="ListParagraph"/>
        <w:autoSpaceDE w:val="0"/>
        <w:autoSpaceDN w:val="0"/>
        <w:adjustRightInd w:val="0"/>
        <w:spacing w:after="0" w:line="480" w:lineRule="auto"/>
        <w:ind w:left="426"/>
        <w:rPr>
          <w:rFonts w:ascii="Times New Roman" w:hAnsi="Times New Roman" w:cs="Times New Roman"/>
          <w:b/>
          <w:bCs/>
          <w:sz w:val="24"/>
          <w:szCs w:val="24"/>
          <w:lang w:eastAsia="en-IE"/>
        </w:rPr>
      </w:pPr>
    </w:p>
    <w:p w:rsidR="004B4E5E" w:rsidRPr="00451B44" w:rsidRDefault="004B4E5E" w:rsidP="00035E18">
      <w:pPr>
        <w:pStyle w:val="ListParagraph"/>
        <w:numPr>
          <w:ilvl w:val="1"/>
          <w:numId w:val="31"/>
        </w:numPr>
        <w:autoSpaceDE w:val="0"/>
        <w:autoSpaceDN w:val="0"/>
        <w:adjustRightInd w:val="0"/>
        <w:spacing w:after="0" w:line="480" w:lineRule="auto"/>
        <w:ind w:left="3595" w:hanging="2177"/>
        <w:rPr>
          <w:rFonts w:ascii="Times New Roman" w:hAnsi="Times New Roman" w:cs="Times New Roman"/>
          <w:b/>
          <w:bCs/>
          <w:sz w:val="24"/>
          <w:szCs w:val="24"/>
          <w:lang w:eastAsia="en-IE"/>
        </w:rPr>
      </w:pPr>
      <w:r w:rsidRPr="00451B44">
        <w:rPr>
          <w:rFonts w:ascii="Times New Roman" w:hAnsi="Times New Roman" w:cs="Times New Roman"/>
          <w:b/>
          <w:bCs/>
          <w:sz w:val="24"/>
          <w:szCs w:val="24"/>
          <w:lang w:eastAsia="en-IE"/>
        </w:rPr>
        <w:t>Hypersensitive Response</w:t>
      </w:r>
    </w:p>
    <w:p w:rsidR="004B4E5E" w:rsidRPr="00451B44" w:rsidRDefault="004B4E5E" w:rsidP="002B4B8D">
      <w:pPr>
        <w:spacing w:line="480" w:lineRule="auto"/>
        <w:rPr>
          <w:rFonts w:ascii="Times New Roman" w:hAnsi="Times New Roman" w:cs="Times New Roman"/>
          <w:sz w:val="24"/>
          <w:szCs w:val="24"/>
        </w:rPr>
      </w:pPr>
      <w:r w:rsidRPr="00451B44">
        <w:rPr>
          <w:rFonts w:ascii="Times New Roman" w:hAnsi="Times New Roman" w:cs="Times New Roman"/>
          <w:sz w:val="24"/>
          <w:szCs w:val="24"/>
        </w:rPr>
        <w:t>The hy</w:t>
      </w:r>
      <w:r>
        <w:rPr>
          <w:rFonts w:ascii="Times New Roman" w:hAnsi="Times New Roman" w:cs="Times New Roman"/>
          <w:sz w:val="24"/>
          <w:szCs w:val="24"/>
        </w:rPr>
        <w:t>persensitive response (HR) is</w:t>
      </w:r>
      <w:r w:rsidRPr="00451B44">
        <w:rPr>
          <w:rFonts w:ascii="Times New Roman" w:hAnsi="Times New Roman" w:cs="Times New Roman"/>
          <w:sz w:val="24"/>
          <w:szCs w:val="24"/>
        </w:rPr>
        <w:t xml:space="preserve"> a rapid cell death induced at a site of pathogen infection. It is believed to limit pathogen spread beyond the site of challenge and it has a putative involvement in systemic signalling </w:t>
      </w:r>
      <w:r w:rsidRPr="00451B44">
        <w:rPr>
          <w:rFonts w:ascii="Times New Roman" w:hAnsi="Times New Roman" w:cs="Times New Roman"/>
          <w:noProof/>
          <w:sz w:val="24"/>
          <w:szCs w:val="24"/>
        </w:rPr>
        <w:t>(Heath, 2000)</w:t>
      </w:r>
      <w:r w:rsidRPr="00451B44">
        <w:rPr>
          <w:rFonts w:ascii="Times New Roman" w:hAnsi="Times New Roman" w:cs="Times New Roman"/>
          <w:sz w:val="24"/>
          <w:szCs w:val="24"/>
        </w:rPr>
        <w:t xml:space="preserve">. </w:t>
      </w:r>
    </w:p>
    <w:p w:rsidR="004B4E5E" w:rsidRPr="00451B44" w:rsidRDefault="004B4E5E" w:rsidP="002B4B8D">
      <w:pPr>
        <w:spacing w:line="480" w:lineRule="auto"/>
        <w:rPr>
          <w:rStyle w:val="nbapihighlight"/>
          <w:rFonts w:ascii="Times New Roman" w:hAnsi="Times New Roman" w:cs="Times New Roman"/>
          <w:sz w:val="24"/>
          <w:szCs w:val="24"/>
        </w:rPr>
      </w:pPr>
      <w:r w:rsidRPr="00451B44">
        <w:rPr>
          <w:rFonts w:ascii="Times New Roman" w:hAnsi="Times New Roman" w:cs="Times New Roman"/>
          <w:sz w:val="24"/>
          <w:szCs w:val="24"/>
        </w:rPr>
        <w:t>In general, HR is characteri</w:t>
      </w:r>
      <w:r>
        <w:rPr>
          <w:rFonts w:ascii="Times New Roman" w:hAnsi="Times New Roman" w:cs="Times New Roman"/>
          <w:sz w:val="24"/>
          <w:szCs w:val="24"/>
        </w:rPr>
        <w:t>s</w:t>
      </w:r>
      <w:r w:rsidRPr="00451B44">
        <w:rPr>
          <w:rFonts w:ascii="Times New Roman" w:hAnsi="Times New Roman" w:cs="Times New Roman"/>
          <w:sz w:val="24"/>
          <w:szCs w:val="24"/>
        </w:rPr>
        <w:t>ed by the presence of dead, brown cells and where enough cells die, visible lesions develop. Death may be restricted to cells having direct contact with the pathogen, but it may also expand beyond the initial site of infection. In addition, timing of death induction and execution may vary depending upon plant-pathogen interaction. Different infection strategies adopted by diverse types of pathogen often give rise to variations in the phenotypical appearance and timing of the HR response</w:t>
      </w:r>
      <w:r>
        <w:rPr>
          <w:rFonts w:ascii="Times New Roman" w:hAnsi="Times New Roman" w:cs="Times New Roman"/>
          <w:sz w:val="24"/>
          <w:szCs w:val="24"/>
        </w:rPr>
        <w:t xml:space="preserve"> </w:t>
      </w:r>
      <w:r w:rsidRPr="00451B44">
        <w:rPr>
          <w:rFonts w:ascii="Times New Roman" w:hAnsi="Times New Roman" w:cs="Times New Roman"/>
          <w:noProof/>
          <w:sz w:val="24"/>
          <w:szCs w:val="24"/>
        </w:rPr>
        <w:t>(Mur</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2008)</w:t>
      </w:r>
      <w:r>
        <w:rPr>
          <w:rFonts w:ascii="Times New Roman" w:hAnsi="Times New Roman" w:cs="Times New Roman"/>
          <w:sz w:val="24"/>
          <w:szCs w:val="24"/>
        </w:rPr>
        <w:t xml:space="preserve">. </w:t>
      </w:r>
      <w:r w:rsidRPr="00451B44">
        <w:rPr>
          <w:rFonts w:ascii="Times New Roman" w:hAnsi="Times New Roman" w:cs="Times New Roman"/>
          <w:sz w:val="24"/>
          <w:szCs w:val="24"/>
        </w:rPr>
        <w:t>Plant-pathogen interaction result</w:t>
      </w:r>
      <w:r>
        <w:rPr>
          <w:rFonts w:ascii="Times New Roman" w:hAnsi="Times New Roman" w:cs="Times New Roman"/>
          <w:sz w:val="24"/>
          <w:szCs w:val="24"/>
        </w:rPr>
        <w:t>ing in the triggering of the hy</w:t>
      </w:r>
      <w:r w:rsidRPr="00451B44">
        <w:rPr>
          <w:rFonts w:ascii="Times New Roman" w:hAnsi="Times New Roman" w:cs="Times New Roman"/>
          <w:sz w:val="24"/>
          <w:szCs w:val="24"/>
        </w:rPr>
        <w:t xml:space="preserve">persensitive response may be host specific. Host specific resistance is based on ‘gene-for-gene’ interaction between </w:t>
      </w:r>
      <w:r>
        <w:rPr>
          <w:rFonts w:ascii="Times New Roman" w:hAnsi="Times New Roman" w:cs="Times New Roman"/>
          <w:sz w:val="24"/>
          <w:szCs w:val="24"/>
        </w:rPr>
        <w:t>plant and</w:t>
      </w:r>
      <w:r w:rsidRPr="00451B44">
        <w:rPr>
          <w:rFonts w:ascii="Times New Roman" w:hAnsi="Times New Roman" w:cs="Times New Roman"/>
          <w:sz w:val="24"/>
          <w:szCs w:val="24"/>
        </w:rPr>
        <w:t xml:space="preserve"> pathogen and requires a </w:t>
      </w:r>
      <w:r w:rsidRPr="00451B44">
        <w:rPr>
          <w:rFonts w:ascii="Times New Roman" w:hAnsi="Times New Roman" w:cs="Times New Roman"/>
          <w:sz w:val="24"/>
          <w:szCs w:val="24"/>
          <w:lang w:eastAsia="en-IE"/>
        </w:rPr>
        <w:t>resistance (</w:t>
      </w:r>
      <w:r w:rsidRPr="00451B44">
        <w:rPr>
          <w:rFonts w:ascii="Times New Roman" w:hAnsi="Times New Roman" w:cs="Times New Roman"/>
          <w:i/>
          <w:iCs/>
          <w:sz w:val="24"/>
          <w:szCs w:val="24"/>
          <w:lang w:eastAsia="en-IE"/>
        </w:rPr>
        <w:t>R</w:t>
      </w:r>
      <w:r w:rsidRPr="00451B44">
        <w:rPr>
          <w:rFonts w:ascii="Times New Roman" w:hAnsi="Times New Roman" w:cs="Times New Roman"/>
          <w:sz w:val="24"/>
          <w:szCs w:val="24"/>
          <w:lang w:eastAsia="en-IE"/>
        </w:rPr>
        <w:t>) gene in the plant and a corresponding avirulence (</w:t>
      </w:r>
      <w:r w:rsidRPr="00451B44">
        <w:rPr>
          <w:rFonts w:ascii="Times New Roman" w:hAnsi="Times New Roman" w:cs="Times New Roman"/>
          <w:i/>
          <w:iCs/>
          <w:sz w:val="24"/>
          <w:szCs w:val="24"/>
          <w:lang w:eastAsia="en-IE"/>
        </w:rPr>
        <w:t>Avr</w:t>
      </w:r>
      <w:r w:rsidRPr="00451B44">
        <w:rPr>
          <w:rFonts w:ascii="Times New Roman" w:hAnsi="Times New Roman" w:cs="Times New Roman"/>
          <w:sz w:val="24"/>
          <w:szCs w:val="24"/>
          <w:lang w:eastAsia="en-IE"/>
        </w:rPr>
        <w:t xml:space="preserve">) gene in the pathogen, with R genes being presumed to enable recognition of pathogen specific molecules, initiate signal transduction to activate defence and have the capacity to rapidly evolve new R genes specificities </w:t>
      </w:r>
      <w:r w:rsidRPr="00451B44">
        <w:rPr>
          <w:rFonts w:ascii="Times New Roman" w:hAnsi="Times New Roman" w:cs="Times New Roman"/>
          <w:noProof/>
          <w:sz w:val="24"/>
          <w:szCs w:val="24"/>
          <w:lang w:eastAsia="en-IE"/>
        </w:rPr>
        <w:t>(Hammond-Kosack and Jones, 1997)</w:t>
      </w:r>
      <w:r w:rsidRPr="00451B44">
        <w:rPr>
          <w:rFonts w:ascii="Times New Roman" w:hAnsi="Times New Roman" w:cs="Times New Roman"/>
          <w:sz w:val="24"/>
          <w:szCs w:val="24"/>
          <w:lang w:eastAsia="en-IE"/>
        </w:rPr>
        <w:t xml:space="preserve">. Interaction of R gene and </w:t>
      </w:r>
      <w:r w:rsidRPr="00451B44">
        <w:rPr>
          <w:rFonts w:ascii="Times New Roman" w:hAnsi="Times New Roman" w:cs="Times New Roman"/>
          <w:i/>
          <w:iCs/>
          <w:sz w:val="24"/>
          <w:szCs w:val="24"/>
          <w:lang w:eastAsia="en-IE"/>
        </w:rPr>
        <w:t>avr</w:t>
      </w:r>
      <w:r w:rsidRPr="00451B44">
        <w:rPr>
          <w:rFonts w:ascii="Times New Roman" w:hAnsi="Times New Roman" w:cs="Times New Roman"/>
          <w:sz w:val="24"/>
          <w:szCs w:val="24"/>
          <w:lang w:eastAsia="en-IE"/>
        </w:rPr>
        <w:t xml:space="preserve"> gen</w:t>
      </w:r>
      <w:r>
        <w:rPr>
          <w:rFonts w:ascii="Times New Roman" w:hAnsi="Times New Roman" w:cs="Times New Roman"/>
          <w:sz w:val="24"/>
          <w:szCs w:val="24"/>
          <w:lang w:eastAsia="en-IE"/>
        </w:rPr>
        <w:t>e products can be either direct</w:t>
      </w:r>
      <w:r w:rsidRPr="00451B44">
        <w:rPr>
          <w:rFonts w:ascii="Times New Roman" w:hAnsi="Times New Roman" w:cs="Times New Roman"/>
          <w:sz w:val="24"/>
          <w:szCs w:val="24"/>
          <w:lang w:eastAsia="en-IE"/>
        </w:rPr>
        <w:t xml:space="preserve"> </w:t>
      </w:r>
      <w:r>
        <w:rPr>
          <w:rFonts w:ascii="Times New Roman" w:hAnsi="Times New Roman" w:cs="Times New Roman"/>
          <w:sz w:val="24"/>
          <w:szCs w:val="24"/>
          <w:lang w:eastAsia="en-IE"/>
        </w:rPr>
        <w:t>(</w:t>
      </w:r>
      <w:r w:rsidRPr="00451B44">
        <w:rPr>
          <w:rFonts w:ascii="Times New Roman" w:hAnsi="Times New Roman" w:cs="Times New Roman"/>
          <w:sz w:val="24"/>
          <w:szCs w:val="24"/>
          <w:lang w:eastAsia="en-IE"/>
        </w:rPr>
        <w:t>Catanzariti</w:t>
      </w:r>
      <w:r w:rsidRPr="00451B44">
        <w:rPr>
          <w:rFonts w:ascii="Times New Roman" w:hAnsi="Times New Roman" w:cs="Times New Roman"/>
          <w:i/>
          <w:iCs/>
          <w:sz w:val="24"/>
          <w:szCs w:val="24"/>
          <w:lang w:eastAsia="en-IE"/>
        </w:rPr>
        <w:t xml:space="preserve"> et al.</w:t>
      </w:r>
      <w:r>
        <w:rPr>
          <w:rFonts w:ascii="Times New Roman" w:hAnsi="Times New Roman" w:cs="Times New Roman"/>
          <w:i/>
          <w:iCs/>
          <w:sz w:val="24"/>
          <w:szCs w:val="24"/>
          <w:lang w:eastAsia="en-IE"/>
        </w:rPr>
        <w:t xml:space="preserve">, </w:t>
      </w:r>
      <w:r>
        <w:rPr>
          <w:rFonts w:ascii="Times New Roman" w:hAnsi="Times New Roman" w:cs="Times New Roman"/>
          <w:sz w:val="24"/>
          <w:szCs w:val="24"/>
          <w:lang w:eastAsia="en-IE"/>
        </w:rPr>
        <w:t xml:space="preserve">2010, </w:t>
      </w:r>
      <w:r w:rsidRPr="00451B44">
        <w:rPr>
          <w:rFonts w:ascii="Times New Roman" w:hAnsi="Times New Roman" w:cs="Times New Roman"/>
          <w:sz w:val="24"/>
          <w:szCs w:val="24"/>
          <w:lang w:eastAsia="en-IE"/>
        </w:rPr>
        <w:t xml:space="preserve">Jia </w:t>
      </w:r>
      <w:r w:rsidRPr="00451B44">
        <w:rPr>
          <w:rFonts w:ascii="Times New Roman" w:hAnsi="Times New Roman" w:cs="Times New Roman"/>
          <w:i/>
          <w:iCs/>
          <w:sz w:val="24"/>
          <w:szCs w:val="24"/>
          <w:lang w:eastAsia="en-IE"/>
        </w:rPr>
        <w:t>et al.</w:t>
      </w:r>
      <w:r>
        <w:rPr>
          <w:rFonts w:ascii="Times New Roman" w:hAnsi="Times New Roman" w:cs="Times New Roman"/>
          <w:i/>
          <w:iCs/>
          <w:sz w:val="24"/>
          <w:szCs w:val="24"/>
          <w:lang w:eastAsia="en-IE"/>
        </w:rPr>
        <w:t>,</w:t>
      </w:r>
      <w:r w:rsidRPr="00451B44">
        <w:rPr>
          <w:rFonts w:ascii="Times New Roman" w:hAnsi="Times New Roman" w:cs="Times New Roman"/>
          <w:sz w:val="24"/>
          <w:szCs w:val="24"/>
          <w:lang w:eastAsia="en-IE"/>
        </w:rPr>
        <w:t xml:space="preserve"> </w:t>
      </w:r>
      <w:r>
        <w:rPr>
          <w:rFonts w:ascii="Times New Roman" w:hAnsi="Times New Roman" w:cs="Times New Roman"/>
          <w:sz w:val="24"/>
          <w:szCs w:val="24"/>
          <w:lang w:eastAsia="en-IE"/>
        </w:rPr>
        <w:t>2000)</w:t>
      </w:r>
      <w:r w:rsidRPr="00451B44">
        <w:rPr>
          <w:rFonts w:ascii="Times New Roman" w:hAnsi="Times New Roman" w:cs="Times New Roman"/>
          <w:i/>
          <w:iCs/>
          <w:sz w:val="24"/>
          <w:szCs w:val="24"/>
          <w:lang w:eastAsia="en-IE"/>
        </w:rPr>
        <w:t xml:space="preserve"> </w:t>
      </w:r>
      <w:r>
        <w:rPr>
          <w:rFonts w:ascii="Times New Roman" w:hAnsi="Times New Roman" w:cs="Times New Roman"/>
          <w:sz w:val="24"/>
          <w:szCs w:val="24"/>
          <w:lang w:eastAsia="en-IE"/>
        </w:rPr>
        <w:t>or indirect</w:t>
      </w:r>
      <w:r w:rsidRPr="00451B44">
        <w:rPr>
          <w:rFonts w:ascii="Times New Roman" w:hAnsi="Times New Roman" w:cs="Times New Roman"/>
          <w:sz w:val="24"/>
          <w:szCs w:val="24"/>
          <w:lang w:eastAsia="en-IE"/>
        </w:rPr>
        <w:t xml:space="preserve"> </w:t>
      </w:r>
      <w:r>
        <w:rPr>
          <w:rFonts w:ascii="Times New Roman" w:hAnsi="Times New Roman" w:cs="Times New Roman"/>
          <w:sz w:val="24"/>
          <w:szCs w:val="24"/>
          <w:lang w:eastAsia="en-IE"/>
        </w:rPr>
        <w:t>(</w:t>
      </w:r>
      <w:r w:rsidRPr="00451B44">
        <w:rPr>
          <w:rFonts w:ascii="Times New Roman" w:hAnsi="Times New Roman" w:cs="Times New Roman"/>
          <w:sz w:val="24"/>
          <w:szCs w:val="24"/>
          <w:lang w:eastAsia="en-IE"/>
        </w:rPr>
        <w:t xml:space="preserve">Axtell </w:t>
      </w:r>
      <w:r w:rsidRPr="00451B44">
        <w:rPr>
          <w:rFonts w:ascii="Times New Roman" w:hAnsi="Times New Roman" w:cs="Times New Roman"/>
          <w:i/>
          <w:iCs/>
          <w:sz w:val="24"/>
          <w:szCs w:val="24"/>
          <w:lang w:eastAsia="en-IE"/>
        </w:rPr>
        <w:t>et al.</w:t>
      </w:r>
      <w:r>
        <w:rPr>
          <w:rFonts w:ascii="Times New Roman" w:hAnsi="Times New Roman" w:cs="Times New Roman"/>
          <w:i/>
          <w:iCs/>
          <w:sz w:val="24"/>
          <w:szCs w:val="24"/>
          <w:lang w:eastAsia="en-IE"/>
        </w:rPr>
        <w:t>,</w:t>
      </w:r>
      <w:r w:rsidRPr="00451B44">
        <w:rPr>
          <w:rFonts w:ascii="Times New Roman" w:hAnsi="Times New Roman" w:cs="Times New Roman"/>
          <w:i/>
          <w:iCs/>
          <w:sz w:val="24"/>
          <w:szCs w:val="24"/>
          <w:lang w:eastAsia="en-IE"/>
        </w:rPr>
        <w:t xml:space="preserve"> </w:t>
      </w:r>
      <w:r>
        <w:rPr>
          <w:rFonts w:ascii="Times New Roman" w:hAnsi="Times New Roman" w:cs="Times New Roman"/>
          <w:sz w:val="24"/>
          <w:szCs w:val="24"/>
          <w:lang w:eastAsia="en-IE"/>
        </w:rPr>
        <w:t>2003,</w:t>
      </w:r>
      <w:r w:rsidRPr="00451B44">
        <w:rPr>
          <w:rFonts w:ascii="Times New Roman" w:hAnsi="Times New Roman" w:cs="Times New Roman"/>
          <w:sz w:val="24"/>
          <w:szCs w:val="24"/>
          <w:lang w:eastAsia="en-IE"/>
        </w:rPr>
        <w:t xml:space="preserve"> Shao </w:t>
      </w:r>
      <w:r w:rsidRPr="00451B44">
        <w:rPr>
          <w:rFonts w:ascii="Times New Roman" w:hAnsi="Times New Roman" w:cs="Times New Roman"/>
          <w:i/>
          <w:iCs/>
          <w:sz w:val="24"/>
          <w:szCs w:val="24"/>
          <w:lang w:eastAsia="en-IE"/>
        </w:rPr>
        <w:t>et al</w:t>
      </w:r>
      <w:r>
        <w:rPr>
          <w:rFonts w:ascii="Times New Roman" w:hAnsi="Times New Roman" w:cs="Times New Roman"/>
          <w:i/>
          <w:iCs/>
          <w:sz w:val="24"/>
          <w:szCs w:val="24"/>
          <w:lang w:eastAsia="en-IE"/>
        </w:rPr>
        <w:t>.,</w:t>
      </w:r>
      <w:r w:rsidRPr="00451B44">
        <w:rPr>
          <w:rFonts w:ascii="Times New Roman" w:hAnsi="Times New Roman" w:cs="Times New Roman"/>
          <w:i/>
          <w:iCs/>
          <w:sz w:val="24"/>
          <w:szCs w:val="24"/>
          <w:lang w:eastAsia="en-IE"/>
        </w:rPr>
        <w:t xml:space="preserve"> </w:t>
      </w:r>
      <w:r>
        <w:rPr>
          <w:rFonts w:ascii="Times New Roman" w:hAnsi="Times New Roman" w:cs="Times New Roman"/>
          <w:sz w:val="24"/>
          <w:szCs w:val="24"/>
          <w:lang w:eastAsia="en-IE"/>
        </w:rPr>
        <w:t>2003)</w:t>
      </w:r>
      <w:r w:rsidRPr="00451B44">
        <w:rPr>
          <w:rFonts w:ascii="Times New Roman" w:hAnsi="Times New Roman" w:cs="Times New Roman"/>
          <w:sz w:val="24"/>
          <w:szCs w:val="24"/>
          <w:lang w:eastAsia="en-IE"/>
        </w:rPr>
        <w:t>. Homology has been detected between several R gene products (</w:t>
      </w:r>
      <w:r w:rsidRPr="00451B44">
        <w:rPr>
          <w:rFonts w:ascii="Times New Roman" w:hAnsi="Times New Roman" w:cs="Times New Roman"/>
          <w:sz w:val="24"/>
          <w:szCs w:val="24"/>
        </w:rPr>
        <w:t xml:space="preserve">RPM1, </w:t>
      </w:r>
      <w:r w:rsidRPr="00451B44">
        <w:rPr>
          <w:rStyle w:val="nbapihighlight"/>
          <w:rFonts w:ascii="Times New Roman" w:hAnsi="Times New Roman" w:cs="Times New Roman"/>
          <w:sz w:val="24"/>
          <w:szCs w:val="24"/>
        </w:rPr>
        <w:t>RPS2</w:t>
      </w:r>
      <w:r w:rsidRPr="00451B44">
        <w:rPr>
          <w:rFonts w:ascii="Times New Roman" w:hAnsi="Times New Roman" w:cs="Times New Roman"/>
          <w:sz w:val="24"/>
          <w:szCs w:val="24"/>
        </w:rPr>
        <w:t xml:space="preserve">, RPP5, N, and L6) and the nematode cell death proteins </w:t>
      </w:r>
      <w:r w:rsidRPr="00451B44">
        <w:rPr>
          <w:rStyle w:val="nbapihighlight"/>
          <w:rFonts w:ascii="Times New Roman" w:hAnsi="Times New Roman" w:cs="Times New Roman"/>
          <w:sz w:val="24"/>
          <w:szCs w:val="24"/>
        </w:rPr>
        <w:t>CED-4</w:t>
      </w:r>
      <w:r w:rsidRPr="00451B44">
        <w:rPr>
          <w:rFonts w:ascii="Times New Roman" w:hAnsi="Times New Roman" w:cs="Times New Roman"/>
          <w:sz w:val="24"/>
          <w:szCs w:val="24"/>
        </w:rPr>
        <w:t xml:space="preserve"> and </w:t>
      </w:r>
      <w:r w:rsidRPr="00451B44">
        <w:rPr>
          <w:rStyle w:val="nbapihighlight"/>
          <w:rFonts w:ascii="Times New Roman" w:hAnsi="Times New Roman" w:cs="Times New Roman"/>
          <w:sz w:val="24"/>
          <w:szCs w:val="24"/>
        </w:rPr>
        <w:t>APAF-1</w:t>
      </w:r>
      <w:r w:rsidRPr="00451B44">
        <w:rPr>
          <w:rFonts w:ascii="Times New Roman" w:hAnsi="Times New Roman" w:cs="Times New Roman"/>
          <w:sz w:val="24"/>
          <w:szCs w:val="24"/>
        </w:rPr>
        <w:t xml:space="preserve"> </w:t>
      </w:r>
      <w:r w:rsidRPr="00451B44">
        <w:rPr>
          <w:rStyle w:val="nbapihighlight"/>
          <w:rFonts w:ascii="Times New Roman" w:hAnsi="Times New Roman" w:cs="Times New Roman"/>
          <w:noProof/>
          <w:sz w:val="24"/>
          <w:szCs w:val="24"/>
        </w:rPr>
        <w:t>(van der Biezen and Jones, 1998)</w:t>
      </w:r>
      <w:r w:rsidRPr="00451B44">
        <w:rPr>
          <w:rStyle w:val="nbapihighlight"/>
          <w:rFonts w:ascii="Times New Roman" w:hAnsi="Times New Roman" w:cs="Times New Roman"/>
          <w:sz w:val="24"/>
          <w:szCs w:val="24"/>
        </w:rPr>
        <w:t xml:space="preserve">. Considering the importance of the two latter proteins in the execution of PCD in animal systems, the conservation of the regulatory core of cell death programmes between kingdoms is possible. </w:t>
      </w:r>
    </w:p>
    <w:p w:rsidR="004B4E5E" w:rsidRPr="00451B44" w:rsidRDefault="004B4E5E" w:rsidP="002B4B8D">
      <w:pPr>
        <w:autoSpaceDE w:val="0"/>
        <w:autoSpaceDN w:val="0"/>
        <w:adjustRightInd w:val="0"/>
        <w:spacing w:after="0" w:line="480" w:lineRule="auto"/>
        <w:rPr>
          <w:rFonts w:ascii="Times New Roman" w:hAnsi="Times New Roman" w:cs="Times New Roman"/>
          <w:sz w:val="24"/>
          <w:szCs w:val="24"/>
        </w:rPr>
      </w:pPr>
      <w:r>
        <w:rPr>
          <w:rStyle w:val="nbapihighlight"/>
          <w:rFonts w:ascii="Times New Roman" w:hAnsi="Times New Roman" w:cs="Times New Roman"/>
          <w:sz w:val="24"/>
          <w:szCs w:val="24"/>
        </w:rPr>
        <w:t>Nonhost resistance is a</w:t>
      </w:r>
      <w:r w:rsidRPr="00451B44">
        <w:rPr>
          <w:rStyle w:val="nbapihighlight"/>
          <w:rFonts w:ascii="Times New Roman" w:hAnsi="Times New Roman" w:cs="Times New Roman"/>
          <w:sz w:val="24"/>
          <w:szCs w:val="24"/>
        </w:rPr>
        <w:t>nother pathogen response mecha</w:t>
      </w:r>
      <w:r>
        <w:rPr>
          <w:rStyle w:val="nbapihighlight"/>
          <w:rFonts w:ascii="Times New Roman" w:hAnsi="Times New Roman" w:cs="Times New Roman"/>
          <w:sz w:val="24"/>
          <w:szCs w:val="24"/>
        </w:rPr>
        <w:t>nism which may result in HR</w:t>
      </w:r>
      <w:r w:rsidRPr="00451B44">
        <w:rPr>
          <w:rStyle w:val="nbapihighlight"/>
          <w:rFonts w:ascii="Times New Roman" w:hAnsi="Times New Roman" w:cs="Times New Roman"/>
          <w:sz w:val="24"/>
          <w:szCs w:val="24"/>
        </w:rPr>
        <w:t xml:space="preserve"> and describes the diverse defence strategies used to protect plants against a wide range of pathogens. Consequently, nonhost resistance is of great interest to those researchers developing resistance crops. Induction of nonhost resistance </w:t>
      </w:r>
      <w:r>
        <w:rPr>
          <w:rStyle w:val="nbapihighlight"/>
          <w:rFonts w:ascii="Times New Roman" w:hAnsi="Times New Roman" w:cs="Times New Roman"/>
          <w:sz w:val="24"/>
          <w:szCs w:val="24"/>
        </w:rPr>
        <w:t>is driven by</w:t>
      </w:r>
      <w:r w:rsidRPr="00451B44">
        <w:rPr>
          <w:rStyle w:val="nbapihighlight"/>
          <w:rFonts w:ascii="Times New Roman" w:hAnsi="Times New Roman" w:cs="Times New Roman"/>
          <w:sz w:val="24"/>
          <w:szCs w:val="24"/>
        </w:rPr>
        <w:t xml:space="preserve"> general elicitors produced by pathogens. General elicitors include numerous microbial surface-derived compounds which are often referred </w:t>
      </w:r>
      <w:r>
        <w:rPr>
          <w:rStyle w:val="nbapihighlight"/>
          <w:rFonts w:ascii="Times New Roman" w:hAnsi="Times New Roman" w:cs="Times New Roman"/>
          <w:sz w:val="24"/>
          <w:szCs w:val="24"/>
        </w:rPr>
        <w:t xml:space="preserve">to </w:t>
      </w:r>
      <w:r w:rsidRPr="00451B44">
        <w:rPr>
          <w:rStyle w:val="nbapihighlight"/>
          <w:rFonts w:ascii="Times New Roman" w:hAnsi="Times New Roman" w:cs="Times New Roman"/>
          <w:sz w:val="24"/>
          <w:szCs w:val="24"/>
        </w:rPr>
        <w:t xml:space="preserve">as </w:t>
      </w:r>
      <w:r w:rsidRPr="00451B44">
        <w:rPr>
          <w:rFonts w:ascii="Times New Roman" w:hAnsi="Times New Roman" w:cs="Times New Roman"/>
          <w:sz w:val="24"/>
          <w:szCs w:val="24"/>
        </w:rPr>
        <w:t xml:space="preserve">pathogen-associated molecular patterns (PAMPs) </w:t>
      </w:r>
      <w:r w:rsidRPr="00451B44">
        <w:rPr>
          <w:rFonts w:ascii="Times New Roman" w:hAnsi="Times New Roman" w:cs="Times New Roman"/>
          <w:noProof/>
          <w:sz w:val="24"/>
          <w:szCs w:val="24"/>
        </w:rPr>
        <w:t>(Nürnberger and Brunner, 2002)</w:t>
      </w:r>
      <w:r w:rsidRPr="00451B44">
        <w:rPr>
          <w:rFonts w:ascii="Times New Roman" w:hAnsi="Times New Roman" w:cs="Times New Roman"/>
          <w:sz w:val="24"/>
          <w:szCs w:val="24"/>
        </w:rPr>
        <w:t xml:space="preserve">. Examples of these include </w:t>
      </w:r>
      <w:r w:rsidRPr="00451B44">
        <w:rPr>
          <w:rStyle w:val="nbapihighlight"/>
          <w:rFonts w:ascii="Times New Roman" w:hAnsi="Times New Roman" w:cs="Times New Roman"/>
          <w:sz w:val="24"/>
          <w:szCs w:val="24"/>
        </w:rPr>
        <w:t xml:space="preserve">flagellin (bacterial flagella protein activating mitogen-activated protein kinase cascade) </w:t>
      </w:r>
      <w:r w:rsidRPr="00451B44">
        <w:rPr>
          <w:rStyle w:val="nbapihighlight"/>
          <w:rFonts w:ascii="Times New Roman" w:hAnsi="Times New Roman" w:cs="Times New Roman"/>
          <w:noProof/>
          <w:sz w:val="24"/>
          <w:szCs w:val="24"/>
        </w:rPr>
        <w:t>(Asai</w:t>
      </w:r>
      <w:r w:rsidRPr="00451B44">
        <w:rPr>
          <w:rStyle w:val="nbapihighlight"/>
          <w:rFonts w:ascii="Times New Roman" w:hAnsi="Times New Roman" w:cs="Times New Roman"/>
          <w:i/>
          <w:iCs/>
          <w:noProof/>
          <w:sz w:val="24"/>
          <w:szCs w:val="24"/>
        </w:rPr>
        <w:t xml:space="preserve"> et al.</w:t>
      </w:r>
      <w:r w:rsidRPr="00451B44">
        <w:rPr>
          <w:rStyle w:val="nbapihighlight"/>
          <w:rFonts w:ascii="Times New Roman" w:hAnsi="Times New Roman" w:cs="Times New Roman"/>
          <w:noProof/>
          <w:sz w:val="24"/>
          <w:szCs w:val="24"/>
        </w:rPr>
        <w:t>, 2002)</w:t>
      </w:r>
      <w:r w:rsidRPr="00451B44">
        <w:rPr>
          <w:rStyle w:val="nbapihighlight"/>
          <w:rFonts w:ascii="Times New Roman" w:hAnsi="Times New Roman" w:cs="Times New Roman"/>
          <w:sz w:val="24"/>
          <w:szCs w:val="24"/>
        </w:rPr>
        <w:t xml:space="preserve"> or oligomers of chitin </w:t>
      </w:r>
      <w:r w:rsidRPr="00451B44">
        <w:rPr>
          <w:rStyle w:val="nbapihighlight"/>
          <w:rFonts w:ascii="Times New Roman" w:hAnsi="Times New Roman" w:cs="Times New Roman"/>
          <w:noProof/>
          <w:sz w:val="24"/>
          <w:szCs w:val="24"/>
        </w:rPr>
        <w:t>(Boller, 1995)</w:t>
      </w:r>
      <w:r>
        <w:rPr>
          <w:rStyle w:val="nbapihighlight"/>
          <w:rFonts w:ascii="Times New Roman" w:hAnsi="Times New Roman" w:cs="Times New Roman"/>
          <w:sz w:val="24"/>
          <w:szCs w:val="24"/>
        </w:rPr>
        <w:t xml:space="preserve"> or</w:t>
      </w:r>
      <w:r w:rsidRPr="00451B44">
        <w:rPr>
          <w:rStyle w:val="nbapihighlight"/>
          <w:rFonts w:ascii="Times New Roman" w:hAnsi="Times New Roman" w:cs="Times New Roman"/>
          <w:sz w:val="24"/>
          <w:szCs w:val="24"/>
        </w:rPr>
        <w:t xml:space="preserve"> glucans </w:t>
      </w:r>
      <w:r w:rsidRPr="00451B44">
        <w:rPr>
          <w:rStyle w:val="nbapihighlight"/>
          <w:rFonts w:ascii="Times New Roman" w:hAnsi="Times New Roman" w:cs="Times New Roman"/>
          <w:noProof/>
          <w:sz w:val="24"/>
          <w:szCs w:val="24"/>
        </w:rPr>
        <w:t>(Yamaguchi</w:t>
      </w:r>
      <w:r w:rsidRPr="00451B44">
        <w:rPr>
          <w:rStyle w:val="nbapihighlight"/>
          <w:rFonts w:ascii="Times New Roman" w:hAnsi="Times New Roman" w:cs="Times New Roman"/>
          <w:i/>
          <w:iCs/>
          <w:noProof/>
          <w:sz w:val="24"/>
          <w:szCs w:val="24"/>
        </w:rPr>
        <w:t xml:space="preserve"> et al.</w:t>
      </w:r>
      <w:r w:rsidRPr="00451B44">
        <w:rPr>
          <w:rStyle w:val="nbapihighlight"/>
          <w:rFonts w:ascii="Times New Roman" w:hAnsi="Times New Roman" w:cs="Times New Roman"/>
          <w:noProof/>
          <w:sz w:val="24"/>
          <w:szCs w:val="24"/>
        </w:rPr>
        <w:t>, 2000)</w:t>
      </w:r>
      <w:r>
        <w:rPr>
          <w:rStyle w:val="nbapihighlight"/>
          <w:rFonts w:ascii="Times New Roman" w:hAnsi="Times New Roman" w:cs="Times New Roman"/>
          <w:sz w:val="24"/>
          <w:szCs w:val="24"/>
        </w:rPr>
        <w:t xml:space="preserve"> released from the </w:t>
      </w:r>
      <w:r w:rsidRPr="00451B44">
        <w:rPr>
          <w:rStyle w:val="nbapihighlight"/>
          <w:rFonts w:ascii="Times New Roman" w:hAnsi="Times New Roman" w:cs="Times New Roman"/>
          <w:sz w:val="24"/>
          <w:szCs w:val="24"/>
        </w:rPr>
        <w:t>cell walls of pathogens. A wide range of compounds has been identified to</w:t>
      </w:r>
      <w:r>
        <w:rPr>
          <w:rStyle w:val="nbapihighlight"/>
          <w:rFonts w:ascii="Times New Roman" w:hAnsi="Times New Roman" w:cs="Times New Roman"/>
          <w:sz w:val="24"/>
          <w:szCs w:val="24"/>
        </w:rPr>
        <w:t xml:space="preserve"> exhibit elicitor activity, for example,</w:t>
      </w:r>
      <w:r w:rsidRPr="00451B44">
        <w:rPr>
          <w:rStyle w:val="nbapihighlight"/>
          <w:rFonts w:ascii="Times New Roman" w:hAnsi="Times New Roman" w:cs="Times New Roman"/>
          <w:sz w:val="24"/>
          <w:szCs w:val="24"/>
        </w:rPr>
        <w:t xml:space="preserve"> arachidonic acid </w:t>
      </w:r>
      <w:r w:rsidRPr="00451B44">
        <w:rPr>
          <w:rStyle w:val="nbapihighlight"/>
          <w:rFonts w:ascii="Times New Roman" w:hAnsi="Times New Roman" w:cs="Times New Roman"/>
          <w:noProof/>
          <w:sz w:val="24"/>
          <w:szCs w:val="24"/>
        </w:rPr>
        <w:t>(Boller, 1995)</w:t>
      </w:r>
      <w:r w:rsidRPr="00451B44">
        <w:rPr>
          <w:rStyle w:val="nbapihighlight"/>
          <w:rFonts w:ascii="Times New Roman" w:hAnsi="Times New Roman" w:cs="Times New Roman"/>
          <w:sz w:val="24"/>
          <w:szCs w:val="24"/>
        </w:rPr>
        <w:t xml:space="preserve">, </w:t>
      </w:r>
      <w:r w:rsidRPr="00451B44">
        <w:rPr>
          <w:rStyle w:val="nbapihighlight"/>
          <w:rFonts w:ascii="Times New Roman" w:hAnsi="Times New Roman" w:cs="Times New Roman"/>
          <w:i/>
          <w:iCs/>
          <w:sz w:val="24"/>
          <w:szCs w:val="24"/>
        </w:rPr>
        <w:t>Xanthomonas</w:t>
      </w:r>
      <w:r w:rsidRPr="00451B44">
        <w:rPr>
          <w:rStyle w:val="nbapihighlight"/>
          <w:rFonts w:ascii="Times New Roman" w:hAnsi="Times New Roman" w:cs="Times New Roman"/>
          <w:sz w:val="24"/>
          <w:szCs w:val="24"/>
        </w:rPr>
        <w:t xml:space="preserve"> derived harpin </w:t>
      </w:r>
      <w:r w:rsidRPr="00451B44">
        <w:rPr>
          <w:rStyle w:val="nbapihighlight"/>
          <w:rFonts w:ascii="Times New Roman" w:hAnsi="Times New Roman" w:cs="Times New Roman"/>
          <w:noProof/>
          <w:sz w:val="24"/>
          <w:szCs w:val="24"/>
        </w:rPr>
        <w:t>(Kim</w:t>
      </w:r>
      <w:r w:rsidRPr="00451B44">
        <w:rPr>
          <w:rStyle w:val="nbapihighlight"/>
          <w:rFonts w:ascii="Times New Roman" w:hAnsi="Times New Roman" w:cs="Times New Roman"/>
          <w:i/>
          <w:iCs/>
          <w:noProof/>
          <w:sz w:val="24"/>
          <w:szCs w:val="24"/>
        </w:rPr>
        <w:t xml:space="preserve"> et al.</w:t>
      </w:r>
      <w:r w:rsidRPr="00451B44">
        <w:rPr>
          <w:rStyle w:val="nbapihighlight"/>
          <w:rFonts w:ascii="Times New Roman" w:hAnsi="Times New Roman" w:cs="Times New Roman"/>
          <w:noProof/>
          <w:sz w:val="24"/>
          <w:szCs w:val="24"/>
        </w:rPr>
        <w:t>, 2004)</w:t>
      </w:r>
      <w:r w:rsidRPr="00451B44">
        <w:rPr>
          <w:rStyle w:val="nbapihighlight"/>
          <w:rFonts w:ascii="Times New Roman" w:hAnsi="Times New Roman" w:cs="Times New Roman"/>
          <w:sz w:val="24"/>
          <w:szCs w:val="24"/>
        </w:rPr>
        <w:t xml:space="preserve"> or Pep-13 peptide fragment from </w:t>
      </w:r>
      <w:r w:rsidRPr="00451B44">
        <w:rPr>
          <w:rStyle w:val="nbapihighlight"/>
          <w:rFonts w:ascii="Times New Roman" w:hAnsi="Times New Roman" w:cs="Times New Roman"/>
          <w:i/>
          <w:iCs/>
          <w:sz w:val="24"/>
          <w:szCs w:val="24"/>
        </w:rPr>
        <w:t>Phytophthora sojae</w:t>
      </w:r>
      <w:r w:rsidRPr="00451B44">
        <w:rPr>
          <w:rStyle w:val="nbapihighlight"/>
          <w:rFonts w:ascii="Times New Roman" w:hAnsi="Times New Roman" w:cs="Times New Roman"/>
          <w:sz w:val="24"/>
          <w:szCs w:val="24"/>
        </w:rPr>
        <w:t xml:space="preserve"> </w:t>
      </w:r>
      <w:r>
        <w:rPr>
          <w:rStyle w:val="nbapihighlight"/>
          <w:rFonts w:ascii="Times New Roman" w:hAnsi="Times New Roman" w:cs="Times New Roman"/>
          <w:sz w:val="24"/>
          <w:szCs w:val="24"/>
        </w:rPr>
        <w:t>(Brunner</w:t>
      </w:r>
      <w:r w:rsidRPr="00E92831">
        <w:rPr>
          <w:rStyle w:val="nbapihighlight"/>
          <w:rFonts w:ascii="Times New Roman" w:hAnsi="Times New Roman" w:cs="Times New Roman"/>
          <w:i/>
          <w:iCs/>
          <w:sz w:val="24"/>
          <w:szCs w:val="24"/>
        </w:rPr>
        <w:t xml:space="preserve"> et al.</w:t>
      </w:r>
      <w:r>
        <w:rPr>
          <w:rStyle w:val="nbapihighlight"/>
          <w:rFonts w:ascii="Times New Roman" w:hAnsi="Times New Roman" w:cs="Times New Roman"/>
          <w:sz w:val="24"/>
          <w:szCs w:val="24"/>
        </w:rPr>
        <w:t>, 2002)</w:t>
      </w:r>
      <w:r w:rsidRPr="00451B44">
        <w:rPr>
          <w:rStyle w:val="nbapihighlight"/>
          <w:rFonts w:ascii="Times New Roman" w:hAnsi="Times New Roman" w:cs="Times New Roman"/>
          <w:sz w:val="24"/>
          <w:szCs w:val="24"/>
        </w:rPr>
        <w:t xml:space="preserve"> </w:t>
      </w:r>
      <w:r>
        <w:rPr>
          <w:rStyle w:val="nbapihighlight"/>
          <w:rFonts w:ascii="Times New Roman" w:hAnsi="Times New Roman" w:cs="Times New Roman"/>
          <w:sz w:val="24"/>
          <w:szCs w:val="24"/>
        </w:rPr>
        <w:t>(</w:t>
      </w:r>
      <w:r w:rsidRPr="00451B44">
        <w:rPr>
          <w:rStyle w:val="nbapihighlight"/>
          <w:rFonts w:ascii="Times New Roman" w:hAnsi="Times New Roman" w:cs="Times New Roman"/>
          <w:sz w:val="24"/>
          <w:szCs w:val="24"/>
        </w:rPr>
        <w:t>reviewed by Boller and Felix</w:t>
      </w:r>
      <w:r>
        <w:rPr>
          <w:rStyle w:val="nbapihighlight"/>
          <w:rFonts w:ascii="Times New Roman" w:hAnsi="Times New Roman" w:cs="Times New Roman"/>
          <w:sz w:val="24"/>
          <w:szCs w:val="24"/>
        </w:rPr>
        <w:t>,</w:t>
      </w:r>
      <w:r w:rsidRPr="00451B44">
        <w:rPr>
          <w:rStyle w:val="nbapihighlight"/>
          <w:rFonts w:ascii="Times New Roman" w:hAnsi="Times New Roman" w:cs="Times New Roman"/>
          <w:sz w:val="24"/>
          <w:szCs w:val="24"/>
        </w:rPr>
        <w:t xml:space="preserve"> </w:t>
      </w:r>
      <w:r w:rsidRPr="00451B44">
        <w:rPr>
          <w:rStyle w:val="nbapihighlight"/>
          <w:rFonts w:ascii="Times New Roman" w:hAnsi="Times New Roman" w:cs="Times New Roman"/>
          <w:noProof/>
          <w:sz w:val="24"/>
          <w:szCs w:val="24"/>
        </w:rPr>
        <w:t>2009)</w:t>
      </w:r>
      <w:r w:rsidRPr="00451B44">
        <w:rPr>
          <w:rStyle w:val="nbapihighlight"/>
          <w:rFonts w:ascii="Times New Roman" w:hAnsi="Times New Roman" w:cs="Times New Roman"/>
          <w:sz w:val="24"/>
          <w:szCs w:val="24"/>
        </w:rPr>
        <w:t>. General elicitors activate production of antimicrobial proteins and phytoalexins, papilla (local cell wall fortification is formed on the inner side of plant cell walls), cell wall lignifications, accumulation of phenolics, production of saponins and other plant defence responses (reviewed by Mysore and Ryu</w:t>
      </w:r>
      <w:r>
        <w:rPr>
          <w:rStyle w:val="nbapihighlight"/>
          <w:rFonts w:ascii="Times New Roman" w:hAnsi="Times New Roman" w:cs="Times New Roman"/>
          <w:sz w:val="24"/>
          <w:szCs w:val="24"/>
        </w:rPr>
        <w:t>,</w:t>
      </w:r>
      <w:r w:rsidRPr="00451B44">
        <w:rPr>
          <w:rStyle w:val="nbapihighlight"/>
          <w:rFonts w:ascii="Times New Roman" w:hAnsi="Times New Roman" w:cs="Times New Roman"/>
          <w:sz w:val="24"/>
          <w:szCs w:val="24"/>
        </w:rPr>
        <w:t xml:space="preserve"> </w:t>
      </w:r>
      <w:r>
        <w:rPr>
          <w:rStyle w:val="nbapihighlight"/>
          <w:rFonts w:ascii="Times New Roman" w:hAnsi="Times New Roman" w:cs="Times New Roman"/>
          <w:sz w:val="24"/>
          <w:szCs w:val="24"/>
        </w:rPr>
        <w:t>2004)</w:t>
      </w:r>
      <w:r w:rsidRPr="00451B44">
        <w:rPr>
          <w:rStyle w:val="nbapihighlight"/>
          <w:rFonts w:ascii="Times New Roman" w:hAnsi="Times New Roman" w:cs="Times New Roman"/>
          <w:sz w:val="24"/>
          <w:szCs w:val="24"/>
        </w:rPr>
        <w:t xml:space="preserve">. The aforementioned mechanisms can be sufficient to arrest pathogen growth (type I nonhost resistance), but in cases where the pathogen is able to overcome early defence mechanisms, type II nonhost resistance is activated via </w:t>
      </w:r>
      <w:r w:rsidRPr="00451B44">
        <w:rPr>
          <w:rFonts w:ascii="Times New Roman" w:hAnsi="Times New Roman" w:cs="Times New Roman"/>
          <w:sz w:val="24"/>
          <w:szCs w:val="24"/>
        </w:rPr>
        <w:t>cellular defence surveillance mechanisms. Recognition of pathogen elicitors (in cytoplasm or plant cell membrane) triggers defence mechanisms often leading to HR (Mysore and Ryu, 2004, Thordal-Christensen, 2003).</w:t>
      </w:r>
    </w:p>
    <w:p w:rsidR="004B4E5E" w:rsidRDefault="004B4E5E" w:rsidP="002B4B8D">
      <w:pPr>
        <w:autoSpaceDE w:val="0"/>
        <w:autoSpaceDN w:val="0"/>
        <w:adjustRightInd w:val="0"/>
        <w:spacing w:after="0" w:line="480" w:lineRule="auto"/>
        <w:rPr>
          <w:rFonts w:ascii="Times New Roman" w:hAnsi="Times New Roman" w:cs="Times New Roman"/>
          <w:sz w:val="24"/>
          <w:szCs w:val="24"/>
        </w:rPr>
      </w:pPr>
    </w:p>
    <w:p w:rsidR="004B4E5E" w:rsidRPr="00451B44" w:rsidRDefault="004B4E5E" w:rsidP="002B4B8D">
      <w:pPr>
        <w:autoSpaceDE w:val="0"/>
        <w:autoSpaceDN w:val="0"/>
        <w:adjustRightInd w:val="0"/>
        <w:spacing w:after="0" w:line="480" w:lineRule="auto"/>
        <w:rPr>
          <w:rFonts w:ascii="Times New Roman" w:hAnsi="Times New Roman" w:cs="Times New Roman"/>
          <w:sz w:val="24"/>
          <w:szCs w:val="24"/>
        </w:rPr>
      </w:pPr>
      <w:r w:rsidRPr="00451B44">
        <w:rPr>
          <w:rFonts w:ascii="Times New Roman" w:hAnsi="Times New Roman" w:cs="Times New Roman"/>
          <w:sz w:val="24"/>
          <w:szCs w:val="24"/>
        </w:rPr>
        <w:t>De</w:t>
      </w:r>
      <w:r>
        <w:rPr>
          <w:rFonts w:ascii="Times New Roman" w:hAnsi="Times New Roman" w:cs="Times New Roman"/>
          <w:sz w:val="24"/>
          <w:szCs w:val="24"/>
        </w:rPr>
        <w:t>spite increasing understanding of</w:t>
      </w:r>
      <w:r w:rsidRPr="00451B44">
        <w:rPr>
          <w:rFonts w:ascii="Times New Roman" w:hAnsi="Times New Roman" w:cs="Times New Roman"/>
          <w:sz w:val="24"/>
          <w:szCs w:val="24"/>
        </w:rPr>
        <w:t xml:space="preserve"> HR mechanism</w:t>
      </w:r>
      <w:r>
        <w:rPr>
          <w:rFonts w:ascii="Times New Roman" w:hAnsi="Times New Roman" w:cs="Times New Roman"/>
          <w:sz w:val="24"/>
          <w:szCs w:val="24"/>
        </w:rPr>
        <w:t>s</w:t>
      </w:r>
      <w:r w:rsidRPr="00451B44">
        <w:rPr>
          <w:rFonts w:ascii="Times New Roman" w:hAnsi="Times New Roman" w:cs="Times New Roman"/>
          <w:sz w:val="24"/>
          <w:szCs w:val="24"/>
        </w:rPr>
        <w:t xml:space="preserve"> and regulation, the precise contribution of HR to plant resistance is still unknown. While cell death may be an efficient defence mechanism espe</w:t>
      </w:r>
      <w:r>
        <w:rPr>
          <w:rFonts w:ascii="Times New Roman" w:hAnsi="Times New Roman" w:cs="Times New Roman"/>
          <w:sz w:val="24"/>
          <w:szCs w:val="24"/>
        </w:rPr>
        <w:t>cially against biotrophic (</w:t>
      </w:r>
      <w:r w:rsidRPr="00451B44">
        <w:rPr>
          <w:rFonts w:ascii="Times New Roman" w:hAnsi="Times New Roman" w:cs="Times New Roman"/>
          <w:sz w:val="24"/>
          <w:szCs w:val="24"/>
        </w:rPr>
        <w:t xml:space="preserve">requiring living host cells for survival) pathogens (although it is not always supported by experimental data </w:t>
      </w:r>
      <w:r w:rsidRPr="00451B44">
        <w:rPr>
          <w:rFonts w:ascii="Times New Roman" w:hAnsi="Times New Roman" w:cs="Times New Roman"/>
          <w:noProof/>
          <w:sz w:val="24"/>
          <w:szCs w:val="24"/>
        </w:rPr>
        <w:t>(Richael</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1999)</w:t>
      </w:r>
      <w:r>
        <w:rPr>
          <w:rFonts w:ascii="Times New Roman" w:hAnsi="Times New Roman" w:cs="Times New Roman"/>
          <w:noProof/>
          <w:sz w:val="24"/>
          <w:szCs w:val="24"/>
        </w:rPr>
        <w:t>)</w:t>
      </w:r>
      <w:r w:rsidRPr="00451B44">
        <w:rPr>
          <w:rFonts w:ascii="Times New Roman" w:hAnsi="Times New Roman" w:cs="Times New Roman"/>
          <w:sz w:val="24"/>
          <w:szCs w:val="24"/>
        </w:rPr>
        <w:t xml:space="preserve">, it does not seem </w:t>
      </w:r>
      <w:r>
        <w:rPr>
          <w:rFonts w:ascii="Times New Roman" w:hAnsi="Times New Roman" w:cs="Times New Roman"/>
          <w:sz w:val="24"/>
          <w:szCs w:val="24"/>
        </w:rPr>
        <w:t xml:space="preserve">to be </w:t>
      </w:r>
      <w:r w:rsidRPr="00451B44">
        <w:rPr>
          <w:rFonts w:ascii="Times New Roman" w:hAnsi="Times New Roman" w:cs="Times New Roman"/>
          <w:sz w:val="24"/>
          <w:szCs w:val="24"/>
        </w:rPr>
        <w:t xml:space="preserve">a necessary component of resistance in general. Indeed, plants of the ‘defence, no death’ mutant line of </w:t>
      </w:r>
      <w:r w:rsidRPr="00451B44">
        <w:rPr>
          <w:rFonts w:ascii="Times New Roman" w:hAnsi="Times New Roman" w:cs="Times New Roman"/>
          <w:i/>
          <w:iCs/>
          <w:sz w:val="24"/>
          <w:szCs w:val="24"/>
        </w:rPr>
        <w:t>Arabidopsis</w:t>
      </w:r>
      <w:r w:rsidRPr="00451B44">
        <w:rPr>
          <w:rFonts w:ascii="Times New Roman" w:hAnsi="Times New Roman" w:cs="Times New Roman"/>
          <w:sz w:val="24"/>
          <w:szCs w:val="24"/>
        </w:rPr>
        <w:t xml:space="preserve"> thaliana, despite being HR defective, exhibited effective gene-for-gene resistance against </w:t>
      </w:r>
      <w:r w:rsidRPr="00451B44">
        <w:rPr>
          <w:rFonts w:ascii="Times New Roman" w:hAnsi="Times New Roman" w:cs="Times New Roman"/>
          <w:i/>
          <w:iCs/>
          <w:sz w:val="24"/>
          <w:szCs w:val="24"/>
        </w:rPr>
        <w:t>Pseudomonas syringae</w:t>
      </w:r>
      <w:r w:rsidRPr="00451B44">
        <w:rPr>
          <w:rFonts w:ascii="Times New Roman" w:hAnsi="Times New Roman" w:cs="Times New Roman"/>
          <w:sz w:val="24"/>
          <w:szCs w:val="24"/>
        </w:rPr>
        <w:t xml:space="preserve"> </w:t>
      </w:r>
      <w:r w:rsidRPr="00451B44">
        <w:rPr>
          <w:rFonts w:ascii="Times New Roman" w:hAnsi="Times New Roman" w:cs="Times New Roman"/>
          <w:noProof/>
          <w:sz w:val="24"/>
          <w:szCs w:val="24"/>
        </w:rPr>
        <w:t>(Yu</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1998)</w:t>
      </w:r>
      <w:r w:rsidRPr="00451B44">
        <w:rPr>
          <w:rFonts w:ascii="Times New Roman" w:hAnsi="Times New Roman" w:cs="Times New Roman"/>
          <w:sz w:val="24"/>
          <w:szCs w:val="24"/>
        </w:rPr>
        <w:t xml:space="preserve">. Also cell death inhibition studies revealed that uncoupling of PCD from defence genes activation is possible </w:t>
      </w:r>
      <w:r w:rsidRPr="00451B44">
        <w:rPr>
          <w:rFonts w:ascii="Times New Roman" w:hAnsi="Times New Roman" w:cs="Times New Roman"/>
          <w:noProof/>
          <w:sz w:val="24"/>
          <w:szCs w:val="24"/>
        </w:rPr>
        <w:t>(del Pozo and Lam, 1998)</w:t>
      </w:r>
      <w:r>
        <w:rPr>
          <w:rFonts w:ascii="Times New Roman" w:hAnsi="Times New Roman" w:cs="Times New Roman"/>
          <w:sz w:val="24"/>
          <w:szCs w:val="24"/>
        </w:rPr>
        <w:t>. This uncoupling</w:t>
      </w:r>
      <w:r w:rsidRPr="00451B44">
        <w:rPr>
          <w:rFonts w:ascii="Times New Roman" w:hAnsi="Times New Roman" w:cs="Times New Roman"/>
          <w:sz w:val="24"/>
          <w:szCs w:val="24"/>
        </w:rPr>
        <w:t xml:space="preserve"> is supported by results of Bendahmane </w:t>
      </w:r>
      <w:r w:rsidRPr="00451B44">
        <w:rPr>
          <w:rFonts w:ascii="Times New Roman" w:hAnsi="Times New Roman" w:cs="Times New Roman"/>
          <w:i/>
          <w:iCs/>
          <w:sz w:val="24"/>
          <w:szCs w:val="24"/>
        </w:rPr>
        <w:t xml:space="preserve">et al. </w:t>
      </w:r>
      <w:r w:rsidRPr="00451B44">
        <w:rPr>
          <w:rFonts w:ascii="Times New Roman" w:hAnsi="Times New Roman" w:cs="Times New Roman"/>
          <w:noProof/>
          <w:sz w:val="24"/>
          <w:szCs w:val="24"/>
        </w:rPr>
        <w:t>(1999)</w:t>
      </w:r>
      <w:r w:rsidRPr="00451B44">
        <w:rPr>
          <w:rFonts w:ascii="Times New Roman" w:hAnsi="Times New Roman" w:cs="Times New Roman"/>
          <w:sz w:val="24"/>
          <w:szCs w:val="24"/>
        </w:rPr>
        <w:t xml:space="preserve"> who demonstrated that cell death and pathogen arrest are separate disease responses in plants based on the example of Rx-mediated resistance against potato virus X. It seems therefore possible that HR is a resistance induction reinforcing/stimulating strategy.  </w:t>
      </w:r>
    </w:p>
    <w:p w:rsidR="004B4E5E" w:rsidRDefault="004B4E5E" w:rsidP="002B4B8D">
      <w:pPr>
        <w:autoSpaceDE w:val="0"/>
        <w:autoSpaceDN w:val="0"/>
        <w:adjustRightInd w:val="0"/>
        <w:spacing w:after="0" w:line="480" w:lineRule="auto"/>
        <w:rPr>
          <w:rFonts w:ascii="Times New Roman" w:hAnsi="Times New Roman" w:cs="Times New Roman"/>
          <w:sz w:val="24"/>
          <w:szCs w:val="24"/>
        </w:rPr>
      </w:pPr>
    </w:p>
    <w:p w:rsidR="004B4E5E" w:rsidRPr="00451B44" w:rsidRDefault="004B4E5E" w:rsidP="002B4B8D">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It has</w:t>
      </w:r>
      <w:r w:rsidRPr="00451B44">
        <w:rPr>
          <w:rFonts w:ascii="Times New Roman" w:hAnsi="Times New Roman" w:cs="Times New Roman"/>
          <w:sz w:val="24"/>
          <w:szCs w:val="24"/>
        </w:rPr>
        <w:t xml:space="preserve"> also </w:t>
      </w:r>
      <w:r>
        <w:rPr>
          <w:rFonts w:ascii="Times New Roman" w:hAnsi="Times New Roman" w:cs="Times New Roman"/>
          <w:sz w:val="24"/>
          <w:szCs w:val="24"/>
        </w:rPr>
        <w:t xml:space="preserve">been </w:t>
      </w:r>
      <w:r w:rsidRPr="00451B44">
        <w:rPr>
          <w:rFonts w:ascii="Times New Roman" w:hAnsi="Times New Roman" w:cs="Times New Roman"/>
          <w:sz w:val="24"/>
          <w:szCs w:val="24"/>
        </w:rPr>
        <w:t xml:space="preserve">postulated that HR participates in systemic acquired response (SAR), which is a form of resistance triggered on a systemic scale in healthy tissues following local infection. It has been proposed that cells adjacent to the site of infection become more responsive to pathogen elicitors as a result of signals released during HR (phenylpropanoid metabolites - genistein and salicylic acid were suggested as the potent signalling molecules) </w:t>
      </w:r>
      <w:r w:rsidRPr="00451B44">
        <w:rPr>
          <w:rFonts w:ascii="Times New Roman" w:hAnsi="Times New Roman" w:cs="Times New Roman"/>
          <w:noProof/>
          <w:sz w:val="24"/>
          <w:szCs w:val="24"/>
        </w:rPr>
        <w:t>(Graham and Graham, 1999)</w:t>
      </w:r>
      <w:r w:rsidRPr="00451B44">
        <w:rPr>
          <w:rFonts w:ascii="Times New Roman" w:hAnsi="Times New Roman" w:cs="Times New Roman"/>
          <w:sz w:val="24"/>
          <w:szCs w:val="24"/>
        </w:rPr>
        <w:t xml:space="preserve">. Alvarez </w:t>
      </w:r>
      <w:r w:rsidRPr="00451B44">
        <w:rPr>
          <w:rFonts w:ascii="Times New Roman" w:hAnsi="Times New Roman" w:cs="Times New Roman"/>
          <w:i/>
          <w:iCs/>
          <w:sz w:val="24"/>
          <w:szCs w:val="24"/>
        </w:rPr>
        <w:t>et al.</w:t>
      </w:r>
      <w:r w:rsidRPr="00451B44">
        <w:rPr>
          <w:rFonts w:ascii="Times New Roman" w:hAnsi="Times New Roman" w:cs="Times New Roman"/>
          <w:sz w:val="24"/>
          <w:szCs w:val="24"/>
        </w:rPr>
        <w:t xml:space="preserve"> </w:t>
      </w:r>
      <w:r w:rsidRPr="00451B44">
        <w:rPr>
          <w:rFonts w:ascii="Times New Roman" w:hAnsi="Times New Roman" w:cs="Times New Roman"/>
          <w:noProof/>
          <w:sz w:val="24"/>
          <w:szCs w:val="24"/>
        </w:rPr>
        <w:t>(1998)</w:t>
      </w:r>
      <w:r w:rsidRPr="00451B44">
        <w:rPr>
          <w:rFonts w:ascii="Times New Roman" w:hAnsi="Times New Roman" w:cs="Times New Roman"/>
          <w:sz w:val="24"/>
          <w:szCs w:val="24"/>
        </w:rPr>
        <w:t xml:space="preserve"> reported the induction of secondary oxidative bursts in distant tissues and the formation of systemic micro-HRs following local infection, both of which they considered to be important for systemic immunity. HR may therefore function more as a signalling system than as a direct defence mechanism </w:t>
      </w:r>
      <w:r w:rsidRPr="00451B44">
        <w:rPr>
          <w:rFonts w:ascii="Times New Roman" w:hAnsi="Times New Roman" w:cs="Times New Roman"/>
          <w:noProof/>
          <w:sz w:val="24"/>
          <w:szCs w:val="24"/>
        </w:rPr>
        <w:t>(Heath, 2000)</w:t>
      </w:r>
      <w:r w:rsidRPr="00451B44">
        <w:rPr>
          <w:rFonts w:ascii="Times New Roman" w:hAnsi="Times New Roman" w:cs="Times New Roman"/>
          <w:sz w:val="24"/>
          <w:szCs w:val="24"/>
        </w:rPr>
        <w:t>.</w:t>
      </w:r>
    </w:p>
    <w:p w:rsidR="004B4E5E" w:rsidRDefault="004B4E5E" w:rsidP="002B4B8D">
      <w:pPr>
        <w:autoSpaceDE w:val="0"/>
        <w:autoSpaceDN w:val="0"/>
        <w:adjustRightInd w:val="0"/>
        <w:spacing w:after="0" w:line="480" w:lineRule="auto"/>
        <w:rPr>
          <w:rFonts w:ascii="Times New Roman" w:hAnsi="Times New Roman" w:cs="Times New Roman"/>
          <w:sz w:val="24"/>
          <w:szCs w:val="24"/>
        </w:rPr>
      </w:pPr>
    </w:p>
    <w:p w:rsidR="004B4E5E" w:rsidRDefault="004B4E5E" w:rsidP="002B4B8D">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There exists increasing</w:t>
      </w:r>
      <w:r w:rsidRPr="00451B44">
        <w:rPr>
          <w:rFonts w:ascii="Times New Roman" w:hAnsi="Times New Roman" w:cs="Times New Roman"/>
          <w:sz w:val="24"/>
          <w:szCs w:val="24"/>
        </w:rPr>
        <w:t xml:space="preserve"> evidence that HR is a form of PCD, sharing some common features with animal apoptosis. Ion fluxes are frequently observed to be an early step in HR induction </w:t>
      </w:r>
      <w:r w:rsidRPr="00451B44">
        <w:rPr>
          <w:rFonts w:ascii="Times New Roman" w:hAnsi="Times New Roman" w:cs="Times New Roman"/>
          <w:noProof/>
          <w:sz w:val="24"/>
          <w:szCs w:val="24"/>
        </w:rPr>
        <w:t>(Orlandi</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1992)</w:t>
      </w:r>
      <w:r w:rsidRPr="00451B44">
        <w:rPr>
          <w:rFonts w:ascii="Times New Roman" w:hAnsi="Times New Roman" w:cs="Times New Roman"/>
          <w:sz w:val="24"/>
          <w:szCs w:val="24"/>
        </w:rPr>
        <w:t>. Cells challenged with pathogenic elicitors respond by calcium influx into the cell and this increase in cytosolic [Ca</w:t>
      </w:r>
      <w:r w:rsidRPr="00451B44">
        <w:rPr>
          <w:rFonts w:ascii="Times New Roman" w:hAnsi="Times New Roman" w:cs="Times New Roman"/>
          <w:sz w:val="24"/>
          <w:szCs w:val="24"/>
          <w:vertAlign w:val="superscript"/>
        </w:rPr>
        <w:t>2+</w:t>
      </w:r>
      <w:r w:rsidRPr="00451B44">
        <w:rPr>
          <w:rFonts w:ascii="Times New Roman" w:hAnsi="Times New Roman" w:cs="Times New Roman"/>
          <w:sz w:val="24"/>
          <w:szCs w:val="24"/>
        </w:rPr>
        <w:t>] seems to be necessary for development of HR. Indeed, cowpea rust fungus infection was followed by elevation of [Ca</w:t>
      </w:r>
      <w:r w:rsidRPr="00451B44">
        <w:rPr>
          <w:rFonts w:ascii="Times New Roman" w:hAnsi="Times New Roman" w:cs="Times New Roman"/>
          <w:sz w:val="24"/>
          <w:szCs w:val="24"/>
          <w:vertAlign w:val="superscript"/>
        </w:rPr>
        <w:t>2+</w:t>
      </w:r>
      <w:r w:rsidRPr="00451B44">
        <w:rPr>
          <w:rFonts w:ascii="Times New Roman" w:hAnsi="Times New Roman" w:cs="Times New Roman"/>
          <w:sz w:val="24"/>
          <w:szCs w:val="24"/>
        </w:rPr>
        <w:t xml:space="preserve">] in resistant cells </w:t>
      </w:r>
      <w:r w:rsidRPr="00451B44">
        <w:rPr>
          <w:rFonts w:ascii="Times New Roman" w:hAnsi="Times New Roman" w:cs="Times New Roman"/>
          <w:noProof/>
          <w:sz w:val="24"/>
          <w:szCs w:val="24"/>
        </w:rPr>
        <w:t>(Xu and Heath, 1998)</w:t>
      </w:r>
      <w:r w:rsidRPr="00451B44">
        <w:rPr>
          <w:rFonts w:ascii="Times New Roman" w:hAnsi="Times New Roman" w:cs="Times New Roman"/>
          <w:sz w:val="24"/>
          <w:szCs w:val="24"/>
        </w:rPr>
        <w:t>. Similarly, increase in [Ca</w:t>
      </w:r>
      <w:r w:rsidRPr="00451B44">
        <w:rPr>
          <w:rFonts w:ascii="Times New Roman" w:hAnsi="Times New Roman" w:cs="Times New Roman"/>
          <w:sz w:val="24"/>
          <w:szCs w:val="24"/>
          <w:vertAlign w:val="superscript"/>
        </w:rPr>
        <w:t>2+</w:t>
      </w:r>
      <w:r w:rsidRPr="00451B44">
        <w:rPr>
          <w:rFonts w:ascii="Times New Roman" w:hAnsi="Times New Roman" w:cs="Times New Roman"/>
          <w:sz w:val="24"/>
          <w:szCs w:val="24"/>
        </w:rPr>
        <w:t>] level was observed in H</w:t>
      </w:r>
      <w:r w:rsidRPr="00451B44">
        <w:rPr>
          <w:rFonts w:ascii="Times New Roman" w:hAnsi="Times New Roman" w:cs="Times New Roman"/>
          <w:sz w:val="24"/>
          <w:szCs w:val="24"/>
          <w:vertAlign w:val="subscript"/>
        </w:rPr>
        <w:t>2</w:t>
      </w:r>
      <w:r w:rsidRPr="00451B44">
        <w:rPr>
          <w:rFonts w:ascii="Times New Roman" w:hAnsi="Times New Roman" w:cs="Times New Roman"/>
          <w:sz w:val="24"/>
          <w:szCs w:val="24"/>
        </w:rPr>
        <w:t>O</w:t>
      </w:r>
      <w:r w:rsidRPr="00451B44">
        <w:rPr>
          <w:rFonts w:ascii="Times New Roman" w:hAnsi="Times New Roman" w:cs="Times New Roman"/>
          <w:sz w:val="24"/>
          <w:szCs w:val="24"/>
          <w:vertAlign w:val="subscript"/>
        </w:rPr>
        <w:t xml:space="preserve">2 </w:t>
      </w:r>
      <w:r w:rsidRPr="00451B44">
        <w:rPr>
          <w:rFonts w:ascii="Times New Roman" w:hAnsi="Times New Roman" w:cs="Times New Roman"/>
          <w:sz w:val="24"/>
          <w:szCs w:val="24"/>
        </w:rPr>
        <w:t xml:space="preserve">induced AL-PCD in soybean cells and addition of calcium channel inhibitors resulted in delayed cell death in soybean leaves </w:t>
      </w:r>
      <w:r w:rsidRPr="00451B44">
        <w:rPr>
          <w:rFonts w:ascii="Times New Roman" w:hAnsi="Times New Roman" w:cs="Times New Roman"/>
          <w:noProof/>
          <w:sz w:val="24"/>
          <w:szCs w:val="24"/>
        </w:rPr>
        <w:t>(Levine</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1996)</w:t>
      </w:r>
      <w:r w:rsidRPr="00451B44">
        <w:rPr>
          <w:rFonts w:ascii="Times New Roman" w:hAnsi="Times New Roman" w:cs="Times New Roman"/>
          <w:sz w:val="24"/>
          <w:szCs w:val="24"/>
        </w:rPr>
        <w:t xml:space="preserve">. Formation of reactive oxygen species (ROS) following an oxidative burst following pathogen infection </w:t>
      </w:r>
      <w:r w:rsidRPr="00451B44">
        <w:rPr>
          <w:rFonts w:ascii="Times New Roman" w:hAnsi="Times New Roman" w:cs="Times New Roman"/>
          <w:noProof/>
          <w:sz w:val="24"/>
          <w:szCs w:val="24"/>
        </w:rPr>
        <w:t>(Lamb and Dixon, 1997)</w:t>
      </w:r>
      <w:r w:rsidRPr="00451B44">
        <w:rPr>
          <w:rFonts w:ascii="Times New Roman" w:hAnsi="Times New Roman" w:cs="Times New Roman"/>
          <w:sz w:val="24"/>
          <w:szCs w:val="24"/>
        </w:rPr>
        <w:t xml:space="preserve"> are widely accepted to play a role in triggering and/or the execution of HR </w:t>
      </w:r>
      <w:r w:rsidRPr="00451B44">
        <w:rPr>
          <w:rFonts w:ascii="Times New Roman" w:hAnsi="Times New Roman" w:cs="Times New Roman"/>
          <w:noProof/>
          <w:sz w:val="24"/>
          <w:szCs w:val="24"/>
        </w:rPr>
        <w:t>(Levine</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1994)</w:t>
      </w:r>
      <w:r w:rsidRPr="00451B44">
        <w:rPr>
          <w:rFonts w:ascii="Times New Roman" w:hAnsi="Times New Roman" w:cs="Times New Roman"/>
          <w:sz w:val="24"/>
          <w:szCs w:val="24"/>
        </w:rPr>
        <w:t xml:space="preserve">. Salicylic acid </w:t>
      </w:r>
      <w:r w:rsidRPr="00451B44">
        <w:rPr>
          <w:rFonts w:ascii="Times New Roman" w:hAnsi="Times New Roman" w:cs="Times New Roman"/>
          <w:noProof/>
          <w:sz w:val="24"/>
          <w:szCs w:val="24"/>
        </w:rPr>
        <w:t>(Alvarez, 2000)</w:t>
      </w:r>
      <w:r w:rsidRPr="00451B44">
        <w:rPr>
          <w:rFonts w:ascii="Times New Roman" w:hAnsi="Times New Roman" w:cs="Times New Roman"/>
          <w:sz w:val="24"/>
          <w:szCs w:val="24"/>
        </w:rPr>
        <w:t xml:space="preserve"> and nitric oxide </w:t>
      </w:r>
      <w:r w:rsidRPr="00451B44">
        <w:rPr>
          <w:rFonts w:ascii="Times New Roman" w:hAnsi="Times New Roman" w:cs="Times New Roman"/>
          <w:noProof/>
          <w:sz w:val="24"/>
          <w:szCs w:val="24"/>
        </w:rPr>
        <w:t>(Delledonne</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1998)</w:t>
      </w:r>
      <w:r w:rsidRPr="00451B44">
        <w:rPr>
          <w:rFonts w:ascii="Times New Roman" w:hAnsi="Times New Roman" w:cs="Times New Roman"/>
          <w:sz w:val="24"/>
          <w:szCs w:val="24"/>
        </w:rPr>
        <w:t xml:space="preserve"> were reported to be involved in HR regulation. Several early studies report protein synthesis (He, 1994, Heath</w:t>
      </w:r>
      <w:r w:rsidRPr="00451B44">
        <w:rPr>
          <w:rFonts w:ascii="Times New Roman" w:hAnsi="Times New Roman" w:cs="Times New Roman"/>
          <w:i/>
          <w:iCs/>
          <w:sz w:val="24"/>
          <w:szCs w:val="24"/>
        </w:rPr>
        <w:t xml:space="preserve"> et al.</w:t>
      </w:r>
      <w:r w:rsidRPr="00451B44">
        <w:rPr>
          <w:rFonts w:ascii="Times New Roman" w:hAnsi="Times New Roman" w:cs="Times New Roman"/>
          <w:sz w:val="24"/>
          <w:szCs w:val="24"/>
        </w:rPr>
        <w:t xml:space="preserve">, 1997, Mould and Heath, 1999) and an intact actin cytoskeleton </w:t>
      </w:r>
      <w:r>
        <w:rPr>
          <w:rFonts w:ascii="Times New Roman" w:hAnsi="Times New Roman" w:cs="Times New Roman"/>
          <w:sz w:val="24"/>
          <w:szCs w:val="24"/>
        </w:rPr>
        <w:t>(Skalamera and Heath, 1998)</w:t>
      </w:r>
      <w:r w:rsidRPr="00451B44">
        <w:rPr>
          <w:rFonts w:ascii="Times New Roman" w:hAnsi="Times New Roman" w:cs="Times New Roman"/>
          <w:sz w:val="24"/>
          <w:szCs w:val="24"/>
        </w:rPr>
        <w:t xml:space="preserve"> to be necessary for HR cell death induction in certain cases, suggesting the programmed and organi</w:t>
      </w:r>
      <w:r>
        <w:rPr>
          <w:rFonts w:ascii="Times New Roman" w:hAnsi="Times New Roman" w:cs="Times New Roman"/>
          <w:sz w:val="24"/>
          <w:szCs w:val="24"/>
        </w:rPr>
        <w:t>s</w:t>
      </w:r>
      <w:r w:rsidRPr="00451B44">
        <w:rPr>
          <w:rFonts w:ascii="Times New Roman" w:hAnsi="Times New Roman" w:cs="Times New Roman"/>
          <w:sz w:val="24"/>
          <w:szCs w:val="24"/>
        </w:rPr>
        <w:t>ed nature of the process.</w:t>
      </w:r>
      <w:r>
        <w:rPr>
          <w:rFonts w:ascii="Times New Roman" w:hAnsi="Times New Roman" w:cs="Times New Roman"/>
          <w:sz w:val="24"/>
          <w:szCs w:val="24"/>
        </w:rPr>
        <w:t xml:space="preserve"> </w:t>
      </w:r>
      <w:r w:rsidRPr="00451B44">
        <w:rPr>
          <w:rFonts w:ascii="Times New Roman" w:hAnsi="Times New Roman" w:cs="Times New Roman"/>
          <w:sz w:val="24"/>
          <w:szCs w:val="24"/>
        </w:rPr>
        <w:t xml:space="preserve">AL-PCD morphology is commonly observed during HR events, for example in soybean </w:t>
      </w:r>
      <w:r>
        <w:rPr>
          <w:rFonts w:ascii="Times New Roman" w:hAnsi="Times New Roman" w:cs="Times New Roman"/>
          <w:sz w:val="24"/>
          <w:szCs w:val="24"/>
        </w:rPr>
        <w:t>(Aist and Bushnell, 1991, Levine</w:t>
      </w:r>
      <w:r w:rsidRPr="005A3B21">
        <w:rPr>
          <w:rFonts w:ascii="Times New Roman" w:hAnsi="Times New Roman" w:cs="Times New Roman"/>
          <w:i/>
          <w:iCs/>
          <w:sz w:val="24"/>
          <w:szCs w:val="24"/>
        </w:rPr>
        <w:t xml:space="preserve"> et al.</w:t>
      </w:r>
      <w:r>
        <w:rPr>
          <w:rFonts w:ascii="Times New Roman" w:hAnsi="Times New Roman" w:cs="Times New Roman"/>
          <w:sz w:val="24"/>
          <w:szCs w:val="24"/>
        </w:rPr>
        <w:t>, 1996)</w:t>
      </w:r>
      <w:r w:rsidRPr="00451B44">
        <w:rPr>
          <w:rFonts w:ascii="Times New Roman" w:hAnsi="Times New Roman" w:cs="Times New Roman"/>
          <w:sz w:val="24"/>
          <w:szCs w:val="24"/>
        </w:rPr>
        <w:t>, tobacco (Mittler</w:t>
      </w:r>
      <w:r w:rsidRPr="00451B44">
        <w:rPr>
          <w:rFonts w:ascii="Times New Roman" w:hAnsi="Times New Roman" w:cs="Times New Roman"/>
          <w:i/>
          <w:iCs/>
          <w:sz w:val="24"/>
          <w:szCs w:val="24"/>
        </w:rPr>
        <w:t xml:space="preserve"> et al.</w:t>
      </w:r>
      <w:r w:rsidRPr="00451B44">
        <w:rPr>
          <w:rFonts w:ascii="Times New Roman" w:hAnsi="Times New Roman" w:cs="Times New Roman"/>
          <w:sz w:val="24"/>
          <w:szCs w:val="24"/>
        </w:rPr>
        <w:t>, 1997, Yano</w:t>
      </w:r>
      <w:r w:rsidRPr="00451B44">
        <w:rPr>
          <w:rFonts w:ascii="Times New Roman" w:hAnsi="Times New Roman" w:cs="Times New Roman"/>
          <w:i/>
          <w:iCs/>
          <w:sz w:val="24"/>
          <w:szCs w:val="24"/>
        </w:rPr>
        <w:t xml:space="preserve"> et al.</w:t>
      </w:r>
      <w:r w:rsidRPr="00451B44">
        <w:rPr>
          <w:rFonts w:ascii="Times New Roman" w:hAnsi="Times New Roman" w:cs="Times New Roman"/>
          <w:sz w:val="24"/>
          <w:szCs w:val="24"/>
        </w:rPr>
        <w:t xml:space="preserve">, 1998) and oat </w:t>
      </w:r>
      <w:r w:rsidRPr="00451B44">
        <w:rPr>
          <w:rFonts w:ascii="Times New Roman" w:hAnsi="Times New Roman" w:cs="Times New Roman"/>
          <w:noProof/>
          <w:sz w:val="24"/>
          <w:szCs w:val="24"/>
        </w:rPr>
        <w:t>(Curtis and Wolpert, 2004)</w:t>
      </w:r>
      <w:r>
        <w:rPr>
          <w:rFonts w:ascii="Times New Roman" w:hAnsi="Times New Roman" w:cs="Times New Roman"/>
          <w:sz w:val="24"/>
          <w:szCs w:val="24"/>
        </w:rPr>
        <w:t xml:space="preserve"> cells).</w:t>
      </w:r>
      <w:r w:rsidRPr="00451B44">
        <w:rPr>
          <w:rFonts w:ascii="Times New Roman" w:hAnsi="Times New Roman" w:cs="Times New Roman"/>
          <w:sz w:val="24"/>
          <w:szCs w:val="24"/>
        </w:rPr>
        <w:t xml:space="preserve"> DNA cleavage into oligonucleosomal fragments is also often detected (Levine</w:t>
      </w:r>
      <w:r w:rsidRPr="00451B44">
        <w:rPr>
          <w:rFonts w:ascii="Times New Roman" w:hAnsi="Times New Roman" w:cs="Times New Roman"/>
          <w:i/>
          <w:iCs/>
          <w:sz w:val="24"/>
          <w:szCs w:val="24"/>
        </w:rPr>
        <w:t xml:space="preserve"> et al.</w:t>
      </w:r>
      <w:r w:rsidRPr="00451B44">
        <w:rPr>
          <w:rFonts w:ascii="Times New Roman" w:hAnsi="Times New Roman" w:cs="Times New Roman"/>
          <w:sz w:val="24"/>
          <w:szCs w:val="24"/>
        </w:rPr>
        <w:t>, 1996, Mittler</w:t>
      </w:r>
      <w:r w:rsidRPr="00451B44">
        <w:rPr>
          <w:rFonts w:ascii="Times New Roman" w:hAnsi="Times New Roman" w:cs="Times New Roman"/>
          <w:i/>
          <w:iCs/>
          <w:sz w:val="24"/>
          <w:szCs w:val="24"/>
        </w:rPr>
        <w:t xml:space="preserve"> et al.</w:t>
      </w:r>
      <w:r w:rsidRPr="00451B44">
        <w:rPr>
          <w:rFonts w:ascii="Times New Roman" w:hAnsi="Times New Roman" w:cs="Times New Roman"/>
          <w:sz w:val="24"/>
          <w:szCs w:val="24"/>
        </w:rPr>
        <w:t>, 1997, Ryerson and Heath, 1996, Tanaka</w:t>
      </w:r>
      <w:r w:rsidRPr="00451B44">
        <w:rPr>
          <w:rFonts w:ascii="Times New Roman" w:hAnsi="Times New Roman" w:cs="Times New Roman"/>
          <w:i/>
          <w:iCs/>
          <w:sz w:val="24"/>
          <w:szCs w:val="24"/>
        </w:rPr>
        <w:t xml:space="preserve"> et al.</w:t>
      </w:r>
      <w:r w:rsidRPr="00451B44">
        <w:rPr>
          <w:rFonts w:ascii="Times New Roman" w:hAnsi="Times New Roman" w:cs="Times New Roman"/>
          <w:sz w:val="24"/>
          <w:szCs w:val="24"/>
        </w:rPr>
        <w:t>, 2001, Wang</w:t>
      </w:r>
      <w:r w:rsidRPr="00451B44">
        <w:rPr>
          <w:rFonts w:ascii="Times New Roman" w:hAnsi="Times New Roman" w:cs="Times New Roman"/>
          <w:i/>
          <w:iCs/>
          <w:sz w:val="24"/>
          <w:szCs w:val="24"/>
        </w:rPr>
        <w:t xml:space="preserve"> et al.</w:t>
      </w:r>
      <w:r w:rsidRPr="00451B44">
        <w:rPr>
          <w:rFonts w:ascii="Times New Roman" w:hAnsi="Times New Roman" w:cs="Times New Roman"/>
          <w:sz w:val="24"/>
          <w:szCs w:val="24"/>
        </w:rPr>
        <w:t>, 1996)</w:t>
      </w:r>
      <w:r>
        <w:rPr>
          <w:rFonts w:ascii="Times New Roman" w:hAnsi="Times New Roman" w:cs="Times New Roman"/>
          <w:sz w:val="24"/>
          <w:szCs w:val="24"/>
        </w:rPr>
        <w:t>, and c</w:t>
      </w:r>
      <w:r w:rsidRPr="00F744F3">
        <w:rPr>
          <w:rFonts w:ascii="Times New Roman" w:hAnsi="Times New Roman" w:cs="Times New Roman"/>
          <w:sz w:val="24"/>
          <w:szCs w:val="24"/>
        </w:rPr>
        <w:t xml:space="preserve">yt </w:t>
      </w:r>
      <w:r w:rsidRPr="00C64D1B">
        <w:rPr>
          <w:rFonts w:ascii="Times New Roman" w:hAnsi="Times New Roman" w:cs="Times New Roman"/>
          <w:i/>
          <w:iCs/>
          <w:sz w:val="24"/>
          <w:szCs w:val="24"/>
        </w:rPr>
        <w:t>c</w:t>
      </w:r>
      <w:r>
        <w:rPr>
          <w:rFonts w:ascii="Times New Roman" w:hAnsi="Times New Roman" w:cs="Times New Roman"/>
          <w:sz w:val="24"/>
          <w:szCs w:val="24"/>
        </w:rPr>
        <w:t xml:space="preserve"> release has also been</w:t>
      </w:r>
      <w:r w:rsidRPr="00451B44">
        <w:rPr>
          <w:rFonts w:ascii="Times New Roman" w:hAnsi="Times New Roman" w:cs="Times New Roman"/>
          <w:sz w:val="24"/>
          <w:szCs w:val="24"/>
        </w:rPr>
        <w:t xml:space="preserve"> reported during HR </w:t>
      </w:r>
      <w:r>
        <w:rPr>
          <w:rFonts w:ascii="Times New Roman" w:hAnsi="Times New Roman" w:cs="Times New Roman"/>
          <w:sz w:val="24"/>
          <w:szCs w:val="24"/>
        </w:rPr>
        <w:t>(Curtis and Wolpert, 2002, Kiba</w:t>
      </w:r>
      <w:r w:rsidRPr="00A43B68">
        <w:rPr>
          <w:rFonts w:ascii="Times New Roman" w:hAnsi="Times New Roman" w:cs="Times New Roman"/>
          <w:i/>
          <w:iCs/>
          <w:sz w:val="24"/>
          <w:szCs w:val="24"/>
        </w:rPr>
        <w:t xml:space="preserve"> et al.</w:t>
      </w:r>
      <w:r>
        <w:rPr>
          <w:rFonts w:ascii="Times New Roman" w:hAnsi="Times New Roman" w:cs="Times New Roman"/>
          <w:sz w:val="24"/>
          <w:szCs w:val="24"/>
        </w:rPr>
        <w:t>, 2006, Krause and Durner, 2004)</w:t>
      </w:r>
      <w:r w:rsidRPr="00451B44">
        <w:rPr>
          <w:rFonts w:ascii="Times New Roman" w:hAnsi="Times New Roman" w:cs="Times New Roman"/>
          <w:sz w:val="24"/>
          <w:szCs w:val="24"/>
        </w:rPr>
        <w:t>. Involvement of caspase-like molecules in HR</w:t>
      </w:r>
      <w:r>
        <w:rPr>
          <w:rFonts w:ascii="Times New Roman" w:hAnsi="Times New Roman" w:cs="Times New Roman"/>
          <w:sz w:val="24"/>
          <w:szCs w:val="24"/>
        </w:rPr>
        <w:t>,</w:t>
      </w:r>
      <w:r w:rsidRPr="00451B44">
        <w:rPr>
          <w:rFonts w:ascii="Times New Roman" w:hAnsi="Times New Roman" w:cs="Times New Roman"/>
          <w:sz w:val="24"/>
          <w:szCs w:val="24"/>
        </w:rPr>
        <w:t xml:space="preserve"> indicated by cleavage of caspase substrates and presence of caspase-like molecules</w:t>
      </w:r>
      <w:r>
        <w:rPr>
          <w:rFonts w:ascii="Times New Roman" w:hAnsi="Times New Roman" w:cs="Times New Roman"/>
          <w:sz w:val="24"/>
          <w:szCs w:val="24"/>
        </w:rPr>
        <w:t>,</w:t>
      </w:r>
      <w:r w:rsidRPr="00451B44">
        <w:rPr>
          <w:rFonts w:ascii="Times New Roman" w:hAnsi="Times New Roman" w:cs="Times New Roman"/>
          <w:sz w:val="24"/>
          <w:szCs w:val="24"/>
        </w:rPr>
        <w:t xml:space="preserve"> has been demonstrated several times. For example, application of caspase inhibitors inhibited HR </w:t>
      </w:r>
      <w:r>
        <w:rPr>
          <w:rFonts w:ascii="Times New Roman" w:hAnsi="Times New Roman" w:cs="Times New Roman"/>
          <w:sz w:val="24"/>
          <w:szCs w:val="24"/>
        </w:rPr>
        <w:t>induced by a bacterial pathogen</w:t>
      </w:r>
      <w:r w:rsidRPr="00451B44">
        <w:rPr>
          <w:rFonts w:ascii="Times New Roman" w:hAnsi="Times New Roman" w:cs="Times New Roman"/>
          <w:sz w:val="24"/>
          <w:szCs w:val="24"/>
        </w:rPr>
        <w:t xml:space="preserve">, tobacco mosaic virus, in tobacco </w:t>
      </w:r>
      <w:r w:rsidRPr="00451B44">
        <w:rPr>
          <w:rFonts w:ascii="Times New Roman" w:hAnsi="Times New Roman" w:cs="Times New Roman"/>
          <w:noProof/>
          <w:sz w:val="24"/>
          <w:szCs w:val="24"/>
        </w:rPr>
        <w:t>(del Pozo and Lam, 1998)</w:t>
      </w:r>
      <w:r w:rsidRPr="00451B44">
        <w:rPr>
          <w:rFonts w:ascii="Times New Roman" w:hAnsi="Times New Roman" w:cs="Times New Roman"/>
          <w:sz w:val="24"/>
          <w:szCs w:val="24"/>
        </w:rPr>
        <w:t xml:space="preserve"> and delayed HR caused by a rust fungus in cowpea </w:t>
      </w:r>
      <w:r w:rsidRPr="00451B44">
        <w:rPr>
          <w:rFonts w:ascii="Times New Roman" w:hAnsi="Times New Roman" w:cs="Times New Roman"/>
          <w:noProof/>
          <w:sz w:val="24"/>
          <w:szCs w:val="24"/>
        </w:rPr>
        <w:t>(D'Silva</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1998)</w:t>
      </w:r>
      <w:r w:rsidRPr="00451B44">
        <w:rPr>
          <w:rFonts w:ascii="Times New Roman" w:hAnsi="Times New Roman" w:cs="Times New Roman"/>
          <w:sz w:val="24"/>
          <w:szCs w:val="24"/>
        </w:rPr>
        <w:t xml:space="preserve">. In addition, caspase specific substrates were cleaved during HR induced by tobacco mosaic virus </w:t>
      </w:r>
      <w:r>
        <w:rPr>
          <w:rFonts w:ascii="Times New Roman" w:hAnsi="Times New Roman" w:cs="Times New Roman"/>
          <w:sz w:val="24"/>
          <w:szCs w:val="24"/>
        </w:rPr>
        <w:t>(Chichkova</w:t>
      </w:r>
      <w:r w:rsidRPr="00A43B68">
        <w:rPr>
          <w:rFonts w:ascii="Times New Roman" w:hAnsi="Times New Roman" w:cs="Times New Roman"/>
          <w:i/>
          <w:iCs/>
          <w:sz w:val="24"/>
          <w:szCs w:val="24"/>
        </w:rPr>
        <w:t xml:space="preserve"> et al.</w:t>
      </w:r>
      <w:r>
        <w:rPr>
          <w:rFonts w:ascii="Times New Roman" w:hAnsi="Times New Roman" w:cs="Times New Roman"/>
          <w:sz w:val="24"/>
          <w:szCs w:val="24"/>
        </w:rPr>
        <w:t>, 2004, del Pozo and Lam, 1998).</w:t>
      </w:r>
    </w:p>
    <w:p w:rsidR="004B4E5E" w:rsidRPr="00451B44" w:rsidRDefault="004B4E5E" w:rsidP="002B4B8D">
      <w:pPr>
        <w:autoSpaceDE w:val="0"/>
        <w:autoSpaceDN w:val="0"/>
        <w:adjustRightInd w:val="0"/>
        <w:spacing w:after="0" w:line="480" w:lineRule="auto"/>
        <w:rPr>
          <w:rFonts w:ascii="Times New Roman" w:hAnsi="Times New Roman" w:cs="Times New Roman"/>
          <w:b/>
          <w:bCs/>
          <w:sz w:val="24"/>
          <w:szCs w:val="24"/>
        </w:rPr>
      </w:pPr>
    </w:p>
    <w:p w:rsidR="004B4E5E" w:rsidRPr="00451B44" w:rsidRDefault="004B4E5E" w:rsidP="00035E18">
      <w:pPr>
        <w:pStyle w:val="ListParagraph"/>
        <w:numPr>
          <w:ilvl w:val="1"/>
          <w:numId w:val="31"/>
        </w:numPr>
        <w:autoSpaceDE w:val="0"/>
        <w:autoSpaceDN w:val="0"/>
        <w:adjustRightInd w:val="0"/>
        <w:spacing w:after="0" w:line="480" w:lineRule="auto"/>
        <w:ind w:left="3595" w:hanging="2177"/>
        <w:rPr>
          <w:rFonts w:ascii="Times New Roman" w:hAnsi="Times New Roman" w:cs="Times New Roman"/>
          <w:b/>
          <w:bCs/>
          <w:sz w:val="24"/>
          <w:szCs w:val="24"/>
        </w:rPr>
      </w:pPr>
      <w:r w:rsidRPr="00451B44">
        <w:rPr>
          <w:rFonts w:ascii="Times New Roman" w:hAnsi="Times New Roman" w:cs="Times New Roman"/>
          <w:b/>
          <w:bCs/>
          <w:sz w:val="24"/>
          <w:szCs w:val="24"/>
        </w:rPr>
        <w:t xml:space="preserve">Pathogens modulating host death response </w:t>
      </w:r>
    </w:p>
    <w:p w:rsidR="004B4E5E" w:rsidRDefault="004B4E5E" w:rsidP="002B4B8D">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P</w:t>
      </w:r>
      <w:r w:rsidRPr="00451B44">
        <w:rPr>
          <w:rFonts w:ascii="Times New Roman" w:hAnsi="Times New Roman" w:cs="Times New Roman"/>
          <w:sz w:val="24"/>
          <w:szCs w:val="24"/>
        </w:rPr>
        <w:t xml:space="preserve">athogens which do not elicit HR may modulate cell death in cells of the susceptible host. For biotrophic pathogens, it is desirable to suppress </w:t>
      </w:r>
      <w:r>
        <w:rPr>
          <w:rFonts w:ascii="Times New Roman" w:hAnsi="Times New Roman" w:cs="Times New Roman"/>
          <w:sz w:val="24"/>
          <w:szCs w:val="24"/>
        </w:rPr>
        <w:t>PCD in</w:t>
      </w:r>
      <w:r w:rsidRPr="00451B44">
        <w:rPr>
          <w:rFonts w:ascii="Times New Roman" w:hAnsi="Times New Roman" w:cs="Times New Roman"/>
          <w:sz w:val="24"/>
          <w:szCs w:val="24"/>
        </w:rPr>
        <w:t xml:space="preserve"> plant tissue whereas necrotrophic pathogens, which feed from dead tissue, produce substances triggering PCD in their host. For example, in order to suppress PCD associated with plant immunity, the tomato pathogen </w:t>
      </w:r>
      <w:r w:rsidRPr="00451B44">
        <w:rPr>
          <w:rFonts w:ascii="Times New Roman" w:hAnsi="Times New Roman" w:cs="Times New Roman"/>
          <w:i/>
          <w:iCs/>
          <w:sz w:val="24"/>
          <w:szCs w:val="24"/>
        </w:rPr>
        <w:t>Pseudomonas syringae</w:t>
      </w:r>
      <w:r w:rsidRPr="00451B44">
        <w:rPr>
          <w:rFonts w:ascii="Times New Roman" w:hAnsi="Times New Roman" w:cs="Times New Roman"/>
          <w:sz w:val="24"/>
          <w:szCs w:val="24"/>
        </w:rPr>
        <w:t xml:space="preserve"> injects the AvrPtoB type III effector protein into the plant cell </w:t>
      </w:r>
      <w:r>
        <w:rPr>
          <w:rFonts w:ascii="Times New Roman" w:hAnsi="Times New Roman" w:cs="Times New Roman"/>
          <w:sz w:val="24"/>
          <w:szCs w:val="24"/>
        </w:rPr>
        <w:t>(Abramovitch</w:t>
      </w:r>
      <w:r w:rsidRPr="00D031C5">
        <w:rPr>
          <w:rFonts w:ascii="Times New Roman" w:hAnsi="Times New Roman" w:cs="Times New Roman"/>
          <w:i/>
          <w:iCs/>
          <w:sz w:val="24"/>
          <w:szCs w:val="24"/>
        </w:rPr>
        <w:t xml:space="preserve"> et al.</w:t>
      </w:r>
      <w:r>
        <w:rPr>
          <w:rFonts w:ascii="Times New Roman" w:hAnsi="Times New Roman" w:cs="Times New Roman"/>
          <w:sz w:val="24"/>
          <w:szCs w:val="24"/>
        </w:rPr>
        <w:t>, 2003)</w:t>
      </w:r>
      <w:r w:rsidRPr="00451B44">
        <w:rPr>
          <w:rFonts w:ascii="Times New Roman" w:hAnsi="Times New Roman" w:cs="Times New Roman"/>
          <w:sz w:val="24"/>
          <w:szCs w:val="24"/>
        </w:rPr>
        <w:t xml:space="preserve">. AvrPtoB was found to be ubiquitinated </w:t>
      </w:r>
      <w:r w:rsidRPr="00451B44">
        <w:rPr>
          <w:rFonts w:ascii="Times New Roman" w:hAnsi="Times New Roman" w:cs="Times New Roman"/>
          <w:i/>
          <w:iCs/>
          <w:sz w:val="24"/>
          <w:szCs w:val="24"/>
        </w:rPr>
        <w:t>in vitro</w:t>
      </w:r>
      <w:r w:rsidRPr="00451B44">
        <w:rPr>
          <w:rFonts w:ascii="Times New Roman" w:hAnsi="Times New Roman" w:cs="Times New Roman"/>
          <w:sz w:val="24"/>
          <w:szCs w:val="24"/>
        </w:rPr>
        <w:t xml:space="preserve"> and exhibited E3 Ub ligase activity. This suggests that it disrupts normal proteasomal function of the plant cell and interferes with protein degradation associated with disease resistance. Alternatively, this protein may bind and ubiquitinate a positive regulator of plant cell death, effectively targeting it for degradation </w:t>
      </w:r>
      <w:r w:rsidRPr="00451B44">
        <w:rPr>
          <w:rFonts w:ascii="Times New Roman" w:hAnsi="Times New Roman" w:cs="Times New Roman"/>
          <w:noProof/>
          <w:sz w:val="24"/>
          <w:szCs w:val="24"/>
        </w:rPr>
        <w:t>(Abramovitch</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2006)</w:t>
      </w:r>
      <w:r>
        <w:rPr>
          <w:rFonts w:ascii="Times New Roman" w:hAnsi="Times New Roman" w:cs="Times New Roman"/>
          <w:sz w:val="24"/>
          <w:szCs w:val="24"/>
        </w:rPr>
        <w:t xml:space="preserve">. </w:t>
      </w:r>
      <w:r w:rsidRPr="00451B44">
        <w:rPr>
          <w:rFonts w:ascii="Times New Roman" w:hAnsi="Times New Roman" w:cs="Times New Roman"/>
          <w:sz w:val="24"/>
          <w:szCs w:val="24"/>
        </w:rPr>
        <w:t>Soluble glucans in spor</w:t>
      </w:r>
      <w:r>
        <w:rPr>
          <w:rFonts w:ascii="Times New Roman" w:hAnsi="Times New Roman" w:cs="Times New Roman"/>
          <w:sz w:val="24"/>
          <w:szCs w:val="24"/>
        </w:rPr>
        <w:t>e germination fluids of</w:t>
      </w:r>
      <w:r w:rsidRPr="00451B44">
        <w:rPr>
          <w:rFonts w:ascii="Times New Roman" w:hAnsi="Times New Roman" w:cs="Times New Roman"/>
          <w:sz w:val="24"/>
          <w:szCs w:val="24"/>
        </w:rPr>
        <w:t xml:space="preserve"> </w:t>
      </w:r>
      <w:r w:rsidRPr="00451B44">
        <w:rPr>
          <w:rFonts w:ascii="Times New Roman" w:hAnsi="Times New Roman" w:cs="Times New Roman"/>
          <w:i/>
          <w:iCs/>
          <w:sz w:val="24"/>
          <w:szCs w:val="24"/>
        </w:rPr>
        <w:t>Phytophthora infestans</w:t>
      </w:r>
      <w:r w:rsidRPr="00451B44">
        <w:rPr>
          <w:rFonts w:ascii="Times New Roman" w:hAnsi="Times New Roman" w:cs="Times New Roman"/>
          <w:sz w:val="24"/>
          <w:szCs w:val="24"/>
        </w:rPr>
        <w:t xml:space="preserve"> suppress the oxidative burst and the HR in potato </w:t>
      </w:r>
      <w:r w:rsidRPr="00451B44">
        <w:rPr>
          <w:rFonts w:ascii="Times New Roman" w:hAnsi="Times New Roman" w:cs="Times New Roman"/>
          <w:noProof/>
          <w:sz w:val="24"/>
          <w:szCs w:val="24"/>
        </w:rPr>
        <w:t>(Doke, 1975)</w:t>
      </w:r>
      <w:r w:rsidRPr="00451B44">
        <w:rPr>
          <w:rFonts w:ascii="Times New Roman" w:hAnsi="Times New Roman" w:cs="Times New Roman"/>
          <w:sz w:val="24"/>
          <w:szCs w:val="24"/>
        </w:rPr>
        <w:t xml:space="preserve">. Another example of host cell death suppression during compatible biotrophic interactions is the occurrence of ‘green islands’ - leaf areas around successful infection sites, which display delayed senescence in comparison with the rest of the leaf tissue </w:t>
      </w:r>
      <w:r w:rsidRPr="00451B44">
        <w:rPr>
          <w:rFonts w:ascii="Times New Roman" w:hAnsi="Times New Roman" w:cs="Times New Roman"/>
          <w:noProof/>
          <w:sz w:val="24"/>
          <w:szCs w:val="24"/>
        </w:rPr>
        <w:t>(Scholes and Rolfe, 1996)</w:t>
      </w:r>
      <w:r w:rsidRPr="00451B44">
        <w:rPr>
          <w:rFonts w:ascii="Times New Roman" w:hAnsi="Times New Roman" w:cs="Times New Roman"/>
          <w:sz w:val="24"/>
          <w:szCs w:val="24"/>
        </w:rPr>
        <w:t xml:space="preserve">. On the other hand, necrotrophic bacteria and fungi were shown to promote PCD in their plant host. For example, the necrotrophic fungus </w:t>
      </w:r>
      <w:r w:rsidRPr="00451B44">
        <w:rPr>
          <w:rFonts w:ascii="Times New Roman" w:hAnsi="Times New Roman" w:cs="Times New Roman"/>
          <w:i/>
          <w:iCs/>
          <w:sz w:val="24"/>
          <w:szCs w:val="24"/>
        </w:rPr>
        <w:t>Sclerotinia sclerotiorum</w:t>
      </w:r>
      <w:r w:rsidRPr="00451B44">
        <w:rPr>
          <w:rFonts w:ascii="Times New Roman" w:hAnsi="Times New Roman" w:cs="Times New Roman"/>
          <w:sz w:val="24"/>
          <w:szCs w:val="24"/>
        </w:rPr>
        <w:t xml:space="preserve">, secretes oxalic acid which acts as non-host specific toxin and induces increased ROS levels leading to PCD induction in host cells </w:t>
      </w:r>
      <w:r w:rsidRPr="00451B44">
        <w:rPr>
          <w:rFonts w:ascii="Times New Roman" w:hAnsi="Times New Roman" w:cs="Times New Roman"/>
          <w:noProof/>
          <w:sz w:val="24"/>
          <w:szCs w:val="24"/>
        </w:rPr>
        <w:t>(Kim</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2008)</w:t>
      </w:r>
      <w:r w:rsidRPr="00451B44">
        <w:rPr>
          <w:rFonts w:ascii="Times New Roman" w:hAnsi="Times New Roman" w:cs="Times New Roman"/>
          <w:sz w:val="24"/>
          <w:szCs w:val="24"/>
        </w:rPr>
        <w:t xml:space="preserve">. The endopolygalacturonases produced by fungal species degrade pectic components of the plant cell wall generating oligosaccharide fragments that can act as endogenous signalling molecules </w:t>
      </w:r>
      <w:r w:rsidRPr="00451B44">
        <w:rPr>
          <w:rFonts w:ascii="Times New Roman" w:hAnsi="Times New Roman" w:cs="Times New Roman"/>
          <w:noProof/>
          <w:sz w:val="24"/>
          <w:szCs w:val="24"/>
        </w:rPr>
        <w:t>(Côté and Hahn, 1994)</w:t>
      </w:r>
      <w:r>
        <w:rPr>
          <w:rFonts w:ascii="Times New Roman" w:hAnsi="Times New Roman" w:cs="Times New Roman"/>
          <w:sz w:val="24"/>
          <w:szCs w:val="24"/>
        </w:rPr>
        <w:t xml:space="preserve">. </w:t>
      </w:r>
      <w:r w:rsidRPr="00451B44">
        <w:rPr>
          <w:rFonts w:ascii="Times New Roman" w:hAnsi="Times New Roman" w:cs="Times New Roman"/>
          <w:sz w:val="24"/>
          <w:szCs w:val="24"/>
        </w:rPr>
        <w:t>These signalling molecules can induce intracellular [Ca</w:t>
      </w:r>
      <w:r w:rsidRPr="00451B44">
        <w:rPr>
          <w:rFonts w:ascii="Times New Roman" w:hAnsi="Times New Roman" w:cs="Times New Roman"/>
          <w:sz w:val="24"/>
          <w:szCs w:val="24"/>
          <w:vertAlign w:val="superscript"/>
        </w:rPr>
        <w:t>2+</w:t>
      </w:r>
      <w:r w:rsidRPr="00451B44">
        <w:rPr>
          <w:rFonts w:ascii="Times New Roman" w:hAnsi="Times New Roman" w:cs="Times New Roman"/>
          <w:sz w:val="24"/>
          <w:szCs w:val="24"/>
        </w:rPr>
        <w:t xml:space="preserve">] increase, hydrogen peroxide accumulation and finally PCD in host cells </w:t>
      </w:r>
      <w:r w:rsidRPr="00451B44">
        <w:rPr>
          <w:rFonts w:ascii="Times New Roman" w:hAnsi="Times New Roman" w:cs="Times New Roman"/>
          <w:noProof/>
          <w:sz w:val="24"/>
          <w:szCs w:val="24"/>
        </w:rPr>
        <w:t>(Zuppini</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2005)</w:t>
      </w:r>
      <w:r>
        <w:rPr>
          <w:rFonts w:ascii="Times New Roman" w:hAnsi="Times New Roman" w:cs="Times New Roman"/>
          <w:sz w:val="24"/>
          <w:szCs w:val="24"/>
        </w:rPr>
        <w:t>. Due to the huge economic implications of the topic</w:t>
      </w:r>
      <w:r w:rsidRPr="00451B44">
        <w:rPr>
          <w:rFonts w:ascii="Times New Roman" w:hAnsi="Times New Roman" w:cs="Times New Roman"/>
          <w:sz w:val="24"/>
          <w:szCs w:val="24"/>
        </w:rPr>
        <w:t>, modulation of PCD mechanisms</w:t>
      </w:r>
      <w:r>
        <w:rPr>
          <w:rFonts w:ascii="Times New Roman" w:hAnsi="Times New Roman" w:cs="Times New Roman"/>
          <w:sz w:val="24"/>
          <w:szCs w:val="24"/>
        </w:rPr>
        <w:t xml:space="preserve"> employed by </w:t>
      </w:r>
      <w:r w:rsidRPr="00451B44">
        <w:rPr>
          <w:rFonts w:ascii="Times New Roman" w:hAnsi="Times New Roman" w:cs="Times New Roman"/>
          <w:sz w:val="24"/>
          <w:szCs w:val="24"/>
        </w:rPr>
        <w:t>pathog</w:t>
      </w:r>
      <w:r>
        <w:rPr>
          <w:rFonts w:ascii="Times New Roman" w:hAnsi="Times New Roman" w:cs="Times New Roman"/>
          <w:sz w:val="24"/>
          <w:szCs w:val="24"/>
        </w:rPr>
        <w:t>ens is the</w:t>
      </w:r>
      <w:r w:rsidRPr="00451B44">
        <w:rPr>
          <w:rFonts w:ascii="Times New Roman" w:hAnsi="Times New Roman" w:cs="Times New Roman"/>
          <w:sz w:val="24"/>
          <w:szCs w:val="24"/>
        </w:rPr>
        <w:t xml:space="preserve"> subject of intensive research.  </w:t>
      </w:r>
    </w:p>
    <w:p w:rsidR="004B4E5E" w:rsidRPr="00451B44" w:rsidRDefault="004B4E5E" w:rsidP="002B4B8D">
      <w:pPr>
        <w:autoSpaceDE w:val="0"/>
        <w:autoSpaceDN w:val="0"/>
        <w:adjustRightInd w:val="0"/>
        <w:spacing w:after="0" w:line="480" w:lineRule="auto"/>
        <w:rPr>
          <w:rFonts w:ascii="Times New Roman" w:hAnsi="Times New Roman" w:cs="Times New Roman"/>
          <w:sz w:val="24"/>
          <w:szCs w:val="24"/>
        </w:rPr>
      </w:pPr>
    </w:p>
    <w:p w:rsidR="004B4E5E" w:rsidRPr="00451B44" w:rsidRDefault="004B4E5E" w:rsidP="00035E18">
      <w:pPr>
        <w:pStyle w:val="ListParagraph"/>
        <w:numPr>
          <w:ilvl w:val="1"/>
          <w:numId w:val="31"/>
        </w:numPr>
        <w:autoSpaceDE w:val="0"/>
        <w:autoSpaceDN w:val="0"/>
        <w:adjustRightInd w:val="0"/>
        <w:spacing w:after="0" w:line="480" w:lineRule="auto"/>
        <w:ind w:left="3595" w:hanging="2177"/>
        <w:rPr>
          <w:rFonts w:ascii="Times New Roman" w:hAnsi="Times New Roman" w:cs="Times New Roman"/>
          <w:b/>
          <w:bCs/>
          <w:sz w:val="24"/>
          <w:szCs w:val="24"/>
        </w:rPr>
      </w:pPr>
      <w:r w:rsidRPr="00451B44">
        <w:rPr>
          <w:rFonts w:ascii="Times New Roman" w:hAnsi="Times New Roman" w:cs="Times New Roman"/>
          <w:b/>
          <w:bCs/>
          <w:sz w:val="24"/>
          <w:szCs w:val="24"/>
        </w:rPr>
        <w:t>Lesion Mimic Mutants</w:t>
      </w:r>
    </w:p>
    <w:p w:rsidR="004B4E5E" w:rsidRPr="00451B44" w:rsidRDefault="004B4E5E" w:rsidP="002B4B8D">
      <w:pPr>
        <w:autoSpaceDE w:val="0"/>
        <w:autoSpaceDN w:val="0"/>
        <w:adjustRightInd w:val="0"/>
        <w:spacing w:after="0" w:line="480" w:lineRule="auto"/>
        <w:rPr>
          <w:rFonts w:ascii="Times New Roman" w:hAnsi="Times New Roman" w:cs="Times New Roman"/>
          <w:sz w:val="24"/>
          <w:szCs w:val="24"/>
        </w:rPr>
      </w:pPr>
      <w:r w:rsidRPr="00451B44">
        <w:rPr>
          <w:rFonts w:ascii="Times New Roman" w:hAnsi="Times New Roman" w:cs="Times New Roman"/>
          <w:sz w:val="24"/>
          <w:szCs w:val="24"/>
        </w:rPr>
        <w:t>While considering the HR in terms of PCD related research, it is worthwhile examining mutants exhibiting misregulation of cell death formation. These mutants are called lesion mimic mutants (LMMs) since they exhibit either constitutive</w:t>
      </w:r>
      <w:r>
        <w:rPr>
          <w:rFonts w:ascii="Times New Roman" w:hAnsi="Times New Roman" w:cs="Times New Roman"/>
          <w:sz w:val="24"/>
          <w:szCs w:val="24"/>
        </w:rPr>
        <w:t>,</w:t>
      </w:r>
      <w:r w:rsidRPr="00451B44">
        <w:rPr>
          <w:rFonts w:ascii="Times New Roman" w:hAnsi="Times New Roman" w:cs="Times New Roman"/>
          <w:sz w:val="24"/>
          <w:szCs w:val="24"/>
        </w:rPr>
        <w:t xml:space="preserve"> or unregulated</w:t>
      </w:r>
      <w:r>
        <w:rPr>
          <w:rFonts w:ascii="Times New Roman" w:hAnsi="Times New Roman" w:cs="Times New Roman"/>
          <w:sz w:val="24"/>
          <w:szCs w:val="24"/>
        </w:rPr>
        <w:t>,</w:t>
      </w:r>
      <w:r w:rsidRPr="00451B44">
        <w:rPr>
          <w:rFonts w:ascii="Times New Roman" w:hAnsi="Times New Roman" w:cs="Times New Roman"/>
          <w:sz w:val="24"/>
          <w:szCs w:val="24"/>
        </w:rPr>
        <w:t xml:space="preserve"> cell death formation which resembles the HR in the absence of pathogen infection </w:t>
      </w:r>
      <w:r w:rsidRPr="00451B44">
        <w:rPr>
          <w:rFonts w:ascii="Times New Roman" w:hAnsi="Times New Roman" w:cs="Times New Roman"/>
          <w:noProof/>
          <w:sz w:val="24"/>
          <w:szCs w:val="24"/>
        </w:rPr>
        <w:t>(Moeder and Yoshioka, 2008)</w:t>
      </w:r>
      <w:r w:rsidRPr="00451B44">
        <w:rPr>
          <w:rFonts w:ascii="Times New Roman" w:hAnsi="Times New Roman" w:cs="Times New Roman"/>
          <w:sz w:val="24"/>
          <w:szCs w:val="24"/>
        </w:rPr>
        <w:t>. LMMs are categori</w:t>
      </w:r>
      <w:r>
        <w:rPr>
          <w:rFonts w:ascii="Times New Roman" w:hAnsi="Times New Roman" w:cs="Times New Roman"/>
          <w:sz w:val="24"/>
          <w:szCs w:val="24"/>
        </w:rPr>
        <w:t>s</w:t>
      </w:r>
      <w:r w:rsidRPr="00451B44">
        <w:rPr>
          <w:rFonts w:ascii="Times New Roman" w:hAnsi="Times New Roman" w:cs="Times New Roman"/>
          <w:sz w:val="24"/>
          <w:szCs w:val="24"/>
        </w:rPr>
        <w:t xml:space="preserve">ed into two groups: initiation LMMs (characterised by constitutive formation of lesions) and propagation LMMs (not able to control cell death once it is started) </w:t>
      </w:r>
      <w:r w:rsidRPr="00451B44">
        <w:rPr>
          <w:rFonts w:ascii="Times New Roman" w:hAnsi="Times New Roman" w:cs="Times New Roman"/>
          <w:noProof/>
          <w:sz w:val="24"/>
          <w:szCs w:val="24"/>
        </w:rPr>
        <w:t>(Lorrain</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2003)</w:t>
      </w:r>
      <w:r w:rsidRPr="00451B44">
        <w:rPr>
          <w:rFonts w:ascii="Times New Roman" w:hAnsi="Times New Roman" w:cs="Times New Roman"/>
          <w:sz w:val="24"/>
          <w:szCs w:val="24"/>
        </w:rPr>
        <w:t xml:space="preserve">. Numerous LMMs have been isolated in several species, including </w:t>
      </w:r>
      <w:r w:rsidRPr="00451B44">
        <w:rPr>
          <w:rFonts w:ascii="Times New Roman" w:hAnsi="Times New Roman" w:cs="Times New Roman"/>
          <w:i/>
          <w:iCs/>
          <w:sz w:val="24"/>
          <w:szCs w:val="24"/>
        </w:rPr>
        <w:t>Arabidopsis</w:t>
      </w:r>
      <w:r w:rsidRPr="00451B44">
        <w:rPr>
          <w:rFonts w:ascii="Times New Roman" w:hAnsi="Times New Roman" w:cs="Times New Roman"/>
          <w:sz w:val="24"/>
          <w:szCs w:val="24"/>
        </w:rPr>
        <w:t xml:space="preserve">, maize, rice and barley </w:t>
      </w:r>
      <w:r w:rsidRPr="00451B44">
        <w:rPr>
          <w:rFonts w:ascii="Times New Roman" w:hAnsi="Times New Roman" w:cs="Times New Roman"/>
          <w:noProof/>
          <w:sz w:val="24"/>
          <w:szCs w:val="24"/>
        </w:rPr>
        <w:t>(Lorrain</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2003)</w:t>
      </w:r>
      <w:r>
        <w:rPr>
          <w:rFonts w:ascii="Times New Roman" w:hAnsi="Times New Roman" w:cs="Times New Roman"/>
          <w:sz w:val="24"/>
          <w:szCs w:val="24"/>
        </w:rPr>
        <w:t>. While it is possible</w:t>
      </w:r>
      <w:r w:rsidRPr="00451B44">
        <w:rPr>
          <w:rFonts w:ascii="Times New Roman" w:hAnsi="Times New Roman" w:cs="Times New Roman"/>
          <w:sz w:val="24"/>
          <w:szCs w:val="24"/>
        </w:rPr>
        <w:t xml:space="preserve"> that</w:t>
      </w:r>
      <w:r>
        <w:rPr>
          <w:rFonts w:ascii="Times New Roman" w:hAnsi="Times New Roman" w:cs="Times New Roman"/>
          <w:sz w:val="24"/>
          <w:szCs w:val="24"/>
        </w:rPr>
        <w:t xml:space="preserve"> a</w:t>
      </w:r>
      <w:r w:rsidRPr="00451B44">
        <w:rPr>
          <w:rFonts w:ascii="Times New Roman" w:hAnsi="Times New Roman" w:cs="Times New Roman"/>
          <w:sz w:val="24"/>
          <w:szCs w:val="24"/>
        </w:rPr>
        <w:t xml:space="preserve"> mutation resulting in </w:t>
      </w:r>
      <w:r>
        <w:rPr>
          <w:rFonts w:ascii="Times New Roman" w:hAnsi="Times New Roman" w:cs="Times New Roman"/>
          <w:sz w:val="24"/>
          <w:szCs w:val="24"/>
        </w:rPr>
        <w:t xml:space="preserve">a </w:t>
      </w:r>
      <w:r w:rsidRPr="00451B44">
        <w:rPr>
          <w:rFonts w:ascii="Times New Roman" w:hAnsi="Times New Roman" w:cs="Times New Roman"/>
          <w:sz w:val="24"/>
          <w:szCs w:val="24"/>
        </w:rPr>
        <w:t xml:space="preserve">LMM phenotype does not directly regulate PCD, but rather induces cell death via non-specific cellular perturbation, </w:t>
      </w:r>
      <w:r>
        <w:rPr>
          <w:rFonts w:ascii="Times New Roman" w:hAnsi="Times New Roman" w:cs="Times New Roman"/>
          <w:sz w:val="24"/>
          <w:szCs w:val="24"/>
        </w:rPr>
        <w:t xml:space="preserve">many </w:t>
      </w:r>
      <w:r w:rsidRPr="00451B44">
        <w:rPr>
          <w:rFonts w:ascii="Times New Roman" w:hAnsi="Times New Roman" w:cs="Times New Roman"/>
          <w:sz w:val="24"/>
          <w:szCs w:val="24"/>
        </w:rPr>
        <w:t xml:space="preserve">LMMs are considered valuable tools for identification of genes involved in the regulation and execution of PCD in plants </w:t>
      </w:r>
      <w:r w:rsidRPr="00451B44">
        <w:rPr>
          <w:rFonts w:ascii="Times New Roman" w:hAnsi="Times New Roman" w:cs="Times New Roman"/>
          <w:noProof/>
          <w:sz w:val="24"/>
          <w:szCs w:val="24"/>
        </w:rPr>
        <w:t>(Moeder and Yoshioka, 2008)</w:t>
      </w:r>
      <w:r w:rsidRPr="00451B44">
        <w:rPr>
          <w:rFonts w:ascii="Times New Roman" w:hAnsi="Times New Roman" w:cs="Times New Roman"/>
          <w:sz w:val="24"/>
          <w:szCs w:val="24"/>
        </w:rPr>
        <w:t>. A growing number of LMM g</w:t>
      </w:r>
      <w:r>
        <w:rPr>
          <w:rFonts w:ascii="Times New Roman" w:hAnsi="Times New Roman" w:cs="Times New Roman"/>
          <w:sz w:val="24"/>
          <w:szCs w:val="24"/>
        </w:rPr>
        <w:t>enes have been cloned and they identify</w:t>
      </w:r>
      <w:r w:rsidRPr="00451B44">
        <w:rPr>
          <w:rFonts w:ascii="Times New Roman" w:hAnsi="Times New Roman" w:cs="Times New Roman"/>
          <w:sz w:val="24"/>
          <w:szCs w:val="24"/>
        </w:rPr>
        <w:t xml:space="preserve"> potentially important players in plant PCD. For example, calcium involvement in HR regulation is supported by lesion mimic phenotype of mutants such as </w:t>
      </w:r>
      <w:r w:rsidRPr="00451B44">
        <w:rPr>
          <w:rFonts w:ascii="Times New Roman" w:hAnsi="Times New Roman" w:cs="Times New Roman"/>
          <w:i/>
          <w:iCs/>
          <w:sz w:val="24"/>
          <w:szCs w:val="24"/>
        </w:rPr>
        <w:t>dnd1</w:t>
      </w:r>
      <w:r w:rsidRPr="00451B44">
        <w:rPr>
          <w:rFonts w:ascii="Times New Roman" w:hAnsi="Times New Roman" w:cs="Times New Roman"/>
          <w:sz w:val="24"/>
          <w:szCs w:val="24"/>
        </w:rPr>
        <w:t xml:space="preserve"> and </w:t>
      </w:r>
      <w:r w:rsidRPr="00451B44">
        <w:rPr>
          <w:rFonts w:ascii="Times New Roman" w:hAnsi="Times New Roman" w:cs="Times New Roman"/>
          <w:i/>
          <w:iCs/>
          <w:sz w:val="24"/>
          <w:szCs w:val="24"/>
        </w:rPr>
        <w:t>dnd2</w:t>
      </w:r>
      <w:r w:rsidRPr="00451B44">
        <w:rPr>
          <w:rFonts w:ascii="Times New Roman" w:hAnsi="Times New Roman" w:cs="Times New Roman"/>
          <w:sz w:val="24"/>
          <w:szCs w:val="24"/>
        </w:rPr>
        <w:t xml:space="preserve"> (defen</w:t>
      </w:r>
      <w:r>
        <w:rPr>
          <w:rFonts w:ascii="Times New Roman" w:hAnsi="Times New Roman" w:cs="Times New Roman"/>
          <w:sz w:val="24"/>
          <w:szCs w:val="24"/>
        </w:rPr>
        <w:t>s</w:t>
      </w:r>
      <w:r w:rsidRPr="00451B44">
        <w:rPr>
          <w:rFonts w:ascii="Times New Roman" w:hAnsi="Times New Roman" w:cs="Times New Roman"/>
          <w:sz w:val="24"/>
          <w:szCs w:val="24"/>
        </w:rPr>
        <w:t>e no death 1,2) (Clough</w:t>
      </w:r>
      <w:r w:rsidRPr="00451B44">
        <w:rPr>
          <w:rFonts w:ascii="Times New Roman" w:hAnsi="Times New Roman" w:cs="Times New Roman"/>
          <w:i/>
          <w:iCs/>
          <w:sz w:val="24"/>
          <w:szCs w:val="24"/>
        </w:rPr>
        <w:t xml:space="preserve"> et al.</w:t>
      </w:r>
      <w:r w:rsidRPr="00451B44">
        <w:rPr>
          <w:rFonts w:ascii="Times New Roman" w:hAnsi="Times New Roman" w:cs="Times New Roman"/>
          <w:sz w:val="24"/>
          <w:szCs w:val="24"/>
        </w:rPr>
        <w:t>, 2000, Jurkowski</w:t>
      </w:r>
      <w:r w:rsidRPr="00451B44">
        <w:rPr>
          <w:rFonts w:ascii="Times New Roman" w:hAnsi="Times New Roman" w:cs="Times New Roman"/>
          <w:i/>
          <w:iCs/>
          <w:sz w:val="24"/>
          <w:szCs w:val="24"/>
        </w:rPr>
        <w:t xml:space="preserve"> et al.</w:t>
      </w:r>
      <w:r w:rsidRPr="00451B44">
        <w:rPr>
          <w:rFonts w:ascii="Times New Roman" w:hAnsi="Times New Roman" w:cs="Times New Roman"/>
          <w:sz w:val="24"/>
          <w:szCs w:val="24"/>
        </w:rPr>
        <w:t>, 2004), which are characteri</w:t>
      </w:r>
      <w:r>
        <w:rPr>
          <w:rFonts w:ascii="Times New Roman" w:hAnsi="Times New Roman" w:cs="Times New Roman"/>
          <w:sz w:val="24"/>
          <w:szCs w:val="24"/>
        </w:rPr>
        <w:t>s</w:t>
      </w:r>
      <w:r w:rsidRPr="00451B44">
        <w:rPr>
          <w:rFonts w:ascii="Times New Roman" w:hAnsi="Times New Roman" w:cs="Times New Roman"/>
          <w:sz w:val="24"/>
          <w:szCs w:val="24"/>
        </w:rPr>
        <w:t>ed by mutations in cyclic nuc</w:t>
      </w:r>
      <w:r>
        <w:rPr>
          <w:rFonts w:ascii="Times New Roman" w:hAnsi="Times New Roman" w:cs="Times New Roman"/>
          <w:sz w:val="24"/>
          <w:szCs w:val="24"/>
        </w:rPr>
        <w:t>leotide-gated ion channel genes,</w:t>
      </w:r>
      <w:r w:rsidRPr="00451B44">
        <w:rPr>
          <w:rFonts w:ascii="Times New Roman" w:hAnsi="Times New Roman" w:cs="Times New Roman"/>
          <w:sz w:val="24"/>
          <w:szCs w:val="24"/>
        </w:rPr>
        <w:t xml:space="preserve"> </w:t>
      </w:r>
      <w:r>
        <w:rPr>
          <w:rFonts w:ascii="Times New Roman" w:hAnsi="Times New Roman" w:cs="Times New Roman"/>
          <w:sz w:val="24"/>
          <w:szCs w:val="24"/>
        </w:rPr>
        <w:t xml:space="preserve">or </w:t>
      </w:r>
      <w:r w:rsidRPr="00451B44">
        <w:rPr>
          <w:rFonts w:ascii="Times New Roman" w:hAnsi="Times New Roman" w:cs="Times New Roman"/>
          <w:i/>
          <w:iCs/>
          <w:sz w:val="24"/>
          <w:szCs w:val="24"/>
        </w:rPr>
        <w:t>cpr22</w:t>
      </w:r>
      <w:r w:rsidRPr="00451B44">
        <w:rPr>
          <w:rFonts w:ascii="Times New Roman" w:hAnsi="Times New Roman" w:cs="Times New Roman"/>
          <w:sz w:val="24"/>
          <w:szCs w:val="24"/>
        </w:rPr>
        <w:t xml:space="preserve">, where </w:t>
      </w:r>
      <w:r>
        <w:rPr>
          <w:rFonts w:ascii="Times New Roman" w:hAnsi="Times New Roman" w:cs="Times New Roman"/>
          <w:sz w:val="24"/>
          <w:szCs w:val="24"/>
        </w:rPr>
        <w:t xml:space="preserve">a mutation results in production of </w:t>
      </w:r>
      <w:r w:rsidRPr="00451B44">
        <w:rPr>
          <w:rFonts w:ascii="Times New Roman" w:hAnsi="Times New Roman" w:cs="Times New Roman"/>
          <w:sz w:val="24"/>
          <w:szCs w:val="24"/>
        </w:rPr>
        <w:t>a novel chimeric protein derived from homologous recombination of two tandemly repeated cyclic nucleotide-gated ion channel genes (Yoshioka</w:t>
      </w:r>
      <w:r w:rsidRPr="00451B44">
        <w:rPr>
          <w:rFonts w:ascii="Times New Roman" w:hAnsi="Times New Roman" w:cs="Times New Roman"/>
          <w:i/>
          <w:iCs/>
          <w:sz w:val="24"/>
          <w:szCs w:val="24"/>
        </w:rPr>
        <w:t xml:space="preserve"> et al.</w:t>
      </w:r>
      <w:r w:rsidRPr="00451B44">
        <w:rPr>
          <w:rFonts w:ascii="Times New Roman" w:hAnsi="Times New Roman" w:cs="Times New Roman"/>
          <w:sz w:val="24"/>
          <w:szCs w:val="24"/>
        </w:rPr>
        <w:t>, 2006)</w:t>
      </w:r>
      <w:r>
        <w:rPr>
          <w:rFonts w:ascii="Times New Roman" w:hAnsi="Times New Roman" w:cs="Times New Roman"/>
          <w:sz w:val="24"/>
          <w:szCs w:val="24"/>
        </w:rPr>
        <w:t>,</w:t>
      </w:r>
      <w:r w:rsidRPr="00451B44">
        <w:rPr>
          <w:rFonts w:ascii="Times New Roman" w:hAnsi="Times New Roman" w:cs="Times New Roman"/>
          <w:sz w:val="24"/>
          <w:szCs w:val="24"/>
        </w:rPr>
        <w:t xml:space="preserve"> or </w:t>
      </w:r>
      <w:r w:rsidRPr="00451B44">
        <w:rPr>
          <w:rFonts w:ascii="Times New Roman" w:hAnsi="Times New Roman" w:cs="Times New Roman"/>
          <w:i/>
          <w:iCs/>
          <w:sz w:val="24"/>
          <w:szCs w:val="24"/>
        </w:rPr>
        <w:t xml:space="preserve">cpn1/bon1 </w:t>
      </w:r>
      <w:r w:rsidRPr="00451B44">
        <w:rPr>
          <w:rFonts w:ascii="Times New Roman" w:hAnsi="Times New Roman" w:cs="Times New Roman"/>
          <w:sz w:val="24"/>
          <w:szCs w:val="24"/>
        </w:rPr>
        <w:t>(Hua</w:t>
      </w:r>
      <w:r w:rsidRPr="00451B44">
        <w:rPr>
          <w:rFonts w:ascii="Times New Roman" w:hAnsi="Times New Roman" w:cs="Times New Roman"/>
          <w:i/>
          <w:iCs/>
          <w:sz w:val="24"/>
          <w:szCs w:val="24"/>
        </w:rPr>
        <w:t xml:space="preserve"> et al.</w:t>
      </w:r>
      <w:r w:rsidRPr="00451B44">
        <w:rPr>
          <w:rFonts w:ascii="Times New Roman" w:hAnsi="Times New Roman" w:cs="Times New Roman"/>
          <w:sz w:val="24"/>
          <w:szCs w:val="24"/>
        </w:rPr>
        <w:t>, 2001, Jambunathan</w:t>
      </w:r>
      <w:r w:rsidRPr="00451B44">
        <w:rPr>
          <w:rFonts w:ascii="Times New Roman" w:hAnsi="Times New Roman" w:cs="Times New Roman"/>
          <w:i/>
          <w:iCs/>
          <w:sz w:val="24"/>
          <w:szCs w:val="24"/>
        </w:rPr>
        <w:t xml:space="preserve"> et al.</w:t>
      </w:r>
      <w:r w:rsidRPr="00451B44">
        <w:rPr>
          <w:rFonts w:ascii="Times New Roman" w:hAnsi="Times New Roman" w:cs="Times New Roman"/>
          <w:sz w:val="24"/>
          <w:szCs w:val="24"/>
        </w:rPr>
        <w:t>, 2001), which are thought to exhibit alternations in Ca</w:t>
      </w:r>
      <w:r w:rsidRPr="00451B44">
        <w:rPr>
          <w:rFonts w:ascii="Times New Roman" w:hAnsi="Times New Roman" w:cs="Times New Roman"/>
          <w:sz w:val="24"/>
          <w:szCs w:val="24"/>
          <w:vertAlign w:val="superscript"/>
        </w:rPr>
        <w:t xml:space="preserve">2+ </w:t>
      </w:r>
      <w:r w:rsidRPr="00451B44">
        <w:rPr>
          <w:rFonts w:ascii="Times New Roman" w:hAnsi="Times New Roman" w:cs="Times New Roman"/>
          <w:sz w:val="24"/>
          <w:szCs w:val="24"/>
        </w:rPr>
        <w:t xml:space="preserve">signalling. Mutants </w:t>
      </w:r>
      <w:r w:rsidRPr="00451B44">
        <w:rPr>
          <w:rFonts w:ascii="Times New Roman" w:hAnsi="Times New Roman" w:cs="Times New Roman"/>
          <w:i/>
          <w:iCs/>
          <w:sz w:val="24"/>
          <w:szCs w:val="24"/>
        </w:rPr>
        <w:t xml:space="preserve">acd5 </w:t>
      </w:r>
      <w:r w:rsidRPr="00451B44">
        <w:rPr>
          <w:rFonts w:ascii="Times New Roman" w:hAnsi="Times New Roman" w:cs="Times New Roman"/>
          <w:sz w:val="24"/>
          <w:szCs w:val="24"/>
        </w:rPr>
        <w:t xml:space="preserve">and </w:t>
      </w:r>
      <w:r w:rsidRPr="00451B44">
        <w:rPr>
          <w:rFonts w:ascii="Times New Roman" w:hAnsi="Times New Roman" w:cs="Times New Roman"/>
          <w:i/>
          <w:iCs/>
          <w:sz w:val="24"/>
          <w:szCs w:val="24"/>
        </w:rPr>
        <w:t>acd11</w:t>
      </w:r>
      <w:r w:rsidRPr="00451B44">
        <w:rPr>
          <w:rFonts w:ascii="Times New Roman" w:hAnsi="Times New Roman" w:cs="Times New Roman"/>
          <w:sz w:val="24"/>
          <w:szCs w:val="24"/>
        </w:rPr>
        <w:t xml:space="preserve"> </w:t>
      </w:r>
      <w:r>
        <w:rPr>
          <w:rFonts w:ascii="Times New Roman" w:hAnsi="Times New Roman" w:cs="Times New Roman"/>
          <w:sz w:val="24"/>
          <w:szCs w:val="24"/>
        </w:rPr>
        <w:t>(Brodersen</w:t>
      </w:r>
      <w:r w:rsidRPr="00874942">
        <w:rPr>
          <w:rFonts w:ascii="Times New Roman" w:hAnsi="Times New Roman" w:cs="Times New Roman"/>
          <w:i/>
          <w:iCs/>
          <w:sz w:val="24"/>
          <w:szCs w:val="24"/>
        </w:rPr>
        <w:t xml:space="preserve"> et al.</w:t>
      </w:r>
      <w:r>
        <w:rPr>
          <w:rFonts w:ascii="Times New Roman" w:hAnsi="Times New Roman" w:cs="Times New Roman"/>
          <w:sz w:val="24"/>
          <w:szCs w:val="24"/>
        </w:rPr>
        <w:t>, 2002, Greenberg</w:t>
      </w:r>
      <w:r w:rsidRPr="00874942">
        <w:rPr>
          <w:rFonts w:ascii="Times New Roman" w:hAnsi="Times New Roman" w:cs="Times New Roman"/>
          <w:i/>
          <w:iCs/>
          <w:sz w:val="24"/>
          <w:szCs w:val="24"/>
        </w:rPr>
        <w:t xml:space="preserve"> et al.</w:t>
      </w:r>
      <w:r>
        <w:rPr>
          <w:rFonts w:ascii="Times New Roman" w:hAnsi="Times New Roman" w:cs="Times New Roman"/>
          <w:sz w:val="24"/>
          <w:szCs w:val="24"/>
        </w:rPr>
        <w:t>, 2000, Liang</w:t>
      </w:r>
      <w:r w:rsidRPr="00874942">
        <w:rPr>
          <w:rFonts w:ascii="Times New Roman" w:hAnsi="Times New Roman" w:cs="Times New Roman"/>
          <w:i/>
          <w:iCs/>
          <w:sz w:val="24"/>
          <w:szCs w:val="24"/>
        </w:rPr>
        <w:t xml:space="preserve"> et al.</w:t>
      </w:r>
      <w:r>
        <w:rPr>
          <w:rFonts w:ascii="Times New Roman" w:hAnsi="Times New Roman" w:cs="Times New Roman"/>
          <w:sz w:val="24"/>
          <w:szCs w:val="24"/>
        </w:rPr>
        <w:t>, 2003) suggest</w:t>
      </w:r>
      <w:r w:rsidRPr="00451B44">
        <w:rPr>
          <w:rFonts w:ascii="Times New Roman" w:hAnsi="Times New Roman" w:cs="Times New Roman"/>
          <w:sz w:val="24"/>
          <w:szCs w:val="24"/>
        </w:rPr>
        <w:t xml:space="preserve"> that HR cell death formation is mediated by sphingolipids, as ACD5 encodes ceramide kinase and ACD11 codes for sphingosine transfer protein. LMMs can be </w:t>
      </w:r>
      <w:r>
        <w:rPr>
          <w:rFonts w:ascii="Times New Roman" w:hAnsi="Times New Roman" w:cs="Times New Roman"/>
          <w:sz w:val="24"/>
          <w:szCs w:val="24"/>
        </w:rPr>
        <w:t>useful</w:t>
      </w:r>
      <w:r w:rsidRPr="00451B44">
        <w:rPr>
          <w:rFonts w:ascii="Times New Roman" w:hAnsi="Times New Roman" w:cs="Times New Roman"/>
          <w:sz w:val="24"/>
          <w:szCs w:val="24"/>
        </w:rPr>
        <w:t xml:space="preserve"> </w:t>
      </w:r>
      <w:r>
        <w:rPr>
          <w:rFonts w:ascii="Times New Roman" w:hAnsi="Times New Roman" w:cs="Times New Roman"/>
          <w:sz w:val="24"/>
          <w:szCs w:val="24"/>
        </w:rPr>
        <w:t>in identifying</w:t>
      </w:r>
      <w:r w:rsidRPr="00451B44">
        <w:rPr>
          <w:rFonts w:ascii="Times New Roman" w:hAnsi="Times New Roman" w:cs="Times New Roman"/>
          <w:sz w:val="24"/>
          <w:szCs w:val="24"/>
        </w:rPr>
        <w:t xml:space="preserve"> the signalling molecules promoting/suppressing cell death during the HR. One of the common approaches </w:t>
      </w:r>
      <w:r>
        <w:rPr>
          <w:rFonts w:ascii="Times New Roman" w:hAnsi="Times New Roman" w:cs="Times New Roman"/>
          <w:sz w:val="24"/>
          <w:szCs w:val="24"/>
        </w:rPr>
        <w:t xml:space="preserve">to identify HR cell death genes </w:t>
      </w:r>
      <w:r w:rsidRPr="00451B44">
        <w:rPr>
          <w:rFonts w:ascii="Times New Roman" w:hAnsi="Times New Roman" w:cs="Times New Roman"/>
          <w:sz w:val="24"/>
          <w:szCs w:val="24"/>
        </w:rPr>
        <w:t xml:space="preserve">is </w:t>
      </w:r>
      <w:r>
        <w:rPr>
          <w:rFonts w:ascii="Times New Roman" w:hAnsi="Times New Roman" w:cs="Times New Roman"/>
          <w:sz w:val="24"/>
          <w:szCs w:val="24"/>
        </w:rPr>
        <w:t>to cross</w:t>
      </w:r>
      <w:r w:rsidRPr="00451B44">
        <w:rPr>
          <w:rFonts w:ascii="Times New Roman" w:hAnsi="Times New Roman" w:cs="Times New Roman"/>
          <w:sz w:val="24"/>
          <w:szCs w:val="24"/>
        </w:rPr>
        <w:t xml:space="preserve"> LMM with mutants altered in signalling pathways such as R-gene mediated pathways, ethylene, salicyl</w:t>
      </w:r>
      <w:r>
        <w:rPr>
          <w:rFonts w:ascii="Times New Roman" w:hAnsi="Times New Roman" w:cs="Times New Roman"/>
          <w:sz w:val="24"/>
          <w:szCs w:val="24"/>
        </w:rPr>
        <w:t>ic and jasmonic acid signalling</w:t>
      </w:r>
      <w:r w:rsidRPr="00451B44">
        <w:rPr>
          <w:rFonts w:ascii="Times New Roman" w:hAnsi="Times New Roman" w:cs="Times New Roman"/>
          <w:sz w:val="24"/>
          <w:szCs w:val="24"/>
        </w:rPr>
        <w:t xml:space="preserve"> </w:t>
      </w:r>
      <w:r>
        <w:rPr>
          <w:rFonts w:ascii="Times New Roman" w:hAnsi="Times New Roman" w:cs="Times New Roman"/>
          <w:sz w:val="24"/>
          <w:szCs w:val="24"/>
        </w:rPr>
        <w:t>(</w:t>
      </w:r>
      <w:r w:rsidRPr="00451B44">
        <w:rPr>
          <w:rFonts w:ascii="Times New Roman" w:hAnsi="Times New Roman" w:cs="Times New Roman"/>
          <w:sz w:val="24"/>
          <w:szCs w:val="24"/>
        </w:rPr>
        <w:t xml:space="preserve">Lorrain </w:t>
      </w:r>
      <w:r w:rsidRPr="00451B44">
        <w:rPr>
          <w:rFonts w:ascii="Times New Roman" w:hAnsi="Times New Roman" w:cs="Times New Roman"/>
          <w:i/>
          <w:iCs/>
          <w:sz w:val="24"/>
          <w:szCs w:val="24"/>
        </w:rPr>
        <w:t>et al.</w:t>
      </w:r>
      <w:r>
        <w:rPr>
          <w:rFonts w:ascii="Times New Roman" w:hAnsi="Times New Roman" w:cs="Times New Roman"/>
          <w:i/>
          <w:iCs/>
          <w:sz w:val="24"/>
          <w:szCs w:val="24"/>
        </w:rPr>
        <w:t>,</w:t>
      </w:r>
      <w:r w:rsidRPr="00451B44">
        <w:rPr>
          <w:rFonts w:ascii="Times New Roman" w:hAnsi="Times New Roman" w:cs="Times New Roman"/>
          <w:sz w:val="24"/>
          <w:szCs w:val="24"/>
        </w:rPr>
        <w:t xml:space="preserve"> </w:t>
      </w:r>
      <w:r>
        <w:rPr>
          <w:rFonts w:ascii="Times New Roman" w:hAnsi="Times New Roman" w:cs="Times New Roman"/>
          <w:sz w:val="24"/>
          <w:szCs w:val="24"/>
        </w:rPr>
        <w:t>(2003)</w:t>
      </w:r>
      <w:r w:rsidRPr="00451B44">
        <w:rPr>
          <w:rFonts w:ascii="Times New Roman" w:hAnsi="Times New Roman" w:cs="Times New Roman"/>
          <w:sz w:val="24"/>
          <w:szCs w:val="24"/>
        </w:rPr>
        <w:t xml:space="preserve"> and references therein</w:t>
      </w:r>
      <w:r>
        <w:rPr>
          <w:rFonts w:ascii="Times New Roman" w:hAnsi="Times New Roman" w:cs="Times New Roman"/>
          <w:sz w:val="24"/>
          <w:szCs w:val="24"/>
        </w:rPr>
        <w:t>)</w:t>
      </w:r>
      <w:r w:rsidRPr="00451B44">
        <w:rPr>
          <w:rFonts w:ascii="Times New Roman" w:hAnsi="Times New Roman" w:cs="Times New Roman"/>
          <w:sz w:val="24"/>
          <w:szCs w:val="24"/>
        </w:rPr>
        <w:t xml:space="preserve">. Such </w:t>
      </w:r>
      <w:r>
        <w:rPr>
          <w:rFonts w:ascii="Times New Roman" w:hAnsi="Times New Roman" w:cs="Times New Roman"/>
          <w:sz w:val="24"/>
          <w:szCs w:val="24"/>
        </w:rPr>
        <w:t xml:space="preserve">a </w:t>
      </w:r>
      <w:r w:rsidRPr="00451B44">
        <w:rPr>
          <w:rFonts w:ascii="Times New Roman" w:hAnsi="Times New Roman" w:cs="Times New Roman"/>
          <w:sz w:val="24"/>
          <w:szCs w:val="24"/>
        </w:rPr>
        <w:t xml:space="preserve">strategy can unravel the potential crosstalk between </w:t>
      </w:r>
      <w:r>
        <w:rPr>
          <w:rFonts w:ascii="Times New Roman" w:hAnsi="Times New Roman" w:cs="Times New Roman"/>
          <w:sz w:val="24"/>
          <w:szCs w:val="24"/>
        </w:rPr>
        <w:t xml:space="preserve">a </w:t>
      </w:r>
      <w:r w:rsidRPr="00451B44">
        <w:rPr>
          <w:rFonts w:ascii="Times New Roman" w:hAnsi="Times New Roman" w:cs="Times New Roman"/>
          <w:sz w:val="24"/>
          <w:szCs w:val="24"/>
        </w:rPr>
        <w:t xml:space="preserve">LMM gene and </w:t>
      </w:r>
      <w:r>
        <w:rPr>
          <w:rFonts w:ascii="Times New Roman" w:hAnsi="Times New Roman" w:cs="Times New Roman"/>
          <w:sz w:val="24"/>
          <w:szCs w:val="24"/>
        </w:rPr>
        <w:t xml:space="preserve">a specific </w:t>
      </w:r>
      <w:r w:rsidRPr="00451B44">
        <w:rPr>
          <w:rFonts w:ascii="Times New Roman" w:hAnsi="Times New Roman" w:cs="Times New Roman"/>
          <w:sz w:val="24"/>
          <w:szCs w:val="24"/>
        </w:rPr>
        <w:t>signalling pathway</w:t>
      </w:r>
      <w:r>
        <w:rPr>
          <w:rFonts w:ascii="Times New Roman" w:hAnsi="Times New Roman" w:cs="Times New Roman"/>
          <w:sz w:val="24"/>
          <w:szCs w:val="24"/>
        </w:rPr>
        <w:t xml:space="preserve">. However to date no </w:t>
      </w:r>
      <w:r w:rsidRPr="00451B44">
        <w:rPr>
          <w:rFonts w:ascii="Times New Roman" w:hAnsi="Times New Roman" w:cs="Times New Roman"/>
          <w:sz w:val="24"/>
          <w:szCs w:val="24"/>
        </w:rPr>
        <w:t xml:space="preserve">cloned LMM genes </w:t>
      </w:r>
      <w:r>
        <w:rPr>
          <w:rFonts w:ascii="Times New Roman" w:hAnsi="Times New Roman" w:cs="Times New Roman"/>
          <w:sz w:val="24"/>
          <w:szCs w:val="24"/>
        </w:rPr>
        <w:t>have been definitively</w:t>
      </w:r>
      <w:r w:rsidRPr="00451B44">
        <w:rPr>
          <w:rFonts w:ascii="Times New Roman" w:hAnsi="Times New Roman" w:cs="Times New Roman"/>
          <w:sz w:val="24"/>
          <w:szCs w:val="24"/>
        </w:rPr>
        <w:t xml:space="preserve"> shown to code for a protein clearly responsible for plant PCD execution. </w:t>
      </w:r>
    </w:p>
    <w:p w:rsidR="004B4E5E" w:rsidRPr="00451B44" w:rsidRDefault="004B4E5E" w:rsidP="002B4B8D">
      <w:pPr>
        <w:autoSpaceDE w:val="0"/>
        <w:autoSpaceDN w:val="0"/>
        <w:adjustRightInd w:val="0"/>
        <w:spacing w:after="0" w:line="480" w:lineRule="auto"/>
        <w:rPr>
          <w:rFonts w:ascii="Times New Roman" w:hAnsi="Times New Roman" w:cs="Times New Roman"/>
          <w:sz w:val="24"/>
          <w:szCs w:val="24"/>
        </w:rPr>
      </w:pPr>
    </w:p>
    <w:p w:rsidR="004B4E5E" w:rsidRPr="00451B44" w:rsidRDefault="004B4E5E" w:rsidP="002B4B8D">
      <w:pPr>
        <w:autoSpaceDE w:val="0"/>
        <w:autoSpaceDN w:val="0"/>
        <w:adjustRightInd w:val="0"/>
        <w:spacing w:after="0" w:line="480" w:lineRule="auto"/>
        <w:rPr>
          <w:rFonts w:ascii="Times New Roman" w:hAnsi="Times New Roman" w:cs="Times New Roman"/>
          <w:b/>
          <w:bCs/>
          <w:sz w:val="24"/>
          <w:szCs w:val="24"/>
        </w:rPr>
      </w:pPr>
    </w:p>
    <w:p w:rsidR="004B4E5E" w:rsidRPr="00451B44" w:rsidRDefault="004B4E5E" w:rsidP="00035E18">
      <w:pPr>
        <w:pStyle w:val="ListParagraph"/>
        <w:numPr>
          <w:ilvl w:val="0"/>
          <w:numId w:val="24"/>
        </w:numPr>
        <w:autoSpaceDE w:val="0"/>
        <w:autoSpaceDN w:val="0"/>
        <w:adjustRightInd w:val="0"/>
        <w:spacing w:after="0" w:line="480" w:lineRule="auto"/>
        <w:ind w:hanging="2814"/>
        <w:rPr>
          <w:rFonts w:ascii="Times New Roman" w:hAnsi="Times New Roman" w:cs="Times New Roman"/>
          <w:b/>
          <w:bCs/>
          <w:sz w:val="24"/>
          <w:szCs w:val="24"/>
        </w:rPr>
      </w:pPr>
      <w:r w:rsidRPr="00451B44">
        <w:rPr>
          <w:rFonts w:ascii="Times New Roman" w:hAnsi="Times New Roman" w:cs="Times New Roman"/>
          <w:b/>
          <w:bCs/>
          <w:sz w:val="24"/>
          <w:szCs w:val="24"/>
        </w:rPr>
        <w:t>Autophagy</w:t>
      </w:r>
    </w:p>
    <w:p w:rsidR="004B4E5E" w:rsidRDefault="004B4E5E" w:rsidP="002B4B8D">
      <w:pPr>
        <w:spacing w:line="480" w:lineRule="auto"/>
        <w:rPr>
          <w:rFonts w:ascii="Times New Roman" w:hAnsi="Times New Roman" w:cs="Times New Roman"/>
          <w:sz w:val="24"/>
          <w:szCs w:val="24"/>
        </w:rPr>
      </w:pPr>
      <w:r w:rsidRPr="00451B44">
        <w:rPr>
          <w:rFonts w:ascii="Times New Roman" w:hAnsi="Times New Roman" w:cs="Times New Roman"/>
          <w:sz w:val="24"/>
          <w:szCs w:val="24"/>
        </w:rPr>
        <w:t>Autophagy is an evolutionary conserved catabolic pathway in eukaryotes in which cytoplasm</w:t>
      </w:r>
      <w:r>
        <w:rPr>
          <w:rFonts w:ascii="Times New Roman" w:hAnsi="Times New Roman" w:cs="Times New Roman"/>
          <w:sz w:val="24"/>
          <w:szCs w:val="24"/>
        </w:rPr>
        <w:t>,</w:t>
      </w:r>
      <w:r w:rsidRPr="00451B44">
        <w:rPr>
          <w:rFonts w:ascii="Times New Roman" w:hAnsi="Times New Roman" w:cs="Times New Roman"/>
          <w:sz w:val="24"/>
          <w:szCs w:val="24"/>
        </w:rPr>
        <w:t xml:space="preserve"> including long-lived proteins and obsolete organelles</w:t>
      </w:r>
      <w:r>
        <w:rPr>
          <w:rFonts w:ascii="Times New Roman" w:hAnsi="Times New Roman" w:cs="Times New Roman"/>
          <w:sz w:val="24"/>
          <w:szCs w:val="24"/>
        </w:rPr>
        <w:t>,</w:t>
      </w:r>
      <w:r w:rsidRPr="00451B44">
        <w:rPr>
          <w:rFonts w:ascii="Times New Roman" w:hAnsi="Times New Roman" w:cs="Times New Roman"/>
          <w:sz w:val="24"/>
          <w:szCs w:val="24"/>
        </w:rPr>
        <w:t xml:space="preserve"> are sequestered into double-membrane vesicles (autophagosome) and delivered to the degradative organelle (in plants, the vacuole) for breakdown and final recycling of the resulting macromolecules </w:t>
      </w:r>
      <w:r w:rsidRPr="00451B44">
        <w:rPr>
          <w:rFonts w:ascii="Times New Roman" w:hAnsi="Times New Roman" w:cs="Times New Roman"/>
          <w:noProof/>
          <w:sz w:val="24"/>
          <w:szCs w:val="24"/>
        </w:rPr>
        <w:t>(Yorimitsu and Klionsky, 2005)</w:t>
      </w:r>
      <w:r w:rsidRPr="00451B44">
        <w:rPr>
          <w:rFonts w:ascii="Times New Roman" w:hAnsi="Times New Roman" w:cs="Times New Roman"/>
          <w:sz w:val="24"/>
          <w:szCs w:val="24"/>
        </w:rPr>
        <w:t xml:space="preserve">. This sequestration process can occur either away from the vacuole </w:t>
      </w:r>
      <w:r w:rsidR="005C674D">
        <w:rPr>
          <w:rFonts w:ascii="Times New Roman" w:hAnsi="Times New Roman" w:cs="Times New Roman"/>
          <w:sz w:val="24"/>
          <w:szCs w:val="24"/>
        </w:rPr>
        <w:t>(</w:t>
      </w:r>
      <w:r w:rsidRPr="00451B44">
        <w:rPr>
          <w:rFonts w:ascii="Times New Roman" w:hAnsi="Times New Roman" w:cs="Times New Roman"/>
          <w:sz w:val="24"/>
          <w:szCs w:val="24"/>
        </w:rPr>
        <w:t>in which case it is termed macroautophagy</w:t>
      </w:r>
      <w:r w:rsidR="005C674D">
        <w:rPr>
          <w:rFonts w:ascii="Times New Roman" w:hAnsi="Times New Roman" w:cs="Times New Roman"/>
          <w:sz w:val="24"/>
          <w:szCs w:val="24"/>
        </w:rPr>
        <w:t>), or at the vacuole surface</w:t>
      </w:r>
      <w:r w:rsidRPr="00451B44">
        <w:rPr>
          <w:rFonts w:ascii="Times New Roman" w:hAnsi="Times New Roman" w:cs="Times New Roman"/>
          <w:sz w:val="24"/>
          <w:szCs w:val="24"/>
        </w:rPr>
        <w:t xml:space="preserve"> </w:t>
      </w:r>
      <w:r w:rsidR="005C674D">
        <w:rPr>
          <w:rFonts w:ascii="Times New Roman" w:hAnsi="Times New Roman" w:cs="Times New Roman"/>
          <w:sz w:val="24"/>
          <w:szCs w:val="24"/>
        </w:rPr>
        <w:t>(</w:t>
      </w:r>
      <w:r w:rsidRPr="00451B44">
        <w:rPr>
          <w:rFonts w:ascii="Times New Roman" w:hAnsi="Times New Roman" w:cs="Times New Roman"/>
          <w:sz w:val="24"/>
          <w:szCs w:val="24"/>
        </w:rPr>
        <w:t>termed microautophagy</w:t>
      </w:r>
      <w:r w:rsidR="005C674D">
        <w:rPr>
          <w:rFonts w:ascii="Times New Roman" w:hAnsi="Times New Roman" w:cs="Times New Roman"/>
          <w:sz w:val="24"/>
          <w:szCs w:val="24"/>
        </w:rPr>
        <w:t>)</w:t>
      </w:r>
      <w:r w:rsidRPr="00451B44">
        <w:rPr>
          <w:rFonts w:ascii="Times New Roman" w:hAnsi="Times New Roman" w:cs="Times New Roman"/>
          <w:sz w:val="24"/>
          <w:szCs w:val="24"/>
        </w:rPr>
        <w:t xml:space="preserve"> </w:t>
      </w:r>
      <w:r w:rsidRPr="00451B44">
        <w:rPr>
          <w:rFonts w:ascii="Times New Roman" w:hAnsi="Times New Roman" w:cs="Times New Roman"/>
          <w:noProof/>
          <w:sz w:val="24"/>
          <w:szCs w:val="24"/>
        </w:rPr>
        <w:t>(Klionsky</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2003)</w:t>
      </w:r>
      <w:r w:rsidRPr="00451B44">
        <w:rPr>
          <w:rFonts w:ascii="Times New Roman" w:hAnsi="Times New Roman" w:cs="Times New Roman"/>
          <w:sz w:val="24"/>
          <w:szCs w:val="24"/>
        </w:rPr>
        <w:t xml:space="preserve">. Autophagic cell death has been defined as type II cell death </w:t>
      </w:r>
      <w:r w:rsidRPr="00451B44">
        <w:rPr>
          <w:rFonts w:ascii="Times New Roman" w:hAnsi="Times New Roman" w:cs="Times New Roman"/>
          <w:noProof/>
          <w:sz w:val="24"/>
          <w:szCs w:val="24"/>
        </w:rPr>
        <w:t>(Lockshin and Zakeri, 2004)</w:t>
      </w:r>
      <w:r w:rsidRPr="00451B44">
        <w:rPr>
          <w:rFonts w:ascii="Times New Roman" w:hAnsi="Times New Roman" w:cs="Times New Roman"/>
          <w:sz w:val="24"/>
          <w:szCs w:val="24"/>
        </w:rPr>
        <w:t>, however it should be remembered that autophagy itself is a routine process of cellular component turnover and only in some cases is connected with terminal cellular dismantling. Autophagic cell death is morphologically defined as a type of cell death that occurs</w:t>
      </w:r>
      <w:r>
        <w:rPr>
          <w:rFonts w:ascii="Times New Roman" w:hAnsi="Times New Roman" w:cs="Times New Roman"/>
          <w:sz w:val="24"/>
          <w:szCs w:val="24"/>
        </w:rPr>
        <w:t xml:space="preserve"> without chromatin condensation and is</w:t>
      </w:r>
      <w:r w:rsidRPr="00451B44">
        <w:rPr>
          <w:rFonts w:ascii="Times New Roman" w:hAnsi="Times New Roman" w:cs="Times New Roman"/>
          <w:sz w:val="24"/>
          <w:szCs w:val="24"/>
        </w:rPr>
        <w:t xml:space="preserve"> accompanied by massive autophagic vacuoli</w:t>
      </w:r>
      <w:r>
        <w:rPr>
          <w:rFonts w:ascii="Times New Roman" w:hAnsi="Times New Roman" w:cs="Times New Roman"/>
          <w:sz w:val="24"/>
          <w:szCs w:val="24"/>
        </w:rPr>
        <w:t>s</w:t>
      </w:r>
      <w:r w:rsidRPr="00451B44">
        <w:rPr>
          <w:rFonts w:ascii="Times New Roman" w:hAnsi="Times New Roman" w:cs="Times New Roman"/>
          <w:sz w:val="24"/>
          <w:szCs w:val="24"/>
        </w:rPr>
        <w:t xml:space="preserve">ation of the cytoplasm </w:t>
      </w:r>
      <w:r>
        <w:rPr>
          <w:rFonts w:ascii="Times New Roman" w:hAnsi="Times New Roman" w:cs="Times New Roman"/>
          <w:sz w:val="24"/>
          <w:szCs w:val="24"/>
        </w:rPr>
        <w:t>(Kroemer</w:t>
      </w:r>
      <w:r w:rsidRPr="00EA5B5D">
        <w:rPr>
          <w:rFonts w:ascii="Times New Roman" w:hAnsi="Times New Roman" w:cs="Times New Roman"/>
          <w:i/>
          <w:iCs/>
          <w:sz w:val="24"/>
          <w:szCs w:val="24"/>
        </w:rPr>
        <w:t xml:space="preserve"> et al.</w:t>
      </w:r>
      <w:r>
        <w:rPr>
          <w:rFonts w:ascii="Times New Roman" w:hAnsi="Times New Roman" w:cs="Times New Roman"/>
          <w:sz w:val="24"/>
          <w:szCs w:val="24"/>
        </w:rPr>
        <w:t>, 2008)</w:t>
      </w:r>
      <w:r w:rsidRPr="00451B44">
        <w:rPr>
          <w:rFonts w:ascii="Times New Roman" w:hAnsi="Times New Roman" w:cs="Times New Roman"/>
          <w:sz w:val="24"/>
          <w:szCs w:val="24"/>
        </w:rPr>
        <w:t>.</w:t>
      </w:r>
      <w:r>
        <w:rPr>
          <w:rFonts w:ascii="Times New Roman" w:hAnsi="Times New Roman" w:cs="Times New Roman"/>
          <w:sz w:val="24"/>
          <w:szCs w:val="24"/>
        </w:rPr>
        <w:t xml:space="preserve"> The aforementioned vacuoles have double-membranes</w:t>
      </w:r>
      <w:r w:rsidRPr="00451B44">
        <w:rPr>
          <w:rFonts w:ascii="Times New Roman" w:hAnsi="Times New Roman" w:cs="Times New Roman"/>
          <w:sz w:val="24"/>
          <w:szCs w:val="24"/>
        </w:rPr>
        <w:t xml:space="preserve"> and contain degenerating cytoplasmic organelles or cytosol </w:t>
      </w:r>
      <w:r w:rsidRPr="00451B44">
        <w:rPr>
          <w:rFonts w:ascii="Times New Roman" w:hAnsi="Times New Roman" w:cs="Times New Roman"/>
          <w:noProof/>
          <w:sz w:val="24"/>
          <w:szCs w:val="24"/>
        </w:rPr>
        <w:t>(Levine and Klionsky, 2004)</w:t>
      </w:r>
      <w:r w:rsidRPr="00451B44">
        <w:rPr>
          <w:rFonts w:ascii="Times New Roman" w:hAnsi="Times New Roman" w:cs="Times New Roman"/>
          <w:sz w:val="24"/>
          <w:szCs w:val="24"/>
        </w:rPr>
        <w:t>. It should be highlighted, that the term ‘autophagi</w:t>
      </w:r>
      <w:r>
        <w:rPr>
          <w:rFonts w:ascii="Times New Roman" w:hAnsi="Times New Roman" w:cs="Times New Roman"/>
          <w:sz w:val="24"/>
          <w:szCs w:val="24"/>
        </w:rPr>
        <w:t>c cell death’ does not imply a</w:t>
      </w:r>
      <w:r w:rsidRPr="00451B44">
        <w:rPr>
          <w:rFonts w:ascii="Times New Roman" w:hAnsi="Times New Roman" w:cs="Times New Roman"/>
          <w:sz w:val="24"/>
          <w:szCs w:val="24"/>
        </w:rPr>
        <w:t xml:space="preserve"> causative role of autophagy in the cell death process, but only descri</w:t>
      </w:r>
      <w:r>
        <w:rPr>
          <w:rFonts w:ascii="Times New Roman" w:hAnsi="Times New Roman" w:cs="Times New Roman"/>
          <w:sz w:val="24"/>
          <w:szCs w:val="24"/>
        </w:rPr>
        <w:t xml:space="preserve">bes </w:t>
      </w:r>
      <w:r w:rsidRPr="00451B44">
        <w:rPr>
          <w:rFonts w:ascii="Times New Roman" w:hAnsi="Times New Roman" w:cs="Times New Roman"/>
          <w:sz w:val="24"/>
          <w:szCs w:val="24"/>
        </w:rPr>
        <w:t xml:space="preserve">death occurring </w:t>
      </w:r>
      <w:r>
        <w:rPr>
          <w:rFonts w:ascii="Times New Roman" w:hAnsi="Times New Roman" w:cs="Times New Roman"/>
          <w:sz w:val="24"/>
          <w:szCs w:val="24"/>
        </w:rPr>
        <w:t>in cells undergoing autophagic processes</w:t>
      </w:r>
      <w:r w:rsidRPr="00451B44">
        <w:rPr>
          <w:rFonts w:ascii="Times New Roman" w:hAnsi="Times New Roman" w:cs="Times New Roman"/>
          <w:sz w:val="24"/>
          <w:szCs w:val="24"/>
        </w:rPr>
        <w:t xml:space="preserve"> </w:t>
      </w:r>
      <w:r w:rsidRPr="00451B44">
        <w:rPr>
          <w:rFonts w:ascii="Times New Roman" w:hAnsi="Times New Roman" w:cs="Times New Roman"/>
          <w:noProof/>
          <w:sz w:val="24"/>
          <w:szCs w:val="24"/>
        </w:rPr>
        <w:t>(Kroemer</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2005)</w:t>
      </w:r>
      <w:r w:rsidRPr="00451B44">
        <w:rPr>
          <w:rFonts w:ascii="Times New Roman" w:hAnsi="Times New Roman" w:cs="Times New Roman"/>
          <w:sz w:val="24"/>
          <w:szCs w:val="24"/>
        </w:rPr>
        <w:t>.</w:t>
      </w:r>
    </w:p>
    <w:p w:rsidR="004B4E5E" w:rsidRPr="00451B44" w:rsidRDefault="004B4E5E" w:rsidP="002B4B8D">
      <w:pPr>
        <w:spacing w:line="480" w:lineRule="auto"/>
        <w:rPr>
          <w:rFonts w:ascii="Times New Roman" w:hAnsi="Times New Roman" w:cs="Times New Roman"/>
          <w:sz w:val="24"/>
          <w:szCs w:val="24"/>
        </w:rPr>
      </w:pPr>
      <w:r>
        <w:rPr>
          <w:rFonts w:ascii="Times New Roman" w:hAnsi="Times New Roman" w:cs="Times New Roman"/>
          <w:sz w:val="24"/>
          <w:szCs w:val="24"/>
        </w:rPr>
        <w:t xml:space="preserve">Early </w:t>
      </w:r>
      <w:r w:rsidRPr="00451B44">
        <w:rPr>
          <w:rFonts w:ascii="Times New Roman" w:hAnsi="Times New Roman" w:cs="Times New Roman"/>
          <w:sz w:val="24"/>
          <w:szCs w:val="24"/>
        </w:rPr>
        <w:t xml:space="preserve">investigations of autophagy in plants used light and electron microscopy to report the presence of double membrane structures surrounding portions of cytoplasm </w:t>
      </w:r>
      <w:r w:rsidRPr="00451B44">
        <w:rPr>
          <w:rFonts w:ascii="Times New Roman" w:hAnsi="Times New Roman" w:cs="Times New Roman"/>
          <w:noProof/>
          <w:sz w:val="24"/>
          <w:szCs w:val="24"/>
        </w:rPr>
        <w:t>(Villiers, 1967)</w:t>
      </w:r>
      <w:r w:rsidRPr="00451B44">
        <w:rPr>
          <w:rFonts w:ascii="Times New Roman" w:hAnsi="Times New Roman" w:cs="Times New Roman"/>
          <w:sz w:val="24"/>
          <w:szCs w:val="24"/>
        </w:rPr>
        <w:t xml:space="preserve"> and indeed numerous electron microscopy morphological studies of plant cells implied involvement of autophagy in a plethora of processes. As a routine recycling pathway, autophagy occurs at a basal level in all growing cells but it has been also reported to play a role in starvation, development and defence responses to pathogens </w:t>
      </w:r>
      <w:r w:rsidRPr="00451B44">
        <w:rPr>
          <w:rFonts w:ascii="Times New Roman" w:hAnsi="Times New Roman" w:cs="Times New Roman"/>
          <w:noProof/>
          <w:sz w:val="24"/>
          <w:szCs w:val="24"/>
        </w:rPr>
        <w:t>(Bassham</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2006)</w:t>
      </w:r>
      <w:r w:rsidRPr="00451B44">
        <w:rPr>
          <w:rFonts w:ascii="Times New Roman" w:hAnsi="Times New Roman" w:cs="Times New Roman"/>
          <w:sz w:val="24"/>
          <w:szCs w:val="24"/>
        </w:rPr>
        <w:t xml:space="preserve">. On the basis of morphological observations, autophagy was suggested to participate in </w:t>
      </w:r>
      <w:r>
        <w:rPr>
          <w:rFonts w:ascii="Times New Roman" w:hAnsi="Times New Roman" w:cs="Times New Roman"/>
          <w:sz w:val="24"/>
          <w:szCs w:val="24"/>
        </w:rPr>
        <w:t>PCD</w:t>
      </w:r>
      <w:r w:rsidRPr="00451B44">
        <w:rPr>
          <w:rFonts w:ascii="Times New Roman" w:hAnsi="Times New Roman" w:cs="Times New Roman"/>
          <w:sz w:val="24"/>
          <w:szCs w:val="24"/>
        </w:rPr>
        <w:t xml:space="preserve"> events in a variety of processes, such as aerenchyma formation, senescence, embryogenesis, germination of seeds, root formation, xylem and phloem differentiation or petal senescence (van Doorn and Woltering</w:t>
      </w:r>
      <w:r>
        <w:rPr>
          <w:rFonts w:ascii="Times New Roman" w:hAnsi="Times New Roman" w:cs="Times New Roman"/>
          <w:sz w:val="24"/>
          <w:szCs w:val="24"/>
        </w:rPr>
        <w:t>,</w:t>
      </w:r>
      <w:r w:rsidRPr="00451B44">
        <w:rPr>
          <w:rFonts w:ascii="Times New Roman" w:hAnsi="Times New Roman" w:cs="Times New Roman"/>
          <w:sz w:val="24"/>
          <w:szCs w:val="24"/>
        </w:rPr>
        <w:t xml:space="preserve"> </w:t>
      </w:r>
      <w:r>
        <w:rPr>
          <w:rFonts w:ascii="Times New Roman" w:hAnsi="Times New Roman" w:cs="Times New Roman"/>
          <w:sz w:val="24"/>
          <w:szCs w:val="24"/>
        </w:rPr>
        <w:t>(2005)</w:t>
      </w:r>
      <w:r w:rsidRPr="00451B44">
        <w:rPr>
          <w:rFonts w:ascii="Times New Roman" w:hAnsi="Times New Roman" w:cs="Times New Roman"/>
          <w:sz w:val="24"/>
          <w:szCs w:val="24"/>
        </w:rPr>
        <w:t xml:space="preserve"> and references therein). Genetic analysis of autophagic processes was not possible until</w:t>
      </w:r>
      <w:r w:rsidR="005C674D">
        <w:rPr>
          <w:rFonts w:ascii="Times New Roman" w:hAnsi="Times New Roman" w:cs="Times New Roman"/>
          <w:sz w:val="24"/>
          <w:szCs w:val="24"/>
        </w:rPr>
        <w:t xml:space="preserve"> recently, when more than 30 autophagy-</w:t>
      </w:r>
      <w:r w:rsidRPr="00451B44">
        <w:rPr>
          <w:rFonts w:ascii="Times New Roman" w:hAnsi="Times New Roman" w:cs="Times New Roman"/>
          <w:sz w:val="24"/>
          <w:szCs w:val="24"/>
        </w:rPr>
        <w:t>related (ATG) genes were initially isolated in yeast (Bassham</w:t>
      </w:r>
      <w:r w:rsidRPr="00451B44">
        <w:rPr>
          <w:rFonts w:ascii="Times New Roman" w:hAnsi="Times New Roman" w:cs="Times New Roman"/>
          <w:i/>
          <w:iCs/>
          <w:sz w:val="24"/>
          <w:szCs w:val="24"/>
        </w:rPr>
        <w:t xml:space="preserve"> et al.</w:t>
      </w:r>
      <w:r w:rsidRPr="00451B44">
        <w:rPr>
          <w:rFonts w:ascii="Times New Roman" w:hAnsi="Times New Roman" w:cs="Times New Roman"/>
          <w:sz w:val="24"/>
          <w:szCs w:val="24"/>
        </w:rPr>
        <w:t>, 2006, Klionsky</w:t>
      </w:r>
      <w:r w:rsidRPr="00451B44">
        <w:rPr>
          <w:rFonts w:ascii="Times New Roman" w:hAnsi="Times New Roman" w:cs="Times New Roman"/>
          <w:i/>
          <w:iCs/>
          <w:sz w:val="24"/>
          <w:szCs w:val="24"/>
        </w:rPr>
        <w:t xml:space="preserve"> et al.</w:t>
      </w:r>
      <w:r w:rsidRPr="00451B44">
        <w:rPr>
          <w:rFonts w:ascii="Times New Roman" w:hAnsi="Times New Roman" w:cs="Times New Roman"/>
          <w:sz w:val="24"/>
          <w:szCs w:val="24"/>
        </w:rPr>
        <w:t>, 2003). Subsequ</w:t>
      </w:r>
      <w:r>
        <w:rPr>
          <w:rFonts w:ascii="Times New Roman" w:hAnsi="Times New Roman" w:cs="Times New Roman"/>
          <w:sz w:val="24"/>
          <w:szCs w:val="24"/>
        </w:rPr>
        <w:t>ent sequence comparisons resulted in</w:t>
      </w:r>
      <w:r w:rsidRPr="00451B44">
        <w:rPr>
          <w:rFonts w:ascii="Times New Roman" w:hAnsi="Times New Roman" w:cs="Times New Roman"/>
          <w:sz w:val="24"/>
          <w:szCs w:val="24"/>
        </w:rPr>
        <w:t xml:space="preserve"> identification of plant homologues for many of </w:t>
      </w:r>
      <w:r>
        <w:rPr>
          <w:rFonts w:ascii="Times New Roman" w:hAnsi="Times New Roman" w:cs="Times New Roman"/>
          <w:sz w:val="24"/>
          <w:szCs w:val="24"/>
        </w:rPr>
        <w:t>yeast ATG genes</w:t>
      </w:r>
      <w:r w:rsidRPr="00451B44">
        <w:rPr>
          <w:rFonts w:ascii="Times New Roman" w:hAnsi="Times New Roman" w:cs="Times New Roman"/>
          <w:sz w:val="24"/>
          <w:szCs w:val="24"/>
        </w:rPr>
        <w:t xml:space="preserve"> (Bassham, 2007, Bassham</w:t>
      </w:r>
      <w:r w:rsidRPr="00451B44">
        <w:rPr>
          <w:rFonts w:ascii="Times New Roman" w:hAnsi="Times New Roman" w:cs="Times New Roman"/>
          <w:i/>
          <w:iCs/>
          <w:sz w:val="24"/>
          <w:szCs w:val="24"/>
        </w:rPr>
        <w:t xml:space="preserve"> et al.</w:t>
      </w:r>
      <w:r w:rsidRPr="00451B44">
        <w:rPr>
          <w:rFonts w:ascii="Times New Roman" w:hAnsi="Times New Roman" w:cs="Times New Roman"/>
          <w:sz w:val="24"/>
          <w:szCs w:val="24"/>
        </w:rPr>
        <w:t>, 2006, Hanaoka</w:t>
      </w:r>
      <w:r w:rsidRPr="00451B44">
        <w:rPr>
          <w:rFonts w:ascii="Times New Roman" w:hAnsi="Times New Roman" w:cs="Times New Roman"/>
          <w:i/>
          <w:iCs/>
          <w:sz w:val="24"/>
          <w:szCs w:val="24"/>
        </w:rPr>
        <w:t xml:space="preserve"> et al.</w:t>
      </w:r>
      <w:r w:rsidRPr="00451B44">
        <w:rPr>
          <w:rFonts w:ascii="Times New Roman" w:hAnsi="Times New Roman" w:cs="Times New Roman"/>
          <w:sz w:val="24"/>
          <w:szCs w:val="24"/>
        </w:rPr>
        <w:t xml:space="preserve">, 2002). Indeed, </w:t>
      </w:r>
      <w:r w:rsidRPr="00451B44">
        <w:rPr>
          <w:rFonts w:ascii="Times New Roman" w:hAnsi="Times New Roman" w:cs="Times New Roman"/>
          <w:i/>
          <w:iCs/>
          <w:sz w:val="24"/>
          <w:szCs w:val="24"/>
        </w:rPr>
        <w:t>Arabidopsis</w:t>
      </w:r>
      <w:r w:rsidRPr="00451B44">
        <w:rPr>
          <w:rFonts w:ascii="Times New Roman" w:hAnsi="Times New Roman" w:cs="Times New Roman"/>
          <w:sz w:val="24"/>
          <w:szCs w:val="24"/>
        </w:rPr>
        <w:t xml:space="preserve"> homologues of yeast proteins atg8 and atg4 are able to partially complement the yeast deletion strains indicating that the principle components of the autophagy pathway are conserved between plants and yeast </w:t>
      </w:r>
      <w:r w:rsidRPr="00451B44">
        <w:rPr>
          <w:rFonts w:ascii="Times New Roman" w:hAnsi="Times New Roman" w:cs="Times New Roman"/>
          <w:noProof/>
          <w:sz w:val="24"/>
          <w:szCs w:val="24"/>
        </w:rPr>
        <w:t>(Ketelaar</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2004)</w:t>
      </w:r>
      <w:r w:rsidRPr="00451B44">
        <w:rPr>
          <w:rFonts w:ascii="Times New Roman" w:hAnsi="Times New Roman" w:cs="Times New Roman"/>
          <w:sz w:val="24"/>
          <w:szCs w:val="24"/>
        </w:rPr>
        <w:t>. Recently, autophagy associated genes were also identified in rice and maize (Chung</w:t>
      </w:r>
      <w:r w:rsidRPr="00451B44">
        <w:rPr>
          <w:rFonts w:ascii="Times New Roman" w:hAnsi="Times New Roman" w:cs="Times New Roman"/>
          <w:i/>
          <w:iCs/>
          <w:sz w:val="24"/>
          <w:szCs w:val="24"/>
        </w:rPr>
        <w:t xml:space="preserve"> et al.</w:t>
      </w:r>
      <w:r w:rsidRPr="00451B44">
        <w:rPr>
          <w:rFonts w:ascii="Times New Roman" w:hAnsi="Times New Roman" w:cs="Times New Roman"/>
          <w:sz w:val="24"/>
          <w:szCs w:val="24"/>
        </w:rPr>
        <w:t>, 2009, Su</w:t>
      </w:r>
      <w:r w:rsidRPr="00451B44">
        <w:rPr>
          <w:rFonts w:ascii="Times New Roman" w:hAnsi="Times New Roman" w:cs="Times New Roman"/>
          <w:i/>
          <w:iCs/>
          <w:sz w:val="24"/>
          <w:szCs w:val="24"/>
        </w:rPr>
        <w:t xml:space="preserve"> et al.</w:t>
      </w:r>
      <w:r w:rsidRPr="00451B44">
        <w:rPr>
          <w:rFonts w:ascii="Times New Roman" w:hAnsi="Times New Roman" w:cs="Times New Roman"/>
          <w:sz w:val="24"/>
          <w:szCs w:val="24"/>
        </w:rPr>
        <w:t>, 2006)</w:t>
      </w:r>
      <w:r>
        <w:rPr>
          <w:rFonts w:ascii="Times New Roman" w:hAnsi="Times New Roman" w:cs="Times New Roman"/>
          <w:sz w:val="24"/>
          <w:szCs w:val="24"/>
        </w:rPr>
        <w:t>, however despite this</w:t>
      </w:r>
      <w:r w:rsidRPr="00451B44">
        <w:rPr>
          <w:rFonts w:ascii="Times New Roman" w:hAnsi="Times New Roman" w:cs="Times New Roman"/>
          <w:sz w:val="24"/>
          <w:szCs w:val="24"/>
        </w:rPr>
        <w:t xml:space="preserve">, the machinery and regulation of the </w:t>
      </w:r>
      <w:r>
        <w:rPr>
          <w:rFonts w:ascii="Times New Roman" w:hAnsi="Times New Roman" w:cs="Times New Roman"/>
          <w:sz w:val="24"/>
          <w:szCs w:val="24"/>
        </w:rPr>
        <w:t xml:space="preserve">autophagy </w:t>
      </w:r>
      <w:r w:rsidRPr="00451B44">
        <w:rPr>
          <w:rFonts w:ascii="Times New Roman" w:hAnsi="Times New Roman" w:cs="Times New Roman"/>
          <w:sz w:val="24"/>
          <w:szCs w:val="24"/>
        </w:rPr>
        <w:t xml:space="preserve">process are still yet not well understood in plants. </w:t>
      </w:r>
    </w:p>
    <w:p w:rsidR="004B4E5E" w:rsidRPr="00451B44" w:rsidRDefault="004B4E5E" w:rsidP="002B4B8D">
      <w:pPr>
        <w:spacing w:line="480" w:lineRule="auto"/>
        <w:rPr>
          <w:rFonts w:ascii="Times New Roman" w:hAnsi="Times New Roman" w:cs="Times New Roman"/>
          <w:sz w:val="24"/>
          <w:szCs w:val="24"/>
        </w:rPr>
      </w:pPr>
      <w:r>
        <w:rPr>
          <w:rFonts w:ascii="Times New Roman" w:hAnsi="Times New Roman" w:cs="Times New Roman"/>
          <w:sz w:val="24"/>
          <w:szCs w:val="24"/>
        </w:rPr>
        <w:t>The b</w:t>
      </w:r>
      <w:r w:rsidRPr="00451B44">
        <w:rPr>
          <w:rFonts w:ascii="Times New Roman" w:hAnsi="Times New Roman" w:cs="Times New Roman"/>
          <w:sz w:val="24"/>
          <w:szCs w:val="24"/>
        </w:rPr>
        <w:t>iological r</w:t>
      </w:r>
      <w:r>
        <w:rPr>
          <w:rFonts w:ascii="Times New Roman" w:hAnsi="Times New Roman" w:cs="Times New Roman"/>
          <w:sz w:val="24"/>
          <w:szCs w:val="24"/>
        </w:rPr>
        <w:t>oles of autophagy in plants have been</w:t>
      </w:r>
      <w:r w:rsidRPr="00451B44">
        <w:rPr>
          <w:rFonts w:ascii="Times New Roman" w:hAnsi="Times New Roman" w:cs="Times New Roman"/>
          <w:sz w:val="24"/>
          <w:szCs w:val="24"/>
        </w:rPr>
        <w:t xml:space="preserve"> investigated by numerous studies of ATG mutant plant phenotypes. For instance, an early senescence phenotype and a sensitivity to nutrient-limited conditions was observed in case of AtATG7, AtATG8 and ATG9 mutant plants (Contento</w:t>
      </w:r>
      <w:r w:rsidRPr="00451B44">
        <w:rPr>
          <w:rFonts w:ascii="Times New Roman" w:hAnsi="Times New Roman" w:cs="Times New Roman"/>
          <w:i/>
          <w:iCs/>
          <w:sz w:val="24"/>
          <w:szCs w:val="24"/>
        </w:rPr>
        <w:t xml:space="preserve"> et al.</w:t>
      </w:r>
      <w:r w:rsidRPr="00451B44">
        <w:rPr>
          <w:rFonts w:ascii="Times New Roman" w:hAnsi="Times New Roman" w:cs="Times New Roman"/>
          <w:sz w:val="24"/>
          <w:szCs w:val="24"/>
        </w:rPr>
        <w:t>, 2005, Doelling</w:t>
      </w:r>
      <w:r w:rsidRPr="00451B44">
        <w:rPr>
          <w:rFonts w:ascii="Times New Roman" w:hAnsi="Times New Roman" w:cs="Times New Roman"/>
          <w:i/>
          <w:iCs/>
          <w:sz w:val="24"/>
          <w:szCs w:val="24"/>
        </w:rPr>
        <w:t xml:space="preserve"> et al.</w:t>
      </w:r>
      <w:r w:rsidRPr="00451B44">
        <w:rPr>
          <w:rFonts w:ascii="Times New Roman" w:hAnsi="Times New Roman" w:cs="Times New Roman"/>
          <w:sz w:val="24"/>
          <w:szCs w:val="24"/>
        </w:rPr>
        <w:t>, 2002, Hanaoka</w:t>
      </w:r>
      <w:r w:rsidRPr="00451B44">
        <w:rPr>
          <w:rFonts w:ascii="Times New Roman" w:hAnsi="Times New Roman" w:cs="Times New Roman"/>
          <w:i/>
          <w:iCs/>
          <w:sz w:val="24"/>
          <w:szCs w:val="24"/>
        </w:rPr>
        <w:t xml:space="preserve"> et al.</w:t>
      </w:r>
      <w:r w:rsidRPr="00451B44">
        <w:rPr>
          <w:rFonts w:ascii="Times New Roman" w:hAnsi="Times New Roman" w:cs="Times New Roman"/>
          <w:sz w:val="24"/>
          <w:szCs w:val="24"/>
        </w:rPr>
        <w:t>, 2002, Phillips</w:t>
      </w:r>
      <w:r w:rsidRPr="00451B44">
        <w:rPr>
          <w:rFonts w:ascii="Times New Roman" w:hAnsi="Times New Roman" w:cs="Times New Roman"/>
          <w:i/>
          <w:iCs/>
          <w:sz w:val="24"/>
          <w:szCs w:val="24"/>
        </w:rPr>
        <w:t xml:space="preserve"> et al.</w:t>
      </w:r>
      <w:r w:rsidRPr="00451B44">
        <w:rPr>
          <w:rFonts w:ascii="Times New Roman" w:hAnsi="Times New Roman" w:cs="Times New Roman"/>
          <w:sz w:val="24"/>
          <w:szCs w:val="24"/>
        </w:rPr>
        <w:t>, 2008, Yoshimoto</w:t>
      </w:r>
      <w:r w:rsidRPr="00451B44">
        <w:rPr>
          <w:rFonts w:ascii="Times New Roman" w:hAnsi="Times New Roman" w:cs="Times New Roman"/>
          <w:i/>
          <w:iCs/>
          <w:sz w:val="24"/>
          <w:szCs w:val="24"/>
        </w:rPr>
        <w:t xml:space="preserve"> et al.</w:t>
      </w:r>
      <w:r w:rsidRPr="00451B44">
        <w:rPr>
          <w:rFonts w:ascii="Times New Roman" w:hAnsi="Times New Roman" w:cs="Times New Roman"/>
          <w:sz w:val="24"/>
          <w:szCs w:val="24"/>
        </w:rPr>
        <w:t>, 2004), suggesting that autopha</w:t>
      </w:r>
      <w:r>
        <w:rPr>
          <w:rFonts w:ascii="Times New Roman" w:hAnsi="Times New Roman" w:cs="Times New Roman"/>
          <w:sz w:val="24"/>
          <w:szCs w:val="24"/>
        </w:rPr>
        <w:t>gy helps to maintain</w:t>
      </w:r>
      <w:r w:rsidRPr="00451B44">
        <w:rPr>
          <w:rFonts w:ascii="Times New Roman" w:hAnsi="Times New Roman" w:cs="Times New Roman"/>
          <w:sz w:val="24"/>
          <w:szCs w:val="24"/>
        </w:rPr>
        <w:t xml:space="preserve"> cellular viability during starvation and also to distribute nutrients efficiently. However, </w:t>
      </w:r>
      <w:r w:rsidRPr="00451B44">
        <w:rPr>
          <w:rFonts w:ascii="Times New Roman" w:hAnsi="Times New Roman" w:cs="Times New Roman"/>
          <w:i/>
          <w:iCs/>
          <w:sz w:val="24"/>
          <w:szCs w:val="24"/>
        </w:rPr>
        <w:t>Arabidopsis</w:t>
      </w:r>
      <w:r w:rsidRPr="00451B44">
        <w:rPr>
          <w:rFonts w:ascii="Times New Roman" w:hAnsi="Times New Roman" w:cs="Times New Roman"/>
          <w:sz w:val="24"/>
          <w:szCs w:val="24"/>
        </w:rPr>
        <w:t xml:space="preserve"> autophagy defective mutants (e.g. AtATG7</w:t>
      </w:r>
      <w:r>
        <w:rPr>
          <w:rFonts w:ascii="Times New Roman" w:hAnsi="Times New Roman" w:cs="Times New Roman"/>
          <w:sz w:val="24"/>
          <w:szCs w:val="24"/>
        </w:rPr>
        <w:t>,</w:t>
      </w:r>
      <w:r w:rsidRPr="00451B44">
        <w:rPr>
          <w:rFonts w:ascii="Times New Roman" w:hAnsi="Times New Roman" w:cs="Times New Roman"/>
          <w:sz w:val="24"/>
          <w:szCs w:val="24"/>
        </w:rPr>
        <w:t xml:space="preserve"> </w:t>
      </w:r>
      <w:r w:rsidRPr="00451B44">
        <w:rPr>
          <w:rFonts w:ascii="Times New Roman" w:hAnsi="Times New Roman" w:cs="Times New Roman"/>
          <w:noProof/>
          <w:sz w:val="24"/>
          <w:szCs w:val="24"/>
        </w:rPr>
        <w:t>Doelling</w:t>
      </w:r>
      <w:r w:rsidRPr="00451B44">
        <w:rPr>
          <w:rFonts w:ascii="Times New Roman" w:hAnsi="Times New Roman" w:cs="Times New Roman"/>
          <w:i/>
          <w:iCs/>
          <w:noProof/>
          <w:sz w:val="24"/>
          <w:szCs w:val="24"/>
        </w:rPr>
        <w:t xml:space="preserve"> et al.</w:t>
      </w:r>
      <w:r>
        <w:rPr>
          <w:rFonts w:ascii="Times New Roman" w:hAnsi="Times New Roman" w:cs="Times New Roman"/>
          <w:noProof/>
          <w:sz w:val="24"/>
          <w:szCs w:val="24"/>
        </w:rPr>
        <w:t>, 2002</w:t>
      </w:r>
      <w:r w:rsidRPr="00451B44">
        <w:rPr>
          <w:rFonts w:ascii="Times New Roman" w:hAnsi="Times New Roman" w:cs="Times New Roman"/>
          <w:sz w:val="24"/>
          <w:szCs w:val="24"/>
        </w:rPr>
        <w:t>, AtATG9</w:t>
      </w:r>
      <w:r>
        <w:rPr>
          <w:rFonts w:ascii="Times New Roman" w:hAnsi="Times New Roman" w:cs="Times New Roman"/>
          <w:sz w:val="24"/>
          <w:szCs w:val="24"/>
        </w:rPr>
        <w:t>,</w:t>
      </w:r>
      <w:r w:rsidRPr="00451B44">
        <w:rPr>
          <w:rFonts w:ascii="Times New Roman" w:hAnsi="Times New Roman" w:cs="Times New Roman"/>
          <w:sz w:val="24"/>
          <w:szCs w:val="24"/>
        </w:rPr>
        <w:t xml:space="preserve"> </w:t>
      </w:r>
      <w:r w:rsidRPr="00451B44">
        <w:rPr>
          <w:rFonts w:ascii="Times New Roman" w:hAnsi="Times New Roman" w:cs="Times New Roman"/>
          <w:noProof/>
          <w:sz w:val="24"/>
          <w:szCs w:val="24"/>
        </w:rPr>
        <w:t>Hanaoka</w:t>
      </w:r>
      <w:r w:rsidRPr="00451B44">
        <w:rPr>
          <w:rFonts w:ascii="Times New Roman" w:hAnsi="Times New Roman" w:cs="Times New Roman"/>
          <w:i/>
          <w:iCs/>
          <w:noProof/>
          <w:sz w:val="24"/>
          <w:szCs w:val="24"/>
        </w:rPr>
        <w:t xml:space="preserve"> et al.</w:t>
      </w:r>
      <w:r>
        <w:rPr>
          <w:rFonts w:ascii="Times New Roman" w:hAnsi="Times New Roman" w:cs="Times New Roman"/>
          <w:noProof/>
          <w:sz w:val="24"/>
          <w:szCs w:val="24"/>
        </w:rPr>
        <w:t>, 2002</w:t>
      </w:r>
      <w:r w:rsidRPr="00451B44">
        <w:rPr>
          <w:rFonts w:ascii="Times New Roman" w:hAnsi="Times New Roman" w:cs="Times New Roman"/>
          <w:sz w:val="24"/>
          <w:szCs w:val="24"/>
        </w:rPr>
        <w:t xml:space="preserve">, AtATG10 </w:t>
      </w:r>
      <w:r w:rsidRPr="00451B44">
        <w:rPr>
          <w:rFonts w:ascii="Times New Roman" w:hAnsi="Times New Roman" w:cs="Times New Roman"/>
          <w:noProof/>
          <w:sz w:val="24"/>
          <w:szCs w:val="24"/>
        </w:rPr>
        <w:t>Phillips</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2008)</w:t>
      </w:r>
      <w:r w:rsidRPr="00451B44">
        <w:rPr>
          <w:rFonts w:ascii="Times New Roman" w:hAnsi="Times New Roman" w:cs="Times New Roman"/>
          <w:sz w:val="24"/>
          <w:szCs w:val="24"/>
        </w:rPr>
        <w:t>) and silenced transgenic lines like AtATG6</w:t>
      </w:r>
      <w:r w:rsidRPr="00451B44">
        <w:rPr>
          <w:rFonts w:ascii="Times New Roman" w:hAnsi="Times New Roman" w:cs="Times New Roman"/>
          <w:sz w:val="24"/>
          <w:szCs w:val="24"/>
        </w:rPr>
        <w:noBreakHyphen/>
        <w:t xml:space="preserve">RNAi </w:t>
      </w:r>
      <w:r w:rsidRPr="00451B44">
        <w:rPr>
          <w:rFonts w:ascii="Times New Roman" w:hAnsi="Times New Roman" w:cs="Times New Roman"/>
          <w:noProof/>
          <w:sz w:val="24"/>
          <w:szCs w:val="24"/>
        </w:rPr>
        <w:t>(Patel and Dinesh-Kumar, 2008)</w:t>
      </w:r>
      <w:r>
        <w:rPr>
          <w:rFonts w:ascii="Times New Roman" w:hAnsi="Times New Roman" w:cs="Times New Roman"/>
          <w:sz w:val="24"/>
          <w:szCs w:val="24"/>
        </w:rPr>
        <w:t xml:space="preserve"> all lack</w:t>
      </w:r>
      <w:r w:rsidRPr="00451B44">
        <w:rPr>
          <w:rFonts w:ascii="Times New Roman" w:hAnsi="Times New Roman" w:cs="Times New Roman"/>
          <w:sz w:val="24"/>
          <w:szCs w:val="24"/>
        </w:rPr>
        <w:t xml:space="preserve"> major developmental phenotypes under optimal conditions, suggesting that autophagy is not a key player in basic developmental processes such as embryogenesis, germination, shoot and root formation and elongation and flowering and seed production. D</w:t>
      </w:r>
      <w:r>
        <w:rPr>
          <w:rFonts w:ascii="Times New Roman" w:hAnsi="Times New Roman" w:cs="Times New Roman"/>
          <w:sz w:val="24"/>
          <w:szCs w:val="24"/>
        </w:rPr>
        <w:t>isruption of the AtATG6 gene has been</w:t>
      </w:r>
      <w:r w:rsidRPr="00451B44">
        <w:rPr>
          <w:rFonts w:ascii="Times New Roman" w:hAnsi="Times New Roman" w:cs="Times New Roman"/>
          <w:sz w:val="24"/>
          <w:szCs w:val="24"/>
        </w:rPr>
        <w:t xml:space="preserve"> shown to inhibit pollen germination (Fujiki</w:t>
      </w:r>
      <w:r w:rsidRPr="00451B44">
        <w:rPr>
          <w:rFonts w:ascii="Times New Roman" w:hAnsi="Times New Roman" w:cs="Times New Roman"/>
          <w:i/>
          <w:iCs/>
          <w:sz w:val="24"/>
          <w:szCs w:val="24"/>
        </w:rPr>
        <w:t xml:space="preserve"> et al.</w:t>
      </w:r>
      <w:r w:rsidRPr="00451B44">
        <w:rPr>
          <w:rFonts w:ascii="Times New Roman" w:hAnsi="Times New Roman" w:cs="Times New Roman"/>
          <w:sz w:val="24"/>
          <w:szCs w:val="24"/>
        </w:rPr>
        <w:t>, 2007, Qin</w:t>
      </w:r>
      <w:r w:rsidRPr="00451B44">
        <w:rPr>
          <w:rFonts w:ascii="Times New Roman" w:hAnsi="Times New Roman" w:cs="Times New Roman"/>
          <w:i/>
          <w:iCs/>
          <w:sz w:val="24"/>
          <w:szCs w:val="24"/>
        </w:rPr>
        <w:t xml:space="preserve"> et al.</w:t>
      </w:r>
      <w:r w:rsidRPr="00451B44">
        <w:rPr>
          <w:rFonts w:ascii="Times New Roman" w:hAnsi="Times New Roman" w:cs="Times New Roman"/>
          <w:sz w:val="24"/>
          <w:szCs w:val="24"/>
        </w:rPr>
        <w:t>, 2007)</w:t>
      </w:r>
      <w:r>
        <w:rPr>
          <w:rFonts w:ascii="Times New Roman" w:hAnsi="Times New Roman" w:cs="Times New Roman"/>
          <w:sz w:val="24"/>
          <w:szCs w:val="24"/>
        </w:rPr>
        <w:t>, however it has</w:t>
      </w:r>
      <w:r w:rsidRPr="00451B44">
        <w:rPr>
          <w:rFonts w:ascii="Times New Roman" w:hAnsi="Times New Roman" w:cs="Times New Roman"/>
          <w:sz w:val="24"/>
          <w:szCs w:val="24"/>
        </w:rPr>
        <w:t xml:space="preserve"> not</w:t>
      </w:r>
      <w:r>
        <w:rPr>
          <w:rFonts w:ascii="Times New Roman" w:hAnsi="Times New Roman" w:cs="Times New Roman"/>
          <w:sz w:val="24"/>
          <w:szCs w:val="24"/>
        </w:rPr>
        <w:t xml:space="preserve"> been</w:t>
      </w:r>
      <w:r w:rsidRPr="00451B44">
        <w:rPr>
          <w:rFonts w:ascii="Times New Roman" w:hAnsi="Times New Roman" w:cs="Times New Roman"/>
          <w:sz w:val="24"/>
          <w:szCs w:val="24"/>
        </w:rPr>
        <w:t xml:space="preserve"> established if this effect is autophagy dependent or whether the mutation affects another cryptic pathway required for pollen germination. The AtATG9 mutant exhibits subtle growth alternations even in nutrient-rich conditions which include an early flowering phenotype and a reduction in the number of </w:t>
      </w:r>
      <w:r w:rsidR="005C674D">
        <w:rPr>
          <w:rFonts w:ascii="Times New Roman" w:hAnsi="Times New Roman" w:cs="Times New Roman"/>
          <w:sz w:val="24"/>
          <w:szCs w:val="24"/>
        </w:rPr>
        <w:t>rosette leaves</w:t>
      </w:r>
      <w:r w:rsidRPr="00451B44">
        <w:rPr>
          <w:rFonts w:ascii="Times New Roman" w:hAnsi="Times New Roman" w:cs="Times New Roman"/>
          <w:sz w:val="24"/>
          <w:szCs w:val="24"/>
        </w:rPr>
        <w:t xml:space="preserve"> </w:t>
      </w:r>
      <w:r w:rsidRPr="00451B44">
        <w:rPr>
          <w:rFonts w:ascii="Times New Roman" w:hAnsi="Times New Roman" w:cs="Times New Roman"/>
          <w:noProof/>
          <w:sz w:val="24"/>
          <w:szCs w:val="24"/>
        </w:rPr>
        <w:t>(Hanaoka</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2002)</w:t>
      </w:r>
      <w:r w:rsidRPr="00451B44">
        <w:rPr>
          <w:rFonts w:ascii="Times New Roman" w:hAnsi="Times New Roman" w:cs="Times New Roman"/>
          <w:sz w:val="24"/>
          <w:szCs w:val="24"/>
        </w:rPr>
        <w:t xml:space="preserve"> suggesting a less obvious role for autophagy in plant development.</w:t>
      </w:r>
      <w:r>
        <w:rPr>
          <w:rFonts w:ascii="Times New Roman" w:hAnsi="Times New Roman" w:cs="Times New Roman"/>
          <w:sz w:val="24"/>
          <w:szCs w:val="24"/>
        </w:rPr>
        <w:t xml:space="preserve"> In contrast to</w:t>
      </w:r>
      <w:r w:rsidRPr="00451B44">
        <w:rPr>
          <w:rFonts w:ascii="Times New Roman" w:hAnsi="Times New Roman" w:cs="Times New Roman"/>
          <w:sz w:val="24"/>
          <w:szCs w:val="24"/>
        </w:rPr>
        <w:t xml:space="preserve"> previously formulated morphological observation-based assumptions, </w:t>
      </w:r>
      <w:r>
        <w:rPr>
          <w:rFonts w:ascii="Times New Roman" w:hAnsi="Times New Roman" w:cs="Times New Roman"/>
          <w:sz w:val="24"/>
          <w:szCs w:val="24"/>
        </w:rPr>
        <w:t>the genetic evidence suggests</w:t>
      </w:r>
      <w:r w:rsidRPr="00451B44">
        <w:rPr>
          <w:rFonts w:ascii="Times New Roman" w:hAnsi="Times New Roman" w:cs="Times New Roman"/>
          <w:sz w:val="24"/>
          <w:szCs w:val="24"/>
        </w:rPr>
        <w:t xml:space="preserve"> that the ATG pathway is not essential for plants in optimal conditions. </w:t>
      </w:r>
      <w:r>
        <w:rPr>
          <w:rFonts w:ascii="Times New Roman" w:hAnsi="Times New Roman" w:cs="Times New Roman"/>
          <w:sz w:val="24"/>
          <w:szCs w:val="24"/>
        </w:rPr>
        <w:t>However, i</w:t>
      </w:r>
      <w:r w:rsidRPr="00451B44">
        <w:rPr>
          <w:rFonts w:ascii="Times New Roman" w:hAnsi="Times New Roman" w:cs="Times New Roman"/>
          <w:sz w:val="24"/>
          <w:szCs w:val="24"/>
        </w:rPr>
        <w:t>t cannot be excluded that another pathway function</w:t>
      </w:r>
      <w:r>
        <w:rPr>
          <w:rFonts w:ascii="Times New Roman" w:hAnsi="Times New Roman" w:cs="Times New Roman"/>
          <w:sz w:val="24"/>
          <w:szCs w:val="24"/>
        </w:rPr>
        <w:t>s</w:t>
      </w:r>
      <w:r w:rsidRPr="00451B44">
        <w:rPr>
          <w:rFonts w:ascii="Times New Roman" w:hAnsi="Times New Roman" w:cs="Times New Roman"/>
          <w:sz w:val="24"/>
          <w:szCs w:val="24"/>
        </w:rPr>
        <w:t xml:space="preserve"> in the absence of the ATG system. Add</w:t>
      </w:r>
      <w:r>
        <w:rPr>
          <w:rFonts w:ascii="Times New Roman" w:hAnsi="Times New Roman" w:cs="Times New Roman"/>
          <w:sz w:val="24"/>
          <w:szCs w:val="24"/>
        </w:rPr>
        <w:t>itionally, there is debate over</w:t>
      </w:r>
      <w:r w:rsidRPr="00451B44">
        <w:rPr>
          <w:rFonts w:ascii="Times New Roman" w:hAnsi="Times New Roman" w:cs="Times New Roman"/>
          <w:sz w:val="24"/>
          <w:szCs w:val="24"/>
        </w:rPr>
        <w:t xml:space="preserve"> whether autophagy </w:t>
      </w:r>
      <w:r>
        <w:rPr>
          <w:rFonts w:ascii="Times New Roman" w:hAnsi="Times New Roman" w:cs="Times New Roman"/>
          <w:sz w:val="24"/>
          <w:szCs w:val="24"/>
        </w:rPr>
        <w:t>can be a</w:t>
      </w:r>
      <w:r w:rsidRPr="00451B44">
        <w:rPr>
          <w:rFonts w:ascii="Times New Roman" w:hAnsi="Times New Roman" w:cs="Times New Roman"/>
          <w:sz w:val="24"/>
          <w:szCs w:val="24"/>
        </w:rPr>
        <w:t xml:space="preserve"> cause of </w:t>
      </w:r>
      <w:r>
        <w:rPr>
          <w:rFonts w:ascii="Times New Roman" w:hAnsi="Times New Roman" w:cs="Times New Roman"/>
          <w:sz w:val="24"/>
          <w:szCs w:val="24"/>
        </w:rPr>
        <w:t>PCD</w:t>
      </w:r>
      <w:r w:rsidRPr="00451B44">
        <w:rPr>
          <w:rFonts w:ascii="Times New Roman" w:hAnsi="Times New Roman" w:cs="Times New Roman"/>
          <w:sz w:val="24"/>
          <w:szCs w:val="24"/>
        </w:rPr>
        <w:t xml:space="preserve"> itself, or rather an important, but not inevitable, mechanism for recycling cellular material preceding</w:t>
      </w:r>
      <w:r>
        <w:rPr>
          <w:rFonts w:ascii="Times New Roman" w:hAnsi="Times New Roman" w:cs="Times New Roman"/>
          <w:sz w:val="24"/>
          <w:szCs w:val="24"/>
        </w:rPr>
        <w:t>,</w:t>
      </w:r>
      <w:r w:rsidRPr="00451B44">
        <w:rPr>
          <w:rFonts w:ascii="Times New Roman" w:hAnsi="Times New Roman" w:cs="Times New Roman"/>
          <w:sz w:val="24"/>
          <w:szCs w:val="24"/>
        </w:rPr>
        <w:t xml:space="preserve"> </w:t>
      </w:r>
      <w:r>
        <w:rPr>
          <w:rFonts w:ascii="Times New Roman" w:hAnsi="Times New Roman" w:cs="Times New Roman"/>
          <w:sz w:val="24"/>
          <w:szCs w:val="24"/>
        </w:rPr>
        <w:t xml:space="preserve">or associated with, </w:t>
      </w:r>
      <w:r w:rsidRPr="00451B44">
        <w:rPr>
          <w:rFonts w:ascii="Times New Roman" w:hAnsi="Times New Roman" w:cs="Times New Roman"/>
          <w:sz w:val="24"/>
          <w:szCs w:val="24"/>
        </w:rPr>
        <w:t>death.</w:t>
      </w:r>
    </w:p>
    <w:p w:rsidR="004B4E5E" w:rsidRDefault="004B4E5E" w:rsidP="002B4B8D">
      <w:pPr>
        <w:spacing w:line="480" w:lineRule="auto"/>
        <w:rPr>
          <w:rFonts w:ascii="Times New Roman" w:hAnsi="Times New Roman" w:cs="Times New Roman"/>
          <w:sz w:val="24"/>
          <w:szCs w:val="24"/>
        </w:rPr>
      </w:pPr>
      <w:r>
        <w:rPr>
          <w:rFonts w:ascii="Times New Roman" w:hAnsi="Times New Roman" w:cs="Times New Roman"/>
          <w:sz w:val="24"/>
          <w:szCs w:val="24"/>
        </w:rPr>
        <w:t>Autophagy has been</w:t>
      </w:r>
      <w:r w:rsidRPr="00451B44">
        <w:rPr>
          <w:rFonts w:ascii="Times New Roman" w:hAnsi="Times New Roman" w:cs="Times New Roman"/>
          <w:sz w:val="24"/>
          <w:szCs w:val="24"/>
        </w:rPr>
        <w:t xml:space="preserve"> shown to be involved in </w:t>
      </w:r>
      <w:r>
        <w:rPr>
          <w:rFonts w:ascii="Times New Roman" w:hAnsi="Times New Roman" w:cs="Times New Roman"/>
          <w:sz w:val="24"/>
          <w:szCs w:val="24"/>
        </w:rPr>
        <w:t xml:space="preserve">plant </w:t>
      </w:r>
      <w:r w:rsidRPr="00451B44">
        <w:rPr>
          <w:rFonts w:ascii="Times New Roman" w:hAnsi="Times New Roman" w:cs="Times New Roman"/>
          <w:sz w:val="24"/>
          <w:szCs w:val="24"/>
        </w:rPr>
        <w:t>abiotic stress response</w:t>
      </w:r>
      <w:r>
        <w:rPr>
          <w:rFonts w:ascii="Times New Roman" w:hAnsi="Times New Roman" w:cs="Times New Roman"/>
          <w:sz w:val="24"/>
          <w:szCs w:val="24"/>
        </w:rPr>
        <w:t>s</w:t>
      </w:r>
      <w:r w:rsidRPr="00451B44">
        <w:rPr>
          <w:rFonts w:ascii="Times New Roman" w:hAnsi="Times New Roman" w:cs="Times New Roman"/>
          <w:sz w:val="24"/>
          <w:szCs w:val="24"/>
        </w:rPr>
        <w:t xml:space="preserve">. It has been proposed that autophagy is required in the degradation of oxidized proteins during oxidative stress in </w:t>
      </w:r>
      <w:r w:rsidRPr="00451B44">
        <w:rPr>
          <w:rFonts w:ascii="Times New Roman" w:hAnsi="Times New Roman" w:cs="Times New Roman"/>
          <w:i/>
          <w:iCs/>
          <w:sz w:val="24"/>
          <w:szCs w:val="24"/>
        </w:rPr>
        <w:t>Arabidopsis</w:t>
      </w:r>
      <w:r w:rsidRPr="00451B44">
        <w:rPr>
          <w:rFonts w:ascii="Times New Roman" w:hAnsi="Times New Roman" w:cs="Times New Roman"/>
          <w:sz w:val="24"/>
          <w:szCs w:val="24"/>
        </w:rPr>
        <w:t xml:space="preserve"> and that disruption of autophagy pathway results in increased oxidative stress, which is supported by increased expression of ROS scavenging enzymes and also, ROS levels themselves in AtATG18a-RNAi plants compared to wild type </w:t>
      </w:r>
      <w:r>
        <w:rPr>
          <w:rFonts w:ascii="Times New Roman" w:hAnsi="Times New Roman" w:cs="Times New Roman"/>
          <w:sz w:val="24"/>
          <w:szCs w:val="24"/>
        </w:rPr>
        <w:t>(Xiong</w:t>
      </w:r>
      <w:r w:rsidRPr="00A43B68">
        <w:rPr>
          <w:rFonts w:ascii="Times New Roman" w:hAnsi="Times New Roman" w:cs="Times New Roman"/>
          <w:i/>
          <w:iCs/>
          <w:sz w:val="24"/>
          <w:szCs w:val="24"/>
        </w:rPr>
        <w:t xml:space="preserve"> et al.</w:t>
      </w:r>
      <w:r>
        <w:rPr>
          <w:rFonts w:ascii="Times New Roman" w:hAnsi="Times New Roman" w:cs="Times New Roman"/>
          <w:sz w:val="24"/>
          <w:szCs w:val="24"/>
        </w:rPr>
        <w:t>, 2007a, Xiong</w:t>
      </w:r>
      <w:r w:rsidRPr="00A43B68">
        <w:rPr>
          <w:rFonts w:ascii="Times New Roman" w:hAnsi="Times New Roman" w:cs="Times New Roman"/>
          <w:i/>
          <w:iCs/>
          <w:sz w:val="24"/>
          <w:szCs w:val="24"/>
        </w:rPr>
        <w:t xml:space="preserve"> et al.</w:t>
      </w:r>
      <w:r>
        <w:rPr>
          <w:rFonts w:ascii="Times New Roman" w:hAnsi="Times New Roman" w:cs="Times New Roman"/>
          <w:sz w:val="24"/>
          <w:szCs w:val="24"/>
        </w:rPr>
        <w:t>, 2007b)</w:t>
      </w:r>
      <w:r w:rsidRPr="00451B44">
        <w:rPr>
          <w:rFonts w:ascii="Times New Roman" w:hAnsi="Times New Roman" w:cs="Times New Roman"/>
          <w:sz w:val="24"/>
          <w:szCs w:val="24"/>
        </w:rPr>
        <w:t>.</w:t>
      </w:r>
      <w:r>
        <w:rPr>
          <w:rFonts w:ascii="Times New Roman" w:hAnsi="Times New Roman" w:cs="Times New Roman"/>
          <w:sz w:val="24"/>
          <w:szCs w:val="24"/>
        </w:rPr>
        <w:t xml:space="preserve"> </w:t>
      </w:r>
    </w:p>
    <w:p w:rsidR="004B4E5E" w:rsidRDefault="004B4E5E" w:rsidP="002B4B8D">
      <w:pPr>
        <w:spacing w:line="480" w:lineRule="auto"/>
        <w:rPr>
          <w:rFonts w:ascii="Times New Roman" w:hAnsi="Times New Roman" w:cs="Times New Roman"/>
          <w:sz w:val="24"/>
          <w:szCs w:val="24"/>
        </w:rPr>
      </w:pPr>
      <w:r w:rsidRPr="00730641">
        <w:rPr>
          <w:rFonts w:ascii="Times New Roman" w:hAnsi="Times New Roman" w:cs="Times New Roman"/>
          <w:sz w:val="24"/>
          <w:szCs w:val="24"/>
        </w:rPr>
        <w:t>Experimental results suggest that the physiological functions of autophagy in animals are of a dual nature: at the organismal level</w:t>
      </w:r>
      <w:r>
        <w:rPr>
          <w:rFonts w:ascii="Times New Roman" w:hAnsi="Times New Roman" w:cs="Times New Roman"/>
          <w:sz w:val="24"/>
          <w:szCs w:val="24"/>
        </w:rPr>
        <w:t xml:space="preserve"> </w:t>
      </w:r>
      <w:r w:rsidRPr="00730641">
        <w:rPr>
          <w:rFonts w:ascii="Times New Roman" w:hAnsi="Times New Roman" w:cs="Times New Roman"/>
          <w:sz w:val="24"/>
          <w:szCs w:val="24"/>
        </w:rPr>
        <w:t>it can play both a pro</w:t>
      </w:r>
      <w:r>
        <w:rPr>
          <w:rFonts w:ascii="Times New Roman" w:hAnsi="Times New Roman" w:cs="Times New Roman"/>
          <w:sz w:val="24"/>
          <w:szCs w:val="24"/>
        </w:rPr>
        <w:t>-</w:t>
      </w:r>
      <w:r w:rsidRPr="00730641">
        <w:rPr>
          <w:rFonts w:ascii="Times New Roman" w:hAnsi="Times New Roman" w:cs="Times New Roman"/>
          <w:sz w:val="24"/>
          <w:szCs w:val="24"/>
        </w:rPr>
        <w:t>survival role (e.g. maintaining energy h</w:t>
      </w:r>
      <w:r>
        <w:rPr>
          <w:rFonts w:ascii="Times New Roman" w:hAnsi="Times New Roman" w:cs="Times New Roman"/>
          <w:sz w:val="24"/>
          <w:szCs w:val="24"/>
        </w:rPr>
        <w:t xml:space="preserve">omeostasis during starvation) or </w:t>
      </w:r>
      <w:r w:rsidRPr="00730641">
        <w:rPr>
          <w:rFonts w:ascii="Times New Roman" w:hAnsi="Times New Roman" w:cs="Times New Roman"/>
          <w:sz w:val="24"/>
          <w:szCs w:val="24"/>
        </w:rPr>
        <w:t xml:space="preserve">a pro-death role, depending on the extent to which the process is activated </w:t>
      </w:r>
      <w:r w:rsidRPr="00730641">
        <w:rPr>
          <w:rFonts w:ascii="Times New Roman" w:hAnsi="Times New Roman" w:cs="Times New Roman"/>
          <w:noProof/>
          <w:sz w:val="24"/>
          <w:szCs w:val="24"/>
        </w:rPr>
        <w:t>(Kang</w:t>
      </w:r>
      <w:r w:rsidRPr="00730641">
        <w:rPr>
          <w:rFonts w:ascii="Times New Roman" w:hAnsi="Times New Roman" w:cs="Times New Roman"/>
          <w:i/>
          <w:iCs/>
          <w:noProof/>
          <w:sz w:val="24"/>
          <w:szCs w:val="24"/>
        </w:rPr>
        <w:t xml:space="preserve"> et al.</w:t>
      </w:r>
      <w:r w:rsidRPr="00730641">
        <w:rPr>
          <w:rFonts w:ascii="Times New Roman" w:hAnsi="Times New Roman" w:cs="Times New Roman"/>
          <w:noProof/>
          <w:sz w:val="24"/>
          <w:szCs w:val="24"/>
        </w:rPr>
        <w:t>, 2007)</w:t>
      </w:r>
      <w:r w:rsidRPr="00730641">
        <w:rPr>
          <w:rFonts w:ascii="Times New Roman" w:hAnsi="Times New Roman" w:cs="Times New Roman"/>
          <w:sz w:val="24"/>
          <w:szCs w:val="24"/>
        </w:rPr>
        <w:t>. It is possible this dual role also function in plant cell</w:t>
      </w:r>
      <w:r>
        <w:rPr>
          <w:rFonts w:ascii="Times New Roman" w:hAnsi="Times New Roman" w:cs="Times New Roman"/>
          <w:sz w:val="24"/>
          <w:szCs w:val="24"/>
        </w:rPr>
        <w:t>s</w:t>
      </w:r>
      <w:r w:rsidRPr="00730641">
        <w:rPr>
          <w:rFonts w:ascii="Times New Roman" w:hAnsi="Times New Roman" w:cs="Times New Roman"/>
          <w:sz w:val="24"/>
          <w:szCs w:val="24"/>
        </w:rPr>
        <w:t xml:space="preserve"> explaining why different studies </w:t>
      </w:r>
      <w:r>
        <w:rPr>
          <w:rFonts w:ascii="Times New Roman" w:hAnsi="Times New Roman" w:cs="Times New Roman"/>
          <w:sz w:val="24"/>
          <w:szCs w:val="24"/>
        </w:rPr>
        <w:t xml:space="preserve">sometimes </w:t>
      </w:r>
      <w:r w:rsidRPr="00730641">
        <w:rPr>
          <w:rFonts w:ascii="Times New Roman" w:hAnsi="Times New Roman" w:cs="Times New Roman"/>
          <w:sz w:val="24"/>
          <w:szCs w:val="24"/>
        </w:rPr>
        <w:t xml:space="preserve">report conflicting results </w:t>
      </w:r>
      <w:r>
        <w:rPr>
          <w:rFonts w:ascii="Times New Roman" w:hAnsi="Times New Roman" w:cs="Times New Roman"/>
          <w:sz w:val="24"/>
          <w:szCs w:val="24"/>
        </w:rPr>
        <w:t>(Hofius</w:t>
      </w:r>
      <w:r w:rsidRPr="00A43B68">
        <w:rPr>
          <w:rFonts w:ascii="Times New Roman" w:hAnsi="Times New Roman" w:cs="Times New Roman"/>
          <w:i/>
          <w:iCs/>
          <w:sz w:val="24"/>
          <w:szCs w:val="24"/>
        </w:rPr>
        <w:t xml:space="preserve"> et al.</w:t>
      </w:r>
      <w:r>
        <w:rPr>
          <w:rFonts w:ascii="Times New Roman" w:hAnsi="Times New Roman" w:cs="Times New Roman"/>
          <w:sz w:val="24"/>
          <w:szCs w:val="24"/>
        </w:rPr>
        <w:t>, 2009, Liu</w:t>
      </w:r>
      <w:r w:rsidRPr="00A43B68">
        <w:rPr>
          <w:rFonts w:ascii="Times New Roman" w:hAnsi="Times New Roman" w:cs="Times New Roman"/>
          <w:i/>
          <w:iCs/>
          <w:sz w:val="24"/>
          <w:szCs w:val="24"/>
        </w:rPr>
        <w:t xml:space="preserve"> et al.</w:t>
      </w:r>
      <w:r>
        <w:rPr>
          <w:rFonts w:ascii="Times New Roman" w:hAnsi="Times New Roman" w:cs="Times New Roman"/>
          <w:sz w:val="24"/>
          <w:szCs w:val="24"/>
        </w:rPr>
        <w:t>, 2005, Patel</w:t>
      </w:r>
      <w:r w:rsidRPr="00A43B68">
        <w:rPr>
          <w:rFonts w:ascii="Times New Roman" w:hAnsi="Times New Roman" w:cs="Times New Roman"/>
          <w:i/>
          <w:iCs/>
          <w:sz w:val="24"/>
          <w:szCs w:val="24"/>
        </w:rPr>
        <w:t xml:space="preserve"> et al.</w:t>
      </w:r>
      <w:r>
        <w:rPr>
          <w:rFonts w:ascii="Times New Roman" w:hAnsi="Times New Roman" w:cs="Times New Roman"/>
          <w:sz w:val="24"/>
          <w:szCs w:val="24"/>
        </w:rPr>
        <w:t>, 2006)</w:t>
      </w:r>
      <w:r w:rsidRPr="00730641">
        <w:rPr>
          <w:rFonts w:ascii="Times New Roman" w:hAnsi="Times New Roman" w:cs="Times New Roman"/>
          <w:sz w:val="24"/>
          <w:szCs w:val="24"/>
        </w:rPr>
        <w:t xml:space="preserve"> and diverse hypotheses of </w:t>
      </w:r>
      <w:r>
        <w:rPr>
          <w:rFonts w:ascii="Times New Roman" w:hAnsi="Times New Roman" w:cs="Times New Roman"/>
          <w:sz w:val="24"/>
          <w:szCs w:val="24"/>
        </w:rPr>
        <w:t xml:space="preserve">the </w:t>
      </w:r>
      <w:r w:rsidRPr="00730641">
        <w:rPr>
          <w:rFonts w:ascii="Times New Roman" w:hAnsi="Times New Roman" w:cs="Times New Roman"/>
          <w:sz w:val="24"/>
          <w:szCs w:val="24"/>
        </w:rPr>
        <w:t>rol</w:t>
      </w:r>
      <w:r>
        <w:rPr>
          <w:rFonts w:ascii="Times New Roman" w:hAnsi="Times New Roman" w:cs="Times New Roman"/>
          <w:sz w:val="24"/>
          <w:szCs w:val="24"/>
        </w:rPr>
        <w:t>e of autophagy in cell death have</w:t>
      </w:r>
      <w:r w:rsidRPr="00730641">
        <w:rPr>
          <w:rFonts w:ascii="Times New Roman" w:hAnsi="Times New Roman" w:cs="Times New Roman"/>
          <w:sz w:val="24"/>
          <w:szCs w:val="24"/>
        </w:rPr>
        <w:t xml:space="preserve"> been proposed (Cacas and Diamond, 2009, Love</w:t>
      </w:r>
      <w:r w:rsidRPr="00730641">
        <w:rPr>
          <w:rFonts w:ascii="Times New Roman" w:hAnsi="Times New Roman" w:cs="Times New Roman"/>
          <w:i/>
          <w:iCs/>
          <w:sz w:val="24"/>
          <w:szCs w:val="24"/>
        </w:rPr>
        <w:t xml:space="preserve"> et al.</w:t>
      </w:r>
      <w:r w:rsidRPr="00730641">
        <w:rPr>
          <w:rFonts w:ascii="Times New Roman" w:hAnsi="Times New Roman" w:cs="Times New Roman"/>
          <w:sz w:val="24"/>
          <w:szCs w:val="24"/>
        </w:rPr>
        <w:t>, 2009, Love</w:t>
      </w:r>
      <w:r w:rsidRPr="00730641">
        <w:rPr>
          <w:rFonts w:ascii="Times New Roman" w:hAnsi="Times New Roman" w:cs="Times New Roman"/>
          <w:i/>
          <w:iCs/>
          <w:sz w:val="24"/>
          <w:szCs w:val="24"/>
        </w:rPr>
        <w:t xml:space="preserve"> et al.</w:t>
      </w:r>
      <w:r w:rsidRPr="00730641">
        <w:rPr>
          <w:rFonts w:ascii="Times New Roman" w:hAnsi="Times New Roman" w:cs="Times New Roman"/>
          <w:sz w:val="24"/>
          <w:szCs w:val="24"/>
        </w:rPr>
        <w:t xml:space="preserve">, 2008). Recently evidence of a pro-death function of autophagy was presented by Hofius </w:t>
      </w:r>
      <w:r w:rsidRPr="00730641">
        <w:rPr>
          <w:rFonts w:ascii="Times New Roman" w:hAnsi="Times New Roman" w:cs="Times New Roman"/>
          <w:i/>
          <w:iCs/>
          <w:sz w:val="24"/>
          <w:szCs w:val="24"/>
        </w:rPr>
        <w:t>et al.</w:t>
      </w:r>
      <w:r w:rsidRPr="00730641">
        <w:rPr>
          <w:rFonts w:ascii="Times New Roman" w:hAnsi="Times New Roman" w:cs="Times New Roman"/>
          <w:sz w:val="24"/>
          <w:szCs w:val="24"/>
        </w:rPr>
        <w:t xml:space="preserve">, </w:t>
      </w:r>
      <w:r w:rsidRPr="00730641">
        <w:rPr>
          <w:rFonts w:ascii="Times New Roman" w:hAnsi="Times New Roman" w:cs="Times New Roman"/>
          <w:noProof/>
          <w:sz w:val="24"/>
          <w:szCs w:val="24"/>
        </w:rPr>
        <w:t>(2009)</w:t>
      </w:r>
      <w:r w:rsidRPr="00730641">
        <w:rPr>
          <w:rFonts w:ascii="Times New Roman" w:hAnsi="Times New Roman" w:cs="Times New Roman"/>
          <w:sz w:val="24"/>
          <w:szCs w:val="24"/>
        </w:rPr>
        <w:t xml:space="preserve">, who examined the receptor-mediated HR PCD responses in autophagy-deficient knockout mutants of </w:t>
      </w:r>
      <w:r w:rsidRPr="00730641">
        <w:rPr>
          <w:rFonts w:ascii="Times New Roman" w:hAnsi="Times New Roman" w:cs="Times New Roman"/>
          <w:i/>
          <w:iCs/>
          <w:sz w:val="24"/>
          <w:szCs w:val="24"/>
        </w:rPr>
        <w:t>Arabidopsis</w:t>
      </w:r>
      <w:r w:rsidRPr="00730641">
        <w:rPr>
          <w:rFonts w:ascii="Times New Roman" w:hAnsi="Times New Roman" w:cs="Times New Roman"/>
          <w:sz w:val="24"/>
          <w:szCs w:val="24"/>
        </w:rPr>
        <w:t xml:space="preserve">. The authors analysed the autophagic response provoked by infection with three avirulent </w:t>
      </w:r>
      <w:r w:rsidRPr="00730641">
        <w:rPr>
          <w:rFonts w:ascii="Times New Roman" w:hAnsi="Times New Roman" w:cs="Times New Roman"/>
          <w:i/>
          <w:iCs/>
          <w:sz w:val="24"/>
          <w:szCs w:val="24"/>
        </w:rPr>
        <w:t>Pseudomonas syringae</w:t>
      </w:r>
      <w:r w:rsidRPr="00730641">
        <w:rPr>
          <w:rFonts w:ascii="Times New Roman" w:hAnsi="Times New Roman" w:cs="Times New Roman"/>
          <w:sz w:val="24"/>
          <w:szCs w:val="24"/>
        </w:rPr>
        <w:t xml:space="preserve"> strains (Pto DC3000: AvrRps4, AvrRpm1 and AvrRpt2) and compared the intensity of HR between mutants and WT plants. It was reported that the HR was suppressed in atg mutants upon infection with AvrRpm1 and AvrRps4, but AvrRpt2-triggered cell death proved to be independent of autophagy </w:t>
      </w:r>
      <w:r w:rsidRPr="00730641">
        <w:rPr>
          <w:rFonts w:ascii="Times New Roman" w:hAnsi="Times New Roman" w:cs="Times New Roman"/>
          <w:noProof/>
          <w:sz w:val="24"/>
          <w:szCs w:val="24"/>
        </w:rPr>
        <w:t>(Hofius</w:t>
      </w:r>
      <w:r w:rsidRPr="00730641">
        <w:rPr>
          <w:rFonts w:ascii="Times New Roman" w:hAnsi="Times New Roman" w:cs="Times New Roman"/>
          <w:i/>
          <w:iCs/>
          <w:noProof/>
          <w:sz w:val="24"/>
          <w:szCs w:val="24"/>
        </w:rPr>
        <w:t xml:space="preserve"> et al.</w:t>
      </w:r>
      <w:r w:rsidRPr="00730641">
        <w:rPr>
          <w:rFonts w:ascii="Times New Roman" w:hAnsi="Times New Roman" w:cs="Times New Roman"/>
          <w:noProof/>
          <w:sz w:val="24"/>
          <w:szCs w:val="24"/>
        </w:rPr>
        <w:t>, 2009)</w:t>
      </w:r>
      <w:r w:rsidRPr="00730641">
        <w:rPr>
          <w:rFonts w:ascii="Times New Roman" w:hAnsi="Times New Roman" w:cs="Times New Roman"/>
          <w:sz w:val="24"/>
          <w:szCs w:val="24"/>
        </w:rPr>
        <w:t>. While this evidence suggests a prodeath function of autophagy in plants (Hofius</w:t>
      </w:r>
      <w:r w:rsidRPr="00730641">
        <w:rPr>
          <w:rFonts w:ascii="Times New Roman" w:hAnsi="Times New Roman" w:cs="Times New Roman"/>
          <w:i/>
          <w:iCs/>
          <w:sz w:val="24"/>
          <w:szCs w:val="24"/>
        </w:rPr>
        <w:t xml:space="preserve"> et al.</w:t>
      </w:r>
      <w:r w:rsidRPr="00730641">
        <w:rPr>
          <w:rFonts w:ascii="Times New Roman" w:hAnsi="Times New Roman" w:cs="Times New Roman"/>
          <w:sz w:val="24"/>
          <w:szCs w:val="24"/>
        </w:rPr>
        <w:t>, 2009), data about the extent of autophagy required to facilitate pro-death signal transduction or to directly effectuate cell</w:t>
      </w:r>
      <w:r>
        <w:rPr>
          <w:rFonts w:ascii="Times New Roman" w:hAnsi="Times New Roman" w:cs="Times New Roman"/>
          <w:sz w:val="24"/>
          <w:szCs w:val="24"/>
        </w:rPr>
        <w:t xml:space="preserve"> death are still to be provided</w:t>
      </w:r>
      <w:r w:rsidRPr="00730641">
        <w:rPr>
          <w:rFonts w:ascii="Times New Roman" w:hAnsi="Times New Roman" w:cs="Times New Roman"/>
          <w:sz w:val="24"/>
          <w:szCs w:val="24"/>
        </w:rPr>
        <w:t>. The hypersensitive response is thought to prevent pathogen infection development but in order to play a protective,</w:t>
      </w:r>
      <w:r>
        <w:rPr>
          <w:rFonts w:ascii="Times New Roman" w:hAnsi="Times New Roman" w:cs="Times New Roman"/>
          <w:sz w:val="24"/>
          <w:szCs w:val="24"/>
        </w:rPr>
        <w:t xml:space="preserve"> </w:t>
      </w:r>
      <w:r w:rsidRPr="00730641">
        <w:rPr>
          <w:rFonts w:ascii="Times New Roman" w:hAnsi="Times New Roman" w:cs="Times New Roman"/>
          <w:sz w:val="24"/>
          <w:szCs w:val="24"/>
        </w:rPr>
        <w:t xml:space="preserve">pro-survival role, PCD during the HR must be restricted to infection sites. A study by Liu </w:t>
      </w:r>
      <w:r w:rsidRPr="00730641">
        <w:rPr>
          <w:rFonts w:ascii="Times New Roman" w:hAnsi="Times New Roman" w:cs="Times New Roman"/>
          <w:i/>
          <w:iCs/>
          <w:sz w:val="24"/>
          <w:szCs w:val="24"/>
        </w:rPr>
        <w:t xml:space="preserve">et al. </w:t>
      </w:r>
      <w:r w:rsidRPr="00730641">
        <w:rPr>
          <w:rFonts w:ascii="Times New Roman" w:hAnsi="Times New Roman" w:cs="Times New Roman"/>
          <w:sz w:val="24"/>
          <w:szCs w:val="24"/>
        </w:rPr>
        <w:t>(2005) provided evidence that autophagy prevents unrestricted HR PCD in tobacco after infection wi</w:t>
      </w:r>
      <w:r>
        <w:rPr>
          <w:rFonts w:ascii="Times New Roman" w:hAnsi="Times New Roman" w:cs="Times New Roman"/>
          <w:sz w:val="24"/>
          <w:szCs w:val="24"/>
        </w:rPr>
        <w:t xml:space="preserve">th tobacco mosaic virus (TMV). </w:t>
      </w:r>
      <w:r w:rsidRPr="00730641">
        <w:rPr>
          <w:rFonts w:ascii="Times New Roman" w:hAnsi="Times New Roman" w:cs="Times New Roman"/>
          <w:sz w:val="24"/>
          <w:szCs w:val="24"/>
        </w:rPr>
        <w:t xml:space="preserve">Plants where ATG6/BECLIN1 or other autophagy related genes were silenced exhibited uncontrolled development of hypersensitive lesions. Moreover, the systemic activation of autophagy following TMV infection was observed only in the WT. </w:t>
      </w:r>
      <w:r w:rsidRPr="00730641">
        <w:rPr>
          <w:rFonts w:ascii="Times New Roman" w:hAnsi="Times New Roman" w:cs="Times New Roman"/>
          <w:sz w:val="24"/>
          <w:szCs w:val="24"/>
          <w:lang w:eastAsia="en-IE"/>
        </w:rPr>
        <w:t>These findings</w:t>
      </w:r>
      <w:bookmarkStart w:id="0" w:name="bbib7"/>
      <w:bookmarkEnd w:id="0"/>
      <w:r w:rsidRPr="00730641">
        <w:rPr>
          <w:rFonts w:ascii="Times New Roman" w:hAnsi="Times New Roman" w:cs="Times New Roman"/>
          <w:sz w:val="24"/>
          <w:szCs w:val="24"/>
          <w:lang w:eastAsia="en-IE"/>
        </w:rPr>
        <w:t xml:space="preserve"> </w:t>
      </w:r>
      <w:r>
        <w:rPr>
          <w:rFonts w:ascii="Times New Roman" w:hAnsi="Times New Roman" w:cs="Times New Roman"/>
          <w:sz w:val="24"/>
          <w:szCs w:val="24"/>
          <w:lang w:eastAsia="en-IE"/>
        </w:rPr>
        <w:t xml:space="preserve">suggest </w:t>
      </w:r>
      <w:r w:rsidRPr="00451B44">
        <w:rPr>
          <w:rFonts w:ascii="Times New Roman" w:hAnsi="Times New Roman" w:cs="Times New Roman"/>
          <w:sz w:val="24"/>
          <w:szCs w:val="24"/>
          <w:lang w:eastAsia="en-IE"/>
        </w:rPr>
        <w:t xml:space="preserve">that autophagy may alter the induction, movement or recognition of the pro-PCD signal </w:t>
      </w:r>
      <w:r w:rsidRPr="00451B44">
        <w:rPr>
          <w:rFonts w:ascii="Times New Roman" w:hAnsi="Times New Roman" w:cs="Times New Roman"/>
          <w:noProof/>
          <w:sz w:val="24"/>
          <w:szCs w:val="24"/>
          <w:lang w:eastAsia="en-IE"/>
        </w:rPr>
        <w:t>(Patel</w:t>
      </w:r>
      <w:r w:rsidRPr="00451B44">
        <w:rPr>
          <w:rFonts w:ascii="Times New Roman" w:hAnsi="Times New Roman" w:cs="Times New Roman"/>
          <w:i/>
          <w:iCs/>
          <w:noProof/>
          <w:sz w:val="24"/>
          <w:szCs w:val="24"/>
          <w:lang w:eastAsia="en-IE"/>
        </w:rPr>
        <w:t xml:space="preserve"> et al.</w:t>
      </w:r>
      <w:r w:rsidRPr="00451B44">
        <w:rPr>
          <w:rFonts w:ascii="Times New Roman" w:hAnsi="Times New Roman" w:cs="Times New Roman"/>
          <w:noProof/>
          <w:sz w:val="24"/>
          <w:szCs w:val="24"/>
          <w:lang w:eastAsia="en-IE"/>
        </w:rPr>
        <w:t>, 2006)</w:t>
      </w:r>
      <w:r w:rsidRPr="00451B44">
        <w:rPr>
          <w:rFonts w:ascii="Times New Roman" w:hAnsi="Times New Roman" w:cs="Times New Roman"/>
          <w:sz w:val="24"/>
          <w:szCs w:val="24"/>
          <w:lang w:eastAsia="en-IE"/>
        </w:rPr>
        <w:t>.</w:t>
      </w:r>
      <w:r w:rsidRPr="00451B44">
        <w:rPr>
          <w:rFonts w:ascii="Times New Roman" w:hAnsi="Times New Roman" w:cs="Times New Roman"/>
          <w:sz w:val="24"/>
          <w:szCs w:val="24"/>
        </w:rPr>
        <w:t xml:space="preserve"> Similarly, Patel and Dinesh-Kumar subsequently reported that </w:t>
      </w:r>
      <w:r w:rsidRPr="00451B44">
        <w:rPr>
          <w:rFonts w:ascii="Times New Roman" w:hAnsi="Times New Roman" w:cs="Times New Roman"/>
          <w:i/>
          <w:iCs/>
          <w:sz w:val="24"/>
          <w:szCs w:val="24"/>
        </w:rPr>
        <w:t>Arabidopsis</w:t>
      </w:r>
      <w:r w:rsidRPr="00451B44">
        <w:rPr>
          <w:rFonts w:ascii="Times New Roman" w:hAnsi="Times New Roman" w:cs="Times New Roman"/>
          <w:sz w:val="24"/>
          <w:szCs w:val="24"/>
        </w:rPr>
        <w:t xml:space="preserve"> AtATG6 antisense plants underwent senescence earlier, exhibited a more environmental-sensitive phenotype and were unable to control the extent of HR upon infect</w:t>
      </w:r>
      <w:r>
        <w:rPr>
          <w:rFonts w:ascii="Times New Roman" w:hAnsi="Times New Roman" w:cs="Times New Roman"/>
          <w:sz w:val="24"/>
          <w:szCs w:val="24"/>
        </w:rPr>
        <w:t>ion with avirulent Pst DC3000::</w:t>
      </w:r>
      <w:r w:rsidRPr="00451B44">
        <w:rPr>
          <w:rFonts w:ascii="Times New Roman" w:hAnsi="Times New Roman" w:cs="Times New Roman"/>
          <w:sz w:val="24"/>
          <w:szCs w:val="24"/>
        </w:rPr>
        <w:t xml:space="preserve">AvrRpm1 </w:t>
      </w:r>
      <w:r w:rsidRPr="00451B44">
        <w:rPr>
          <w:rFonts w:ascii="Times New Roman" w:hAnsi="Times New Roman" w:cs="Times New Roman"/>
          <w:noProof/>
          <w:sz w:val="24"/>
          <w:szCs w:val="24"/>
          <w:lang w:eastAsia="en-IE"/>
        </w:rPr>
        <w:t>(Patel and Dinesh-Kumar, 2008)</w:t>
      </w:r>
      <w:r w:rsidRPr="00451B44">
        <w:rPr>
          <w:rFonts w:ascii="Times New Roman" w:hAnsi="Times New Roman" w:cs="Times New Roman"/>
          <w:sz w:val="24"/>
          <w:szCs w:val="24"/>
        </w:rPr>
        <w:t xml:space="preserve">. Nevertheless, it is still unclear if autophagy plays a role in the execution of HR or rather affects the propagation of cell death signals. The striking discrepancies between the aforementioned works (Hofius </w:t>
      </w:r>
      <w:r w:rsidRPr="00451B44">
        <w:rPr>
          <w:rFonts w:ascii="Times New Roman" w:hAnsi="Times New Roman" w:cs="Times New Roman"/>
          <w:i/>
          <w:iCs/>
          <w:sz w:val="24"/>
          <w:szCs w:val="24"/>
        </w:rPr>
        <w:t>et al.</w:t>
      </w:r>
      <w:r w:rsidRPr="00451B44">
        <w:rPr>
          <w:rFonts w:ascii="Times New Roman" w:hAnsi="Times New Roman" w:cs="Times New Roman"/>
          <w:sz w:val="24"/>
          <w:szCs w:val="24"/>
        </w:rPr>
        <w:t xml:space="preserve"> </w:t>
      </w:r>
      <w:r>
        <w:rPr>
          <w:rFonts w:ascii="Times New Roman" w:hAnsi="Times New Roman" w:cs="Times New Roman"/>
          <w:sz w:val="24"/>
          <w:szCs w:val="24"/>
        </w:rPr>
        <w:t>(2009)</w:t>
      </w:r>
      <w:r w:rsidRPr="00451B44">
        <w:rPr>
          <w:rFonts w:ascii="Times New Roman" w:hAnsi="Times New Roman" w:cs="Times New Roman"/>
          <w:sz w:val="24"/>
          <w:szCs w:val="24"/>
        </w:rPr>
        <w:t xml:space="preserve"> versus Lu </w:t>
      </w:r>
      <w:r w:rsidRPr="00451B44">
        <w:rPr>
          <w:rFonts w:ascii="Times New Roman" w:hAnsi="Times New Roman" w:cs="Times New Roman"/>
          <w:i/>
          <w:iCs/>
          <w:sz w:val="24"/>
          <w:szCs w:val="24"/>
        </w:rPr>
        <w:t>et al.</w:t>
      </w:r>
      <w:r w:rsidRPr="00451B44">
        <w:rPr>
          <w:rFonts w:ascii="Times New Roman" w:hAnsi="Times New Roman" w:cs="Times New Roman"/>
          <w:sz w:val="24"/>
          <w:szCs w:val="24"/>
        </w:rPr>
        <w:t xml:space="preserve"> </w:t>
      </w:r>
      <w:r>
        <w:rPr>
          <w:rFonts w:ascii="Times New Roman" w:hAnsi="Times New Roman" w:cs="Times New Roman"/>
          <w:sz w:val="24"/>
          <w:szCs w:val="24"/>
        </w:rPr>
        <w:t>(2005)</w:t>
      </w:r>
      <w:r w:rsidRPr="00451B44">
        <w:rPr>
          <w:rFonts w:ascii="Times New Roman" w:hAnsi="Times New Roman" w:cs="Times New Roman"/>
          <w:sz w:val="24"/>
          <w:szCs w:val="24"/>
        </w:rPr>
        <w:t xml:space="preserve">, Patel and Dinesh-Kumar </w:t>
      </w:r>
      <w:r>
        <w:rPr>
          <w:rFonts w:ascii="Times New Roman" w:hAnsi="Times New Roman" w:cs="Times New Roman"/>
          <w:sz w:val="24"/>
          <w:szCs w:val="24"/>
        </w:rPr>
        <w:t>(2008)</w:t>
      </w:r>
      <w:r w:rsidRPr="00451B44">
        <w:rPr>
          <w:rFonts w:ascii="Times New Roman" w:hAnsi="Times New Roman" w:cs="Times New Roman"/>
          <w:sz w:val="24"/>
          <w:szCs w:val="24"/>
        </w:rPr>
        <w:t xml:space="preserve"> may be explained by the diverse roles of silenced genes or differences between plant species</w:t>
      </w:r>
      <w:r>
        <w:rPr>
          <w:rFonts w:ascii="Times New Roman" w:hAnsi="Times New Roman" w:cs="Times New Roman"/>
          <w:sz w:val="24"/>
          <w:szCs w:val="24"/>
        </w:rPr>
        <w:t>,</w:t>
      </w:r>
      <w:r w:rsidRPr="00451B44">
        <w:rPr>
          <w:rFonts w:ascii="Times New Roman" w:hAnsi="Times New Roman" w:cs="Times New Roman"/>
          <w:sz w:val="24"/>
          <w:szCs w:val="24"/>
        </w:rPr>
        <w:t xml:space="preserve"> however, they may also suggest that multiple </w:t>
      </w:r>
      <w:r>
        <w:rPr>
          <w:rFonts w:ascii="Times New Roman" w:hAnsi="Times New Roman" w:cs="Times New Roman"/>
          <w:sz w:val="24"/>
          <w:szCs w:val="24"/>
        </w:rPr>
        <w:t>PCD</w:t>
      </w:r>
      <w:r w:rsidRPr="00451B44">
        <w:rPr>
          <w:rFonts w:ascii="Times New Roman" w:hAnsi="Times New Roman" w:cs="Times New Roman"/>
          <w:sz w:val="24"/>
          <w:szCs w:val="24"/>
        </w:rPr>
        <w:t xml:space="preserve"> pathways operate in the same plant cell. Hence, although there exists experimental evidence suggesting that autophagy and AL-PCD may overlap, the nature of cross-talk between them and the signalling involved remains to be explained and is now the subject of active debate (Cacas and Diamond, 2009, Love</w:t>
      </w:r>
      <w:r w:rsidRPr="00451B44">
        <w:rPr>
          <w:rFonts w:ascii="Times New Roman" w:hAnsi="Times New Roman" w:cs="Times New Roman"/>
          <w:i/>
          <w:iCs/>
          <w:sz w:val="24"/>
          <w:szCs w:val="24"/>
        </w:rPr>
        <w:t xml:space="preserve"> et al.</w:t>
      </w:r>
      <w:r w:rsidRPr="00451B44">
        <w:rPr>
          <w:rFonts w:ascii="Times New Roman" w:hAnsi="Times New Roman" w:cs="Times New Roman"/>
          <w:sz w:val="24"/>
          <w:szCs w:val="24"/>
        </w:rPr>
        <w:t>, 2009, Love</w:t>
      </w:r>
      <w:r w:rsidRPr="00451B44">
        <w:rPr>
          <w:rFonts w:ascii="Times New Roman" w:hAnsi="Times New Roman" w:cs="Times New Roman"/>
          <w:i/>
          <w:iCs/>
          <w:sz w:val="24"/>
          <w:szCs w:val="24"/>
        </w:rPr>
        <w:t xml:space="preserve"> et al.</w:t>
      </w:r>
      <w:r w:rsidRPr="00451B44">
        <w:rPr>
          <w:rFonts w:ascii="Times New Roman" w:hAnsi="Times New Roman" w:cs="Times New Roman"/>
          <w:sz w:val="24"/>
          <w:szCs w:val="24"/>
        </w:rPr>
        <w:t xml:space="preserve">, 2008). </w:t>
      </w:r>
      <w:r>
        <w:rPr>
          <w:rFonts w:ascii="Times New Roman" w:hAnsi="Times New Roman" w:cs="Times New Roman"/>
          <w:sz w:val="24"/>
          <w:szCs w:val="24"/>
        </w:rPr>
        <w:t>The possible m</w:t>
      </w:r>
      <w:r w:rsidRPr="00451B44">
        <w:rPr>
          <w:rFonts w:ascii="Times New Roman" w:hAnsi="Times New Roman" w:cs="Times New Roman"/>
          <w:sz w:val="24"/>
          <w:szCs w:val="24"/>
        </w:rPr>
        <w:t xml:space="preserve">achinery regulating switches between autophagy, PCD and necrosis needs to be elucidated in order to expand our understanding of the described processes and the relationships between them. </w:t>
      </w:r>
    </w:p>
    <w:p w:rsidR="004B4E5E" w:rsidRDefault="004B4E5E" w:rsidP="002B4B8D">
      <w:pPr>
        <w:spacing w:line="480" w:lineRule="auto"/>
        <w:rPr>
          <w:rFonts w:ascii="Times New Roman" w:hAnsi="Times New Roman" w:cs="Times New Roman"/>
          <w:sz w:val="24"/>
          <w:szCs w:val="24"/>
        </w:rPr>
      </w:pPr>
      <w:r w:rsidRPr="00451B44">
        <w:rPr>
          <w:rFonts w:ascii="Times New Roman" w:hAnsi="Times New Roman" w:cs="Times New Roman"/>
          <w:sz w:val="24"/>
          <w:szCs w:val="24"/>
        </w:rPr>
        <w:t>Recently, research in</w:t>
      </w:r>
      <w:r>
        <w:rPr>
          <w:rFonts w:ascii="Times New Roman" w:hAnsi="Times New Roman" w:cs="Times New Roman"/>
          <w:sz w:val="24"/>
          <w:szCs w:val="24"/>
        </w:rPr>
        <w:t xml:space="preserve"> this field has benefited</w:t>
      </w:r>
      <w:r w:rsidRPr="00451B44">
        <w:rPr>
          <w:rFonts w:ascii="Times New Roman" w:hAnsi="Times New Roman" w:cs="Times New Roman"/>
          <w:sz w:val="24"/>
          <w:szCs w:val="24"/>
        </w:rPr>
        <w:t xml:space="preserve"> by the emergence of new e</w:t>
      </w:r>
      <w:r>
        <w:rPr>
          <w:rFonts w:ascii="Times New Roman" w:hAnsi="Times New Roman" w:cs="Times New Roman"/>
          <w:sz w:val="24"/>
          <w:szCs w:val="24"/>
        </w:rPr>
        <w:t>xperimental tools with which to study autophagy,</w:t>
      </w:r>
      <w:r w:rsidRPr="00451B44">
        <w:rPr>
          <w:rFonts w:ascii="Times New Roman" w:hAnsi="Times New Roman" w:cs="Times New Roman"/>
          <w:sz w:val="24"/>
          <w:szCs w:val="24"/>
        </w:rPr>
        <w:t xml:space="preserve"> such as monodansylcadaverine (MDC)</w:t>
      </w:r>
      <w:r>
        <w:rPr>
          <w:rFonts w:ascii="Times New Roman" w:hAnsi="Times New Roman" w:cs="Times New Roman"/>
          <w:sz w:val="24"/>
          <w:szCs w:val="24"/>
        </w:rPr>
        <w:t xml:space="preserve"> labelling of autophagic vacuoles, LysoTracker marking acidic compartments or</w:t>
      </w:r>
      <w:r w:rsidRPr="00451B44">
        <w:rPr>
          <w:rFonts w:ascii="Times New Roman" w:hAnsi="Times New Roman" w:cs="Times New Roman"/>
          <w:sz w:val="24"/>
          <w:szCs w:val="24"/>
        </w:rPr>
        <w:t xml:space="preserve"> green fluorescent protein (GFP) fused with ATG8 protein </w:t>
      </w:r>
      <w:r w:rsidRPr="00451B44">
        <w:rPr>
          <w:rFonts w:ascii="Times New Roman" w:hAnsi="Times New Roman" w:cs="Times New Roman"/>
          <w:noProof/>
          <w:sz w:val="24"/>
          <w:szCs w:val="24"/>
        </w:rPr>
        <w:t>(Contento</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2005)</w:t>
      </w:r>
      <w:r w:rsidRPr="00451B44">
        <w:rPr>
          <w:rFonts w:ascii="Times New Roman" w:hAnsi="Times New Roman" w:cs="Times New Roman"/>
          <w:sz w:val="24"/>
          <w:szCs w:val="24"/>
        </w:rPr>
        <w:t xml:space="preserve">. However, although MDC and Lysotracker are often reported to be the autophagy indicators, the results of staining should be interpreted with caution. Lysotracker labels acidic organelles in living cells and is therefore are not autophagy specific. Indeed, Lysotracker was used to indicate presence of senescence-associated vacuoles in the autophagy deficient mutant AtATG7 </w:t>
      </w:r>
      <w:r w:rsidRPr="00451B44">
        <w:rPr>
          <w:rFonts w:ascii="Times New Roman" w:hAnsi="Times New Roman" w:cs="Times New Roman"/>
          <w:noProof/>
          <w:sz w:val="24"/>
          <w:szCs w:val="24"/>
        </w:rPr>
        <w:t>(Otegui</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2005)</w:t>
      </w:r>
      <w:r w:rsidRPr="00451B44">
        <w:rPr>
          <w:rFonts w:ascii="Times New Roman" w:hAnsi="Times New Roman" w:cs="Times New Roman"/>
          <w:sz w:val="24"/>
          <w:szCs w:val="24"/>
        </w:rPr>
        <w:t xml:space="preserve">. Therefore it is applicable in situations where autophagic activity is clearly distinguished from other events that increase lysosomal or vacuolar activity </w:t>
      </w:r>
      <w:r w:rsidRPr="00451B44">
        <w:rPr>
          <w:rFonts w:ascii="Times New Roman" w:hAnsi="Times New Roman" w:cs="Times New Roman"/>
          <w:noProof/>
          <w:sz w:val="24"/>
          <w:szCs w:val="24"/>
        </w:rPr>
        <w:t>(Yoshimoto</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2009)</w:t>
      </w:r>
      <w:r w:rsidRPr="00451B44">
        <w:rPr>
          <w:rFonts w:ascii="Times New Roman" w:hAnsi="Times New Roman" w:cs="Times New Roman"/>
          <w:sz w:val="24"/>
          <w:szCs w:val="24"/>
        </w:rPr>
        <w:t xml:space="preserve">. Some reports also indicate that MDC is not autophagy-specific, as MDC staining does not always co-localise with GFP-LC3 (AtATG8 homologous protein) fluorescence </w:t>
      </w:r>
      <w:r w:rsidRPr="00451B44">
        <w:rPr>
          <w:rFonts w:ascii="Times New Roman" w:hAnsi="Times New Roman" w:cs="Times New Roman"/>
          <w:noProof/>
          <w:sz w:val="24"/>
          <w:szCs w:val="24"/>
        </w:rPr>
        <w:t>(Mizushima, 2004)</w:t>
      </w:r>
      <w:r w:rsidRPr="00451B44">
        <w:rPr>
          <w:rFonts w:ascii="Times New Roman" w:hAnsi="Times New Roman" w:cs="Times New Roman"/>
          <w:sz w:val="24"/>
          <w:szCs w:val="24"/>
        </w:rPr>
        <w:t xml:space="preserve">, hence it is not a reliable method for monitoring autophagy by itself </w:t>
      </w:r>
      <w:r w:rsidRPr="00451B44">
        <w:rPr>
          <w:rFonts w:ascii="Times New Roman" w:hAnsi="Times New Roman" w:cs="Times New Roman"/>
          <w:noProof/>
          <w:sz w:val="24"/>
          <w:szCs w:val="24"/>
        </w:rPr>
        <w:t>(Klionsky</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2008)</w:t>
      </w:r>
      <w:r w:rsidRPr="00451B44">
        <w:rPr>
          <w:rFonts w:ascii="Times New Roman" w:hAnsi="Times New Roman" w:cs="Times New Roman"/>
          <w:sz w:val="24"/>
          <w:szCs w:val="24"/>
        </w:rPr>
        <w:t xml:space="preserve">. Techniques commonly used to study autophagy have been comprehensively reviewed by Mitou </w:t>
      </w:r>
      <w:r w:rsidRPr="00451B44">
        <w:rPr>
          <w:rFonts w:ascii="Times New Roman" w:hAnsi="Times New Roman" w:cs="Times New Roman"/>
          <w:i/>
          <w:iCs/>
          <w:sz w:val="24"/>
          <w:szCs w:val="24"/>
        </w:rPr>
        <w:t>et al.</w:t>
      </w:r>
      <w:r w:rsidRPr="00451B44">
        <w:rPr>
          <w:rFonts w:ascii="Times New Roman" w:hAnsi="Times New Roman" w:cs="Times New Roman"/>
          <w:sz w:val="24"/>
          <w:szCs w:val="24"/>
        </w:rPr>
        <w:t xml:space="preserve"> </w:t>
      </w:r>
      <w:r w:rsidRPr="00451B44">
        <w:rPr>
          <w:rFonts w:ascii="Times New Roman" w:hAnsi="Times New Roman" w:cs="Times New Roman"/>
          <w:noProof/>
          <w:sz w:val="24"/>
          <w:szCs w:val="24"/>
        </w:rPr>
        <w:t>(2009)</w:t>
      </w:r>
      <w:r w:rsidRPr="00451B44">
        <w:rPr>
          <w:rFonts w:ascii="Times New Roman" w:hAnsi="Times New Roman" w:cs="Times New Roman"/>
          <w:sz w:val="24"/>
          <w:szCs w:val="24"/>
        </w:rPr>
        <w:t xml:space="preserve"> and guidelines for the use and interpretation of autophagy assays have been published by Klionsky </w:t>
      </w:r>
      <w:r w:rsidRPr="00451B44">
        <w:rPr>
          <w:rFonts w:ascii="Times New Roman" w:hAnsi="Times New Roman" w:cs="Times New Roman"/>
          <w:i/>
          <w:iCs/>
          <w:sz w:val="24"/>
          <w:szCs w:val="24"/>
        </w:rPr>
        <w:t>et al.</w:t>
      </w:r>
      <w:r w:rsidRPr="00451B44">
        <w:rPr>
          <w:rFonts w:ascii="Times New Roman" w:hAnsi="Times New Roman" w:cs="Times New Roman"/>
          <w:sz w:val="24"/>
          <w:szCs w:val="24"/>
        </w:rPr>
        <w:t xml:space="preserve"> </w:t>
      </w:r>
      <w:r w:rsidRPr="00451B44">
        <w:rPr>
          <w:rFonts w:ascii="Times New Roman" w:hAnsi="Times New Roman" w:cs="Times New Roman"/>
          <w:noProof/>
          <w:sz w:val="24"/>
          <w:szCs w:val="24"/>
        </w:rPr>
        <w:t>(2008)</w:t>
      </w:r>
      <w:r w:rsidRPr="00451B44">
        <w:rPr>
          <w:rFonts w:ascii="Times New Roman" w:hAnsi="Times New Roman" w:cs="Times New Roman"/>
          <w:sz w:val="24"/>
          <w:szCs w:val="24"/>
        </w:rPr>
        <w:t xml:space="preserve">. Further genetic characterisation of other genes in the autophagy pathway and the nature of autophagosome-like structures will be important to clearly delineate what form </w:t>
      </w:r>
      <w:r>
        <w:rPr>
          <w:rFonts w:ascii="Times New Roman" w:hAnsi="Times New Roman" w:cs="Times New Roman"/>
          <w:sz w:val="24"/>
          <w:szCs w:val="24"/>
        </w:rPr>
        <w:t xml:space="preserve">of </w:t>
      </w:r>
      <w:r w:rsidRPr="00451B44">
        <w:rPr>
          <w:rFonts w:ascii="Times New Roman" w:hAnsi="Times New Roman" w:cs="Times New Roman"/>
          <w:sz w:val="24"/>
          <w:szCs w:val="24"/>
        </w:rPr>
        <w:t>type II</w:t>
      </w:r>
      <w:r>
        <w:rPr>
          <w:rFonts w:ascii="Times New Roman" w:hAnsi="Times New Roman" w:cs="Times New Roman"/>
          <w:sz w:val="24"/>
          <w:szCs w:val="24"/>
        </w:rPr>
        <w:t xml:space="preserve"> PCD actually exists in plants.</w:t>
      </w:r>
    </w:p>
    <w:p w:rsidR="004B4E5E" w:rsidRPr="00451B44" w:rsidRDefault="004B4E5E" w:rsidP="002B4B8D">
      <w:pPr>
        <w:spacing w:line="480" w:lineRule="auto"/>
        <w:rPr>
          <w:rFonts w:ascii="Times New Roman" w:hAnsi="Times New Roman" w:cs="Times New Roman"/>
          <w:sz w:val="24"/>
          <w:szCs w:val="24"/>
        </w:rPr>
      </w:pPr>
      <w:r w:rsidRPr="00451B44">
        <w:rPr>
          <w:rFonts w:ascii="Times New Roman" w:hAnsi="Times New Roman" w:cs="Times New Roman"/>
          <w:sz w:val="24"/>
          <w:szCs w:val="24"/>
        </w:rPr>
        <w:t xml:space="preserve">The definition of autophagic PCD derived from animal studies categorises it as a cell death type characterised by autophagic vacuolisation of cytoplasm, without implying that it is the cause of death process itself. This classic definition is considered insufficient by some researchers. Van Doorn and Woltering </w:t>
      </w:r>
      <w:r w:rsidRPr="00451B44">
        <w:rPr>
          <w:rFonts w:ascii="Times New Roman" w:hAnsi="Times New Roman" w:cs="Times New Roman"/>
          <w:noProof/>
          <w:sz w:val="24"/>
          <w:szCs w:val="24"/>
        </w:rPr>
        <w:t>(2005)</w:t>
      </w:r>
      <w:r w:rsidRPr="00451B44">
        <w:rPr>
          <w:rFonts w:ascii="Times New Roman" w:hAnsi="Times New Roman" w:cs="Times New Roman"/>
          <w:sz w:val="24"/>
          <w:szCs w:val="24"/>
        </w:rPr>
        <w:t xml:space="preserve"> proposed the term ‘mega-autophagy’ to mark a fatal autophagic process characterised by tonoplast collapse resulting in the release of hydrolytic enzymes from the vacuole and degradation of cellular contents including the plasma membrane. Recently, the same researchers also suggested that the terminology connected with the description of autophagic cell death should be re-defined for the use of plant science and rather than the classical definition of type II cell death, the tonopla</w:t>
      </w:r>
      <w:r>
        <w:rPr>
          <w:rFonts w:ascii="Times New Roman" w:hAnsi="Times New Roman" w:cs="Times New Roman"/>
          <w:sz w:val="24"/>
          <w:szCs w:val="24"/>
        </w:rPr>
        <w:t xml:space="preserve">st rupture followed by </w:t>
      </w:r>
      <w:r w:rsidRPr="00451B44">
        <w:rPr>
          <w:rFonts w:ascii="Times New Roman" w:hAnsi="Times New Roman" w:cs="Times New Roman"/>
          <w:sz w:val="24"/>
          <w:szCs w:val="24"/>
        </w:rPr>
        <w:t>activity of lytic enzymes released from the vacuole should be treated as the markers of autophagic PCD</w:t>
      </w:r>
      <w:r>
        <w:rPr>
          <w:rFonts w:ascii="Times New Roman" w:hAnsi="Times New Roman" w:cs="Times New Roman"/>
          <w:sz w:val="24"/>
          <w:szCs w:val="24"/>
        </w:rPr>
        <w:t xml:space="preserve"> and using this criteria, van Doorn and Woltering (2010) argue that most of </w:t>
      </w:r>
      <w:r w:rsidRPr="00451B44">
        <w:rPr>
          <w:rFonts w:ascii="Times New Roman" w:hAnsi="Times New Roman" w:cs="Times New Roman"/>
          <w:sz w:val="24"/>
          <w:szCs w:val="24"/>
        </w:rPr>
        <w:t>examples of developmental PCD in plants would be classified as autophagic PCD.</w:t>
      </w:r>
      <w:r>
        <w:rPr>
          <w:rFonts w:ascii="Times New Roman" w:hAnsi="Times New Roman" w:cs="Times New Roman"/>
          <w:sz w:val="24"/>
          <w:szCs w:val="24"/>
        </w:rPr>
        <w:t xml:space="preserve"> On the other hand,</w:t>
      </w:r>
      <w:r w:rsidRPr="00451B44">
        <w:rPr>
          <w:rFonts w:ascii="Times New Roman" w:hAnsi="Times New Roman" w:cs="Times New Roman"/>
          <w:sz w:val="24"/>
          <w:szCs w:val="24"/>
        </w:rPr>
        <w:t xml:space="preserve"> Levine and Kroemer (2009)</w:t>
      </w:r>
      <w:r>
        <w:rPr>
          <w:rFonts w:ascii="Times New Roman" w:hAnsi="Times New Roman" w:cs="Times New Roman"/>
          <w:sz w:val="24"/>
          <w:szCs w:val="24"/>
        </w:rPr>
        <w:t xml:space="preserve"> argue that</w:t>
      </w:r>
      <w:r w:rsidRPr="00451B44">
        <w:rPr>
          <w:rFonts w:ascii="Times New Roman" w:hAnsi="Times New Roman" w:cs="Times New Roman"/>
          <w:sz w:val="24"/>
          <w:szCs w:val="24"/>
        </w:rPr>
        <w:t xml:space="preserve"> numerous recent studies suggest that autophagy is largely a cell death impostor which, in reality, functions primarily to promote cellular and organismal health. Instead, they proposed that autophagy observed abundantly in dying cells may represent a failed atte</w:t>
      </w:r>
      <w:r>
        <w:rPr>
          <w:rFonts w:ascii="Times New Roman" w:hAnsi="Times New Roman" w:cs="Times New Roman"/>
          <w:sz w:val="24"/>
          <w:szCs w:val="24"/>
        </w:rPr>
        <w:t>mpt of cytoprotection rather than</w:t>
      </w:r>
      <w:r w:rsidRPr="00451B44">
        <w:rPr>
          <w:rFonts w:ascii="Times New Roman" w:hAnsi="Times New Roman" w:cs="Times New Roman"/>
          <w:sz w:val="24"/>
          <w:szCs w:val="24"/>
        </w:rPr>
        <w:t xml:space="preserve"> a mechanistic contribution to cell death. As already mentioned, autophagy is commonly observed during</w:t>
      </w:r>
      <w:r>
        <w:rPr>
          <w:rFonts w:ascii="Times New Roman" w:hAnsi="Times New Roman" w:cs="Times New Roman"/>
          <w:sz w:val="24"/>
          <w:szCs w:val="24"/>
        </w:rPr>
        <w:t xml:space="preserve"> developmental death in plants</w:t>
      </w:r>
      <w:r w:rsidR="005C674D">
        <w:rPr>
          <w:rFonts w:ascii="Times New Roman" w:hAnsi="Times New Roman" w:cs="Times New Roman"/>
          <w:sz w:val="24"/>
          <w:szCs w:val="24"/>
        </w:rPr>
        <w:t xml:space="preserve"> and if Levine and Kroemer (2009</w:t>
      </w:r>
      <w:r>
        <w:rPr>
          <w:rFonts w:ascii="Times New Roman" w:hAnsi="Times New Roman" w:cs="Times New Roman"/>
          <w:sz w:val="24"/>
          <w:szCs w:val="24"/>
        </w:rPr>
        <w:t>) are correct i</w:t>
      </w:r>
      <w:r w:rsidRPr="00451B44">
        <w:rPr>
          <w:rFonts w:ascii="Times New Roman" w:hAnsi="Times New Roman" w:cs="Times New Roman"/>
          <w:sz w:val="24"/>
          <w:szCs w:val="24"/>
        </w:rPr>
        <w:t xml:space="preserve">t may be, that in the cases of pre-programmed, predictable death events during the plant life-cycle, autophagy is activated upstream of the actual mechanism of PCD, in order </w:t>
      </w:r>
      <w:r>
        <w:rPr>
          <w:rFonts w:ascii="Times New Roman" w:hAnsi="Times New Roman" w:cs="Times New Roman"/>
          <w:sz w:val="24"/>
          <w:szCs w:val="24"/>
        </w:rPr>
        <w:t>to enable nutrient</w:t>
      </w:r>
      <w:r w:rsidRPr="00451B44">
        <w:rPr>
          <w:rFonts w:ascii="Times New Roman" w:hAnsi="Times New Roman" w:cs="Times New Roman"/>
          <w:sz w:val="24"/>
          <w:szCs w:val="24"/>
        </w:rPr>
        <w:t xml:space="preserve"> recycling and in this way it promotes survival at </w:t>
      </w:r>
      <w:r>
        <w:rPr>
          <w:rFonts w:ascii="Times New Roman" w:hAnsi="Times New Roman" w:cs="Times New Roman"/>
          <w:sz w:val="24"/>
          <w:szCs w:val="24"/>
        </w:rPr>
        <w:t xml:space="preserve">an </w:t>
      </w:r>
      <w:r w:rsidRPr="00451B44">
        <w:rPr>
          <w:rFonts w:ascii="Times New Roman" w:hAnsi="Times New Roman" w:cs="Times New Roman"/>
          <w:sz w:val="24"/>
          <w:szCs w:val="24"/>
        </w:rPr>
        <w:t>organismal level</w:t>
      </w:r>
      <w:r>
        <w:rPr>
          <w:rFonts w:ascii="Times New Roman" w:hAnsi="Times New Roman" w:cs="Times New Roman"/>
          <w:sz w:val="24"/>
          <w:szCs w:val="24"/>
        </w:rPr>
        <w:t xml:space="preserve"> and is not a type of PCD</w:t>
      </w:r>
      <w:r w:rsidRPr="00451B44">
        <w:rPr>
          <w:rFonts w:ascii="Times New Roman" w:hAnsi="Times New Roman" w:cs="Times New Roman"/>
          <w:sz w:val="24"/>
          <w:szCs w:val="24"/>
        </w:rPr>
        <w:t>. However,</w:t>
      </w:r>
      <w:r>
        <w:rPr>
          <w:rFonts w:ascii="Times New Roman" w:hAnsi="Times New Roman" w:cs="Times New Roman"/>
          <w:sz w:val="24"/>
          <w:szCs w:val="24"/>
        </w:rPr>
        <w:t xml:space="preserve"> this view remains contentious</w:t>
      </w:r>
      <w:r w:rsidRPr="00451B44">
        <w:rPr>
          <w:rFonts w:ascii="Times New Roman" w:hAnsi="Times New Roman" w:cs="Times New Roman"/>
          <w:sz w:val="24"/>
          <w:szCs w:val="24"/>
        </w:rPr>
        <w:t xml:space="preserve"> and many researchers believe that in some circumstances, autophagy is a bona fide mechanism of cell death (Levine and Kroemer, 2009). </w:t>
      </w:r>
    </w:p>
    <w:p w:rsidR="004B4E5E" w:rsidRPr="00451B44" w:rsidRDefault="004B4E5E" w:rsidP="002B4B8D">
      <w:pPr>
        <w:autoSpaceDE w:val="0"/>
        <w:autoSpaceDN w:val="0"/>
        <w:adjustRightInd w:val="0"/>
        <w:spacing w:after="0" w:line="480" w:lineRule="auto"/>
        <w:rPr>
          <w:rFonts w:ascii="Times New Roman" w:hAnsi="Times New Roman" w:cs="Times New Roman"/>
          <w:sz w:val="24"/>
          <w:szCs w:val="24"/>
        </w:rPr>
      </w:pPr>
    </w:p>
    <w:p w:rsidR="004B4E5E" w:rsidRPr="00451B44" w:rsidRDefault="004B4E5E" w:rsidP="002B4B8D">
      <w:pPr>
        <w:autoSpaceDE w:val="0"/>
        <w:autoSpaceDN w:val="0"/>
        <w:adjustRightInd w:val="0"/>
        <w:spacing w:after="0" w:line="480" w:lineRule="auto"/>
        <w:rPr>
          <w:rFonts w:ascii="Times New Roman" w:hAnsi="Times New Roman" w:cs="Times New Roman"/>
          <w:sz w:val="24"/>
          <w:szCs w:val="24"/>
        </w:rPr>
      </w:pPr>
    </w:p>
    <w:p w:rsidR="004B4E5E" w:rsidRPr="00451B44" w:rsidRDefault="004B4E5E" w:rsidP="00035E18">
      <w:pPr>
        <w:pStyle w:val="ListParagraph"/>
        <w:numPr>
          <w:ilvl w:val="0"/>
          <w:numId w:val="24"/>
        </w:numPr>
        <w:autoSpaceDE w:val="0"/>
        <w:autoSpaceDN w:val="0"/>
        <w:adjustRightInd w:val="0"/>
        <w:spacing w:after="0" w:line="480" w:lineRule="auto"/>
        <w:ind w:left="1077" w:hanging="651"/>
        <w:rPr>
          <w:rFonts w:ascii="Times New Roman" w:hAnsi="Times New Roman" w:cs="Times New Roman"/>
          <w:b/>
          <w:bCs/>
          <w:sz w:val="24"/>
          <w:szCs w:val="24"/>
        </w:rPr>
      </w:pPr>
      <w:r>
        <w:rPr>
          <w:rFonts w:ascii="Times New Roman" w:hAnsi="Times New Roman" w:cs="Times New Roman"/>
          <w:b/>
          <w:bCs/>
          <w:sz w:val="24"/>
          <w:szCs w:val="24"/>
        </w:rPr>
        <w:t>S</w:t>
      </w:r>
      <w:r w:rsidRPr="00451B44">
        <w:rPr>
          <w:rFonts w:ascii="Times New Roman" w:hAnsi="Times New Roman" w:cs="Times New Roman"/>
          <w:b/>
          <w:bCs/>
          <w:sz w:val="24"/>
          <w:szCs w:val="24"/>
        </w:rPr>
        <w:t>tudy</w:t>
      </w:r>
      <w:r>
        <w:rPr>
          <w:rFonts w:ascii="Times New Roman" w:hAnsi="Times New Roman" w:cs="Times New Roman"/>
          <w:b/>
          <w:bCs/>
          <w:sz w:val="24"/>
          <w:szCs w:val="24"/>
        </w:rPr>
        <w:t>ing</w:t>
      </w:r>
      <w:r w:rsidRPr="00451B44">
        <w:rPr>
          <w:rFonts w:ascii="Times New Roman" w:hAnsi="Times New Roman" w:cs="Times New Roman"/>
          <w:b/>
          <w:bCs/>
          <w:sz w:val="24"/>
          <w:szCs w:val="24"/>
        </w:rPr>
        <w:t xml:space="preserve"> PCD in plants</w:t>
      </w:r>
    </w:p>
    <w:p w:rsidR="004B4E5E" w:rsidRPr="00451B44" w:rsidRDefault="004B4E5E" w:rsidP="00035E18">
      <w:pPr>
        <w:pStyle w:val="ListParagraph"/>
        <w:numPr>
          <w:ilvl w:val="0"/>
          <w:numId w:val="32"/>
        </w:numPr>
        <w:autoSpaceDE w:val="0"/>
        <w:autoSpaceDN w:val="0"/>
        <w:adjustRightInd w:val="0"/>
        <w:spacing w:after="0" w:line="480" w:lineRule="auto"/>
        <w:ind w:left="1434" w:hanging="725"/>
        <w:rPr>
          <w:rFonts w:ascii="Times New Roman" w:hAnsi="Times New Roman" w:cs="Times New Roman"/>
          <w:b/>
          <w:bCs/>
          <w:sz w:val="24"/>
          <w:szCs w:val="24"/>
        </w:rPr>
      </w:pPr>
      <w:r w:rsidRPr="00451B44">
        <w:rPr>
          <w:rFonts w:ascii="Times New Roman" w:hAnsi="Times New Roman" w:cs="Times New Roman"/>
          <w:b/>
          <w:bCs/>
          <w:sz w:val="24"/>
          <w:szCs w:val="24"/>
        </w:rPr>
        <w:t>Methods</w:t>
      </w:r>
    </w:p>
    <w:p w:rsidR="004B4E5E" w:rsidRPr="00451B44" w:rsidRDefault="004B4E5E" w:rsidP="002B4B8D">
      <w:pPr>
        <w:spacing w:line="480" w:lineRule="auto"/>
        <w:rPr>
          <w:rFonts w:ascii="Times New Roman" w:hAnsi="Times New Roman" w:cs="Times New Roman"/>
          <w:sz w:val="24"/>
          <w:szCs w:val="24"/>
          <w:lang w:val="en-GB"/>
        </w:rPr>
      </w:pPr>
      <w:r>
        <w:rPr>
          <w:rFonts w:ascii="Times New Roman" w:hAnsi="Times New Roman" w:cs="Times New Roman"/>
          <w:sz w:val="24"/>
          <w:szCs w:val="24"/>
        </w:rPr>
        <w:t>PCD</w:t>
      </w:r>
      <w:r w:rsidRPr="00451B44">
        <w:rPr>
          <w:rFonts w:ascii="Times New Roman" w:hAnsi="Times New Roman" w:cs="Times New Roman"/>
          <w:sz w:val="24"/>
          <w:szCs w:val="24"/>
        </w:rPr>
        <w:t xml:space="preserve"> in plants can be measured by microscopic and biochemical assays. Microscopic examination of PCD includes appl</w:t>
      </w:r>
      <w:r>
        <w:rPr>
          <w:rFonts w:ascii="Times New Roman" w:hAnsi="Times New Roman" w:cs="Times New Roman"/>
          <w:sz w:val="24"/>
          <w:szCs w:val="24"/>
        </w:rPr>
        <w:t>ication of viability stains such as fluorescein diacetate, Evans b</w:t>
      </w:r>
      <w:r w:rsidRPr="00451B44">
        <w:rPr>
          <w:rFonts w:ascii="Times New Roman" w:hAnsi="Times New Roman" w:cs="Times New Roman"/>
          <w:sz w:val="24"/>
          <w:szCs w:val="24"/>
        </w:rPr>
        <w:t xml:space="preserve">lue or tryptan blue and use of </w:t>
      </w:r>
      <w:r w:rsidRPr="00451B44">
        <w:rPr>
          <w:rFonts w:ascii="Times New Roman" w:hAnsi="Times New Roman" w:cs="Times New Roman"/>
          <w:i/>
          <w:iCs/>
          <w:sz w:val="24"/>
          <w:szCs w:val="24"/>
        </w:rPr>
        <w:t>in situ</w:t>
      </w:r>
      <w:r w:rsidRPr="00451B44">
        <w:rPr>
          <w:rFonts w:ascii="Times New Roman" w:hAnsi="Times New Roman" w:cs="Times New Roman"/>
          <w:sz w:val="24"/>
          <w:szCs w:val="24"/>
        </w:rPr>
        <w:t xml:space="preserve"> markers of DNA degradation such as the terminal dUTP-biotin nick end labeling of DNA fr</w:t>
      </w:r>
      <w:r>
        <w:rPr>
          <w:rFonts w:ascii="Times New Roman" w:hAnsi="Times New Roman" w:cs="Times New Roman"/>
          <w:sz w:val="24"/>
          <w:szCs w:val="24"/>
        </w:rPr>
        <w:t>agments (TUNEL)</w:t>
      </w:r>
      <w:r w:rsidRPr="00451B44">
        <w:rPr>
          <w:rFonts w:ascii="Times New Roman" w:hAnsi="Times New Roman" w:cs="Times New Roman"/>
          <w:sz w:val="24"/>
          <w:szCs w:val="24"/>
        </w:rPr>
        <w:t xml:space="preserve">, which provides a measure of 3’-OH group accumulation </w:t>
      </w:r>
      <w:r w:rsidRPr="00451B44">
        <w:rPr>
          <w:rFonts w:ascii="Times New Roman" w:hAnsi="Times New Roman" w:cs="Times New Roman"/>
          <w:noProof/>
          <w:sz w:val="24"/>
          <w:szCs w:val="24"/>
        </w:rPr>
        <w:t>(Gavrieli</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1992)</w:t>
      </w:r>
      <w:r w:rsidRPr="00451B44">
        <w:rPr>
          <w:rFonts w:ascii="Times New Roman" w:hAnsi="Times New Roman" w:cs="Times New Roman"/>
          <w:sz w:val="24"/>
          <w:szCs w:val="24"/>
        </w:rPr>
        <w:t xml:space="preserve"> and the 4',6-diamidino-2-phe</w:t>
      </w:r>
      <w:r>
        <w:rPr>
          <w:rFonts w:ascii="Times New Roman" w:hAnsi="Times New Roman" w:cs="Times New Roman"/>
          <w:sz w:val="24"/>
          <w:szCs w:val="24"/>
        </w:rPr>
        <w:t>nylindole (DAPI) staining</w:t>
      </w:r>
      <w:r w:rsidRPr="00451B44">
        <w:rPr>
          <w:rFonts w:ascii="Times New Roman" w:hAnsi="Times New Roman" w:cs="Times New Roman"/>
          <w:sz w:val="24"/>
          <w:szCs w:val="24"/>
        </w:rPr>
        <w:t xml:space="preserve">, which specifically targets DNA located in the </w:t>
      </w:r>
      <w:r>
        <w:rPr>
          <w:rFonts w:ascii="Times New Roman" w:hAnsi="Times New Roman" w:cs="Times New Roman"/>
          <w:sz w:val="24"/>
          <w:szCs w:val="24"/>
        </w:rPr>
        <w:t>nuclei. It is often useful to use more than one PCD detection method</w:t>
      </w:r>
      <w:r w:rsidRPr="00451B44">
        <w:rPr>
          <w:rFonts w:ascii="Times New Roman" w:hAnsi="Times New Roman" w:cs="Times New Roman"/>
          <w:sz w:val="24"/>
          <w:szCs w:val="24"/>
        </w:rPr>
        <w:t xml:space="preserve"> in or</w:t>
      </w:r>
      <w:r>
        <w:rPr>
          <w:rFonts w:ascii="Times New Roman" w:hAnsi="Times New Roman" w:cs="Times New Roman"/>
          <w:sz w:val="24"/>
          <w:szCs w:val="24"/>
        </w:rPr>
        <w:t>der to avoid false positives</w:t>
      </w:r>
      <w:r w:rsidRPr="00451B44">
        <w:rPr>
          <w:rFonts w:ascii="Times New Roman" w:hAnsi="Times New Roman" w:cs="Times New Roman"/>
          <w:sz w:val="24"/>
          <w:szCs w:val="24"/>
        </w:rPr>
        <w:t xml:space="preserve"> </w:t>
      </w:r>
      <w:r w:rsidRPr="00451B44">
        <w:rPr>
          <w:rFonts w:ascii="Times New Roman" w:hAnsi="Times New Roman" w:cs="Times New Roman"/>
          <w:noProof/>
          <w:sz w:val="24"/>
          <w:szCs w:val="24"/>
        </w:rPr>
        <w:t>(Wang</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1996)</w:t>
      </w:r>
      <w:r w:rsidRPr="00451B44">
        <w:rPr>
          <w:rFonts w:ascii="Times New Roman" w:hAnsi="Times New Roman" w:cs="Times New Roman"/>
          <w:sz w:val="24"/>
          <w:szCs w:val="24"/>
        </w:rPr>
        <w:t>. Other methods which were reported to be useful for labelling DNA breaks in plant cells are ISEL (</w:t>
      </w:r>
      <w:r w:rsidRPr="00451B44">
        <w:rPr>
          <w:rFonts w:ascii="Times New Roman" w:hAnsi="Times New Roman" w:cs="Times New Roman"/>
          <w:i/>
          <w:iCs/>
          <w:sz w:val="24"/>
          <w:szCs w:val="24"/>
        </w:rPr>
        <w:t>in situ</w:t>
      </w:r>
      <w:r w:rsidRPr="00451B44">
        <w:rPr>
          <w:rFonts w:ascii="Times New Roman" w:hAnsi="Times New Roman" w:cs="Times New Roman"/>
          <w:sz w:val="24"/>
          <w:szCs w:val="24"/>
        </w:rPr>
        <w:t xml:space="preserve"> end labelling) </w:t>
      </w:r>
      <w:r w:rsidRPr="00451B44">
        <w:rPr>
          <w:rFonts w:ascii="Times New Roman" w:hAnsi="Times New Roman" w:cs="Times New Roman"/>
          <w:noProof/>
          <w:sz w:val="24"/>
          <w:szCs w:val="24"/>
        </w:rPr>
        <w:t>(Ning</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1999)</w:t>
      </w:r>
      <w:r w:rsidRPr="00451B44">
        <w:rPr>
          <w:rFonts w:ascii="Times New Roman" w:hAnsi="Times New Roman" w:cs="Times New Roman"/>
          <w:sz w:val="24"/>
          <w:szCs w:val="24"/>
        </w:rPr>
        <w:t xml:space="preserve"> and ISNT (</w:t>
      </w:r>
      <w:r w:rsidRPr="00451B44">
        <w:rPr>
          <w:rFonts w:ascii="Times New Roman" w:hAnsi="Times New Roman" w:cs="Times New Roman"/>
          <w:i/>
          <w:iCs/>
          <w:sz w:val="24"/>
          <w:szCs w:val="24"/>
        </w:rPr>
        <w:t>in situ</w:t>
      </w:r>
      <w:r w:rsidRPr="00451B44">
        <w:rPr>
          <w:rFonts w:ascii="Times New Roman" w:hAnsi="Times New Roman" w:cs="Times New Roman"/>
          <w:sz w:val="24"/>
          <w:szCs w:val="24"/>
        </w:rPr>
        <w:t xml:space="preserve"> nick translation) (Amor</w:t>
      </w:r>
      <w:r w:rsidRPr="00451B44">
        <w:rPr>
          <w:rFonts w:ascii="Times New Roman" w:hAnsi="Times New Roman" w:cs="Times New Roman"/>
          <w:i/>
          <w:iCs/>
          <w:sz w:val="24"/>
          <w:szCs w:val="24"/>
        </w:rPr>
        <w:t xml:space="preserve"> et al.</w:t>
      </w:r>
      <w:r w:rsidRPr="00451B44">
        <w:rPr>
          <w:rFonts w:ascii="Times New Roman" w:hAnsi="Times New Roman" w:cs="Times New Roman"/>
          <w:sz w:val="24"/>
          <w:szCs w:val="24"/>
        </w:rPr>
        <w:t>, 1998, Wood</w:t>
      </w:r>
      <w:r w:rsidRPr="00451B44">
        <w:rPr>
          <w:rFonts w:ascii="Times New Roman" w:hAnsi="Times New Roman" w:cs="Times New Roman"/>
          <w:i/>
          <w:iCs/>
          <w:sz w:val="24"/>
          <w:szCs w:val="24"/>
        </w:rPr>
        <w:t xml:space="preserve"> et al.</w:t>
      </w:r>
      <w:r w:rsidRPr="00451B44">
        <w:rPr>
          <w:rFonts w:ascii="Times New Roman" w:hAnsi="Times New Roman" w:cs="Times New Roman"/>
          <w:sz w:val="24"/>
          <w:szCs w:val="24"/>
        </w:rPr>
        <w:t>, 1995). DNA breakage detection stains can be applied on samples analysed by microscopy or alternatively, they can be applied to samples subjected to fast and high throughput fluorescence activated cell sorting analysis. In terms of morphology, condensation</w:t>
      </w:r>
      <w:r w:rsidRPr="00451B44">
        <w:rPr>
          <w:rFonts w:ascii="Times New Roman" w:hAnsi="Times New Roman" w:cs="Times New Roman"/>
          <w:sz w:val="24"/>
          <w:szCs w:val="24"/>
          <w:lang w:val="en-GB"/>
        </w:rPr>
        <w:t xml:space="preserve"> of the cytoplasm leaving a visible gap between the cell wall and plasma membrane </w:t>
      </w:r>
      <w:r w:rsidRPr="00451B44">
        <w:rPr>
          <w:rFonts w:ascii="Times New Roman" w:hAnsi="Times New Roman" w:cs="Times New Roman"/>
          <w:noProof/>
          <w:sz w:val="24"/>
          <w:szCs w:val="24"/>
          <w:lang w:val="en-GB"/>
        </w:rPr>
        <w:t>(McCabe and Leaver, 2000)</w:t>
      </w:r>
      <w:r>
        <w:rPr>
          <w:rFonts w:ascii="Times New Roman" w:hAnsi="Times New Roman" w:cs="Times New Roman"/>
          <w:sz w:val="24"/>
          <w:szCs w:val="24"/>
          <w:lang w:val="en-GB"/>
        </w:rPr>
        <w:t xml:space="preserve"> is a hallmark feature of AL-PCD in plant cells observed</w:t>
      </w:r>
      <w:r w:rsidRPr="00451B44">
        <w:rPr>
          <w:rFonts w:ascii="Times New Roman" w:hAnsi="Times New Roman" w:cs="Times New Roman"/>
          <w:sz w:val="24"/>
          <w:szCs w:val="24"/>
          <w:lang w:val="en-GB"/>
        </w:rPr>
        <w:t xml:space="preserve"> under the microscope.  </w:t>
      </w:r>
    </w:p>
    <w:p w:rsidR="004B4E5E" w:rsidRPr="00451B44" w:rsidRDefault="004B4E5E" w:rsidP="002B4B8D">
      <w:pPr>
        <w:spacing w:line="480" w:lineRule="auto"/>
        <w:rPr>
          <w:rFonts w:ascii="Times New Roman" w:hAnsi="Times New Roman" w:cs="Times New Roman"/>
          <w:sz w:val="24"/>
          <w:szCs w:val="24"/>
        </w:rPr>
      </w:pPr>
      <w:r w:rsidRPr="00451B44">
        <w:rPr>
          <w:rFonts w:ascii="Times New Roman" w:hAnsi="Times New Roman" w:cs="Times New Roman"/>
          <w:sz w:val="24"/>
          <w:szCs w:val="24"/>
          <w:lang w:val="en-GB"/>
        </w:rPr>
        <w:t xml:space="preserve">A classical biochemical marker for PCD is DNA fragmentation detected by conventional or pulsed field gel electrophoresis (PFGE). As opposed to the simple DNA breakage detection assays described above, these methods are useful for visualisation of 180 – 200 bp multimers and large &gt;50 kbp </w:t>
      </w:r>
      <w:r>
        <w:rPr>
          <w:rFonts w:ascii="Times New Roman" w:hAnsi="Times New Roman" w:cs="Times New Roman"/>
          <w:sz w:val="24"/>
          <w:szCs w:val="24"/>
          <w:lang w:val="en-GB"/>
        </w:rPr>
        <w:t xml:space="preserve">DNA fragments. </w:t>
      </w:r>
      <w:r w:rsidRPr="00451B44">
        <w:rPr>
          <w:rFonts w:ascii="Times New Roman" w:hAnsi="Times New Roman" w:cs="Times New Roman"/>
          <w:sz w:val="24"/>
          <w:szCs w:val="24"/>
          <w:lang w:val="en-GB"/>
        </w:rPr>
        <w:t xml:space="preserve">Fragments </w:t>
      </w:r>
      <w:r>
        <w:rPr>
          <w:rFonts w:ascii="Times New Roman" w:hAnsi="Times New Roman" w:cs="Times New Roman"/>
          <w:sz w:val="24"/>
          <w:szCs w:val="24"/>
          <w:lang w:eastAsia="en-IE"/>
        </w:rPr>
        <w:t xml:space="preserve">300-50 </w:t>
      </w:r>
      <w:r w:rsidRPr="00451B44">
        <w:rPr>
          <w:rFonts w:ascii="Times New Roman" w:hAnsi="Times New Roman" w:cs="Times New Roman"/>
          <w:sz w:val="24"/>
          <w:szCs w:val="24"/>
          <w:lang w:eastAsia="en-IE"/>
        </w:rPr>
        <w:t>kb in size result from DNA ordering int</w:t>
      </w:r>
      <w:r>
        <w:rPr>
          <w:rFonts w:ascii="Times New Roman" w:hAnsi="Times New Roman" w:cs="Times New Roman"/>
          <w:sz w:val="24"/>
          <w:szCs w:val="24"/>
          <w:lang w:eastAsia="en-IE"/>
        </w:rPr>
        <w:t xml:space="preserve">o chromatin loops of approx. 50 </w:t>
      </w:r>
      <w:r w:rsidRPr="00451B44">
        <w:rPr>
          <w:rFonts w:ascii="Times New Roman" w:hAnsi="Times New Roman" w:cs="Times New Roman"/>
          <w:sz w:val="24"/>
          <w:szCs w:val="24"/>
          <w:lang w:eastAsia="en-IE"/>
        </w:rPr>
        <w:t>kb and s</w:t>
      </w:r>
      <w:r>
        <w:rPr>
          <w:rFonts w:ascii="Times New Roman" w:hAnsi="Times New Roman" w:cs="Times New Roman"/>
          <w:sz w:val="24"/>
          <w:szCs w:val="24"/>
          <w:lang w:eastAsia="en-IE"/>
        </w:rPr>
        <w:t xml:space="preserve">ix of these loops fold as a 300 </w:t>
      </w:r>
      <w:r w:rsidRPr="00451B44">
        <w:rPr>
          <w:rFonts w:ascii="Times New Roman" w:hAnsi="Times New Roman" w:cs="Times New Roman"/>
          <w:sz w:val="24"/>
          <w:szCs w:val="24"/>
          <w:lang w:eastAsia="en-IE"/>
        </w:rPr>
        <w:t xml:space="preserve">kb rosette structure </w:t>
      </w:r>
      <w:r w:rsidRPr="00451B44">
        <w:rPr>
          <w:rFonts w:ascii="Times New Roman" w:hAnsi="Times New Roman" w:cs="Times New Roman"/>
          <w:noProof/>
          <w:sz w:val="24"/>
          <w:szCs w:val="24"/>
          <w:lang w:eastAsia="en-IE"/>
        </w:rPr>
        <w:t>(Reape and McCabe, 2008)</w:t>
      </w:r>
      <w:r w:rsidRPr="00451B44">
        <w:rPr>
          <w:rFonts w:ascii="Times New Roman" w:hAnsi="Times New Roman" w:cs="Times New Roman"/>
          <w:sz w:val="24"/>
          <w:szCs w:val="24"/>
          <w:lang w:eastAsia="en-IE"/>
        </w:rPr>
        <w:t xml:space="preserve">. At the early stage of PCD before the actual internucleosomal cleavage takes place, these rosettes </w:t>
      </w:r>
      <w:r>
        <w:rPr>
          <w:rFonts w:ascii="Times New Roman" w:hAnsi="Times New Roman" w:cs="Times New Roman"/>
          <w:sz w:val="24"/>
          <w:szCs w:val="24"/>
          <w:lang w:eastAsia="en-IE"/>
        </w:rPr>
        <w:t xml:space="preserve">are often cleaved into their 50 </w:t>
      </w:r>
      <w:r w:rsidRPr="00451B44">
        <w:rPr>
          <w:rFonts w:ascii="Times New Roman" w:hAnsi="Times New Roman" w:cs="Times New Roman"/>
          <w:sz w:val="24"/>
          <w:szCs w:val="24"/>
          <w:lang w:eastAsia="en-IE"/>
        </w:rPr>
        <w:t>kb components and can be visuali</w:t>
      </w:r>
      <w:r>
        <w:rPr>
          <w:rFonts w:ascii="Times New Roman" w:hAnsi="Times New Roman" w:cs="Times New Roman"/>
          <w:sz w:val="24"/>
          <w:szCs w:val="24"/>
          <w:lang w:eastAsia="en-IE"/>
        </w:rPr>
        <w:t>s</w:t>
      </w:r>
      <w:r w:rsidRPr="00451B44">
        <w:rPr>
          <w:rFonts w:ascii="Times New Roman" w:hAnsi="Times New Roman" w:cs="Times New Roman"/>
          <w:sz w:val="24"/>
          <w:szCs w:val="24"/>
          <w:lang w:eastAsia="en-IE"/>
        </w:rPr>
        <w:t>ed by PFGE and ethidium bromide staining (Balk</w:t>
      </w:r>
      <w:r w:rsidRPr="00451B44">
        <w:rPr>
          <w:rFonts w:ascii="Times New Roman" w:hAnsi="Times New Roman" w:cs="Times New Roman"/>
          <w:i/>
          <w:iCs/>
          <w:sz w:val="24"/>
          <w:szCs w:val="24"/>
          <w:lang w:eastAsia="en-IE"/>
        </w:rPr>
        <w:t xml:space="preserve"> et al.</w:t>
      </w:r>
      <w:r w:rsidRPr="00451B44">
        <w:rPr>
          <w:rFonts w:ascii="Times New Roman" w:hAnsi="Times New Roman" w:cs="Times New Roman"/>
          <w:sz w:val="24"/>
          <w:szCs w:val="24"/>
          <w:lang w:eastAsia="en-IE"/>
        </w:rPr>
        <w:t>, 2003</w:t>
      </w:r>
      <w:r>
        <w:rPr>
          <w:rFonts w:ascii="Times New Roman" w:hAnsi="Times New Roman" w:cs="Times New Roman"/>
          <w:sz w:val="24"/>
          <w:szCs w:val="24"/>
          <w:lang w:eastAsia="en-IE"/>
        </w:rPr>
        <w:t xml:space="preserve">, Young and Gallie, 2000a).The </w:t>
      </w:r>
      <w:r w:rsidRPr="00451B44">
        <w:rPr>
          <w:rFonts w:ascii="Times New Roman" w:hAnsi="Times New Roman" w:cs="Times New Roman"/>
          <w:sz w:val="24"/>
          <w:szCs w:val="24"/>
          <w:lang w:eastAsia="en-IE"/>
        </w:rPr>
        <w:t xml:space="preserve">DNA ‘ladder’ which appears after separation of fragmented DNA by agarose gel electrophoresis is a recurring feature of PCD. Multimers of 180-200 bp in size are the result of internucleosomal DNA cleavage by nucleases activated during PCD. Visualisation of the DNA ladder with ethidium bromide staining tends to be weak and in order to avoid false negative results the commercial kits for ladder detection can be used (e.g. </w:t>
      </w:r>
      <w:r w:rsidRPr="00451B44">
        <w:rPr>
          <w:rFonts w:ascii="Times New Roman" w:hAnsi="Times New Roman" w:cs="Times New Roman"/>
          <w:sz w:val="24"/>
          <w:szCs w:val="24"/>
        </w:rPr>
        <w:t>ApoAlert</w:t>
      </w:r>
      <w:r w:rsidRPr="00451B44">
        <w:rPr>
          <w:rFonts w:ascii="Times New Roman" w:hAnsi="Times New Roman" w:cs="Times New Roman"/>
          <w:sz w:val="24"/>
          <w:szCs w:val="24"/>
          <w:vertAlign w:val="superscript"/>
        </w:rPr>
        <w:t xml:space="preserve">TM </w:t>
      </w:r>
      <w:r w:rsidRPr="00451B44">
        <w:rPr>
          <w:rFonts w:ascii="Times New Roman" w:hAnsi="Times New Roman" w:cs="Times New Roman"/>
          <w:sz w:val="24"/>
          <w:szCs w:val="24"/>
        </w:rPr>
        <w:t xml:space="preserve">LM-PCR Ladder Assay Kit by Clontech Laboratories Inc.) </w:t>
      </w:r>
      <w:r>
        <w:rPr>
          <w:rFonts w:ascii="Times New Roman" w:hAnsi="Times New Roman" w:cs="Times New Roman"/>
          <w:sz w:val="24"/>
          <w:szCs w:val="24"/>
        </w:rPr>
        <w:t>(Giuliani</w:t>
      </w:r>
      <w:r w:rsidRPr="00870823">
        <w:rPr>
          <w:rFonts w:ascii="Times New Roman" w:hAnsi="Times New Roman" w:cs="Times New Roman"/>
          <w:i/>
          <w:iCs/>
          <w:sz w:val="24"/>
          <w:szCs w:val="24"/>
        </w:rPr>
        <w:t xml:space="preserve"> et al.</w:t>
      </w:r>
      <w:r>
        <w:rPr>
          <w:rFonts w:ascii="Times New Roman" w:hAnsi="Times New Roman" w:cs="Times New Roman"/>
          <w:sz w:val="24"/>
          <w:szCs w:val="24"/>
        </w:rPr>
        <w:t>, 2002)</w:t>
      </w:r>
      <w:r w:rsidRPr="00451B44">
        <w:rPr>
          <w:rFonts w:ascii="Times New Roman" w:hAnsi="Times New Roman" w:cs="Times New Roman"/>
          <w:sz w:val="24"/>
          <w:szCs w:val="24"/>
        </w:rPr>
        <w:t xml:space="preserve">. Another method of visualising internucleosomal DNA cleavage, is using a hybridisation of a Southern blot of the gel with a total DNA probe that has been randomly digested into fragments and labelled with radioactive probes </w:t>
      </w:r>
      <w:r w:rsidRPr="00451B44">
        <w:rPr>
          <w:rFonts w:ascii="Times New Roman" w:hAnsi="Times New Roman" w:cs="Times New Roman"/>
          <w:noProof/>
          <w:sz w:val="24"/>
          <w:szCs w:val="24"/>
        </w:rPr>
        <w:t>(McCabe and Leaver, 2000)</w:t>
      </w:r>
      <w:r w:rsidRPr="00451B44">
        <w:rPr>
          <w:rFonts w:ascii="Times New Roman" w:hAnsi="Times New Roman" w:cs="Times New Roman"/>
          <w:sz w:val="24"/>
          <w:szCs w:val="24"/>
        </w:rPr>
        <w:t xml:space="preserve">. </w:t>
      </w:r>
    </w:p>
    <w:p w:rsidR="004B4E5E" w:rsidRPr="00451B44" w:rsidRDefault="004B4E5E" w:rsidP="002B4B8D">
      <w:pPr>
        <w:spacing w:line="480" w:lineRule="auto"/>
        <w:rPr>
          <w:rFonts w:ascii="Times New Roman" w:hAnsi="Times New Roman" w:cs="Times New Roman"/>
          <w:color w:val="231F20"/>
          <w:sz w:val="24"/>
          <w:szCs w:val="24"/>
        </w:rPr>
      </w:pPr>
      <w:r w:rsidRPr="00451B44">
        <w:rPr>
          <w:rFonts w:ascii="Times New Roman" w:hAnsi="Times New Roman" w:cs="Times New Roman"/>
          <w:sz w:val="24"/>
          <w:szCs w:val="24"/>
        </w:rPr>
        <w:t xml:space="preserve">Electrolyte leakage is often used as the cell death indicator, as it is a crude measure of membrane integrity perturbations and cellular damage. Due to the presence of the cell wall, dying plant cells are not engulfed by neighbouring cells as is the case of animal apoptosis. Instead, at the late stages of cell death, the contents of the dying cell leak into the intercellular space and can be used to compare the relative amount of </w:t>
      </w:r>
      <w:r w:rsidRPr="00451B44">
        <w:rPr>
          <w:rStyle w:val="nbapihighlight"/>
          <w:rFonts w:ascii="Times New Roman" w:hAnsi="Times New Roman" w:cs="Times New Roman"/>
          <w:sz w:val="24"/>
          <w:szCs w:val="24"/>
        </w:rPr>
        <w:t>cell death</w:t>
      </w:r>
      <w:r w:rsidRPr="00451B44">
        <w:rPr>
          <w:rFonts w:ascii="Times New Roman" w:hAnsi="Times New Roman" w:cs="Times New Roman"/>
          <w:sz w:val="24"/>
          <w:szCs w:val="24"/>
        </w:rPr>
        <w:t xml:space="preserve"> in plant tissues </w:t>
      </w:r>
      <w:r w:rsidRPr="00451B44">
        <w:rPr>
          <w:rFonts w:ascii="Times New Roman" w:hAnsi="Times New Roman" w:cs="Times New Roman"/>
          <w:noProof/>
          <w:sz w:val="24"/>
          <w:szCs w:val="24"/>
        </w:rPr>
        <w:t>(del Pozo and Lam, 1998)</w:t>
      </w:r>
      <w:r w:rsidRPr="00451B44">
        <w:rPr>
          <w:rFonts w:ascii="Times New Roman" w:hAnsi="Times New Roman" w:cs="Times New Roman"/>
          <w:sz w:val="24"/>
          <w:szCs w:val="24"/>
        </w:rPr>
        <w:t xml:space="preserve">. Leaf discs, segments, or even whole leaves are collected from plants following the death inducing treatment (biotic or abiotic) and incubated in water. </w:t>
      </w:r>
      <w:r>
        <w:rPr>
          <w:rFonts w:ascii="Times New Roman" w:hAnsi="Times New Roman" w:cs="Times New Roman"/>
          <w:sz w:val="24"/>
          <w:szCs w:val="24"/>
        </w:rPr>
        <w:t>The c</w:t>
      </w:r>
      <w:r w:rsidRPr="00451B44">
        <w:rPr>
          <w:rFonts w:ascii="Times New Roman" w:hAnsi="Times New Roman" w:cs="Times New Roman"/>
          <w:sz w:val="24"/>
          <w:szCs w:val="24"/>
        </w:rPr>
        <w:t xml:space="preserve">onductivity of </w:t>
      </w:r>
      <w:r>
        <w:rPr>
          <w:rFonts w:ascii="Times New Roman" w:hAnsi="Times New Roman" w:cs="Times New Roman"/>
          <w:sz w:val="24"/>
          <w:szCs w:val="24"/>
        </w:rPr>
        <w:t xml:space="preserve">the </w:t>
      </w:r>
      <w:r w:rsidRPr="00451B44">
        <w:rPr>
          <w:rFonts w:ascii="Times New Roman" w:hAnsi="Times New Roman" w:cs="Times New Roman"/>
          <w:sz w:val="24"/>
          <w:szCs w:val="24"/>
        </w:rPr>
        <w:t xml:space="preserve">bathing solution is measured and related to the conductivity of the same sample after intense stress (e.g. incubation at 95 </w:t>
      </w:r>
      <w:r w:rsidRPr="00451B44">
        <w:rPr>
          <w:rFonts w:ascii="Times New Roman" w:hAnsi="Times New Roman" w:cs="Times New Roman"/>
          <w:color w:val="231F20"/>
          <w:sz w:val="24"/>
          <w:szCs w:val="24"/>
        </w:rPr>
        <w:t>°C or autoclaving/boiling), which ensures complete release of electrolytes from cells. Results expressed as the percentage ion leakage is used to monitor hypersensitive cell death progress following p</w:t>
      </w:r>
      <w:r>
        <w:rPr>
          <w:rFonts w:ascii="Times New Roman" w:hAnsi="Times New Roman" w:cs="Times New Roman"/>
          <w:color w:val="231F20"/>
          <w:sz w:val="24"/>
          <w:szCs w:val="24"/>
        </w:rPr>
        <w:t>athogen infection, (for example,</w:t>
      </w:r>
      <w:r w:rsidRPr="00451B44">
        <w:rPr>
          <w:rFonts w:ascii="Times New Roman" w:hAnsi="Times New Roman" w:cs="Times New Roman"/>
          <w:color w:val="231F20"/>
          <w:sz w:val="24"/>
          <w:szCs w:val="24"/>
        </w:rPr>
        <w:t xml:space="preserve"> </w:t>
      </w:r>
      <w:r>
        <w:rPr>
          <w:rFonts w:ascii="Times New Roman" w:hAnsi="Times New Roman" w:cs="Times New Roman"/>
          <w:color w:val="231F20"/>
          <w:sz w:val="24"/>
          <w:szCs w:val="24"/>
        </w:rPr>
        <w:t>Katiyar-Agarwal</w:t>
      </w:r>
      <w:r w:rsidRPr="00A43B68">
        <w:rPr>
          <w:rFonts w:ascii="Times New Roman" w:hAnsi="Times New Roman" w:cs="Times New Roman"/>
          <w:i/>
          <w:iCs/>
          <w:color w:val="231F20"/>
          <w:sz w:val="24"/>
          <w:szCs w:val="24"/>
        </w:rPr>
        <w:t xml:space="preserve"> et al.</w:t>
      </w:r>
      <w:r>
        <w:rPr>
          <w:rFonts w:ascii="Times New Roman" w:hAnsi="Times New Roman" w:cs="Times New Roman"/>
          <w:color w:val="231F20"/>
          <w:sz w:val="24"/>
          <w:szCs w:val="24"/>
        </w:rPr>
        <w:t>, 2006, Rudd</w:t>
      </w:r>
      <w:r w:rsidRPr="00A43B68">
        <w:rPr>
          <w:rFonts w:ascii="Times New Roman" w:hAnsi="Times New Roman" w:cs="Times New Roman"/>
          <w:i/>
          <w:iCs/>
          <w:color w:val="231F20"/>
          <w:sz w:val="24"/>
          <w:szCs w:val="24"/>
        </w:rPr>
        <w:t xml:space="preserve"> et al.</w:t>
      </w:r>
      <w:r>
        <w:rPr>
          <w:rFonts w:ascii="Times New Roman" w:hAnsi="Times New Roman" w:cs="Times New Roman"/>
          <w:color w:val="231F20"/>
          <w:sz w:val="24"/>
          <w:szCs w:val="24"/>
        </w:rPr>
        <w:t>, 2008)</w:t>
      </w:r>
      <w:r w:rsidRPr="00451B44">
        <w:rPr>
          <w:rFonts w:ascii="Times New Roman" w:hAnsi="Times New Roman" w:cs="Times New Roman"/>
          <w:color w:val="231F20"/>
          <w:sz w:val="24"/>
          <w:szCs w:val="24"/>
        </w:rPr>
        <w:t xml:space="preserve"> and cell death cause</w:t>
      </w:r>
      <w:r>
        <w:rPr>
          <w:rFonts w:ascii="Times New Roman" w:hAnsi="Times New Roman" w:cs="Times New Roman"/>
          <w:color w:val="231F20"/>
          <w:sz w:val="24"/>
          <w:szCs w:val="24"/>
        </w:rPr>
        <w:t>d by abiotic stress such as</w:t>
      </w:r>
      <w:r w:rsidRPr="00451B44">
        <w:rPr>
          <w:rFonts w:ascii="Times New Roman" w:hAnsi="Times New Roman" w:cs="Times New Roman"/>
          <w:color w:val="231F20"/>
          <w:sz w:val="24"/>
          <w:szCs w:val="24"/>
        </w:rPr>
        <w:t xml:space="preserve"> methyl viologen mediated oxidative stress </w:t>
      </w:r>
      <w:r>
        <w:rPr>
          <w:rFonts w:ascii="Times New Roman" w:hAnsi="Times New Roman" w:cs="Times New Roman"/>
          <w:color w:val="231F20"/>
          <w:sz w:val="24"/>
          <w:szCs w:val="24"/>
        </w:rPr>
        <w:t>(Sarowar</w:t>
      </w:r>
      <w:r w:rsidRPr="00A43B68">
        <w:rPr>
          <w:rFonts w:ascii="Times New Roman" w:hAnsi="Times New Roman" w:cs="Times New Roman"/>
          <w:i/>
          <w:iCs/>
          <w:color w:val="231F20"/>
          <w:sz w:val="24"/>
          <w:szCs w:val="24"/>
        </w:rPr>
        <w:t xml:space="preserve"> et al.</w:t>
      </w:r>
      <w:r>
        <w:rPr>
          <w:rFonts w:ascii="Times New Roman" w:hAnsi="Times New Roman" w:cs="Times New Roman"/>
          <w:color w:val="231F20"/>
          <w:sz w:val="24"/>
          <w:szCs w:val="24"/>
        </w:rPr>
        <w:t>, 2008)</w:t>
      </w:r>
      <w:r w:rsidRPr="00451B44">
        <w:rPr>
          <w:rFonts w:ascii="Times New Roman" w:hAnsi="Times New Roman" w:cs="Times New Roman"/>
          <w:color w:val="231F20"/>
          <w:sz w:val="24"/>
          <w:szCs w:val="24"/>
        </w:rPr>
        <w:t xml:space="preserve"> or ozone treatment</w:t>
      </w:r>
      <w:r>
        <w:rPr>
          <w:rFonts w:ascii="Times New Roman" w:hAnsi="Times New Roman" w:cs="Times New Roman"/>
          <w:color w:val="231F20"/>
          <w:sz w:val="24"/>
          <w:szCs w:val="24"/>
        </w:rPr>
        <w:t xml:space="preserve"> (Pasqualini</w:t>
      </w:r>
      <w:r w:rsidRPr="00A43B68">
        <w:rPr>
          <w:rFonts w:ascii="Times New Roman" w:hAnsi="Times New Roman" w:cs="Times New Roman"/>
          <w:i/>
          <w:iCs/>
          <w:color w:val="231F20"/>
          <w:sz w:val="24"/>
          <w:szCs w:val="24"/>
        </w:rPr>
        <w:t xml:space="preserve"> et al.</w:t>
      </w:r>
      <w:r>
        <w:rPr>
          <w:rFonts w:ascii="Times New Roman" w:hAnsi="Times New Roman" w:cs="Times New Roman"/>
          <w:color w:val="231F20"/>
          <w:sz w:val="24"/>
          <w:szCs w:val="24"/>
        </w:rPr>
        <w:t>, 2003)</w:t>
      </w:r>
      <w:r w:rsidRPr="00451B44">
        <w:rPr>
          <w:rFonts w:ascii="Times New Roman" w:hAnsi="Times New Roman" w:cs="Times New Roman"/>
          <w:color w:val="231F20"/>
          <w:sz w:val="24"/>
          <w:szCs w:val="24"/>
        </w:rPr>
        <w:t xml:space="preserve">. However, it has to be highlighted that this assay does not </w:t>
      </w:r>
      <w:r>
        <w:rPr>
          <w:rFonts w:ascii="Times New Roman" w:hAnsi="Times New Roman" w:cs="Times New Roman"/>
          <w:color w:val="231F20"/>
          <w:sz w:val="24"/>
          <w:szCs w:val="24"/>
        </w:rPr>
        <w:t xml:space="preserve">presently </w:t>
      </w:r>
      <w:r w:rsidRPr="00451B44">
        <w:rPr>
          <w:rFonts w:ascii="Times New Roman" w:hAnsi="Times New Roman" w:cs="Times New Roman"/>
          <w:color w:val="231F20"/>
          <w:sz w:val="24"/>
          <w:szCs w:val="24"/>
        </w:rPr>
        <w:t>distinguish between PCD and necrosis caused electrolyte leakage and therefore needs to be combined with other technique in order to differentiate between</w:t>
      </w:r>
      <w:r>
        <w:rPr>
          <w:rFonts w:ascii="Times New Roman" w:hAnsi="Times New Roman" w:cs="Times New Roman"/>
          <w:color w:val="231F20"/>
          <w:sz w:val="24"/>
          <w:szCs w:val="24"/>
        </w:rPr>
        <w:t xml:space="preserve"> these different modes of death.</w:t>
      </w:r>
    </w:p>
    <w:p w:rsidR="004B4E5E" w:rsidRPr="00451B44" w:rsidRDefault="004B4E5E" w:rsidP="002B4B8D">
      <w:pPr>
        <w:spacing w:line="480" w:lineRule="auto"/>
        <w:rPr>
          <w:rFonts w:ascii="Times New Roman" w:hAnsi="Times New Roman" w:cs="Times New Roman"/>
          <w:color w:val="231F20"/>
          <w:sz w:val="24"/>
          <w:szCs w:val="24"/>
        </w:rPr>
      </w:pPr>
      <w:r>
        <w:rPr>
          <w:rFonts w:ascii="Times New Roman" w:hAnsi="Times New Roman" w:cs="Times New Roman"/>
          <w:color w:val="231F20"/>
          <w:sz w:val="24"/>
          <w:szCs w:val="24"/>
        </w:rPr>
        <w:t>Another technique for</w:t>
      </w:r>
      <w:r w:rsidRPr="00451B44">
        <w:rPr>
          <w:rFonts w:ascii="Times New Roman" w:hAnsi="Times New Roman" w:cs="Times New Roman"/>
          <w:color w:val="231F20"/>
          <w:sz w:val="24"/>
          <w:szCs w:val="24"/>
        </w:rPr>
        <w:t xml:space="preserve"> biochemically investigating PCD in plants is by preparation of a protein extract from plant tissue and analysis of its nuclease/protease activity. Increase in nuclease activity was reported during the hypersensitive response following pathogen infection (Mittler and Lam, 1997, Mittler and Lam, 1995), in the aleurone layer of cereal grains undergoing PCD </w:t>
      </w:r>
      <w:r w:rsidRPr="00451B44">
        <w:rPr>
          <w:rFonts w:ascii="Times New Roman" w:hAnsi="Times New Roman" w:cs="Times New Roman"/>
          <w:noProof/>
          <w:color w:val="231F20"/>
          <w:sz w:val="24"/>
          <w:szCs w:val="24"/>
        </w:rPr>
        <w:t>(Domínguez</w:t>
      </w:r>
      <w:r w:rsidRPr="00451B44">
        <w:rPr>
          <w:rFonts w:ascii="Times New Roman" w:hAnsi="Times New Roman" w:cs="Times New Roman"/>
          <w:i/>
          <w:iCs/>
          <w:noProof/>
          <w:color w:val="231F20"/>
          <w:sz w:val="24"/>
          <w:szCs w:val="24"/>
        </w:rPr>
        <w:t xml:space="preserve"> et al.</w:t>
      </w:r>
      <w:r w:rsidRPr="00451B44">
        <w:rPr>
          <w:rFonts w:ascii="Times New Roman" w:hAnsi="Times New Roman" w:cs="Times New Roman"/>
          <w:noProof/>
          <w:color w:val="231F20"/>
          <w:sz w:val="24"/>
          <w:szCs w:val="24"/>
        </w:rPr>
        <w:t>, 2004)</w:t>
      </w:r>
      <w:r w:rsidRPr="00451B44">
        <w:rPr>
          <w:rFonts w:ascii="Times New Roman" w:hAnsi="Times New Roman" w:cs="Times New Roman"/>
          <w:color w:val="231F20"/>
          <w:sz w:val="24"/>
          <w:szCs w:val="24"/>
        </w:rPr>
        <w:t xml:space="preserve"> or during senescence of barley </w:t>
      </w:r>
      <w:r w:rsidRPr="00451B44">
        <w:rPr>
          <w:rFonts w:ascii="Times New Roman" w:hAnsi="Times New Roman" w:cs="Times New Roman"/>
          <w:noProof/>
          <w:color w:val="231F20"/>
          <w:sz w:val="24"/>
          <w:szCs w:val="24"/>
        </w:rPr>
        <w:t>(Wood</w:t>
      </w:r>
      <w:r w:rsidRPr="00451B44">
        <w:rPr>
          <w:rFonts w:ascii="Times New Roman" w:hAnsi="Times New Roman" w:cs="Times New Roman"/>
          <w:i/>
          <w:iCs/>
          <w:noProof/>
          <w:color w:val="231F20"/>
          <w:sz w:val="24"/>
          <w:szCs w:val="24"/>
        </w:rPr>
        <w:t xml:space="preserve"> et al.</w:t>
      </w:r>
      <w:r w:rsidRPr="00451B44">
        <w:rPr>
          <w:rFonts w:ascii="Times New Roman" w:hAnsi="Times New Roman" w:cs="Times New Roman"/>
          <w:noProof/>
          <w:color w:val="231F20"/>
          <w:sz w:val="24"/>
          <w:szCs w:val="24"/>
        </w:rPr>
        <w:t>, 1998)</w:t>
      </w:r>
      <w:r w:rsidRPr="00451B44">
        <w:rPr>
          <w:rFonts w:ascii="Times New Roman" w:hAnsi="Times New Roman" w:cs="Times New Roman"/>
          <w:color w:val="231F20"/>
          <w:sz w:val="24"/>
          <w:szCs w:val="24"/>
        </w:rPr>
        <w:t xml:space="preserve">, </w:t>
      </w:r>
      <w:r w:rsidRPr="00451B44">
        <w:rPr>
          <w:rFonts w:ascii="Times New Roman" w:hAnsi="Times New Roman" w:cs="Times New Roman"/>
          <w:i/>
          <w:iCs/>
          <w:color w:val="231F20"/>
          <w:sz w:val="24"/>
          <w:szCs w:val="24"/>
        </w:rPr>
        <w:t>Arabidopsis</w:t>
      </w:r>
      <w:r w:rsidRPr="00451B44">
        <w:rPr>
          <w:rFonts w:ascii="Times New Roman" w:hAnsi="Times New Roman" w:cs="Times New Roman"/>
          <w:color w:val="231F20"/>
          <w:sz w:val="24"/>
          <w:szCs w:val="24"/>
        </w:rPr>
        <w:t xml:space="preserve"> </w:t>
      </w:r>
      <w:r w:rsidRPr="00451B44">
        <w:rPr>
          <w:rFonts w:ascii="Times New Roman" w:hAnsi="Times New Roman" w:cs="Times New Roman"/>
          <w:noProof/>
          <w:color w:val="231F20"/>
          <w:sz w:val="24"/>
          <w:szCs w:val="24"/>
        </w:rPr>
        <w:t>(Perez-Amador</w:t>
      </w:r>
      <w:r w:rsidRPr="00451B44">
        <w:rPr>
          <w:rFonts w:ascii="Times New Roman" w:hAnsi="Times New Roman" w:cs="Times New Roman"/>
          <w:i/>
          <w:iCs/>
          <w:noProof/>
          <w:color w:val="231F20"/>
          <w:sz w:val="24"/>
          <w:szCs w:val="24"/>
        </w:rPr>
        <w:t xml:space="preserve"> et al.</w:t>
      </w:r>
      <w:r w:rsidRPr="00451B44">
        <w:rPr>
          <w:rFonts w:ascii="Times New Roman" w:hAnsi="Times New Roman" w:cs="Times New Roman"/>
          <w:noProof/>
          <w:color w:val="231F20"/>
          <w:sz w:val="24"/>
          <w:szCs w:val="24"/>
        </w:rPr>
        <w:t>, 2000)</w:t>
      </w:r>
      <w:r w:rsidRPr="00451B44">
        <w:rPr>
          <w:rFonts w:ascii="Times New Roman" w:hAnsi="Times New Roman" w:cs="Times New Roman"/>
          <w:color w:val="231F20"/>
          <w:sz w:val="24"/>
          <w:szCs w:val="24"/>
        </w:rPr>
        <w:t xml:space="preserve">, parsley </w:t>
      </w:r>
      <w:r w:rsidRPr="00451B44">
        <w:rPr>
          <w:rFonts w:ascii="Times New Roman" w:hAnsi="Times New Roman" w:cs="Times New Roman"/>
          <w:noProof/>
          <w:color w:val="231F20"/>
          <w:sz w:val="24"/>
          <w:szCs w:val="24"/>
        </w:rPr>
        <w:t>(Canetti</w:t>
      </w:r>
      <w:r w:rsidRPr="00451B44">
        <w:rPr>
          <w:rFonts w:ascii="Times New Roman" w:hAnsi="Times New Roman" w:cs="Times New Roman"/>
          <w:i/>
          <w:iCs/>
          <w:noProof/>
          <w:color w:val="231F20"/>
          <w:sz w:val="24"/>
          <w:szCs w:val="24"/>
        </w:rPr>
        <w:t xml:space="preserve"> et al.</w:t>
      </w:r>
      <w:r w:rsidRPr="00451B44">
        <w:rPr>
          <w:rFonts w:ascii="Times New Roman" w:hAnsi="Times New Roman" w:cs="Times New Roman"/>
          <w:noProof/>
          <w:color w:val="231F20"/>
          <w:sz w:val="24"/>
          <w:szCs w:val="24"/>
        </w:rPr>
        <w:t>, 2002)</w:t>
      </w:r>
      <w:r w:rsidRPr="00451B44">
        <w:rPr>
          <w:rFonts w:ascii="Times New Roman" w:hAnsi="Times New Roman" w:cs="Times New Roman"/>
          <w:color w:val="231F20"/>
          <w:sz w:val="24"/>
          <w:szCs w:val="24"/>
        </w:rPr>
        <w:t xml:space="preserve">, petunia flower petals </w:t>
      </w:r>
      <w:r w:rsidRPr="00451B44">
        <w:rPr>
          <w:rFonts w:ascii="Times New Roman" w:hAnsi="Times New Roman" w:cs="Times New Roman"/>
          <w:noProof/>
          <w:color w:val="231F20"/>
          <w:sz w:val="24"/>
          <w:szCs w:val="24"/>
        </w:rPr>
        <w:t>(Langston</w:t>
      </w:r>
      <w:r w:rsidRPr="00451B44">
        <w:rPr>
          <w:rFonts w:ascii="Times New Roman" w:hAnsi="Times New Roman" w:cs="Times New Roman"/>
          <w:i/>
          <w:iCs/>
          <w:noProof/>
          <w:color w:val="231F20"/>
          <w:sz w:val="24"/>
          <w:szCs w:val="24"/>
        </w:rPr>
        <w:t xml:space="preserve"> et al.</w:t>
      </w:r>
      <w:r w:rsidRPr="00451B44">
        <w:rPr>
          <w:rFonts w:ascii="Times New Roman" w:hAnsi="Times New Roman" w:cs="Times New Roman"/>
          <w:noProof/>
          <w:color w:val="231F20"/>
          <w:sz w:val="24"/>
          <w:szCs w:val="24"/>
        </w:rPr>
        <w:t>, 2005)</w:t>
      </w:r>
      <w:r w:rsidRPr="00451B44">
        <w:rPr>
          <w:rFonts w:ascii="Times New Roman" w:hAnsi="Times New Roman" w:cs="Times New Roman"/>
          <w:color w:val="231F20"/>
          <w:sz w:val="24"/>
          <w:szCs w:val="24"/>
        </w:rPr>
        <w:t xml:space="preserve"> and also in other species. Nuclease activity of </w:t>
      </w:r>
      <w:r>
        <w:rPr>
          <w:rFonts w:ascii="Times New Roman" w:hAnsi="Times New Roman" w:cs="Times New Roman"/>
          <w:color w:val="231F20"/>
          <w:sz w:val="24"/>
          <w:szCs w:val="24"/>
        </w:rPr>
        <w:t xml:space="preserve">a </w:t>
      </w:r>
      <w:r w:rsidRPr="00451B44">
        <w:rPr>
          <w:rFonts w:ascii="Times New Roman" w:hAnsi="Times New Roman" w:cs="Times New Roman"/>
          <w:color w:val="231F20"/>
          <w:sz w:val="24"/>
          <w:szCs w:val="24"/>
        </w:rPr>
        <w:t xml:space="preserve">plant protein extract may be assessed by running samples on SDS-PAGE gels containing herring sperm, followed by SDS removal and incubation of the gel in appropriate buffer to allow </w:t>
      </w:r>
      <w:r w:rsidRPr="00451B44">
        <w:rPr>
          <w:rFonts w:ascii="Times New Roman" w:hAnsi="Times New Roman" w:cs="Times New Roman"/>
          <w:i/>
          <w:iCs/>
          <w:color w:val="231F20"/>
          <w:sz w:val="24"/>
          <w:szCs w:val="24"/>
        </w:rPr>
        <w:t>in situ</w:t>
      </w:r>
      <w:r w:rsidRPr="00451B44">
        <w:rPr>
          <w:rFonts w:ascii="Times New Roman" w:hAnsi="Times New Roman" w:cs="Times New Roman"/>
          <w:color w:val="231F20"/>
          <w:sz w:val="24"/>
          <w:szCs w:val="24"/>
        </w:rPr>
        <w:t xml:space="preserve"> DNA degradation. Afterwards, the gel is washed with the same buffer for diffusion of residual digested DNA fragments. Bands visible after staining with ethidium bromide represent nucleases </w:t>
      </w:r>
      <w:r w:rsidRPr="00451B44">
        <w:rPr>
          <w:rFonts w:ascii="Times New Roman" w:hAnsi="Times New Roman" w:cs="Times New Roman"/>
          <w:noProof/>
          <w:color w:val="231F20"/>
          <w:sz w:val="24"/>
          <w:szCs w:val="24"/>
        </w:rPr>
        <w:t>(Chang and Gallie, 1997)</w:t>
      </w:r>
      <w:r w:rsidRPr="00451B44">
        <w:rPr>
          <w:rFonts w:ascii="Times New Roman" w:hAnsi="Times New Roman" w:cs="Times New Roman"/>
          <w:color w:val="231F20"/>
          <w:sz w:val="24"/>
          <w:szCs w:val="24"/>
        </w:rPr>
        <w:t>. The nuclear activity of plant protein extract may also be assayed</w:t>
      </w:r>
      <w:r>
        <w:rPr>
          <w:rFonts w:ascii="Times New Roman" w:hAnsi="Times New Roman" w:cs="Times New Roman"/>
          <w:color w:val="231F20"/>
          <w:sz w:val="24"/>
          <w:szCs w:val="24"/>
        </w:rPr>
        <w:t xml:space="preserve"> by incubation with plasmid DNA</w:t>
      </w:r>
      <w:r w:rsidRPr="00451B44">
        <w:rPr>
          <w:rFonts w:ascii="Times New Roman" w:hAnsi="Times New Roman" w:cs="Times New Roman"/>
          <w:color w:val="231F20"/>
          <w:sz w:val="24"/>
          <w:szCs w:val="24"/>
        </w:rPr>
        <w:t xml:space="preserve"> </w:t>
      </w:r>
      <w:r w:rsidRPr="00451B44">
        <w:rPr>
          <w:rFonts w:ascii="Times New Roman" w:hAnsi="Times New Roman" w:cs="Times New Roman"/>
          <w:noProof/>
          <w:color w:val="231F20"/>
          <w:sz w:val="24"/>
          <w:szCs w:val="24"/>
        </w:rPr>
        <w:t>(Young and Gallie, 1999)</w:t>
      </w:r>
      <w:r w:rsidRPr="00451B44">
        <w:rPr>
          <w:rFonts w:ascii="Times New Roman" w:hAnsi="Times New Roman" w:cs="Times New Roman"/>
          <w:color w:val="231F20"/>
          <w:sz w:val="24"/>
          <w:szCs w:val="24"/>
        </w:rPr>
        <w:t>. Due to endonucleolytic activity of the extract, the plasmid is initially converted from supercoiled (CCC) to open circular (OC) and linear form, which is lost with further DNA degradation.</w:t>
      </w:r>
    </w:p>
    <w:p w:rsidR="004B4E5E" w:rsidRPr="00451B44" w:rsidRDefault="004B4E5E" w:rsidP="002B4B8D">
      <w:pPr>
        <w:spacing w:line="480" w:lineRule="auto"/>
        <w:rPr>
          <w:rFonts w:ascii="Times New Roman" w:hAnsi="Times New Roman" w:cs="Times New Roman"/>
          <w:sz w:val="24"/>
          <w:szCs w:val="24"/>
        </w:rPr>
      </w:pPr>
      <w:r w:rsidRPr="00451B44">
        <w:rPr>
          <w:rFonts w:ascii="Times New Roman" w:hAnsi="Times New Roman" w:cs="Times New Roman"/>
          <w:sz w:val="24"/>
          <w:szCs w:val="24"/>
          <w:lang w:val="en-GB"/>
        </w:rPr>
        <w:t xml:space="preserve">No functional </w:t>
      </w:r>
      <w:r>
        <w:rPr>
          <w:rFonts w:ascii="Times New Roman" w:hAnsi="Times New Roman" w:cs="Times New Roman"/>
          <w:sz w:val="24"/>
          <w:szCs w:val="24"/>
          <w:lang w:val="en-GB"/>
        </w:rPr>
        <w:t>homologs of animal caspases have been</w:t>
      </w:r>
      <w:r w:rsidRPr="00451B44">
        <w:rPr>
          <w:rFonts w:ascii="Times New Roman" w:hAnsi="Times New Roman" w:cs="Times New Roman"/>
          <w:sz w:val="24"/>
          <w:szCs w:val="24"/>
          <w:lang w:val="en-GB"/>
        </w:rPr>
        <w:t xml:space="preserve"> identified in plants, but caspase-like activit</w:t>
      </w:r>
      <w:r>
        <w:rPr>
          <w:rFonts w:ascii="Times New Roman" w:hAnsi="Times New Roman" w:cs="Times New Roman"/>
          <w:sz w:val="24"/>
          <w:szCs w:val="24"/>
          <w:lang w:val="en-GB"/>
        </w:rPr>
        <w:t>y has been</w:t>
      </w:r>
      <w:r w:rsidRPr="00451B44">
        <w:rPr>
          <w:rFonts w:ascii="Times New Roman" w:hAnsi="Times New Roman" w:cs="Times New Roman"/>
          <w:sz w:val="24"/>
          <w:szCs w:val="24"/>
          <w:lang w:val="en-GB"/>
        </w:rPr>
        <w:t xml:space="preserve"> observed during numerous PCD events in plants (del Pozo and Lam, 1998, Watanabe and Lam, 2004). Application of synthetic fluorogenic caspase substrates and </w:t>
      </w:r>
      <w:r>
        <w:rPr>
          <w:rFonts w:ascii="Times New Roman" w:hAnsi="Times New Roman" w:cs="Times New Roman"/>
          <w:sz w:val="24"/>
          <w:szCs w:val="24"/>
          <w:lang w:val="en-GB"/>
        </w:rPr>
        <w:t xml:space="preserve">caspase inhibitors is </w:t>
      </w:r>
      <w:r w:rsidRPr="00451B44">
        <w:rPr>
          <w:rFonts w:ascii="Times New Roman" w:hAnsi="Times New Roman" w:cs="Times New Roman"/>
          <w:sz w:val="24"/>
          <w:szCs w:val="24"/>
          <w:lang w:val="en-GB"/>
        </w:rPr>
        <w:t xml:space="preserve">often employed in PCD studies in plant systems. For example, a synthetic tetrapeptide fluorogenic substrate of animal caspase-1 </w:t>
      </w:r>
      <w:r>
        <w:rPr>
          <w:rFonts w:ascii="Times New Roman" w:hAnsi="Times New Roman" w:cs="Times New Roman"/>
          <w:sz w:val="24"/>
          <w:szCs w:val="24"/>
        </w:rPr>
        <w:t>(Ac-YVAD-AMC) has been</w:t>
      </w:r>
      <w:r w:rsidRPr="00451B44">
        <w:rPr>
          <w:rFonts w:ascii="Times New Roman" w:hAnsi="Times New Roman" w:cs="Times New Roman"/>
          <w:sz w:val="24"/>
          <w:szCs w:val="24"/>
        </w:rPr>
        <w:t xml:space="preserve"> used to demonstrate caspase-like activity of extracts from TMV-infected tobacco leaves, which was inhibited by caspase-specific inhibitors (Ac-YVAD-CMK, Ac-DEVD-CHO and Ac-DEVD-FMK) but not significantly affected by the addition of other unrelated protease inhibitors </w:t>
      </w:r>
      <w:r w:rsidRPr="00451B44">
        <w:rPr>
          <w:rFonts w:ascii="Times New Roman" w:hAnsi="Times New Roman" w:cs="Times New Roman"/>
          <w:noProof/>
          <w:sz w:val="24"/>
          <w:szCs w:val="24"/>
        </w:rPr>
        <w:t>(del Pozo and Lam, 1998)</w:t>
      </w:r>
      <w:r w:rsidRPr="00451B44">
        <w:rPr>
          <w:rFonts w:ascii="Times New Roman" w:hAnsi="Times New Roman" w:cs="Times New Roman"/>
          <w:sz w:val="24"/>
          <w:szCs w:val="24"/>
        </w:rPr>
        <w:t xml:space="preserve">. No activation of YVAD-specific protease activity was detected in mock-inoculated plants or plants unable to trigger the HR. </w:t>
      </w:r>
    </w:p>
    <w:p w:rsidR="004B4E5E" w:rsidRPr="00451B44" w:rsidRDefault="004B4E5E" w:rsidP="002B4B8D">
      <w:pPr>
        <w:spacing w:line="480" w:lineRule="auto"/>
        <w:rPr>
          <w:rFonts w:ascii="Times New Roman" w:hAnsi="Times New Roman" w:cs="Times New Roman"/>
          <w:sz w:val="24"/>
          <w:szCs w:val="24"/>
        </w:rPr>
      </w:pPr>
      <w:r w:rsidRPr="00451B44">
        <w:rPr>
          <w:rFonts w:ascii="Times New Roman" w:hAnsi="Times New Roman" w:cs="Times New Roman"/>
          <w:sz w:val="24"/>
          <w:szCs w:val="24"/>
        </w:rPr>
        <w:t>Fluorescence resonance energy transfer (FRET) microscopy is a powerful modern</w:t>
      </w:r>
      <w:r>
        <w:rPr>
          <w:rFonts w:ascii="Times New Roman" w:hAnsi="Times New Roman" w:cs="Times New Roman"/>
          <w:sz w:val="24"/>
          <w:szCs w:val="24"/>
        </w:rPr>
        <w:t xml:space="preserve"> technique which can be used</w:t>
      </w:r>
      <w:r w:rsidRPr="00451B44">
        <w:rPr>
          <w:rFonts w:ascii="Times New Roman" w:hAnsi="Times New Roman" w:cs="Times New Roman"/>
          <w:sz w:val="24"/>
          <w:szCs w:val="24"/>
        </w:rPr>
        <w:t xml:space="preserve"> to monitor activation of caspase-like molecules in real time. FRET is the phenomenon whereby a fluorescent molecule (donor) transfers energy by a non-radiative (through space) mechanism to a neighbouring chromophore (acceptor) </w:t>
      </w:r>
      <w:r w:rsidRPr="00451B44">
        <w:rPr>
          <w:rFonts w:ascii="Times New Roman" w:hAnsi="Times New Roman" w:cs="Times New Roman"/>
          <w:noProof/>
          <w:sz w:val="24"/>
          <w:szCs w:val="24"/>
        </w:rPr>
        <w:t>(Gadella Jr</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1999)</w:t>
      </w:r>
      <w:r w:rsidRPr="00451B44">
        <w:rPr>
          <w:rFonts w:ascii="Times New Roman" w:hAnsi="Times New Roman" w:cs="Times New Roman"/>
          <w:sz w:val="24"/>
          <w:szCs w:val="24"/>
        </w:rPr>
        <w:t xml:space="preserve">. This energy transfer occurs when the absorption spectrum of the acceptor chromophore overlaps with the fluorescence emission spectrum of the donor and generally if the distance between two chromophores is &lt; 100 Å. As a result </w:t>
      </w:r>
      <w:r>
        <w:rPr>
          <w:rFonts w:ascii="Times New Roman" w:hAnsi="Times New Roman" w:cs="Times New Roman"/>
          <w:sz w:val="24"/>
          <w:szCs w:val="24"/>
        </w:rPr>
        <w:t xml:space="preserve">the </w:t>
      </w:r>
      <w:r w:rsidRPr="00451B44">
        <w:rPr>
          <w:rFonts w:ascii="Times New Roman" w:hAnsi="Times New Roman" w:cs="Times New Roman"/>
          <w:sz w:val="24"/>
          <w:szCs w:val="24"/>
        </w:rPr>
        <w:t xml:space="preserve">donor fluorophore’s fluorescence intensity decreases and if the acceptor chromophore is also a fluorophore, FRET increases its fluorescence. Useful for spatio-temporal caspase activity studies, FRET occurs when two proteins fluorescing at different wavelengths (donor and acceptor) are linked together and when they are separated by linker’s proteolytic cleavage, no FRET is detected. Indeed this technology was used to monitor dynamics and localisation of caspase activation in HeLa cells </w:t>
      </w:r>
      <w:r w:rsidRPr="00451B44">
        <w:rPr>
          <w:rFonts w:ascii="Times New Roman" w:hAnsi="Times New Roman" w:cs="Times New Roman"/>
          <w:noProof/>
          <w:sz w:val="24"/>
          <w:szCs w:val="24"/>
        </w:rPr>
        <w:t>(Takemoto</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2003)</w:t>
      </w:r>
      <w:r w:rsidRPr="00451B44">
        <w:rPr>
          <w:rFonts w:ascii="Times New Roman" w:hAnsi="Times New Roman" w:cs="Times New Roman"/>
          <w:sz w:val="24"/>
          <w:szCs w:val="24"/>
        </w:rPr>
        <w:t xml:space="preserve">. Recently, FRET was also employed to study PCD in plant cells </w:t>
      </w:r>
      <w:r w:rsidRPr="00451B44">
        <w:rPr>
          <w:rFonts w:ascii="Times New Roman" w:hAnsi="Times New Roman" w:cs="Times New Roman"/>
          <w:noProof/>
          <w:sz w:val="24"/>
          <w:szCs w:val="24"/>
        </w:rPr>
        <w:t>(Zhang</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2009)</w:t>
      </w:r>
      <w:r w:rsidRPr="00451B44">
        <w:rPr>
          <w:rFonts w:ascii="Times New Roman" w:hAnsi="Times New Roman" w:cs="Times New Roman"/>
          <w:sz w:val="24"/>
          <w:szCs w:val="24"/>
        </w:rPr>
        <w:t xml:space="preserve">. </w:t>
      </w:r>
      <w:r w:rsidRPr="00451B44">
        <w:rPr>
          <w:rFonts w:ascii="Times New Roman" w:hAnsi="Times New Roman" w:cs="Times New Roman"/>
          <w:i/>
          <w:iCs/>
          <w:sz w:val="24"/>
          <w:szCs w:val="24"/>
        </w:rPr>
        <w:t>Arabidopsis</w:t>
      </w:r>
      <w:r w:rsidRPr="00451B44">
        <w:rPr>
          <w:rFonts w:ascii="Times New Roman" w:hAnsi="Times New Roman" w:cs="Times New Roman"/>
          <w:sz w:val="24"/>
          <w:szCs w:val="24"/>
        </w:rPr>
        <w:t xml:space="preserve"> protoplasts were transf</w:t>
      </w:r>
      <w:r>
        <w:rPr>
          <w:rFonts w:ascii="Times New Roman" w:hAnsi="Times New Roman" w:cs="Times New Roman"/>
          <w:sz w:val="24"/>
          <w:szCs w:val="24"/>
        </w:rPr>
        <w:t>ormed</w:t>
      </w:r>
      <w:r w:rsidRPr="00451B44">
        <w:rPr>
          <w:rFonts w:ascii="Times New Roman" w:hAnsi="Times New Roman" w:cs="Times New Roman"/>
          <w:sz w:val="24"/>
          <w:szCs w:val="24"/>
        </w:rPr>
        <w:t xml:space="preserve"> with recombinant substrate - enhanced cyan fluorescent protein (ECFP) linked by a peptide possessing the caspase-3 cleavage sequence, DEVD to enhanced yellow fluorescent protein (EYFP). PCD was induced by UV-C exposure and a decrease in FRET occurred within one hour in single living protoplasts. When a DEVD (caspase-specific) tag was mutated or a caspase-3 inhibitor was introduced to the system, no UV-C induced changes in FRET were observed, confirming that the method is a specific indicator for caspase-3-like protease activation.</w:t>
      </w:r>
      <w:r>
        <w:rPr>
          <w:rFonts w:ascii="Times New Roman" w:hAnsi="Times New Roman" w:cs="Times New Roman"/>
          <w:sz w:val="24"/>
          <w:szCs w:val="24"/>
        </w:rPr>
        <w:t xml:space="preserve"> </w:t>
      </w:r>
    </w:p>
    <w:p w:rsidR="004B4E5E" w:rsidRPr="001845A5" w:rsidRDefault="004B4E5E" w:rsidP="00035E18">
      <w:pPr>
        <w:pStyle w:val="ListParagraph"/>
        <w:numPr>
          <w:ilvl w:val="0"/>
          <w:numId w:val="32"/>
        </w:numPr>
        <w:autoSpaceDE w:val="0"/>
        <w:autoSpaceDN w:val="0"/>
        <w:adjustRightInd w:val="0"/>
        <w:spacing w:after="0" w:line="480" w:lineRule="auto"/>
        <w:ind w:left="1434" w:hanging="725"/>
        <w:rPr>
          <w:rFonts w:ascii="Times New Roman" w:hAnsi="Times New Roman" w:cs="Times New Roman"/>
          <w:b/>
          <w:bCs/>
          <w:sz w:val="24"/>
          <w:szCs w:val="24"/>
        </w:rPr>
      </w:pPr>
      <w:r w:rsidRPr="001845A5">
        <w:rPr>
          <w:rFonts w:ascii="Times New Roman" w:hAnsi="Times New Roman" w:cs="Times New Roman"/>
          <w:b/>
          <w:bCs/>
          <w:sz w:val="24"/>
          <w:szCs w:val="24"/>
        </w:rPr>
        <w:t>Model systems</w:t>
      </w:r>
    </w:p>
    <w:p w:rsidR="004B4E5E" w:rsidRPr="00451B44" w:rsidRDefault="004B4E5E" w:rsidP="002B4B8D">
      <w:pPr>
        <w:autoSpaceDE w:val="0"/>
        <w:autoSpaceDN w:val="0"/>
        <w:adjustRightInd w:val="0"/>
        <w:spacing w:after="0" w:line="480" w:lineRule="auto"/>
        <w:rPr>
          <w:rFonts w:ascii="Times New Roman" w:hAnsi="Times New Roman" w:cs="Times New Roman"/>
          <w:sz w:val="24"/>
          <w:szCs w:val="24"/>
          <w:lang w:val="en-GB"/>
        </w:rPr>
      </w:pPr>
      <w:r>
        <w:rPr>
          <w:rFonts w:ascii="Times New Roman" w:hAnsi="Times New Roman" w:cs="Times New Roman"/>
          <w:sz w:val="24"/>
          <w:szCs w:val="24"/>
          <w:lang w:val="en-GB"/>
        </w:rPr>
        <w:t>PCD</w:t>
      </w:r>
      <w:r w:rsidRPr="00451B44">
        <w:rPr>
          <w:rFonts w:ascii="Times New Roman" w:hAnsi="Times New Roman" w:cs="Times New Roman"/>
          <w:sz w:val="24"/>
          <w:szCs w:val="24"/>
          <w:lang w:val="en-GB"/>
        </w:rPr>
        <w:t xml:space="preserve"> is an area of intense focus for plant scientists. Studying the control mechanisms of PCD in whole plants is often difficult as death can occur in a small group of inaccessible cells buried in a bulk of surrounding healthy tissue. Therefore, it may be convenient to use </w:t>
      </w:r>
      <w:r w:rsidRPr="00451B44">
        <w:rPr>
          <w:rFonts w:ascii="Times New Roman" w:hAnsi="Times New Roman" w:cs="Times New Roman"/>
          <w:i/>
          <w:iCs/>
          <w:sz w:val="24"/>
          <w:szCs w:val="24"/>
          <w:lang w:val="en-GB"/>
        </w:rPr>
        <w:t>in vitro</w:t>
      </w:r>
      <w:r w:rsidRPr="00451B44">
        <w:rPr>
          <w:rFonts w:ascii="Times New Roman" w:hAnsi="Times New Roman" w:cs="Times New Roman"/>
          <w:sz w:val="24"/>
          <w:szCs w:val="24"/>
          <w:lang w:val="en-GB"/>
        </w:rPr>
        <w:t xml:space="preserve"> cell suspension cultures which are </w:t>
      </w:r>
      <w:r>
        <w:rPr>
          <w:rFonts w:ascii="Times New Roman" w:hAnsi="Times New Roman" w:cs="Times New Roman"/>
          <w:sz w:val="24"/>
          <w:szCs w:val="24"/>
          <w:lang w:val="en-GB"/>
        </w:rPr>
        <w:t xml:space="preserve">often </w:t>
      </w:r>
      <w:r w:rsidRPr="00451B44">
        <w:rPr>
          <w:rFonts w:ascii="Times New Roman" w:hAnsi="Times New Roman" w:cs="Times New Roman"/>
          <w:sz w:val="24"/>
          <w:szCs w:val="24"/>
          <w:lang w:val="en-GB"/>
        </w:rPr>
        <w:t xml:space="preserve">more amenable to investigation than their </w:t>
      </w:r>
      <w:r w:rsidRPr="00451B44">
        <w:rPr>
          <w:rFonts w:ascii="Times New Roman" w:hAnsi="Times New Roman" w:cs="Times New Roman"/>
          <w:i/>
          <w:iCs/>
          <w:sz w:val="24"/>
          <w:szCs w:val="24"/>
          <w:lang w:val="en-GB"/>
        </w:rPr>
        <w:t>in vivo</w:t>
      </w:r>
      <w:r w:rsidRPr="00451B44">
        <w:rPr>
          <w:rFonts w:ascii="Times New Roman" w:hAnsi="Times New Roman" w:cs="Times New Roman"/>
          <w:sz w:val="24"/>
          <w:szCs w:val="24"/>
          <w:lang w:val="en-GB"/>
        </w:rPr>
        <w:t xml:space="preserve"> counterparts. Alternatively, </w:t>
      </w:r>
      <w:r w:rsidRPr="00451B44">
        <w:rPr>
          <w:rFonts w:ascii="Times New Roman" w:hAnsi="Times New Roman" w:cs="Times New Roman"/>
          <w:i/>
          <w:iCs/>
          <w:sz w:val="24"/>
          <w:szCs w:val="24"/>
          <w:lang w:val="en-GB"/>
        </w:rPr>
        <w:t>in vivo</w:t>
      </w:r>
      <w:r w:rsidRPr="00451B44">
        <w:rPr>
          <w:rFonts w:ascii="Times New Roman" w:hAnsi="Times New Roman" w:cs="Times New Roman"/>
          <w:sz w:val="24"/>
          <w:szCs w:val="24"/>
          <w:lang w:val="en-GB"/>
        </w:rPr>
        <w:t xml:space="preserve"> plant PCD studies may be facilitated by focusing on p</w:t>
      </w:r>
      <w:r>
        <w:rPr>
          <w:rFonts w:ascii="Times New Roman" w:hAnsi="Times New Roman" w:cs="Times New Roman"/>
          <w:sz w:val="24"/>
          <w:szCs w:val="24"/>
          <w:lang w:val="en-GB"/>
        </w:rPr>
        <w:t>articular types of cells (Fig. 3</w:t>
      </w:r>
      <w:r w:rsidRPr="00451B44">
        <w:rPr>
          <w:rFonts w:ascii="Times New Roman" w:hAnsi="Times New Roman" w:cs="Times New Roman"/>
          <w:sz w:val="24"/>
          <w:szCs w:val="24"/>
          <w:lang w:val="en-GB"/>
        </w:rPr>
        <w:t xml:space="preserve">). Important criteria exist while assessing the suitability of a particular cell type for use as a model for PCD investigation. For instance, a researcher will require large numbers of these cells and it will be necessary to either easily visualise single cells, or use an alternate method of assessing the death rate. It is also important that potential PCD modulators can be introduced to the system easily. </w:t>
      </w:r>
    </w:p>
    <w:p w:rsidR="004B4E5E" w:rsidRDefault="004B4E5E" w:rsidP="002B4B8D">
      <w:pPr>
        <w:autoSpaceDE w:val="0"/>
        <w:autoSpaceDN w:val="0"/>
        <w:adjustRightInd w:val="0"/>
        <w:spacing w:after="0" w:line="480" w:lineRule="auto"/>
        <w:rPr>
          <w:rFonts w:ascii="Times New Roman" w:hAnsi="Times New Roman" w:cs="Times New Roman"/>
          <w:sz w:val="24"/>
          <w:szCs w:val="24"/>
          <w:lang w:val="en-GB"/>
        </w:rPr>
      </w:pPr>
    </w:p>
    <w:p w:rsidR="004B4E5E" w:rsidRPr="001845A5" w:rsidRDefault="004B4E5E" w:rsidP="002B4B8D">
      <w:pPr>
        <w:autoSpaceDE w:val="0"/>
        <w:autoSpaceDN w:val="0"/>
        <w:adjustRightInd w:val="0"/>
        <w:spacing w:after="0" w:line="480" w:lineRule="auto"/>
        <w:rPr>
          <w:rFonts w:ascii="Times New Roman" w:hAnsi="Times New Roman" w:cs="Times New Roman"/>
          <w:i/>
          <w:iCs/>
          <w:sz w:val="24"/>
          <w:szCs w:val="24"/>
          <w:lang w:val="en-GB"/>
        </w:rPr>
      </w:pPr>
      <w:r w:rsidRPr="001845A5">
        <w:rPr>
          <w:rFonts w:ascii="Times New Roman" w:hAnsi="Times New Roman" w:cs="Times New Roman"/>
          <w:i/>
          <w:iCs/>
          <w:sz w:val="24"/>
          <w:szCs w:val="24"/>
          <w:lang w:val="en-GB"/>
        </w:rPr>
        <w:t>&lt;Fig. 3 near here&gt;</w:t>
      </w:r>
    </w:p>
    <w:p w:rsidR="004B4E5E" w:rsidRPr="00451B44" w:rsidRDefault="004B4E5E" w:rsidP="002B4B8D">
      <w:pPr>
        <w:autoSpaceDE w:val="0"/>
        <w:autoSpaceDN w:val="0"/>
        <w:adjustRightInd w:val="0"/>
        <w:spacing w:after="0" w:line="480" w:lineRule="auto"/>
        <w:rPr>
          <w:rFonts w:ascii="Times New Roman" w:hAnsi="Times New Roman" w:cs="Times New Roman"/>
          <w:sz w:val="24"/>
          <w:szCs w:val="24"/>
        </w:rPr>
      </w:pPr>
    </w:p>
    <w:p w:rsidR="004B4E5E" w:rsidRPr="00451B44" w:rsidRDefault="004B4E5E" w:rsidP="002B4B8D">
      <w:pPr>
        <w:spacing w:line="480" w:lineRule="auto"/>
        <w:rPr>
          <w:rFonts w:ascii="Times New Roman" w:hAnsi="Times New Roman" w:cs="Times New Roman"/>
          <w:sz w:val="24"/>
          <w:szCs w:val="24"/>
        </w:rPr>
      </w:pPr>
      <w:r w:rsidRPr="00451B44">
        <w:rPr>
          <w:rFonts w:ascii="Times New Roman" w:hAnsi="Times New Roman" w:cs="Times New Roman"/>
          <w:sz w:val="24"/>
          <w:szCs w:val="24"/>
        </w:rPr>
        <w:t>Cell suspension cultures are a commonly used model systems for PCD investigation in plants. A cell culture is a homogeneous collection of cells and is easily maintained and propagated. Individual cells are easily accessible and it is feasible to monitor changes in viability and morphology. It is also useful that potential PCD modulators can be added or re</w:t>
      </w:r>
      <w:r>
        <w:rPr>
          <w:rFonts w:ascii="Times New Roman" w:hAnsi="Times New Roman" w:cs="Times New Roman"/>
          <w:sz w:val="24"/>
          <w:szCs w:val="24"/>
        </w:rPr>
        <w:t xml:space="preserve">moved from the culture easily. </w:t>
      </w:r>
      <w:r w:rsidRPr="00451B44">
        <w:rPr>
          <w:rFonts w:ascii="Times New Roman" w:hAnsi="Times New Roman" w:cs="Times New Roman"/>
          <w:sz w:val="24"/>
          <w:szCs w:val="24"/>
        </w:rPr>
        <w:t>Moreover</w:t>
      </w:r>
      <w:r>
        <w:rPr>
          <w:rFonts w:ascii="Times New Roman" w:hAnsi="Times New Roman" w:cs="Times New Roman"/>
          <w:sz w:val="24"/>
          <w:szCs w:val="24"/>
        </w:rPr>
        <w:t>, cell cultures can be used</w:t>
      </w:r>
      <w:r w:rsidRPr="00451B44">
        <w:rPr>
          <w:rFonts w:ascii="Times New Roman" w:hAnsi="Times New Roman" w:cs="Times New Roman"/>
          <w:sz w:val="24"/>
          <w:szCs w:val="24"/>
        </w:rPr>
        <w:t xml:space="preserve"> to study basal cell response</w:t>
      </w:r>
      <w:r>
        <w:rPr>
          <w:rFonts w:ascii="Times New Roman" w:hAnsi="Times New Roman" w:cs="Times New Roman"/>
          <w:sz w:val="24"/>
          <w:szCs w:val="24"/>
        </w:rPr>
        <w:t>s</w:t>
      </w:r>
      <w:r w:rsidRPr="00451B44">
        <w:rPr>
          <w:rFonts w:ascii="Times New Roman" w:hAnsi="Times New Roman" w:cs="Times New Roman"/>
          <w:sz w:val="24"/>
          <w:szCs w:val="24"/>
        </w:rPr>
        <w:t xml:space="preserve"> during </w:t>
      </w:r>
      <w:r>
        <w:rPr>
          <w:rFonts w:ascii="Times New Roman" w:hAnsi="Times New Roman" w:cs="Times New Roman"/>
          <w:sz w:val="24"/>
          <w:szCs w:val="24"/>
        </w:rPr>
        <w:t xml:space="preserve">a </w:t>
      </w:r>
      <w:r w:rsidRPr="00451B44">
        <w:rPr>
          <w:rFonts w:ascii="Times New Roman" w:hAnsi="Times New Roman" w:cs="Times New Roman"/>
          <w:sz w:val="24"/>
          <w:szCs w:val="24"/>
        </w:rPr>
        <w:t>death programme</w:t>
      </w:r>
      <w:r>
        <w:rPr>
          <w:rFonts w:ascii="Times New Roman" w:hAnsi="Times New Roman" w:cs="Times New Roman"/>
          <w:sz w:val="24"/>
          <w:szCs w:val="24"/>
        </w:rPr>
        <w:t xml:space="preserve"> (undifferentiated cultures) or during</w:t>
      </w:r>
      <w:r w:rsidRPr="00451B44">
        <w:rPr>
          <w:rFonts w:ascii="Times New Roman" w:hAnsi="Times New Roman" w:cs="Times New Roman"/>
          <w:sz w:val="24"/>
          <w:szCs w:val="24"/>
        </w:rPr>
        <w:t xml:space="preserve"> speciali</w:t>
      </w:r>
      <w:r>
        <w:rPr>
          <w:rFonts w:ascii="Times New Roman" w:hAnsi="Times New Roman" w:cs="Times New Roman"/>
          <w:sz w:val="24"/>
          <w:szCs w:val="24"/>
        </w:rPr>
        <w:t>sed death programmes such as</w:t>
      </w:r>
      <w:r w:rsidRPr="00451B44">
        <w:rPr>
          <w:rFonts w:ascii="Times New Roman" w:hAnsi="Times New Roman" w:cs="Times New Roman"/>
          <w:sz w:val="24"/>
          <w:szCs w:val="24"/>
        </w:rPr>
        <w:t xml:space="preserve"> embryogenesis, xylogenesis or the hypersensitive response (cultures treated with phytohormones inducing differentiation or challenged with pathogenic elicitor) </w:t>
      </w:r>
      <w:r w:rsidRPr="00451B44">
        <w:rPr>
          <w:rFonts w:ascii="Times New Roman" w:hAnsi="Times New Roman" w:cs="Times New Roman"/>
          <w:noProof/>
          <w:sz w:val="24"/>
          <w:szCs w:val="24"/>
        </w:rPr>
        <w:t>(McCabe and Leaver, 2000)</w:t>
      </w:r>
      <w:r>
        <w:rPr>
          <w:rFonts w:ascii="Times New Roman" w:hAnsi="Times New Roman" w:cs="Times New Roman"/>
          <w:sz w:val="24"/>
          <w:szCs w:val="24"/>
        </w:rPr>
        <w:t xml:space="preserve">. </w:t>
      </w:r>
      <w:r w:rsidRPr="00451B44">
        <w:rPr>
          <w:rFonts w:ascii="Times New Roman" w:hAnsi="Times New Roman" w:cs="Times New Roman"/>
          <w:sz w:val="24"/>
          <w:szCs w:val="24"/>
        </w:rPr>
        <w:t>Sometimes, it is useful to further reduce complexity of cellular environment by establishing single cell or protoplast culture.</w:t>
      </w:r>
    </w:p>
    <w:p w:rsidR="004B4E5E" w:rsidRPr="00451B44" w:rsidRDefault="004B4E5E" w:rsidP="002B4B8D">
      <w:pPr>
        <w:spacing w:line="480" w:lineRule="auto"/>
        <w:rPr>
          <w:rFonts w:ascii="Times New Roman" w:hAnsi="Times New Roman" w:cs="Times New Roman"/>
          <w:sz w:val="24"/>
          <w:szCs w:val="24"/>
        </w:rPr>
      </w:pPr>
      <w:r>
        <w:rPr>
          <w:rFonts w:ascii="Times New Roman" w:hAnsi="Times New Roman" w:cs="Times New Roman"/>
          <w:sz w:val="24"/>
          <w:szCs w:val="24"/>
        </w:rPr>
        <w:t>C</w:t>
      </w:r>
      <w:r w:rsidRPr="00451B44">
        <w:rPr>
          <w:rFonts w:ascii="Times New Roman" w:hAnsi="Times New Roman" w:cs="Times New Roman"/>
          <w:sz w:val="24"/>
          <w:szCs w:val="24"/>
        </w:rPr>
        <w:t>ell</w:t>
      </w:r>
      <w:r>
        <w:rPr>
          <w:rFonts w:ascii="Times New Roman" w:hAnsi="Times New Roman" w:cs="Times New Roman"/>
          <w:sz w:val="24"/>
          <w:szCs w:val="24"/>
        </w:rPr>
        <w:t xml:space="preserve"> cultures of</w:t>
      </w:r>
      <w:r w:rsidRPr="00451B44">
        <w:rPr>
          <w:rFonts w:ascii="Times New Roman" w:hAnsi="Times New Roman" w:cs="Times New Roman"/>
          <w:sz w:val="24"/>
          <w:szCs w:val="24"/>
        </w:rPr>
        <w:t xml:space="preserve"> a number of plant species have been used</w:t>
      </w:r>
      <w:r>
        <w:rPr>
          <w:rFonts w:ascii="Times New Roman" w:hAnsi="Times New Roman" w:cs="Times New Roman"/>
          <w:sz w:val="24"/>
          <w:szCs w:val="24"/>
        </w:rPr>
        <w:t xml:space="preserve"> to investigate PCD in a</w:t>
      </w:r>
      <w:r w:rsidRPr="00451B44">
        <w:rPr>
          <w:rFonts w:ascii="Times New Roman" w:hAnsi="Times New Roman" w:cs="Times New Roman"/>
          <w:sz w:val="24"/>
          <w:szCs w:val="24"/>
        </w:rPr>
        <w:t xml:space="preserve"> </w:t>
      </w:r>
      <w:r>
        <w:rPr>
          <w:rFonts w:ascii="Times New Roman" w:hAnsi="Times New Roman" w:cs="Times New Roman"/>
          <w:sz w:val="24"/>
          <w:szCs w:val="24"/>
        </w:rPr>
        <w:t xml:space="preserve">range of </w:t>
      </w:r>
      <w:r w:rsidRPr="00451B44">
        <w:rPr>
          <w:rFonts w:ascii="Times New Roman" w:hAnsi="Times New Roman" w:cs="Times New Roman"/>
          <w:sz w:val="24"/>
          <w:szCs w:val="24"/>
        </w:rPr>
        <w:t>studies</w:t>
      </w:r>
      <w:r>
        <w:rPr>
          <w:rFonts w:ascii="Times New Roman" w:hAnsi="Times New Roman" w:cs="Times New Roman"/>
          <w:sz w:val="24"/>
          <w:szCs w:val="24"/>
        </w:rPr>
        <w:t xml:space="preserve"> (reviewed by McCabe and Leaver,</w:t>
      </w:r>
      <w:r w:rsidRPr="00451B44">
        <w:rPr>
          <w:rFonts w:ascii="Times New Roman" w:hAnsi="Times New Roman" w:cs="Times New Roman"/>
          <w:sz w:val="24"/>
          <w:szCs w:val="24"/>
        </w:rPr>
        <w:t xml:space="preserve"> </w:t>
      </w:r>
      <w:r>
        <w:rPr>
          <w:rFonts w:ascii="Times New Roman" w:hAnsi="Times New Roman" w:cs="Times New Roman"/>
          <w:sz w:val="24"/>
          <w:szCs w:val="24"/>
        </w:rPr>
        <w:t>2000)</w:t>
      </w:r>
      <w:r w:rsidRPr="00451B44">
        <w:rPr>
          <w:rFonts w:ascii="Times New Roman" w:hAnsi="Times New Roman" w:cs="Times New Roman"/>
          <w:sz w:val="24"/>
          <w:szCs w:val="24"/>
        </w:rPr>
        <w:t xml:space="preserve">. For example, carrot cell suspension cultures have been used to investigate the presence of cell survival signals </w:t>
      </w:r>
      <w:r w:rsidRPr="00451B44">
        <w:rPr>
          <w:rFonts w:ascii="Times New Roman" w:hAnsi="Times New Roman" w:cs="Times New Roman"/>
          <w:noProof/>
          <w:sz w:val="24"/>
          <w:szCs w:val="24"/>
        </w:rPr>
        <w:t>(McCabe</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1997a)</w:t>
      </w:r>
      <w:r w:rsidRPr="00451B44">
        <w:rPr>
          <w:rFonts w:ascii="Times New Roman" w:hAnsi="Times New Roman" w:cs="Times New Roman"/>
          <w:sz w:val="24"/>
          <w:szCs w:val="24"/>
        </w:rPr>
        <w:t xml:space="preserve">, while the role of hydrogen peroxide on PCD induction has been studied in </w:t>
      </w:r>
      <w:r w:rsidRPr="00451B44">
        <w:rPr>
          <w:rFonts w:ascii="Times New Roman" w:hAnsi="Times New Roman" w:cs="Times New Roman"/>
          <w:i/>
          <w:iCs/>
          <w:sz w:val="24"/>
          <w:szCs w:val="24"/>
        </w:rPr>
        <w:t>Arabidopsis</w:t>
      </w:r>
      <w:r w:rsidRPr="00451B44">
        <w:rPr>
          <w:rFonts w:ascii="Times New Roman" w:hAnsi="Times New Roman" w:cs="Times New Roman"/>
          <w:sz w:val="24"/>
          <w:szCs w:val="24"/>
        </w:rPr>
        <w:t xml:space="preserve"> </w:t>
      </w:r>
      <w:r w:rsidRPr="00451B44">
        <w:rPr>
          <w:rFonts w:ascii="Times New Roman" w:hAnsi="Times New Roman" w:cs="Times New Roman"/>
          <w:noProof/>
          <w:sz w:val="24"/>
          <w:szCs w:val="24"/>
        </w:rPr>
        <w:t>(Desikan</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2000)</w:t>
      </w:r>
      <w:r w:rsidRPr="00451B44">
        <w:rPr>
          <w:rFonts w:ascii="Times New Roman" w:hAnsi="Times New Roman" w:cs="Times New Roman"/>
          <w:sz w:val="24"/>
          <w:szCs w:val="24"/>
        </w:rPr>
        <w:t xml:space="preserve">, </w:t>
      </w:r>
      <w:r w:rsidRPr="00451B44">
        <w:rPr>
          <w:rFonts w:ascii="Times New Roman" w:hAnsi="Times New Roman" w:cs="Times New Roman"/>
          <w:i/>
          <w:iCs/>
          <w:sz w:val="24"/>
          <w:szCs w:val="24"/>
        </w:rPr>
        <w:t>Glycine max</w:t>
      </w:r>
      <w:r w:rsidRPr="00451B44">
        <w:rPr>
          <w:rFonts w:ascii="Times New Roman" w:hAnsi="Times New Roman" w:cs="Times New Roman"/>
          <w:sz w:val="24"/>
          <w:szCs w:val="24"/>
        </w:rPr>
        <w:t xml:space="preserve"> </w:t>
      </w:r>
      <w:r w:rsidRPr="00451B44">
        <w:rPr>
          <w:rFonts w:ascii="Times New Roman" w:hAnsi="Times New Roman" w:cs="Times New Roman"/>
          <w:noProof/>
          <w:sz w:val="24"/>
          <w:szCs w:val="24"/>
        </w:rPr>
        <w:t>(Levine</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1996)</w:t>
      </w:r>
      <w:r w:rsidRPr="00451B44">
        <w:rPr>
          <w:rFonts w:ascii="Times New Roman" w:hAnsi="Times New Roman" w:cs="Times New Roman"/>
          <w:sz w:val="24"/>
          <w:szCs w:val="24"/>
        </w:rPr>
        <w:t xml:space="preserve"> and </w:t>
      </w:r>
      <w:r>
        <w:rPr>
          <w:rFonts w:ascii="Times New Roman" w:hAnsi="Times New Roman" w:cs="Times New Roman"/>
          <w:i/>
          <w:iCs/>
          <w:sz w:val="24"/>
          <w:szCs w:val="24"/>
        </w:rPr>
        <w:t>N.</w:t>
      </w:r>
      <w:r w:rsidRPr="00451B44">
        <w:rPr>
          <w:rFonts w:ascii="Times New Roman" w:hAnsi="Times New Roman" w:cs="Times New Roman"/>
          <w:i/>
          <w:iCs/>
          <w:sz w:val="24"/>
          <w:szCs w:val="24"/>
        </w:rPr>
        <w:t xml:space="preserve"> tabacum</w:t>
      </w:r>
      <w:r w:rsidRPr="00451B44">
        <w:rPr>
          <w:rFonts w:ascii="Times New Roman" w:hAnsi="Times New Roman" w:cs="Times New Roman"/>
          <w:sz w:val="24"/>
          <w:szCs w:val="24"/>
        </w:rPr>
        <w:t xml:space="preserve"> </w:t>
      </w:r>
      <w:r w:rsidRPr="00451B44">
        <w:rPr>
          <w:rFonts w:ascii="Times New Roman" w:hAnsi="Times New Roman" w:cs="Times New Roman"/>
          <w:noProof/>
          <w:sz w:val="24"/>
          <w:szCs w:val="24"/>
        </w:rPr>
        <w:t>(O'brien</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1998)</w:t>
      </w:r>
      <w:r w:rsidRPr="00451B44">
        <w:rPr>
          <w:rFonts w:ascii="Times New Roman" w:hAnsi="Times New Roman" w:cs="Times New Roman"/>
          <w:sz w:val="24"/>
          <w:szCs w:val="24"/>
        </w:rPr>
        <w:t xml:space="preserve">. A </w:t>
      </w:r>
      <w:r>
        <w:rPr>
          <w:rFonts w:ascii="Times New Roman" w:hAnsi="Times New Roman" w:cs="Times New Roman"/>
          <w:i/>
          <w:iCs/>
          <w:sz w:val="24"/>
          <w:szCs w:val="24"/>
        </w:rPr>
        <w:t>Z.</w:t>
      </w:r>
      <w:r w:rsidRPr="00451B44">
        <w:rPr>
          <w:rFonts w:ascii="Times New Roman" w:hAnsi="Times New Roman" w:cs="Times New Roman"/>
          <w:i/>
          <w:iCs/>
          <w:sz w:val="24"/>
          <w:szCs w:val="24"/>
        </w:rPr>
        <w:t xml:space="preserve"> elegans</w:t>
      </w:r>
      <w:r w:rsidRPr="00451B44">
        <w:rPr>
          <w:rFonts w:ascii="Times New Roman" w:hAnsi="Times New Roman" w:cs="Times New Roman"/>
          <w:sz w:val="24"/>
          <w:szCs w:val="24"/>
        </w:rPr>
        <w:t xml:space="preserve"> cell suspension culture was used in xylogenesis studies </w:t>
      </w:r>
      <w:r w:rsidRPr="00451B44">
        <w:rPr>
          <w:rFonts w:ascii="Times New Roman" w:hAnsi="Times New Roman" w:cs="Times New Roman"/>
          <w:noProof/>
          <w:sz w:val="24"/>
          <w:szCs w:val="24"/>
        </w:rPr>
        <w:t>(Twumasi</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2009)</w:t>
      </w:r>
      <w:r>
        <w:rPr>
          <w:rFonts w:ascii="Times New Roman" w:hAnsi="Times New Roman" w:cs="Times New Roman"/>
          <w:sz w:val="24"/>
          <w:szCs w:val="24"/>
        </w:rPr>
        <w:t xml:space="preserve"> and </w:t>
      </w:r>
      <w:r w:rsidRPr="00451B44">
        <w:rPr>
          <w:rFonts w:ascii="Times New Roman" w:hAnsi="Times New Roman" w:cs="Times New Roman"/>
          <w:sz w:val="24"/>
          <w:szCs w:val="24"/>
        </w:rPr>
        <w:t xml:space="preserve">hypersensitive response elicitors induced defence responses in tobacco cells </w:t>
      </w:r>
      <w:r w:rsidRPr="00451B44">
        <w:rPr>
          <w:rFonts w:ascii="Times New Roman" w:hAnsi="Times New Roman" w:cs="Times New Roman"/>
          <w:noProof/>
          <w:sz w:val="24"/>
          <w:szCs w:val="24"/>
        </w:rPr>
        <w:t>(Wei</w:t>
      </w:r>
      <w:r w:rsidRPr="00451B44">
        <w:rPr>
          <w:rFonts w:ascii="Times New Roman" w:hAnsi="Times New Roman" w:cs="Times New Roman"/>
          <w:i/>
          <w:iCs/>
          <w:noProof/>
          <w:sz w:val="24"/>
          <w:szCs w:val="24"/>
        </w:rPr>
        <w:t xml:space="preserve"> et al.</w:t>
      </w:r>
      <w:r w:rsidRPr="00451B44">
        <w:rPr>
          <w:rFonts w:ascii="Times New Roman" w:hAnsi="Times New Roman" w:cs="Times New Roman"/>
          <w:noProof/>
          <w:sz w:val="24"/>
          <w:szCs w:val="24"/>
        </w:rPr>
        <w:t>, 1992)</w:t>
      </w:r>
      <w:r w:rsidRPr="00451B44">
        <w:rPr>
          <w:rFonts w:ascii="Times New Roman" w:hAnsi="Times New Roman" w:cs="Times New Roman"/>
          <w:sz w:val="24"/>
          <w:szCs w:val="24"/>
        </w:rPr>
        <w:t xml:space="preserve">. However, although cell cultures are very useful </w:t>
      </w:r>
      <w:r w:rsidRPr="00451B44">
        <w:rPr>
          <w:rFonts w:ascii="Times New Roman" w:hAnsi="Times New Roman" w:cs="Times New Roman"/>
          <w:i/>
          <w:iCs/>
          <w:sz w:val="24"/>
          <w:szCs w:val="24"/>
        </w:rPr>
        <w:t xml:space="preserve">in vitro </w:t>
      </w:r>
      <w:r>
        <w:rPr>
          <w:rFonts w:ascii="Times New Roman" w:hAnsi="Times New Roman" w:cs="Times New Roman"/>
          <w:sz w:val="24"/>
          <w:szCs w:val="24"/>
        </w:rPr>
        <w:t>systems for</w:t>
      </w:r>
      <w:r w:rsidRPr="00451B44">
        <w:rPr>
          <w:rFonts w:ascii="Times New Roman" w:hAnsi="Times New Roman" w:cs="Times New Roman"/>
          <w:sz w:val="24"/>
          <w:szCs w:val="24"/>
        </w:rPr>
        <w:t xml:space="preserve"> PCD investigation in plants, </w:t>
      </w:r>
      <w:r>
        <w:rPr>
          <w:rFonts w:ascii="Times New Roman" w:hAnsi="Times New Roman" w:cs="Times New Roman"/>
          <w:sz w:val="24"/>
          <w:szCs w:val="24"/>
        </w:rPr>
        <w:t>they can be</w:t>
      </w:r>
      <w:r w:rsidRPr="00451B44">
        <w:rPr>
          <w:rFonts w:ascii="Times New Roman" w:hAnsi="Times New Roman" w:cs="Times New Roman"/>
          <w:sz w:val="24"/>
          <w:szCs w:val="24"/>
        </w:rPr>
        <w:t xml:space="preserve"> labour intensive and time consuming to establ</w:t>
      </w:r>
      <w:r>
        <w:rPr>
          <w:rFonts w:ascii="Times New Roman" w:hAnsi="Times New Roman" w:cs="Times New Roman"/>
          <w:sz w:val="24"/>
          <w:szCs w:val="24"/>
        </w:rPr>
        <w:t>ish</w:t>
      </w:r>
      <w:r w:rsidRPr="00451B44">
        <w:rPr>
          <w:rFonts w:ascii="Times New Roman" w:hAnsi="Times New Roman" w:cs="Times New Roman"/>
          <w:sz w:val="24"/>
          <w:szCs w:val="24"/>
        </w:rPr>
        <w:t xml:space="preserve">. Recently, a novel </w:t>
      </w:r>
      <w:r w:rsidRPr="00451B44">
        <w:rPr>
          <w:rFonts w:ascii="Times New Roman" w:hAnsi="Times New Roman" w:cs="Times New Roman"/>
          <w:i/>
          <w:iCs/>
          <w:sz w:val="24"/>
          <w:szCs w:val="24"/>
        </w:rPr>
        <w:t>in vivo</w:t>
      </w:r>
      <w:r w:rsidRPr="00451B44">
        <w:rPr>
          <w:rFonts w:ascii="Times New Roman" w:hAnsi="Times New Roman" w:cs="Times New Roman"/>
          <w:sz w:val="24"/>
          <w:szCs w:val="24"/>
        </w:rPr>
        <w:t xml:space="preserve"> assay for determining rates of AL-PCD plants was described by Hogg </w:t>
      </w:r>
      <w:r w:rsidRPr="00451B44">
        <w:rPr>
          <w:rFonts w:ascii="Times New Roman" w:hAnsi="Times New Roman" w:cs="Times New Roman"/>
          <w:i/>
          <w:iCs/>
          <w:sz w:val="24"/>
          <w:szCs w:val="24"/>
        </w:rPr>
        <w:t>et al.</w:t>
      </w:r>
      <w:r w:rsidR="005C674D">
        <w:rPr>
          <w:rFonts w:ascii="Times New Roman" w:hAnsi="Times New Roman" w:cs="Times New Roman"/>
          <w:sz w:val="24"/>
          <w:szCs w:val="24"/>
        </w:rPr>
        <w:t xml:space="preserve"> (in press</w:t>
      </w:r>
      <w:r w:rsidRPr="00451B44">
        <w:rPr>
          <w:rFonts w:ascii="Times New Roman" w:hAnsi="Times New Roman" w:cs="Times New Roman"/>
          <w:sz w:val="24"/>
          <w:szCs w:val="24"/>
        </w:rPr>
        <w:t xml:space="preserve">). The assay is an easy and relatively rapid method for AL-PCD investigation based on observation of apoptotic-like morphological features of dying root hairs following stress treatment. Root hairs are single cells, present in large numbers, easily examined with light microscopy and indeed the AL-PCD phenotype in root hairs is readily identifiable. With the root hair assay, results may be obtained in a shorter time than with suspension cultures. </w:t>
      </w:r>
      <w:r>
        <w:rPr>
          <w:rFonts w:ascii="Times New Roman" w:hAnsi="Times New Roman" w:cs="Times New Roman"/>
          <w:sz w:val="24"/>
          <w:szCs w:val="24"/>
        </w:rPr>
        <w:t xml:space="preserve">The </w:t>
      </w:r>
      <w:r w:rsidRPr="00451B44">
        <w:rPr>
          <w:rFonts w:ascii="Times New Roman" w:hAnsi="Times New Roman" w:cs="Times New Roman"/>
          <w:sz w:val="24"/>
          <w:szCs w:val="24"/>
        </w:rPr>
        <w:t xml:space="preserve">root hair assay was reported to be transferable between plant species (tested on </w:t>
      </w:r>
      <w:r w:rsidRPr="00451B44">
        <w:rPr>
          <w:rFonts w:ascii="Times New Roman" w:hAnsi="Times New Roman" w:cs="Times New Roman"/>
          <w:i/>
          <w:iCs/>
          <w:sz w:val="24"/>
          <w:szCs w:val="24"/>
        </w:rPr>
        <w:t>Arabidopsis</w:t>
      </w:r>
      <w:r w:rsidRPr="00451B44">
        <w:rPr>
          <w:rFonts w:ascii="Times New Roman" w:hAnsi="Times New Roman" w:cs="Times New Roman"/>
          <w:sz w:val="24"/>
          <w:szCs w:val="24"/>
        </w:rPr>
        <w:t xml:space="preserve">, </w:t>
      </w:r>
      <w:r>
        <w:rPr>
          <w:rFonts w:ascii="Times New Roman" w:hAnsi="Times New Roman" w:cs="Times New Roman"/>
          <w:i/>
          <w:iCs/>
          <w:sz w:val="24"/>
          <w:szCs w:val="24"/>
        </w:rPr>
        <w:t>M.</w:t>
      </w:r>
      <w:r w:rsidRPr="00451B44">
        <w:rPr>
          <w:rFonts w:ascii="Times New Roman" w:hAnsi="Times New Roman" w:cs="Times New Roman"/>
          <w:i/>
          <w:iCs/>
          <w:sz w:val="24"/>
          <w:szCs w:val="24"/>
        </w:rPr>
        <w:t xml:space="preserve"> truncatula</w:t>
      </w:r>
      <w:r w:rsidRPr="00451B44">
        <w:rPr>
          <w:rFonts w:ascii="Times New Roman" w:hAnsi="Times New Roman" w:cs="Times New Roman"/>
          <w:sz w:val="24"/>
          <w:szCs w:val="24"/>
        </w:rPr>
        <w:t xml:space="preserve">, </w:t>
      </w:r>
      <w:r>
        <w:rPr>
          <w:rFonts w:ascii="Times New Roman" w:hAnsi="Times New Roman" w:cs="Times New Roman"/>
          <w:i/>
          <w:iCs/>
          <w:sz w:val="24"/>
          <w:szCs w:val="24"/>
        </w:rPr>
        <w:t>Z.</w:t>
      </w:r>
      <w:r w:rsidRPr="00451B44">
        <w:rPr>
          <w:rFonts w:ascii="Times New Roman" w:hAnsi="Times New Roman" w:cs="Times New Roman"/>
          <w:i/>
          <w:iCs/>
          <w:sz w:val="24"/>
          <w:szCs w:val="24"/>
        </w:rPr>
        <w:t xml:space="preserve"> mays</w:t>
      </w:r>
      <w:r w:rsidRPr="00451B44">
        <w:rPr>
          <w:rFonts w:ascii="Times New Roman" w:hAnsi="Times New Roman" w:cs="Times New Roman"/>
          <w:sz w:val="24"/>
          <w:szCs w:val="24"/>
        </w:rPr>
        <w:t xml:space="preserve"> and </w:t>
      </w:r>
      <w:r w:rsidRPr="00451B44">
        <w:rPr>
          <w:rFonts w:ascii="Times New Roman" w:hAnsi="Times New Roman" w:cs="Times New Roman"/>
          <w:i/>
          <w:iCs/>
          <w:sz w:val="24"/>
          <w:szCs w:val="24"/>
        </w:rPr>
        <w:t>Quercus</w:t>
      </w:r>
      <w:r w:rsidRPr="00451B44">
        <w:rPr>
          <w:rFonts w:ascii="Times New Roman" w:hAnsi="Times New Roman" w:cs="Times New Roman"/>
          <w:sz w:val="24"/>
          <w:szCs w:val="24"/>
        </w:rPr>
        <w:t>) and invaluable for determining modulation of AL</w:t>
      </w:r>
      <w:r w:rsidRPr="00451B44">
        <w:rPr>
          <w:rFonts w:ascii="Times New Roman" w:hAnsi="Times New Roman" w:cs="Times New Roman"/>
          <w:sz w:val="24"/>
          <w:szCs w:val="24"/>
        </w:rPr>
        <w:noBreakHyphen/>
        <w:t xml:space="preserve">PCD in mutant/transgenic plant lines. </w:t>
      </w:r>
    </w:p>
    <w:p w:rsidR="004B4E5E" w:rsidRPr="00451B44" w:rsidRDefault="004B4E5E" w:rsidP="002B4B8D">
      <w:pPr>
        <w:spacing w:line="480" w:lineRule="auto"/>
        <w:rPr>
          <w:rFonts w:ascii="Times New Roman" w:hAnsi="Times New Roman" w:cs="Times New Roman"/>
          <w:sz w:val="24"/>
          <w:szCs w:val="24"/>
        </w:rPr>
      </w:pPr>
      <w:r>
        <w:rPr>
          <w:rFonts w:ascii="Times New Roman" w:hAnsi="Times New Roman" w:cs="Times New Roman"/>
          <w:sz w:val="24"/>
          <w:szCs w:val="24"/>
        </w:rPr>
        <w:t>Other models being used</w:t>
      </w:r>
      <w:r w:rsidRPr="00451B44">
        <w:rPr>
          <w:rFonts w:ascii="Times New Roman" w:hAnsi="Times New Roman" w:cs="Times New Roman"/>
          <w:sz w:val="24"/>
          <w:szCs w:val="24"/>
        </w:rPr>
        <w:t xml:space="preserve"> for cell de</w:t>
      </w:r>
      <w:r>
        <w:rPr>
          <w:rFonts w:ascii="Times New Roman" w:hAnsi="Times New Roman" w:cs="Times New Roman"/>
          <w:sz w:val="24"/>
          <w:szCs w:val="24"/>
        </w:rPr>
        <w:t>ath studies in plants or having the</w:t>
      </w:r>
      <w:r w:rsidRPr="00451B44">
        <w:rPr>
          <w:rFonts w:ascii="Times New Roman" w:hAnsi="Times New Roman" w:cs="Times New Roman"/>
          <w:sz w:val="24"/>
          <w:szCs w:val="24"/>
        </w:rPr>
        <w:t xml:space="preserve"> potential for studying plant PCD, which have already </w:t>
      </w:r>
      <w:r>
        <w:rPr>
          <w:rFonts w:ascii="Times New Roman" w:hAnsi="Times New Roman" w:cs="Times New Roman"/>
          <w:sz w:val="24"/>
          <w:szCs w:val="24"/>
        </w:rPr>
        <w:t xml:space="preserve">been </w:t>
      </w:r>
      <w:r w:rsidRPr="00451B44">
        <w:rPr>
          <w:rFonts w:ascii="Times New Roman" w:hAnsi="Times New Roman" w:cs="Times New Roman"/>
          <w:sz w:val="24"/>
          <w:szCs w:val="24"/>
        </w:rPr>
        <w:t xml:space="preserve">described in this review </w:t>
      </w:r>
      <w:r>
        <w:rPr>
          <w:rFonts w:ascii="Times New Roman" w:hAnsi="Times New Roman" w:cs="Times New Roman"/>
          <w:sz w:val="24"/>
          <w:szCs w:val="24"/>
        </w:rPr>
        <w:t xml:space="preserve">and </w:t>
      </w:r>
      <w:r w:rsidRPr="00451B44">
        <w:rPr>
          <w:rFonts w:ascii="Times New Roman" w:hAnsi="Times New Roman" w:cs="Times New Roman"/>
          <w:sz w:val="24"/>
          <w:szCs w:val="24"/>
        </w:rPr>
        <w:t xml:space="preserve">include root cap cells, lace plant, investigation of HR after infiltration with pathogen, trichomes, somatic embryogenesis and leaf epidermal peels. </w:t>
      </w:r>
      <w:r>
        <w:rPr>
          <w:rFonts w:ascii="Times New Roman" w:hAnsi="Times New Roman" w:cs="Times New Roman"/>
          <w:sz w:val="24"/>
          <w:szCs w:val="24"/>
        </w:rPr>
        <w:t>The important features of these systems are summarised in</w:t>
      </w:r>
      <w:r w:rsidRPr="00451B44">
        <w:rPr>
          <w:rFonts w:ascii="Times New Roman" w:hAnsi="Times New Roman" w:cs="Times New Roman"/>
          <w:sz w:val="24"/>
          <w:szCs w:val="24"/>
        </w:rPr>
        <w:t xml:space="preserve"> Table 2.</w:t>
      </w:r>
    </w:p>
    <w:p w:rsidR="004B4E5E" w:rsidRPr="0058325A" w:rsidRDefault="004B4E5E" w:rsidP="002B4B8D">
      <w:pPr>
        <w:spacing w:line="480" w:lineRule="auto"/>
        <w:rPr>
          <w:rFonts w:ascii="Times New Roman" w:hAnsi="Times New Roman" w:cs="Times New Roman"/>
          <w:i/>
          <w:iCs/>
          <w:sz w:val="24"/>
          <w:szCs w:val="24"/>
        </w:rPr>
      </w:pPr>
      <w:r w:rsidRPr="0058325A">
        <w:rPr>
          <w:rFonts w:ascii="Times New Roman" w:hAnsi="Times New Roman" w:cs="Times New Roman"/>
          <w:i/>
          <w:iCs/>
          <w:sz w:val="24"/>
          <w:szCs w:val="24"/>
        </w:rPr>
        <w:t xml:space="preserve">&lt;Table 2 near here&gt; </w:t>
      </w:r>
    </w:p>
    <w:p w:rsidR="004B4E5E" w:rsidRPr="00EB7306" w:rsidRDefault="004B4E5E" w:rsidP="00EB7306">
      <w:pPr>
        <w:pStyle w:val="ListParagraph"/>
        <w:numPr>
          <w:ilvl w:val="0"/>
          <w:numId w:val="24"/>
        </w:numPr>
        <w:autoSpaceDE w:val="0"/>
        <w:autoSpaceDN w:val="0"/>
        <w:adjustRightInd w:val="0"/>
        <w:spacing w:after="0" w:line="480" w:lineRule="auto"/>
        <w:ind w:left="1077" w:hanging="651"/>
        <w:rPr>
          <w:rFonts w:ascii="Times New Roman" w:hAnsi="Times New Roman" w:cs="Times New Roman"/>
          <w:b/>
          <w:bCs/>
          <w:sz w:val="24"/>
          <w:szCs w:val="24"/>
        </w:rPr>
      </w:pPr>
      <w:r w:rsidRPr="001845A5">
        <w:rPr>
          <w:rFonts w:ascii="Times New Roman" w:hAnsi="Times New Roman" w:cs="Times New Roman"/>
          <w:b/>
          <w:bCs/>
          <w:sz w:val="24"/>
          <w:szCs w:val="24"/>
        </w:rPr>
        <w:t xml:space="preserve">Conclusions </w:t>
      </w:r>
    </w:p>
    <w:p w:rsidR="004B4E5E" w:rsidRDefault="004B4E5E" w:rsidP="00EB7306">
      <w:pPr>
        <w:spacing w:line="480" w:lineRule="auto"/>
        <w:rPr>
          <w:rFonts w:ascii="Times New Roman" w:hAnsi="Times New Roman" w:cs="Times New Roman"/>
          <w:sz w:val="24"/>
          <w:szCs w:val="24"/>
        </w:rPr>
      </w:pPr>
      <w:r>
        <w:rPr>
          <w:rFonts w:ascii="Times New Roman" w:hAnsi="Times New Roman" w:cs="Times New Roman"/>
          <w:sz w:val="24"/>
          <w:szCs w:val="24"/>
        </w:rPr>
        <w:t xml:space="preserve">The decision of a cell to undergo PCD is the outcome of a complex signalling process. </w:t>
      </w:r>
      <w:r w:rsidRPr="00451B44">
        <w:rPr>
          <w:rFonts w:ascii="Times New Roman" w:hAnsi="Times New Roman" w:cs="Times New Roman"/>
          <w:sz w:val="24"/>
          <w:szCs w:val="24"/>
        </w:rPr>
        <w:t>Although</w:t>
      </w:r>
      <w:r>
        <w:rPr>
          <w:rFonts w:ascii="Times New Roman" w:hAnsi="Times New Roman" w:cs="Times New Roman"/>
          <w:sz w:val="24"/>
          <w:szCs w:val="24"/>
        </w:rPr>
        <w:t xml:space="preserve"> pathways governing this decision</w:t>
      </w:r>
      <w:r w:rsidRPr="00451B44">
        <w:rPr>
          <w:rFonts w:ascii="Times New Roman" w:hAnsi="Times New Roman" w:cs="Times New Roman"/>
          <w:sz w:val="24"/>
          <w:szCs w:val="24"/>
        </w:rPr>
        <w:t xml:space="preserve"> </w:t>
      </w:r>
      <w:r>
        <w:rPr>
          <w:rFonts w:ascii="Times New Roman" w:hAnsi="Times New Roman" w:cs="Times New Roman"/>
          <w:sz w:val="24"/>
          <w:szCs w:val="24"/>
        </w:rPr>
        <w:t>are less clear for plant than for</w:t>
      </w:r>
      <w:r w:rsidRPr="00451B44">
        <w:rPr>
          <w:rFonts w:ascii="Times New Roman" w:hAnsi="Times New Roman" w:cs="Times New Roman"/>
          <w:sz w:val="24"/>
          <w:szCs w:val="24"/>
        </w:rPr>
        <w:t xml:space="preserve"> animal </w:t>
      </w:r>
      <w:r>
        <w:rPr>
          <w:rFonts w:ascii="Times New Roman" w:hAnsi="Times New Roman" w:cs="Times New Roman"/>
          <w:sz w:val="24"/>
          <w:szCs w:val="24"/>
        </w:rPr>
        <w:t xml:space="preserve">cells, </w:t>
      </w:r>
      <w:r w:rsidRPr="00451B44">
        <w:rPr>
          <w:rFonts w:ascii="Times New Roman" w:hAnsi="Times New Roman" w:cs="Times New Roman"/>
          <w:sz w:val="24"/>
          <w:szCs w:val="24"/>
        </w:rPr>
        <w:t xml:space="preserve">the sequence of events leading to plant PCD </w:t>
      </w:r>
      <w:r>
        <w:rPr>
          <w:rFonts w:ascii="Times New Roman" w:hAnsi="Times New Roman" w:cs="Times New Roman"/>
          <w:sz w:val="24"/>
          <w:szCs w:val="24"/>
        </w:rPr>
        <w:t>is</w:t>
      </w:r>
      <w:r w:rsidRPr="00451B44">
        <w:rPr>
          <w:rFonts w:ascii="Times New Roman" w:hAnsi="Times New Roman" w:cs="Times New Roman"/>
          <w:sz w:val="24"/>
          <w:szCs w:val="24"/>
        </w:rPr>
        <w:t xml:space="preserve"> start</w:t>
      </w:r>
      <w:r>
        <w:rPr>
          <w:rFonts w:ascii="Times New Roman" w:hAnsi="Times New Roman" w:cs="Times New Roman"/>
          <w:sz w:val="24"/>
          <w:szCs w:val="24"/>
        </w:rPr>
        <w:t>ing</w:t>
      </w:r>
      <w:r w:rsidRPr="00451B44">
        <w:rPr>
          <w:rFonts w:ascii="Times New Roman" w:hAnsi="Times New Roman" w:cs="Times New Roman"/>
          <w:sz w:val="24"/>
          <w:szCs w:val="24"/>
        </w:rPr>
        <w:t xml:space="preserve"> to emerge. </w:t>
      </w:r>
      <w:r>
        <w:rPr>
          <w:rFonts w:ascii="Times New Roman" w:hAnsi="Times New Roman" w:cs="Times New Roman"/>
          <w:sz w:val="24"/>
          <w:szCs w:val="24"/>
        </w:rPr>
        <w:t>Through the study of PCD occurrences</w:t>
      </w:r>
      <w:r w:rsidRPr="00451B44">
        <w:rPr>
          <w:rFonts w:ascii="Times New Roman" w:hAnsi="Times New Roman" w:cs="Times New Roman"/>
          <w:sz w:val="24"/>
          <w:szCs w:val="24"/>
        </w:rPr>
        <w:t xml:space="preserve"> throughout </w:t>
      </w:r>
      <w:r>
        <w:rPr>
          <w:rFonts w:ascii="Times New Roman" w:hAnsi="Times New Roman" w:cs="Times New Roman"/>
          <w:sz w:val="24"/>
          <w:szCs w:val="24"/>
        </w:rPr>
        <w:t>the plant life-cycle, a diverse set of c</w:t>
      </w:r>
      <w:r w:rsidRPr="00451B44">
        <w:rPr>
          <w:rFonts w:ascii="Times New Roman" w:hAnsi="Times New Roman" w:cs="Times New Roman"/>
          <w:sz w:val="24"/>
          <w:szCs w:val="24"/>
        </w:rPr>
        <w:t>haracteri</w:t>
      </w:r>
      <w:r>
        <w:rPr>
          <w:rFonts w:ascii="Times New Roman" w:hAnsi="Times New Roman" w:cs="Times New Roman"/>
          <w:sz w:val="24"/>
          <w:szCs w:val="24"/>
        </w:rPr>
        <w:t>stics that specifically define plant PCD have been identified. However, several but not all of these features</w:t>
      </w:r>
      <w:r w:rsidRPr="00451B44">
        <w:rPr>
          <w:rFonts w:ascii="Times New Roman" w:hAnsi="Times New Roman" w:cs="Times New Roman"/>
          <w:sz w:val="24"/>
          <w:szCs w:val="24"/>
        </w:rPr>
        <w:t xml:space="preserve"> </w:t>
      </w:r>
      <w:r>
        <w:rPr>
          <w:rFonts w:ascii="Times New Roman" w:hAnsi="Times New Roman" w:cs="Times New Roman"/>
          <w:sz w:val="24"/>
          <w:szCs w:val="24"/>
        </w:rPr>
        <w:t xml:space="preserve">are shared </w:t>
      </w:r>
      <w:r w:rsidRPr="00451B44">
        <w:rPr>
          <w:rFonts w:ascii="Times New Roman" w:hAnsi="Times New Roman" w:cs="Times New Roman"/>
          <w:sz w:val="24"/>
          <w:szCs w:val="24"/>
        </w:rPr>
        <w:t xml:space="preserve">with animal apoptosis. Unique characters exhibited by </w:t>
      </w:r>
      <w:r>
        <w:rPr>
          <w:rFonts w:ascii="Times New Roman" w:hAnsi="Times New Roman" w:cs="Times New Roman"/>
          <w:sz w:val="24"/>
          <w:szCs w:val="24"/>
        </w:rPr>
        <w:t>separate</w:t>
      </w:r>
      <w:r w:rsidRPr="00451B44">
        <w:rPr>
          <w:rFonts w:ascii="Times New Roman" w:hAnsi="Times New Roman" w:cs="Times New Roman"/>
          <w:sz w:val="24"/>
          <w:szCs w:val="24"/>
        </w:rPr>
        <w:t xml:space="preserve"> PCD events during plant development and </w:t>
      </w:r>
      <w:r>
        <w:rPr>
          <w:rFonts w:ascii="Times New Roman" w:hAnsi="Times New Roman" w:cs="Times New Roman"/>
          <w:sz w:val="24"/>
          <w:szCs w:val="24"/>
        </w:rPr>
        <w:t xml:space="preserve">abiotic </w:t>
      </w:r>
      <w:r w:rsidRPr="00451B44">
        <w:rPr>
          <w:rFonts w:ascii="Times New Roman" w:hAnsi="Times New Roman" w:cs="Times New Roman"/>
          <w:sz w:val="24"/>
          <w:szCs w:val="24"/>
        </w:rPr>
        <w:t>interactions</w:t>
      </w:r>
      <w:r>
        <w:rPr>
          <w:rFonts w:ascii="Times New Roman" w:hAnsi="Times New Roman" w:cs="Times New Roman"/>
          <w:sz w:val="24"/>
          <w:szCs w:val="24"/>
        </w:rPr>
        <w:t>, suggest that several</w:t>
      </w:r>
      <w:r w:rsidRPr="00451B44">
        <w:rPr>
          <w:rFonts w:ascii="Times New Roman" w:hAnsi="Times New Roman" w:cs="Times New Roman"/>
          <w:sz w:val="24"/>
          <w:szCs w:val="24"/>
        </w:rPr>
        <w:t xml:space="preserve"> PCD pathways may operate in plants</w:t>
      </w:r>
      <w:r>
        <w:rPr>
          <w:rFonts w:ascii="Times New Roman" w:hAnsi="Times New Roman" w:cs="Times New Roman"/>
          <w:sz w:val="24"/>
          <w:szCs w:val="24"/>
        </w:rPr>
        <w:t xml:space="preserve"> but extensive overlap between these pathways may exist</w:t>
      </w:r>
      <w:r w:rsidRPr="00451B44">
        <w:rPr>
          <w:rFonts w:ascii="Times New Roman" w:hAnsi="Times New Roman" w:cs="Times New Roman"/>
          <w:sz w:val="24"/>
          <w:szCs w:val="24"/>
        </w:rPr>
        <w:t>.</w:t>
      </w:r>
    </w:p>
    <w:p w:rsidR="004B4E5E" w:rsidRPr="00451B44" w:rsidRDefault="004B4E5E" w:rsidP="00EB7306">
      <w:pPr>
        <w:spacing w:line="480" w:lineRule="auto"/>
        <w:rPr>
          <w:rFonts w:ascii="Times New Roman" w:hAnsi="Times New Roman" w:cs="Times New Roman"/>
          <w:sz w:val="24"/>
          <w:szCs w:val="24"/>
        </w:rPr>
      </w:pPr>
      <w:r>
        <w:rPr>
          <w:rFonts w:ascii="Times New Roman" w:hAnsi="Times New Roman" w:cs="Times New Roman"/>
          <w:sz w:val="24"/>
          <w:szCs w:val="24"/>
        </w:rPr>
        <w:t xml:space="preserve"> To distinguish it from animal PCD, </w:t>
      </w:r>
      <w:r w:rsidRPr="00451B44">
        <w:rPr>
          <w:rFonts w:ascii="Times New Roman" w:hAnsi="Times New Roman" w:cs="Times New Roman"/>
          <w:sz w:val="24"/>
          <w:szCs w:val="24"/>
        </w:rPr>
        <w:t>plant PCD characterised by DNA degradation and condensation of</w:t>
      </w:r>
      <w:r>
        <w:rPr>
          <w:rFonts w:ascii="Times New Roman" w:hAnsi="Times New Roman" w:cs="Times New Roman"/>
          <w:sz w:val="24"/>
          <w:szCs w:val="24"/>
        </w:rPr>
        <w:t xml:space="preserve"> the</w:t>
      </w:r>
      <w:r w:rsidRPr="00451B44">
        <w:rPr>
          <w:rFonts w:ascii="Times New Roman" w:hAnsi="Times New Roman" w:cs="Times New Roman"/>
          <w:sz w:val="24"/>
          <w:szCs w:val="24"/>
        </w:rPr>
        <w:t xml:space="preserve"> prot</w:t>
      </w:r>
      <w:r>
        <w:rPr>
          <w:rFonts w:ascii="Times New Roman" w:hAnsi="Times New Roman" w:cs="Times New Roman"/>
          <w:sz w:val="24"/>
          <w:szCs w:val="24"/>
        </w:rPr>
        <w:t>oplast away from the cell wall has been</w:t>
      </w:r>
      <w:r w:rsidRPr="00451B44">
        <w:rPr>
          <w:rFonts w:ascii="Times New Roman" w:hAnsi="Times New Roman" w:cs="Times New Roman"/>
          <w:sz w:val="24"/>
          <w:szCs w:val="24"/>
        </w:rPr>
        <w:t xml:space="preserve"> defined as AL-PCD</w:t>
      </w:r>
      <w:r>
        <w:rPr>
          <w:rFonts w:ascii="Times New Roman" w:hAnsi="Times New Roman" w:cs="Times New Roman"/>
          <w:sz w:val="24"/>
          <w:szCs w:val="24"/>
        </w:rPr>
        <w:t xml:space="preserve"> </w:t>
      </w:r>
      <w:r w:rsidRPr="00451B44">
        <w:rPr>
          <w:rFonts w:ascii="Times New Roman" w:hAnsi="Times New Roman" w:cs="Times New Roman"/>
          <w:sz w:val="24"/>
          <w:szCs w:val="24"/>
        </w:rPr>
        <w:t>(McCabe and Leaver, 2000, McCabe</w:t>
      </w:r>
      <w:r w:rsidRPr="00451B44">
        <w:rPr>
          <w:rFonts w:ascii="Times New Roman" w:hAnsi="Times New Roman" w:cs="Times New Roman"/>
          <w:i/>
          <w:iCs/>
          <w:sz w:val="24"/>
          <w:szCs w:val="24"/>
        </w:rPr>
        <w:t xml:space="preserve"> et al.</w:t>
      </w:r>
      <w:r w:rsidRPr="00451B44">
        <w:rPr>
          <w:rFonts w:ascii="Times New Roman" w:hAnsi="Times New Roman" w:cs="Times New Roman"/>
          <w:sz w:val="24"/>
          <w:szCs w:val="24"/>
        </w:rPr>
        <w:t>, 1997a, Reape and McCabe, 2008</w:t>
      </w:r>
      <w:r>
        <w:rPr>
          <w:rFonts w:ascii="Times New Roman" w:hAnsi="Times New Roman" w:cs="Times New Roman"/>
          <w:sz w:val="24"/>
          <w:szCs w:val="24"/>
        </w:rPr>
        <w:t xml:space="preserve">, </w:t>
      </w:r>
      <w:r w:rsidRPr="00451B44">
        <w:rPr>
          <w:rFonts w:ascii="Times New Roman" w:hAnsi="Times New Roman" w:cs="Times New Roman"/>
          <w:sz w:val="24"/>
          <w:szCs w:val="24"/>
        </w:rPr>
        <w:t>Reape and McCabe,</w:t>
      </w:r>
      <w:r>
        <w:rPr>
          <w:rFonts w:ascii="Times New Roman" w:hAnsi="Times New Roman" w:cs="Times New Roman"/>
          <w:sz w:val="24"/>
          <w:szCs w:val="24"/>
        </w:rPr>
        <w:t xml:space="preserve"> 2010</w:t>
      </w:r>
      <w:r w:rsidRPr="00451B44">
        <w:rPr>
          <w:rFonts w:ascii="Times New Roman" w:hAnsi="Times New Roman" w:cs="Times New Roman"/>
          <w:sz w:val="24"/>
          <w:szCs w:val="24"/>
        </w:rPr>
        <w:t xml:space="preserve">). </w:t>
      </w:r>
      <w:r>
        <w:rPr>
          <w:rFonts w:ascii="Times New Roman" w:hAnsi="Times New Roman" w:cs="Times New Roman"/>
          <w:sz w:val="24"/>
          <w:szCs w:val="24"/>
        </w:rPr>
        <w:t>Calcium influx has been</w:t>
      </w:r>
      <w:r w:rsidRPr="00451B44">
        <w:rPr>
          <w:rFonts w:ascii="Times New Roman" w:hAnsi="Times New Roman" w:cs="Times New Roman"/>
          <w:sz w:val="24"/>
          <w:szCs w:val="24"/>
        </w:rPr>
        <w:t xml:space="preserve"> identified </w:t>
      </w:r>
      <w:r>
        <w:rPr>
          <w:rFonts w:ascii="Times New Roman" w:hAnsi="Times New Roman" w:cs="Times New Roman"/>
          <w:sz w:val="24"/>
          <w:szCs w:val="24"/>
        </w:rPr>
        <w:t>as</w:t>
      </w:r>
      <w:r w:rsidRPr="00451B44">
        <w:rPr>
          <w:rFonts w:ascii="Times New Roman" w:hAnsi="Times New Roman" w:cs="Times New Roman"/>
          <w:sz w:val="24"/>
          <w:szCs w:val="24"/>
        </w:rPr>
        <w:t xml:space="preserve"> an early event in plant PCD and </w:t>
      </w:r>
      <w:r>
        <w:rPr>
          <w:rFonts w:ascii="Times New Roman" w:hAnsi="Times New Roman" w:cs="Times New Roman"/>
          <w:sz w:val="24"/>
          <w:szCs w:val="24"/>
        </w:rPr>
        <w:t xml:space="preserve">novel research suggests that </w:t>
      </w:r>
      <w:r w:rsidRPr="00451B44">
        <w:rPr>
          <w:rFonts w:ascii="Times New Roman" w:hAnsi="Times New Roman" w:cs="Times New Roman"/>
          <w:sz w:val="24"/>
          <w:szCs w:val="24"/>
        </w:rPr>
        <w:t xml:space="preserve">zinc </w:t>
      </w:r>
      <w:r>
        <w:rPr>
          <w:rFonts w:ascii="Times New Roman" w:hAnsi="Times New Roman" w:cs="Times New Roman"/>
          <w:sz w:val="24"/>
          <w:szCs w:val="24"/>
        </w:rPr>
        <w:t>may also be</w:t>
      </w:r>
      <w:r w:rsidRPr="00451B44">
        <w:rPr>
          <w:rFonts w:ascii="Times New Roman" w:hAnsi="Times New Roman" w:cs="Times New Roman"/>
          <w:sz w:val="24"/>
          <w:szCs w:val="24"/>
        </w:rPr>
        <w:t xml:space="preserve"> involved. </w:t>
      </w:r>
      <w:r>
        <w:rPr>
          <w:rFonts w:ascii="Times New Roman" w:hAnsi="Times New Roman" w:cs="Times New Roman"/>
          <w:sz w:val="24"/>
          <w:szCs w:val="24"/>
        </w:rPr>
        <w:t>U</w:t>
      </w:r>
      <w:r w:rsidRPr="00451B44">
        <w:rPr>
          <w:rFonts w:ascii="Times New Roman" w:hAnsi="Times New Roman" w:cs="Times New Roman"/>
          <w:sz w:val="24"/>
          <w:szCs w:val="24"/>
        </w:rPr>
        <w:t>ndoubtedly</w:t>
      </w:r>
      <w:r>
        <w:rPr>
          <w:rFonts w:ascii="Times New Roman" w:hAnsi="Times New Roman" w:cs="Times New Roman"/>
          <w:sz w:val="24"/>
          <w:szCs w:val="24"/>
        </w:rPr>
        <w:t xml:space="preserve">, </w:t>
      </w:r>
      <w:r w:rsidRPr="00451B44">
        <w:rPr>
          <w:rFonts w:ascii="Times New Roman" w:hAnsi="Times New Roman" w:cs="Times New Roman"/>
          <w:sz w:val="24"/>
          <w:szCs w:val="24"/>
        </w:rPr>
        <w:t>ROS and reactive nitrogen species are</w:t>
      </w:r>
      <w:r>
        <w:rPr>
          <w:rFonts w:ascii="Times New Roman" w:hAnsi="Times New Roman" w:cs="Times New Roman"/>
          <w:sz w:val="24"/>
          <w:szCs w:val="24"/>
        </w:rPr>
        <w:t xml:space="preserve"> not only</w:t>
      </w:r>
      <w:r w:rsidRPr="00451B44">
        <w:rPr>
          <w:rFonts w:ascii="Times New Roman" w:hAnsi="Times New Roman" w:cs="Times New Roman"/>
          <w:sz w:val="24"/>
          <w:szCs w:val="24"/>
        </w:rPr>
        <w:t xml:space="preserve"> molecules </w:t>
      </w:r>
      <w:r>
        <w:rPr>
          <w:rFonts w:ascii="Times New Roman" w:hAnsi="Times New Roman" w:cs="Times New Roman"/>
          <w:sz w:val="24"/>
          <w:szCs w:val="24"/>
        </w:rPr>
        <w:t xml:space="preserve">that cause </w:t>
      </w:r>
      <w:r w:rsidRPr="00451B44">
        <w:rPr>
          <w:rFonts w:ascii="Times New Roman" w:hAnsi="Times New Roman" w:cs="Times New Roman"/>
          <w:sz w:val="24"/>
          <w:szCs w:val="24"/>
        </w:rPr>
        <w:t xml:space="preserve">physicochemical damage, but </w:t>
      </w:r>
      <w:r>
        <w:rPr>
          <w:rFonts w:ascii="Times New Roman" w:hAnsi="Times New Roman" w:cs="Times New Roman"/>
          <w:sz w:val="24"/>
          <w:szCs w:val="24"/>
        </w:rPr>
        <w:t xml:space="preserve">are </w:t>
      </w:r>
      <w:r w:rsidRPr="00451B44">
        <w:rPr>
          <w:rFonts w:ascii="Times New Roman" w:hAnsi="Times New Roman" w:cs="Times New Roman"/>
          <w:sz w:val="24"/>
          <w:szCs w:val="24"/>
        </w:rPr>
        <w:t>also important messengers in cell death signalling. MMP and rele</w:t>
      </w:r>
      <w:r>
        <w:rPr>
          <w:rFonts w:ascii="Times New Roman" w:hAnsi="Times New Roman" w:cs="Times New Roman"/>
          <w:sz w:val="24"/>
          <w:szCs w:val="24"/>
        </w:rPr>
        <w:t xml:space="preserve">ase of apoptogenic proteins </w:t>
      </w:r>
      <w:r w:rsidRPr="00451B44">
        <w:rPr>
          <w:rFonts w:ascii="Times New Roman" w:hAnsi="Times New Roman" w:cs="Times New Roman"/>
          <w:sz w:val="24"/>
          <w:szCs w:val="24"/>
        </w:rPr>
        <w:t xml:space="preserve">play a </w:t>
      </w:r>
      <w:r>
        <w:rPr>
          <w:rFonts w:ascii="Times New Roman" w:hAnsi="Times New Roman" w:cs="Times New Roman"/>
          <w:sz w:val="24"/>
          <w:szCs w:val="24"/>
        </w:rPr>
        <w:t>central</w:t>
      </w:r>
      <w:r w:rsidRPr="00451B44">
        <w:rPr>
          <w:rFonts w:ascii="Times New Roman" w:hAnsi="Times New Roman" w:cs="Times New Roman"/>
          <w:sz w:val="24"/>
          <w:szCs w:val="24"/>
        </w:rPr>
        <w:t xml:space="preserve"> role in plant PCD and meta</w:t>
      </w:r>
      <w:r>
        <w:rPr>
          <w:rFonts w:ascii="Times New Roman" w:hAnsi="Times New Roman" w:cs="Times New Roman"/>
          <w:sz w:val="24"/>
          <w:szCs w:val="24"/>
        </w:rPr>
        <w:t>caspases/caspase like activity</w:t>
      </w:r>
      <w:r w:rsidRPr="00451B44">
        <w:rPr>
          <w:rFonts w:ascii="Times New Roman" w:hAnsi="Times New Roman" w:cs="Times New Roman"/>
          <w:sz w:val="24"/>
          <w:szCs w:val="24"/>
        </w:rPr>
        <w:t xml:space="preserve"> were found to be the executors of cellular </w:t>
      </w:r>
      <w:r>
        <w:rPr>
          <w:rFonts w:ascii="Times New Roman" w:hAnsi="Times New Roman" w:cs="Times New Roman"/>
          <w:sz w:val="24"/>
          <w:szCs w:val="24"/>
        </w:rPr>
        <w:t xml:space="preserve">disassembly. </w:t>
      </w:r>
      <w:r w:rsidRPr="00451B44">
        <w:rPr>
          <w:rFonts w:ascii="Times New Roman" w:hAnsi="Times New Roman" w:cs="Times New Roman"/>
          <w:sz w:val="24"/>
          <w:szCs w:val="24"/>
        </w:rPr>
        <w:t>Recently, the connection between sphingolipid metabolism and PCD regulation has become more evident and the chloroplast has also emerged as having a potential important role in plant cell</w:t>
      </w:r>
      <w:r>
        <w:rPr>
          <w:rFonts w:ascii="Times New Roman" w:hAnsi="Times New Roman" w:cs="Times New Roman"/>
          <w:sz w:val="24"/>
          <w:szCs w:val="24"/>
        </w:rPr>
        <w:t xml:space="preserve"> death control. In addition, co</w:t>
      </w:r>
      <w:r w:rsidRPr="00451B44">
        <w:rPr>
          <w:rFonts w:ascii="Times New Roman" w:hAnsi="Times New Roman" w:cs="Times New Roman"/>
          <w:sz w:val="24"/>
          <w:szCs w:val="24"/>
        </w:rPr>
        <w:t xml:space="preserve">mponents of the endomembrane system </w:t>
      </w:r>
      <w:r>
        <w:rPr>
          <w:rFonts w:ascii="Times New Roman" w:hAnsi="Times New Roman" w:cs="Times New Roman"/>
          <w:sz w:val="24"/>
          <w:szCs w:val="24"/>
        </w:rPr>
        <w:t xml:space="preserve">have been </w:t>
      </w:r>
      <w:r w:rsidRPr="00451B44">
        <w:rPr>
          <w:rFonts w:ascii="Times New Roman" w:hAnsi="Times New Roman" w:cs="Times New Roman"/>
          <w:sz w:val="24"/>
          <w:szCs w:val="24"/>
        </w:rPr>
        <w:t>suggested to create a complex regulatory network</w:t>
      </w:r>
      <w:r>
        <w:rPr>
          <w:rFonts w:ascii="Times New Roman" w:hAnsi="Times New Roman" w:cs="Times New Roman"/>
          <w:sz w:val="24"/>
          <w:szCs w:val="24"/>
        </w:rPr>
        <w:t xml:space="preserve"> involved in plant PCD control. </w:t>
      </w:r>
      <w:r w:rsidRPr="00451B44">
        <w:rPr>
          <w:rFonts w:ascii="Times New Roman" w:hAnsi="Times New Roman" w:cs="Times New Roman"/>
          <w:sz w:val="24"/>
          <w:szCs w:val="24"/>
        </w:rPr>
        <w:t xml:space="preserve">It is expected that </w:t>
      </w:r>
      <w:r>
        <w:rPr>
          <w:rFonts w:ascii="Times New Roman" w:hAnsi="Times New Roman" w:cs="Times New Roman"/>
          <w:sz w:val="24"/>
          <w:szCs w:val="24"/>
        </w:rPr>
        <w:t>future advances</w:t>
      </w:r>
      <w:r w:rsidRPr="00451B44">
        <w:rPr>
          <w:rFonts w:ascii="Times New Roman" w:hAnsi="Times New Roman" w:cs="Times New Roman"/>
          <w:sz w:val="24"/>
          <w:szCs w:val="24"/>
        </w:rPr>
        <w:t xml:space="preserve"> in our understanding of</w:t>
      </w:r>
      <w:r>
        <w:rPr>
          <w:rFonts w:ascii="Times New Roman" w:hAnsi="Times New Roman" w:cs="Times New Roman"/>
          <w:sz w:val="24"/>
          <w:szCs w:val="24"/>
        </w:rPr>
        <w:t xml:space="preserve"> plant</w:t>
      </w:r>
      <w:r w:rsidRPr="00451B44">
        <w:rPr>
          <w:rFonts w:ascii="Times New Roman" w:hAnsi="Times New Roman" w:cs="Times New Roman"/>
          <w:sz w:val="24"/>
          <w:szCs w:val="24"/>
        </w:rPr>
        <w:t xml:space="preserve"> PCD regulati</w:t>
      </w:r>
      <w:r>
        <w:rPr>
          <w:rFonts w:ascii="Times New Roman" w:hAnsi="Times New Roman" w:cs="Times New Roman"/>
          <w:sz w:val="24"/>
          <w:szCs w:val="24"/>
        </w:rPr>
        <w:t xml:space="preserve">on will be facilitated </w:t>
      </w:r>
      <w:r w:rsidRPr="00451B44">
        <w:rPr>
          <w:rFonts w:ascii="Times New Roman" w:hAnsi="Times New Roman" w:cs="Times New Roman"/>
          <w:sz w:val="24"/>
          <w:szCs w:val="24"/>
        </w:rPr>
        <w:t xml:space="preserve">by the emergence of novel </w:t>
      </w:r>
      <w:r w:rsidRPr="00451B44">
        <w:rPr>
          <w:rFonts w:ascii="Times New Roman" w:hAnsi="Times New Roman" w:cs="Times New Roman"/>
          <w:i/>
          <w:iCs/>
          <w:sz w:val="24"/>
          <w:szCs w:val="24"/>
        </w:rPr>
        <w:t>in vivo</w:t>
      </w:r>
      <w:r w:rsidRPr="00451B44">
        <w:rPr>
          <w:rFonts w:ascii="Times New Roman" w:hAnsi="Times New Roman" w:cs="Times New Roman"/>
          <w:sz w:val="24"/>
          <w:szCs w:val="24"/>
        </w:rPr>
        <w:t xml:space="preserve"> systems for studying cell d</w:t>
      </w:r>
      <w:r>
        <w:rPr>
          <w:rFonts w:ascii="Times New Roman" w:hAnsi="Times New Roman" w:cs="Times New Roman"/>
          <w:sz w:val="24"/>
          <w:szCs w:val="24"/>
        </w:rPr>
        <w:t>eath</w:t>
      </w:r>
      <w:r w:rsidRPr="00451B44">
        <w:rPr>
          <w:rFonts w:ascii="Times New Roman" w:hAnsi="Times New Roman" w:cs="Times New Roman"/>
          <w:sz w:val="24"/>
          <w:szCs w:val="24"/>
        </w:rPr>
        <w:t xml:space="preserve"> and </w:t>
      </w:r>
      <w:r>
        <w:rPr>
          <w:rFonts w:ascii="Times New Roman" w:hAnsi="Times New Roman" w:cs="Times New Roman"/>
          <w:sz w:val="24"/>
          <w:szCs w:val="24"/>
        </w:rPr>
        <w:t xml:space="preserve">also </w:t>
      </w:r>
      <w:r w:rsidRPr="00451B44">
        <w:rPr>
          <w:rFonts w:ascii="Times New Roman" w:hAnsi="Times New Roman" w:cs="Times New Roman"/>
          <w:sz w:val="24"/>
          <w:szCs w:val="24"/>
        </w:rPr>
        <w:t xml:space="preserve">by further </w:t>
      </w:r>
      <w:r>
        <w:rPr>
          <w:rFonts w:ascii="Times New Roman" w:hAnsi="Times New Roman" w:cs="Times New Roman"/>
          <w:sz w:val="24"/>
          <w:szCs w:val="24"/>
        </w:rPr>
        <w:t>research investigating the role</w:t>
      </w:r>
      <w:r w:rsidRPr="00451B44">
        <w:rPr>
          <w:rFonts w:ascii="Times New Roman" w:hAnsi="Times New Roman" w:cs="Times New Roman"/>
          <w:sz w:val="24"/>
          <w:szCs w:val="24"/>
        </w:rPr>
        <w:t xml:space="preserve"> of both the </w:t>
      </w:r>
      <w:r>
        <w:rPr>
          <w:rFonts w:ascii="Times New Roman" w:hAnsi="Times New Roman" w:cs="Times New Roman"/>
          <w:sz w:val="24"/>
          <w:szCs w:val="24"/>
        </w:rPr>
        <w:t>mitochondria and the chloroplast</w:t>
      </w:r>
      <w:r w:rsidRPr="00451B44">
        <w:rPr>
          <w:rFonts w:ascii="Times New Roman" w:hAnsi="Times New Roman" w:cs="Times New Roman"/>
          <w:sz w:val="24"/>
          <w:szCs w:val="24"/>
        </w:rPr>
        <w:t xml:space="preserve"> in </w:t>
      </w:r>
      <w:r>
        <w:rPr>
          <w:rFonts w:ascii="Times New Roman" w:hAnsi="Times New Roman" w:cs="Times New Roman"/>
          <w:sz w:val="24"/>
          <w:szCs w:val="24"/>
        </w:rPr>
        <w:t xml:space="preserve">the </w:t>
      </w:r>
      <w:r w:rsidRPr="00451B44">
        <w:rPr>
          <w:rFonts w:ascii="Times New Roman" w:hAnsi="Times New Roman" w:cs="Times New Roman"/>
          <w:sz w:val="24"/>
          <w:szCs w:val="24"/>
        </w:rPr>
        <w:t xml:space="preserve">regulation of </w:t>
      </w:r>
      <w:r>
        <w:rPr>
          <w:rFonts w:ascii="Times New Roman" w:hAnsi="Times New Roman" w:cs="Times New Roman"/>
          <w:sz w:val="24"/>
          <w:szCs w:val="24"/>
        </w:rPr>
        <w:t xml:space="preserve">the </w:t>
      </w:r>
      <w:r w:rsidRPr="00451B44">
        <w:rPr>
          <w:rFonts w:ascii="Times New Roman" w:hAnsi="Times New Roman" w:cs="Times New Roman"/>
          <w:sz w:val="24"/>
          <w:szCs w:val="24"/>
        </w:rPr>
        <w:t>delicate cellular balance between death and survival signals.</w:t>
      </w:r>
    </w:p>
    <w:p w:rsidR="008A1688" w:rsidRPr="008A1688" w:rsidRDefault="008A1688" w:rsidP="008A1688">
      <w:pPr>
        <w:rPr>
          <w:rFonts w:ascii="Times New Roman" w:eastAsiaTheme="minorHAnsi" w:hAnsi="Times New Roman" w:cs="Times New Roman"/>
          <w:b/>
          <w:sz w:val="24"/>
          <w:szCs w:val="24"/>
        </w:rPr>
      </w:pPr>
      <w:r w:rsidRPr="008A1688">
        <w:rPr>
          <w:rFonts w:ascii="Times New Roman" w:eastAsiaTheme="minorHAnsi" w:hAnsi="Times New Roman" w:cs="Times New Roman"/>
          <w:b/>
          <w:sz w:val="24"/>
          <w:szCs w:val="24"/>
        </w:rPr>
        <w:t>Acknowledgements</w:t>
      </w:r>
    </w:p>
    <w:p w:rsidR="008A1688" w:rsidRDefault="008A1688" w:rsidP="008A1688">
      <w:pPr>
        <w:spacing w:line="480" w:lineRule="auto"/>
        <w:rPr>
          <w:rFonts w:ascii="Times New Roman" w:eastAsiaTheme="minorHAnsi" w:hAnsi="Times New Roman" w:cs="Times New Roman"/>
          <w:sz w:val="24"/>
          <w:szCs w:val="24"/>
        </w:rPr>
      </w:pPr>
      <w:r w:rsidRPr="008A1688">
        <w:rPr>
          <w:rFonts w:ascii="Times New Roman" w:eastAsiaTheme="minorHAnsi" w:hAnsi="Times New Roman" w:cs="Times New Roman"/>
          <w:sz w:val="24"/>
          <w:szCs w:val="24"/>
        </w:rPr>
        <w:t>We wish to thank Dr. Theresa J. Reape for critical reading.  JK and CTD are funded by The Embark Initiative, a Government of Ireland scholarship, operated by The Irish Research Council for Science, Engineering and Technology.</w:t>
      </w:r>
    </w:p>
    <w:p w:rsidR="00300841" w:rsidRPr="00300841" w:rsidRDefault="00300841" w:rsidP="008A1688">
      <w:pPr>
        <w:spacing w:line="480" w:lineRule="auto"/>
        <w:rPr>
          <w:rFonts w:ascii="Times New Roman" w:eastAsiaTheme="minorHAnsi" w:hAnsi="Times New Roman" w:cs="Times New Roman"/>
          <w:b/>
          <w:sz w:val="24"/>
          <w:szCs w:val="24"/>
        </w:rPr>
      </w:pPr>
    </w:p>
    <w:p w:rsidR="00300841" w:rsidRPr="00300841" w:rsidRDefault="00300841" w:rsidP="008A1688">
      <w:pPr>
        <w:spacing w:line="480" w:lineRule="auto"/>
        <w:rPr>
          <w:rFonts w:ascii="Times New Roman" w:eastAsiaTheme="minorHAnsi" w:hAnsi="Times New Roman" w:cs="Times New Roman"/>
          <w:b/>
          <w:sz w:val="24"/>
          <w:szCs w:val="24"/>
        </w:rPr>
      </w:pPr>
      <w:r w:rsidRPr="00300841">
        <w:rPr>
          <w:rFonts w:ascii="Times New Roman" w:eastAsiaTheme="minorHAnsi" w:hAnsi="Times New Roman" w:cs="Times New Roman"/>
          <w:b/>
          <w:sz w:val="24"/>
          <w:szCs w:val="24"/>
        </w:rPr>
        <w:t>References</w:t>
      </w:r>
    </w:p>
    <w:p w:rsidR="00300841" w:rsidRPr="00300841" w:rsidRDefault="00300841" w:rsidP="00300841">
      <w:pPr>
        <w:spacing w:after="0" w:line="240" w:lineRule="auto"/>
        <w:ind w:left="720" w:hanging="720"/>
        <w:rPr>
          <w:szCs w:val="24"/>
        </w:rPr>
      </w:pPr>
      <w:r w:rsidRPr="00300841">
        <w:rPr>
          <w:szCs w:val="24"/>
        </w:rPr>
        <w:t xml:space="preserve">Abramovitch, R., Kim, Y.-J., Chen, S., Dickman, M. and Martin, G. (2003). </w:t>
      </w:r>
      <w:r w:rsidRPr="00300841">
        <w:rPr>
          <w:i/>
          <w:szCs w:val="24"/>
        </w:rPr>
        <w:t xml:space="preserve">Pseudomonas </w:t>
      </w:r>
      <w:r w:rsidRPr="00300841">
        <w:rPr>
          <w:szCs w:val="24"/>
        </w:rPr>
        <w:t>type III effector AvrPtoB induces plant disease susceptibility by inhibition of host programmed cell death</w:t>
      </w:r>
      <w:r w:rsidRPr="00300841">
        <w:rPr>
          <w:i/>
          <w:szCs w:val="24"/>
        </w:rPr>
        <w:t>.</w:t>
      </w:r>
      <w:r w:rsidRPr="00300841">
        <w:rPr>
          <w:szCs w:val="24"/>
        </w:rPr>
        <w:t xml:space="preserve"> </w:t>
      </w:r>
      <w:r w:rsidRPr="00300841">
        <w:rPr>
          <w:i/>
          <w:szCs w:val="24"/>
        </w:rPr>
        <w:t>The EMBO Journal</w:t>
      </w:r>
      <w:r w:rsidRPr="00300841">
        <w:rPr>
          <w:szCs w:val="24"/>
        </w:rPr>
        <w:t xml:space="preserve">  </w:t>
      </w:r>
      <w:r w:rsidRPr="00300841">
        <w:rPr>
          <w:b/>
          <w:szCs w:val="24"/>
        </w:rPr>
        <w:t>22</w:t>
      </w:r>
      <w:r w:rsidRPr="00300841">
        <w:rPr>
          <w:szCs w:val="24"/>
        </w:rPr>
        <w:t>, 60 - 69.</w:t>
      </w:r>
    </w:p>
    <w:p w:rsidR="00300841" w:rsidRPr="00300841" w:rsidRDefault="00300841" w:rsidP="00300841">
      <w:pPr>
        <w:spacing w:after="0" w:line="240" w:lineRule="auto"/>
        <w:ind w:left="720" w:hanging="720"/>
        <w:rPr>
          <w:szCs w:val="24"/>
        </w:rPr>
      </w:pPr>
      <w:r w:rsidRPr="00300841">
        <w:rPr>
          <w:szCs w:val="24"/>
        </w:rPr>
        <w:t>Abramovitch, R.B., Janjusevic, R., Stebbins, C.E. and Martin, G.B. (2006). Type III effector AvrPtoB requires intrinsic E3 ubiquitin ligase activity to suppress plant cell death and immunity</w:t>
      </w:r>
      <w:r w:rsidRPr="00300841">
        <w:rPr>
          <w:i/>
          <w:szCs w:val="24"/>
        </w:rPr>
        <w:t>.</w:t>
      </w:r>
      <w:r w:rsidRPr="00300841">
        <w:rPr>
          <w:szCs w:val="24"/>
        </w:rPr>
        <w:t xml:space="preserve"> </w:t>
      </w:r>
      <w:r w:rsidRPr="00300841">
        <w:rPr>
          <w:i/>
          <w:szCs w:val="24"/>
        </w:rPr>
        <w:t>Proceedings of the National Academy of Sciences of the United States of America</w:t>
      </w:r>
      <w:r w:rsidRPr="00300841">
        <w:rPr>
          <w:szCs w:val="24"/>
        </w:rPr>
        <w:t xml:space="preserve">  </w:t>
      </w:r>
      <w:r w:rsidRPr="00300841">
        <w:rPr>
          <w:b/>
          <w:szCs w:val="24"/>
        </w:rPr>
        <w:t>103</w:t>
      </w:r>
      <w:r w:rsidRPr="00300841">
        <w:rPr>
          <w:szCs w:val="24"/>
        </w:rPr>
        <w:t>, 2851-2856.</w:t>
      </w:r>
    </w:p>
    <w:p w:rsidR="00300841" w:rsidRPr="00300841" w:rsidRDefault="00300841" w:rsidP="00300841">
      <w:pPr>
        <w:spacing w:after="0" w:line="240" w:lineRule="auto"/>
        <w:ind w:left="720" w:hanging="720"/>
        <w:rPr>
          <w:szCs w:val="24"/>
        </w:rPr>
      </w:pPr>
      <w:r w:rsidRPr="00300841">
        <w:rPr>
          <w:szCs w:val="24"/>
        </w:rPr>
        <w:t>Adrain, C. and Martin, S.J. (2001). The mitochondrial apoptosome: a killer unleashed by the cytochrome seas</w:t>
      </w:r>
      <w:r w:rsidRPr="00300841">
        <w:rPr>
          <w:i/>
          <w:szCs w:val="24"/>
        </w:rPr>
        <w:t>.</w:t>
      </w:r>
      <w:r w:rsidRPr="00300841">
        <w:rPr>
          <w:szCs w:val="24"/>
        </w:rPr>
        <w:t xml:space="preserve"> </w:t>
      </w:r>
      <w:r w:rsidRPr="00300841">
        <w:rPr>
          <w:i/>
          <w:szCs w:val="24"/>
        </w:rPr>
        <w:t>Trends in Biochemical Sciences</w:t>
      </w:r>
      <w:r w:rsidRPr="00300841">
        <w:rPr>
          <w:szCs w:val="24"/>
        </w:rPr>
        <w:t xml:space="preserve">  </w:t>
      </w:r>
      <w:r w:rsidRPr="00300841">
        <w:rPr>
          <w:b/>
          <w:szCs w:val="24"/>
        </w:rPr>
        <w:t>26</w:t>
      </w:r>
      <w:r w:rsidRPr="00300841">
        <w:rPr>
          <w:szCs w:val="24"/>
        </w:rPr>
        <w:t>, 390-397.</w:t>
      </w:r>
    </w:p>
    <w:p w:rsidR="00300841" w:rsidRPr="00300841" w:rsidRDefault="00300841" w:rsidP="00300841">
      <w:pPr>
        <w:spacing w:after="0" w:line="240" w:lineRule="auto"/>
        <w:ind w:left="720" w:hanging="720"/>
        <w:rPr>
          <w:szCs w:val="24"/>
        </w:rPr>
      </w:pPr>
      <w:r w:rsidRPr="00300841">
        <w:rPr>
          <w:szCs w:val="24"/>
        </w:rPr>
        <w:t xml:space="preserve">Affenzeller, M.J., Darehshouri, A., Andosch, A., Lutz, C. and Lutz-Meindl, U. (2009). Salt stress-induced cell death in the unicellular green alga </w:t>
      </w:r>
      <w:r w:rsidRPr="00300841">
        <w:rPr>
          <w:i/>
          <w:szCs w:val="24"/>
        </w:rPr>
        <w:t>Micrasterias denticulata.</w:t>
      </w:r>
      <w:r w:rsidRPr="00300841">
        <w:rPr>
          <w:szCs w:val="24"/>
        </w:rPr>
        <w:t xml:space="preserve"> </w:t>
      </w:r>
      <w:r w:rsidRPr="00300841">
        <w:rPr>
          <w:i/>
          <w:szCs w:val="24"/>
        </w:rPr>
        <w:t>Journal of Experimental Botany</w:t>
      </w:r>
      <w:r w:rsidRPr="00300841">
        <w:rPr>
          <w:szCs w:val="24"/>
        </w:rPr>
        <w:t xml:space="preserve">  </w:t>
      </w:r>
      <w:r w:rsidRPr="00300841">
        <w:rPr>
          <w:b/>
          <w:szCs w:val="24"/>
        </w:rPr>
        <w:t>60</w:t>
      </w:r>
      <w:r w:rsidRPr="00300841">
        <w:rPr>
          <w:szCs w:val="24"/>
        </w:rPr>
        <w:t>, 939-954.</w:t>
      </w:r>
    </w:p>
    <w:p w:rsidR="00300841" w:rsidRPr="00300841" w:rsidRDefault="00300841" w:rsidP="00300841">
      <w:pPr>
        <w:spacing w:after="0" w:line="240" w:lineRule="auto"/>
        <w:ind w:left="720" w:hanging="720"/>
        <w:rPr>
          <w:szCs w:val="24"/>
        </w:rPr>
      </w:pPr>
      <w:r w:rsidRPr="00300841">
        <w:rPr>
          <w:szCs w:val="24"/>
        </w:rPr>
        <w:t xml:space="preserve">Aist, J.R. and Bushnell, W.R. (1991) Invasion of plants by powdery mildew fungi, and cellular mechanisms of resistance, </w:t>
      </w:r>
      <w:r w:rsidRPr="00300841">
        <w:rPr>
          <w:i/>
          <w:szCs w:val="24"/>
        </w:rPr>
        <w:t>In</w:t>
      </w:r>
      <w:r w:rsidRPr="00300841">
        <w:rPr>
          <w:szCs w:val="24"/>
        </w:rPr>
        <w:t xml:space="preserve"> "The fungal spore and disease initiation in plants and animals.</w:t>
      </w:r>
      <w:r w:rsidRPr="00300841">
        <w:rPr>
          <w:i/>
          <w:szCs w:val="24"/>
        </w:rPr>
        <w:t>" (</w:t>
      </w:r>
      <w:r w:rsidRPr="00300841">
        <w:rPr>
          <w:szCs w:val="24"/>
        </w:rPr>
        <w:t>Cole, G.T. and Hoch, H.C.</w:t>
      </w:r>
      <w:r w:rsidRPr="00300841">
        <w:rPr>
          <w:i/>
          <w:szCs w:val="24"/>
        </w:rPr>
        <w:t xml:space="preserve">, </w:t>
      </w:r>
      <w:r w:rsidRPr="00300841">
        <w:rPr>
          <w:szCs w:val="24"/>
        </w:rPr>
        <w:t>eds</w:t>
      </w:r>
      <w:r w:rsidRPr="00300841">
        <w:rPr>
          <w:i/>
          <w:szCs w:val="24"/>
        </w:rPr>
        <w:t xml:space="preserve">),  </w:t>
      </w:r>
      <w:r w:rsidRPr="00300841">
        <w:rPr>
          <w:szCs w:val="24"/>
        </w:rPr>
        <w:t>pp</w:t>
      </w:r>
      <w:r w:rsidRPr="00300841">
        <w:rPr>
          <w:i/>
          <w:szCs w:val="24"/>
        </w:rPr>
        <w:t xml:space="preserve">. </w:t>
      </w:r>
      <w:r w:rsidRPr="00300841">
        <w:rPr>
          <w:szCs w:val="24"/>
        </w:rPr>
        <w:t>321–345</w:t>
      </w:r>
      <w:r w:rsidRPr="00300841">
        <w:rPr>
          <w:i/>
          <w:szCs w:val="24"/>
        </w:rPr>
        <w:t xml:space="preserve">. </w:t>
      </w:r>
      <w:r w:rsidRPr="00300841">
        <w:rPr>
          <w:szCs w:val="24"/>
        </w:rPr>
        <w:t>Plenum press</w:t>
      </w:r>
      <w:r w:rsidRPr="00300841">
        <w:rPr>
          <w:i/>
          <w:szCs w:val="24"/>
        </w:rPr>
        <w:t xml:space="preserve">. </w:t>
      </w:r>
      <w:r w:rsidRPr="00300841">
        <w:rPr>
          <w:szCs w:val="24"/>
        </w:rPr>
        <w:t>New York</w:t>
      </w:r>
    </w:p>
    <w:p w:rsidR="00300841" w:rsidRPr="00300841" w:rsidRDefault="00300841" w:rsidP="00300841">
      <w:pPr>
        <w:spacing w:after="0" w:line="240" w:lineRule="auto"/>
        <w:ind w:left="720" w:hanging="720"/>
        <w:rPr>
          <w:szCs w:val="24"/>
        </w:rPr>
      </w:pPr>
      <w:r w:rsidRPr="00300841">
        <w:rPr>
          <w:szCs w:val="24"/>
        </w:rPr>
        <w:t xml:space="preserve">Alden, K.P., Dhondt-Cordelier, S., McDonald, K.L., Reape., T.J., Ng, C. K. Y. , McCabe, P.F. and Leaver, C.J. (2011) Sphingolipid long chain base phosphates can regulate apoptotic-like programmed cell death in plants. </w:t>
      </w:r>
      <w:r w:rsidRPr="00300841">
        <w:rPr>
          <w:i/>
          <w:szCs w:val="24"/>
        </w:rPr>
        <w:t>Biochemical and Biophysical research Communications</w:t>
      </w:r>
      <w:r w:rsidRPr="00300841">
        <w:rPr>
          <w:szCs w:val="24"/>
        </w:rPr>
        <w:t xml:space="preserve"> </w:t>
      </w:r>
      <w:r w:rsidRPr="00300841">
        <w:rPr>
          <w:b/>
          <w:szCs w:val="24"/>
        </w:rPr>
        <w:t xml:space="preserve">410, </w:t>
      </w:r>
      <w:r w:rsidRPr="00300841">
        <w:rPr>
          <w:szCs w:val="24"/>
        </w:rPr>
        <w:t>574-580.</w:t>
      </w:r>
    </w:p>
    <w:p w:rsidR="00300841" w:rsidRPr="00300841" w:rsidRDefault="00300841" w:rsidP="00300841">
      <w:pPr>
        <w:spacing w:after="0" w:line="240" w:lineRule="auto"/>
        <w:ind w:left="720" w:hanging="720"/>
        <w:rPr>
          <w:szCs w:val="24"/>
        </w:rPr>
      </w:pPr>
      <w:r w:rsidRPr="00300841">
        <w:rPr>
          <w:szCs w:val="24"/>
        </w:rPr>
        <w:t>Alemany, R., van Koppen, C., Danneberg, K., ter Braak, M. and Meyer zu Heringdorf, D. (2007). Regulation and functional roles of sphingosine kinases</w:t>
      </w:r>
      <w:r w:rsidRPr="00300841">
        <w:rPr>
          <w:i/>
          <w:szCs w:val="24"/>
        </w:rPr>
        <w:t>.</w:t>
      </w:r>
      <w:r w:rsidRPr="00300841">
        <w:rPr>
          <w:szCs w:val="24"/>
        </w:rPr>
        <w:t xml:space="preserve"> </w:t>
      </w:r>
      <w:r w:rsidRPr="00300841">
        <w:rPr>
          <w:i/>
          <w:szCs w:val="24"/>
        </w:rPr>
        <w:t>Naunyn-Schmiedeberg's Archives of Pharmacology</w:t>
      </w:r>
      <w:r w:rsidRPr="00300841">
        <w:rPr>
          <w:szCs w:val="24"/>
        </w:rPr>
        <w:t xml:space="preserve">  </w:t>
      </w:r>
      <w:r w:rsidRPr="00300841">
        <w:rPr>
          <w:b/>
          <w:szCs w:val="24"/>
        </w:rPr>
        <w:t>374</w:t>
      </w:r>
      <w:r w:rsidRPr="00300841">
        <w:rPr>
          <w:szCs w:val="24"/>
        </w:rPr>
        <w:t>, 413-428.</w:t>
      </w:r>
    </w:p>
    <w:p w:rsidR="00300841" w:rsidRPr="00300841" w:rsidRDefault="00300841" w:rsidP="00300841">
      <w:pPr>
        <w:spacing w:after="0" w:line="240" w:lineRule="auto"/>
        <w:ind w:left="720" w:hanging="720"/>
        <w:rPr>
          <w:szCs w:val="24"/>
        </w:rPr>
      </w:pPr>
      <w:r w:rsidRPr="00300841">
        <w:rPr>
          <w:szCs w:val="24"/>
        </w:rPr>
        <w:t xml:space="preserve">Ali, R., Ma, W., Lemtiri-Chlieh, F., Tsaltas, D., Leng, Q., Bodman, S. and Berkowitz, G. (2007). Death don't have no mercy and neither does calcium: </w:t>
      </w:r>
      <w:r w:rsidRPr="00300841">
        <w:rPr>
          <w:i/>
          <w:szCs w:val="24"/>
        </w:rPr>
        <w:t>Arabidopsis</w:t>
      </w:r>
      <w:r w:rsidRPr="00300841">
        <w:rPr>
          <w:szCs w:val="24"/>
        </w:rPr>
        <w:t xml:space="preserve"> cyclic nucleotide gated channel 2 and innate immunity</w:t>
      </w:r>
      <w:r w:rsidRPr="00300841">
        <w:rPr>
          <w:i/>
          <w:szCs w:val="24"/>
        </w:rPr>
        <w:t>.</w:t>
      </w:r>
      <w:r w:rsidRPr="00300841">
        <w:rPr>
          <w:szCs w:val="24"/>
        </w:rPr>
        <w:t xml:space="preserve"> </w:t>
      </w:r>
      <w:r w:rsidRPr="00300841">
        <w:rPr>
          <w:i/>
          <w:szCs w:val="24"/>
        </w:rPr>
        <w:t>Plant Cell</w:t>
      </w:r>
      <w:r w:rsidRPr="00300841">
        <w:rPr>
          <w:szCs w:val="24"/>
        </w:rPr>
        <w:t xml:space="preserve"> </w:t>
      </w:r>
      <w:r w:rsidRPr="00300841">
        <w:rPr>
          <w:b/>
          <w:szCs w:val="24"/>
        </w:rPr>
        <w:t>19</w:t>
      </w:r>
      <w:r w:rsidRPr="00300841">
        <w:rPr>
          <w:szCs w:val="24"/>
        </w:rPr>
        <w:t>, 1081 - 1095.</w:t>
      </w:r>
    </w:p>
    <w:p w:rsidR="00300841" w:rsidRPr="00300841" w:rsidRDefault="00300841" w:rsidP="00300841">
      <w:pPr>
        <w:spacing w:after="0" w:line="240" w:lineRule="auto"/>
        <w:ind w:left="720" w:hanging="720"/>
        <w:rPr>
          <w:szCs w:val="24"/>
        </w:rPr>
      </w:pPr>
      <w:r w:rsidRPr="00300841">
        <w:rPr>
          <w:szCs w:val="24"/>
        </w:rPr>
        <w:t>Alvarez, M.a.E., Pennell, R.I., Meijer, P.-J., Ishikawa, A., Dixon, R.A. and Lamb, C. (1998). Reactive Oxygen Intermediates Mediate a Systemic Signal Network in the Establishment of Plant Immunity</w:t>
      </w:r>
      <w:r w:rsidRPr="00300841">
        <w:rPr>
          <w:i/>
          <w:szCs w:val="24"/>
        </w:rPr>
        <w:t>.</w:t>
      </w:r>
      <w:r w:rsidRPr="00300841">
        <w:rPr>
          <w:szCs w:val="24"/>
        </w:rPr>
        <w:t xml:space="preserve"> </w:t>
      </w:r>
      <w:r w:rsidRPr="00300841">
        <w:rPr>
          <w:i/>
          <w:szCs w:val="24"/>
        </w:rPr>
        <w:t>Cell</w:t>
      </w:r>
      <w:r w:rsidRPr="00300841">
        <w:rPr>
          <w:szCs w:val="24"/>
        </w:rPr>
        <w:t xml:space="preserve">  </w:t>
      </w:r>
      <w:r w:rsidRPr="00300841">
        <w:rPr>
          <w:b/>
          <w:szCs w:val="24"/>
        </w:rPr>
        <w:t>92</w:t>
      </w:r>
      <w:r w:rsidRPr="00300841">
        <w:rPr>
          <w:szCs w:val="24"/>
        </w:rPr>
        <w:t>, 773-784.</w:t>
      </w:r>
    </w:p>
    <w:p w:rsidR="00300841" w:rsidRPr="00300841" w:rsidRDefault="00300841" w:rsidP="00300841">
      <w:pPr>
        <w:spacing w:after="0" w:line="240" w:lineRule="auto"/>
        <w:ind w:left="720" w:hanging="720"/>
        <w:rPr>
          <w:szCs w:val="24"/>
        </w:rPr>
      </w:pPr>
      <w:r w:rsidRPr="00300841">
        <w:rPr>
          <w:szCs w:val="24"/>
        </w:rPr>
        <w:t>Alvarez, M.E. (2000). Salicylic acid in the machinery of hypersensitive cell death and disease resistance</w:t>
      </w:r>
      <w:r w:rsidRPr="00300841">
        <w:rPr>
          <w:i/>
          <w:szCs w:val="24"/>
        </w:rPr>
        <w:t>.</w:t>
      </w:r>
      <w:r w:rsidRPr="00300841">
        <w:rPr>
          <w:szCs w:val="24"/>
        </w:rPr>
        <w:t xml:space="preserve"> </w:t>
      </w:r>
      <w:r w:rsidRPr="00300841">
        <w:rPr>
          <w:i/>
          <w:szCs w:val="24"/>
        </w:rPr>
        <w:t>Plant Molecular Biology</w:t>
      </w:r>
      <w:r w:rsidRPr="00300841">
        <w:rPr>
          <w:szCs w:val="24"/>
        </w:rPr>
        <w:t xml:space="preserve">  </w:t>
      </w:r>
      <w:r w:rsidRPr="00300841">
        <w:rPr>
          <w:b/>
          <w:szCs w:val="24"/>
        </w:rPr>
        <w:t>44</w:t>
      </w:r>
      <w:r w:rsidRPr="00300841">
        <w:rPr>
          <w:szCs w:val="24"/>
        </w:rPr>
        <w:t>, 429-442.</w:t>
      </w:r>
    </w:p>
    <w:p w:rsidR="00300841" w:rsidRPr="00300841" w:rsidRDefault="00300841" w:rsidP="00300841">
      <w:pPr>
        <w:spacing w:after="0" w:line="240" w:lineRule="auto"/>
        <w:ind w:left="720" w:hanging="720"/>
        <w:rPr>
          <w:szCs w:val="24"/>
        </w:rPr>
      </w:pPr>
      <w:r w:rsidRPr="00300841">
        <w:rPr>
          <w:szCs w:val="24"/>
        </w:rPr>
        <w:t>Alvim, F.C., Carolino, S.M.B., Cascardo, J.C.M., Nunes, C.C., Martinez, C.A., Otoni, W.C. and Fontes, E.P.B. (2001). Enhanced Accumulation of BiP in Transgenic Plants Confers Tolerance to Water Stress</w:t>
      </w:r>
      <w:r w:rsidRPr="00300841">
        <w:rPr>
          <w:i/>
          <w:szCs w:val="24"/>
        </w:rPr>
        <w:t>.</w:t>
      </w:r>
      <w:r w:rsidRPr="00300841">
        <w:rPr>
          <w:szCs w:val="24"/>
        </w:rPr>
        <w:t xml:space="preserve"> </w:t>
      </w:r>
      <w:r w:rsidRPr="00300841">
        <w:rPr>
          <w:i/>
          <w:szCs w:val="24"/>
        </w:rPr>
        <w:t>Plant Physiology</w:t>
      </w:r>
      <w:r w:rsidRPr="00300841">
        <w:rPr>
          <w:szCs w:val="24"/>
        </w:rPr>
        <w:t xml:space="preserve">  </w:t>
      </w:r>
      <w:r w:rsidRPr="00300841">
        <w:rPr>
          <w:b/>
          <w:szCs w:val="24"/>
        </w:rPr>
        <w:t>126</w:t>
      </w:r>
      <w:r w:rsidRPr="00300841">
        <w:rPr>
          <w:szCs w:val="24"/>
        </w:rPr>
        <w:t>, 1042-1054.</w:t>
      </w:r>
    </w:p>
    <w:p w:rsidR="00300841" w:rsidRPr="00300841" w:rsidRDefault="00300841" w:rsidP="00300841">
      <w:pPr>
        <w:spacing w:after="0" w:line="240" w:lineRule="auto"/>
        <w:ind w:left="720" w:hanging="720"/>
        <w:rPr>
          <w:szCs w:val="24"/>
        </w:rPr>
      </w:pPr>
      <w:r w:rsidRPr="00300841">
        <w:rPr>
          <w:szCs w:val="24"/>
        </w:rPr>
        <w:t>Amirsadeghi, S., Robson, C.A., McDonald, A.E. and Vanlerberghe, G.C. (2006). Changes in Plant Mitochondrial Electron Transport Alter Cellular Levels of Reactive Oxygen Species and Susceptibility to Cell Death Signaling Molecules</w:t>
      </w:r>
      <w:r w:rsidRPr="00300841">
        <w:rPr>
          <w:i/>
          <w:szCs w:val="24"/>
        </w:rPr>
        <w:t>.</w:t>
      </w:r>
      <w:r w:rsidRPr="00300841">
        <w:rPr>
          <w:szCs w:val="24"/>
        </w:rPr>
        <w:t xml:space="preserve"> </w:t>
      </w:r>
      <w:r w:rsidRPr="00300841">
        <w:rPr>
          <w:i/>
          <w:szCs w:val="24"/>
        </w:rPr>
        <w:t>Plant Cell Physiology</w:t>
      </w:r>
      <w:r w:rsidRPr="00300841">
        <w:rPr>
          <w:szCs w:val="24"/>
        </w:rPr>
        <w:t xml:space="preserve">  </w:t>
      </w:r>
      <w:r w:rsidRPr="00300841">
        <w:rPr>
          <w:b/>
          <w:szCs w:val="24"/>
        </w:rPr>
        <w:t>47</w:t>
      </w:r>
      <w:r w:rsidRPr="00300841">
        <w:rPr>
          <w:szCs w:val="24"/>
        </w:rPr>
        <w:t>, 1509-1519.</w:t>
      </w:r>
    </w:p>
    <w:p w:rsidR="00300841" w:rsidRPr="00300841" w:rsidRDefault="00300841" w:rsidP="00300841">
      <w:pPr>
        <w:spacing w:after="0" w:line="240" w:lineRule="auto"/>
        <w:ind w:left="720" w:hanging="720"/>
        <w:rPr>
          <w:szCs w:val="24"/>
        </w:rPr>
      </w:pPr>
      <w:r w:rsidRPr="00300841">
        <w:rPr>
          <w:szCs w:val="24"/>
        </w:rPr>
        <w:t>Amor, Y., Babiychuk, E., Inzé, D. and Levine, A. (1998). The involvement of poly(ADP-ribose) polymerase in the oxidative stress responses in plants</w:t>
      </w:r>
      <w:r w:rsidRPr="00300841">
        <w:rPr>
          <w:i/>
          <w:szCs w:val="24"/>
        </w:rPr>
        <w:t>.</w:t>
      </w:r>
      <w:r w:rsidRPr="00300841">
        <w:rPr>
          <w:szCs w:val="24"/>
        </w:rPr>
        <w:t xml:space="preserve"> </w:t>
      </w:r>
      <w:r w:rsidRPr="00300841">
        <w:rPr>
          <w:i/>
          <w:szCs w:val="24"/>
        </w:rPr>
        <w:t>FEBS Letters</w:t>
      </w:r>
      <w:r w:rsidRPr="00300841">
        <w:rPr>
          <w:szCs w:val="24"/>
        </w:rPr>
        <w:t xml:space="preserve">  </w:t>
      </w:r>
      <w:r w:rsidRPr="00300841">
        <w:rPr>
          <w:b/>
          <w:szCs w:val="24"/>
        </w:rPr>
        <w:t>440</w:t>
      </w:r>
      <w:r w:rsidRPr="00300841">
        <w:rPr>
          <w:szCs w:val="24"/>
        </w:rPr>
        <w:t>, 1-7.</w:t>
      </w:r>
    </w:p>
    <w:p w:rsidR="00300841" w:rsidRPr="00300841" w:rsidRDefault="00300841" w:rsidP="00300841">
      <w:pPr>
        <w:spacing w:after="0" w:line="240" w:lineRule="auto"/>
        <w:ind w:left="720" w:hanging="720"/>
        <w:rPr>
          <w:szCs w:val="24"/>
        </w:rPr>
      </w:pPr>
      <w:r w:rsidRPr="00300841">
        <w:rPr>
          <w:szCs w:val="24"/>
        </w:rPr>
        <w:t xml:space="preserve">Andeme Ondzighi, C., Christopher, D.A., Cho, E.J., Chang, S.-C. and Staehelin, L.A. (2008). </w:t>
      </w:r>
      <w:r w:rsidRPr="00300841">
        <w:rPr>
          <w:i/>
          <w:szCs w:val="24"/>
        </w:rPr>
        <w:t>Arabidopsis</w:t>
      </w:r>
      <w:r w:rsidRPr="00300841">
        <w:rPr>
          <w:szCs w:val="24"/>
        </w:rPr>
        <w:t xml:space="preserve"> Protein Disulfide Isomerase-5 Inhibits Cysteine Proteases during Trafficking to Vacuoles before Programmed Cell Death of the Endothelium in Developing Seeds</w:t>
      </w:r>
      <w:r w:rsidRPr="00300841">
        <w:rPr>
          <w:i/>
          <w:szCs w:val="24"/>
        </w:rPr>
        <w:t>.</w:t>
      </w:r>
      <w:r w:rsidRPr="00300841">
        <w:rPr>
          <w:szCs w:val="24"/>
        </w:rPr>
        <w:t xml:space="preserve"> </w:t>
      </w:r>
      <w:r w:rsidRPr="00300841">
        <w:rPr>
          <w:i/>
          <w:szCs w:val="24"/>
        </w:rPr>
        <w:t>Plant Cell</w:t>
      </w:r>
      <w:r w:rsidRPr="00300841">
        <w:rPr>
          <w:szCs w:val="24"/>
        </w:rPr>
        <w:t xml:space="preserve">  </w:t>
      </w:r>
      <w:r w:rsidRPr="00300841">
        <w:rPr>
          <w:b/>
          <w:szCs w:val="24"/>
        </w:rPr>
        <w:t>20</w:t>
      </w:r>
      <w:r w:rsidRPr="00300841">
        <w:rPr>
          <w:szCs w:val="24"/>
        </w:rPr>
        <w:t>, 2205-2220.</w:t>
      </w:r>
    </w:p>
    <w:p w:rsidR="00300841" w:rsidRPr="00300841" w:rsidRDefault="00300841" w:rsidP="00300841">
      <w:pPr>
        <w:spacing w:after="0" w:line="240" w:lineRule="auto"/>
        <w:ind w:left="720" w:hanging="720"/>
        <w:rPr>
          <w:szCs w:val="24"/>
        </w:rPr>
      </w:pPr>
      <w:r w:rsidRPr="00300841">
        <w:rPr>
          <w:szCs w:val="24"/>
        </w:rPr>
        <w:t>Arana, L., Gangoiti, P., Ouro, A., Trueba, M. and Gomez-Munoz, A. (2010). Ceramide and ceramide 1-phosphate in health and disease</w:t>
      </w:r>
      <w:r w:rsidRPr="00300841">
        <w:rPr>
          <w:i/>
          <w:szCs w:val="24"/>
        </w:rPr>
        <w:t>.</w:t>
      </w:r>
      <w:r w:rsidRPr="00300841">
        <w:rPr>
          <w:szCs w:val="24"/>
        </w:rPr>
        <w:t xml:space="preserve"> </w:t>
      </w:r>
      <w:r w:rsidRPr="00300841">
        <w:rPr>
          <w:i/>
          <w:szCs w:val="24"/>
        </w:rPr>
        <w:t>Lipids in Health and Disease</w:t>
      </w:r>
      <w:r w:rsidRPr="00300841">
        <w:rPr>
          <w:szCs w:val="24"/>
        </w:rPr>
        <w:t xml:space="preserve">  </w:t>
      </w:r>
      <w:r w:rsidRPr="00300841">
        <w:rPr>
          <w:b/>
          <w:szCs w:val="24"/>
        </w:rPr>
        <w:t>9</w:t>
      </w:r>
      <w:r w:rsidRPr="00300841">
        <w:rPr>
          <w:szCs w:val="24"/>
        </w:rPr>
        <w:t>, 15.</w:t>
      </w:r>
    </w:p>
    <w:p w:rsidR="00300841" w:rsidRPr="00300841" w:rsidRDefault="00300841" w:rsidP="00300841">
      <w:pPr>
        <w:spacing w:after="0" w:line="240" w:lineRule="auto"/>
        <w:ind w:left="720" w:hanging="720"/>
        <w:rPr>
          <w:szCs w:val="24"/>
        </w:rPr>
      </w:pPr>
      <w:r w:rsidRPr="00300841">
        <w:rPr>
          <w:szCs w:val="24"/>
        </w:rPr>
        <w:t>Arpagaus, S., Rawyler, A. and Braendle, R. (2002). Occurrence and Characteristics of the Mitochondrial Permeability Transition in Plants</w:t>
      </w:r>
      <w:r w:rsidRPr="00300841">
        <w:rPr>
          <w:i/>
          <w:szCs w:val="24"/>
        </w:rPr>
        <w:t>.</w:t>
      </w:r>
      <w:r w:rsidRPr="00300841">
        <w:rPr>
          <w:szCs w:val="24"/>
        </w:rPr>
        <w:t xml:space="preserve"> </w:t>
      </w:r>
      <w:r w:rsidRPr="00300841">
        <w:rPr>
          <w:i/>
          <w:szCs w:val="24"/>
        </w:rPr>
        <w:t>Journal of Biological Chemistry</w:t>
      </w:r>
      <w:r w:rsidRPr="00300841">
        <w:rPr>
          <w:szCs w:val="24"/>
        </w:rPr>
        <w:t xml:space="preserve">  </w:t>
      </w:r>
      <w:r w:rsidRPr="00300841">
        <w:rPr>
          <w:b/>
          <w:szCs w:val="24"/>
        </w:rPr>
        <w:t>277</w:t>
      </w:r>
      <w:r w:rsidRPr="00300841">
        <w:rPr>
          <w:szCs w:val="24"/>
        </w:rPr>
        <w:t>, 1780-1787.</w:t>
      </w:r>
    </w:p>
    <w:p w:rsidR="00300841" w:rsidRPr="00300841" w:rsidRDefault="00300841" w:rsidP="00300841">
      <w:pPr>
        <w:spacing w:after="0" w:line="240" w:lineRule="auto"/>
        <w:ind w:left="720" w:hanging="720"/>
        <w:rPr>
          <w:szCs w:val="24"/>
        </w:rPr>
      </w:pPr>
      <w:r w:rsidRPr="00300841">
        <w:rPr>
          <w:szCs w:val="24"/>
        </w:rPr>
        <w:t>Asada, K. (2006). Production and Scavenging of Reactive Oxygen Species in Chloroplasts and Their Functions</w:t>
      </w:r>
      <w:r w:rsidRPr="00300841">
        <w:rPr>
          <w:i/>
          <w:szCs w:val="24"/>
        </w:rPr>
        <w:t>.</w:t>
      </w:r>
      <w:r w:rsidRPr="00300841">
        <w:rPr>
          <w:szCs w:val="24"/>
        </w:rPr>
        <w:t xml:space="preserve"> </w:t>
      </w:r>
      <w:r w:rsidRPr="00300841">
        <w:rPr>
          <w:i/>
          <w:szCs w:val="24"/>
        </w:rPr>
        <w:t>Plant Physiology</w:t>
      </w:r>
      <w:r w:rsidRPr="00300841">
        <w:rPr>
          <w:szCs w:val="24"/>
        </w:rPr>
        <w:t xml:space="preserve">  </w:t>
      </w:r>
      <w:r w:rsidRPr="00300841">
        <w:rPr>
          <w:b/>
          <w:szCs w:val="24"/>
        </w:rPr>
        <w:t>141</w:t>
      </w:r>
      <w:r w:rsidRPr="00300841">
        <w:rPr>
          <w:szCs w:val="24"/>
        </w:rPr>
        <w:t>, 391-396.</w:t>
      </w:r>
    </w:p>
    <w:p w:rsidR="00300841" w:rsidRPr="00300841" w:rsidRDefault="00300841" w:rsidP="00300841">
      <w:pPr>
        <w:spacing w:after="0" w:line="240" w:lineRule="auto"/>
        <w:ind w:left="720" w:hanging="720"/>
        <w:rPr>
          <w:szCs w:val="24"/>
        </w:rPr>
      </w:pPr>
      <w:r w:rsidRPr="00300841">
        <w:rPr>
          <w:szCs w:val="24"/>
        </w:rPr>
        <w:t xml:space="preserve">Asai, T., Stone, J.M., Heard, J.E., Kovtun, Y., Yorgey, P., Sheen, J. and Ausubel, F.M. (2000). Fumonisin B1-Induced Cell Death in </w:t>
      </w:r>
      <w:r w:rsidRPr="00300841">
        <w:rPr>
          <w:i/>
          <w:szCs w:val="24"/>
        </w:rPr>
        <w:t>Arabidopsis</w:t>
      </w:r>
      <w:r w:rsidRPr="00300841">
        <w:rPr>
          <w:szCs w:val="24"/>
        </w:rPr>
        <w:t xml:space="preserve"> Protoplasts Requires Jasmonate-, Ethylene-, and Salicylate-Dependent Signaling Pathways</w:t>
      </w:r>
      <w:r w:rsidRPr="00300841">
        <w:rPr>
          <w:i/>
          <w:szCs w:val="24"/>
        </w:rPr>
        <w:t>.</w:t>
      </w:r>
      <w:r w:rsidRPr="00300841">
        <w:rPr>
          <w:szCs w:val="24"/>
        </w:rPr>
        <w:t xml:space="preserve"> </w:t>
      </w:r>
      <w:r w:rsidRPr="00300841">
        <w:rPr>
          <w:i/>
          <w:szCs w:val="24"/>
        </w:rPr>
        <w:t>Plant Cell</w:t>
      </w:r>
      <w:r w:rsidRPr="00300841">
        <w:rPr>
          <w:szCs w:val="24"/>
        </w:rPr>
        <w:t xml:space="preserve">  </w:t>
      </w:r>
      <w:r w:rsidRPr="00300841">
        <w:rPr>
          <w:b/>
          <w:szCs w:val="24"/>
        </w:rPr>
        <w:t>12</w:t>
      </w:r>
      <w:r w:rsidRPr="00300841">
        <w:rPr>
          <w:szCs w:val="24"/>
        </w:rPr>
        <w:t>, 1823-1836.</w:t>
      </w:r>
    </w:p>
    <w:p w:rsidR="00300841" w:rsidRPr="00300841" w:rsidRDefault="00300841" w:rsidP="00300841">
      <w:pPr>
        <w:spacing w:after="0" w:line="240" w:lineRule="auto"/>
        <w:ind w:left="720" w:hanging="720"/>
        <w:rPr>
          <w:szCs w:val="24"/>
        </w:rPr>
      </w:pPr>
      <w:r w:rsidRPr="00300841">
        <w:rPr>
          <w:szCs w:val="24"/>
        </w:rPr>
        <w:t xml:space="preserve">Asai, T., Tena, G., Plotnikova, J., Willmann, M.R., Chiu, W.-L., Gomez-Gomez, L., Boller, T., Ausubel, F.M. and Sheen, J. (2002). MAP kinase signalling cascade in </w:t>
      </w:r>
      <w:r w:rsidRPr="00300841">
        <w:rPr>
          <w:i/>
          <w:szCs w:val="24"/>
        </w:rPr>
        <w:t>Arabidopsis</w:t>
      </w:r>
      <w:r w:rsidRPr="00300841">
        <w:rPr>
          <w:szCs w:val="24"/>
        </w:rPr>
        <w:t xml:space="preserve"> innate immunity</w:t>
      </w:r>
      <w:r w:rsidRPr="00300841">
        <w:rPr>
          <w:i/>
          <w:szCs w:val="24"/>
        </w:rPr>
        <w:t>.</w:t>
      </w:r>
      <w:r w:rsidRPr="00300841">
        <w:rPr>
          <w:szCs w:val="24"/>
        </w:rPr>
        <w:t xml:space="preserve"> </w:t>
      </w:r>
      <w:r w:rsidRPr="00300841">
        <w:rPr>
          <w:i/>
          <w:szCs w:val="24"/>
        </w:rPr>
        <w:t>Nature</w:t>
      </w:r>
      <w:r w:rsidRPr="00300841">
        <w:rPr>
          <w:szCs w:val="24"/>
        </w:rPr>
        <w:t xml:space="preserve">  </w:t>
      </w:r>
      <w:r w:rsidRPr="00300841">
        <w:rPr>
          <w:b/>
          <w:szCs w:val="24"/>
        </w:rPr>
        <w:t>415</w:t>
      </w:r>
      <w:r w:rsidRPr="00300841">
        <w:rPr>
          <w:szCs w:val="24"/>
        </w:rPr>
        <w:t>, 977-983.</w:t>
      </w:r>
    </w:p>
    <w:p w:rsidR="00300841" w:rsidRPr="00300841" w:rsidRDefault="00300841" w:rsidP="00300841">
      <w:pPr>
        <w:spacing w:after="0" w:line="240" w:lineRule="auto"/>
        <w:ind w:left="720" w:hanging="720"/>
        <w:rPr>
          <w:szCs w:val="24"/>
        </w:rPr>
      </w:pPr>
      <w:r w:rsidRPr="00300841">
        <w:rPr>
          <w:szCs w:val="24"/>
        </w:rPr>
        <w:t xml:space="preserve">Axtell, M.J., Chisholm, S.T., Dahlbeck, D. and Staskawicz, B.J. (2003). Genetic and molecular evidence that the </w:t>
      </w:r>
      <w:r w:rsidRPr="00300841">
        <w:rPr>
          <w:i/>
          <w:szCs w:val="24"/>
        </w:rPr>
        <w:t>Pseudomonas syringae</w:t>
      </w:r>
      <w:r w:rsidRPr="00300841">
        <w:rPr>
          <w:szCs w:val="24"/>
        </w:rPr>
        <w:t xml:space="preserve"> type III effector protein AvrRpt2 is a cysteine protease</w:t>
      </w:r>
      <w:r w:rsidRPr="00300841">
        <w:rPr>
          <w:i/>
          <w:szCs w:val="24"/>
        </w:rPr>
        <w:t>.</w:t>
      </w:r>
      <w:r w:rsidRPr="00300841">
        <w:rPr>
          <w:szCs w:val="24"/>
        </w:rPr>
        <w:t xml:space="preserve"> </w:t>
      </w:r>
      <w:r w:rsidRPr="00300841">
        <w:rPr>
          <w:i/>
          <w:szCs w:val="24"/>
        </w:rPr>
        <w:t>Molecular Microbiology</w:t>
      </w:r>
      <w:r w:rsidRPr="00300841">
        <w:rPr>
          <w:szCs w:val="24"/>
        </w:rPr>
        <w:t xml:space="preserve">  </w:t>
      </w:r>
      <w:r w:rsidRPr="00300841">
        <w:rPr>
          <w:b/>
          <w:szCs w:val="24"/>
        </w:rPr>
        <w:t>49</w:t>
      </w:r>
      <w:r w:rsidRPr="00300841">
        <w:rPr>
          <w:szCs w:val="24"/>
        </w:rPr>
        <w:t>, 1537-1546.</w:t>
      </w:r>
    </w:p>
    <w:p w:rsidR="00300841" w:rsidRPr="00300841" w:rsidRDefault="00300841" w:rsidP="00300841">
      <w:pPr>
        <w:spacing w:after="0" w:line="240" w:lineRule="auto"/>
        <w:ind w:left="720" w:hanging="720"/>
        <w:rPr>
          <w:szCs w:val="24"/>
        </w:rPr>
      </w:pPr>
      <w:r w:rsidRPr="00300841">
        <w:rPr>
          <w:szCs w:val="24"/>
        </w:rPr>
        <w:t>Azoulay-Zohar, H., Israelson, A., Abu-Hamad, S. and Shoshan-Barmatz, V. (2004). In self-defence: hexokinase promotes voltage-dependent anion channel closure and prevents mitochondria-mediated apoptotic cell death</w:t>
      </w:r>
      <w:r w:rsidRPr="00300841">
        <w:rPr>
          <w:i/>
          <w:szCs w:val="24"/>
        </w:rPr>
        <w:t>.</w:t>
      </w:r>
      <w:r w:rsidRPr="00300841">
        <w:rPr>
          <w:szCs w:val="24"/>
        </w:rPr>
        <w:t xml:space="preserve"> </w:t>
      </w:r>
      <w:r w:rsidRPr="00300841">
        <w:rPr>
          <w:i/>
          <w:szCs w:val="24"/>
        </w:rPr>
        <w:t>Biochemical Journal</w:t>
      </w:r>
      <w:r w:rsidRPr="00300841">
        <w:rPr>
          <w:szCs w:val="24"/>
        </w:rPr>
        <w:t xml:space="preserve">  </w:t>
      </w:r>
      <w:r w:rsidRPr="00300841">
        <w:rPr>
          <w:b/>
          <w:szCs w:val="24"/>
        </w:rPr>
        <w:t>377</w:t>
      </w:r>
      <w:r w:rsidRPr="00300841">
        <w:rPr>
          <w:szCs w:val="24"/>
        </w:rPr>
        <w:t>, 347-355.</w:t>
      </w:r>
    </w:p>
    <w:p w:rsidR="00300841" w:rsidRPr="00300841" w:rsidRDefault="00300841" w:rsidP="00300841">
      <w:pPr>
        <w:spacing w:after="0" w:line="240" w:lineRule="auto"/>
        <w:ind w:left="720" w:hanging="720"/>
        <w:rPr>
          <w:szCs w:val="24"/>
        </w:rPr>
      </w:pPr>
      <w:r w:rsidRPr="00300841">
        <w:rPr>
          <w:szCs w:val="24"/>
        </w:rPr>
        <w:t>Babu, T.S., Akhtar, T.A., Lampi, M.A., Tripuranthakam, S., Dixon, D.G. and Greenberg, B.M. (2003). Similar Stress Responses are Elicited by Copper and Ultraviolet Radiation in the Aquatic Plant Lemna gibba: Implication of Reactive Oxygen Species as Common Signals</w:t>
      </w:r>
      <w:r w:rsidRPr="00300841">
        <w:rPr>
          <w:i/>
          <w:szCs w:val="24"/>
        </w:rPr>
        <w:t>.</w:t>
      </w:r>
      <w:r w:rsidRPr="00300841">
        <w:rPr>
          <w:szCs w:val="24"/>
        </w:rPr>
        <w:t xml:space="preserve"> </w:t>
      </w:r>
      <w:r w:rsidRPr="00300841">
        <w:rPr>
          <w:i/>
          <w:szCs w:val="24"/>
        </w:rPr>
        <w:t>Plant Cell Physiology</w:t>
      </w:r>
      <w:r w:rsidRPr="00300841">
        <w:rPr>
          <w:szCs w:val="24"/>
        </w:rPr>
        <w:t xml:space="preserve">  </w:t>
      </w:r>
      <w:r w:rsidRPr="00300841">
        <w:rPr>
          <w:b/>
          <w:szCs w:val="24"/>
        </w:rPr>
        <w:t>44</w:t>
      </w:r>
      <w:r w:rsidRPr="00300841">
        <w:rPr>
          <w:szCs w:val="24"/>
        </w:rPr>
        <w:t>, 1320-1329.</w:t>
      </w:r>
    </w:p>
    <w:p w:rsidR="00300841" w:rsidRPr="00300841" w:rsidRDefault="00300841" w:rsidP="00300841">
      <w:pPr>
        <w:spacing w:after="0" w:line="240" w:lineRule="auto"/>
        <w:ind w:left="720" w:hanging="720"/>
        <w:rPr>
          <w:szCs w:val="24"/>
        </w:rPr>
      </w:pPr>
      <w:r w:rsidRPr="00300841">
        <w:rPr>
          <w:szCs w:val="24"/>
        </w:rPr>
        <w:t>Balk, J., Chew, S.K., Leaver, C.J. and McCabe, P.F. (2003). The intermembrane space of plant mitochondria contains a DNase activity that may be involved in programmed cell death</w:t>
      </w:r>
      <w:r w:rsidRPr="00300841">
        <w:rPr>
          <w:i/>
          <w:szCs w:val="24"/>
        </w:rPr>
        <w:t>.</w:t>
      </w:r>
      <w:r w:rsidRPr="00300841">
        <w:rPr>
          <w:szCs w:val="24"/>
        </w:rPr>
        <w:t xml:space="preserve"> </w:t>
      </w:r>
      <w:r w:rsidRPr="00300841">
        <w:rPr>
          <w:i/>
          <w:szCs w:val="24"/>
        </w:rPr>
        <w:t>The Plant Journal</w:t>
      </w:r>
      <w:r w:rsidRPr="00300841">
        <w:rPr>
          <w:szCs w:val="24"/>
        </w:rPr>
        <w:t xml:space="preserve">  </w:t>
      </w:r>
      <w:r w:rsidRPr="00300841">
        <w:rPr>
          <w:b/>
          <w:szCs w:val="24"/>
        </w:rPr>
        <w:t>34</w:t>
      </w:r>
      <w:r w:rsidRPr="00300841">
        <w:rPr>
          <w:szCs w:val="24"/>
        </w:rPr>
        <w:t>, 573-583.</w:t>
      </w:r>
    </w:p>
    <w:p w:rsidR="00300841" w:rsidRPr="00300841" w:rsidRDefault="00300841" w:rsidP="00300841">
      <w:pPr>
        <w:spacing w:after="0" w:line="240" w:lineRule="auto"/>
        <w:ind w:left="720" w:hanging="720"/>
        <w:rPr>
          <w:szCs w:val="24"/>
        </w:rPr>
      </w:pPr>
      <w:r w:rsidRPr="00300841">
        <w:rPr>
          <w:szCs w:val="24"/>
        </w:rPr>
        <w:t>Balk, J. and Leaver, C.J. (2001). The PET1-CMS Mitochondrial Mutation in Sunflower Is Associated with Premature Programmed Cell Death and Cytochrome c Release</w:t>
      </w:r>
      <w:r w:rsidRPr="00300841">
        <w:rPr>
          <w:i/>
          <w:szCs w:val="24"/>
        </w:rPr>
        <w:t>.</w:t>
      </w:r>
      <w:r w:rsidRPr="00300841">
        <w:rPr>
          <w:szCs w:val="24"/>
        </w:rPr>
        <w:t xml:space="preserve"> </w:t>
      </w:r>
      <w:r w:rsidRPr="00300841">
        <w:rPr>
          <w:i/>
          <w:szCs w:val="24"/>
        </w:rPr>
        <w:t>Plant Cell</w:t>
      </w:r>
      <w:r w:rsidRPr="00300841">
        <w:rPr>
          <w:szCs w:val="24"/>
        </w:rPr>
        <w:t xml:space="preserve">  </w:t>
      </w:r>
      <w:r w:rsidRPr="00300841">
        <w:rPr>
          <w:b/>
          <w:szCs w:val="24"/>
        </w:rPr>
        <w:t>13</w:t>
      </w:r>
      <w:r w:rsidRPr="00300841">
        <w:rPr>
          <w:szCs w:val="24"/>
        </w:rPr>
        <w:t>, 1803-1818.</w:t>
      </w:r>
    </w:p>
    <w:p w:rsidR="00300841" w:rsidRPr="00300841" w:rsidRDefault="00300841" w:rsidP="00300841">
      <w:pPr>
        <w:spacing w:after="0" w:line="240" w:lineRule="auto"/>
        <w:ind w:left="720" w:hanging="720"/>
        <w:rPr>
          <w:szCs w:val="24"/>
        </w:rPr>
      </w:pPr>
      <w:r w:rsidRPr="00300841">
        <w:rPr>
          <w:szCs w:val="24"/>
        </w:rPr>
        <w:t>Balk, J., Leaver, C.J. and McCabe, P.F. (1999). Translocation of cytochrome c from the mitochondria to the cytosol occurs during heat-induced programmed cell death in cucumber plants</w:t>
      </w:r>
      <w:r w:rsidRPr="00300841">
        <w:rPr>
          <w:i/>
          <w:szCs w:val="24"/>
        </w:rPr>
        <w:t>.</w:t>
      </w:r>
      <w:r w:rsidRPr="00300841">
        <w:rPr>
          <w:szCs w:val="24"/>
        </w:rPr>
        <w:t xml:space="preserve"> </w:t>
      </w:r>
      <w:r w:rsidRPr="00300841">
        <w:rPr>
          <w:i/>
          <w:szCs w:val="24"/>
        </w:rPr>
        <w:t>FEBS Letters</w:t>
      </w:r>
      <w:r w:rsidRPr="00300841">
        <w:rPr>
          <w:szCs w:val="24"/>
        </w:rPr>
        <w:t xml:space="preserve">  </w:t>
      </w:r>
      <w:r w:rsidRPr="00300841">
        <w:rPr>
          <w:b/>
          <w:szCs w:val="24"/>
        </w:rPr>
        <w:t>463</w:t>
      </w:r>
      <w:r w:rsidRPr="00300841">
        <w:rPr>
          <w:szCs w:val="24"/>
        </w:rPr>
        <w:t>, 151-154.</w:t>
      </w:r>
    </w:p>
    <w:p w:rsidR="00300841" w:rsidRPr="00300841" w:rsidRDefault="00300841" w:rsidP="00300841">
      <w:pPr>
        <w:spacing w:after="0" w:line="240" w:lineRule="auto"/>
        <w:ind w:left="720" w:hanging="720"/>
        <w:rPr>
          <w:szCs w:val="24"/>
        </w:rPr>
      </w:pPr>
      <w:r w:rsidRPr="00300841">
        <w:rPr>
          <w:szCs w:val="24"/>
        </w:rPr>
        <w:t>Banu, M.N.A., Hoque, M.A., Watanabe-Sugimoto, M., Matsuoka, K., Nakamura, Y., Shimoishi, Y. and Murata, Y. (2009). Proline and glycinebetaine induce antioxidant defense gene expression and suppress cell death in cultured tobacco cells under salt stress</w:t>
      </w:r>
      <w:r w:rsidRPr="00300841">
        <w:rPr>
          <w:i/>
          <w:szCs w:val="24"/>
        </w:rPr>
        <w:t>.</w:t>
      </w:r>
      <w:r w:rsidRPr="00300841">
        <w:rPr>
          <w:szCs w:val="24"/>
        </w:rPr>
        <w:t xml:space="preserve"> </w:t>
      </w:r>
      <w:r w:rsidRPr="00300841">
        <w:rPr>
          <w:i/>
          <w:szCs w:val="24"/>
        </w:rPr>
        <w:t>Journal of Plant Physiology</w:t>
      </w:r>
      <w:r w:rsidRPr="00300841">
        <w:rPr>
          <w:szCs w:val="24"/>
        </w:rPr>
        <w:t xml:space="preserve">  </w:t>
      </w:r>
      <w:r w:rsidRPr="00300841">
        <w:rPr>
          <w:b/>
          <w:szCs w:val="24"/>
        </w:rPr>
        <w:t>166</w:t>
      </w:r>
      <w:r w:rsidRPr="00300841">
        <w:rPr>
          <w:szCs w:val="24"/>
        </w:rPr>
        <w:t>, 146-156.</w:t>
      </w:r>
    </w:p>
    <w:p w:rsidR="00300841" w:rsidRPr="00300841" w:rsidRDefault="00300841" w:rsidP="00300841">
      <w:pPr>
        <w:spacing w:after="0" w:line="240" w:lineRule="auto"/>
        <w:ind w:left="720" w:hanging="720"/>
        <w:rPr>
          <w:szCs w:val="24"/>
        </w:rPr>
      </w:pPr>
      <w:r w:rsidRPr="00300841">
        <w:rPr>
          <w:szCs w:val="24"/>
        </w:rPr>
        <w:t>Baroux, C., Spillane, C. and Grossniklaus, U. (2002). Evolutionary origins of the endosperm in flowering plants</w:t>
      </w:r>
      <w:r w:rsidRPr="00300841">
        <w:rPr>
          <w:i/>
          <w:szCs w:val="24"/>
        </w:rPr>
        <w:t>.</w:t>
      </w:r>
      <w:r w:rsidRPr="00300841">
        <w:rPr>
          <w:szCs w:val="24"/>
        </w:rPr>
        <w:t xml:space="preserve"> </w:t>
      </w:r>
      <w:r w:rsidRPr="00300841">
        <w:rPr>
          <w:i/>
          <w:szCs w:val="24"/>
        </w:rPr>
        <w:t>Genome Biology</w:t>
      </w:r>
      <w:r w:rsidRPr="00300841">
        <w:rPr>
          <w:szCs w:val="24"/>
        </w:rPr>
        <w:t xml:space="preserve">  </w:t>
      </w:r>
      <w:r w:rsidRPr="00300841">
        <w:rPr>
          <w:b/>
          <w:szCs w:val="24"/>
        </w:rPr>
        <w:t>3</w:t>
      </w:r>
      <w:r w:rsidRPr="00300841">
        <w:rPr>
          <w:szCs w:val="24"/>
        </w:rPr>
        <w:t>, reviews1026.1–reviews1026.5.</w:t>
      </w:r>
    </w:p>
    <w:p w:rsidR="00300841" w:rsidRPr="00300841" w:rsidRDefault="00300841" w:rsidP="00300841">
      <w:pPr>
        <w:spacing w:after="0" w:line="240" w:lineRule="auto"/>
        <w:ind w:left="720" w:hanging="720"/>
        <w:rPr>
          <w:szCs w:val="24"/>
        </w:rPr>
      </w:pPr>
      <w:r w:rsidRPr="00300841">
        <w:rPr>
          <w:szCs w:val="24"/>
        </w:rPr>
        <w:t>Bassham, D.C. (2007). Plant autophagy--more than a starvation response</w:t>
      </w:r>
      <w:r w:rsidRPr="00300841">
        <w:rPr>
          <w:i/>
          <w:szCs w:val="24"/>
        </w:rPr>
        <w:t>.</w:t>
      </w:r>
      <w:r w:rsidRPr="00300841">
        <w:rPr>
          <w:szCs w:val="24"/>
        </w:rPr>
        <w:t xml:space="preserve"> </w:t>
      </w:r>
      <w:r w:rsidRPr="00300841">
        <w:rPr>
          <w:i/>
          <w:szCs w:val="24"/>
        </w:rPr>
        <w:t>Current Opinion in Plant Biology</w:t>
      </w:r>
      <w:r w:rsidRPr="00300841">
        <w:rPr>
          <w:szCs w:val="24"/>
        </w:rPr>
        <w:t xml:space="preserve">  </w:t>
      </w:r>
      <w:r w:rsidRPr="00300841">
        <w:rPr>
          <w:b/>
          <w:szCs w:val="24"/>
        </w:rPr>
        <w:t>10</w:t>
      </w:r>
      <w:r w:rsidRPr="00300841">
        <w:rPr>
          <w:szCs w:val="24"/>
        </w:rPr>
        <w:t>, 587-593.</w:t>
      </w:r>
    </w:p>
    <w:p w:rsidR="00300841" w:rsidRPr="00300841" w:rsidRDefault="00300841" w:rsidP="00300841">
      <w:pPr>
        <w:spacing w:after="0" w:line="240" w:lineRule="auto"/>
        <w:ind w:left="720" w:hanging="720"/>
        <w:rPr>
          <w:szCs w:val="24"/>
        </w:rPr>
      </w:pPr>
      <w:r w:rsidRPr="00300841">
        <w:rPr>
          <w:szCs w:val="24"/>
        </w:rPr>
        <w:t>Bassham, D.C., Laporte, M., Marty, F., Moriyasu, Y., Ohsumi, Y., Olsen, L.J. and Yoshimoto, K. (2006). Autophagy in development and stress responses of plants</w:t>
      </w:r>
      <w:r w:rsidRPr="00300841">
        <w:rPr>
          <w:i/>
          <w:szCs w:val="24"/>
        </w:rPr>
        <w:t>.</w:t>
      </w:r>
      <w:r w:rsidRPr="00300841">
        <w:rPr>
          <w:szCs w:val="24"/>
        </w:rPr>
        <w:t xml:space="preserve"> </w:t>
      </w:r>
      <w:r w:rsidRPr="00300841">
        <w:rPr>
          <w:i/>
          <w:szCs w:val="24"/>
        </w:rPr>
        <w:t>Autophagy</w:t>
      </w:r>
      <w:r w:rsidRPr="00300841">
        <w:rPr>
          <w:szCs w:val="24"/>
        </w:rPr>
        <w:t xml:space="preserve">  </w:t>
      </w:r>
      <w:r w:rsidRPr="00300841">
        <w:rPr>
          <w:b/>
          <w:szCs w:val="24"/>
        </w:rPr>
        <w:t>2</w:t>
      </w:r>
      <w:r w:rsidRPr="00300841">
        <w:rPr>
          <w:szCs w:val="24"/>
        </w:rPr>
        <w:t>, 2-11.</w:t>
      </w:r>
    </w:p>
    <w:p w:rsidR="00300841" w:rsidRPr="00300841" w:rsidRDefault="00300841" w:rsidP="00300841">
      <w:pPr>
        <w:spacing w:after="0" w:line="240" w:lineRule="auto"/>
        <w:ind w:left="720" w:hanging="720"/>
        <w:rPr>
          <w:szCs w:val="24"/>
        </w:rPr>
      </w:pPr>
      <w:r w:rsidRPr="00300841">
        <w:rPr>
          <w:szCs w:val="24"/>
        </w:rPr>
        <w:t>Beals, T.P. and Goldberg, R.B. (1997). A Novel Cell Ablation Strategy Blocks Tobacco Anther Dehiscence</w:t>
      </w:r>
      <w:r w:rsidRPr="00300841">
        <w:rPr>
          <w:i/>
          <w:szCs w:val="24"/>
        </w:rPr>
        <w:t>.</w:t>
      </w:r>
      <w:r w:rsidRPr="00300841">
        <w:rPr>
          <w:szCs w:val="24"/>
        </w:rPr>
        <w:t xml:space="preserve"> </w:t>
      </w:r>
      <w:r w:rsidRPr="00300841">
        <w:rPr>
          <w:i/>
          <w:szCs w:val="24"/>
        </w:rPr>
        <w:t>Plant Cell</w:t>
      </w:r>
      <w:r w:rsidRPr="00300841">
        <w:rPr>
          <w:szCs w:val="24"/>
        </w:rPr>
        <w:t xml:space="preserve">  </w:t>
      </w:r>
      <w:r w:rsidRPr="00300841">
        <w:rPr>
          <w:b/>
          <w:szCs w:val="24"/>
        </w:rPr>
        <w:t>9</w:t>
      </w:r>
      <w:r w:rsidRPr="00300841">
        <w:rPr>
          <w:szCs w:val="24"/>
        </w:rPr>
        <w:t>, 1527-1545.</w:t>
      </w:r>
    </w:p>
    <w:p w:rsidR="00300841" w:rsidRPr="00300841" w:rsidRDefault="00300841" w:rsidP="00300841">
      <w:pPr>
        <w:spacing w:after="0" w:line="240" w:lineRule="auto"/>
        <w:ind w:left="720" w:hanging="720"/>
        <w:rPr>
          <w:szCs w:val="24"/>
        </w:rPr>
      </w:pPr>
      <w:r w:rsidRPr="00300841">
        <w:rPr>
          <w:szCs w:val="24"/>
        </w:rPr>
        <w:t>Beere, H.M. and Green, D.R. (2001). Stress management - heat shock protein-70 and the regulation of apoptosis</w:t>
      </w:r>
      <w:r w:rsidRPr="00300841">
        <w:rPr>
          <w:i/>
          <w:szCs w:val="24"/>
        </w:rPr>
        <w:t>.</w:t>
      </w:r>
      <w:r w:rsidRPr="00300841">
        <w:rPr>
          <w:szCs w:val="24"/>
        </w:rPr>
        <w:t xml:space="preserve"> </w:t>
      </w:r>
      <w:r w:rsidRPr="00300841">
        <w:rPr>
          <w:i/>
          <w:szCs w:val="24"/>
        </w:rPr>
        <w:t>Trends in Cell Biology</w:t>
      </w:r>
      <w:r w:rsidRPr="00300841">
        <w:rPr>
          <w:szCs w:val="24"/>
        </w:rPr>
        <w:t xml:space="preserve">  </w:t>
      </w:r>
      <w:r w:rsidRPr="00300841">
        <w:rPr>
          <w:b/>
          <w:szCs w:val="24"/>
        </w:rPr>
        <w:t>11</w:t>
      </w:r>
      <w:r w:rsidRPr="00300841">
        <w:rPr>
          <w:szCs w:val="24"/>
        </w:rPr>
        <w:t>, 6-10.</w:t>
      </w:r>
    </w:p>
    <w:p w:rsidR="00300841" w:rsidRPr="00300841" w:rsidRDefault="00300841" w:rsidP="00300841">
      <w:pPr>
        <w:spacing w:after="0" w:line="240" w:lineRule="auto"/>
        <w:ind w:left="720" w:hanging="720"/>
        <w:rPr>
          <w:szCs w:val="24"/>
        </w:rPr>
      </w:pPr>
      <w:r w:rsidRPr="00300841">
        <w:rPr>
          <w:szCs w:val="24"/>
        </w:rPr>
        <w:t>Beligni, M.V., Fath, A., Bethke, P.C., Lamattina, L. and Jones, R.L. (2002). Nitric Oxide Acts as an Antioxidant and Delays Programmed Cell Death in Barley Aleurone Layers</w:t>
      </w:r>
      <w:r w:rsidRPr="00300841">
        <w:rPr>
          <w:i/>
          <w:szCs w:val="24"/>
        </w:rPr>
        <w:t>.</w:t>
      </w:r>
      <w:r w:rsidRPr="00300841">
        <w:rPr>
          <w:szCs w:val="24"/>
        </w:rPr>
        <w:t xml:space="preserve"> </w:t>
      </w:r>
      <w:r w:rsidRPr="00300841">
        <w:rPr>
          <w:i/>
          <w:szCs w:val="24"/>
        </w:rPr>
        <w:t>Plant Physiology</w:t>
      </w:r>
      <w:r w:rsidRPr="00300841">
        <w:rPr>
          <w:szCs w:val="24"/>
        </w:rPr>
        <w:t xml:space="preserve">  </w:t>
      </w:r>
      <w:r w:rsidRPr="00300841">
        <w:rPr>
          <w:b/>
          <w:szCs w:val="24"/>
        </w:rPr>
        <w:t>129</w:t>
      </w:r>
      <w:r w:rsidRPr="00300841">
        <w:rPr>
          <w:szCs w:val="24"/>
        </w:rPr>
        <w:t>, 1642-1650.</w:t>
      </w:r>
    </w:p>
    <w:p w:rsidR="00300841" w:rsidRPr="00300841" w:rsidRDefault="00300841" w:rsidP="00300841">
      <w:pPr>
        <w:spacing w:after="0" w:line="240" w:lineRule="auto"/>
        <w:ind w:left="720" w:hanging="720"/>
        <w:rPr>
          <w:szCs w:val="24"/>
        </w:rPr>
      </w:pPr>
      <w:r w:rsidRPr="00300841">
        <w:rPr>
          <w:szCs w:val="24"/>
        </w:rPr>
        <w:t xml:space="preserve">Bell, P.R. (1996). Megaspore abortion: A consequence of selective apoptosis? </w:t>
      </w:r>
      <w:r w:rsidRPr="00300841">
        <w:rPr>
          <w:i/>
          <w:szCs w:val="24"/>
        </w:rPr>
        <w:t>International Journal of Plant Science</w:t>
      </w:r>
      <w:r w:rsidRPr="00300841">
        <w:rPr>
          <w:szCs w:val="24"/>
        </w:rPr>
        <w:t xml:space="preserve">  </w:t>
      </w:r>
      <w:r w:rsidRPr="00300841">
        <w:rPr>
          <w:b/>
          <w:szCs w:val="24"/>
        </w:rPr>
        <w:t>157</w:t>
      </w:r>
      <w:r w:rsidRPr="00300841">
        <w:rPr>
          <w:szCs w:val="24"/>
        </w:rPr>
        <w:t>, 1-7.</w:t>
      </w:r>
    </w:p>
    <w:p w:rsidR="00300841" w:rsidRPr="00300841" w:rsidRDefault="00300841" w:rsidP="00300841">
      <w:pPr>
        <w:spacing w:after="0" w:line="240" w:lineRule="auto"/>
        <w:ind w:left="720" w:hanging="720"/>
        <w:rPr>
          <w:szCs w:val="24"/>
        </w:rPr>
      </w:pPr>
      <w:r w:rsidRPr="00300841">
        <w:rPr>
          <w:szCs w:val="24"/>
        </w:rPr>
        <w:t>Beltrano, J., Carbone, A., Montaldi, E.R. and Guiamet, J.J. (1994). Ethylene as promoter of wheat grain maturation and ear senescence</w:t>
      </w:r>
      <w:r w:rsidRPr="00300841">
        <w:rPr>
          <w:i/>
          <w:szCs w:val="24"/>
        </w:rPr>
        <w:t>.</w:t>
      </w:r>
      <w:r w:rsidRPr="00300841">
        <w:rPr>
          <w:szCs w:val="24"/>
        </w:rPr>
        <w:t xml:space="preserve"> </w:t>
      </w:r>
      <w:r w:rsidRPr="00300841">
        <w:rPr>
          <w:i/>
          <w:szCs w:val="24"/>
        </w:rPr>
        <w:t>Plant Growth Regulation</w:t>
      </w:r>
      <w:r w:rsidRPr="00300841">
        <w:rPr>
          <w:szCs w:val="24"/>
        </w:rPr>
        <w:t xml:space="preserve">  </w:t>
      </w:r>
      <w:r w:rsidRPr="00300841">
        <w:rPr>
          <w:b/>
          <w:szCs w:val="24"/>
        </w:rPr>
        <w:t>15</w:t>
      </w:r>
      <w:r w:rsidRPr="00300841">
        <w:rPr>
          <w:szCs w:val="24"/>
        </w:rPr>
        <w:t>, 107-112.</w:t>
      </w:r>
    </w:p>
    <w:p w:rsidR="00300841" w:rsidRPr="00300841" w:rsidRDefault="00300841" w:rsidP="00300841">
      <w:pPr>
        <w:spacing w:after="0" w:line="240" w:lineRule="auto"/>
        <w:ind w:left="720" w:hanging="720"/>
        <w:rPr>
          <w:szCs w:val="24"/>
        </w:rPr>
      </w:pPr>
      <w:r w:rsidRPr="00300841">
        <w:rPr>
          <w:szCs w:val="24"/>
        </w:rPr>
        <w:t>Bendahmane, A., Kanyuka, K. and Baulcombe, D.C. (1999). The Rx Gene from Potato Controls Separate Virus Resistance and Cell Death Responses</w:t>
      </w:r>
      <w:r w:rsidRPr="00300841">
        <w:rPr>
          <w:i/>
          <w:szCs w:val="24"/>
        </w:rPr>
        <w:t>.</w:t>
      </w:r>
      <w:r w:rsidRPr="00300841">
        <w:rPr>
          <w:szCs w:val="24"/>
        </w:rPr>
        <w:t xml:space="preserve"> </w:t>
      </w:r>
      <w:r w:rsidRPr="00300841">
        <w:rPr>
          <w:i/>
          <w:szCs w:val="24"/>
        </w:rPr>
        <w:t>Plant Cell</w:t>
      </w:r>
      <w:r w:rsidRPr="00300841">
        <w:rPr>
          <w:szCs w:val="24"/>
        </w:rPr>
        <w:t xml:space="preserve">  </w:t>
      </w:r>
      <w:r w:rsidRPr="00300841">
        <w:rPr>
          <w:b/>
          <w:szCs w:val="24"/>
        </w:rPr>
        <w:t>11</w:t>
      </w:r>
      <w:r w:rsidRPr="00300841">
        <w:rPr>
          <w:szCs w:val="24"/>
        </w:rPr>
        <w:t>, 781-792.</w:t>
      </w:r>
    </w:p>
    <w:p w:rsidR="00300841" w:rsidRPr="00300841" w:rsidRDefault="00300841" w:rsidP="00300841">
      <w:pPr>
        <w:spacing w:after="0" w:line="240" w:lineRule="auto"/>
        <w:ind w:left="720" w:hanging="720"/>
        <w:rPr>
          <w:szCs w:val="24"/>
        </w:rPr>
      </w:pPr>
      <w:r w:rsidRPr="00300841">
        <w:rPr>
          <w:szCs w:val="24"/>
        </w:rPr>
        <w:t>Bethke, P.C. and Jones, R.L. (2001). Cell death of barley aleurone protoplasts is mediated by reactive oxygen species</w:t>
      </w:r>
      <w:r w:rsidRPr="00300841">
        <w:rPr>
          <w:i/>
          <w:szCs w:val="24"/>
        </w:rPr>
        <w:t>.</w:t>
      </w:r>
      <w:r w:rsidRPr="00300841">
        <w:rPr>
          <w:szCs w:val="24"/>
        </w:rPr>
        <w:t xml:space="preserve"> </w:t>
      </w:r>
      <w:r w:rsidRPr="00300841">
        <w:rPr>
          <w:i/>
          <w:szCs w:val="24"/>
        </w:rPr>
        <w:t>The Plant Journal</w:t>
      </w:r>
      <w:r w:rsidRPr="00300841">
        <w:rPr>
          <w:szCs w:val="24"/>
        </w:rPr>
        <w:t xml:space="preserve">  </w:t>
      </w:r>
      <w:r w:rsidRPr="00300841">
        <w:rPr>
          <w:b/>
          <w:szCs w:val="24"/>
        </w:rPr>
        <w:t>25</w:t>
      </w:r>
      <w:r w:rsidRPr="00300841">
        <w:rPr>
          <w:szCs w:val="24"/>
        </w:rPr>
        <w:t>, 19-29.</w:t>
      </w:r>
    </w:p>
    <w:p w:rsidR="00300841" w:rsidRPr="00300841" w:rsidRDefault="00300841" w:rsidP="00300841">
      <w:pPr>
        <w:spacing w:after="0" w:line="240" w:lineRule="auto"/>
        <w:ind w:left="720" w:hanging="720"/>
        <w:rPr>
          <w:szCs w:val="24"/>
        </w:rPr>
      </w:pPr>
      <w:r w:rsidRPr="00300841">
        <w:rPr>
          <w:szCs w:val="24"/>
        </w:rPr>
        <w:t>Bethke, P.C., Lonsdale, J.E., Fath, A. and Jones, R.L. (1999). Hormonally Regulated Programmed Cell Death in Barley Aleurone Cells</w:t>
      </w:r>
      <w:r w:rsidRPr="00300841">
        <w:rPr>
          <w:i/>
          <w:szCs w:val="24"/>
        </w:rPr>
        <w:t>.</w:t>
      </w:r>
      <w:r w:rsidRPr="00300841">
        <w:rPr>
          <w:szCs w:val="24"/>
        </w:rPr>
        <w:t xml:space="preserve"> </w:t>
      </w:r>
      <w:r w:rsidRPr="00300841">
        <w:rPr>
          <w:i/>
          <w:szCs w:val="24"/>
        </w:rPr>
        <w:t>Plant Cell</w:t>
      </w:r>
      <w:r w:rsidRPr="00300841">
        <w:rPr>
          <w:szCs w:val="24"/>
        </w:rPr>
        <w:t xml:space="preserve">  </w:t>
      </w:r>
      <w:r w:rsidRPr="00300841">
        <w:rPr>
          <w:b/>
          <w:szCs w:val="24"/>
        </w:rPr>
        <w:t>11</w:t>
      </w:r>
      <w:r w:rsidRPr="00300841">
        <w:rPr>
          <w:szCs w:val="24"/>
        </w:rPr>
        <w:t>, 1033-1046.</w:t>
      </w:r>
    </w:p>
    <w:p w:rsidR="00300841" w:rsidRPr="00300841" w:rsidRDefault="00300841" w:rsidP="00300841">
      <w:pPr>
        <w:spacing w:after="0" w:line="240" w:lineRule="auto"/>
        <w:ind w:left="720" w:hanging="720"/>
        <w:rPr>
          <w:szCs w:val="24"/>
        </w:rPr>
      </w:pPr>
      <w:r w:rsidRPr="00300841">
        <w:rPr>
          <w:szCs w:val="24"/>
        </w:rPr>
        <w:t>Bi, X., Khush, G.S. and Bennett, J. (2005). The Rice Nucellin Gene Ortholog OsAsp1 Encodes an Active Aspartic Protease Without a Plant-specific Insert and is Strongly Expressed in Early Embryo</w:t>
      </w:r>
      <w:r w:rsidRPr="00300841">
        <w:rPr>
          <w:i/>
          <w:szCs w:val="24"/>
        </w:rPr>
        <w:t>.</w:t>
      </w:r>
      <w:r w:rsidRPr="00300841">
        <w:rPr>
          <w:szCs w:val="24"/>
        </w:rPr>
        <w:t xml:space="preserve"> </w:t>
      </w:r>
      <w:r w:rsidRPr="00300841">
        <w:rPr>
          <w:i/>
          <w:szCs w:val="24"/>
        </w:rPr>
        <w:t>Plant Cell Physiology</w:t>
      </w:r>
      <w:r w:rsidRPr="00300841">
        <w:rPr>
          <w:szCs w:val="24"/>
        </w:rPr>
        <w:t xml:space="preserve">  </w:t>
      </w:r>
      <w:r w:rsidRPr="00300841">
        <w:rPr>
          <w:b/>
          <w:szCs w:val="24"/>
        </w:rPr>
        <w:t>46</w:t>
      </w:r>
      <w:r w:rsidRPr="00300841">
        <w:rPr>
          <w:szCs w:val="24"/>
        </w:rPr>
        <w:t>, 87-98.</w:t>
      </w:r>
    </w:p>
    <w:p w:rsidR="00300841" w:rsidRPr="00300841" w:rsidRDefault="00300841" w:rsidP="00300841">
      <w:pPr>
        <w:spacing w:after="0" w:line="240" w:lineRule="auto"/>
        <w:ind w:left="720" w:hanging="720"/>
        <w:rPr>
          <w:szCs w:val="24"/>
        </w:rPr>
      </w:pPr>
      <w:r w:rsidRPr="00300841">
        <w:rPr>
          <w:szCs w:val="24"/>
        </w:rPr>
        <w:t>Birnbaum, M.J. (2004). On the InterAktion between Hexokinase and the Mitochondrion</w:t>
      </w:r>
      <w:r w:rsidRPr="00300841">
        <w:rPr>
          <w:i/>
          <w:szCs w:val="24"/>
        </w:rPr>
        <w:t>.</w:t>
      </w:r>
      <w:r w:rsidRPr="00300841">
        <w:rPr>
          <w:szCs w:val="24"/>
        </w:rPr>
        <w:t xml:space="preserve"> </w:t>
      </w:r>
      <w:r w:rsidRPr="00300841">
        <w:rPr>
          <w:i/>
          <w:szCs w:val="24"/>
        </w:rPr>
        <w:t>Developmental Cell</w:t>
      </w:r>
      <w:r w:rsidRPr="00300841">
        <w:rPr>
          <w:szCs w:val="24"/>
        </w:rPr>
        <w:t xml:space="preserve">  </w:t>
      </w:r>
      <w:r w:rsidRPr="00300841">
        <w:rPr>
          <w:b/>
          <w:szCs w:val="24"/>
        </w:rPr>
        <w:t>7</w:t>
      </w:r>
      <w:r w:rsidRPr="00300841">
        <w:rPr>
          <w:szCs w:val="24"/>
        </w:rPr>
        <w:t>, 781-782.</w:t>
      </w:r>
    </w:p>
    <w:p w:rsidR="00300841" w:rsidRPr="00300841" w:rsidRDefault="00300841" w:rsidP="00300841">
      <w:pPr>
        <w:spacing w:after="0" w:line="240" w:lineRule="auto"/>
        <w:ind w:left="720" w:hanging="720"/>
        <w:rPr>
          <w:szCs w:val="24"/>
        </w:rPr>
      </w:pPr>
      <w:r w:rsidRPr="00300841">
        <w:rPr>
          <w:szCs w:val="24"/>
        </w:rPr>
        <w:t>Blackstone, N.W. and Green, D.R. (1999). The evolution of a mechanism of cell suicide</w:t>
      </w:r>
      <w:r w:rsidRPr="00300841">
        <w:rPr>
          <w:i/>
          <w:szCs w:val="24"/>
        </w:rPr>
        <w:t>.</w:t>
      </w:r>
      <w:r w:rsidRPr="00300841">
        <w:rPr>
          <w:szCs w:val="24"/>
        </w:rPr>
        <w:t xml:space="preserve"> </w:t>
      </w:r>
      <w:r w:rsidRPr="00300841">
        <w:rPr>
          <w:i/>
          <w:szCs w:val="24"/>
        </w:rPr>
        <w:t>BioEssays</w:t>
      </w:r>
      <w:r w:rsidRPr="00300841">
        <w:rPr>
          <w:szCs w:val="24"/>
        </w:rPr>
        <w:t xml:space="preserve">  </w:t>
      </w:r>
      <w:r w:rsidRPr="00300841">
        <w:rPr>
          <w:b/>
          <w:szCs w:val="24"/>
        </w:rPr>
        <w:t>21</w:t>
      </w:r>
      <w:r w:rsidRPr="00300841">
        <w:rPr>
          <w:szCs w:val="24"/>
        </w:rPr>
        <w:t>, 84-88.</w:t>
      </w:r>
    </w:p>
    <w:p w:rsidR="00300841" w:rsidRPr="00300841" w:rsidRDefault="00300841" w:rsidP="00300841">
      <w:pPr>
        <w:spacing w:after="0" w:line="240" w:lineRule="auto"/>
        <w:ind w:left="720" w:hanging="720"/>
        <w:rPr>
          <w:szCs w:val="24"/>
        </w:rPr>
      </w:pPr>
      <w:r w:rsidRPr="00300841">
        <w:rPr>
          <w:szCs w:val="24"/>
        </w:rPr>
        <w:t>Bolduc, N., Ouellet, M., Pitre, F. and Brisson, L. (2003). Molecular characterization of two plant BI-1 homologues which suppress Bax-induced apoptosis in human 293 cells</w:t>
      </w:r>
      <w:r w:rsidRPr="00300841">
        <w:rPr>
          <w:i/>
          <w:szCs w:val="24"/>
        </w:rPr>
        <w:t>.</w:t>
      </w:r>
      <w:r w:rsidRPr="00300841">
        <w:rPr>
          <w:szCs w:val="24"/>
        </w:rPr>
        <w:t xml:space="preserve"> </w:t>
      </w:r>
      <w:r w:rsidRPr="00300841">
        <w:rPr>
          <w:i/>
          <w:szCs w:val="24"/>
        </w:rPr>
        <w:t>Planta</w:t>
      </w:r>
      <w:r w:rsidRPr="00300841">
        <w:rPr>
          <w:szCs w:val="24"/>
        </w:rPr>
        <w:t xml:space="preserve">  </w:t>
      </w:r>
      <w:r w:rsidRPr="00300841">
        <w:rPr>
          <w:b/>
          <w:szCs w:val="24"/>
        </w:rPr>
        <w:t>216</w:t>
      </w:r>
      <w:r w:rsidRPr="00300841">
        <w:rPr>
          <w:szCs w:val="24"/>
        </w:rPr>
        <w:t>, 377-386.</w:t>
      </w:r>
    </w:p>
    <w:p w:rsidR="00300841" w:rsidRPr="00300841" w:rsidRDefault="00300841" w:rsidP="00300841">
      <w:pPr>
        <w:spacing w:after="0" w:line="240" w:lineRule="auto"/>
        <w:ind w:left="720" w:hanging="720"/>
        <w:rPr>
          <w:szCs w:val="24"/>
        </w:rPr>
      </w:pPr>
      <w:r w:rsidRPr="00300841">
        <w:rPr>
          <w:szCs w:val="24"/>
        </w:rPr>
        <w:t>Boller, T. (1995). Chemoperception of Microbial Signals in Plant Cells</w:t>
      </w:r>
      <w:r w:rsidRPr="00300841">
        <w:rPr>
          <w:i/>
          <w:szCs w:val="24"/>
        </w:rPr>
        <w:t>.</w:t>
      </w:r>
      <w:r w:rsidRPr="00300841">
        <w:rPr>
          <w:szCs w:val="24"/>
        </w:rPr>
        <w:t xml:space="preserve"> </w:t>
      </w:r>
      <w:r w:rsidRPr="00300841">
        <w:rPr>
          <w:i/>
          <w:szCs w:val="24"/>
        </w:rPr>
        <w:t>Annual Review of Plant Physiology and Plant Molecular Biology</w:t>
      </w:r>
      <w:r w:rsidRPr="00300841">
        <w:rPr>
          <w:szCs w:val="24"/>
        </w:rPr>
        <w:t xml:space="preserve">  </w:t>
      </w:r>
      <w:r w:rsidRPr="00300841">
        <w:rPr>
          <w:b/>
          <w:szCs w:val="24"/>
        </w:rPr>
        <w:t>46</w:t>
      </w:r>
      <w:r w:rsidRPr="00300841">
        <w:rPr>
          <w:szCs w:val="24"/>
        </w:rPr>
        <w:t>, 189-214.</w:t>
      </w:r>
    </w:p>
    <w:p w:rsidR="00300841" w:rsidRPr="00300841" w:rsidRDefault="00300841" w:rsidP="00300841">
      <w:pPr>
        <w:spacing w:after="0" w:line="240" w:lineRule="auto"/>
        <w:ind w:left="720" w:hanging="720"/>
        <w:rPr>
          <w:szCs w:val="24"/>
        </w:rPr>
      </w:pPr>
      <w:r w:rsidRPr="00300841">
        <w:rPr>
          <w:szCs w:val="24"/>
        </w:rPr>
        <w:t>Boller, T. and Felix, G. (2009). A Renaissance of Elicitors: Perception of Microbe-Associated Molecular Patterns and Danger Signals by Pattern-Recognition Receptors</w:t>
      </w:r>
      <w:r w:rsidRPr="00300841">
        <w:rPr>
          <w:i/>
          <w:szCs w:val="24"/>
        </w:rPr>
        <w:t>.</w:t>
      </w:r>
      <w:r w:rsidRPr="00300841">
        <w:rPr>
          <w:szCs w:val="24"/>
        </w:rPr>
        <w:t xml:space="preserve"> </w:t>
      </w:r>
      <w:r w:rsidRPr="00300841">
        <w:rPr>
          <w:i/>
          <w:szCs w:val="24"/>
        </w:rPr>
        <w:t>Annual Review of Plant Biology</w:t>
      </w:r>
      <w:r w:rsidRPr="00300841">
        <w:rPr>
          <w:szCs w:val="24"/>
        </w:rPr>
        <w:t xml:space="preserve">  </w:t>
      </w:r>
      <w:r w:rsidRPr="00300841">
        <w:rPr>
          <w:b/>
          <w:szCs w:val="24"/>
        </w:rPr>
        <w:t>60</w:t>
      </w:r>
      <w:r w:rsidRPr="00300841">
        <w:rPr>
          <w:szCs w:val="24"/>
        </w:rPr>
        <w:t>, 379-406.</w:t>
      </w:r>
    </w:p>
    <w:p w:rsidR="00300841" w:rsidRPr="00300841" w:rsidRDefault="00300841" w:rsidP="00300841">
      <w:pPr>
        <w:spacing w:after="0" w:line="240" w:lineRule="auto"/>
        <w:ind w:left="720" w:hanging="720"/>
        <w:rPr>
          <w:szCs w:val="24"/>
        </w:rPr>
      </w:pPr>
      <w:r w:rsidRPr="00300841">
        <w:rPr>
          <w:szCs w:val="24"/>
        </w:rPr>
        <w:t>Bolouri-Moghaddam, M.R., Le Roy, K., Xiang, L., Rolland, F. and Van den Ende, W. (2010). Sugar signalling and antioxidant network connections in plant cells</w:t>
      </w:r>
      <w:r w:rsidRPr="00300841">
        <w:rPr>
          <w:i/>
          <w:szCs w:val="24"/>
        </w:rPr>
        <w:t>.</w:t>
      </w:r>
      <w:r w:rsidRPr="00300841">
        <w:rPr>
          <w:szCs w:val="24"/>
        </w:rPr>
        <w:t xml:space="preserve"> </w:t>
      </w:r>
      <w:r w:rsidRPr="00300841">
        <w:rPr>
          <w:i/>
          <w:szCs w:val="24"/>
        </w:rPr>
        <w:t>The FEBS Journal</w:t>
      </w:r>
      <w:r w:rsidRPr="00300841">
        <w:rPr>
          <w:szCs w:val="24"/>
        </w:rPr>
        <w:t xml:space="preserve">  </w:t>
      </w:r>
      <w:r w:rsidRPr="00300841">
        <w:rPr>
          <w:b/>
          <w:szCs w:val="24"/>
        </w:rPr>
        <w:t>277</w:t>
      </w:r>
      <w:r w:rsidRPr="00300841">
        <w:rPr>
          <w:szCs w:val="24"/>
        </w:rPr>
        <w:t>, 2022-2037.</w:t>
      </w:r>
    </w:p>
    <w:p w:rsidR="00300841" w:rsidRPr="00300841" w:rsidRDefault="00300841" w:rsidP="00300841">
      <w:pPr>
        <w:spacing w:after="0" w:line="240" w:lineRule="auto"/>
        <w:ind w:left="720" w:hanging="720"/>
        <w:rPr>
          <w:szCs w:val="24"/>
        </w:rPr>
      </w:pPr>
      <w:r w:rsidRPr="00300841">
        <w:rPr>
          <w:szCs w:val="24"/>
        </w:rPr>
        <w:t xml:space="preserve">Bonneau, L., Ge, Y., Drury, G.E. and Gallois, P. (2008). What happened to plant caspases? </w:t>
      </w:r>
      <w:r w:rsidRPr="00300841">
        <w:rPr>
          <w:i/>
          <w:szCs w:val="24"/>
        </w:rPr>
        <w:t>Journal of Experimental Botany</w:t>
      </w:r>
      <w:r w:rsidRPr="00300841">
        <w:rPr>
          <w:szCs w:val="24"/>
        </w:rPr>
        <w:t xml:space="preserve">  </w:t>
      </w:r>
      <w:r w:rsidRPr="00300841">
        <w:rPr>
          <w:b/>
          <w:szCs w:val="24"/>
        </w:rPr>
        <w:t>59</w:t>
      </w:r>
      <w:r w:rsidRPr="00300841">
        <w:rPr>
          <w:szCs w:val="24"/>
        </w:rPr>
        <w:t>, 491-499.</w:t>
      </w:r>
    </w:p>
    <w:p w:rsidR="00300841" w:rsidRPr="00300841" w:rsidRDefault="00300841" w:rsidP="00300841">
      <w:pPr>
        <w:spacing w:after="0" w:line="240" w:lineRule="auto"/>
        <w:ind w:left="720" w:hanging="720"/>
        <w:rPr>
          <w:szCs w:val="24"/>
        </w:rPr>
      </w:pPr>
      <w:r w:rsidRPr="00300841">
        <w:rPr>
          <w:szCs w:val="24"/>
        </w:rPr>
        <w:t>Boren, M., Hoglund, A.-S., Bozhkov, P. and Jansson, C. (2006). Developmental regulation of a VEIDase caspase-like proteolytic activity in barley caryopsis</w:t>
      </w:r>
      <w:r w:rsidRPr="00300841">
        <w:rPr>
          <w:i/>
          <w:szCs w:val="24"/>
        </w:rPr>
        <w:t>.</w:t>
      </w:r>
      <w:r w:rsidRPr="00300841">
        <w:rPr>
          <w:szCs w:val="24"/>
        </w:rPr>
        <w:t xml:space="preserve"> </w:t>
      </w:r>
      <w:r w:rsidRPr="00300841">
        <w:rPr>
          <w:i/>
          <w:szCs w:val="24"/>
        </w:rPr>
        <w:t>Journal of Experimental Botany</w:t>
      </w:r>
      <w:r w:rsidRPr="00300841">
        <w:rPr>
          <w:szCs w:val="24"/>
        </w:rPr>
        <w:t xml:space="preserve">  </w:t>
      </w:r>
      <w:r w:rsidRPr="00300841">
        <w:rPr>
          <w:b/>
          <w:szCs w:val="24"/>
        </w:rPr>
        <w:t>57</w:t>
      </w:r>
      <w:r w:rsidRPr="00300841">
        <w:rPr>
          <w:szCs w:val="24"/>
        </w:rPr>
        <w:t>, 3747-3753.</w:t>
      </w:r>
    </w:p>
    <w:p w:rsidR="00300841" w:rsidRPr="00300841" w:rsidRDefault="00300841" w:rsidP="00300841">
      <w:pPr>
        <w:spacing w:after="0" w:line="240" w:lineRule="auto"/>
        <w:ind w:left="720" w:hanging="720"/>
        <w:rPr>
          <w:szCs w:val="24"/>
        </w:rPr>
      </w:pPr>
      <w:r w:rsidRPr="00300841">
        <w:rPr>
          <w:szCs w:val="24"/>
        </w:rPr>
        <w:t>Bouranis, D.L., Chorianopoulou, S.N., Siyiannis, V.F., Protonotarios, V.E. and Hawkesford, M.J. (2003). Aerenchyma formation in roots of maize during sulphate starvation</w:t>
      </w:r>
      <w:r w:rsidRPr="00300841">
        <w:rPr>
          <w:i/>
          <w:szCs w:val="24"/>
        </w:rPr>
        <w:t>.</w:t>
      </w:r>
      <w:r w:rsidRPr="00300841">
        <w:rPr>
          <w:szCs w:val="24"/>
        </w:rPr>
        <w:t xml:space="preserve"> </w:t>
      </w:r>
      <w:r w:rsidRPr="00300841">
        <w:rPr>
          <w:i/>
          <w:szCs w:val="24"/>
        </w:rPr>
        <w:t>Planta</w:t>
      </w:r>
      <w:r w:rsidRPr="00300841">
        <w:rPr>
          <w:szCs w:val="24"/>
        </w:rPr>
        <w:t xml:space="preserve">  </w:t>
      </w:r>
      <w:r w:rsidRPr="00300841">
        <w:rPr>
          <w:b/>
          <w:szCs w:val="24"/>
        </w:rPr>
        <w:t>217</w:t>
      </w:r>
      <w:r w:rsidRPr="00300841">
        <w:rPr>
          <w:szCs w:val="24"/>
        </w:rPr>
        <w:t>, 382-391.</w:t>
      </w:r>
    </w:p>
    <w:p w:rsidR="00300841" w:rsidRPr="00300841" w:rsidRDefault="00300841" w:rsidP="00300841">
      <w:pPr>
        <w:spacing w:after="0" w:line="240" w:lineRule="auto"/>
        <w:ind w:left="720" w:hanging="720"/>
        <w:rPr>
          <w:szCs w:val="24"/>
        </w:rPr>
      </w:pPr>
      <w:r w:rsidRPr="00300841">
        <w:rPr>
          <w:szCs w:val="24"/>
        </w:rPr>
        <w:t>Bowe, L.M., Coat, G.n.l. and dePamphilis, C.W. (2000). Phylogeny of seed plants based on all three genomic compartments: Extant gymnosperms are monophyletic and Gnetales' closest relatives are conifers</w:t>
      </w:r>
      <w:r w:rsidRPr="00300841">
        <w:rPr>
          <w:i/>
          <w:szCs w:val="24"/>
        </w:rPr>
        <w:t>.</w:t>
      </w:r>
      <w:r w:rsidRPr="00300841">
        <w:rPr>
          <w:szCs w:val="24"/>
        </w:rPr>
        <w:t xml:space="preserve"> </w:t>
      </w:r>
      <w:r w:rsidRPr="00300841">
        <w:rPr>
          <w:i/>
          <w:szCs w:val="24"/>
        </w:rPr>
        <w:t>Proceedings of the National Academy of Sciences of the United States of America</w:t>
      </w:r>
      <w:r w:rsidRPr="00300841">
        <w:rPr>
          <w:szCs w:val="24"/>
        </w:rPr>
        <w:t xml:space="preserve">  </w:t>
      </w:r>
      <w:r w:rsidRPr="00300841">
        <w:rPr>
          <w:b/>
          <w:szCs w:val="24"/>
        </w:rPr>
        <w:t>97</w:t>
      </w:r>
      <w:r w:rsidRPr="00300841">
        <w:rPr>
          <w:szCs w:val="24"/>
        </w:rPr>
        <w:t>, 4092-4097.</w:t>
      </w:r>
    </w:p>
    <w:p w:rsidR="00300841" w:rsidRPr="00300841" w:rsidRDefault="00300841" w:rsidP="00300841">
      <w:pPr>
        <w:spacing w:after="0" w:line="240" w:lineRule="auto"/>
        <w:ind w:left="720" w:hanging="720"/>
        <w:rPr>
          <w:szCs w:val="24"/>
        </w:rPr>
      </w:pPr>
      <w:r w:rsidRPr="00300841">
        <w:rPr>
          <w:szCs w:val="24"/>
        </w:rPr>
        <w:t>Bozhkov, P.V., Filonova, L.H. and Arnold, S.V. (2002). A key developmental switch during Norway spruce somatic embryogenesis is induced by withdrawal of growth regulators and is associated with cell death and extracellular acidification</w:t>
      </w:r>
      <w:r w:rsidRPr="00300841">
        <w:rPr>
          <w:i/>
          <w:szCs w:val="24"/>
        </w:rPr>
        <w:t>.</w:t>
      </w:r>
      <w:r w:rsidRPr="00300841">
        <w:rPr>
          <w:szCs w:val="24"/>
        </w:rPr>
        <w:t xml:space="preserve"> </w:t>
      </w:r>
      <w:r w:rsidRPr="00300841">
        <w:rPr>
          <w:i/>
          <w:szCs w:val="24"/>
        </w:rPr>
        <w:t>Biotechnology and Bioengineering</w:t>
      </w:r>
      <w:r w:rsidRPr="00300841">
        <w:rPr>
          <w:szCs w:val="24"/>
        </w:rPr>
        <w:t xml:space="preserve">  </w:t>
      </w:r>
      <w:r w:rsidRPr="00300841">
        <w:rPr>
          <w:b/>
          <w:szCs w:val="24"/>
        </w:rPr>
        <w:t>77</w:t>
      </w:r>
      <w:r w:rsidRPr="00300841">
        <w:rPr>
          <w:szCs w:val="24"/>
        </w:rPr>
        <w:t>, 658-667.</w:t>
      </w:r>
    </w:p>
    <w:p w:rsidR="00300841" w:rsidRPr="00300841" w:rsidRDefault="00300841" w:rsidP="00300841">
      <w:pPr>
        <w:spacing w:after="0" w:line="240" w:lineRule="auto"/>
        <w:ind w:left="720" w:hanging="720"/>
        <w:rPr>
          <w:rFonts w:asciiTheme="minorHAnsi" w:eastAsiaTheme="minorHAnsi" w:hAnsiTheme="minorHAnsi" w:cstheme="minorBidi"/>
        </w:rPr>
      </w:pPr>
      <w:r w:rsidRPr="00300841">
        <w:rPr>
          <w:szCs w:val="24"/>
        </w:rPr>
        <w:t xml:space="preserve">Bozhkov, P.V., Filonova L.H. and Suarez, M.F. (2005a) Programmed Cell Death in Plant Embryogenesis, </w:t>
      </w:r>
      <w:r w:rsidRPr="00300841">
        <w:rPr>
          <w:i/>
          <w:szCs w:val="24"/>
        </w:rPr>
        <w:t xml:space="preserve">Current Topics in Developmental Biology </w:t>
      </w:r>
      <w:r w:rsidRPr="00300841">
        <w:rPr>
          <w:b/>
          <w:i/>
          <w:szCs w:val="24"/>
        </w:rPr>
        <w:t>67</w:t>
      </w:r>
      <w:r w:rsidRPr="00300841">
        <w:rPr>
          <w:i/>
          <w:szCs w:val="24"/>
        </w:rPr>
        <w:t xml:space="preserve">, </w:t>
      </w:r>
      <w:r w:rsidRPr="00300841">
        <w:rPr>
          <w:szCs w:val="24"/>
        </w:rPr>
        <w:t>135-179</w:t>
      </w:r>
      <w:r w:rsidRPr="00300841">
        <w:rPr>
          <w:i/>
          <w:szCs w:val="24"/>
        </w:rPr>
        <w:t>.</w:t>
      </w:r>
    </w:p>
    <w:p w:rsidR="00300841" w:rsidRPr="00300841" w:rsidRDefault="00300841" w:rsidP="00300841">
      <w:pPr>
        <w:spacing w:after="0" w:line="240" w:lineRule="auto"/>
        <w:ind w:left="720" w:hanging="720"/>
        <w:rPr>
          <w:szCs w:val="24"/>
        </w:rPr>
      </w:pPr>
      <w:r w:rsidRPr="00300841">
        <w:rPr>
          <w:szCs w:val="24"/>
        </w:rPr>
        <w:t xml:space="preserve"> Bozhkov, P.V., Filonova, L.H., Suarez, M.F., Helmersson, A., Smertenko, A.P., Zhivotovsky, B. and von Arnold, S. (2003). VEIDase is a principal caspase-like activity involved in plant programmed cell death and essential for embryonic pattern formation</w:t>
      </w:r>
      <w:r w:rsidRPr="00300841">
        <w:rPr>
          <w:i/>
          <w:szCs w:val="24"/>
        </w:rPr>
        <w:t>.</w:t>
      </w:r>
      <w:r w:rsidRPr="00300841">
        <w:rPr>
          <w:szCs w:val="24"/>
        </w:rPr>
        <w:t xml:space="preserve"> </w:t>
      </w:r>
      <w:r w:rsidRPr="00300841">
        <w:rPr>
          <w:i/>
          <w:szCs w:val="24"/>
        </w:rPr>
        <w:t>Cell Death Differentiation</w:t>
      </w:r>
      <w:r w:rsidRPr="00300841">
        <w:rPr>
          <w:szCs w:val="24"/>
        </w:rPr>
        <w:t xml:space="preserve">  </w:t>
      </w:r>
      <w:r w:rsidRPr="00300841">
        <w:rPr>
          <w:b/>
          <w:szCs w:val="24"/>
        </w:rPr>
        <w:t>11</w:t>
      </w:r>
      <w:r w:rsidRPr="00300841">
        <w:rPr>
          <w:szCs w:val="24"/>
        </w:rPr>
        <w:t>, 175-182.</w:t>
      </w:r>
    </w:p>
    <w:p w:rsidR="00300841" w:rsidRPr="00300841" w:rsidRDefault="00300841" w:rsidP="00300841">
      <w:pPr>
        <w:spacing w:after="0" w:line="240" w:lineRule="auto"/>
        <w:ind w:left="720" w:hanging="720"/>
        <w:rPr>
          <w:szCs w:val="24"/>
        </w:rPr>
      </w:pPr>
      <w:r w:rsidRPr="00300841">
        <w:rPr>
          <w:szCs w:val="24"/>
        </w:rPr>
        <w:t>Bozhkov, P.V., Suarez, M.F., Filonova, L.H., Daniel, G., Zamyatnin, A.A., Rodriguez-Nieto, S., Zhivotovsky, B. and Smertenko, A. (2005b). Cysteine protease mcII-Pa executes programmed cell death during plant embryogenesis</w:t>
      </w:r>
      <w:r w:rsidRPr="00300841">
        <w:rPr>
          <w:i/>
          <w:szCs w:val="24"/>
        </w:rPr>
        <w:t>.</w:t>
      </w:r>
      <w:r w:rsidRPr="00300841">
        <w:rPr>
          <w:szCs w:val="24"/>
        </w:rPr>
        <w:t xml:space="preserve"> </w:t>
      </w:r>
      <w:r w:rsidRPr="00300841">
        <w:rPr>
          <w:i/>
          <w:szCs w:val="24"/>
        </w:rPr>
        <w:t>Proceedings of the National Academy of Sciences of the United States of America</w:t>
      </w:r>
      <w:r w:rsidRPr="00300841">
        <w:rPr>
          <w:szCs w:val="24"/>
        </w:rPr>
        <w:t xml:space="preserve">  </w:t>
      </w:r>
      <w:r w:rsidRPr="00300841">
        <w:rPr>
          <w:b/>
          <w:szCs w:val="24"/>
        </w:rPr>
        <w:t>102</w:t>
      </w:r>
      <w:r w:rsidRPr="00300841">
        <w:rPr>
          <w:szCs w:val="24"/>
        </w:rPr>
        <w:t>, 14463-14468.</w:t>
      </w:r>
    </w:p>
    <w:p w:rsidR="00300841" w:rsidRPr="00300841" w:rsidRDefault="00300841" w:rsidP="00300841">
      <w:pPr>
        <w:spacing w:after="0" w:line="240" w:lineRule="auto"/>
        <w:ind w:left="720" w:hanging="720"/>
        <w:rPr>
          <w:szCs w:val="24"/>
        </w:rPr>
      </w:pPr>
      <w:r w:rsidRPr="00300841">
        <w:rPr>
          <w:szCs w:val="24"/>
        </w:rPr>
        <w:t>Bras, M., Queenan, B. and Susin, S. (2005). Programmed cell death via mitochondria: Different modes of dying</w:t>
      </w:r>
      <w:r w:rsidRPr="00300841">
        <w:rPr>
          <w:i/>
          <w:szCs w:val="24"/>
        </w:rPr>
        <w:t>.</w:t>
      </w:r>
      <w:r w:rsidRPr="00300841">
        <w:rPr>
          <w:szCs w:val="24"/>
        </w:rPr>
        <w:t xml:space="preserve"> </w:t>
      </w:r>
      <w:r w:rsidRPr="00300841">
        <w:rPr>
          <w:i/>
          <w:szCs w:val="24"/>
        </w:rPr>
        <w:t>Biochemistry (Moscow)</w:t>
      </w:r>
      <w:r w:rsidRPr="00300841">
        <w:rPr>
          <w:szCs w:val="24"/>
        </w:rPr>
        <w:t xml:space="preserve">  </w:t>
      </w:r>
      <w:r w:rsidRPr="00300841">
        <w:rPr>
          <w:b/>
          <w:szCs w:val="24"/>
        </w:rPr>
        <w:t>70</w:t>
      </w:r>
      <w:r w:rsidRPr="00300841">
        <w:rPr>
          <w:szCs w:val="24"/>
        </w:rPr>
        <w:t>, 231-239.</w:t>
      </w:r>
    </w:p>
    <w:p w:rsidR="00300841" w:rsidRPr="00300841" w:rsidRDefault="00300841" w:rsidP="00300841">
      <w:pPr>
        <w:spacing w:after="0" w:line="240" w:lineRule="auto"/>
        <w:ind w:left="720" w:hanging="720"/>
        <w:rPr>
          <w:szCs w:val="24"/>
        </w:rPr>
      </w:pPr>
      <w:r w:rsidRPr="00300841">
        <w:rPr>
          <w:szCs w:val="24"/>
        </w:rPr>
        <w:t>Brash, D.E. (1997). Sunlight and the onset of skin cancer</w:t>
      </w:r>
      <w:r w:rsidRPr="00300841">
        <w:rPr>
          <w:i/>
          <w:szCs w:val="24"/>
        </w:rPr>
        <w:t>.</w:t>
      </w:r>
      <w:r w:rsidRPr="00300841">
        <w:rPr>
          <w:szCs w:val="24"/>
        </w:rPr>
        <w:t xml:space="preserve"> </w:t>
      </w:r>
      <w:r w:rsidRPr="00300841">
        <w:rPr>
          <w:i/>
          <w:szCs w:val="24"/>
        </w:rPr>
        <w:t>Trends in Genetics</w:t>
      </w:r>
      <w:r w:rsidRPr="00300841">
        <w:rPr>
          <w:szCs w:val="24"/>
        </w:rPr>
        <w:t xml:space="preserve">  </w:t>
      </w:r>
      <w:r w:rsidRPr="00300841">
        <w:rPr>
          <w:b/>
          <w:szCs w:val="24"/>
        </w:rPr>
        <w:t>13</w:t>
      </w:r>
      <w:r w:rsidRPr="00300841">
        <w:rPr>
          <w:szCs w:val="24"/>
        </w:rPr>
        <w:t>, 410-414.</w:t>
      </w:r>
    </w:p>
    <w:p w:rsidR="00300841" w:rsidRPr="00300841" w:rsidRDefault="00300841" w:rsidP="00300841">
      <w:pPr>
        <w:spacing w:after="0" w:line="240" w:lineRule="auto"/>
        <w:ind w:left="720" w:hanging="720"/>
        <w:rPr>
          <w:szCs w:val="24"/>
        </w:rPr>
      </w:pPr>
      <w:r w:rsidRPr="00300841">
        <w:rPr>
          <w:szCs w:val="24"/>
        </w:rPr>
        <w:t>Brighigna, L. (1974). The ultrastructure of plasmodesmata in sucking scale in Tillandsia</w:t>
      </w:r>
      <w:r w:rsidRPr="00300841">
        <w:rPr>
          <w:i/>
          <w:szCs w:val="24"/>
        </w:rPr>
        <w:t>.</w:t>
      </w:r>
      <w:r w:rsidRPr="00300841">
        <w:rPr>
          <w:szCs w:val="24"/>
        </w:rPr>
        <w:t xml:space="preserve"> </w:t>
      </w:r>
      <w:r w:rsidRPr="00300841">
        <w:rPr>
          <w:i/>
          <w:szCs w:val="24"/>
        </w:rPr>
        <w:t>Caryologia</w:t>
      </w:r>
      <w:r w:rsidRPr="00300841">
        <w:rPr>
          <w:szCs w:val="24"/>
        </w:rPr>
        <w:t xml:space="preserve">  </w:t>
      </w:r>
      <w:r w:rsidRPr="00300841">
        <w:rPr>
          <w:b/>
          <w:szCs w:val="24"/>
        </w:rPr>
        <w:t>27</w:t>
      </w:r>
      <w:r w:rsidRPr="00300841">
        <w:rPr>
          <w:szCs w:val="24"/>
        </w:rPr>
        <w:t>, 369-77.</w:t>
      </w:r>
    </w:p>
    <w:p w:rsidR="00300841" w:rsidRPr="00300841" w:rsidRDefault="00300841" w:rsidP="00300841">
      <w:pPr>
        <w:spacing w:after="0" w:line="240" w:lineRule="auto"/>
        <w:ind w:left="720" w:hanging="720"/>
        <w:rPr>
          <w:szCs w:val="24"/>
        </w:rPr>
      </w:pPr>
      <w:r w:rsidRPr="00300841">
        <w:rPr>
          <w:szCs w:val="24"/>
        </w:rPr>
        <w:t>Brill, A., Torchinsky, A., Carp, H. and Toder, V. (1999). The Role of Apoptosis in Normal and Abnormal Embryonic Development</w:t>
      </w:r>
      <w:r w:rsidRPr="00300841">
        <w:rPr>
          <w:i/>
          <w:szCs w:val="24"/>
        </w:rPr>
        <w:t>.</w:t>
      </w:r>
      <w:r w:rsidRPr="00300841">
        <w:rPr>
          <w:szCs w:val="24"/>
        </w:rPr>
        <w:t xml:space="preserve"> </w:t>
      </w:r>
      <w:r w:rsidRPr="00300841">
        <w:rPr>
          <w:i/>
          <w:szCs w:val="24"/>
        </w:rPr>
        <w:t>Journal of Assisted Reproduction and Genetics</w:t>
      </w:r>
      <w:r w:rsidRPr="00300841">
        <w:rPr>
          <w:szCs w:val="24"/>
        </w:rPr>
        <w:t xml:space="preserve">  </w:t>
      </w:r>
      <w:r w:rsidRPr="00300841">
        <w:rPr>
          <w:b/>
          <w:szCs w:val="24"/>
        </w:rPr>
        <w:t>16</w:t>
      </w:r>
      <w:r w:rsidRPr="00300841">
        <w:rPr>
          <w:szCs w:val="24"/>
        </w:rPr>
        <w:t>, 512-519.</w:t>
      </w:r>
    </w:p>
    <w:p w:rsidR="00300841" w:rsidRPr="00300841" w:rsidRDefault="00300841" w:rsidP="00300841">
      <w:pPr>
        <w:spacing w:after="0" w:line="240" w:lineRule="auto"/>
        <w:ind w:left="720" w:hanging="720"/>
        <w:rPr>
          <w:szCs w:val="24"/>
        </w:rPr>
      </w:pPr>
      <w:r w:rsidRPr="00300841">
        <w:rPr>
          <w:szCs w:val="24"/>
        </w:rPr>
        <w:t xml:space="preserve">Brodersen, P., Petersen, M., Pike, H.M., Olszak, B., Skov, S.r., </w:t>
      </w:r>
      <w:r w:rsidRPr="00300841">
        <w:rPr>
          <w:rFonts w:asciiTheme="minorHAnsi" w:eastAsiaTheme="minorHAnsi" w:hAnsiTheme="minorHAnsi" w:cstheme="minorBidi"/>
        </w:rPr>
        <w:t>Ødum</w:t>
      </w:r>
      <w:r w:rsidRPr="00300841">
        <w:rPr>
          <w:szCs w:val="24"/>
        </w:rPr>
        <w:t xml:space="preserve">, N., </w:t>
      </w:r>
      <w:r w:rsidRPr="00300841">
        <w:rPr>
          <w:rFonts w:asciiTheme="minorHAnsi" w:eastAsiaTheme="minorHAnsi" w:hAnsiTheme="minorHAnsi" w:cstheme="minorBidi"/>
        </w:rPr>
        <w:t>Jørgensen</w:t>
      </w:r>
      <w:r w:rsidRPr="00300841">
        <w:rPr>
          <w:szCs w:val="24"/>
        </w:rPr>
        <w:t xml:space="preserve">, L.B., Brown, R.E. and Mundy, J. (2002). Knockout of </w:t>
      </w:r>
      <w:r w:rsidRPr="00300841">
        <w:rPr>
          <w:i/>
          <w:szCs w:val="24"/>
        </w:rPr>
        <w:t>Arabidopsis</w:t>
      </w:r>
      <w:r w:rsidRPr="00300841">
        <w:rPr>
          <w:szCs w:val="24"/>
        </w:rPr>
        <w:t xml:space="preserve"> ACCELERATED-CELL-DEATH11 encoding a sphingosine transfer protein causes activation of programmed cell death and defense</w:t>
      </w:r>
      <w:r w:rsidRPr="00300841">
        <w:rPr>
          <w:i/>
          <w:szCs w:val="24"/>
        </w:rPr>
        <w:t>.</w:t>
      </w:r>
      <w:r w:rsidRPr="00300841">
        <w:rPr>
          <w:szCs w:val="24"/>
        </w:rPr>
        <w:t xml:space="preserve"> </w:t>
      </w:r>
      <w:r w:rsidRPr="00300841">
        <w:rPr>
          <w:i/>
          <w:szCs w:val="24"/>
        </w:rPr>
        <w:t>Genes &amp; Development</w:t>
      </w:r>
      <w:r w:rsidRPr="00300841">
        <w:rPr>
          <w:szCs w:val="24"/>
        </w:rPr>
        <w:t xml:space="preserve">  </w:t>
      </w:r>
      <w:r w:rsidRPr="00300841">
        <w:rPr>
          <w:b/>
          <w:szCs w:val="24"/>
        </w:rPr>
        <w:t>16</w:t>
      </w:r>
      <w:r w:rsidRPr="00300841">
        <w:rPr>
          <w:szCs w:val="24"/>
        </w:rPr>
        <w:t>, 490-502.</w:t>
      </w:r>
    </w:p>
    <w:p w:rsidR="00300841" w:rsidRPr="00300841" w:rsidRDefault="00300841" w:rsidP="00300841">
      <w:pPr>
        <w:spacing w:after="0" w:line="240" w:lineRule="auto"/>
        <w:ind w:left="720" w:hanging="720"/>
        <w:rPr>
          <w:szCs w:val="24"/>
        </w:rPr>
      </w:pPr>
      <w:r w:rsidRPr="00300841">
        <w:rPr>
          <w:szCs w:val="24"/>
        </w:rPr>
        <w:t>Brunner, F., Rosahl, S., Lee, J., Rudd, J.J., Geiler, C., Kauppinen, S., Rasmussen, G., Scheel, D. and Nurnberger, T. (2002). Pep-13, a plant defense-inducing pathogen-associated pattern from Phytophthora transglutaminases</w:t>
      </w:r>
      <w:r w:rsidRPr="00300841">
        <w:rPr>
          <w:i/>
          <w:szCs w:val="24"/>
        </w:rPr>
        <w:t>.</w:t>
      </w:r>
      <w:r w:rsidRPr="00300841">
        <w:rPr>
          <w:szCs w:val="24"/>
        </w:rPr>
        <w:t xml:space="preserve"> </w:t>
      </w:r>
      <w:r w:rsidRPr="00300841">
        <w:rPr>
          <w:i/>
          <w:szCs w:val="24"/>
        </w:rPr>
        <w:t>EMBO Journal</w:t>
      </w:r>
      <w:r w:rsidRPr="00300841">
        <w:rPr>
          <w:szCs w:val="24"/>
        </w:rPr>
        <w:t xml:space="preserve">  </w:t>
      </w:r>
      <w:r w:rsidRPr="00300841">
        <w:rPr>
          <w:b/>
          <w:szCs w:val="24"/>
        </w:rPr>
        <w:t>21</w:t>
      </w:r>
      <w:r w:rsidRPr="00300841">
        <w:rPr>
          <w:szCs w:val="24"/>
        </w:rPr>
        <w:t>, 6681-6688.</w:t>
      </w:r>
    </w:p>
    <w:p w:rsidR="00300841" w:rsidRPr="00300841" w:rsidRDefault="00300841" w:rsidP="00300841">
      <w:pPr>
        <w:spacing w:after="0" w:line="240" w:lineRule="auto"/>
        <w:ind w:left="720" w:hanging="720"/>
        <w:rPr>
          <w:szCs w:val="24"/>
        </w:rPr>
      </w:pPr>
      <w:r w:rsidRPr="00300841">
        <w:rPr>
          <w:szCs w:val="24"/>
        </w:rPr>
        <w:t>Burbridge, E., Diamond, M., Dix, P.J. and McCabe, P.F. (2006). Use of cell morphology to evaluate the effect of a peroxidase gene on cell death induction thresholds in tobacco</w:t>
      </w:r>
      <w:r w:rsidRPr="00300841">
        <w:rPr>
          <w:i/>
          <w:szCs w:val="24"/>
        </w:rPr>
        <w:t>.</w:t>
      </w:r>
      <w:r w:rsidRPr="00300841">
        <w:rPr>
          <w:szCs w:val="24"/>
        </w:rPr>
        <w:t xml:space="preserve"> </w:t>
      </w:r>
      <w:r w:rsidRPr="00300841">
        <w:rPr>
          <w:i/>
          <w:szCs w:val="24"/>
        </w:rPr>
        <w:t>Plant Science</w:t>
      </w:r>
      <w:r w:rsidRPr="00300841">
        <w:rPr>
          <w:szCs w:val="24"/>
        </w:rPr>
        <w:t xml:space="preserve">  </w:t>
      </w:r>
      <w:r w:rsidRPr="00300841">
        <w:rPr>
          <w:b/>
          <w:szCs w:val="24"/>
        </w:rPr>
        <w:t>171</w:t>
      </w:r>
      <w:r w:rsidRPr="00300841">
        <w:rPr>
          <w:szCs w:val="24"/>
        </w:rPr>
        <w:t>, 139-146.</w:t>
      </w:r>
    </w:p>
    <w:p w:rsidR="00300841" w:rsidRPr="00300841" w:rsidRDefault="00300841" w:rsidP="00300841">
      <w:pPr>
        <w:spacing w:after="0" w:line="240" w:lineRule="auto"/>
        <w:ind w:left="720" w:hanging="720"/>
        <w:rPr>
          <w:szCs w:val="24"/>
        </w:rPr>
      </w:pPr>
      <w:r w:rsidRPr="00300841">
        <w:rPr>
          <w:szCs w:val="24"/>
        </w:rPr>
        <w:t xml:space="preserve">Cacas, J.-L. (2010). Devil inside: does plant programmed cell death involve the endomembrane system? </w:t>
      </w:r>
      <w:r w:rsidRPr="00300841">
        <w:rPr>
          <w:i/>
          <w:szCs w:val="24"/>
        </w:rPr>
        <w:t>Plant, Cell &amp; Environment</w:t>
      </w:r>
      <w:r w:rsidRPr="00300841">
        <w:rPr>
          <w:szCs w:val="24"/>
        </w:rPr>
        <w:t xml:space="preserve">  </w:t>
      </w:r>
      <w:r w:rsidRPr="00300841">
        <w:rPr>
          <w:b/>
          <w:szCs w:val="24"/>
        </w:rPr>
        <w:t xml:space="preserve">33, </w:t>
      </w:r>
      <w:r w:rsidRPr="00300841">
        <w:rPr>
          <w:rFonts w:asciiTheme="minorHAnsi" w:eastAsiaTheme="minorHAnsi" w:hAnsiTheme="minorHAnsi" w:cstheme="minorBidi"/>
        </w:rPr>
        <w:t>1453–1473.</w:t>
      </w:r>
    </w:p>
    <w:p w:rsidR="00300841" w:rsidRPr="00300841" w:rsidRDefault="00300841" w:rsidP="00300841">
      <w:pPr>
        <w:spacing w:after="0" w:line="240" w:lineRule="auto"/>
        <w:ind w:left="720" w:hanging="720"/>
        <w:rPr>
          <w:szCs w:val="24"/>
        </w:rPr>
      </w:pPr>
      <w:r w:rsidRPr="00300841">
        <w:rPr>
          <w:szCs w:val="24"/>
        </w:rPr>
        <w:t xml:space="preserve">Cacas, J.-L. and Diamond, M. (2009). Is the autophagy machinery an executioner of programmed cell death in plants? </w:t>
      </w:r>
      <w:r w:rsidRPr="00300841">
        <w:rPr>
          <w:i/>
          <w:szCs w:val="24"/>
        </w:rPr>
        <w:t>Trends in Plant Science</w:t>
      </w:r>
      <w:r w:rsidRPr="00300841">
        <w:rPr>
          <w:szCs w:val="24"/>
        </w:rPr>
        <w:t xml:space="preserve">  </w:t>
      </w:r>
      <w:r w:rsidRPr="00300841">
        <w:rPr>
          <w:b/>
          <w:szCs w:val="24"/>
        </w:rPr>
        <w:t>14</w:t>
      </w:r>
      <w:r w:rsidRPr="00300841">
        <w:rPr>
          <w:szCs w:val="24"/>
        </w:rPr>
        <w:t>, 299-300.</w:t>
      </w:r>
    </w:p>
    <w:p w:rsidR="00300841" w:rsidRPr="00300841" w:rsidRDefault="00300841" w:rsidP="00300841">
      <w:pPr>
        <w:spacing w:after="0" w:line="240" w:lineRule="auto"/>
        <w:ind w:left="720" w:hanging="720"/>
        <w:rPr>
          <w:szCs w:val="24"/>
        </w:rPr>
      </w:pPr>
      <w:r w:rsidRPr="00300841">
        <w:rPr>
          <w:szCs w:val="24"/>
        </w:rPr>
        <w:t>Cairney, J. and Pullman, G.S. (2007). The cellular and molecular biology of conifer embryogenesis</w:t>
      </w:r>
      <w:r w:rsidRPr="00300841">
        <w:rPr>
          <w:i/>
          <w:szCs w:val="24"/>
        </w:rPr>
        <w:t>.</w:t>
      </w:r>
      <w:r w:rsidRPr="00300841">
        <w:rPr>
          <w:szCs w:val="24"/>
        </w:rPr>
        <w:t xml:space="preserve"> </w:t>
      </w:r>
      <w:r w:rsidRPr="00300841">
        <w:rPr>
          <w:i/>
          <w:szCs w:val="24"/>
        </w:rPr>
        <w:t>New Phytologist</w:t>
      </w:r>
      <w:r w:rsidRPr="00300841">
        <w:rPr>
          <w:szCs w:val="24"/>
        </w:rPr>
        <w:t xml:space="preserve">  </w:t>
      </w:r>
      <w:r w:rsidRPr="00300841">
        <w:rPr>
          <w:b/>
          <w:szCs w:val="24"/>
        </w:rPr>
        <w:t>176</w:t>
      </w:r>
      <w:r w:rsidRPr="00300841">
        <w:rPr>
          <w:szCs w:val="24"/>
        </w:rPr>
        <w:t>, 511-536.</w:t>
      </w:r>
    </w:p>
    <w:p w:rsidR="00300841" w:rsidRPr="00300841" w:rsidRDefault="00300841" w:rsidP="00300841">
      <w:pPr>
        <w:spacing w:after="0" w:line="240" w:lineRule="auto"/>
        <w:ind w:left="720" w:hanging="720"/>
        <w:rPr>
          <w:szCs w:val="24"/>
        </w:rPr>
      </w:pPr>
      <w:r w:rsidRPr="00300841">
        <w:rPr>
          <w:szCs w:val="24"/>
        </w:rPr>
        <w:t>Camacho-Pereira, J., Meyer, L.E., Machado, L.B., Oliveira, M.F. and Galina, A. (2009). Reactive Oxygen Species Production by Potato Tuber Mitochondria Is Modulated by Mitochondrially Bound Hexokinase Activity</w:t>
      </w:r>
      <w:r w:rsidRPr="00300841">
        <w:rPr>
          <w:i/>
          <w:szCs w:val="24"/>
        </w:rPr>
        <w:t>.</w:t>
      </w:r>
      <w:r w:rsidRPr="00300841">
        <w:rPr>
          <w:szCs w:val="24"/>
        </w:rPr>
        <w:t xml:space="preserve"> </w:t>
      </w:r>
      <w:r w:rsidRPr="00300841">
        <w:rPr>
          <w:i/>
          <w:szCs w:val="24"/>
        </w:rPr>
        <w:t>Plant Physiology</w:t>
      </w:r>
      <w:r w:rsidRPr="00300841">
        <w:rPr>
          <w:szCs w:val="24"/>
        </w:rPr>
        <w:t xml:space="preserve">  </w:t>
      </w:r>
      <w:r w:rsidRPr="00300841">
        <w:rPr>
          <w:b/>
          <w:szCs w:val="24"/>
        </w:rPr>
        <w:t>149</w:t>
      </w:r>
      <w:r w:rsidRPr="00300841">
        <w:rPr>
          <w:szCs w:val="24"/>
        </w:rPr>
        <w:t>, 1099-1110.</w:t>
      </w:r>
    </w:p>
    <w:p w:rsidR="00300841" w:rsidRPr="00300841" w:rsidRDefault="00300841" w:rsidP="00300841">
      <w:pPr>
        <w:spacing w:after="0" w:line="240" w:lineRule="auto"/>
        <w:ind w:left="720" w:hanging="720"/>
        <w:rPr>
          <w:szCs w:val="24"/>
        </w:rPr>
      </w:pPr>
      <w:r w:rsidRPr="00300841">
        <w:rPr>
          <w:szCs w:val="24"/>
        </w:rPr>
        <w:t xml:space="preserve">Campbell, R. and Drew, M.C. (1983). Electron microscopy of gas space (aerenchyma) formation in adventitious roots of </w:t>
      </w:r>
      <w:r w:rsidRPr="00300841">
        <w:rPr>
          <w:i/>
          <w:szCs w:val="24"/>
        </w:rPr>
        <w:t>Zea mays</w:t>
      </w:r>
      <w:r w:rsidRPr="00300841">
        <w:rPr>
          <w:szCs w:val="24"/>
        </w:rPr>
        <w:t xml:space="preserve"> L. subjected to oxygen shortage</w:t>
      </w:r>
      <w:r w:rsidRPr="00300841">
        <w:rPr>
          <w:i/>
          <w:szCs w:val="24"/>
        </w:rPr>
        <w:t>.</w:t>
      </w:r>
      <w:r w:rsidRPr="00300841">
        <w:rPr>
          <w:szCs w:val="24"/>
        </w:rPr>
        <w:t xml:space="preserve"> </w:t>
      </w:r>
      <w:r w:rsidRPr="00300841">
        <w:rPr>
          <w:i/>
          <w:szCs w:val="24"/>
        </w:rPr>
        <w:t>Planta</w:t>
      </w:r>
      <w:r w:rsidRPr="00300841">
        <w:rPr>
          <w:szCs w:val="24"/>
        </w:rPr>
        <w:t xml:space="preserve">  </w:t>
      </w:r>
      <w:r w:rsidRPr="00300841">
        <w:rPr>
          <w:b/>
          <w:szCs w:val="24"/>
        </w:rPr>
        <w:t>157</w:t>
      </w:r>
      <w:r w:rsidRPr="00300841">
        <w:rPr>
          <w:szCs w:val="24"/>
        </w:rPr>
        <w:t>, 350-357.</w:t>
      </w:r>
    </w:p>
    <w:p w:rsidR="00300841" w:rsidRPr="00300841" w:rsidRDefault="00300841" w:rsidP="00300841">
      <w:pPr>
        <w:spacing w:after="0" w:line="240" w:lineRule="auto"/>
        <w:ind w:left="720" w:hanging="720"/>
        <w:rPr>
          <w:szCs w:val="24"/>
        </w:rPr>
      </w:pPr>
      <w:r w:rsidRPr="00300841">
        <w:rPr>
          <w:szCs w:val="24"/>
        </w:rPr>
        <w:t>Canetti, L., Lomaniec, E., Elkind, Y. and Lers, A. (2002). Nuclease activities associated with dark-induced and natural leaf senescence in parsley</w:t>
      </w:r>
      <w:r w:rsidRPr="00300841">
        <w:rPr>
          <w:i/>
          <w:szCs w:val="24"/>
        </w:rPr>
        <w:t>.</w:t>
      </w:r>
      <w:r w:rsidRPr="00300841">
        <w:rPr>
          <w:szCs w:val="24"/>
        </w:rPr>
        <w:t xml:space="preserve"> </w:t>
      </w:r>
      <w:r w:rsidRPr="00300841">
        <w:rPr>
          <w:i/>
          <w:szCs w:val="24"/>
        </w:rPr>
        <w:t>Plant Science</w:t>
      </w:r>
      <w:r w:rsidRPr="00300841">
        <w:rPr>
          <w:szCs w:val="24"/>
        </w:rPr>
        <w:t xml:space="preserve">  </w:t>
      </w:r>
      <w:r w:rsidRPr="00300841">
        <w:rPr>
          <w:b/>
          <w:szCs w:val="24"/>
        </w:rPr>
        <w:t>163</w:t>
      </w:r>
      <w:r w:rsidRPr="00300841">
        <w:rPr>
          <w:szCs w:val="24"/>
        </w:rPr>
        <w:t>, 873-880.</w:t>
      </w:r>
    </w:p>
    <w:p w:rsidR="00300841" w:rsidRPr="00300841" w:rsidRDefault="00300841" w:rsidP="00300841">
      <w:pPr>
        <w:spacing w:after="0" w:line="240" w:lineRule="auto"/>
        <w:ind w:left="720" w:hanging="720"/>
        <w:rPr>
          <w:szCs w:val="24"/>
        </w:rPr>
      </w:pPr>
      <w:r w:rsidRPr="00300841">
        <w:rPr>
          <w:szCs w:val="24"/>
        </w:rPr>
        <w:t xml:space="preserve">Cao, J., He, X.-Q., Wang, Y.-Q., Sodmergen and Cui, K.-M. (2003). Programmed Cell Death During Secondary Xylem Differentiation in </w:t>
      </w:r>
      <w:r w:rsidRPr="00300841">
        <w:rPr>
          <w:i/>
          <w:szCs w:val="24"/>
        </w:rPr>
        <w:t>Eucommia ulmoides.</w:t>
      </w:r>
      <w:r w:rsidRPr="00300841">
        <w:rPr>
          <w:szCs w:val="24"/>
        </w:rPr>
        <w:t xml:space="preserve"> </w:t>
      </w:r>
      <w:r w:rsidRPr="00300841">
        <w:rPr>
          <w:i/>
          <w:szCs w:val="24"/>
        </w:rPr>
        <w:t>Acta Botanica Sinica</w:t>
      </w:r>
      <w:r w:rsidRPr="00300841">
        <w:rPr>
          <w:szCs w:val="24"/>
        </w:rPr>
        <w:t xml:space="preserve">  </w:t>
      </w:r>
      <w:r w:rsidRPr="00300841">
        <w:rPr>
          <w:b/>
          <w:szCs w:val="24"/>
        </w:rPr>
        <w:t>45</w:t>
      </w:r>
      <w:r w:rsidRPr="00300841">
        <w:rPr>
          <w:szCs w:val="24"/>
        </w:rPr>
        <w:t>, 1465-1474.</w:t>
      </w:r>
    </w:p>
    <w:p w:rsidR="00300841" w:rsidRPr="00300841" w:rsidRDefault="00300841" w:rsidP="00300841">
      <w:pPr>
        <w:spacing w:after="0" w:line="240" w:lineRule="auto"/>
        <w:ind w:left="720" w:hanging="720"/>
        <w:rPr>
          <w:szCs w:val="24"/>
        </w:rPr>
      </w:pPr>
      <w:r w:rsidRPr="00300841">
        <w:rPr>
          <w:szCs w:val="24"/>
        </w:rPr>
        <w:t>Caporali, L. (1983). Cytological study of cultured cells from maize root cap</w:t>
      </w:r>
      <w:r w:rsidRPr="00300841">
        <w:rPr>
          <w:i/>
          <w:szCs w:val="24"/>
        </w:rPr>
        <w:t>.</w:t>
      </w:r>
      <w:r w:rsidRPr="00300841">
        <w:rPr>
          <w:szCs w:val="24"/>
        </w:rPr>
        <w:t xml:space="preserve"> </w:t>
      </w:r>
      <w:r w:rsidRPr="00300841">
        <w:rPr>
          <w:i/>
          <w:szCs w:val="24"/>
        </w:rPr>
        <w:t>Plant Science Letters</w:t>
      </w:r>
      <w:r w:rsidRPr="00300841">
        <w:rPr>
          <w:szCs w:val="24"/>
        </w:rPr>
        <w:t xml:space="preserve">  </w:t>
      </w:r>
      <w:r w:rsidRPr="00300841">
        <w:rPr>
          <w:b/>
          <w:szCs w:val="24"/>
        </w:rPr>
        <w:t>31</w:t>
      </w:r>
      <w:r w:rsidRPr="00300841">
        <w:rPr>
          <w:szCs w:val="24"/>
        </w:rPr>
        <w:t>, 231-236.</w:t>
      </w:r>
    </w:p>
    <w:p w:rsidR="00300841" w:rsidRPr="00300841" w:rsidRDefault="00300841" w:rsidP="00300841">
      <w:pPr>
        <w:spacing w:after="0" w:line="240" w:lineRule="auto"/>
        <w:ind w:left="720" w:hanging="720"/>
        <w:rPr>
          <w:szCs w:val="24"/>
        </w:rPr>
      </w:pPr>
      <w:r w:rsidRPr="00300841">
        <w:rPr>
          <w:szCs w:val="24"/>
        </w:rPr>
        <w:t>Catanzariti, A.-M., Dodds, P.N., Ellis, J.G. and Staskawicz, B.J. (2010). The interaction of avirulence and resistance gene products in flax rust disease - providing advances in rust research</w:t>
      </w:r>
      <w:r w:rsidRPr="00300841">
        <w:rPr>
          <w:i/>
          <w:szCs w:val="24"/>
        </w:rPr>
        <w:t>.</w:t>
      </w:r>
      <w:r w:rsidRPr="00300841">
        <w:rPr>
          <w:szCs w:val="24"/>
        </w:rPr>
        <w:t xml:space="preserve"> </w:t>
      </w:r>
      <w:r w:rsidRPr="00300841">
        <w:rPr>
          <w:i/>
          <w:szCs w:val="24"/>
        </w:rPr>
        <w:t>Canadian Journal of Plant Pathology</w:t>
      </w:r>
      <w:r w:rsidRPr="00300841">
        <w:rPr>
          <w:szCs w:val="24"/>
        </w:rPr>
        <w:t xml:space="preserve">  </w:t>
      </w:r>
      <w:r w:rsidRPr="00300841">
        <w:rPr>
          <w:b/>
          <w:szCs w:val="24"/>
        </w:rPr>
        <w:t>32</w:t>
      </w:r>
      <w:r w:rsidRPr="00300841">
        <w:rPr>
          <w:szCs w:val="24"/>
        </w:rPr>
        <w:t>, 11 - 19.</w:t>
      </w:r>
    </w:p>
    <w:p w:rsidR="00300841" w:rsidRPr="00300841" w:rsidRDefault="00300841" w:rsidP="00300841">
      <w:pPr>
        <w:spacing w:after="0" w:line="240" w:lineRule="auto"/>
        <w:ind w:left="720" w:hanging="720"/>
        <w:rPr>
          <w:szCs w:val="24"/>
        </w:rPr>
      </w:pPr>
      <w:r w:rsidRPr="00300841">
        <w:rPr>
          <w:szCs w:val="24"/>
        </w:rPr>
        <w:t xml:space="preserve">Cecchetti, V., Altamura, M.M., Falasca, G., Costantino, P. and Cardarelli, M. (2008). Auxin Regulates </w:t>
      </w:r>
      <w:r w:rsidRPr="00300841">
        <w:rPr>
          <w:i/>
          <w:szCs w:val="24"/>
        </w:rPr>
        <w:t>Arabidopsis</w:t>
      </w:r>
      <w:r w:rsidRPr="00300841">
        <w:rPr>
          <w:szCs w:val="24"/>
        </w:rPr>
        <w:t xml:space="preserve"> Anther Dehiscence, Pollen Maturation, and Filament Elongation</w:t>
      </w:r>
      <w:r w:rsidRPr="00300841">
        <w:rPr>
          <w:i/>
          <w:szCs w:val="24"/>
        </w:rPr>
        <w:t>.</w:t>
      </w:r>
      <w:r w:rsidRPr="00300841">
        <w:rPr>
          <w:szCs w:val="24"/>
        </w:rPr>
        <w:t xml:space="preserve"> </w:t>
      </w:r>
      <w:r w:rsidRPr="00300841">
        <w:rPr>
          <w:i/>
          <w:szCs w:val="24"/>
        </w:rPr>
        <w:t>Plant Cell</w:t>
      </w:r>
      <w:r w:rsidRPr="00300841">
        <w:rPr>
          <w:szCs w:val="24"/>
        </w:rPr>
        <w:t xml:space="preserve">  </w:t>
      </w:r>
      <w:r w:rsidRPr="00300841">
        <w:rPr>
          <w:b/>
          <w:szCs w:val="24"/>
        </w:rPr>
        <w:t>20</w:t>
      </w:r>
      <w:r w:rsidRPr="00300841">
        <w:rPr>
          <w:szCs w:val="24"/>
        </w:rPr>
        <w:t>, 1760-1774.</w:t>
      </w:r>
    </w:p>
    <w:p w:rsidR="00300841" w:rsidRPr="00300841" w:rsidRDefault="00300841" w:rsidP="00300841">
      <w:pPr>
        <w:spacing w:after="0" w:line="240" w:lineRule="auto"/>
        <w:ind w:left="720" w:hanging="720"/>
        <w:rPr>
          <w:szCs w:val="24"/>
        </w:rPr>
      </w:pPr>
      <w:r w:rsidRPr="00300841">
        <w:rPr>
          <w:szCs w:val="24"/>
        </w:rPr>
        <w:t>Cecchetti, V., Pomponi, M., Altamura, M.M., Pezzotti, M., Marsilio, S., D'Angeli, S., Tornielli, G.B., Costantino, P. and Cardarelli, M. (2004). Expression of rolB in tobacco flowers affects the coordinated processes of anther dehiscence and style elongation</w:t>
      </w:r>
      <w:r w:rsidRPr="00300841">
        <w:rPr>
          <w:i/>
          <w:szCs w:val="24"/>
        </w:rPr>
        <w:t>.</w:t>
      </w:r>
      <w:r w:rsidRPr="00300841">
        <w:rPr>
          <w:szCs w:val="24"/>
        </w:rPr>
        <w:t xml:space="preserve"> </w:t>
      </w:r>
      <w:r w:rsidRPr="00300841">
        <w:rPr>
          <w:i/>
          <w:szCs w:val="24"/>
        </w:rPr>
        <w:t>The Plant Journal</w:t>
      </w:r>
      <w:r w:rsidRPr="00300841">
        <w:rPr>
          <w:szCs w:val="24"/>
        </w:rPr>
        <w:t xml:space="preserve">  </w:t>
      </w:r>
      <w:r w:rsidRPr="00300841">
        <w:rPr>
          <w:b/>
          <w:szCs w:val="24"/>
        </w:rPr>
        <w:t>38</w:t>
      </w:r>
      <w:r w:rsidRPr="00300841">
        <w:rPr>
          <w:szCs w:val="24"/>
        </w:rPr>
        <w:t>, 512-525.</w:t>
      </w:r>
    </w:p>
    <w:p w:rsidR="00300841" w:rsidRPr="00300841" w:rsidRDefault="00300841" w:rsidP="00300841">
      <w:pPr>
        <w:spacing w:after="0" w:line="240" w:lineRule="auto"/>
        <w:ind w:left="720" w:hanging="720"/>
        <w:rPr>
          <w:szCs w:val="24"/>
        </w:rPr>
      </w:pPr>
      <w:r w:rsidRPr="00300841">
        <w:rPr>
          <w:szCs w:val="24"/>
        </w:rPr>
        <w:t>Chalfant, C. and Spiegel, S. (2005). Sphingosine 1-phosphate and ceramide 1-phosphate: expanding roles in cell signaling</w:t>
      </w:r>
      <w:r w:rsidRPr="00300841">
        <w:rPr>
          <w:i/>
          <w:szCs w:val="24"/>
        </w:rPr>
        <w:t>.</w:t>
      </w:r>
      <w:r w:rsidRPr="00300841">
        <w:rPr>
          <w:szCs w:val="24"/>
        </w:rPr>
        <w:t xml:space="preserve"> </w:t>
      </w:r>
      <w:r w:rsidRPr="00300841">
        <w:rPr>
          <w:i/>
          <w:szCs w:val="24"/>
        </w:rPr>
        <w:t>Journal of Cell Science</w:t>
      </w:r>
      <w:r w:rsidRPr="00300841">
        <w:rPr>
          <w:szCs w:val="24"/>
        </w:rPr>
        <w:t xml:space="preserve">  </w:t>
      </w:r>
      <w:r w:rsidRPr="00300841">
        <w:rPr>
          <w:b/>
          <w:szCs w:val="24"/>
        </w:rPr>
        <w:t>118</w:t>
      </w:r>
      <w:r w:rsidRPr="00300841">
        <w:rPr>
          <w:szCs w:val="24"/>
        </w:rPr>
        <w:t>, 4605 - 4612.</w:t>
      </w:r>
    </w:p>
    <w:p w:rsidR="00300841" w:rsidRPr="00300841" w:rsidRDefault="00300841" w:rsidP="00300841">
      <w:pPr>
        <w:spacing w:after="0" w:line="240" w:lineRule="auto"/>
        <w:ind w:left="720" w:hanging="720"/>
        <w:rPr>
          <w:szCs w:val="24"/>
        </w:rPr>
      </w:pPr>
      <w:r w:rsidRPr="00300841">
        <w:rPr>
          <w:szCs w:val="24"/>
        </w:rPr>
        <w:t xml:space="preserve">Chandra-Shekara, A.C., Gupte, M., Navarre, D., Raina, S., Raina, R., Klessig, D. and Kachroo, P. (2006). Light-dependent hypersensitive response and resistance signaling against Turnip Crinkle Virus in </w:t>
      </w:r>
      <w:r w:rsidRPr="00300841">
        <w:rPr>
          <w:i/>
          <w:szCs w:val="24"/>
        </w:rPr>
        <w:t>Arabidopsis.</w:t>
      </w:r>
      <w:r w:rsidRPr="00300841">
        <w:rPr>
          <w:szCs w:val="24"/>
        </w:rPr>
        <w:t xml:space="preserve"> </w:t>
      </w:r>
      <w:r w:rsidRPr="00300841">
        <w:rPr>
          <w:i/>
          <w:szCs w:val="24"/>
        </w:rPr>
        <w:t>The Plant Journal</w:t>
      </w:r>
      <w:r w:rsidRPr="00300841">
        <w:rPr>
          <w:szCs w:val="24"/>
        </w:rPr>
        <w:t xml:space="preserve">  </w:t>
      </w:r>
      <w:r w:rsidRPr="00300841">
        <w:rPr>
          <w:b/>
          <w:szCs w:val="24"/>
        </w:rPr>
        <w:t>45</w:t>
      </w:r>
      <w:r w:rsidRPr="00300841">
        <w:rPr>
          <w:szCs w:val="24"/>
        </w:rPr>
        <w:t>, 320-334.</w:t>
      </w:r>
    </w:p>
    <w:p w:rsidR="00300841" w:rsidRPr="00300841" w:rsidRDefault="00300841" w:rsidP="00300841">
      <w:pPr>
        <w:spacing w:after="0" w:line="240" w:lineRule="auto"/>
        <w:ind w:left="720" w:hanging="720"/>
        <w:rPr>
          <w:szCs w:val="24"/>
        </w:rPr>
      </w:pPr>
      <w:r w:rsidRPr="00300841">
        <w:rPr>
          <w:szCs w:val="24"/>
        </w:rPr>
        <w:t>Chang, L. and Karin, M. (2001). Mammalian MAP kinase signalling cascades</w:t>
      </w:r>
      <w:r w:rsidRPr="00300841">
        <w:rPr>
          <w:i/>
          <w:szCs w:val="24"/>
        </w:rPr>
        <w:t>.</w:t>
      </w:r>
      <w:r w:rsidRPr="00300841">
        <w:rPr>
          <w:szCs w:val="24"/>
        </w:rPr>
        <w:t xml:space="preserve"> </w:t>
      </w:r>
      <w:r w:rsidRPr="00300841">
        <w:rPr>
          <w:i/>
          <w:szCs w:val="24"/>
        </w:rPr>
        <w:t>Nature</w:t>
      </w:r>
      <w:r w:rsidRPr="00300841">
        <w:rPr>
          <w:szCs w:val="24"/>
        </w:rPr>
        <w:t xml:space="preserve">  </w:t>
      </w:r>
      <w:r w:rsidRPr="00300841">
        <w:rPr>
          <w:b/>
          <w:szCs w:val="24"/>
        </w:rPr>
        <w:t>410</w:t>
      </w:r>
      <w:r w:rsidRPr="00300841">
        <w:rPr>
          <w:szCs w:val="24"/>
        </w:rPr>
        <w:t>, 37-40.</w:t>
      </w:r>
    </w:p>
    <w:p w:rsidR="00300841" w:rsidRPr="00300841" w:rsidRDefault="00300841" w:rsidP="00300841">
      <w:pPr>
        <w:spacing w:after="0" w:line="240" w:lineRule="auto"/>
        <w:ind w:left="720" w:hanging="720"/>
        <w:rPr>
          <w:szCs w:val="24"/>
        </w:rPr>
      </w:pPr>
      <w:r w:rsidRPr="00300841">
        <w:rPr>
          <w:szCs w:val="24"/>
        </w:rPr>
        <w:t>Chang, S.C. and Gallie, D.R. (1997). RNase Activity Decreases following a Heat Shock in Wheat Leaves and Correlates with Its Posttranslational Modification</w:t>
      </w:r>
      <w:r w:rsidRPr="00300841">
        <w:rPr>
          <w:i/>
          <w:szCs w:val="24"/>
        </w:rPr>
        <w:t>.</w:t>
      </w:r>
      <w:r w:rsidRPr="00300841">
        <w:rPr>
          <w:szCs w:val="24"/>
        </w:rPr>
        <w:t xml:space="preserve"> </w:t>
      </w:r>
      <w:r w:rsidRPr="00300841">
        <w:rPr>
          <w:i/>
          <w:szCs w:val="24"/>
        </w:rPr>
        <w:t>Plant Physiology</w:t>
      </w:r>
      <w:r w:rsidRPr="00300841">
        <w:rPr>
          <w:szCs w:val="24"/>
        </w:rPr>
        <w:t xml:space="preserve">  </w:t>
      </w:r>
      <w:r w:rsidRPr="00300841">
        <w:rPr>
          <w:b/>
          <w:szCs w:val="24"/>
        </w:rPr>
        <w:t>113</w:t>
      </w:r>
      <w:r w:rsidRPr="00300841">
        <w:rPr>
          <w:szCs w:val="24"/>
        </w:rPr>
        <w:t>, 1253-1263.</w:t>
      </w:r>
    </w:p>
    <w:p w:rsidR="00300841" w:rsidRPr="00300841" w:rsidRDefault="00300841" w:rsidP="00300841">
      <w:pPr>
        <w:spacing w:after="0" w:line="240" w:lineRule="auto"/>
        <w:ind w:left="720" w:hanging="720"/>
        <w:rPr>
          <w:szCs w:val="24"/>
        </w:rPr>
      </w:pPr>
      <w:r w:rsidRPr="00300841">
        <w:rPr>
          <w:szCs w:val="24"/>
        </w:rPr>
        <w:t>Charlesworth, D., Vekemans, X., Castric, V. and Glémin, S. (2005). Plant self-incompatibility systems: a molecular evolutionary perspective</w:t>
      </w:r>
      <w:r w:rsidRPr="00300841">
        <w:rPr>
          <w:i/>
          <w:szCs w:val="24"/>
        </w:rPr>
        <w:t>.</w:t>
      </w:r>
      <w:r w:rsidRPr="00300841">
        <w:rPr>
          <w:szCs w:val="24"/>
        </w:rPr>
        <w:t xml:space="preserve"> </w:t>
      </w:r>
      <w:r w:rsidRPr="00300841">
        <w:rPr>
          <w:i/>
          <w:szCs w:val="24"/>
        </w:rPr>
        <w:t>New Phytologist</w:t>
      </w:r>
      <w:r w:rsidRPr="00300841">
        <w:rPr>
          <w:szCs w:val="24"/>
        </w:rPr>
        <w:t xml:space="preserve">  </w:t>
      </w:r>
      <w:r w:rsidRPr="00300841">
        <w:rPr>
          <w:b/>
          <w:szCs w:val="24"/>
        </w:rPr>
        <w:t>168</w:t>
      </w:r>
      <w:r w:rsidRPr="00300841">
        <w:rPr>
          <w:szCs w:val="24"/>
        </w:rPr>
        <w:t>, 61-69.</w:t>
      </w:r>
    </w:p>
    <w:p w:rsidR="00300841" w:rsidRPr="00300841" w:rsidRDefault="00300841" w:rsidP="00300841">
      <w:pPr>
        <w:spacing w:after="0" w:line="240" w:lineRule="auto"/>
        <w:ind w:left="720" w:hanging="720"/>
        <w:rPr>
          <w:szCs w:val="24"/>
        </w:rPr>
      </w:pPr>
      <w:r w:rsidRPr="00300841">
        <w:rPr>
          <w:szCs w:val="24"/>
        </w:rPr>
        <w:t>Chasan, R. (1994). Tracing Tracheary Element Development</w:t>
      </w:r>
      <w:r w:rsidRPr="00300841">
        <w:rPr>
          <w:i/>
          <w:szCs w:val="24"/>
        </w:rPr>
        <w:t>.</w:t>
      </w:r>
      <w:r w:rsidRPr="00300841">
        <w:rPr>
          <w:szCs w:val="24"/>
        </w:rPr>
        <w:t xml:space="preserve"> </w:t>
      </w:r>
      <w:r w:rsidRPr="00300841">
        <w:rPr>
          <w:i/>
          <w:szCs w:val="24"/>
        </w:rPr>
        <w:t>Plant Cell</w:t>
      </w:r>
      <w:r w:rsidRPr="00300841">
        <w:rPr>
          <w:szCs w:val="24"/>
        </w:rPr>
        <w:t xml:space="preserve">  </w:t>
      </w:r>
      <w:r w:rsidRPr="00300841">
        <w:rPr>
          <w:b/>
          <w:szCs w:val="24"/>
        </w:rPr>
        <w:t>6</w:t>
      </w:r>
      <w:r w:rsidRPr="00300841">
        <w:rPr>
          <w:szCs w:val="24"/>
        </w:rPr>
        <w:t>, 917-919.</w:t>
      </w:r>
    </w:p>
    <w:p w:rsidR="00300841" w:rsidRPr="00300841" w:rsidRDefault="00300841" w:rsidP="00300841">
      <w:pPr>
        <w:spacing w:after="0" w:line="240" w:lineRule="auto"/>
        <w:ind w:left="720" w:hanging="720"/>
        <w:rPr>
          <w:szCs w:val="24"/>
        </w:rPr>
      </w:pPr>
      <w:r w:rsidRPr="00300841">
        <w:rPr>
          <w:szCs w:val="24"/>
        </w:rPr>
        <w:t>Chen, F. and Foolad, M.R. (1997). Molecular organization of a gene in barley which encodes a protein similar to aspartic protease and its specific expression in nucellar cells during degeneration</w:t>
      </w:r>
      <w:r w:rsidRPr="00300841">
        <w:rPr>
          <w:i/>
          <w:szCs w:val="24"/>
        </w:rPr>
        <w:t>.</w:t>
      </w:r>
      <w:r w:rsidRPr="00300841">
        <w:rPr>
          <w:szCs w:val="24"/>
        </w:rPr>
        <w:t xml:space="preserve"> </w:t>
      </w:r>
      <w:r w:rsidRPr="00300841">
        <w:rPr>
          <w:i/>
          <w:szCs w:val="24"/>
        </w:rPr>
        <w:t>Plant Molecular Biology</w:t>
      </w:r>
      <w:r w:rsidRPr="00300841">
        <w:rPr>
          <w:szCs w:val="24"/>
        </w:rPr>
        <w:t xml:space="preserve">  </w:t>
      </w:r>
      <w:r w:rsidRPr="00300841">
        <w:rPr>
          <w:b/>
          <w:szCs w:val="24"/>
        </w:rPr>
        <w:t>35</w:t>
      </w:r>
      <w:r w:rsidRPr="00300841">
        <w:rPr>
          <w:szCs w:val="24"/>
        </w:rPr>
        <w:t>, 821-831.</w:t>
      </w:r>
    </w:p>
    <w:p w:rsidR="00300841" w:rsidRPr="00300841" w:rsidRDefault="00300841" w:rsidP="00300841">
      <w:pPr>
        <w:spacing w:after="0" w:line="240" w:lineRule="auto"/>
        <w:ind w:left="720" w:hanging="720"/>
        <w:rPr>
          <w:szCs w:val="24"/>
        </w:rPr>
      </w:pPr>
      <w:r w:rsidRPr="00300841">
        <w:rPr>
          <w:szCs w:val="24"/>
        </w:rPr>
        <w:t>Chen, M., Han, G., Dietrich, C.R., Dunn, T.M. and Cahoon, E.B. (2006). The Essential Nature of Sphingolipids in Plants as Revealed by the Functional Identification and Characterization of the Arbidopsis LCB1 Subunit of Serine Palmitoyltransferase</w:t>
      </w:r>
      <w:r w:rsidRPr="00300841">
        <w:rPr>
          <w:i/>
          <w:szCs w:val="24"/>
        </w:rPr>
        <w:t>.</w:t>
      </w:r>
      <w:r w:rsidRPr="00300841">
        <w:rPr>
          <w:szCs w:val="24"/>
        </w:rPr>
        <w:t xml:space="preserve"> </w:t>
      </w:r>
      <w:r w:rsidRPr="00300841">
        <w:rPr>
          <w:i/>
          <w:szCs w:val="24"/>
        </w:rPr>
        <w:t>The Plant Cell</w:t>
      </w:r>
      <w:r w:rsidRPr="00300841">
        <w:rPr>
          <w:szCs w:val="24"/>
        </w:rPr>
        <w:t xml:space="preserve">  </w:t>
      </w:r>
      <w:r w:rsidRPr="00300841">
        <w:rPr>
          <w:b/>
          <w:szCs w:val="24"/>
        </w:rPr>
        <w:t>18</w:t>
      </w:r>
      <w:r w:rsidRPr="00300841">
        <w:rPr>
          <w:szCs w:val="24"/>
        </w:rPr>
        <w:t>, 3576-3593.</w:t>
      </w:r>
    </w:p>
    <w:p w:rsidR="00300841" w:rsidRPr="00300841" w:rsidRDefault="00300841" w:rsidP="00300841">
      <w:pPr>
        <w:spacing w:after="0" w:line="240" w:lineRule="auto"/>
        <w:ind w:left="720" w:hanging="720"/>
        <w:rPr>
          <w:szCs w:val="24"/>
        </w:rPr>
      </w:pPr>
      <w:r w:rsidRPr="00300841">
        <w:rPr>
          <w:szCs w:val="24"/>
        </w:rPr>
        <w:t>Chen, S. and Dickman, M.B. (2004). Bcl-2 family members localize to tobacco chloroplasts and inhibit programmed cell death induced by chloroplast-targeted herbicides</w:t>
      </w:r>
      <w:r w:rsidRPr="00300841">
        <w:rPr>
          <w:i/>
          <w:szCs w:val="24"/>
        </w:rPr>
        <w:t>.</w:t>
      </w:r>
      <w:r w:rsidRPr="00300841">
        <w:rPr>
          <w:szCs w:val="24"/>
        </w:rPr>
        <w:t xml:space="preserve"> </w:t>
      </w:r>
      <w:r w:rsidRPr="00300841">
        <w:rPr>
          <w:i/>
          <w:szCs w:val="24"/>
        </w:rPr>
        <w:t>Journal of Experimental Botany</w:t>
      </w:r>
      <w:r w:rsidRPr="00300841">
        <w:rPr>
          <w:szCs w:val="24"/>
        </w:rPr>
        <w:t xml:space="preserve">  </w:t>
      </w:r>
      <w:r w:rsidRPr="00300841">
        <w:rPr>
          <w:b/>
          <w:szCs w:val="24"/>
        </w:rPr>
        <w:t>55</w:t>
      </w:r>
      <w:r w:rsidRPr="00300841">
        <w:rPr>
          <w:szCs w:val="24"/>
        </w:rPr>
        <w:t>, 2617-2623.</w:t>
      </w:r>
    </w:p>
    <w:p w:rsidR="00300841" w:rsidRPr="00300841" w:rsidRDefault="00300841" w:rsidP="00300841">
      <w:pPr>
        <w:spacing w:after="0" w:line="240" w:lineRule="auto"/>
        <w:ind w:left="720" w:hanging="720"/>
        <w:rPr>
          <w:szCs w:val="24"/>
        </w:rPr>
      </w:pPr>
      <w:r w:rsidRPr="00300841">
        <w:rPr>
          <w:szCs w:val="24"/>
        </w:rPr>
        <w:t>Chen, X., Wang, Y., Li, J., Jiang, A., Cheng, Y. and Zhang, W. (2009). Mitochondrial proteome during salt stress-induced programmed cell death in rice</w:t>
      </w:r>
      <w:r w:rsidRPr="00300841">
        <w:rPr>
          <w:i/>
          <w:szCs w:val="24"/>
        </w:rPr>
        <w:t>.</w:t>
      </w:r>
      <w:r w:rsidRPr="00300841">
        <w:rPr>
          <w:szCs w:val="24"/>
        </w:rPr>
        <w:t xml:space="preserve"> </w:t>
      </w:r>
      <w:r w:rsidRPr="00300841">
        <w:rPr>
          <w:i/>
          <w:szCs w:val="24"/>
        </w:rPr>
        <w:t>Plant Physiology and Biochemistry</w:t>
      </w:r>
      <w:r w:rsidRPr="00300841">
        <w:rPr>
          <w:szCs w:val="24"/>
        </w:rPr>
        <w:t xml:space="preserve">  </w:t>
      </w:r>
      <w:r w:rsidRPr="00300841">
        <w:rPr>
          <w:b/>
          <w:szCs w:val="24"/>
        </w:rPr>
        <w:t>47</w:t>
      </w:r>
      <w:r w:rsidRPr="00300841">
        <w:rPr>
          <w:szCs w:val="24"/>
        </w:rPr>
        <w:t>, 407-415.</w:t>
      </w:r>
    </w:p>
    <w:p w:rsidR="00300841" w:rsidRPr="00300841" w:rsidRDefault="00300841" w:rsidP="00300841">
      <w:pPr>
        <w:spacing w:after="0" w:line="240" w:lineRule="auto"/>
        <w:ind w:left="720" w:hanging="720"/>
        <w:rPr>
          <w:szCs w:val="24"/>
        </w:rPr>
      </w:pPr>
      <w:r w:rsidRPr="00300841">
        <w:rPr>
          <w:szCs w:val="24"/>
        </w:rPr>
        <w:t xml:space="preserve">Cheng, P.C., Greyson, R.I. and Walden, D.B. (1983). Organ Initiation and the Development of Unisexual Flowers in the Tassel and Ear of </w:t>
      </w:r>
      <w:r w:rsidRPr="00300841">
        <w:rPr>
          <w:i/>
          <w:szCs w:val="24"/>
        </w:rPr>
        <w:t>Zea</w:t>
      </w:r>
      <w:r w:rsidRPr="00300841">
        <w:rPr>
          <w:szCs w:val="24"/>
        </w:rPr>
        <w:t xml:space="preserve"> </w:t>
      </w:r>
      <w:r w:rsidRPr="00300841">
        <w:rPr>
          <w:i/>
          <w:szCs w:val="24"/>
        </w:rPr>
        <w:t>mays.</w:t>
      </w:r>
      <w:r w:rsidRPr="00300841">
        <w:rPr>
          <w:szCs w:val="24"/>
        </w:rPr>
        <w:t xml:space="preserve"> </w:t>
      </w:r>
      <w:r w:rsidRPr="00300841">
        <w:rPr>
          <w:i/>
          <w:szCs w:val="24"/>
        </w:rPr>
        <w:t>American Journal of Botany</w:t>
      </w:r>
      <w:r w:rsidRPr="00300841">
        <w:rPr>
          <w:szCs w:val="24"/>
        </w:rPr>
        <w:t xml:space="preserve">  </w:t>
      </w:r>
      <w:r w:rsidRPr="00300841">
        <w:rPr>
          <w:b/>
          <w:szCs w:val="24"/>
        </w:rPr>
        <w:t>70</w:t>
      </w:r>
      <w:r w:rsidRPr="00300841">
        <w:rPr>
          <w:szCs w:val="24"/>
        </w:rPr>
        <w:t>, 450-462.</w:t>
      </w:r>
    </w:p>
    <w:p w:rsidR="00300841" w:rsidRPr="00300841" w:rsidRDefault="00300841" w:rsidP="00300841">
      <w:pPr>
        <w:spacing w:after="0" w:line="240" w:lineRule="auto"/>
        <w:ind w:left="720" w:hanging="720"/>
        <w:rPr>
          <w:szCs w:val="24"/>
        </w:rPr>
      </w:pPr>
      <w:r w:rsidRPr="00300841">
        <w:rPr>
          <w:szCs w:val="24"/>
        </w:rPr>
        <w:t xml:space="preserve">Chew, O., Whelan, J. and Millar, A.H. (2003). Molecular Definition of the Ascorbate-Glutathione Cycle in </w:t>
      </w:r>
      <w:r w:rsidRPr="00300841">
        <w:rPr>
          <w:i/>
          <w:szCs w:val="24"/>
        </w:rPr>
        <w:t>Arabidopsis</w:t>
      </w:r>
      <w:r w:rsidRPr="00300841">
        <w:rPr>
          <w:szCs w:val="24"/>
        </w:rPr>
        <w:t xml:space="preserve"> Mitochondria Reveals Dual Targeting of Antioxidant Defenses in Plants</w:t>
      </w:r>
      <w:r w:rsidRPr="00300841">
        <w:rPr>
          <w:i/>
          <w:szCs w:val="24"/>
        </w:rPr>
        <w:t>.</w:t>
      </w:r>
      <w:r w:rsidRPr="00300841">
        <w:rPr>
          <w:szCs w:val="24"/>
        </w:rPr>
        <w:t xml:space="preserve"> </w:t>
      </w:r>
      <w:r w:rsidRPr="00300841">
        <w:rPr>
          <w:i/>
          <w:szCs w:val="24"/>
        </w:rPr>
        <w:t>Journal of Biological Chemistry</w:t>
      </w:r>
      <w:r w:rsidRPr="00300841">
        <w:rPr>
          <w:szCs w:val="24"/>
        </w:rPr>
        <w:t xml:space="preserve">  </w:t>
      </w:r>
      <w:r w:rsidRPr="00300841">
        <w:rPr>
          <w:b/>
          <w:szCs w:val="24"/>
        </w:rPr>
        <w:t>278</w:t>
      </w:r>
      <w:r w:rsidRPr="00300841">
        <w:rPr>
          <w:szCs w:val="24"/>
        </w:rPr>
        <w:t>, 46869-46877.</w:t>
      </w:r>
    </w:p>
    <w:p w:rsidR="00300841" w:rsidRPr="00300841" w:rsidRDefault="00300841" w:rsidP="00300841">
      <w:pPr>
        <w:spacing w:after="0" w:line="240" w:lineRule="auto"/>
        <w:ind w:left="720" w:hanging="720"/>
        <w:rPr>
          <w:szCs w:val="24"/>
        </w:rPr>
      </w:pPr>
      <w:r w:rsidRPr="00300841">
        <w:rPr>
          <w:szCs w:val="24"/>
        </w:rPr>
        <w:t>Chichkova, N.V., Galiullina, R.A., Taliansky, M.E. and Vartapetian, A.B. (2008). Tissue disruption activates a plant caspase-like protease with TATD cleavage specificity</w:t>
      </w:r>
      <w:r w:rsidRPr="00300841">
        <w:rPr>
          <w:i/>
          <w:szCs w:val="24"/>
        </w:rPr>
        <w:t>.</w:t>
      </w:r>
      <w:r w:rsidRPr="00300841">
        <w:rPr>
          <w:szCs w:val="24"/>
        </w:rPr>
        <w:t xml:space="preserve"> </w:t>
      </w:r>
      <w:r w:rsidRPr="00300841">
        <w:rPr>
          <w:i/>
          <w:szCs w:val="24"/>
        </w:rPr>
        <w:t>Plant Stress</w:t>
      </w:r>
      <w:r w:rsidRPr="00300841">
        <w:rPr>
          <w:szCs w:val="24"/>
        </w:rPr>
        <w:t xml:space="preserve">  </w:t>
      </w:r>
      <w:r w:rsidRPr="00300841">
        <w:rPr>
          <w:b/>
          <w:szCs w:val="24"/>
        </w:rPr>
        <w:t>2</w:t>
      </w:r>
      <w:r w:rsidRPr="00300841">
        <w:rPr>
          <w:szCs w:val="24"/>
        </w:rPr>
        <w:t>, 89-95.</w:t>
      </w:r>
    </w:p>
    <w:p w:rsidR="00300841" w:rsidRPr="00300841" w:rsidRDefault="00300841" w:rsidP="00300841">
      <w:pPr>
        <w:spacing w:after="0" w:line="240" w:lineRule="auto"/>
        <w:ind w:left="720" w:hanging="720"/>
        <w:rPr>
          <w:szCs w:val="24"/>
        </w:rPr>
      </w:pPr>
      <w:r w:rsidRPr="00300841">
        <w:rPr>
          <w:szCs w:val="24"/>
        </w:rPr>
        <w:t>Chichkova, N.V., Kim, S.H., Titova, E.S., Kalkum, M., Morozov, V.S., Rubtsov, Y.P., Kalinina, N.O., Taliansky, M.E. and Vartapetian, A.B. (2004). A Plant Caspase-Like Protease Activated during the Hypersensitive Response</w:t>
      </w:r>
      <w:r w:rsidRPr="00300841">
        <w:rPr>
          <w:i/>
          <w:szCs w:val="24"/>
        </w:rPr>
        <w:t>.</w:t>
      </w:r>
      <w:r w:rsidRPr="00300841">
        <w:rPr>
          <w:szCs w:val="24"/>
        </w:rPr>
        <w:t xml:space="preserve"> </w:t>
      </w:r>
      <w:r w:rsidRPr="00300841">
        <w:rPr>
          <w:i/>
          <w:szCs w:val="24"/>
        </w:rPr>
        <w:t>Plant Cell</w:t>
      </w:r>
      <w:r w:rsidRPr="00300841">
        <w:rPr>
          <w:szCs w:val="24"/>
        </w:rPr>
        <w:t xml:space="preserve">  </w:t>
      </w:r>
      <w:r w:rsidRPr="00300841">
        <w:rPr>
          <w:b/>
          <w:szCs w:val="24"/>
        </w:rPr>
        <w:t>16</w:t>
      </w:r>
      <w:r w:rsidRPr="00300841">
        <w:rPr>
          <w:szCs w:val="24"/>
        </w:rPr>
        <w:t>, 157-171.</w:t>
      </w:r>
    </w:p>
    <w:p w:rsidR="00300841" w:rsidRPr="00300841" w:rsidRDefault="00300841" w:rsidP="00300841">
      <w:pPr>
        <w:spacing w:after="0" w:line="240" w:lineRule="auto"/>
        <w:ind w:left="720" w:hanging="720"/>
        <w:rPr>
          <w:szCs w:val="24"/>
        </w:rPr>
      </w:pPr>
      <w:r w:rsidRPr="00300841">
        <w:rPr>
          <w:szCs w:val="24"/>
        </w:rPr>
        <w:t xml:space="preserve">Chichkova, N. V., Shaw, J., Galiullina, R. A., Drury, G. E., Tuzhikov, A. I., Kim, S. H., Kalkum, M., Hong, T. B., Gorshkova, E. N., Torrance, L., Vartapetian, A. B. and Taliansky, M. (2010). Phytaspase, a relocalisable cell death promoting plant protease with caspase specificity. </w:t>
      </w:r>
      <w:r w:rsidRPr="00300841">
        <w:rPr>
          <w:i/>
          <w:szCs w:val="24"/>
        </w:rPr>
        <w:t>The EMBO Journal</w:t>
      </w:r>
      <w:r w:rsidRPr="00300841">
        <w:rPr>
          <w:szCs w:val="24"/>
        </w:rPr>
        <w:t xml:space="preserve"> </w:t>
      </w:r>
      <w:r w:rsidRPr="00300841">
        <w:rPr>
          <w:b/>
          <w:szCs w:val="24"/>
        </w:rPr>
        <w:t>29</w:t>
      </w:r>
      <w:r w:rsidRPr="00300841">
        <w:rPr>
          <w:szCs w:val="24"/>
        </w:rPr>
        <w:t>, 1149-1161.</w:t>
      </w:r>
    </w:p>
    <w:p w:rsidR="00300841" w:rsidRPr="00300841" w:rsidRDefault="00300841" w:rsidP="00300841">
      <w:pPr>
        <w:spacing w:after="0" w:line="240" w:lineRule="auto"/>
        <w:ind w:left="720" w:hanging="720"/>
        <w:rPr>
          <w:szCs w:val="24"/>
        </w:rPr>
      </w:pPr>
      <w:r w:rsidRPr="00300841">
        <w:rPr>
          <w:szCs w:val="24"/>
        </w:rPr>
        <w:t>Chung, T., Suttangkakul, A. and Vierstra, R.D. (2009). The ATG Autophagic Conjugation System in Maize: ATG Transcripts and Abundance of the ATG8-Lipid Adduct Are Regulated by Development and Nutrient Availability</w:t>
      </w:r>
      <w:r w:rsidRPr="00300841">
        <w:rPr>
          <w:i/>
          <w:szCs w:val="24"/>
        </w:rPr>
        <w:t>.</w:t>
      </w:r>
      <w:r w:rsidRPr="00300841">
        <w:rPr>
          <w:szCs w:val="24"/>
        </w:rPr>
        <w:t xml:space="preserve"> </w:t>
      </w:r>
      <w:r w:rsidRPr="00300841">
        <w:rPr>
          <w:i/>
          <w:szCs w:val="24"/>
        </w:rPr>
        <w:t>Plant Physiology</w:t>
      </w:r>
      <w:r w:rsidRPr="00300841">
        <w:rPr>
          <w:szCs w:val="24"/>
        </w:rPr>
        <w:t xml:space="preserve">  </w:t>
      </w:r>
      <w:r w:rsidRPr="00300841">
        <w:rPr>
          <w:b/>
          <w:szCs w:val="24"/>
        </w:rPr>
        <w:t>149</w:t>
      </w:r>
      <w:r w:rsidRPr="00300841">
        <w:rPr>
          <w:szCs w:val="24"/>
        </w:rPr>
        <w:t>, 220-234.</w:t>
      </w:r>
    </w:p>
    <w:p w:rsidR="00300841" w:rsidRPr="00300841" w:rsidRDefault="00300841" w:rsidP="00300841">
      <w:pPr>
        <w:spacing w:after="0" w:line="240" w:lineRule="auto"/>
        <w:ind w:left="720" w:hanging="720"/>
        <w:rPr>
          <w:szCs w:val="24"/>
        </w:rPr>
      </w:pPr>
      <w:r w:rsidRPr="00300841">
        <w:rPr>
          <w:szCs w:val="24"/>
        </w:rPr>
        <w:t xml:space="preserve">Clough, S.J., Fengler, K.A., Yu, I.-C., Lippok, B., Smith, R.K. and Bent, A.F. (2000). The </w:t>
      </w:r>
      <w:r w:rsidRPr="00300841">
        <w:rPr>
          <w:i/>
          <w:szCs w:val="24"/>
        </w:rPr>
        <w:t>Arabidopsis</w:t>
      </w:r>
      <w:r w:rsidRPr="00300841">
        <w:rPr>
          <w:szCs w:val="24"/>
        </w:rPr>
        <w:t xml:space="preserve"> dnd1 'defense, no death' gene encodes a mutated cyclic nucleotide-gated ion channel</w:t>
      </w:r>
      <w:r w:rsidRPr="00300841">
        <w:rPr>
          <w:i/>
          <w:szCs w:val="24"/>
        </w:rPr>
        <w:t>.</w:t>
      </w:r>
      <w:r w:rsidRPr="00300841">
        <w:rPr>
          <w:szCs w:val="24"/>
        </w:rPr>
        <w:t xml:space="preserve"> </w:t>
      </w:r>
      <w:r w:rsidRPr="00300841">
        <w:rPr>
          <w:i/>
          <w:szCs w:val="24"/>
        </w:rPr>
        <w:t>Proceedings of the National Academy of Sciences of the United States of America</w:t>
      </w:r>
      <w:r w:rsidRPr="00300841">
        <w:rPr>
          <w:szCs w:val="24"/>
        </w:rPr>
        <w:t xml:space="preserve">  </w:t>
      </w:r>
      <w:r w:rsidRPr="00300841">
        <w:rPr>
          <w:b/>
          <w:szCs w:val="24"/>
        </w:rPr>
        <w:t>97</w:t>
      </w:r>
      <w:r w:rsidRPr="00300841">
        <w:rPr>
          <w:szCs w:val="24"/>
        </w:rPr>
        <w:t>, 9323-9328.</w:t>
      </w:r>
    </w:p>
    <w:p w:rsidR="00300841" w:rsidRPr="00300841" w:rsidRDefault="00300841" w:rsidP="00300841">
      <w:pPr>
        <w:spacing w:after="0" w:line="240" w:lineRule="auto"/>
        <w:ind w:left="720" w:hanging="720"/>
        <w:rPr>
          <w:szCs w:val="24"/>
        </w:rPr>
      </w:pPr>
      <w:r w:rsidRPr="00300841">
        <w:rPr>
          <w:szCs w:val="24"/>
        </w:rPr>
        <w:t xml:space="preserve">Coffeen, W.C. and Wolpert, T.J. (2004). Purification and Characterization of Serine Proteases That Exhibit Caspase-Like Activity and Are Associated with Programmed Cell Death in </w:t>
      </w:r>
      <w:r w:rsidRPr="00300841">
        <w:rPr>
          <w:i/>
          <w:szCs w:val="24"/>
        </w:rPr>
        <w:t>Avena sativa</w:t>
      </w:r>
      <w:r w:rsidRPr="00300841">
        <w:rPr>
          <w:szCs w:val="24"/>
        </w:rPr>
        <w:t xml:space="preserve">. </w:t>
      </w:r>
      <w:r w:rsidRPr="00300841">
        <w:rPr>
          <w:i/>
          <w:szCs w:val="24"/>
        </w:rPr>
        <w:t>Plant Cell</w:t>
      </w:r>
      <w:r w:rsidRPr="00300841">
        <w:rPr>
          <w:szCs w:val="24"/>
        </w:rPr>
        <w:t xml:space="preserve"> </w:t>
      </w:r>
      <w:r w:rsidRPr="00300841">
        <w:rPr>
          <w:b/>
          <w:szCs w:val="24"/>
        </w:rPr>
        <w:t>16</w:t>
      </w:r>
      <w:r w:rsidRPr="00300841">
        <w:rPr>
          <w:szCs w:val="24"/>
        </w:rPr>
        <w:t xml:space="preserve">, 857-873. </w:t>
      </w:r>
    </w:p>
    <w:p w:rsidR="00300841" w:rsidRPr="00300841" w:rsidRDefault="00300841" w:rsidP="00300841">
      <w:pPr>
        <w:spacing w:after="0" w:line="240" w:lineRule="auto"/>
        <w:ind w:left="720" w:hanging="720"/>
        <w:rPr>
          <w:szCs w:val="24"/>
        </w:rPr>
      </w:pPr>
      <w:r w:rsidRPr="00300841">
        <w:rPr>
          <w:szCs w:val="24"/>
        </w:rPr>
        <w:t xml:space="preserve">Coll, N.S., Vercammen, D., Smidler, A., Clover, C., Van Breusegem, F., Dangl, J.L., Epple, P. (2010). </w:t>
      </w:r>
      <w:r w:rsidRPr="00300841">
        <w:rPr>
          <w:i/>
          <w:szCs w:val="24"/>
        </w:rPr>
        <w:t xml:space="preserve">Arabidopsis </w:t>
      </w:r>
      <w:r w:rsidRPr="00300841">
        <w:rPr>
          <w:szCs w:val="24"/>
        </w:rPr>
        <w:t xml:space="preserve">Type I metacaspases control cell death. </w:t>
      </w:r>
      <w:r w:rsidRPr="00300841">
        <w:rPr>
          <w:i/>
          <w:szCs w:val="24"/>
        </w:rPr>
        <w:t>Science</w:t>
      </w:r>
      <w:r w:rsidRPr="00300841">
        <w:rPr>
          <w:szCs w:val="24"/>
        </w:rPr>
        <w:t xml:space="preserve"> </w:t>
      </w:r>
      <w:r w:rsidRPr="00300841">
        <w:rPr>
          <w:b/>
          <w:szCs w:val="24"/>
        </w:rPr>
        <w:t>330</w:t>
      </w:r>
      <w:r w:rsidRPr="00300841">
        <w:rPr>
          <w:szCs w:val="24"/>
        </w:rPr>
        <w:t xml:space="preserve">, </w:t>
      </w:r>
      <w:r w:rsidRPr="00300841">
        <w:rPr>
          <w:rFonts w:asciiTheme="minorHAnsi" w:eastAsiaTheme="minorHAnsi" w:hAnsiTheme="minorHAnsi" w:cstheme="minorBidi"/>
          <w:iCs/>
        </w:rPr>
        <w:t>1393-1397.</w:t>
      </w:r>
      <w:r w:rsidRPr="00300841">
        <w:rPr>
          <w:szCs w:val="24"/>
        </w:rPr>
        <w:t xml:space="preserve"> </w:t>
      </w:r>
    </w:p>
    <w:p w:rsidR="00300841" w:rsidRPr="00300841" w:rsidRDefault="00300841" w:rsidP="00300841">
      <w:pPr>
        <w:spacing w:after="0" w:line="240" w:lineRule="auto"/>
        <w:ind w:left="720" w:hanging="720"/>
        <w:rPr>
          <w:szCs w:val="24"/>
        </w:rPr>
      </w:pPr>
      <w:r w:rsidRPr="00300841">
        <w:rPr>
          <w:szCs w:val="24"/>
        </w:rPr>
        <w:t>Colombaioni, L., Frago, L.M., Varela-Nieto, I., Pesi, R. and Garcia-Gil, M. (2002). Serum deprivation increases ceramide levels and induces apoptosis in undifferentiated HN9.10e cells</w:t>
      </w:r>
      <w:r w:rsidRPr="00300841">
        <w:rPr>
          <w:i/>
          <w:szCs w:val="24"/>
        </w:rPr>
        <w:t>.</w:t>
      </w:r>
      <w:r w:rsidRPr="00300841">
        <w:rPr>
          <w:szCs w:val="24"/>
        </w:rPr>
        <w:t xml:space="preserve"> </w:t>
      </w:r>
      <w:r w:rsidRPr="00300841">
        <w:rPr>
          <w:i/>
          <w:szCs w:val="24"/>
        </w:rPr>
        <w:t>Neurochemistry International</w:t>
      </w:r>
      <w:r w:rsidRPr="00300841">
        <w:rPr>
          <w:szCs w:val="24"/>
        </w:rPr>
        <w:t xml:space="preserve"> </w:t>
      </w:r>
      <w:r w:rsidRPr="00300841">
        <w:rPr>
          <w:b/>
          <w:szCs w:val="24"/>
        </w:rPr>
        <w:t>40</w:t>
      </w:r>
      <w:r w:rsidRPr="00300841">
        <w:rPr>
          <w:szCs w:val="24"/>
        </w:rPr>
        <w:t>, 327-336.</w:t>
      </w:r>
    </w:p>
    <w:p w:rsidR="00300841" w:rsidRPr="00300841" w:rsidRDefault="00300841" w:rsidP="00300841">
      <w:pPr>
        <w:spacing w:after="0" w:line="240" w:lineRule="auto"/>
        <w:ind w:left="720" w:hanging="720"/>
        <w:rPr>
          <w:szCs w:val="24"/>
        </w:rPr>
      </w:pPr>
      <w:r w:rsidRPr="00300841">
        <w:rPr>
          <w:szCs w:val="24"/>
        </w:rPr>
        <w:t xml:space="preserve">Contento, A.L., Xiong, Y. and Bassham, D.C. (2005). Visualization of autophagy in </w:t>
      </w:r>
      <w:r w:rsidRPr="00300841">
        <w:rPr>
          <w:i/>
          <w:szCs w:val="24"/>
        </w:rPr>
        <w:t>Arabidopsis</w:t>
      </w:r>
      <w:r w:rsidRPr="00300841">
        <w:rPr>
          <w:szCs w:val="24"/>
        </w:rPr>
        <w:t xml:space="preserve"> using the fluorescent dye monodansylcadaverine and a GFP-AtATG8e fusion protein</w:t>
      </w:r>
      <w:r w:rsidRPr="00300841">
        <w:rPr>
          <w:i/>
          <w:szCs w:val="24"/>
        </w:rPr>
        <w:t>.</w:t>
      </w:r>
      <w:r w:rsidRPr="00300841">
        <w:rPr>
          <w:szCs w:val="24"/>
        </w:rPr>
        <w:t xml:space="preserve"> </w:t>
      </w:r>
      <w:r w:rsidRPr="00300841">
        <w:rPr>
          <w:i/>
          <w:szCs w:val="24"/>
        </w:rPr>
        <w:t>The Plant Journal</w:t>
      </w:r>
      <w:r w:rsidRPr="00300841">
        <w:rPr>
          <w:szCs w:val="24"/>
        </w:rPr>
        <w:t xml:space="preserve">  </w:t>
      </w:r>
      <w:r w:rsidRPr="00300841">
        <w:rPr>
          <w:b/>
          <w:szCs w:val="24"/>
        </w:rPr>
        <w:t>42</w:t>
      </w:r>
      <w:r w:rsidRPr="00300841">
        <w:rPr>
          <w:szCs w:val="24"/>
        </w:rPr>
        <w:t>, 598-608.</w:t>
      </w:r>
    </w:p>
    <w:p w:rsidR="00300841" w:rsidRPr="00300841" w:rsidRDefault="00300841" w:rsidP="00300841">
      <w:pPr>
        <w:spacing w:after="0" w:line="240" w:lineRule="auto"/>
        <w:ind w:left="720" w:hanging="720"/>
        <w:rPr>
          <w:szCs w:val="24"/>
        </w:rPr>
      </w:pPr>
      <w:r w:rsidRPr="00300841">
        <w:rPr>
          <w:szCs w:val="24"/>
        </w:rPr>
        <w:t>Corpas, F.J., Barroso, J.B. and del Río, L.A. (2001). Peroxisomes as a source of reactive oxygen species and nitric oxide signal molecules in plant cells</w:t>
      </w:r>
      <w:r w:rsidRPr="00300841">
        <w:rPr>
          <w:i/>
          <w:szCs w:val="24"/>
        </w:rPr>
        <w:t>.</w:t>
      </w:r>
      <w:r w:rsidRPr="00300841">
        <w:rPr>
          <w:szCs w:val="24"/>
        </w:rPr>
        <w:t xml:space="preserve"> </w:t>
      </w:r>
      <w:r w:rsidRPr="00300841">
        <w:rPr>
          <w:i/>
          <w:szCs w:val="24"/>
        </w:rPr>
        <w:t>Trends in Plant Science</w:t>
      </w:r>
      <w:r w:rsidRPr="00300841">
        <w:rPr>
          <w:szCs w:val="24"/>
        </w:rPr>
        <w:t xml:space="preserve">  </w:t>
      </w:r>
      <w:r w:rsidRPr="00300841">
        <w:rPr>
          <w:b/>
          <w:szCs w:val="24"/>
        </w:rPr>
        <w:t>6</w:t>
      </w:r>
      <w:r w:rsidRPr="00300841">
        <w:rPr>
          <w:szCs w:val="24"/>
        </w:rPr>
        <w:t>, 145-150.</w:t>
      </w:r>
    </w:p>
    <w:p w:rsidR="00300841" w:rsidRPr="00300841" w:rsidRDefault="00300841" w:rsidP="00300841">
      <w:pPr>
        <w:spacing w:after="0" w:line="240" w:lineRule="auto"/>
        <w:ind w:left="720" w:hanging="720"/>
        <w:rPr>
          <w:szCs w:val="24"/>
        </w:rPr>
      </w:pPr>
      <w:r w:rsidRPr="00300841">
        <w:rPr>
          <w:szCs w:val="24"/>
        </w:rPr>
        <w:t>Côté, F. and Hahn, M.G. (1994). Oligosaccharins: structures and signal transduction</w:t>
      </w:r>
      <w:r w:rsidRPr="00300841">
        <w:rPr>
          <w:i/>
          <w:szCs w:val="24"/>
        </w:rPr>
        <w:t>.</w:t>
      </w:r>
      <w:r w:rsidRPr="00300841">
        <w:rPr>
          <w:szCs w:val="24"/>
        </w:rPr>
        <w:t xml:space="preserve"> </w:t>
      </w:r>
      <w:r w:rsidRPr="00300841">
        <w:rPr>
          <w:i/>
          <w:szCs w:val="24"/>
        </w:rPr>
        <w:t>Plant Molecular Biology</w:t>
      </w:r>
      <w:r w:rsidRPr="00300841">
        <w:rPr>
          <w:szCs w:val="24"/>
        </w:rPr>
        <w:t xml:space="preserve">  </w:t>
      </w:r>
      <w:r w:rsidRPr="00300841">
        <w:rPr>
          <w:b/>
          <w:szCs w:val="24"/>
        </w:rPr>
        <w:t>26</w:t>
      </w:r>
      <w:r w:rsidRPr="00300841">
        <w:rPr>
          <w:szCs w:val="24"/>
        </w:rPr>
        <w:t>, 1379-1411.</w:t>
      </w:r>
    </w:p>
    <w:p w:rsidR="00300841" w:rsidRPr="00300841" w:rsidRDefault="00300841" w:rsidP="00300841">
      <w:pPr>
        <w:spacing w:after="0" w:line="240" w:lineRule="auto"/>
        <w:ind w:left="720" w:hanging="720"/>
        <w:rPr>
          <w:szCs w:val="24"/>
        </w:rPr>
      </w:pPr>
      <w:r w:rsidRPr="00300841">
        <w:rPr>
          <w:szCs w:val="24"/>
        </w:rPr>
        <w:t xml:space="preserve">Coupe, S.A., Watson, L.M., Ryan, D.J., Pinkney, T.T. and Eason, J.R. (2004). Molecular analysis of programmed cell death during senescence in </w:t>
      </w:r>
      <w:r w:rsidRPr="00300841">
        <w:rPr>
          <w:i/>
          <w:szCs w:val="24"/>
        </w:rPr>
        <w:t>Arabidopsis</w:t>
      </w:r>
      <w:r w:rsidRPr="00300841">
        <w:rPr>
          <w:szCs w:val="24"/>
        </w:rPr>
        <w:t xml:space="preserve"> </w:t>
      </w:r>
      <w:r w:rsidRPr="00300841">
        <w:rPr>
          <w:i/>
          <w:szCs w:val="24"/>
        </w:rPr>
        <w:t>thaliana</w:t>
      </w:r>
      <w:r w:rsidRPr="00300841">
        <w:rPr>
          <w:szCs w:val="24"/>
        </w:rPr>
        <w:t xml:space="preserve"> and </w:t>
      </w:r>
      <w:r w:rsidRPr="00300841">
        <w:rPr>
          <w:i/>
          <w:szCs w:val="24"/>
        </w:rPr>
        <w:t>Brassica oleracea</w:t>
      </w:r>
      <w:r w:rsidRPr="00300841">
        <w:rPr>
          <w:szCs w:val="24"/>
        </w:rPr>
        <w:t>: cloning broccoli LSD1, Bax inhibitor and serine palmitoyltransferase homologues</w:t>
      </w:r>
      <w:r w:rsidRPr="00300841">
        <w:rPr>
          <w:i/>
          <w:szCs w:val="24"/>
        </w:rPr>
        <w:t>.</w:t>
      </w:r>
      <w:r w:rsidRPr="00300841">
        <w:rPr>
          <w:szCs w:val="24"/>
        </w:rPr>
        <w:t xml:space="preserve"> </w:t>
      </w:r>
      <w:r w:rsidRPr="00300841">
        <w:rPr>
          <w:i/>
          <w:szCs w:val="24"/>
        </w:rPr>
        <w:t>Journal of Experimental Botany</w:t>
      </w:r>
      <w:r w:rsidRPr="00300841">
        <w:rPr>
          <w:szCs w:val="24"/>
        </w:rPr>
        <w:t xml:space="preserve">  </w:t>
      </w:r>
      <w:r w:rsidRPr="00300841">
        <w:rPr>
          <w:b/>
          <w:szCs w:val="24"/>
        </w:rPr>
        <w:t>55</w:t>
      </w:r>
      <w:r w:rsidRPr="00300841">
        <w:rPr>
          <w:szCs w:val="24"/>
        </w:rPr>
        <w:t>, 59-68.</w:t>
      </w:r>
    </w:p>
    <w:p w:rsidR="00300841" w:rsidRPr="00300841" w:rsidRDefault="00300841" w:rsidP="00300841">
      <w:pPr>
        <w:spacing w:after="0" w:line="240" w:lineRule="auto"/>
        <w:ind w:left="720" w:hanging="720"/>
        <w:rPr>
          <w:szCs w:val="24"/>
        </w:rPr>
      </w:pPr>
      <w:r w:rsidRPr="00300841">
        <w:rPr>
          <w:szCs w:val="24"/>
        </w:rPr>
        <w:t xml:space="preserve">Coursol, S., Fan, L.-M., Stunff, H.L., Spiegel, S., Gilroy, S. and Assmann, S.M. (2003). Sphingolipid signalling in </w:t>
      </w:r>
      <w:r w:rsidRPr="00300841">
        <w:rPr>
          <w:i/>
          <w:szCs w:val="24"/>
        </w:rPr>
        <w:t>Arabidopsis</w:t>
      </w:r>
      <w:r w:rsidRPr="00300841">
        <w:rPr>
          <w:szCs w:val="24"/>
        </w:rPr>
        <w:t xml:space="preserve"> guard cells involves heterotrimeric G proteins</w:t>
      </w:r>
      <w:r w:rsidRPr="00300841">
        <w:rPr>
          <w:i/>
          <w:szCs w:val="24"/>
        </w:rPr>
        <w:t>.</w:t>
      </w:r>
      <w:r w:rsidRPr="00300841">
        <w:rPr>
          <w:szCs w:val="24"/>
        </w:rPr>
        <w:t xml:space="preserve"> </w:t>
      </w:r>
      <w:r w:rsidRPr="00300841">
        <w:rPr>
          <w:i/>
          <w:szCs w:val="24"/>
        </w:rPr>
        <w:t>Nature</w:t>
      </w:r>
      <w:r w:rsidRPr="00300841">
        <w:rPr>
          <w:szCs w:val="24"/>
        </w:rPr>
        <w:t xml:space="preserve">  </w:t>
      </w:r>
      <w:r w:rsidRPr="00300841">
        <w:rPr>
          <w:b/>
          <w:szCs w:val="24"/>
        </w:rPr>
        <w:t>423</w:t>
      </w:r>
      <w:r w:rsidRPr="00300841">
        <w:rPr>
          <w:szCs w:val="24"/>
        </w:rPr>
        <w:t>, 651-654.</w:t>
      </w:r>
    </w:p>
    <w:p w:rsidR="00300841" w:rsidRPr="00300841" w:rsidRDefault="00300841" w:rsidP="00300841">
      <w:pPr>
        <w:spacing w:after="0" w:line="240" w:lineRule="auto"/>
        <w:ind w:left="720" w:hanging="720"/>
        <w:rPr>
          <w:szCs w:val="24"/>
        </w:rPr>
      </w:pPr>
      <w:r w:rsidRPr="00300841">
        <w:rPr>
          <w:szCs w:val="24"/>
        </w:rPr>
        <w:t xml:space="preserve">Coursol, S., Le Stunff, H., Lynch, D.V., Gilroy, S., Assmann, S.M. and Spiegel, S. (2005). </w:t>
      </w:r>
      <w:r w:rsidRPr="00300841">
        <w:rPr>
          <w:i/>
          <w:szCs w:val="24"/>
        </w:rPr>
        <w:t xml:space="preserve">Arabidopsis </w:t>
      </w:r>
      <w:r w:rsidRPr="00300841">
        <w:rPr>
          <w:szCs w:val="24"/>
        </w:rPr>
        <w:t>Sphingosine Kinase and the Effects of Phytosphingosine-1-Phosphate on Stomatal Aperture</w:t>
      </w:r>
      <w:r w:rsidRPr="00300841">
        <w:rPr>
          <w:i/>
          <w:szCs w:val="24"/>
        </w:rPr>
        <w:t>.</w:t>
      </w:r>
      <w:r w:rsidRPr="00300841">
        <w:rPr>
          <w:szCs w:val="24"/>
        </w:rPr>
        <w:t xml:space="preserve"> </w:t>
      </w:r>
      <w:r w:rsidRPr="00300841">
        <w:rPr>
          <w:i/>
          <w:szCs w:val="24"/>
        </w:rPr>
        <w:t>Plant Physiology</w:t>
      </w:r>
      <w:r w:rsidRPr="00300841">
        <w:rPr>
          <w:szCs w:val="24"/>
        </w:rPr>
        <w:t xml:space="preserve">  </w:t>
      </w:r>
      <w:r w:rsidRPr="00300841">
        <w:rPr>
          <w:b/>
          <w:szCs w:val="24"/>
        </w:rPr>
        <w:t>137</w:t>
      </w:r>
      <w:r w:rsidRPr="00300841">
        <w:rPr>
          <w:szCs w:val="24"/>
        </w:rPr>
        <w:t>, 724-737.</w:t>
      </w:r>
    </w:p>
    <w:p w:rsidR="00300841" w:rsidRPr="00300841" w:rsidRDefault="00300841" w:rsidP="00300841">
      <w:pPr>
        <w:spacing w:after="0" w:line="240" w:lineRule="auto"/>
        <w:ind w:left="720" w:hanging="720"/>
        <w:rPr>
          <w:szCs w:val="24"/>
        </w:rPr>
      </w:pPr>
      <w:r w:rsidRPr="00300841">
        <w:rPr>
          <w:szCs w:val="24"/>
        </w:rPr>
        <w:t>Craig, S., Slobodkin, L., Wray, G. and Biermann, C. (1997). The ‘paradox’ of polyembryony: A review of the cases and a hypothesis for its evolution</w:t>
      </w:r>
      <w:r w:rsidRPr="00300841">
        <w:rPr>
          <w:i/>
          <w:szCs w:val="24"/>
        </w:rPr>
        <w:t>.</w:t>
      </w:r>
      <w:r w:rsidRPr="00300841">
        <w:rPr>
          <w:szCs w:val="24"/>
        </w:rPr>
        <w:t xml:space="preserve"> </w:t>
      </w:r>
      <w:r w:rsidRPr="00300841">
        <w:rPr>
          <w:i/>
          <w:szCs w:val="24"/>
        </w:rPr>
        <w:t>Evolutionary Ecology</w:t>
      </w:r>
      <w:r w:rsidRPr="00300841">
        <w:rPr>
          <w:szCs w:val="24"/>
        </w:rPr>
        <w:t xml:space="preserve">  </w:t>
      </w:r>
      <w:r w:rsidRPr="00300841">
        <w:rPr>
          <w:b/>
          <w:szCs w:val="24"/>
        </w:rPr>
        <w:t>11</w:t>
      </w:r>
      <w:r w:rsidRPr="00300841">
        <w:rPr>
          <w:szCs w:val="24"/>
        </w:rPr>
        <w:t>, 127-143.</w:t>
      </w:r>
    </w:p>
    <w:p w:rsidR="00300841" w:rsidRPr="00300841" w:rsidRDefault="00300841" w:rsidP="00300841">
      <w:pPr>
        <w:spacing w:after="0" w:line="240" w:lineRule="auto"/>
        <w:ind w:left="720" w:hanging="720"/>
        <w:rPr>
          <w:szCs w:val="24"/>
        </w:rPr>
      </w:pPr>
      <w:r w:rsidRPr="00300841">
        <w:rPr>
          <w:szCs w:val="24"/>
        </w:rPr>
        <w:t>Crompton, M. (1999). The mitochondrial permeability transition pore and its role in cell death</w:t>
      </w:r>
      <w:r w:rsidRPr="00300841">
        <w:rPr>
          <w:i/>
          <w:szCs w:val="24"/>
        </w:rPr>
        <w:t>.</w:t>
      </w:r>
      <w:r w:rsidRPr="00300841">
        <w:rPr>
          <w:szCs w:val="24"/>
        </w:rPr>
        <w:t xml:space="preserve"> </w:t>
      </w:r>
      <w:r w:rsidRPr="00300841">
        <w:rPr>
          <w:i/>
          <w:szCs w:val="24"/>
        </w:rPr>
        <w:t>Biochemical Journal</w:t>
      </w:r>
      <w:r w:rsidRPr="00300841">
        <w:rPr>
          <w:szCs w:val="24"/>
        </w:rPr>
        <w:t xml:space="preserve">  </w:t>
      </w:r>
      <w:r w:rsidRPr="00300841">
        <w:rPr>
          <w:b/>
          <w:szCs w:val="24"/>
        </w:rPr>
        <w:t>341</w:t>
      </w:r>
      <w:r w:rsidRPr="00300841">
        <w:rPr>
          <w:szCs w:val="24"/>
        </w:rPr>
        <w:t>, 233-249.</w:t>
      </w:r>
    </w:p>
    <w:p w:rsidR="00300841" w:rsidRPr="00300841" w:rsidRDefault="00300841" w:rsidP="00300841">
      <w:pPr>
        <w:spacing w:after="0" w:line="240" w:lineRule="auto"/>
        <w:ind w:left="720" w:hanging="720"/>
        <w:rPr>
          <w:szCs w:val="24"/>
        </w:rPr>
      </w:pPr>
      <w:r w:rsidRPr="00300841">
        <w:rPr>
          <w:szCs w:val="24"/>
        </w:rPr>
        <w:t>Crosti, P., Malerba, M. and Bianchetti, R. (2001). Tunicamycin and brefeldin a induce in plant cells a programmed cell death showing apoptotic features</w:t>
      </w:r>
      <w:r w:rsidRPr="00300841">
        <w:rPr>
          <w:i/>
          <w:szCs w:val="24"/>
        </w:rPr>
        <w:t>.</w:t>
      </w:r>
      <w:r w:rsidRPr="00300841">
        <w:rPr>
          <w:szCs w:val="24"/>
        </w:rPr>
        <w:t xml:space="preserve"> </w:t>
      </w:r>
      <w:r w:rsidRPr="00300841">
        <w:rPr>
          <w:i/>
          <w:szCs w:val="24"/>
        </w:rPr>
        <w:t>Protoplasma</w:t>
      </w:r>
      <w:r w:rsidRPr="00300841">
        <w:rPr>
          <w:szCs w:val="24"/>
        </w:rPr>
        <w:t xml:space="preserve">  </w:t>
      </w:r>
      <w:r w:rsidRPr="00300841">
        <w:rPr>
          <w:b/>
          <w:szCs w:val="24"/>
        </w:rPr>
        <w:t>216</w:t>
      </w:r>
      <w:r w:rsidRPr="00300841">
        <w:rPr>
          <w:szCs w:val="24"/>
        </w:rPr>
        <w:t>, 31-38.</w:t>
      </w:r>
    </w:p>
    <w:p w:rsidR="00300841" w:rsidRPr="00300841" w:rsidRDefault="00300841" w:rsidP="00300841">
      <w:pPr>
        <w:spacing w:after="0" w:line="240" w:lineRule="auto"/>
        <w:ind w:left="720" w:hanging="720"/>
        <w:rPr>
          <w:szCs w:val="24"/>
        </w:rPr>
      </w:pPr>
      <w:r w:rsidRPr="00300841">
        <w:rPr>
          <w:szCs w:val="24"/>
        </w:rPr>
        <w:t>Curtis, M.J. and Wolpert, T.J. (2002). The oat mitochondrial permeability transition and its implication in victorin binding and induced cell death</w:t>
      </w:r>
      <w:r w:rsidRPr="00300841">
        <w:rPr>
          <w:i/>
          <w:szCs w:val="24"/>
        </w:rPr>
        <w:t>.</w:t>
      </w:r>
      <w:r w:rsidRPr="00300841">
        <w:rPr>
          <w:szCs w:val="24"/>
        </w:rPr>
        <w:t xml:space="preserve"> </w:t>
      </w:r>
      <w:r w:rsidRPr="00300841">
        <w:rPr>
          <w:i/>
          <w:szCs w:val="24"/>
        </w:rPr>
        <w:t>The Plant Journal</w:t>
      </w:r>
      <w:r w:rsidRPr="00300841">
        <w:rPr>
          <w:szCs w:val="24"/>
        </w:rPr>
        <w:t xml:space="preserve">  </w:t>
      </w:r>
      <w:r w:rsidRPr="00300841">
        <w:rPr>
          <w:b/>
          <w:szCs w:val="24"/>
        </w:rPr>
        <w:t>29</w:t>
      </w:r>
      <w:r w:rsidRPr="00300841">
        <w:rPr>
          <w:szCs w:val="24"/>
        </w:rPr>
        <w:t>, 295-312.</w:t>
      </w:r>
    </w:p>
    <w:p w:rsidR="00300841" w:rsidRPr="00300841" w:rsidRDefault="00300841" w:rsidP="00300841">
      <w:pPr>
        <w:spacing w:after="0" w:line="240" w:lineRule="auto"/>
        <w:ind w:left="720" w:hanging="720"/>
        <w:rPr>
          <w:szCs w:val="24"/>
        </w:rPr>
      </w:pPr>
      <w:r w:rsidRPr="00300841">
        <w:rPr>
          <w:szCs w:val="24"/>
        </w:rPr>
        <w:t>Curtis, M.J. and Wolpert, T.J. (2004). The victorin-induced mitochondrial permeability transition precedes cell shrinkage and biochemical markers of cell death, and shrinkage occurs without loss of membrane integrity</w:t>
      </w:r>
      <w:r w:rsidRPr="00300841">
        <w:rPr>
          <w:i/>
          <w:szCs w:val="24"/>
        </w:rPr>
        <w:t>.</w:t>
      </w:r>
      <w:r w:rsidRPr="00300841">
        <w:rPr>
          <w:szCs w:val="24"/>
        </w:rPr>
        <w:t xml:space="preserve"> </w:t>
      </w:r>
      <w:r w:rsidRPr="00300841">
        <w:rPr>
          <w:i/>
          <w:szCs w:val="24"/>
        </w:rPr>
        <w:t>The Plant Journal</w:t>
      </w:r>
      <w:r w:rsidRPr="00300841">
        <w:rPr>
          <w:szCs w:val="24"/>
        </w:rPr>
        <w:t xml:space="preserve">  </w:t>
      </w:r>
      <w:r w:rsidRPr="00300841">
        <w:rPr>
          <w:b/>
          <w:szCs w:val="24"/>
        </w:rPr>
        <w:t>38</w:t>
      </w:r>
      <w:r w:rsidRPr="00300841">
        <w:rPr>
          <w:szCs w:val="24"/>
        </w:rPr>
        <w:t>, 244-259.</w:t>
      </w:r>
    </w:p>
    <w:p w:rsidR="00300841" w:rsidRPr="00300841" w:rsidRDefault="00300841" w:rsidP="00300841">
      <w:pPr>
        <w:spacing w:after="0" w:line="240" w:lineRule="auto"/>
        <w:ind w:left="720" w:hanging="720"/>
        <w:rPr>
          <w:szCs w:val="24"/>
        </w:rPr>
      </w:pPr>
      <w:r w:rsidRPr="00300841">
        <w:rPr>
          <w:szCs w:val="24"/>
        </w:rPr>
        <w:t>Cuvillier, O., Pirianov, G., Kleuser, B., Vanek, P.G., Coso, O.A., Gutkind, J.S. and Spiegel, S. (1996). Suppression of ceramide-mediated programmed cell death by sphingosine-1-phosphate</w:t>
      </w:r>
      <w:r w:rsidRPr="00300841">
        <w:rPr>
          <w:i/>
          <w:szCs w:val="24"/>
        </w:rPr>
        <w:t>.</w:t>
      </w:r>
      <w:r w:rsidRPr="00300841">
        <w:rPr>
          <w:szCs w:val="24"/>
        </w:rPr>
        <w:t xml:space="preserve"> </w:t>
      </w:r>
      <w:r w:rsidRPr="00300841">
        <w:rPr>
          <w:i/>
          <w:szCs w:val="24"/>
        </w:rPr>
        <w:t>Nature</w:t>
      </w:r>
      <w:r w:rsidRPr="00300841">
        <w:rPr>
          <w:szCs w:val="24"/>
        </w:rPr>
        <w:t xml:space="preserve">  </w:t>
      </w:r>
      <w:r w:rsidRPr="00300841">
        <w:rPr>
          <w:b/>
          <w:szCs w:val="24"/>
        </w:rPr>
        <w:t>381</w:t>
      </w:r>
      <w:r w:rsidRPr="00300841">
        <w:rPr>
          <w:szCs w:val="24"/>
        </w:rPr>
        <w:t>, 800-803.</w:t>
      </w:r>
    </w:p>
    <w:p w:rsidR="00300841" w:rsidRPr="00300841" w:rsidRDefault="00300841" w:rsidP="00300841">
      <w:pPr>
        <w:spacing w:after="0" w:line="240" w:lineRule="auto"/>
        <w:ind w:left="720" w:hanging="720"/>
        <w:rPr>
          <w:szCs w:val="24"/>
        </w:rPr>
      </w:pPr>
      <w:r w:rsidRPr="00300841">
        <w:rPr>
          <w:szCs w:val="24"/>
        </w:rPr>
        <w:t>Cuvillier, O., Rosenthal, D.S., Smulson, M.E. and Spiegel, S. (1998). Sphingosine 1-Phosphate Inhibits Activation of Caspases that Cleave Poly(ADP-ribose) Polymerase and Lamins during Fas- and Ceramide-mediated Apoptosis in Jurkat T Lymphocytes</w:t>
      </w:r>
      <w:r w:rsidRPr="00300841">
        <w:rPr>
          <w:i/>
          <w:szCs w:val="24"/>
        </w:rPr>
        <w:t>.</w:t>
      </w:r>
      <w:r w:rsidRPr="00300841">
        <w:rPr>
          <w:szCs w:val="24"/>
        </w:rPr>
        <w:t xml:space="preserve"> </w:t>
      </w:r>
      <w:r w:rsidRPr="00300841">
        <w:rPr>
          <w:i/>
          <w:szCs w:val="24"/>
        </w:rPr>
        <w:t>Journal of Biological Chemistry</w:t>
      </w:r>
      <w:r w:rsidRPr="00300841">
        <w:rPr>
          <w:szCs w:val="24"/>
        </w:rPr>
        <w:t xml:space="preserve">  </w:t>
      </w:r>
      <w:r w:rsidRPr="00300841">
        <w:rPr>
          <w:b/>
          <w:szCs w:val="24"/>
        </w:rPr>
        <w:t>273</w:t>
      </w:r>
      <w:r w:rsidRPr="00300841">
        <w:rPr>
          <w:szCs w:val="24"/>
        </w:rPr>
        <w:t>, 2910-2916.</w:t>
      </w:r>
    </w:p>
    <w:p w:rsidR="00300841" w:rsidRPr="00300841" w:rsidRDefault="00300841" w:rsidP="00300841">
      <w:pPr>
        <w:spacing w:after="0" w:line="240" w:lineRule="auto"/>
        <w:ind w:left="720" w:hanging="720"/>
        <w:rPr>
          <w:szCs w:val="24"/>
        </w:rPr>
      </w:pPr>
      <w:r w:rsidRPr="00300841">
        <w:rPr>
          <w:szCs w:val="24"/>
        </w:rPr>
        <w:t>D'Silva, I., Poirier, G.G. and Heath, M.C. (1998). Activation of Cysteine Proteases in Cowpea Plants during the Hypersensitive Response--A Form of Programmed Cell Death</w:t>
      </w:r>
      <w:r w:rsidRPr="00300841">
        <w:rPr>
          <w:i/>
          <w:szCs w:val="24"/>
        </w:rPr>
        <w:t>.</w:t>
      </w:r>
      <w:r w:rsidRPr="00300841">
        <w:rPr>
          <w:szCs w:val="24"/>
        </w:rPr>
        <w:t xml:space="preserve"> </w:t>
      </w:r>
      <w:r w:rsidRPr="00300841">
        <w:rPr>
          <w:i/>
          <w:szCs w:val="24"/>
        </w:rPr>
        <w:t>Experimental Cell Research</w:t>
      </w:r>
      <w:r w:rsidRPr="00300841">
        <w:rPr>
          <w:szCs w:val="24"/>
        </w:rPr>
        <w:t xml:space="preserve">  </w:t>
      </w:r>
      <w:r w:rsidRPr="00300841">
        <w:rPr>
          <w:b/>
          <w:szCs w:val="24"/>
        </w:rPr>
        <w:t>245</w:t>
      </w:r>
      <w:r w:rsidRPr="00300841">
        <w:rPr>
          <w:szCs w:val="24"/>
        </w:rPr>
        <w:t>, 389-399.</w:t>
      </w:r>
    </w:p>
    <w:p w:rsidR="00300841" w:rsidRPr="00300841" w:rsidRDefault="00300841" w:rsidP="00300841">
      <w:pPr>
        <w:spacing w:after="0" w:line="240" w:lineRule="auto"/>
        <w:ind w:left="720" w:hanging="720"/>
        <w:rPr>
          <w:szCs w:val="24"/>
        </w:rPr>
      </w:pPr>
      <w:r w:rsidRPr="00300841">
        <w:rPr>
          <w:szCs w:val="24"/>
        </w:rPr>
        <w:t>Danon, A., Delorme, V., Mailhac, N. and Gallois, P. (2000). Plant programmed cell death: A common way to die</w:t>
      </w:r>
      <w:r w:rsidRPr="00300841">
        <w:rPr>
          <w:i/>
          <w:szCs w:val="24"/>
        </w:rPr>
        <w:t>.</w:t>
      </w:r>
      <w:r w:rsidRPr="00300841">
        <w:rPr>
          <w:szCs w:val="24"/>
        </w:rPr>
        <w:t xml:space="preserve"> </w:t>
      </w:r>
      <w:r w:rsidRPr="00300841">
        <w:rPr>
          <w:i/>
          <w:szCs w:val="24"/>
        </w:rPr>
        <w:t>Plant Physiology and Biochemistry</w:t>
      </w:r>
      <w:r w:rsidRPr="00300841">
        <w:rPr>
          <w:szCs w:val="24"/>
        </w:rPr>
        <w:t xml:space="preserve">  </w:t>
      </w:r>
      <w:r w:rsidRPr="00300841">
        <w:rPr>
          <w:b/>
          <w:szCs w:val="24"/>
        </w:rPr>
        <w:t>38</w:t>
      </w:r>
      <w:r w:rsidRPr="00300841">
        <w:rPr>
          <w:szCs w:val="24"/>
        </w:rPr>
        <w:t>, 647-655.</w:t>
      </w:r>
    </w:p>
    <w:p w:rsidR="00300841" w:rsidRPr="00300841" w:rsidRDefault="00300841" w:rsidP="00300841">
      <w:pPr>
        <w:spacing w:after="0" w:line="240" w:lineRule="auto"/>
        <w:ind w:left="720" w:hanging="720"/>
        <w:rPr>
          <w:szCs w:val="24"/>
        </w:rPr>
      </w:pPr>
      <w:r w:rsidRPr="00300841">
        <w:rPr>
          <w:szCs w:val="24"/>
        </w:rPr>
        <w:t xml:space="preserve">Danon, A. and Gallois, P. (1998). UV-C radiation induces apoptotic-like changes in </w:t>
      </w:r>
      <w:r w:rsidRPr="00300841">
        <w:rPr>
          <w:i/>
          <w:szCs w:val="24"/>
        </w:rPr>
        <w:t>Arabidopsis</w:t>
      </w:r>
      <w:r w:rsidRPr="00300841">
        <w:rPr>
          <w:szCs w:val="24"/>
        </w:rPr>
        <w:t xml:space="preserve"> </w:t>
      </w:r>
      <w:r w:rsidRPr="00300841">
        <w:rPr>
          <w:i/>
          <w:szCs w:val="24"/>
        </w:rPr>
        <w:t>thaliana.</w:t>
      </w:r>
      <w:r w:rsidRPr="00300841">
        <w:rPr>
          <w:szCs w:val="24"/>
        </w:rPr>
        <w:t xml:space="preserve"> </w:t>
      </w:r>
      <w:r w:rsidRPr="00300841">
        <w:rPr>
          <w:i/>
          <w:szCs w:val="24"/>
        </w:rPr>
        <w:t>FEBS Letters</w:t>
      </w:r>
      <w:r w:rsidRPr="00300841">
        <w:rPr>
          <w:szCs w:val="24"/>
        </w:rPr>
        <w:t xml:space="preserve">  </w:t>
      </w:r>
      <w:r w:rsidRPr="00300841">
        <w:rPr>
          <w:b/>
          <w:szCs w:val="24"/>
        </w:rPr>
        <w:t>437</w:t>
      </w:r>
      <w:r w:rsidRPr="00300841">
        <w:rPr>
          <w:szCs w:val="24"/>
        </w:rPr>
        <w:t>, 131-136.</w:t>
      </w:r>
    </w:p>
    <w:p w:rsidR="00300841" w:rsidRPr="00300841" w:rsidRDefault="00300841" w:rsidP="00300841">
      <w:pPr>
        <w:spacing w:after="0" w:line="240" w:lineRule="auto"/>
        <w:ind w:left="720" w:hanging="720"/>
        <w:rPr>
          <w:szCs w:val="24"/>
        </w:rPr>
      </w:pPr>
      <w:r w:rsidRPr="00300841">
        <w:rPr>
          <w:szCs w:val="24"/>
        </w:rPr>
        <w:t xml:space="preserve">Danon, A., Rotari, V.I., Gordon, A., Mailhac, N. and Gallois, P. (2004). Ultraviolet-C Overexposure Induces Programmed Cell Death in </w:t>
      </w:r>
      <w:r w:rsidRPr="00300841">
        <w:rPr>
          <w:i/>
          <w:szCs w:val="24"/>
        </w:rPr>
        <w:t>Arabidopsis</w:t>
      </w:r>
      <w:r w:rsidRPr="00300841">
        <w:rPr>
          <w:szCs w:val="24"/>
        </w:rPr>
        <w:t>, Which Is Mediated by Caspase-like Activities and Which Can Be Suppressed by Caspase Inhibitors, p35 and Defender against Apoptotic Death</w:t>
      </w:r>
      <w:r w:rsidRPr="00300841">
        <w:rPr>
          <w:i/>
          <w:szCs w:val="24"/>
        </w:rPr>
        <w:t>.</w:t>
      </w:r>
      <w:r w:rsidRPr="00300841">
        <w:rPr>
          <w:szCs w:val="24"/>
        </w:rPr>
        <w:t xml:space="preserve"> </w:t>
      </w:r>
      <w:r w:rsidRPr="00300841">
        <w:rPr>
          <w:i/>
          <w:szCs w:val="24"/>
        </w:rPr>
        <w:t>Journal of Biological Chemistry</w:t>
      </w:r>
      <w:r w:rsidRPr="00300841">
        <w:rPr>
          <w:szCs w:val="24"/>
        </w:rPr>
        <w:t xml:space="preserve">  </w:t>
      </w:r>
      <w:r w:rsidRPr="00300841">
        <w:rPr>
          <w:b/>
          <w:szCs w:val="24"/>
        </w:rPr>
        <w:t>279</w:t>
      </w:r>
      <w:r w:rsidRPr="00300841">
        <w:rPr>
          <w:szCs w:val="24"/>
        </w:rPr>
        <w:t>, 779-787.</w:t>
      </w:r>
    </w:p>
    <w:p w:rsidR="00300841" w:rsidRPr="00300841" w:rsidRDefault="00300841" w:rsidP="00300841">
      <w:pPr>
        <w:spacing w:after="0" w:line="240" w:lineRule="auto"/>
        <w:ind w:left="720" w:hanging="720"/>
        <w:rPr>
          <w:szCs w:val="24"/>
        </w:rPr>
      </w:pPr>
      <w:r w:rsidRPr="00300841">
        <w:rPr>
          <w:szCs w:val="24"/>
        </w:rPr>
        <w:t>Dat, J., Vandenabeele, S., Vranová, E., Van Montagu, M., Inzé, D. and Van Breusegem, F. (2000). Dual action of the active oxygen species during plant stress responses</w:t>
      </w:r>
      <w:r w:rsidRPr="00300841">
        <w:rPr>
          <w:i/>
          <w:szCs w:val="24"/>
        </w:rPr>
        <w:t>.</w:t>
      </w:r>
      <w:r w:rsidRPr="00300841">
        <w:rPr>
          <w:szCs w:val="24"/>
        </w:rPr>
        <w:t xml:space="preserve"> </w:t>
      </w:r>
      <w:r w:rsidRPr="00300841">
        <w:rPr>
          <w:i/>
          <w:szCs w:val="24"/>
        </w:rPr>
        <w:t>Cellular and Molecular Life Sciences</w:t>
      </w:r>
      <w:r w:rsidRPr="00300841">
        <w:rPr>
          <w:szCs w:val="24"/>
        </w:rPr>
        <w:t xml:space="preserve">  </w:t>
      </w:r>
      <w:r w:rsidRPr="00300841">
        <w:rPr>
          <w:b/>
          <w:szCs w:val="24"/>
        </w:rPr>
        <w:t>57</w:t>
      </w:r>
      <w:r w:rsidRPr="00300841">
        <w:rPr>
          <w:szCs w:val="24"/>
        </w:rPr>
        <w:t>, 779-795.</w:t>
      </w:r>
    </w:p>
    <w:p w:rsidR="00300841" w:rsidRPr="00300841" w:rsidRDefault="00300841" w:rsidP="00300841">
      <w:pPr>
        <w:spacing w:after="0" w:line="240" w:lineRule="auto"/>
        <w:ind w:left="720" w:hanging="720"/>
        <w:rPr>
          <w:szCs w:val="24"/>
        </w:rPr>
      </w:pPr>
      <w:r w:rsidRPr="00300841">
        <w:rPr>
          <w:szCs w:val="24"/>
        </w:rPr>
        <w:t xml:space="preserve">de Graaf, B.H.J., Rudd, J.J., Wheeler, M.J., Perry, R.M., Bell, E.M., Osman, K., Franklin, F.C.H. and Franklin-Tong, V.E. (2006). Self-incompatibility in </w:t>
      </w:r>
      <w:r w:rsidRPr="00300841">
        <w:rPr>
          <w:i/>
          <w:szCs w:val="24"/>
        </w:rPr>
        <w:t>Papaver</w:t>
      </w:r>
      <w:r w:rsidRPr="00300841">
        <w:rPr>
          <w:szCs w:val="24"/>
        </w:rPr>
        <w:t xml:space="preserve"> targets soluble inorganic pyrophosphatases in pollen</w:t>
      </w:r>
      <w:r w:rsidRPr="00300841">
        <w:rPr>
          <w:i/>
          <w:szCs w:val="24"/>
        </w:rPr>
        <w:t>.</w:t>
      </w:r>
      <w:r w:rsidRPr="00300841">
        <w:rPr>
          <w:szCs w:val="24"/>
        </w:rPr>
        <w:t xml:space="preserve"> </w:t>
      </w:r>
      <w:r w:rsidRPr="00300841">
        <w:rPr>
          <w:i/>
          <w:szCs w:val="24"/>
        </w:rPr>
        <w:t>Nature</w:t>
      </w:r>
      <w:r w:rsidRPr="00300841">
        <w:rPr>
          <w:szCs w:val="24"/>
        </w:rPr>
        <w:t xml:space="preserve">  </w:t>
      </w:r>
      <w:r w:rsidRPr="00300841">
        <w:rPr>
          <w:b/>
          <w:szCs w:val="24"/>
        </w:rPr>
        <w:t>444</w:t>
      </w:r>
      <w:r w:rsidRPr="00300841">
        <w:rPr>
          <w:szCs w:val="24"/>
        </w:rPr>
        <w:t>, 490-493.</w:t>
      </w:r>
    </w:p>
    <w:p w:rsidR="00300841" w:rsidRPr="00300841" w:rsidRDefault="00300841" w:rsidP="00300841">
      <w:pPr>
        <w:spacing w:after="0" w:line="240" w:lineRule="auto"/>
        <w:ind w:left="720" w:hanging="720"/>
        <w:rPr>
          <w:szCs w:val="24"/>
        </w:rPr>
      </w:pPr>
      <w:r w:rsidRPr="00300841">
        <w:rPr>
          <w:szCs w:val="24"/>
        </w:rPr>
        <w:t xml:space="preserve">de Halac, I. (1980). Fine Structure of Nucellar Cells During Development of the Embryo Sac in </w:t>
      </w:r>
      <w:r w:rsidRPr="00300841">
        <w:rPr>
          <w:i/>
          <w:szCs w:val="24"/>
        </w:rPr>
        <w:t>Oenothera biennis</w:t>
      </w:r>
      <w:r w:rsidRPr="00300841">
        <w:rPr>
          <w:szCs w:val="24"/>
        </w:rPr>
        <w:t xml:space="preserve"> L</w:t>
      </w:r>
      <w:r w:rsidRPr="00300841">
        <w:rPr>
          <w:i/>
          <w:szCs w:val="24"/>
        </w:rPr>
        <w:t>.</w:t>
      </w:r>
      <w:r w:rsidRPr="00300841">
        <w:rPr>
          <w:szCs w:val="24"/>
        </w:rPr>
        <w:t xml:space="preserve"> </w:t>
      </w:r>
      <w:r w:rsidRPr="00300841">
        <w:rPr>
          <w:i/>
          <w:szCs w:val="24"/>
        </w:rPr>
        <w:t>Annals of Botany</w:t>
      </w:r>
      <w:r w:rsidRPr="00300841">
        <w:rPr>
          <w:szCs w:val="24"/>
        </w:rPr>
        <w:t xml:space="preserve">  </w:t>
      </w:r>
      <w:r w:rsidRPr="00300841">
        <w:rPr>
          <w:b/>
          <w:szCs w:val="24"/>
        </w:rPr>
        <w:t>45</w:t>
      </w:r>
      <w:r w:rsidRPr="00300841">
        <w:rPr>
          <w:szCs w:val="24"/>
        </w:rPr>
        <w:t>, 515-521.</w:t>
      </w:r>
    </w:p>
    <w:p w:rsidR="00300841" w:rsidRPr="00300841" w:rsidRDefault="00300841" w:rsidP="00300841">
      <w:pPr>
        <w:spacing w:after="0" w:line="240" w:lineRule="auto"/>
        <w:ind w:left="720" w:hanging="720"/>
        <w:rPr>
          <w:szCs w:val="24"/>
        </w:rPr>
      </w:pPr>
      <w:r w:rsidRPr="00300841">
        <w:rPr>
          <w:szCs w:val="24"/>
        </w:rPr>
        <w:t xml:space="preserve">De Veylder, L., Beeckman, T., Beemster, G.T.S., Krols, L., Terras, F., Landrieu, I., Van Der Schueren, E., Maes, S., Naudts, M. and Inze, D. (2001). Functional Analysis of Cyclin-Dependent Kinase Inhibitors of </w:t>
      </w:r>
      <w:r w:rsidRPr="00300841">
        <w:rPr>
          <w:i/>
          <w:szCs w:val="24"/>
        </w:rPr>
        <w:t>Arabidopsis.</w:t>
      </w:r>
      <w:r w:rsidRPr="00300841">
        <w:rPr>
          <w:szCs w:val="24"/>
        </w:rPr>
        <w:t xml:space="preserve"> </w:t>
      </w:r>
      <w:r w:rsidRPr="00300841">
        <w:rPr>
          <w:i/>
          <w:szCs w:val="24"/>
        </w:rPr>
        <w:t>Plant Cell</w:t>
      </w:r>
      <w:r w:rsidRPr="00300841">
        <w:rPr>
          <w:szCs w:val="24"/>
        </w:rPr>
        <w:t xml:space="preserve">  </w:t>
      </w:r>
      <w:r w:rsidRPr="00300841">
        <w:rPr>
          <w:b/>
          <w:szCs w:val="24"/>
        </w:rPr>
        <w:t>13</w:t>
      </w:r>
      <w:r w:rsidRPr="00300841">
        <w:rPr>
          <w:szCs w:val="24"/>
        </w:rPr>
        <w:t>, 1653-1668.</w:t>
      </w:r>
    </w:p>
    <w:p w:rsidR="00300841" w:rsidRPr="00300841" w:rsidRDefault="00300841" w:rsidP="00300841">
      <w:pPr>
        <w:spacing w:after="0" w:line="240" w:lineRule="auto"/>
        <w:ind w:left="720" w:hanging="720"/>
        <w:rPr>
          <w:szCs w:val="24"/>
        </w:rPr>
      </w:pPr>
      <w:r w:rsidRPr="00300841">
        <w:rPr>
          <w:szCs w:val="24"/>
        </w:rPr>
        <w:t>del Pozo, O. and Lam, E. (1998). Caspases and programmed cell death in the hypersensitive response of plants to pathogens</w:t>
      </w:r>
      <w:r w:rsidRPr="00300841">
        <w:rPr>
          <w:i/>
          <w:szCs w:val="24"/>
        </w:rPr>
        <w:t>.</w:t>
      </w:r>
      <w:r w:rsidRPr="00300841">
        <w:rPr>
          <w:szCs w:val="24"/>
        </w:rPr>
        <w:t xml:space="preserve"> </w:t>
      </w:r>
      <w:r w:rsidRPr="00300841">
        <w:rPr>
          <w:i/>
          <w:szCs w:val="24"/>
        </w:rPr>
        <w:t>Current Biology</w:t>
      </w:r>
      <w:r w:rsidRPr="00300841">
        <w:rPr>
          <w:szCs w:val="24"/>
        </w:rPr>
        <w:t xml:space="preserve">  </w:t>
      </w:r>
      <w:r w:rsidRPr="00300841">
        <w:rPr>
          <w:b/>
          <w:szCs w:val="24"/>
        </w:rPr>
        <w:t>8</w:t>
      </w:r>
      <w:r w:rsidRPr="00300841">
        <w:rPr>
          <w:szCs w:val="24"/>
        </w:rPr>
        <w:t>, 1129-1132.</w:t>
      </w:r>
    </w:p>
    <w:p w:rsidR="00300841" w:rsidRPr="00300841" w:rsidRDefault="00300841" w:rsidP="00300841">
      <w:pPr>
        <w:spacing w:after="0" w:line="240" w:lineRule="auto"/>
        <w:ind w:left="720" w:hanging="720"/>
        <w:rPr>
          <w:szCs w:val="24"/>
        </w:rPr>
      </w:pPr>
      <w:r w:rsidRPr="00300841">
        <w:rPr>
          <w:szCs w:val="24"/>
        </w:rPr>
        <w:t>del Rio, L.A., Pastori, G.M., Palma, J.M., Sandalio, L.M., Sevilla, F., Corpas, F.J., Jimenez, A., Lopez-Huertas, E. and Hernandez, J.A. (1998). The Activated Oxygen Role of Peroxisomes in Senescence</w:t>
      </w:r>
      <w:r w:rsidRPr="00300841">
        <w:rPr>
          <w:i/>
          <w:szCs w:val="24"/>
        </w:rPr>
        <w:t>.</w:t>
      </w:r>
      <w:r w:rsidRPr="00300841">
        <w:rPr>
          <w:szCs w:val="24"/>
        </w:rPr>
        <w:t xml:space="preserve"> </w:t>
      </w:r>
      <w:r w:rsidRPr="00300841">
        <w:rPr>
          <w:i/>
          <w:szCs w:val="24"/>
        </w:rPr>
        <w:t>Plant Physiology</w:t>
      </w:r>
      <w:r w:rsidRPr="00300841">
        <w:rPr>
          <w:szCs w:val="24"/>
        </w:rPr>
        <w:t xml:space="preserve">  </w:t>
      </w:r>
      <w:r w:rsidRPr="00300841">
        <w:rPr>
          <w:b/>
          <w:szCs w:val="24"/>
        </w:rPr>
        <w:t>116</w:t>
      </w:r>
      <w:r w:rsidRPr="00300841">
        <w:rPr>
          <w:szCs w:val="24"/>
        </w:rPr>
        <w:t>, 1195-1200.</w:t>
      </w:r>
    </w:p>
    <w:p w:rsidR="00300841" w:rsidRPr="00300841" w:rsidRDefault="00300841" w:rsidP="00300841">
      <w:pPr>
        <w:spacing w:after="0" w:line="240" w:lineRule="auto"/>
        <w:ind w:left="720" w:hanging="720"/>
        <w:rPr>
          <w:szCs w:val="24"/>
        </w:rPr>
      </w:pPr>
      <w:r w:rsidRPr="00300841">
        <w:rPr>
          <w:szCs w:val="24"/>
        </w:rPr>
        <w:t xml:space="preserve">del Río, L.A., Sandalio, L.M., Palma, J.M., Corpas, F.J., López-Huertas, E., Romero-Puertas, M.C. and McCarthy, I. (2002) Peroxisomes, reactive oxygen metabolism, and stress-related enzyme activities, </w:t>
      </w:r>
      <w:r w:rsidRPr="00300841">
        <w:rPr>
          <w:i/>
          <w:szCs w:val="24"/>
        </w:rPr>
        <w:t>In</w:t>
      </w:r>
      <w:r w:rsidRPr="00300841">
        <w:rPr>
          <w:szCs w:val="24"/>
        </w:rPr>
        <w:t xml:space="preserve"> "Plant Peroxisomes</w:t>
      </w:r>
      <w:r w:rsidRPr="00300841">
        <w:rPr>
          <w:i/>
          <w:szCs w:val="24"/>
        </w:rPr>
        <w:t>"</w:t>
      </w:r>
      <w:r w:rsidRPr="00300841">
        <w:rPr>
          <w:szCs w:val="24"/>
        </w:rPr>
        <w:t xml:space="preserve"> (Baker, A. and Graham, I.A.</w:t>
      </w:r>
      <w:r w:rsidRPr="00300841">
        <w:rPr>
          <w:i/>
          <w:szCs w:val="24"/>
        </w:rPr>
        <w:t xml:space="preserve">, </w:t>
      </w:r>
      <w:r w:rsidRPr="00300841">
        <w:rPr>
          <w:szCs w:val="24"/>
        </w:rPr>
        <w:t>eds)</w:t>
      </w:r>
      <w:r w:rsidRPr="00300841">
        <w:rPr>
          <w:i/>
          <w:szCs w:val="24"/>
        </w:rPr>
        <w:t xml:space="preserve">,  </w:t>
      </w:r>
      <w:r w:rsidRPr="00300841">
        <w:rPr>
          <w:szCs w:val="24"/>
        </w:rPr>
        <w:t>pp</w:t>
      </w:r>
      <w:r w:rsidRPr="00300841">
        <w:rPr>
          <w:i/>
          <w:szCs w:val="24"/>
        </w:rPr>
        <w:t xml:space="preserve">. </w:t>
      </w:r>
      <w:r w:rsidRPr="00300841">
        <w:rPr>
          <w:szCs w:val="24"/>
        </w:rPr>
        <w:t>221-258</w:t>
      </w:r>
      <w:r w:rsidRPr="00300841">
        <w:rPr>
          <w:i/>
          <w:szCs w:val="24"/>
        </w:rPr>
        <w:t xml:space="preserve">. </w:t>
      </w:r>
      <w:r w:rsidRPr="00300841">
        <w:rPr>
          <w:szCs w:val="24"/>
        </w:rPr>
        <w:t>Kluwer Academic Publishers</w:t>
      </w:r>
      <w:r w:rsidRPr="00300841">
        <w:rPr>
          <w:i/>
          <w:szCs w:val="24"/>
        </w:rPr>
        <w:t xml:space="preserve">. </w:t>
      </w:r>
      <w:r w:rsidRPr="00300841">
        <w:rPr>
          <w:szCs w:val="24"/>
        </w:rPr>
        <w:t>Dordrecht, The Netherlands</w:t>
      </w:r>
    </w:p>
    <w:p w:rsidR="00300841" w:rsidRPr="00300841" w:rsidRDefault="00300841" w:rsidP="00300841">
      <w:pPr>
        <w:spacing w:after="0" w:line="240" w:lineRule="auto"/>
        <w:ind w:left="720" w:hanging="720"/>
        <w:rPr>
          <w:szCs w:val="24"/>
        </w:rPr>
      </w:pPr>
      <w:r w:rsidRPr="00300841">
        <w:rPr>
          <w:szCs w:val="24"/>
        </w:rPr>
        <w:t>Delledonne, M., Xia, Y., Dixon, R.A. and Lamb, C. (1998). Nitric oxide functions as a signal in plant disease resistance</w:t>
      </w:r>
      <w:r w:rsidRPr="00300841">
        <w:rPr>
          <w:i/>
          <w:szCs w:val="24"/>
        </w:rPr>
        <w:t>.</w:t>
      </w:r>
      <w:r w:rsidRPr="00300841">
        <w:rPr>
          <w:szCs w:val="24"/>
        </w:rPr>
        <w:t xml:space="preserve"> </w:t>
      </w:r>
      <w:r w:rsidRPr="00300841">
        <w:rPr>
          <w:i/>
          <w:szCs w:val="24"/>
        </w:rPr>
        <w:t>Nature</w:t>
      </w:r>
      <w:r w:rsidRPr="00300841">
        <w:rPr>
          <w:szCs w:val="24"/>
        </w:rPr>
        <w:t xml:space="preserve">  </w:t>
      </w:r>
      <w:r w:rsidRPr="00300841">
        <w:rPr>
          <w:b/>
          <w:szCs w:val="24"/>
        </w:rPr>
        <w:t>394</w:t>
      </w:r>
      <w:r w:rsidRPr="00300841">
        <w:rPr>
          <w:szCs w:val="24"/>
        </w:rPr>
        <w:t>, 585-588.</w:t>
      </w:r>
    </w:p>
    <w:p w:rsidR="00300841" w:rsidRPr="00300841" w:rsidRDefault="00300841" w:rsidP="00300841">
      <w:pPr>
        <w:spacing w:after="0" w:line="240" w:lineRule="auto"/>
        <w:ind w:left="720" w:hanging="720"/>
        <w:rPr>
          <w:szCs w:val="24"/>
        </w:rPr>
      </w:pPr>
      <w:r w:rsidRPr="00300841">
        <w:rPr>
          <w:szCs w:val="24"/>
        </w:rPr>
        <w:t>Delorme, V.G.R., McCabe, P.F., Kim, D.-J. and Leaver, C.J. (2000). A Matrix Metalloproteinase Gene Is Expressed at the Boundary of Senescence and Programmed Cell Death in Cucumber</w:t>
      </w:r>
      <w:r w:rsidRPr="00300841">
        <w:rPr>
          <w:i/>
          <w:szCs w:val="24"/>
        </w:rPr>
        <w:t>.</w:t>
      </w:r>
      <w:r w:rsidRPr="00300841">
        <w:rPr>
          <w:szCs w:val="24"/>
        </w:rPr>
        <w:t xml:space="preserve"> </w:t>
      </w:r>
      <w:r w:rsidRPr="00300841">
        <w:rPr>
          <w:i/>
          <w:szCs w:val="24"/>
        </w:rPr>
        <w:t>Plant Physiology</w:t>
      </w:r>
      <w:r w:rsidRPr="00300841">
        <w:rPr>
          <w:szCs w:val="24"/>
        </w:rPr>
        <w:t xml:space="preserve">  </w:t>
      </w:r>
      <w:r w:rsidRPr="00300841">
        <w:rPr>
          <w:b/>
          <w:szCs w:val="24"/>
        </w:rPr>
        <w:t>123</w:t>
      </w:r>
      <w:r w:rsidRPr="00300841">
        <w:rPr>
          <w:szCs w:val="24"/>
        </w:rPr>
        <w:t>, 917-928.</w:t>
      </w:r>
    </w:p>
    <w:p w:rsidR="00300841" w:rsidRPr="00300841" w:rsidRDefault="00300841" w:rsidP="00300841">
      <w:pPr>
        <w:spacing w:after="0" w:line="240" w:lineRule="auto"/>
        <w:ind w:left="720" w:hanging="720"/>
        <w:rPr>
          <w:szCs w:val="24"/>
        </w:rPr>
      </w:pPr>
      <w:r w:rsidRPr="00300841">
        <w:rPr>
          <w:szCs w:val="24"/>
        </w:rPr>
        <w:t xml:space="preserve">Desikan, R., Neill, S.J. and Hancock, J.T. (2000). Hydrogen peroxide-induced gene expression in </w:t>
      </w:r>
      <w:r w:rsidRPr="00300841">
        <w:rPr>
          <w:i/>
          <w:szCs w:val="24"/>
        </w:rPr>
        <w:t>Arabidopsis</w:t>
      </w:r>
      <w:r w:rsidRPr="00300841">
        <w:rPr>
          <w:szCs w:val="24"/>
        </w:rPr>
        <w:t xml:space="preserve"> </w:t>
      </w:r>
      <w:r w:rsidRPr="00300841">
        <w:rPr>
          <w:i/>
          <w:szCs w:val="24"/>
        </w:rPr>
        <w:t>thaliana.</w:t>
      </w:r>
      <w:r w:rsidRPr="00300841">
        <w:rPr>
          <w:szCs w:val="24"/>
        </w:rPr>
        <w:t xml:space="preserve"> </w:t>
      </w:r>
      <w:r w:rsidRPr="00300841">
        <w:rPr>
          <w:i/>
          <w:szCs w:val="24"/>
        </w:rPr>
        <w:t>Free Radical Biology and Medicine</w:t>
      </w:r>
      <w:r w:rsidRPr="00300841">
        <w:rPr>
          <w:szCs w:val="24"/>
        </w:rPr>
        <w:t xml:space="preserve">  </w:t>
      </w:r>
      <w:r w:rsidRPr="00300841">
        <w:rPr>
          <w:b/>
          <w:szCs w:val="24"/>
        </w:rPr>
        <w:t>28</w:t>
      </w:r>
      <w:r w:rsidRPr="00300841">
        <w:rPr>
          <w:szCs w:val="24"/>
        </w:rPr>
        <w:t>, 773-778.</w:t>
      </w:r>
    </w:p>
    <w:p w:rsidR="00300841" w:rsidRPr="00300841" w:rsidRDefault="00300841" w:rsidP="00300841">
      <w:pPr>
        <w:spacing w:after="0" w:line="240" w:lineRule="auto"/>
        <w:ind w:left="720" w:hanging="720"/>
        <w:rPr>
          <w:szCs w:val="24"/>
        </w:rPr>
      </w:pPr>
      <w:r w:rsidRPr="00300841">
        <w:rPr>
          <w:szCs w:val="24"/>
        </w:rPr>
        <w:t>Dickman, M.B., Park, Y.K., Oltersdorf, T., Li, W., Clemente, T. and French, R. (2001). Abrogation of disease development in plants expressing animal antiapoptotic genes</w:t>
      </w:r>
      <w:r w:rsidRPr="00300841">
        <w:rPr>
          <w:i/>
          <w:szCs w:val="24"/>
        </w:rPr>
        <w:t>.</w:t>
      </w:r>
      <w:r w:rsidRPr="00300841">
        <w:rPr>
          <w:szCs w:val="24"/>
        </w:rPr>
        <w:t xml:space="preserve"> </w:t>
      </w:r>
      <w:r w:rsidRPr="00300841">
        <w:rPr>
          <w:i/>
          <w:szCs w:val="24"/>
        </w:rPr>
        <w:t>Proceedings of the National Academy of Sciences of the United States of America</w:t>
      </w:r>
      <w:r w:rsidRPr="00300841">
        <w:rPr>
          <w:szCs w:val="24"/>
        </w:rPr>
        <w:t xml:space="preserve">  </w:t>
      </w:r>
      <w:r w:rsidRPr="00300841">
        <w:rPr>
          <w:b/>
          <w:szCs w:val="24"/>
        </w:rPr>
        <w:t>98</w:t>
      </w:r>
      <w:r w:rsidRPr="00300841">
        <w:rPr>
          <w:szCs w:val="24"/>
        </w:rPr>
        <w:t>, 6957-6962.</w:t>
      </w:r>
    </w:p>
    <w:p w:rsidR="00300841" w:rsidRPr="00300841" w:rsidRDefault="00300841" w:rsidP="00300841">
      <w:pPr>
        <w:spacing w:after="0" w:line="240" w:lineRule="auto"/>
        <w:ind w:left="720" w:hanging="720"/>
        <w:rPr>
          <w:szCs w:val="24"/>
        </w:rPr>
      </w:pPr>
      <w:r w:rsidRPr="00300841">
        <w:rPr>
          <w:szCs w:val="24"/>
        </w:rPr>
        <w:t xml:space="preserve">Doelling, J.H., Walker, J.M., Friedman, E.M., Thompson, A.R. and Vierstra, R.D. (2002). The APG8/12-activating Enzyme APG7 Is Required for Proper Nutrient Recycling and Senescence in </w:t>
      </w:r>
      <w:r w:rsidRPr="00300841">
        <w:rPr>
          <w:i/>
          <w:szCs w:val="24"/>
        </w:rPr>
        <w:t>Arabidopsis</w:t>
      </w:r>
      <w:r w:rsidRPr="00300841">
        <w:rPr>
          <w:szCs w:val="24"/>
        </w:rPr>
        <w:t xml:space="preserve"> </w:t>
      </w:r>
      <w:r w:rsidRPr="00300841">
        <w:rPr>
          <w:i/>
          <w:szCs w:val="24"/>
        </w:rPr>
        <w:t>thaliana.</w:t>
      </w:r>
      <w:r w:rsidRPr="00300841">
        <w:rPr>
          <w:szCs w:val="24"/>
        </w:rPr>
        <w:t xml:space="preserve"> </w:t>
      </w:r>
      <w:r w:rsidRPr="00300841">
        <w:rPr>
          <w:i/>
          <w:szCs w:val="24"/>
        </w:rPr>
        <w:t>Journal of Biological Chemistry</w:t>
      </w:r>
      <w:r w:rsidRPr="00300841">
        <w:rPr>
          <w:szCs w:val="24"/>
        </w:rPr>
        <w:t xml:space="preserve">  </w:t>
      </w:r>
      <w:r w:rsidRPr="00300841">
        <w:rPr>
          <w:b/>
          <w:szCs w:val="24"/>
        </w:rPr>
        <w:t>277</w:t>
      </w:r>
      <w:r w:rsidRPr="00300841">
        <w:rPr>
          <w:szCs w:val="24"/>
        </w:rPr>
        <w:t>, 33105-33114.</w:t>
      </w:r>
    </w:p>
    <w:p w:rsidR="00300841" w:rsidRPr="00300841" w:rsidRDefault="00300841" w:rsidP="00300841">
      <w:pPr>
        <w:spacing w:after="0" w:line="240" w:lineRule="auto"/>
        <w:ind w:left="720" w:hanging="720"/>
        <w:rPr>
          <w:szCs w:val="24"/>
        </w:rPr>
      </w:pPr>
      <w:r w:rsidRPr="00300841">
        <w:rPr>
          <w:szCs w:val="24"/>
        </w:rPr>
        <w:t xml:space="preserve">Doke, N. (1975). Prevention of the hypersensitive reaction of potato cells to infection with an incompatible race of </w:t>
      </w:r>
      <w:r w:rsidRPr="00300841">
        <w:rPr>
          <w:i/>
          <w:szCs w:val="24"/>
        </w:rPr>
        <w:t>Phytophthora infestans</w:t>
      </w:r>
      <w:r w:rsidRPr="00300841">
        <w:rPr>
          <w:szCs w:val="24"/>
        </w:rPr>
        <w:t xml:space="preserve"> by constituents of the zoospores</w:t>
      </w:r>
      <w:r w:rsidRPr="00300841">
        <w:rPr>
          <w:i/>
          <w:szCs w:val="24"/>
        </w:rPr>
        <w:t>.</w:t>
      </w:r>
      <w:r w:rsidRPr="00300841">
        <w:rPr>
          <w:szCs w:val="24"/>
        </w:rPr>
        <w:t xml:space="preserve"> </w:t>
      </w:r>
      <w:r w:rsidRPr="00300841">
        <w:rPr>
          <w:i/>
          <w:szCs w:val="24"/>
        </w:rPr>
        <w:t>Physiological Plant Pathology</w:t>
      </w:r>
      <w:r w:rsidRPr="00300841">
        <w:rPr>
          <w:szCs w:val="24"/>
        </w:rPr>
        <w:t xml:space="preserve">  </w:t>
      </w:r>
      <w:r w:rsidRPr="00300841">
        <w:rPr>
          <w:b/>
          <w:szCs w:val="24"/>
        </w:rPr>
        <w:t>7</w:t>
      </w:r>
      <w:r w:rsidRPr="00300841">
        <w:rPr>
          <w:szCs w:val="24"/>
        </w:rPr>
        <w:t>, 1-4, IN1, 5-7.</w:t>
      </w:r>
    </w:p>
    <w:p w:rsidR="00300841" w:rsidRPr="00300841" w:rsidRDefault="00300841" w:rsidP="00300841">
      <w:pPr>
        <w:spacing w:after="0" w:line="240" w:lineRule="auto"/>
        <w:ind w:left="720" w:hanging="720"/>
        <w:rPr>
          <w:szCs w:val="24"/>
        </w:rPr>
      </w:pPr>
      <w:r w:rsidRPr="00300841">
        <w:rPr>
          <w:szCs w:val="24"/>
        </w:rPr>
        <w:t>Domínguez, F. and Cejudo, F.J. (1998). Germination-related genes encoding proteolytic enzymes are expressed in the nucellus of developing wheat grains</w:t>
      </w:r>
      <w:r w:rsidRPr="00300841">
        <w:rPr>
          <w:i/>
          <w:szCs w:val="24"/>
        </w:rPr>
        <w:t>.</w:t>
      </w:r>
      <w:r w:rsidRPr="00300841">
        <w:rPr>
          <w:szCs w:val="24"/>
        </w:rPr>
        <w:t xml:space="preserve"> </w:t>
      </w:r>
      <w:r w:rsidRPr="00300841">
        <w:rPr>
          <w:i/>
          <w:szCs w:val="24"/>
        </w:rPr>
        <w:t>The Plant Journal</w:t>
      </w:r>
      <w:r w:rsidRPr="00300841">
        <w:rPr>
          <w:szCs w:val="24"/>
        </w:rPr>
        <w:t xml:space="preserve">  </w:t>
      </w:r>
      <w:r w:rsidRPr="00300841">
        <w:rPr>
          <w:b/>
          <w:szCs w:val="24"/>
        </w:rPr>
        <w:t>15</w:t>
      </w:r>
      <w:r w:rsidRPr="00300841">
        <w:rPr>
          <w:szCs w:val="24"/>
        </w:rPr>
        <w:t>, 569-574.</w:t>
      </w:r>
    </w:p>
    <w:p w:rsidR="00300841" w:rsidRPr="00300841" w:rsidRDefault="00300841" w:rsidP="00300841">
      <w:pPr>
        <w:spacing w:after="0" w:line="240" w:lineRule="auto"/>
        <w:ind w:left="720" w:hanging="720"/>
        <w:rPr>
          <w:szCs w:val="24"/>
        </w:rPr>
      </w:pPr>
      <w:r w:rsidRPr="00300841">
        <w:rPr>
          <w:szCs w:val="24"/>
        </w:rPr>
        <w:t>Domínguez, F., Moreno, J. and Cejudo, F.J. (2001). The nucellus degenerates by a process of programmed cell death during the early stages of wheat grain development</w:t>
      </w:r>
      <w:r w:rsidRPr="00300841">
        <w:rPr>
          <w:i/>
          <w:szCs w:val="24"/>
        </w:rPr>
        <w:t>.</w:t>
      </w:r>
      <w:r w:rsidRPr="00300841">
        <w:rPr>
          <w:szCs w:val="24"/>
        </w:rPr>
        <w:t xml:space="preserve"> </w:t>
      </w:r>
      <w:r w:rsidRPr="00300841">
        <w:rPr>
          <w:i/>
          <w:szCs w:val="24"/>
        </w:rPr>
        <w:t>Planta</w:t>
      </w:r>
      <w:r w:rsidRPr="00300841">
        <w:rPr>
          <w:szCs w:val="24"/>
        </w:rPr>
        <w:t xml:space="preserve">  </w:t>
      </w:r>
      <w:r w:rsidRPr="00300841">
        <w:rPr>
          <w:b/>
          <w:szCs w:val="24"/>
        </w:rPr>
        <w:t>213</w:t>
      </w:r>
      <w:r w:rsidRPr="00300841">
        <w:rPr>
          <w:szCs w:val="24"/>
        </w:rPr>
        <w:t>, 352-360.</w:t>
      </w:r>
    </w:p>
    <w:p w:rsidR="00300841" w:rsidRPr="00300841" w:rsidRDefault="00300841" w:rsidP="00300841">
      <w:pPr>
        <w:spacing w:after="0" w:line="240" w:lineRule="auto"/>
        <w:ind w:left="720" w:hanging="720"/>
        <w:rPr>
          <w:szCs w:val="24"/>
        </w:rPr>
      </w:pPr>
      <w:r w:rsidRPr="00300841">
        <w:rPr>
          <w:szCs w:val="24"/>
        </w:rPr>
        <w:t>Domínguez, F., Moreno, J. and Cejudo, F.J. (2004). A Gibberellin-induced Nuclease Is Localized in the Nucleus of Wheat Aleurone Cells Undergoing Programmed Cell Death</w:t>
      </w:r>
      <w:r w:rsidRPr="00300841">
        <w:rPr>
          <w:i/>
          <w:szCs w:val="24"/>
        </w:rPr>
        <w:t>.</w:t>
      </w:r>
      <w:r w:rsidRPr="00300841">
        <w:rPr>
          <w:szCs w:val="24"/>
        </w:rPr>
        <w:t xml:space="preserve"> </w:t>
      </w:r>
      <w:r w:rsidRPr="00300841">
        <w:rPr>
          <w:i/>
          <w:szCs w:val="24"/>
        </w:rPr>
        <w:t>Journal of Biological Chemistry</w:t>
      </w:r>
      <w:r w:rsidRPr="00300841">
        <w:rPr>
          <w:szCs w:val="24"/>
        </w:rPr>
        <w:t xml:space="preserve">  </w:t>
      </w:r>
      <w:r w:rsidRPr="00300841">
        <w:rPr>
          <w:b/>
          <w:szCs w:val="24"/>
        </w:rPr>
        <w:t>279</w:t>
      </w:r>
      <w:r w:rsidRPr="00300841">
        <w:rPr>
          <w:szCs w:val="24"/>
        </w:rPr>
        <w:t>, 11530-11536.</w:t>
      </w:r>
    </w:p>
    <w:p w:rsidR="00300841" w:rsidRPr="00300841" w:rsidRDefault="00300841" w:rsidP="00300841">
      <w:pPr>
        <w:spacing w:after="0" w:line="240" w:lineRule="auto"/>
        <w:ind w:left="720" w:hanging="720"/>
        <w:rPr>
          <w:szCs w:val="24"/>
        </w:rPr>
      </w:pPr>
      <w:r w:rsidRPr="00300841">
        <w:rPr>
          <w:szCs w:val="24"/>
        </w:rPr>
        <w:t>Dong, Y.H., Zhan, X.C., Kvarnheden, A., Atkinson, R.G., Morris, B.A. and Gardner, R.C. (1998). Expression of a cDNA from apple encoding a homologue of DAD1, an inhibitor of programmed cell death</w:t>
      </w:r>
      <w:r w:rsidRPr="00300841">
        <w:rPr>
          <w:i/>
          <w:szCs w:val="24"/>
        </w:rPr>
        <w:t>.</w:t>
      </w:r>
      <w:r w:rsidRPr="00300841">
        <w:rPr>
          <w:szCs w:val="24"/>
        </w:rPr>
        <w:t xml:space="preserve"> </w:t>
      </w:r>
      <w:r w:rsidRPr="00300841">
        <w:rPr>
          <w:i/>
          <w:szCs w:val="24"/>
        </w:rPr>
        <w:t>Plant Science</w:t>
      </w:r>
      <w:r w:rsidRPr="00300841">
        <w:rPr>
          <w:szCs w:val="24"/>
        </w:rPr>
        <w:t xml:space="preserve">  </w:t>
      </w:r>
      <w:r w:rsidRPr="00300841">
        <w:rPr>
          <w:b/>
          <w:szCs w:val="24"/>
        </w:rPr>
        <w:t>139</w:t>
      </w:r>
      <w:r w:rsidRPr="00300841">
        <w:rPr>
          <w:szCs w:val="24"/>
        </w:rPr>
        <w:t>, 165-174.</w:t>
      </w:r>
    </w:p>
    <w:p w:rsidR="00300841" w:rsidRPr="00300841" w:rsidRDefault="00300841" w:rsidP="00300841">
      <w:pPr>
        <w:spacing w:after="0" w:line="240" w:lineRule="auto"/>
        <w:ind w:left="720" w:hanging="720"/>
        <w:rPr>
          <w:szCs w:val="24"/>
        </w:rPr>
      </w:pPr>
      <w:r w:rsidRPr="00300841">
        <w:rPr>
          <w:szCs w:val="24"/>
        </w:rPr>
        <w:t>Downward, J. (2003). Cell biology: Metabolism meets death</w:t>
      </w:r>
      <w:r w:rsidRPr="00300841">
        <w:rPr>
          <w:i/>
          <w:szCs w:val="24"/>
        </w:rPr>
        <w:t>.</w:t>
      </w:r>
      <w:r w:rsidRPr="00300841">
        <w:rPr>
          <w:szCs w:val="24"/>
        </w:rPr>
        <w:t xml:space="preserve"> </w:t>
      </w:r>
      <w:r w:rsidRPr="00300841">
        <w:rPr>
          <w:i/>
          <w:szCs w:val="24"/>
        </w:rPr>
        <w:t>Nature</w:t>
      </w:r>
      <w:r w:rsidRPr="00300841">
        <w:rPr>
          <w:szCs w:val="24"/>
        </w:rPr>
        <w:t xml:space="preserve">  </w:t>
      </w:r>
      <w:r w:rsidRPr="00300841">
        <w:rPr>
          <w:b/>
          <w:szCs w:val="24"/>
        </w:rPr>
        <w:t>424</w:t>
      </w:r>
      <w:r w:rsidRPr="00300841">
        <w:rPr>
          <w:szCs w:val="24"/>
        </w:rPr>
        <w:t>, 896-897.</w:t>
      </w:r>
    </w:p>
    <w:p w:rsidR="00300841" w:rsidRPr="00300841" w:rsidRDefault="00300841" w:rsidP="00300841">
      <w:pPr>
        <w:spacing w:after="0" w:line="240" w:lineRule="auto"/>
        <w:ind w:left="720" w:hanging="720"/>
        <w:rPr>
          <w:szCs w:val="24"/>
        </w:rPr>
      </w:pPr>
      <w:r w:rsidRPr="00300841">
        <w:rPr>
          <w:szCs w:val="24"/>
        </w:rPr>
        <w:t xml:space="preserve">Doyle, S.M., Diamond, M. and McCabe, P.F. (2010). Chloroplast and reactive oxygen species involvement in apoptotic-like programmed cell death in </w:t>
      </w:r>
      <w:r w:rsidRPr="00300841">
        <w:rPr>
          <w:i/>
          <w:szCs w:val="24"/>
        </w:rPr>
        <w:t>Arabidopsis</w:t>
      </w:r>
      <w:r w:rsidRPr="00300841">
        <w:rPr>
          <w:szCs w:val="24"/>
        </w:rPr>
        <w:t xml:space="preserve"> suspension cultures</w:t>
      </w:r>
      <w:r w:rsidRPr="00300841">
        <w:rPr>
          <w:i/>
          <w:szCs w:val="24"/>
        </w:rPr>
        <w:t>.</w:t>
      </w:r>
      <w:r w:rsidRPr="00300841">
        <w:rPr>
          <w:szCs w:val="24"/>
        </w:rPr>
        <w:t xml:space="preserve"> </w:t>
      </w:r>
      <w:r w:rsidRPr="00300841">
        <w:rPr>
          <w:i/>
          <w:szCs w:val="24"/>
        </w:rPr>
        <w:t>Journal of Experimental Botany</w:t>
      </w:r>
      <w:r w:rsidRPr="00300841">
        <w:rPr>
          <w:szCs w:val="24"/>
        </w:rPr>
        <w:t xml:space="preserve">  </w:t>
      </w:r>
      <w:r w:rsidRPr="00300841">
        <w:rPr>
          <w:b/>
          <w:szCs w:val="24"/>
        </w:rPr>
        <w:t>61</w:t>
      </w:r>
      <w:r w:rsidRPr="00300841">
        <w:rPr>
          <w:szCs w:val="24"/>
        </w:rPr>
        <w:t>, 473-482.</w:t>
      </w:r>
    </w:p>
    <w:p w:rsidR="00300841" w:rsidRPr="00300841" w:rsidRDefault="00300841" w:rsidP="00300841">
      <w:pPr>
        <w:spacing w:after="0" w:line="240" w:lineRule="auto"/>
        <w:ind w:left="720" w:hanging="720"/>
        <w:rPr>
          <w:szCs w:val="24"/>
        </w:rPr>
      </w:pPr>
      <w:r w:rsidRPr="00300841">
        <w:rPr>
          <w:szCs w:val="24"/>
        </w:rPr>
        <w:t>Drew, M.C., He, C.-J. and Morgan, P.W. (2000). Programmed cell death and aerenchyma formation in roots</w:t>
      </w:r>
      <w:r w:rsidRPr="00300841">
        <w:rPr>
          <w:i/>
          <w:szCs w:val="24"/>
        </w:rPr>
        <w:t>.</w:t>
      </w:r>
      <w:r w:rsidRPr="00300841">
        <w:rPr>
          <w:szCs w:val="24"/>
        </w:rPr>
        <w:t xml:space="preserve"> </w:t>
      </w:r>
      <w:r w:rsidRPr="00300841">
        <w:rPr>
          <w:i/>
          <w:szCs w:val="24"/>
        </w:rPr>
        <w:t>Trends in Plant Science</w:t>
      </w:r>
      <w:r w:rsidRPr="00300841">
        <w:rPr>
          <w:szCs w:val="24"/>
        </w:rPr>
        <w:t xml:space="preserve">  </w:t>
      </w:r>
      <w:r w:rsidRPr="00300841">
        <w:rPr>
          <w:b/>
          <w:szCs w:val="24"/>
        </w:rPr>
        <w:t>5</w:t>
      </w:r>
      <w:r w:rsidRPr="00300841">
        <w:rPr>
          <w:szCs w:val="24"/>
        </w:rPr>
        <w:t>, 123-127.</w:t>
      </w:r>
    </w:p>
    <w:p w:rsidR="00300841" w:rsidRPr="00300841" w:rsidRDefault="00300841" w:rsidP="00300841">
      <w:pPr>
        <w:spacing w:after="0" w:line="240" w:lineRule="auto"/>
        <w:ind w:left="720" w:hanging="720"/>
        <w:rPr>
          <w:szCs w:val="24"/>
        </w:rPr>
      </w:pPr>
      <w:r w:rsidRPr="00300841">
        <w:rPr>
          <w:szCs w:val="24"/>
        </w:rPr>
        <w:t>Du, C., Fang, M., Li, Y., Li, L. and Wang, X. (2000). Smac, a Mitochondrial Protein that Promotes Cytochrome c-Dependent Caspase Activation by Eliminating IAP Inhibition</w:t>
      </w:r>
      <w:r w:rsidRPr="00300841">
        <w:rPr>
          <w:i/>
          <w:szCs w:val="24"/>
        </w:rPr>
        <w:t>.</w:t>
      </w:r>
      <w:r w:rsidRPr="00300841">
        <w:rPr>
          <w:szCs w:val="24"/>
        </w:rPr>
        <w:t xml:space="preserve"> </w:t>
      </w:r>
      <w:r w:rsidRPr="00300841">
        <w:rPr>
          <w:i/>
          <w:szCs w:val="24"/>
        </w:rPr>
        <w:t>Cell</w:t>
      </w:r>
      <w:r w:rsidRPr="00300841">
        <w:rPr>
          <w:szCs w:val="24"/>
        </w:rPr>
        <w:t xml:space="preserve">  </w:t>
      </w:r>
      <w:r w:rsidRPr="00300841">
        <w:rPr>
          <w:b/>
          <w:szCs w:val="24"/>
        </w:rPr>
        <w:t>102</w:t>
      </w:r>
      <w:r w:rsidRPr="00300841">
        <w:rPr>
          <w:szCs w:val="24"/>
        </w:rPr>
        <w:t>, 33-42.</w:t>
      </w:r>
    </w:p>
    <w:p w:rsidR="00300841" w:rsidRPr="00300841" w:rsidRDefault="00300841" w:rsidP="00300841">
      <w:pPr>
        <w:spacing w:after="0" w:line="240" w:lineRule="auto"/>
        <w:ind w:left="720" w:hanging="720"/>
        <w:rPr>
          <w:szCs w:val="24"/>
        </w:rPr>
      </w:pPr>
      <w:r w:rsidRPr="00300841">
        <w:rPr>
          <w:szCs w:val="24"/>
        </w:rPr>
        <w:t>Du, H., Clarke, A.E. and Bacic, A. (1996). Arabinogalactan-proteins: a class of extracellular matrix proteoglycans involved in plant growth and development</w:t>
      </w:r>
      <w:r w:rsidRPr="00300841">
        <w:rPr>
          <w:i/>
          <w:szCs w:val="24"/>
        </w:rPr>
        <w:t>.</w:t>
      </w:r>
      <w:r w:rsidRPr="00300841">
        <w:rPr>
          <w:szCs w:val="24"/>
        </w:rPr>
        <w:t xml:space="preserve"> </w:t>
      </w:r>
      <w:r w:rsidRPr="00300841">
        <w:rPr>
          <w:i/>
          <w:szCs w:val="24"/>
        </w:rPr>
        <w:t>Trends in Cell Biology</w:t>
      </w:r>
      <w:r w:rsidRPr="00300841">
        <w:rPr>
          <w:szCs w:val="24"/>
        </w:rPr>
        <w:t xml:space="preserve">  </w:t>
      </w:r>
      <w:r w:rsidRPr="00300841">
        <w:rPr>
          <w:b/>
          <w:szCs w:val="24"/>
        </w:rPr>
        <w:t>6</w:t>
      </w:r>
      <w:r w:rsidRPr="00300841">
        <w:rPr>
          <w:szCs w:val="24"/>
        </w:rPr>
        <w:t>, 411-414.</w:t>
      </w:r>
    </w:p>
    <w:p w:rsidR="00300841" w:rsidRPr="00300841" w:rsidRDefault="00300841" w:rsidP="00300841">
      <w:pPr>
        <w:spacing w:after="0" w:line="240" w:lineRule="auto"/>
        <w:ind w:left="720" w:hanging="720"/>
        <w:rPr>
          <w:szCs w:val="24"/>
        </w:rPr>
      </w:pPr>
      <w:r w:rsidRPr="00300841">
        <w:rPr>
          <w:szCs w:val="24"/>
        </w:rPr>
        <w:t xml:space="preserve">Duan, Y., Zhang, W., Li, B., Wang, Y., Li, K., Sodmergen, Han, C., Zhang, Y. and Li, X. (2010). An endoplasmic reticulum response pathway mediates programmed cell death of root tip induced by water stress in </w:t>
      </w:r>
      <w:r w:rsidRPr="00300841">
        <w:rPr>
          <w:i/>
          <w:szCs w:val="24"/>
        </w:rPr>
        <w:t>Arabidopsis.</w:t>
      </w:r>
      <w:r w:rsidRPr="00300841">
        <w:rPr>
          <w:szCs w:val="24"/>
        </w:rPr>
        <w:t xml:space="preserve"> </w:t>
      </w:r>
      <w:r w:rsidRPr="00300841">
        <w:rPr>
          <w:i/>
          <w:szCs w:val="24"/>
        </w:rPr>
        <w:t>New Phytologist</w:t>
      </w:r>
      <w:r w:rsidRPr="00300841">
        <w:rPr>
          <w:szCs w:val="24"/>
        </w:rPr>
        <w:t xml:space="preserve">  </w:t>
      </w:r>
      <w:r w:rsidRPr="00300841">
        <w:rPr>
          <w:b/>
          <w:szCs w:val="24"/>
        </w:rPr>
        <w:t>186</w:t>
      </w:r>
      <w:r w:rsidRPr="00300841">
        <w:rPr>
          <w:szCs w:val="24"/>
        </w:rPr>
        <w:t>, 681-695.</w:t>
      </w:r>
    </w:p>
    <w:p w:rsidR="00300841" w:rsidRPr="00300841" w:rsidRDefault="00300841" w:rsidP="00300841">
      <w:pPr>
        <w:spacing w:after="0" w:line="240" w:lineRule="auto"/>
        <w:ind w:left="720" w:hanging="720"/>
        <w:rPr>
          <w:szCs w:val="24"/>
        </w:rPr>
      </w:pPr>
      <w:r w:rsidRPr="00300841">
        <w:rPr>
          <w:szCs w:val="24"/>
        </w:rPr>
        <w:t xml:space="preserve">Elliott, A. and Gunawardena, A.H.L.A.N. (2010). Calcium inhibition halts developmental programmed cell death in the lace plant, </w:t>
      </w:r>
      <w:r w:rsidRPr="00300841">
        <w:rPr>
          <w:i/>
          <w:szCs w:val="24"/>
        </w:rPr>
        <w:t>Aponogeton madagascariensis</w:t>
      </w:r>
      <w:r w:rsidRPr="00300841">
        <w:rPr>
          <w:szCs w:val="24"/>
        </w:rPr>
        <w:t xml:space="preserve">? </w:t>
      </w:r>
      <w:r w:rsidRPr="00300841">
        <w:rPr>
          <w:i/>
          <w:szCs w:val="24"/>
        </w:rPr>
        <w:t>Botany</w:t>
      </w:r>
      <w:r w:rsidRPr="00300841">
        <w:rPr>
          <w:szCs w:val="24"/>
        </w:rPr>
        <w:t xml:space="preserve">  </w:t>
      </w:r>
      <w:r w:rsidRPr="00300841">
        <w:rPr>
          <w:b/>
          <w:szCs w:val="24"/>
        </w:rPr>
        <w:t>88</w:t>
      </w:r>
      <w:r w:rsidRPr="00300841">
        <w:rPr>
          <w:szCs w:val="24"/>
        </w:rPr>
        <w:t>, 206-210.</w:t>
      </w:r>
    </w:p>
    <w:p w:rsidR="00300841" w:rsidRPr="00300841" w:rsidRDefault="00300841" w:rsidP="00300841">
      <w:pPr>
        <w:spacing w:after="0" w:line="240" w:lineRule="auto"/>
        <w:ind w:left="720" w:hanging="720"/>
        <w:rPr>
          <w:szCs w:val="24"/>
        </w:rPr>
      </w:pPr>
      <w:r w:rsidRPr="00300841">
        <w:rPr>
          <w:szCs w:val="24"/>
        </w:rPr>
        <w:t>Esau, K. (1977). “Anatomy of Seed Plants”</w:t>
      </w:r>
      <w:r w:rsidRPr="00300841">
        <w:rPr>
          <w:i/>
          <w:szCs w:val="24"/>
        </w:rPr>
        <w:t>.</w:t>
      </w:r>
      <w:r w:rsidRPr="00300841">
        <w:rPr>
          <w:szCs w:val="24"/>
        </w:rPr>
        <w:t xml:space="preserve"> Second Edition John Wiley and Sons, New York.</w:t>
      </w:r>
    </w:p>
    <w:p w:rsidR="00300841" w:rsidRPr="00300841" w:rsidRDefault="00300841" w:rsidP="00300841">
      <w:pPr>
        <w:spacing w:after="0" w:line="240" w:lineRule="auto"/>
        <w:ind w:left="720" w:hanging="720"/>
        <w:rPr>
          <w:i/>
          <w:szCs w:val="24"/>
        </w:rPr>
      </w:pPr>
      <w:r w:rsidRPr="00300841">
        <w:rPr>
          <w:rFonts w:asciiTheme="minorHAnsi" w:hAnsiTheme="minorHAnsi"/>
        </w:rPr>
        <w:t xml:space="preserve">Fagerstedt, K.V. (2010) Programmed Cell Death and Aerenchyma Formation Under Hypoxia, </w:t>
      </w:r>
      <w:r w:rsidRPr="00300841">
        <w:rPr>
          <w:rFonts w:asciiTheme="minorHAnsi" w:hAnsiTheme="minorHAnsi"/>
          <w:i/>
        </w:rPr>
        <w:t>In</w:t>
      </w:r>
      <w:r w:rsidRPr="00300841">
        <w:rPr>
          <w:rFonts w:asciiTheme="minorHAnsi" w:hAnsiTheme="minorHAnsi"/>
        </w:rPr>
        <w:t xml:space="preserve"> "Waterlogging Signalling and Tolerance in Plants</w:t>
      </w:r>
      <w:r w:rsidRPr="00300841">
        <w:rPr>
          <w:rFonts w:asciiTheme="minorHAnsi" w:hAnsiTheme="minorHAnsi"/>
          <w:i/>
        </w:rPr>
        <w:t>"</w:t>
      </w:r>
      <w:r w:rsidRPr="00300841">
        <w:rPr>
          <w:rFonts w:asciiTheme="minorHAnsi" w:hAnsiTheme="minorHAnsi"/>
        </w:rPr>
        <w:t xml:space="preserve"> (S. </w:t>
      </w:r>
      <w:r w:rsidRPr="00300841">
        <w:rPr>
          <w:rFonts w:asciiTheme="minorHAnsi" w:eastAsiaTheme="minorHAnsi" w:hAnsiTheme="minorHAnsi" w:cs="Arial"/>
        </w:rPr>
        <w:t>Mancuso and S. Shabala,</w:t>
      </w:r>
      <w:r w:rsidRPr="00300841">
        <w:rPr>
          <w:rFonts w:asciiTheme="minorHAnsi" w:hAnsiTheme="minorHAnsi"/>
        </w:rPr>
        <w:t xml:space="preserve"> eds.),</w:t>
      </w:r>
      <w:r w:rsidRPr="00300841">
        <w:rPr>
          <w:rFonts w:asciiTheme="minorHAnsi" w:hAnsiTheme="minorHAnsi"/>
          <w:i/>
        </w:rPr>
        <w:t xml:space="preserve"> </w:t>
      </w:r>
      <w:r w:rsidRPr="00300841">
        <w:rPr>
          <w:rFonts w:asciiTheme="minorHAnsi" w:hAnsiTheme="minorHAnsi"/>
        </w:rPr>
        <w:t>pp</w:t>
      </w:r>
      <w:r w:rsidRPr="00300841">
        <w:rPr>
          <w:rFonts w:asciiTheme="minorHAnsi" w:hAnsiTheme="minorHAnsi"/>
          <w:i/>
        </w:rPr>
        <w:t xml:space="preserve">. </w:t>
      </w:r>
      <w:r w:rsidRPr="00300841">
        <w:rPr>
          <w:rFonts w:asciiTheme="minorHAnsi" w:hAnsiTheme="minorHAnsi"/>
        </w:rPr>
        <w:t>99-118</w:t>
      </w:r>
      <w:r w:rsidRPr="00300841">
        <w:rPr>
          <w:rFonts w:asciiTheme="minorHAnsi" w:hAnsiTheme="minorHAnsi"/>
          <w:i/>
        </w:rPr>
        <w:t xml:space="preserve">. </w:t>
      </w:r>
      <w:r w:rsidRPr="00300841">
        <w:rPr>
          <w:rFonts w:asciiTheme="minorHAnsi" w:eastAsiaTheme="minorHAnsi" w:hAnsiTheme="minorHAnsi" w:cs="Arial"/>
        </w:rPr>
        <w:t>Springer Berlin Heidelberg.</w:t>
      </w:r>
    </w:p>
    <w:p w:rsidR="00300841" w:rsidRPr="00300841" w:rsidRDefault="00300841" w:rsidP="00300841">
      <w:pPr>
        <w:spacing w:after="0" w:line="240" w:lineRule="auto"/>
        <w:ind w:left="720" w:hanging="720"/>
        <w:rPr>
          <w:szCs w:val="24"/>
        </w:rPr>
      </w:pPr>
      <w:r w:rsidRPr="00300841">
        <w:rPr>
          <w:szCs w:val="24"/>
        </w:rPr>
        <w:t>Fan, M., Zhu, J., Richards, C., Brown, K.M. and Lynch, J.P. (2003). Physiological roles for aerenchyma in phosphorus-stressed roots</w:t>
      </w:r>
      <w:r w:rsidRPr="00300841">
        <w:rPr>
          <w:i/>
          <w:szCs w:val="24"/>
        </w:rPr>
        <w:t>.</w:t>
      </w:r>
      <w:r w:rsidRPr="00300841">
        <w:rPr>
          <w:szCs w:val="24"/>
        </w:rPr>
        <w:t xml:space="preserve"> </w:t>
      </w:r>
      <w:r w:rsidRPr="00300841">
        <w:rPr>
          <w:i/>
          <w:szCs w:val="24"/>
        </w:rPr>
        <w:t>Functional Plant Biology</w:t>
      </w:r>
      <w:r w:rsidRPr="00300841">
        <w:rPr>
          <w:szCs w:val="24"/>
        </w:rPr>
        <w:t xml:space="preserve">  </w:t>
      </w:r>
      <w:r w:rsidRPr="00300841">
        <w:rPr>
          <w:b/>
          <w:szCs w:val="24"/>
        </w:rPr>
        <w:t>30</w:t>
      </w:r>
      <w:r w:rsidRPr="00300841">
        <w:rPr>
          <w:szCs w:val="24"/>
        </w:rPr>
        <w:t>, 493-506.</w:t>
      </w:r>
    </w:p>
    <w:p w:rsidR="00300841" w:rsidRPr="00300841" w:rsidRDefault="00300841" w:rsidP="00300841">
      <w:pPr>
        <w:spacing w:after="0" w:line="240" w:lineRule="auto"/>
        <w:ind w:left="720" w:hanging="720"/>
        <w:rPr>
          <w:szCs w:val="24"/>
        </w:rPr>
      </w:pPr>
      <w:r w:rsidRPr="00300841">
        <w:rPr>
          <w:szCs w:val="24"/>
        </w:rPr>
        <w:t>Fan, T. and Xing, T. (2004). Heat Shock Induces Programmed Cell Death in Wheat Leaves</w:t>
      </w:r>
      <w:r w:rsidRPr="00300841">
        <w:rPr>
          <w:i/>
          <w:szCs w:val="24"/>
        </w:rPr>
        <w:t>.</w:t>
      </w:r>
      <w:r w:rsidRPr="00300841">
        <w:rPr>
          <w:szCs w:val="24"/>
        </w:rPr>
        <w:t xml:space="preserve"> </w:t>
      </w:r>
      <w:r w:rsidRPr="00300841">
        <w:rPr>
          <w:i/>
          <w:szCs w:val="24"/>
        </w:rPr>
        <w:t>Biologia Plantarum</w:t>
      </w:r>
      <w:r w:rsidRPr="00300841">
        <w:rPr>
          <w:szCs w:val="24"/>
        </w:rPr>
        <w:t xml:space="preserve">  </w:t>
      </w:r>
      <w:r w:rsidRPr="00300841">
        <w:rPr>
          <w:b/>
          <w:szCs w:val="24"/>
        </w:rPr>
        <w:t>48</w:t>
      </w:r>
      <w:r w:rsidRPr="00300841">
        <w:rPr>
          <w:szCs w:val="24"/>
        </w:rPr>
        <w:t>, 389-394.</w:t>
      </w:r>
    </w:p>
    <w:p w:rsidR="00300841" w:rsidRPr="00300841" w:rsidRDefault="00300841" w:rsidP="00300841">
      <w:pPr>
        <w:spacing w:after="0" w:line="240" w:lineRule="auto"/>
        <w:ind w:left="720" w:hanging="720"/>
        <w:rPr>
          <w:szCs w:val="24"/>
        </w:rPr>
      </w:pPr>
      <w:r w:rsidRPr="00300841">
        <w:rPr>
          <w:szCs w:val="24"/>
        </w:rPr>
        <w:t>Fath, A., Bethke, P., Beligni, V. and Jones, R. (2002). Active oxygen and cell death in cereal aleurone cells</w:t>
      </w:r>
      <w:r w:rsidRPr="00300841">
        <w:rPr>
          <w:i/>
          <w:szCs w:val="24"/>
        </w:rPr>
        <w:t>.</w:t>
      </w:r>
      <w:r w:rsidRPr="00300841">
        <w:rPr>
          <w:szCs w:val="24"/>
        </w:rPr>
        <w:t xml:space="preserve"> </w:t>
      </w:r>
      <w:r w:rsidRPr="00300841">
        <w:rPr>
          <w:i/>
          <w:szCs w:val="24"/>
        </w:rPr>
        <w:t>Journal of Experimental Botany</w:t>
      </w:r>
      <w:r w:rsidRPr="00300841">
        <w:rPr>
          <w:szCs w:val="24"/>
        </w:rPr>
        <w:t xml:space="preserve">  </w:t>
      </w:r>
      <w:r w:rsidRPr="00300841">
        <w:rPr>
          <w:b/>
          <w:szCs w:val="24"/>
        </w:rPr>
        <w:t>53</w:t>
      </w:r>
      <w:r w:rsidRPr="00300841">
        <w:rPr>
          <w:szCs w:val="24"/>
        </w:rPr>
        <w:t>, 1273-1282.</w:t>
      </w:r>
    </w:p>
    <w:p w:rsidR="00300841" w:rsidRPr="00300841" w:rsidRDefault="00300841" w:rsidP="00300841">
      <w:pPr>
        <w:spacing w:after="0" w:line="240" w:lineRule="auto"/>
        <w:ind w:left="720" w:hanging="720"/>
        <w:rPr>
          <w:szCs w:val="24"/>
        </w:rPr>
      </w:pPr>
      <w:r w:rsidRPr="00300841">
        <w:rPr>
          <w:szCs w:val="24"/>
        </w:rPr>
        <w:t>Fath, A., Bethke, P., Lonsdale, J., Meza-Romero, R. and Jones, R. (2000). Programmed cell death in cereal aleurone</w:t>
      </w:r>
      <w:r w:rsidRPr="00300841">
        <w:rPr>
          <w:i/>
          <w:szCs w:val="24"/>
        </w:rPr>
        <w:t>.</w:t>
      </w:r>
      <w:r w:rsidRPr="00300841">
        <w:rPr>
          <w:szCs w:val="24"/>
        </w:rPr>
        <w:t xml:space="preserve"> </w:t>
      </w:r>
      <w:r w:rsidRPr="00300841">
        <w:rPr>
          <w:i/>
          <w:szCs w:val="24"/>
        </w:rPr>
        <w:t>Plant Molecular Biology</w:t>
      </w:r>
      <w:r w:rsidRPr="00300841">
        <w:rPr>
          <w:szCs w:val="24"/>
        </w:rPr>
        <w:t xml:space="preserve">  </w:t>
      </w:r>
      <w:r w:rsidRPr="00300841">
        <w:rPr>
          <w:b/>
          <w:szCs w:val="24"/>
        </w:rPr>
        <w:t>44</w:t>
      </w:r>
      <w:r w:rsidRPr="00300841">
        <w:rPr>
          <w:szCs w:val="24"/>
        </w:rPr>
        <w:t>, 255-266.</w:t>
      </w:r>
    </w:p>
    <w:p w:rsidR="00300841" w:rsidRPr="00300841" w:rsidRDefault="00300841" w:rsidP="00300841">
      <w:pPr>
        <w:spacing w:after="0" w:line="240" w:lineRule="auto"/>
        <w:ind w:left="720" w:hanging="720"/>
        <w:rPr>
          <w:szCs w:val="24"/>
        </w:rPr>
      </w:pPr>
      <w:r w:rsidRPr="00300841">
        <w:rPr>
          <w:szCs w:val="24"/>
        </w:rPr>
        <w:t>Fath, A., Bethke, P.C. and Jones, R.L. (1999). Barley aleurone cell death is not apoptotic: characterization of nuclease activities and DNA degradation</w:t>
      </w:r>
      <w:r w:rsidRPr="00300841">
        <w:rPr>
          <w:i/>
          <w:szCs w:val="24"/>
        </w:rPr>
        <w:t>.</w:t>
      </w:r>
      <w:r w:rsidRPr="00300841">
        <w:rPr>
          <w:szCs w:val="24"/>
        </w:rPr>
        <w:t xml:space="preserve"> </w:t>
      </w:r>
      <w:r w:rsidRPr="00300841">
        <w:rPr>
          <w:i/>
          <w:szCs w:val="24"/>
        </w:rPr>
        <w:t>The Plant Journal</w:t>
      </w:r>
      <w:r w:rsidRPr="00300841">
        <w:rPr>
          <w:szCs w:val="24"/>
        </w:rPr>
        <w:t xml:space="preserve">  </w:t>
      </w:r>
      <w:r w:rsidRPr="00300841">
        <w:rPr>
          <w:b/>
          <w:szCs w:val="24"/>
        </w:rPr>
        <w:t>20</w:t>
      </w:r>
      <w:r w:rsidRPr="00300841">
        <w:rPr>
          <w:szCs w:val="24"/>
        </w:rPr>
        <w:t>, 305-315.</w:t>
      </w:r>
    </w:p>
    <w:p w:rsidR="00300841" w:rsidRPr="00300841" w:rsidRDefault="00300841" w:rsidP="00300841">
      <w:pPr>
        <w:spacing w:after="0" w:line="240" w:lineRule="auto"/>
        <w:ind w:left="720" w:hanging="720"/>
        <w:rPr>
          <w:szCs w:val="24"/>
        </w:rPr>
      </w:pPr>
      <w:r w:rsidRPr="00300841">
        <w:rPr>
          <w:szCs w:val="24"/>
        </w:rPr>
        <w:t>Festjens, N., Vanden Berghe, T. and Vandenabeele, P. (2006). Necrosis, a well-orchestrated form of cell demise: Signalling cascades, important mediators and concomitant immune response</w:t>
      </w:r>
      <w:r w:rsidRPr="00300841">
        <w:rPr>
          <w:i/>
          <w:szCs w:val="24"/>
        </w:rPr>
        <w:t>.</w:t>
      </w:r>
      <w:r w:rsidRPr="00300841">
        <w:rPr>
          <w:szCs w:val="24"/>
        </w:rPr>
        <w:t xml:space="preserve"> </w:t>
      </w:r>
      <w:r w:rsidRPr="00300841">
        <w:rPr>
          <w:i/>
          <w:szCs w:val="24"/>
        </w:rPr>
        <w:t>Biochimica et Biophysica Acta (BBA) - Bioenergetics</w:t>
      </w:r>
      <w:r w:rsidRPr="00300841">
        <w:rPr>
          <w:szCs w:val="24"/>
        </w:rPr>
        <w:t xml:space="preserve">  </w:t>
      </w:r>
      <w:r w:rsidRPr="00300841">
        <w:rPr>
          <w:b/>
          <w:szCs w:val="24"/>
        </w:rPr>
        <w:t>1757</w:t>
      </w:r>
      <w:r w:rsidRPr="00300841">
        <w:rPr>
          <w:szCs w:val="24"/>
        </w:rPr>
        <w:t>, 1371-1387.</w:t>
      </w:r>
    </w:p>
    <w:p w:rsidR="00300841" w:rsidRPr="00300841" w:rsidRDefault="00300841" w:rsidP="00300841">
      <w:pPr>
        <w:spacing w:after="0" w:line="240" w:lineRule="auto"/>
        <w:ind w:left="720" w:hanging="720"/>
        <w:rPr>
          <w:szCs w:val="24"/>
        </w:rPr>
      </w:pPr>
      <w:r w:rsidRPr="00300841">
        <w:rPr>
          <w:szCs w:val="24"/>
        </w:rPr>
        <w:t>Filonova, L., Bozhkov, P., Brukhin, V., Daniel, G., Zhivotovsky, B. and von Arnold, S. (2000). Two waves of programmed cell death occur during formation and development of somatic embryos in the gymnosperm, Norway spruce</w:t>
      </w:r>
      <w:r w:rsidRPr="00300841">
        <w:rPr>
          <w:i/>
          <w:szCs w:val="24"/>
        </w:rPr>
        <w:t>.</w:t>
      </w:r>
      <w:r w:rsidRPr="00300841">
        <w:rPr>
          <w:szCs w:val="24"/>
        </w:rPr>
        <w:t xml:space="preserve"> </w:t>
      </w:r>
      <w:r w:rsidRPr="00300841">
        <w:rPr>
          <w:i/>
          <w:szCs w:val="24"/>
        </w:rPr>
        <w:t>Journal of Cell Science</w:t>
      </w:r>
      <w:r w:rsidRPr="00300841">
        <w:rPr>
          <w:szCs w:val="24"/>
        </w:rPr>
        <w:t xml:space="preserve">  </w:t>
      </w:r>
      <w:r w:rsidRPr="00300841">
        <w:rPr>
          <w:b/>
          <w:szCs w:val="24"/>
        </w:rPr>
        <w:t>113</w:t>
      </w:r>
      <w:r w:rsidRPr="00300841">
        <w:rPr>
          <w:szCs w:val="24"/>
        </w:rPr>
        <w:t>, 4399-4411.</w:t>
      </w:r>
    </w:p>
    <w:p w:rsidR="00300841" w:rsidRPr="00300841" w:rsidRDefault="00300841" w:rsidP="00300841">
      <w:pPr>
        <w:spacing w:after="0" w:line="240" w:lineRule="auto"/>
        <w:ind w:left="720" w:hanging="720"/>
        <w:rPr>
          <w:rFonts w:asciiTheme="minorHAnsi" w:hAnsiTheme="minorHAnsi"/>
          <w:szCs w:val="24"/>
        </w:rPr>
      </w:pPr>
      <w:r w:rsidRPr="00300841">
        <w:rPr>
          <w:szCs w:val="24"/>
        </w:rPr>
        <w:t>Filonova, L., von Arnold, S., Daniel, S. and Bozhkov, P. (2002). Programmed cell death eliminates all but one embryo in a polyembryonic plant seed</w:t>
      </w:r>
      <w:r w:rsidRPr="00300841">
        <w:rPr>
          <w:i/>
          <w:szCs w:val="24"/>
        </w:rPr>
        <w:t>.</w:t>
      </w:r>
      <w:r w:rsidRPr="00300841">
        <w:rPr>
          <w:szCs w:val="24"/>
        </w:rPr>
        <w:t xml:space="preserve"> </w:t>
      </w:r>
      <w:r w:rsidRPr="00300841">
        <w:rPr>
          <w:i/>
          <w:szCs w:val="24"/>
        </w:rPr>
        <w:t>Cell Death and Differentiation</w:t>
      </w:r>
      <w:r w:rsidRPr="00300841">
        <w:rPr>
          <w:szCs w:val="24"/>
        </w:rPr>
        <w:t xml:space="preserve">  </w:t>
      </w:r>
      <w:r w:rsidRPr="00300841">
        <w:rPr>
          <w:b/>
          <w:szCs w:val="24"/>
        </w:rPr>
        <w:t>9</w:t>
      </w:r>
      <w:r w:rsidRPr="00300841">
        <w:rPr>
          <w:szCs w:val="24"/>
        </w:rPr>
        <w:t>, 6.</w:t>
      </w:r>
    </w:p>
    <w:p w:rsidR="00300841" w:rsidRPr="00300841" w:rsidRDefault="00300841" w:rsidP="00300841">
      <w:pPr>
        <w:spacing w:after="0" w:line="240" w:lineRule="auto"/>
        <w:ind w:left="720" w:hanging="720"/>
        <w:rPr>
          <w:rFonts w:asciiTheme="minorHAnsi" w:hAnsiTheme="minorHAnsi"/>
          <w:szCs w:val="24"/>
        </w:rPr>
      </w:pPr>
      <w:r w:rsidRPr="00300841">
        <w:rPr>
          <w:rFonts w:asciiTheme="minorHAnsi" w:hAnsiTheme="minorHAnsi" w:cs="Times New Roman"/>
          <w:szCs w:val="24"/>
        </w:rPr>
        <w:t>Finch-Savage WE</w:t>
      </w:r>
      <w:r w:rsidRPr="00300841">
        <w:rPr>
          <w:rFonts w:asciiTheme="minorHAnsi" w:hAnsiTheme="minorHAnsi"/>
          <w:szCs w:val="24"/>
        </w:rPr>
        <w:t xml:space="preserve"> and </w:t>
      </w:r>
      <w:r w:rsidRPr="00300841">
        <w:rPr>
          <w:rFonts w:asciiTheme="minorHAnsi" w:hAnsiTheme="minorHAnsi" w:cs="Times New Roman"/>
          <w:szCs w:val="24"/>
        </w:rPr>
        <w:t>G., L.-M.</w:t>
      </w:r>
      <w:r w:rsidRPr="00300841">
        <w:rPr>
          <w:rFonts w:asciiTheme="minorHAnsi" w:hAnsiTheme="minorHAnsi"/>
          <w:szCs w:val="24"/>
        </w:rPr>
        <w:t xml:space="preserve"> (2006). </w:t>
      </w:r>
      <w:r w:rsidRPr="00300841">
        <w:rPr>
          <w:rFonts w:asciiTheme="minorHAnsi" w:hAnsiTheme="minorHAnsi" w:cs="Times New Roman"/>
          <w:szCs w:val="24"/>
        </w:rPr>
        <w:t>Seed dormancy and the control of germination.</w:t>
      </w:r>
      <w:r w:rsidRPr="00300841">
        <w:rPr>
          <w:rFonts w:asciiTheme="minorHAnsi" w:hAnsiTheme="minorHAnsi"/>
          <w:szCs w:val="24"/>
        </w:rPr>
        <w:t xml:space="preserve"> </w:t>
      </w:r>
      <w:r w:rsidRPr="00300841">
        <w:rPr>
          <w:rFonts w:asciiTheme="minorHAnsi" w:hAnsiTheme="minorHAnsi" w:cs="Times New Roman"/>
          <w:i/>
          <w:szCs w:val="24"/>
        </w:rPr>
        <w:t>New Phytologist</w:t>
      </w:r>
      <w:r w:rsidRPr="00300841">
        <w:rPr>
          <w:rFonts w:asciiTheme="minorHAnsi" w:hAnsiTheme="minorHAnsi"/>
          <w:szCs w:val="24"/>
        </w:rPr>
        <w:t xml:space="preserve">  </w:t>
      </w:r>
      <w:r w:rsidRPr="00300841">
        <w:rPr>
          <w:rFonts w:asciiTheme="minorHAnsi" w:hAnsiTheme="minorHAnsi"/>
          <w:b/>
          <w:szCs w:val="24"/>
        </w:rPr>
        <w:t>171</w:t>
      </w:r>
      <w:r w:rsidRPr="00300841">
        <w:rPr>
          <w:rFonts w:asciiTheme="minorHAnsi" w:hAnsiTheme="minorHAnsi"/>
          <w:szCs w:val="24"/>
        </w:rPr>
        <w:t>.</w:t>
      </w:r>
    </w:p>
    <w:p w:rsidR="00300841" w:rsidRPr="00300841" w:rsidRDefault="00300841" w:rsidP="00300841">
      <w:pPr>
        <w:spacing w:after="0" w:line="240" w:lineRule="auto"/>
        <w:ind w:left="720" w:hanging="720"/>
        <w:rPr>
          <w:szCs w:val="24"/>
        </w:rPr>
      </w:pPr>
      <w:r w:rsidRPr="00300841">
        <w:rPr>
          <w:szCs w:val="24"/>
        </w:rPr>
        <w:t>Foote, H.C., Ride, J.P., Franklin-Tong, V.E., Walker, E.A., Lawrence, M.J. and Franklin, F.C. (1994). Cloning and expression of a distinctive class of self-incompatibility (S)gene from</w:t>
      </w:r>
      <w:r w:rsidRPr="00300841">
        <w:rPr>
          <w:i/>
          <w:szCs w:val="24"/>
        </w:rPr>
        <w:t xml:space="preserve"> Papaver rhoeas</w:t>
      </w:r>
      <w:r w:rsidRPr="00300841">
        <w:rPr>
          <w:szCs w:val="24"/>
        </w:rPr>
        <w:t xml:space="preserve"> L. </w:t>
      </w:r>
      <w:r w:rsidRPr="00300841">
        <w:rPr>
          <w:i/>
          <w:szCs w:val="24"/>
        </w:rPr>
        <w:t>Proceedings of the National Academy of Sciences United States of America</w:t>
      </w:r>
      <w:r w:rsidRPr="00300841">
        <w:rPr>
          <w:szCs w:val="24"/>
        </w:rPr>
        <w:t xml:space="preserve">  </w:t>
      </w:r>
      <w:r w:rsidRPr="00300841">
        <w:rPr>
          <w:b/>
          <w:szCs w:val="24"/>
        </w:rPr>
        <w:t>91</w:t>
      </w:r>
      <w:r w:rsidRPr="00300841">
        <w:rPr>
          <w:szCs w:val="24"/>
        </w:rPr>
        <w:t>, 2265-2269.</w:t>
      </w:r>
    </w:p>
    <w:p w:rsidR="00300841" w:rsidRPr="00300841" w:rsidRDefault="00300841" w:rsidP="00300841">
      <w:pPr>
        <w:spacing w:after="0" w:line="240" w:lineRule="auto"/>
        <w:ind w:left="720" w:hanging="720"/>
        <w:rPr>
          <w:szCs w:val="24"/>
        </w:rPr>
      </w:pPr>
      <w:r w:rsidRPr="00300841">
        <w:rPr>
          <w:szCs w:val="24"/>
        </w:rPr>
        <w:t>Fordyce, J.A. and Agrawal, A.A. (2001). The Role of Plant Trichomes and Caterpillar Group Size on Growth and Defence of the Pipevine Swallowtail</w:t>
      </w:r>
      <w:r w:rsidRPr="00300841">
        <w:rPr>
          <w:i/>
          <w:szCs w:val="24"/>
        </w:rPr>
        <w:t xml:space="preserve"> Battus philenor.</w:t>
      </w:r>
      <w:r w:rsidRPr="00300841">
        <w:rPr>
          <w:szCs w:val="24"/>
        </w:rPr>
        <w:t xml:space="preserve"> </w:t>
      </w:r>
      <w:r w:rsidRPr="00300841">
        <w:rPr>
          <w:i/>
          <w:szCs w:val="24"/>
        </w:rPr>
        <w:t>Journal of Animal Ecology</w:t>
      </w:r>
      <w:r w:rsidRPr="00300841">
        <w:rPr>
          <w:szCs w:val="24"/>
        </w:rPr>
        <w:t xml:space="preserve">  </w:t>
      </w:r>
      <w:r w:rsidRPr="00300841">
        <w:rPr>
          <w:b/>
          <w:szCs w:val="24"/>
        </w:rPr>
        <w:t>70</w:t>
      </w:r>
      <w:r w:rsidRPr="00300841">
        <w:rPr>
          <w:szCs w:val="24"/>
        </w:rPr>
        <w:t>, 997-1005.</w:t>
      </w:r>
    </w:p>
    <w:p w:rsidR="00300841" w:rsidRPr="00300841" w:rsidRDefault="00300841" w:rsidP="00300841">
      <w:pPr>
        <w:spacing w:after="0" w:line="240" w:lineRule="auto"/>
        <w:ind w:left="720" w:hanging="720"/>
        <w:rPr>
          <w:szCs w:val="24"/>
        </w:rPr>
      </w:pPr>
      <w:r w:rsidRPr="00300841">
        <w:rPr>
          <w:szCs w:val="24"/>
        </w:rPr>
        <w:t>Foresti, O. and Denecke, J. (2008). Intermediate Organelles of the Plant Secretory Pathway: Identity and Function</w:t>
      </w:r>
      <w:r w:rsidRPr="00300841">
        <w:rPr>
          <w:i/>
          <w:szCs w:val="24"/>
        </w:rPr>
        <w:t>.</w:t>
      </w:r>
      <w:r w:rsidRPr="00300841">
        <w:rPr>
          <w:szCs w:val="24"/>
        </w:rPr>
        <w:t xml:space="preserve"> </w:t>
      </w:r>
      <w:r w:rsidRPr="00300841">
        <w:rPr>
          <w:i/>
          <w:szCs w:val="24"/>
        </w:rPr>
        <w:t>Traffic</w:t>
      </w:r>
      <w:r w:rsidRPr="00300841">
        <w:rPr>
          <w:szCs w:val="24"/>
        </w:rPr>
        <w:t xml:space="preserve">  </w:t>
      </w:r>
      <w:r w:rsidRPr="00300841">
        <w:rPr>
          <w:b/>
          <w:szCs w:val="24"/>
        </w:rPr>
        <w:t>9</w:t>
      </w:r>
      <w:r w:rsidRPr="00300841">
        <w:rPr>
          <w:szCs w:val="24"/>
        </w:rPr>
        <w:t>, 1599-1612.</w:t>
      </w:r>
    </w:p>
    <w:p w:rsidR="00300841" w:rsidRPr="00300841" w:rsidRDefault="00300841" w:rsidP="00300841">
      <w:pPr>
        <w:spacing w:after="0" w:line="240" w:lineRule="auto"/>
        <w:ind w:left="720" w:hanging="720"/>
        <w:rPr>
          <w:szCs w:val="24"/>
        </w:rPr>
      </w:pPr>
      <w:r w:rsidRPr="00300841">
        <w:rPr>
          <w:szCs w:val="24"/>
        </w:rPr>
        <w:t>Foyer, C.H. and Noctor, G. (2005a). Oxidant and antioxidant signalling in plants: a re-evaluation of the concept of oxidative stress in a physiological context</w:t>
      </w:r>
      <w:r w:rsidRPr="00300841">
        <w:rPr>
          <w:i/>
          <w:szCs w:val="24"/>
        </w:rPr>
        <w:t>.</w:t>
      </w:r>
      <w:r w:rsidRPr="00300841">
        <w:rPr>
          <w:szCs w:val="24"/>
        </w:rPr>
        <w:t xml:space="preserve"> </w:t>
      </w:r>
      <w:r w:rsidRPr="00300841">
        <w:rPr>
          <w:i/>
          <w:szCs w:val="24"/>
        </w:rPr>
        <w:t>Plant, Cell &amp; Environment</w:t>
      </w:r>
      <w:r w:rsidRPr="00300841">
        <w:rPr>
          <w:szCs w:val="24"/>
        </w:rPr>
        <w:t xml:space="preserve">  </w:t>
      </w:r>
      <w:r w:rsidRPr="00300841">
        <w:rPr>
          <w:b/>
          <w:szCs w:val="24"/>
        </w:rPr>
        <w:t>28</w:t>
      </w:r>
      <w:r w:rsidRPr="00300841">
        <w:rPr>
          <w:szCs w:val="24"/>
        </w:rPr>
        <w:t>, 1056-1071.</w:t>
      </w:r>
    </w:p>
    <w:p w:rsidR="00300841" w:rsidRPr="00300841" w:rsidRDefault="00300841" w:rsidP="00300841">
      <w:pPr>
        <w:spacing w:after="0" w:line="240" w:lineRule="auto"/>
        <w:ind w:left="720" w:hanging="720"/>
        <w:rPr>
          <w:szCs w:val="24"/>
        </w:rPr>
      </w:pPr>
      <w:r w:rsidRPr="00300841">
        <w:rPr>
          <w:szCs w:val="24"/>
        </w:rPr>
        <w:t>Foyer, C.H. and Noctor, G. (2005b). Redox Homeostasis and Antioxidant Signaling: A Metabolic Interface between Stress Perception and Physiological Responses</w:t>
      </w:r>
      <w:r w:rsidRPr="00300841">
        <w:rPr>
          <w:i/>
          <w:szCs w:val="24"/>
        </w:rPr>
        <w:t>.</w:t>
      </w:r>
      <w:r w:rsidRPr="00300841">
        <w:rPr>
          <w:szCs w:val="24"/>
        </w:rPr>
        <w:t xml:space="preserve"> </w:t>
      </w:r>
      <w:r w:rsidRPr="00300841">
        <w:rPr>
          <w:i/>
          <w:szCs w:val="24"/>
        </w:rPr>
        <w:t>Plant Cell</w:t>
      </w:r>
      <w:r w:rsidRPr="00300841">
        <w:rPr>
          <w:szCs w:val="24"/>
        </w:rPr>
        <w:t xml:space="preserve">  </w:t>
      </w:r>
      <w:r w:rsidRPr="00300841">
        <w:rPr>
          <w:b/>
          <w:szCs w:val="24"/>
        </w:rPr>
        <w:t>17</w:t>
      </w:r>
      <w:r w:rsidRPr="00300841">
        <w:rPr>
          <w:szCs w:val="24"/>
        </w:rPr>
        <w:t>, 1866-1875.</w:t>
      </w:r>
    </w:p>
    <w:p w:rsidR="00300841" w:rsidRPr="00300841" w:rsidRDefault="00300841" w:rsidP="00300841">
      <w:pPr>
        <w:spacing w:after="0" w:line="240" w:lineRule="auto"/>
        <w:ind w:left="720" w:hanging="720"/>
        <w:rPr>
          <w:szCs w:val="24"/>
        </w:rPr>
      </w:pPr>
      <w:r w:rsidRPr="00300841">
        <w:rPr>
          <w:szCs w:val="24"/>
        </w:rPr>
        <w:t xml:space="preserve">Franklin-Tong, V.E., Hackett, G. and Hepler, P.K. (1997). Ratio-imaging of Ca2+ in the self-incompatibility response in pollen tubes of </w:t>
      </w:r>
      <w:r w:rsidRPr="00300841">
        <w:rPr>
          <w:i/>
          <w:szCs w:val="24"/>
        </w:rPr>
        <w:t>Papaver rhoeas.</w:t>
      </w:r>
      <w:r w:rsidRPr="00300841">
        <w:rPr>
          <w:szCs w:val="24"/>
        </w:rPr>
        <w:t xml:space="preserve"> </w:t>
      </w:r>
      <w:r w:rsidRPr="00300841">
        <w:rPr>
          <w:i/>
          <w:szCs w:val="24"/>
        </w:rPr>
        <w:t>The Plant Journal</w:t>
      </w:r>
      <w:r w:rsidRPr="00300841">
        <w:rPr>
          <w:szCs w:val="24"/>
        </w:rPr>
        <w:t xml:space="preserve">  </w:t>
      </w:r>
      <w:r w:rsidRPr="00300841">
        <w:rPr>
          <w:b/>
          <w:szCs w:val="24"/>
        </w:rPr>
        <w:t>12</w:t>
      </w:r>
      <w:r w:rsidRPr="00300841">
        <w:rPr>
          <w:szCs w:val="24"/>
        </w:rPr>
        <w:t>, 1375-1386.</w:t>
      </w:r>
    </w:p>
    <w:p w:rsidR="00300841" w:rsidRPr="00300841" w:rsidRDefault="00300841" w:rsidP="00300841">
      <w:pPr>
        <w:spacing w:after="0" w:line="240" w:lineRule="auto"/>
        <w:ind w:left="720" w:hanging="720"/>
        <w:rPr>
          <w:szCs w:val="24"/>
        </w:rPr>
      </w:pPr>
      <w:r w:rsidRPr="00300841">
        <w:rPr>
          <w:szCs w:val="24"/>
        </w:rPr>
        <w:t>Franklin-Tong, V.E., Holdaway-Clarke, T.L., Straatman, K.R., Kunkel, J.G. and Hepler, P.K. (2002). Involvement of extracellular calcium influx in the self-incompatibility response of</w:t>
      </w:r>
      <w:r w:rsidRPr="00300841">
        <w:rPr>
          <w:i/>
          <w:szCs w:val="24"/>
        </w:rPr>
        <w:t xml:space="preserve"> Papaver rhoeas.</w:t>
      </w:r>
      <w:r w:rsidRPr="00300841">
        <w:rPr>
          <w:szCs w:val="24"/>
        </w:rPr>
        <w:t xml:space="preserve"> </w:t>
      </w:r>
      <w:r w:rsidRPr="00300841">
        <w:rPr>
          <w:i/>
          <w:szCs w:val="24"/>
        </w:rPr>
        <w:t>The Plant Journal</w:t>
      </w:r>
      <w:r w:rsidRPr="00300841">
        <w:rPr>
          <w:szCs w:val="24"/>
        </w:rPr>
        <w:t xml:space="preserve">  </w:t>
      </w:r>
      <w:r w:rsidRPr="00300841">
        <w:rPr>
          <w:b/>
          <w:szCs w:val="24"/>
        </w:rPr>
        <w:t>29</w:t>
      </w:r>
      <w:r w:rsidRPr="00300841">
        <w:rPr>
          <w:szCs w:val="24"/>
        </w:rPr>
        <w:t>, 333-345.</w:t>
      </w:r>
    </w:p>
    <w:p w:rsidR="00300841" w:rsidRPr="00300841" w:rsidRDefault="00300841" w:rsidP="00300841">
      <w:pPr>
        <w:spacing w:after="0" w:line="240" w:lineRule="auto"/>
        <w:ind w:left="720" w:hanging="720"/>
        <w:rPr>
          <w:szCs w:val="24"/>
        </w:rPr>
      </w:pPr>
      <w:r w:rsidRPr="00300841">
        <w:rPr>
          <w:szCs w:val="24"/>
        </w:rPr>
        <w:t>Franklin-Tong, V.E., Ride, J.P. and Franklin, F.C.H. (1995). Recombinant stigmatic self-incompatibility (S-) protein elicits a Ca</w:t>
      </w:r>
      <w:r w:rsidRPr="00300841">
        <w:rPr>
          <w:szCs w:val="24"/>
          <w:vertAlign w:val="superscript"/>
        </w:rPr>
        <w:t>2+</w:t>
      </w:r>
      <w:r w:rsidRPr="00300841">
        <w:rPr>
          <w:szCs w:val="24"/>
        </w:rPr>
        <w:t xml:space="preserve"> transient in pollen of </w:t>
      </w:r>
      <w:r w:rsidRPr="00300841">
        <w:rPr>
          <w:i/>
          <w:szCs w:val="24"/>
        </w:rPr>
        <w:t>Papaver rhoeas.</w:t>
      </w:r>
      <w:r w:rsidRPr="00300841">
        <w:rPr>
          <w:szCs w:val="24"/>
        </w:rPr>
        <w:t xml:space="preserve"> </w:t>
      </w:r>
      <w:r w:rsidRPr="00300841">
        <w:rPr>
          <w:i/>
          <w:szCs w:val="24"/>
        </w:rPr>
        <w:t>The Plant Journal</w:t>
      </w:r>
      <w:r w:rsidRPr="00300841">
        <w:rPr>
          <w:szCs w:val="24"/>
        </w:rPr>
        <w:t xml:space="preserve">  </w:t>
      </w:r>
      <w:r w:rsidRPr="00300841">
        <w:rPr>
          <w:b/>
          <w:szCs w:val="24"/>
        </w:rPr>
        <w:t>8</w:t>
      </w:r>
      <w:r w:rsidRPr="00300841">
        <w:rPr>
          <w:szCs w:val="24"/>
        </w:rPr>
        <w:t>, 299-307.</w:t>
      </w:r>
    </w:p>
    <w:p w:rsidR="00300841" w:rsidRPr="00300841" w:rsidRDefault="00300841" w:rsidP="00300841">
      <w:pPr>
        <w:spacing w:after="0" w:line="240" w:lineRule="auto"/>
        <w:ind w:left="720" w:hanging="720"/>
        <w:rPr>
          <w:szCs w:val="24"/>
        </w:rPr>
      </w:pPr>
      <w:r w:rsidRPr="00300841">
        <w:rPr>
          <w:szCs w:val="24"/>
        </w:rPr>
        <w:t xml:space="preserve">Franklin-Tong, V.E., Ride, J.P., Read, N.D., Trewavas, A.J. and Franklin, F.C.H. (1993). The self-incompatibility response in </w:t>
      </w:r>
      <w:r w:rsidRPr="00300841">
        <w:rPr>
          <w:i/>
          <w:szCs w:val="24"/>
        </w:rPr>
        <w:t>Papaver rhoeas</w:t>
      </w:r>
      <w:r w:rsidRPr="00300841">
        <w:rPr>
          <w:szCs w:val="24"/>
        </w:rPr>
        <w:t xml:space="preserve"> is mediated by cytosolic free calcium</w:t>
      </w:r>
      <w:r w:rsidRPr="00300841">
        <w:rPr>
          <w:i/>
          <w:szCs w:val="24"/>
        </w:rPr>
        <w:t>.</w:t>
      </w:r>
      <w:r w:rsidRPr="00300841">
        <w:rPr>
          <w:szCs w:val="24"/>
        </w:rPr>
        <w:t xml:space="preserve"> </w:t>
      </w:r>
      <w:r w:rsidRPr="00300841">
        <w:rPr>
          <w:i/>
          <w:szCs w:val="24"/>
        </w:rPr>
        <w:t>The Plant Journal</w:t>
      </w:r>
      <w:r w:rsidRPr="00300841">
        <w:rPr>
          <w:szCs w:val="24"/>
        </w:rPr>
        <w:t xml:space="preserve">  </w:t>
      </w:r>
      <w:r w:rsidRPr="00300841">
        <w:rPr>
          <w:b/>
          <w:szCs w:val="24"/>
        </w:rPr>
        <w:t>4</w:t>
      </w:r>
      <w:r w:rsidRPr="00300841">
        <w:rPr>
          <w:szCs w:val="24"/>
        </w:rPr>
        <w:t>, 163-177.</w:t>
      </w:r>
    </w:p>
    <w:p w:rsidR="00300841" w:rsidRPr="00300841" w:rsidRDefault="00300841" w:rsidP="00300841">
      <w:pPr>
        <w:spacing w:after="0" w:line="240" w:lineRule="auto"/>
        <w:ind w:left="720" w:hanging="720"/>
        <w:rPr>
          <w:szCs w:val="24"/>
        </w:rPr>
      </w:pPr>
      <w:r w:rsidRPr="00300841">
        <w:rPr>
          <w:szCs w:val="24"/>
        </w:rPr>
        <w:t xml:space="preserve">Friml, J., Vieten, A., Sauer, M., Weijers, D., Schwarz, H., Hamann, T., Offringa, R. and Jurgens, G. (2003). Efflux-dependent auxin gradients establish the apical-basal axis of </w:t>
      </w:r>
      <w:r w:rsidRPr="00300841">
        <w:rPr>
          <w:i/>
          <w:szCs w:val="24"/>
        </w:rPr>
        <w:t>Arabidopsis.</w:t>
      </w:r>
      <w:r w:rsidRPr="00300841">
        <w:rPr>
          <w:szCs w:val="24"/>
        </w:rPr>
        <w:t xml:space="preserve"> </w:t>
      </w:r>
      <w:r w:rsidRPr="00300841">
        <w:rPr>
          <w:i/>
          <w:szCs w:val="24"/>
        </w:rPr>
        <w:t>Nature</w:t>
      </w:r>
      <w:r w:rsidRPr="00300841">
        <w:rPr>
          <w:szCs w:val="24"/>
        </w:rPr>
        <w:t xml:space="preserve">  </w:t>
      </w:r>
      <w:r w:rsidRPr="00300841">
        <w:rPr>
          <w:b/>
          <w:szCs w:val="24"/>
        </w:rPr>
        <w:t>426</w:t>
      </w:r>
      <w:r w:rsidRPr="00300841">
        <w:rPr>
          <w:szCs w:val="24"/>
        </w:rPr>
        <w:t>, 147-153.</w:t>
      </w:r>
    </w:p>
    <w:p w:rsidR="00300841" w:rsidRPr="00300841" w:rsidRDefault="00300841" w:rsidP="00300841">
      <w:pPr>
        <w:spacing w:after="0" w:line="240" w:lineRule="auto"/>
        <w:ind w:left="720" w:hanging="720"/>
        <w:rPr>
          <w:szCs w:val="24"/>
        </w:rPr>
      </w:pPr>
      <w:r w:rsidRPr="00300841">
        <w:rPr>
          <w:szCs w:val="24"/>
        </w:rPr>
        <w:t xml:space="preserve">Fujiki, Y., Yoshimoto, K. and Ohsumi, Y. (2007). An </w:t>
      </w:r>
      <w:r w:rsidRPr="00300841">
        <w:rPr>
          <w:i/>
          <w:szCs w:val="24"/>
        </w:rPr>
        <w:t>Arabidopsis</w:t>
      </w:r>
      <w:r w:rsidRPr="00300841">
        <w:rPr>
          <w:szCs w:val="24"/>
        </w:rPr>
        <w:t xml:space="preserve"> Homolog of Yeast ATG6/VPS30 Is Essential for Pollen Germination</w:t>
      </w:r>
      <w:r w:rsidRPr="00300841">
        <w:rPr>
          <w:i/>
          <w:szCs w:val="24"/>
        </w:rPr>
        <w:t>.</w:t>
      </w:r>
      <w:r w:rsidRPr="00300841">
        <w:rPr>
          <w:szCs w:val="24"/>
        </w:rPr>
        <w:t xml:space="preserve"> </w:t>
      </w:r>
      <w:r w:rsidRPr="00300841">
        <w:rPr>
          <w:i/>
          <w:szCs w:val="24"/>
        </w:rPr>
        <w:t>Plant Physiology</w:t>
      </w:r>
      <w:r w:rsidRPr="00300841">
        <w:rPr>
          <w:szCs w:val="24"/>
        </w:rPr>
        <w:t xml:space="preserve">  </w:t>
      </w:r>
      <w:r w:rsidRPr="00300841">
        <w:rPr>
          <w:b/>
          <w:szCs w:val="24"/>
        </w:rPr>
        <w:t>143</w:t>
      </w:r>
      <w:r w:rsidRPr="00300841">
        <w:rPr>
          <w:szCs w:val="24"/>
        </w:rPr>
        <w:t>, 1132-1139.</w:t>
      </w:r>
    </w:p>
    <w:p w:rsidR="00300841" w:rsidRPr="00300841" w:rsidRDefault="00300841" w:rsidP="00300841">
      <w:pPr>
        <w:spacing w:after="0" w:line="240" w:lineRule="auto"/>
        <w:ind w:left="720" w:hanging="720"/>
        <w:rPr>
          <w:szCs w:val="24"/>
        </w:rPr>
      </w:pPr>
      <w:r w:rsidRPr="00300841">
        <w:rPr>
          <w:szCs w:val="24"/>
        </w:rPr>
        <w:t>Fukuda, H. (1994). Redifferentiation of Single Mesophyll Cells into Tracheary Elements</w:t>
      </w:r>
      <w:r w:rsidRPr="00300841">
        <w:rPr>
          <w:i/>
          <w:szCs w:val="24"/>
        </w:rPr>
        <w:t>.</w:t>
      </w:r>
      <w:r w:rsidRPr="00300841">
        <w:rPr>
          <w:szCs w:val="24"/>
        </w:rPr>
        <w:t xml:space="preserve"> </w:t>
      </w:r>
      <w:r w:rsidRPr="00300841">
        <w:rPr>
          <w:i/>
          <w:szCs w:val="24"/>
        </w:rPr>
        <w:t>International Journal of Plant Sciences</w:t>
      </w:r>
      <w:r w:rsidRPr="00300841">
        <w:rPr>
          <w:szCs w:val="24"/>
        </w:rPr>
        <w:t xml:space="preserve">  </w:t>
      </w:r>
      <w:r w:rsidRPr="00300841">
        <w:rPr>
          <w:b/>
          <w:szCs w:val="24"/>
        </w:rPr>
        <w:t>155</w:t>
      </w:r>
      <w:r w:rsidRPr="00300841">
        <w:rPr>
          <w:szCs w:val="24"/>
        </w:rPr>
        <w:t>, 262.</w:t>
      </w:r>
    </w:p>
    <w:p w:rsidR="00300841" w:rsidRPr="00300841" w:rsidRDefault="00300841" w:rsidP="00300841">
      <w:pPr>
        <w:spacing w:after="0" w:line="240" w:lineRule="auto"/>
        <w:ind w:left="720" w:hanging="720"/>
        <w:rPr>
          <w:szCs w:val="24"/>
        </w:rPr>
      </w:pPr>
      <w:r w:rsidRPr="00300841">
        <w:rPr>
          <w:szCs w:val="24"/>
        </w:rPr>
        <w:t>Fukuda, H. (1996). Xylogenesis: initiation, progression, and cell death</w:t>
      </w:r>
      <w:r w:rsidRPr="00300841">
        <w:rPr>
          <w:i/>
          <w:szCs w:val="24"/>
        </w:rPr>
        <w:t>.</w:t>
      </w:r>
      <w:r w:rsidRPr="00300841">
        <w:rPr>
          <w:szCs w:val="24"/>
        </w:rPr>
        <w:t xml:space="preserve"> </w:t>
      </w:r>
      <w:r w:rsidRPr="00300841">
        <w:rPr>
          <w:i/>
          <w:szCs w:val="24"/>
        </w:rPr>
        <w:t>Annual Review of Plant Physiology and Plant Molecular Biology</w:t>
      </w:r>
      <w:r w:rsidRPr="00300841">
        <w:rPr>
          <w:szCs w:val="24"/>
        </w:rPr>
        <w:t xml:space="preserve">  </w:t>
      </w:r>
      <w:r w:rsidRPr="00300841">
        <w:rPr>
          <w:b/>
          <w:szCs w:val="24"/>
        </w:rPr>
        <w:t>47</w:t>
      </w:r>
      <w:r w:rsidRPr="00300841">
        <w:rPr>
          <w:szCs w:val="24"/>
        </w:rPr>
        <w:t>, 299-325.</w:t>
      </w:r>
    </w:p>
    <w:p w:rsidR="00300841" w:rsidRPr="00300841" w:rsidRDefault="00300841" w:rsidP="00300841">
      <w:pPr>
        <w:spacing w:after="0" w:line="240" w:lineRule="auto"/>
        <w:ind w:left="720" w:hanging="720"/>
        <w:rPr>
          <w:szCs w:val="24"/>
        </w:rPr>
      </w:pPr>
      <w:r w:rsidRPr="00300841">
        <w:rPr>
          <w:szCs w:val="24"/>
        </w:rPr>
        <w:t>Fukuda, H. (1997). Tracheary Element Differentiation</w:t>
      </w:r>
      <w:r w:rsidRPr="00300841">
        <w:rPr>
          <w:i/>
          <w:szCs w:val="24"/>
        </w:rPr>
        <w:t>.</w:t>
      </w:r>
      <w:r w:rsidRPr="00300841">
        <w:rPr>
          <w:szCs w:val="24"/>
        </w:rPr>
        <w:t xml:space="preserve"> </w:t>
      </w:r>
      <w:r w:rsidRPr="00300841">
        <w:rPr>
          <w:i/>
          <w:szCs w:val="24"/>
        </w:rPr>
        <w:t>Plant Cell</w:t>
      </w:r>
      <w:r w:rsidRPr="00300841">
        <w:rPr>
          <w:szCs w:val="24"/>
        </w:rPr>
        <w:t xml:space="preserve">  </w:t>
      </w:r>
      <w:r w:rsidRPr="00300841">
        <w:rPr>
          <w:b/>
          <w:szCs w:val="24"/>
        </w:rPr>
        <w:t>9</w:t>
      </w:r>
      <w:r w:rsidRPr="00300841">
        <w:rPr>
          <w:szCs w:val="24"/>
        </w:rPr>
        <w:t>, 1147-1156.</w:t>
      </w:r>
    </w:p>
    <w:p w:rsidR="00300841" w:rsidRPr="00300841" w:rsidRDefault="00300841" w:rsidP="00300841">
      <w:pPr>
        <w:spacing w:after="0" w:line="240" w:lineRule="auto"/>
        <w:ind w:left="720" w:hanging="720"/>
        <w:rPr>
          <w:szCs w:val="24"/>
        </w:rPr>
      </w:pPr>
      <w:r w:rsidRPr="00300841">
        <w:rPr>
          <w:szCs w:val="24"/>
        </w:rPr>
        <w:t>Fukuda, H. (2000). Programmed cell death of tracheary elements as a paradigm in plants</w:t>
      </w:r>
      <w:r w:rsidRPr="00300841">
        <w:rPr>
          <w:i/>
          <w:szCs w:val="24"/>
        </w:rPr>
        <w:t>.</w:t>
      </w:r>
      <w:r w:rsidRPr="00300841">
        <w:rPr>
          <w:szCs w:val="24"/>
        </w:rPr>
        <w:t xml:space="preserve"> </w:t>
      </w:r>
      <w:r w:rsidRPr="00300841">
        <w:rPr>
          <w:i/>
          <w:szCs w:val="24"/>
        </w:rPr>
        <w:t>Plant Molecular Biology</w:t>
      </w:r>
      <w:r w:rsidRPr="00300841">
        <w:rPr>
          <w:szCs w:val="24"/>
        </w:rPr>
        <w:t xml:space="preserve">  </w:t>
      </w:r>
      <w:r w:rsidRPr="00300841">
        <w:rPr>
          <w:b/>
          <w:szCs w:val="24"/>
        </w:rPr>
        <w:t>44</w:t>
      </w:r>
      <w:r w:rsidRPr="00300841">
        <w:rPr>
          <w:szCs w:val="24"/>
        </w:rPr>
        <w:t>, 245-253.</w:t>
      </w:r>
    </w:p>
    <w:p w:rsidR="00300841" w:rsidRPr="00300841" w:rsidRDefault="00300841" w:rsidP="00300841">
      <w:pPr>
        <w:spacing w:after="0" w:line="240" w:lineRule="auto"/>
        <w:ind w:left="720" w:hanging="720"/>
        <w:rPr>
          <w:szCs w:val="24"/>
        </w:rPr>
      </w:pPr>
      <w:r w:rsidRPr="00300841">
        <w:rPr>
          <w:szCs w:val="24"/>
        </w:rPr>
        <w:t xml:space="preserve">Fukuda, H. and Komamine, A. (1980). Establishment of an Experimental System for the Study of Tracheary Element Differentiation from Single Cells Isolated from the Mesophyll of </w:t>
      </w:r>
      <w:r w:rsidRPr="00300841">
        <w:rPr>
          <w:i/>
          <w:szCs w:val="24"/>
        </w:rPr>
        <w:t>Zinnia elegans.</w:t>
      </w:r>
      <w:r w:rsidRPr="00300841">
        <w:rPr>
          <w:szCs w:val="24"/>
        </w:rPr>
        <w:t xml:space="preserve"> </w:t>
      </w:r>
      <w:r w:rsidRPr="00300841">
        <w:rPr>
          <w:i/>
          <w:szCs w:val="24"/>
        </w:rPr>
        <w:t>Plant Physiology</w:t>
      </w:r>
      <w:r w:rsidRPr="00300841">
        <w:rPr>
          <w:szCs w:val="24"/>
        </w:rPr>
        <w:t xml:space="preserve">  </w:t>
      </w:r>
      <w:r w:rsidRPr="00300841">
        <w:rPr>
          <w:b/>
          <w:szCs w:val="24"/>
        </w:rPr>
        <w:t>65</w:t>
      </w:r>
      <w:r w:rsidRPr="00300841">
        <w:rPr>
          <w:szCs w:val="24"/>
        </w:rPr>
        <w:t>, 57-60.</w:t>
      </w:r>
    </w:p>
    <w:p w:rsidR="00300841" w:rsidRPr="00300841" w:rsidRDefault="00300841" w:rsidP="00300841">
      <w:pPr>
        <w:spacing w:after="0" w:line="240" w:lineRule="auto"/>
        <w:ind w:left="720" w:hanging="720"/>
        <w:rPr>
          <w:szCs w:val="24"/>
        </w:rPr>
      </w:pPr>
      <w:r w:rsidRPr="00300841">
        <w:rPr>
          <w:szCs w:val="24"/>
        </w:rPr>
        <w:t>Fukuda, H., Watanabe, Y., Kuriyama, H., Aoyagi, S., Sugiyama, M., Yamamoto, R., Demura, T. and Minami, A. (1998). Programming of cell death during xylogenesis</w:t>
      </w:r>
      <w:r w:rsidRPr="00300841">
        <w:rPr>
          <w:i/>
          <w:szCs w:val="24"/>
        </w:rPr>
        <w:t>.</w:t>
      </w:r>
      <w:r w:rsidRPr="00300841">
        <w:rPr>
          <w:szCs w:val="24"/>
        </w:rPr>
        <w:t xml:space="preserve"> </w:t>
      </w:r>
      <w:r w:rsidRPr="00300841">
        <w:rPr>
          <w:i/>
          <w:szCs w:val="24"/>
        </w:rPr>
        <w:t>Journal of Plant Research</w:t>
      </w:r>
      <w:r w:rsidRPr="00300841">
        <w:rPr>
          <w:szCs w:val="24"/>
        </w:rPr>
        <w:t xml:space="preserve">  </w:t>
      </w:r>
      <w:r w:rsidRPr="00300841">
        <w:rPr>
          <w:b/>
          <w:szCs w:val="24"/>
        </w:rPr>
        <w:t>111</w:t>
      </w:r>
      <w:r w:rsidRPr="00300841">
        <w:rPr>
          <w:szCs w:val="24"/>
        </w:rPr>
        <w:t>, 253-256.</w:t>
      </w:r>
    </w:p>
    <w:p w:rsidR="00300841" w:rsidRPr="00300841" w:rsidRDefault="00300841" w:rsidP="00300841">
      <w:pPr>
        <w:spacing w:after="0" w:line="240" w:lineRule="auto"/>
        <w:ind w:left="720" w:hanging="720"/>
        <w:rPr>
          <w:szCs w:val="24"/>
        </w:rPr>
      </w:pPr>
      <w:r w:rsidRPr="00300841">
        <w:rPr>
          <w:szCs w:val="24"/>
        </w:rPr>
        <w:t>Gadella Jr, T.W.J., van der Krogt, G.N.M. and Bisseling, T. (1999). GFP-based FRET microscopy in living plant cells</w:t>
      </w:r>
      <w:r w:rsidRPr="00300841">
        <w:rPr>
          <w:i/>
          <w:szCs w:val="24"/>
        </w:rPr>
        <w:t>.</w:t>
      </w:r>
      <w:r w:rsidRPr="00300841">
        <w:rPr>
          <w:szCs w:val="24"/>
        </w:rPr>
        <w:t xml:space="preserve"> </w:t>
      </w:r>
      <w:r w:rsidRPr="00300841">
        <w:rPr>
          <w:i/>
          <w:szCs w:val="24"/>
        </w:rPr>
        <w:t>Trends in Plant Science</w:t>
      </w:r>
      <w:r w:rsidRPr="00300841">
        <w:rPr>
          <w:szCs w:val="24"/>
        </w:rPr>
        <w:t xml:space="preserve">  </w:t>
      </w:r>
      <w:r w:rsidRPr="00300841">
        <w:rPr>
          <w:b/>
          <w:szCs w:val="24"/>
        </w:rPr>
        <w:t>4</w:t>
      </w:r>
      <w:r w:rsidRPr="00300841">
        <w:rPr>
          <w:szCs w:val="24"/>
        </w:rPr>
        <w:t>, 287-291.</w:t>
      </w:r>
    </w:p>
    <w:p w:rsidR="00300841" w:rsidRPr="00300841" w:rsidRDefault="00300841" w:rsidP="00300841">
      <w:pPr>
        <w:spacing w:after="0" w:line="240" w:lineRule="auto"/>
        <w:ind w:left="720" w:hanging="720"/>
        <w:rPr>
          <w:szCs w:val="24"/>
        </w:rPr>
      </w:pPr>
      <w:r w:rsidRPr="00300841">
        <w:rPr>
          <w:szCs w:val="24"/>
        </w:rPr>
        <w:t>Gao, C., Xing, D., Li, L. and Zhang, L. (2008a). Implication of reactive oxygen species and mitochondrial dysfunction in the early stages of plant programmed cell death induced by ultraviolet-C overexposure</w:t>
      </w:r>
      <w:r w:rsidRPr="00300841">
        <w:rPr>
          <w:i/>
          <w:szCs w:val="24"/>
        </w:rPr>
        <w:t>.</w:t>
      </w:r>
      <w:r w:rsidRPr="00300841">
        <w:rPr>
          <w:szCs w:val="24"/>
        </w:rPr>
        <w:t xml:space="preserve"> </w:t>
      </w:r>
      <w:r w:rsidRPr="00300841">
        <w:rPr>
          <w:i/>
          <w:szCs w:val="24"/>
        </w:rPr>
        <w:t>Planta</w:t>
      </w:r>
      <w:r w:rsidRPr="00300841">
        <w:rPr>
          <w:szCs w:val="24"/>
        </w:rPr>
        <w:t xml:space="preserve">  </w:t>
      </w:r>
      <w:r w:rsidRPr="00300841">
        <w:rPr>
          <w:b/>
          <w:szCs w:val="24"/>
        </w:rPr>
        <w:t>227</w:t>
      </w:r>
      <w:r w:rsidRPr="00300841">
        <w:rPr>
          <w:szCs w:val="24"/>
        </w:rPr>
        <w:t>, 755-767.</w:t>
      </w:r>
    </w:p>
    <w:p w:rsidR="00300841" w:rsidRPr="00300841" w:rsidRDefault="00300841" w:rsidP="00300841">
      <w:pPr>
        <w:spacing w:after="0" w:line="240" w:lineRule="auto"/>
        <w:ind w:left="720" w:hanging="720"/>
        <w:rPr>
          <w:szCs w:val="24"/>
        </w:rPr>
      </w:pPr>
      <w:r w:rsidRPr="00300841">
        <w:rPr>
          <w:szCs w:val="24"/>
        </w:rPr>
        <w:t xml:space="preserve">Gao, H., Brandizzi, F., Benning, C. and Larkin, R.M. (2008b). A membrane-tethered transcription factor defines a branch of the heat stress response in </w:t>
      </w:r>
      <w:r w:rsidRPr="00300841">
        <w:rPr>
          <w:i/>
          <w:szCs w:val="24"/>
        </w:rPr>
        <w:t>Arabidopsis</w:t>
      </w:r>
      <w:r w:rsidRPr="00300841">
        <w:rPr>
          <w:szCs w:val="24"/>
        </w:rPr>
        <w:t xml:space="preserve"> </w:t>
      </w:r>
      <w:r w:rsidRPr="00300841">
        <w:rPr>
          <w:i/>
          <w:szCs w:val="24"/>
        </w:rPr>
        <w:t>thaliana.</w:t>
      </w:r>
      <w:r w:rsidRPr="00300841">
        <w:rPr>
          <w:szCs w:val="24"/>
        </w:rPr>
        <w:t xml:space="preserve"> </w:t>
      </w:r>
      <w:r w:rsidRPr="00300841">
        <w:rPr>
          <w:i/>
          <w:szCs w:val="24"/>
        </w:rPr>
        <w:t>Proceedings of the National Academy of Sciences</w:t>
      </w:r>
      <w:r w:rsidRPr="00300841">
        <w:rPr>
          <w:szCs w:val="24"/>
        </w:rPr>
        <w:t xml:space="preserve">  </w:t>
      </w:r>
      <w:r w:rsidRPr="00300841">
        <w:rPr>
          <w:b/>
          <w:szCs w:val="24"/>
        </w:rPr>
        <w:t>105</w:t>
      </w:r>
      <w:r w:rsidRPr="00300841">
        <w:rPr>
          <w:szCs w:val="24"/>
        </w:rPr>
        <w:t>, 16398-16403.</w:t>
      </w:r>
    </w:p>
    <w:p w:rsidR="00300841" w:rsidRPr="00300841" w:rsidRDefault="00300841" w:rsidP="00300841">
      <w:pPr>
        <w:spacing w:after="0" w:line="240" w:lineRule="auto"/>
        <w:ind w:left="720" w:hanging="720"/>
        <w:rPr>
          <w:szCs w:val="24"/>
        </w:rPr>
      </w:pPr>
      <w:r w:rsidRPr="00300841">
        <w:rPr>
          <w:szCs w:val="24"/>
        </w:rPr>
        <w:t xml:space="preserve">Gao, M. and Showalter, A.M. (1999). Yariv reagent treatment induces programmed cell death in </w:t>
      </w:r>
      <w:r w:rsidRPr="00300841">
        <w:rPr>
          <w:i/>
          <w:szCs w:val="24"/>
        </w:rPr>
        <w:t>Arabidopsis</w:t>
      </w:r>
      <w:r w:rsidRPr="00300841">
        <w:rPr>
          <w:szCs w:val="24"/>
        </w:rPr>
        <w:t xml:space="preserve"> cell cultures and implicates arabinogalactan protein involvement</w:t>
      </w:r>
      <w:r w:rsidRPr="00300841">
        <w:rPr>
          <w:i/>
          <w:szCs w:val="24"/>
        </w:rPr>
        <w:t>.</w:t>
      </w:r>
      <w:r w:rsidRPr="00300841">
        <w:rPr>
          <w:szCs w:val="24"/>
        </w:rPr>
        <w:t xml:space="preserve"> </w:t>
      </w:r>
      <w:r w:rsidRPr="00300841">
        <w:rPr>
          <w:i/>
          <w:szCs w:val="24"/>
        </w:rPr>
        <w:t>The Plant Journal</w:t>
      </w:r>
      <w:r w:rsidRPr="00300841">
        <w:rPr>
          <w:szCs w:val="24"/>
        </w:rPr>
        <w:t xml:space="preserve">  </w:t>
      </w:r>
      <w:r w:rsidRPr="00300841">
        <w:rPr>
          <w:b/>
          <w:szCs w:val="24"/>
        </w:rPr>
        <w:t>19</w:t>
      </w:r>
      <w:r w:rsidRPr="00300841">
        <w:rPr>
          <w:szCs w:val="24"/>
        </w:rPr>
        <w:t>, 321-331.</w:t>
      </w:r>
    </w:p>
    <w:p w:rsidR="00300841" w:rsidRPr="00300841" w:rsidRDefault="00300841" w:rsidP="00300841">
      <w:pPr>
        <w:spacing w:after="0" w:line="240" w:lineRule="auto"/>
        <w:ind w:left="720" w:hanging="720"/>
        <w:rPr>
          <w:szCs w:val="24"/>
        </w:rPr>
      </w:pPr>
      <w:r w:rsidRPr="00300841">
        <w:rPr>
          <w:szCs w:val="24"/>
        </w:rPr>
        <w:t xml:space="preserve">Garrido, C. and Solary, C. (2003). A role of HSPs in apoptosis through "protein triage"? </w:t>
      </w:r>
      <w:r w:rsidRPr="00300841">
        <w:rPr>
          <w:i/>
          <w:szCs w:val="24"/>
        </w:rPr>
        <w:t>Cell Death and Differentiation</w:t>
      </w:r>
      <w:r w:rsidRPr="00300841">
        <w:rPr>
          <w:szCs w:val="24"/>
        </w:rPr>
        <w:t xml:space="preserve">  </w:t>
      </w:r>
      <w:r w:rsidRPr="00300841">
        <w:rPr>
          <w:b/>
          <w:szCs w:val="24"/>
        </w:rPr>
        <w:t>10</w:t>
      </w:r>
      <w:r w:rsidRPr="00300841">
        <w:rPr>
          <w:szCs w:val="24"/>
        </w:rPr>
        <w:t>, 619-620.</w:t>
      </w:r>
    </w:p>
    <w:p w:rsidR="00300841" w:rsidRPr="00300841" w:rsidRDefault="00300841" w:rsidP="00300841">
      <w:pPr>
        <w:spacing w:after="0" w:line="240" w:lineRule="auto"/>
        <w:ind w:left="720" w:hanging="720"/>
        <w:rPr>
          <w:szCs w:val="24"/>
        </w:rPr>
      </w:pPr>
      <w:r w:rsidRPr="00300841">
        <w:rPr>
          <w:szCs w:val="24"/>
        </w:rPr>
        <w:t>Gavrieli, Y., Sherman, Y. and Ben-Sasson, S.A. (1992). Identification of programmed cell death in situ via specific labeling of nuclear DNA fragmentation</w:t>
      </w:r>
      <w:r w:rsidRPr="00300841">
        <w:rPr>
          <w:i/>
          <w:szCs w:val="24"/>
        </w:rPr>
        <w:t>.</w:t>
      </w:r>
      <w:r w:rsidRPr="00300841">
        <w:rPr>
          <w:szCs w:val="24"/>
        </w:rPr>
        <w:t xml:space="preserve"> </w:t>
      </w:r>
      <w:r w:rsidRPr="00300841">
        <w:rPr>
          <w:i/>
          <w:szCs w:val="24"/>
        </w:rPr>
        <w:t>The Journal of Cell Biology</w:t>
      </w:r>
      <w:r w:rsidRPr="00300841">
        <w:rPr>
          <w:szCs w:val="24"/>
        </w:rPr>
        <w:t xml:space="preserve">  </w:t>
      </w:r>
      <w:r w:rsidRPr="00300841">
        <w:rPr>
          <w:b/>
          <w:szCs w:val="24"/>
        </w:rPr>
        <w:t>119</w:t>
      </w:r>
      <w:r w:rsidRPr="00300841">
        <w:rPr>
          <w:szCs w:val="24"/>
        </w:rPr>
        <w:t>, 493-501.</w:t>
      </w:r>
    </w:p>
    <w:p w:rsidR="00300841" w:rsidRPr="00300841" w:rsidRDefault="00300841" w:rsidP="00300841">
      <w:pPr>
        <w:spacing w:after="0" w:line="240" w:lineRule="auto"/>
        <w:ind w:left="720" w:hanging="720"/>
        <w:rPr>
          <w:szCs w:val="24"/>
        </w:rPr>
      </w:pPr>
      <w:r w:rsidRPr="00300841">
        <w:rPr>
          <w:szCs w:val="24"/>
        </w:rPr>
        <w:t xml:space="preserve">Geitmann, A., Snowman, B.N., Emons, A.M.C. and Franklin-Tong, V.E. (2000). Alterations in the Actin Cytoskeleton of Pollen Tubes Are Induced by the Self-Incompatibility Reaction in </w:t>
      </w:r>
      <w:r w:rsidRPr="00300841">
        <w:rPr>
          <w:i/>
          <w:szCs w:val="24"/>
        </w:rPr>
        <w:t>Papaver rhoeas.</w:t>
      </w:r>
      <w:r w:rsidRPr="00300841">
        <w:rPr>
          <w:szCs w:val="24"/>
        </w:rPr>
        <w:t xml:space="preserve"> </w:t>
      </w:r>
      <w:r w:rsidRPr="00300841">
        <w:rPr>
          <w:i/>
          <w:szCs w:val="24"/>
        </w:rPr>
        <w:t>Plant Cell</w:t>
      </w:r>
      <w:r w:rsidRPr="00300841">
        <w:rPr>
          <w:szCs w:val="24"/>
        </w:rPr>
        <w:t xml:space="preserve">  </w:t>
      </w:r>
      <w:r w:rsidRPr="00300841">
        <w:rPr>
          <w:b/>
          <w:szCs w:val="24"/>
        </w:rPr>
        <w:t>12</w:t>
      </w:r>
      <w:r w:rsidRPr="00300841">
        <w:rPr>
          <w:szCs w:val="24"/>
        </w:rPr>
        <w:t>, 1239-1252.</w:t>
      </w:r>
    </w:p>
    <w:p w:rsidR="00300841" w:rsidRPr="00300841" w:rsidRDefault="00300841" w:rsidP="00300841">
      <w:pPr>
        <w:spacing w:after="0" w:line="240" w:lineRule="auto"/>
        <w:ind w:left="720" w:hanging="720"/>
        <w:rPr>
          <w:szCs w:val="24"/>
        </w:rPr>
      </w:pPr>
      <w:r w:rsidRPr="00300841">
        <w:rPr>
          <w:szCs w:val="24"/>
        </w:rPr>
        <w:t xml:space="preserve">Giese, J.-O., Herbers, K., Hoffmann, M., Klösgen, R.B. and Sonnewald, U. (2005). Isolation and functional characterization of a novel plastidic hexokinase from </w:t>
      </w:r>
      <w:r w:rsidRPr="00300841">
        <w:rPr>
          <w:i/>
          <w:szCs w:val="24"/>
        </w:rPr>
        <w:t>Nicotiana tabacum.</w:t>
      </w:r>
      <w:r w:rsidRPr="00300841">
        <w:rPr>
          <w:szCs w:val="24"/>
        </w:rPr>
        <w:t xml:space="preserve"> </w:t>
      </w:r>
      <w:r w:rsidRPr="00300841">
        <w:rPr>
          <w:i/>
          <w:szCs w:val="24"/>
        </w:rPr>
        <w:t>FEBS Letters</w:t>
      </w:r>
      <w:r w:rsidRPr="00300841">
        <w:rPr>
          <w:szCs w:val="24"/>
        </w:rPr>
        <w:t xml:space="preserve">  </w:t>
      </w:r>
      <w:r w:rsidRPr="00300841">
        <w:rPr>
          <w:b/>
          <w:szCs w:val="24"/>
        </w:rPr>
        <w:t>579</w:t>
      </w:r>
      <w:r w:rsidRPr="00300841">
        <w:rPr>
          <w:szCs w:val="24"/>
        </w:rPr>
        <w:t>, 827-831.</w:t>
      </w:r>
    </w:p>
    <w:p w:rsidR="00300841" w:rsidRPr="00300841" w:rsidRDefault="00300841" w:rsidP="00300841">
      <w:pPr>
        <w:spacing w:after="0" w:line="240" w:lineRule="auto"/>
        <w:ind w:left="720" w:hanging="720"/>
        <w:rPr>
          <w:szCs w:val="24"/>
        </w:rPr>
      </w:pPr>
      <w:r w:rsidRPr="00300841">
        <w:rPr>
          <w:szCs w:val="24"/>
        </w:rPr>
        <w:t>Gietl, C. and Schmid, M. (2001). Ricinosomes: an organelle for developmentally regulated programmed cell death in senescing plant tissues</w:t>
      </w:r>
      <w:r w:rsidRPr="00300841">
        <w:rPr>
          <w:i/>
          <w:szCs w:val="24"/>
        </w:rPr>
        <w:t>.</w:t>
      </w:r>
      <w:r w:rsidRPr="00300841">
        <w:rPr>
          <w:szCs w:val="24"/>
        </w:rPr>
        <w:t xml:space="preserve"> </w:t>
      </w:r>
      <w:r w:rsidRPr="00300841">
        <w:rPr>
          <w:i/>
          <w:szCs w:val="24"/>
        </w:rPr>
        <w:t>Naturwissenschaften</w:t>
      </w:r>
      <w:r w:rsidRPr="00300841">
        <w:rPr>
          <w:szCs w:val="24"/>
        </w:rPr>
        <w:t xml:space="preserve">  </w:t>
      </w:r>
      <w:r w:rsidRPr="00300841">
        <w:rPr>
          <w:b/>
          <w:szCs w:val="24"/>
        </w:rPr>
        <w:t>88</w:t>
      </w:r>
      <w:r w:rsidRPr="00300841">
        <w:rPr>
          <w:szCs w:val="24"/>
        </w:rPr>
        <w:t>, 49-58.</w:t>
      </w:r>
    </w:p>
    <w:p w:rsidR="00300841" w:rsidRPr="00300841" w:rsidRDefault="00300841" w:rsidP="00300841">
      <w:pPr>
        <w:spacing w:after="0" w:line="240" w:lineRule="auto"/>
        <w:ind w:left="720" w:hanging="720"/>
        <w:rPr>
          <w:szCs w:val="24"/>
        </w:rPr>
      </w:pPr>
      <w:r w:rsidRPr="00300841">
        <w:rPr>
          <w:szCs w:val="24"/>
        </w:rPr>
        <w:t>Giuliani, C., Consonni, G., Gavazzi, G., Colombo, M. and Dolfini, S. (2002). Programmed Cell Death during Embryogenesis in Maize</w:t>
      </w:r>
      <w:r w:rsidRPr="00300841">
        <w:rPr>
          <w:i/>
          <w:szCs w:val="24"/>
        </w:rPr>
        <w:t>.</w:t>
      </w:r>
      <w:r w:rsidRPr="00300841">
        <w:rPr>
          <w:szCs w:val="24"/>
        </w:rPr>
        <w:t xml:space="preserve"> </w:t>
      </w:r>
      <w:r w:rsidRPr="00300841">
        <w:rPr>
          <w:i/>
          <w:szCs w:val="24"/>
        </w:rPr>
        <w:t>Annals of Botany</w:t>
      </w:r>
      <w:r w:rsidRPr="00300841">
        <w:rPr>
          <w:szCs w:val="24"/>
        </w:rPr>
        <w:t xml:space="preserve">  </w:t>
      </w:r>
      <w:r w:rsidRPr="00300841">
        <w:rPr>
          <w:b/>
          <w:szCs w:val="24"/>
        </w:rPr>
        <w:t>90</w:t>
      </w:r>
      <w:r w:rsidRPr="00300841">
        <w:rPr>
          <w:szCs w:val="24"/>
        </w:rPr>
        <w:t>, 287-292.</w:t>
      </w:r>
    </w:p>
    <w:p w:rsidR="00300841" w:rsidRPr="00300841" w:rsidRDefault="00300841" w:rsidP="00300841">
      <w:pPr>
        <w:spacing w:after="0" w:line="240" w:lineRule="auto"/>
        <w:ind w:left="720" w:hanging="720"/>
        <w:rPr>
          <w:szCs w:val="24"/>
        </w:rPr>
      </w:pPr>
      <w:r w:rsidRPr="00300841">
        <w:rPr>
          <w:szCs w:val="24"/>
        </w:rPr>
        <w:t>Golstein, P. and Kroemer, G. (2007). Cell death by necrosis: towards a molecular definition</w:t>
      </w:r>
      <w:r w:rsidRPr="00300841">
        <w:rPr>
          <w:i/>
          <w:szCs w:val="24"/>
        </w:rPr>
        <w:t>.</w:t>
      </w:r>
      <w:r w:rsidRPr="00300841">
        <w:rPr>
          <w:szCs w:val="24"/>
        </w:rPr>
        <w:t xml:space="preserve"> </w:t>
      </w:r>
      <w:r w:rsidRPr="00300841">
        <w:rPr>
          <w:i/>
          <w:szCs w:val="24"/>
        </w:rPr>
        <w:t>Trends in Biochemical Sciences</w:t>
      </w:r>
      <w:r w:rsidRPr="00300841">
        <w:rPr>
          <w:szCs w:val="24"/>
        </w:rPr>
        <w:t xml:space="preserve">  </w:t>
      </w:r>
      <w:r w:rsidRPr="00300841">
        <w:rPr>
          <w:b/>
          <w:szCs w:val="24"/>
        </w:rPr>
        <w:t>32</w:t>
      </w:r>
      <w:r w:rsidRPr="00300841">
        <w:rPr>
          <w:szCs w:val="24"/>
        </w:rPr>
        <w:t>, 37-43.</w:t>
      </w:r>
    </w:p>
    <w:p w:rsidR="00300841" w:rsidRPr="00300841" w:rsidRDefault="00300841" w:rsidP="00300841">
      <w:pPr>
        <w:spacing w:after="0" w:line="240" w:lineRule="auto"/>
        <w:ind w:left="720" w:hanging="720"/>
        <w:rPr>
          <w:szCs w:val="24"/>
        </w:rPr>
      </w:pPr>
      <w:r w:rsidRPr="00300841">
        <w:rPr>
          <w:szCs w:val="24"/>
        </w:rPr>
        <w:t>Goss, M.J. and Watson, C.A. (2003). The Importance of Root Dynamics in Cropping Systems Research</w:t>
      </w:r>
      <w:r w:rsidRPr="00300841">
        <w:rPr>
          <w:i/>
          <w:szCs w:val="24"/>
        </w:rPr>
        <w:t>.</w:t>
      </w:r>
      <w:r w:rsidRPr="00300841">
        <w:rPr>
          <w:szCs w:val="24"/>
        </w:rPr>
        <w:t xml:space="preserve"> </w:t>
      </w:r>
      <w:r w:rsidRPr="00300841">
        <w:rPr>
          <w:i/>
          <w:szCs w:val="24"/>
        </w:rPr>
        <w:t>Journal of Crop Production</w:t>
      </w:r>
      <w:r w:rsidRPr="00300841">
        <w:rPr>
          <w:szCs w:val="24"/>
        </w:rPr>
        <w:t xml:space="preserve">  </w:t>
      </w:r>
      <w:r w:rsidRPr="00300841">
        <w:rPr>
          <w:b/>
          <w:szCs w:val="24"/>
        </w:rPr>
        <w:t>8</w:t>
      </w:r>
      <w:r w:rsidRPr="00300841">
        <w:rPr>
          <w:szCs w:val="24"/>
        </w:rPr>
        <w:t>, 127 - 155.</w:t>
      </w:r>
    </w:p>
    <w:p w:rsidR="00300841" w:rsidRPr="00300841" w:rsidRDefault="00300841" w:rsidP="00300841">
      <w:pPr>
        <w:spacing w:after="0" w:line="240" w:lineRule="auto"/>
        <w:ind w:left="720" w:hanging="720"/>
        <w:rPr>
          <w:szCs w:val="24"/>
        </w:rPr>
      </w:pPr>
      <w:r w:rsidRPr="00300841">
        <w:rPr>
          <w:szCs w:val="24"/>
        </w:rPr>
        <w:t>Graham, T.L. and Graham, M.Y. (1999). Role of hypersensitive cell death in conditioning elicitation competency and defense potentiation</w:t>
      </w:r>
      <w:r w:rsidRPr="00300841">
        <w:rPr>
          <w:i/>
          <w:szCs w:val="24"/>
        </w:rPr>
        <w:t>.</w:t>
      </w:r>
      <w:r w:rsidRPr="00300841">
        <w:rPr>
          <w:szCs w:val="24"/>
        </w:rPr>
        <w:t xml:space="preserve"> </w:t>
      </w:r>
      <w:r w:rsidRPr="00300841">
        <w:rPr>
          <w:i/>
          <w:szCs w:val="24"/>
        </w:rPr>
        <w:t>Physiological and Molecular Plant Pathology</w:t>
      </w:r>
      <w:r w:rsidRPr="00300841">
        <w:rPr>
          <w:szCs w:val="24"/>
        </w:rPr>
        <w:t xml:space="preserve">  </w:t>
      </w:r>
      <w:r w:rsidRPr="00300841">
        <w:rPr>
          <w:b/>
          <w:szCs w:val="24"/>
        </w:rPr>
        <w:t>55</w:t>
      </w:r>
      <w:r w:rsidRPr="00300841">
        <w:rPr>
          <w:szCs w:val="24"/>
        </w:rPr>
        <w:t>, 13-20.</w:t>
      </w:r>
    </w:p>
    <w:p w:rsidR="00300841" w:rsidRPr="00300841" w:rsidRDefault="00300841" w:rsidP="00300841">
      <w:pPr>
        <w:spacing w:after="0" w:line="240" w:lineRule="auto"/>
        <w:ind w:left="720" w:hanging="720"/>
        <w:rPr>
          <w:szCs w:val="24"/>
        </w:rPr>
      </w:pPr>
      <w:r w:rsidRPr="00300841">
        <w:rPr>
          <w:szCs w:val="24"/>
        </w:rPr>
        <w:t xml:space="preserve">Greenberg, J.T. and Ausubel, F.M. (1993). </w:t>
      </w:r>
      <w:r w:rsidRPr="00300841">
        <w:rPr>
          <w:i/>
          <w:szCs w:val="24"/>
        </w:rPr>
        <w:t>Arabidopsis</w:t>
      </w:r>
      <w:r w:rsidRPr="00300841">
        <w:rPr>
          <w:szCs w:val="24"/>
        </w:rPr>
        <w:t xml:space="preserve"> mutants compromised for the control of cellular damage during pathogenesis and aging</w:t>
      </w:r>
      <w:r w:rsidRPr="00300841">
        <w:rPr>
          <w:i/>
          <w:szCs w:val="24"/>
        </w:rPr>
        <w:t>.</w:t>
      </w:r>
      <w:r w:rsidRPr="00300841">
        <w:rPr>
          <w:szCs w:val="24"/>
        </w:rPr>
        <w:t xml:space="preserve"> </w:t>
      </w:r>
      <w:r w:rsidRPr="00300841">
        <w:rPr>
          <w:i/>
          <w:szCs w:val="24"/>
        </w:rPr>
        <w:t>The Plant Journal</w:t>
      </w:r>
      <w:r w:rsidRPr="00300841">
        <w:rPr>
          <w:szCs w:val="24"/>
        </w:rPr>
        <w:t xml:space="preserve">  </w:t>
      </w:r>
      <w:r w:rsidRPr="00300841">
        <w:rPr>
          <w:b/>
          <w:szCs w:val="24"/>
        </w:rPr>
        <w:t>4</w:t>
      </w:r>
      <w:r w:rsidRPr="00300841">
        <w:rPr>
          <w:szCs w:val="24"/>
        </w:rPr>
        <w:t>, 327-341.</w:t>
      </w:r>
    </w:p>
    <w:p w:rsidR="00300841" w:rsidRPr="00300841" w:rsidRDefault="00300841" w:rsidP="00300841">
      <w:pPr>
        <w:spacing w:after="0" w:line="240" w:lineRule="auto"/>
        <w:ind w:left="720" w:hanging="720"/>
        <w:rPr>
          <w:szCs w:val="24"/>
        </w:rPr>
      </w:pPr>
      <w:r w:rsidRPr="00300841">
        <w:rPr>
          <w:szCs w:val="24"/>
        </w:rPr>
        <w:t>Greenberg, J.T., Guo, A., Klessig, D.F. and Ausubel, F.M. (1994). Programmed cell death in plants: A pathogen-triggered response activated coordinately with multiple defense functions</w:t>
      </w:r>
      <w:r w:rsidRPr="00300841">
        <w:rPr>
          <w:i/>
          <w:szCs w:val="24"/>
        </w:rPr>
        <w:t>.</w:t>
      </w:r>
      <w:r w:rsidRPr="00300841">
        <w:rPr>
          <w:szCs w:val="24"/>
        </w:rPr>
        <w:t xml:space="preserve"> </w:t>
      </w:r>
      <w:r w:rsidRPr="00300841">
        <w:rPr>
          <w:i/>
          <w:szCs w:val="24"/>
        </w:rPr>
        <w:t>Cell</w:t>
      </w:r>
      <w:r w:rsidRPr="00300841">
        <w:rPr>
          <w:szCs w:val="24"/>
        </w:rPr>
        <w:t xml:space="preserve">  </w:t>
      </w:r>
      <w:r w:rsidRPr="00300841">
        <w:rPr>
          <w:b/>
          <w:szCs w:val="24"/>
        </w:rPr>
        <w:t>77</w:t>
      </w:r>
      <w:r w:rsidRPr="00300841">
        <w:rPr>
          <w:szCs w:val="24"/>
        </w:rPr>
        <w:t>, 551-563.</w:t>
      </w:r>
    </w:p>
    <w:p w:rsidR="00300841" w:rsidRPr="00300841" w:rsidRDefault="00300841" w:rsidP="00300841">
      <w:pPr>
        <w:spacing w:after="0" w:line="240" w:lineRule="auto"/>
        <w:ind w:left="720" w:hanging="720"/>
        <w:rPr>
          <w:szCs w:val="24"/>
        </w:rPr>
      </w:pPr>
      <w:r w:rsidRPr="00300841">
        <w:rPr>
          <w:szCs w:val="24"/>
        </w:rPr>
        <w:t xml:space="preserve">Greenberg, J.T., Silverman, F.P. and Liang, H. (2000). Uncoupling Salicylic Acid-Dependent Cell Death and Defense-Related Responses From Disease Resistance in the </w:t>
      </w:r>
      <w:r w:rsidRPr="00300841">
        <w:rPr>
          <w:i/>
          <w:szCs w:val="24"/>
        </w:rPr>
        <w:t>Arabidopsis</w:t>
      </w:r>
      <w:r w:rsidRPr="00300841">
        <w:rPr>
          <w:szCs w:val="24"/>
        </w:rPr>
        <w:t xml:space="preserve"> Mutant acd5</w:t>
      </w:r>
      <w:r w:rsidRPr="00300841">
        <w:rPr>
          <w:i/>
          <w:szCs w:val="24"/>
        </w:rPr>
        <w:t>.</w:t>
      </w:r>
      <w:r w:rsidRPr="00300841">
        <w:rPr>
          <w:szCs w:val="24"/>
        </w:rPr>
        <w:t xml:space="preserve"> </w:t>
      </w:r>
      <w:r w:rsidRPr="00300841">
        <w:rPr>
          <w:i/>
          <w:szCs w:val="24"/>
        </w:rPr>
        <w:t>Genetics</w:t>
      </w:r>
      <w:r w:rsidRPr="00300841">
        <w:rPr>
          <w:szCs w:val="24"/>
        </w:rPr>
        <w:t xml:space="preserve">  </w:t>
      </w:r>
      <w:r w:rsidRPr="00300841">
        <w:rPr>
          <w:b/>
          <w:szCs w:val="24"/>
        </w:rPr>
        <w:t>156</w:t>
      </w:r>
      <w:r w:rsidRPr="00300841">
        <w:rPr>
          <w:szCs w:val="24"/>
        </w:rPr>
        <w:t>, 341-350.</w:t>
      </w:r>
    </w:p>
    <w:p w:rsidR="00300841" w:rsidRPr="00300841" w:rsidRDefault="00300841" w:rsidP="00300841">
      <w:pPr>
        <w:spacing w:after="0" w:line="240" w:lineRule="auto"/>
        <w:ind w:left="720" w:hanging="720"/>
        <w:rPr>
          <w:szCs w:val="24"/>
        </w:rPr>
      </w:pPr>
      <w:r w:rsidRPr="00300841">
        <w:rPr>
          <w:szCs w:val="24"/>
        </w:rPr>
        <w:t>Greenwood, J.S., Helm, M. and Gietl, C. (2005). Ricinosomes and endosperm transfer cell structure in programmed cell death of the nucellus during Ricinus seed development</w:t>
      </w:r>
      <w:r w:rsidRPr="00300841">
        <w:rPr>
          <w:i/>
          <w:szCs w:val="24"/>
        </w:rPr>
        <w:t>.</w:t>
      </w:r>
      <w:r w:rsidRPr="00300841">
        <w:rPr>
          <w:szCs w:val="24"/>
        </w:rPr>
        <w:t xml:space="preserve"> </w:t>
      </w:r>
      <w:r w:rsidRPr="00300841">
        <w:rPr>
          <w:i/>
          <w:szCs w:val="24"/>
        </w:rPr>
        <w:t>Proceedings of the National Academy of Sciences of the United States of America</w:t>
      </w:r>
      <w:r w:rsidRPr="00300841">
        <w:rPr>
          <w:szCs w:val="24"/>
        </w:rPr>
        <w:t xml:space="preserve">  </w:t>
      </w:r>
      <w:r w:rsidRPr="00300841">
        <w:rPr>
          <w:b/>
          <w:szCs w:val="24"/>
        </w:rPr>
        <w:t>102</w:t>
      </w:r>
      <w:r w:rsidRPr="00300841">
        <w:rPr>
          <w:szCs w:val="24"/>
        </w:rPr>
        <w:t>, 2238-2243.</w:t>
      </w:r>
    </w:p>
    <w:p w:rsidR="00300841" w:rsidRPr="00300841" w:rsidRDefault="00300841" w:rsidP="00300841">
      <w:pPr>
        <w:spacing w:after="0" w:line="240" w:lineRule="auto"/>
        <w:ind w:left="720" w:hanging="720"/>
        <w:rPr>
          <w:szCs w:val="24"/>
        </w:rPr>
      </w:pPr>
      <w:r w:rsidRPr="00300841">
        <w:rPr>
          <w:szCs w:val="24"/>
        </w:rPr>
        <w:t>Groover, A., DeWitt, N., Heidel, A. and Jones, A. (1997). Programmed cell death of plant tracheary elements differentiating in vitro</w:t>
      </w:r>
      <w:r w:rsidRPr="00300841">
        <w:rPr>
          <w:i/>
          <w:szCs w:val="24"/>
        </w:rPr>
        <w:t>.</w:t>
      </w:r>
      <w:r w:rsidRPr="00300841">
        <w:rPr>
          <w:szCs w:val="24"/>
        </w:rPr>
        <w:t xml:space="preserve"> </w:t>
      </w:r>
      <w:r w:rsidRPr="00300841">
        <w:rPr>
          <w:i/>
          <w:szCs w:val="24"/>
        </w:rPr>
        <w:t>Protoplasma</w:t>
      </w:r>
      <w:r w:rsidRPr="00300841">
        <w:rPr>
          <w:szCs w:val="24"/>
        </w:rPr>
        <w:t xml:space="preserve">  </w:t>
      </w:r>
      <w:r w:rsidRPr="00300841">
        <w:rPr>
          <w:b/>
          <w:szCs w:val="24"/>
        </w:rPr>
        <w:t>196</w:t>
      </w:r>
      <w:r w:rsidRPr="00300841">
        <w:rPr>
          <w:szCs w:val="24"/>
        </w:rPr>
        <w:t>, 197-211.</w:t>
      </w:r>
    </w:p>
    <w:p w:rsidR="00300841" w:rsidRPr="00300841" w:rsidRDefault="00300841" w:rsidP="00300841">
      <w:pPr>
        <w:spacing w:after="0" w:line="240" w:lineRule="auto"/>
        <w:ind w:left="720" w:hanging="720"/>
        <w:rPr>
          <w:szCs w:val="24"/>
        </w:rPr>
      </w:pPr>
      <w:r w:rsidRPr="00300841">
        <w:rPr>
          <w:szCs w:val="24"/>
        </w:rPr>
        <w:t>Gubser, C., Bergamaschi, D., Hollinshead, M., Lu, X., van Kuppeveld, F.J.M. and Smith, G.L. (2007). A New Inhibitor of Apoptosis from Vaccinia Virus and Eukaryotes</w:t>
      </w:r>
      <w:r w:rsidRPr="00300841">
        <w:rPr>
          <w:i/>
          <w:szCs w:val="24"/>
        </w:rPr>
        <w:t>.</w:t>
      </w:r>
      <w:r w:rsidRPr="00300841">
        <w:rPr>
          <w:szCs w:val="24"/>
        </w:rPr>
        <w:t xml:space="preserve"> </w:t>
      </w:r>
      <w:r w:rsidRPr="00300841">
        <w:rPr>
          <w:i/>
          <w:szCs w:val="24"/>
        </w:rPr>
        <w:t>PLoS Pathogens</w:t>
      </w:r>
      <w:r w:rsidRPr="00300841">
        <w:rPr>
          <w:szCs w:val="24"/>
        </w:rPr>
        <w:t xml:space="preserve">  </w:t>
      </w:r>
      <w:r w:rsidRPr="00300841">
        <w:rPr>
          <w:b/>
          <w:szCs w:val="24"/>
        </w:rPr>
        <w:t>3</w:t>
      </w:r>
      <w:r w:rsidRPr="00300841">
        <w:rPr>
          <w:szCs w:val="24"/>
        </w:rPr>
        <w:t>, e17.</w:t>
      </w:r>
    </w:p>
    <w:p w:rsidR="00300841" w:rsidRPr="00300841" w:rsidRDefault="00300841" w:rsidP="00300841">
      <w:pPr>
        <w:spacing w:after="0" w:line="240" w:lineRule="auto"/>
        <w:ind w:left="720" w:hanging="720"/>
        <w:rPr>
          <w:szCs w:val="24"/>
        </w:rPr>
      </w:pPr>
      <w:r w:rsidRPr="00300841">
        <w:rPr>
          <w:szCs w:val="24"/>
        </w:rPr>
        <w:t>Gunawardena, A.H.L.A.N. (2008). Programmed cell death and tissue remodelling in plants</w:t>
      </w:r>
      <w:r w:rsidRPr="00300841">
        <w:rPr>
          <w:i/>
          <w:szCs w:val="24"/>
        </w:rPr>
        <w:t>.</w:t>
      </w:r>
      <w:r w:rsidRPr="00300841">
        <w:rPr>
          <w:szCs w:val="24"/>
        </w:rPr>
        <w:t xml:space="preserve"> </w:t>
      </w:r>
      <w:r w:rsidRPr="00300841">
        <w:rPr>
          <w:i/>
          <w:szCs w:val="24"/>
        </w:rPr>
        <w:t>Journal of Experimental Botany</w:t>
      </w:r>
      <w:r w:rsidRPr="00300841">
        <w:rPr>
          <w:szCs w:val="24"/>
        </w:rPr>
        <w:t xml:space="preserve">  </w:t>
      </w:r>
      <w:r w:rsidRPr="00300841">
        <w:rPr>
          <w:b/>
          <w:szCs w:val="24"/>
        </w:rPr>
        <w:t>59</w:t>
      </w:r>
      <w:r w:rsidRPr="00300841">
        <w:rPr>
          <w:szCs w:val="24"/>
        </w:rPr>
        <w:t>, 445-451.</w:t>
      </w:r>
    </w:p>
    <w:p w:rsidR="00300841" w:rsidRPr="00300841" w:rsidRDefault="00300841" w:rsidP="00300841">
      <w:pPr>
        <w:spacing w:after="0" w:line="240" w:lineRule="auto"/>
        <w:ind w:left="720" w:hanging="720"/>
        <w:rPr>
          <w:szCs w:val="24"/>
        </w:rPr>
      </w:pPr>
      <w:r w:rsidRPr="00300841">
        <w:rPr>
          <w:szCs w:val="24"/>
        </w:rPr>
        <w:t>Gunawardena, A.H.L.A.N., Greenwood, J.S. and Dengler, N.G. (2004). Programmed Cell Death Remodels Lace Plant Leaf Shape during Development</w:t>
      </w:r>
      <w:r w:rsidRPr="00300841">
        <w:rPr>
          <w:i/>
          <w:szCs w:val="24"/>
        </w:rPr>
        <w:t>.</w:t>
      </w:r>
      <w:r w:rsidRPr="00300841">
        <w:rPr>
          <w:szCs w:val="24"/>
        </w:rPr>
        <w:t xml:space="preserve"> </w:t>
      </w:r>
      <w:r w:rsidRPr="00300841">
        <w:rPr>
          <w:i/>
          <w:szCs w:val="24"/>
        </w:rPr>
        <w:t>Plant Cell</w:t>
      </w:r>
      <w:r w:rsidRPr="00300841">
        <w:rPr>
          <w:szCs w:val="24"/>
        </w:rPr>
        <w:t xml:space="preserve">  </w:t>
      </w:r>
      <w:r w:rsidRPr="00300841">
        <w:rPr>
          <w:b/>
          <w:szCs w:val="24"/>
        </w:rPr>
        <w:t>16</w:t>
      </w:r>
      <w:r w:rsidRPr="00300841">
        <w:rPr>
          <w:szCs w:val="24"/>
        </w:rPr>
        <w:t>, 60-73.</w:t>
      </w:r>
    </w:p>
    <w:p w:rsidR="00300841" w:rsidRPr="00300841" w:rsidRDefault="00300841" w:rsidP="00300841">
      <w:pPr>
        <w:spacing w:after="0" w:line="240" w:lineRule="auto"/>
        <w:ind w:left="720" w:hanging="720"/>
        <w:rPr>
          <w:szCs w:val="24"/>
        </w:rPr>
      </w:pPr>
      <w:r w:rsidRPr="00300841">
        <w:rPr>
          <w:szCs w:val="24"/>
        </w:rPr>
        <w:t xml:space="preserve">Gunawardena, A.H.L.A.N., Pearce, D.M., Jackson, M.B., Hawes, C.R. and Evans, D.E. (2001). Characterisation of programmed cell death during aerenchyma formation induced by ethylene or hypoxia in roots of maize( </w:t>
      </w:r>
      <w:r w:rsidRPr="00300841">
        <w:rPr>
          <w:i/>
          <w:szCs w:val="24"/>
        </w:rPr>
        <w:t>Zea</w:t>
      </w:r>
      <w:r w:rsidRPr="00300841">
        <w:rPr>
          <w:szCs w:val="24"/>
        </w:rPr>
        <w:t xml:space="preserve"> </w:t>
      </w:r>
      <w:r w:rsidRPr="00300841">
        <w:rPr>
          <w:i/>
          <w:szCs w:val="24"/>
        </w:rPr>
        <w:t>mays</w:t>
      </w:r>
      <w:r w:rsidRPr="00300841">
        <w:rPr>
          <w:szCs w:val="24"/>
        </w:rPr>
        <w:t xml:space="preserve"> L.)</w:t>
      </w:r>
      <w:r w:rsidRPr="00300841">
        <w:rPr>
          <w:i/>
          <w:szCs w:val="24"/>
        </w:rPr>
        <w:t>.</w:t>
      </w:r>
      <w:r w:rsidRPr="00300841">
        <w:rPr>
          <w:szCs w:val="24"/>
        </w:rPr>
        <w:t xml:space="preserve"> </w:t>
      </w:r>
      <w:r w:rsidRPr="00300841">
        <w:rPr>
          <w:i/>
          <w:szCs w:val="24"/>
        </w:rPr>
        <w:t>Planta</w:t>
      </w:r>
      <w:r w:rsidRPr="00300841">
        <w:rPr>
          <w:szCs w:val="24"/>
        </w:rPr>
        <w:t xml:space="preserve">  </w:t>
      </w:r>
      <w:r w:rsidRPr="00300841">
        <w:rPr>
          <w:b/>
          <w:szCs w:val="24"/>
        </w:rPr>
        <w:t>212</w:t>
      </w:r>
      <w:r w:rsidRPr="00300841">
        <w:rPr>
          <w:szCs w:val="24"/>
        </w:rPr>
        <w:t>, 205-214.</w:t>
      </w:r>
    </w:p>
    <w:p w:rsidR="00300841" w:rsidRPr="00300841" w:rsidRDefault="00300841" w:rsidP="00300841">
      <w:pPr>
        <w:spacing w:after="0" w:line="240" w:lineRule="auto"/>
        <w:ind w:left="720" w:hanging="720"/>
        <w:rPr>
          <w:szCs w:val="24"/>
        </w:rPr>
      </w:pPr>
      <w:r w:rsidRPr="00300841">
        <w:rPr>
          <w:szCs w:val="24"/>
        </w:rPr>
        <w:t xml:space="preserve">Gunawardena, A.H.L.A.N., Sault, K., Donnelly, P., Greenwood, J.S. and Dengler, N.G. (2005). Programmed cell death and leaf morphogenesis in </w:t>
      </w:r>
      <w:r w:rsidRPr="00300841">
        <w:rPr>
          <w:i/>
          <w:szCs w:val="24"/>
        </w:rPr>
        <w:t>Monstera obliqua</w:t>
      </w:r>
      <w:r w:rsidRPr="00300841">
        <w:rPr>
          <w:szCs w:val="24"/>
        </w:rPr>
        <w:t xml:space="preserve"> (Araceae)</w:t>
      </w:r>
      <w:r w:rsidRPr="00300841">
        <w:rPr>
          <w:i/>
          <w:szCs w:val="24"/>
        </w:rPr>
        <w:t>.</w:t>
      </w:r>
      <w:r w:rsidRPr="00300841">
        <w:rPr>
          <w:szCs w:val="24"/>
        </w:rPr>
        <w:t xml:space="preserve"> </w:t>
      </w:r>
      <w:r w:rsidRPr="00300841">
        <w:rPr>
          <w:i/>
          <w:szCs w:val="24"/>
        </w:rPr>
        <w:t>Planta</w:t>
      </w:r>
      <w:r w:rsidRPr="00300841">
        <w:rPr>
          <w:szCs w:val="24"/>
        </w:rPr>
        <w:t xml:space="preserve">  </w:t>
      </w:r>
      <w:r w:rsidRPr="00300841">
        <w:rPr>
          <w:b/>
          <w:szCs w:val="24"/>
        </w:rPr>
        <w:t>221</w:t>
      </w:r>
      <w:r w:rsidRPr="00300841">
        <w:rPr>
          <w:szCs w:val="24"/>
        </w:rPr>
        <w:t>, 607-618.</w:t>
      </w:r>
    </w:p>
    <w:p w:rsidR="00300841" w:rsidRPr="00300841" w:rsidRDefault="00300841" w:rsidP="00300841">
      <w:pPr>
        <w:spacing w:after="0" w:line="240" w:lineRule="auto"/>
        <w:ind w:left="720" w:hanging="720"/>
        <w:rPr>
          <w:szCs w:val="24"/>
        </w:rPr>
      </w:pPr>
      <w:r w:rsidRPr="00300841">
        <w:rPr>
          <w:szCs w:val="24"/>
        </w:rPr>
        <w:t xml:space="preserve">Haasen, K.E. and Goring, D.R. (2010). The recognition and rejection of self-incompatible pollen in the </w:t>
      </w:r>
      <w:r w:rsidRPr="00300841">
        <w:rPr>
          <w:i/>
          <w:szCs w:val="24"/>
        </w:rPr>
        <w:t>Brassicaceae.</w:t>
      </w:r>
      <w:r w:rsidRPr="00300841">
        <w:rPr>
          <w:szCs w:val="24"/>
        </w:rPr>
        <w:t xml:space="preserve"> </w:t>
      </w:r>
      <w:r w:rsidRPr="00300841">
        <w:rPr>
          <w:i/>
          <w:szCs w:val="24"/>
        </w:rPr>
        <w:t>Botanical Studies</w:t>
      </w:r>
      <w:r w:rsidRPr="00300841">
        <w:rPr>
          <w:szCs w:val="24"/>
        </w:rPr>
        <w:t xml:space="preserve">  </w:t>
      </w:r>
      <w:r w:rsidRPr="00300841">
        <w:rPr>
          <w:b/>
          <w:szCs w:val="24"/>
        </w:rPr>
        <w:t>51</w:t>
      </w:r>
      <w:r w:rsidRPr="00300841">
        <w:rPr>
          <w:szCs w:val="24"/>
        </w:rPr>
        <w:t>, 1-6.</w:t>
      </w:r>
    </w:p>
    <w:p w:rsidR="00300841" w:rsidRPr="00300841" w:rsidRDefault="00300841" w:rsidP="00300841">
      <w:pPr>
        <w:spacing w:after="0" w:line="240" w:lineRule="auto"/>
        <w:ind w:left="720" w:hanging="720"/>
        <w:rPr>
          <w:szCs w:val="24"/>
        </w:rPr>
      </w:pPr>
      <w:r w:rsidRPr="00300841">
        <w:rPr>
          <w:szCs w:val="24"/>
        </w:rPr>
        <w:t>Hait, N.C., Oskeritzian, C.A., Paugh, S.W., Milstien, S. and Spiegel, S. (2006). Sphingosine kinases, sphingosine 1-phosphate, apoptosis and diseases</w:t>
      </w:r>
      <w:r w:rsidRPr="00300841">
        <w:rPr>
          <w:i/>
          <w:szCs w:val="24"/>
        </w:rPr>
        <w:t>.</w:t>
      </w:r>
      <w:r w:rsidRPr="00300841">
        <w:rPr>
          <w:szCs w:val="24"/>
        </w:rPr>
        <w:t xml:space="preserve"> </w:t>
      </w:r>
      <w:r w:rsidRPr="00300841">
        <w:rPr>
          <w:i/>
          <w:szCs w:val="24"/>
        </w:rPr>
        <w:t>Biochimica et Biophysica Acta (BBA) - Biomembranes</w:t>
      </w:r>
      <w:r w:rsidRPr="00300841">
        <w:rPr>
          <w:szCs w:val="24"/>
        </w:rPr>
        <w:t xml:space="preserve">  </w:t>
      </w:r>
      <w:r w:rsidRPr="00300841">
        <w:rPr>
          <w:b/>
          <w:szCs w:val="24"/>
        </w:rPr>
        <w:t>1758</w:t>
      </w:r>
      <w:r w:rsidRPr="00300841">
        <w:rPr>
          <w:szCs w:val="24"/>
        </w:rPr>
        <w:t>, 2016-2026.</w:t>
      </w:r>
    </w:p>
    <w:p w:rsidR="00300841" w:rsidRPr="00300841" w:rsidRDefault="00300841" w:rsidP="00300841">
      <w:pPr>
        <w:spacing w:after="0" w:line="240" w:lineRule="auto"/>
        <w:ind w:left="720" w:hanging="720"/>
        <w:rPr>
          <w:szCs w:val="24"/>
        </w:rPr>
      </w:pPr>
      <w:r w:rsidRPr="00300841">
        <w:rPr>
          <w:szCs w:val="24"/>
        </w:rPr>
        <w:t>Hammond-Kosack, K.E. and Jones, J.D.G. (1997). Plant Disease Resistance Genes</w:t>
      </w:r>
      <w:r w:rsidRPr="00300841">
        <w:rPr>
          <w:i/>
          <w:szCs w:val="24"/>
        </w:rPr>
        <w:t>.</w:t>
      </w:r>
      <w:r w:rsidRPr="00300841">
        <w:rPr>
          <w:szCs w:val="24"/>
        </w:rPr>
        <w:t xml:space="preserve"> </w:t>
      </w:r>
      <w:r w:rsidRPr="00300841">
        <w:rPr>
          <w:i/>
          <w:szCs w:val="24"/>
        </w:rPr>
        <w:t>Annual Review of Plant Physiology and Plant Molecular Biology</w:t>
      </w:r>
      <w:r w:rsidRPr="00300841">
        <w:rPr>
          <w:szCs w:val="24"/>
        </w:rPr>
        <w:t xml:space="preserve">  </w:t>
      </w:r>
      <w:r w:rsidRPr="00300841">
        <w:rPr>
          <w:b/>
          <w:szCs w:val="24"/>
        </w:rPr>
        <w:t>48</w:t>
      </w:r>
      <w:r w:rsidRPr="00300841">
        <w:rPr>
          <w:szCs w:val="24"/>
        </w:rPr>
        <w:t>, 575-607.</w:t>
      </w:r>
    </w:p>
    <w:p w:rsidR="00300841" w:rsidRPr="00300841" w:rsidRDefault="00300841" w:rsidP="00300841">
      <w:pPr>
        <w:spacing w:after="0" w:line="240" w:lineRule="auto"/>
        <w:ind w:left="720" w:hanging="720"/>
        <w:rPr>
          <w:szCs w:val="24"/>
        </w:rPr>
      </w:pPr>
      <w:r w:rsidRPr="00300841">
        <w:rPr>
          <w:szCs w:val="24"/>
        </w:rPr>
        <w:t xml:space="preserve">Hanaoka, H., Noda, T., Shirano, Y., Kato, T., Hayashi, H., Shibata, D., Tabata, S. and Ohsumi, Y. (2002). Leaf Senescence and Starvation-Induced Chlorosis Are Accelerated by the Disruption of an </w:t>
      </w:r>
      <w:r w:rsidRPr="00300841">
        <w:rPr>
          <w:i/>
          <w:szCs w:val="24"/>
        </w:rPr>
        <w:t>Arabidopsis</w:t>
      </w:r>
      <w:r w:rsidRPr="00300841">
        <w:rPr>
          <w:szCs w:val="24"/>
        </w:rPr>
        <w:t xml:space="preserve"> Autophagy Gene</w:t>
      </w:r>
      <w:r w:rsidRPr="00300841">
        <w:rPr>
          <w:i/>
          <w:szCs w:val="24"/>
        </w:rPr>
        <w:t>.</w:t>
      </w:r>
      <w:r w:rsidRPr="00300841">
        <w:rPr>
          <w:szCs w:val="24"/>
        </w:rPr>
        <w:t xml:space="preserve"> </w:t>
      </w:r>
      <w:r w:rsidRPr="00300841">
        <w:rPr>
          <w:i/>
          <w:szCs w:val="24"/>
        </w:rPr>
        <w:t>Plant Physiology</w:t>
      </w:r>
      <w:r w:rsidRPr="00300841">
        <w:rPr>
          <w:szCs w:val="24"/>
        </w:rPr>
        <w:t xml:space="preserve">  </w:t>
      </w:r>
      <w:r w:rsidRPr="00300841">
        <w:rPr>
          <w:b/>
          <w:szCs w:val="24"/>
        </w:rPr>
        <w:t>129</w:t>
      </w:r>
      <w:r w:rsidRPr="00300841">
        <w:rPr>
          <w:szCs w:val="24"/>
        </w:rPr>
        <w:t>, 1181-1193.</w:t>
      </w:r>
    </w:p>
    <w:p w:rsidR="00300841" w:rsidRPr="00300841" w:rsidRDefault="00300841" w:rsidP="00300841">
      <w:pPr>
        <w:spacing w:after="0" w:line="240" w:lineRule="auto"/>
        <w:ind w:left="720" w:hanging="720"/>
        <w:rPr>
          <w:szCs w:val="24"/>
        </w:rPr>
      </w:pPr>
      <w:r w:rsidRPr="00300841">
        <w:rPr>
          <w:szCs w:val="24"/>
        </w:rPr>
        <w:t xml:space="preserve">Harkes, P.A.A. (1973). Structure and dynamics of the root cap of </w:t>
      </w:r>
      <w:r w:rsidRPr="00300841">
        <w:rPr>
          <w:i/>
          <w:szCs w:val="24"/>
        </w:rPr>
        <w:t>Avena sativa.</w:t>
      </w:r>
      <w:r w:rsidRPr="00300841">
        <w:rPr>
          <w:szCs w:val="24"/>
        </w:rPr>
        <w:t xml:space="preserve"> </w:t>
      </w:r>
      <w:r w:rsidRPr="00300841">
        <w:rPr>
          <w:i/>
          <w:szCs w:val="24"/>
        </w:rPr>
        <w:t>Acta Botanica Neerlandical</w:t>
      </w:r>
      <w:r w:rsidRPr="00300841">
        <w:rPr>
          <w:szCs w:val="24"/>
        </w:rPr>
        <w:t xml:space="preserve">  </w:t>
      </w:r>
      <w:r w:rsidRPr="00300841">
        <w:rPr>
          <w:b/>
          <w:szCs w:val="24"/>
        </w:rPr>
        <w:t>22</w:t>
      </w:r>
      <w:r w:rsidRPr="00300841">
        <w:rPr>
          <w:szCs w:val="24"/>
        </w:rPr>
        <w:t>, 321-328.</w:t>
      </w:r>
    </w:p>
    <w:p w:rsidR="00300841" w:rsidRPr="00300841" w:rsidRDefault="00300841" w:rsidP="00300841">
      <w:pPr>
        <w:spacing w:after="0" w:line="240" w:lineRule="auto"/>
        <w:ind w:left="720" w:hanging="720"/>
        <w:rPr>
          <w:szCs w:val="24"/>
        </w:rPr>
      </w:pPr>
      <w:r w:rsidRPr="00300841">
        <w:rPr>
          <w:szCs w:val="24"/>
        </w:rPr>
        <w:t>Hatsugai, N., Kuroyanagi, M., Yamada, K., Meshi, T., Tsuda, S., Kondo, M., Nishimura, M. and Hara-Nishimura, I. (2004). A Plant Vacuolar Protease, VPE, Mediates Virus-Induced Hypersensitive Cell Death</w:t>
      </w:r>
      <w:r w:rsidRPr="00300841">
        <w:rPr>
          <w:i/>
          <w:szCs w:val="24"/>
        </w:rPr>
        <w:t>.</w:t>
      </w:r>
      <w:r w:rsidRPr="00300841">
        <w:rPr>
          <w:szCs w:val="24"/>
        </w:rPr>
        <w:t xml:space="preserve"> </w:t>
      </w:r>
      <w:r w:rsidRPr="00300841">
        <w:rPr>
          <w:i/>
          <w:szCs w:val="24"/>
        </w:rPr>
        <w:t>Science</w:t>
      </w:r>
      <w:r w:rsidRPr="00300841">
        <w:rPr>
          <w:szCs w:val="24"/>
        </w:rPr>
        <w:t xml:space="preserve">  </w:t>
      </w:r>
      <w:r w:rsidRPr="00300841">
        <w:rPr>
          <w:b/>
          <w:szCs w:val="24"/>
        </w:rPr>
        <w:t>305</w:t>
      </w:r>
      <w:r w:rsidRPr="00300841">
        <w:rPr>
          <w:szCs w:val="24"/>
        </w:rPr>
        <w:t>, 855-858.</w:t>
      </w:r>
    </w:p>
    <w:p w:rsidR="00300841" w:rsidRPr="00300841" w:rsidRDefault="00300841" w:rsidP="00300841">
      <w:pPr>
        <w:spacing w:after="0" w:line="240" w:lineRule="auto"/>
        <w:ind w:left="720" w:hanging="720"/>
        <w:rPr>
          <w:szCs w:val="24"/>
        </w:rPr>
      </w:pPr>
      <w:r w:rsidRPr="00300841">
        <w:rPr>
          <w:szCs w:val="24"/>
        </w:rPr>
        <w:t xml:space="preserve">Haughn, G. W. and Somerville, C. R. (1988). Genetic control of morphogenesis in </w:t>
      </w:r>
      <w:r w:rsidRPr="00300841">
        <w:rPr>
          <w:i/>
          <w:szCs w:val="24"/>
        </w:rPr>
        <w:t>Arabidopsis</w:t>
      </w:r>
      <w:r w:rsidRPr="00300841">
        <w:rPr>
          <w:szCs w:val="24"/>
        </w:rPr>
        <w:t xml:space="preserve">. </w:t>
      </w:r>
      <w:r w:rsidRPr="00300841">
        <w:rPr>
          <w:i/>
          <w:szCs w:val="24"/>
        </w:rPr>
        <w:t>Developmental Genetics</w:t>
      </w:r>
      <w:r w:rsidRPr="00300841">
        <w:rPr>
          <w:szCs w:val="24"/>
        </w:rPr>
        <w:t xml:space="preserve">  </w:t>
      </w:r>
      <w:r w:rsidRPr="00300841">
        <w:rPr>
          <w:b/>
          <w:szCs w:val="24"/>
        </w:rPr>
        <w:t>9</w:t>
      </w:r>
      <w:r w:rsidRPr="00300841">
        <w:rPr>
          <w:szCs w:val="24"/>
        </w:rPr>
        <w:t>, 73-89.</w:t>
      </w:r>
    </w:p>
    <w:p w:rsidR="00300841" w:rsidRPr="00300841" w:rsidRDefault="00300841" w:rsidP="00300841">
      <w:pPr>
        <w:spacing w:after="0" w:line="240" w:lineRule="auto"/>
        <w:ind w:left="720" w:hanging="720"/>
        <w:rPr>
          <w:szCs w:val="24"/>
        </w:rPr>
      </w:pPr>
      <w:r w:rsidRPr="00300841">
        <w:rPr>
          <w:szCs w:val="24"/>
        </w:rPr>
        <w:t>He, C., Finlayson, S.A., Drew, M.C., Jordan, W.R. and Morgan, P.W. (1996a). Ethylene Biosynthesis during Aerenchyma Formation in Roots of Maize Subjected to Mechanical Impedance and Hypoxia</w:t>
      </w:r>
      <w:r w:rsidRPr="00300841">
        <w:rPr>
          <w:i/>
          <w:szCs w:val="24"/>
        </w:rPr>
        <w:t>.</w:t>
      </w:r>
      <w:r w:rsidRPr="00300841">
        <w:rPr>
          <w:szCs w:val="24"/>
        </w:rPr>
        <w:t xml:space="preserve"> </w:t>
      </w:r>
      <w:r w:rsidRPr="00300841">
        <w:rPr>
          <w:i/>
          <w:szCs w:val="24"/>
        </w:rPr>
        <w:t>Plant Physiology</w:t>
      </w:r>
      <w:r w:rsidRPr="00300841">
        <w:rPr>
          <w:szCs w:val="24"/>
        </w:rPr>
        <w:t xml:space="preserve">  </w:t>
      </w:r>
      <w:r w:rsidRPr="00300841">
        <w:rPr>
          <w:b/>
          <w:szCs w:val="24"/>
        </w:rPr>
        <w:t>112</w:t>
      </w:r>
      <w:r w:rsidRPr="00300841">
        <w:rPr>
          <w:szCs w:val="24"/>
        </w:rPr>
        <w:t>, 1679-1685.</w:t>
      </w:r>
    </w:p>
    <w:p w:rsidR="00300841" w:rsidRPr="00300841" w:rsidRDefault="00300841" w:rsidP="00300841">
      <w:pPr>
        <w:spacing w:after="0" w:line="240" w:lineRule="auto"/>
        <w:ind w:left="720" w:hanging="720"/>
        <w:rPr>
          <w:szCs w:val="24"/>
        </w:rPr>
      </w:pPr>
      <w:r w:rsidRPr="00300841">
        <w:rPr>
          <w:szCs w:val="24"/>
        </w:rPr>
        <w:t>He, C.J., Morgan, P.W. and Drew, M.C. (1996b). Transduction of an Ethylene Signal Is Required for Cell Death and Lysis in the Root Cortex of Maize during Aerenchyma Formation Induced by Hypoxia</w:t>
      </w:r>
      <w:r w:rsidRPr="00300841">
        <w:rPr>
          <w:i/>
          <w:szCs w:val="24"/>
        </w:rPr>
        <w:t>.</w:t>
      </w:r>
      <w:r w:rsidRPr="00300841">
        <w:rPr>
          <w:szCs w:val="24"/>
        </w:rPr>
        <w:t xml:space="preserve"> </w:t>
      </w:r>
      <w:r w:rsidRPr="00300841">
        <w:rPr>
          <w:i/>
          <w:szCs w:val="24"/>
        </w:rPr>
        <w:t>Plant Physiology</w:t>
      </w:r>
      <w:r w:rsidRPr="00300841">
        <w:rPr>
          <w:szCs w:val="24"/>
        </w:rPr>
        <w:t xml:space="preserve">  </w:t>
      </w:r>
      <w:r w:rsidRPr="00300841">
        <w:rPr>
          <w:b/>
          <w:szCs w:val="24"/>
        </w:rPr>
        <w:t>112</w:t>
      </w:r>
      <w:r w:rsidRPr="00300841">
        <w:rPr>
          <w:szCs w:val="24"/>
        </w:rPr>
        <w:t>, 463-472.</w:t>
      </w:r>
    </w:p>
    <w:p w:rsidR="00300841" w:rsidRPr="00300841" w:rsidRDefault="00300841" w:rsidP="00300841">
      <w:pPr>
        <w:spacing w:after="0" w:line="240" w:lineRule="auto"/>
        <w:ind w:left="720" w:hanging="720"/>
        <w:rPr>
          <w:szCs w:val="24"/>
        </w:rPr>
      </w:pPr>
      <w:r w:rsidRPr="00300841">
        <w:rPr>
          <w:szCs w:val="24"/>
        </w:rPr>
        <w:t>He, R., Drury, G.E., Rotari, V.I., Gordon, A., Willer, M., Farzaneh, T., Woltering, E.J. and Gallois, P. (2008). Metacaspase-8 Modulates Programmed Cell Death Induced by Ultraviolet Light and H</w:t>
      </w:r>
      <w:r w:rsidRPr="00300841">
        <w:rPr>
          <w:szCs w:val="24"/>
          <w:vertAlign w:val="subscript"/>
        </w:rPr>
        <w:t>2</w:t>
      </w:r>
      <w:r w:rsidRPr="00300841">
        <w:rPr>
          <w:szCs w:val="24"/>
        </w:rPr>
        <w:t>O</w:t>
      </w:r>
      <w:r w:rsidRPr="00300841">
        <w:rPr>
          <w:szCs w:val="24"/>
          <w:vertAlign w:val="subscript"/>
        </w:rPr>
        <w:t>2</w:t>
      </w:r>
      <w:r w:rsidRPr="00300841">
        <w:rPr>
          <w:szCs w:val="24"/>
        </w:rPr>
        <w:t xml:space="preserve"> in </w:t>
      </w:r>
      <w:r w:rsidRPr="00300841">
        <w:rPr>
          <w:i/>
          <w:szCs w:val="24"/>
        </w:rPr>
        <w:t>Arabidopsis.</w:t>
      </w:r>
      <w:r w:rsidRPr="00300841">
        <w:rPr>
          <w:szCs w:val="24"/>
        </w:rPr>
        <w:t xml:space="preserve"> </w:t>
      </w:r>
      <w:r w:rsidRPr="00300841">
        <w:rPr>
          <w:i/>
          <w:szCs w:val="24"/>
        </w:rPr>
        <w:t>Journal of Biological Chemistry</w:t>
      </w:r>
      <w:r w:rsidRPr="00300841">
        <w:rPr>
          <w:szCs w:val="24"/>
        </w:rPr>
        <w:t xml:space="preserve">  </w:t>
      </w:r>
      <w:r w:rsidRPr="00300841">
        <w:rPr>
          <w:b/>
          <w:szCs w:val="24"/>
        </w:rPr>
        <w:t>283</w:t>
      </w:r>
      <w:r w:rsidRPr="00300841">
        <w:rPr>
          <w:szCs w:val="24"/>
        </w:rPr>
        <w:t>, 774-783.</w:t>
      </w:r>
    </w:p>
    <w:p w:rsidR="00300841" w:rsidRPr="00300841" w:rsidRDefault="00300841" w:rsidP="00300841">
      <w:pPr>
        <w:spacing w:after="0" w:line="240" w:lineRule="auto"/>
        <w:ind w:left="720" w:hanging="720"/>
        <w:rPr>
          <w:szCs w:val="24"/>
        </w:rPr>
      </w:pPr>
      <w:r w:rsidRPr="00300841">
        <w:rPr>
          <w:szCs w:val="24"/>
        </w:rPr>
        <w:t xml:space="preserve">He, S.Y., Bauer, D. W., Collmer, A., and Beer, S. (1994). Hypersensitive response elicited by </w:t>
      </w:r>
      <w:r w:rsidRPr="00300841">
        <w:rPr>
          <w:i/>
          <w:szCs w:val="24"/>
        </w:rPr>
        <w:t xml:space="preserve">Erwinia amylovora </w:t>
      </w:r>
      <w:r w:rsidRPr="00300841">
        <w:rPr>
          <w:szCs w:val="24"/>
        </w:rPr>
        <w:t>harpin requires active plant metabolism</w:t>
      </w:r>
      <w:r w:rsidRPr="00300841">
        <w:rPr>
          <w:i/>
          <w:szCs w:val="24"/>
        </w:rPr>
        <w:t>.</w:t>
      </w:r>
      <w:r w:rsidRPr="00300841">
        <w:rPr>
          <w:szCs w:val="24"/>
        </w:rPr>
        <w:t xml:space="preserve"> </w:t>
      </w:r>
      <w:r w:rsidRPr="00300841">
        <w:rPr>
          <w:i/>
          <w:szCs w:val="24"/>
        </w:rPr>
        <w:t>Molecular Plant-Microbe Interactions</w:t>
      </w:r>
      <w:r w:rsidRPr="00300841">
        <w:rPr>
          <w:szCs w:val="24"/>
        </w:rPr>
        <w:t xml:space="preserve">  </w:t>
      </w:r>
      <w:r w:rsidRPr="00300841">
        <w:rPr>
          <w:b/>
          <w:szCs w:val="24"/>
        </w:rPr>
        <w:t>7</w:t>
      </w:r>
      <w:r w:rsidRPr="00300841">
        <w:rPr>
          <w:szCs w:val="24"/>
        </w:rPr>
        <w:t>, 289-292.</w:t>
      </w:r>
    </w:p>
    <w:p w:rsidR="00300841" w:rsidRPr="00300841" w:rsidRDefault="00300841" w:rsidP="00300841">
      <w:pPr>
        <w:spacing w:after="0" w:line="240" w:lineRule="auto"/>
        <w:ind w:left="720" w:hanging="720"/>
        <w:rPr>
          <w:szCs w:val="24"/>
        </w:rPr>
      </w:pPr>
      <w:r w:rsidRPr="00300841">
        <w:rPr>
          <w:szCs w:val="24"/>
        </w:rPr>
        <w:t>He, Y.-Y. and Häder, D.-P. (2002). Involvement of reactive oxygen species in the UV-B damage to the cyanobacterium Anabaena sp</w:t>
      </w:r>
      <w:r w:rsidRPr="00300841">
        <w:rPr>
          <w:i/>
          <w:szCs w:val="24"/>
        </w:rPr>
        <w:t>.</w:t>
      </w:r>
      <w:r w:rsidRPr="00300841">
        <w:rPr>
          <w:szCs w:val="24"/>
        </w:rPr>
        <w:t xml:space="preserve"> </w:t>
      </w:r>
      <w:r w:rsidRPr="00300841">
        <w:rPr>
          <w:i/>
          <w:szCs w:val="24"/>
        </w:rPr>
        <w:t>Journal of Photochemistry and Photobiology B: Biology</w:t>
      </w:r>
      <w:r w:rsidRPr="00300841">
        <w:rPr>
          <w:szCs w:val="24"/>
        </w:rPr>
        <w:t xml:space="preserve">  </w:t>
      </w:r>
      <w:r w:rsidRPr="00300841">
        <w:rPr>
          <w:b/>
          <w:szCs w:val="24"/>
        </w:rPr>
        <w:t>66</w:t>
      </w:r>
      <w:r w:rsidRPr="00300841">
        <w:rPr>
          <w:szCs w:val="24"/>
        </w:rPr>
        <w:t>, 73-80.</w:t>
      </w:r>
    </w:p>
    <w:p w:rsidR="00300841" w:rsidRPr="00300841" w:rsidRDefault="00300841" w:rsidP="00300841">
      <w:pPr>
        <w:spacing w:after="0" w:line="240" w:lineRule="auto"/>
        <w:ind w:left="720" w:hanging="720"/>
        <w:rPr>
          <w:szCs w:val="24"/>
        </w:rPr>
      </w:pPr>
      <w:r w:rsidRPr="00300841">
        <w:rPr>
          <w:szCs w:val="24"/>
        </w:rPr>
        <w:t>Heath, M.C. (2000). Hypersensitive response-related death</w:t>
      </w:r>
      <w:r w:rsidRPr="00300841">
        <w:rPr>
          <w:i/>
          <w:szCs w:val="24"/>
        </w:rPr>
        <w:t>.</w:t>
      </w:r>
      <w:r w:rsidRPr="00300841">
        <w:rPr>
          <w:szCs w:val="24"/>
        </w:rPr>
        <w:t xml:space="preserve"> </w:t>
      </w:r>
      <w:r w:rsidRPr="00300841">
        <w:rPr>
          <w:i/>
          <w:szCs w:val="24"/>
        </w:rPr>
        <w:t>Plant Molecular Biology</w:t>
      </w:r>
      <w:r w:rsidRPr="00300841">
        <w:rPr>
          <w:szCs w:val="24"/>
        </w:rPr>
        <w:t xml:space="preserve">  </w:t>
      </w:r>
      <w:r w:rsidRPr="00300841">
        <w:rPr>
          <w:b/>
          <w:szCs w:val="24"/>
        </w:rPr>
        <w:t>44</w:t>
      </w:r>
      <w:r w:rsidRPr="00300841">
        <w:rPr>
          <w:szCs w:val="24"/>
        </w:rPr>
        <w:t>, 321-334.</w:t>
      </w:r>
    </w:p>
    <w:p w:rsidR="00300841" w:rsidRPr="00300841" w:rsidRDefault="00300841" w:rsidP="00300841">
      <w:pPr>
        <w:spacing w:after="0" w:line="240" w:lineRule="auto"/>
        <w:ind w:left="720" w:hanging="720"/>
        <w:rPr>
          <w:szCs w:val="24"/>
        </w:rPr>
      </w:pPr>
      <w:r w:rsidRPr="00300841">
        <w:rPr>
          <w:szCs w:val="24"/>
        </w:rPr>
        <w:t>Heath, M.C., Nimchuk, Z.L. and Xu, H. (1997). Plant Nuclear Migrations as Indicators of Critical Interactions between Resistant or Susceptible Cowpea Epidermal Cells and Invasion Hyphae of the Cowpea Rust Fungus</w:t>
      </w:r>
      <w:r w:rsidRPr="00300841">
        <w:rPr>
          <w:i/>
          <w:szCs w:val="24"/>
        </w:rPr>
        <w:t>.</w:t>
      </w:r>
      <w:r w:rsidRPr="00300841">
        <w:rPr>
          <w:szCs w:val="24"/>
        </w:rPr>
        <w:t xml:space="preserve"> </w:t>
      </w:r>
      <w:r w:rsidRPr="00300841">
        <w:rPr>
          <w:i/>
          <w:szCs w:val="24"/>
        </w:rPr>
        <w:t>New Phytologist</w:t>
      </w:r>
      <w:r w:rsidRPr="00300841">
        <w:rPr>
          <w:szCs w:val="24"/>
        </w:rPr>
        <w:t xml:space="preserve">  </w:t>
      </w:r>
      <w:r w:rsidRPr="00300841">
        <w:rPr>
          <w:b/>
          <w:szCs w:val="24"/>
        </w:rPr>
        <w:t>135</w:t>
      </w:r>
      <w:r w:rsidRPr="00300841">
        <w:rPr>
          <w:szCs w:val="24"/>
        </w:rPr>
        <w:t>, 689-700.</w:t>
      </w:r>
    </w:p>
    <w:p w:rsidR="00300841" w:rsidRPr="00300841" w:rsidRDefault="00300841" w:rsidP="00300841">
      <w:pPr>
        <w:spacing w:after="0" w:line="240" w:lineRule="auto"/>
        <w:ind w:left="720" w:hanging="720"/>
        <w:rPr>
          <w:szCs w:val="24"/>
        </w:rPr>
      </w:pPr>
      <w:r w:rsidRPr="00300841">
        <w:rPr>
          <w:szCs w:val="24"/>
        </w:rPr>
        <w:t>Helmersson, A., von Arnold, S. and Bozhkov, P.V. (2008). The level of free intracellular zinc mediates programmed cell death/cell survival decisions in plant embryos</w:t>
      </w:r>
      <w:r w:rsidRPr="00300841">
        <w:rPr>
          <w:i/>
          <w:szCs w:val="24"/>
        </w:rPr>
        <w:t>.</w:t>
      </w:r>
      <w:r w:rsidRPr="00300841">
        <w:rPr>
          <w:szCs w:val="24"/>
        </w:rPr>
        <w:t xml:space="preserve"> </w:t>
      </w:r>
      <w:r w:rsidRPr="00300841">
        <w:rPr>
          <w:i/>
          <w:szCs w:val="24"/>
        </w:rPr>
        <w:t>Plant Physiology</w:t>
      </w:r>
      <w:r w:rsidRPr="00300841">
        <w:rPr>
          <w:szCs w:val="24"/>
        </w:rPr>
        <w:t xml:space="preserve">  </w:t>
      </w:r>
      <w:r w:rsidRPr="00300841">
        <w:rPr>
          <w:b/>
          <w:szCs w:val="24"/>
        </w:rPr>
        <w:t>147</w:t>
      </w:r>
      <w:r w:rsidRPr="00300841">
        <w:rPr>
          <w:szCs w:val="24"/>
        </w:rPr>
        <w:t>, 1158-1167.</w:t>
      </w:r>
    </w:p>
    <w:p w:rsidR="00300841" w:rsidRPr="00300841" w:rsidRDefault="00300841" w:rsidP="00300841">
      <w:pPr>
        <w:spacing w:after="0" w:line="240" w:lineRule="auto"/>
        <w:ind w:left="720" w:hanging="720"/>
        <w:rPr>
          <w:szCs w:val="24"/>
        </w:rPr>
      </w:pPr>
      <w:r w:rsidRPr="00300841">
        <w:rPr>
          <w:szCs w:val="24"/>
        </w:rPr>
        <w:t xml:space="preserve">Hertzberg, M., Aspeborg, H., Schrader, J., Andersson, A., Erlandsson, R., Blomqvist, K., Bhalerao, R., </w:t>
      </w:r>
      <w:r w:rsidRPr="00300841">
        <w:rPr>
          <w:rFonts w:asciiTheme="minorHAnsi" w:eastAsiaTheme="minorHAnsi" w:hAnsiTheme="minorHAnsi" w:cstheme="minorBidi"/>
        </w:rPr>
        <w:t>Uhlén</w:t>
      </w:r>
      <w:r w:rsidRPr="00300841">
        <w:rPr>
          <w:szCs w:val="24"/>
        </w:rPr>
        <w:t>, M., Teeri, T.T., Lundeberg, J., Sundberg, B.r., Nilsson, P. and Sandberg, G.r. (2001). A transcriptional roadmap to wood formation</w:t>
      </w:r>
      <w:r w:rsidRPr="00300841">
        <w:rPr>
          <w:i/>
          <w:szCs w:val="24"/>
        </w:rPr>
        <w:t>.</w:t>
      </w:r>
      <w:r w:rsidRPr="00300841">
        <w:rPr>
          <w:szCs w:val="24"/>
        </w:rPr>
        <w:t xml:space="preserve"> </w:t>
      </w:r>
      <w:r w:rsidRPr="00300841">
        <w:rPr>
          <w:i/>
          <w:szCs w:val="24"/>
        </w:rPr>
        <w:t>Proceedings of the National Academy of Sciences of the United States of America</w:t>
      </w:r>
      <w:r w:rsidRPr="00300841">
        <w:rPr>
          <w:szCs w:val="24"/>
        </w:rPr>
        <w:t xml:space="preserve">  </w:t>
      </w:r>
      <w:r w:rsidRPr="00300841">
        <w:rPr>
          <w:b/>
          <w:szCs w:val="24"/>
        </w:rPr>
        <w:t>98</w:t>
      </w:r>
      <w:r w:rsidRPr="00300841">
        <w:rPr>
          <w:szCs w:val="24"/>
        </w:rPr>
        <w:t>, 14732-14737.</w:t>
      </w:r>
    </w:p>
    <w:p w:rsidR="00300841" w:rsidRPr="00300841" w:rsidRDefault="00300841" w:rsidP="00300841">
      <w:pPr>
        <w:spacing w:after="0" w:line="240" w:lineRule="auto"/>
        <w:ind w:left="720" w:hanging="720"/>
        <w:rPr>
          <w:szCs w:val="24"/>
        </w:rPr>
      </w:pPr>
      <w:r w:rsidRPr="00300841">
        <w:rPr>
          <w:szCs w:val="24"/>
        </w:rPr>
        <w:t>Hiratsuka, R., Yamada, Y. and Terasaka, O. (2002). Programmed cell death of Pinus nucellus in response to pollen tube penetration</w:t>
      </w:r>
      <w:r w:rsidRPr="00300841">
        <w:rPr>
          <w:i/>
          <w:szCs w:val="24"/>
        </w:rPr>
        <w:t>.</w:t>
      </w:r>
      <w:r w:rsidRPr="00300841">
        <w:rPr>
          <w:szCs w:val="24"/>
        </w:rPr>
        <w:t xml:space="preserve"> </w:t>
      </w:r>
      <w:r w:rsidRPr="00300841">
        <w:rPr>
          <w:i/>
          <w:szCs w:val="24"/>
        </w:rPr>
        <w:t>Journal of Plant Research</w:t>
      </w:r>
      <w:r w:rsidRPr="00300841">
        <w:rPr>
          <w:szCs w:val="24"/>
        </w:rPr>
        <w:t xml:space="preserve">  </w:t>
      </w:r>
      <w:r w:rsidRPr="00300841">
        <w:rPr>
          <w:b/>
          <w:szCs w:val="24"/>
        </w:rPr>
        <w:t>115</w:t>
      </w:r>
      <w:r w:rsidRPr="00300841">
        <w:rPr>
          <w:szCs w:val="24"/>
        </w:rPr>
        <w:t>, 0141-0148.</w:t>
      </w:r>
    </w:p>
    <w:p w:rsidR="00300841" w:rsidRPr="00300841" w:rsidRDefault="00300841" w:rsidP="00300841">
      <w:pPr>
        <w:spacing w:after="0" w:line="240" w:lineRule="auto"/>
        <w:ind w:left="720" w:hanging="720"/>
        <w:rPr>
          <w:szCs w:val="24"/>
        </w:rPr>
      </w:pPr>
      <w:r w:rsidRPr="00300841">
        <w:rPr>
          <w:szCs w:val="24"/>
        </w:rPr>
        <w:t xml:space="preserve">Hoeberichts, F., Have, A. and Woltering, E. (2003). A tomato metacaspase gene is upregulated during programmed cell death in Botrytis cinerea-infected leaves. </w:t>
      </w:r>
      <w:r w:rsidRPr="00300841">
        <w:rPr>
          <w:i/>
          <w:szCs w:val="24"/>
        </w:rPr>
        <w:t>Planta</w:t>
      </w:r>
      <w:r w:rsidRPr="00300841">
        <w:rPr>
          <w:b/>
          <w:szCs w:val="24"/>
        </w:rPr>
        <w:t xml:space="preserve"> 217</w:t>
      </w:r>
      <w:r w:rsidRPr="00300841">
        <w:rPr>
          <w:szCs w:val="24"/>
        </w:rPr>
        <w:t>, 517-522.</w:t>
      </w:r>
    </w:p>
    <w:p w:rsidR="00300841" w:rsidRPr="00300841" w:rsidRDefault="00300841" w:rsidP="00300841">
      <w:pPr>
        <w:spacing w:after="0" w:line="240" w:lineRule="auto"/>
        <w:ind w:left="720" w:hanging="720"/>
        <w:rPr>
          <w:szCs w:val="24"/>
        </w:rPr>
      </w:pPr>
      <w:r w:rsidRPr="00300841">
        <w:rPr>
          <w:szCs w:val="24"/>
        </w:rPr>
        <w:t xml:space="preserve">Hofius, D., Schultz-Larsen, T., Joensen, J., Tsitsigiannis, D.I., Petersen, N.H.T., Mattsson, O., Jørgensen, L.B., Jones, J.D.G., Mundy, J. and Petersen, M. (2009). Autophagic Components Contribute to Hypersensitive Cell Death in </w:t>
      </w:r>
      <w:r w:rsidRPr="00300841">
        <w:rPr>
          <w:i/>
          <w:szCs w:val="24"/>
        </w:rPr>
        <w:t>Arabidopsis.</w:t>
      </w:r>
      <w:r w:rsidRPr="00300841">
        <w:rPr>
          <w:szCs w:val="24"/>
        </w:rPr>
        <w:t xml:space="preserve"> </w:t>
      </w:r>
      <w:r w:rsidRPr="00300841">
        <w:rPr>
          <w:i/>
          <w:szCs w:val="24"/>
        </w:rPr>
        <w:t>Cell</w:t>
      </w:r>
      <w:r w:rsidRPr="00300841">
        <w:rPr>
          <w:szCs w:val="24"/>
        </w:rPr>
        <w:t xml:space="preserve">  </w:t>
      </w:r>
      <w:r w:rsidRPr="00300841">
        <w:rPr>
          <w:b/>
          <w:szCs w:val="24"/>
        </w:rPr>
        <w:t>137</w:t>
      </w:r>
      <w:r w:rsidRPr="00300841">
        <w:rPr>
          <w:szCs w:val="24"/>
        </w:rPr>
        <w:t>, 773-783.</w:t>
      </w:r>
    </w:p>
    <w:p w:rsidR="00300841" w:rsidRPr="00300841" w:rsidRDefault="00300841" w:rsidP="00300841">
      <w:pPr>
        <w:spacing w:after="0" w:line="240" w:lineRule="auto"/>
        <w:ind w:left="720" w:hanging="720"/>
        <w:rPr>
          <w:szCs w:val="24"/>
        </w:rPr>
      </w:pPr>
      <w:r w:rsidRPr="00300841">
        <w:rPr>
          <w:szCs w:val="24"/>
        </w:rPr>
        <w:t xml:space="preserve">Hogg, B.V., Kacprzyk, J., Molony E.M., O’Reilly, C., Gallagher, T.F., Gallois, P. and McCabe, P.F. (submitted). An in vivo root hair assay for determining rates of apoptotic-like programmed cell death in plants. </w:t>
      </w:r>
      <w:r w:rsidRPr="00300841">
        <w:rPr>
          <w:i/>
          <w:szCs w:val="24"/>
        </w:rPr>
        <w:t>Plant Methods</w:t>
      </w:r>
      <w:r w:rsidRPr="00300841">
        <w:rPr>
          <w:szCs w:val="24"/>
        </w:rPr>
        <w:t xml:space="preserve"> </w:t>
      </w:r>
    </w:p>
    <w:p w:rsidR="00300841" w:rsidRPr="00300841" w:rsidRDefault="00300841" w:rsidP="00300841">
      <w:pPr>
        <w:spacing w:after="0" w:line="240" w:lineRule="auto"/>
        <w:ind w:left="720" w:hanging="720"/>
        <w:rPr>
          <w:szCs w:val="24"/>
        </w:rPr>
      </w:pPr>
      <w:r w:rsidRPr="00300841">
        <w:rPr>
          <w:szCs w:val="24"/>
        </w:rPr>
        <w:t xml:space="preserve">Hua, J., Grisafi, P., Cheng, S.-H. and Fink, G.R. (2001). Plant growth homeostasis is controlled by the </w:t>
      </w:r>
      <w:r w:rsidRPr="00300841">
        <w:rPr>
          <w:i/>
          <w:szCs w:val="24"/>
        </w:rPr>
        <w:t>Arabidopsis</w:t>
      </w:r>
      <w:r w:rsidRPr="00300841">
        <w:rPr>
          <w:szCs w:val="24"/>
        </w:rPr>
        <w:t xml:space="preserve"> BON1 and BAP1 genes</w:t>
      </w:r>
      <w:r w:rsidRPr="00300841">
        <w:rPr>
          <w:i/>
          <w:szCs w:val="24"/>
        </w:rPr>
        <w:t>.</w:t>
      </w:r>
      <w:r w:rsidRPr="00300841">
        <w:rPr>
          <w:szCs w:val="24"/>
        </w:rPr>
        <w:t xml:space="preserve"> </w:t>
      </w:r>
      <w:r w:rsidRPr="00300841">
        <w:rPr>
          <w:i/>
          <w:szCs w:val="24"/>
        </w:rPr>
        <w:t>Genes &amp; Development</w:t>
      </w:r>
      <w:r w:rsidRPr="00300841">
        <w:rPr>
          <w:szCs w:val="24"/>
        </w:rPr>
        <w:t xml:space="preserve">  </w:t>
      </w:r>
      <w:r w:rsidRPr="00300841">
        <w:rPr>
          <w:b/>
          <w:szCs w:val="24"/>
        </w:rPr>
        <w:t>15</w:t>
      </w:r>
      <w:r w:rsidRPr="00300841">
        <w:rPr>
          <w:szCs w:val="24"/>
        </w:rPr>
        <w:t>, 2263-2272.</w:t>
      </w:r>
    </w:p>
    <w:p w:rsidR="00300841" w:rsidRPr="00300841" w:rsidRDefault="00300841" w:rsidP="00300841">
      <w:pPr>
        <w:spacing w:after="0" w:line="240" w:lineRule="auto"/>
        <w:ind w:left="720" w:hanging="720"/>
        <w:rPr>
          <w:szCs w:val="24"/>
        </w:rPr>
      </w:pPr>
      <w:r w:rsidRPr="00300841">
        <w:rPr>
          <w:szCs w:val="24"/>
        </w:rPr>
        <w:t>Hückelhoven, R. (2004). BAX Inhibitor-1, an ancient cell death suppressor in animals and plants with prokaryotic relatives</w:t>
      </w:r>
      <w:r w:rsidRPr="00300841">
        <w:rPr>
          <w:i/>
          <w:szCs w:val="24"/>
        </w:rPr>
        <w:t>.</w:t>
      </w:r>
      <w:r w:rsidRPr="00300841">
        <w:rPr>
          <w:szCs w:val="24"/>
        </w:rPr>
        <w:t xml:space="preserve"> </w:t>
      </w:r>
      <w:r w:rsidRPr="00300841">
        <w:rPr>
          <w:i/>
          <w:szCs w:val="24"/>
        </w:rPr>
        <w:t>Apoptosis</w:t>
      </w:r>
      <w:r w:rsidRPr="00300841">
        <w:rPr>
          <w:szCs w:val="24"/>
        </w:rPr>
        <w:t xml:space="preserve">  </w:t>
      </w:r>
      <w:r w:rsidRPr="00300841">
        <w:rPr>
          <w:b/>
          <w:szCs w:val="24"/>
        </w:rPr>
        <w:t>9</w:t>
      </w:r>
      <w:r w:rsidRPr="00300841">
        <w:rPr>
          <w:szCs w:val="24"/>
        </w:rPr>
        <w:t>, 299-307.</w:t>
      </w:r>
    </w:p>
    <w:p w:rsidR="00300841" w:rsidRPr="00300841" w:rsidRDefault="00300841" w:rsidP="00300841">
      <w:pPr>
        <w:spacing w:after="0" w:line="240" w:lineRule="auto"/>
        <w:ind w:left="720" w:hanging="720"/>
        <w:rPr>
          <w:szCs w:val="24"/>
        </w:rPr>
      </w:pPr>
      <w:r w:rsidRPr="00300841">
        <w:rPr>
          <w:szCs w:val="24"/>
        </w:rPr>
        <w:t>Huh, G.-H., Damsz, B., Matsumoto, T.K., Reddy, M.P., Rus, A.M., Ibeas, J.I., Narasimhan, M.L., Bressan, R.A. and Hasegawa, P.M. (2002). Salt causes ion disequilibrium-induced programmed cell death in yeast and plants</w:t>
      </w:r>
      <w:r w:rsidRPr="00300841">
        <w:rPr>
          <w:i/>
          <w:szCs w:val="24"/>
        </w:rPr>
        <w:t>.</w:t>
      </w:r>
      <w:r w:rsidRPr="00300841">
        <w:rPr>
          <w:szCs w:val="24"/>
        </w:rPr>
        <w:t xml:space="preserve"> </w:t>
      </w:r>
      <w:r w:rsidRPr="00300841">
        <w:rPr>
          <w:i/>
          <w:szCs w:val="24"/>
        </w:rPr>
        <w:t>The Plant Journal</w:t>
      </w:r>
      <w:r w:rsidRPr="00300841">
        <w:rPr>
          <w:szCs w:val="24"/>
        </w:rPr>
        <w:t xml:space="preserve">  </w:t>
      </w:r>
      <w:r w:rsidRPr="00300841">
        <w:rPr>
          <w:b/>
          <w:szCs w:val="24"/>
        </w:rPr>
        <w:t>29</w:t>
      </w:r>
      <w:r w:rsidRPr="00300841">
        <w:rPr>
          <w:szCs w:val="24"/>
        </w:rPr>
        <w:t>, 649-659.</w:t>
      </w:r>
    </w:p>
    <w:p w:rsidR="00300841" w:rsidRPr="00300841" w:rsidRDefault="00300841" w:rsidP="00300841">
      <w:pPr>
        <w:spacing w:after="0" w:line="240" w:lineRule="auto"/>
        <w:ind w:left="720" w:hanging="720"/>
        <w:rPr>
          <w:szCs w:val="24"/>
        </w:rPr>
      </w:pPr>
      <w:r w:rsidRPr="00300841">
        <w:rPr>
          <w:szCs w:val="24"/>
        </w:rPr>
        <w:t xml:space="preserve">Iakimova, E.T. and Woltering, E.J. (2009). Modulation of programmed cell death in a model system of xylogenic </w:t>
      </w:r>
      <w:r w:rsidRPr="00300841">
        <w:rPr>
          <w:i/>
          <w:szCs w:val="24"/>
        </w:rPr>
        <w:t>Zinnia</w:t>
      </w:r>
      <w:r w:rsidRPr="00300841">
        <w:rPr>
          <w:szCs w:val="24"/>
        </w:rPr>
        <w:t xml:space="preserve"> (</w:t>
      </w:r>
      <w:r w:rsidRPr="00300841">
        <w:rPr>
          <w:i/>
          <w:szCs w:val="24"/>
        </w:rPr>
        <w:t>Zinnia elegans</w:t>
      </w:r>
      <w:r w:rsidRPr="00300841">
        <w:rPr>
          <w:szCs w:val="24"/>
        </w:rPr>
        <w:t>) cell culture</w:t>
      </w:r>
      <w:r w:rsidRPr="00300841">
        <w:rPr>
          <w:i/>
          <w:szCs w:val="24"/>
        </w:rPr>
        <w:t>.</w:t>
      </w:r>
      <w:r w:rsidRPr="00300841">
        <w:rPr>
          <w:szCs w:val="24"/>
        </w:rPr>
        <w:t xml:space="preserve"> </w:t>
      </w:r>
      <w:r w:rsidRPr="00300841">
        <w:rPr>
          <w:i/>
          <w:szCs w:val="24"/>
        </w:rPr>
        <w:t xml:space="preserve">Biotechnology &amp; Biotechnological Equipment </w:t>
      </w:r>
      <w:r w:rsidRPr="00300841">
        <w:rPr>
          <w:b/>
          <w:szCs w:val="24"/>
        </w:rPr>
        <w:t>23</w:t>
      </w:r>
      <w:r w:rsidRPr="00300841">
        <w:rPr>
          <w:szCs w:val="24"/>
        </w:rPr>
        <w:t>, 542-546.</w:t>
      </w:r>
    </w:p>
    <w:p w:rsidR="00300841" w:rsidRPr="00300841" w:rsidRDefault="00300841" w:rsidP="00300841">
      <w:pPr>
        <w:spacing w:after="0" w:line="240" w:lineRule="auto"/>
        <w:ind w:left="720" w:hanging="720"/>
        <w:rPr>
          <w:szCs w:val="24"/>
        </w:rPr>
      </w:pPr>
      <w:r w:rsidRPr="00300841">
        <w:rPr>
          <w:szCs w:val="24"/>
        </w:rPr>
        <w:t xml:space="preserve">Ihara-Ohori, Y., Nagano, M., Muto, S., Uchimiya, H. and Kawai-Yamada, M. (2007). Cell Death Suppressor </w:t>
      </w:r>
      <w:r w:rsidRPr="00300841">
        <w:rPr>
          <w:i/>
          <w:szCs w:val="24"/>
        </w:rPr>
        <w:t>Arabidopsis</w:t>
      </w:r>
      <w:r w:rsidRPr="00300841">
        <w:rPr>
          <w:szCs w:val="24"/>
        </w:rPr>
        <w:t xml:space="preserve"> Bax Inhibitor-1 Is Associated with Calmodulin Binding and Ion Homeostasis</w:t>
      </w:r>
      <w:r w:rsidRPr="00300841">
        <w:rPr>
          <w:i/>
          <w:szCs w:val="24"/>
        </w:rPr>
        <w:t>.</w:t>
      </w:r>
      <w:r w:rsidRPr="00300841">
        <w:rPr>
          <w:szCs w:val="24"/>
        </w:rPr>
        <w:t xml:space="preserve"> </w:t>
      </w:r>
      <w:r w:rsidRPr="00300841">
        <w:rPr>
          <w:i/>
          <w:szCs w:val="24"/>
        </w:rPr>
        <w:t>Plant Physiology</w:t>
      </w:r>
      <w:r w:rsidRPr="00300841">
        <w:rPr>
          <w:szCs w:val="24"/>
        </w:rPr>
        <w:t xml:space="preserve">  </w:t>
      </w:r>
      <w:r w:rsidRPr="00300841">
        <w:rPr>
          <w:b/>
          <w:szCs w:val="24"/>
        </w:rPr>
        <w:t>143</w:t>
      </w:r>
      <w:r w:rsidRPr="00300841">
        <w:rPr>
          <w:szCs w:val="24"/>
        </w:rPr>
        <w:t>, 650-660.</w:t>
      </w:r>
    </w:p>
    <w:p w:rsidR="00300841" w:rsidRPr="00300841" w:rsidRDefault="00300841" w:rsidP="00300841">
      <w:pPr>
        <w:spacing w:after="0" w:line="240" w:lineRule="auto"/>
        <w:ind w:left="720" w:hanging="720"/>
        <w:rPr>
          <w:szCs w:val="24"/>
        </w:rPr>
      </w:pPr>
      <w:r w:rsidRPr="00300841">
        <w:rPr>
          <w:szCs w:val="24"/>
        </w:rPr>
        <w:t xml:space="preserve">Irene, S., Salvatore, P. and Adela, O. (2010). Programmed-cell-death hallmarks in incompatible pollen and papillar stigma cells of </w:t>
      </w:r>
      <w:r w:rsidRPr="00300841">
        <w:rPr>
          <w:i/>
          <w:szCs w:val="24"/>
        </w:rPr>
        <w:t xml:space="preserve">Olea europaea </w:t>
      </w:r>
      <w:r w:rsidRPr="00300841">
        <w:rPr>
          <w:szCs w:val="24"/>
        </w:rPr>
        <w:t>L. under free pollination</w:t>
      </w:r>
      <w:r w:rsidRPr="00300841">
        <w:rPr>
          <w:i/>
          <w:szCs w:val="24"/>
        </w:rPr>
        <w:t>.</w:t>
      </w:r>
      <w:r w:rsidRPr="00300841">
        <w:rPr>
          <w:szCs w:val="24"/>
        </w:rPr>
        <w:t xml:space="preserve"> </w:t>
      </w:r>
      <w:r w:rsidRPr="00300841">
        <w:rPr>
          <w:i/>
          <w:szCs w:val="24"/>
        </w:rPr>
        <w:t>Plant Cell Reports</w:t>
      </w:r>
      <w:r w:rsidRPr="00300841">
        <w:rPr>
          <w:szCs w:val="24"/>
        </w:rPr>
        <w:t xml:space="preserve">  </w:t>
      </w:r>
      <w:r w:rsidRPr="00300841">
        <w:rPr>
          <w:b/>
          <w:szCs w:val="24"/>
        </w:rPr>
        <w:t>29</w:t>
      </w:r>
      <w:r w:rsidRPr="00300841">
        <w:rPr>
          <w:szCs w:val="24"/>
        </w:rPr>
        <w:t>, 561-572.</w:t>
      </w:r>
    </w:p>
    <w:p w:rsidR="00300841" w:rsidRPr="00300841" w:rsidRDefault="00300841" w:rsidP="00300841">
      <w:pPr>
        <w:spacing w:after="0" w:line="240" w:lineRule="auto"/>
        <w:ind w:left="720" w:hanging="720"/>
        <w:rPr>
          <w:szCs w:val="24"/>
        </w:rPr>
      </w:pPr>
      <w:r w:rsidRPr="00300841">
        <w:rPr>
          <w:szCs w:val="24"/>
        </w:rPr>
        <w:t>Jackson, M.B., Fenning, T.M. and Jenkins, W. (1985). Aerenchyma (Gas-space) Formation in Adventitious Roots of Rice (</w:t>
      </w:r>
      <w:r w:rsidRPr="00300841">
        <w:rPr>
          <w:i/>
          <w:szCs w:val="24"/>
        </w:rPr>
        <w:t>Oryza sativa</w:t>
      </w:r>
      <w:r w:rsidRPr="00300841">
        <w:rPr>
          <w:szCs w:val="24"/>
        </w:rPr>
        <w:t xml:space="preserve"> L.) is not Controlled by Ethylene or Small Partial Pressures of Oxygen</w:t>
      </w:r>
      <w:r w:rsidRPr="00300841">
        <w:rPr>
          <w:i/>
          <w:szCs w:val="24"/>
        </w:rPr>
        <w:t>.</w:t>
      </w:r>
      <w:r w:rsidRPr="00300841">
        <w:rPr>
          <w:szCs w:val="24"/>
        </w:rPr>
        <w:t xml:space="preserve"> </w:t>
      </w:r>
      <w:r w:rsidRPr="00300841">
        <w:rPr>
          <w:i/>
          <w:szCs w:val="24"/>
        </w:rPr>
        <w:t>Journal of Experimental Botany</w:t>
      </w:r>
      <w:r w:rsidRPr="00300841">
        <w:rPr>
          <w:szCs w:val="24"/>
        </w:rPr>
        <w:t xml:space="preserve">  </w:t>
      </w:r>
      <w:r w:rsidRPr="00300841">
        <w:rPr>
          <w:b/>
          <w:szCs w:val="24"/>
        </w:rPr>
        <w:t>36</w:t>
      </w:r>
      <w:r w:rsidRPr="00300841">
        <w:rPr>
          <w:szCs w:val="24"/>
        </w:rPr>
        <w:t>, 1566-1572.</w:t>
      </w:r>
    </w:p>
    <w:p w:rsidR="00300841" w:rsidRPr="00300841" w:rsidRDefault="00300841" w:rsidP="00300841">
      <w:pPr>
        <w:spacing w:after="0" w:line="240" w:lineRule="auto"/>
        <w:ind w:left="720" w:hanging="720"/>
        <w:rPr>
          <w:szCs w:val="24"/>
        </w:rPr>
      </w:pPr>
      <w:r w:rsidRPr="00300841">
        <w:rPr>
          <w:szCs w:val="24"/>
        </w:rPr>
        <w:t xml:space="preserve">Jambunathan, N., Siani, J.M. and McNellis, T.W. (2001). A Humidity-Sensitive </w:t>
      </w:r>
      <w:r w:rsidRPr="00300841">
        <w:rPr>
          <w:i/>
          <w:szCs w:val="24"/>
        </w:rPr>
        <w:t>Arabidopsis</w:t>
      </w:r>
      <w:r w:rsidRPr="00300841">
        <w:rPr>
          <w:szCs w:val="24"/>
        </w:rPr>
        <w:t xml:space="preserve"> Copine Mutant Exhibits Precocious Cell Death and Increased Disease Resistance</w:t>
      </w:r>
      <w:r w:rsidRPr="00300841">
        <w:rPr>
          <w:i/>
          <w:szCs w:val="24"/>
        </w:rPr>
        <w:t>.</w:t>
      </w:r>
      <w:r w:rsidRPr="00300841">
        <w:rPr>
          <w:szCs w:val="24"/>
        </w:rPr>
        <w:t xml:space="preserve"> </w:t>
      </w:r>
      <w:r w:rsidRPr="00300841">
        <w:rPr>
          <w:i/>
          <w:szCs w:val="24"/>
        </w:rPr>
        <w:t>Plant Cell</w:t>
      </w:r>
      <w:r w:rsidRPr="00300841">
        <w:rPr>
          <w:szCs w:val="24"/>
        </w:rPr>
        <w:t xml:space="preserve">  </w:t>
      </w:r>
      <w:r w:rsidRPr="00300841">
        <w:rPr>
          <w:b/>
          <w:szCs w:val="24"/>
        </w:rPr>
        <w:t>13</w:t>
      </w:r>
      <w:r w:rsidRPr="00300841">
        <w:rPr>
          <w:szCs w:val="24"/>
        </w:rPr>
        <w:t>, 2225-2240.</w:t>
      </w:r>
    </w:p>
    <w:p w:rsidR="00300841" w:rsidRPr="00300841" w:rsidRDefault="00300841" w:rsidP="00300841">
      <w:pPr>
        <w:spacing w:after="0" w:line="240" w:lineRule="auto"/>
        <w:ind w:left="720" w:hanging="720"/>
        <w:rPr>
          <w:szCs w:val="24"/>
        </w:rPr>
      </w:pPr>
      <w:r w:rsidRPr="00300841">
        <w:rPr>
          <w:szCs w:val="24"/>
        </w:rPr>
        <w:t>Jansen, M.A.K., Gaba, V. and Greenberg, B.M. (1998). Higher plants and UV-B radiation: balancing damage, repair and acclimation</w:t>
      </w:r>
      <w:r w:rsidRPr="00300841">
        <w:rPr>
          <w:i/>
          <w:szCs w:val="24"/>
        </w:rPr>
        <w:t>.</w:t>
      </w:r>
      <w:r w:rsidRPr="00300841">
        <w:rPr>
          <w:szCs w:val="24"/>
        </w:rPr>
        <w:t xml:space="preserve"> </w:t>
      </w:r>
      <w:r w:rsidRPr="00300841">
        <w:rPr>
          <w:i/>
          <w:szCs w:val="24"/>
        </w:rPr>
        <w:t>Trends in Plant Science</w:t>
      </w:r>
      <w:r w:rsidRPr="00300841">
        <w:rPr>
          <w:szCs w:val="24"/>
        </w:rPr>
        <w:t xml:space="preserve">  </w:t>
      </w:r>
      <w:r w:rsidRPr="00300841">
        <w:rPr>
          <w:b/>
          <w:szCs w:val="24"/>
        </w:rPr>
        <w:t>3</w:t>
      </w:r>
      <w:r w:rsidRPr="00300841">
        <w:rPr>
          <w:szCs w:val="24"/>
        </w:rPr>
        <w:t>, 131-135.</w:t>
      </w:r>
    </w:p>
    <w:p w:rsidR="00300841" w:rsidRPr="00300841" w:rsidRDefault="00300841" w:rsidP="00300841">
      <w:pPr>
        <w:spacing w:after="0" w:line="240" w:lineRule="auto"/>
        <w:ind w:left="720" w:hanging="720"/>
        <w:rPr>
          <w:szCs w:val="24"/>
        </w:rPr>
      </w:pPr>
      <w:r w:rsidRPr="00300841">
        <w:rPr>
          <w:szCs w:val="24"/>
        </w:rPr>
        <w:t>Jelitto-Van Dooren, E.P.W.M., Vidal, S. and Denecke, J. (1999). Anticipating Endoplasmic Reticulum Stress: A Novel Early Response before Pathogenesis-Related Gene Induction</w:t>
      </w:r>
      <w:r w:rsidRPr="00300841">
        <w:rPr>
          <w:i/>
          <w:szCs w:val="24"/>
        </w:rPr>
        <w:t>.</w:t>
      </w:r>
      <w:r w:rsidRPr="00300841">
        <w:rPr>
          <w:szCs w:val="24"/>
        </w:rPr>
        <w:t xml:space="preserve"> </w:t>
      </w:r>
      <w:r w:rsidRPr="00300841">
        <w:rPr>
          <w:i/>
          <w:szCs w:val="24"/>
        </w:rPr>
        <w:t>Plant Cell</w:t>
      </w:r>
      <w:r w:rsidRPr="00300841">
        <w:rPr>
          <w:szCs w:val="24"/>
        </w:rPr>
        <w:t xml:space="preserve">  </w:t>
      </w:r>
      <w:r w:rsidRPr="00300841">
        <w:rPr>
          <w:b/>
          <w:szCs w:val="24"/>
        </w:rPr>
        <w:t>11</w:t>
      </w:r>
      <w:r w:rsidRPr="00300841">
        <w:rPr>
          <w:szCs w:val="24"/>
        </w:rPr>
        <w:t>, 1935-1944.</w:t>
      </w:r>
    </w:p>
    <w:p w:rsidR="00300841" w:rsidRPr="00300841" w:rsidRDefault="00300841" w:rsidP="00300841">
      <w:pPr>
        <w:spacing w:after="0" w:line="240" w:lineRule="auto"/>
        <w:ind w:left="720" w:hanging="720"/>
        <w:rPr>
          <w:szCs w:val="24"/>
        </w:rPr>
      </w:pPr>
      <w:r w:rsidRPr="00300841">
        <w:rPr>
          <w:szCs w:val="24"/>
        </w:rPr>
        <w:t xml:space="preserve">Jenkins, G. M. (2003). The emerging role for sphingolipids in the eukaryotic heat shock response. </w:t>
      </w:r>
      <w:r w:rsidRPr="00300841">
        <w:rPr>
          <w:i/>
          <w:szCs w:val="24"/>
        </w:rPr>
        <w:t>Cellular and Molecular Life Sciences</w:t>
      </w:r>
      <w:r w:rsidRPr="00300841">
        <w:rPr>
          <w:szCs w:val="24"/>
        </w:rPr>
        <w:t xml:space="preserve"> </w:t>
      </w:r>
      <w:r w:rsidRPr="00300841">
        <w:rPr>
          <w:b/>
          <w:szCs w:val="24"/>
        </w:rPr>
        <w:t>60</w:t>
      </w:r>
      <w:r w:rsidRPr="00300841">
        <w:rPr>
          <w:szCs w:val="24"/>
        </w:rPr>
        <w:t>, 701-710.</w:t>
      </w:r>
    </w:p>
    <w:p w:rsidR="00300841" w:rsidRPr="00300841" w:rsidRDefault="00300841" w:rsidP="00300841">
      <w:pPr>
        <w:spacing w:after="0" w:line="240" w:lineRule="auto"/>
        <w:ind w:left="720" w:hanging="720"/>
        <w:rPr>
          <w:szCs w:val="24"/>
        </w:rPr>
      </w:pPr>
      <w:r w:rsidRPr="00300841">
        <w:rPr>
          <w:szCs w:val="24"/>
        </w:rPr>
        <w:t xml:space="preserve">Jenkins, M.E., Suzuki, T.C. and Mount, D.W. (1997). Evidence That Heat and Ultraviolet Radiation Activate a Common Stress-Response Program in Plants That Is Altered in the uvh6 Mutant of </w:t>
      </w:r>
      <w:r w:rsidRPr="00300841">
        <w:rPr>
          <w:i/>
          <w:szCs w:val="24"/>
        </w:rPr>
        <w:t>Arabidopsis thaliana.</w:t>
      </w:r>
      <w:r w:rsidRPr="00300841">
        <w:rPr>
          <w:szCs w:val="24"/>
        </w:rPr>
        <w:t xml:space="preserve"> </w:t>
      </w:r>
      <w:r w:rsidRPr="00300841">
        <w:rPr>
          <w:i/>
          <w:szCs w:val="24"/>
        </w:rPr>
        <w:t>Plant Physiology</w:t>
      </w:r>
      <w:r w:rsidRPr="00300841">
        <w:rPr>
          <w:szCs w:val="24"/>
        </w:rPr>
        <w:t xml:space="preserve">  </w:t>
      </w:r>
      <w:r w:rsidRPr="00300841">
        <w:rPr>
          <w:b/>
          <w:szCs w:val="24"/>
        </w:rPr>
        <w:t>115</w:t>
      </w:r>
      <w:r w:rsidRPr="00300841">
        <w:rPr>
          <w:szCs w:val="24"/>
        </w:rPr>
        <w:t>, 1351-1358.</w:t>
      </w:r>
    </w:p>
    <w:p w:rsidR="00300841" w:rsidRPr="00300841" w:rsidRDefault="00300841" w:rsidP="00300841">
      <w:pPr>
        <w:spacing w:after="0" w:line="240" w:lineRule="auto"/>
        <w:ind w:left="720" w:hanging="720"/>
        <w:rPr>
          <w:szCs w:val="24"/>
        </w:rPr>
      </w:pPr>
      <w:r w:rsidRPr="00300841">
        <w:rPr>
          <w:szCs w:val="24"/>
        </w:rPr>
        <w:t>Jensen, W. (1969). Cotton embryogenesis: pollen tube development in the nucellus</w:t>
      </w:r>
      <w:r w:rsidRPr="00300841">
        <w:rPr>
          <w:i/>
          <w:szCs w:val="24"/>
        </w:rPr>
        <w:t>.</w:t>
      </w:r>
      <w:r w:rsidRPr="00300841">
        <w:rPr>
          <w:szCs w:val="24"/>
        </w:rPr>
        <w:t xml:space="preserve"> </w:t>
      </w:r>
      <w:r w:rsidRPr="00300841">
        <w:rPr>
          <w:i/>
          <w:szCs w:val="24"/>
        </w:rPr>
        <w:t>Canadian Journal of Botany</w:t>
      </w:r>
      <w:r w:rsidRPr="00300841">
        <w:rPr>
          <w:szCs w:val="24"/>
        </w:rPr>
        <w:t xml:space="preserve">  </w:t>
      </w:r>
      <w:r w:rsidRPr="00300841">
        <w:rPr>
          <w:b/>
          <w:szCs w:val="24"/>
        </w:rPr>
        <w:t>47</w:t>
      </w:r>
      <w:r w:rsidRPr="00300841">
        <w:rPr>
          <w:szCs w:val="24"/>
        </w:rPr>
        <w:t>, 3.</w:t>
      </w:r>
    </w:p>
    <w:p w:rsidR="00300841" w:rsidRPr="00300841" w:rsidRDefault="00300841" w:rsidP="00300841">
      <w:pPr>
        <w:spacing w:after="0" w:line="240" w:lineRule="auto"/>
        <w:ind w:left="720" w:hanging="720"/>
        <w:rPr>
          <w:szCs w:val="24"/>
        </w:rPr>
      </w:pPr>
      <w:r w:rsidRPr="00300841">
        <w:rPr>
          <w:szCs w:val="24"/>
        </w:rPr>
        <w:t>Jia, Y., McAdams, S.A., Bryan, G.T., Hershey, H.P. and Valent, B. (2000). Direct interaction of resistance gene and avirulence gene products confers rice blast resistance</w:t>
      </w:r>
      <w:r w:rsidRPr="00300841">
        <w:rPr>
          <w:i/>
          <w:szCs w:val="24"/>
        </w:rPr>
        <w:t>.</w:t>
      </w:r>
      <w:r w:rsidRPr="00300841">
        <w:rPr>
          <w:szCs w:val="24"/>
        </w:rPr>
        <w:t xml:space="preserve"> </w:t>
      </w:r>
      <w:r w:rsidRPr="00300841">
        <w:rPr>
          <w:i/>
          <w:szCs w:val="24"/>
        </w:rPr>
        <w:t>The EMBO Journal</w:t>
      </w:r>
      <w:r w:rsidRPr="00300841">
        <w:rPr>
          <w:szCs w:val="24"/>
        </w:rPr>
        <w:t xml:space="preserve">  </w:t>
      </w:r>
      <w:r w:rsidRPr="00300841">
        <w:rPr>
          <w:b/>
          <w:szCs w:val="24"/>
        </w:rPr>
        <w:t>19</w:t>
      </w:r>
      <w:r w:rsidRPr="00300841">
        <w:rPr>
          <w:szCs w:val="24"/>
        </w:rPr>
        <w:t>, 4004-4014.</w:t>
      </w:r>
    </w:p>
    <w:p w:rsidR="00300841" w:rsidRPr="00300841" w:rsidRDefault="00300841" w:rsidP="00300841">
      <w:pPr>
        <w:spacing w:after="0" w:line="240" w:lineRule="auto"/>
        <w:ind w:left="720" w:hanging="720"/>
        <w:rPr>
          <w:szCs w:val="24"/>
        </w:rPr>
      </w:pPr>
      <w:r w:rsidRPr="00300841">
        <w:rPr>
          <w:szCs w:val="24"/>
        </w:rPr>
        <w:t xml:space="preserve">Jones, A. (2000). Does the plant mitochondrion integrate cellular stress and regulate programmed cell death? </w:t>
      </w:r>
      <w:r w:rsidRPr="00300841">
        <w:rPr>
          <w:i/>
          <w:szCs w:val="24"/>
        </w:rPr>
        <w:t>Trends in Plant Science</w:t>
      </w:r>
      <w:r w:rsidRPr="00300841">
        <w:rPr>
          <w:szCs w:val="24"/>
        </w:rPr>
        <w:t xml:space="preserve">  </w:t>
      </w:r>
      <w:r w:rsidRPr="00300841">
        <w:rPr>
          <w:b/>
          <w:szCs w:val="24"/>
        </w:rPr>
        <w:t>5</w:t>
      </w:r>
      <w:r w:rsidRPr="00300841">
        <w:rPr>
          <w:szCs w:val="24"/>
        </w:rPr>
        <w:t>, 225-230.</w:t>
      </w:r>
    </w:p>
    <w:p w:rsidR="00300841" w:rsidRPr="00300841" w:rsidRDefault="00300841" w:rsidP="00300841">
      <w:pPr>
        <w:spacing w:after="0" w:line="240" w:lineRule="auto"/>
        <w:ind w:left="720" w:hanging="720"/>
        <w:rPr>
          <w:szCs w:val="24"/>
        </w:rPr>
      </w:pPr>
      <w:r w:rsidRPr="00300841">
        <w:rPr>
          <w:szCs w:val="24"/>
        </w:rPr>
        <w:t>Jones, R.L. (1969). The fine structure of barley aleurone cells</w:t>
      </w:r>
      <w:r w:rsidRPr="00300841">
        <w:rPr>
          <w:i/>
          <w:szCs w:val="24"/>
        </w:rPr>
        <w:t>.</w:t>
      </w:r>
      <w:r w:rsidRPr="00300841">
        <w:rPr>
          <w:szCs w:val="24"/>
        </w:rPr>
        <w:t xml:space="preserve"> </w:t>
      </w:r>
      <w:r w:rsidRPr="00300841">
        <w:rPr>
          <w:i/>
          <w:szCs w:val="24"/>
        </w:rPr>
        <w:t>Planta</w:t>
      </w:r>
      <w:r w:rsidRPr="00300841">
        <w:rPr>
          <w:szCs w:val="24"/>
        </w:rPr>
        <w:t xml:space="preserve">  </w:t>
      </w:r>
      <w:r w:rsidRPr="00300841">
        <w:rPr>
          <w:b/>
          <w:szCs w:val="24"/>
        </w:rPr>
        <w:t>85</w:t>
      </w:r>
      <w:r w:rsidRPr="00300841">
        <w:rPr>
          <w:szCs w:val="24"/>
        </w:rPr>
        <w:t>, 359-375.</w:t>
      </w:r>
    </w:p>
    <w:p w:rsidR="00300841" w:rsidRPr="00300841" w:rsidRDefault="00300841" w:rsidP="00300841">
      <w:pPr>
        <w:spacing w:after="0" w:line="240" w:lineRule="auto"/>
        <w:ind w:left="720" w:hanging="720"/>
        <w:rPr>
          <w:szCs w:val="24"/>
        </w:rPr>
      </w:pPr>
      <w:r w:rsidRPr="00300841">
        <w:rPr>
          <w:szCs w:val="24"/>
        </w:rPr>
        <w:t xml:space="preserve">Jordan, N.D., Franklin, F.C.H. and Franklin-Tong, V.E. (2000). Evidence for DNA fragmentation triggered in the self-incompatibility response in pollen of </w:t>
      </w:r>
      <w:r w:rsidRPr="00300841">
        <w:rPr>
          <w:i/>
          <w:szCs w:val="24"/>
        </w:rPr>
        <w:t>Papaver rhoeas.</w:t>
      </w:r>
      <w:r w:rsidRPr="00300841">
        <w:rPr>
          <w:szCs w:val="24"/>
        </w:rPr>
        <w:t xml:space="preserve"> </w:t>
      </w:r>
      <w:r w:rsidRPr="00300841">
        <w:rPr>
          <w:i/>
          <w:szCs w:val="24"/>
        </w:rPr>
        <w:t>The Plant Journal</w:t>
      </w:r>
      <w:r w:rsidRPr="00300841">
        <w:rPr>
          <w:szCs w:val="24"/>
        </w:rPr>
        <w:t xml:space="preserve">  </w:t>
      </w:r>
      <w:r w:rsidRPr="00300841">
        <w:rPr>
          <w:b/>
          <w:szCs w:val="24"/>
        </w:rPr>
        <w:t>23</w:t>
      </w:r>
      <w:r w:rsidRPr="00300841">
        <w:rPr>
          <w:szCs w:val="24"/>
        </w:rPr>
        <w:t>, 471-479.</w:t>
      </w:r>
    </w:p>
    <w:p w:rsidR="00300841" w:rsidRPr="00300841" w:rsidRDefault="00300841" w:rsidP="00300841">
      <w:pPr>
        <w:spacing w:after="0" w:line="240" w:lineRule="auto"/>
        <w:ind w:left="720" w:hanging="720"/>
        <w:rPr>
          <w:szCs w:val="24"/>
        </w:rPr>
      </w:pPr>
      <w:r w:rsidRPr="00300841">
        <w:rPr>
          <w:szCs w:val="24"/>
        </w:rPr>
        <w:t xml:space="preserve">Jupp, A.P. and Newman, E.I. (1987). Morphological and Anatomical Effects of Severe Drought on the Roots of </w:t>
      </w:r>
      <w:r w:rsidRPr="00300841">
        <w:rPr>
          <w:i/>
          <w:szCs w:val="24"/>
        </w:rPr>
        <w:t>Lolium perenne</w:t>
      </w:r>
      <w:r w:rsidRPr="00300841">
        <w:rPr>
          <w:szCs w:val="24"/>
        </w:rPr>
        <w:t xml:space="preserve"> </w:t>
      </w:r>
      <w:r w:rsidRPr="00300841">
        <w:rPr>
          <w:i/>
          <w:szCs w:val="24"/>
        </w:rPr>
        <w:t>New Phytologist</w:t>
      </w:r>
      <w:r w:rsidRPr="00300841">
        <w:rPr>
          <w:szCs w:val="24"/>
        </w:rPr>
        <w:t xml:space="preserve">  </w:t>
      </w:r>
      <w:r w:rsidRPr="00300841">
        <w:rPr>
          <w:b/>
          <w:szCs w:val="24"/>
        </w:rPr>
        <w:t>105</w:t>
      </w:r>
      <w:r w:rsidRPr="00300841">
        <w:rPr>
          <w:szCs w:val="24"/>
        </w:rPr>
        <w:t>, 393-402.</w:t>
      </w:r>
    </w:p>
    <w:p w:rsidR="00300841" w:rsidRPr="00300841" w:rsidRDefault="00300841" w:rsidP="00300841">
      <w:pPr>
        <w:spacing w:after="0" w:line="240" w:lineRule="auto"/>
        <w:ind w:left="720" w:hanging="720"/>
        <w:rPr>
          <w:szCs w:val="24"/>
        </w:rPr>
      </w:pPr>
      <w:r w:rsidRPr="00300841">
        <w:rPr>
          <w:szCs w:val="24"/>
        </w:rPr>
        <w:t xml:space="preserve">Jurkowski, G.I., Smith, R.K., Yu, I.-c., Ham, J.H., Sharma, S.B., Klessig, D.F., Fengler, K.A. and Bent, A.F. (2004). </w:t>
      </w:r>
      <w:r w:rsidRPr="00300841">
        <w:rPr>
          <w:i/>
          <w:szCs w:val="24"/>
        </w:rPr>
        <w:t>Arabidopsis</w:t>
      </w:r>
      <w:r w:rsidRPr="00300841">
        <w:rPr>
          <w:szCs w:val="24"/>
        </w:rPr>
        <w:t xml:space="preserve"> DND2, a Second Cyclic Nucleotide-Gated Ion Channel Gene for Which Mutation Causes the 'Defense, No Death' Phenotype</w:t>
      </w:r>
      <w:r w:rsidRPr="00300841">
        <w:rPr>
          <w:i/>
          <w:szCs w:val="24"/>
        </w:rPr>
        <w:t>.</w:t>
      </w:r>
      <w:r w:rsidRPr="00300841">
        <w:rPr>
          <w:szCs w:val="24"/>
        </w:rPr>
        <w:t xml:space="preserve"> </w:t>
      </w:r>
      <w:r w:rsidRPr="00300841">
        <w:rPr>
          <w:i/>
          <w:szCs w:val="24"/>
        </w:rPr>
        <w:t>Molecular Plant-Microbe Interactions</w:t>
      </w:r>
      <w:r w:rsidRPr="00300841">
        <w:rPr>
          <w:szCs w:val="24"/>
        </w:rPr>
        <w:t xml:space="preserve">  </w:t>
      </w:r>
      <w:r w:rsidRPr="00300841">
        <w:rPr>
          <w:b/>
          <w:szCs w:val="24"/>
        </w:rPr>
        <w:t>17</w:t>
      </w:r>
      <w:r w:rsidRPr="00300841">
        <w:rPr>
          <w:szCs w:val="24"/>
        </w:rPr>
        <w:t>, 511-520.</w:t>
      </w:r>
    </w:p>
    <w:p w:rsidR="00300841" w:rsidRPr="00300841" w:rsidRDefault="00300841" w:rsidP="00300841">
      <w:pPr>
        <w:spacing w:after="0" w:line="240" w:lineRule="auto"/>
        <w:ind w:left="720" w:hanging="720"/>
        <w:rPr>
          <w:szCs w:val="24"/>
        </w:rPr>
      </w:pPr>
      <w:r w:rsidRPr="00300841">
        <w:rPr>
          <w:szCs w:val="24"/>
        </w:rPr>
        <w:t xml:space="preserve">Kakeda, K., Jordan, N.D., Conner, A., Ride, J.P., Franklin-Tong, V.E. and Franklin, F.C.H. (1998). Identification of Residues in a Hydrophilic Loop of the </w:t>
      </w:r>
      <w:r w:rsidRPr="00300841">
        <w:rPr>
          <w:i/>
          <w:szCs w:val="24"/>
        </w:rPr>
        <w:t>Papaver rhoeas</w:t>
      </w:r>
      <w:r w:rsidRPr="00300841">
        <w:rPr>
          <w:szCs w:val="24"/>
        </w:rPr>
        <w:t xml:space="preserve"> S Protein That Play a Crucial Role in Recognition of Incompatible Pollen</w:t>
      </w:r>
      <w:r w:rsidRPr="00300841">
        <w:rPr>
          <w:i/>
          <w:szCs w:val="24"/>
        </w:rPr>
        <w:t>.</w:t>
      </w:r>
      <w:r w:rsidRPr="00300841">
        <w:rPr>
          <w:szCs w:val="24"/>
        </w:rPr>
        <w:t xml:space="preserve"> </w:t>
      </w:r>
      <w:r w:rsidRPr="00300841">
        <w:rPr>
          <w:i/>
          <w:szCs w:val="24"/>
        </w:rPr>
        <w:t>Plant Cell</w:t>
      </w:r>
      <w:r w:rsidRPr="00300841">
        <w:rPr>
          <w:szCs w:val="24"/>
        </w:rPr>
        <w:t xml:space="preserve">  </w:t>
      </w:r>
      <w:r w:rsidRPr="00300841">
        <w:rPr>
          <w:b/>
          <w:szCs w:val="24"/>
        </w:rPr>
        <w:t>10</w:t>
      </w:r>
      <w:r w:rsidRPr="00300841">
        <w:rPr>
          <w:szCs w:val="24"/>
        </w:rPr>
        <w:t>, 1723-1732.</w:t>
      </w:r>
    </w:p>
    <w:p w:rsidR="00300841" w:rsidRPr="00300841" w:rsidRDefault="00300841" w:rsidP="00300841">
      <w:pPr>
        <w:spacing w:after="0" w:line="240" w:lineRule="auto"/>
        <w:ind w:left="720" w:hanging="720"/>
        <w:rPr>
          <w:szCs w:val="24"/>
        </w:rPr>
      </w:pPr>
      <w:r w:rsidRPr="00300841">
        <w:rPr>
          <w:szCs w:val="24"/>
        </w:rPr>
        <w:t xml:space="preserve">Kamauchi, S., Nakatani, H., Nakano, C. and Urade, R. (2005). Gene expression in response to endoplasmic reticulum stress in </w:t>
      </w:r>
      <w:r w:rsidRPr="00300841">
        <w:rPr>
          <w:i/>
          <w:szCs w:val="24"/>
        </w:rPr>
        <w:t>Arabidopsis thaliana.</w:t>
      </w:r>
      <w:r w:rsidRPr="00300841">
        <w:rPr>
          <w:szCs w:val="24"/>
        </w:rPr>
        <w:t xml:space="preserve"> </w:t>
      </w:r>
      <w:r w:rsidRPr="00300841">
        <w:rPr>
          <w:i/>
          <w:szCs w:val="24"/>
        </w:rPr>
        <w:t>FEBS Journal</w:t>
      </w:r>
      <w:r w:rsidRPr="00300841">
        <w:rPr>
          <w:szCs w:val="24"/>
        </w:rPr>
        <w:t xml:space="preserve">  </w:t>
      </w:r>
      <w:r w:rsidRPr="00300841">
        <w:rPr>
          <w:b/>
          <w:szCs w:val="24"/>
        </w:rPr>
        <w:t>272</w:t>
      </w:r>
      <w:r w:rsidRPr="00300841">
        <w:rPr>
          <w:szCs w:val="24"/>
        </w:rPr>
        <w:t>, 3461-3476.</w:t>
      </w:r>
    </w:p>
    <w:p w:rsidR="00300841" w:rsidRPr="00300841" w:rsidRDefault="00300841" w:rsidP="00300841">
      <w:pPr>
        <w:spacing w:after="0" w:line="240" w:lineRule="auto"/>
        <w:ind w:left="720" w:hanging="720"/>
        <w:rPr>
          <w:szCs w:val="24"/>
        </w:rPr>
      </w:pPr>
      <w:r w:rsidRPr="00300841">
        <w:rPr>
          <w:szCs w:val="24"/>
        </w:rPr>
        <w:t>Kang, C., You, Y.-j. and Avery, L. (2007). Dual roles of autophagy in the survival of</w:t>
      </w:r>
      <w:r w:rsidRPr="00300841">
        <w:rPr>
          <w:i/>
          <w:szCs w:val="24"/>
        </w:rPr>
        <w:t xml:space="preserve"> Caenorhabditis elegans </w:t>
      </w:r>
      <w:r w:rsidRPr="00300841">
        <w:rPr>
          <w:szCs w:val="24"/>
        </w:rPr>
        <w:t>during starvation</w:t>
      </w:r>
      <w:r w:rsidRPr="00300841">
        <w:rPr>
          <w:i/>
          <w:szCs w:val="24"/>
        </w:rPr>
        <w:t>.</w:t>
      </w:r>
      <w:r w:rsidRPr="00300841">
        <w:rPr>
          <w:szCs w:val="24"/>
        </w:rPr>
        <w:t xml:space="preserve"> </w:t>
      </w:r>
      <w:r w:rsidRPr="00300841">
        <w:rPr>
          <w:i/>
          <w:szCs w:val="24"/>
        </w:rPr>
        <w:t>Genes &amp; Development</w:t>
      </w:r>
      <w:r w:rsidRPr="00300841">
        <w:rPr>
          <w:szCs w:val="24"/>
        </w:rPr>
        <w:t xml:space="preserve">  </w:t>
      </w:r>
      <w:r w:rsidRPr="00300841">
        <w:rPr>
          <w:b/>
          <w:szCs w:val="24"/>
        </w:rPr>
        <w:t>21</w:t>
      </w:r>
      <w:r w:rsidRPr="00300841">
        <w:rPr>
          <w:szCs w:val="24"/>
        </w:rPr>
        <w:t>, 2161-2171.</w:t>
      </w:r>
    </w:p>
    <w:p w:rsidR="00300841" w:rsidRPr="00300841" w:rsidRDefault="00300841" w:rsidP="00300841">
      <w:pPr>
        <w:spacing w:after="0" w:line="240" w:lineRule="auto"/>
        <w:ind w:left="720" w:hanging="720"/>
        <w:rPr>
          <w:szCs w:val="24"/>
        </w:rPr>
      </w:pPr>
      <w:r w:rsidRPr="00300841">
        <w:rPr>
          <w:szCs w:val="24"/>
        </w:rPr>
        <w:t>Karabourniotis, G., Papadopoulos, K., Papamarkou, M. and Manetas, Y. (1992). Ultraviolet-B radiation absorbing capacity of leaf hairs</w:t>
      </w:r>
      <w:r w:rsidRPr="00300841">
        <w:rPr>
          <w:i/>
          <w:szCs w:val="24"/>
        </w:rPr>
        <w:t>.</w:t>
      </w:r>
      <w:r w:rsidRPr="00300841">
        <w:rPr>
          <w:szCs w:val="24"/>
        </w:rPr>
        <w:t xml:space="preserve"> </w:t>
      </w:r>
      <w:r w:rsidRPr="00300841">
        <w:rPr>
          <w:i/>
          <w:szCs w:val="24"/>
        </w:rPr>
        <w:t>Physiologia Plantarum</w:t>
      </w:r>
      <w:r w:rsidRPr="00300841">
        <w:rPr>
          <w:szCs w:val="24"/>
        </w:rPr>
        <w:t xml:space="preserve">  </w:t>
      </w:r>
      <w:r w:rsidRPr="00300841">
        <w:rPr>
          <w:b/>
          <w:szCs w:val="24"/>
        </w:rPr>
        <w:t>86</w:t>
      </w:r>
      <w:r w:rsidRPr="00300841">
        <w:rPr>
          <w:szCs w:val="24"/>
        </w:rPr>
        <w:t>, 414-418.</w:t>
      </w:r>
    </w:p>
    <w:p w:rsidR="00300841" w:rsidRPr="00300841" w:rsidRDefault="00300841" w:rsidP="00300841">
      <w:pPr>
        <w:spacing w:after="0" w:line="240" w:lineRule="auto"/>
        <w:ind w:left="720" w:hanging="720"/>
        <w:rPr>
          <w:szCs w:val="24"/>
        </w:rPr>
      </w:pPr>
      <w:r w:rsidRPr="00300841">
        <w:rPr>
          <w:szCs w:val="24"/>
        </w:rPr>
        <w:t>Katayose, Y., Kim, M., Rakkar, A.N.S., Li, Z., Cowan, K.H. and Seth, P. (1997). Promoting Apoptosis: A Novel Activity Associated with the Cyclin-dependent Kinase Inhibitor p27</w:t>
      </w:r>
      <w:r w:rsidRPr="00300841">
        <w:rPr>
          <w:i/>
          <w:szCs w:val="24"/>
        </w:rPr>
        <w:t>.</w:t>
      </w:r>
      <w:r w:rsidRPr="00300841">
        <w:rPr>
          <w:szCs w:val="24"/>
        </w:rPr>
        <w:t xml:space="preserve"> </w:t>
      </w:r>
      <w:r w:rsidRPr="00300841">
        <w:rPr>
          <w:i/>
          <w:szCs w:val="24"/>
        </w:rPr>
        <w:t>Cancer Research</w:t>
      </w:r>
      <w:r w:rsidRPr="00300841">
        <w:rPr>
          <w:szCs w:val="24"/>
        </w:rPr>
        <w:t xml:space="preserve">  </w:t>
      </w:r>
      <w:r w:rsidRPr="00300841">
        <w:rPr>
          <w:b/>
          <w:szCs w:val="24"/>
        </w:rPr>
        <w:t>57</w:t>
      </w:r>
      <w:r w:rsidRPr="00300841">
        <w:rPr>
          <w:szCs w:val="24"/>
        </w:rPr>
        <w:t>, 5441-5445.</w:t>
      </w:r>
    </w:p>
    <w:p w:rsidR="00300841" w:rsidRPr="00300841" w:rsidRDefault="00300841" w:rsidP="00300841">
      <w:pPr>
        <w:spacing w:after="0" w:line="240" w:lineRule="auto"/>
        <w:ind w:left="720" w:hanging="720"/>
        <w:rPr>
          <w:szCs w:val="24"/>
        </w:rPr>
      </w:pPr>
      <w:r w:rsidRPr="00300841">
        <w:rPr>
          <w:szCs w:val="24"/>
        </w:rPr>
        <w:t>Katiyar-Agarwal, S., Morgan, R., Dahlbeck, D., Borsani, O., Villegas, A., Zhu, J.-K., Staskawicz, B.J. and Jin, H. (2006). A pathogen-inducible endogenous siRNA in plant immunity</w:t>
      </w:r>
      <w:r w:rsidRPr="00300841">
        <w:rPr>
          <w:i/>
          <w:szCs w:val="24"/>
        </w:rPr>
        <w:t>.</w:t>
      </w:r>
      <w:r w:rsidRPr="00300841">
        <w:rPr>
          <w:szCs w:val="24"/>
        </w:rPr>
        <w:t xml:space="preserve"> </w:t>
      </w:r>
      <w:r w:rsidRPr="00300841">
        <w:rPr>
          <w:i/>
          <w:szCs w:val="24"/>
        </w:rPr>
        <w:t>Proceedings of the National Academy of Sciences</w:t>
      </w:r>
      <w:r w:rsidRPr="00300841">
        <w:rPr>
          <w:szCs w:val="24"/>
        </w:rPr>
        <w:t xml:space="preserve">  </w:t>
      </w:r>
      <w:r w:rsidRPr="00300841">
        <w:rPr>
          <w:b/>
          <w:szCs w:val="24"/>
        </w:rPr>
        <w:t>103</w:t>
      </w:r>
      <w:r w:rsidRPr="00300841">
        <w:rPr>
          <w:szCs w:val="24"/>
        </w:rPr>
        <w:t>, 18002-18007.</w:t>
      </w:r>
    </w:p>
    <w:p w:rsidR="00300841" w:rsidRPr="00300841" w:rsidRDefault="00300841" w:rsidP="00300841">
      <w:pPr>
        <w:spacing w:after="0" w:line="240" w:lineRule="auto"/>
        <w:ind w:left="720" w:hanging="720"/>
        <w:rPr>
          <w:szCs w:val="24"/>
        </w:rPr>
      </w:pPr>
      <w:r w:rsidRPr="00300841">
        <w:rPr>
          <w:szCs w:val="24"/>
        </w:rPr>
        <w:t>Katsuhara, M. and Kawasaki, T. (1996). Salt Stress Induced Nuclear and DNA Degradation in Meristematic Cells of Barley Roots</w:t>
      </w:r>
      <w:r w:rsidRPr="00300841">
        <w:rPr>
          <w:i/>
          <w:szCs w:val="24"/>
        </w:rPr>
        <w:t>.</w:t>
      </w:r>
      <w:r w:rsidRPr="00300841">
        <w:rPr>
          <w:szCs w:val="24"/>
        </w:rPr>
        <w:t xml:space="preserve"> </w:t>
      </w:r>
      <w:r w:rsidRPr="00300841">
        <w:rPr>
          <w:i/>
          <w:szCs w:val="24"/>
        </w:rPr>
        <w:t>Plant Cell Physiology</w:t>
      </w:r>
      <w:r w:rsidRPr="00300841">
        <w:rPr>
          <w:szCs w:val="24"/>
        </w:rPr>
        <w:t xml:space="preserve">  </w:t>
      </w:r>
      <w:r w:rsidRPr="00300841">
        <w:rPr>
          <w:b/>
          <w:szCs w:val="24"/>
        </w:rPr>
        <w:t>37</w:t>
      </w:r>
      <w:r w:rsidRPr="00300841">
        <w:rPr>
          <w:szCs w:val="24"/>
        </w:rPr>
        <w:t>, 169-173.</w:t>
      </w:r>
    </w:p>
    <w:p w:rsidR="00300841" w:rsidRPr="00300841" w:rsidRDefault="00300841" w:rsidP="00300841">
      <w:pPr>
        <w:spacing w:after="0" w:line="240" w:lineRule="auto"/>
        <w:ind w:left="720" w:hanging="720"/>
        <w:rPr>
          <w:szCs w:val="24"/>
        </w:rPr>
      </w:pPr>
      <w:r w:rsidRPr="00300841">
        <w:rPr>
          <w:szCs w:val="24"/>
        </w:rPr>
        <w:t>Kawai, M., Samarajeewa, P.K., Barrero, R.A., Nishiguchi, M. and Uchimiya, H. (1998). Cellular dissection of the degradation pattern of cortical cell death during aerenchyma formation of rice roots</w:t>
      </w:r>
      <w:r w:rsidRPr="00300841">
        <w:rPr>
          <w:i/>
          <w:szCs w:val="24"/>
        </w:rPr>
        <w:t>.</w:t>
      </w:r>
      <w:r w:rsidRPr="00300841">
        <w:rPr>
          <w:szCs w:val="24"/>
        </w:rPr>
        <w:t xml:space="preserve"> </w:t>
      </w:r>
      <w:r w:rsidRPr="00300841">
        <w:rPr>
          <w:i/>
          <w:szCs w:val="24"/>
        </w:rPr>
        <w:t>Planta</w:t>
      </w:r>
      <w:r w:rsidRPr="00300841">
        <w:rPr>
          <w:szCs w:val="24"/>
        </w:rPr>
        <w:t xml:space="preserve">  </w:t>
      </w:r>
      <w:r w:rsidRPr="00300841">
        <w:rPr>
          <w:b/>
          <w:szCs w:val="24"/>
        </w:rPr>
        <w:t>204</w:t>
      </w:r>
      <w:r w:rsidRPr="00300841">
        <w:rPr>
          <w:szCs w:val="24"/>
        </w:rPr>
        <w:t>, 277-287.</w:t>
      </w:r>
    </w:p>
    <w:p w:rsidR="00300841" w:rsidRPr="00300841" w:rsidRDefault="00300841" w:rsidP="00300841">
      <w:pPr>
        <w:spacing w:after="0" w:line="240" w:lineRule="auto"/>
        <w:ind w:left="720" w:hanging="720"/>
        <w:rPr>
          <w:szCs w:val="24"/>
        </w:rPr>
      </w:pPr>
      <w:r w:rsidRPr="00300841">
        <w:rPr>
          <w:szCs w:val="24"/>
        </w:rPr>
        <w:t>Kawai, M. and Uchimiya, H. (2000). Coleoptile Senescence in Rice (</w:t>
      </w:r>
      <w:r w:rsidRPr="00300841">
        <w:rPr>
          <w:i/>
          <w:szCs w:val="24"/>
        </w:rPr>
        <w:t>Oryza sativa</w:t>
      </w:r>
      <w:r w:rsidRPr="00300841">
        <w:rPr>
          <w:szCs w:val="24"/>
        </w:rPr>
        <w:t xml:space="preserve"> L.)</w:t>
      </w:r>
      <w:r w:rsidRPr="00300841">
        <w:rPr>
          <w:i/>
          <w:szCs w:val="24"/>
        </w:rPr>
        <w:t>.</w:t>
      </w:r>
      <w:r w:rsidRPr="00300841">
        <w:rPr>
          <w:szCs w:val="24"/>
        </w:rPr>
        <w:t xml:space="preserve"> </w:t>
      </w:r>
      <w:r w:rsidRPr="00300841">
        <w:rPr>
          <w:i/>
          <w:szCs w:val="24"/>
        </w:rPr>
        <w:t>Annals of Botany</w:t>
      </w:r>
      <w:r w:rsidRPr="00300841">
        <w:rPr>
          <w:szCs w:val="24"/>
        </w:rPr>
        <w:t xml:space="preserve">  </w:t>
      </w:r>
      <w:r w:rsidRPr="00300841">
        <w:rPr>
          <w:b/>
          <w:szCs w:val="24"/>
        </w:rPr>
        <w:t>86</w:t>
      </w:r>
      <w:r w:rsidRPr="00300841">
        <w:rPr>
          <w:szCs w:val="24"/>
        </w:rPr>
        <w:t>, 405-414.</w:t>
      </w:r>
    </w:p>
    <w:p w:rsidR="00300841" w:rsidRPr="00300841" w:rsidRDefault="00300841" w:rsidP="00300841">
      <w:pPr>
        <w:spacing w:after="0" w:line="240" w:lineRule="auto"/>
        <w:ind w:left="720" w:hanging="720"/>
        <w:rPr>
          <w:szCs w:val="24"/>
        </w:rPr>
      </w:pPr>
      <w:r w:rsidRPr="00300841">
        <w:rPr>
          <w:szCs w:val="24"/>
        </w:rPr>
        <w:t>Kawase, M. (1981). Effect of Ethylene on Aerenchyma Development</w:t>
      </w:r>
      <w:r w:rsidRPr="00300841">
        <w:rPr>
          <w:i/>
          <w:szCs w:val="24"/>
        </w:rPr>
        <w:t>.</w:t>
      </w:r>
      <w:r w:rsidRPr="00300841">
        <w:rPr>
          <w:szCs w:val="24"/>
        </w:rPr>
        <w:t xml:space="preserve"> </w:t>
      </w:r>
      <w:r w:rsidRPr="00300841">
        <w:rPr>
          <w:i/>
          <w:szCs w:val="24"/>
        </w:rPr>
        <w:t>American Journal of Botany</w:t>
      </w:r>
      <w:r w:rsidRPr="00300841">
        <w:rPr>
          <w:szCs w:val="24"/>
        </w:rPr>
        <w:t xml:space="preserve">  </w:t>
      </w:r>
      <w:r w:rsidRPr="00300841">
        <w:rPr>
          <w:b/>
          <w:szCs w:val="24"/>
        </w:rPr>
        <w:t>68</w:t>
      </w:r>
      <w:r w:rsidRPr="00300841">
        <w:rPr>
          <w:szCs w:val="24"/>
        </w:rPr>
        <w:t>, 651-658.</w:t>
      </w:r>
    </w:p>
    <w:p w:rsidR="00300841" w:rsidRPr="00300841" w:rsidRDefault="00300841" w:rsidP="00300841">
      <w:pPr>
        <w:spacing w:after="0" w:line="240" w:lineRule="auto"/>
        <w:ind w:left="720" w:hanging="720"/>
        <w:rPr>
          <w:szCs w:val="24"/>
        </w:rPr>
      </w:pPr>
      <w:r w:rsidRPr="00300841">
        <w:rPr>
          <w:szCs w:val="24"/>
        </w:rPr>
        <w:t>Kawase, M. and Whitmoyer, R.E. (1980). Aerenchyma Development in Waterlogged Plants</w:t>
      </w:r>
      <w:r w:rsidRPr="00300841">
        <w:rPr>
          <w:i/>
          <w:szCs w:val="24"/>
        </w:rPr>
        <w:t>.</w:t>
      </w:r>
      <w:r w:rsidRPr="00300841">
        <w:rPr>
          <w:szCs w:val="24"/>
        </w:rPr>
        <w:t xml:space="preserve"> </w:t>
      </w:r>
      <w:r w:rsidRPr="00300841">
        <w:rPr>
          <w:i/>
          <w:szCs w:val="24"/>
        </w:rPr>
        <w:t>American Journal of Botany</w:t>
      </w:r>
      <w:r w:rsidRPr="00300841">
        <w:rPr>
          <w:szCs w:val="24"/>
        </w:rPr>
        <w:t xml:space="preserve">  </w:t>
      </w:r>
      <w:r w:rsidRPr="00300841">
        <w:rPr>
          <w:b/>
          <w:szCs w:val="24"/>
        </w:rPr>
        <w:t>67</w:t>
      </w:r>
      <w:r w:rsidRPr="00300841">
        <w:rPr>
          <w:szCs w:val="24"/>
        </w:rPr>
        <w:t>, 18-22.</w:t>
      </w:r>
    </w:p>
    <w:p w:rsidR="00300841" w:rsidRPr="00300841" w:rsidRDefault="00300841" w:rsidP="00300841">
      <w:pPr>
        <w:spacing w:after="0" w:line="240" w:lineRule="auto"/>
        <w:ind w:left="720" w:hanging="720"/>
        <w:rPr>
          <w:szCs w:val="24"/>
        </w:rPr>
      </w:pPr>
      <w:r w:rsidRPr="00300841">
        <w:rPr>
          <w:szCs w:val="24"/>
        </w:rPr>
        <w:t>Kawashima, T. and Goldberg, R.B. (2010). The suspensor: not just suspending the embryo</w:t>
      </w:r>
      <w:r w:rsidRPr="00300841">
        <w:rPr>
          <w:i/>
          <w:szCs w:val="24"/>
        </w:rPr>
        <w:t>. Trends in Plant Science</w:t>
      </w:r>
      <w:r w:rsidRPr="00300841">
        <w:rPr>
          <w:szCs w:val="24"/>
        </w:rPr>
        <w:t xml:space="preserve"> </w:t>
      </w:r>
      <w:r w:rsidRPr="00300841">
        <w:rPr>
          <w:b/>
          <w:szCs w:val="24"/>
        </w:rPr>
        <w:t>15</w:t>
      </w:r>
      <w:r w:rsidRPr="00300841">
        <w:rPr>
          <w:szCs w:val="24"/>
        </w:rPr>
        <w:t>, 23-30.</w:t>
      </w:r>
    </w:p>
    <w:p w:rsidR="00300841" w:rsidRPr="00300841" w:rsidRDefault="00300841" w:rsidP="00300841">
      <w:pPr>
        <w:spacing w:after="0" w:line="240" w:lineRule="auto"/>
        <w:ind w:left="720" w:hanging="720"/>
        <w:rPr>
          <w:szCs w:val="24"/>
        </w:rPr>
      </w:pPr>
      <w:r w:rsidRPr="00300841">
        <w:rPr>
          <w:szCs w:val="24"/>
        </w:rPr>
        <w:t xml:space="preserve">Ketelaar, T., Voss, C., Dimmock, S.A., Thumm, M. and Hussey, P.J. (2004). </w:t>
      </w:r>
      <w:r w:rsidRPr="00300841">
        <w:rPr>
          <w:i/>
          <w:szCs w:val="24"/>
        </w:rPr>
        <w:t>Arabidopsis</w:t>
      </w:r>
      <w:r w:rsidRPr="00300841">
        <w:rPr>
          <w:szCs w:val="24"/>
        </w:rPr>
        <w:t xml:space="preserve"> homologues of the autophagy protein Atg8 are a novel family of microtubule binding proteins</w:t>
      </w:r>
      <w:r w:rsidRPr="00300841">
        <w:rPr>
          <w:i/>
          <w:szCs w:val="24"/>
        </w:rPr>
        <w:t>.</w:t>
      </w:r>
      <w:r w:rsidRPr="00300841">
        <w:rPr>
          <w:szCs w:val="24"/>
        </w:rPr>
        <w:t xml:space="preserve"> </w:t>
      </w:r>
      <w:r w:rsidRPr="00300841">
        <w:rPr>
          <w:i/>
          <w:szCs w:val="24"/>
        </w:rPr>
        <w:t>FEBS Letters</w:t>
      </w:r>
      <w:r w:rsidRPr="00300841">
        <w:rPr>
          <w:szCs w:val="24"/>
        </w:rPr>
        <w:t xml:space="preserve">  </w:t>
      </w:r>
      <w:r w:rsidRPr="00300841">
        <w:rPr>
          <w:b/>
          <w:szCs w:val="24"/>
        </w:rPr>
        <w:t>567</w:t>
      </w:r>
      <w:r w:rsidRPr="00300841">
        <w:rPr>
          <w:szCs w:val="24"/>
        </w:rPr>
        <w:t>, 302-306.</w:t>
      </w:r>
    </w:p>
    <w:p w:rsidR="00300841" w:rsidRPr="00300841" w:rsidRDefault="00300841" w:rsidP="00300841">
      <w:pPr>
        <w:spacing w:after="0" w:line="240" w:lineRule="auto"/>
        <w:ind w:left="720" w:hanging="720"/>
        <w:rPr>
          <w:szCs w:val="24"/>
        </w:rPr>
      </w:pPr>
      <w:r w:rsidRPr="00300841">
        <w:rPr>
          <w:szCs w:val="24"/>
        </w:rPr>
        <w:t>Kiba, A., Takata, O., Ohnishi, K. and Hikichi, Y. (2006). Comparative analysis of induction pattern of programmed cell death and defense-related responses during hypersensitive cell death and development of bacterial necrotic leaf spots in eggplant</w:t>
      </w:r>
      <w:r w:rsidRPr="00300841">
        <w:rPr>
          <w:i/>
          <w:szCs w:val="24"/>
        </w:rPr>
        <w:t>.</w:t>
      </w:r>
      <w:r w:rsidRPr="00300841">
        <w:rPr>
          <w:szCs w:val="24"/>
        </w:rPr>
        <w:t xml:space="preserve"> </w:t>
      </w:r>
      <w:r w:rsidRPr="00300841">
        <w:rPr>
          <w:i/>
          <w:szCs w:val="24"/>
        </w:rPr>
        <w:t>Planta</w:t>
      </w:r>
      <w:r w:rsidRPr="00300841">
        <w:rPr>
          <w:szCs w:val="24"/>
        </w:rPr>
        <w:t xml:space="preserve">  </w:t>
      </w:r>
      <w:r w:rsidRPr="00300841">
        <w:rPr>
          <w:b/>
          <w:szCs w:val="24"/>
        </w:rPr>
        <w:t>224</w:t>
      </w:r>
      <w:r w:rsidRPr="00300841">
        <w:rPr>
          <w:szCs w:val="24"/>
        </w:rPr>
        <w:t>, 981-994.</w:t>
      </w:r>
    </w:p>
    <w:p w:rsidR="00300841" w:rsidRPr="00300841" w:rsidRDefault="00300841" w:rsidP="00300841">
      <w:pPr>
        <w:spacing w:after="0" w:line="240" w:lineRule="auto"/>
        <w:ind w:left="720" w:hanging="720"/>
        <w:rPr>
          <w:szCs w:val="24"/>
        </w:rPr>
      </w:pPr>
      <w:r w:rsidRPr="00300841">
        <w:rPr>
          <w:szCs w:val="24"/>
        </w:rPr>
        <w:t>Kim, J.-G., Jeon, E., Oh, J., Moon, J.S. and Hwang, I. (2004). Mutational Analysis of Xanthomonas Harpin HpaG Identifies a Key Functional Region That Elicits the Hypersensitive Response in Nonhost Plants</w:t>
      </w:r>
      <w:r w:rsidRPr="00300841">
        <w:rPr>
          <w:i/>
          <w:szCs w:val="24"/>
        </w:rPr>
        <w:t>.</w:t>
      </w:r>
      <w:r w:rsidRPr="00300841">
        <w:rPr>
          <w:szCs w:val="24"/>
        </w:rPr>
        <w:t xml:space="preserve"> </w:t>
      </w:r>
      <w:r w:rsidRPr="00300841">
        <w:rPr>
          <w:i/>
          <w:szCs w:val="24"/>
        </w:rPr>
        <w:t>Journal of Bacteriology</w:t>
      </w:r>
      <w:r w:rsidRPr="00300841">
        <w:rPr>
          <w:szCs w:val="24"/>
        </w:rPr>
        <w:t xml:space="preserve">  </w:t>
      </w:r>
      <w:r w:rsidRPr="00300841">
        <w:rPr>
          <w:b/>
          <w:szCs w:val="24"/>
        </w:rPr>
        <w:t>186</w:t>
      </w:r>
      <w:r w:rsidRPr="00300841">
        <w:rPr>
          <w:szCs w:val="24"/>
        </w:rPr>
        <w:t>, 6239-6247.</w:t>
      </w:r>
    </w:p>
    <w:p w:rsidR="00300841" w:rsidRPr="00300841" w:rsidRDefault="00300841" w:rsidP="00300841">
      <w:pPr>
        <w:spacing w:after="0" w:line="240" w:lineRule="auto"/>
        <w:ind w:left="720" w:hanging="720"/>
        <w:rPr>
          <w:szCs w:val="24"/>
        </w:rPr>
      </w:pPr>
      <w:r w:rsidRPr="00300841">
        <w:rPr>
          <w:szCs w:val="24"/>
        </w:rPr>
        <w:t xml:space="preserve">Kim, K., Min, J.-Y. and Dickman, M. (2008). Oxalic acid is an elicitor of plant programmed cell death during </w:t>
      </w:r>
      <w:r w:rsidRPr="00300841">
        <w:rPr>
          <w:i/>
          <w:szCs w:val="24"/>
        </w:rPr>
        <w:t>Sclerotinia sclerotiorum</w:t>
      </w:r>
      <w:r w:rsidRPr="00300841">
        <w:rPr>
          <w:szCs w:val="24"/>
        </w:rPr>
        <w:t xml:space="preserve"> disease development</w:t>
      </w:r>
      <w:r w:rsidRPr="00300841">
        <w:rPr>
          <w:i/>
          <w:szCs w:val="24"/>
        </w:rPr>
        <w:t>.</w:t>
      </w:r>
      <w:r w:rsidRPr="00300841">
        <w:rPr>
          <w:szCs w:val="24"/>
        </w:rPr>
        <w:t xml:space="preserve"> </w:t>
      </w:r>
      <w:r w:rsidRPr="00300841">
        <w:rPr>
          <w:i/>
          <w:szCs w:val="24"/>
        </w:rPr>
        <w:t>Molecular Plant-Microbe Interactions</w:t>
      </w:r>
      <w:r w:rsidRPr="00300841">
        <w:rPr>
          <w:szCs w:val="24"/>
        </w:rPr>
        <w:t xml:space="preserve">  </w:t>
      </w:r>
      <w:r w:rsidRPr="00300841">
        <w:rPr>
          <w:b/>
          <w:szCs w:val="24"/>
        </w:rPr>
        <w:t>21</w:t>
      </w:r>
      <w:r w:rsidRPr="00300841">
        <w:rPr>
          <w:szCs w:val="24"/>
        </w:rPr>
        <w:t>, 605 - 612.</w:t>
      </w:r>
    </w:p>
    <w:p w:rsidR="00300841" w:rsidRPr="00300841" w:rsidRDefault="00300841" w:rsidP="00300841">
      <w:pPr>
        <w:spacing w:after="0" w:line="240" w:lineRule="auto"/>
        <w:ind w:left="720" w:hanging="720"/>
        <w:rPr>
          <w:szCs w:val="24"/>
        </w:rPr>
      </w:pPr>
      <w:r w:rsidRPr="00300841">
        <w:rPr>
          <w:szCs w:val="24"/>
        </w:rPr>
        <w:t xml:space="preserve">Kim, M., Lim, J.-H., Ahn, C.S., Park, K., Kim, G.T., Kim, W.T. and Pai, H.-S. (2006). Mitochondria-Associated Hexokinases Play a Role in the Control of Programmed Cell Death in </w:t>
      </w:r>
      <w:r w:rsidRPr="00300841">
        <w:rPr>
          <w:i/>
          <w:szCs w:val="24"/>
        </w:rPr>
        <w:t>Nicotiana benthamiana.</w:t>
      </w:r>
      <w:r w:rsidRPr="00300841">
        <w:rPr>
          <w:szCs w:val="24"/>
        </w:rPr>
        <w:t xml:space="preserve"> </w:t>
      </w:r>
      <w:r w:rsidRPr="00300841">
        <w:rPr>
          <w:i/>
          <w:szCs w:val="24"/>
        </w:rPr>
        <w:t>Plant Cell</w:t>
      </w:r>
      <w:r w:rsidRPr="00300841">
        <w:rPr>
          <w:szCs w:val="24"/>
        </w:rPr>
        <w:t xml:space="preserve">  </w:t>
      </w:r>
      <w:r w:rsidRPr="00300841">
        <w:rPr>
          <w:b/>
          <w:szCs w:val="24"/>
        </w:rPr>
        <w:t>18</w:t>
      </w:r>
      <w:r w:rsidRPr="00300841">
        <w:rPr>
          <w:szCs w:val="24"/>
        </w:rPr>
        <w:t>, 2341-2355.</w:t>
      </w:r>
    </w:p>
    <w:p w:rsidR="00300841" w:rsidRPr="00300841" w:rsidRDefault="00300841" w:rsidP="00300841">
      <w:pPr>
        <w:spacing w:after="0" w:line="240" w:lineRule="auto"/>
        <w:ind w:left="720" w:hanging="720"/>
        <w:rPr>
          <w:szCs w:val="24"/>
        </w:rPr>
      </w:pPr>
      <w:r w:rsidRPr="00300841">
        <w:rPr>
          <w:szCs w:val="24"/>
        </w:rPr>
        <w:t>Kiselevsky, D.B., Kuznetsova, Y.E., Vasil'ev, L.A., Lobysheva, N.V., Zinovkin, R.A., Nesov, A.V., Shestak, A.A. and Samuilov, V.D. (2010). Effect of Ca</w:t>
      </w:r>
      <w:r w:rsidRPr="00300841">
        <w:rPr>
          <w:szCs w:val="24"/>
          <w:vertAlign w:val="superscript"/>
        </w:rPr>
        <w:t>[2+]</w:t>
      </w:r>
      <w:r w:rsidRPr="00300841">
        <w:rPr>
          <w:szCs w:val="24"/>
        </w:rPr>
        <w:t xml:space="preserve"> on programmed death of guard and epidermal cells of pea leaves</w:t>
      </w:r>
      <w:r w:rsidRPr="00300841">
        <w:rPr>
          <w:i/>
          <w:szCs w:val="24"/>
        </w:rPr>
        <w:t>.</w:t>
      </w:r>
      <w:r w:rsidRPr="00300841">
        <w:rPr>
          <w:szCs w:val="24"/>
        </w:rPr>
        <w:t xml:space="preserve"> </w:t>
      </w:r>
      <w:r w:rsidRPr="00300841">
        <w:rPr>
          <w:i/>
          <w:szCs w:val="24"/>
        </w:rPr>
        <w:t>Biochemistry (Moscow)</w:t>
      </w:r>
      <w:r w:rsidRPr="00300841">
        <w:rPr>
          <w:szCs w:val="24"/>
        </w:rPr>
        <w:t xml:space="preserve">  </w:t>
      </w:r>
      <w:r w:rsidRPr="00300841">
        <w:rPr>
          <w:b/>
          <w:szCs w:val="24"/>
        </w:rPr>
        <w:t>75</w:t>
      </w:r>
      <w:r w:rsidRPr="00300841">
        <w:rPr>
          <w:szCs w:val="24"/>
        </w:rPr>
        <w:t>, 614-622.</w:t>
      </w:r>
    </w:p>
    <w:p w:rsidR="00300841" w:rsidRPr="00300841" w:rsidRDefault="00300841" w:rsidP="00300841">
      <w:pPr>
        <w:spacing w:after="0" w:line="240" w:lineRule="auto"/>
        <w:ind w:left="720" w:hanging="720"/>
        <w:rPr>
          <w:szCs w:val="24"/>
        </w:rPr>
      </w:pPr>
      <w:r w:rsidRPr="00300841">
        <w:rPr>
          <w:szCs w:val="24"/>
        </w:rPr>
        <w:t>Klionsky, D.J., Abeliovich, H., Agostinis, P., Agrawal, D.K., Aliev, G., Askew, D.S., Baba, M., Baehrecke, E.H., Bahr, B.A., Ballabio, A., Bamber, B.A., Bassham, D.C., Bergamini, E., Bi, X., Biard-Piechaczyk, M., Blum, J.S., Bredesen, D.E., Brodsky, J.L., Brumell, J.H., Brunk, U.T., Bursch, W., Camougrand, N., Cebollero, E., Cecconi, F., Chen, Y., Chin, L.-S., Choi, A., Chu, C.T., Chung, J., Clark, R.S.B., Clarke, P.G.H., Clarke, S.G., Clave, C., Cleveland, J.L., Codogno, P., Colombo, M.I., Coto-Montes, A., Cregg, J.M., Cuervo, A.M., Debnath, J., Dennis, P.B., Dennis, P.A., Demarchi, F., Deretic, V., Devenish, R.J., Sano, F.D., Dice, J.F., Distelhorst, C.W., Dinesh-Kumar, S.P., Eissa, N.T., DiFiglia, M., Djavaheri-Mergny, M., Dorsey, F.C., Dröge, W., Dron, M., Jr., W.A.D., Duszenko, M., Elazar, Z., Esclatine, A., Eskelinen, E.-L., Fésüs, L., Finley, K.D., Fuentes, J.M., Fueyo, J., Fujisaki, K., Galliot, B., Gao, F.-B., Gewirtz, D.A., Gibson, S.B., Gohla, A., Goldberg, A.L., Gonzalez, R., González-Estévez, C., Gorski, S.M., Gottlieb, R.A., Häussinger, D., He, Y.-W., Heidenreich, K., Hill, J.A., Høyer-Hansen, M., Hu, X., Huang, W.-P., Iwasaki, A., Jäättelä, M., Jackson, W.T., Jiang, X., Jin, S., Johansen, T., Jung, J.U., Kadowaki, M., Kang, C., Kelekar, A., Kessel, D.H., Kiel, J.A.K.W., Kim, H.P., Kimchi, A., Kinsella, T.J., Kiselyov, K., Kitamoto, K., Knecht, E., Komatsu, M., Kominami, E., Kondo, S., Kovács, A.L., Kroemer, G., Kuan, C.-Y., Kumar, R., Kundu, M., Landry, J., Laporte, M., Le, W., Lei, H.-Y., Levine, B., Lieberman, A., Lim, K.-L., Lin, F.-C., Liou, W., Liu, L.F., Lopez-Berestein, G., López-Otín, C., Lu, B., Macleod, K.F., Malorni, W., Martinet, W., Matsuoka, K., Mautner, J., Meijer, A.J., Meléndez, A., Michels, P., Miotto, G., Mistiaen, W.P., Mizushima, N., Mograbi, B., Moore, M.N., Moreira, P.I., Moriyasu, Y., Motyl, T., Münz, C., Murphy, L.O., Naqvi, N.I., Neufeld, T.P., Nishino, I., Nixon, R.A., Noda, T., Nürnberg, B., Ogawa, M., Oleinick, N.L., Olsen, L.J., Ozpolat, B., Paglin, S., Palmer, G.E., Papassideri, I.S., Parkes, M., Perlmutter, D.H., Perry, G., Piacentini, M., Pinkas-Kramarski, R., Prescott, M., Proikas-Cezanne, T., Raben, N., Rami, A., Reggiori, F., Rohrer, B., Rubinsztein, D.C., Ryan, K.M., Sadoshima, J., Sakagami, H., Sakai, Y., Sandri, M., Sasakawa, C., Sass, M., Schneider, C., Seglen, P.O., Seleverstov, O., Settleman, J., Shacka, J.J., Shapiro, I.M., Sibirny, A.A., Silva-Zacarin, E.C.M., Simon, H.-U., Simone, C., Simonsen, A., Smith, M.A., Spanel-Borowski, K., Srinivas, V., Steeves, M., Stenmark, H., Stromhaug, P.E., Subauste, C.S., Sugimoto, S., Sulzer, D., Suzuki, T., Swanson, M.S., Tabas, I., Takeshita, F., Talbot, N.J., Tallóczy, Z., Tanaka, K., Tanaka, K., Tanida, I., Taylor, G.S., Taylor, J.P., Terman, A., Tettamanti, G., Thompson, C.B., Thumm, M., Tolkovsky, A.M., Tooze, S.A., Truant, R., Tumanovska, L.V., Uchiyama, Y., Ueno, T., Uzcátegu, N.L., Klei, I.J.v.d., Vaquero, E.C., Vellai, T., Vogel, M.W., Wang, H.-G., Webster, P., Xi, Z., Xiao, G., Yahalom, J., Yang, J.-M., Yap, G.S., Yin, X.-M., Yoshimori, T., Yue, Z., Yuzaki, M., Zabirnyk, O., Zheng, X., Zhu, X. and Deter, R.L. (2008). Guidelines for the use and interpretation of assays for monitoring autophagy in higher eukaryotes</w:t>
      </w:r>
      <w:r w:rsidRPr="00300841">
        <w:rPr>
          <w:i/>
          <w:szCs w:val="24"/>
        </w:rPr>
        <w:t>.</w:t>
      </w:r>
      <w:r w:rsidRPr="00300841">
        <w:rPr>
          <w:szCs w:val="24"/>
        </w:rPr>
        <w:t xml:space="preserve"> </w:t>
      </w:r>
      <w:r w:rsidRPr="00300841">
        <w:rPr>
          <w:i/>
          <w:szCs w:val="24"/>
        </w:rPr>
        <w:t>Autophagy</w:t>
      </w:r>
      <w:r w:rsidRPr="00300841">
        <w:rPr>
          <w:szCs w:val="24"/>
        </w:rPr>
        <w:t xml:space="preserve"> </w:t>
      </w:r>
      <w:r w:rsidRPr="00300841">
        <w:rPr>
          <w:b/>
          <w:szCs w:val="24"/>
        </w:rPr>
        <w:t>4</w:t>
      </w:r>
      <w:r w:rsidRPr="00300841">
        <w:rPr>
          <w:szCs w:val="24"/>
        </w:rPr>
        <w:t>, 151-175.</w:t>
      </w:r>
    </w:p>
    <w:p w:rsidR="00300841" w:rsidRPr="00300841" w:rsidRDefault="00300841" w:rsidP="00300841">
      <w:pPr>
        <w:spacing w:after="0" w:line="240" w:lineRule="auto"/>
        <w:ind w:left="720" w:hanging="720"/>
        <w:rPr>
          <w:szCs w:val="24"/>
        </w:rPr>
      </w:pPr>
      <w:r w:rsidRPr="00300841">
        <w:rPr>
          <w:szCs w:val="24"/>
        </w:rPr>
        <w:t>Klionsky, D.J., Cregg, J.M., Dunn Jr, W.A., Emr, S.D., Sakai, Y., Sandoval, I.V., Sibirny, A., Subramani, S., Thumm, M., Veenhuis, M. and Ohsumi, Y. (2003). A Unified Nomenclature for Yeast Autophagy-Related Genes</w:t>
      </w:r>
      <w:r w:rsidRPr="00300841">
        <w:rPr>
          <w:i/>
          <w:szCs w:val="24"/>
        </w:rPr>
        <w:t>.</w:t>
      </w:r>
      <w:r w:rsidRPr="00300841">
        <w:rPr>
          <w:szCs w:val="24"/>
        </w:rPr>
        <w:t xml:space="preserve"> </w:t>
      </w:r>
      <w:r w:rsidRPr="00300841">
        <w:rPr>
          <w:i/>
          <w:szCs w:val="24"/>
        </w:rPr>
        <w:t>Developmental Cell</w:t>
      </w:r>
      <w:r w:rsidRPr="00300841">
        <w:rPr>
          <w:szCs w:val="24"/>
        </w:rPr>
        <w:t xml:space="preserve">  </w:t>
      </w:r>
      <w:r w:rsidRPr="00300841">
        <w:rPr>
          <w:b/>
          <w:szCs w:val="24"/>
        </w:rPr>
        <w:t>5</w:t>
      </w:r>
      <w:r w:rsidRPr="00300841">
        <w:rPr>
          <w:szCs w:val="24"/>
        </w:rPr>
        <w:t>, 539-545.</w:t>
      </w:r>
    </w:p>
    <w:p w:rsidR="00300841" w:rsidRPr="00300841" w:rsidRDefault="00300841" w:rsidP="00300841">
      <w:pPr>
        <w:spacing w:after="0" w:line="240" w:lineRule="auto"/>
        <w:ind w:left="720" w:hanging="720"/>
        <w:rPr>
          <w:szCs w:val="24"/>
        </w:rPr>
      </w:pPr>
      <w:r w:rsidRPr="00300841">
        <w:rPr>
          <w:szCs w:val="24"/>
        </w:rPr>
        <w:t xml:space="preserve">Koizumi, N., Martinez, I.M., Kimata, Y., Kohno, K., Sano, H. and Chrispeels, M.J. (2001). Molecular Characterization of Two </w:t>
      </w:r>
      <w:r w:rsidRPr="00300841">
        <w:rPr>
          <w:i/>
          <w:szCs w:val="24"/>
        </w:rPr>
        <w:t>Arabidopsis</w:t>
      </w:r>
      <w:r w:rsidRPr="00300841">
        <w:rPr>
          <w:szCs w:val="24"/>
        </w:rPr>
        <w:t xml:space="preserve"> Ire1 Homologs, Endoplasmic Reticulum-Located Transmembrane Protein Kinases</w:t>
      </w:r>
      <w:r w:rsidRPr="00300841">
        <w:rPr>
          <w:i/>
          <w:szCs w:val="24"/>
        </w:rPr>
        <w:t>.</w:t>
      </w:r>
      <w:r w:rsidRPr="00300841">
        <w:rPr>
          <w:szCs w:val="24"/>
        </w:rPr>
        <w:t xml:space="preserve"> </w:t>
      </w:r>
      <w:r w:rsidRPr="00300841">
        <w:rPr>
          <w:i/>
          <w:szCs w:val="24"/>
        </w:rPr>
        <w:t>Plant Physiology</w:t>
      </w:r>
      <w:r w:rsidRPr="00300841">
        <w:rPr>
          <w:szCs w:val="24"/>
        </w:rPr>
        <w:t xml:space="preserve">  </w:t>
      </w:r>
      <w:r w:rsidRPr="00300841">
        <w:rPr>
          <w:b/>
          <w:szCs w:val="24"/>
        </w:rPr>
        <w:t>127</w:t>
      </w:r>
      <w:r w:rsidRPr="00300841">
        <w:rPr>
          <w:szCs w:val="24"/>
        </w:rPr>
        <w:t>, 949-962.</w:t>
      </w:r>
    </w:p>
    <w:p w:rsidR="00300841" w:rsidRPr="00300841" w:rsidRDefault="00300841" w:rsidP="00300841">
      <w:pPr>
        <w:spacing w:after="0" w:line="240" w:lineRule="auto"/>
        <w:ind w:left="720" w:hanging="720"/>
        <w:rPr>
          <w:szCs w:val="24"/>
        </w:rPr>
      </w:pPr>
      <w:r w:rsidRPr="00300841">
        <w:rPr>
          <w:szCs w:val="24"/>
        </w:rPr>
        <w:t xml:space="preserve">Konings, H. (1982). Ethylene-promoted formation of aerenchyma in seedling roots of </w:t>
      </w:r>
      <w:r w:rsidRPr="00300841">
        <w:rPr>
          <w:i/>
          <w:szCs w:val="24"/>
        </w:rPr>
        <w:t>Zea</w:t>
      </w:r>
      <w:r w:rsidRPr="00300841">
        <w:rPr>
          <w:szCs w:val="24"/>
        </w:rPr>
        <w:t xml:space="preserve"> </w:t>
      </w:r>
      <w:r w:rsidRPr="00300841">
        <w:rPr>
          <w:i/>
          <w:szCs w:val="24"/>
        </w:rPr>
        <w:t>mays</w:t>
      </w:r>
      <w:r w:rsidRPr="00300841">
        <w:rPr>
          <w:szCs w:val="24"/>
        </w:rPr>
        <w:t xml:space="preserve"> L. under aerated and non-aerated conditions</w:t>
      </w:r>
      <w:r w:rsidRPr="00300841">
        <w:rPr>
          <w:i/>
          <w:szCs w:val="24"/>
        </w:rPr>
        <w:t>.</w:t>
      </w:r>
      <w:r w:rsidRPr="00300841">
        <w:rPr>
          <w:szCs w:val="24"/>
        </w:rPr>
        <w:t xml:space="preserve"> </w:t>
      </w:r>
      <w:r w:rsidRPr="00300841">
        <w:rPr>
          <w:i/>
          <w:szCs w:val="24"/>
        </w:rPr>
        <w:t>Physiologia Plantarum</w:t>
      </w:r>
      <w:r w:rsidRPr="00300841">
        <w:rPr>
          <w:szCs w:val="24"/>
        </w:rPr>
        <w:t xml:space="preserve">  </w:t>
      </w:r>
      <w:r w:rsidRPr="00300841">
        <w:rPr>
          <w:b/>
          <w:szCs w:val="24"/>
        </w:rPr>
        <w:t>54</w:t>
      </w:r>
      <w:r w:rsidRPr="00300841">
        <w:rPr>
          <w:szCs w:val="24"/>
        </w:rPr>
        <w:t>, 119-124.</w:t>
      </w:r>
    </w:p>
    <w:p w:rsidR="00300841" w:rsidRPr="00300841" w:rsidRDefault="00300841" w:rsidP="00300841">
      <w:pPr>
        <w:spacing w:after="0" w:line="240" w:lineRule="auto"/>
        <w:ind w:left="720" w:hanging="720"/>
        <w:rPr>
          <w:szCs w:val="24"/>
        </w:rPr>
      </w:pPr>
      <w:r w:rsidRPr="00300841">
        <w:rPr>
          <w:szCs w:val="24"/>
        </w:rPr>
        <w:t xml:space="preserve">Konings, H. and Verschuren, G. (1980). Formation of aerenchyma in roots of </w:t>
      </w:r>
      <w:r w:rsidRPr="00300841">
        <w:rPr>
          <w:i/>
          <w:szCs w:val="24"/>
        </w:rPr>
        <w:t>Zea</w:t>
      </w:r>
      <w:r w:rsidRPr="00300841">
        <w:rPr>
          <w:szCs w:val="24"/>
        </w:rPr>
        <w:t xml:space="preserve"> </w:t>
      </w:r>
      <w:r w:rsidRPr="00300841">
        <w:rPr>
          <w:i/>
          <w:szCs w:val="24"/>
        </w:rPr>
        <w:t>mays</w:t>
      </w:r>
      <w:r w:rsidRPr="00300841">
        <w:rPr>
          <w:szCs w:val="24"/>
        </w:rPr>
        <w:t xml:space="preserve"> in aerated solutions, and its relation to nutrient supply</w:t>
      </w:r>
      <w:r w:rsidRPr="00300841">
        <w:rPr>
          <w:i/>
          <w:szCs w:val="24"/>
        </w:rPr>
        <w:t>.</w:t>
      </w:r>
      <w:r w:rsidRPr="00300841">
        <w:rPr>
          <w:szCs w:val="24"/>
        </w:rPr>
        <w:t xml:space="preserve"> </w:t>
      </w:r>
      <w:r w:rsidRPr="00300841">
        <w:rPr>
          <w:i/>
          <w:szCs w:val="24"/>
        </w:rPr>
        <w:t>Physiologia Plantarum</w:t>
      </w:r>
      <w:r w:rsidRPr="00300841">
        <w:rPr>
          <w:szCs w:val="24"/>
        </w:rPr>
        <w:t xml:space="preserve">  </w:t>
      </w:r>
      <w:r w:rsidRPr="00300841">
        <w:rPr>
          <w:b/>
          <w:szCs w:val="24"/>
        </w:rPr>
        <w:t>49</w:t>
      </w:r>
      <w:r w:rsidRPr="00300841">
        <w:rPr>
          <w:szCs w:val="24"/>
        </w:rPr>
        <w:t>, 265-270.</w:t>
      </w:r>
    </w:p>
    <w:p w:rsidR="00300841" w:rsidRPr="00300841" w:rsidRDefault="00300841" w:rsidP="00300841">
      <w:pPr>
        <w:spacing w:after="0" w:line="240" w:lineRule="auto"/>
        <w:ind w:left="720" w:hanging="720"/>
        <w:rPr>
          <w:szCs w:val="24"/>
        </w:rPr>
      </w:pPr>
      <w:r w:rsidRPr="00300841">
        <w:rPr>
          <w:szCs w:val="24"/>
        </w:rPr>
        <w:t>Koornneef, M., Bentsink, L. and Hilhorst, H. (2002). Seed dormancy and germination</w:t>
      </w:r>
      <w:r w:rsidRPr="00300841">
        <w:rPr>
          <w:i/>
          <w:szCs w:val="24"/>
        </w:rPr>
        <w:t>.</w:t>
      </w:r>
      <w:r w:rsidRPr="00300841">
        <w:rPr>
          <w:szCs w:val="24"/>
        </w:rPr>
        <w:t xml:space="preserve"> </w:t>
      </w:r>
      <w:r w:rsidRPr="00300841">
        <w:rPr>
          <w:i/>
          <w:szCs w:val="24"/>
        </w:rPr>
        <w:t>Current Opinion in Plant Biology</w:t>
      </w:r>
      <w:r w:rsidRPr="00300841">
        <w:rPr>
          <w:szCs w:val="24"/>
        </w:rPr>
        <w:t xml:space="preserve">  </w:t>
      </w:r>
      <w:r w:rsidRPr="00300841">
        <w:rPr>
          <w:b/>
          <w:szCs w:val="24"/>
        </w:rPr>
        <w:t>5</w:t>
      </w:r>
      <w:r w:rsidRPr="00300841">
        <w:rPr>
          <w:szCs w:val="24"/>
        </w:rPr>
        <w:t>, 33-36.</w:t>
      </w:r>
    </w:p>
    <w:p w:rsidR="00300841" w:rsidRPr="00300841" w:rsidRDefault="00300841" w:rsidP="00300841">
      <w:pPr>
        <w:spacing w:after="0" w:line="240" w:lineRule="auto"/>
        <w:ind w:left="720" w:hanging="720"/>
        <w:rPr>
          <w:szCs w:val="24"/>
        </w:rPr>
      </w:pPr>
      <w:r w:rsidRPr="00300841">
        <w:rPr>
          <w:szCs w:val="24"/>
        </w:rPr>
        <w:t>Koukalová, B., Kovarík, A., Fajkus, J. and Siroký, J. (1997). Chromatin fragmentation associated with apoptotic changes in tobacco cells exposed to cold stress</w:t>
      </w:r>
      <w:r w:rsidRPr="00300841">
        <w:rPr>
          <w:i/>
          <w:szCs w:val="24"/>
        </w:rPr>
        <w:t>.</w:t>
      </w:r>
      <w:r w:rsidRPr="00300841">
        <w:rPr>
          <w:szCs w:val="24"/>
        </w:rPr>
        <w:t xml:space="preserve"> </w:t>
      </w:r>
      <w:r w:rsidRPr="00300841">
        <w:rPr>
          <w:i/>
          <w:szCs w:val="24"/>
        </w:rPr>
        <w:t>FEBS Letters</w:t>
      </w:r>
      <w:r w:rsidRPr="00300841">
        <w:rPr>
          <w:szCs w:val="24"/>
        </w:rPr>
        <w:t xml:space="preserve">  </w:t>
      </w:r>
      <w:r w:rsidRPr="00300841">
        <w:rPr>
          <w:b/>
          <w:szCs w:val="24"/>
        </w:rPr>
        <w:t>414</w:t>
      </w:r>
      <w:r w:rsidRPr="00300841">
        <w:rPr>
          <w:szCs w:val="24"/>
        </w:rPr>
        <w:t>, 289-292.</w:t>
      </w:r>
    </w:p>
    <w:p w:rsidR="00300841" w:rsidRPr="00300841" w:rsidRDefault="00300841" w:rsidP="00300841">
      <w:pPr>
        <w:spacing w:after="0" w:line="240" w:lineRule="auto"/>
        <w:ind w:left="720" w:hanging="720"/>
        <w:rPr>
          <w:szCs w:val="24"/>
        </w:rPr>
      </w:pPr>
      <w:r w:rsidRPr="00300841">
        <w:rPr>
          <w:szCs w:val="24"/>
        </w:rPr>
        <w:t xml:space="preserve">Krause, M. and Durner, J.r. (2004). Harpin Inactivates Mitochondria in </w:t>
      </w:r>
      <w:r w:rsidRPr="00300841">
        <w:rPr>
          <w:i/>
          <w:szCs w:val="24"/>
        </w:rPr>
        <w:t>Arabidopsis</w:t>
      </w:r>
      <w:r w:rsidRPr="00300841">
        <w:rPr>
          <w:szCs w:val="24"/>
        </w:rPr>
        <w:t xml:space="preserve"> Suspension Cells</w:t>
      </w:r>
      <w:r w:rsidRPr="00300841">
        <w:rPr>
          <w:i/>
          <w:szCs w:val="24"/>
        </w:rPr>
        <w:t>.</w:t>
      </w:r>
      <w:r w:rsidRPr="00300841">
        <w:rPr>
          <w:szCs w:val="24"/>
        </w:rPr>
        <w:t xml:space="preserve"> </w:t>
      </w:r>
      <w:r w:rsidRPr="00300841">
        <w:rPr>
          <w:i/>
          <w:szCs w:val="24"/>
        </w:rPr>
        <w:t>Molecular Plant-Microbe Interactions</w:t>
      </w:r>
      <w:r w:rsidRPr="00300841">
        <w:rPr>
          <w:szCs w:val="24"/>
        </w:rPr>
        <w:t xml:space="preserve">  </w:t>
      </w:r>
      <w:r w:rsidRPr="00300841">
        <w:rPr>
          <w:b/>
          <w:szCs w:val="24"/>
        </w:rPr>
        <w:t>17</w:t>
      </w:r>
      <w:r w:rsidRPr="00300841">
        <w:rPr>
          <w:szCs w:val="24"/>
        </w:rPr>
        <w:t>, 131-139.</w:t>
      </w:r>
    </w:p>
    <w:p w:rsidR="00300841" w:rsidRPr="00300841" w:rsidRDefault="00300841" w:rsidP="00300841">
      <w:pPr>
        <w:spacing w:after="0" w:line="240" w:lineRule="auto"/>
        <w:ind w:left="720" w:hanging="720"/>
        <w:rPr>
          <w:szCs w:val="24"/>
        </w:rPr>
      </w:pPr>
      <w:r w:rsidRPr="00300841">
        <w:rPr>
          <w:szCs w:val="24"/>
        </w:rPr>
        <w:t>Kroemer, G., El-Deiry, W.S., Golstein, P., Peter, M.E., Vaux, D., Vandenabeele, P., Zhivotovsky, B., Blagosklonny, M.V., Malorni, W., Knight, R.A., Piacentini, M., Nagata, S. and Melino, G. (2005). Classification of cell death: recommendations of the Nomenclature Committee on Cell Death</w:t>
      </w:r>
      <w:r w:rsidRPr="00300841">
        <w:rPr>
          <w:i/>
          <w:szCs w:val="24"/>
        </w:rPr>
        <w:t>.</w:t>
      </w:r>
      <w:r w:rsidRPr="00300841">
        <w:rPr>
          <w:szCs w:val="24"/>
        </w:rPr>
        <w:t xml:space="preserve"> </w:t>
      </w:r>
      <w:r w:rsidRPr="00300841">
        <w:rPr>
          <w:i/>
          <w:szCs w:val="24"/>
        </w:rPr>
        <w:t>Cell Death Differentiation</w:t>
      </w:r>
      <w:r w:rsidRPr="00300841">
        <w:rPr>
          <w:szCs w:val="24"/>
        </w:rPr>
        <w:t xml:space="preserve">  </w:t>
      </w:r>
      <w:r w:rsidRPr="00300841">
        <w:rPr>
          <w:b/>
          <w:szCs w:val="24"/>
        </w:rPr>
        <w:t>12</w:t>
      </w:r>
      <w:r w:rsidRPr="00300841">
        <w:rPr>
          <w:szCs w:val="24"/>
        </w:rPr>
        <w:t>, 1463-1467.</w:t>
      </w:r>
    </w:p>
    <w:p w:rsidR="00300841" w:rsidRPr="00300841" w:rsidRDefault="00300841" w:rsidP="00300841">
      <w:pPr>
        <w:spacing w:after="0" w:line="240" w:lineRule="auto"/>
        <w:ind w:left="720" w:hanging="720"/>
        <w:rPr>
          <w:szCs w:val="24"/>
        </w:rPr>
      </w:pPr>
      <w:r w:rsidRPr="00300841">
        <w:rPr>
          <w:szCs w:val="24"/>
        </w:rPr>
        <w:t>Kroemer, G., Galluzzi, L. and Brenner, C. (2007). Mitochondrial Membrane Permeabilization in Cell Death</w:t>
      </w:r>
      <w:r w:rsidRPr="00300841">
        <w:rPr>
          <w:i/>
          <w:szCs w:val="24"/>
        </w:rPr>
        <w:t>.</w:t>
      </w:r>
      <w:r w:rsidRPr="00300841">
        <w:rPr>
          <w:szCs w:val="24"/>
        </w:rPr>
        <w:t xml:space="preserve"> </w:t>
      </w:r>
      <w:r w:rsidRPr="00300841">
        <w:rPr>
          <w:i/>
          <w:szCs w:val="24"/>
        </w:rPr>
        <w:t>Physiological Reviews</w:t>
      </w:r>
      <w:r w:rsidRPr="00300841">
        <w:rPr>
          <w:szCs w:val="24"/>
        </w:rPr>
        <w:t xml:space="preserve">  </w:t>
      </w:r>
      <w:r w:rsidRPr="00300841">
        <w:rPr>
          <w:b/>
          <w:szCs w:val="24"/>
        </w:rPr>
        <w:t>87</w:t>
      </w:r>
      <w:r w:rsidRPr="00300841">
        <w:rPr>
          <w:szCs w:val="24"/>
        </w:rPr>
        <w:t>, 99-163.</w:t>
      </w:r>
    </w:p>
    <w:p w:rsidR="00300841" w:rsidRPr="00300841" w:rsidRDefault="00300841" w:rsidP="00300841">
      <w:pPr>
        <w:spacing w:after="0" w:line="240" w:lineRule="auto"/>
        <w:ind w:left="720" w:hanging="720"/>
        <w:rPr>
          <w:szCs w:val="24"/>
        </w:rPr>
      </w:pPr>
      <w:r w:rsidRPr="00300841">
        <w:rPr>
          <w:szCs w:val="24"/>
        </w:rPr>
        <w:t>Kroemer, G., Galluzzi, L., Vandenabeele, P., Abrams, J., Alnemri, E.S., Baehrecke, E.H., Blagosklonny, M.V., El-Deiry, W.S., Golstein, P., Green, D.R., Hengartner, M., Knight, R.A., Kumar, S., Lipton, S.A., Malorni, W., Nunez, G., Peter, M.E., Tschopp, J., Yuan, J., Piacentini, M., Zhivotovsky, B. and Melino, G. (2008). Classification of cell death: recommendations of the Nomenclature Committee on Cell Death 2009</w:t>
      </w:r>
      <w:r w:rsidRPr="00300841">
        <w:rPr>
          <w:i/>
          <w:szCs w:val="24"/>
        </w:rPr>
        <w:t>.</w:t>
      </w:r>
      <w:r w:rsidRPr="00300841">
        <w:rPr>
          <w:szCs w:val="24"/>
        </w:rPr>
        <w:t xml:space="preserve"> </w:t>
      </w:r>
      <w:r w:rsidRPr="00300841">
        <w:rPr>
          <w:i/>
          <w:szCs w:val="24"/>
        </w:rPr>
        <w:t>Cell Death Differentiation</w:t>
      </w:r>
      <w:r w:rsidRPr="00300841">
        <w:rPr>
          <w:szCs w:val="24"/>
        </w:rPr>
        <w:t xml:space="preserve">  </w:t>
      </w:r>
      <w:r w:rsidRPr="00300841">
        <w:rPr>
          <w:b/>
          <w:szCs w:val="24"/>
        </w:rPr>
        <w:t>16</w:t>
      </w:r>
      <w:r w:rsidRPr="00300841">
        <w:rPr>
          <w:szCs w:val="24"/>
        </w:rPr>
        <w:t>, 3-11.</w:t>
      </w:r>
    </w:p>
    <w:p w:rsidR="00300841" w:rsidRPr="00300841" w:rsidRDefault="00300841" w:rsidP="00300841">
      <w:pPr>
        <w:spacing w:after="0" w:line="240" w:lineRule="auto"/>
        <w:ind w:left="720" w:hanging="720"/>
        <w:rPr>
          <w:szCs w:val="24"/>
        </w:rPr>
      </w:pPr>
      <w:r w:rsidRPr="00300841">
        <w:rPr>
          <w:szCs w:val="24"/>
        </w:rPr>
        <w:t>Kulms, D. and Schwarz, T. (2002). Molecular Mechanisms Involved in UV-Induced Apoptotic Cell Death</w:t>
      </w:r>
      <w:r w:rsidRPr="00300841">
        <w:rPr>
          <w:i/>
          <w:szCs w:val="24"/>
        </w:rPr>
        <w:t>.</w:t>
      </w:r>
      <w:r w:rsidRPr="00300841">
        <w:rPr>
          <w:szCs w:val="24"/>
        </w:rPr>
        <w:t xml:space="preserve"> </w:t>
      </w:r>
      <w:r w:rsidRPr="00300841">
        <w:rPr>
          <w:i/>
          <w:szCs w:val="24"/>
        </w:rPr>
        <w:t>Skin Pharmacology and Physiology</w:t>
      </w:r>
      <w:r w:rsidRPr="00300841">
        <w:rPr>
          <w:szCs w:val="24"/>
        </w:rPr>
        <w:t xml:space="preserve">  </w:t>
      </w:r>
      <w:r w:rsidRPr="00300841">
        <w:rPr>
          <w:b/>
          <w:szCs w:val="24"/>
        </w:rPr>
        <w:t>15</w:t>
      </w:r>
      <w:r w:rsidRPr="00300841">
        <w:rPr>
          <w:szCs w:val="24"/>
        </w:rPr>
        <w:t>, 342-347.</w:t>
      </w:r>
    </w:p>
    <w:p w:rsidR="00300841" w:rsidRPr="00300841" w:rsidRDefault="00300841" w:rsidP="00300841">
      <w:pPr>
        <w:spacing w:after="0" w:line="240" w:lineRule="auto"/>
        <w:ind w:left="720" w:hanging="720"/>
        <w:rPr>
          <w:szCs w:val="24"/>
        </w:rPr>
      </w:pPr>
      <w:r w:rsidRPr="00300841">
        <w:rPr>
          <w:szCs w:val="24"/>
        </w:rPr>
        <w:t>Kuo, A., Cappelluti, S., Cervantes-Cervantes, M., Rodriguez, M. and Bush, D.S. (1996). Okadaic Acid, a Protein Phosphatase Inhibitor, Blocks Calcium Changes, Gene Expression, and Cell Death Induced by Gibberellin in Wheat Aleurone Cells</w:t>
      </w:r>
      <w:r w:rsidRPr="00300841">
        <w:rPr>
          <w:i/>
          <w:szCs w:val="24"/>
        </w:rPr>
        <w:t>.</w:t>
      </w:r>
      <w:r w:rsidRPr="00300841">
        <w:rPr>
          <w:szCs w:val="24"/>
        </w:rPr>
        <w:t xml:space="preserve"> </w:t>
      </w:r>
      <w:r w:rsidRPr="00300841">
        <w:rPr>
          <w:i/>
          <w:szCs w:val="24"/>
        </w:rPr>
        <w:t>Plant Cell</w:t>
      </w:r>
      <w:r w:rsidRPr="00300841">
        <w:rPr>
          <w:szCs w:val="24"/>
        </w:rPr>
        <w:t xml:space="preserve">  </w:t>
      </w:r>
      <w:r w:rsidRPr="00300841">
        <w:rPr>
          <w:b/>
          <w:szCs w:val="24"/>
        </w:rPr>
        <w:t>8</w:t>
      </w:r>
      <w:r w:rsidRPr="00300841">
        <w:rPr>
          <w:szCs w:val="24"/>
        </w:rPr>
        <w:t>, 259-269.</w:t>
      </w:r>
    </w:p>
    <w:p w:rsidR="00300841" w:rsidRPr="00300841" w:rsidRDefault="00300841" w:rsidP="00300841">
      <w:pPr>
        <w:spacing w:after="0" w:line="240" w:lineRule="auto"/>
        <w:ind w:left="720" w:hanging="720"/>
        <w:rPr>
          <w:szCs w:val="24"/>
        </w:rPr>
      </w:pPr>
      <w:r w:rsidRPr="00300841">
        <w:rPr>
          <w:szCs w:val="24"/>
        </w:rPr>
        <w:t>Kuriyama, H. (1999). Loss of Tonoplast Integrity Programmed in Tracheary Element Differentiation</w:t>
      </w:r>
      <w:r w:rsidRPr="00300841">
        <w:rPr>
          <w:i/>
          <w:szCs w:val="24"/>
        </w:rPr>
        <w:t>.</w:t>
      </w:r>
      <w:r w:rsidRPr="00300841">
        <w:rPr>
          <w:szCs w:val="24"/>
        </w:rPr>
        <w:t xml:space="preserve"> </w:t>
      </w:r>
      <w:r w:rsidRPr="00300841">
        <w:rPr>
          <w:i/>
          <w:szCs w:val="24"/>
        </w:rPr>
        <w:t>Plant Physiology</w:t>
      </w:r>
      <w:r w:rsidRPr="00300841">
        <w:rPr>
          <w:szCs w:val="24"/>
        </w:rPr>
        <w:t xml:space="preserve">  </w:t>
      </w:r>
      <w:r w:rsidRPr="00300841">
        <w:rPr>
          <w:b/>
          <w:szCs w:val="24"/>
        </w:rPr>
        <w:t>121</w:t>
      </w:r>
      <w:r w:rsidRPr="00300841">
        <w:rPr>
          <w:szCs w:val="24"/>
        </w:rPr>
        <w:t>, 763-774.</w:t>
      </w:r>
    </w:p>
    <w:p w:rsidR="00300841" w:rsidRPr="00300841" w:rsidRDefault="00300841" w:rsidP="00300841">
      <w:pPr>
        <w:spacing w:after="0" w:line="240" w:lineRule="auto"/>
        <w:ind w:left="720" w:hanging="720"/>
        <w:rPr>
          <w:szCs w:val="24"/>
        </w:rPr>
      </w:pPr>
      <w:r w:rsidRPr="00300841">
        <w:rPr>
          <w:szCs w:val="24"/>
        </w:rPr>
        <w:t xml:space="preserve">Kuroyanagi, M., Yamada, K., Hatsugai, N., Kondo, M., Nishimura, M. and Hara-Nishimura, I. (2005). Vacuolar Processing Enzyme Is Essential for Mycotoxin-induced Cell Death in </w:t>
      </w:r>
      <w:r w:rsidRPr="00300841">
        <w:rPr>
          <w:i/>
          <w:szCs w:val="24"/>
        </w:rPr>
        <w:t>Arabidopsis</w:t>
      </w:r>
      <w:r w:rsidRPr="00300841">
        <w:rPr>
          <w:szCs w:val="24"/>
        </w:rPr>
        <w:t xml:space="preserve"> </w:t>
      </w:r>
      <w:r w:rsidRPr="00300841">
        <w:rPr>
          <w:i/>
          <w:szCs w:val="24"/>
        </w:rPr>
        <w:t>thaliana.</w:t>
      </w:r>
      <w:r w:rsidRPr="00300841">
        <w:rPr>
          <w:szCs w:val="24"/>
        </w:rPr>
        <w:t xml:space="preserve"> </w:t>
      </w:r>
      <w:r w:rsidRPr="00300841">
        <w:rPr>
          <w:i/>
          <w:szCs w:val="24"/>
        </w:rPr>
        <w:t>Journal of Biological Chemistry</w:t>
      </w:r>
      <w:r w:rsidRPr="00300841">
        <w:rPr>
          <w:szCs w:val="24"/>
        </w:rPr>
        <w:t xml:space="preserve">  </w:t>
      </w:r>
      <w:r w:rsidRPr="00300841">
        <w:rPr>
          <w:b/>
          <w:szCs w:val="24"/>
        </w:rPr>
        <w:t>280</w:t>
      </w:r>
      <w:r w:rsidRPr="00300841">
        <w:rPr>
          <w:szCs w:val="24"/>
        </w:rPr>
        <w:t>, 32914-32920.</w:t>
      </w:r>
    </w:p>
    <w:p w:rsidR="00300841" w:rsidRPr="00300841" w:rsidRDefault="00300841" w:rsidP="00300841">
      <w:pPr>
        <w:spacing w:after="0" w:line="240" w:lineRule="auto"/>
        <w:ind w:left="720" w:hanging="720"/>
        <w:rPr>
          <w:szCs w:val="24"/>
        </w:rPr>
      </w:pPr>
      <w:r w:rsidRPr="00300841">
        <w:rPr>
          <w:szCs w:val="24"/>
        </w:rPr>
        <w:t>Laan, P., Berrevoets, M.J., Lythe, S., Armstrong, W. and Blom, C.W.P.M. (1989). Root Morphology and Aerenchyma Formation as Indicators of the Flood-Tolerance of Rumex Species</w:t>
      </w:r>
      <w:r w:rsidRPr="00300841">
        <w:rPr>
          <w:i/>
          <w:szCs w:val="24"/>
        </w:rPr>
        <w:t>.</w:t>
      </w:r>
      <w:r w:rsidRPr="00300841">
        <w:rPr>
          <w:szCs w:val="24"/>
        </w:rPr>
        <w:t xml:space="preserve"> </w:t>
      </w:r>
      <w:r w:rsidRPr="00300841">
        <w:rPr>
          <w:i/>
          <w:szCs w:val="24"/>
        </w:rPr>
        <w:t>Journal of Ecology</w:t>
      </w:r>
      <w:r w:rsidRPr="00300841">
        <w:rPr>
          <w:szCs w:val="24"/>
        </w:rPr>
        <w:t xml:space="preserve">  </w:t>
      </w:r>
      <w:r w:rsidRPr="00300841">
        <w:rPr>
          <w:b/>
          <w:szCs w:val="24"/>
        </w:rPr>
        <w:t>77</w:t>
      </w:r>
      <w:r w:rsidRPr="00300841">
        <w:rPr>
          <w:szCs w:val="24"/>
        </w:rPr>
        <w:t>, 693-703.</w:t>
      </w:r>
    </w:p>
    <w:p w:rsidR="00300841" w:rsidRPr="00300841" w:rsidRDefault="00300841" w:rsidP="00300841">
      <w:pPr>
        <w:spacing w:after="0" w:line="240" w:lineRule="auto"/>
        <w:ind w:left="720" w:hanging="720"/>
        <w:rPr>
          <w:szCs w:val="24"/>
        </w:rPr>
      </w:pPr>
      <w:r w:rsidRPr="00300841">
        <w:rPr>
          <w:szCs w:val="24"/>
        </w:rPr>
        <w:t>Lachaud, C., Da Silva, D., Cotelle, V., Thuleau, P., Xiong, T.C., Jauneau, A., Brière, C., Graziana, A., Bellec, Y., Faure, J.-D., Ranjeva, R. and Mazars, C. (2010). Nuclear calcium controls the apoptotic-like cell death induced by d-erythro-sphinganine in tobacco cells</w:t>
      </w:r>
      <w:r w:rsidRPr="00300841">
        <w:rPr>
          <w:i/>
          <w:szCs w:val="24"/>
        </w:rPr>
        <w:t>.</w:t>
      </w:r>
      <w:r w:rsidRPr="00300841">
        <w:rPr>
          <w:szCs w:val="24"/>
        </w:rPr>
        <w:t xml:space="preserve"> </w:t>
      </w:r>
      <w:r w:rsidRPr="00300841">
        <w:rPr>
          <w:i/>
          <w:szCs w:val="24"/>
        </w:rPr>
        <w:t>Cell Calcium</w:t>
      </w:r>
      <w:r w:rsidRPr="00300841">
        <w:rPr>
          <w:szCs w:val="24"/>
        </w:rPr>
        <w:t xml:space="preserve">  </w:t>
      </w:r>
      <w:r w:rsidRPr="00300841">
        <w:rPr>
          <w:b/>
          <w:szCs w:val="24"/>
        </w:rPr>
        <w:t>47</w:t>
      </w:r>
      <w:r w:rsidRPr="00300841">
        <w:rPr>
          <w:szCs w:val="24"/>
        </w:rPr>
        <w:t>, 92-100.</w:t>
      </w:r>
    </w:p>
    <w:p w:rsidR="00300841" w:rsidRPr="00300841" w:rsidRDefault="00300841" w:rsidP="00300841">
      <w:pPr>
        <w:spacing w:after="0" w:line="240" w:lineRule="auto"/>
        <w:ind w:left="720" w:hanging="720"/>
        <w:rPr>
          <w:szCs w:val="24"/>
        </w:rPr>
      </w:pPr>
      <w:r w:rsidRPr="00300841">
        <w:rPr>
          <w:szCs w:val="24"/>
        </w:rPr>
        <w:t>Laloi, C., Apel, K. and Danon, A. (2004). Reactive oxygen signalling: the latest news</w:t>
      </w:r>
      <w:r w:rsidRPr="00300841">
        <w:rPr>
          <w:i/>
          <w:szCs w:val="24"/>
        </w:rPr>
        <w:t>.</w:t>
      </w:r>
      <w:r w:rsidRPr="00300841">
        <w:rPr>
          <w:szCs w:val="24"/>
        </w:rPr>
        <w:t xml:space="preserve"> </w:t>
      </w:r>
      <w:r w:rsidRPr="00300841">
        <w:rPr>
          <w:i/>
          <w:szCs w:val="24"/>
        </w:rPr>
        <w:t>Current Opinion in Plant Biology</w:t>
      </w:r>
      <w:r w:rsidRPr="00300841">
        <w:rPr>
          <w:szCs w:val="24"/>
        </w:rPr>
        <w:t xml:space="preserve">  </w:t>
      </w:r>
      <w:r w:rsidRPr="00300841">
        <w:rPr>
          <w:b/>
          <w:szCs w:val="24"/>
        </w:rPr>
        <w:t>7</w:t>
      </w:r>
      <w:r w:rsidRPr="00300841">
        <w:rPr>
          <w:szCs w:val="24"/>
        </w:rPr>
        <w:t>, 323-328.</w:t>
      </w:r>
    </w:p>
    <w:p w:rsidR="00300841" w:rsidRPr="00300841" w:rsidRDefault="00300841" w:rsidP="00300841">
      <w:pPr>
        <w:spacing w:after="0" w:line="240" w:lineRule="auto"/>
        <w:ind w:left="720" w:hanging="720"/>
        <w:rPr>
          <w:szCs w:val="24"/>
        </w:rPr>
      </w:pPr>
      <w:r w:rsidRPr="00300841">
        <w:rPr>
          <w:szCs w:val="24"/>
        </w:rPr>
        <w:t>Lamb, C. and Dixon, R.A. (1997). The oxidative burst in plant disease resistance</w:t>
      </w:r>
      <w:r w:rsidRPr="00300841">
        <w:rPr>
          <w:i/>
          <w:szCs w:val="24"/>
        </w:rPr>
        <w:t>.</w:t>
      </w:r>
      <w:r w:rsidRPr="00300841">
        <w:rPr>
          <w:szCs w:val="24"/>
        </w:rPr>
        <w:t xml:space="preserve"> </w:t>
      </w:r>
      <w:r w:rsidRPr="00300841">
        <w:rPr>
          <w:i/>
          <w:szCs w:val="24"/>
        </w:rPr>
        <w:t>Annual Review of Plant Physiology and Plant Molecular Biology</w:t>
      </w:r>
      <w:r w:rsidRPr="00300841">
        <w:rPr>
          <w:szCs w:val="24"/>
        </w:rPr>
        <w:t xml:space="preserve">  </w:t>
      </w:r>
      <w:r w:rsidRPr="00300841">
        <w:rPr>
          <w:b/>
          <w:szCs w:val="24"/>
        </w:rPr>
        <w:t>48</w:t>
      </w:r>
      <w:r w:rsidRPr="00300841">
        <w:rPr>
          <w:szCs w:val="24"/>
        </w:rPr>
        <w:t>, 251-275.</w:t>
      </w:r>
    </w:p>
    <w:p w:rsidR="00300841" w:rsidRPr="00300841" w:rsidRDefault="00300841" w:rsidP="00300841">
      <w:pPr>
        <w:spacing w:after="0" w:line="240" w:lineRule="auto"/>
        <w:ind w:left="720" w:hanging="720"/>
        <w:rPr>
          <w:szCs w:val="24"/>
        </w:rPr>
      </w:pPr>
      <w:r w:rsidRPr="00300841">
        <w:rPr>
          <w:szCs w:val="24"/>
        </w:rPr>
        <w:t>Langston, B.J., Bai, S. and Jones, M.L. (2005). Increases in DNA fragmentation and induction of a senescence-specific nuclease are delayed during corolla senescence in ethylene-insensitive (etr1-1) transgenic petunias</w:t>
      </w:r>
      <w:r w:rsidRPr="00300841">
        <w:rPr>
          <w:i/>
          <w:szCs w:val="24"/>
        </w:rPr>
        <w:t>.</w:t>
      </w:r>
      <w:r w:rsidRPr="00300841">
        <w:rPr>
          <w:szCs w:val="24"/>
        </w:rPr>
        <w:t xml:space="preserve"> </w:t>
      </w:r>
      <w:r w:rsidRPr="00300841">
        <w:rPr>
          <w:i/>
          <w:szCs w:val="24"/>
        </w:rPr>
        <w:t>Journal of Experimental Botany</w:t>
      </w:r>
      <w:r w:rsidRPr="00300841">
        <w:rPr>
          <w:szCs w:val="24"/>
        </w:rPr>
        <w:t xml:space="preserve">  </w:t>
      </w:r>
      <w:r w:rsidRPr="00300841">
        <w:rPr>
          <w:b/>
          <w:szCs w:val="24"/>
        </w:rPr>
        <w:t>56</w:t>
      </w:r>
      <w:r w:rsidRPr="00300841">
        <w:rPr>
          <w:szCs w:val="24"/>
        </w:rPr>
        <w:t>, 15-23.</w:t>
      </w:r>
    </w:p>
    <w:p w:rsidR="00300841" w:rsidRPr="00300841" w:rsidRDefault="00300841" w:rsidP="00300841">
      <w:pPr>
        <w:spacing w:after="0" w:line="240" w:lineRule="auto"/>
        <w:ind w:left="720" w:hanging="720"/>
        <w:rPr>
          <w:szCs w:val="24"/>
        </w:rPr>
      </w:pPr>
      <w:r w:rsidRPr="00300841">
        <w:rPr>
          <w:szCs w:val="24"/>
        </w:rPr>
        <w:t>Lanneau, D., Brunet, M., Frisan, E., Solary, E., Fontenay, M. and Garrido, C. (2008). Heat shock proteins: essential proteins for apoptosis regulation</w:t>
      </w:r>
      <w:r w:rsidRPr="00300841">
        <w:rPr>
          <w:i/>
          <w:szCs w:val="24"/>
        </w:rPr>
        <w:t>.</w:t>
      </w:r>
      <w:r w:rsidRPr="00300841">
        <w:rPr>
          <w:szCs w:val="24"/>
        </w:rPr>
        <w:t xml:space="preserve"> </w:t>
      </w:r>
      <w:r w:rsidRPr="00300841">
        <w:rPr>
          <w:i/>
          <w:szCs w:val="24"/>
        </w:rPr>
        <w:t>Journal of Cellular and Molecular Medicine</w:t>
      </w:r>
      <w:r w:rsidRPr="00300841">
        <w:rPr>
          <w:szCs w:val="24"/>
        </w:rPr>
        <w:t xml:space="preserve">  </w:t>
      </w:r>
      <w:r w:rsidRPr="00300841">
        <w:rPr>
          <w:b/>
          <w:szCs w:val="24"/>
        </w:rPr>
        <w:t>12</w:t>
      </w:r>
      <w:r w:rsidRPr="00300841">
        <w:rPr>
          <w:szCs w:val="24"/>
        </w:rPr>
        <w:t>, 743-761.</w:t>
      </w:r>
    </w:p>
    <w:p w:rsidR="00300841" w:rsidRPr="00300841" w:rsidRDefault="00300841" w:rsidP="00300841">
      <w:pPr>
        <w:spacing w:after="0" w:line="240" w:lineRule="auto"/>
        <w:ind w:left="720" w:hanging="720"/>
        <w:rPr>
          <w:szCs w:val="24"/>
        </w:rPr>
      </w:pPr>
      <w:r w:rsidRPr="00300841">
        <w:rPr>
          <w:szCs w:val="24"/>
        </w:rPr>
        <w:t>Larsson, E., Sitbon, F. and von Arnold, S. (2008). Polar auxin transport controls suspensor fate</w:t>
      </w:r>
      <w:r w:rsidRPr="00300841">
        <w:rPr>
          <w:i/>
          <w:szCs w:val="24"/>
        </w:rPr>
        <w:t>.</w:t>
      </w:r>
      <w:r w:rsidRPr="00300841">
        <w:rPr>
          <w:szCs w:val="24"/>
        </w:rPr>
        <w:t xml:space="preserve"> </w:t>
      </w:r>
      <w:r w:rsidRPr="00300841">
        <w:rPr>
          <w:i/>
          <w:szCs w:val="24"/>
        </w:rPr>
        <w:t>Plant Signaling &amp; Behavior</w:t>
      </w:r>
      <w:r w:rsidRPr="00300841">
        <w:rPr>
          <w:szCs w:val="24"/>
        </w:rPr>
        <w:t xml:space="preserve">  </w:t>
      </w:r>
      <w:r w:rsidRPr="00300841">
        <w:rPr>
          <w:b/>
          <w:szCs w:val="24"/>
        </w:rPr>
        <w:t>3</w:t>
      </w:r>
      <w:r w:rsidRPr="00300841">
        <w:rPr>
          <w:szCs w:val="24"/>
        </w:rPr>
        <w:t>, 469-70.</w:t>
      </w:r>
    </w:p>
    <w:p w:rsidR="00300841" w:rsidRPr="00300841" w:rsidRDefault="00300841" w:rsidP="00300841">
      <w:pPr>
        <w:spacing w:after="0" w:line="240" w:lineRule="auto"/>
        <w:ind w:left="720" w:hanging="720"/>
        <w:rPr>
          <w:szCs w:val="24"/>
        </w:rPr>
      </w:pPr>
      <w:r w:rsidRPr="00300841">
        <w:rPr>
          <w:szCs w:val="24"/>
        </w:rPr>
        <w:t>Lazarow, P.B. (2003). Peroxisome biogenesis: advances and conundrums</w:t>
      </w:r>
      <w:r w:rsidRPr="00300841">
        <w:rPr>
          <w:i/>
          <w:szCs w:val="24"/>
        </w:rPr>
        <w:t>.</w:t>
      </w:r>
      <w:r w:rsidRPr="00300841">
        <w:rPr>
          <w:szCs w:val="24"/>
        </w:rPr>
        <w:t xml:space="preserve"> </w:t>
      </w:r>
      <w:r w:rsidRPr="00300841">
        <w:rPr>
          <w:i/>
          <w:szCs w:val="24"/>
        </w:rPr>
        <w:t>Current Opinion in Cell Biology</w:t>
      </w:r>
      <w:r w:rsidRPr="00300841">
        <w:rPr>
          <w:szCs w:val="24"/>
        </w:rPr>
        <w:t xml:space="preserve">  </w:t>
      </w:r>
      <w:r w:rsidRPr="00300841">
        <w:rPr>
          <w:b/>
          <w:szCs w:val="24"/>
        </w:rPr>
        <w:t>15</w:t>
      </w:r>
      <w:r w:rsidRPr="00300841">
        <w:rPr>
          <w:szCs w:val="24"/>
        </w:rPr>
        <w:t>, 489-497.</w:t>
      </w:r>
    </w:p>
    <w:p w:rsidR="00300841" w:rsidRPr="00300841" w:rsidRDefault="00300841" w:rsidP="00300841">
      <w:pPr>
        <w:spacing w:after="0" w:line="240" w:lineRule="auto"/>
        <w:ind w:left="720" w:hanging="720"/>
        <w:rPr>
          <w:szCs w:val="24"/>
        </w:rPr>
      </w:pPr>
      <w:r w:rsidRPr="00300841">
        <w:rPr>
          <w:szCs w:val="24"/>
        </w:rPr>
        <w:t>Lennon, S.V., Martin, S.J. and Cotter, T.G. (1991). Dose-dependent induction of apoptosis in human tumour cell lines by widely diverging stimuli</w:t>
      </w:r>
      <w:r w:rsidRPr="00300841">
        <w:rPr>
          <w:i/>
          <w:szCs w:val="24"/>
        </w:rPr>
        <w:t>.</w:t>
      </w:r>
      <w:r w:rsidRPr="00300841">
        <w:rPr>
          <w:szCs w:val="24"/>
        </w:rPr>
        <w:t xml:space="preserve"> </w:t>
      </w:r>
      <w:r w:rsidRPr="00300841">
        <w:rPr>
          <w:i/>
          <w:szCs w:val="24"/>
        </w:rPr>
        <w:t>Cell Proliferation</w:t>
      </w:r>
      <w:r w:rsidRPr="00300841">
        <w:rPr>
          <w:szCs w:val="24"/>
        </w:rPr>
        <w:t xml:space="preserve">  </w:t>
      </w:r>
      <w:r w:rsidRPr="00300841">
        <w:rPr>
          <w:b/>
          <w:szCs w:val="24"/>
        </w:rPr>
        <w:t>24</w:t>
      </w:r>
      <w:r w:rsidRPr="00300841">
        <w:rPr>
          <w:szCs w:val="24"/>
        </w:rPr>
        <w:t>, 203-214.</w:t>
      </w:r>
    </w:p>
    <w:p w:rsidR="00300841" w:rsidRPr="00300841" w:rsidRDefault="00300841" w:rsidP="00300841">
      <w:pPr>
        <w:spacing w:after="0" w:line="240" w:lineRule="auto"/>
        <w:ind w:left="720" w:hanging="720"/>
        <w:rPr>
          <w:szCs w:val="24"/>
        </w:rPr>
      </w:pPr>
      <w:r w:rsidRPr="00300841">
        <w:rPr>
          <w:szCs w:val="24"/>
        </w:rPr>
        <w:t>Lersten, N. (1983). Suspensors in Leguminosae</w:t>
      </w:r>
      <w:r w:rsidRPr="00300841">
        <w:rPr>
          <w:i/>
          <w:szCs w:val="24"/>
        </w:rPr>
        <w:t>.</w:t>
      </w:r>
      <w:r w:rsidRPr="00300841">
        <w:rPr>
          <w:szCs w:val="24"/>
        </w:rPr>
        <w:t xml:space="preserve"> </w:t>
      </w:r>
      <w:r w:rsidRPr="00300841">
        <w:rPr>
          <w:i/>
          <w:szCs w:val="24"/>
        </w:rPr>
        <w:t>The Botanical Review</w:t>
      </w:r>
      <w:r w:rsidRPr="00300841">
        <w:rPr>
          <w:szCs w:val="24"/>
        </w:rPr>
        <w:t xml:space="preserve">  </w:t>
      </w:r>
      <w:r w:rsidRPr="00300841">
        <w:rPr>
          <w:b/>
          <w:szCs w:val="24"/>
        </w:rPr>
        <w:t>49</w:t>
      </w:r>
      <w:r w:rsidRPr="00300841">
        <w:rPr>
          <w:szCs w:val="24"/>
        </w:rPr>
        <w:t>, 233-257.</w:t>
      </w:r>
    </w:p>
    <w:p w:rsidR="00300841" w:rsidRPr="00300841" w:rsidRDefault="00300841" w:rsidP="00300841">
      <w:pPr>
        <w:spacing w:after="0" w:line="240" w:lineRule="auto"/>
        <w:ind w:left="720" w:hanging="720"/>
        <w:rPr>
          <w:szCs w:val="24"/>
        </w:rPr>
      </w:pPr>
      <w:r w:rsidRPr="00300841">
        <w:rPr>
          <w:szCs w:val="24"/>
        </w:rPr>
        <w:t>Levin, D.A. (1973). The Role of Trichomes in Plant Defense</w:t>
      </w:r>
      <w:r w:rsidRPr="00300841">
        <w:rPr>
          <w:i/>
          <w:szCs w:val="24"/>
        </w:rPr>
        <w:t>.</w:t>
      </w:r>
      <w:r w:rsidRPr="00300841">
        <w:rPr>
          <w:szCs w:val="24"/>
        </w:rPr>
        <w:t xml:space="preserve"> </w:t>
      </w:r>
      <w:r w:rsidRPr="00300841">
        <w:rPr>
          <w:i/>
          <w:szCs w:val="24"/>
        </w:rPr>
        <w:t>The Quarterly Review of Biology</w:t>
      </w:r>
      <w:r w:rsidRPr="00300841">
        <w:rPr>
          <w:szCs w:val="24"/>
        </w:rPr>
        <w:t xml:space="preserve">  </w:t>
      </w:r>
      <w:r w:rsidRPr="00300841">
        <w:rPr>
          <w:b/>
          <w:szCs w:val="24"/>
        </w:rPr>
        <w:t>48</w:t>
      </w:r>
      <w:r w:rsidRPr="00300841">
        <w:rPr>
          <w:szCs w:val="24"/>
        </w:rPr>
        <w:t>, 3.</w:t>
      </w:r>
    </w:p>
    <w:p w:rsidR="00300841" w:rsidRPr="00300841" w:rsidRDefault="00300841" w:rsidP="00300841">
      <w:pPr>
        <w:spacing w:after="0" w:line="240" w:lineRule="auto"/>
        <w:ind w:left="720" w:hanging="720"/>
        <w:rPr>
          <w:szCs w:val="24"/>
        </w:rPr>
      </w:pPr>
      <w:r w:rsidRPr="00300841">
        <w:rPr>
          <w:szCs w:val="24"/>
        </w:rPr>
        <w:t>Levine, A., Pennell, R.I., Alvarez, M.E., Palmer, R. and Lamb, C. (1996). Calcium-mediated apoptosis in a plant hypersensitive disease resistance response</w:t>
      </w:r>
      <w:r w:rsidRPr="00300841">
        <w:rPr>
          <w:i/>
          <w:szCs w:val="24"/>
        </w:rPr>
        <w:t>.</w:t>
      </w:r>
      <w:r w:rsidRPr="00300841">
        <w:rPr>
          <w:szCs w:val="24"/>
        </w:rPr>
        <w:t xml:space="preserve"> </w:t>
      </w:r>
      <w:r w:rsidRPr="00300841">
        <w:rPr>
          <w:i/>
          <w:szCs w:val="24"/>
        </w:rPr>
        <w:t>Current Biology</w:t>
      </w:r>
      <w:r w:rsidRPr="00300841">
        <w:rPr>
          <w:szCs w:val="24"/>
        </w:rPr>
        <w:t xml:space="preserve">  </w:t>
      </w:r>
      <w:r w:rsidRPr="00300841">
        <w:rPr>
          <w:b/>
          <w:szCs w:val="24"/>
        </w:rPr>
        <w:t>6</w:t>
      </w:r>
      <w:r w:rsidRPr="00300841">
        <w:rPr>
          <w:szCs w:val="24"/>
        </w:rPr>
        <w:t>, 427-437.</w:t>
      </w:r>
    </w:p>
    <w:p w:rsidR="00300841" w:rsidRPr="00300841" w:rsidRDefault="00300841" w:rsidP="00300841">
      <w:pPr>
        <w:spacing w:after="0" w:line="240" w:lineRule="auto"/>
        <w:ind w:left="720" w:hanging="720"/>
        <w:rPr>
          <w:szCs w:val="24"/>
        </w:rPr>
      </w:pPr>
      <w:r w:rsidRPr="00300841">
        <w:rPr>
          <w:szCs w:val="24"/>
        </w:rPr>
        <w:t>Levine, A., Tenhaken, R., Dixon, R. and Lamb, C. (1994). H</w:t>
      </w:r>
      <w:r w:rsidRPr="00300841">
        <w:rPr>
          <w:szCs w:val="24"/>
          <w:vertAlign w:val="subscript"/>
        </w:rPr>
        <w:t>2</w:t>
      </w:r>
      <w:r w:rsidRPr="00300841">
        <w:rPr>
          <w:szCs w:val="24"/>
        </w:rPr>
        <w:t>O</w:t>
      </w:r>
      <w:r w:rsidRPr="00300841">
        <w:rPr>
          <w:szCs w:val="24"/>
          <w:vertAlign w:val="subscript"/>
        </w:rPr>
        <w:t>2</w:t>
      </w:r>
      <w:r w:rsidRPr="00300841">
        <w:rPr>
          <w:szCs w:val="24"/>
        </w:rPr>
        <w:t xml:space="preserve"> from the oxidative burst orchestrates the plant hypersensitive disease resistance response</w:t>
      </w:r>
      <w:r w:rsidRPr="00300841">
        <w:rPr>
          <w:i/>
          <w:szCs w:val="24"/>
        </w:rPr>
        <w:t>.</w:t>
      </w:r>
      <w:r w:rsidRPr="00300841">
        <w:rPr>
          <w:szCs w:val="24"/>
        </w:rPr>
        <w:t xml:space="preserve"> </w:t>
      </w:r>
      <w:r w:rsidRPr="00300841">
        <w:rPr>
          <w:i/>
          <w:szCs w:val="24"/>
        </w:rPr>
        <w:t>Cell</w:t>
      </w:r>
      <w:r w:rsidRPr="00300841">
        <w:rPr>
          <w:szCs w:val="24"/>
        </w:rPr>
        <w:t xml:space="preserve">  </w:t>
      </w:r>
      <w:r w:rsidRPr="00300841">
        <w:rPr>
          <w:b/>
          <w:szCs w:val="24"/>
        </w:rPr>
        <w:t>79</w:t>
      </w:r>
      <w:r w:rsidRPr="00300841">
        <w:rPr>
          <w:szCs w:val="24"/>
        </w:rPr>
        <w:t>, 583-593.</w:t>
      </w:r>
    </w:p>
    <w:p w:rsidR="00300841" w:rsidRPr="00300841" w:rsidRDefault="00300841" w:rsidP="00300841">
      <w:pPr>
        <w:spacing w:after="0" w:line="240" w:lineRule="auto"/>
        <w:ind w:left="720" w:hanging="720"/>
        <w:rPr>
          <w:szCs w:val="24"/>
        </w:rPr>
      </w:pPr>
      <w:r w:rsidRPr="00300841">
        <w:rPr>
          <w:szCs w:val="24"/>
        </w:rPr>
        <w:t>Levine, B. and Klionsky, D.J. (2004). Development by Self-Digestion: Molecular Mechanisms and Biological Functions of Autophagy</w:t>
      </w:r>
      <w:r w:rsidRPr="00300841">
        <w:rPr>
          <w:i/>
          <w:szCs w:val="24"/>
        </w:rPr>
        <w:t>.</w:t>
      </w:r>
      <w:r w:rsidRPr="00300841">
        <w:rPr>
          <w:szCs w:val="24"/>
        </w:rPr>
        <w:t xml:space="preserve"> </w:t>
      </w:r>
      <w:r w:rsidRPr="00300841">
        <w:rPr>
          <w:i/>
          <w:szCs w:val="24"/>
        </w:rPr>
        <w:t>Developmental Cell</w:t>
      </w:r>
      <w:r w:rsidRPr="00300841">
        <w:rPr>
          <w:szCs w:val="24"/>
        </w:rPr>
        <w:t xml:space="preserve">  </w:t>
      </w:r>
      <w:r w:rsidRPr="00300841">
        <w:rPr>
          <w:b/>
          <w:szCs w:val="24"/>
        </w:rPr>
        <w:t>6</w:t>
      </w:r>
      <w:r w:rsidRPr="00300841">
        <w:rPr>
          <w:szCs w:val="24"/>
        </w:rPr>
        <w:t>, 463-477.</w:t>
      </w:r>
    </w:p>
    <w:p w:rsidR="00300841" w:rsidRPr="00300841" w:rsidRDefault="00300841" w:rsidP="00300841">
      <w:pPr>
        <w:spacing w:after="0" w:line="240" w:lineRule="auto"/>
        <w:ind w:left="720" w:hanging="720"/>
        <w:rPr>
          <w:szCs w:val="24"/>
        </w:rPr>
      </w:pPr>
      <w:r w:rsidRPr="00300841">
        <w:rPr>
          <w:szCs w:val="24"/>
        </w:rPr>
        <w:t>Levine, B. and Kroemer, G. (2009). Autophagy in aging, disease and death: the true identity of a cell death impostor</w:t>
      </w:r>
      <w:r w:rsidRPr="00300841">
        <w:rPr>
          <w:i/>
          <w:szCs w:val="24"/>
        </w:rPr>
        <w:t>.</w:t>
      </w:r>
      <w:r w:rsidRPr="00300841">
        <w:rPr>
          <w:szCs w:val="24"/>
        </w:rPr>
        <w:t xml:space="preserve"> </w:t>
      </w:r>
      <w:r w:rsidRPr="00300841">
        <w:rPr>
          <w:i/>
          <w:szCs w:val="24"/>
        </w:rPr>
        <w:t>Cell Death Differentiation</w:t>
      </w:r>
      <w:r w:rsidRPr="00300841">
        <w:rPr>
          <w:szCs w:val="24"/>
        </w:rPr>
        <w:t xml:space="preserve">  </w:t>
      </w:r>
      <w:r w:rsidRPr="00300841">
        <w:rPr>
          <w:b/>
          <w:szCs w:val="24"/>
        </w:rPr>
        <w:t>16</w:t>
      </w:r>
      <w:r w:rsidRPr="00300841">
        <w:rPr>
          <w:szCs w:val="24"/>
        </w:rPr>
        <w:t>, 1-2.</w:t>
      </w:r>
    </w:p>
    <w:p w:rsidR="00300841" w:rsidRPr="00300841" w:rsidRDefault="00300841" w:rsidP="00300841">
      <w:pPr>
        <w:spacing w:after="0" w:line="240" w:lineRule="auto"/>
        <w:ind w:left="720" w:hanging="720"/>
        <w:rPr>
          <w:szCs w:val="24"/>
        </w:rPr>
      </w:pPr>
      <w:r w:rsidRPr="00300841">
        <w:rPr>
          <w:szCs w:val="24"/>
        </w:rPr>
        <w:t>Li, J.-Y., Jiang, A.-L., Chen, H.-Y., Wang, Y. and Zhang, W. (2007a). Lanthanum Prevents Salt Stress-induced Programmed Cell Death in Rice Root Tip Cells by Controlling Early Induction Events</w:t>
      </w:r>
      <w:r w:rsidRPr="00300841">
        <w:rPr>
          <w:i/>
          <w:szCs w:val="24"/>
        </w:rPr>
        <w:t>.</w:t>
      </w:r>
      <w:r w:rsidRPr="00300841">
        <w:rPr>
          <w:szCs w:val="24"/>
        </w:rPr>
        <w:t xml:space="preserve"> </w:t>
      </w:r>
      <w:r w:rsidRPr="00300841">
        <w:rPr>
          <w:i/>
          <w:szCs w:val="24"/>
        </w:rPr>
        <w:t>Journal of Integrative Plant Biology</w:t>
      </w:r>
      <w:r w:rsidRPr="00300841">
        <w:rPr>
          <w:szCs w:val="24"/>
        </w:rPr>
        <w:t xml:space="preserve">  </w:t>
      </w:r>
      <w:r w:rsidRPr="00300841">
        <w:rPr>
          <w:b/>
          <w:szCs w:val="24"/>
        </w:rPr>
        <w:t>49</w:t>
      </w:r>
      <w:r w:rsidRPr="00300841">
        <w:rPr>
          <w:szCs w:val="24"/>
        </w:rPr>
        <w:t>, 1024-1031.</w:t>
      </w:r>
    </w:p>
    <w:p w:rsidR="00300841" w:rsidRPr="00300841" w:rsidRDefault="00300841" w:rsidP="00300841">
      <w:pPr>
        <w:spacing w:after="0" w:line="240" w:lineRule="auto"/>
        <w:ind w:left="720" w:hanging="720"/>
        <w:rPr>
          <w:rFonts w:asciiTheme="minorHAnsi" w:hAnsiTheme="minorHAnsi"/>
          <w:szCs w:val="24"/>
        </w:rPr>
      </w:pPr>
      <w:r w:rsidRPr="00300841">
        <w:rPr>
          <w:szCs w:val="24"/>
        </w:rPr>
        <w:t>Li, L.Y., Luo, X. and Wang, X. (2001). Endonuclease G is an apoptotic DNase when released from mitochondria</w:t>
      </w:r>
      <w:r w:rsidRPr="00300841">
        <w:rPr>
          <w:i/>
          <w:szCs w:val="24"/>
        </w:rPr>
        <w:t>.</w:t>
      </w:r>
      <w:r w:rsidRPr="00300841">
        <w:rPr>
          <w:szCs w:val="24"/>
        </w:rPr>
        <w:t xml:space="preserve"> </w:t>
      </w:r>
      <w:r w:rsidRPr="00300841">
        <w:rPr>
          <w:i/>
          <w:szCs w:val="24"/>
        </w:rPr>
        <w:t>Nature</w:t>
      </w:r>
      <w:r w:rsidRPr="00300841">
        <w:rPr>
          <w:szCs w:val="24"/>
        </w:rPr>
        <w:t xml:space="preserve">  </w:t>
      </w:r>
      <w:r w:rsidRPr="00300841">
        <w:rPr>
          <w:b/>
          <w:szCs w:val="24"/>
        </w:rPr>
        <w:t>412</w:t>
      </w:r>
      <w:r w:rsidRPr="00300841">
        <w:rPr>
          <w:szCs w:val="24"/>
        </w:rPr>
        <w:t>, 95-99.</w:t>
      </w:r>
    </w:p>
    <w:p w:rsidR="00300841" w:rsidRPr="00300841" w:rsidRDefault="00300841" w:rsidP="00300841">
      <w:pPr>
        <w:spacing w:after="0" w:line="240" w:lineRule="auto"/>
        <w:ind w:left="720" w:hanging="720"/>
        <w:rPr>
          <w:rFonts w:asciiTheme="minorHAnsi" w:hAnsiTheme="minorHAnsi"/>
          <w:szCs w:val="24"/>
        </w:rPr>
      </w:pPr>
      <w:r w:rsidRPr="00300841">
        <w:rPr>
          <w:rFonts w:asciiTheme="minorHAnsi" w:hAnsiTheme="minorHAnsi" w:cs="Times New Roman"/>
          <w:szCs w:val="24"/>
        </w:rPr>
        <w:t>Li, R.</w:t>
      </w:r>
      <w:r w:rsidRPr="00300841">
        <w:rPr>
          <w:rFonts w:asciiTheme="minorHAnsi" w:hAnsiTheme="minorHAnsi"/>
          <w:szCs w:val="24"/>
        </w:rPr>
        <w:t xml:space="preserve">, </w:t>
      </w:r>
      <w:r w:rsidRPr="00300841">
        <w:rPr>
          <w:rFonts w:asciiTheme="minorHAnsi" w:hAnsiTheme="minorHAnsi" w:cs="Times New Roman"/>
          <w:szCs w:val="24"/>
        </w:rPr>
        <w:t>Lan, S.Y.</w:t>
      </w:r>
      <w:r w:rsidRPr="00300841">
        <w:rPr>
          <w:rFonts w:asciiTheme="minorHAnsi" w:hAnsiTheme="minorHAnsi"/>
          <w:szCs w:val="24"/>
        </w:rPr>
        <w:t xml:space="preserve"> and </w:t>
      </w:r>
      <w:r w:rsidRPr="00300841">
        <w:rPr>
          <w:rFonts w:asciiTheme="minorHAnsi" w:hAnsiTheme="minorHAnsi" w:cs="Times New Roman"/>
          <w:szCs w:val="24"/>
        </w:rPr>
        <w:t>Xu, Z.X.</w:t>
      </w:r>
      <w:r w:rsidRPr="00300841">
        <w:rPr>
          <w:rFonts w:asciiTheme="minorHAnsi" w:hAnsiTheme="minorHAnsi"/>
          <w:szCs w:val="24"/>
        </w:rPr>
        <w:t xml:space="preserve"> (2004). </w:t>
      </w:r>
      <w:r w:rsidRPr="00300841">
        <w:rPr>
          <w:rFonts w:asciiTheme="minorHAnsi" w:hAnsiTheme="minorHAnsi" w:cs="Times New Roman"/>
          <w:szCs w:val="24"/>
        </w:rPr>
        <w:t>Programmed Cell Death in Wheat During Starchy Endosperm Development</w:t>
      </w:r>
      <w:r w:rsidRPr="00300841">
        <w:rPr>
          <w:rFonts w:asciiTheme="minorHAnsi" w:hAnsiTheme="minorHAnsi"/>
          <w:i/>
          <w:szCs w:val="24"/>
        </w:rPr>
        <w:t>.</w:t>
      </w:r>
      <w:r w:rsidRPr="00300841">
        <w:rPr>
          <w:rFonts w:asciiTheme="minorHAnsi" w:hAnsiTheme="minorHAnsi"/>
          <w:szCs w:val="24"/>
        </w:rPr>
        <w:t xml:space="preserve"> </w:t>
      </w:r>
      <w:r w:rsidRPr="00300841">
        <w:rPr>
          <w:rFonts w:asciiTheme="minorHAnsi" w:hAnsiTheme="minorHAnsi" w:cs="Times New Roman"/>
          <w:i/>
          <w:szCs w:val="24"/>
        </w:rPr>
        <w:t xml:space="preserve">Journal of Plant Physiology and Molecular Biology </w:t>
      </w:r>
      <w:r w:rsidRPr="00300841">
        <w:rPr>
          <w:rFonts w:asciiTheme="minorHAnsi" w:hAnsiTheme="minorHAnsi"/>
          <w:b/>
          <w:szCs w:val="24"/>
        </w:rPr>
        <w:t xml:space="preserve">30, </w:t>
      </w:r>
      <w:r w:rsidRPr="00300841">
        <w:rPr>
          <w:rFonts w:asciiTheme="minorHAnsi" w:hAnsiTheme="minorHAnsi"/>
          <w:szCs w:val="24"/>
        </w:rPr>
        <w:t>183-188.</w:t>
      </w:r>
    </w:p>
    <w:p w:rsidR="00300841" w:rsidRPr="00300841" w:rsidRDefault="00300841" w:rsidP="00300841">
      <w:pPr>
        <w:spacing w:after="0" w:line="240" w:lineRule="auto"/>
        <w:ind w:left="720" w:hanging="720"/>
        <w:rPr>
          <w:szCs w:val="24"/>
        </w:rPr>
      </w:pPr>
      <w:r w:rsidRPr="00300841">
        <w:rPr>
          <w:szCs w:val="24"/>
        </w:rPr>
        <w:t xml:space="preserve">Li, S. and Franklin-Tong, V.E. (2008). Self-incompatibility in </w:t>
      </w:r>
      <w:r w:rsidRPr="00300841">
        <w:rPr>
          <w:i/>
          <w:szCs w:val="24"/>
        </w:rPr>
        <w:t>Papaver</w:t>
      </w:r>
      <w:r w:rsidRPr="00300841">
        <w:rPr>
          <w:szCs w:val="24"/>
        </w:rPr>
        <w:t>: A MAP kinase signals to trigger programmed cell death</w:t>
      </w:r>
      <w:r w:rsidRPr="00300841">
        <w:rPr>
          <w:i/>
          <w:szCs w:val="24"/>
        </w:rPr>
        <w:t>.</w:t>
      </w:r>
      <w:r w:rsidRPr="00300841">
        <w:rPr>
          <w:szCs w:val="24"/>
        </w:rPr>
        <w:t xml:space="preserve"> </w:t>
      </w:r>
      <w:r w:rsidRPr="00300841">
        <w:rPr>
          <w:i/>
          <w:szCs w:val="24"/>
        </w:rPr>
        <w:t>Plant Signaling and Behavior</w:t>
      </w:r>
      <w:r w:rsidRPr="00300841">
        <w:rPr>
          <w:szCs w:val="24"/>
        </w:rPr>
        <w:t xml:space="preserve">  </w:t>
      </w:r>
      <w:r w:rsidRPr="00300841">
        <w:rPr>
          <w:b/>
          <w:szCs w:val="24"/>
        </w:rPr>
        <w:t>3</w:t>
      </w:r>
      <w:r w:rsidRPr="00300841">
        <w:rPr>
          <w:szCs w:val="24"/>
        </w:rPr>
        <w:t>, 243–245.</w:t>
      </w:r>
    </w:p>
    <w:p w:rsidR="00300841" w:rsidRPr="00300841" w:rsidRDefault="00300841" w:rsidP="00300841">
      <w:pPr>
        <w:spacing w:after="0" w:line="240" w:lineRule="auto"/>
        <w:ind w:left="720" w:hanging="720"/>
        <w:rPr>
          <w:szCs w:val="24"/>
        </w:rPr>
      </w:pPr>
      <w:r w:rsidRPr="00300841">
        <w:rPr>
          <w:szCs w:val="24"/>
        </w:rPr>
        <w:t xml:space="preserve">Li, S., Samaj, J. and Franklin-Tong, V.E. (2007b). A Mitogen-Activated Protein Kinase Signals to Programmed Cell Death Induced by Self-Incompatibility in </w:t>
      </w:r>
      <w:r w:rsidRPr="00300841">
        <w:rPr>
          <w:i/>
          <w:szCs w:val="24"/>
        </w:rPr>
        <w:t>Papaver</w:t>
      </w:r>
      <w:r w:rsidRPr="00300841">
        <w:rPr>
          <w:szCs w:val="24"/>
        </w:rPr>
        <w:t xml:space="preserve"> Pollen</w:t>
      </w:r>
      <w:r w:rsidRPr="00300841">
        <w:rPr>
          <w:i/>
          <w:szCs w:val="24"/>
        </w:rPr>
        <w:t>.</w:t>
      </w:r>
      <w:r w:rsidRPr="00300841">
        <w:rPr>
          <w:szCs w:val="24"/>
        </w:rPr>
        <w:t xml:space="preserve"> </w:t>
      </w:r>
      <w:r w:rsidRPr="00300841">
        <w:rPr>
          <w:i/>
          <w:szCs w:val="24"/>
        </w:rPr>
        <w:t xml:space="preserve">Plant Physiology </w:t>
      </w:r>
      <w:r w:rsidRPr="00300841">
        <w:rPr>
          <w:b/>
          <w:szCs w:val="24"/>
        </w:rPr>
        <w:t>145</w:t>
      </w:r>
      <w:r w:rsidRPr="00300841">
        <w:rPr>
          <w:szCs w:val="24"/>
        </w:rPr>
        <w:t>, 236-245.</w:t>
      </w:r>
    </w:p>
    <w:p w:rsidR="00300841" w:rsidRPr="00300841" w:rsidRDefault="00300841" w:rsidP="00300841">
      <w:pPr>
        <w:spacing w:after="0" w:line="240" w:lineRule="auto"/>
        <w:ind w:left="720" w:hanging="720"/>
        <w:rPr>
          <w:szCs w:val="24"/>
        </w:rPr>
      </w:pPr>
      <w:r w:rsidRPr="00300841">
        <w:rPr>
          <w:szCs w:val="24"/>
        </w:rPr>
        <w:t>Liang, H., Yao, N., Song, J.T., Luo, S., Lu, H. and Greenberg, J.T. (2003). Ceramides modulate programmed cell death in plants</w:t>
      </w:r>
      <w:r w:rsidRPr="00300841">
        <w:rPr>
          <w:i/>
          <w:szCs w:val="24"/>
        </w:rPr>
        <w:t>.</w:t>
      </w:r>
      <w:r w:rsidRPr="00300841">
        <w:rPr>
          <w:szCs w:val="24"/>
        </w:rPr>
        <w:t xml:space="preserve"> </w:t>
      </w:r>
      <w:r w:rsidRPr="00300841">
        <w:rPr>
          <w:i/>
          <w:szCs w:val="24"/>
        </w:rPr>
        <w:t>Genes &amp; Development</w:t>
      </w:r>
      <w:r w:rsidRPr="00300841">
        <w:rPr>
          <w:szCs w:val="24"/>
        </w:rPr>
        <w:t xml:space="preserve">  </w:t>
      </w:r>
      <w:r w:rsidRPr="00300841">
        <w:rPr>
          <w:b/>
          <w:szCs w:val="24"/>
        </w:rPr>
        <w:t>17</w:t>
      </w:r>
      <w:r w:rsidRPr="00300841">
        <w:rPr>
          <w:szCs w:val="24"/>
        </w:rPr>
        <w:t>, 2636-2641.</w:t>
      </w:r>
    </w:p>
    <w:p w:rsidR="00300841" w:rsidRPr="00300841" w:rsidRDefault="00300841" w:rsidP="00300841">
      <w:pPr>
        <w:spacing w:after="0" w:line="240" w:lineRule="auto"/>
        <w:ind w:left="720" w:hanging="720"/>
        <w:rPr>
          <w:szCs w:val="24"/>
        </w:rPr>
      </w:pPr>
      <w:r w:rsidRPr="00300841">
        <w:rPr>
          <w:szCs w:val="24"/>
        </w:rPr>
        <w:t>Lin, J., Wang, Y. and Wang, G. (2005). Salt stress-induced programmed cell death via Ca</w:t>
      </w:r>
      <w:r w:rsidRPr="00300841">
        <w:rPr>
          <w:szCs w:val="24"/>
          <w:vertAlign w:val="superscript"/>
        </w:rPr>
        <w:t>2+</w:t>
      </w:r>
      <w:r w:rsidRPr="00300841">
        <w:rPr>
          <w:szCs w:val="24"/>
        </w:rPr>
        <w:t>-mediated mitochondrial permeability transition in tobacco protoplasts</w:t>
      </w:r>
      <w:r w:rsidRPr="00300841">
        <w:rPr>
          <w:i/>
          <w:szCs w:val="24"/>
        </w:rPr>
        <w:t>.</w:t>
      </w:r>
      <w:r w:rsidRPr="00300841">
        <w:rPr>
          <w:szCs w:val="24"/>
        </w:rPr>
        <w:t xml:space="preserve"> </w:t>
      </w:r>
      <w:r w:rsidRPr="00300841">
        <w:rPr>
          <w:i/>
          <w:szCs w:val="24"/>
        </w:rPr>
        <w:t>Plant Growth Regulation</w:t>
      </w:r>
      <w:r w:rsidRPr="00300841">
        <w:rPr>
          <w:szCs w:val="24"/>
        </w:rPr>
        <w:t xml:space="preserve">  </w:t>
      </w:r>
      <w:r w:rsidRPr="00300841">
        <w:rPr>
          <w:b/>
          <w:szCs w:val="24"/>
        </w:rPr>
        <w:t>45</w:t>
      </w:r>
      <w:r w:rsidRPr="00300841">
        <w:rPr>
          <w:szCs w:val="24"/>
        </w:rPr>
        <w:t>, 243-250.</w:t>
      </w:r>
    </w:p>
    <w:p w:rsidR="00300841" w:rsidRPr="00300841" w:rsidRDefault="00300841" w:rsidP="00300841">
      <w:pPr>
        <w:spacing w:after="0" w:line="240" w:lineRule="auto"/>
        <w:ind w:left="720" w:hanging="720"/>
        <w:rPr>
          <w:szCs w:val="24"/>
        </w:rPr>
      </w:pPr>
      <w:r w:rsidRPr="00300841">
        <w:rPr>
          <w:szCs w:val="24"/>
        </w:rPr>
        <w:t>Lin, J., Wang, Y. and Wang, G. (2006). Salt stress-induced programmed cell death in tobacco protoplasts is mediated by reactive oxygen species and mitochondrial permeability transition pore status</w:t>
      </w:r>
      <w:r w:rsidRPr="00300841">
        <w:rPr>
          <w:i/>
          <w:szCs w:val="24"/>
        </w:rPr>
        <w:t>.</w:t>
      </w:r>
      <w:r w:rsidRPr="00300841">
        <w:rPr>
          <w:szCs w:val="24"/>
        </w:rPr>
        <w:t xml:space="preserve"> </w:t>
      </w:r>
      <w:r w:rsidRPr="00300841">
        <w:rPr>
          <w:i/>
          <w:szCs w:val="24"/>
        </w:rPr>
        <w:t>Journal of Plant Physiology</w:t>
      </w:r>
      <w:r w:rsidRPr="00300841">
        <w:rPr>
          <w:szCs w:val="24"/>
        </w:rPr>
        <w:t xml:space="preserve">  </w:t>
      </w:r>
      <w:r w:rsidRPr="00300841">
        <w:rPr>
          <w:b/>
          <w:szCs w:val="24"/>
        </w:rPr>
        <w:t>163</w:t>
      </w:r>
      <w:r w:rsidRPr="00300841">
        <w:rPr>
          <w:szCs w:val="24"/>
        </w:rPr>
        <w:t>, 731-739.</w:t>
      </w:r>
    </w:p>
    <w:p w:rsidR="00300841" w:rsidRPr="00300841" w:rsidRDefault="00300841" w:rsidP="00300841">
      <w:pPr>
        <w:spacing w:after="0" w:line="240" w:lineRule="auto"/>
        <w:ind w:left="720" w:hanging="720"/>
        <w:rPr>
          <w:szCs w:val="24"/>
        </w:rPr>
      </w:pPr>
      <w:r w:rsidRPr="00300841">
        <w:rPr>
          <w:szCs w:val="24"/>
        </w:rPr>
        <w:t>Ling, T., Zhang, B., Cui, W., Wu, M., Lin, J., Zhou, W., Huang, J. and Shen, W. (2009). Carbon monoxide mitigates salt-induced inhibition of root growth and suppresses programmed cell death in wheat primary roots by inhibiting superoxide anion overproduction</w:t>
      </w:r>
      <w:r w:rsidRPr="00300841">
        <w:rPr>
          <w:i/>
          <w:szCs w:val="24"/>
        </w:rPr>
        <w:t>.</w:t>
      </w:r>
      <w:r w:rsidRPr="00300841">
        <w:rPr>
          <w:szCs w:val="24"/>
        </w:rPr>
        <w:t xml:space="preserve"> </w:t>
      </w:r>
      <w:r w:rsidRPr="00300841">
        <w:rPr>
          <w:i/>
          <w:szCs w:val="24"/>
        </w:rPr>
        <w:t>Plant Science</w:t>
      </w:r>
      <w:r w:rsidRPr="00300841">
        <w:rPr>
          <w:szCs w:val="24"/>
        </w:rPr>
        <w:t xml:space="preserve">  </w:t>
      </w:r>
      <w:r w:rsidRPr="00300841">
        <w:rPr>
          <w:b/>
          <w:szCs w:val="24"/>
        </w:rPr>
        <w:t>177</w:t>
      </w:r>
      <w:r w:rsidRPr="00300841">
        <w:rPr>
          <w:szCs w:val="24"/>
        </w:rPr>
        <w:t>, 331-340.</w:t>
      </w:r>
    </w:p>
    <w:p w:rsidR="00300841" w:rsidRPr="00300841" w:rsidRDefault="00300841" w:rsidP="00300841">
      <w:pPr>
        <w:spacing w:after="0" w:line="240" w:lineRule="auto"/>
        <w:ind w:left="720" w:hanging="720"/>
        <w:rPr>
          <w:szCs w:val="24"/>
        </w:rPr>
      </w:pPr>
      <w:r w:rsidRPr="00300841">
        <w:rPr>
          <w:szCs w:val="24"/>
        </w:rPr>
        <w:t>Linnestad, C., Doan, D.N.P., Brown, R.C., Lemmon, B.E., Meyer, D.J., Jung, R. and Olsen, O.-A. (1998). Nucellain, a Barley Homolog of the Dicot Vacuolar-Processing Protease, Is Localized in Nucellar Cell Walls</w:t>
      </w:r>
      <w:r w:rsidRPr="00300841">
        <w:rPr>
          <w:i/>
          <w:szCs w:val="24"/>
        </w:rPr>
        <w:t>.</w:t>
      </w:r>
      <w:r w:rsidRPr="00300841">
        <w:rPr>
          <w:szCs w:val="24"/>
        </w:rPr>
        <w:t xml:space="preserve"> </w:t>
      </w:r>
      <w:r w:rsidRPr="00300841">
        <w:rPr>
          <w:i/>
          <w:szCs w:val="24"/>
        </w:rPr>
        <w:t>Plant Physiology</w:t>
      </w:r>
      <w:r w:rsidRPr="00300841">
        <w:rPr>
          <w:szCs w:val="24"/>
        </w:rPr>
        <w:t xml:space="preserve">  </w:t>
      </w:r>
      <w:r w:rsidRPr="00300841">
        <w:rPr>
          <w:b/>
          <w:szCs w:val="24"/>
        </w:rPr>
        <w:t>118</w:t>
      </w:r>
      <w:r w:rsidRPr="00300841">
        <w:rPr>
          <w:szCs w:val="24"/>
        </w:rPr>
        <w:t>, 1169-1180.</w:t>
      </w:r>
    </w:p>
    <w:p w:rsidR="00300841" w:rsidRPr="00300841" w:rsidRDefault="00300841" w:rsidP="00300841">
      <w:pPr>
        <w:spacing w:after="0" w:line="240" w:lineRule="auto"/>
        <w:ind w:left="720" w:hanging="720"/>
        <w:rPr>
          <w:szCs w:val="24"/>
        </w:rPr>
      </w:pPr>
      <w:r w:rsidRPr="00300841">
        <w:rPr>
          <w:szCs w:val="24"/>
        </w:rPr>
        <w:t xml:space="preserve">Lisenbee, C.S., Lingard, M.J. and Trelease, R.N. (2005). </w:t>
      </w:r>
      <w:r w:rsidRPr="00300841">
        <w:rPr>
          <w:i/>
          <w:szCs w:val="24"/>
        </w:rPr>
        <w:t>Arabidopsis</w:t>
      </w:r>
      <w:r w:rsidRPr="00300841">
        <w:rPr>
          <w:szCs w:val="24"/>
        </w:rPr>
        <w:t xml:space="preserve"> peroxisomes possess functionally redundant membrane and matrix isoforms of monodehydroascorbate reductase</w:t>
      </w:r>
      <w:r w:rsidRPr="00300841">
        <w:rPr>
          <w:i/>
          <w:szCs w:val="24"/>
        </w:rPr>
        <w:t>.</w:t>
      </w:r>
      <w:r w:rsidRPr="00300841">
        <w:rPr>
          <w:szCs w:val="24"/>
        </w:rPr>
        <w:t xml:space="preserve"> </w:t>
      </w:r>
      <w:r w:rsidRPr="00300841">
        <w:rPr>
          <w:i/>
          <w:szCs w:val="24"/>
        </w:rPr>
        <w:t>The Plant Journal</w:t>
      </w:r>
      <w:r w:rsidRPr="00300841">
        <w:rPr>
          <w:szCs w:val="24"/>
        </w:rPr>
        <w:t xml:space="preserve">  </w:t>
      </w:r>
      <w:r w:rsidRPr="00300841">
        <w:rPr>
          <w:b/>
          <w:szCs w:val="24"/>
        </w:rPr>
        <w:t>43</w:t>
      </w:r>
      <w:r w:rsidRPr="00300841">
        <w:rPr>
          <w:szCs w:val="24"/>
        </w:rPr>
        <w:t>, 900-914.</w:t>
      </w:r>
    </w:p>
    <w:p w:rsidR="00300841" w:rsidRPr="00300841" w:rsidRDefault="00300841" w:rsidP="00300841">
      <w:pPr>
        <w:spacing w:after="0" w:line="240" w:lineRule="auto"/>
        <w:ind w:left="720" w:hanging="720"/>
        <w:rPr>
          <w:szCs w:val="24"/>
        </w:rPr>
      </w:pPr>
      <w:r w:rsidRPr="00300841">
        <w:rPr>
          <w:szCs w:val="24"/>
        </w:rPr>
        <w:t>Liu, S.-H., Fu, B.-Y., Xu, H.-X., Zhu, L.-H., Zhai, H.-Q. and Li, Z.-K. (2007). Cell death in response to osmotic and salt stresses in two rice (</w:t>
      </w:r>
      <w:r w:rsidRPr="00300841">
        <w:rPr>
          <w:i/>
          <w:szCs w:val="24"/>
        </w:rPr>
        <w:t>Oryza sativa</w:t>
      </w:r>
      <w:r w:rsidRPr="00300841">
        <w:rPr>
          <w:szCs w:val="24"/>
        </w:rPr>
        <w:t xml:space="preserve"> L.) ecotypes</w:t>
      </w:r>
      <w:r w:rsidRPr="00300841">
        <w:rPr>
          <w:i/>
          <w:szCs w:val="24"/>
        </w:rPr>
        <w:t>.</w:t>
      </w:r>
      <w:r w:rsidRPr="00300841">
        <w:rPr>
          <w:szCs w:val="24"/>
        </w:rPr>
        <w:t xml:space="preserve"> </w:t>
      </w:r>
      <w:r w:rsidRPr="00300841">
        <w:rPr>
          <w:i/>
          <w:szCs w:val="24"/>
        </w:rPr>
        <w:t>Plant Science</w:t>
      </w:r>
      <w:r w:rsidRPr="00300841">
        <w:rPr>
          <w:szCs w:val="24"/>
        </w:rPr>
        <w:t xml:space="preserve">  </w:t>
      </w:r>
      <w:r w:rsidRPr="00300841">
        <w:rPr>
          <w:b/>
          <w:szCs w:val="24"/>
        </w:rPr>
        <w:t>172</w:t>
      </w:r>
      <w:r w:rsidRPr="00300841">
        <w:rPr>
          <w:szCs w:val="24"/>
        </w:rPr>
        <w:t>, 897-902.</w:t>
      </w:r>
    </w:p>
    <w:p w:rsidR="00300841" w:rsidRPr="00300841" w:rsidRDefault="00300841" w:rsidP="00300841">
      <w:pPr>
        <w:spacing w:after="0" w:line="240" w:lineRule="auto"/>
        <w:ind w:left="720" w:hanging="720"/>
        <w:rPr>
          <w:rFonts w:asciiTheme="minorHAnsi" w:hAnsiTheme="minorHAnsi"/>
        </w:rPr>
      </w:pPr>
      <w:r w:rsidRPr="00300841">
        <w:rPr>
          <w:szCs w:val="24"/>
        </w:rPr>
        <w:t>Liu, Y., Schiff, M., Czymmek, K., Tallóczy, Z., Levine, B. and Dinesh-Kumar, S.P. (2005). Autophagy Regulates Programmed Cell Death during the Plant Innate Immune Response</w:t>
      </w:r>
      <w:r w:rsidRPr="00300841">
        <w:rPr>
          <w:i/>
          <w:szCs w:val="24"/>
        </w:rPr>
        <w:t>.</w:t>
      </w:r>
      <w:r w:rsidRPr="00300841">
        <w:rPr>
          <w:szCs w:val="24"/>
        </w:rPr>
        <w:t xml:space="preserve"> </w:t>
      </w:r>
      <w:r w:rsidRPr="00300841">
        <w:rPr>
          <w:i/>
          <w:szCs w:val="24"/>
        </w:rPr>
        <w:t>Cell</w:t>
      </w:r>
      <w:r w:rsidRPr="00300841">
        <w:rPr>
          <w:szCs w:val="24"/>
        </w:rPr>
        <w:t xml:space="preserve">  </w:t>
      </w:r>
      <w:r w:rsidRPr="00300841">
        <w:rPr>
          <w:b/>
          <w:szCs w:val="24"/>
        </w:rPr>
        <w:t>121</w:t>
      </w:r>
      <w:r w:rsidRPr="00300841">
        <w:rPr>
          <w:szCs w:val="24"/>
        </w:rPr>
        <w:t>, 567-577.</w:t>
      </w:r>
    </w:p>
    <w:p w:rsidR="00300841" w:rsidRPr="00300841" w:rsidRDefault="00300841" w:rsidP="00300841">
      <w:pPr>
        <w:spacing w:after="0" w:line="240" w:lineRule="auto"/>
        <w:ind w:left="720" w:hanging="720"/>
        <w:rPr>
          <w:rFonts w:asciiTheme="minorHAnsi" w:hAnsiTheme="minorHAnsi"/>
        </w:rPr>
      </w:pPr>
      <w:r w:rsidRPr="00300841">
        <w:rPr>
          <w:rFonts w:asciiTheme="minorHAnsi" w:hAnsiTheme="minorHAnsi"/>
        </w:rPr>
        <w:t>Liu, Y., Xiong, Y. and Bassham, D.C. (2009). Autophagy is required for tolerance of drought and salt stress in plants</w:t>
      </w:r>
      <w:r w:rsidRPr="00300841">
        <w:rPr>
          <w:rFonts w:asciiTheme="minorHAnsi" w:hAnsiTheme="minorHAnsi"/>
          <w:i/>
        </w:rPr>
        <w:t>.</w:t>
      </w:r>
      <w:r w:rsidRPr="00300841">
        <w:rPr>
          <w:rFonts w:asciiTheme="minorHAnsi" w:hAnsiTheme="minorHAnsi"/>
        </w:rPr>
        <w:t xml:space="preserve"> </w:t>
      </w:r>
      <w:r w:rsidRPr="00300841">
        <w:rPr>
          <w:rFonts w:asciiTheme="minorHAnsi" w:hAnsiTheme="minorHAnsi"/>
          <w:i/>
        </w:rPr>
        <w:t>Autophagy</w:t>
      </w:r>
      <w:r w:rsidRPr="00300841">
        <w:rPr>
          <w:rFonts w:asciiTheme="minorHAnsi" w:hAnsiTheme="minorHAnsi"/>
        </w:rPr>
        <w:t xml:space="preserve"> </w:t>
      </w:r>
      <w:r w:rsidRPr="00300841">
        <w:rPr>
          <w:rFonts w:asciiTheme="minorHAnsi" w:hAnsiTheme="minorHAnsi"/>
          <w:b/>
        </w:rPr>
        <w:t>5</w:t>
      </w:r>
      <w:r w:rsidRPr="00300841">
        <w:rPr>
          <w:rFonts w:asciiTheme="minorHAnsi" w:hAnsiTheme="minorHAnsi"/>
        </w:rPr>
        <w:t xml:space="preserve">, </w:t>
      </w:r>
      <w:r w:rsidRPr="00300841">
        <w:rPr>
          <w:rFonts w:asciiTheme="minorHAnsi" w:eastAsiaTheme="minorHAnsi" w:hAnsiTheme="minorHAnsi" w:cstheme="minorBidi"/>
        </w:rPr>
        <w:t>954-963</w:t>
      </w:r>
      <w:r w:rsidRPr="00300841">
        <w:rPr>
          <w:rFonts w:asciiTheme="minorHAnsi" w:hAnsiTheme="minorHAnsi"/>
        </w:rPr>
        <w:t>.</w:t>
      </w:r>
    </w:p>
    <w:p w:rsidR="00300841" w:rsidRPr="00300841" w:rsidRDefault="00300841" w:rsidP="00300841">
      <w:pPr>
        <w:spacing w:after="0" w:line="240" w:lineRule="auto"/>
        <w:ind w:left="720" w:hanging="720"/>
        <w:rPr>
          <w:szCs w:val="24"/>
        </w:rPr>
      </w:pPr>
      <w:r w:rsidRPr="00300841">
        <w:rPr>
          <w:szCs w:val="24"/>
        </w:rPr>
        <w:t>Lockshin, R.A. and Zakeri, Z. (2004). Apoptosis, autophagy, and more</w:t>
      </w:r>
      <w:r w:rsidRPr="00300841">
        <w:rPr>
          <w:i/>
          <w:szCs w:val="24"/>
        </w:rPr>
        <w:t>.</w:t>
      </w:r>
      <w:r w:rsidRPr="00300841">
        <w:rPr>
          <w:szCs w:val="24"/>
        </w:rPr>
        <w:t xml:space="preserve"> </w:t>
      </w:r>
      <w:r w:rsidRPr="00300841">
        <w:rPr>
          <w:i/>
          <w:szCs w:val="24"/>
        </w:rPr>
        <w:t>The International Journal of Biochemistry &amp; Cell Biology</w:t>
      </w:r>
      <w:r w:rsidRPr="00300841">
        <w:rPr>
          <w:szCs w:val="24"/>
        </w:rPr>
        <w:t xml:space="preserve">  </w:t>
      </w:r>
      <w:r w:rsidRPr="00300841">
        <w:rPr>
          <w:b/>
          <w:szCs w:val="24"/>
        </w:rPr>
        <w:t>36</w:t>
      </w:r>
      <w:r w:rsidRPr="00300841">
        <w:rPr>
          <w:szCs w:val="24"/>
        </w:rPr>
        <w:t>, 2405-2419.</w:t>
      </w:r>
    </w:p>
    <w:p w:rsidR="00300841" w:rsidRPr="00300841" w:rsidRDefault="00300841" w:rsidP="00300841">
      <w:pPr>
        <w:spacing w:after="0" w:line="240" w:lineRule="auto"/>
        <w:ind w:left="720" w:hanging="720"/>
        <w:rPr>
          <w:szCs w:val="24"/>
        </w:rPr>
      </w:pPr>
      <w:r w:rsidRPr="00300841">
        <w:rPr>
          <w:szCs w:val="24"/>
        </w:rPr>
        <w:t>Lohmann, R.D. and Beyersmann, D. (1993). Cadmium- and Zinc-Mediated Changes of the Ca</w:t>
      </w:r>
      <w:r w:rsidRPr="00300841">
        <w:rPr>
          <w:szCs w:val="24"/>
          <w:vertAlign w:val="superscript"/>
        </w:rPr>
        <w:t>2+</w:t>
      </w:r>
      <w:r w:rsidRPr="00300841">
        <w:rPr>
          <w:szCs w:val="24"/>
        </w:rPr>
        <w:t>-Dependent Endonuclease in Apoptosis</w:t>
      </w:r>
      <w:r w:rsidRPr="00300841">
        <w:rPr>
          <w:i/>
          <w:szCs w:val="24"/>
        </w:rPr>
        <w:t>.</w:t>
      </w:r>
      <w:r w:rsidRPr="00300841">
        <w:rPr>
          <w:szCs w:val="24"/>
        </w:rPr>
        <w:t xml:space="preserve"> </w:t>
      </w:r>
      <w:r w:rsidRPr="00300841">
        <w:rPr>
          <w:i/>
          <w:szCs w:val="24"/>
        </w:rPr>
        <w:t>Biochemical and Biophysical Research Communications</w:t>
      </w:r>
      <w:r w:rsidRPr="00300841">
        <w:rPr>
          <w:szCs w:val="24"/>
        </w:rPr>
        <w:t xml:space="preserve">  </w:t>
      </w:r>
      <w:r w:rsidRPr="00300841">
        <w:rPr>
          <w:b/>
          <w:szCs w:val="24"/>
        </w:rPr>
        <w:t>190</w:t>
      </w:r>
      <w:r w:rsidRPr="00300841">
        <w:rPr>
          <w:szCs w:val="24"/>
        </w:rPr>
        <w:t>, 1097-1103.</w:t>
      </w:r>
    </w:p>
    <w:p w:rsidR="00300841" w:rsidRPr="00300841" w:rsidRDefault="00300841" w:rsidP="00300841">
      <w:pPr>
        <w:spacing w:after="0" w:line="240" w:lineRule="auto"/>
        <w:ind w:left="720" w:hanging="720"/>
        <w:rPr>
          <w:szCs w:val="24"/>
        </w:rPr>
      </w:pPr>
      <w:r w:rsidRPr="00300841">
        <w:rPr>
          <w:szCs w:val="24"/>
        </w:rPr>
        <w:t xml:space="preserve">Lombardi, L., Casani, S., Ceccarelli, N., Galleschi, L., Picciarelli, P. and Lorenzi, R. (2007a). Programmed cell death of the nucellus during </w:t>
      </w:r>
      <w:r w:rsidRPr="00300841">
        <w:rPr>
          <w:i/>
          <w:szCs w:val="24"/>
        </w:rPr>
        <w:t>Sechium edule</w:t>
      </w:r>
      <w:r w:rsidRPr="00300841">
        <w:rPr>
          <w:szCs w:val="24"/>
        </w:rPr>
        <w:t xml:space="preserve"> Sw. seed development is associated with activation of caspase-like proteases</w:t>
      </w:r>
      <w:r w:rsidRPr="00300841">
        <w:rPr>
          <w:i/>
          <w:szCs w:val="24"/>
        </w:rPr>
        <w:t>.</w:t>
      </w:r>
      <w:r w:rsidRPr="00300841">
        <w:rPr>
          <w:szCs w:val="24"/>
        </w:rPr>
        <w:t xml:space="preserve"> </w:t>
      </w:r>
      <w:r w:rsidRPr="00300841">
        <w:rPr>
          <w:i/>
          <w:szCs w:val="24"/>
        </w:rPr>
        <w:t>Journal of Experimental Botany</w:t>
      </w:r>
      <w:r w:rsidRPr="00300841">
        <w:rPr>
          <w:szCs w:val="24"/>
        </w:rPr>
        <w:t xml:space="preserve">  </w:t>
      </w:r>
      <w:r w:rsidRPr="00300841">
        <w:rPr>
          <w:b/>
          <w:szCs w:val="24"/>
        </w:rPr>
        <w:t>58</w:t>
      </w:r>
      <w:r w:rsidRPr="00300841">
        <w:rPr>
          <w:szCs w:val="24"/>
        </w:rPr>
        <w:t>, 2949-2958.</w:t>
      </w:r>
    </w:p>
    <w:p w:rsidR="00300841" w:rsidRPr="00300841" w:rsidRDefault="00300841" w:rsidP="00300841">
      <w:pPr>
        <w:spacing w:after="0" w:line="240" w:lineRule="auto"/>
        <w:ind w:left="720" w:hanging="720"/>
        <w:rPr>
          <w:szCs w:val="24"/>
        </w:rPr>
      </w:pPr>
      <w:r w:rsidRPr="00300841">
        <w:rPr>
          <w:szCs w:val="24"/>
        </w:rPr>
        <w:t xml:space="preserve">Lombardi, L., Ceccarelli, N., Picciarelli, P. and Lorenzi, R. (2007b). Caspase-like proteases involvement in programmed cell death of </w:t>
      </w:r>
      <w:r w:rsidRPr="00300841">
        <w:rPr>
          <w:i/>
          <w:szCs w:val="24"/>
        </w:rPr>
        <w:t>Phaseolus coccineus</w:t>
      </w:r>
      <w:r w:rsidRPr="00300841">
        <w:rPr>
          <w:szCs w:val="24"/>
        </w:rPr>
        <w:t xml:space="preserve"> suspensor</w:t>
      </w:r>
      <w:r w:rsidRPr="00300841">
        <w:rPr>
          <w:i/>
          <w:szCs w:val="24"/>
        </w:rPr>
        <w:t>.</w:t>
      </w:r>
      <w:r w:rsidRPr="00300841">
        <w:rPr>
          <w:szCs w:val="24"/>
        </w:rPr>
        <w:t xml:space="preserve"> </w:t>
      </w:r>
      <w:r w:rsidRPr="00300841">
        <w:rPr>
          <w:i/>
          <w:szCs w:val="24"/>
        </w:rPr>
        <w:t>Plant Science</w:t>
      </w:r>
      <w:r w:rsidRPr="00300841">
        <w:rPr>
          <w:szCs w:val="24"/>
        </w:rPr>
        <w:t xml:space="preserve">  </w:t>
      </w:r>
      <w:r w:rsidRPr="00300841">
        <w:rPr>
          <w:b/>
          <w:szCs w:val="24"/>
        </w:rPr>
        <w:t>172</w:t>
      </w:r>
      <w:r w:rsidRPr="00300841">
        <w:rPr>
          <w:szCs w:val="24"/>
        </w:rPr>
        <w:t>, 573-578.</w:t>
      </w:r>
    </w:p>
    <w:p w:rsidR="00300841" w:rsidRPr="00300841" w:rsidRDefault="00300841" w:rsidP="00300841">
      <w:pPr>
        <w:spacing w:after="0" w:line="240" w:lineRule="auto"/>
        <w:ind w:left="720" w:hanging="720"/>
        <w:rPr>
          <w:szCs w:val="24"/>
        </w:rPr>
      </w:pPr>
      <w:r w:rsidRPr="00300841">
        <w:rPr>
          <w:szCs w:val="24"/>
        </w:rPr>
        <w:t xml:space="preserve">Lombardi, L., Ceccarelli, N., Picciarelli, P. and Lorenzi, R. (2007c). DNA degradation during programmed cell death in </w:t>
      </w:r>
      <w:r w:rsidRPr="00300841">
        <w:rPr>
          <w:i/>
          <w:szCs w:val="24"/>
        </w:rPr>
        <w:t>Phaseolus coccineus</w:t>
      </w:r>
      <w:r w:rsidRPr="00300841">
        <w:rPr>
          <w:szCs w:val="24"/>
        </w:rPr>
        <w:t xml:space="preserve"> suspensor</w:t>
      </w:r>
      <w:r w:rsidRPr="00300841">
        <w:rPr>
          <w:i/>
          <w:szCs w:val="24"/>
        </w:rPr>
        <w:t>.</w:t>
      </w:r>
      <w:r w:rsidRPr="00300841">
        <w:rPr>
          <w:szCs w:val="24"/>
        </w:rPr>
        <w:t xml:space="preserve"> </w:t>
      </w:r>
      <w:r w:rsidRPr="00300841">
        <w:rPr>
          <w:i/>
          <w:szCs w:val="24"/>
        </w:rPr>
        <w:t>Plant Physiology and Biochemistry</w:t>
      </w:r>
      <w:r w:rsidRPr="00300841">
        <w:rPr>
          <w:szCs w:val="24"/>
        </w:rPr>
        <w:t xml:space="preserve">  </w:t>
      </w:r>
      <w:r w:rsidRPr="00300841">
        <w:rPr>
          <w:b/>
          <w:szCs w:val="24"/>
        </w:rPr>
        <w:t>45</w:t>
      </w:r>
      <w:r w:rsidRPr="00300841">
        <w:rPr>
          <w:szCs w:val="24"/>
        </w:rPr>
        <w:t>, 221-227.</w:t>
      </w:r>
    </w:p>
    <w:p w:rsidR="00300841" w:rsidRPr="00300841" w:rsidRDefault="00300841" w:rsidP="00300841">
      <w:pPr>
        <w:spacing w:after="0" w:line="240" w:lineRule="auto"/>
        <w:ind w:left="720" w:hanging="720"/>
        <w:rPr>
          <w:szCs w:val="24"/>
        </w:rPr>
      </w:pPr>
      <w:r w:rsidRPr="00300841">
        <w:rPr>
          <w:szCs w:val="24"/>
        </w:rPr>
        <w:t>Lopes, M.A. and Larkins, B.A. (1993). Endosperm Origin, Development, and Function</w:t>
      </w:r>
      <w:r w:rsidRPr="00300841">
        <w:rPr>
          <w:i/>
          <w:szCs w:val="24"/>
        </w:rPr>
        <w:t>.</w:t>
      </w:r>
      <w:r w:rsidRPr="00300841">
        <w:rPr>
          <w:szCs w:val="24"/>
        </w:rPr>
        <w:t xml:space="preserve"> </w:t>
      </w:r>
      <w:r w:rsidRPr="00300841">
        <w:rPr>
          <w:i/>
          <w:szCs w:val="24"/>
        </w:rPr>
        <w:t>Plant Cell</w:t>
      </w:r>
      <w:r w:rsidRPr="00300841">
        <w:rPr>
          <w:szCs w:val="24"/>
        </w:rPr>
        <w:t xml:space="preserve">  </w:t>
      </w:r>
      <w:r w:rsidRPr="00300841">
        <w:rPr>
          <w:b/>
          <w:szCs w:val="24"/>
        </w:rPr>
        <w:t>5</w:t>
      </w:r>
      <w:r w:rsidRPr="00300841">
        <w:rPr>
          <w:szCs w:val="24"/>
        </w:rPr>
        <w:t>, 1383-1399.</w:t>
      </w:r>
    </w:p>
    <w:p w:rsidR="00300841" w:rsidRPr="00300841" w:rsidRDefault="00300841" w:rsidP="00300841">
      <w:pPr>
        <w:spacing w:after="0" w:line="240" w:lineRule="auto"/>
        <w:ind w:left="720" w:hanging="720"/>
        <w:rPr>
          <w:szCs w:val="24"/>
        </w:rPr>
      </w:pPr>
      <w:r w:rsidRPr="00300841">
        <w:rPr>
          <w:szCs w:val="24"/>
        </w:rPr>
        <w:t xml:space="preserve">Lorrain, S., Vailleau, F., Balagué, C. and Roby, D. (2003). Lesion mimic mutants: keys for deciphering cell death and defense pathways in plants? </w:t>
      </w:r>
      <w:r w:rsidRPr="00300841">
        <w:rPr>
          <w:i/>
          <w:szCs w:val="24"/>
        </w:rPr>
        <w:t>Trends in Plant Science</w:t>
      </w:r>
      <w:r w:rsidRPr="00300841">
        <w:rPr>
          <w:szCs w:val="24"/>
        </w:rPr>
        <w:t xml:space="preserve">  </w:t>
      </w:r>
      <w:r w:rsidRPr="00300841">
        <w:rPr>
          <w:b/>
          <w:szCs w:val="24"/>
        </w:rPr>
        <w:t>8</w:t>
      </w:r>
      <w:r w:rsidRPr="00300841">
        <w:rPr>
          <w:szCs w:val="24"/>
        </w:rPr>
        <w:t>, 263-271.</w:t>
      </w:r>
    </w:p>
    <w:p w:rsidR="00300841" w:rsidRPr="00300841" w:rsidRDefault="00300841" w:rsidP="00300841">
      <w:pPr>
        <w:spacing w:after="0" w:line="240" w:lineRule="auto"/>
        <w:ind w:left="720" w:hanging="720"/>
        <w:rPr>
          <w:szCs w:val="24"/>
        </w:rPr>
      </w:pPr>
      <w:r w:rsidRPr="00300841">
        <w:rPr>
          <w:szCs w:val="24"/>
        </w:rPr>
        <w:t>Love, A.J., Milner, J.J. and Sadanandom, A. (2008). Timing is everything: regulatory overlap in plant cell death</w:t>
      </w:r>
      <w:r w:rsidRPr="00300841">
        <w:rPr>
          <w:i/>
          <w:szCs w:val="24"/>
        </w:rPr>
        <w:t>.</w:t>
      </w:r>
      <w:r w:rsidRPr="00300841">
        <w:rPr>
          <w:szCs w:val="24"/>
        </w:rPr>
        <w:t xml:space="preserve"> </w:t>
      </w:r>
      <w:r w:rsidRPr="00300841">
        <w:rPr>
          <w:i/>
          <w:szCs w:val="24"/>
        </w:rPr>
        <w:t>Trends in Plant Science</w:t>
      </w:r>
      <w:r w:rsidRPr="00300841">
        <w:rPr>
          <w:szCs w:val="24"/>
        </w:rPr>
        <w:t xml:space="preserve">  </w:t>
      </w:r>
      <w:r w:rsidRPr="00300841">
        <w:rPr>
          <w:b/>
          <w:szCs w:val="24"/>
        </w:rPr>
        <w:t>13</w:t>
      </w:r>
      <w:r w:rsidRPr="00300841">
        <w:rPr>
          <w:szCs w:val="24"/>
        </w:rPr>
        <w:t>, 589-595.</w:t>
      </w:r>
    </w:p>
    <w:p w:rsidR="00300841" w:rsidRPr="00300841" w:rsidRDefault="00300841" w:rsidP="00300841">
      <w:pPr>
        <w:spacing w:after="0" w:line="240" w:lineRule="auto"/>
        <w:ind w:left="720" w:hanging="720"/>
        <w:rPr>
          <w:szCs w:val="24"/>
        </w:rPr>
      </w:pPr>
      <w:r w:rsidRPr="00300841">
        <w:rPr>
          <w:szCs w:val="24"/>
        </w:rPr>
        <w:t xml:space="preserve">Love, A.J., Milner, J.J. and Sadanandom, A. (2009). Response to Cacas and Diamond: Is the autophagy machinery an executioner of programmed cell death in plants? </w:t>
      </w:r>
      <w:r w:rsidRPr="00300841">
        <w:rPr>
          <w:i/>
          <w:szCs w:val="24"/>
        </w:rPr>
        <w:t>Trends in Plant Science</w:t>
      </w:r>
      <w:r w:rsidRPr="00300841">
        <w:rPr>
          <w:szCs w:val="24"/>
        </w:rPr>
        <w:t xml:space="preserve">  </w:t>
      </w:r>
      <w:r w:rsidRPr="00300841">
        <w:rPr>
          <w:b/>
          <w:szCs w:val="24"/>
        </w:rPr>
        <w:t>14</w:t>
      </w:r>
      <w:r w:rsidRPr="00300841">
        <w:rPr>
          <w:szCs w:val="24"/>
        </w:rPr>
        <w:t>, 300-301.</w:t>
      </w:r>
    </w:p>
    <w:p w:rsidR="00300841" w:rsidRPr="00300841" w:rsidRDefault="00300841" w:rsidP="00300841">
      <w:pPr>
        <w:spacing w:after="0" w:line="240" w:lineRule="auto"/>
        <w:ind w:left="720" w:hanging="720"/>
        <w:rPr>
          <w:szCs w:val="24"/>
        </w:rPr>
      </w:pPr>
      <w:r w:rsidRPr="00300841">
        <w:rPr>
          <w:szCs w:val="24"/>
        </w:rPr>
        <w:t xml:space="preserve">Lukowitz, W., Roeder, A., Parmenter, D. and Somerville, C. (2004). A MAPKK Kinase Gene Regulates Extra-Embryonic Cell Fate in </w:t>
      </w:r>
      <w:r w:rsidRPr="00300841">
        <w:rPr>
          <w:i/>
          <w:szCs w:val="24"/>
        </w:rPr>
        <w:t>Arabidopsis. Cell</w:t>
      </w:r>
      <w:r w:rsidRPr="00300841">
        <w:rPr>
          <w:szCs w:val="24"/>
        </w:rPr>
        <w:t xml:space="preserve"> </w:t>
      </w:r>
      <w:r w:rsidRPr="00300841">
        <w:rPr>
          <w:b/>
          <w:szCs w:val="24"/>
        </w:rPr>
        <w:t>116</w:t>
      </w:r>
      <w:r w:rsidRPr="00300841">
        <w:rPr>
          <w:szCs w:val="24"/>
        </w:rPr>
        <w:t>, 109-119.</w:t>
      </w:r>
    </w:p>
    <w:p w:rsidR="00300841" w:rsidRPr="00300841" w:rsidRDefault="00300841" w:rsidP="00300841">
      <w:pPr>
        <w:spacing w:after="0" w:line="240" w:lineRule="auto"/>
        <w:ind w:left="720" w:hanging="720"/>
        <w:rPr>
          <w:szCs w:val="24"/>
        </w:rPr>
      </w:pPr>
      <w:r w:rsidRPr="00300841">
        <w:rPr>
          <w:szCs w:val="24"/>
        </w:rPr>
        <w:t xml:space="preserve">Lynch, D.V. and Dunn, T.M. (2004). An introduction to plant sphingolipids and a review of recent advances in understanding their metabolism and function. </w:t>
      </w:r>
      <w:r w:rsidRPr="00300841">
        <w:rPr>
          <w:i/>
          <w:iCs/>
          <w:szCs w:val="24"/>
        </w:rPr>
        <w:t>New Phytologist</w:t>
      </w:r>
      <w:r w:rsidRPr="00300841">
        <w:rPr>
          <w:szCs w:val="24"/>
        </w:rPr>
        <w:t xml:space="preserve"> </w:t>
      </w:r>
      <w:r w:rsidRPr="00300841">
        <w:rPr>
          <w:b/>
          <w:szCs w:val="24"/>
        </w:rPr>
        <w:t>161</w:t>
      </w:r>
      <w:r w:rsidRPr="00300841">
        <w:rPr>
          <w:szCs w:val="24"/>
        </w:rPr>
        <w:t>, 677-702.</w:t>
      </w:r>
    </w:p>
    <w:p w:rsidR="00300841" w:rsidRPr="00300841" w:rsidRDefault="00300841" w:rsidP="00300841">
      <w:pPr>
        <w:spacing w:after="0" w:line="240" w:lineRule="auto"/>
        <w:ind w:left="720" w:hanging="720"/>
        <w:rPr>
          <w:szCs w:val="24"/>
        </w:rPr>
      </w:pPr>
      <w:r w:rsidRPr="00300841">
        <w:rPr>
          <w:szCs w:val="24"/>
        </w:rPr>
        <w:t>Lytvyn, D.I., Yemets, A.I. and Blume, Y.B. (2010). UV-B overexposure induces programmed cell death in a BY-2 tobacco cell line</w:t>
      </w:r>
      <w:r w:rsidRPr="00300841">
        <w:rPr>
          <w:i/>
          <w:szCs w:val="24"/>
        </w:rPr>
        <w:t>.</w:t>
      </w:r>
      <w:r w:rsidRPr="00300841">
        <w:rPr>
          <w:szCs w:val="24"/>
        </w:rPr>
        <w:t xml:space="preserve"> </w:t>
      </w:r>
      <w:r w:rsidRPr="00300841">
        <w:rPr>
          <w:i/>
          <w:szCs w:val="24"/>
        </w:rPr>
        <w:t>Environmental and Experimental Botany</w:t>
      </w:r>
      <w:r w:rsidRPr="00300841">
        <w:rPr>
          <w:szCs w:val="24"/>
        </w:rPr>
        <w:t xml:space="preserve">  </w:t>
      </w:r>
      <w:r w:rsidRPr="00300841">
        <w:rPr>
          <w:b/>
          <w:szCs w:val="24"/>
        </w:rPr>
        <w:t>68</w:t>
      </w:r>
      <w:r w:rsidRPr="00300841">
        <w:rPr>
          <w:szCs w:val="24"/>
        </w:rPr>
        <w:t>, 51-57.</w:t>
      </w:r>
    </w:p>
    <w:p w:rsidR="00300841" w:rsidRPr="00300841" w:rsidRDefault="00300841" w:rsidP="00300841">
      <w:pPr>
        <w:spacing w:after="0" w:line="240" w:lineRule="auto"/>
        <w:ind w:left="720" w:hanging="720"/>
        <w:rPr>
          <w:szCs w:val="24"/>
        </w:rPr>
      </w:pPr>
      <w:r w:rsidRPr="00300841">
        <w:rPr>
          <w:szCs w:val="24"/>
        </w:rPr>
        <w:t>Maceyka, M., Sankala, H., Hait, N.C., Le Stunff, H., Liu, H., Toman, R., Collier, C., Zhang, M., Satin, L., Merrill, A.H., Milstien, S. and Spiegel, S. (2005). SphK1 and SphK2, sphingosine kinase isoenzymes with opposing functions in sphingolipid metabolism</w:t>
      </w:r>
      <w:r w:rsidRPr="00300841">
        <w:rPr>
          <w:i/>
          <w:szCs w:val="24"/>
        </w:rPr>
        <w:t>.</w:t>
      </w:r>
      <w:r w:rsidRPr="00300841">
        <w:rPr>
          <w:szCs w:val="24"/>
        </w:rPr>
        <w:t xml:space="preserve"> </w:t>
      </w:r>
      <w:r w:rsidRPr="00300841">
        <w:rPr>
          <w:i/>
          <w:szCs w:val="24"/>
        </w:rPr>
        <w:t>Journal of Biological Chemistry</w:t>
      </w:r>
      <w:r w:rsidRPr="00300841">
        <w:rPr>
          <w:szCs w:val="24"/>
        </w:rPr>
        <w:t xml:space="preserve">  </w:t>
      </w:r>
      <w:r w:rsidRPr="00300841">
        <w:rPr>
          <w:b/>
          <w:szCs w:val="24"/>
        </w:rPr>
        <w:t>4</w:t>
      </w:r>
      <w:r w:rsidRPr="00300841">
        <w:rPr>
          <w:szCs w:val="24"/>
        </w:rPr>
        <w:t>, 37118-37129.</w:t>
      </w:r>
    </w:p>
    <w:p w:rsidR="00300841" w:rsidRPr="00300841" w:rsidRDefault="00300841" w:rsidP="00300841">
      <w:pPr>
        <w:spacing w:after="0" w:line="240" w:lineRule="auto"/>
        <w:ind w:left="720" w:hanging="720"/>
        <w:rPr>
          <w:szCs w:val="24"/>
        </w:rPr>
      </w:pPr>
      <w:r w:rsidRPr="00300841">
        <w:rPr>
          <w:szCs w:val="24"/>
        </w:rPr>
        <w:t>Mahajan, S. and Tuteja, N. (2005). Cold, salinity and drought stresses: An overview</w:t>
      </w:r>
      <w:r w:rsidRPr="00300841">
        <w:rPr>
          <w:i/>
          <w:szCs w:val="24"/>
        </w:rPr>
        <w:t>.</w:t>
      </w:r>
      <w:r w:rsidRPr="00300841">
        <w:rPr>
          <w:szCs w:val="24"/>
        </w:rPr>
        <w:t xml:space="preserve"> </w:t>
      </w:r>
      <w:r w:rsidRPr="00300841">
        <w:rPr>
          <w:i/>
          <w:szCs w:val="24"/>
        </w:rPr>
        <w:t>Archives of Biochemistry and Biophysics</w:t>
      </w:r>
      <w:r w:rsidRPr="00300841">
        <w:rPr>
          <w:szCs w:val="24"/>
        </w:rPr>
        <w:t xml:space="preserve">  </w:t>
      </w:r>
      <w:r w:rsidRPr="00300841">
        <w:rPr>
          <w:b/>
          <w:szCs w:val="24"/>
        </w:rPr>
        <w:t>444</w:t>
      </w:r>
      <w:r w:rsidRPr="00300841">
        <w:rPr>
          <w:szCs w:val="24"/>
        </w:rPr>
        <w:t>, 139-158.</w:t>
      </w:r>
    </w:p>
    <w:p w:rsidR="00300841" w:rsidRPr="00300841" w:rsidRDefault="00300841" w:rsidP="00300841">
      <w:pPr>
        <w:spacing w:after="0" w:line="240" w:lineRule="auto"/>
        <w:ind w:left="720" w:hanging="720"/>
        <w:rPr>
          <w:szCs w:val="24"/>
        </w:rPr>
      </w:pPr>
      <w:r w:rsidRPr="00300841">
        <w:rPr>
          <w:szCs w:val="24"/>
        </w:rPr>
        <w:t>Majewska-Sawka, A. and Nothnagel, E.A. (2000). The Multiple Roles of Arabinogalactan Proteins in Plant Development</w:t>
      </w:r>
      <w:r w:rsidRPr="00300841">
        <w:rPr>
          <w:i/>
          <w:szCs w:val="24"/>
        </w:rPr>
        <w:t>.</w:t>
      </w:r>
      <w:r w:rsidRPr="00300841">
        <w:rPr>
          <w:szCs w:val="24"/>
        </w:rPr>
        <w:t xml:space="preserve"> </w:t>
      </w:r>
      <w:r w:rsidRPr="00300841">
        <w:rPr>
          <w:i/>
          <w:szCs w:val="24"/>
        </w:rPr>
        <w:t>Plant Physiology</w:t>
      </w:r>
      <w:r w:rsidRPr="00300841">
        <w:rPr>
          <w:szCs w:val="24"/>
        </w:rPr>
        <w:t xml:space="preserve">  </w:t>
      </w:r>
      <w:r w:rsidRPr="00300841">
        <w:rPr>
          <w:b/>
          <w:szCs w:val="24"/>
        </w:rPr>
        <w:t>122</w:t>
      </w:r>
      <w:r w:rsidRPr="00300841">
        <w:rPr>
          <w:szCs w:val="24"/>
        </w:rPr>
        <w:t>, 3-10.</w:t>
      </w:r>
    </w:p>
    <w:p w:rsidR="00300841" w:rsidRPr="00300841" w:rsidRDefault="00300841" w:rsidP="00300841">
      <w:pPr>
        <w:spacing w:after="0" w:line="240" w:lineRule="auto"/>
        <w:ind w:left="720" w:hanging="720"/>
        <w:rPr>
          <w:szCs w:val="24"/>
        </w:rPr>
      </w:pPr>
      <w:r w:rsidRPr="00300841">
        <w:rPr>
          <w:szCs w:val="24"/>
        </w:rPr>
        <w:t>Majewski, N., Nogueira, V., Bhaskar, P., Coy, P.E., Skeen, J.E., Gottlob, K., Chandel, N.S., Thompson, C.B., Robey, R.B. and Hay, N. (2004). Hexokinase-Mitochondria Interaction Mediated by Akt Is Required to Inhibit Apoptosis in the Presence or Absence of Bax and Bak</w:t>
      </w:r>
      <w:r w:rsidRPr="00300841">
        <w:rPr>
          <w:i/>
          <w:szCs w:val="24"/>
        </w:rPr>
        <w:t>.</w:t>
      </w:r>
      <w:r w:rsidRPr="00300841">
        <w:rPr>
          <w:szCs w:val="24"/>
        </w:rPr>
        <w:t xml:space="preserve"> </w:t>
      </w:r>
      <w:r w:rsidRPr="00300841">
        <w:rPr>
          <w:i/>
          <w:szCs w:val="24"/>
        </w:rPr>
        <w:t>Molecular Cell</w:t>
      </w:r>
      <w:r w:rsidRPr="00300841">
        <w:rPr>
          <w:szCs w:val="24"/>
        </w:rPr>
        <w:t xml:space="preserve">  </w:t>
      </w:r>
      <w:r w:rsidRPr="00300841">
        <w:rPr>
          <w:b/>
          <w:szCs w:val="24"/>
        </w:rPr>
        <w:t>16</w:t>
      </w:r>
      <w:r w:rsidRPr="00300841">
        <w:rPr>
          <w:szCs w:val="24"/>
        </w:rPr>
        <w:t>, 819-830.</w:t>
      </w:r>
    </w:p>
    <w:p w:rsidR="00300841" w:rsidRPr="00300841" w:rsidRDefault="00300841" w:rsidP="00300841">
      <w:pPr>
        <w:spacing w:after="0" w:line="240" w:lineRule="auto"/>
        <w:ind w:left="720" w:hanging="720"/>
        <w:rPr>
          <w:szCs w:val="24"/>
        </w:rPr>
      </w:pPr>
      <w:r w:rsidRPr="00300841">
        <w:rPr>
          <w:szCs w:val="24"/>
        </w:rPr>
        <w:t>Malerba, M., Crosti, P. and Cerana, R. (2010). Effect of heat stress on actin cytoskeleton and endoplasmic reticulum of tobacco BY-2 cultured cells and its inhibition by Co</w:t>
      </w:r>
      <w:r w:rsidRPr="00300841">
        <w:rPr>
          <w:szCs w:val="24"/>
          <w:vertAlign w:val="superscript"/>
        </w:rPr>
        <w:t>2+</w:t>
      </w:r>
      <w:r w:rsidRPr="00300841">
        <w:rPr>
          <w:i/>
          <w:szCs w:val="24"/>
        </w:rPr>
        <w:t>.</w:t>
      </w:r>
      <w:r w:rsidRPr="00300841">
        <w:rPr>
          <w:szCs w:val="24"/>
        </w:rPr>
        <w:t xml:space="preserve"> </w:t>
      </w:r>
      <w:r w:rsidRPr="00300841">
        <w:rPr>
          <w:i/>
          <w:szCs w:val="24"/>
        </w:rPr>
        <w:t>Protoplasma</w:t>
      </w:r>
      <w:r w:rsidRPr="00300841">
        <w:rPr>
          <w:szCs w:val="24"/>
        </w:rPr>
        <w:t xml:space="preserve">  </w:t>
      </w:r>
      <w:r w:rsidRPr="00300841">
        <w:rPr>
          <w:b/>
          <w:szCs w:val="24"/>
        </w:rPr>
        <w:t>239</w:t>
      </w:r>
      <w:r w:rsidRPr="00300841">
        <w:rPr>
          <w:szCs w:val="24"/>
        </w:rPr>
        <w:t>, 23-30.</w:t>
      </w:r>
    </w:p>
    <w:p w:rsidR="00300841" w:rsidRPr="00300841" w:rsidRDefault="00300841" w:rsidP="00300841">
      <w:pPr>
        <w:spacing w:after="0" w:line="240" w:lineRule="auto"/>
        <w:ind w:left="720" w:hanging="720"/>
        <w:rPr>
          <w:szCs w:val="24"/>
        </w:rPr>
      </w:pPr>
      <w:r w:rsidRPr="00300841">
        <w:rPr>
          <w:szCs w:val="24"/>
        </w:rPr>
        <w:t>Malhotra, J.D. and Kaufman, R.J. (2007). The endoplasmic reticulum and the unfolded protein response</w:t>
      </w:r>
      <w:r w:rsidRPr="00300841">
        <w:rPr>
          <w:i/>
          <w:szCs w:val="24"/>
        </w:rPr>
        <w:t>.</w:t>
      </w:r>
      <w:r w:rsidRPr="00300841">
        <w:rPr>
          <w:szCs w:val="24"/>
        </w:rPr>
        <w:t xml:space="preserve"> </w:t>
      </w:r>
      <w:r w:rsidRPr="00300841">
        <w:rPr>
          <w:i/>
          <w:szCs w:val="24"/>
        </w:rPr>
        <w:t>Seminars in Cell &amp; Developmental Biology</w:t>
      </w:r>
      <w:r w:rsidRPr="00300841">
        <w:rPr>
          <w:szCs w:val="24"/>
        </w:rPr>
        <w:t xml:space="preserve">  </w:t>
      </w:r>
      <w:r w:rsidRPr="00300841">
        <w:rPr>
          <w:b/>
          <w:szCs w:val="24"/>
        </w:rPr>
        <w:t>18</w:t>
      </w:r>
      <w:r w:rsidRPr="00300841">
        <w:rPr>
          <w:szCs w:val="24"/>
        </w:rPr>
        <w:t>, 716-731.</w:t>
      </w:r>
    </w:p>
    <w:p w:rsidR="00300841" w:rsidRPr="00300841" w:rsidRDefault="00300841" w:rsidP="00300841">
      <w:pPr>
        <w:spacing w:after="0" w:line="240" w:lineRule="auto"/>
        <w:ind w:left="720" w:hanging="720"/>
        <w:rPr>
          <w:szCs w:val="24"/>
        </w:rPr>
      </w:pPr>
      <w:r w:rsidRPr="00300841">
        <w:rPr>
          <w:szCs w:val="24"/>
        </w:rPr>
        <w:t>Mammone, T., Gan, D., Collins, D., Lockshin, R.A., Marenus, K. and Maes, D. (2000). Successful separation of apoptosis and necrosis pathways in HaCaT keratinocyte cells induced by UVB irradiation</w:t>
      </w:r>
      <w:r w:rsidRPr="00300841">
        <w:rPr>
          <w:i/>
          <w:szCs w:val="24"/>
        </w:rPr>
        <w:t>.</w:t>
      </w:r>
      <w:r w:rsidRPr="00300841">
        <w:rPr>
          <w:szCs w:val="24"/>
        </w:rPr>
        <w:t xml:space="preserve"> </w:t>
      </w:r>
      <w:r w:rsidRPr="00300841">
        <w:rPr>
          <w:i/>
          <w:szCs w:val="24"/>
        </w:rPr>
        <w:t>Cell Biology and Toxicology</w:t>
      </w:r>
      <w:r w:rsidRPr="00300841">
        <w:rPr>
          <w:szCs w:val="24"/>
        </w:rPr>
        <w:t xml:space="preserve">  </w:t>
      </w:r>
      <w:r w:rsidRPr="00300841">
        <w:rPr>
          <w:b/>
          <w:szCs w:val="24"/>
        </w:rPr>
        <w:t>16</w:t>
      </w:r>
      <w:r w:rsidRPr="00300841">
        <w:rPr>
          <w:szCs w:val="24"/>
        </w:rPr>
        <w:t>, 293-302.</w:t>
      </w:r>
    </w:p>
    <w:p w:rsidR="00300841" w:rsidRPr="00300841" w:rsidRDefault="00300841" w:rsidP="00300841">
      <w:pPr>
        <w:spacing w:after="0" w:line="240" w:lineRule="auto"/>
        <w:ind w:left="720" w:hanging="720"/>
        <w:rPr>
          <w:rFonts w:asciiTheme="minorHAnsi" w:hAnsiTheme="minorHAnsi"/>
          <w:szCs w:val="24"/>
        </w:rPr>
      </w:pPr>
      <w:r w:rsidRPr="00300841">
        <w:rPr>
          <w:rFonts w:asciiTheme="minorHAnsi" w:hAnsiTheme="minorHAnsi"/>
          <w:szCs w:val="24"/>
        </w:rPr>
        <w:t xml:space="preserve">Mao, </w:t>
      </w:r>
      <w:r w:rsidRPr="00300841">
        <w:rPr>
          <w:rFonts w:asciiTheme="minorHAnsi" w:hAnsiTheme="minorHAnsi" w:cs="Times New Roman"/>
          <w:szCs w:val="24"/>
        </w:rPr>
        <w:t>C.</w:t>
      </w:r>
      <w:r w:rsidRPr="00300841">
        <w:rPr>
          <w:rFonts w:asciiTheme="minorHAnsi" w:hAnsiTheme="minorHAnsi"/>
          <w:szCs w:val="24"/>
        </w:rPr>
        <w:t xml:space="preserve">, </w:t>
      </w:r>
      <w:r w:rsidRPr="00300841">
        <w:rPr>
          <w:rFonts w:asciiTheme="minorHAnsi" w:hAnsiTheme="minorHAnsi" w:cs="Times New Roman"/>
          <w:szCs w:val="24"/>
        </w:rPr>
        <w:t>Saba, J.D.</w:t>
      </w:r>
      <w:r w:rsidRPr="00300841">
        <w:rPr>
          <w:rFonts w:asciiTheme="minorHAnsi" w:hAnsiTheme="minorHAnsi"/>
          <w:szCs w:val="24"/>
        </w:rPr>
        <w:t xml:space="preserve"> and </w:t>
      </w:r>
      <w:r w:rsidRPr="00300841">
        <w:rPr>
          <w:rFonts w:asciiTheme="minorHAnsi" w:hAnsiTheme="minorHAnsi" w:cs="Times New Roman"/>
          <w:szCs w:val="24"/>
        </w:rPr>
        <w:t>Obeid, L.M.</w:t>
      </w:r>
      <w:r w:rsidRPr="00300841">
        <w:rPr>
          <w:rFonts w:asciiTheme="minorHAnsi" w:hAnsiTheme="minorHAnsi"/>
          <w:szCs w:val="24"/>
        </w:rPr>
        <w:t xml:space="preserve"> (1999). </w:t>
      </w:r>
      <w:r w:rsidRPr="00300841">
        <w:rPr>
          <w:rFonts w:asciiTheme="minorHAnsi" w:hAnsiTheme="minorHAnsi" w:cs="Times New Roman"/>
          <w:szCs w:val="24"/>
        </w:rPr>
        <w:t xml:space="preserve">The dihydrosphingosine-1-phosphate phosphatases of </w:t>
      </w:r>
      <w:r w:rsidRPr="00300841">
        <w:rPr>
          <w:rFonts w:asciiTheme="minorHAnsi" w:hAnsiTheme="minorHAnsi" w:cs="Times New Roman"/>
          <w:i/>
          <w:szCs w:val="24"/>
        </w:rPr>
        <w:t>Saccharomyces cerevisiae</w:t>
      </w:r>
      <w:r w:rsidRPr="00300841">
        <w:rPr>
          <w:rFonts w:asciiTheme="minorHAnsi" w:hAnsiTheme="minorHAnsi" w:cs="Times New Roman"/>
          <w:szCs w:val="24"/>
        </w:rPr>
        <w:t xml:space="preserve"> are important regulators of cell proliferation and heat stress response </w:t>
      </w:r>
      <w:r w:rsidRPr="00300841">
        <w:rPr>
          <w:rFonts w:asciiTheme="minorHAnsi" w:hAnsiTheme="minorHAnsi" w:cs="Times New Roman"/>
          <w:i/>
          <w:szCs w:val="24"/>
        </w:rPr>
        <w:t xml:space="preserve">The Biochemical Journal </w:t>
      </w:r>
      <w:r w:rsidRPr="00300841">
        <w:rPr>
          <w:rFonts w:asciiTheme="minorHAnsi" w:hAnsiTheme="minorHAnsi"/>
          <w:b/>
          <w:szCs w:val="24"/>
        </w:rPr>
        <w:t>342</w:t>
      </w:r>
      <w:r w:rsidRPr="00300841">
        <w:rPr>
          <w:rFonts w:asciiTheme="minorHAnsi" w:hAnsiTheme="minorHAnsi"/>
          <w:szCs w:val="24"/>
        </w:rPr>
        <w:t xml:space="preserve">, </w:t>
      </w:r>
      <w:r w:rsidRPr="00300841">
        <w:rPr>
          <w:rFonts w:asciiTheme="minorHAnsi" w:hAnsiTheme="minorHAnsi" w:cs="Times New Roman"/>
          <w:szCs w:val="24"/>
        </w:rPr>
        <w:t>667-675</w:t>
      </w:r>
      <w:r w:rsidRPr="00300841">
        <w:rPr>
          <w:rFonts w:asciiTheme="minorHAnsi" w:hAnsiTheme="minorHAnsi"/>
          <w:szCs w:val="24"/>
        </w:rPr>
        <w:t>.</w:t>
      </w:r>
    </w:p>
    <w:p w:rsidR="00300841" w:rsidRPr="00300841" w:rsidRDefault="00300841" w:rsidP="00300841">
      <w:pPr>
        <w:spacing w:after="0" w:line="240" w:lineRule="auto"/>
        <w:ind w:left="720" w:hanging="720"/>
        <w:rPr>
          <w:szCs w:val="24"/>
        </w:rPr>
      </w:pPr>
      <w:r w:rsidRPr="00300841">
        <w:rPr>
          <w:szCs w:val="24"/>
        </w:rPr>
        <w:t>Markham, J.E., Li, J., Cahoon, E.B. and Jaworski, J.G. (2006). Separation and Identification of Major Plant Sphingolipid Classes from Leaves</w:t>
      </w:r>
      <w:r w:rsidRPr="00300841">
        <w:rPr>
          <w:i/>
          <w:szCs w:val="24"/>
        </w:rPr>
        <w:t>.</w:t>
      </w:r>
      <w:r w:rsidRPr="00300841">
        <w:rPr>
          <w:szCs w:val="24"/>
        </w:rPr>
        <w:t xml:space="preserve"> </w:t>
      </w:r>
      <w:r w:rsidRPr="00300841">
        <w:rPr>
          <w:i/>
          <w:szCs w:val="24"/>
        </w:rPr>
        <w:t>Journal of Biological Chemistry</w:t>
      </w:r>
      <w:r w:rsidRPr="00300841">
        <w:rPr>
          <w:szCs w:val="24"/>
        </w:rPr>
        <w:t xml:space="preserve">  </w:t>
      </w:r>
      <w:r w:rsidRPr="00300841">
        <w:rPr>
          <w:b/>
          <w:szCs w:val="24"/>
        </w:rPr>
        <w:t>281</w:t>
      </w:r>
      <w:r w:rsidRPr="00300841">
        <w:rPr>
          <w:szCs w:val="24"/>
        </w:rPr>
        <w:t>, 22684-22694.</w:t>
      </w:r>
    </w:p>
    <w:p w:rsidR="00300841" w:rsidRPr="00300841" w:rsidRDefault="00300841" w:rsidP="00300841">
      <w:pPr>
        <w:spacing w:after="0" w:line="240" w:lineRule="auto"/>
        <w:ind w:left="720" w:hanging="720"/>
        <w:rPr>
          <w:szCs w:val="24"/>
        </w:rPr>
      </w:pPr>
      <w:r w:rsidRPr="00300841">
        <w:rPr>
          <w:szCs w:val="24"/>
        </w:rPr>
        <w:t xml:space="preserve">Marsden, M.P.F. and Meinke, D.W. (1985). Abnormal Development of the Suspensor in an Embryo-Lethal Mutant of </w:t>
      </w:r>
      <w:r w:rsidRPr="00300841">
        <w:rPr>
          <w:i/>
          <w:szCs w:val="24"/>
        </w:rPr>
        <w:t>Arabidopsis</w:t>
      </w:r>
      <w:r w:rsidRPr="00300841">
        <w:rPr>
          <w:szCs w:val="24"/>
        </w:rPr>
        <w:t xml:space="preserve"> </w:t>
      </w:r>
      <w:r w:rsidRPr="00300841">
        <w:rPr>
          <w:i/>
          <w:szCs w:val="24"/>
        </w:rPr>
        <w:t>thaliana.</w:t>
      </w:r>
      <w:r w:rsidRPr="00300841">
        <w:rPr>
          <w:szCs w:val="24"/>
        </w:rPr>
        <w:t xml:space="preserve"> </w:t>
      </w:r>
      <w:r w:rsidRPr="00300841">
        <w:rPr>
          <w:i/>
          <w:szCs w:val="24"/>
        </w:rPr>
        <w:t>American Journal of Botany</w:t>
      </w:r>
      <w:r w:rsidRPr="00300841">
        <w:rPr>
          <w:szCs w:val="24"/>
        </w:rPr>
        <w:t xml:space="preserve">  </w:t>
      </w:r>
      <w:r w:rsidRPr="00300841">
        <w:rPr>
          <w:b/>
          <w:szCs w:val="24"/>
        </w:rPr>
        <w:t>72</w:t>
      </w:r>
      <w:r w:rsidRPr="00300841">
        <w:rPr>
          <w:szCs w:val="24"/>
        </w:rPr>
        <w:t>, 12.</w:t>
      </w:r>
    </w:p>
    <w:p w:rsidR="00300841" w:rsidRPr="00300841" w:rsidRDefault="00300841" w:rsidP="00300841">
      <w:pPr>
        <w:spacing w:after="0" w:line="240" w:lineRule="auto"/>
        <w:ind w:left="720" w:hanging="720"/>
        <w:rPr>
          <w:szCs w:val="24"/>
        </w:rPr>
      </w:pPr>
      <w:r w:rsidRPr="00300841">
        <w:rPr>
          <w:szCs w:val="24"/>
        </w:rPr>
        <w:t>Martin, D.N. and Baehrecke, E.H. (2004). Caspases function in autophagic programmed cell death in Drosophila</w:t>
      </w:r>
      <w:r w:rsidRPr="00300841">
        <w:rPr>
          <w:i/>
          <w:szCs w:val="24"/>
        </w:rPr>
        <w:t>.</w:t>
      </w:r>
      <w:r w:rsidRPr="00300841">
        <w:rPr>
          <w:szCs w:val="24"/>
        </w:rPr>
        <w:t xml:space="preserve"> </w:t>
      </w:r>
      <w:r w:rsidRPr="00300841">
        <w:rPr>
          <w:i/>
          <w:szCs w:val="24"/>
        </w:rPr>
        <w:t>Development</w:t>
      </w:r>
      <w:r w:rsidRPr="00300841">
        <w:rPr>
          <w:szCs w:val="24"/>
        </w:rPr>
        <w:t xml:space="preserve">  </w:t>
      </w:r>
      <w:r w:rsidRPr="00300841">
        <w:rPr>
          <w:b/>
          <w:szCs w:val="24"/>
        </w:rPr>
        <w:t>131</w:t>
      </w:r>
      <w:r w:rsidRPr="00300841">
        <w:rPr>
          <w:szCs w:val="24"/>
        </w:rPr>
        <w:t>, 275-284.</w:t>
      </w:r>
    </w:p>
    <w:p w:rsidR="00300841" w:rsidRPr="00300841" w:rsidRDefault="00300841" w:rsidP="00300841">
      <w:pPr>
        <w:spacing w:after="0" w:line="240" w:lineRule="auto"/>
        <w:ind w:left="720" w:hanging="720"/>
        <w:rPr>
          <w:szCs w:val="24"/>
        </w:rPr>
      </w:pPr>
      <w:r w:rsidRPr="00300841">
        <w:rPr>
          <w:szCs w:val="24"/>
        </w:rPr>
        <w:t xml:space="preserve">Martin, S.J. and Cotter, T.G. (1991). Ultraviolet B Irradiation of Human Leukaemia HL-60 Cells </w:t>
      </w:r>
      <w:r w:rsidRPr="00300841">
        <w:rPr>
          <w:i/>
          <w:szCs w:val="24"/>
        </w:rPr>
        <w:t>in Vitro</w:t>
      </w:r>
      <w:r w:rsidRPr="00300841">
        <w:rPr>
          <w:szCs w:val="24"/>
        </w:rPr>
        <w:t xml:space="preserve"> Induces Apoptosis</w:t>
      </w:r>
      <w:r w:rsidRPr="00300841">
        <w:rPr>
          <w:i/>
          <w:szCs w:val="24"/>
        </w:rPr>
        <w:t>.</w:t>
      </w:r>
      <w:r w:rsidRPr="00300841">
        <w:rPr>
          <w:szCs w:val="24"/>
        </w:rPr>
        <w:t xml:space="preserve"> </w:t>
      </w:r>
      <w:r w:rsidRPr="00300841">
        <w:rPr>
          <w:i/>
          <w:szCs w:val="24"/>
        </w:rPr>
        <w:t>International Journal of Radiation Biology</w:t>
      </w:r>
      <w:r w:rsidRPr="00300841">
        <w:rPr>
          <w:szCs w:val="24"/>
        </w:rPr>
        <w:t xml:space="preserve">  </w:t>
      </w:r>
      <w:r w:rsidRPr="00300841">
        <w:rPr>
          <w:b/>
          <w:szCs w:val="24"/>
        </w:rPr>
        <w:t>59</w:t>
      </w:r>
      <w:r w:rsidRPr="00300841">
        <w:rPr>
          <w:szCs w:val="24"/>
        </w:rPr>
        <w:t>, 1001 - 1016.</w:t>
      </w:r>
    </w:p>
    <w:p w:rsidR="00300841" w:rsidRPr="00300841" w:rsidRDefault="00300841" w:rsidP="00300841">
      <w:pPr>
        <w:spacing w:after="0" w:line="240" w:lineRule="auto"/>
        <w:ind w:left="720" w:hanging="720"/>
        <w:rPr>
          <w:szCs w:val="24"/>
        </w:rPr>
      </w:pPr>
      <w:r w:rsidRPr="00300841">
        <w:rPr>
          <w:szCs w:val="24"/>
        </w:rPr>
        <w:t>Mashiguchi, K., Urakami, E., Hasegawa, M., Sanmiya, K., Matsumoto, I., Yamaguchi, I., Asami, T. and Suzuki, Y. (2008). Defense-Related Signaling by Interaction of Arabinogalactan Proteins and β-Glucosyl Yariv Reagent Inhibits Gibberellin Signaling in Barley Aleurone Cells</w:t>
      </w:r>
      <w:r w:rsidRPr="00300841">
        <w:rPr>
          <w:i/>
          <w:szCs w:val="24"/>
        </w:rPr>
        <w:t>.</w:t>
      </w:r>
      <w:r w:rsidRPr="00300841">
        <w:rPr>
          <w:szCs w:val="24"/>
        </w:rPr>
        <w:t xml:space="preserve"> </w:t>
      </w:r>
      <w:r w:rsidRPr="00300841">
        <w:rPr>
          <w:i/>
          <w:szCs w:val="24"/>
        </w:rPr>
        <w:t>Plant Cell Physiology</w:t>
      </w:r>
      <w:r w:rsidRPr="00300841">
        <w:rPr>
          <w:szCs w:val="24"/>
        </w:rPr>
        <w:t xml:space="preserve">  </w:t>
      </w:r>
      <w:r w:rsidRPr="00300841">
        <w:rPr>
          <w:b/>
          <w:szCs w:val="24"/>
        </w:rPr>
        <w:t>49</w:t>
      </w:r>
      <w:r w:rsidRPr="00300841">
        <w:rPr>
          <w:szCs w:val="24"/>
        </w:rPr>
        <w:t>, 178-190.</w:t>
      </w:r>
    </w:p>
    <w:p w:rsidR="00300841" w:rsidRPr="00300841" w:rsidRDefault="00300841" w:rsidP="00300841">
      <w:pPr>
        <w:spacing w:after="0" w:line="240" w:lineRule="auto"/>
        <w:ind w:left="720" w:hanging="720"/>
        <w:rPr>
          <w:szCs w:val="24"/>
        </w:rPr>
      </w:pPr>
      <w:r w:rsidRPr="00300841">
        <w:rPr>
          <w:szCs w:val="24"/>
        </w:rPr>
        <w:t xml:space="preserve">Matsuura, T., Sakai, H., Unno, M., Ida, K., Sato, M., Sakiyama, F. and Norioka, S. (2001). Crystal Structure at 1.5-A Resolution of </w:t>
      </w:r>
      <w:r w:rsidRPr="00300841">
        <w:rPr>
          <w:i/>
          <w:szCs w:val="24"/>
        </w:rPr>
        <w:t>Pyrus pyrifolia</w:t>
      </w:r>
      <w:r w:rsidRPr="00300841">
        <w:rPr>
          <w:szCs w:val="24"/>
        </w:rPr>
        <w:t xml:space="preserve"> Pistil Ribonuclease Responsible for Gametophytic Self-incompatibility</w:t>
      </w:r>
      <w:r w:rsidRPr="00300841">
        <w:rPr>
          <w:i/>
          <w:szCs w:val="24"/>
        </w:rPr>
        <w:t>.</w:t>
      </w:r>
      <w:r w:rsidRPr="00300841">
        <w:rPr>
          <w:szCs w:val="24"/>
        </w:rPr>
        <w:t xml:space="preserve"> </w:t>
      </w:r>
      <w:r w:rsidRPr="00300841">
        <w:rPr>
          <w:i/>
          <w:szCs w:val="24"/>
        </w:rPr>
        <w:t>The Journal of Biological Chemistry</w:t>
      </w:r>
      <w:r w:rsidRPr="00300841">
        <w:rPr>
          <w:szCs w:val="24"/>
        </w:rPr>
        <w:t xml:space="preserve">  </w:t>
      </w:r>
      <w:r w:rsidRPr="00300841">
        <w:rPr>
          <w:b/>
          <w:szCs w:val="24"/>
        </w:rPr>
        <w:t>276</w:t>
      </w:r>
      <w:r w:rsidRPr="00300841">
        <w:rPr>
          <w:szCs w:val="24"/>
        </w:rPr>
        <w:t>, 45261-45269.</w:t>
      </w:r>
    </w:p>
    <w:p w:rsidR="00300841" w:rsidRPr="00300841" w:rsidRDefault="00300841" w:rsidP="00300841">
      <w:pPr>
        <w:spacing w:after="0" w:line="240" w:lineRule="auto"/>
        <w:ind w:left="720" w:hanging="720"/>
        <w:rPr>
          <w:szCs w:val="24"/>
        </w:rPr>
      </w:pPr>
      <w:r w:rsidRPr="00300841">
        <w:rPr>
          <w:szCs w:val="24"/>
        </w:rPr>
        <w:t>Maxwell, D.P., Wang, Y. and McIntosh, L. (1999). The alternative oxidase lowers mitochondrial reactive oxygen production in plant cells</w:t>
      </w:r>
      <w:r w:rsidRPr="00300841">
        <w:rPr>
          <w:i/>
          <w:szCs w:val="24"/>
        </w:rPr>
        <w:t>.</w:t>
      </w:r>
      <w:r w:rsidRPr="00300841">
        <w:rPr>
          <w:szCs w:val="24"/>
        </w:rPr>
        <w:t xml:space="preserve"> </w:t>
      </w:r>
      <w:r w:rsidRPr="00300841">
        <w:rPr>
          <w:i/>
          <w:szCs w:val="24"/>
        </w:rPr>
        <w:t>Proceedings of the National Academy of Sciences of the United States of America</w:t>
      </w:r>
      <w:r w:rsidRPr="00300841">
        <w:rPr>
          <w:szCs w:val="24"/>
        </w:rPr>
        <w:t xml:space="preserve">  </w:t>
      </w:r>
      <w:r w:rsidRPr="00300841">
        <w:rPr>
          <w:b/>
          <w:szCs w:val="24"/>
        </w:rPr>
        <w:t>96</w:t>
      </w:r>
      <w:r w:rsidRPr="00300841">
        <w:rPr>
          <w:szCs w:val="24"/>
        </w:rPr>
        <w:t>, 8271–8276.</w:t>
      </w:r>
    </w:p>
    <w:p w:rsidR="00300841" w:rsidRPr="00300841" w:rsidRDefault="00300841" w:rsidP="00300841">
      <w:pPr>
        <w:spacing w:after="0" w:line="240" w:lineRule="auto"/>
        <w:ind w:left="720" w:hanging="720"/>
        <w:rPr>
          <w:szCs w:val="24"/>
        </w:rPr>
      </w:pPr>
      <w:r w:rsidRPr="00300841">
        <w:rPr>
          <w:szCs w:val="24"/>
        </w:rPr>
        <w:t>McCabe, P.F. and Leaver, C.J. (2000). Programmed cell death in cell cultures</w:t>
      </w:r>
      <w:r w:rsidRPr="00300841">
        <w:rPr>
          <w:i/>
          <w:szCs w:val="24"/>
        </w:rPr>
        <w:t>.</w:t>
      </w:r>
      <w:r w:rsidRPr="00300841">
        <w:rPr>
          <w:szCs w:val="24"/>
        </w:rPr>
        <w:t xml:space="preserve"> </w:t>
      </w:r>
      <w:r w:rsidRPr="00300841">
        <w:rPr>
          <w:i/>
          <w:szCs w:val="24"/>
        </w:rPr>
        <w:t>Plant Molecular Biology</w:t>
      </w:r>
      <w:r w:rsidRPr="00300841">
        <w:rPr>
          <w:szCs w:val="24"/>
        </w:rPr>
        <w:t xml:space="preserve">  </w:t>
      </w:r>
      <w:r w:rsidRPr="00300841">
        <w:rPr>
          <w:b/>
          <w:szCs w:val="24"/>
        </w:rPr>
        <w:t>44</w:t>
      </w:r>
      <w:r w:rsidRPr="00300841">
        <w:rPr>
          <w:szCs w:val="24"/>
        </w:rPr>
        <w:t>, 359-368.</w:t>
      </w:r>
    </w:p>
    <w:p w:rsidR="00300841" w:rsidRPr="00300841" w:rsidRDefault="00300841" w:rsidP="00300841">
      <w:pPr>
        <w:spacing w:after="0" w:line="240" w:lineRule="auto"/>
        <w:ind w:left="720" w:hanging="720"/>
        <w:rPr>
          <w:szCs w:val="24"/>
        </w:rPr>
      </w:pPr>
      <w:r w:rsidRPr="00300841">
        <w:rPr>
          <w:szCs w:val="24"/>
        </w:rPr>
        <w:t>McCabe, P.F., Levine, A., Meijer, P.-J., Tapon, N.A. and Pennell, R.I. (1997a). A programmed cell death pathway activated in carrot cells cultured at low cell density</w:t>
      </w:r>
      <w:r w:rsidRPr="00300841">
        <w:rPr>
          <w:i/>
          <w:szCs w:val="24"/>
        </w:rPr>
        <w:t>.</w:t>
      </w:r>
      <w:r w:rsidRPr="00300841">
        <w:rPr>
          <w:szCs w:val="24"/>
        </w:rPr>
        <w:t xml:space="preserve"> </w:t>
      </w:r>
      <w:r w:rsidRPr="00300841">
        <w:rPr>
          <w:i/>
          <w:szCs w:val="24"/>
        </w:rPr>
        <w:t>The Plant Journal</w:t>
      </w:r>
      <w:r w:rsidRPr="00300841">
        <w:rPr>
          <w:szCs w:val="24"/>
        </w:rPr>
        <w:t xml:space="preserve">  </w:t>
      </w:r>
      <w:r w:rsidRPr="00300841">
        <w:rPr>
          <w:b/>
          <w:szCs w:val="24"/>
        </w:rPr>
        <w:t>12</w:t>
      </w:r>
      <w:r w:rsidRPr="00300841">
        <w:rPr>
          <w:szCs w:val="24"/>
        </w:rPr>
        <w:t>, 267-280.</w:t>
      </w:r>
    </w:p>
    <w:p w:rsidR="00300841" w:rsidRPr="00300841" w:rsidRDefault="00300841" w:rsidP="00300841">
      <w:pPr>
        <w:spacing w:after="0" w:line="240" w:lineRule="auto"/>
        <w:ind w:left="720" w:hanging="720"/>
        <w:rPr>
          <w:szCs w:val="24"/>
        </w:rPr>
      </w:pPr>
      <w:r w:rsidRPr="00300841">
        <w:rPr>
          <w:szCs w:val="24"/>
        </w:rPr>
        <w:t>McCabe, P.F., Valentine, T.A., Forsberg, L.S. and Pennell, R.I. (1997b). Soluble Signals from Cells Identified at the Cell Wall Establish a Developmental Pathway in Carrot</w:t>
      </w:r>
      <w:r w:rsidRPr="00300841">
        <w:rPr>
          <w:i/>
          <w:szCs w:val="24"/>
        </w:rPr>
        <w:t>.</w:t>
      </w:r>
      <w:r w:rsidRPr="00300841">
        <w:rPr>
          <w:szCs w:val="24"/>
        </w:rPr>
        <w:t xml:space="preserve"> </w:t>
      </w:r>
      <w:r w:rsidRPr="00300841">
        <w:rPr>
          <w:i/>
          <w:szCs w:val="24"/>
        </w:rPr>
        <w:t>Plant Cell</w:t>
      </w:r>
      <w:r w:rsidRPr="00300841">
        <w:rPr>
          <w:szCs w:val="24"/>
        </w:rPr>
        <w:t xml:space="preserve">  </w:t>
      </w:r>
      <w:r w:rsidRPr="00300841">
        <w:rPr>
          <w:b/>
          <w:szCs w:val="24"/>
        </w:rPr>
        <w:t>9</w:t>
      </w:r>
      <w:r w:rsidRPr="00300841">
        <w:rPr>
          <w:szCs w:val="24"/>
        </w:rPr>
        <w:t>, 2225-2241.</w:t>
      </w:r>
    </w:p>
    <w:p w:rsidR="00300841" w:rsidRPr="00300841" w:rsidRDefault="00300841" w:rsidP="00300841">
      <w:pPr>
        <w:spacing w:after="0" w:line="240" w:lineRule="auto"/>
        <w:ind w:left="720" w:hanging="720"/>
        <w:rPr>
          <w:szCs w:val="24"/>
        </w:rPr>
      </w:pPr>
      <w:r w:rsidRPr="00300841">
        <w:rPr>
          <w:szCs w:val="24"/>
        </w:rPr>
        <w:t>McClure, B. and Franklin-Tong, V. (2006). Gametophytic self-incompatibility: understanding the cellular mechanisms involved in “self” pollen tube inhibition</w:t>
      </w:r>
      <w:r w:rsidRPr="00300841">
        <w:rPr>
          <w:i/>
          <w:szCs w:val="24"/>
        </w:rPr>
        <w:t>.</w:t>
      </w:r>
      <w:r w:rsidRPr="00300841">
        <w:rPr>
          <w:szCs w:val="24"/>
        </w:rPr>
        <w:t xml:space="preserve"> </w:t>
      </w:r>
      <w:r w:rsidRPr="00300841">
        <w:rPr>
          <w:i/>
          <w:szCs w:val="24"/>
        </w:rPr>
        <w:t>Planta</w:t>
      </w:r>
      <w:r w:rsidRPr="00300841">
        <w:rPr>
          <w:szCs w:val="24"/>
        </w:rPr>
        <w:t xml:space="preserve">  </w:t>
      </w:r>
      <w:r w:rsidRPr="00300841">
        <w:rPr>
          <w:b/>
          <w:szCs w:val="24"/>
        </w:rPr>
        <w:t>224</w:t>
      </w:r>
      <w:r w:rsidRPr="00300841">
        <w:rPr>
          <w:szCs w:val="24"/>
        </w:rPr>
        <w:t>, 233-245.</w:t>
      </w:r>
    </w:p>
    <w:p w:rsidR="00300841" w:rsidRPr="00300841" w:rsidRDefault="00300841" w:rsidP="00300841">
      <w:pPr>
        <w:spacing w:after="0" w:line="240" w:lineRule="auto"/>
        <w:ind w:left="720" w:hanging="720"/>
        <w:rPr>
          <w:szCs w:val="24"/>
        </w:rPr>
      </w:pPr>
      <w:r w:rsidRPr="00300841">
        <w:rPr>
          <w:szCs w:val="24"/>
        </w:rPr>
        <w:t>Mitou, G., Budak, H. and Gozuacik, D. (2009). Techniques to Study Autophagy in Plants</w:t>
      </w:r>
      <w:r w:rsidRPr="00300841">
        <w:rPr>
          <w:i/>
          <w:szCs w:val="24"/>
        </w:rPr>
        <w:t>.</w:t>
      </w:r>
      <w:r w:rsidRPr="00300841">
        <w:rPr>
          <w:szCs w:val="24"/>
        </w:rPr>
        <w:t xml:space="preserve"> </w:t>
      </w:r>
      <w:r w:rsidRPr="00300841">
        <w:rPr>
          <w:i/>
          <w:szCs w:val="24"/>
        </w:rPr>
        <w:t>International Journal of Plant Genomics</w:t>
      </w:r>
      <w:r w:rsidRPr="00300841">
        <w:rPr>
          <w:szCs w:val="24"/>
        </w:rPr>
        <w:t>, 1-14.</w:t>
      </w:r>
    </w:p>
    <w:p w:rsidR="00300841" w:rsidRPr="00300841" w:rsidRDefault="00300841" w:rsidP="00300841">
      <w:pPr>
        <w:spacing w:after="0" w:line="240" w:lineRule="auto"/>
        <w:ind w:left="720" w:hanging="720"/>
        <w:rPr>
          <w:szCs w:val="24"/>
        </w:rPr>
      </w:pPr>
      <w:r w:rsidRPr="00300841">
        <w:rPr>
          <w:szCs w:val="24"/>
        </w:rPr>
        <w:t>Mittler, R. (2002). Oxidative stress, antioxidants and stress tolerance</w:t>
      </w:r>
      <w:r w:rsidRPr="00300841">
        <w:rPr>
          <w:i/>
          <w:szCs w:val="24"/>
        </w:rPr>
        <w:t>.</w:t>
      </w:r>
      <w:r w:rsidRPr="00300841">
        <w:rPr>
          <w:szCs w:val="24"/>
        </w:rPr>
        <w:t xml:space="preserve"> </w:t>
      </w:r>
      <w:r w:rsidRPr="00300841">
        <w:rPr>
          <w:i/>
          <w:szCs w:val="24"/>
        </w:rPr>
        <w:t>Trends in Plant Science</w:t>
      </w:r>
      <w:r w:rsidRPr="00300841">
        <w:rPr>
          <w:szCs w:val="24"/>
        </w:rPr>
        <w:t xml:space="preserve">  </w:t>
      </w:r>
      <w:r w:rsidRPr="00300841">
        <w:rPr>
          <w:b/>
          <w:szCs w:val="24"/>
        </w:rPr>
        <w:t>7</w:t>
      </w:r>
      <w:r w:rsidRPr="00300841">
        <w:rPr>
          <w:szCs w:val="24"/>
        </w:rPr>
        <w:t>, 405-410.</w:t>
      </w:r>
    </w:p>
    <w:p w:rsidR="00300841" w:rsidRPr="00300841" w:rsidRDefault="00300841" w:rsidP="00300841">
      <w:pPr>
        <w:spacing w:after="0" w:line="240" w:lineRule="auto"/>
        <w:ind w:left="720" w:hanging="720"/>
        <w:rPr>
          <w:szCs w:val="24"/>
        </w:rPr>
      </w:pPr>
      <w:r w:rsidRPr="00300841">
        <w:rPr>
          <w:szCs w:val="24"/>
        </w:rPr>
        <w:t>Mittler, R. and Lam, E. (1995). Identification, Characterization, and Purification of a Tobacco Endonuclease Activity Induced upon Hypersensitive Response Cell Death</w:t>
      </w:r>
      <w:r w:rsidRPr="00300841">
        <w:rPr>
          <w:i/>
          <w:szCs w:val="24"/>
        </w:rPr>
        <w:t>.</w:t>
      </w:r>
      <w:r w:rsidRPr="00300841">
        <w:rPr>
          <w:szCs w:val="24"/>
        </w:rPr>
        <w:t xml:space="preserve"> </w:t>
      </w:r>
      <w:r w:rsidRPr="00300841">
        <w:rPr>
          <w:i/>
          <w:szCs w:val="24"/>
        </w:rPr>
        <w:t>Plant Cell</w:t>
      </w:r>
      <w:r w:rsidRPr="00300841">
        <w:rPr>
          <w:szCs w:val="24"/>
        </w:rPr>
        <w:t xml:space="preserve">  </w:t>
      </w:r>
      <w:r w:rsidRPr="00300841">
        <w:rPr>
          <w:b/>
          <w:szCs w:val="24"/>
        </w:rPr>
        <w:t>7</w:t>
      </w:r>
      <w:r w:rsidRPr="00300841">
        <w:rPr>
          <w:szCs w:val="24"/>
        </w:rPr>
        <w:t>, 1951-1962.</w:t>
      </w:r>
    </w:p>
    <w:p w:rsidR="00300841" w:rsidRPr="00300841" w:rsidRDefault="00300841" w:rsidP="00300841">
      <w:pPr>
        <w:spacing w:after="0" w:line="240" w:lineRule="auto"/>
        <w:ind w:left="720" w:hanging="720"/>
        <w:rPr>
          <w:szCs w:val="24"/>
        </w:rPr>
      </w:pPr>
      <w:r w:rsidRPr="00300841">
        <w:rPr>
          <w:szCs w:val="24"/>
        </w:rPr>
        <w:t>Mittler, R. and Lam, E. (1997). Characterization of nuclease activities and DNA fragmentation induced upon hypersensitive response cell death and mechanical stress</w:t>
      </w:r>
      <w:r w:rsidRPr="00300841">
        <w:rPr>
          <w:i/>
          <w:szCs w:val="24"/>
        </w:rPr>
        <w:t>.</w:t>
      </w:r>
      <w:r w:rsidRPr="00300841">
        <w:rPr>
          <w:szCs w:val="24"/>
        </w:rPr>
        <w:t xml:space="preserve"> </w:t>
      </w:r>
      <w:r w:rsidRPr="00300841">
        <w:rPr>
          <w:i/>
          <w:szCs w:val="24"/>
        </w:rPr>
        <w:t>Plant Molecular Biology</w:t>
      </w:r>
      <w:r w:rsidRPr="00300841">
        <w:rPr>
          <w:szCs w:val="24"/>
        </w:rPr>
        <w:t xml:space="preserve">  </w:t>
      </w:r>
      <w:r w:rsidRPr="00300841">
        <w:rPr>
          <w:b/>
          <w:szCs w:val="24"/>
        </w:rPr>
        <w:t>34</w:t>
      </w:r>
      <w:r w:rsidRPr="00300841">
        <w:rPr>
          <w:szCs w:val="24"/>
        </w:rPr>
        <w:t>, 209-221.</w:t>
      </w:r>
    </w:p>
    <w:p w:rsidR="00300841" w:rsidRPr="00300841" w:rsidRDefault="00300841" w:rsidP="00300841">
      <w:pPr>
        <w:spacing w:after="0" w:line="240" w:lineRule="auto"/>
        <w:ind w:left="720" w:hanging="720"/>
        <w:rPr>
          <w:szCs w:val="24"/>
        </w:rPr>
      </w:pPr>
      <w:r w:rsidRPr="00300841">
        <w:rPr>
          <w:szCs w:val="24"/>
        </w:rPr>
        <w:t>Mittler, R., Simon, L. and Lam, E. (1997). Pathogen-induced programmed cell death in tobacco</w:t>
      </w:r>
      <w:r w:rsidRPr="00300841">
        <w:rPr>
          <w:i/>
          <w:szCs w:val="24"/>
        </w:rPr>
        <w:t>.</w:t>
      </w:r>
      <w:r w:rsidRPr="00300841">
        <w:rPr>
          <w:szCs w:val="24"/>
        </w:rPr>
        <w:t xml:space="preserve"> </w:t>
      </w:r>
      <w:r w:rsidRPr="00300841">
        <w:rPr>
          <w:i/>
          <w:szCs w:val="24"/>
        </w:rPr>
        <w:t>Journal of Cell Science</w:t>
      </w:r>
      <w:r w:rsidRPr="00300841">
        <w:rPr>
          <w:szCs w:val="24"/>
        </w:rPr>
        <w:t xml:space="preserve">  </w:t>
      </w:r>
      <w:r w:rsidRPr="00300841">
        <w:rPr>
          <w:b/>
          <w:szCs w:val="24"/>
        </w:rPr>
        <w:t>110</w:t>
      </w:r>
      <w:r w:rsidRPr="00300841">
        <w:rPr>
          <w:szCs w:val="24"/>
        </w:rPr>
        <w:t>, 1333-1344.</w:t>
      </w:r>
    </w:p>
    <w:p w:rsidR="00300841" w:rsidRPr="00300841" w:rsidRDefault="00300841" w:rsidP="00300841">
      <w:pPr>
        <w:spacing w:after="0" w:line="240" w:lineRule="auto"/>
        <w:ind w:left="720" w:hanging="720"/>
        <w:rPr>
          <w:szCs w:val="24"/>
        </w:rPr>
      </w:pPr>
      <w:r w:rsidRPr="00300841">
        <w:rPr>
          <w:szCs w:val="24"/>
        </w:rPr>
        <w:t>Mizushima, N. (2004). Methods for monitoring autophagy</w:t>
      </w:r>
      <w:r w:rsidRPr="00300841">
        <w:rPr>
          <w:i/>
          <w:szCs w:val="24"/>
        </w:rPr>
        <w:t>.</w:t>
      </w:r>
      <w:r w:rsidRPr="00300841">
        <w:rPr>
          <w:szCs w:val="24"/>
        </w:rPr>
        <w:t xml:space="preserve"> </w:t>
      </w:r>
      <w:r w:rsidRPr="00300841">
        <w:rPr>
          <w:i/>
          <w:szCs w:val="24"/>
        </w:rPr>
        <w:t>The International Journal of Biochemistry &amp; Cell Biology</w:t>
      </w:r>
      <w:r w:rsidRPr="00300841">
        <w:rPr>
          <w:szCs w:val="24"/>
        </w:rPr>
        <w:t xml:space="preserve">  </w:t>
      </w:r>
      <w:r w:rsidRPr="00300841">
        <w:rPr>
          <w:b/>
          <w:szCs w:val="24"/>
        </w:rPr>
        <w:t>36</w:t>
      </w:r>
      <w:r w:rsidRPr="00300841">
        <w:rPr>
          <w:szCs w:val="24"/>
        </w:rPr>
        <w:t>, 2491-2502.</w:t>
      </w:r>
    </w:p>
    <w:p w:rsidR="00300841" w:rsidRPr="00300841" w:rsidRDefault="00300841" w:rsidP="00300841">
      <w:pPr>
        <w:spacing w:after="0" w:line="240" w:lineRule="auto"/>
        <w:ind w:left="720" w:hanging="720"/>
        <w:rPr>
          <w:szCs w:val="24"/>
        </w:rPr>
      </w:pPr>
      <w:r w:rsidRPr="00300841">
        <w:rPr>
          <w:szCs w:val="24"/>
        </w:rPr>
        <w:t>Moeder, W. and Yoshioka, K. (2008). Lesion mimic mutants: A classical, yet still fundamental approach to study programmed cell death</w:t>
      </w:r>
      <w:r w:rsidRPr="00300841">
        <w:rPr>
          <w:i/>
          <w:szCs w:val="24"/>
        </w:rPr>
        <w:t>.</w:t>
      </w:r>
      <w:r w:rsidRPr="00300841">
        <w:rPr>
          <w:szCs w:val="24"/>
        </w:rPr>
        <w:t xml:space="preserve"> </w:t>
      </w:r>
      <w:r w:rsidRPr="00300841">
        <w:rPr>
          <w:i/>
          <w:szCs w:val="24"/>
        </w:rPr>
        <w:t>Plant Signaling &amp; Behavior</w:t>
      </w:r>
      <w:r w:rsidRPr="00300841">
        <w:rPr>
          <w:szCs w:val="24"/>
        </w:rPr>
        <w:t xml:space="preserve">  </w:t>
      </w:r>
      <w:r w:rsidRPr="00300841">
        <w:rPr>
          <w:b/>
          <w:szCs w:val="24"/>
        </w:rPr>
        <w:t>3</w:t>
      </w:r>
      <w:r w:rsidRPr="00300841">
        <w:rPr>
          <w:szCs w:val="24"/>
        </w:rPr>
        <w:t>, 764–767.</w:t>
      </w:r>
    </w:p>
    <w:p w:rsidR="00300841" w:rsidRPr="00300841" w:rsidRDefault="00300841" w:rsidP="00300841">
      <w:pPr>
        <w:spacing w:after="0" w:line="240" w:lineRule="auto"/>
        <w:ind w:left="720" w:hanging="720"/>
        <w:rPr>
          <w:szCs w:val="24"/>
        </w:rPr>
      </w:pPr>
      <w:r w:rsidRPr="00300841">
        <w:rPr>
          <w:szCs w:val="24"/>
        </w:rPr>
        <w:t xml:space="preserve">Mordhorst, A.P., Voerman, K.J., Hartog, M.V., Meijer, E.A., van Went, J., Koornneef, M. and de Vries, S.C. (1998). Somatic Embryogenesis in </w:t>
      </w:r>
      <w:r w:rsidRPr="00300841">
        <w:rPr>
          <w:i/>
          <w:szCs w:val="24"/>
        </w:rPr>
        <w:t>Arabidopsis</w:t>
      </w:r>
      <w:r w:rsidRPr="00300841">
        <w:rPr>
          <w:szCs w:val="24"/>
        </w:rPr>
        <w:t xml:space="preserve"> </w:t>
      </w:r>
      <w:r w:rsidRPr="00300841">
        <w:rPr>
          <w:i/>
          <w:szCs w:val="24"/>
        </w:rPr>
        <w:t>thaliana</w:t>
      </w:r>
      <w:r w:rsidRPr="00300841">
        <w:rPr>
          <w:szCs w:val="24"/>
        </w:rPr>
        <w:t xml:space="preserve"> Is Facilitated by Mutations in Genes Repressing Meristematic Cell Divisions</w:t>
      </w:r>
      <w:r w:rsidRPr="00300841">
        <w:rPr>
          <w:i/>
          <w:szCs w:val="24"/>
        </w:rPr>
        <w:t>.</w:t>
      </w:r>
      <w:r w:rsidRPr="00300841">
        <w:rPr>
          <w:szCs w:val="24"/>
        </w:rPr>
        <w:t xml:space="preserve"> </w:t>
      </w:r>
      <w:r w:rsidRPr="00300841">
        <w:rPr>
          <w:i/>
          <w:szCs w:val="24"/>
        </w:rPr>
        <w:t>Genetics</w:t>
      </w:r>
      <w:r w:rsidRPr="00300841">
        <w:rPr>
          <w:szCs w:val="24"/>
        </w:rPr>
        <w:t xml:space="preserve">  </w:t>
      </w:r>
      <w:r w:rsidRPr="00300841">
        <w:rPr>
          <w:b/>
          <w:szCs w:val="24"/>
        </w:rPr>
        <w:t>149</w:t>
      </w:r>
      <w:r w:rsidRPr="00300841">
        <w:rPr>
          <w:szCs w:val="24"/>
        </w:rPr>
        <w:t>, 549-563.</w:t>
      </w:r>
    </w:p>
    <w:p w:rsidR="00300841" w:rsidRPr="00300841" w:rsidRDefault="00300841" w:rsidP="00300841">
      <w:pPr>
        <w:spacing w:after="0" w:line="240" w:lineRule="auto"/>
        <w:ind w:left="720" w:hanging="720"/>
        <w:rPr>
          <w:szCs w:val="24"/>
        </w:rPr>
      </w:pPr>
      <w:r w:rsidRPr="00300841">
        <w:rPr>
          <w:szCs w:val="24"/>
        </w:rPr>
        <w:t>Mould, M.J.R. and Heath, M.C. (1999). Ultrastructural evidence of differential changes in transcription, translation, and cortical microtubules during in planta penetration of cells resistant or susceptible to rust infection</w:t>
      </w:r>
      <w:r w:rsidRPr="00300841">
        <w:rPr>
          <w:i/>
          <w:szCs w:val="24"/>
        </w:rPr>
        <w:t>.</w:t>
      </w:r>
      <w:r w:rsidRPr="00300841">
        <w:rPr>
          <w:szCs w:val="24"/>
        </w:rPr>
        <w:t xml:space="preserve"> </w:t>
      </w:r>
      <w:r w:rsidRPr="00300841">
        <w:rPr>
          <w:i/>
          <w:szCs w:val="24"/>
        </w:rPr>
        <w:t>Physiological and Molecular Plant Pathology</w:t>
      </w:r>
      <w:r w:rsidRPr="00300841">
        <w:rPr>
          <w:szCs w:val="24"/>
        </w:rPr>
        <w:t xml:space="preserve">  </w:t>
      </w:r>
      <w:r w:rsidRPr="00300841">
        <w:rPr>
          <w:b/>
          <w:szCs w:val="24"/>
        </w:rPr>
        <w:t>55</w:t>
      </w:r>
      <w:r w:rsidRPr="00300841">
        <w:rPr>
          <w:szCs w:val="24"/>
        </w:rPr>
        <w:t>, 225-236.</w:t>
      </w:r>
    </w:p>
    <w:p w:rsidR="00300841" w:rsidRPr="00300841" w:rsidRDefault="00300841" w:rsidP="00300841">
      <w:pPr>
        <w:spacing w:after="0" w:line="240" w:lineRule="auto"/>
        <w:ind w:left="720" w:hanging="720"/>
        <w:rPr>
          <w:szCs w:val="24"/>
        </w:rPr>
      </w:pPr>
      <w:r w:rsidRPr="00300841">
        <w:rPr>
          <w:szCs w:val="24"/>
        </w:rPr>
        <w:t>Mrva, K., Wallwork, M. and Mares, D.J. (2006). α-Amylase and programmed cell death in aleurone of ripening wheat grains</w:t>
      </w:r>
      <w:r w:rsidRPr="00300841">
        <w:rPr>
          <w:i/>
          <w:szCs w:val="24"/>
        </w:rPr>
        <w:t>.</w:t>
      </w:r>
      <w:r w:rsidRPr="00300841">
        <w:rPr>
          <w:szCs w:val="24"/>
        </w:rPr>
        <w:t xml:space="preserve"> </w:t>
      </w:r>
      <w:r w:rsidRPr="00300841">
        <w:rPr>
          <w:i/>
          <w:szCs w:val="24"/>
        </w:rPr>
        <w:t>Journal of Experimental Botany</w:t>
      </w:r>
      <w:r w:rsidRPr="00300841">
        <w:rPr>
          <w:szCs w:val="24"/>
        </w:rPr>
        <w:t xml:space="preserve">  </w:t>
      </w:r>
      <w:r w:rsidRPr="00300841">
        <w:rPr>
          <w:b/>
          <w:szCs w:val="24"/>
        </w:rPr>
        <w:t>57</w:t>
      </w:r>
      <w:r w:rsidRPr="00300841">
        <w:rPr>
          <w:szCs w:val="24"/>
        </w:rPr>
        <w:t>, 877-885.</w:t>
      </w:r>
    </w:p>
    <w:p w:rsidR="00300841" w:rsidRPr="00300841" w:rsidRDefault="00300841" w:rsidP="00300841">
      <w:pPr>
        <w:spacing w:after="0" w:line="240" w:lineRule="auto"/>
        <w:ind w:left="720" w:hanging="720"/>
        <w:rPr>
          <w:szCs w:val="24"/>
        </w:rPr>
      </w:pPr>
      <w:r w:rsidRPr="00300841">
        <w:rPr>
          <w:szCs w:val="24"/>
        </w:rPr>
        <w:t xml:space="preserve">Munne-Bosch, S. and Penuelas, J. (2003). Photo- and Antioxidative Protection During Summer Leaf Senescence in </w:t>
      </w:r>
      <w:r w:rsidRPr="00300841">
        <w:rPr>
          <w:i/>
          <w:szCs w:val="24"/>
        </w:rPr>
        <w:t>Pistacia lentiscus</w:t>
      </w:r>
      <w:r w:rsidRPr="00300841">
        <w:rPr>
          <w:szCs w:val="24"/>
        </w:rPr>
        <w:t xml:space="preserve"> L. Grown under Mediterranean Field Conditions</w:t>
      </w:r>
      <w:r w:rsidRPr="00300841">
        <w:rPr>
          <w:i/>
          <w:szCs w:val="24"/>
        </w:rPr>
        <w:t>.</w:t>
      </w:r>
      <w:r w:rsidRPr="00300841">
        <w:rPr>
          <w:szCs w:val="24"/>
        </w:rPr>
        <w:t xml:space="preserve"> </w:t>
      </w:r>
      <w:r w:rsidRPr="00300841">
        <w:rPr>
          <w:i/>
          <w:szCs w:val="24"/>
        </w:rPr>
        <w:t>Annals of Botany</w:t>
      </w:r>
      <w:r w:rsidRPr="00300841">
        <w:rPr>
          <w:szCs w:val="24"/>
        </w:rPr>
        <w:t xml:space="preserve">  </w:t>
      </w:r>
      <w:r w:rsidRPr="00300841">
        <w:rPr>
          <w:b/>
          <w:szCs w:val="24"/>
        </w:rPr>
        <w:t>92</w:t>
      </w:r>
      <w:r w:rsidRPr="00300841">
        <w:rPr>
          <w:szCs w:val="24"/>
        </w:rPr>
        <w:t>, 385-391.</w:t>
      </w:r>
    </w:p>
    <w:p w:rsidR="00300841" w:rsidRPr="00300841" w:rsidRDefault="00300841" w:rsidP="00300841">
      <w:pPr>
        <w:spacing w:after="0" w:line="240" w:lineRule="auto"/>
        <w:ind w:left="720" w:hanging="720"/>
        <w:rPr>
          <w:szCs w:val="24"/>
        </w:rPr>
      </w:pPr>
      <w:r w:rsidRPr="00300841">
        <w:rPr>
          <w:szCs w:val="24"/>
        </w:rPr>
        <w:t xml:space="preserve">Mur, L.A.J., Kenton, P., Lloyd, A.J., Ougham, H. and Prats, E. (2008). The hypersensitive response; the centenary is upon us but how much do we know? </w:t>
      </w:r>
      <w:r w:rsidRPr="00300841">
        <w:rPr>
          <w:i/>
          <w:szCs w:val="24"/>
        </w:rPr>
        <w:t>Journal of Experimental Botany</w:t>
      </w:r>
      <w:r w:rsidRPr="00300841">
        <w:rPr>
          <w:szCs w:val="24"/>
        </w:rPr>
        <w:t xml:space="preserve">  </w:t>
      </w:r>
      <w:r w:rsidRPr="00300841">
        <w:rPr>
          <w:b/>
          <w:szCs w:val="24"/>
        </w:rPr>
        <w:t>59</w:t>
      </w:r>
      <w:r w:rsidRPr="00300841">
        <w:rPr>
          <w:szCs w:val="24"/>
        </w:rPr>
        <w:t>, 501-520.</w:t>
      </w:r>
    </w:p>
    <w:p w:rsidR="00300841" w:rsidRPr="00300841" w:rsidRDefault="00300841" w:rsidP="00300841">
      <w:pPr>
        <w:spacing w:after="0" w:line="240" w:lineRule="auto"/>
        <w:ind w:left="720" w:hanging="720"/>
        <w:rPr>
          <w:szCs w:val="24"/>
        </w:rPr>
      </w:pPr>
      <w:r w:rsidRPr="00300841">
        <w:rPr>
          <w:szCs w:val="24"/>
        </w:rPr>
        <w:t xml:space="preserve">Mysore, K.S. and Ryu, C.-M. (2004). Nonhost resistance: how much do we know? </w:t>
      </w:r>
      <w:r w:rsidRPr="00300841">
        <w:rPr>
          <w:i/>
          <w:szCs w:val="24"/>
        </w:rPr>
        <w:t>Trends in Plant Science</w:t>
      </w:r>
      <w:r w:rsidRPr="00300841">
        <w:rPr>
          <w:szCs w:val="24"/>
        </w:rPr>
        <w:t xml:space="preserve">  </w:t>
      </w:r>
      <w:r w:rsidRPr="00300841">
        <w:rPr>
          <w:b/>
          <w:szCs w:val="24"/>
        </w:rPr>
        <w:t>9</w:t>
      </w:r>
      <w:r w:rsidRPr="00300841">
        <w:rPr>
          <w:szCs w:val="24"/>
        </w:rPr>
        <w:t>, 97-104.</w:t>
      </w:r>
    </w:p>
    <w:p w:rsidR="00300841" w:rsidRPr="00300841" w:rsidRDefault="00300841" w:rsidP="00300841">
      <w:pPr>
        <w:spacing w:after="0" w:line="240" w:lineRule="auto"/>
        <w:ind w:left="720" w:hanging="720"/>
        <w:rPr>
          <w:szCs w:val="24"/>
        </w:rPr>
      </w:pPr>
      <w:r w:rsidRPr="00300841">
        <w:rPr>
          <w:szCs w:val="24"/>
        </w:rPr>
        <w:t xml:space="preserve">Nagano, M., Ihara-Ohori, Y., Imai, H., Inada, N., Fujimoto, M., Tsutsumi, N., Uchimiya, H. and Kawai-Yamada, M. (2009). Functional association of cell death suppressor, </w:t>
      </w:r>
      <w:r w:rsidRPr="00300841">
        <w:rPr>
          <w:i/>
          <w:szCs w:val="24"/>
        </w:rPr>
        <w:t>Arabidopsis</w:t>
      </w:r>
      <w:r w:rsidRPr="00300841">
        <w:rPr>
          <w:szCs w:val="24"/>
        </w:rPr>
        <w:t xml:space="preserve"> Bax inhibitor-1, with fatty acid 2-hydroxylation through cytochrome b</w:t>
      </w:r>
      <w:r w:rsidRPr="00300841">
        <w:rPr>
          <w:i/>
          <w:szCs w:val="24"/>
        </w:rPr>
        <w:t>.</w:t>
      </w:r>
      <w:r w:rsidRPr="00300841">
        <w:rPr>
          <w:szCs w:val="24"/>
        </w:rPr>
        <w:t xml:space="preserve"> </w:t>
      </w:r>
      <w:r w:rsidRPr="00300841">
        <w:rPr>
          <w:i/>
          <w:szCs w:val="24"/>
        </w:rPr>
        <w:t>The Plant Journal</w:t>
      </w:r>
      <w:r w:rsidRPr="00300841">
        <w:rPr>
          <w:szCs w:val="24"/>
        </w:rPr>
        <w:t xml:space="preserve">  </w:t>
      </w:r>
      <w:r w:rsidRPr="00300841">
        <w:rPr>
          <w:b/>
          <w:szCs w:val="24"/>
        </w:rPr>
        <w:t>58</w:t>
      </w:r>
      <w:r w:rsidRPr="00300841">
        <w:rPr>
          <w:szCs w:val="24"/>
        </w:rPr>
        <w:t>, 122-134.</w:t>
      </w:r>
    </w:p>
    <w:p w:rsidR="00300841" w:rsidRPr="00300841" w:rsidRDefault="00300841" w:rsidP="00300841">
      <w:pPr>
        <w:spacing w:after="0" w:line="240" w:lineRule="auto"/>
        <w:ind w:left="720" w:hanging="720"/>
        <w:rPr>
          <w:szCs w:val="24"/>
        </w:rPr>
      </w:pPr>
      <w:r w:rsidRPr="00300841">
        <w:rPr>
          <w:szCs w:val="24"/>
        </w:rPr>
        <w:t>Nakaune, S., Yamada, K., Kondo, M., Kato, T., Tabata, S., Nishimura, M. and Hara-Nishimura, I. (2005). A Vacuolar Processing Enzyme, δ-VPE, Is Involved in Seed Coat Formation at the Early Stage of Seed Development</w:t>
      </w:r>
      <w:r w:rsidRPr="00300841">
        <w:rPr>
          <w:i/>
          <w:szCs w:val="24"/>
        </w:rPr>
        <w:t>.</w:t>
      </w:r>
      <w:r w:rsidRPr="00300841">
        <w:rPr>
          <w:szCs w:val="24"/>
        </w:rPr>
        <w:t xml:space="preserve"> </w:t>
      </w:r>
      <w:r w:rsidRPr="00300841">
        <w:rPr>
          <w:i/>
          <w:szCs w:val="24"/>
        </w:rPr>
        <w:t>Plant Cell</w:t>
      </w:r>
      <w:r w:rsidRPr="00300841">
        <w:rPr>
          <w:szCs w:val="24"/>
        </w:rPr>
        <w:t xml:space="preserve">  </w:t>
      </w:r>
      <w:r w:rsidRPr="00300841">
        <w:rPr>
          <w:b/>
          <w:szCs w:val="24"/>
        </w:rPr>
        <w:t>17</w:t>
      </w:r>
      <w:r w:rsidRPr="00300841">
        <w:rPr>
          <w:szCs w:val="24"/>
        </w:rPr>
        <w:t>, 876-887.</w:t>
      </w:r>
    </w:p>
    <w:p w:rsidR="00300841" w:rsidRPr="00300841" w:rsidRDefault="00300841" w:rsidP="00300841">
      <w:pPr>
        <w:spacing w:after="0" w:line="240" w:lineRule="auto"/>
        <w:ind w:left="720" w:hanging="720"/>
        <w:rPr>
          <w:szCs w:val="24"/>
        </w:rPr>
      </w:pPr>
      <w:r w:rsidRPr="00300841">
        <w:rPr>
          <w:szCs w:val="24"/>
        </w:rPr>
        <w:t>Ng, C.K.Y., Carr, K., McAinsh, M.R., Powell, B. and Hetherington, A.M. (2001). Drought-induced guard cell signal transduction involves sphingosine-1-phosphate</w:t>
      </w:r>
      <w:r w:rsidRPr="00300841">
        <w:rPr>
          <w:i/>
          <w:szCs w:val="24"/>
        </w:rPr>
        <w:t>.</w:t>
      </w:r>
      <w:r w:rsidRPr="00300841">
        <w:rPr>
          <w:szCs w:val="24"/>
        </w:rPr>
        <w:t xml:space="preserve"> </w:t>
      </w:r>
      <w:r w:rsidRPr="00300841">
        <w:rPr>
          <w:i/>
          <w:szCs w:val="24"/>
        </w:rPr>
        <w:t>Nature</w:t>
      </w:r>
      <w:r w:rsidRPr="00300841">
        <w:rPr>
          <w:szCs w:val="24"/>
        </w:rPr>
        <w:t xml:space="preserve">  </w:t>
      </w:r>
      <w:r w:rsidRPr="00300841">
        <w:rPr>
          <w:b/>
          <w:szCs w:val="24"/>
        </w:rPr>
        <w:t>410</w:t>
      </w:r>
      <w:r w:rsidRPr="00300841">
        <w:rPr>
          <w:szCs w:val="24"/>
        </w:rPr>
        <w:t>, 596-599.</w:t>
      </w:r>
    </w:p>
    <w:p w:rsidR="00300841" w:rsidRPr="00300841" w:rsidRDefault="00300841" w:rsidP="00300841">
      <w:pPr>
        <w:spacing w:after="0" w:line="240" w:lineRule="auto"/>
        <w:ind w:left="720" w:hanging="720"/>
        <w:rPr>
          <w:szCs w:val="24"/>
        </w:rPr>
      </w:pPr>
      <w:r w:rsidRPr="00300841">
        <w:rPr>
          <w:szCs w:val="24"/>
        </w:rPr>
        <w:t>Nicotera, P. and Melino, G. (2004). Regulation of the apoptosis-necrosis switch</w:t>
      </w:r>
      <w:r w:rsidRPr="00300841">
        <w:rPr>
          <w:i/>
          <w:szCs w:val="24"/>
        </w:rPr>
        <w:t>.</w:t>
      </w:r>
      <w:r w:rsidRPr="00300841">
        <w:rPr>
          <w:szCs w:val="24"/>
        </w:rPr>
        <w:t xml:space="preserve"> </w:t>
      </w:r>
      <w:r w:rsidRPr="00300841">
        <w:rPr>
          <w:i/>
          <w:szCs w:val="24"/>
        </w:rPr>
        <w:t>Oncogene</w:t>
      </w:r>
      <w:r w:rsidRPr="00300841">
        <w:rPr>
          <w:szCs w:val="24"/>
        </w:rPr>
        <w:t xml:space="preserve">  </w:t>
      </w:r>
      <w:r w:rsidRPr="00300841">
        <w:rPr>
          <w:b/>
          <w:szCs w:val="24"/>
        </w:rPr>
        <w:t>23</w:t>
      </w:r>
      <w:r w:rsidRPr="00300841">
        <w:rPr>
          <w:szCs w:val="24"/>
        </w:rPr>
        <w:t>, 2757-2765.</w:t>
      </w:r>
    </w:p>
    <w:p w:rsidR="00300841" w:rsidRPr="00300841" w:rsidRDefault="00300841" w:rsidP="00300841">
      <w:pPr>
        <w:spacing w:after="0" w:line="240" w:lineRule="auto"/>
        <w:ind w:left="720" w:hanging="720"/>
        <w:rPr>
          <w:szCs w:val="24"/>
        </w:rPr>
      </w:pPr>
      <w:r w:rsidRPr="00300841">
        <w:rPr>
          <w:szCs w:val="24"/>
        </w:rPr>
        <w:t>Ning, S.-B., Song, Y.-C. and Damme, P.v. (2002). Characterization of the early stages of programmed cell death in maize root cells by using comet assay and the combination of cell electrophoresis with annexin binding</w:t>
      </w:r>
      <w:r w:rsidRPr="00300841">
        <w:rPr>
          <w:i/>
          <w:szCs w:val="24"/>
        </w:rPr>
        <w:t>.</w:t>
      </w:r>
      <w:r w:rsidRPr="00300841">
        <w:rPr>
          <w:szCs w:val="24"/>
        </w:rPr>
        <w:t xml:space="preserve"> </w:t>
      </w:r>
      <w:r w:rsidRPr="00300841">
        <w:rPr>
          <w:i/>
          <w:szCs w:val="24"/>
        </w:rPr>
        <w:t>Electrophoresis</w:t>
      </w:r>
      <w:r w:rsidRPr="00300841">
        <w:rPr>
          <w:szCs w:val="24"/>
        </w:rPr>
        <w:t xml:space="preserve">  </w:t>
      </w:r>
      <w:r w:rsidRPr="00300841">
        <w:rPr>
          <w:b/>
          <w:szCs w:val="24"/>
        </w:rPr>
        <w:t>23</w:t>
      </w:r>
      <w:r w:rsidRPr="00300841">
        <w:rPr>
          <w:szCs w:val="24"/>
        </w:rPr>
        <w:t>, 2096-2102.</w:t>
      </w:r>
    </w:p>
    <w:p w:rsidR="00300841" w:rsidRPr="00300841" w:rsidRDefault="00300841" w:rsidP="00300841">
      <w:pPr>
        <w:spacing w:after="0" w:line="240" w:lineRule="auto"/>
        <w:ind w:left="720" w:hanging="720"/>
        <w:rPr>
          <w:szCs w:val="24"/>
        </w:rPr>
      </w:pPr>
      <w:r w:rsidRPr="00300841">
        <w:rPr>
          <w:szCs w:val="24"/>
        </w:rPr>
        <w:t>Ning, S., Song, Y., Wang, L. and Liu, L. (1999). A novel method for in situ detection of apoptotic cell death in plants</w:t>
      </w:r>
      <w:r w:rsidRPr="00300841">
        <w:rPr>
          <w:i/>
          <w:szCs w:val="24"/>
        </w:rPr>
        <w:t>.</w:t>
      </w:r>
      <w:r w:rsidRPr="00300841">
        <w:rPr>
          <w:szCs w:val="24"/>
        </w:rPr>
        <w:t xml:space="preserve"> </w:t>
      </w:r>
      <w:r w:rsidRPr="00300841">
        <w:rPr>
          <w:i/>
          <w:szCs w:val="24"/>
        </w:rPr>
        <w:t>Chinese Science Bulletin</w:t>
      </w:r>
      <w:r w:rsidRPr="00300841">
        <w:rPr>
          <w:szCs w:val="24"/>
        </w:rPr>
        <w:t xml:space="preserve">  </w:t>
      </w:r>
      <w:r w:rsidRPr="00300841">
        <w:rPr>
          <w:b/>
          <w:szCs w:val="24"/>
        </w:rPr>
        <w:t>44</w:t>
      </w:r>
      <w:r w:rsidRPr="00300841">
        <w:rPr>
          <w:szCs w:val="24"/>
        </w:rPr>
        <w:t>, 1014-1017.</w:t>
      </w:r>
    </w:p>
    <w:p w:rsidR="00300841" w:rsidRPr="00300841" w:rsidRDefault="00300841" w:rsidP="00300841">
      <w:pPr>
        <w:spacing w:after="0" w:line="240" w:lineRule="auto"/>
        <w:ind w:left="720" w:hanging="720"/>
        <w:rPr>
          <w:szCs w:val="24"/>
        </w:rPr>
      </w:pPr>
      <w:r w:rsidRPr="00300841">
        <w:rPr>
          <w:szCs w:val="24"/>
        </w:rPr>
        <w:t>Nishikawa, F., Kato, M., Hyodo, H., Ikoma, Y., Sugiura, M. and Yano, M. (2003). Ascorbate metabolism in harvested broccoli</w:t>
      </w:r>
      <w:r w:rsidRPr="00300841">
        <w:rPr>
          <w:i/>
          <w:szCs w:val="24"/>
        </w:rPr>
        <w:t>.</w:t>
      </w:r>
      <w:r w:rsidRPr="00300841">
        <w:rPr>
          <w:szCs w:val="24"/>
        </w:rPr>
        <w:t xml:space="preserve"> </w:t>
      </w:r>
      <w:r w:rsidRPr="00300841">
        <w:rPr>
          <w:i/>
          <w:szCs w:val="24"/>
        </w:rPr>
        <w:t>Journal of Experimental Botany</w:t>
      </w:r>
      <w:r w:rsidRPr="00300841">
        <w:rPr>
          <w:szCs w:val="24"/>
        </w:rPr>
        <w:t xml:space="preserve">  </w:t>
      </w:r>
      <w:r w:rsidRPr="00300841">
        <w:rPr>
          <w:b/>
          <w:szCs w:val="24"/>
        </w:rPr>
        <w:t>54</w:t>
      </w:r>
      <w:r w:rsidRPr="00300841">
        <w:rPr>
          <w:szCs w:val="24"/>
        </w:rPr>
        <w:t>, 2439-2448.</w:t>
      </w:r>
    </w:p>
    <w:p w:rsidR="00300841" w:rsidRPr="00300841" w:rsidRDefault="00300841" w:rsidP="00300841">
      <w:pPr>
        <w:spacing w:after="0" w:line="240" w:lineRule="auto"/>
        <w:ind w:left="720" w:hanging="720"/>
        <w:rPr>
          <w:szCs w:val="24"/>
        </w:rPr>
      </w:pPr>
      <w:r w:rsidRPr="00300841">
        <w:rPr>
          <w:szCs w:val="24"/>
        </w:rPr>
        <w:t xml:space="preserve">Noh, S.-J., Kwon, C.S., Oh, D.-H., Moon, J.S. and Chung, W.-I. (2003). Expression of an evolutionarily distinct novel BiP gene during the unfolded protein response in </w:t>
      </w:r>
      <w:r w:rsidRPr="00300841">
        <w:rPr>
          <w:i/>
          <w:szCs w:val="24"/>
        </w:rPr>
        <w:t>Arabidopsis</w:t>
      </w:r>
      <w:r w:rsidRPr="00300841">
        <w:rPr>
          <w:szCs w:val="24"/>
        </w:rPr>
        <w:t xml:space="preserve"> </w:t>
      </w:r>
      <w:r w:rsidRPr="00300841">
        <w:rPr>
          <w:i/>
          <w:szCs w:val="24"/>
        </w:rPr>
        <w:t>thaliana.</w:t>
      </w:r>
      <w:r w:rsidRPr="00300841">
        <w:rPr>
          <w:szCs w:val="24"/>
        </w:rPr>
        <w:t xml:space="preserve"> </w:t>
      </w:r>
      <w:r w:rsidRPr="00300841">
        <w:rPr>
          <w:i/>
          <w:szCs w:val="24"/>
        </w:rPr>
        <w:t>Gene</w:t>
      </w:r>
      <w:r w:rsidRPr="00300841">
        <w:rPr>
          <w:szCs w:val="24"/>
        </w:rPr>
        <w:t xml:space="preserve">  </w:t>
      </w:r>
      <w:r w:rsidRPr="00300841">
        <w:rPr>
          <w:b/>
          <w:szCs w:val="24"/>
        </w:rPr>
        <w:t>311</w:t>
      </w:r>
      <w:r w:rsidRPr="00300841">
        <w:rPr>
          <w:szCs w:val="24"/>
        </w:rPr>
        <w:t>, 81-91.</w:t>
      </w:r>
    </w:p>
    <w:p w:rsidR="00300841" w:rsidRPr="00300841" w:rsidRDefault="00300841" w:rsidP="00300841">
      <w:pPr>
        <w:spacing w:after="0" w:line="240" w:lineRule="auto"/>
        <w:ind w:left="720" w:hanging="720"/>
        <w:rPr>
          <w:szCs w:val="24"/>
        </w:rPr>
      </w:pPr>
      <w:r w:rsidRPr="00300841">
        <w:rPr>
          <w:szCs w:val="24"/>
        </w:rPr>
        <w:t>Nomura, K. and Komamine, A. (1986). Somatic Embryogenesis in Cultured Carrot Cells</w:t>
      </w:r>
      <w:r w:rsidRPr="00300841">
        <w:rPr>
          <w:i/>
          <w:szCs w:val="24"/>
        </w:rPr>
        <w:t>.</w:t>
      </w:r>
      <w:r w:rsidRPr="00300841">
        <w:rPr>
          <w:szCs w:val="24"/>
        </w:rPr>
        <w:t xml:space="preserve"> </w:t>
      </w:r>
      <w:r w:rsidRPr="00300841">
        <w:rPr>
          <w:i/>
          <w:szCs w:val="24"/>
        </w:rPr>
        <w:t>Development Growth &amp; Differentiation</w:t>
      </w:r>
      <w:r w:rsidRPr="00300841">
        <w:rPr>
          <w:szCs w:val="24"/>
        </w:rPr>
        <w:t xml:space="preserve">  </w:t>
      </w:r>
      <w:r w:rsidRPr="00300841">
        <w:rPr>
          <w:b/>
          <w:szCs w:val="24"/>
        </w:rPr>
        <w:t>28</w:t>
      </w:r>
      <w:r w:rsidRPr="00300841">
        <w:rPr>
          <w:szCs w:val="24"/>
        </w:rPr>
        <w:t>, 511-517.</w:t>
      </w:r>
    </w:p>
    <w:p w:rsidR="00300841" w:rsidRPr="00300841" w:rsidRDefault="00300841" w:rsidP="00300841">
      <w:pPr>
        <w:spacing w:after="0" w:line="240" w:lineRule="auto"/>
        <w:ind w:left="720" w:hanging="720"/>
        <w:rPr>
          <w:szCs w:val="24"/>
        </w:rPr>
      </w:pPr>
      <w:r w:rsidRPr="00300841">
        <w:rPr>
          <w:szCs w:val="24"/>
        </w:rPr>
        <w:t>Norstog, K. (1974). Nucellus During Early Embryogeny in Barley: Fine Structure</w:t>
      </w:r>
      <w:r w:rsidRPr="00300841">
        <w:rPr>
          <w:i/>
          <w:szCs w:val="24"/>
        </w:rPr>
        <w:t>.</w:t>
      </w:r>
      <w:r w:rsidRPr="00300841">
        <w:rPr>
          <w:szCs w:val="24"/>
        </w:rPr>
        <w:t xml:space="preserve"> </w:t>
      </w:r>
      <w:r w:rsidRPr="00300841">
        <w:rPr>
          <w:i/>
          <w:szCs w:val="24"/>
        </w:rPr>
        <w:t>Botanical Gazette</w:t>
      </w:r>
      <w:r w:rsidRPr="00300841">
        <w:rPr>
          <w:szCs w:val="24"/>
        </w:rPr>
        <w:t xml:space="preserve">  </w:t>
      </w:r>
      <w:r w:rsidRPr="00300841">
        <w:rPr>
          <w:b/>
          <w:szCs w:val="24"/>
        </w:rPr>
        <w:t>135</w:t>
      </w:r>
      <w:r w:rsidRPr="00300841">
        <w:rPr>
          <w:szCs w:val="24"/>
        </w:rPr>
        <w:t>, 97-103.</w:t>
      </w:r>
    </w:p>
    <w:p w:rsidR="00300841" w:rsidRPr="00300841" w:rsidRDefault="00300841" w:rsidP="00300841">
      <w:pPr>
        <w:spacing w:after="0" w:line="240" w:lineRule="auto"/>
        <w:ind w:left="720" w:hanging="720"/>
        <w:rPr>
          <w:szCs w:val="24"/>
        </w:rPr>
      </w:pPr>
      <w:r w:rsidRPr="00300841">
        <w:rPr>
          <w:szCs w:val="24"/>
        </w:rPr>
        <w:t>Nürnberger, T. and Brunner, F. (2002). Innate immunity in plants and animals: emerging parallels between the recognition of general elicitors and pathogen-associated molecular patterns</w:t>
      </w:r>
      <w:r w:rsidRPr="00300841">
        <w:rPr>
          <w:i/>
          <w:szCs w:val="24"/>
        </w:rPr>
        <w:t>.</w:t>
      </w:r>
      <w:r w:rsidRPr="00300841">
        <w:rPr>
          <w:szCs w:val="24"/>
        </w:rPr>
        <w:t xml:space="preserve"> </w:t>
      </w:r>
      <w:r w:rsidRPr="00300841">
        <w:rPr>
          <w:i/>
          <w:szCs w:val="24"/>
        </w:rPr>
        <w:t>Current Opinion in Plant Biology</w:t>
      </w:r>
      <w:r w:rsidRPr="00300841">
        <w:rPr>
          <w:szCs w:val="24"/>
        </w:rPr>
        <w:t xml:space="preserve">  </w:t>
      </w:r>
      <w:r w:rsidRPr="00300841">
        <w:rPr>
          <w:b/>
          <w:szCs w:val="24"/>
        </w:rPr>
        <w:t>5</w:t>
      </w:r>
      <w:r w:rsidRPr="00300841">
        <w:rPr>
          <w:szCs w:val="24"/>
        </w:rPr>
        <w:t>, 318-324.</w:t>
      </w:r>
    </w:p>
    <w:p w:rsidR="00300841" w:rsidRPr="00300841" w:rsidRDefault="00300841" w:rsidP="00300841">
      <w:pPr>
        <w:spacing w:after="0" w:line="240" w:lineRule="auto"/>
        <w:ind w:left="720" w:hanging="720"/>
        <w:rPr>
          <w:szCs w:val="24"/>
        </w:rPr>
      </w:pPr>
      <w:r w:rsidRPr="00300841">
        <w:rPr>
          <w:szCs w:val="24"/>
        </w:rPr>
        <w:t>Nyathi, Y. and Baker, A. (2006). Plant peroxisomes as a source of signalling molecules</w:t>
      </w:r>
      <w:r w:rsidRPr="00300841">
        <w:rPr>
          <w:i/>
          <w:szCs w:val="24"/>
        </w:rPr>
        <w:t>.</w:t>
      </w:r>
      <w:r w:rsidRPr="00300841">
        <w:rPr>
          <w:szCs w:val="24"/>
        </w:rPr>
        <w:t xml:space="preserve"> </w:t>
      </w:r>
      <w:r w:rsidRPr="00300841">
        <w:rPr>
          <w:i/>
          <w:szCs w:val="24"/>
        </w:rPr>
        <w:t>Biochimica et Biophysica Acta (BBA) - Molecular Cell Research</w:t>
      </w:r>
      <w:r w:rsidRPr="00300841">
        <w:rPr>
          <w:szCs w:val="24"/>
        </w:rPr>
        <w:t xml:space="preserve">  </w:t>
      </w:r>
      <w:r w:rsidRPr="00300841">
        <w:rPr>
          <w:b/>
          <w:szCs w:val="24"/>
        </w:rPr>
        <w:t>1763</w:t>
      </w:r>
      <w:r w:rsidRPr="00300841">
        <w:rPr>
          <w:szCs w:val="24"/>
        </w:rPr>
        <w:t>, 1478-1495.</w:t>
      </w:r>
    </w:p>
    <w:p w:rsidR="00300841" w:rsidRPr="00300841" w:rsidRDefault="00300841" w:rsidP="00300841">
      <w:pPr>
        <w:spacing w:after="0" w:line="240" w:lineRule="auto"/>
        <w:ind w:left="720" w:hanging="720"/>
        <w:rPr>
          <w:szCs w:val="24"/>
        </w:rPr>
      </w:pPr>
      <w:r w:rsidRPr="00300841">
        <w:rPr>
          <w:szCs w:val="24"/>
        </w:rPr>
        <w:t>O'brien, I.E.W., Baguley, B.C., Murray, B.G., Morris, B.A.M. and Ferguson, I.B. (1998). Early stages of the apoptotic pathway in plant cells are reversible</w:t>
      </w:r>
      <w:r w:rsidRPr="00300841">
        <w:rPr>
          <w:i/>
          <w:szCs w:val="24"/>
        </w:rPr>
        <w:t>.</w:t>
      </w:r>
      <w:r w:rsidRPr="00300841">
        <w:rPr>
          <w:szCs w:val="24"/>
        </w:rPr>
        <w:t xml:space="preserve"> </w:t>
      </w:r>
      <w:r w:rsidRPr="00300841">
        <w:rPr>
          <w:i/>
          <w:szCs w:val="24"/>
        </w:rPr>
        <w:t>The Plant Journal</w:t>
      </w:r>
      <w:r w:rsidRPr="00300841">
        <w:rPr>
          <w:szCs w:val="24"/>
        </w:rPr>
        <w:t xml:space="preserve">  </w:t>
      </w:r>
      <w:r w:rsidRPr="00300841">
        <w:rPr>
          <w:b/>
          <w:szCs w:val="24"/>
        </w:rPr>
        <w:t>13</w:t>
      </w:r>
      <w:r w:rsidRPr="00300841">
        <w:rPr>
          <w:szCs w:val="24"/>
        </w:rPr>
        <w:t>, 803-814.</w:t>
      </w:r>
    </w:p>
    <w:p w:rsidR="00300841" w:rsidRPr="00300841" w:rsidRDefault="00300841" w:rsidP="00300841">
      <w:pPr>
        <w:spacing w:after="0" w:line="240" w:lineRule="auto"/>
        <w:ind w:left="720" w:hanging="720"/>
        <w:rPr>
          <w:szCs w:val="24"/>
        </w:rPr>
      </w:pPr>
      <w:r w:rsidRPr="00300841">
        <w:rPr>
          <w:szCs w:val="24"/>
        </w:rPr>
        <w:t xml:space="preserve">Obara, K., Kuriyama, H. and Fukuda, H. (2001). Direct Evidence of Active and Rapid Nuclear Degradation Triggered by Vacuole Rupture during Programmed Cell Death in </w:t>
      </w:r>
      <w:r w:rsidRPr="00300841">
        <w:rPr>
          <w:i/>
          <w:szCs w:val="24"/>
        </w:rPr>
        <w:t>Zinnia.</w:t>
      </w:r>
      <w:r w:rsidRPr="00300841">
        <w:rPr>
          <w:szCs w:val="24"/>
        </w:rPr>
        <w:t xml:space="preserve"> </w:t>
      </w:r>
      <w:r w:rsidRPr="00300841">
        <w:rPr>
          <w:i/>
          <w:szCs w:val="24"/>
        </w:rPr>
        <w:t>Plant Physiology</w:t>
      </w:r>
      <w:r w:rsidRPr="00300841">
        <w:rPr>
          <w:szCs w:val="24"/>
        </w:rPr>
        <w:t xml:space="preserve">  </w:t>
      </w:r>
      <w:r w:rsidRPr="00300841">
        <w:rPr>
          <w:b/>
          <w:szCs w:val="24"/>
        </w:rPr>
        <w:t>125</w:t>
      </w:r>
      <w:r w:rsidRPr="00300841">
        <w:rPr>
          <w:szCs w:val="24"/>
        </w:rPr>
        <w:t>, 615-626.</w:t>
      </w:r>
    </w:p>
    <w:p w:rsidR="00300841" w:rsidRPr="00300841" w:rsidRDefault="00300841" w:rsidP="00300841">
      <w:pPr>
        <w:spacing w:after="0" w:line="240" w:lineRule="auto"/>
        <w:ind w:left="720" w:hanging="720"/>
        <w:rPr>
          <w:szCs w:val="24"/>
        </w:rPr>
      </w:pPr>
      <w:r w:rsidRPr="00300841">
        <w:rPr>
          <w:szCs w:val="24"/>
        </w:rPr>
        <w:t xml:space="preserve">Obara, K., Sumi, K. and Fukuda, H. (2002). The Use of Multiple Transcription Starts Causes the Dual Targeting of </w:t>
      </w:r>
      <w:r w:rsidRPr="00300841">
        <w:rPr>
          <w:i/>
          <w:szCs w:val="24"/>
        </w:rPr>
        <w:t>Arabidopsis</w:t>
      </w:r>
      <w:r w:rsidRPr="00300841">
        <w:rPr>
          <w:szCs w:val="24"/>
        </w:rPr>
        <w:t xml:space="preserve"> Putative Monodehydroascorbate Reductase to Both Mitochondria and Chloroplasts</w:t>
      </w:r>
      <w:r w:rsidRPr="00300841">
        <w:rPr>
          <w:i/>
          <w:szCs w:val="24"/>
        </w:rPr>
        <w:t>.</w:t>
      </w:r>
      <w:r w:rsidRPr="00300841">
        <w:rPr>
          <w:szCs w:val="24"/>
        </w:rPr>
        <w:t xml:space="preserve"> </w:t>
      </w:r>
      <w:r w:rsidRPr="00300841">
        <w:rPr>
          <w:i/>
          <w:szCs w:val="24"/>
        </w:rPr>
        <w:t>Plant Cell Physiol.</w:t>
      </w:r>
      <w:r w:rsidRPr="00300841">
        <w:rPr>
          <w:szCs w:val="24"/>
        </w:rPr>
        <w:t xml:space="preserve">  </w:t>
      </w:r>
      <w:r w:rsidRPr="00300841">
        <w:rPr>
          <w:b/>
          <w:szCs w:val="24"/>
        </w:rPr>
        <w:t>43</w:t>
      </w:r>
      <w:r w:rsidRPr="00300841">
        <w:rPr>
          <w:szCs w:val="24"/>
        </w:rPr>
        <w:t>, 697-705.</w:t>
      </w:r>
    </w:p>
    <w:p w:rsidR="00300841" w:rsidRPr="00300841" w:rsidRDefault="00300841" w:rsidP="00300841">
      <w:pPr>
        <w:spacing w:after="0" w:line="240" w:lineRule="auto"/>
        <w:ind w:left="720" w:hanging="720"/>
        <w:rPr>
          <w:szCs w:val="24"/>
        </w:rPr>
      </w:pPr>
      <w:r w:rsidRPr="00300841">
        <w:rPr>
          <w:szCs w:val="24"/>
        </w:rPr>
        <w:t xml:space="preserve">Oda, Y., Mimura, T. and Hasezawa, S. (2005). Regulation of Secondary Cell Wall Development by Cortical Microtubules during Tracheary Element Differentiation in </w:t>
      </w:r>
      <w:r w:rsidRPr="00300841">
        <w:rPr>
          <w:i/>
          <w:szCs w:val="24"/>
        </w:rPr>
        <w:t>Arabidopsis</w:t>
      </w:r>
      <w:r w:rsidRPr="00300841">
        <w:rPr>
          <w:szCs w:val="24"/>
        </w:rPr>
        <w:t xml:space="preserve"> Cell Suspensions</w:t>
      </w:r>
      <w:r w:rsidRPr="00300841">
        <w:rPr>
          <w:i/>
          <w:szCs w:val="24"/>
        </w:rPr>
        <w:t>.</w:t>
      </w:r>
      <w:r w:rsidRPr="00300841">
        <w:rPr>
          <w:szCs w:val="24"/>
        </w:rPr>
        <w:t xml:space="preserve"> </w:t>
      </w:r>
      <w:r w:rsidRPr="00300841">
        <w:rPr>
          <w:i/>
          <w:szCs w:val="24"/>
        </w:rPr>
        <w:t>Plant Physiology</w:t>
      </w:r>
      <w:r w:rsidRPr="00300841">
        <w:rPr>
          <w:szCs w:val="24"/>
        </w:rPr>
        <w:t xml:space="preserve">  </w:t>
      </w:r>
      <w:r w:rsidRPr="00300841">
        <w:rPr>
          <w:b/>
          <w:szCs w:val="24"/>
        </w:rPr>
        <w:t>137</w:t>
      </w:r>
      <w:r w:rsidRPr="00300841">
        <w:rPr>
          <w:szCs w:val="24"/>
        </w:rPr>
        <w:t>, 1027-1036.</w:t>
      </w:r>
    </w:p>
    <w:p w:rsidR="00300841" w:rsidRPr="00300841" w:rsidRDefault="00300841" w:rsidP="00300841">
      <w:pPr>
        <w:spacing w:after="0" w:line="240" w:lineRule="auto"/>
        <w:ind w:left="720" w:hanging="720"/>
        <w:rPr>
          <w:szCs w:val="24"/>
        </w:rPr>
      </w:pPr>
      <w:r w:rsidRPr="00300841">
        <w:rPr>
          <w:szCs w:val="24"/>
        </w:rPr>
        <w:t>Oh, D.-H., Kwon, C.-S., Sano, H., Chung, W.-I. and Koizumi, N. (2003). Conservation between animals and plants of the cis-acting element involved in the unfolded protein response</w:t>
      </w:r>
      <w:r w:rsidRPr="00300841">
        <w:rPr>
          <w:i/>
          <w:szCs w:val="24"/>
        </w:rPr>
        <w:t>.</w:t>
      </w:r>
      <w:r w:rsidRPr="00300841">
        <w:rPr>
          <w:szCs w:val="24"/>
        </w:rPr>
        <w:t xml:space="preserve"> </w:t>
      </w:r>
      <w:r w:rsidRPr="00300841">
        <w:rPr>
          <w:i/>
          <w:szCs w:val="24"/>
        </w:rPr>
        <w:t>Biochemical and Biophysical Research Communications</w:t>
      </w:r>
      <w:r w:rsidRPr="00300841">
        <w:rPr>
          <w:szCs w:val="24"/>
        </w:rPr>
        <w:t xml:space="preserve">  </w:t>
      </w:r>
      <w:r w:rsidRPr="00300841">
        <w:rPr>
          <w:b/>
          <w:szCs w:val="24"/>
        </w:rPr>
        <w:t>301</w:t>
      </w:r>
      <w:r w:rsidRPr="00300841">
        <w:rPr>
          <w:szCs w:val="24"/>
        </w:rPr>
        <w:t>, 225-230.</w:t>
      </w:r>
    </w:p>
    <w:p w:rsidR="00300841" w:rsidRPr="00300841" w:rsidRDefault="00300841" w:rsidP="00300841">
      <w:pPr>
        <w:spacing w:after="0" w:line="240" w:lineRule="auto"/>
        <w:ind w:left="720" w:hanging="720"/>
        <w:rPr>
          <w:szCs w:val="24"/>
        </w:rPr>
      </w:pPr>
      <w:r w:rsidRPr="00300841">
        <w:rPr>
          <w:szCs w:val="24"/>
        </w:rPr>
        <w:t>Okushima, Y., Koizumi, N., Yamaguchi, Y., Kimata, Y., Kohno, K. and Sano, H. (2002). Isolation and Characterization of a Putative Transducer of Endoplasmic Reticulum Stress in Oryza sativa</w:t>
      </w:r>
      <w:r w:rsidRPr="00300841">
        <w:rPr>
          <w:i/>
          <w:szCs w:val="24"/>
        </w:rPr>
        <w:t>.</w:t>
      </w:r>
      <w:r w:rsidRPr="00300841">
        <w:rPr>
          <w:szCs w:val="24"/>
        </w:rPr>
        <w:t xml:space="preserve"> </w:t>
      </w:r>
      <w:r w:rsidRPr="00300841">
        <w:rPr>
          <w:i/>
          <w:szCs w:val="24"/>
        </w:rPr>
        <w:t>Plant Cell Physiology</w:t>
      </w:r>
      <w:r w:rsidRPr="00300841">
        <w:rPr>
          <w:szCs w:val="24"/>
        </w:rPr>
        <w:t xml:space="preserve">  </w:t>
      </w:r>
      <w:r w:rsidRPr="00300841">
        <w:rPr>
          <w:b/>
          <w:szCs w:val="24"/>
        </w:rPr>
        <w:t>43</w:t>
      </w:r>
      <w:r w:rsidRPr="00300841">
        <w:rPr>
          <w:szCs w:val="24"/>
        </w:rPr>
        <w:t>, 532-539.</w:t>
      </w:r>
    </w:p>
    <w:p w:rsidR="00300841" w:rsidRPr="00300841" w:rsidRDefault="00300841" w:rsidP="00300841">
      <w:pPr>
        <w:spacing w:after="0" w:line="240" w:lineRule="auto"/>
        <w:ind w:left="720" w:hanging="720"/>
        <w:rPr>
          <w:szCs w:val="24"/>
        </w:rPr>
      </w:pPr>
      <w:r w:rsidRPr="00300841">
        <w:rPr>
          <w:szCs w:val="24"/>
        </w:rPr>
        <w:t>Olsen, O.-A. (1998). Endosperm Developments</w:t>
      </w:r>
      <w:r w:rsidRPr="00300841">
        <w:rPr>
          <w:i/>
          <w:szCs w:val="24"/>
        </w:rPr>
        <w:t>.</w:t>
      </w:r>
      <w:r w:rsidRPr="00300841">
        <w:rPr>
          <w:szCs w:val="24"/>
        </w:rPr>
        <w:t xml:space="preserve"> </w:t>
      </w:r>
      <w:r w:rsidRPr="00300841">
        <w:rPr>
          <w:i/>
          <w:szCs w:val="24"/>
        </w:rPr>
        <w:t>Plant Cell</w:t>
      </w:r>
      <w:r w:rsidRPr="00300841">
        <w:rPr>
          <w:szCs w:val="24"/>
        </w:rPr>
        <w:t xml:space="preserve">  </w:t>
      </w:r>
      <w:r w:rsidRPr="00300841">
        <w:rPr>
          <w:b/>
          <w:szCs w:val="24"/>
        </w:rPr>
        <w:t>10</w:t>
      </w:r>
      <w:r w:rsidRPr="00300841">
        <w:rPr>
          <w:szCs w:val="24"/>
        </w:rPr>
        <w:t>, 485-488.</w:t>
      </w:r>
    </w:p>
    <w:p w:rsidR="00300841" w:rsidRPr="00300841" w:rsidRDefault="00300841" w:rsidP="00300841">
      <w:pPr>
        <w:spacing w:after="0" w:line="240" w:lineRule="auto"/>
        <w:ind w:left="720" w:hanging="720"/>
        <w:rPr>
          <w:szCs w:val="24"/>
        </w:rPr>
      </w:pPr>
      <w:r w:rsidRPr="00300841">
        <w:rPr>
          <w:szCs w:val="24"/>
        </w:rPr>
        <w:t>Orlandi, E.W., Hutcheson, S.W. and Baker, C.J. (1992). Early physiological responses associated with race-specific recognition in soybean leaf tissue and cell suspensions treated with Pseudomonas syringae pv. glycinea</w:t>
      </w:r>
      <w:r w:rsidRPr="00300841">
        <w:rPr>
          <w:i/>
          <w:szCs w:val="24"/>
        </w:rPr>
        <w:t>.</w:t>
      </w:r>
      <w:r w:rsidRPr="00300841">
        <w:rPr>
          <w:szCs w:val="24"/>
        </w:rPr>
        <w:t xml:space="preserve"> </w:t>
      </w:r>
      <w:r w:rsidRPr="00300841">
        <w:rPr>
          <w:i/>
          <w:szCs w:val="24"/>
        </w:rPr>
        <w:t>Physiological and Molecular Plant Pathology</w:t>
      </w:r>
      <w:r w:rsidRPr="00300841">
        <w:rPr>
          <w:szCs w:val="24"/>
        </w:rPr>
        <w:t xml:space="preserve">  </w:t>
      </w:r>
      <w:r w:rsidRPr="00300841">
        <w:rPr>
          <w:b/>
          <w:szCs w:val="24"/>
        </w:rPr>
        <w:t>40</w:t>
      </w:r>
      <w:r w:rsidRPr="00300841">
        <w:rPr>
          <w:szCs w:val="24"/>
        </w:rPr>
        <w:t>, 173-180.</w:t>
      </w:r>
    </w:p>
    <w:p w:rsidR="00300841" w:rsidRPr="00300841" w:rsidRDefault="00300841" w:rsidP="00300841">
      <w:pPr>
        <w:spacing w:after="0" w:line="240" w:lineRule="auto"/>
        <w:ind w:left="720" w:hanging="720"/>
        <w:rPr>
          <w:szCs w:val="24"/>
        </w:rPr>
      </w:pPr>
      <w:r w:rsidRPr="00300841">
        <w:rPr>
          <w:szCs w:val="24"/>
        </w:rPr>
        <w:t xml:space="preserve">Otegui, M.S., Noh, Y.-S., Martínez, D.E., Petroff, M.G.V., Staehelin, L.A., Amasino, R.M. and Guiamet, J.J. (2005). Senescence-associated vacuoles with intense proteolytic activity develop in leaves of </w:t>
      </w:r>
      <w:r w:rsidRPr="00300841">
        <w:rPr>
          <w:i/>
          <w:szCs w:val="24"/>
        </w:rPr>
        <w:t>Arabidopsis</w:t>
      </w:r>
      <w:r w:rsidRPr="00300841">
        <w:rPr>
          <w:szCs w:val="24"/>
        </w:rPr>
        <w:t xml:space="preserve"> and soybean</w:t>
      </w:r>
      <w:r w:rsidRPr="00300841">
        <w:rPr>
          <w:i/>
          <w:szCs w:val="24"/>
        </w:rPr>
        <w:t>.</w:t>
      </w:r>
      <w:r w:rsidRPr="00300841">
        <w:rPr>
          <w:szCs w:val="24"/>
        </w:rPr>
        <w:t xml:space="preserve"> </w:t>
      </w:r>
      <w:r w:rsidRPr="00300841">
        <w:rPr>
          <w:i/>
          <w:szCs w:val="24"/>
        </w:rPr>
        <w:t>The Plant Journal</w:t>
      </w:r>
      <w:r w:rsidRPr="00300841">
        <w:rPr>
          <w:szCs w:val="24"/>
        </w:rPr>
        <w:t xml:space="preserve">  </w:t>
      </w:r>
      <w:r w:rsidRPr="00300841">
        <w:rPr>
          <w:b/>
          <w:szCs w:val="24"/>
        </w:rPr>
        <w:t>41</w:t>
      </w:r>
      <w:r w:rsidRPr="00300841">
        <w:rPr>
          <w:szCs w:val="24"/>
        </w:rPr>
        <w:t>, 831-844.</w:t>
      </w:r>
    </w:p>
    <w:p w:rsidR="00300841" w:rsidRPr="00300841" w:rsidRDefault="00300841" w:rsidP="00300841">
      <w:pPr>
        <w:spacing w:after="0" w:line="240" w:lineRule="auto"/>
        <w:ind w:left="720" w:hanging="720"/>
        <w:rPr>
          <w:szCs w:val="24"/>
        </w:rPr>
      </w:pPr>
      <w:r w:rsidRPr="00300841">
        <w:rPr>
          <w:szCs w:val="24"/>
        </w:rPr>
        <w:t>Owens, J.N. (1995). Constraints to seed production: temperate and tropical forest trees</w:t>
      </w:r>
      <w:r w:rsidRPr="00300841">
        <w:rPr>
          <w:i/>
          <w:szCs w:val="24"/>
        </w:rPr>
        <w:t>.</w:t>
      </w:r>
      <w:r w:rsidRPr="00300841">
        <w:rPr>
          <w:szCs w:val="24"/>
        </w:rPr>
        <w:t xml:space="preserve"> </w:t>
      </w:r>
      <w:r w:rsidRPr="00300841">
        <w:rPr>
          <w:i/>
          <w:szCs w:val="24"/>
        </w:rPr>
        <w:t>Tree Physiology</w:t>
      </w:r>
      <w:r w:rsidRPr="00300841">
        <w:rPr>
          <w:szCs w:val="24"/>
        </w:rPr>
        <w:t xml:space="preserve">  </w:t>
      </w:r>
      <w:r w:rsidRPr="00300841">
        <w:rPr>
          <w:b/>
          <w:szCs w:val="24"/>
        </w:rPr>
        <w:t>15</w:t>
      </w:r>
      <w:r w:rsidRPr="00300841">
        <w:rPr>
          <w:szCs w:val="24"/>
        </w:rPr>
        <w:t>, 477-484.</w:t>
      </w:r>
    </w:p>
    <w:p w:rsidR="00300841" w:rsidRPr="00300841" w:rsidRDefault="00300841" w:rsidP="00300841">
      <w:pPr>
        <w:spacing w:after="0" w:line="240" w:lineRule="auto"/>
        <w:ind w:left="720" w:hanging="720"/>
        <w:rPr>
          <w:szCs w:val="24"/>
        </w:rPr>
      </w:pPr>
      <w:r w:rsidRPr="00300841">
        <w:rPr>
          <w:szCs w:val="24"/>
        </w:rPr>
        <w:t xml:space="preserve">Owens, J.N. and Morris, S.J. (1990). Cytological Basis for Cytoplasmic Inheritance in </w:t>
      </w:r>
      <w:r w:rsidRPr="00300841">
        <w:rPr>
          <w:i/>
          <w:szCs w:val="24"/>
        </w:rPr>
        <w:t>Pseudotsuga menziesii</w:t>
      </w:r>
      <w:r w:rsidRPr="00300841">
        <w:rPr>
          <w:szCs w:val="24"/>
        </w:rPr>
        <w:t>. I. Pollen Tube and Archegonial Development</w:t>
      </w:r>
      <w:r w:rsidRPr="00300841">
        <w:rPr>
          <w:i/>
          <w:szCs w:val="24"/>
        </w:rPr>
        <w:t>.</w:t>
      </w:r>
      <w:r w:rsidRPr="00300841">
        <w:rPr>
          <w:szCs w:val="24"/>
        </w:rPr>
        <w:t xml:space="preserve"> </w:t>
      </w:r>
      <w:r w:rsidRPr="00300841">
        <w:rPr>
          <w:i/>
          <w:szCs w:val="24"/>
        </w:rPr>
        <w:t>American Journal of Botany</w:t>
      </w:r>
      <w:r w:rsidRPr="00300841">
        <w:rPr>
          <w:szCs w:val="24"/>
        </w:rPr>
        <w:t xml:space="preserve">  </w:t>
      </w:r>
      <w:r w:rsidRPr="00300841">
        <w:rPr>
          <w:b/>
          <w:szCs w:val="24"/>
        </w:rPr>
        <w:t>77</w:t>
      </w:r>
      <w:r w:rsidRPr="00300841">
        <w:rPr>
          <w:szCs w:val="24"/>
        </w:rPr>
        <w:t>, 433-445.</w:t>
      </w:r>
    </w:p>
    <w:p w:rsidR="00300841" w:rsidRPr="00300841" w:rsidRDefault="00300841" w:rsidP="00300841">
      <w:pPr>
        <w:spacing w:after="0" w:line="240" w:lineRule="auto"/>
        <w:ind w:left="720" w:hanging="720"/>
        <w:rPr>
          <w:szCs w:val="24"/>
        </w:rPr>
      </w:pPr>
      <w:r w:rsidRPr="00300841">
        <w:rPr>
          <w:szCs w:val="24"/>
        </w:rPr>
        <w:t xml:space="preserve">Papini, A., Tani, G., Di Falco, P. and Brighigna, L. (2009). The ultrastructure of the development of </w:t>
      </w:r>
      <w:r w:rsidRPr="00300841">
        <w:rPr>
          <w:i/>
          <w:szCs w:val="24"/>
        </w:rPr>
        <w:t xml:space="preserve">Tillandsia </w:t>
      </w:r>
      <w:r w:rsidRPr="00300841">
        <w:rPr>
          <w:szCs w:val="24"/>
        </w:rPr>
        <w:t>(Bromeliaceae) trichome</w:t>
      </w:r>
      <w:r w:rsidRPr="00300841">
        <w:rPr>
          <w:i/>
          <w:szCs w:val="24"/>
        </w:rPr>
        <w:t>.</w:t>
      </w:r>
      <w:r w:rsidRPr="00300841">
        <w:rPr>
          <w:szCs w:val="24"/>
        </w:rPr>
        <w:t xml:space="preserve"> </w:t>
      </w:r>
      <w:r w:rsidRPr="00300841">
        <w:rPr>
          <w:i/>
          <w:szCs w:val="24"/>
        </w:rPr>
        <w:t>Flora - Morphology, Distribution, Functional Ecology of Plants</w:t>
      </w:r>
      <w:r w:rsidRPr="00300841">
        <w:rPr>
          <w:szCs w:val="24"/>
        </w:rPr>
        <w:t xml:space="preserve">  </w:t>
      </w:r>
      <w:r w:rsidRPr="00300841">
        <w:rPr>
          <w:b/>
          <w:szCs w:val="24"/>
        </w:rPr>
        <w:t>205</w:t>
      </w:r>
      <w:r w:rsidRPr="00300841">
        <w:rPr>
          <w:szCs w:val="24"/>
        </w:rPr>
        <w:t>, 94-100.</w:t>
      </w:r>
    </w:p>
    <w:p w:rsidR="00300841" w:rsidRPr="00300841" w:rsidRDefault="00300841" w:rsidP="00300841">
      <w:pPr>
        <w:spacing w:after="0" w:line="240" w:lineRule="auto"/>
        <w:ind w:left="720" w:hanging="720"/>
        <w:rPr>
          <w:szCs w:val="24"/>
        </w:rPr>
      </w:pPr>
      <w:r w:rsidRPr="00300841">
        <w:rPr>
          <w:szCs w:val="24"/>
        </w:rPr>
        <w:t>Park, E.-J., Jeknic, Z. and Chen, T.H.H. (2006). Exogenous Application of Glycinebetaine Increases Chilling Tolerance in Tomato Plants</w:t>
      </w:r>
      <w:r w:rsidRPr="00300841">
        <w:rPr>
          <w:i/>
          <w:szCs w:val="24"/>
        </w:rPr>
        <w:t>.</w:t>
      </w:r>
      <w:r w:rsidRPr="00300841">
        <w:rPr>
          <w:szCs w:val="24"/>
        </w:rPr>
        <w:t xml:space="preserve"> </w:t>
      </w:r>
      <w:r w:rsidRPr="00300841">
        <w:rPr>
          <w:i/>
          <w:szCs w:val="24"/>
        </w:rPr>
        <w:t>Plant Cell Physiology</w:t>
      </w:r>
      <w:r w:rsidRPr="00300841">
        <w:rPr>
          <w:szCs w:val="24"/>
        </w:rPr>
        <w:t xml:space="preserve">  </w:t>
      </w:r>
      <w:r w:rsidRPr="00300841">
        <w:rPr>
          <w:b/>
          <w:szCs w:val="24"/>
        </w:rPr>
        <w:t>47</w:t>
      </w:r>
      <w:r w:rsidRPr="00300841">
        <w:rPr>
          <w:szCs w:val="24"/>
        </w:rPr>
        <w:t>, 706-714.</w:t>
      </w:r>
    </w:p>
    <w:p w:rsidR="00300841" w:rsidRPr="00300841" w:rsidRDefault="00300841" w:rsidP="00300841">
      <w:pPr>
        <w:spacing w:after="0" w:line="240" w:lineRule="auto"/>
        <w:ind w:left="720" w:hanging="720"/>
        <w:rPr>
          <w:szCs w:val="24"/>
        </w:rPr>
      </w:pPr>
      <w:r w:rsidRPr="00300841">
        <w:rPr>
          <w:szCs w:val="24"/>
        </w:rPr>
        <w:t>Pasqualini, S., Piccioni, C., Reale, L., Ederli, L., Della Torre, G. and Ferranti, F. (2003). Ozone-Induced Cell Death in Tobacco Cultivar Bel W3 Plants. The Role of Programmed Cell Death in Lesion Formation</w:t>
      </w:r>
      <w:r w:rsidRPr="00300841">
        <w:rPr>
          <w:i/>
          <w:szCs w:val="24"/>
        </w:rPr>
        <w:t>.</w:t>
      </w:r>
      <w:r w:rsidRPr="00300841">
        <w:rPr>
          <w:szCs w:val="24"/>
        </w:rPr>
        <w:t xml:space="preserve"> </w:t>
      </w:r>
      <w:r w:rsidRPr="00300841">
        <w:rPr>
          <w:i/>
          <w:szCs w:val="24"/>
        </w:rPr>
        <w:t>Plant Physiology</w:t>
      </w:r>
      <w:r w:rsidRPr="00300841">
        <w:rPr>
          <w:szCs w:val="24"/>
        </w:rPr>
        <w:t xml:space="preserve">  </w:t>
      </w:r>
      <w:r w:rsidRPr="00300841">
        <w:rPr>
          <w:b/>
          <w:szCs w:val="24"/>
        </w:rPr>
        <w:t>133</w:t>
      </w:r>
      <w:r w:rsidRPr="00300841">
        <w:rPr>
          <w:szCs w:val="24"/>
        </w:rPr>
        <w:t>, 1122-1134.</w:t>
      </w:r>
    </w:p>
    <w:p w:rsidR="00300841" w:rsidRPr="00300841" w:rsidRDefault="00300841" w:rsidP="00300841">
      <w:pPr>
        <w:spacing w:after="0" w:line="240" w:lineRule="auto"/>
        <w:ind w:left="720" w:hanging="720"/>
        <w:rPr>
          <w:szCs w:val="24"/>
        </w:rPr>
      </w:pPr>
      <w:r w:rsidRPr="00300841">
        <w:rPr>
          <w:szCs w:val="24"/>
        </w:rPr>
        <w:t>Pastorino, J.G., Shulga, N. and Hoek, J.B. (2002). Mitochondrial Binding of Hexokinase II Inhibits Bax-induced Cytochrome c Release and Apoptosis</w:t>
      </w:r>
      <w:r w:rsidRPr="00300841">
        <w:rPr>
          <w:i/>
          <w:szCs w:val="24"/>
        </w:rPr>
        <w:t>.</w:t>
      </w:r>
      <w:r w:rsidRPr="00300841">
        <w:rPr>
          <w:szCs w:val="24"/>
        </w:rPr>
        <w:t xml:space="preserve"> </w:t>
      </w:r>
      <w:r w:rsidRPr="00300841">
        <w:rPr>
          <w:i/>
          <w:szCs w:val="24"/>
        </w:rPr>
        <w:t>Journal of Biological Chemistry</w:t>
      </w:r>
      <w:r w:rsidRPr="00300841">
        <w:rPr>
          <w:szCs w:val="24"/>
        </w:rPr>
        <w:t xml:space="preserve">  </w:t>
      </w:r>
      <w:r w:rsidRPr="00300841">
        <w:rPr>
          <w:b/>
          <w:szCs w:val="24"/>
        </w:rPr>
        <w:t>277</w:t>
      </w:r>
      <w:r w:rsidRPr="00300841">
        <w:rPr>
          <w:szCs w:val="24"/>
        </w:rPr>
        <w:t>, 7610-7618.</w:t>
      </w:r>
    </w:p>
    <w:p w:rsidR="00300841" w:rsidRPr="00300841" w:rsidRDefault="00300841" w:rsidP="00300841">
      <w:pPr>
        <w:spacing w:after="0" w:line="240" w:lineRule="auto"/>
        <w:ind w:left="720" w:hanging="720"/>
        <w:rPr>
          <w:szCs w:val="24"/>
        </w:rPr>
      </w:pPr>
      <w:r w:rsidRPr="00300841">
        <w:rPr>
          <w:szCs w:val="24"/>
        </w:rPr>
        <w:t xml:space="preserve">Pata, M. O., Hannun, Y. A. and Ng, C. K. Y. (2010). Plant sphingolipids: decoding the enigma of the Sphinx. </w:t>
      </w:r>
      <w:r w:rsidRPr="00300841">
        <w:rPr>
          <w:i/>
          <w:szCs w:val="24"/>
        </w:rPr>
        <w:t>New Phytologist</w:t>
      </w:r>
      <w:r w:rsidRPr="00300841">
        <w:rPr>
          <w:szCs w:val="24"/>
        </w:rPr>
        <w:t xml:space="preserve"> </w:t>
      </w:r>
      <w:r w:rsidRPr="00300841">
        <w:rPr>
          <w:b/>
          <w:szCs w:val="24"/>
        </w:rPr>
        <w:t>185</w:t>
      </w:r>
      <w:r w:rsidRPr="00300841">
        <w:rPr>
          <w:szCs w:val="24"/>
        </w:rPr>
        <w:t>, 611-630.</w:t>
      </w:r>
    </w:p>
    <w:p w:rsidR="00300841" w:rsidRPr="00300841" w:rsidRDefault="00300841" w:rsidP="00300841">
      <w:pPr>
        <w:spacing w:after="0" w:line="240" w:lineRule="auto"/>
        <w:ind w:left="720" w:hanging="720"/>
        <w:rPr>
          <w:szCs w:val="24"/>
        </w:rPr>
      </w:pPr>
      <w:r w:rsidRPr="00300841">
        <w:rPr>
          <w:szCs w:val="24"/>
        </w:rPr>
        <w:t>Patel, S., Caplan, J. and Dinesh-Kumar, S.P. (2006). Autophagy in the control of programmed cell death</w:t>
      </w:r>
      <w:r w:rsidRPr="00300841">
        <w:rPr>
          <w:i/>
          <w:szCs w:val="24"/>
        </w:rPr>
        <w:t>.</w:t>
      </w:r>
      <w:r w:rsidRPr="00300841">
        <w:rPr>
          <w:szCs w:val="24"/>
        </w:rPr>
        <w:t xml:space="preserve"> </w:t>
      </w:r>
      <w:r w:rsidRPr="00300841">
        <w:rPr>
          <w:i/>
          <w:szCs w:val="24"/>
        </w:rPr>
        <w:t>Current Opinion in Plant Biology</w:t>
      </w:r>
      <w:r w:rsidRPr="00300841">
        <w:rPr>
          <w:szCs w:val="24"/>
        </w:rPr>
        <w:t xml:space="preserve">  </w:t>
      </w:r>
      <w:r w:rsidRPr="00300841">
        <w:rPr>
          <w:b/>
          <w:szCs w:val="24"/>
        </w:rPr>
        <w:t>9</w:t>
      </w:r>
      <w:r w:rsidRPr="00300841">
        <w:rPr>
          <w:szCs w:val="24"/>
        </w:rPr>
        <w:t>, 391-396.</w:t>
      </w:r>
    </w:p>
    <w:p w:rsidR="00300841" w:rsidRPr="00300841" w:rsidRDefault="00300841" w:rsidP="00300841">
      <w:pPr>
        <w:spacing w:after="0" w:line="240" w:lineRule="auto"/>
        <w:ind w:left="720" w:hanging="720"/>
        <w:rPr>
          <w:szCs w:val="24"/>
        </w:rPr>
      </w:pPr>
      <w:r w:rsidRPr="00300841">
        <w:rPr>
          <w:szCs w:val="24"/>
        </w:rPr>
        <w:t xml:space="preserve">Patel, S. and Dinesh-Kumar, S.P. (2008). </w:t>
      </w:r>
      <w:r w:rsidRPr="00300841">
        <w:rPr>
          <w:i/>
          <w:szCs w:val="24"/>
        </w:rPr>
        <w:t>Arabidopsis</w:t>
      </w:r>
      <w:r w:rsidRPr="00300841">
        <w:rPr>
          <w:szCs w:val="24"/>
        </w:rPr>
        <w:t xml:space="preserve">ATG6 is required to limit the pathogen-associated cell death response. </w:t>
      </w:r>
      <w:r w:rsidRPr="00300841">
        <w:rPr>
          <w:i/>
          <w:szCs w:val="24"/>
        </w:rPr>
        <w:t>Autophagy</w:t>
      </w:r>
      <w:r w:rsidRPr="00300841">
        <w:rPr>
          <w:szCs w:val="24"/>
        </w:rPr>
        <w:t xml:space="preserve">  </w:t>
      </w:r>
      <w:r w:rsidRPr="00300841">
        <w:rPr>
          <w:b/>
          <w:szCs w:val="24"/>
        </w:rPr>
        <w:t>4</w:t>
      </w:r>
      <w:r w:rsidRPr="00300841">
        <w:rPr>
          <w:szCs w:val="24"/>
        </w:rPr>
        <w:t>, 20-27.</w:t>
      </w:r>
    </w:p>
    <w:p w:rsidR="00300841" w:rsidRPr="00300841" w:rsidRDefault="00300841" w:rsidP="00300841">
      <w:pPr>
        <w:spacing w:after="0" w:line="240" w:lineRule="auto"/>
        <w:ind w:left="720" w:hanging="720"/>
        <w:rPr>
          <w:szCs w:val="24"/>
        </w:rPr>
      </w:pPr>
      <w:r w:rsidRPr="00300841">
        <w:rPr>
          <w:szCs w:val="24"/>
        </w:rPr>
        <w:t>Pennell, R.I. and Lamb, C. (1997). Programmed Cell Death in Plants</w:t>
      </w:r>
      <w:r w:rsidRPr="00300841">
        <w:rPr>
          <w:i/>
          <w:szCs w:val="24"/>
        </w:rPr>
        <w:t>.</w:t>
      </w:r>
      <w:r w:rsidRPr="00300841">
        <w:rPr>
          <w:szCs w:val="24"/>
        </w:rPr>
        <w:t xml:space="preserve"> </w:t>
      </w:r>
      <w:r w:rsidRPr="00300841">
        <w:rPr>
          <w:i/>
          <w:szCs w:val="24"/>
        </w:rPr>
        <w:t>Plant Cell</w:t>
      </w:r>
      <w:r w:rsidRPr="00300841">
        <w:rPr>
          <w:szCs w:val="24"/>
        </w:rPr>
        <w:t xml:space="preserve">  </w:t>
      </w:r>
      <w:r w:rsidRPr="00300841">
        <w:rPr>
          <w:b/>
          <w:szCs w:val="24"/>
        </w:rPr>
        <w:t>9</w:t>
      </w:r>
      <w:r w:rsidRPr="00300841">
        <w:rPr>
          <w:szCs w:val="24"/>
        </w:rPr>
        <w:t>, 1157-1168.</w:t>
      </w:r>
    </w:p>
    <w:p w:rsidR="00300841" w:rsidRPr="00300841" w:rsidRDefault="00300841" w:rsidP="00300841">
      <w:pPr>
        <w:spacing w:after="0" w:line="240" w:lineRule="auto"/>
        <w:ind w:left="720" w:hanging="720"/>
        <w:rPr>
          <w:szCs w:val="24"/>
        </w:rPr>
      </w:pPr>
      <w:r w:rsidRPr="00300841">
        <w:rPr>
          <w:szCs w:val="24"/>
        </w:rPr>
        <w:t xml:space="preserve">Perez-Amador, M.A., Abler, M.L., De Rocher, E.J., Thompson, D.M., van Hoof, A., LeBrasseur, N.D., Lers, A. and Green, P.J. (2000). Identification of BFN1, a Bifunctional Nuclease Induced during Leaf and Stem Senescence in </w:t>
      </w:r>
      <w:r w:rsidRPr="00300841">
        <w:rPr>
          <w:i/>
          <w:szCs w:val="24"/>
        </w:rPr>
        <w:t>Arabidopsis.</w:t>
      </w:r>
      <w:r w:rsidRPr="00300841">
        <w:rPr>
          <w:szCs w:val="24"/>
        </w:rPr>
        <w:t xml:space="preserve"> </w:t>
      </w:r>
      <w:r w:rsidRPr="00300841">
        <w:rPr>
          <w:i/>
          <w:szCs w:val="24"/>
        </w:rPr>
        <w:t>Plant Physiology</w:t>
      </w:r>
      <w:r w:rsidRPr="00300841">
        <w:rPr>
          <w:szCs w:val="24"/>
        </w:rPr>
        <w:t xml:space="preserve">  </w:t>
      </w:r>
      <w:r w:rsidRPr="00300841">
        <w:rPr>
          <w:b/>
          <w:szCs w:val="24"/>
        </w:rPr>
        <w:t>122</w:t>
      </w:r>
      <w:r w:rsidRPr="00300841">
        <w:rPr>
          <w:szCs w:val="24"/>
        </w:rPr>
        <w:t>, 169-180.</w:t>
      </w:r>
    </w:p>
    <w:p w:rsidR="00300841" w:rsidRPr="00300841" w:rsidRDefault="00300841" w:rsidP="00300841">
      <w:pPr>
        <w:spacing w:after="0" w:line="240" w:lineRule="auto"/>
        <w:ind w:left="720" w:hanging="720"/>
        <w:rPr>
          <w:szCs w:val="24"/>
        </w:rPr>
      </w:pPr>
      <w:r w:rsidRPr="00300841">
        <w:rPr>
          <w:szCs w:val="24"/>
        </w:rPr>
        <w:t>Petronilli, V., Costantini, P., Scorrano, L., Colonna, R., Passamonti, S. and Bernardi, P. (1994). The voltage sensor of the mitochondrial permeability transition pore is tuned by the oxidation-reduction state of vicinal thiols. Increase of the gating potential by oxidants and its reversal by reducing agents</w:t>
      </w:r>
      <w:r w:rsidRPr="00300841">
        <w:rPr>
          <w:i/>
          <w:szCs w:val="24"/>
        </w:rPr>
        <w:t>.</w:t>
      </w:r>
      <w:r w:rsidRPr="00300841">
        <w:rPr>
          <w:szCs w:val="24"/>
        </w:rPr>
        <w:t xml:space="preserve"> </w:t>
      </w:r>
      <w:r w:rsidRPr="00300841">
        <w:rPr>
          <w:i/>
          <w:szCs w:val="24"/>
        </w:rPr>
        <w:t>Journal of Biological Chemistry</w:t>
      </w:r>
      <w:r w:rsidRPr="00300841">
        <w:rPr>
          <w:szCs w:val="24"/>
        </w:rPr>
        <w:t xml:space="preserve">  </w:t>
      </w:r>
      <w:r w:rsidRPr="00300841">
        <w:rPr>
          <w:b/>
          <w:szCs w:val="24"/>
        </w:rPr>
        <w:t>269</w:t>
      </w:r>
      <w:r w:rsidRPr="00300841">
        <w:rPr>
          <w:szCs w:val="24"/>
        </w:rPr>
        <w:t>, 16638-16642.</w:t>
      </w:r>
    </w:p>
    <w:p w:rsidR="00300841" w:rsidRPr="00300841" w:rsidRDefault="00300841" w:rsidP="00300841">
      <w:pPr>
        <w:spacing w:after="0" w:line="240" w:lineRule="auto"/>
        <w:ind w:left="720" w:hanging="720"/>
        <w:rPr>
          <w:szCs w:val="24"/>
        </w:rPr>
      </w:pPr>
      <w:r w:rsidRPr="00300841">
        <w:rPr>
          <w:szCs w:val="24"/>
        </w:rPr>
        <w:t>Petrussa, E., Bertolini, A., Casolo, V., Krajnakova, J., Macri, F. and Vianello, A. (2009). Mitochondrial bioenergetics linked to the manifestation of programmed cell death during somatic embryogenesis of Abies alba</w:t>
      </w:r>
      <w:r w:rsidRPr="00300841">
        <w:rPr>
          <w:i/>
          <w:szCs w:val="24"/>
        </w:rPr>
        <w:t>.</w:t>
      </w:r>
      <w:r w:rsidRPr="00300841">
        <w:rPr>
          <w:szCs w:val="24"/>
        </w:rPr>
        <w:t xml:space="preserve"> </w:t>
      </w:r>
      <w:r w:rsidRPr="00300841">
        <w:rPr>
          <w:i/>
          <w:szCs w:val="24"/>
        </w:rPr>
        <w:t>Planta</w:t>
      </w:r>
      <w:r w:rsidRPr="00300841">
        <w:rPr>
          <w:szCs w:val="24"/>
        </w:rPr>
        <w:t xml:space="preserve">  </w:t>
      </w:r>
      <w:r w:rsidRPr="00300841">
        <w:rPr>
          <w:b/>
          <w:szCs w:val="24"/>
        </w:rPr>
        <w:t>231</w:t>
      </w:r>
      <w:r w:rsidRPr="00300841">
        <w:rPr>
          <w:szCs w:val="24"/>
        </w:rPr>
        <w:t>, 93-107.</w:t>
      </w:r>
    </w:p>
    <w:p w:rsidR="00300841" w:rsidRPr="00300841" w:rsidRDefault="00300841" w:rsidP="00300841">
      <w:pPr>
        <w:spacing w:after="0" w:line="240" w:lineRule="auto"/>
        <w:ind w:left="720" w:hanging="720"/>
        <w:rPr>
          <w:szCs w:val="24"/>
        </w:rPr>
      </w:pPr>
      <w:r w:rsidRPr="00300841">
        <w:rPr>
          <w:szCs w:val="24"/>
        </w:rPr>
        <w:t xml:space="preserve">Phillips, A.R., Suttangkakul, A. and Vierstra, R.D. (2008). The ATG12-Conjugating Enzyme ATG10 Is Essential for Autophagic Vesicle Formation in </w:t>
      </w:r>
      <w:r w:rsidRPr="00300841">
        <w:rPr>
          <w:i/>
          <w:szCs w:val="24"/>
        </w:rPr>
        <w:t>Arabidopsis</w:t>
      </w:r>
      <w:r w:rsidRPr="00300841">
        <w:rPr>
          <w:szCs w:val="24"/>
        </w:rPr>
        <w:t xml:space="preserve"> </w:t>
      </w:r>
      <w:r w:rsidRPr="00300841">
        <w:rPr>
          <w:i/>
          <w:szCs w:val="24"/>
        </w:rPr>
        <w:t>thaliana.</w:t>
      </w:r>
      <w:r w:rsidRPr="00300841">
        <w:rPr>
          <w:szCs w:val="24"/>
        </w:rPr>
        <w:t xml:space="preserve"> </w:t>
      </w:r>
      <w:r w:rsidRPr="00300841">
        <w:rPr>
          <w:i/>
          <w:szCs w:val="24"/>
        </w:rPr>
        <w:t>Genetics</w:t>
      </w:r>
      <w:r w:rsidRPr="00300841">
        <w:rPr>
          <w:szCs w:val="24"/>
        </w:rPr>
        <w:t xml:space="preserve">  </w:t>
      </w:r>
      <w:r w:rsidRPr="00300841">
        <w:rPr>
          <w:b/>
          <w:szCs w:val="24"/>
        </w:rPr>
        <w:t>178</w:t>
      </w:r>
      <w:r w:rsidRPr="00300841">
        <w:rPr>
          <w:szCs w:val="24"/>
        </w:rPr>
        <w:t>, 1339-1353.</w:t>
      </w:r>
    </w:p>
    <w:p w:rsidR="00300841" w:rsidRPr="00300841" w:rsidRDefault="00300841" w:rsidP="00300841">
      <w:pPr>
        <w:spacing w:after="0" w:line="240" w:lineRule="auto"/>
        <w:ind w:left="720" w:hanging="720"/>
        <w:rPr>
          <w:szCs w:val="24"/>
        </w:rPr>
      </w:pPr>
      <w:r w:rsidRPr="00300841">
        <w:rPr>
          <w:szCs w:val="24"/>
        </w:rPr>
        <w:t xml:space="preserve">Qin, G., Ma, Z., Zhang, L., Xing, S., Hou, X., Deng, J., Liu, J., Chen, Z., Qu, L.-J. and Gu, H. (2007). </w:t>
      </w:r>
      <w:r w:rsidRPr="00300841">
        <w:rPr>
          <w:i/>
          <w:szCs w:val="24"/>
        </w:rPr>
        <w:t>Arabidopsis</w:t>
      </w:r>
      <w:r w:rsidRPr="00300841">
        <w:rPr>
          <w:szCs w:val="24"/>
        </w:rPr>
        <w:t xml:space="preserve"> AtBECLIN 1/AtAtg6/AtVps30 is essential for pollen germination and plant development</w:t>
      </w:r>
      <w:r w:rsidRPr="00300841">
        <w:rPr>
          <w:i/>
          <w:szCs w:val="24"/>
        </w:rPr>
        <w:t>.</w:t>
      </w:r>
      <w:r w:rsidRPr="00300841">
        <w:rPr>
          <w:szCs w:val="24"/>
        </w:rPr>
        <w:t xml:space="preserve"> </w:t>
      </w:r>
      <w:r w:rsidRPr="00300841">
        <w:rPr>
          <w:i/>
          <w:szCs w:val="24"/>
        </w:rPr>
        <w:t>Cell Research</w:t>
      </w:r>
      <w:r w:rsidRPr="00300841">
        <w:rPr>
          <w:szCs w:val="24"/>
        </w:rPr>
        <w:t xml:space="preserve">  </w:t>
      </w:r>
      <w:r w:rsidRPr="00300841">
        <w:rPr>
          <w:b/>
          <w:szCs w:val="24"/>
        </w:rPr>
        <w:t>17</w:t>
      </w:r>
      <w:r w:rsidRPr="00300841">
        <w:rPr>
          <w:szCs w:val="24"/>
        </w:rPr>
        <w:t>, 249-263.</w:t>
      </w:r>
    </w:p>
    <w:p w:rsidR="00300841" w:rsidRPr="00300841" w:rsidRDefault="00300841" w:rsidP="00300841">
      <w:pPr>
        <w:spacing w:after="0" w:line="240" w:lineRule="auto"/>
        <w:ind w:left="720" w:hanging="720"/>
        <w:rPr>
          <w:szCs w:val="24"/>
        </w:rPr>
      </w:pPr>
      <w:r w:rsidRPr="00300841">
        <w:rPr>
          <w:szCs w:val="24"/>
        </w:rPr>
        <w:t>Rea, A.C. and Nasrallah, J.B. (2008). Self-incompatibility systems: barriers to self-fertilization in flowering plants</w:t>
      </w:r>
      <w:r w:rsidRPr="00300841">
        <w:rPr>
          <w:i/>
          <w:szCs w:val="24"/>
        </w:rPr>
        <w:t>.</w:t>
      </w:r>
      <w:r w:rsidRPr="00300841">
        <w:rPr>
          <w:szCs w:val="24"/>
        </w:rPr>
        <w:t xml:space="preserve"> </w:t>
      </w:r>
      <w:r w:rsidRPr="00300841">
        <w:rPr>
          <w:i/>
          <w:szCs w:val="24"/>
        </w:rPr>
        <w:t>The international Journal of Development Biology</w:t>
      </w:r>
      <w:r w:rsidRPr="00300841">
        <w:rPr>
          <w:szCs w:val="24"/>
        </w:rPr>
        <w:t xml:space="preserve">  </w:t>
      </w:r>
      <w:r w:rsidRPr="00300841">
        <w:rPr>
          <w:b/>
          <w:szCs w:val="24"/>
        </w:rPr>
        <w:t>52</w:t>
      </w:r>
      <w:r w:rsidRPr="00300841">
        <w:rPr>
          <w:szCs w:val="24"/>
        </w:rPr>
        <w:t xml:space="preserve">, 627 - 636 </w:t>
      </w:r>
    </w:p>
    <w:p w:rsidR="00300841" w:rsidRPr="00300841" w:rsidRDefault="00300841" w:rsidP="00300841">
      <w:pPr>
        <w:spacing w:after="0" w:line="240" w:lineRule="auto"/>
        <w:ind w:left="720" w:hanging="720"/>
        <w:rPr>
          <w:szCs w:val="24"/>
        </w:rPr>
      </w:pPr>
      <w:r w:rsidRPr="00300841">
        <w:rPr>
          <w:szCs w:val="24"/>
        </w:rPr>
        <w:t>Reape, T. and McCabe, P. (2010). Apoptotic-like regulation of programmed cell death in plants</w:t>
      </w:r>
      <w:r w:rsidRPr="00300841">
        <w:rPr>
          <w:i/>
          <w:szCs w:val="24"/>
        </w:rPr>
        <w:t>.</w:t>
      </w:r>
      <w:r w:rsidRPr="00300841">
        <w:rPr>
          <w:szCs w:val="24"/>
        </w:rPr>
        <w:t xml:space="preserve"> </w:t>
      </w:r>
      <w:r w:rsidRPr="00300841">
        <w:rPr>
          <w:i/>
          <w:szCs w:val="24"/>
        </w:rPr>
        <w:t>Apoptosis</w:t>
      </w:r>
      <w:r w:rsidRPr="00300841">
        <w:rPr>
          <w:szCs w:val="24"/>
        </w:rPr>
        <w:t xml:space="preserve">  </w:t>
      </w:r>
      <w:r w:rsidRPr="00300841">
        <w:rPr>
          <w:b/>
          <w:szCs w:val="24"/>
        </w:rPr>
        <w:t>15</w:t>
      </w:r>
      <w:r w:rsidRPr="00300841">
        <w:rPr>
          <w:szCs w:val="24"/>
        </w:rPr>
        <w:t>, 249-256.</w:t>
      </w:r>
    </w:p>
    <w:p w:rsidR="00300841" w:rsidRPr="00300841" w:rsidRDefault="00300841" w:rsidP="00300841">
      <w:pPr>
        <w:spacing w:after="0" w:line="240" w:lineRule="auto"/>
        <w:ind w:left="720" w:hanging="720"/>
        <w:rPr>
          <w:szCs w:val="24"/>
        </w:rPr>
      </w:pPr>
      <w:r w:rsidRPr="00300841">
        <w:rPr>
          <w:szCs w:val="24"/>
        </w:rPr>
        <w:t>Reape, T.J. and McCabe, P.F. (2008). Apoptotic-like programmed cell death in plants</w:t>
      </w:r>
      <w:r w:rsidRPr="00300841">
        <w:rPr>
          <w:i/>
          <w:szCs w:val="24"/>
        </w:rPr>
        <w:t>.</w:t>
      </w:r>
      <w:r w:rsidRPr="00300841">
        <w:rPr>
          <w:szCs w:val="24"/>
        </w:rPr>
        <w:t xml:space="preserve"> </w:t>
      </w:r>
      <w:r w:rsidRPr="00300841">
        <w:rPr>
          <w:i/>
          <w:szCs w:val="24"/>
        </w:rPr>
        <w:t>New Phytologist</w:t>
      </w:r>
      <w:r w:rsidRPr="00300841">
        <w:rPr>
          <w:szCs w:val="24"/>
        </w:rPr>
        <w:t xml:space="preserve">  </w:t>
      </w:r>
      <w:r w:rsidRPr="00300841">
        <w:rPr>
          <w:b/>
          <w:szCs w:val="24"/>
        </w:rPr>
        <w:t>180</w:t>
      </w:r>
      <w:r w:rsidRPr="00300841">
        <w:rPr>
          <w:szCs w:val="24"/>
        </w:rPr>
        <w:t>, 13-26.</w:t>
      </w:r>
    </w:p>
    <w:p w:rsidR="00300841" w:rsidRPr="00300841" w:rsidRDefault="00300841" w:rsidP="00300841">
      <w:pPr>
        <w:spacing w:after="0" w:line="240" w:lineRule="auto"/>
        <w:ind w:left="720" w:hanging="720"/>
        <w:rPr>
          <w:szCs w:val="24"/>
        </w:rPr>
      </w:pPr>
      <w:r w:rsidRPr="00300841">
        <w:rPr>
          <w:szCs w:val="24"/>
        </w:rPr>
        <w:t>Reape, T.J., Molony, E.M. and McCabe, P.F. (2008). Programmed cell death in plants: distinguishing between different modes</w:t>
      </w:r>
      <w:r w:rsidRPr="00300841">
        <w:rPr>
          <w:i/>
          <w:szCs w:val="24"/>
        </w:rPr>
        <w:t>.</w:t>
      </w:r>
      <w:r w:rsidRPr="00300841">
        <w:rPr>
          <w:szCs w:val="24"/>
        </w:rPr>
        <w:t xml:space="preserve"> </w:t>
      </w:r>
      <w:r w:rsidRPr="00300841">
        <w:rPr>
          <w:i/>
          <w:szCs w:val="24"/>
        </w:rPr>
        <w:t>Journal of Experimental Botany</w:t>
      </w:r>
      <w:r w:rsidRPr="00300841">
        <w:rPr>
          <w:szCs w:val="24"/>
        </w:rPr>
        <w:t xml:space="preserve">  </w:t>
      </w:r>
      <w:r w:rsidRPr="00300841">
        <w:rPr>
          <w:b/>
          <w:szCs w:val="24"/>
        </w:rPr>
        <w:t>59</w:t>
      </w:r>
      <w:r w:rsidRPr="00300841">
        <w:rPr>
          <w:szCs w:val="24"/>
        </w:rPr>
        <w:t>, 435-444.</w:t>
      </w:r>
    </w:p>
    <w:p w:rsidR="00300841" w:rsidRPr="00300841" w:rsidRDefault="00300841" w:rsidP="00300841">
      <w:pPr>
        <w:spacing w:after="0" w:line="240" w:lineRule="auto"/>
        <w:ind w:left="720" w:hanging="720"/>
        <w:rPr>
          <w:szCs w:val="24"/>
        </w:rPr>
      </w:pPr>
      <w:r w:rsidRPr="00300841">
        <w:rPr>
          <w:szCs w:val="24"/>
        </w:rPr>
        <w:t xml:space="preserve">Reina-Pinto, J.J., Voisin, D., Kurdyukov, S., Faust, A., Haslam, R.P., Michaelson, L.V., Efremova, N., Franke, B., Schreiber, L., Napier, J.A. and Yephremov, A. (2009). Misexpression of FATTY ACID ELONGATION1 in the </w:t>
      </w:r>
      <w:r w:rsidRPr="00300841">
        <w:rPr>
          <w:i/>
          <w:szCs w:val="24"/>
        </w:rPr>
        <w:t>Arabidopsis</w:t>
      </w:r>
      <w:r w:rsidRPr="00300841">
        <w:rPr>
          <w:szCs w:val="24"/>
        </w:rPr>
        <w:t xml:space="preserve"> Epidermis Induces Cell Death and Suggests a Critical Role for Phospholipase A2 in This Process</w:t>
      </w:r>
      <w:r w:rsidRPr="00300841">
        <w:rPr>
          <w:i/>
          <w:szCs w:val="24"/>
        </w:rPr>
        <w:t>.</w:t>
      </w:r>
      <w:r w:rsidRPr="00300841">
        <w:rPr>
          <w:szCs w:val="24"/>
        </w:rPr>
        <w:t xml:space="preserve"> </w:t>
      </w:r>
      <w:r w:rsidRPr="00300841">
        <w:rPr>
          <w:i/>
          <w:szCs w:val="24"/>
        </w:rPr>
        <w:t>Plant Cell</w:t>
      </w:r>
      <w:r w:rsidRPr="00300841">
        <w:rPr>
          <w:szCs w:val="24"/>
        </w:rPr>
        <w:t xml:space="preserve">  </w:t>
      </w:r>
      <w:r w:rsidRPr="00300841">
        <w:rPr>
          <w:b/>
          <w:szCs w:val="24"/>
        </w:rPr>
        <w:t>21</w:t>
      </w:r>
      <w:r w:rsidRPr="00300841">
        <w:rPr>
          <w:szCs w:val="24"/>
        </w:rPr>
        <w:t>, 1252-1272.</w:t>
      </w:r>
    </w:p>
    <w:p w:rsidR="00300841" w:rsidRPr="00300841" w:rsidRDefault="00300841" w:rsidP="00300841">
      <w:pPr>
        <w:spacing w:after="0" w:line="240" w:lineRule="auto"/>
        <w:ind w:left="720" w:hanging="720"/>
        <w:rPr>
          <w:szCs w:val="24"/>
        </w:rPr>
      </w:pPr>
      <w:r w:rsidRPr="00300841">
        <w:rPr>
          <w:szCs w:val="24"/>
        </w:rPr>
        <w:t>Reisen, D., Marty, F. and Leborgne-Castel, N. (2005). New insights into the tonoplast architecture of plant vacuoles and vacuolar dynamics during osmotic stress</w:t>
      </w:r>
      <w:r w:rsidRPr="00300841">
        <w:rPr>
          <w:i/>
          <w:szCs w:val="24"/>
        </w:rPr>
        <w:t>.</w:t>
      </w:r>
      <w:r w:rsidRPr="00300841">
        <w:rPr>
          <w:szCs w:val="24"/>
        </w:rPr>
        <w:t xml:space="preserve"> </w:t>
      </w:r>
      <w:r w:rsidRPr="00300841">
        <w:rPr>
          <w:i/>
          <w:szCs w:val="24"/>
        </w:rPr>
        <w:t>BMC Plant Biology</w:t>
      </w:r>
      <w:r w:rsidRPr="00300841">
        <w:rPr>
          <w:szCs w:val="24"/>
        </w:rPr>
        <w:t xml:space="preserve">  </w:t>
      </w:r>
      <w:r w:rsidRPr="00300841">
        <w:rPr>
          <w:b/>
          <w:szCs w:val="24"/>
        </w:rPr>
        <w:t>5</w:t>
      </w:r>
      <w:r w:rsidRPr="00300841">
        <w:rPr>
          <w:szCs w:val="24"/>
        </w:rPr>
        <w:t>, 13.</w:t>
      </w:r>
    </w:p>
    <w:p w:rsidR="00300841" w:rsidRPr="00300841" w:rsidRDefault="00300841" w:rsidP="00300841">
      <w:pPr>
        <w:spacing w:after="0" w:line="240" w:lineRule="auto"/>
        <w:ind w:left="720" w:hanging="720"/>
        <w:rPr>
          <w:szCs w:val="24"/>
        </w:rPr>
      </w:pPr>
      <w:r w:rsidRPr="00300841">
        <w:rPr>
          <w:szCs w:val="24"/>
        </w:rPr>
        <w:t>Rengel, Z. (1992). The role of calcium in salt toxicity</w:t>
      </w:r>
      <w:r w:rsidRPr="00300841">
        <w:rPr>
          <w:i/>
          <w:szCs w:val="24"/>
        </w:rPr>
        <w:t>.</w:t>
      </w:r>
      <w:r w:rsidRPr="00300841">
        <w:rPr>
          <w:szCs w:val="24"/>
        </w:rPr>
        <w:t xml:space="preserve"> </w:t>
      </w:r>
      <w:r w:rsidRPr="00300841">
        <w:rPr>
          <w:i/>
          <w:szCs w:val="24"/>
        </w:rPr>
        <w:t>Plant, Cell and Environment</w:t>
      </w:r>
      <w:r w:rsidRPr="00300841">
        <w:rPr>
          <w:szCs w:val="24"/>
        </w:rPr>
        <w:t xml:space="preserve">  </w:t>
      </w:r>
      <w:r w:rsidRPr="00300841">
        <w:rPr>
          <w:b/>
          <w:szCs w:val="24"/>
        </w:rPr>
        <w:t>15</w:t>
      </w:r>
      <w:r w:rsidRPr="00300841">
        <w:rPr>
          <w:szCs w:val="24"/>
        </w:rPr>
        <w:t>, 625-632.</w:t>
      </w:r>
    </w:p>
    <w:p w:rsidR="00300841" w:rsidRPr="00300841" w:rsidRDefault="00300841" w:rsidP="00300841">
      <w:pPr>
        <w:spacing w:after="0" w:line="240" w:lineRule="auto"/>
        <w:ind w:left="720" w:hanging="720"/>
        <w:rPr>
          <w:szCs w:val="24"/>
        </w:rPr>
      </w:pPr>
      <w:r w:rsidRPr="00300841">
        <w:rPr>
          <w:szCs w:val="24"/>
        </w:rPr>
        <w:t xml:space="preserve">Richael, C., Gilchrist and D. (1999). The hypersensitive response: A case of hold or fold? </w:t>
      </w:r>
      <w:r w:rsidRPr="00300841">
        <w:rPr>
          <w:i/>
          <w:szCs w:val="24"/>
        </w:rPr>
        <w:t>Physiological and Molecular Plant Pathology</w:t>
      </w:r>
      <w:r w:rsidRPr="00300841">
        <w:rPr>
          <w:szCs w:val="24"/>
        </w:rPr>
        <w:t xml:space="preserve">  </w:t>
      </w:r>
      <w:r w:rsidRPr="00300841">
        <w:rPr>
          <w:b/>
          <w:szCs w:val="24"/>
        </w:rPr>
        <w:t>55</w:t>
      </w:r>
      <w:r w:rsidRPr="00300841">
        <w:rPr>
          <w:szCs w:val="24"/>
        </w:rPr>
        <w:t>, 5-12.</w:t>
      </w:r>
    </w:p>
    <w:p w:rsidR="00300841" w:rsidRPr="00300841" w:rsidRDefault="00300841" w:rsidP="00300841">
      <w:pPr>
        <w:spacing w:after="0" w:line="240" w:lineRule="auto"/>
        <w:ind w:left="720" w:hanging="720"/>
        <w:rPr>
          <w:szCs w:val="24"/>
        </w:rPr>
      </w:pPr>
      <w:r w:rsidRPr="00300841">
        <w:rPr>
          <w:szCs w:val="24"/>
        </w:rPr>
        <w:t>Ripley, B.S., Pammenter, N.W. and Smith, W.R. (1999). Function of leaf hairs revisited: the hair layer on leaves of Arctotbeca populifolia reduces photoinhibition, but leads to higher leaf temperatures caused by lower transpiration rates</w:t>
      </w:r>
      <w:r w:rsidRPr="00300841">
        <w:rPr>
          <w:i/>
          <w:szCs w:val="24"/>
        </w:rPr>
        <w:t>.</w:t>
      </w:r>
      <w:r w:rsidRPr="00300841">
        <w:rPr>
          <w:szCs w:val="24"/>
        </w:rPr>
        <w:t xml:space="preserve"> </w:t>
      </w:r>
      <w:r w:rsidRPr="00300841">
        <w:rPr>
          <w:i/>
          <w:szCs w:val="24"/>
        </w:rPr>
        <w:t>Journal of Plant Physiology</w:t>
      </w:r>
      <w:r w:rsidRPr="00300841">
        <w:rPr>
          <w:szCs w:val="24"/>
        </w:rPr>
        <w:t xml:space="preserve">  </w:t>
      </w:r>
      <w:r w:rsidRPr="00300841">
        <w:rPr>
          <w:b/>
          <w:szCs w:val="24"/>
        </w:rPr>
        <w:t>155</w:t>
      </w:r>
      <w:r w:rsidRPr="00300841">
        <w:rPr>
          <w:szCs w:val="24"/>
        </w:rPr>
        <w:t>, 78-85.</w:t>
      </w:r>
    </w:p>
    <w:p w:rsidR="00300841" w:rsidRPr="00300841" w:rsidRDefault="00300841" w:rsidP="00300841">
      <w:pPr>
        <w:spacing w:after="0" w:line="240" w:lineRule="auto"/>
        <w:ind w:left="720" w:hanging="720"/>
        <w:rPr>
          <w:szCs w:val="24"/>
        </w:rPr>
      </w:pPr>
      <w:r w:rsidRPr="00300841">
        <w:rPr>
          <w:szCs w:val="24"/>
        </w:rPr>
        <w:t xml:space="preserve">Roberts, A. and Haigler, C. (1990). Tracheary-element differentiation in suspension-cultured cells of </w:t>
      </w:r>
      <w:r w:rsidRPr="00300841">
        <w:rPr>
          <w:i/>
          <w:szCs w:val="24"/>
        </w:rPr>
        <w:t>Zinnia</w:t>
      </w:r>
      <w:r w:rsidRPr="00300841">
        <w:rPr>
          <w:szCs w:val="24"/>
        </w:rPr>
        <w:t xml:space="preserve"> requires uptake of extracellular Ca</w:t>
      </w:r>
      <w:r w:rsidRPr="00300841">
        <w:rPr>
          <w:szCs w:val="24"/>
          <w:vertAlign w:val="superscript"/>
        </w:rPr>
        <w:t>2+</w:t>
      </w:r>
      <w:r w:rsidRPr="00300841">
        <w:rPr>
          <w:i/>
          <w:szCs w:val="24"/>
        </w:rPr>
        <w:t>.</w:t>
      </w:r>
      <w:r w:rsidRPr="00300841">
        <w:rPr>
          <w:szCs w:val="24"/>
        </w:rPr>
        <w:t xml:space="preserve"> </w:t>
      </w:r>
      <w:r w:rsidRPr="00300841">
        <w:rPr>
          <w:i/>
          <w:szCs w:val="24"/>
        </w:rPr>
        <w:t>Planta</w:t>
      </w:r>
      <w:r w:rsidRPr="00300841">
        <w:rPr>
          <w:szCs w:val="24"/>
        </w:rPr>
        <w:t xml:space="preserve">  </w:t>
      </w:r>
      <w:r w:rsidRPr="00300841">
        <w:rPr>
          <w:b/>
          <w:szCs w:val="24"/>
        </w:rPr>
        <w:t>180</w:t>
      </w:r>
      <w:r w:rsidRPr="00300841">
        <w:rPr>
          <w:szCs w:val="24"/>
        </w:rPr>
        <w:t>, 502-509.</w:t>
      </w:r>
    </w:p>
    <w:p w:rsidR="00300841" w:rsidRPr="00300841" w:rsidRDefault="00300841" w:rsidP="00300841">
      <w:pPr>
        <w:spacing w:after="0" w:line="240" w:lineRule="auto"/>
        <w:ind w:left="720" w:hanging="720"/>
        <w:rPr>
          <w:szCs w:val="24"/>
        </w:rPr>
      </w:pPr>
      <w:r w:rsidRPr="00300841">
        <w:rPr>
          <w:szCs w:val="24"/>
        </w:rPr>
        <w:t xml:space="preserve">Rojo, E., Gillmor, C.S., Kovaleva, V., Somerville, C.R. and Raikhel, N.V. (2001). VACUOLELESS1 Is an Essential Gene Required for Vacuole Formation and Morphogenesis in </w:t>
      </w:r>
      <w:r w:rsidRPr="00300841">
        <w:rPr>
          <w:i/>
          <w:szCs w:val="24"/>
        </w:rPr>
        <w:t>Arabidopsis.</w:t>
      </w:r>
      <w:r w:rsidRPr="00300841">
        <w:rPr>
          <w:szCs w:val="24"/>
        </w:rPr>
        <w:t xml:space="preserve"> </w:t>
      </w:r>
      <w:r w:rsidRPr="00300841">
        <w:rPr>
          <w:i/>
          <w:szCs w:val="24"/>
        </w:rPr>
        <w:t>Developmental Cell</w:t>
      </w:r>
      <w:r w:rsidRPr="00300841">
        <w:rPr>
          <w:szCs w:val="24"/>
        </w:rPr>
        <w:t xml:space="preserve">  </w:t>
      </w:r>
      <w:r w:rsidRPr="00300841">
        <w:rPr>
          <w:b/>
          <w:szCs w:val="24"/>
        </w:rPr>
        <w:t>1</w:t>
      </w:r>
      <w:r w:rsidRPr="00300841">
        <w:rPr>
          <w:szCs w:val="24"/>
        </w:rPr>
        <w:t>, 303-310.</w:t>
      </w:r>
    </w:p>
    <w:p w:rsidR="00300841" w:rsidRPr="00300841" w:rsidRDefault="00300841" w:rsidP="00300841">
      <w:pPr>
        <w:spacing w:after="0" w:line="240" w:lineRule="auto"/>
        <w:ind w:left="720" w:hanging="720"/>
        <w:rPr>
          <w:szCs w:val="24"/>
        </w:rPr>
      </w:pPr>
      <w:r w:rsidRPr="00300841">
        <w:rPr>
          <w:szCs w:val="24"/>
        </w:rPr>
        <w:t xml:space="preserve">Rudd, J.J., Franklin, F., Lord, J.M. and Franklin-Tong, V.E. (1996). Increased Phosphorylation of a 26-kD Pollen Protein Is Induced by the Self-Incompatibility Response in </w:t>
      </w:r>
      <w:r w:rsidRPr="00300841">
        <w:rPr>
          <w:i/>
          <w:szCs w:val="24"/>
        </w:rPr>
        <w:t>Papaver rhoeas.</w:t>
      </w:r>
      <w:r w:rsidRPr="00300841">
        <w:rPr>
          <w:szCs w:val="24"/>
        </w:rPr>
        <w:t xml:space="preserve"> </w:t>
      </w:r>
      <w:r w:rsidRPr="00300841">
        <w:rPr>
          <w:i/>
          <w:szCs w:val="24"/>
        </w:rPr>
        <w:t>Plant Cell</w:t>
      </w:r>
      <w:r w:rsidRPr="00300841">
        <w:rPr>
          <w:szCs w:val="24"/>
        </w:rPr>
        <w:t xml:space="preserve">  </w:t>
      </w:r>
      <w:r w:rsidRPr="00300841">
        <w:rPr>
          <w:b/>
          <w:szCs w:val="24"/>
        </w:rPr>
        <w:t>8</w:t>
      </w:r>
      <w:r w:rsidRPr="00300841">
        <w:rPr>
          <w:szCs w:val="24"/>
        </w:rPr>
        <w:t>, 713-724.</w:t>
      </w:r>
    </w:p>
    <w:p w:rsidR="00300841" w:rsidRPr="00300841" w:rsidRDefault="00300841" w:rsidP="00300841">
      <w:pPr>
        <w:spacing w:after="0" w:line="240" w:lineRule="auto"/>
        <w:ind w:left="720" w:hanging="720"/>
        <w:rPr>
          <w:szCs w:val="24"/>
        </w:rPr>
      </w:pPr>
      <w:r w:rsidRPr="00300841">
        <w:rPr>
          <w:szCs w:val="24"/>
        </w:rPr>
        <w:t>Rudd, J.J., Keon, J. and Hammond-Kosack, K.E. (2008). The Wheat Mitogen-Activated Protein Kinases TaMPK3 and TaMPK6 Are Differentially Regulated at Multiple Levels during Compatible Disease Interactions with</w:t>
      </w:r>
      <w:r w:rsidRPr="00300841">
        <w:rPr>
          <w:i/>
          <w:szCs w:val="24"/>
        </w:rPr>
        <w:t xml:space="preserve"> Mycosphaerella graminicola.</w:t>
      </w:r>
      <w:r w:rsidRPr="00300841">
        <w:rPr>
          <w:szCs w:val="24"/>
        </w:rPr>
        <w:t xml:space="preserve"> </w:t>
      </w:r>
      <w:r w:rsidRPr="00300841">
        <w:rPr>
          <w:i/>
          <w:szCs w:val="24"/>
        </w:rPr>
        <w:t>Plant Physiology</w:t>
      </w:r>
      <w:r w:rsidRPr="00300841">
        <w:rPr>
          <w:szCs w:val="24"/>
        </w:rPr>
        <w:t xml:space="preserve">  </w:t>
      </w:r>
      <w:r w:rsidRPr="00300841">
        <w:rPr>
          <w:b/>
          <w:szCs w:val="24"/>
        </w:rPr>
        <w:t>147</w:t>
      </w:r>
      <w:r w:rsidRPr="00300841">
        <w:rPr>
          <w:szCs w:val="24"/>
        </w:rPr>
        <w:t>, 802-815.</w:t>
      </w:r>
    </w:p>
    <w:p w:rsidR="00300841" w:rsidRPr="00300841" w:rsidRDefault="00300841" w:rsidP="00300841">
      <w:pPr>
        <w:spacing w:after="0" w:line="240" w:lineRule="auto"/>
        <w:ind w:left="720" w:hanging="720"/>
        <w:rPr>
          <w:i/>
          <w:szCs w:val="24"/>
        </w:rPr>
      </w:pPr>
      <w:r w:rsidRPr="00300841">
        <w:rPr>
          <w:szCs w:val="24"/>
        </w:rPr>
        <w:t xml:space="preserve">Ruelland, E., Vaultier, M.-N., Zachowski, A., Hurry, V., Jean-Claude, K. and Michel, D. (2009) Cold Signalling and Cold Acclimation in Plants, </w:t>
      </w:r>
      <w:r w:rsidRPr="00300841">
        <w:rPr>
          <w:i/>
          <w:szCs w:val="24"/>
        </w:rPr>
        <w:t xml:space="preserve">Advances in Botanical Research </w:t>
      </w:r>
      <w:r w:rsidRPr="00300841">
        <w:rPr>
          <w:b/>
          <w:szCs w:val="24"/>
        </w:rPr>
        <w:t>49</w:t>
      </w:r>
      <w:r w:rsidRPr="00300841">
        <w:rPr>
          <w:szCs w:val="24"/>
        </w:rPr>
        <w:t>,</w:t>
      </w:r>
      <w:r w:rsidRPr="00300841">
        <w:rPr>
          <w:i/>
          <w:szCs w:val="24"/>
        </w:rPr>
        <w:t xml:space="preserve"> </w:t>
      </w:r>
      <w:r w:rsidRPr="00300841">
        <w:rPr>
          <w:szCs w:val="24"/>
        </w:rPr>
        <w:t>35-150</w:t>
      </w:r>
      <w:r w:rsidRPr="00300841">
        <w:rPr>
          <w:i/>
          <w:szCs w:val="24"/>
        </w:rPr>
        <w:t xml:space="preserve">. </w:t>
      </w:r>
    </w:p>
    <w:p w:rsidR="00300841" w:rsidRPr="00300841" w:rsidRDefault="00300841" w:rsidP="00300841">
      <w:pPr>
        <w:spacing w:after="0" w:line="240" w:lineRule="auto"/>
        <w:ind w:left="720" w:hanging="720"/>
        <w:rPr>
          <w:szCs w:val="24"/>
        </w:rPr>
      </w:pPr>
      <w:r w:rsidRPr="00300841">
        <w:rPr>
          <w:szCs w:val="24"/>
        </w:rPr>
        <w:t>Ruelland, E. and Zachowski, A. (2010). How plants sense temperature</w:t>
      </w:r>
      <w:r w:rsidRPr="00300841">
        <w:rPr>
          <w:i/>
          <w:szCs w:val="24"/>
        </w:rPr>
        <w:t>.</w:t>
      </w:r>
      <w:r w:rsidRPr="00300841">
        <w:rPr>
          <w:szCs w:val="24"/>
        </w:rPr>
        <w:t xml:space="preserve"> </w:t>
      </w:r>
      <w:r w:rsidRPr="00300841">
        <w:rPr>
          <w:i/>
          <w:szCs w:val="24"/>
        </w:rPr>
        <w:t>Environmental and Experimental Botany</w:t>
      </w:r>
      <w:r w:rsidRPr="00300841">
        <w:rPr>
          <w:szCs w:val="24"/>
        </w:rPr>
        <w:t xml:space="preserve">  </w:t>
      </w:r>
      <w:r w:rsidRPr="00300841">
        <w:rPr>
          <w:b/>
          <w:szCs w:val="24"/>
        </w:rPr>
        <w:t>69</w:t>
      </w:r>
      <w:r w:rsidRPr="00300841">
        <w:rPr>
          <w:szCs w:val="24"/>
        </w:rPr>
        <w:t>, 225-232.</w:t>
      </w:r>
    </w:p>
    <w:p w:rsidR="00300841" w:rsidRPr="00300841" w:rsidRDefault="00300841" w:rsidP="00300841">
      <w:pPr>
        <w:spacing w:after="0" w:line="240" w:lineRule="auto"/>
        <w:ind w:left="720" w:hanging="720"/>
        <w:rPr>
          <w:szCs w:val="24"/>
        </w:rPr>
      </w:pPr>
      <w:r w:rsidRPr="00300841">
        <w:rPr>
          <w:szCs w:val="24"/>
        </w:rPr>
        <w:t>RunebergRoos, P. and Saarma, M. (1998). Phytepsin, a barley vacuolar aspartic proteinase, is highly expressed during autolysis of developing tracheary elements and sieve cells</w:t>
      </w:r>
      <w:r w:rsidRPr="00300841">
        <w:rPr>
          <w:i/>
          <w:szCs w:val="24"/>
        </w:rPr>
        <w:t>.</w:t>
      </w:r>
      <w:r w:rsidRPr="00300841">
        <w:rPr>
          <w:szCs w:val="24"/>
        </w:rPr>
        <w:t xml:space="preserve"> </w:t>
      </w:r>
      <w:r w:rsidRPr="00300841">
        <w:rPr>
          <w:i/>
          <w:szCs w:val="24"/>
        </w:rPr>
        <w:t>The Plant Journal</w:t>
      </w:r>
      <w:r w:rsidRPr="00300841">
        <w:rPr>
          <w:szCs w:val="24"/>
        </w:rPr>
        <w:t xml:space="preserve">  </w:t>
      </w:r>
      <w:r w:rsidRPr="00300841">
        <w:rPr>
          <w:b/>
          <w:szCs w:val="24"/>
        </w:rPr>
        <w:t>15</w:t>
      </w:r>
      <w:r w:rsidRPr="00300841">
        <w:rPr>
          <w:szCs w:val="24"/>
        </w:rPr>
        <w:t>, 139-145.</w:t>
      </w:r>
    </w:p>
    <w:p w:rsidR="00300841" w:rsidRPr="00300841" w:rsidRDefault="00300841" w:rsidP="00300841">
      <w:pPr>
        <w:spacing w:after="0" w:line="240" w:lineRule="auto"/>
        <w:ind w:left="720" w:hanging="720"/>
        <w:rPr>
          <w:szCs w:val="24"/>
        </w:rPr>
      </w:pPr>
      <w:r w:rsidRPr="00300841">
        <w:rPr>
          <w:szCs w:val="24"/>
        </w:rPr>
        <w:t>Ryerson, D.E. and Heath, M.C. (1996). Cleavage of Nuclear DNA into Oligonucleosomal Fragments during Cell Death Induced by Fungal Infection or by Abiotic Treatments</w:t>
      </w:r>
      <w:r w:rsidRPr="00300841">
        <w:rPr>
          <w:i/>
          <w:szCs w:val="24"/>
        </w:rPr>
        <w:t>.</w:t>
      </w:r>
      <w:r w:rsidRPr="00300841">
        <w:rPr>
          <w:szCs w:val="24"/>
        </w:rPr>
        <w:t xml:space="preserve"> </w:t>
      </w:r>
      <w:r w:rsidRPr="00300841">
        <w:rPr>
          <w:i/>
          <w:szCs w:val="24"/>
        </w:rPr>
        <w:t>Plant Cell</w:t>
      </w:r>
      <w:r w:rsidRPr="00300841">
        <w:rPr>
          <w:szCs w:val="24"/>
        </w:rPr>
        <w:t xml:space="preserve">  </w:t>
      </w:r>
      <w:r w:rsidRPr="00300841">
        <w:rPr>
          <w:b/>
          <w:szCs w:val="24"/>
        </w:rPr>
        <w:t>8</w:t>
      </w:r>
      <w:r w:rsidRPr="00300841">
        <w:rPr>
          <w:szCs w:val="24"/>
        </w:rPr>
        <w:t>, 393-402.</w:t>
      </w:r>
    </w:p>
    <w:p w:rsidR="00300841" w:rsidRPr="00300841" w:rsidRDefault="00300841" w:rsidP="00300841">
      <w:pPr>
        <w:spacing w:after="0" w:line="240" w:lineRule="auto"/>
        <w:ind w:left="720" w:hanging="720"/>
        <w:rPr>
          <w:szCs w:val="24"/>
        </w:rPr>
      </w:pPr>
      <w:r w:rsidRPr="00300841">
        <w:rPr>
          <w:szCs w:val="24"/>
        </w:rPr>
        <w:t>Samuilov, V.D., Lagunova, E.M., Kiselevsky, D.B., Dzyubinskaya, E.V., Makarova, Y.V. and Gusev, M.V. (2003). Participation of Chloroplasts in Plant Apoptosis</w:t>
      </w:r>
      <w:r w:rsidRPr="00300841">
        <w:rPr>
          <w:i/>
          <w:szCs w:val="24"/>
        </w:rPr>
        <w:t>.</w:t>
      </w:r>
      <w:r w:rsidRPr="00300841">
        <w:rPr>
          <w:szCs w:val="24"/>
        </w:rPr>
        <w:t xml:space="preserve"> </w:t>
      </w:r>
      <w:r w:rsidRPr="00300841">
        <w:rPr>
          <w:i/>
          <w:szCs w:val="24"/>
        </w:rPr>
        <w:t>Bioscience Reports</w:t>
      </w:r>
      <w:r w:rsidRPr="00300841">
        <w:rPr>
          <w:szCs w:val="24"/>
        </w:rPr>
        <w:t xml:space="preserve">  </w:t>
      </w:r>
      <w:r w:rsidRPr="00300841">
        <w:rPr>
          <w:b/>
          <w:szCs w:val="24"/>
        </w:rPr>
        <w:t>23</w:t>
      </w:r>
      <w:r w:rsidRPr="00300841">
        <w:rPr>
          <w:szCs w:val="24"/>
        </w:rPr>
        <w:t>, 103-117.</w:t>
      </w:r>
    </w:p>
    <w:p w:rsidR="00300841" w:rsidRPr="00300841" w:rsidRDefault="00300841" w:rsidP="00300841">
      <w:pPr>
        <w:spacing w:after="0" w:line="240" w:lineRule="auto"/>
        <w:ind w:left="720" w:hanging="720"/>
        <w:rPr>
          <w:szCs w:val="24"/>
        </w:rPr>
      </w:pPr>
      <w:r w:rsidRPr="00300841">
        <w:rPr>
          <w:szCs w:val="24"/>
        </w:rPr>
        <w:t>Sanmartin, M., Jaroszewski, L., Raikhel, N.V. and Rojo, E. (2005). Caspases. Regulating Death Since the Origin of Life</w:t>
      </w:r>
      <w:r w:rsidRPr="00300841">
        <w:rPr>
          <w:i/>
          <w:szCs w:val="24"/>
        </w:rPr>
        <w:t>.</w:t>
      </w:r>
      <w:r w:rsidRPr="00300841">
        <w:rPr>
          <w:szCs w:val="24"/>
        </w:rPr>
        <w:t xml:space="preserve"> </w:t>
      </w:r>
      <w:r w:rsidRPr="00300841">
        <w:rPr>
          <w:i/>
          <w:szCs w:val="24"/>
        </w:rPr>
        <w:t>Plant Physiology</w:t>
      </w:r>
      <w:r w:rsidRPr="00300841">
        <w:rPr>
          <w:szCs w:val="24"/>
        </w:rPr>
        <w:t xml:space="preserve">  </w:t>
      </w:r>
      <w:r w:rsidRPr="00300841">
        <w:rPr>
          <w:b/>
          <w:szCs w:val="24"/>
        </w:rPr>
        <w:t>137</w:t>
      </w:r>
      <w:r w:rsidRPr="00300841">
        <w:rPr>
          <w:szCs w:val="24"/>
        </w:rPr>
        <w:t>, 841-847.</w:t>
      </w:r>
    </w:p>
    <w:p w:rsidR="00300841" w:rsidRPr="00300841" w:rsidRDefault="00300841" w:rsidP="00300841">
      <w:pPr>
        <w:spacing w:after="0" w:line="240" w:lineRule="auto"/>
        <w:ind w:left="720" w:hanging="720"/>
        <w:rPr>
          <w:szCs w:val="24"/>
        </w:rPr>
      </w:pPr>
      <w:r w:rsidRPr="00300841">
        <w:rPr>
          <w:szCs w:val="24"/>
        </w:rPr>
        <w:t>Sarowar, S., Lee, J., Ahn, E. and Pai, H. (2008). A role of hexokinases in plant resistance to oxidative stress and pathogen infection</w:t>
      </w:r>
      <w:r w:rsidRPr="00300841">
        <w:rPr>
          <w:i/>
          <w:szCs w:val="24"/>
        </w:rPr>
        <w:t>.</w:t>
      </w:r>
      <w:r w:rsidRPr="00300841">
        <w:rPr>
          <w:szCs w:val="24"/>
        </w:rPr>
        <w:t xml:space="preserve"> </w:t>
      </w:r>
      <w:r w:rsidRPr="00300841">
        <w:rPr>
          <w:i/>
          <w:szCs w:val="24"/>
        </w:rPr>
        <w:t>Journal of Plant Biology</w:t>
      </w:r>
      <w:r w:rsidRPr="00300841">
        <w:rPr>
          <w:szCs w:val="24"/>
        </w:rPr>
        <w:t xml:space="preserve">  </w:t>
      </w:r>
      <w:r w:rsidRPr="00300841">
        <w:rPr>
          <w:b/>
          <w:szCs w:val="24"/>
        </w:rPr>
        <w:t>51</w:t>
      </w:r>
      <w:r w:rsidRPr="00300841">
        <w:rPr>
          <w:szCs w:val="24"/>
        </w:rPr>
        <w:t>, 341-346.</w:t>
      </w:r>
    </w:p>
    <w:p w:rsidR="00300841" w:rsidRPr="00300841" w:rsidRDefault="00300841" w:rsidP="00300841">
      <w:pPr>
        <w:spacing w:after="0" w:line="240" w:lineRule="auto"/>
        <w:ind w:left="720" w:hanging="720"/>
        <w:rPr>
          <w:szCs w:val="24"/>
        </w:rPr>
      </w:pPr>
      <w:r w:rsidRPr="00300841">
        <w:rPr>
          <w:szCs w:val="24"/>
        </w:rPr>
        <w:t>Saviani, E.E., Orsi, C.H., Oliveira, J.F.P., Pinto-Maglio, C.A.F. and Salgado, I. (2002). Participation of the mitochondrial permeability transition pore in nitric oxide-induced plant cell death</w:t>
      </w:r>
      <w:r w:rsidRPr="00300841">
        <w:rPr>
          <w:i/>
          <w:szCs w:val="24"/>
        </w:rPr>
        <w:t>.</w:t>
      </w:r>
      <w:r w:rsidRPr="00300841">
        <w:rPr>
          <w:szCs w:val="24"/>
        </w:rPr>
        <w:t xml:space="preserve"> </w:t>
      </w:r>
      <w:r w:rsidRPr="00300841">
        <w:rPr>
          <w:i/>
          <w:szCs w:val="24"/>
        </w:rPr>
        <w:t>FEBS Letters</w:t>
      </w:r>
      <w:r w:rsidRPr="00300841">
        <w:rPr>
          <w:szCs w:val="24"/>
        </w:rPr>
        <w:t xml:space="preserve">  </w:t>
      </w:r>
      <w:r w:rsidRPr="00300841">
        <w:rPr>
          <w:b/>
          <w:szCs w:val="24"/>
        </w:rPr>
        <w:t>510</w:t>
      </w:r>
      <w:r w:rsidRPr="00300841">
        <w:rPr>
          <w:szCs w:val="24"/>
        </w:rPr>
        <w:t>, 136-140.</w:t>
      </w:r>
    </w:p>
    <w:p w:rsidR="00300841" w:rsidRPr="00300841" w:rsidRDefault="00300841" w:rsidP="00300841">
      <w:pPr>
        <w:spacing w:after="0" w:line="240" w:lineRule="auto"/>
        <w:ind w:left="720" w:hanging="720"/>
        <w:rPr>
          <w:szCs w:val="24"/>
        </w:rPr>
      </w:pPr>
      <w:r w:rsidRPr="00300841">
        <w:rPr>
          <w:szCs w:val="24"/>
        </w:rPr>
        <w:t>Schiefelbein, J.W., Masucci, J.D. and Wang, H. (1997). Building a Root: The Control of Patterning and Morphogenesis during Root Development</w:t>
      </w:r>
      <w:r w:rsidRPr="00300841">
        <w:rPr>
          <w:i/>
          <w:szCs w:val="24"/>
        </w:rPr>
        <w:t>.</w:t>
      </w:r>
      <w:r w:rsidRPr="00300841">
        <w:rPr>
          <w:szCs w:val="24"/>
        </w:rPr>
        <w:t xml:space="preserve"> </w:t>
      </w:r>
      <w:r w:rsidRPr="00300841">
        <w:rPr>
          <w:i/>
          <w:szCs w:val="24"/>
        </w:rPr>
        <w:t>Plant Cell</w:t>
      </w:r>
      <w:r w:rsidRPr="00300841">
        <w:rPr>
          <w:szCs w:val="24"/>
        </w:rPr>
        <w:t xml:space="preserve">  </w:t>
      </w:r>
      <w:r w:rsidRPr="00300841">
        <w:rPr>
          <w:b/>
          <w:szCs w:val="24"/>
        </w:rPr>
        <w:t>9</w:t>
      </w:r>
      <w:r w:rsidRPr="00300841">
        <w:rPr>
          <w:szCs w:val="24"/>
        </w:rPr>
        <w:t>, 1089-1098.</w:t>
      </w:r>
    </w:p>
    <w:p w:rsidR="00300841" w:rsidRPr="00300841" w:rsidRDefault="00300841" w:rsidP="00300841">
      <w:pPr>
        <w:spacing w:after="0" w:line="240" w:lineRule="auto"/>
        <w:ind w:left="720" w:hanging="720"/>
        <w:rPr>
          <w:szCs w:val="24"/>
        </w:rPr>
      </w:pPr>
      <w:r w:rsidRPr="00300841">
        <w:rPr>
          <w:szCs w:val="24"/>
        </w:rPr>
        <w:t>Schindler, T., Bergfeld, R. and Schopfer, P. (1995). Arabinogalactan proteins in maize coleoptiles: developmental relationship to cell death during xylem differentiation but not to extension growth</w:t>
      </w:r>
      <w:r w:rsidRPr="00300841">
        <w:rPr>
          <w:i/>
          <w:szCs w:val="24"/>
        </w:rPr>
        <w:t>.</w:t>
      </w:r>
      <w:r w:rsidRPr="00300841">
        <w:rPr>
          <w:szCs w:val="24"/>
        </w:rPr>
        <w:t xml:space="preserve"> </w:t>
      </w:r>
      <w:r w:rsidRPr="00300841">
        <w:rPr>
          <w:i/>
          <w:szCs w:val="24"/>
        </w:rPr>
        <w:t>The Plant Journal</w:t>
      </w:r>
      <w:r w:rsidRPr="00300841">
        <w:rPr>
          <w:szCs w:val="24"/>
        </w:rPr>
        <w:t xml:space="preserve">  </w:t>
      </w:r>
      <w:r w:rsidRPr="00300841">
        <w:rPr>
          <w:b/>
          <w:szCs w:val="24"/>
        </w:rPr>
        <w:t>7</w:t>
      </w:r>
      <w:r w:rsidRPr="00300841">
        <w:rPr>
          <w:szCs w:val="24"/>
        </w:rPr>
        <w:t>, 25-36.</w:t>
      </w:r>
    </w:p>
    <w:p w:rsidR="00300841" w:rsidRPr="00300841" w:rsidRDefault="00300841" w:rsidP="00300841">
      <w:pPr>
        <w:spacing w:after="0" w:line="240" w:lineRule="auto"/>
        <w:ind w:left="720" w:hanging="720"/>
        <w:rPr>
          <w:szCs w:val="24"/>
        </w:rPr>
      </w:pPr>
      <w:r w:rsidRPr="00300841">
        <w:rPr>
          <w:szCs w:val="24"/>
        </w:rPr>
        <w:t>Schmid, M., Simpson, D. and Gietl, C. (1999). Programmed cell death in castor bean endosperm is associated with the accumulation and release of a cysteine endopeptidase from ricinosomes</w:t>
      </w:r>
      <w:r w:rsidRPr="00300841">
        <w:rPr>
          <w:i/>
          <w:szCs w:val="24"/>
        </w:rPr>
        <w:t>.</w:t>
      </w:r>
      <w:r w:rsidRPr="00300841">
        <w:rPr>
          <w:szCs w:val="24"/>
        </w:rPr>
        <w:t xml:space="preserve"> </w:t>
      </w:r>
      <w:r w:rsidRPr="00300841">
        <w:rPr>
          <w:i/>
          <w:szCs w:val="24"/>
        </w:rPr>
        <w:t>Proceedings of the National Academy of Sciences of the United States of America</w:t>
      </w:r>
      <w:r w:rsidRPr="00300841">
        <w:rPr>
          <w:szCs w:val="24"/>
        </w:rPr>
        <w:t xml:space="preserve">  </w:t>
      </w:r>
      <w:r w:rsidRPr="00300841">
        <w:rPr>
          <w:b/>
          <w:szCs w:val="24"/>
        </w:rPr>
        <w:t>96</w:t>
      </w:r>
      <w:r w:rsidRPr="00300841">
        <w:rPr>
          <w:szCs w:val="24"/>
        </w:rPr>
        <w:t>, 14159-14164.</w:t>
      </w:r>
    </w:p>
    <w:p w:rsidR="00300841" w:rsidRPr="00300841" w:rsidRDefault="00300841" w:rsidP="00300841">
      <w:pPr>
        <w:spacing w:after="0" w:line="240" w:lineRule="auto"/>
        <w:ind w:left="720" w:hanging="720"/>
        <w:rPr>
          <w:szCs w:val="24"/>
        </w:rPr>
      </w:pPr>
      <w:r w:rsidRPr="00300841">
        <w:rPr>
          <w:szCs w:val="24"/>
        </w:rPr>
        <w:t>Schmid, M., Simpson, D.J., Sarioglu, H., Lottspeich, F. and Gietl, C. (2001). The ricinosomes of senescing plant tissue bud from the endoplasmic reticulum</w:t>
      </w:r>
      <w:r w:rsidRPr="00300841">
        <w:rPr>
          <w:i/>
          <w:szCs w:val="24"/>
        </w:rPr>
        <w:t>.</w:t>
      </w:r>
      <w:r w:rsidRPr="00300841">
        <w:rPr>
          <w:szCs w:val="24"/>
        </w:rPr>
        <w:t xml:space="preserve"> </w:t>
      </w:r>
      <w:r w:rsidRPr="00300841">
        <w:rPr>
          <w:i/>
          <w:szCs w:val="24"/>
        </w:rPr>
        <w:t>Proceedings of the National Academy of Sciences of the United States of America</w:t>
      </w:r>
      <w:r w:rsidRPr="00300841">
        <w:rPr>
          <w:szCs w:val="24"/>
        </w:rPr>
        <w:t xml:space="preserve">  </w:t>
      </w:r>
      <w:r w:rsidRPr="00300841">
        <w:rPr>
          <w:b/>
          <w:szCs w:val="24"/>
        </w:rPr>
        <w:t>98</w:t>
      </w:r>
      <w:r w:rsidRPr="00300841">
        <w:rPr>
          <w:szCs w:val="24"/>
        </w:rPr>
        <w:t>, 5353-5358.</w:t>
      </w:r>
    </w:p>
    <w:p w:rsidR="00300841" w:rsidRPr="00300841" w:rsidRDefault="00300841" w:rsidP="00300841">
      <w:pPr>
        <w:spacing w:after="0" w:line="240" w:lineRule="auto"/>
        <w:ind w:left="720" w:hanging="720"/>
        <w:rPr>
          <w:szCs w:val="24"/>
        </w:rPr>
      </w:pPr>
      <w:r w:rsidRPr="00300841">
        <w:rPr>
          <w:szCs w:val="24"/>
        </w:rPr>
        <w:t xml:space="preserve">Schnittger, A., Weinl, C., Bouyer, D., Schobinger, U. and Hulskamp, M. (2003). Misexpression of the Cyclin-Dependent Kinase Inhibitor ICK1/KRP1 in Single-Celled </w:t>
      </w:r>
      <w:r w:rsidRPr="00300841">
        <w:rPr>
          <w:i/>
          <w:szCs w:val="24"/>
        </w:rPr>
        <w:t>Arabidopsis</w:t>
      </w:r>
      <w:r w:rsidRPr="00300841">
        <w:rPr>
          <w:szCs w:val="24"/>
        </w:rPr>
        <w:t xml:space="preserve"> Trichomes Reduces Endoreduplication and Cell Size and Induces Cell Death</w:t>
      </w:r>
      <w:r w:rsidRPr="00300841">
        <w:rPr>
          <w:i/>
          <w:szCs w:val="24"/>
        </w:rPr>
        <w:t>.</w:t>
      </w:r>
      <w:r w:rsidRPr="00300841">
        <w:rPr>
          <w:szCs w:val="24"/>
        </w:rPr>
        <w:t xml:space="preserve"> </w:t>
      </w:r>
      <w:r w:rsidRPr="00300841">
        <w:rPr>
          <w:i/>
          <w:szCs w:val="24"/>
        </w:rPr>
        <w:t>Plant Cell</w:t>
      </w:r>
      <w:r w:rsidRPr="00300841">
        <w:rPr>
          <w:szCs w:val="24"/>
        </w:rPr>
        <w:t xml:space="preserve">  </w:t>
      </w:r>
      <w:r w:rsidRPr="00300841">
        <w:rPr>
          <w:b/>
          <w:szCs w:val="24"/>
        </w:rPr>
        <w:t>15</w:t>
      </w:r>
      <w:r w:rsidRPr="00300841">
        <w:rPr>
          <w:szCs w:val="24"/>
        </w:rPr>
        <w:t>, 303-315.</w:t>
      </w:r>
    </w:p>
    <w:p w:rsidR="00300841" w:rsidRPr="00300841" w:rsidRDefault="00300841" w:rsidP="00300841">
      <w:pPr>
        <w:spacing w:after="0" w:line="240" w:lineRule="auto"/>
        <w:ind w:left="720" w:hanging="720"/>
        <w:rPr>
          <w:szCs w:val="24"/>
        </w:rPr>
      </w:pPr>
      <w:r w:rsidRPr="00300841">
        <w:rPr>
          <w:szCs w:val="24"/>
        </w:rPr>
        <w:t>Scholes, J.D. and Rolfe, S.A. (1996). Photosynthesis in localised regions of oat leaves infected with crown rust (</w:t>
      </w:r>
      <w:r w:rsidRPr="00300841">
        <w:rPr>
          <w:i/>
          <w:szCs w:val="24"/>
        </w:rPr>
        <w:t>Puccinia coronata</w:t>
      </w:r>
      <w:r w:rsidRPr="00300841">
        <w:rPr>
          <w:szCs w:val="24"/>
        </w:rPr>
        <w:t>): quantitative imaging of chlorophyll fluorescence</w:t>
      </w:r>
      <w:r w:rsidRPr="00300841">
        <w:rPr>
          <w:i/>
          <w:szCs w:val="24"/>
        </w:rPr>
        <w:t>.</w:t>
      </w:r>
      <w:r w:rsidRPr="00300841">
        <w:rPr>
          <w:szCs w:val="24"/>
        </w:rPr>
        <w:t xml:space="preserve"> </w:t>
      </w:r>
      <w:r w:rsidRPr="00300841">
        <w:rPr>
          <w:i/>
          <w:szCs w:val="24"/>
        </w:rPr>
        <w:t>Planta</w:t>
      </w:r>
      <w:r w:rsidRPr="00300841">
        <w:rPr>
          <w:szCs w:val="24"/>
        </w:rPr>
        <w:t xml:space="preserve">  </w:t>
      </w:r>
      <w:r w:rsidRPr="00300841">
        <w:rPr>
          <w:b/>
          <w:szCs w:val="24"/>
        </w:rPr>
        <w:t>199</w:t>
      </w:r>
      <w:r w:rsidRPr="00300841">
        <w:rPr>
          <w:szCs w:val="24"/>
        </w:rPr>
        <w:t>, 573-582.</w:t>
      </w:r>
    </w:p>
    <w:p w:rsidR="00300841" w:rsidRPr="00300841" w:rsidRDefault="00300841" w:rsidP="00300841">
      <w:pPr>
        <w:spacing w:after="0" w:line="240" w:lineRule="auto"/>
        <w:ind w:left="720" w:hanging="720"/>
        <w:rPr>
          <w:szCs w:val="24"/>
        </w:rPr>
      </w:pPr>
      <w:r w:rsidRPr="00300841">
        <w:rPr>
          <w:szCs w:val="24"/>
        </w:rPr>
        <w:t>Schrader, J., Nilsson, J., Mellerowicz, E., Berglund, A., Nilsson, P., Hertzberg, M. and Sandberg, G. (2004). A High-Resolution Transcript Profile across the Wood-Forming Meristem of Poplar Identifies Potential Regulators of Cambial Stem Cell Identity</w:t>
      </w:r>
      <w:r w:rsidRPr="00300841">
        <w:rPr>
          <w:i/>
          <w:szCs w:val="24"/>
        </w:rPr>
        <w:t>.</w:t>
      </w:r>
      <w:r w:rsidRPr="00300841">
        <w:rPr>
          <w:szCs w:val="24"/>
        </w:rPr>
        <w:t xml:space="preserve"> </w:t>
      </w:r>
      <w:r w:rsidRPr="00300841">
        <w:rPr>
          <w:i/>
          <w:szCs w:val="24"/>
        </w:rPr>
        <w:t>Plant Cell</w:t>
      </w:r>
      <w:r w:rsidRPr="00300841">
        <w:rPr>
          <w:szCs w:val="24"/>
        </w:rPr>
        <w:t xml:space="preserve">  </w:t>
      </w:r>
      <w:r w:rsidRPr="00300841">
        <w:rPr>
          <w:b/>
          <w:szCs w:val="24"/>
        </w:rPr>
        <w:t>16</w:t>
      </w:r>
      <w:r w:rsidRPr="00300841">
        <w:rPr>
          <w:szCs w:val="24"/>
        </w:rPr>
        <w:t>, 2278-2292.</w:t>
      </w:r>
    </w:p>
    <w:p w:rsidR="00300841" w:rsidRPr="00300841" w:rsidRDefault="00300841" w:rsidP="00300841">
      <w:pPr>
        <w:spacing w:after="0" w:line="240" w:lineRule="auto"/>
        <w:ind w:left="720" w:hanging="720"/>
        <w:rPr>
          <w:szCs w:val="24"/>
        </w:rPr>
      </w:pPr>
      <w:r w:rsidRPr="00300841">
        <w:rPr>
          <w:szCs w:val="24"/>
        </w:rPr>
        <w:t xml:space="preserve">Scott, I. and Logan, D.C. (2008). Mitochondrial morphology transition is an early indicator of subsequent cell death in </w:t>
      </w:r>
      <w:r w:rsidRPr="00300841">
        <w:rPr>
          <w:i/>
          <w:szCs w:val="24"/>
        </w:rPr>
        <w:t>Arabidopsis.</w:t>
      </w:r>
      <w:r w:rsidRPr="00300841">
        <w:rPr>
          <w:szCs w:val="24"/>
        </w:rPr>
        <w:t xml:space="preserve"> </w:t>
      </w:r>
      <w:r w:rsidRPr="00300841">
        <w:rPr>
          <w:i/>
          <w:szCs w:val="24"/>
        </w:rPr>
        <w:t>New Phytologist</w:t>
      </w:r>
      <w:r w:rsidRPr="00300841">
        <w:rPr>
          <w:szCs w:val="24"/>
        </w:rPr>
        <w:t xml:space="preserve">  </w:t>
      </w:r>
      <w:r w:rsidRPr="00300841">
        <w:rPr>
          <w:b/>
          <w:szCs w:val="24"/>
        </w:rPr>
        <w:t>177</w:t>
      </w:r>
      <w:r w:rsidRPr="00300841">
        <w:rPr>
          <w:szCs w:val="24"/>
        </w:rPr>
        <w:t>, 90-101.</w:t>
      </w:r>
    </w:p>
    <w:p w:rsidR="00300841" w:rsidRPr="00300841" w:rsidRDefault="00300841" w:rsidP="00300841">
      <w:pPr>
        <w:spacing w:after="0" w:line="240" w:lineRule="auto"/>
        <w:ind w:left="720" w:hanging="720"/>
        <w:rPr>
          <w:szCs w:val="24"/>
        </w:rPr>
      </w:pPr>
      <w:r w:rsidRPr="00300841">
        <w:rPr>
          <w:szCs w:val="24"/>
        </w:rPr>
        <w:t>Senatore, A., Trobacher, C.P. and Greenwood, J.S. (2009). Ricinosomes Predict Programmed Cell Death Leading to Anther Dehiscence in Tomato</w:t>
      </w:r>
      <w:r w:rsidRPr="00300841">
        <w:rPr>
          <w:i/>
          <w:szCs w:val="24"/>
        </w:rPr>
        <w:t>.</w:t>
      </w:r>
      <w:r w:rsidRPr="00300841">
        <w:rPr>
          <w:szCs w:val="24"/>
        </w:rPr>
        <w:t xml:space="preserve"> </w:t>
      </w:r>
      <w:r w:rsidRPr="00300841">
        <w:rPr>
          <w:i/>
          <w:szCs w:val="24"/>
        </w:rPr>
        <w:t>Plant Physiology</w:t>
      </w:r>
      <w:r w:rsidRPr="00300841">
        <w:rPr>
          <w:szCs w:val="24"/>
        </w:rPr>
        <w:t xml:space="preserve">  </w:t>
      </w:r>
      <w:r w:rsidRPr="00300841">
        <w:rPr>
          <w:b/>
          <w:szCs w:val="24"/>
        </w:rPr>
        <w:t>149</w:t>
      </w:r>
      <w:r w:rsidRPr="00300841">
        <w:rPr>
          <w:szCs w:val="24"/>
        </w:rPr>
        <w:t>, 775-790.</w:t>
      </w:r>
    </w:p>
    <w:p w:rsidR="00300841" w:rsidRPr="00300841" w:rsidRDefault="00300841" w:rsidP="00300841">
      <w:pPr>
        <w:spacing w:after="0" w:line="240" w:lineRule="auto"/>
        <w:ind w:left="720" w:hanging="720"/>
        <w:rPr>
          <w:szCs w:val="24"/>
        </w:rPr>
      </w:pPr>
      <w:r w:rsidRPr="00300841">
        <w:rPr>
          <w:szCs w:val="24"/>
        </w:rPr>
        <w:t>Seo, S., Okamoto, M., Iwai, T., Iwano, M., Fukui, K., Isogai, A., Nakajima, N. and Ohashi, Y. (2000). Reduced Levels of Chloroplast FtsH Protein in Tobacco Mosaic Virus-Infected Tobacco Leaves Accelerate the Hypersensitive Reaction</w:t>
      </w:r>
      <w:r w:rsidRPr="00300841">
        <w:rPr>
          <w:i/>
          <w:szCs w:val="24"/>
        </w:rPr>
        <w:t>.</w:t>
      </w:r>
      <w:r w:rsidRPr="00300841">
        <w:rPr>
          <w:szCs w:val="24"/>
        </w:rPr>
        <w:t xml:space="preserve"> </w:t>
      </w:r>
      <w:r w:rsidRPr="00300841">
        <w:rPr>
          <w:i/>
          <w:szCs w:val="24"/>
        </w:rPr>
        <w:t>Plant Cell</w:t>
      </w:r>
      <w:r w:rsidRPr="00300841">
        <w:rPr>
          <w:szCs w:val="24"/>
        </w:rPr>
        <w:t xml:space="preserve">  </w:t>
      </w:r>
      <w:r w:rsidRPr="00300841">
        <w:rPr>
          <w:b/>
          <w:szCs w:val="24"/>
        </w:rPr>
        <w:t>12</w:t>
      </w:r>
      <w:r w:rsidRPr="00300841">
        <w:rPr>
          <w:szCs w:val="24"/>
        </w:rPr>
        <w:t>, 917-932.</w:t>
      </w:r>
    </w:p>
    <w:p w:rsidR="00300841" w:rsidRPr="00300841" w:rsidRDefault="00300841" w:rsidP="00300841">
      <w:pPr>
        <w:spacing w:after="0" w:line="240" w:lineRule="auto"/>
        <w:ind w:left="720" w:hanging="720"/>
        <w:rPr>
          <w:szCs w:val="24"/>
        </w:rPr>
      </w:pPr>
      <w:r w:rsidRPr="00300841">
        <w:rPr>
          <w:szCs w:val="24"/>
        </w:rPr>
        <w:t>Serguéeff, M., (1907) “Contribution á la morphologie et la biologie des Aponogetonacèes”. University of Geneva, Geneva.</w:t>
      </w:r>
    </w:p>
    <w:p w:rsidR="00300841" w:rsidRPr="00300841" w:rsidRDefault="00300841" w:rsidP="00300841">
      <w:pPr>
        <w:spacing w:after="0" w:line="240" w:lineRule="auto"/>
        <w:ind w:left="720" w:hanging="720"/>
        <w:rPr>
          <w:szCs w:val="24"/>
        </w:rPr>
      </w:pPr>
      <w:r w:rsidRPr="00300841">
        <w:rPr>
          <w:szCs w:val="24"/>
        </w:rPr>
        <w:t>Shabala, S. (2009). Salinity and programmed cell death: unravelling mechanisms for ion specific signalling</w:t>
      </w:r>
      <w:r w:rsidRPr="00300841">
        <w:rPr>
          <w:i/>
          <w:szCs w:val="24"/>
        </w:rPr>
        <w:t>.</w:t>
      </w:r>
      <w:r w:rsidRPr="00300841">
        <w:rPr>
          <w:szCs w:val="24"/>
        </w:rPr>
        <w:t xml:space="preserve"> </w:t>
      </w:r>
      <w:r w:rsidRPr="00300841">
        <w:rPr>
          <w:i/>
          <w:szCs w:val="24"/>
        </w:rPr>
        <w:t>Journal of Experimental Botany</w:t>
      </w:r>
      <w:r w:rsidRPr="00300841">
        <w:rPr>
          <w:szCs w:val="24"/>
        </w:rPr>
        <w:t xml:space="preserve">  </w:t>
      </w:r>
      <w:r w:rsidRPr="00300841">
        <w:rPr>
          <w:b/>
          <w:szCs w:val="24"/>
        </w:rPr>
        <w:t>60</w:t>
      </w:r>
      <w:r w:rsidRPr="00300841">
        <w:rPr>
          <w:szCs w:val="24"/>
        </w:rPr>
        <w:t>, 709-712.</w:t>
      </w:r>
    </w:p>
    <w:p w:rsidR="00300841" w:rsidRPr="00300841" w:rsidRDefault="00300841" w:rsidP="00300841">
      <w:pPr>
        <w:spacing w:after="0" w:line="240" w:lineRule="auto"/>
        <w:ind w:left="720" w:hanging="720"/>
        <w:rPr>
          <w:szCs w:val="24"/>
        </w:rPr>
      </w:pPr>
      <w:r w:rsidRPr="00300841">
        <w:rPr>
          <w:szCs w:val="24"/>
        </w:rPr>
        <w:t>Shabala, S., Cuin, T., Prismall, L. and Nemchinov, L. (2007). Expression of animal CED-9 anti-apoptotic gene in tobacco modifies plasma membrane ion fluxes in response to salinity and oxidative stress</w:t>
      </w:r>
      <w:r w:rsidRPr="00300841">
        <w:rPr>
          <w:i/>
          <w:szCs w:val="24"/>
        </w:rPr>
        <w:t>.</w:t>
      </w:r>
      <w:r w:rsidRPr="00300841">
        <w:rPr>
          <w:szCs w:val="24"/>
        </w:rPr>
        <w:t xml:space="preserve"> </w:t>
      </w:r>
      <w:r w:rsidRPr="00300841">
        <w:rPr>
          <w:i/>
          <w:szCs w:val="24"/>
        </w:rPr>
        <w:t>Planta</w:t>
      </w:r>
      <w:r w:rsidRPr="00300841">
        <w:rPr>
          <w:szCs w:val="24"/>
        </w:rPr>
        <w:t xml:space="preserve">  </w:t>
      </w:r>
      <w:r w:rsidRPr="00300841">
        <w:rPr>
          <w:b/>
          <w:szCs w:val="24"/>
        </w:rPr>
        <w:t>227</w:t>
      </w:r>
      <w:r w:rsidRPr="00300841">
        <w:rPr>
          <w:szCs w:val="24"/>
        </w:rPr>
        <w:t>, 189-197.</w:t>
      </w:r>
    </w:p>
    <w:p w:rsidR="00300841" w:rsidRPr="00300841" w:rsidRDefault="00300841" w:rsidP="00300841">
      <w:pPr>
        <w:spacing w:after="0" w:line="240" w:lineRule="auto"/>
        <w:ind w:left="720" w:hanging="720"/>
        <w:rPr>
          <w:szCs w:val="24"/>
        </w:rPr>
      </w:pPr>
      <w:r w:rsidRPr="00300841">
        <w:rPr>
          <w:szCs w:val="24"/>
        </w:rPr>
        <w:t xml:space="preserve">Shao, F., Golstein, C., Ade, J., Stoutemyer, M., Dixon, J.E. and Innes, R.W. (2003). Cleavage of </w:t>
      </w:r>
      <w:r w:rsidRPr="00300841">
        <w:rPr>
          <w:i/>
          <w:szCs w:val="24"/>
        </w:rPr>
        <w:t>Arabidopsis</w:t>
      </w:r>
      <w:r w:rsidRPr="00300841">
        <w:rPr>
          <w:szCs w:val="24"/>
        </w:rPr>
        <w:t xml:space="preserve"> PBS1 by a Bacterial Type III Effector</w:t>
      </w:r>
      <w:r w:rsidRPr="00300841">
        <w:rPr>
          <w:i/>
          <w:szCs w:val="24"/>
        </w:rPr>
        <w:t>.</w:t>
      </w:r>
      <w:r w:rsidRPr="00300841">
        <w:rPr>
          <w:szCs w:val="24"/>
        </w:rPr>
        <w:t xml:space="preserve"> </w:t>
      </w:r>
      <w:r w:rsidRPr="00300841">
        <w:rPr>
          <w:i/>
          <w:szCs w:val="24"/>
        </w:rPr>
        <w:t>Science</w:t>
      </w:r>
      <w:r w:rsidRPr="00300841">
        <w:rPr>
          <w:szCs w:val="24"/>
        </w:rPr>
        <w:t xml:space="preserve">  </w:t>
      </w:r>
      <w:r w:rsidRPr="00300841">
        <w:rPr>
          <w:b/>
          <w:szCs w:val="24"/>
        </w:rPr>
        <w:t>301</w:t>
      </w:r>
      <w:r w:rsidRPr="00300841">
        <w:rPr>
          <w:szCs w:val="24"/>
        </w:rPr>
        <w:t>, 1230-1233.</w:t>
      </w:r>
    </w:p>
    <w:p w:rsidR="00300841" w:rsidRPr="00300841" w:rsidRDefault="00300841" w:rsidP="00300841">
      <w:pPr>
        <w:spacing w:after="0" w:line="240" w:lineRule="auto"/>
        <w:ind w:left="720" w:hanging="720"/>
        <w:rPr>
          <w:szCs w:val="24"/>
        </w:rPr>
      </w:pPr>
      <w:r w:rsidRPr="00300841">
        <w:rPr>
          <w:szCs w:val="24"/>
        </w:rPr>
        <w:t>Shi, Y., Zhao, S. and Yao, J. (2009). Premature Tapetum Degeneration: a Major Cause of Abortive Pollen Development in Photoperiod Sensitive Genic Male Sterility in Rice</w:t>
      </w:r>
      <w:r w:rsidRPr="00300841">
        <w:rPr>
          <w:i/>
          <w:szCs w:val="24"/>
        </w:rPr>
        <w:t>.</w:t>
      </w:r>
      <w:r w:rsidRPr="00300841">
        <w:rPr>
          <w:szCs w:val="24"/>
        </w:rPr>
        <w:t xml:space="preserve"> </w:t>
      </w:r>
      <w:r w:rsidRPr="00300841">
        <w:rPr>
          <w:i/>
          <w:szCs w:val="24"/>
        </w:rPr>
        <w:t>Journal of Integrative Plant Biology</w:t>
      </w:r>
      <w:r w:rsidRPr="00300841">
        <w:rPr>
          <w:szCs w:val="24"/>
        </w:rPr>
        <w:t xml:space="preserve">  </w:t>
      </w:r>
      <w:r w:rsidRPr="00300841">
        <w:rPr>
          <w:b/>
          <w:szCs w:val="24"/>
        </w:rPr>
        <w:t>51</w:t>
      </w:r>
      <w:r w:rsidRPr="00300841">
        <w:rPr>
          <w:szCs w:val="24"/>
        </w:rPr>
        <w:t>, 774-781.</w:t>
      </w:r>
    </w:p>
    <w:p w:rsidR="00300841" w:rsidRPr="00300841" w:rsidRDefault="00300841" w:rsidP="00300841">
      <w:pPr>
        <w:spacing w:after="0" w:line="240" w:lineRule="auto"/>
        <w:ind w:left="720" w:hanging="720"/>
        <w:rPr>
          <w:szCs w:val="24"/>
        </w:rPr>
      </w:pPr>
      <w:r w:rsidRPr="00300841">
        <w:rPr>
          <w:rFonts w:asciiTheme="minorHAnsi" w:eastAsiaTheme="minorHAnsi" w:hAnsiTheme="minorHAnsi" w:cstheme="minorBidi"/>
          <w:i/>
          <w:iCs/>
        </w:rPr>
        <w:t>Encyclopedia of Plant Anatomy</w:t>
      </w:r>
      <w:r w:rsidRPr="00300841">
        <w:rPr>
          <w:rFonts w:asciiTheme="minorHAnsi" w:eastAsiaTheme="minorHAnsi" w:hAnsiTheme="minorHAnsi" w:cstheme="minorBidi"/>
        </w:rPr>
        <w:t>, Gebrüder Borntraeger, Berlin.</w:t>
      </w:r>
    </w:p>
    <w:p w:rsidR="00300841" w:rsidRPr="00300841" w:rsidRDefault="00300841" w:rsidP="00300841">
      <w:pPr>
        <w:spacing w:after="0" w:line="240" w:lineRule="auto"/>
        <w:ind w:left="720" w:hanging="720"/>
        <w:rPr>
          <w:rFonts w:asciiTheme="minorHAnsi" w:hAnsiTheme="minorHAnsi" w:cs="Times New Roman"/>
          <w:szCs w:val="24"/>
        </w:rPr>
      </w:pPr>
      <w:r w:rsidRPr="00300841">
        <w:rPr>
          <w:rFonts w:asciiTheme="minorHAnsi" w:hAnsiTheme="minorHAnsi" w:cs="Times New Roman"/>
          <w:szCs w:val="24"/>
        </w:rPr>
        <w:t xml:space="preserve">Singh, H. (1978). “Embryology of Gymnosperms. Encyclopedia of plant anatomy”. </w:t>
      </w:r>
      <w:r w:rsidRPr="00300841">
        <w:rPr>
          <w:rFonts w:asciiTheme="minorHAnsi" w:eastAsiaTheme="minorHAnsi" w:hAnsiTheme="minorHAnsi" w:cstheme="minorBidi"/>
        </w:rPr>
        <w:t>Gebrüder Borntraeger, Berlin.</w:t>
      </w:r>
    </w:p>
    <w:p w:rsidR="00300841" w:rsidRPr="00300841" w:rsidRDefault="00300841" w:rsidP="00300841">
      <w:pPr>
        <w:spacing w:after="0" w:line="240" w:lineRule="auto"/>
        <w:ind w:left="720" w:hanging="720"/>
        <w:rPr>
          <w:szCs w:val="24"/>
        </w:rPr>
      </w:pPr>
      <w:r w:rsidRPr="00300841">
        <w:rPr>
          <w:szCs w:val="24"/>
        </w:rPr>
        <w:t>Skalamera, D. and Heath, M.C. (1998). Changes in the cytoskeleton accompanying infection-induced nuclear movements and the hypersensitive response in plant cells invaded by rust fungi</w:t>
      </w:r>
      <w:r w:rsidRPr="00300841">
        <w:rPr>
          <w:i/>
          <w:szCs w:val="24"/>
        </w:rPr>
        <w:t>.</w:t>
      </w:r>
      <w:r w:rsidRPr="00300841">
        <w:rPr>
          <w:szCs w:val="24"/>
        </w:rPr>
        <w:t xml:space="preserve"> </w:t>
      </w:r>
      <w:r w:rsidRPr="00300841">
        <w:rPr>
          <w:i/>
          <w:szCs w:val="24"/>
        </w:rPr>
        <w:t>The Plant Journal</w:t>
      </w:r>
      <w:r w:rsidRPr="00300841">
        <w:rPr>
          <w:szCs w:val="24"/>
        </w:rPr>
        <w:t xml:space="preserve">  </w:t>
      </w:r>
      <w:r w:rsidRPr="00300841">
        <w:rPr>
          <w:b/>
          <w:szCs w:val="24"/>
        </w:rPr>
        <w:t>16</w:t>
      </w:r>
      <w:r w:rsidRPr="00300841">
        <w:rPr>
          <w:szCs w:val="24"/>
        </w:rPr>
        <w:t>, 191-200.</w:t>
      </w:r>
    </w:p>
    <w:p w:rsidR="00300841" w:rsidRPr="00300841" w:rsidRDefault="00300841" w:rsidP="00300841">
      <w:pPr>
        <w:spacing w:after="0" w:line="240" w:lineRule="auto"/>
        <w:ind w:left="720" w:hanging="720"/>
        <w:rPr>
          <w:szCs w:val="24"/>
        </w:rPr>
      </w:pPr>
      <w:r w:rsidRPr="00300841">
        <w:rPr>
          <w:szCs w:val="24"/>
        </w:rPr>
        <w:t>Smertenko, A.P., Bozhkov, P.V., Filonova, L.H., Arnold, S. and Hussey, P.J. (2003). Re-organisation of the cytoskeleton during developmental programmed cell death in Picea abies embryos</w:t>
      </w:r>
      <w:r w:rsidRPr="00300841">
        <w:rPr>
          <w:i/>
          <w:szCs w:val="24"/>
        </w:rPr>
        <w:t>.</w:t>
      </w:r>
      <w:r w:rsidRPr="00300841">
        <w:rPr>
          <w:szCs w:val="24"/>
        </w:rPr>
        <w:t xml:space="preserve"> </w:t>
      </w:r>
      <w:r w:rsidRPr="00300841">
        <w:rPr>
          <w:i/>
          <w:szCs w:val="24"/>
        </w:rPr>
        <w:t>The Plant Journal</w:t>
      </w:r>
      <w:r w:rsidRPr="00300841">
        <w:rPr>
          <w:szCs w:val="24"/>
        </w:rPr>
        <w:t xml:space="preserve">  </w:t>
      </w:r>
      <w:r w:rsidRPr="00300841">
        <w:rPr>
          <w:b/>
          <w:szCs w:val="24"/>
        </w:rPr>
        <w:t>33</w:t>
      </w:r>
      <w:r w:rsidRPr="00300841">
        <w:rPr>
          <w:szCs w:val="24"/>
        </w:rPr>
        <w:t>, 813-824.</w:t>
      </w:r>
    </w:p>
    <w:p w:rsidR="00300841" w:rsidRPr="00300841" w:rsidRDefault="00300841" w:rsidP="00300841">
      <w:pPr>
        <w:spacing w:after="0" w:line="240" w:lineRule="auto"/>
        <w:ind w:left="720" w:hanging="720"/>
        <w:rPr>
          <w:szCs w:val="24"/>
        </w:rPr>
      </w:pPr>
      <w:r w:rsidRPr="00300841">
        <w:rPr>
          <w:szCs w:val="24"/>
        </w:rPr>
        <w:t>Snowman, B.N., Kovar, D.R., Shevchenko, G., Franklin-Tong, V.E. and Staiger, C.J. (2002). Signal-Mediated Depolymerization of Actin in Pollen during the Self-Incompatibility Response</w:t>
      </w:r>
      <w:r w:rsidRPr="00300841">
        <w:rPr>
          <w:i/>
          <w:szCs w:val="24"/>
        </w:rPr>
        <w:t>.</w:t>
      </w:r>
      <w:r w:rsidRPr="00300841">
        <w:rPr>
          <w:szCs w:val="24"/>
        </w:rPr>
        <w:t xml:space="preserve"> </w:t>
      </w:r>
      <w:r w:rsidRPr="00300841">
        <w:rPr>
          <w:i/>
          <w:szCs w:val="24"/>
        </w:rPr>
        <w:t>Plant Cell</w:t>
      </w:r>
      <w:r w:rsidRPr="00300841">
        <w:rPr>
          <w:szCs w:val="24"/>
        </w:rPr>
        <w:t xml:space="preserve">  </w:t>
      </w:r>
      <w:r w:rsidRPr="00300841">
        <w:rPr>
          <w:b/>
          <w:szCs w:val="24"/>
        </w:rPr>
        <w:t>14</w:t>
      </w:r>
      <w:r w:rsidRPr="00300841">
        <w:rPr>
          <w:szCs w:val="24"/>
        </w:rPr>
        <w:t>, 2613-2626.</w:t>
      </w:r>
    </w:p>
    <w:p w:rsidR="00300841" w:rsidRPr="00300841" w:rsidRDefault="00300841" w:rsidP="00300841">
      <w:pPr>
        <w:spacing w:after="0" w:line="240" w:lineRule="auto"/>
        <w:ind w:left="720" w:hanging="720"/>
        <w:rPr>
          <w:szCs w:val="24"/>
        </w:rPr>
      </w:pPr>
      <w:r w:rsidRPr="00300841">
        <w:rPr>
          <w:szCs w:val="24"/>
        </w:rPr>
        <w:t>Sorensen, F.C. (1982). The Roles of Polyembryony and Embryo Viability in the Genetic System of Conifers</w:t>
      </w:r>
      <w:r w:rsidRPr="00300841">
        <w:rPr>
          <w:i/>
          <w:szCs w:val="24"/>
        </w:rPr>
        <w:t>.</w:t>
      </w:r>
      <w:r w:rsidRPr="00300841">
        <w:rPr>
          <w:szCs w:val="24"/>
        </w:rPr>
        <w:t xml:space="preserve"> </w:t>
      </w:r>
      <w:r w:rsidRPr="00300841">
        <w:rPr>
          <w:i/>
          <w:szCs w:val="24"/>
        </w:rPr>
        <w:t>Evolution</w:t>
      </w:r>
      <w:r w:rsidRPr="00300841">
        <w:rPr>
          <w:szCs w:val="24"/>
        </w:rPr>
        <w:t xml:space="preserve">  </w:t>
      </w:r>
      <w:r w:rsidRPr="00300841">
        <w:rPr>
          <w:b/>
          <w:szCs w:val="24"/>
        </w:rPr>
        <w:t>36</w:t>
      </w:r>
      <w:r w:rsidRPr="00300841">
        <w:rPr>
          <w:szCs w:val="24"/>
        </w:rPr>
        <w:t>, 725-733.</w:t>
      </w:r>
    </w:p>
    <w:p w:rsidR="00300841" w:rsidRPr="00300841" w:rsidRDefault="00300841" w:rsidP="00300841">
      <w:pPr>
        <w:spacing w:after="0" w:line="240" w:lineRule="auto"/>
        <w:ind w:left="720" w:hanging="720"/>
        <w:rPr>
          <w:szCs w:val="24"/>
        </w:rPr>
      </w:pPr>
      <w:r w:rsidRPr="00300841">
        <w:rPr>
          <w:szCs w:val="24"/>
        </w:rPr>
        <w:t xml:space="preserve">Spassieva, S. D., Markham, J. E. and Hille, J. (2002). The plant disease resistance gene </w:t>
      </w:r>
      <w:r w:rsidRPr="00300841">
        <w:rPr>
          <w:i/>
          <w:szCs w:val="24"/>
        </w:rPr>
        <w:t>Asc-1</w:t>
      </w:r>
      <w:r w:rsidRPr="00300841">
        <w:rPr>
          <w:szCs w:val="24"/>
        </w:rPr>
        <w:t xml:space="preserve"> prevents disruption of sphingolipid metabolism during AAL-toxin-induced programmed cell death. </w:t>
      </w:r>
      <w:r w:rsidRPr="00300841">
        <w:rPr>
          <w:i/>
          <w:szCs w:val="24"/>
        </w:rPr>
        <w:t>The Plant Journal</w:t>
      </w:r>
      <w:r w:rsidRPr="00300841">
        <w:rPr>
          <w:szCs w:val="24"/>
        </w:rPr>
        <w:t xml:space="preserve"> </w:t>
      </w:r>
      <w:r w:rsidRPr="00300841">
        <w:rPr>
          <w:b/>
          <w:szCs w:val="24"/>
        </w:rPr>
        <w:t>32</w:t>
      </w:r>
      <w:r w:rsidRPr="00300841">
        <w:rPr>
          <w:szCs w:val="24"/>
        </w:rPr>
        <w:t>, 561-572.</w:t>
      </w:r>
    </w:p>
    <w:p w:rsidR="00300841" w:rsidRPr="00300841" w:rsidRDefault="00300841" w:rsidP="00300841">
      <w:pPr>
        <w:spacing w:after="0" w:line="240" w:lineRule="auto"/>
        <w:ind w:left="720" w:hanging="720"/>
        <w:rPr>
          <w:szCs w:val="24"/>
        </w:rPr>
      </w:pPr>
      <w:r w:rsidRPr="00300841">
        <w:rPr>
          <w:szCs w:val="24"/>
        </w:rPr>
        <w:t xml:space="preserve">Sperling, P., Franke, S., Lüthje, S. and Heinz, E. (2005). Are glucocerebrosides the predominant sphingolipids in plant plasma membranes? </w:t>
      </w:r>
      <w:r w:rsidRPr="00300841">
        <w:rPr>
          <w:i/>
          <w:szCs w:val="24"/>
        </w:rPr>
        <w:t>Plant Physiology and Biochemistry</w:t>
      </w:r>
      <w:r w:rsidRPr="00300841">
        <w:rPr>
          <w:szCs w:val="24"/>
        </w:rPr>
        <w:t xml:space="preserve">  </w:t>
      </w:r>
      <w:r w:rsidRPr="00300841">
        <w:rPr>
          <w:b/>
          <w:szCs w:val="24"/>
        </w:rPr>
        <w:t>43</w:t>
      </w:r>
      <w:r w:rsidRPr="00300841">
        <w:rPr>
          <w:szCs w:val="24"/>
        </w:rPr>
        <w:t>, 1031-1038.</w:t>
      </w:r>
    </w:p>
    <w:p w:rsidR="00300841" w:rsidRPr="00300841" w:rsidRDefault="00300841" w:rsidP="00300841">
      <w:pPr>
        <w:spacing w:after="0" w:line="240" w:lineRule="auto"/>
        <w:ind w:left="720" w:hanging="720"/>
        <w:rPr>
          <w:szCs w:val="24"/>
        </w:rPr>
      </w:pPr>
      <w:r w:rsidRPr="00300841">
        <w:rPr>
          <w:szCs w:val="24"/>
        </w:rPr>
        <w:t xml:space="preserve">Sperling, P. and Heinz, E. (2003). Plant sphingolipids: structural diversity, biosynthesis, first genes and functions. </w:t>
      </w:r>
      <w:r w:rsidRPr="00300841">
        <w:rPr>
          <w:i/>
          <w:szCs w:val="24"/>
        </w:rPr>
        <w:t>Biochimica et Biophysica Acta (BBA) - Molecular and Cell Biology of Lipids</w:t>
      </w:r>
      <w:r w:rsidRPr="00300841">
        <w:rPr>
          <w:szCs w:val="24"/>
        </w:rPr>
        <w:t xml:space="preserve"> </w:t>
      </w:r>
      <w:r w:rsidRPr="00300841">
        <w:rPr>
          <w:b/>
          <w:szCs w:val="24"/>
        </w:rPr>
        <w:t>1632</w:t>
      </w:r>
      <w:r w:rsidRPr="00300841">
        <w:rPr>
          <w:szCs w:val="24"/>
        </w:rPr>
        <w:t>, 1-15.</w:t>
      </w:r>
    </w:p>
    <w:p w:rsidR="00300841" w:rsidRPr="00300841" w:rsidRDefault="00300841" w:rsidP="00300841">
      <w:pPr>
        <w:spacing w:after="0" w:line="240" w:lineRule="auto"/>
        <w:ind w:left="720" w:hanging="720"/>
        <w:rPr>
          <w:szCs w:val="24"/>
        </w:rPr>
      </w:pPr>
      <w:r w:rsidRPr="00300841">
        <w:rPr>
          <w:szCs w:val="24"/>
        </w:rPr>
        <w:t>Spiegel, S. and Milstien, S. (2003). Sphingosine-1-phosphate: an enigmatic signalling lipid</w:t>
      </w:r>
      <w:r w:rsidRPr="00300841">
        <w:rPr>
          <w:i/>
          <w:szCs w:val="24"/>
        </w:rPr>
        <w:t>.</w:t>
      </w:r>
      <w:r w:rsidRPr="00300841">
        <w:rPr>
          <w:szCs w:val="24"/>
        </w:rPr>
        <w:t xml:space="preserve"> </w:t>
      </w:r>
      <w:r w:rsidRPr="00300841">
        <w:rPr>
          <w:i/>
          <w:szCs w:val="24"/>
        </w:rPr>
        <w:t>Nature Reviews Molecular Cell Biology</w:t>
      </w:r>
      <w:r w:rsidRPr="00300841">
        <w:rPr>
          <w:szCs w:val="24"/>
        </w:rPr>
        <w:t xml:space="preserve">  </w:t>
      </w:r>
      <w:r w:rsidRPr="00300841">
        <w:rPr>
          <w:b/>
          <w:szCs w:val="24"/>
        </w:rPr>
        <w:t>4</w:t>
      </w:r>
      <w:r w:rsidRPr="00300841">
        <w:rPr>
          <w:szCs w:val="24"/>
        </w:rPr>
        <w:t>, 397 - 407.</w:t>
      </w:r>
    </w:p>
    <w:p w:rsidR="00300841" w:rsidRPr="00300841" w:rsidRDefault="00300841" w:rsidP="00300841">
      <w:pPr>
        <w:spacing w:after="0" w:line="240" w:lineRule="auto"/>
        <w:ind w:left="720" w:hanging="720"/>
        <w:rPr>
          <w:szCs w:val="24"/>
        </w:rPr>
      </w:pPr>
      <w:r w:rsidRPr="00300841">
        <w:rPr>
          <w:szCs w:val="24"/>
        </w:rPr>
        <w:t xml:space="preserve">Stacey, N.J., Roberts, K., Carpita, N.C., Wells, B. and McCann, M.C. (1995). Dynamic changes in cell surface molecules are very early events in the differentiation of mesophyll cells from </w:t>
      </w:r>
      <w:r w:rsidRPr="00300841">
        <w:rPr>
          <w:i/>
          <w:szCs w:val="24"/>
        </w:rPr>
        <w:t>Zinnia</w:t>
      </w:r>
      <w:r w:rsidRPr="00300841">
        <w:rPr>
          <w:szCs w:val="24"/>
        </w:rPr>
        <w:t xml:space="preserve"> elegans into tracheary elements</w:t>
      </w:r>
      <w:r w:rsidRPr="00300841">
        <w:rPr>
          <w:i/>
          <w:szCs w:val="24"/>
        </w:rPr>
        <w:t>.</w:t>
      </w:r>
      <w:r w:rsidRPr="00300841">
        <w:rPr>
          <w:szCs w:val="24"/>
        </w:rPr>
        <w:t xml:space="preserve"> </w:t>
      </w:r>
      <w:r w:rsidRPr="00300841">
        <w:rPr>
          <w:i/>
          <w:szCs w:val="24"/>
        </w:rPr>
        <w:t>The Plant Journal</w:t>
      </w:r>
      <w:r w:rsidRPr="00300841">
        <w:rPr>
          <w:szCs w:val="24"/>
        </w:rPr>
        <w:t xml:space="preserve">  </w:t>
      </w:r>
      <w:r w:rsidRPr="00300841">
        <w:rPr>
          <w:b/>
          <w:szCs w:val="24"/>
        </w:rPr>
        <w:t>8</w:t>
      </w:r>
      <w:r w:rsidRPr="00300841">
        <w:rPr>
          <w:szCs w:val="24"/>
        </w:rPr>
        <w:t>, 891-906.</w:t>
      </w:r>
    </w:p>
    <w:p w:rsidR="00300841" w:rsidRPr="00300841" w:rsidRDefault="00300841" w:rsidP="00300841">
      <w:pPr>
        <w:spacing w:after="0" w:line="240" w:lineRule="auto"/>
        <w:ind w:left="720" w:hanging="720"/>
        <w:rPr>
          <w:szCs w:val="24"/>
        </w:rPr>
      </w:pPr>
      <w:r w:rsidRPr="00300841">
        <w:rPr>
          <w:szCs w:val="24"/>
        </w:rPr>
        <w:t>Stapleton, A.E. (1992). Ultraviolet Radiation and Plants: Burning Questions</w:t>
      </w:r>
      <w:r w:rsidRPr="00300841">
        <w:rPr>
          <w:i/>
          <w:szCs w:val="24"/>
        </w:rPr>
        <w:t>.</w:t>
      </w:r>
      <w:r w:rsidRPr="00300841">
        <w:rPr>
          <w:szCs w:val="24"/>
        </w:rPr>
        <w:t xml:space="preserve"> </w:t>
      </w:r>
      <w:r w:rsidRPr="00300841">
        <w:rPr>
          <w:i/>
          <w:szCs w:val="24"/>
        </w:rPr>
        <w:t>Plant Cell</w:t>
      </w:r>
      <w:r w:rsidRPr="00300841">
        <w:rPr>
          <w:szCs w:val="24"/>
        </w:rPr>
        <w:t xml:space="preserve">  </w:t>
      </w:r>
      <w:r w:rsidRPr="00300841">
        <w:rPr>
          <w:b/>
          <w:szCs w:val="24"/>
        </w:rPr>
        <w:t>4</w:t>
      </w:r>
      <w:r w:rsidRPr="00300841">
        <w:rPr>
          <w:szCs w:val="24"/>
        </w:rPr>
        <w:t>, 1353-1358.</w:t>
      </w:r>
    </w:p>
    <w:p w:rsidR="00300841" w:rsidRPr="00300841" w:rsidRDefault="00300841" w:rsidP="00300841">
      <w:pPr>
        <w:spacing w:after="0" w:line="240" w:lineRule="auto"/>
        <w:ind w:left="720" w:hanging="720"/>
        <w:rPr>
          <w:szCs w:val="24"/>
        </w:rPr>
      </w:pPr>
      <w:r w:rsidRPr="00300841">
        <w:rPr>
          <w:szCs w:val="24"/>
        </w:rPr>
        <w:t>Stein, J.C. and Hansen, G. (1999). Mannose Induces an Endonuclease Responsible for DNA Laddering in Plant Cells</w:t>
      </w:r>
      <w:r w:rsidRPr="00300841">
        <w:rPr>
          <w:i/>
          <w:szCs w:val="24"/>
        </w:rPr>
        <w:t>.</w:t>
      </w:r>
      <w:r w:rsidRPr="00300841">
        <w:rPr>
          <w:szCs w:val="24"/>
        </w:rPr>
        <w:t xml:space="preserve"> </w:t>
      </w:r>
      <w:r w:rsidRPr="00300841">
        <w:rPr>
          <w:i/>
          <w:szCs w:val="24"/>
        </w:rPr>
        <w:t>Plant Physiology</w:t>
      </w:r>
      <w:r w:rsidRPr="00300841">
        <w:rPr>
          <w:szCs w:val="24"/>
        </w:rPr>
        <w:t xml:space="preserve">  </w:t>
      </w:r>
      <w:r w:rsidRPr="00300841">
        <w:rPr>
          <w:b/>
          <w:szCs w:val="24"/>
        </w:rPr>
        <w:t>121</w:t>
      </w:r>
      <w:r w:rsidRPr="00300841">
        <w:rPr>
          <w:szCs w:val="24"/>
        </w:rPr>
        <w:t>, 71-80.</w:t>
      </w:r>
    </w:p>
    <w:p w:rsidR="00300841" w:rsidRPr="00300841" w:rsidRDefault="00300841" w:rsidP="00300841">
      <w:pPr>
        <w:spacing w:after="0" w:line="240" w:lineRule="auto"/>
        <w:ind w:left="720" w:hanging="720"/>
        <w:rPr>
          <w:szCs w:val="24"/>
        </w:rPr>
      </w:pPr>
      <w:r w:rsidRPr="00300841">
        <w:rPr>
          <w:szCs w:val="24"/>
        </w:rPr>
        <w:t>Su, W., Ma, H., Liu, C., Wu, J. and Yang, J. (2006). Identification and characterization of two rice autophagy associated genes, OsAtg8 and OsAtg4</w:t>
      </w:r>
      <w:r w:rsidRPr="00300841">
        <w:rPr>
          <w:i/>
          <w:szCs w:val="24"/>
        </w:rPr>
        <w:t>.</w:t>
      </w:r>
      <w:r w:rsidRPr="00300841">
        <w:rPr>
          <w:szCs w:val="24"/>
        </w:rPr>
        <w:t xml:space="preserve"> </w:t>
      </w:r>
      <w:r w:rsidRPr="00300841">
        <w:rPr>
          <w:i/>
          <w:szCs w:val="24"/>
        </w:rPr>
        <w:t>Molecular Biology Reports</w:t>
      </w:r>
      <w:r w:rsidRPr="00300841">
        <w:rPr>
          <w:szCs w:val="24"/>
        </w:rPr>
        <w:t xml:space="preserve">  </w:t>
      </w:r>
      <w:r w:rsidRPr="00300841">
        <w:rPr>
          <w:b/>
          <w:szCs w:val="24"/>
        </w:rPr>
        <w:t>33</w:t>
      </w:r>
      <w:r w:rsidRPr="00300841">
        <w:rPr>
          <w:szCs w:val="24"/>
        </w:rPr>
        <w:t>, 273-278.</w:t>
      </w:r>
    </w:p>
    <w:p w:rsidR="00300841" w:rsidRPr="00300841" w:rsidRDefault="00300841" w:rsidP="00300841">
      <w:pPr>
        <w:spacing w:after="0" w:line="240" w:lineRule="auto"/>
        <w:ind w:left="720" w:hanging="720"/>
        <w:rPr>
          <w:szCs w:val="24"/>
        </w:rPr>
      </w:pPr>
      <w:r w:rsidRPr="00300841">
        <w:rPr>
          <w:szCs w:val="24"/>
        </w:rPr>
        <w:t>Suarez, M.F., Filonova, L.H., Smertenko, A., Savenkov, E.I., Clapham, D.H., von Arnold, S., Zhivotovsky, B. and Bozhkov, P.V. (2004). Metacaspase-dependent programmed cell death is essential for plant embryogenesis</w:t>
      </w:r>
      <w:r w:rsidRPr="00300841">
        <w:rPr>
          <w:i/>
          <w:szCs w:val="24"/>
        </w:rPr>
        <w:t>.</w:t>
      </w:r>
      <w:r w:rsidRPr="00300841">
        <w:rPr>
          <w:szCs w:val="24"/>
        </w:rPr>
        <w:t xml:space="preserve"> </w:t>
      </w:r>
      <w:r w:rsidRPr="00300841">
        <w:rPr>
          <w:i/>
          <w:szCs w:val="24"/>
        </w:rPr>
        <w:t>Current Biology</w:t>
      </w:r>
      <w:r w:rsidRPr="00300841">
        <w:rPr>
          <w:szCs w:val="24"/>
        </w:rPr>
        <w:t xml:space="preserve">  </w:t>
      </w:r>
      <w:r w:rsidRPr="00300841">
        <w:rPr>
          <w:b/>
          <w:szCs w:val="24"/>
        </w:rPr>
        <w:t>14</w:t>
      </w:r>
      <w:r w:rsidRPr="00300841">
        <w:rPr>
          <w:szCs w:val="24"/>
        </w:rPr>
        <w:t>, R339-R340.</w:t>
      </w:r>
    </w:p>
    <w:p w:rsidR="00300841" w:rsidRPr="00300841" w:rsidRDefault="00300841" w:rsidP="00300841">
      <w:pPr>
        <w:spacing w:after="0" w:line="240" w:lineRule="auto"/>
        <w:ind w:left="720" w:hanging="720"/>
        <w:rPr>
          <w:szCs w:val="24"/>
        </w:rPr>
      </w:pPr>
      <w:r w:rsidRPr="00300841">
        <w:rPr>
          <w:szCs w:val="24"/>
        </w:rPr>
        <w:t>Sugiura, M., Kono, K., Liu, H., Shimizugawa, T., Minekura, H., Spiegel, S. and Kohama, T. (2002). Ceramide kinase, a novel lipid kinase. Molecular cloning and functional characterization</w:t>
      </w:r>
      <w:r w:rsidRPr="00300841">
        <w:rPr>
          <w:i/>
          <w:szCs w:val="24"/>
        </w:rPr>
        <w:t>.</w:t>
      </w:r>
      <w:r w:rsidRPr="00300841">
        <w:rPr>
          <w:szCs w:val="24"/>
        </w:rPr>
        <w:t xml:space="preserve"> </w:t>
      </w:r>
      <w:r w:rsidRPr="00300841">
        <w:rPr>
          <w:i/>
          <w:szCs w:val="24"/>
        </w:rPr>
        <w:t>Journal of Biological Chemistry</w:t>
      </w:r>
      <w:r w:rsidRPr="00300841">
        <w:rPr>
          <w:szCs w:val="24"/>
        </w:rPr>
        <w:t xml:space="preserve">  </w:t>
      </w:r>
      <w:r w:rsidRPr="00300841">
        <w:rPr>
          <w:b/>
          <w:szCs w:val="24"/>
        </w:rPr>
        <w:t>277</w:t>
      </w:r>
      <w:r w:rsidRPr="00300841">
        <w:rPr>
          <w:szCs w:val="24"/>
        </w:rPr>
        <w:t>, 23294 - 23300.</w:t>
      </w:r>
    </w:p>
    <w:p w:rsidR="00300841" w:rsidRPr="00300841" w:rsidRDefault="00300841" w:rsidP="00300841">
      <w:pPr>
        <w:spacing w:after="0" w:line="240" w:lineRule="auto"/>
        <w:ind w:left="720" w:hanging="720"/>
        <w:rPr>
          <w:szCs w:val="24"/>
        </w:rPr>
      </w:pPr>
      <w:r w:rsidRPr="00300841">
        <w:rPr>
          <w:szCs w:val="24"/>
        </w:rPr>
        <w:t>Sun, Y.-L., Zhao, Y., Hong, X. and Zhai, Z.-H. (1999). Cytochrome c release and caspase activation during menadione-induced apoptosis in plants</w:t>
      </w:r>
      <w:r w:rsidRPr="00300841">
        <w:rPr>
          <w:i/>
          <w:szCs w:val="24"/>
        </w:rPr>
        <w:t>.</w:t>
      </w:r>
      <w:r w:rsidRPr="00300841">
        <w:rPr>
          <w:szCs w:val="24"/>
        </w:rPr>
        <w:t xml:space="preserve"> </w:t>
      </w:r>
      <w:r w:rsidRPr="00300841">
        <w:rPr>
          <w:i/>
          <w:szCs w:val="24"/>
        </w:rPr>
        <w:t>FEBS Letters</w:t>
      </w:r>
      <w:r w:rsidRPr="00300841">
        <w:rPr>
          <w:szCs w:val="24"/>
        </w:rPr>
        <w:t xml:space="preserve">  </w:t>
      </w:r>
      <w:r w:rsidRPr="00300841">
        <w:rPr>
          <w:b/>
          <w:szCs w:val="24"/>
        </w:rPr>
        <w:t>462</w:t>
      </w:r>
      <w:r w:rsidRPr="00300841">
        <w:rPr>
          <w:szCs w:val="24"/>
        </w:rPr>
        <w:t>, 317-321.</w:t>
      </w:r>
    </w:p>
    <w:p w:rsidR="00300841" w:rsidRPr="00300841" w:rsidRDefault="00300841" w:rsidP="00300841">
      <w:pPr>
        <w:spacing w:after="0" w:line="240" w:lineRule="auto"/>
        <w:ind w:left="720" w:hanging="720"/>
        <w:rPr>
          <w:szCs w:val="24"/>
        </w:rPr>
      </w:pPr>
      <w:r w:rsidRPr="00300841">
        <w:rPr>
          <w:szCs w:val="24"/>
        </w:rPr>
        <w:t>Sundstrom, J.F., Vaculova, A., Smertenko, A.P., Savenkov, E.I., Golovko, A., Minina, E., Tiwari, B.S., Rodriguez-Nieto, S., Zamyatnin, A.A., Valineva, T., Saarikettu, J., Frilander, M.J., Suarez, M.F., Zavialov, A., Stahl, U., Hussey, P.J., Silvennoinen, O., Sundberg, E., Zhivotovsky, B. and Bozhkov, P.V. (2009). Tudor staphylococcal nuclease is an evolutionarily conserved component of the programmed cell death degradome</w:t>
      </w:r>
      <w:r w:rsidRPr="00300841">
        <w:rPr>
          <w:i/>
          <w:szCs w:val="24"/>
        </w:rPr>
        <w:t>.</w:t>
      </w:r>
      <w:r w:rsidRPr="00300841">
        <w:rPr>
          <w:szCs w:val="24"/>
        </w:rPr>
        <w:t xml:space="preserve"> </w:t>
      </w:r>
      <w:r w:rsidRPr="00300841">
        <w:rPr>
          <w:i/>
          <w:szCs w:val="24"/>
        </w:rPr>
        <w:t>Nature Cell Biology</w:t>
      </w:r>
      <w:r w:rsidRPr="00300841">
        <w:rPr>
          <w:szCs w:val="24"/>
        </w:rPr>
        <w:t xml:space="preserve">  </w:t>
      </w:r>
      <w:r w:rsidRPr="00300841">
        <w:rPr>
          <w:b/>
          <w:szCs w:val="24"/>
        </w:rPr>
        <w:t>11</w:t>
      </w:r>
      <w:r w:rsidRPr="00300841">
        <w:rPr>
          <w:szCs w:val="24"/>
        </w:rPr>
        <w:t>, 1347-1354.</w:t>
      </w:r>
    </w:p>
    <w:p w:rsidR="00300841" w:rsidRPr="00300841" w:rsidRDefault="00300841" w:rsidP="00300841">
      <w:pPr>
        <w:spacing w:after="0" w:line="240" w:lineRule="auto"/>
        <w:ind w:left="720" w:hanging="720"/>
        <w:rPr>
          <w:szCs w:val="24"/>
        </w:rPr>
      </w:pPr>
      <w:r w:rsidRPr="00300841">
        <w:rPr>
          <w:szCs w:val="24"/>
        </w:rPr>
        <w:t>Supena, E.D.J., Winarto, B., Riksen, T., Dubas, E., van Lammeren, A., Offringa, R., Boutilier, K. and Custers, J. (2008). Regeneration of zygotic-like microspore-derived embryos suggests an important role for the suspensor in early embryo patterning</w:t>
      </w:r>
      <w:r w:rsidRPr="00300841">
        <w:rPr>
          <w:i/>
          <w:szCs w:val="24"/>
        </w:rPr>
        <w:t>.</w:t>
      </w:r>
      <w:r w:rsidRPr="00300841">
        <w:rPr>
          <w:szCs w:val="24"/>
        </w:rPr>
        <w:t xml:space="preserve"> </w:t>
      </w:r>
      <w:r w:rsidRPr="00300841">
        <w:rPr>
          <w:i/>
          <w:szCs w:val="24"/>
        </w:rPr>
        <w:t>Journal of Experimental Botany</w:t>
      </w:r>
      <w:r w:rsidRPr="00300841">
        <w:rPr>
          <w:szCs w:val="24"/>
        </w:rPr>
        <w:t xml:space="preserve">  </w:t>
      </w:r>
      <w:r w:rsidRPr="00300841">
        <w:rPr>
          <w:b/>
          <w:szCs w:val="24"/>
        </w:rPr>
        <w:t>59</w:t>
      </w:r>
      <w:r w:rsidRPr="00300841">
        <w:rPr>
          <w:szCs w:val="24"/>
        </w:rPr>
        <w:t>, 803-814.</w:t>
      </w:r>
    </w:p>
    <w:p w:rsidR="00300841" w:rsidRPr="00300841" w:rsidRDefault="00300841" w:rsidP="00300841">
      <w:pPr>
        <w:spacing w:after="0" w:line="240" w:lineRule="auto"/>
        <w:ind w:left="720" w:hanging="720"/>
        <w:rPr>
          <w:szCs w:val="24"/>
        </w:rPr>
      </w:pPr>
      <w:r w:rsidRPr="00300841">
        <w:rPr>
          <w:szCs w:val="24"/>
        </w:rPr>
        <w:t>Susin, S.A., Zamzami, N., Castedo, M., Hirsch, T., Marchetti, P., Macho, A., Daugas, E., Geuskens, M. and Kroemer, G. (1996). Bcl-2 inhibits the mitochondrial release of an apoptogenic protease</w:t>
      </w:r>
      <w:r w:rsidRPr="00300841">
        <w:rPr>
          <w:i/>
          <w:szCs w:val="24"/>
        </w:rPr>
        <w:t>.</w:t>
      </w:r>
      <w:r w:rsidRPr="00300841">
        <w:rPr>
          <w:szCs w:val="24"/>
        </w:rPr>
        <w:t xml:space="preserve"> </w:t>
      </w:r>
      <w:r w:rsidRPr="00300841">
        <w:rPr>
          <w:i/>
          <w:szCs w:val="24"/>
        </w:rPr>
        <w:t>The Journal of Experimental Medicine</w:t>
      </w:r>
      <w:r w:rsidRPr="00300841">
        <w:rPr>
          <w:szCs w:val="24"/>
        </w:rPr>
        <w:t xml:space="preserve">  </w:t>
      </w:r>
      <w:r w:rsidRPr="00300841">
        <w:rPr>
          <w:b/>
          <w:szCs w:val="24"/>
        </w:rPr>
        <w:t>184</w:t>
      </w:r>
      <w:r w:rsidRPr="00300841">
        <w:rPr>
          <w:szCs w:val="24"/>
        </w:rPr>
        <w:t>, 1331-1341.</w:t>
      </w:r>
    </w:p>
    <w:p w:rsidR="00300841" w:rsidRPr="00300841" w:rsidRDefault="00300841" w:rsidP="00300841">
      <w:pPr>
        <w:spacing w:after="0" w:line="240" w:lineRule="auto"/>
        <w:ind w:left="720" w:hanging="720"/>
        <w:rPr>
          <w:szCs w:val="24"/>
        </w:rPr>
      </w:pPr>
      <w:r w:rsidRPr="00300841">
        <w:rPr>
          <w:szCs w:val="24"/>
        </w:rPr>
        <w:t>Suzuki, Y., Imai, Y., Nakayama, H., Takahashi, K., Takio, K. and Takahashi, R. (2001). A Serine Protease, HtrA2, Is Released from the Mitochondria and Interacts with XIAP, Inducing Cell Death</w:t>
      </w:r>
      <w:r w:rsidRPr="00300841">
        <w:rPr>
          <w:i/>
          <w:szCs w:val="24"/>
        </w:rPr>
        <w:t>.</w:t>
      </w:r>
      <w:r w:rsidRPr="00300841">
        <w:rPr>
          <w:szCs w:val="24"/>
        </w:rPr>
        <w:t xml:space="preserve"> </w:t>
      </w:r>
      <w:r w:rsidRPr="00300841">
        <w:rPr>
          <w:i/>
          <w:szCs w:val="24"/>
        </w:rPr>
        <w:t>Molecular Cell</w:t>
      </w:r>
      <w:r w:rsidRPr="00300841">
        <w:rPr>
          <w:szCs w:val="24"/>
        </w:rPr>
        <w:t xml:space="preserve">  </w:t>
      </w:r>
      <w:r w:rsidRPr="00300841">
        <w:rPr>
          <w:b/>
          <w:szCs w:val="24"/>
        </w:rPr>
        <w:t>8</w:t>
      </w:r>
      <w:r w:rsidRPr="00300841">
        <w:rPr>
          <w:szCs w:val="24"/>
        </w:rPr>
        <w:t>, 613-621.</w:t>
      </w:r>
    </w:p>
    <w:p w:rsidR="00300841" w:rsidRPr="00300841" w:rsidRDefault="00300841" w:rsidP="00300841">
      <w:pPr>
        <w:spacing w:after="0" w:line="240" w:lineRule="auto"/>
        <w:ind w:left="720" w:hanging="720"/>
        <w:rPr>
          <w:szCs w:val="24"/>
        </w:rPr>
      </w:pPr>
      <w:r w:rsidRPr="00300841">
        <w:rPr>
          <w:szCs w:val="24"/>
        </w:rPr>
        <w:t>Suzuki, Y., Kitagawa, M., Knox, J.P. and Yamaguchi, I. (2002). A role for arabinogalactan proteins in gibberellin-induced αamylase production in barley aleurone cells</w:t>
      </w:r>
      <w:r w:rsidRPr="00300841">
        <w:rPr>
          <w:i/>
          <w:szCs w:val="24"/>
        </w:rPr>
        <w:t>.</w:t>
      </w:r>
      <w:r w:rsidRPr="00300841">
        <w:rPr>
          <w:szCs w:val="24"/>
        </w:rPr>
        <w:t xml:space="preserve"> </w:t>
      </w:r>
      <w:r w:rsidRPr="00300841">
        <w:rPr>
          <w:i/>
          <w:szCs w:val="24"/>
        </w:rPr>
        <w:t>The Plant Journal</w:t>
      </w:r>
      <w:r w:rsidRPr="00300841">
        <w:rPr>
          <w:szCs w:val="24"/>
        </w:rPr>
        <w:t xml:space="preserve">  </w:t>
      </w:r>
      <w:r w:rsidRPr="00300841">
        <w:rPr>
          <w:b/>
          <w:szCs w:val="24"/>
        </w:rPr>
        <w:t>29</w:t>
      </w:r>
      <w:r w:rsidRPr="00300841">
        <w:rPr>
          <w:szCs w:val="24"/>
        </w:rPr>
        <w:t>, 733-741.</w:t>
      </w:r>
    </w:p>
    <w:p w:rsidR="00300841" w:rsidRPr="00300841" w:rsidRDefault="00300841" w:rsidP="00300841">
      <w:pPr>
        <w:spacing w:after="0" w:line="240" w:lineRule="auto"/>
        <w:ind w:left="720" w:hanging="720"/>
        <w:rPr>
          <w:szCs w:val="24"/>
        </w:rPr>
      </w:pPr>
      <w:r w:rsidRPr="00300841">
        <w:rPr>
          <w:szCs w:val="24"/>
        </w:rPr>
        <w:t xml:space="preserve">Swidzinski, J.A., Sweetlove, L.J. and Leaver, C.J. (2002). A custom microarray analysis of gene expression during programmed cell death in </w:t>
      </w:r>
      <w:r w:rsidRPr="00300841">
        <w:rPr>
          <w:i/>
          <w:szCs w:val="24"/>
        </w:rPr>
        <w:t>Arabidopsis thaliana.</w:t>
      </w:r>
      <w:r w:rsidRPr="00300841">
        <w:rPr>
          <w:szCs w:val="24"/>
        </w:rPr>
        <w:t xml:space="preserve"> </w:t>
      </w:r>
      <w:r w:rsidRPr="00300841">
        <w:rPr>
          <w:i/>
          <w:szCs w:val="24"/>
        </w:rPr>
        <w:t>The Plant Journal</w:t>
      </w:r>
      <w:r w:rsidRPr="00300841">
        <w:rPr>
          <w:szCs w:val="24"/>
        </w:rPr>
        <w:t xml:space="preserve">  </w:t>
      </w:r>
      <w:r w:rsidRPr="00300841">
        <w:rPr>
          <w:b/>
          <w:szCs w:val="24"/>
        </w:rPr>
        <w:t>30</w:t>
      </w:r>
      <w:r w:rsidRPr="00300841">
        <w:rPr>
          <w:szCs w:val="24"/>
        </w:rPr>
        <w:t>, 431-446.</w:t>
      </w:r>
    </w:p>
    <w:p w:rsidR="00300841" w:rsidRPr="00300841" w:rsidRDefault="00300841" w:rsidP="00300841">
      <w:pPr>
        <w:spacing w:after="0" w:line="240" w:lineRule="auto"/>
        <w:ind w:left="720" w:hanging="720"/>
        <w:rPr>
          <w:szCs w:val="24"/>
        </w:rPr>
      </w:pPr>
      <w:r w:rsidRPr="00300841">
        <w:rPr>
          <w:szCs w:val="24"/>
        </w:rPr>
        <w:t>Taha, T.A., Kitatani, K., El-Alwani, M., Bielawski, J., Hannun, Y.A. and Obeid, L.M. (2006a). Loss of sphingosine kinase-1 activates the intrinsic pathway of programmed cell death: modulation of sphingolipid levels and the induction of apoptosis</w:t>
      </w:r>
      <w:r w:rsidRPr="00300841">
        <w:rPr>
          <w:i/>
          <w:szCs w:val="24"/>
        </w:rPr>
        <w:t>.</w:t>
      </w:r>
      <w:r w:rsidRPr="00300841">
        <w:rPr>
          <w:szCs w:val="24"/>
        </w:rPr>
        <w:t xml:space="preserve"> </w:t>
      </w:r>
      <w:r w:rsidRPr="00300841">
        <w:rPr>
          <w:i/>
          <w:szCs w:val="24"/>
        </w:rPr>
        <w:t>The FASEB Journal</w:t>
      </w:r>
      <w:r w:rsidRPr="00300841">
        <w:rPr>
          <w:szCs w:val="24"/>
        </w:rPr>
        <w:t xml:space="preserve">  </w:t>
      </w:r>
      <w:r w:rsidRPr="00300841">
        <w:rPr>
          <w:b/>
          <w:szCs w:val="24"/>
        </w:rPr>
        <w:t>20</w:t>
      </w:r>
      <w:r w:rsidRPr="00300841">
        <w:rPr>
          <w:szCs w:val="24"/>
        </w:rPr>
        <w:t>, 482-484.</w:t>
      </w:r>
    </w:p>
    <w:p w:rsidR="00300841" w:rsidRPr="00300841" w:rsidRDefault="00300841" w:rsidP="00300841">
      <w:pPr>
        <w:spacing w:after="0" w:line="240" w:lineRule="auto"/>
        <w:ind w:left="720" w:hanging="720"/>
        <w:rPr>
          <w:szCs w:val="24"/>
        </w:rPr>
      </w:pPr>
      <w:r w:rsidRPr="00300841">
        <w:rPr>
          <w:szCs w:val="24"/>
        </w:rPr>
        <w:t>Taha, T.A., Mullen, T.D. and Obeid, L.M. (2006b). A house divided: Ceramide, sphingosine, and sphingosine-1-phosphate in programmed cell death</w:t>
      </w:r>
      <w:r w:rsidRPr="00300841">
        <w:rPr>
          <w:i/>
          <w:szCs w:val="24"/>
        </w:rPr>
        <w:t>.</w:t>
      </w:r>
      <w:r w:rsidRPr="00300841">
        <w:rPr>
          <w:szCs w:val="24"/>
        </w:rPr>
        <w:t xml:space="preserve"> </w:t>
      </w:r>
      <w:r w:rsidRPr="00300841">
        <w:rPr>
          <w:i/>
          <w:szCs w:val="24"/>
        </w:rPr>
        <w:t>Biochimica et Biophysica Acta (BBA) - Biomembranes</w:t>
      </w:r>
      <w:r w:rsidRPr="00300841">
        <w:rPr>
          <w:szCs w:val="24"/>
        </w:rPr>
        <w:t xml:space="preserve">  </w:t>
      </w:r>
      <w:r w:rsidRPr="00300841">
        <w:rPr>
          <w:b/>
          <w:szCs w:val="24"/>
        </w:rPr>
        <w:t>1758</w:t>
      </w:r>
      <w:r w:rsidRPr="00300841">
        <w:rPr>
          <w:szCs w:val="24"/>
        </w:rPr>
        <w:t>, 2027-2036.</w:t>
      </w:r>
    </w:p>
    <w:p w:rsidR="00300841" w:rsidRPr="00300841" w:rsidRDefault="00300841" w:rsidP="00300841">
      <w:pPr>
        <w:spacing w:after="0" w:line="240" w:lineRule="auto"/>
        <w:ind w:left="720" w:hanging="720"/>
        <w:rPr>
          <w:szCs w:val="24"/>
        </w:rPr>
      </w:pPr>
      <w:r w:rsidRPr="00300841">
        <w:rPr>
          <w:szCs w:val="24"/>
        </w:rPr>
        <w:t>Takabe, K., Paugh, S.W., Milstien, S. and Spiegel, S. (2008). "Inside-Out" Signaling of Sphingosine-1-Phosphate: Therapeutic Targets</w:t>
      </w:r>
      <w:r w:rsidRPr="00300841">
        <w:rPr>
          <w:i/>
          <w:szCs w:val="24"/>
        </w:rPr>
        <w:t>.</w:t>
      </w:r>
      <w:r w:rsidRPr="00300841">
        <w:rPr>
          <w:szCs w:val="24"/>
        </w:rPr>
        <w:t xml:space="preserve"> </w:t>
      </w:r>
      <w:r w:rsidRPr="00300841">
        <w:rPr>
          <w:i/>
          <w:szCs w:val="24"/>
        </w:rPr>
        <w:t>Pharmacological Reviews</w:t>
      </w:r>
      <w:r w:rsidRPr="00300841">
        <w:rPr>
          <w:szCs w:val="24"/>
        </w:rPr>
        <w:t xml:space="preserve">  </w:t>
      </w:r>
      <w:r w:rsidRPr="00300841">
        <w:rPr>
          <w:b/>
          <w:szCs w:val="24"/>
        </w:rPr>
        <w:t>60</w:t>
      </w:r>
      <w:r w:rsidRPr="00300841">
        <w:rPr>
          <w:szCs w:val="24"/>
        </w:rPr>
        <w:t>, 181-195.</w:t>
      </w:r>
    </w:p>
    <w:p w:rsidR="00300841" w:rsidRPr="00300841" w:rsidRDefault="00300841" w:rsidP="00300841">
      <w:pPr>
        <w:spacing w:after="0" w:line="240" w:lineRule="auto"/>
        <w:ind w:left="720" w:hanging="720"/>
        <w:rPr>
          <w:szCs w:val="24"/>
        </w:rPr>
      </w:pPr>
      <w:r w:rsidRPr="00300841">
        <w:rPr>
          <w:szCs w:val="24"/>
        </w:rPr>
        <w:t>Takemoto, K., Nagai, T., Miyawaki, A. and Miura, M. (2003). Spatio-temporal activation of caspase revealed by indicator that is insensitive to environmental effects</w:t>
      </w:r>
      <w:r w:rsidRPr="00300841">
        <w:rPr>
          <w:i/>
          <w:szCs w:val="24"/>
        </w:rPr>
        <w:t>.</w:t>
      </w:r>
      <w:r w:rsidRPr="00300841">
        <w:rPr>
          <w:szCs w:val="24"/>
        </w:rPr>
        <w:t xml:space="preserve"> </w:t>
      </w:r>
      <w:r w:rsidRPr="00300841">
        <w:rPr>
          <w:i/>
          <w:szCs w:val="24"/>
        </w:rPr>
        <w:t>The Journal of Cell Biology</w:t>
      </w:r>
      <w:r w:rsidRPr="00300841">
        <w:rPr>
          <w:szCs w:val="24"/>
        </w:rPr>
        <w:t xml:space="preserve">  </w:t>
      </w:r>
      <w:r w:rsidRPr="00300841">
        <w:rPr>
          <w:b/>
          <w:szCs w:val="24"/>
        </w:rPr>
        <w:t>160</w:t>
      </w:r>
      <w:r w:rsidRPr="00300841">
        <w:rPr>
          <w:szCs w:val="24"/>
        </w:rPr>
        <w:t>, 235-243.</w:t>
      </w:r>
    </w:p>
    <w:p w:rsidR="00300841" w:rsidRPr="00300841" w:rsidRDefault="00300841" w:rsidP="00300841">
      <w:pPr>
        <w:spacing w:after="0" w:line="240" w:lineRule="auto"/>
        <w:ind w:left="720" w:hanging="720"/>
        <w:rPr>
          <w:szCs w:val="24"/>
        </w:rPr>
      </w:pPr>
      <w:r w:rsidRPr="00300841">
        <w:rPr>
          <w:szCs w:val="24"/>
        </w:rPr>
        <w:t>Tanaka, N., Nakajima, Y., Kaneda, T., Takayama, S., Che, F.-S. and Isogai, A. (2001). DNA Laddering during Hypersensitive Cell Death in Cultured Rice Cells Induced by an Incompatible Strain of Pseudomonas avenae</w:t>
      </w:r>
      <w:r w:rsidRPr="00300841">
        <w:rPr>
          <w:i/>
          <w:szCs w:val="24"/>
        </w:rPr>
        <w:t>.</w:t>
      </w:r>
      <w:r w:rsidRPr="00300841">
        <w:rPr>
          <w:szCs w:val="24"/>
        </w:rPr>
        <w:t xml:space="preserve"> </w:t>
      </w:r>
      <w:r w:rsidRPr="00300841">
        <w:rPr>
          <w:i/>
          <w:szCs w:val="24"/>
        </w:rPr>
        <w:t>Plant Biotechnology</w:t>
      </w:r>
      <w:r w:rsidRPr="00300841">
        <w:rPr>
          <w:szCs w:val="24"/>
        </w:rPr>
        <w:t xml:space="preserve">  </w:t>
      </w:r>
      <w:r w:rsidRPr="00300841">
        <w:rPr>
          <w:b/>
          <w:szCs w:val="24"/>
        </w:rPr>
        <w:t>18</w:t>
      </w:r>
      <w:r w:rsidRPr="00300841">
        <w:rPr>
          <w:szCs w:val="24"/>
        </w:rPr>
        <w:t>, 295-299.</w:t>
      </w:r>
    </w:p>
    <w:p w:rsidR="00300841" w:rsidRPr="00300841" w:rsidRDefault="00300841" w:rsidP="00300841">
      <w:pPr>
        <w:spacing w:after="0" w:line="240" w:lineRule="auto"/>
        <w:ind w:left="720" w:hanging="720"/>
        <w:rPr>
          <w:szCs w:val="24"/>
        </w:rPr>
      </w:pPr>
      <w:r w:rsidRPr="00300841">
        <w:rPr>
          <w:szCs w:val="24"/>
        </w:rPr>
        <w:t xml:space="preserve">Than, M.E., Helm, M., Simpson, D.J., Lottspeich, F., Huber, R. and Gietl, C. (2004). The 2.0 Å Crystal Structure and Substrate Specificity of the KDEL-tailed Cysteine Endopeptidase Functioning in Programmed Cell Death of </w:t>
      </w:r>
      <w:r w:rsidRPr="00300841">
        <w:rPr>
          <w:i/>
          <w:szCs w:val="24"/>
        </w:rPr>
        <w:t>Ricinus communis</w:t>
      </w:r>
      <w:r w:rsidRPr="00300841">
        <w:rPr>
          <w:szCs w:val="24"/>
        </w:rPr>
        <w:t xml:space="preserve"> Endosperm</w:t>
      </w:r>
      <w:r w:rsidRPr="00300841">
        <w:rPr>
          <w:i/>
          <w:szCs w:val="24"/>
        </w:rPr>
        <w:t>.</w:t>
      </w:r>
      <w:r w:rsidRPr="00300841">
        <w:rPr>
          <w:szCs w:val="24"/>
        </w:rPr>
        <w:t xml:space="preserve"> </w:t>
      </w:r>
      <w:r w:rsidRPr="00300841">
        <w:rPr>
          <w:i/>
          <w:szCs w:val="24"/>
        </w:rPr>
        <w:t>Journal of Molecular Biology</w:t>
      </w:r>
      <w:r w:rsidRPr="00300841">
        <w:rPr>
          <w:szCs w:val="24"/>
        </w:rPr>
        <w:t xml:space="preserve">  </w:t>
      </w:r>
      <w:r w:rsidRPr="00300841">
        <w:rPr>
          <w:b/>
          <w:szCs w:val="24"/>
        </w:rPr>
        <w:t>336</w:t>
      </w:r>
      <w:r w:rsidRPr="00300841">
        <w:rPr>
          <w:szCs w:val="24"/>
        </w:rPr>
        <w:t>, 1103-1116.</w:t>
      </w:r>
    </w:p>
    <w:p w:rsidR="00300841" w:rsidRPr="00300841" w:rsidRDefault="00300841" w:rsidP="00300841">
      <w:pPr>
        <w:spacing w:after="0" w:line="240" w:lineRule="auto"/>
        <w:ind w:left="720" w:hanging="720"/>
        <w:rPr>
          <w:szCs w:val="24"/>
        </w:rPr>
      </w:pPr>
      <w:r w:rsidRPr="00300841">
        <w:rPr>
          <w:szCs w:val="24"/>
        </w:rPr>
        <w:t>Thomas, H., Ougham, H.J., Wagstaff, C. and Stead, A.D. (2003). Defining senescence and death</w:t>
      </w:r>
      <w:r w:rsidRPr="00300841">
        <w:rPr>
          <w:i/>
          <w:szCs w:val="24"/>
        </w:rPr>
        <w:t>.</w:t>
      </w:r>
      <w:r w:rsidRPr="00300841">
        <w:rPr>
          <w:szCs w:val="24"/>
        </w:rPr>
        <w:t xml:space="preserve"> </w:t>
      </w:r>
      <w:r w:rsidRPr="00300841">
        <w:rPr>
          <w:i/>
          <w:szCs w:val="24"/>
        </w:rPr>
        <w:t>Journal of Experimental Botany</w:t>
      </w:r>
      <w:r w:rsidRPr="00300841">
        <w:rPr>
          <w:szCs w:val="24"/>
        </w:rPr>
        <w:t xml:space="preserve">  </w:t>
      </w:r>
      <w:r w:rsidRPr="00300841">
        <w:rPr>
          <w:b/>
          <w:szCs w:val="24"/>
        </w:rPr>
        <w:t>54</w:t>
      </w:r>
      <w:r w:rsidRPr="00300841">
        <w:rPr>
          <w:szCs w:val="24"/>
        </w:rPr>
        <w:t>, 1127-1132.</w:t>
      </w:r>
    </w:p>
    <w:p w:rsidR="00300841" w:rsidRPr="00300841" w:rsidRDefault="00300841" w:rsidP="00300841">
      <w:pPr>
        <w:spacing w:after="0" w:line="240" w:lineRule="auto"/>
        <w:ind w:left="720" w:hanging="720"/>
        <w:rPr>
          <w:szCs w:val="24"/>
        </w:rPr>
      </w:pPr>
      <w:r w:rsidRPr="00300841">
        <w:rPr>
          <w:szCs w:val="24"/>
        </w:rPr>
        <w:t xml:space="preserve">Thomas, S.G. and Franklin-Tong, V.E. (2004). Self-incompatibility triggers programmed cell death in </w:t>
      </w:r>
      <w:r w:rsidRPr="00300841">
        <w:rPr>
          <w:i/>
          <w:szCs w:val="24"/>
        </w:rPr>
        <w:t xml:space="preserve">Papaver </w:t>
      </w:r>
      <w:r w:rsidRPr="00300841">
        <w:rPr>
          <w:szCs w:val="24"/>
        </w:rPr>
        <w:t>pollen</w:t>
      </w:r>
      <w:r w:rsidRPr="00300841">
        <w:rPr>
          <w:i/>
          <w:szCs w:val="24"/>
        </w:rPr>
        <w:t>.</w:t>
      </w:r>
      <w:r w:rsidRPr="00300841">
        <w:rPr>
          <w:szCs w:val="24"/>
        </w:rPr>
        <w:t xml:space="preserve"> </w:t>
      </w:r>
      <w:r w:rsidRPr="00300841">
        <w:rPr>
          <w:i/>
          <w:szCs w:val="24"/>
        </w:rPr>
        <w:t>Nature</w:t>
      </w:r>
      <w:r w:rsidRPr="00300841">
        <w:rPr>
          <w:szCs w:val="24"/>
        </w:rPr>
        <w:t xml:space="preserve">  </w:t>
      </w:r>
      <w:r w:rsidRPr="00300841">
        <w:rPr>
          <w:b/>
          <w:szCs w:val="24"/>
        </w:rPr>
        <w:t>429</w:t>
      </w:r>
      <w:r w:rsidRPr="00300841">
        <w:rPr>
          <w:szCs w:val="24"/>
        </w:rPr>
        <w:t>, 305-309.</w:t>
      </w:r>
    </w:p>
    <w:p w:rsidR="00300841" w:rsidRPr="00300841" w:rsidRDefault="00300841" w:rsidP="00300841">
      <w:pPr>
        <w:spacing w:after="0" w:line="240" w:lineRule="auto"/>
        <w:ind w:left="720" w:hanging="720"/>
        <w:rPr>
          <w:szCs w:val="24"/>
        </w:rPr>
      </w:pPr>
      <w:r w:rsidRPr="00300841">
        <w:rPr>
          <w:szCs w:val="24"/>
        </w:rPr>
        <w:t>Thomas, S.G., Huang, S., Li, S., Staiger, C.J. and Franklin-Tong, V.E. (2006). Actin depolymerization is sufficient to induce programmed cell death in self-incompatible pollen</w:t>
      </w:r>
      <w:r w:rsidRPr="00300841">
        <w:rPr>
          <w:i/>
          <w:szCs w:val="24"/>
        </w:rPr>
        <w:t>.</w:t>
      </w:r>
      <w:r w:rsidRPr="00300841">
        <w:rPr>
          <w:szCs w:val="24"/>
        </w:rPr>
        <w:t xml:space="preserve"> </w:t>
      </w:r>
      <w:r w:rsidRPr="00300841">
        <w:rPr>
          <w:i/>
          <w:szCs w:val="24"/>
        </w:rPr>
        <w:t>The Journal of Cell Biology</w:t>
      </w:r>
      <w:r w:rsidRPr="00300841">
        <w:rPr>
          <w:szCs w:val="24"/>
        </w:rPr>
        <w:t xml:space="preserve">  </w:t>
      </w:r>
      <w:r w:rsidRPr="00300841">
        <w:rPr>
          <w:b/>
          <w:szCs w:val="24"/>
        </w:rPr>
        <w:t>174</w:t>
      </w:r>
      <w:r w:rsidRPr="00300841">
        <w:rPr>
          <w:szCs w:val="24"/>
        </w:rPr>
        <w:t>, 221-229.</w:t>
      </w:r>
    </w:p>
    <w:p w:rsidR="00300841" w:rsidRPr="00300841" w:rsidRDefault="00300841" w:rsidP="00300841">
      <w:pPr>
        <w:spacing w:after="0" w:line="240" w:lineRule="auto"/>
        <w:ind w:left="720" w:hanging="720"/>
        <w:rPr>
          <w:szCs w:val="24"/>
        </w:rPr>
      </w:pPr>
      <w:r w:rsidRPr="00300841">
        <w:rPr>
          <w:szCs w:val="24"/>
        </w:rPr>
        <w:t>Thomson, C.J., Armstrong, W., Waters, I. and Greenway, H. (1990). Aerenchyma formation and associated oxygen movement in seminal and nodal roots of wheat</w:t>
      </w:r>
      <w:r w:rsidRPr="00300841">
        <w:rPr>
          <w:i/>
          <w:szCs w:val="24"/>
        </w:rPr>
        <w:t>.</w:t>
      </w:r>
      <w:r w:rsidRPr="00300841">
        <w:rPr>
          <w:szCs w:val="24"/>
        </w:rPr>
        <w:t xml:space="preserve"> </w:t>
      </w:r>
      <w:r w:rsidRPr="00300841">
        <w:rPr>
          <w:i/>
          <w:szCs w:val="24"/>
        </w:rPr>
        <w:t>Plant, Cell and Environment</w:t>
      </w:r>
      <w:r w:rsidRPr="00300841">
        <w:rPr>
          <w:szCs w:val="24"/>
        </w:rPr>
        <w:t xml:space="preserve">  </w:t>
      </w:r>
      <w:r w:rsidRPr="00300841">
        <w:rPr>
          <w:b/>
          <w:szCs w:val="24"/>
        </w:rPr>
        <w:t>13</w:t>
      </w:r>
      <w:r w:rsidRPr="00300841">
        <w:rPr>
          <w:szCs w:val="24"/>
        </w:rPr>
        <w:t>, 395-403.</w:t>
      </w:r>
    </w:p>
    <w:p w:rsidR="00300841" w:rsidRPr="00300841" w:rsidRDefault="00300841" w:rsidP="00300841">
      <w:pPr>
        <w:spacing w:after="0" w:line="240" w:lineRule="auto"/>
        <w:ind w:left="720" w:hanging="720"/>
        <w:rPr>
          <w:szCs w:val="24"/>
        </w:rPr>
      </w:pPr>
      <w:r w:rsidRPr="00300841">
        <w:rPr>
          <w:szCs w:val="24"/>
        </w:rPr>
        <w:t>Thordal-Christensen, H. (2003). Fresh insights into processes of nonhost resistance</w:t>
      </w:r>
      <w:r w:rsidRPr="00300841">
        <w:rPr>
          <w:i/>
          <w:szCs w:val="24"/>
        </w:rPr>
        <w:t>.</w:t>
      </w:r>
      <w:r w:rsidRPr="00300841">
        <w:rPr>
          <w:szCs w:val="24"/>
        </w:rPr>
        <w:t xml:space="preserve"> </w:t>
      </w:r>
      <w:r w:rsidRPr="00300841">
        <w:rPr>
          <w:i/>
          <w:szCs w:val="24"/>
        </w:rPr>
        <w:t>Current Opinion in Plant Biology</w:t>
      </w:r>
      <w:r w:rsidRPr="00300841">
        <w:rPr>
          <w:szCs w:val="24"/>
        </w:rPr>
        <w:t xml:space="preserve">  </w:t>
      </w:r>
      <w:r w:rsidRPr="00300841">
        <w:rPr>
          <w:b/>
          <w:szCs w:val="24"/>
        </w:rPr>
        <w:t>6</w:t>
      </w:r>
      <w:r w:rsidRPr="00300841">
        <w:rPr>
          <w:szCs w:val="24"/>
        </w:rPr>
        <w:t>, 351-357.</w:t>
      </w:r>
    </w:p>
    <w:p w:rsidR="00300841" w:rsidRPr="00300841" w:rsidRDefault="00300841" w:rsidP="00300841">
      <w:pPr>
        <w:spacing w:after="0" w:line="240" w:lineRule="auto"/>
        <w:ind w:left="720" w:hanging="720"/>
        <w:rPr>
          <w:szCs w:val="24"/>
        </w:rPr>
      </w:pPr>
      <w:r w:rsidRPr="00300841">
        <w:rPr>
          <w:szCs w:val="24"/>
        </w:rPr>
        <w:t>Tian, R.-H., Zhang, G.-Y., Yan, C.-H. and Dai, Y.-R. (2000). Involvement of poly(ADP-ribose) polymerase and activation of caspase-3-like protease in heat shock-induced apoptosis in tobacco suspension cells</w:t>
      </w:r>
      <w:r w:rsidRPr="00300841">
        <w:rPr>
          <w:i/>
          <w:szCs w:val="24"/>
        </w:rPr>
        <w:t>.</w:t>
      </w:r>
      <w:r w:rsidRPr="00300841">
        <w:rPr>
          <w:szCs w:val="24"/>
        </w:rPr>
        <w:t xml:space="preserve"> </w:t>
      </w:r>
      <w:r w:rsidRPr="00300841">
        <w:rPr>
          <w:i/>
          <w:szCs w:val="24"/>
        </w:rPr>
        <w:t>FEBS Letters</w:t>
      </w:r>
      <w:r w:rsidRPr="00300841">
        <w:rPr>
          <w:szCs w:val="24"/>
        </w:rPr>
        <w:t xml:space="preserve">  </w:t>
      </w:r>
      <w:r w:rsidRPr="00300841">
        <w:rPr>
          <w:b/>
          <w:szCs w:val="24"/>
        </w:rPr>
        <w:t>474</w:t>
      </w:r>
      <w:r w:rsidRPr="00300841">
        <w:rPr>
          <w:szCs w:val="24"/>
        </w:rPr>
        <w:t>, 11-15.</w:t>
      </w:r>
    </w:p>
    <w:p w:rsidR="00300841" w:rsidRPr="00300841" w:rsidRDefault="00300841" w:rsidP="00300841">
      <w:pPr>
        <w:spacing w:after="0" w:line="240" w:lineRule="auto"/>
        <w:ind w:left="720" w:hanging="720"/>
        <w:rPr>
          <w:szCs w:val="24"/>
        </w:rPr>
      </w:pPr>
      <w:r w:rsidRPr="00300841">
        <w:rPr>
          <w:szCs w:val="24"/>
        </w:rPr>
        <w:t xml:space="preserve">Titorenko, V. I. and Mullen, R. T. (2006). Peroxisome biogenesis: the peroxisomal endomembrane system and the role of the ER. </w:t>
      </w:r>
      <w:r w:rsidRPr="00300841">
        <w:rPr>
          <w:i/>
          <w:szCs w:val="24"/>
        </w:rPr>
        <w:t>The Journal of Cell Biology</w:t>
      </w:r>
      <w:r w:rsidRPr="00300841">
        <w:rPr>
          <w:szCs w:val="24"/>
        </w:rPr>
        <w:t xml:space="preserve"> </w:t>
      </w:r>
      <w:r w:rsidRPr="00300841">
        <w:rPr>
          <w:b/>
          <w:szCs w:val="24"/>
        </w:rPr>
        <w:t>174</w:t>
      </w:r>
      <w:r w:rsidRPr="00300841">
        <w:rPr>
          <w:szCs w:val="24"/>
        </w:rPr>
        <w:t>, 11-17.</w:t>
      </w:r>
    </w:p>
    <w:p w:rsidR="00300841" w:rsidRPr="00300841" w:rsidRDefault="00300841" w:rsidP="00300841">
      <w:pPr>
        <w:spacing w:after="0" w:line="240" w:lineRule="auto"/>
        <w:ind w:left="720" w:hanging="720"/>
        <w:rPr>
          <w:szCs w:val="24"/>
        </w:rPr>
      </w:pPr>
      <w:r w:rsidRPr="00300841">
        <w:rPr>
          <w:szCs w:val="24"/>
        </w:rPr>
        <w:t>Titorenko, V.I., Rachubinski, R.A. and Kwang, W.J. (2008) Chapter 5 Spatiotemporal Dynamics of the ER zderived Peroxisomal Endomembrane System,</w:t>
      </w:r>
      <w:r w:rsidRPr="00300841">
        <w:rPr>
          <w:i/>
          <w:szCs w:val="24"/>
        </w:rPr>
        <w:t xml:space="preserve"> International Review of Cell and Molecular Biology </w:t>
      </w:r>
      <w:r w:rsidRPr="00300841">
        <w:rPr>
          <w:b/>
          <w:szCs w:val="24"/>
        </w:rPr>
        <w:t>272</w:t>
      </w:r>
      <w:r w:rsidRPr="00300841">
        <w:rPr>
          <w:szCs w:val="24"/>
        </w:rPr>
        <w:t>, 191-244</w:t>
      </w:r>
      <w:r w:rsidRPr="00300841">
        <w:rPr>
          <w:i/>
          <w:szCs w:val="24"/>
        </w:rPr>
        <w:t>.</w:t>
      </w:r>
    </w:p>
    <w:p w:rsidR="00300841" w:rsidRPr="00300841" w:rsidRDefault="00300841" w:rsidP="00300841">
      <w:pPr>
        <w:spacing w:after="0" w:line="240" w:lineRule="auto"/>
        <w:ind w:left="720" w:hanging="720"/>
        <w:rPr>
          <w:szCs w:val="24"/>
        </w:rPr>
      </w:pPr>
      <w:r w:rsidRPr="00300841">
        <w:rPr>
          <w:szCs w:val="24"/>
        </w:rPr>
        <w:t xml:space="preserve"> Tiwari, B.S., Belenghi, B. and Levine, A. (2002). Oxidative Stress Increased Respiration and Generation of Reactive Oxygen Species, Resulting in ATP Depletion, Opening of Mitochondrial Permeability Transition, and Programmed Cell Death</w:t>
      </w:r>
      <w:r w:rsidRPr="00300841">
        <w:rPr>
          <w:i/>
          <w:szCs w:val="24"/>
        </w:rPr>
        <w:t>.</w:t>
      </w:r>
      <w:r w:rsidRPr="00300841">
        <w:rPr>
          <w:szCs w:val="24"/>
        </w:rPr>
        <w:t xml:space="preserve"> </w:t>
      </w:r>
      <w:r w:rsidRPr="00300841">
        <w:rPr>
          <w:i/>
          <w:szCs w:val="24"/>
        </w:rPr>
        <w:t>Plant Physiology</w:t>
      </w:r>
      <w:r w:rsidRPr="00300841">
        <w:rPr>
          <w:szCs w:val="24"/>
        </w:rPr>
        <w:t xml:space="preserve">  </w:t>
      </w:r>
      <w:r w:rsidRPr="00300841">
        <w:rPr>
          <w:b/>
          <w:szCs w:val="24"/>
        </w:rPr>
        <w:t>128</w:t>
      </w:r>
      <w:r w:rsidRPr="00300841">
        <w:rPr>
          <w:szCs w:val="24"/>
        </w:rPr>
        <w:t>, 1271-1281.</w:t>
      </w:r>
    </w:p>
    <w:p w:rsidR="00300841" w:rsidRPr="00300841" w:rsidRDefault="00300841" w:rsidP="00300841">
      <w:pPr>
        <w:spacing w:after="0" w:line="240" w:lineRule="auto"/>
        <w:ind w:left="720" w:hanging="720"/>
        <w:rPr>
          <w:szCs w:val="24"/>
        </w:rPr>
      </w:pPr>
      <w:r w:rsidRPr="00300841">
        <w:rPr>
          <w:szCs w:val="24"/>
        </w:rPr>
        <w:t xml:space="preserve">Tonsor, S.J., Scott, C., Boumaza, I., Liss, T.R., Brodsky, J.L. and Vierling, E. (2008). Heat shock protein 101 effects in </w:t>
      </w:r>
      <w:r w:rsidRPr="00300841">
        <w:rPr>
          <w:i/>
          <w:szCs w:val="24"/>
        </w:rPr>
        <w:t>A. thaliana</w:t>
      </w:r>
      <w:r w:rsidRPr="00300841">
        <w:rPr>
          <w:szCs w:val="24"/>
        </w:rPr>
        <w:t>: genetic variation, fitness and pleiotropy in controlled temperature conditions</w:t>
      </w:r>
      <w:r w:rsidRPr="00300841">
        <w:rPr>
          <w:i/>
          <w:szCs w:val="24"/>
        </w:rPr>
        <w:t>.</w:t>
      </w:r>
      <w:r w:rsidRPr="00300841">
        <w:rPr>
          <w:szCs w:val="24"/>
        </w:rPr>
        <w:t xml:space="preserve"> </w:t>
      </w:r>
      <w:r w:rsidRPr="00300841">
        <w:rPr>
          <w:i/>
          <w:szCs w:val="24"/>
        </w:rPr>
        <w:t>Molecular Ecology</w:t>
      </w:r>
      <w:r w:rsidRPr="00300841">
        <w:rPr>
          <w:szCs w:val="24"/>
        </w:rPr>
        <w:t xml:space="preserve">  </w:t>
      </w:r>
      <w:r w:rsidRPr="00300841">
        <w:rPr>
          <w:b/>
          <w:szCs w:val="24"/>
        </w:rPr>
        <w:t>17</w:t>
      </w:r>
      <w:r w:rsidRPr="00300841">
        <w:rPr>
          <w:szCs w:val="24"/>
        </w:rPr>
        <w:t>, 1614-1626.</w:t>
      </w:r>
    </w:p>
    <w:p w:rsidR="00300841" w:rsidRPr="00300841" w:rsidRDefault="00300841" w:rsidP="00300841">
      <w:pPr>
        <w:spacing w:after="0" w:line="240" w:lineRule="auto"/>
        <w:ind w:left="720" w:hanging="720"/>
        <w:rPr>
          <w:szCs w:val="24"/>
        </w:rPr>
      </w:pPr>
      <w:r w:rsidRPr="00300841">
        <w:rPr>
          <w:szCs w:val="24"/>
        </w:rPr>
        <w:t xml:space="preserve">Townley, H.E., McDonald, K., Jenkins, G.I., Knight, M.R. and Leaver, C.J. (2005). Ceramides induce programmed cell death in </w:t>
      </w:r>
      <w:r w:rsidRPr="00300841">
        <w:rPr>
          <w:i/>
          <w:szCs w:val="24"/>
        </w:rPr>
        <w:t>Arabidopsis</w:t>
      </w:r>
      <w:r w:rsidRPr="00300841">
        <w:rPr>
          <w:szCs w:val="24"/>
        </w:rPr>
        <w:t xml:space="preserve"> cells in a calcium-dependent manner</w:t>
      </w:r>
      <w:r w:rsidRPr="00300841">
        <w:rPr>
          <w:i/>
          <w:szCs w:val="24"/>
        </w:rPr>
        <w:t>.</w:t>
      </w:r>
      <w:r w:rsidRPr="00300841">
        <w:rPr>
          <w:szCs w:val="24"/>
        </w:rPr>
        <w:t xml:space="preserve"> </w:t>
      </w:r>
      <w:r w:rsidRPr="00300841">
        <w:rPr>
          <w:i/>
          <w:szCs w:val="24"/>
        </w:rPr>
        <w:t>Biological Chemistry</w:t>
      </w:r>
      <w:r w:rsidRPr="00300841">
        <w:rPr>
          <w:szCs w:val="24"/>
        </w:rPr>
        <w:t xml:space="preserve">  </w:t>
      </w:r>
      <w:r w:rsidRPr="00300841">
        <w:rPr>
          <w:b/>
          <w:szCs w:val="24"/>
        </w:rPr>
        <w:t>386</w:t>
      </w:r>
      <w:r w:rsidRPr="00300841">
        <w:rPr>
          <w:szCs w:val="24"/>
        </w:rPr>
        <w:t>, 161-166.</w:t>
      </w:r>
    </w:p>
    <w:p w:rsidR="00300841" w:rsidRPr="00300841" w:rsidRDefault="00300841" w:rsidP="00300841">
      <w:pPr>
        <w:spacing w:after="0" w:line="240" w:lineRule="auto"/>
        <w:ind w:left="720" w:hanging="720"/>
        <w:rPr>
          <w:szCs w:val="24"/>
        </w:rPr>
      </w:pPr>
      <w:r w:rsidRPr="00300841">
        <w:rPr>
          <w:szCs w:val="24"/>
        </w:rPr>
        <w:t>Turner, S., Gallois, P. and Brown, D. (2007). Tracheary Element Differentiation</w:t>
      </w:r>
      <w:r w:rsidRPr="00300841">
        <w:rPr>
          <w:i/>
          <w:szCs w:val="24"/>
        </w:rPr>
        <w:t>.</w:t>
      </w:r>
      <w:r w:rsidRPr="00300841">
        <w:rPr>
          <w:szCs w:val="24"/>
        </w:rPr>
        <w:t xml:space="preserve"> </w:t>
      </w:r>
      <w:r w:rsidRPr="00300841">
        <w:rPr>
          <w:i/>
          <w:szCs w:val="24"/>
        </w:rPr>
        <w:t>Annual Review of Plant Biology</w:t>
      </w:r>
      <w:r w:rsidRPr="00300841">
        <w:rPr>
          <w:szCs w:val="24"/>
        </w:rPr>
        <w:t xml:space="preserve">  </w:t>
      </w:r>
      <w:r w:rsidRPr="00300841">
        <w:rPr>
          <w:b/>
          <w:szCs w:val="24"/>
        </w:rPr>
        <w:t>58</w:t>
      </w:r>
      <w:r w:rsidRPr="00300841">
        <w:rPr>
          <w:szCs w:val="24"/>
        </w:rPr>
        <w:t>, 407-433.</w:t>
      </w:r>
    </w:p>
    <w:p w:rsidR="00300841" w:rsidRPr="00300841" w:rsidRDefault="00300841" w:rsidP="00300841">
      <w:pPr>
        <w:spacing w:after="0" w:line="240" w:lineRule="auto"/>
        <w:ind w:left="720" w:hanging="720"/>
        <w:rPr>
          <w:szCs w:val="24"/>
        </w:rPr>
      </w:pPr>
      <w:r w:rsidRPr="00300841">
        <w:rPr>
          <w:szCs w:val="24"/>
        </w:rPr>
        <w:t xml:space="preserve">Turner, S.R. and Somerville, C.R. (1997). Collapsed Xylem Phenotype of </w:t>
      </w:r>
      <w:r w:rsidRPr="00300841">
        <w:rPr>
          <w:i/>
          <w:szCs w:val="24"/>
        </w:rPr>
        <w:t>Arabidopsis</w:t>
      </w:r>
      <w:r w:rsidRPr="00300841">
        <w:rPr>
          <w:szCs w:val="24"/>
        </w:rPr>
        <w:t xml:space="preserve"> Identifies Mutants Deficient in Cellulose Deposition in the Secondary Cell Wall</w:t>
      </w:r>
      <w:r w:rsidRPr="00300841">
        <w:rPr>
          <w:i/>
          <w:szCs w:val="24"/>
        </w:rPr>
        <w:t>.</w:t>
      </w:r>
      <w:r w:rsidRPr="00300841">
        <w:rPr>
          <w:szCs w:val="24"/>
        </w:rPr>
        <w:t xml:space="preserve"> </w:t>
      </w:r>
      <w:r w:rsidRPr="00300841">
        <w:rPr>
          <w:i/>
          <w:szCs w:val="24"/>
        </w:rPr>
        <w:t>Plant Cell</w:t>
      </w:r>
      <w:r w:rsidRPr="00300841">
        <w:rPr>
          <w:szCs w:val="24"/>
        </w:rPr>
        <w:t xml:space="preserve">  </w:t>
      </w:r>
      <w:r w:rsidRPr="00300841">
        <w:rPr>
          <w:b/>
          <w:szCs w:val="24"/>
        </w:rPr>
        <w:t>9</w:t>
      </w:r>
      <w:r w:rsidRPr="00300841">
        <w:rPr>
          <w:szCs w:val="24"/>
        </w:rPr>
        <w:t>, 689-701.</w:t>
      </w:r>
    </w:p>
    <w:p w:rsidR="00300841" w:rsidRPr="00300841" w:rsidRDefault="00300841" w:rsidP="00300841">
      <w:pPr>
        <w:spacing w:after="0" w:line="240" w:lineRule="auto"/>
        <w:ind w:left="720" w:hanging="720"/>
        <w:rPr>
          <w:i/>
          <w:szCs w:val="24"/>
        </w:rPr>
      </w:pPr>
      <w:r w:rsidRPr="00300841">
        <w:rPr>
          <w:szCs w:val="24"/>
        </w:rPr>
        <w:t xml:space="preserve">Tuteja, N., Dieter, H. and Helmut, S. (2007) Mechanisms of High Salinity Tolerance in Plants. </w:t>
      </w:r>
      <w:r w:rsidRPr="00300841">
        <w:rPr>
          <w:i/>
          <w:szCs w:val="24"/>
        </w:rPr>
        <w:t xml:space="preserve">Methods in Enzymology </w:t>
      </w:r>
      <w:r w:rsidRPr="00300841">
        <w:rPr>
          <w:b/>
          <w:szCs w:val="24"/>
        </w:rPr>
        <w:t>428</w:t>
      </w:r>
      <w:r w:rsidRPr="00300841">
        <w:rPr>
          <w:szCs w:val="24"/>
        </w:rPr>
        <w:t>,</w:t>
      </w:r>
      <w:r w:rsidRPr="00300841">
        <w:rPr>
          <w:i/>
          <w:szCs w:val="24"/>
        </w:rPr>
        <w:t xml:space="preserve"> </w:t>
      </w:r>
      <w:r w:rsidRPr="00300841">
        <w:rPr>
          <w:szCs w:val="24"/>
        </w:rPr>
        <w:t>419-438</w:t>
      </w:r>
      <w:r w:rsidRPr="00300841">
        <w:rPr>
          <w:i/>
          <w:szCs w:val="24"/>
        </w:rPr>
        <w:t>.</w:t>
      </w:r>
    </w:p>
    <w:p w:rsidR="00300841" w:rsidRPr="00300841" w:rsidRDefault="00300841" w:rsidP="00300841">
      <w:pPr>
        <w:spacing w:after="0" w:line="240" w:lineRule="auto"/>
        <w:ind w:left="720" w:hanging="720"/>
        <w:rPr>
          <w:szCs w:val="24"/>
        </w:rPr>
      </w:pPr>
      <w:r w:rsidRPr="00300841">
        <w:rPr>
          <w:szCs w:val="24"/>
        </w:rPr>
        <w:t xml:space="preserve">Twumasi, P., Schel, J.H.N., van Ieperen, W., Woltering, E., Van Kooten, O. and Emons, A.M.C. (2009). Establishing in vitro </w:t>
      </w:r>
      <w:r w:rsidRPr="00300841">
        <w:rPr>
          <w:i/>
          <w:szCs w:val="24"/>
        </w:rPr>
        <w:t>Zinnia elegans</w:t>
      </w:r>
      <w:r w:rsidRPr="00300841">
        <w:rPr>
          <w:szCs w:val="24"/>
        </w:rPr>
        <w:t xml:space="preserve"> cell suspension culture with high tracheary element differentiation</w:t>
      </w:r>
      <w:r w:rsidRPr="00300841">
        <w:rPr>
          <w:i/>
          <w:szCs w:val="24"/>
        </w:rPr>
        <w:t>.</w:t>
      </w:r>
      <w:r w:rsidRPr="00300841">
        <w:rPr>
          <w:szCs w:val="24"/>
        </w:rPr>
        <w:t xml:space="preserve"> </w:t>
      </w:r>
      <w:r w:rsidRPr="00300841">
        <w:rPr>
          <w:i/>
          <w:szCs w:val="24"/>
        </w:rPr>
        <w:t>Cell Biology International</w:t>
      </w:r>
      <w:r w:rsidRPr="00300841">
        <w:rPr>
          <w:szCs w:val="24"/>
        </w:rPr>
        <w:t xml:space="preserve">  </w:t>
      </w:r>
      <w:r w:rsidRPr="00300841">
        <w:rPr>
          <w:b/>
          <w:szCs w:val="24"/>
        </w:rPr>
        <w:t>33</w:t>
      </w:r>
      <w:r w:rsidRPr="00300841">
        <w:rPr>
          <w:szCs w:val="24"/>
        </w:rPr>
        <w:t>, 524-533.</w:t>
      </w:r>
    </w:p>
    <w:p w:rsidR="00300841" w:rsidRPr="00300841" w:rsidRDefault="00300841" w:rsidP="00300841">
      <w:pPr>
        <w:spacing w:after="0" w:line="240" w:lineRule="auto"/>
        <w:ind w:left="720" w:hanging="720"/>
        <w:rPr>
          <w:szCs w:val="24"/>
        </w:rPr>
      </w:pPr>
      <w:r w:rsidRPr="00300841">
        <w:rPr>
          <w:szCs w:val="24"/>
        </w:rPr>
        <w:t>Urade, R. (2009). The endoplasmic reticulum stress signaling pathways in plants</w:t>
      </w:r>
      <w:r w:rsidRPr="00300841">
        <w:rPr>
          <w:i/>
          <w:szCs w:val="24"/>
        </w:rPr>
        <w:t>.</w:t>
      </w:r>
      <w:r w:rsidRPr="00300841">
        <w:rPr>
          <w:szCs w:val="24"/>
        </w:rPr>
        <w:t xml:space="preserve"> </w:t>
      </w:r>
      <w:r w:rsidRPr="00300841">
        <w:rPr>
          <w:i/>
          <w:szCs w:val="24"/>
        </w:rPr>
        <w:t>BioFactors</w:t>
      </w:r>
      <w:r w:rsidRPr="00300841">
        <w:rPr>
          <w:szCs w:val="24"/>
        </w:rPr>
        <w:t xml:space="preserve">  </w:t>
      </w:r>
      <w:r w:rsidRPr="00300841">
        <w:rPr>
          <w:b/>
          <w:szCs w:val="24"/>
        </w:rPr>
        <w:t>35</w:t>
      </w:r>
      <w:r w:rsidRPr="00300841">
        <w:rPr>
          <w:szCs w:val="24"/>
        </w:rPr>
        <w:t>, 326-331.</w:t>
      </w:r>
    </w:p>
    <w:p w:rsidR="00300841" w:rsidRPr="00300841" w:rsidRDefault="00300841" w:rsidP="00300841">
      <w:pPr>
        <w:spacing w:after="0" w:line="240" w:lineRule="auto"/>
        <w:ind w:left="720" w:hanging="720"/>
        <w:rPr>
          <w:szCs w:val="24"/>
        </w:rPr>
      </w:pPr>
      <w:r w:rsidRPr="00300841">
        <w:rPr>
          <w:szCs w:val="24"/>
        </w:rPr>
        <w:t>Uren, A.G., O'Rourke, K., Aravind, L., Pisabarro, M.T., Seshagiri, S., Koonin, E.V. and Dixit, V.M. (2000). Identification of Paracaspases and Metacaspases: Two Ancient Families of Caspase-like Proteins, One of which Plays a Key Role in MALT Lymphoma</w:t>
      </w:r>
      <w:r w:rsidRPr="00300841">
        <w:rPr>
          <w:i/>
          <w:szCs w:val="24"/>
        </w:rPr>
        <w:t>.</w:t>
      </w:r>
      <w:r w:rsidRPr="00300841">
        <w:rPr>
          <w:szCs w:val="24"/>
        </w:rPr>
        <w:t xml:space="preserve"> </w:t>
      </w:r>
      <w:r w:rsidRPr="00300841">
        <w:rPr>
          <w:i/>
          <w:szCs w:val="24"/>
        </w:rPr>
        <w:t>Molecular Cell</w:t>
      </w:r>
      <w:r w:rsidRPr="00300841">
        <w:rPr>
          <w:szCs w:val="24"/>
        </w:rPr>
        <w:t xml:space="preserve">  </w:t>
      </w:r>
      <w:r w:rsidRPr="00300841">
        <w:rPr>
          <w:b/>
          <w:szCs w:val="24"/>
        </w:rPr>
        <w:t>6</w:t>
      </w:r>
      <w:r w:rsidRPr="00300841">
        <w:rPr>
          <w:szCs w:val="24"/>
        </w:rPr>
        <w:t>, 961-967.</w:t>
      </w:r>
    </w:p>
    <w:p w:rsidR="00300841" w:rsidRPr="00300841" w:rsidRDefault="00300841" w:rsidP="00300841">
      <w:pPr>
        <w:spacing w:after="0" w:line="240" w:lineRule="auto"/>
        <w:ind w:left="720" w:hanging="720"/>
        <w:rPr>
          <w:szCs w:val="24"/>
        </w:rPr>
      </w:pPr>
      <w:r w:rsidRPr="00300841">
        <w:rPr>
          <w:szCs w:val="24"/>
        </w:rPr>
        <w:t>Vacca, R.A., Valenti, D., Bobba, A., Merafina, R.S., Passarella, S. and Marra, E. (2006). Cytochrome c Is Released in a Reactive Oxygen Species-Dependent Manner and Is Degraded via Caspase-Like Proteases in Tobacco Bright-Yellow 2 Cells en Route to Heat Shock-Induced Cell Death</w:t>
      </w:r>
      <w:r w:rsidRPr="00300841">
        <w:rPr>
          <w:i/>
          <w:szCs w:val="24"/>
        </w:rPr>
        <w:t>.</w:t>
      </w:r>
      <w:r w:rsidRPr="00300841">
        <w:rPr>
          <w:szCs w:val="24"/>
        </w:rPr>
        <w:t xml:space="preserve"> </w:t>
      </w:r>
      <w:r w:rsidRPr="00300841">
        <w:rPr>
          <w:i/>
          <w:szCs w:val="24"/>
        </w:rPr>
        <w:t>Plant Physiology</w:t>
      </w:r>
      <w:r w:rsidRPr="00300841">
        <w:rPr>
          <w:szCs w:val="24"/>
        </w:rPr>
        <w:t xml:space="preserve">  </w:t>
      </w:r>
      <w:r w:rsidRPr="00300841">
        <w:rPr>
          <w:b/>
          <w:szCs w:val="24"/>
        </w:rPr>
        <w:t>141</w:t>
      </w:r>
      <w:r w:rsidRPr="00300841">
        <w:rPr>
          <w:szCs w:val="24"/>
        </w:rPr>
        <w:t>, 208-219.</w:t>
      </w:r>
    </w:p>
    <w:p w:rsidR="00300841" w:rsidRPr="00300841" w:rsidRDefault="00300841" w:rsidP="00300841">
      <w:pPr>
        <w:spacing w:after="0" w:line="240" w:lineRule="auto"/>
        <w:ind w:left="720" w:hanging="720"/>
        <w:rPr>
          <w:szCs w:val="24"/>
        </w:rPr>
      </w:pPr>
      <w:r w:rsidRPr="00300841">
        <w:rPr>
          <w:szCs w:val="24"/>
        </w:rPr>
        <w:t>Van Dam, N.M. and Hare, J.D. (1998). Biological Activity of Datura wrightii Glandular Trichome Exudate Against Manduca Sexta Larvae</w:t>
      </w:r>
      <w:r w:rsidRPr="00300841">
        <w:rPr>
          <w:i/>
          <w:szCs w:val="24"/>
        </w:rPr>
        <w:t>.</w:t>
      </w:r>
      <w:r w:rsidRPr="00300841">
        <w:rPr>
          <w:szCs w:val="24"/>
        </w:rPr>
        <w:t xml:space="preserve"> </w:t>
      </w:r>
      <w:r w:rsidRPr="00300841">
        <w:rPr>
          <w:i/>
          <w:szCs w:val="24"/>
        </w:rPr>
        <w:t>Journal of Chemical Ecology</w:t>
      </w:r>
      <w:r w:rsidRPr="00300841">
        <w:rPr>
          <w:szCs w:val="24"/>
        </w:rPr>
        <w:t xml:space="preserve">  </w:t>
      </w:r>
      <w:r w:rsidRPr="00300841">
        <w:rPr>
          <w:b/>
          <w:szCs w:val="24"/>
        </w:rPr>
        <w:t>24</w:t>
      </w:r>
      <w:r w:rsidRPr="00300841">
        <w:rPr>
          <w:szCs w:val="24"/>
        </w:rPr>
        <w:t>, 1529-1549.</w:t>
      </w:r>
    </w:p>
    <w:p w:rsidR="00300841" w:rsidRPr="00300841" w:rsidRDefault="00300841" w:rsidP="00300841">
      <w:pPr>
        <w:spacing w:after="0" w:line="240" w:lineRule="auto"/>
        <w:ind w:left="720" w:hanging="720"/>
        <w:rPr>
          <w:szCs w:val="24"/>
        </w:rPr>
      </w:pPr>
      <w:r w:rsidRPr="00300841">
        <w:rPr>
          <w:szCs w:val="24"/>
        </w:rPr>
        <w:t>van der Biezen, E.A. and Jones, J.D.G. (1998). The NB-ARC domain: a novel signalling motif shared by plant resistance gene products and regulators of cell death in animals</w:t>
      </w:r>
      <w:r w:rsidRPr="00300841">
        <w:rPr>
          <w:i/>
          <w:szCs w:val="24"/>
        </w:rPr>
        <w:t>.</w:t>
      </w:r>
      <w:r w:rsidRPr="00300841">
        <w:rPr>
          <w:szCs w:val="24"/>
        </w:rPr>
        <w:t xml:space="preserve"> </w:t>
      </w:r>
      <w:r w:rsidRPr="00300841">
        <w:rPr>
          <w:i/>
          <w:szCs w:val="24"/>
        </w:rPr>
        <w:t>Current Biology</w:t>
      </w:r>
      <w:r w:rsidRPr="00300841">
        <w:rPr>
          <w:szCs w:val="24"/>
        </w:rPr>
        <w:t xml:space="preserve">  </w:t>
      </w:r>
      <w:r w:rsidRPr="00300841">
        <w:rPr>
          <w:b/>
          <w:szCs w:val="24"/>
        </w:rPr>
        <w:t>8</w:t>
      </w:r>
      <w:r w:rsidRPr="00300841">
        <w:rPr>
          <w:szCs w:val="24"/>
        </w:rPr>
        <w:t>, 226-228.</w:t>
      </w:r>
    </w:p>
    <w:p w:rsidR="00300841" w:rsidRPr="00300841" w:rsidRDefault="00300841" w:rsidP="00300841">
      <w:pPr>
        <w:spacing w:after="0" w:line="240" w:lineRule="auto"/>
        <w:ind w:left="720" w:hanging="720"/>
        <w:rPr>
          <w:szCs w:val="24"/>
        </w:rPr>
      </w:pPr>
      <w:r w:rsidRPr="00300841">
        <w:rPr>
          <w:szCs w:val="24"/>
        </w:rPr>
        <w:t xml:space="preserve">van Doorn, W.G. and Woltering, E.J. (2004). Senescence and programmed cell death: substance or semantics? </w:t>
      </w:r>
      <w:r w:rsidRPr="00300841">
        <w:rPr>
          <w:i/>
          <w:szCs w:val="24"/>
        </w:rPr>
        <w:t>Journal of Experimental Botany</w:t>
      </w:r>
      <w:r w:rsidRPr="00300841">
        <w:rPr>
          <w:szCs w:val="24"/>
        </w:rPr>
        <w:t xml:space="preserve">  </w:t>
      </w:r>
      <w:r w:rsidRPr="00300841">
        <w:rPr>
          <w:b/>
          <w:szCs w:val="24"/>
        </w:rPr>
        <w:t>55</w:t>
      </w:r>
      <w:r w:rsidRPr="00300841">
        <w:rPr>
          <w:szCs w:val="24"/>
        </w:rPr>
        <w:t>, 2147-2153.</w:t>
      </w:r>
    </w:p>
    <w:p w:rsidR="00300841" w:rsidRPr="00300841" w:rsidRDefault="00300841" w:rsidP="00300841">
      <w:pPr>
        <w:spacing w:after="0" w:line="240" w:lineRule="auto"/>
        <w:ind w:left="720" w:hanging="720"/>
        <w:rPr>
          <w:szCs w:val="24"/>
        </w:rPr>
      </w:pPr>
      <w:r w:rsidRPr="00300841">
        <w:rPr>
          <w:szCs w:val="24"/>
        </w:rPr>
        <w:t>van Doorn, W.G. and Woltering, E.J. (2005). Many ways to exit? Cell death categories in plants</w:t>
      </w:r>
      <w:r w:rsidRPr="00300841">
        <w:rPr>
          <w:i/>
          <w:szCs w:val="24"/>
        </w:rPr>
        <w:t>.</w:t>
      </w:r>
      <w:r w:rsidRPr="00300841">
        <w:rPr>
          <w:szCs w:val="24"/>
        </w:rPr>
        <w:t xml:space="preserve"> </w:t>
      </w:r>
      <w:r w:rsidRPr="00300841">
        <w:rPr>
          <w:i/>
          <w:szCs w:val="24"/>
        </w:rPr>
        <w:t>Trends in Plant Science</w:t>
      </w:r>
      <w:r w:rsidRPr="00300841">
        <w:rPr>
          <w:szCs w:val="24"/>
        </w:rPr>
        <w:t xml:space="preserve">  </w:t>
      </w:r>
      <w:r w:rsidRPr="00300841">
        <w:rPr>
          <w:b/>
          <w:szCs w:val="24"/>
        </w:rPr>
        <w:t>10</w:t>
      </w:r>
      <w:r w:rsidRPr="00300841">
        <w:rPr>
          <w:szCs w:val="24"/>
        </w:rPr>
        <w:t>, 117-122.</w:t>
      </w:r>
    </w:p>
    <w:p w:rsidR="00300841" w:rsidRPr="00300841" w:rsidRDefault="00300841" w:rsidP="00300841">
      <w:pPr>
        <w:spacing w:after="0" w:line="240" w:lineRule="auto"/>
        <w:ind w:left="720" w:hanging="720"/>
        <w:rPr>
          <w:szCs w:val="24"/>
        </w:rPr>
      </w:pPr>
      <w:r w:rsidRPr="00300841">
        <w:rPr>
          <w:szCs w:val="24"/>
        </w:rPr>
        <w:t>van Doorn, W.G. and Woltering, E.J. (2008). Physiology and molecular biology of petal senescence</w:t>
      </w:r>
      <w:r w:rsidRPr="00300841">
        <w:rPr>
          <w:i/>
          <w:szCs w:val="24"/>
        </w:rPr>
        <w:t>.</w:t>
      </w:r>
      <w:r w:rsidRPr="00300841">
        <w:rPr>
          <w:szCs w:val="24"/>
        </w:rPr>
        <w:t xml:space="preserve"> </w:t>
      </w:r>
      <w:r w:rsidRPr="00300841">
        <w:rPr>
          <w:i/>
          <w:szCs w:val="24"/>
        </w:rPr>
        <w:t>Journal of Experimental Botany</w:t>
      </w:r>
      <w:r w:rsidRPr="00300841">
        <w:rPr>
          <w:szCs w:val="24"/>
        </w:rPr>
        <w:t xml:space="preserve">  </w:t>
      </w:r>
      <w:r w:rsidRPr="00300841">
        <w:rPr>
          <w:b/>
          <w:szCs w:val="24"/>
        </w:rPr>
        <w:t>59</w:t>
      </w:r>
      <w:r w:rsidRPr="00300841">
        <w:rPr>
          <w:szCs w:val="24"/>
        </w:rPr>
        <w:t>, 453-480.</w:t>
      </w:r>
    </w:p>
    <w:p w:rsidR="00300841" w:rsidRPr="00300841" w:rsidRDefault="00300841" w:rsidP="00300841">
      <w:pPr>
        <w:spacing w:after="0" w:line="240" w:lineRule="auto"/>
        <w:ind w:left="720" w:hanging="720"/>
        <w:rPr>
          <w:b/>
          <w:szCs w:val="24"/>
        </w:rPr>
      </w:pPr>
      <w:r w:rsidRPr="00300841">
        <w:rPr>
          <w:szCs w:val="24"/>
        </w:rPr>
        <w:t xml:space="preserve">van Doorn, W.G. and Woltering, E.J. (2010). What about the role of autophagy in PCD? </w:t>
      </w:r>
      <w:r w:rsidRPr="00300841">
        <w:rPr>
          <w:i/>
          <w:szCs w:val="24"/>
        </w:rPr>
        <w:t>Trends in Plant Science</w:t>
      </w:r>
      <w:r w:rsidRPr="00300841">
        <w:rPr>
          <w:szCs w:val="24"/>
        </w:rPr>
        <w:t xml:space="preserve">  </w:t>
      </w:r>
      <w:r w:rsidRPr="00300841">
        <w:rPr>
          <w:b/>
          <w:szCs w:val="24"/>
        </w:rPr>
        <w:t>15</w:t>
      </w:r>
      <w:r w:rsidRPr="00300841">
        <w:rPr>
          <w:szCs w:val="24"/>
        </w:rPr>
        <w:t>,</w:t>
      </w:r>
      <w:r w:rsidRPr="00300841">
        <w:rPr>
          <w:b/>
          <w:szCs w:val="24"/>
        </w:rPr>
        <w:t xml:space="preserve"> </w:t>
      </w:r>
      <w:r w:rsidRPr="00300841">
        <w:rPr>
          <w:rFonts w:asciiTheme="minorHAnsi" w:eastAsiaTheme="minorHAnsi" w:hAnsiTheme="minorHAnsi" w:cstheme="minorBidi"/>
        </w:rPr>
        <w:t>361-362.</w:t>
      </w:r>
      <w:r w:rsidRPr="00300841">
        <w:rPr>
          <w:b/>
          <w:szCs w:val="24"/>
        </w:rPr>
        <w:t xml:space="preserve"> </w:t>
      </w:r>
    </w:p>
    <w:p w:rsidR="00300841" w:rsidRPr="00300841" w:rsidRDefault="00300841" w:rsidP="00300841">
      <w:pPr>
        <w:spacing w:after="0" w:line="240" w:lineRule="auto"/>
        <w:ind w:left="720" w:hanging="720"/>
        <w:rPr>
          <w:szCs w:val="24"/>
        </w:rPr>
      </w:pPr>
      <w:r w:rsidRPr="00300841">
        <w:rPr>
          <w:szCs w:val="24"/>
        </w:rPr>
        <w:t>Varnier, A.-L., Mazeyrat-Gourbeyre, F., Sangwan, R.S. and Clément, C. (2005). Programmed cell death progressively models the development of anther sporophytic tissues from the tapetum and is triggered in pollen grains during maturation</w:t>
      </w:r>
      <w:r w:rsidRPr="00300841">
        <w:rPr>
          <w:i/>
          <w:szCs w:val="24"/>
        </w:rPr>
        <w:t>.</w:t>
      </w:r>
      <w:r w:rsidRPr="00300841">
        <w:rPr>
          <w:szCs w:val="24"/>
        </w:rPr>
        <w:t xml:space="preserve"> </w:t>
      </w:r>
      <w:r w:rsidRPr="00300841">
        <w:rPr>
          <w:i/>
          <w:szCs w:val="24"/>
        </w:rPr>
        <w:t>Journal of Structural Biology</w:t>
      </w:r>
      <w:r w:rsidRPr="00300841">
        <w:rPr>
          <w:szCs w:val="24"/>
        </w:rPr>
        <w:t xml:space="preserve">  </w:t>
      </w:r>
      <w:r w:rsidRPr="00300841">
        <w:rPr>
          <w:b/>
          <w:szCs w:val="24"/>
        </w:rPr>
        <w:t>152</w:t>
      </w:r>
      <w:r w:rsidRPr="00300841">
        <w:rPr>
          <w:szCs w:val="24"/>
        </w:rPr>
        <w:t>, 118-128.</w:t>
      </w:r>
    </w:p>
    <w:p w:rsidR="00300841" w:rsidRPr="00300841" w:rsidRDefault="00300841" w:rsidP="00300841">
      <w:pPr>
        <w:spacing w:after="0" w:line="240" w:lineRule="auto"/>
        <w:ind w:left="720" w:hanging="720"/>
        <w:rPr>
          <w:szCs w:val="24"/>
        </w:rPr>
      </w:pPr>
      <w:r w:rsidRPr="00300841">
        <w:rPr>
          <w:szCs w:val="24"/>
        </w:rPr>
        <w:t>Vasil’ev, L., Dzyubinskaya, E., Zinovkin, R., Kiselevsky, D., Lobysheva, N. and Samuilov, V. (2009). Chitosan-induced programmed cell death in plants</w:t>
      </w:r>
      <w:r w:rsidRPr="00300841">
        <w:rPr>
          <w:i/>
          <w:szCs w:val="24"/>
        </w:rPr>
        <w:t>.</w:t>
      </w:r>
      <w:r w:rsidRPr="00300841">
        <w:rPr>
          <w:szCs w:val="24"/>
        </w:rPr>
        <w:t xml:space="preserve"> </w:t>
      </w:r>
      <w:r w:rsidRPr="00300841">
        <w:rPr>
          <w:i/>
          <w:szCs w:val="24"/>
        </w:rPr>
        <w:t>Biochemistry (Moscow)</w:t>
      </w:r>
      <w:r w:rsidRPr="00300841">
        <w:rPr>
          <w:szCs w:val="24"/>
        </w:rPr>
        <w:t xml:space="preserve">  </w:t>
      </w:r>
      <w:r w:rsidRPr="00300841">
        <w:rPr>
          <w:b/>
          <w:szCs w:val="24"/>
        </w:rPr>
        <w:t>74</w:t>
      </w:r>
      <w:r w:rsidRPr="00300841">
        <w:rPr>
          <w:szCs w:val="24"/>
        </w:rPr>
        <w:t>, 1035-1043.</w:t>
      </w:r>
    </w:p>
    <w:p w:rsidR="00300841" w:rsidRPr="00300841" w:rsidRDefault="00300841" w:rsidP="00300841">
      <w:pPr>
        <w:spacing w:after="0" w:line="240" w:lineRule="auto"/>
        <w:ind w:left="720" w:hanging="720"/>
        <w:rPr>
          <w:szCs w:val="24"/>
        </w:rPr>
      </w:pPr>
      <w:r w:rsidRPr="00300841">
        <w:rPr>
          <w:szCs w:val="24"/>
        </w:rPr>
        <w:t xml:space="preserve">Vercammen, D., van de Cotte, B., De Jaeger, G., Eeckhout, D., Casteels, P., Vandepoele, K., Vandenberghe, I., Van Beeumen, J., Inzé, D. and Van Breusegem, F. (2004). Type II Metacaspases Atmc4 and Atmc9 of Arabidopsis thaliana Cleave Substrates after Arginine and Lysine. </w:t>
      </w:r>
      <w:r w:rsidRPr="00300841">
        <w:rPr>
          <w:i/>
          <w:szCs w:val="24"/>
        </w:rPr>
        <w:t>Journal of Biological Chemistry</w:t>
      </w:r>
      <w:r w:rsidRPr="00300841">
        <w:rPr>
          <w:b/>
          <w:szCs w:val="24"/>
        </w:rPr>
        <w:t xml:space="preserve"> 279, </w:t>
      </w:r>
      <w:r w:rsidRPr="00300841">
        <w:rPr>
          <w:szCs w:val="24"/>
        </w:rPr>
        <w:t>45329-45336.</w:t>
      </w:r>
    </w:p>
    <w:p w:rsidR="00300841" w:rsidRPr="00300841" w:rsidRDefault="00300841" w:rsidP="00300841">
      <w:pPr>
        <w:spacing w:after="0" w:line="240" w:lineRule="auto"/>
        <w:ind w:left="720" w:hanging="720"/>
        <w:rPr>
          <w:szCs w:val="24"/>
        </w:rPr>
      </w:pPr>
      <w:r w:rsidRPr="00300841">
        <w:rPr>
          <w:szCs w:val="24"/>
        </w:rPr>
        <w:t>Villiers, T. (1967). Cytolysosomes in long-dormant plant embryo cells</w:t>
      </w:r>
      <w:r w:rsidRPr="00300841">
        <w:rPr>
          <w:i/>
          <w:szCs w:val="24"/>
        </w:rPr>
        <w:t>.</w:t>
      </w:r>
      <w:r w:rsidRPr="00300841">
        <w:rPr>
          <w:szCs w:val="24"/>
        </w:rPr>
        <w:t xml:space="preserve"> </w:t>
      </w:r>
      <w:r w:rsidRPr="00300841">
        <w:rPr>
          <w:i/>
          <w:szCs w:val="24"/>
        </w:rPr>
        <w:t>Nature</w:t>
      </w:r>
      <w:r w:rsidRPr="00300841">
        <w:rPr>
          <w:szCs w:val="24"/>
        </w:rPr>
        <w:t xml:space="preserve">  </w:t>
      </w:r>
      <w:r w:rsidRPr="00300841">
        <w:rPr>
          <w:b/>
          <w:szCs w:val="24"/>
        </w:rPr>
        <w:t>214</w:t>
      </w:r>
      <w:r w:rsidRPr="00300841">
        <w:rPr>
          <w:szCs w:val="24"/>
        </w:rPr>
        <w:t>, 1356-1357.</w:t>
      </w:r>
    </w:p>
    <w:p w:rsidR="00300841" w:rsidRPr="00300841" w:rsidRDefault="00300841" w:rsidP="00300841">
      <w:pPr>
        <w:spacing w:after="0" w:line="240" w:lineRule="auto"/>
        <w:ind w:left="720" w:hanging="720"/>
        <w:rPr>
          <w:szCs w:val="24"/>
        </w:rPr>
      </w:pPr>
      <w:r w:rsidRPr="00300841">
        <w:rPr>
          <w:szCs w:val="24"/>
        </w:rPr>
        <w:t>Visser, E.J.W. and Bögemann, G.M. (2006). Aerenchyma Formation in the Wetland Plant Juncus effusus is Independent of Ethylene</w:t>
      </w:r>
      <w:r w:rsidRPr="00300841">
        <w:rPr>
          <w:i/>
          <w:szCs w:val="24"/>
        </w:rPr>
        <w:t>.</w:t>
      </w:r>
      <w:r w:rsidRPr="00300841">
        <w:rPr>
          <w:szCs w:val="24"/>
        </w:rPr>
        <w:t xml:space="preserve"> </w:t>
      </w:r>
      <w:r w:rsidRPr="00300841">
        <w:rPr>
          <w:i/>
          <w:szCs w:val="24"/>
        </w:rPr>
        <w:t>New Phytologist</w:t>
      </w:r>
      <w:r w:rsidRPr="00300841">
        <w:rPr>
          <w:szCs w:val="24"/>
        </w:rPr>
        <w:t xml:space="preserve">  </w:t>
      </w:r>
      <w:r w:rsidRPr="00300841">
        <w:rPr>
          <w:b/>
          <w:szCs w:val="24"/>
        </w:rPr>
        <w:t>171</w:t>
      </w:r>
      <w:r w:rsidRPr="00300841">
        <w:rPr>
          <w:szCs w:val="24"/>
        </w:rPr>
        <w:t>, 305-314.</w:t>
      </w:r>
    </w:p>
    <w:p w:rsidR="00300841" w:rsidRPr="00300841" w:rsidRDefault="00300841" w:rsidP="00300841">
      <w:pPr>
        <w:spacing w:after="0" w:line="240" w:lineRule="auto"/>
        <w:ind w:left="720" w:hanging="720"/>
        <w:rPr>
          <w:szCs w:val="24"/>
        </w:rPr>
      </w:pPr>
      <w:r w:rsidRPr="00300841">
        <w:rPr>
          <w:szCs w:val="24"/>
        </w:rPr>
        <w:t xml:space="preserve">Vitale, A. and Ceriotti, A. (2004). Protein Quality Control Mechanisms and Protein Storage in the Endoplasmic Reticulum. A Conflict of Interests? </w:t>
      </w:r>
      <w:r w:rsidRPr="00300841">
        <w:rPr>
          <w:i/>
          <w:szCs w:val="24"/>
        </w:rPr>
        <w:t>Plant Physiology</w:t>
      </w:r>
      <w:r w:rsidRPr="00300841">
        <w:rPr>
          <w:szCs w:val="24"/>
        </w:rPr>
        <w:t xml:space="preserve">  </w:t>
      </w:r>
      <w:r w:rsidRPr="00300841">
        <w:rPr>
          <w:b/>
          <w:szCs w:val="24"/>
        </w:rPr>
        <w:t>136</w:t>
      </w:r>
      <w:r w:rsidRPr="00300841">
        <w:rPr>
          <w:szCs w:val="24"/>
        </w:rPr>
        <w:t>, 3420-3426.</w:t>
      </w:r>
    </w:p>
    <w:p w:rsidR="00300841" w:rsidRPr="00300841" w:rsidRDefault="00300841" w:rsidP="00300841">
      <w:pPr>
        <w:spacing w:after="0" w:line="240" w:lineRule="auto"/>
        <w:ind w:left="720" w:hanging="720"/>
        <w:rPr>
          <w:szCs w:val="24"/>
        </w:rPr>
      </w:pPr>
      <w:r w:rsidRPr="00300841">
        <w:rPr>
          <w:szCs w:val="24"/>
        </w:rPr>
        <w:t xml:space="preserve">Vizcay-Barrena, G. and Wilson, Z.A. (2006). Altered tapetal PCD and pollen wall development in the </w:t>
      </w:r>
      <w:r w:rsidRPr="00300841">
        <w:rPr>
          <w:i/>
          <w:szCs w:val="24"/>
        </w:rPr>
        <w:t xml:space="preserve">Arabidopsis </w:t>
      </w:r>
      <w:r w:rsidRPr="00300841">
        <w:rPr>
          <w:szCs w:val="24"/>
        </w:rPr>
        <w:t>ms1 mutant</w:t>
      </w:r>
      <w:r w:rsidRPr="00300841">
        <w:rPr>
          <w:i/>
          <w:szCs w:val="24"/>
        </w:rPr>
        <w:t>.</w:t>
      </w:r>
      <w:r w:rsidRPr="00300841">
        <w:rPr>
          <w:szCs w:val="24"/>
        </w:rPr>
        <w:t xml:space="preserve"> </w:t>
      </w:r>
      <w:r w:rsidRPr="00300841">
        <w:rPr>
          <w:i/>
          <w:szCs w:val="24"/>
        </w:rPr>
        <w:t>Journal of Experimental Botany</w:t>
      </w:r>
      <w:r w:rsidRPr="00300841">
        <w:rPr>
          <w:szCs w:val="24"/>
        </w:rPr>
        <w:t xml:space="preserve">  </w:t>
      </w:r>
      <w:r w:rsidRPr="00300841">
        <w:rPr>
          <w:b/>
          <w:szCs w:val="24"/>
        </w:rPr>
        <w:t>57</w:t>
      </w:r>
      <w:r w:rsidRPr="00300841">
        <w:rPr>
          <w:szCs w:val="24"/>
        </w:rPr>
        <w:t>, 2709-2717.</w:t>
      </w:r>
    </w:p>
    <w:p w:rsidR="00300841" w:rsidRPr="00300841" w:rsidRDefault="00300841" w:rsidP="00300841">
      <w:pPr>
        <w:spacing w:after="0" w:line="240" w:lineRule="auto"/>
        <w:ind w:left="720" w:hanging="720"/>
        <w:rPr>
          <w:szCs w:val="24"/>
        </w:rPr>
      </w:pPr>
      <w:r w:rsidRPr="00300841">
        <w:rPr>
          <w:szCs w:val="24"/>
        </w:rPr>
        <w:t xml:space="preserve">Wagner, D., Przybyla, D., op den Camp, R., Kim, C., Landgraf, F., Lee, K.P., Wursch, M., Laloi, C., Nater, M., Hideg, E. and Apel, K. (2004). The Genetic Basis of Singlet Oxygen-Induced Stress Responses of </w:t>
      </w:r>
      <w:r w:rsidRPr="00300841">
        <w:rPr>
          <w:i/>
          <w:szCs w:val="24"/>
        </w:rPr>
        <w:t>Arabidopsis</w:t>
      </w:r>
      <w:r w:rsidRPr="00300841">
        <w:rPr>
          <w:szCs w:val="24"/>
        </w:rPr>
        <w:t xml:space="preserve"> </w:t>
      </w:r>
      <w:r w:rsidRPr="00300841">
        <w:rPr>
          <w:i/>
          <w:szCs w:val="24"/>
        </w:rPr>
        <w:t>thaliana.</w:t>
      </w:r>
      <w:r w:rsidRPr="00300841">
        <w:rPr>
          <w:szCs w:val="24"/>
        </w:rPr>
        <w:t xml:space="preserve"> </w:t>
      </w:r>
      <w:r w:rsidRPr="00300841">
        <w:rPr>
          <w:i/>
          <w:szCs w:val="24"/>
        </w:rPr>
        <w:t>Science</w:t>
      </w:r>
      <w:r w:rsidRPr="00300841">
        <w:rPr>
          <w:szCs w:val="24"/>
        </w:rPr>
        <w:t xml:space="preserve">  </w:t>
      </w:r>
      <w:r w:rsidRPr="00300841">
        <w:rPr>
          <w:b/>
          <w:szCs w:val="24"/>
        </w:rPr>
        <w:t>306</w:t>
      </w:r>
      <w:r w:rsidRPr="00300841">
        <w:rPr>
          <w:szCs w:val="24"/>
        </w:rPr>
        <w:t>, 1183-1185.</w:t>
      </w:r>
    </w:p>
    <w:p w:rsidR="00300841" w:rsidRPr="00300841" w:rsidRDefault="00300841" w:rsidP="00300841">
      <w:pPr>
        <w:spacing w:after="0" w:line="240" w:lineRule="auto"/>
        <w:ind w:left="720" w:hanging="720"/>
        <w:rPr>
          <w:szCs w:val="24"/>
        </w:rPr>
      </w:pPr>
      <w:r w:rsidRPr="00300841">
        <w:rPr>
          <w:szCs w:val="24"/>
        </w:rPr>
        <w:t>Wahid, A., Gelani, S., Ashraf, M. and Foolad, M.R. (2007). Heat tolerance in plants: An overview</w:t>
      </w:r>
      <w:r w:rsidRPr="00300841">
        <w:rPr>
          <w:i/>
          <w:szCs w:val="24"/>
        </w:rPr>
        <w:t>.</w:t>
      </w:r>
      <w:r w:rsidRPr="00300841">
        <w:rPr>
          <w:szCs w:val="24"/>
        </w:rPr>
        <w:t xml:space="preserve"> </w:t>
      </w:r>
      <w:r w:rsidRPr="00300841">
        <w:rPr>
          <w:i/>
          <w:szCs w:val="24"/>
        </w:rPr>
        <w:t>Environmental and Experimental Botany</w:t>
      </w:r>
      <w:r w:rsidRPr="00300841">
        <w:rPr>
          <w:szCs w:val="24"/>
        </w:rPr>
        <w:t xml:space="preserve">  </w:t>
      </w:r>
      <w:r w:rsidRPr="00300841">
        <w:rPr>
          <w:b/>
          <w:szCs w:val="24"/>
        </w:rPr>
        <w:t>61</w:t>
      </w:r>
      <w:r w:rsidRPr="00300841">
        <w:rPr>
          <w:szCs w:val="24"/>
        </w:rPr>
        <w:t>, 199-223.</w:t>
      </w:r>
    </w:p>
    <w:p w:rsidR="00300841" w:rsidRPr="00300841" w:rsidRDefault="00300841" w:rsidP="00300841">
      <w:pPr>
        <w:spacing w:after="0" w:line="240" w:lineRule="auto"/>
        <w:ind w:left="720" w:hanging="720"/>
        <w:rPr>
          <w:szCs w:val="24"/>
        </w:rPr>
      </w:pPr>
      <w:r w:rsidRPr="00300841">
        <w:rPr>
          <w:szCs w:val="24"/>
        </w:rPr>
        <w:t xml:space="preserve">Wallis, J. G. and Browse, J. (2010) Lipid biochemists salute the genome. </w:t>
      </w:r>
      <w:r w:rsidRPr="00300841">
        <w:rPr>
          <w:i/>
          <w:szCs w:val="24"/>
        </w:rPr>
        <w:t>The Plant Journal</w:t>
      </w:r>
      <w:r w:rsidRPr="00300841">
        <w:rPr>
          <w:szCs w:val="24"/>
        </w:rPr>
        <w:t xml:space="preserve"> </w:t>
      </w:r>
      <w:r w:rsidRPr="00300841">
        <w:rPr>
          <w:b/>
          <w:szCs w:val="24"/>
        </w:rPr>
        <w:t>61</w:t>
      </w:r>
      <w:r w:rsidRPr="00300841">
        <w:rPr>
          <w:szCs w:val="24"/>
        </w:rPr>
        <w:t>, 1092-1106.</w:t>
      </w:r>
    </w:p>
    <w:p w:rsidR="00300841" w:rsidRPr="00300841" w:rsidRDefault="00300841" w:rsidP="00300841">
      <w:pPr>
        <w:spacing w:after="0" w:line="240" w:lineRule="auto"/>
        <w:ind w:left="720" w:hanging="720"/>
        <w:rPr>
          <w:szCs w:val="24"/>
        </w:rPr>
      </w:pPr>
      <w:r w:rsidRPr="00300841">
        <w:rPr>
          <w:szCs w:val="24"/>
        </w:rPr>
        <w:t xml:space="preserve">Wang, C.L., Xu, G.H., Jiang, X.T., Chen, G., Wu, J., Wu, H.Q. and Zhang, S.L. (2009). S-RNase triggers mitochondrial alteration and DNA degradation in the incompatible pollen tube of </w:t>
      </w:r>
      <w:r w:rsidRPr="00300841">
        <w:rPr>
          <w:i/>
          <w:szCs w:val="24"/>
        </w:rPr>
        <w:t>Pyrus pyrifolia in vitro.</w:t>
      </w:r>
      <w:r w:rsidRPr="00300841">
        <w:rPr>
          <w:szCs w:val="24"/>
        </w:rPr>
        <w:t xml:space="preserve"> </w:t>
      </w:r>
      <w:r w:rsidRPr="00300841">
        <w:rPr>
          <w:i/>
          <w:szCs w:val="24"/>
        </w:rPr>
        <w:t>The Plant Journal</w:t>
      </w:r>
      <w:r w:rsidRPr="00300841">
        <w:rPr>
          <w:szCs w:val="24"/>
        </w:rPr>
        <w:t xml:space="preserve">  </w:t>
      </w:r>
      <w:r w:rsidRPr="00300841">
        <w:rPr>
          <w:b/>
          <w:szCs w:val="24"/>
        </w:rPr>
        <w:t>57</w:t>
      </w:r>
      <w:r w:rsidRPr="00300841">
        <w:rPr>
          <w:szCs w:val="24"/>
        </w:rPr>
        <w:t>, 220-229.</w:t>
      </w:r>
    </w:p>
    <w:p w:rsidR="00300841" w:rsidRPr="00300841" w:rsidRDefault="00300841" w:rsidP="00300841">
      <w:pPr>
        <w:spacing w:after="0" w:line="240" w:lineRule="auto"/>
        <w:ind w:left="720" w:hanging="720"/>
        <w:rPr>
          <w:szCs w:val="24"/>
        </w:rPr>
      </w:pPr>
      <w:r w:rsidRPr="00300841">
        <w:rPr>
          <w:szCs w:val="24"/>
        </w:rPr>
        <w:t>Wang, H., Li, J., Bostock, R.M. and Gilchrist, D.G. (1996). Apoptosis: A Functional Paradigm for Programmed Plant Cell Death Induced by a Host-Selective Phytotoxin and Invoked during Development</w:t>
      </w:r>
      <w:r w:rsidRPr="00300841">
        <w:rPr>
          <w:i/>
          <w:szCs w:val="24"/>
        </w:rPr>
        <w:t>.</w:t>
      </w:r>
      <w:r w:rsidRPr="00300841">
        <w:rPr>
          <w:szCs w:val="24"/>
        </w:rPr>
        <w:t xml:space="preserve"> </w:t>
      </w:r>
      <w:r w:rsidRPr="00300841">
        <w:rPr>
          <w:i/>
          <w:szCs w:val="24"/>
        </w:rPr>
        <w:t>Plant Cell</w:t>
      </w:r>
      <w:r w:rsidRPr="00300841">
        <w:rPr>
          <w:szCs w:val="24"/>
        </w:rPr>
        <w:t xml:space="preserve">  </w:t>
      </w:r>
      <w:r w:rsidRPr="00300841">
        <w:rPr>
          <w:b/>
          <w:szCs w:val="24"/>
        </w:rPr>
        <w:t>8</w:t>
      </w:r>
      <w:r w:rsidRPr="00300841">
        <w:rPr>
          <w:szCs w:val="24"/>
        </w:rPr>
        <w:t>, 375-391.</w:t>
      </w:r>
    </w:p>
    <w:p w:rsidR="00300841" w:rsidRPr="00300841" w:rsidRDefault="00300841" w:rsidP="00300841">
      <w:pPr>
        <w:spacing w:after="0" w:line="240" w:lineRule="auto"/>
        <w:ind w:left="720" w:hanging="720"/>
        <w:rPr>
          <w:szCs w:val="24"/>
        </w:rPr>
      </w:pPr>
      <w:r w:rsidRPr="00300841">
        <w:rPr>
          <w:szCs w:val="24"/>
        </w:rPr>
        <w:t xml:space="preserve">Wang, J., Li, X., Liu, Y. and Zhao, X. (2010). Salt stress induces programmed cell death in </w:t>
      </w:r>
      <w:r w:rsidRPr="00300841">
        <w:rPr>
          <w:i/>
          <w:szCs w:val="24"/>
        </w:rPr>
        <w:t xml:space="preserve">Thellungiella halophila </w:t>
      </w:r>
      <w:r w:rsidRPr="00300841">
        <w:rPr>
          <w:szCs w:val="24"/>
        </w:rPr>
        <w:t>suspension-cultured cells</w:t>
      </w:r>
      <w:r w:rsidRPr="00300841">
        <w:rPr>
          <w:i/>
          <w:szCs w:val="24"/>
        </w:rPr>
        <w:t>.</w:t>
      </w:r>
      <w:r w:rsidRPr="00300841">
        <w:rPr>
          <w:szCs w:val="24"/>
        </w:rPr>
        <w:t xml:space="preserve"> </w:t>
      </w:r>
      <w:r w:rsidRPr="00300841">
        <w:rPr>
          <w:i/>
          <w:szCs w:val="24"/>
        </w:rPr>
        <w:t>Journal of Plant Physiology</w:t>
      </w:r>
      <w:r w:rsidRPr="00300841">
        <w:rPr>
          <w:szCs w:val="24"/>
        </w:rPr>
        <w:t xml:space="preserve">  </w:t>
      </w:r>
      <w:r w:rsidRPr="00300841">
        <w:rPr>
          <w:b/>
          <w:szCs w:val="24"/>
        </w:rPr>
        <w:t>167</w:t>
      </w:r>
      <w:r w:rsidRPr="00300841">
        <w:rPr>
          <w:szCs w:val="24"/>
        </w:rPr>
        <w:t>, 1145-1151.</w:t>
      </w:r>
    </w:p>
    <w:p w:rsidR="00300841" w:rsidRPr="00300841" w:rsidRDefault="00300841" w:rsidP="00300841">
      <w:pPr>
        <w:spacing w:after="0" w:line="240" w:lineRule="auto"/>
        <w:ind w:left="720" w:hanging="720"/>
        <w:rPr>
          <w:szCs w:val="24"/>
        </w:rPr>
      </w:pPr>
      <w:r w:rsidRPr="00300841">
        <w:rPr>
          <w:szCs w:val="24"/>
        </w:rPr>
        <w:t>Wang, W., Vinocur, B., Shoseyov, O. and Altman, A. (2004). Role of plant heat-shock proteins and molecular chaperones in the abiotic stress response</w:t>
      </w:r>
      <w:r w:rsidRPr="00300841">
        <w:rPr>
          <w:i/>
          <w:szCs w:val="24"/>
        </w:rPr>
        <w:t>.</w:t>
      </w:r>
      <w:r w:rsidRPr="00300841">
        <w:rPr>
          <w:szCs w:val="24"/>
        </w:rPr>
        <w:t xml:space="preserve"> </w:t>
      </w:r>
      <w:r w:rsidRPr="00300841">
        <w:rPr>
          <w:i/>
          <w:szCs w:val="24"/>
        </w:rPr>
        <w:t>Trends in Plant Science</w:t>
      </w:r>
      <w:r w:rsidRPr="00300841">
        <w:rPr>
          <w:szCs w:val="24"/>
        </w:rPr>
        <w:t xml:space="preserve">  </w:t>
      </w:r>
      <w:r w:rsidRPr="00300841">
        <w:rPr>
          <w:b/>
          <w:szCs w:val="24"/>
        </w:rPr>
        <w:t>9</w:t>
      </w:r>
      <w:r w:rsidRPr="00300841">
        <w:rPr>
          <w:szCs w:val="24"/>
        </w:rPr>
        <w:t>, 244-252.</w:t>
      </w:r>
    </w:p>
    <w:p w:rsidR="00300841" w:rsidRPr="00300841" w:rsidRDefault="00300841" w:rsidP="00300841">
      <w:pPr>
        <w:spacing w:after="0" w:line="240" w:lineRule="auto"/>
        <w:ind w:left="720" w:hanging="720"/>
        <w:rPr>
          <w:szCs w:val="24"/>
        </w:rPr>
      </w:pPr>
      <w:r w:rsidRPr="00300841">
        <w:rPr>
          <w:szCs w:val="24"/>
        </w:rPr>
        <w:t>Wang, Y., Lin, J.-S. and Wang, G.-X. (2006). Calcium-Mediated Mitochondrial Permeability Transition Involved in Hydrogen Peroxide-Induced Apoptosis in Tobacco Protoplasts</w:t>
      </w:r>
      <w:r w:rsidRPr="00300841">
        <w:rPr>
          <w:i/>
          <w:szCs w:val="24"/>
        </w:rPr>
        <w:t>.</w:t>
      </w:r>
      <w:r w:rsidRPr="00300841">
        <w:rPr>
          <w:szCs w:val="24"/>
        </w:rPr>
        <w:t xml:space="preserve"> </w:t>
      </w:r>
      <w:r w:rsidRPr="00300841">
        <w:rPr>
          <w:i/>
          <w:szCs w:val="24"/>
        </w:rPr>
        <w:t>Journal of Integrative Plant Biology</w:t>
      </w:r>
      <w:r w:rsidRPr="00300841">
        <w:rPr>
          <w:szCs w:val="24"/>
        </w:rPr>
        <w:t xml:space="preserve">  </w:t>
      </w:r>
      <w:r w:rsidRPr="00300841">
        <w:rPr>
          <w:b/>
          <w:szCs w:val="24"/>
        </w:rPr>
        <w:t>48</w:t>
      </w:r>
      <w:r w:rsidRPr="00300841">
        <w:rPr>
          <w:szCs w:val="24"/>
        </w:rPr>
        <w:t>, 433-439.</w:t>
      </w:r>
    </w:p>
    <w:p w:rsidR="00300841" w:rsidRPr="00300841" w:rsidRDefault="00300841" w:rsidP="00300841">
      <w:pPr>
        <w:spacing w:after="0" w:line="240" w:lineRule="auto"/>
        <w:ind w:left="720" w:hanging="720"/>
        <w:rPr>
          <w:szCs w:val="24"/>
        </w:rPr>
      </w:pPr>
      <w:r w:rsidRPr="00300841">
        <w:rPr>
          <w:szCs w:val="24"/>
        </w:rPr>
        <w:t>Watanabe, N. and Lam, E. (2004). Recent advance in the study of caspase-like proteases and Bax inhibitor-1 in plants: their possible roles as regulator of programmed cell death</w:t>
      </w:r>
      <w:r w:rsidRPr="00300841">
        <w:rPr>
          <w:i/>
          <w:szCs w:val="24"/>
        </w:rPr>
        <w:t>.</w:t>
      </w:r>
      <w:r w:rsidRPr="00300841">
        <w:rPr>
          <w:szCs w:val="24"/>
        </w:rPr>
        <w:t xml:space="preserve"> </w:t>
      </w:r>
      <w:r w:rsidRPr="00300841">
        <w:rPr>
          <w:i/>
          <w:szCs w:val="24"/>
        </w:rPr>
        <w:t>Molecular Plant Pathology</w:t>
      </w:r>
      <w:r w:rsidRPr="00300841">
        <w:rPr>
          <w:szCs w:val="24"/>
        </w:rPr>
        <w:t xml:space="preserve">  </w:t>
      </w:r>
      <w:r w:rsidRPr="00300841">
        <w:rPr>
          <w:b/>
          <w:szCs w:val="24"/>
        </w:rPr>
        <w:t>5</w:t>
      </w:r>
      <w:r w:rsidRPr="00300841">
        <w:rPr>
          <w:szCs w:val="24"/>
        </w:rPr>
        <w:t>, 65-70.</w:t>
      </w:r>
    </w:p>
    <w:p w:rsidR="00300841" w:rsidRPr="00300841" w:rsidRDefault="00300841" w:rsidP="00300841">
      <w:pPr>
        <w:spacing w:after="0" w:line="240" w:lineRule="auto"/>
        <w:ind w:left="720" w:hanging="720"/>
        <w:rPr>
          <w:szCs w:val="24"/>
        </w:rPr>
      </w:pPr>
      <w:r w:rsidRPr="00300841">
        <w:rPr>
          <w:szCs w:val="24"/>
        </w:rPr>
        <w:t xml:space="preserve">Watanabe, N. and Lam, E. (2005). Two Arabidopsis Metacaspases AtMCP1b and AtMCP2b Are Arginine/Lysine-specific Cysteine Proteases and Activate Apoptosis-like Cell Death in Yeast. </w:t>
      </w:r>
      <w:r w:rsidRPr="00300841">
        <w:rPr>
          <w:i/>
          <w:szCs w:val="24"/>
        </w:rPr>
        <w:t>Journal of Biological Chemistry</w:t>
      </w:r>
      <w:r w:rsidRPr="00300841">
        <w:rPr>
          <w:szCs w:val="24"/>
        </w:rPr>
        <w:t xml:space="preserve"> </w:t>
      </w:r>
      <w:r w:rsidRPr="00300841">
        <w:rPr>
          <w:b/>
          <w:szCs w:val="24"/>
        </w:rPr>
        <w:t>280</w:t>
      </w:r>
      <w:r w:rsidRPr="00300841">
        <w:rPr>
          <w:szCs w:val="24"/>
        </w:rPr>
        <w:t>, 14691-14699.</w:t>
      </w:r>
    </w:p>
    <w:p w:rsidR="00300841" w:rsidRPr="00300841" w:rsidRDefault="00300841" w:rsidP="00300841">
      <w:pPr>
        <w:spacing w:after="0" w:line="240" w:lineRule="auto"/>
        <w:ind w:left="720" w:hanging="720"/>
        <w:rPr>
          <w:szCs w:val="24"/>
        </w:rPr>
      </w:pPr>
      <w:r w:rsidRPr="00300841">
        <w:rPr>
          <w:szCs w:val="24"/>
        </w:rPr>
        <w:t xml:space="preserve">Watanabe, N. and Lam, E. (2008). BAX Inhibitor-1 Modulates Endoplasmic Reticulum Stress-mediated Programmed Cell Death in </w:t>
      </w:r>
      <w:r w:rsidRPr="00300841">
        <w:rPr>
          <w:i/>
          <w:szCs w:val="24"/>
        </w:rPr>
        <w:t>Arabidopsis.</w:t>
      </w:r>
      <w:r w:rsidRPr="00300841">
        <w:rPr>
          <w:szCs w:val="24"/>
        </w:rPr>
        <w:t xml:space="preserve"> </w:t>
      </w:r>
      <w:r w:rsidRPr="00300841">
        <w:rPr>
          <w:i/>
          <w:szCs w:val="24"/>
        </w:rPr>
        <w:t>Journal of Biological Chemistry</w:t>
      </w:r>
      <w:r w:rsidRPr="00300841">
        <w:rPr>
          <w:szCs w:val="24"/>
        </w:rPr>
        <w:t xml:space="preserve">  </w:t>
      </w:r>
      <w:r w:rsidRPr="00300841">
        <w:rPr>
          <w:b/>
          <w:szCs w:val="24"/>
        </w:rPr>
        <w:t>283</w:t>
      </w:r>
      <w:r w:rsidRPr="00300841">
        <w:rPr>
          <w:szCs w:val="24"/>
        </w:rPr>
        <w:t>, 3200-3210.</w:t>
      </w:r>
    </w:p>
    <w:p w:rsidR="00300841" w:rsidRPr="00300841" w:rsidRDefault="00300841" w:rsidP="00300841">
      <w:pPr>
        <w:spacing w:after="0" w:line="240" w:lineRule="auto"/>
        <w:ind w:left="720" w:hanging="720"/>
        <w:rPr>
          <w:szCs w:val="24"/>
        </w:rPr>
      </w:pPr>
      <w:r w:rsidRPr="00300841">
        <w:rPr>
          <w:szCs w:val="24"/>
        </w:rPr>
        <w:t xml:space="preserve">Wei, Z., Laby, R., Zumoff, C., Bauer, D., He, S., Collmer, A. and Beer, S. (1992). Harpin, elicitor of the hypersensitive response produced by the plant pathogen </w:t>
      </w:r>
      <w:r w:rsidRPr="00300841">
        <w:rPr>
          <w:i/>
          <w:szCs w:val="24"/>
        </w:rPr>
        <w:t>Erwinia amylovora.</w:t>
      </w:r>
      <w:r w:rsidRPr="00300841">
        <w:rPr>
          <w:szCs w:val="24"/>
        </w:rPr>
        <w:t xml:space="preserve"> </w:t>
      </w:r>
      <w:r w:rsidRPr="00300841">
        <w:rPr>
          <w:i/>
          <w:szCs w:val="24"/>
        </w:rPr>
        <w:t>Science</w:t>
      </w:r>
      <w:r w:rsidRPr="00300841">
        <w:rPr>
          <w:szCs w:val="24"/>
        </w:rPr>
        <w:t xml:space="preserve">  </w:t>
      </w:r>
      <w:r w:rsidRPr="00300841">
        <w:rPr>
          <w:b/>
          <w:szCs w:val="24"/>
        </w:rPr>
        <w:t>257</w:t>
      </w:r>
      <w:r w:rsidRPr="00300841">
        <w:rPr>
          <w:szCs w:val="24"/>
        </w:rPr>
        <w:t>, 85-88.</w:t>
      </w:r>
    </w:p>
    <w:p w:rsidR="00300841" w:rsidRPr="00300841" w:rsidRDefault="00300841" w:rsidP="00300841">
      <w:pPr>
        <w:spacing w:after="0" w:line="240" w:lineRule="auto"/>
        <w:ind w:left="720" w:hanging="720"/>
        <w:rPr>
          <w:szCs w:val="24"/>
        </w:rPr>
      </w:pPr>
      <w:r w:rsidRPr="00300841">
        <w:rPr>
          <w:szCs w:val="24"/>
        </w:rPr>
        <w:t>West, M. and Harada, J.J. (1993). Embryogenesis in Higher Plants: An Overview</w:t>
      </w:r>
      <w:r w:rsidRPr="00300841">
        <w:rPr>
          <w:i/>
          <w:szCs w:val="24"/>
        </w:rPr>
        <w:t>.</w:t>
      </w:r>
      <w:r w:rsidRPr="00300841">
        <w:rPr>
          <w:szCs w:val="24"/>
        </w:rPr>
        <w:t xml:space="preserve"> </w:t>
      </w:r>
      <w:r w:rsidRPr="00300841">
        <w:rPr>
          <w:i/>
          <w:szCs w:val="24"/>
        </w:rPr>
        <w:t>Plant Cell</w:t>
      </w:r>
      <w:r w:rsidRPr="00300841">
        <w:rPr>
          <w:szCs w:val="24"/>
        </w:rPr>
        <w:t xml:space="preserve">  </w:t>
      </w:r>
      <w:r w:rsidRPr="00300841">
        <w:rPr>
          <w:b/>
          <w:szCs w:val="24"/>
        </w:rPr>
        <w:t>5</w:t>
      </w:r>
      <w:r w:rsidRPr="00300841">
        <w:rPr>
          <w:szCs w:val="24"/>
        </w:rPr>
        <w:t>, 1361-1369.</w:t>
      </w:r>
    </w:p>
    <w:p w:rsidR="00300841" w:rsidRPr="00300841" w:rsidRDefault="00300841" w:rsidP="00300841">
      <w:pPr>
        <w:spacing w:after="0" w:line="240" w:lineRule="auto"/>
        <w:ind w:left="720" w:hanging="720"/>
        <w:rPr>
          <w:szCs w:val="24"/>
        </w:rPr>
      </w:pPr>
      <w:r w:rsidRPr="00300841">
        <w:rPr>
          <w:szCs w:val="24"/>
        </w:rPr>
        <w:t>Wiese, A., Gröner, F., Sonnewald, U., Deppner, H., Lerchl, J., Hebbeker, U., Flügge, U.-I. and Weber, A. (1999). Spinach hexokinase I is located in the outer envelope membrane of plastids</w:t>
      </w:r>
      <w:r w:rsidRPr="00300841">
        <w:rPr>
          <w:i/>
          <w:szCs w:val="24"/>
        </w:rPr>
        <w:t>.</w:t>
      </w:r>
      <w:r w:rsidRPr="00300841">
        <w:rPr>
          <w:szCs w:val="24"/>
        </w:rPr>
        <w:t xml:space="preserve"> </w:t>
      </w:r>
      <w:r w:rsidRPr="00300841">
        <w:rPr>
          <w:i/>
          <w:szCs w:val="24"/>
        </w:rPr>
        <w:t>FEBS Letters</w:t>
      </w:r>
      <w:r w:rsidRPr="00300841">
        <w:rPr>
          <w:szCs w:val="24"/>
        </w:rPr>
        <w:t xml:space="preserve">  </w:t>
      </w:r>
      <w:r w:rsidRPr="00300841">
        <w:rPr>
          <w:b/>
          <w:szCs w:val="24"/>
        </w:rPr>
        <w:t>461</w:t>
      </w:r>
      <w:r w:rsidRPr="00300841">
        <w:rPr>
          <w:szCs w:val="24"/>
        </w:rPr>
        <w:t>, 13-18.</w:t>
      </w:r>
    </w:p>
    <w:p w:rsidR="00300841" w:rsidRPr="00300841" w:rsidRDefault="00300841" w:rsidP="00300841">
      <w:pPr>
        <w:spacing w:after="0" w:line="240" w:lineRule="auto"/>
        <w:ind w:left="720" w:hanging="720"/>
        <w:rPr>
          <w:szCs w:val="24"/>
        </w:rPr>
      </w:pPr>
      <w:r w:rsidRPr="00300841">
        <w:rPr>
          <w:szCs w:val="24"/>
        </w:rPr>
        <w:t>Williams, B. and Dickman, M. (2008). Plant programmed cell death: can't live with it; can't live without it</w:t>
      </w:r>
      <w:r w:rsidRPr="00300841">
        <w:rPr>
          <w:i/>
          <w:szCs w:val="24"/>
        </w:rPr>
        <w:t>.</w:t>
      </w:r>
      <w:r w:rsidRPr="00300841">
        <w:rPr>
          <w:szCs w:val="24"/>
        </w:rPr>
        <w:t xml:space="preserve"> </w:t>
      </w:r>
      <w:r w:rsidRPr="00300841">
        <w:rPr>
          <w:i/>
          <w:szCs w:val="24"/>
        </w:rPr>
        <w:t>Molecular Plant Pathology</w:t>
      </w:r>
      <w:r w:rsidRPr="00300841">
        <w:rPr>
          <w:szCs w:val="24"/>
        </w:rPr>
        <w:t xml:space="preserve">  </w:t>
      </w:r>
      <w:r w:rsidRPr="00300841">
        <w:rPr>
          <w:b/>
          <w:szCs w:val="24"/>
        </w:rPr>
        <w:t>9</w:t>
      </w:r>
      <w:r w:rsidRPr="00300841">
        <w:rPr>
          <w:szCs w:val="24"/>
        </w:rPr>
        <w:t>, 531-544.</w:t>
      </w:r>
    </w:p>
    <w:p w:rsidR="00300841" w:rsidRPr="00300841" w:rsidRDefault="00300841" w:rsidP="00300841">
      <w:pPr>
        <w:spacing w:after="0" w:line="240" w:lineRule="auto"/>
        <w:ind w:left="720" w:hanging="720"/>
        <w:rPr>
          <w:szCs w:val="24"/>
        </w:rPr>
      </w:pPr>
      <w:r w:rsidRPr="00300841">
        <w:rPr>
          <w:szCs w:val="24"/>
        </w:rPr>
        <w:t>Wood, M., Power, J.B., Davey, M.R., Lowe, K.C. and Mulligan, B.J. (1998). Factors affecting single strand-preferring nuclease activity during leaf aging and dark-induced senescence in barley (</w:t>
      </w:r>
      <w:r w:rsidRPr="00300841">
        <w:rPr>
          <w:i/>
          <w:szCs w:val="24"/>
        </w:rPr>
        <w:t>Hordeum vulgare</w:t>
      </w:r>
      <w:r w:rsidRPr="00300841">
        <w:rPr>
          <w:szCs w:val="24"/>
        </w:rPr>
        <w:t xml:space="preserve"> L.)</w:t>
      </w:r>
      <w:r w:rsidRPr="00300841">
        <w:rPr>
          <w:i/>
          <w:szCs w:val="24"/>
        </w:rPr>
        <w:t>.</w:t>
      </w:r>
      <w:r w:rsidRPr="00300841">
        <w:rPr>
          <w:szCs w:val="24"/>
        </w:rPr>
        <w:t xml:space="preserve"> </w:t>
      </w:r>
      <w:r w:rsidRPr="00300841">
        <w:rPr>
          <w:i/>
          <w:szCs w:val="24"/>
        </w:rPr>
        <w:t>Plant Science</w:t>
      </w:r>
      <w:r w:rsidRPr="00300841">
        <w:rPr>
          <w:szCs w:val="24"/>
        </w:rPr>
        <w:t xml:space="preserve">  </w:t>
      </w:r>
      <w:r w:rsidRPr="00300841">
        <w:rPr>
          <w:b/>
          <w:szCs w:val="24"/>
        </w:rPr>
        <w:t>131</w:t>
      </w:r>
      <w:r w:rsidRPr="00300841">
        <w:rPr>
          <w:szCs w:val="24"/>
        </w:rPr>
        <w:t>, 149-159.</w:t>
      </w:r>
    </w:p>
    <w:p w:rsidR="00300841" w:rsidRPr="00300841" w:rsidRDefault="00300841" w:rsidP="00300841">
      <w:pPr>
        <w:spacing w:after="0" w:line="240" w:lineRule="auto"/>
        <w:ind w:left="720" w:hanging="720"/>
        <w:rPr>
          <w:szCs w:val="24"/>
        </w:rPr>
      </w:pPr>
      <w:r w:rsidRPr="00300841">
        <w:rPr>
          <w:szCs w:val="24"/>
        </w:rPr>
        <w:t>Wood, R.D., Biggerstaff, M. and Shivji, M.K.K. (1995). Detection and Measurement of Nucleotide Excision Repair Synthesis by Mammalian Cell Extracts in Vitro</w:t>
      </w:r>
      <w:r w:rsidRPr="00300841">
        <w:rPr>
          <w:i/>
          <w:szCs w:val="24"/>
        </w:rPr>
        <w:t>.</w:t>
      </w:r>
      <w:r w:rsidRPr="00300841">
        <w:rPr>
          <w:szCs w:val="24"/>
        </w:rPr>
        <w:t xml:space="preserve"> </w:t>
      </w:r>
      <w:r w:rsidRPr="00300841">
        <w:rPr>
          <w:i/>
          <w:szCs w:val="24"/>
        </w:rPr>
        <w:t>Methods</w:t>
      </w:r>
      <w:r w:rsidRPr="00300841">
        <w:rPr>
          <w:szCs w:val="24"/>
        </w:rPr>
        <w:t xml:space="preserve">  </w:t>
      </w:r>
      <w:r w:rsidRPr="00300841">
        <w:rPr>
          <w:b/>
          <w:szCs w:val="24"/>
        </w:rPr>
        <w:t>7</w:t>
      </w:r>
      <w:r w:rsidRPr="00300841">
        <w:rPr>
          <w:szCs w:val="24"/>
        </w:rPr>
        <w:t>, 163-175.</w:t>
      </w:r>
    </w:p>
    <w:p w:rsidR="00300841" w:rsidRPr="00300841" w:rsidRDefault="00300841" w:rsidP="00300841">
      <w:pPr>
        <w:spacing w:after="0" w:line="240" w:lineRule="auto"/>
        <w:ind w:left="720" w:hanging="720"/>
        <w:rPr>
          <w:szCs w:val="24"/>
        </w:rPr>
      </w:pPr>
      <w:r w:rsidRPr="00300841">
        <w:rPr>
          <w:szCs w:val="24"/>
        </w:rPr>
        <w:t>Wright, H., van Doorn, W.G. and Gunawardena, A.H.L.A.N. (2009). In vivo study of developmental programmed cell death using the lace plant (</w:t>
      </w:r>
      <w:r w:rsidRPr="00300841">
        <w:rPr>
          <w:i/>
          <w:szCs w:val="24"/>
        </w:rPr>
        <w:t>Aponogeton madagascariensis</w:t>
      </w:r>
      <w:r w:rsidRPr="00300841">
        <w:rPr>
          <w:szCs w:val="24"/>
        </w:rPr>
        <w:t>; Aponogetonaceae) leaf model system</w:t>
      </w:r>
      <w:r w:rsidRPr="00300841">
        <w:rPr>
          <w:i/>
          <w:szCs w:val="24"/>
        </w:rPr>
        <w:t>.</w:t>
      </w:r>
      <w:r w:rsidRPr="00300841">
        <w:rPr>
          <w:szCs w:val="24"/>
        </w:rPr>
        <w:t xml:space="preserve"> </w:t>
      </w:r>
      <w:r w:rsidRPr="00300841">
        <w:rPr>
          <w:i/>
          <w:szCs w:val="24"/>
        </w:rPr>
        <w:t>American Journal of Botany</w:t>
      </w:r>
      <w:r w:rsidRPr="00300841">
        <w:rPr>
          <w:szCs w:val="24"/>
        </w:rPr>
        <w:t xml:space="preserve">  </w:t>
      </w:r>
      <w:r w:rsidRPr="00300841">
        <w:rPr>
          <w:b/>
          <w:szCs w:val="24"/>
        </w:rPr>
        <w:t>96</w:t>
      </w:r>
      <w:r w:rsidRPr="00300841">
        <w:rPr>
          <w:szCs w:val="24"/>
        </w:rPr>
        <w:t>, 865-876.</w:t>
      </w:r>
    </w:p>
    <w:p w:rsidR="00300841" w:rsidRPr="00300841" w:rsidRDefault="00300841" w:rsidP="00300841">
      <w:pPr>
        <w:spacing w:after="0" w:line="240" w:lineRule="auto"/>
        <w:ind w:left="720" w:hanging="720"/>
        <w:rPr>
          <w:szCs w:val="24"/>
        </w:rPr>
      </w:pPr>
      <w:r w:rsidRPr="00300841">
        <w:rPr>
          <w:szCs w:val="24"/>
        </w:rPr>
        <w:t>Wu, H.-m. and Cheung, A.Y. (2000). Programmed cell death in plant reproduction</w:t>
      </w:r>
      <w:r w:rsidRPr="00300841">
        <w:rPr>
          <w:i/>
          <w:szCs w:val="24"/>
        </w:rPr>
        <w:t>.</w:t>
      </w:r>
      <w:r w:rsidRPr="00300841">
        <w:rPr>
          <w:szCs w:val="24"/>
        </w:rPr>
        <w:t xml:space="preserve"> </w:t>
      </w:r>
      <w:r w:rsidRPr="00300841">
        <w:rPr>
          <w:i/>
          <w:szCs w:val="24"/>
        </w:rPr>
        <w:t>Plant Molecular Biology</w:t>
      </w:r>
      <w:r w:rsidRPr="00300841">
        <w:rPr>
          <w:szCs w:val="24"/>
        </w:rPr>
        <w:t xml:space="preserve">  </w:t>
      </w:r>
      <w:r w:rsidRPr="00300841">
        <w:rPr>
          <w:b/>
          <w:szCs w:val="24"/>
        </w:rPr>
        <w:t>44</w:t>
      </w:r>
      <w:r w:rsidRPr="00300841">
        <w:rPr>
          <w:szCs w:val="24"/>
        </w:rPr>
        <w:t>, 267-281.</w:t>
      </w:r>
    </w:p>
    <w:p w:rsidR="00300841" w:rsidRPr="00300841" w:rsidRDefault="00300841" w:rsidP="00300841">
      <w:pPr>
        <w:spacing w:after="0" w:line="240" w:lineRule="auto"/>
        <w:ind w:left="720" w:hanging="720"/>
        <w:rPr>
          <w:szCs w:val="24"/>
        </w:rPr>
      </w:pPr>
      <w:r w:rsidRPr="00300841">
        <w:rPr>
          <w:szCs w:val="24"/>
        </w:rPr>
        <w:t>Wyatt, S.E., Tsou, P.-L. and Robertson, D. (2002). Expression of the high capacity calcium-binding domain of calreticulin increases bioavailable calcium stores in plants</w:t>
      </w:r>
      <w:r w:rsidRPr="00300841">
        <w:rPr>
          <w:i/>
          <w:szCs w:val="24"/>
        </w:rPr>
        <w:t>.</w:t>
      </w:r>
      <w:r w:rsidRPr="00300841">
        <w:rPr>
          <w:szCs w:val="24"/>
        </w:rPr>
        <w:t xml:space="preserve"> </w:t>
      </w:r>
      <w:r w:rsidRPr="00300841">
        <w:rPr>
          <w:i/>
          <w:szCs w:val="24"/>
        </w:rPr>
        <w:t>Transgenic Research</w:t>
      </w:r>
      <w:r w:rsidRPr="00300841">
        <w:rPr>
          <w:szCs w:val="24"/>
        </w:rPr>
        <w:t xml:space="preserve">  </w:t>
      </w:r>
      <w:r w:rsidRPr="00300841">
        <w:rPr>
          <w:b/>
          <w:szCs w:val="24"/>
        </w:rPr>
        <w:t>11</w:t>
      </w:r>
      <w:r w:rsidRPr="00300841">
        <w:rPr>
          <w:szCs w:val="24"/>
        </w:rPr>
        <w:t>, 1-10.</w:t>
      </w:r>
    </w:p>
    <w:p w:rsidR="00300841" w:rsidRPr="00300841" w:rsidRDefault="00300841" w:rsidP="00300841">
      <w:pPr>
        <w:spacing w:after="0" w:line="240" w:lineRule="auto"/>
        <w:ind w:left="720" w:hanging="720"/>
        <w:rPr>
          <w:szCs w:val="24"/>
        </w:rPr>
      </w:pPr>
      <w:r w:rsidRPr="00300841">
        <w:rPr>
          <w:szCs w:val="24"/>
        </w:rPr>
        <w:t>Wyllie, A.H. (1980). Glucocorticoid-induced thymocyte apoptosis is associated with endogenous endonuclease activation</w:t>
      </w:r>
      <w:r w:rsidRPr="00300841">
        <w:rPr>
          <w:i/>
          <w:szCs w:val="24"/>
        </w:rPr>
        <w:t>.</w:t>
      </w:r>
      <w:r w:rsidRPr="00300841">
        <w:rPr>
          <w:szCs w:val="24"/>
        </w:rPr>
        <w:t xml:space="preserve"> </w:t>
      </w:r>
      <w:r w:rsidRPr="00300841">
        <w:rPr>
          <w:i/>
          <w:szCs w:val="24"/>
        </w:rPr>
        <w:t>Nature</w:t>
      </w:r>
      <w:r w:rsidRPr="00300841">
        <w:rPr>
          <w:szCs w:val="24"/>
        </w:rPr>
        <w:t xml:space="preserve">  </w:t>
      </w:r>
      <w:r w:rsidRPr="00300841">
        <w:rPr>
          <w:b/>
          <w:szCs w:val="24"/>
        </w:rPr>
        <w:t>284</w:t>
      </w:r>
      <w:r w:rsidRPr="00300841">
        <w:rPr>
          <w:szCs w:val="24"/>
        </w:rPr>
        <w:t>, 555-556.</w:t>
      </w:r>
    </w:p>
    <w:p w:rsidR="00300841" w:rsidRPr="00300841" w:rsidRDefault="00300841" w:rsidP="00300841">
      <w:pPr>
        <w:spacing w:after="0" w:line="240" w:lineRule="auto"/>
        <w:ind w:left="720" w:hanging="720"/>
        <w:rPr>
          <w:szCs w:val="24"/>
        </w:rPr>
      </w:pPr>
      <w:r w:rsidRPr="00300841">
        <w:rPr>
          <w:szCs w:val="24"/>
        </w:rPr>
        <w:t xml:space="preserve">Xiong, Y., Contento, A.L. and Bassham, D.C. (2007a). Disruption of Autophagy Results in Constitutive Oxidative Stress in </w:t>
      </w:r>
      <w:r w:rsidRPr="00300841">
        <w:rPr>
          <w:i/>
          <w:szCs w:val="24"/>
        </w:rPr>
        <w:t>Arabidopsis.</w:t>
      </w:r>
      <w:r w:rsidRPr="00300841">
        <w:rPr>
          <w:szCs w:val="24"/>
        </w:rPr>
        <w:t xml:space="preserve"> </w:t>
      </w:r>
      <w:r w:rsidRPr="00300841">
        <w:rPr>
          <w:i/>
          <w:szCs w:val="24"/>
        </w:rPr>
        <w:t>Autophagy</w:t>
      </w:r>
      <w:r w:rsidRPr="00300841">
        <w:rPr>
          <w:szCs w:val="24"/>
        </w:rPr>
        <w:t xml:space="preserve">  </w:t>
      </w:r>
      <w:r w:rsidRPr="00300841">
        <w:rPr>
          <w:b/>
          <w:szCs w:val="24"/>
        </w:rPr>
        <w:t>3</w:t>
      </w:r>
      <w:r w:rsidRPr="00300841">
        <w:rPr>
          <w:szCs w:val="24"/>
        </w:rPr>
        <w:t>, 257-258.</w:t>
      </w:r>
    </w:p>
    <w:p w:rsidR="00300841" w:rsidRPr="00300841" w:rsidRDefault="00300841" w:rsidP="00300841">
      <w:pPr>
        <w:spacing w:after="0" w:line="240" w:lineRule="auto"/>
        <w:ind w:left="720" w:hanging="720"/>
        <w:rPr>
          <w:szCs w:val="24"/>
        </w:rPr>
      </w:pPr>
      <w:r w:rsidRPr="00300841">
        <w:rPr>
          <w:szCs w:val="24"/>
        </w:rPr>
        <w:t xml:space="preserve">Xiong, Y., Contento, A.L., Nguyen, P.Q. and Bassham, D.C. (2007b). Degradation of Oxidized Proteins by Autophagy during Oxidative Stress in </w:t>
      </w:r>
      <w:r w:rsidRPr="00300841">
        <w:rPr>
          <w:i/>
          <w:szCs w:val="24"/>
        </w:rPr>
        <w:t>Arabidopsis.</w:t>
      </w:r>
      <w:r w:rsidRPr="00300841">
        <w:rPr>
          <w:szCs w:val="24"/>
        </w:rPr>
        <w:t xml:space="preserve"> </w:t>
      </w:r>
      <w:r w:rsidRPr="00300841">
        <w:rPr>
          <w:i/>
          <w:szCs w:val="24"/>
        </w:rPr>
        <w:t>Plant Physiology</w:t>
      </w:r>
      <w:r w:rsidRPr="00300841">
        <w:rPr>
          <w:szCs w:val="24"/>
        </w:rPr>
        <w:t xml:space="preserve">  </w:t>
      </w:r>
      <w:r w:rsidRPr="00300841">
        <w:rPr>
          <w:b/>
          <w:szCs w:val="24"/>
        </w:rPr>
        <w:t>143</w:t>
      </w:r>
      <w:r w:rsidRPr="00300841">
        <w:rPr>
          <w:szCs w:val="24"/>
        </w:rPr>
        <w:t>, 291-299.</w:t>
      </w:r>
    </w:p>
    <w:p w:rsidR="00300841" w:rsidRPr="00300841" w:rsidRDefault="00300841" w:rsidP="00300841">
      <w:pPr>
        <w:spacing w:after="0" w:line="240" w:lineRule="auto"/>
        <w:ind w:left="720" w:hanging="720"/>
        <w:rPr>
          <w:szCs w:val="24"/>
        </w:rPr>
      </w:pPr>
      <w:r w:rsidRPr="00300841">
        <w:rPr>
          <w:szCs w:val="24"/>
        </w:rPr>
        <w:t>Xu, C., Bailly-Maitre, B. and Reed, J.C. (2005). Endoplasmic reticulum stress: cell life and death decisions</w:t>
      </w:r>
      <w:r w:rsidRPr="00300841">
        <w:rPr>
          <w:i/>
          <w:szCs w:val="24"/>
        </w:rPr>
        <w:t>.</w:t>
      </w:r>
      <w:r w:rsidRPr="00300841">
        <w:rPr>
          <w:szCs w:val="24"/>
        </w:rPr>
        <w:t xml:space="preserve"> </w:t>
      </w:r>
      <w:r w:rsidRPr="00300841">
        <w:rPr>
          <w:i/>
          <w:szCs w:val="24"/>
        </w:rPr>
        <w:t>The Journal of Clinical Investigation</w:t>
      </w:r>
      <w:r w:rsidRPr="00300841">
        <w:rPr>
          <w:szCs w:val="24"/>
        </w:rPr>
        <w:t xml:space="preserve">  </w:t>
      </w:r>
      <w:r w:rsidRPr="00300841">
        <w:rPr>
          <w:b/>
          <w:szCs w:val="24"/>
        </w:rPr>
        <w:t>115</w:t>
      </w:r>
      <w:r w:rsidRPr="00300841">
        <w:rPr>
          <w:szCs w:val="24"/>
        </w:rPr>
        <w:t>, 2656-2664.</w:t>
      </w:r>
    </w:p>
    <w:p w:rsidR="00300841" w:rsidRPr="00300841" w:rsidRDefault="00300841" w:rsidP="00300841">
      <w:pPr>
        <w:spacing w:after="0" w:line="240" w:lineRule="auto"/>
        <w:ind w:left="720" w:hanging="720"/>
        <w:rPr>
          <w:szCs w:val="24"/>
        </w:rPr>
      </w:pPr>
      <w:r w:rsidRPr="00300841">
        <w:rPr>
          <w:szCs w:val="24"/>
        </w:rPr>
        <w:t>Xu, F.-X. and Chye, M.-L. (1999). Expression of cysteine proteinase during developmental events associated with programmed cell death in brinjal</w:t>
      </w:r>
      <w:r w:rsidRPr="00300841">
        <w:rPr>
          <w:i/>
          <w:szCs w:val="24"/>
        </w:rPr>
        <w:t>.</w:t>
      </w:r>
      <w:r w:rsidRPr="00300841">
        <w:rPr>
          <w:szCs w:val="24"/>
        </w:rPr>
        <w:t xml:space="preserve"> </w:t>
      </w:r>
      <w:r w:rsidRPr="00300841">
        <w:rPr>
          <w:i/>
          <w:szCs w:val="24"/>
        </w:rPr>
        <w:t>The Plant Journal</w:t>
      </w:r>
      <w:r w:rsidRPr="00300841">
        <w:rPr>
          <w:szCs w:val="24"/>
        </w:rPr>
        <w:t xml:space="preserve">  </w:t>
      </w:r>
      <w:r w:rsidRPr="00300841">
        <w:rPr>
          <w:b/>
          <w:szCs w:val="24"/>
        </w:rPr>
        <w:t>17</w:t>
      </w:r>
      <w:r w:rsidRPr="00300841">
        <w:rPr>
          <w:szCs w:val="24"/>
        </w:rPr>
        <w:t>, 321 -327.</w:t>
      </w:r>
    </w:p>
    <w:p w:rsidR="00300841" w:rsidRPr="00300841" w:rsidRDefault="00300841" w:rsidP="00300841">
      <w:pPr>
        <w:spacing w:after="0" w:line="240" w:lineRule="auto"/>
        <w:ind w:left="720" w:hanging="720"/>
        <w:rPr>
          <w:szCs w:val="24"/>
        </w:rPr>
      </w:pPr>
      <w:r w:rsidRPr="00300841">
        <w:rPr>
          <w:szCs w:val="24"/>
        </w:rPr>
        <w:t>Xu, H. and Heath, M.C. (1998). Role of Calcium in Signal Transduction during the Hypersensitive Response Caused by Basidiospore-Derived Infection of the Cowpea Rust Fungus</w:t>
      </w:r>
      <w:r w:rsidRPr="00300841">
        <w:rPr>
          <w:i/>
          <w:szCs w:val="24"/>
        </w:rPr>
        <w:t>.</w:t>
      </w:r>
      <w:r w:rsidRPr="00300841">
        <w:rPr>
          <w:szCs w:val="24"/>
        </w:rPr>
        <w:t xml:space="preserve"> </w:t>
      </w:r>
      <w:r w:rsidRPr="00300841">
        <w:rPr>
          <w:i/>
          <w:szCs w:val="24"/>
        </w:rPr>
        <w:t>Plant Cell</w:t>
      </w:r>
      <w:r w:rsidRPr="00300841">
        <w:rPr>
          <w:szCs w:val="24"/>
        </w:rPr>
        <w:t xml:space="preserve">  </w:t>
      </w:r>
      <w:r w:rsidRPr="00300841">
        <w:rPr>
          <w:b/>
          <w:szCs w:val="24"/>
        </w:rPr>
        <w:t>10</w:t>
      </w:r>
      <w:r w:rsidRPr="00300841">
        <w:rPr>
          <w:szCs w:val="24"/>
        </w:rPr>
        <w:t>, 585-598.</w:t>
      </w:r>
    </w:p>
    <w:p w:rsidR="00300841" w:rsidRPr="00300841" w:rsidRDefault="00300841" w:rsidP="00300841">
      <w:pPr>
        <w:spacing w:after="0" w:line="240" w:lineRule="auto"/>
        <w:ind w:left="720" w:hanging="720"/>
        <w:rPr>
          <w:szCs w:val="24"/>
        </w:rPr>
      </w:pPr>
      <w:r w:rsidRPr="00300841">
        <w:rPr>
          <w:szCs w:val="24"/>
        </w:rPr>
        <w:t>Yamada, T., Ichimura, K., Kanekatsu, M. and van Doorn, W.G. (2009). Homologs of Genes Associated with Programmed Cell Death in Animal Cells are Differentially Expressed During Senescence of Ipomoea nil Petals</w:t>
      </w:r>
      <w:r w:rsidRPr="00300841">
        <w:rPr>
          <w:i/>
          <w:szCs w:val="24"/>
        </w:rPr>
        <w:t>.</w:t>
      </w:r>
      <w:r w:rsidRPr="00300841">
        <w:rPr>
          <w:szCs w:val="24"/>
        </w:rPr>
        <w:t xml:space="preserve"> </w:t>
      </w:r>
      <w:r w:rsidRPr="00300841">
        <w:rPr>
          <w:i/>
          <w:szCs w:val="24"/>
        </w:rPr>
        <w:t>Plant Cell Physiology</w:t>
      </w:r>
      <w:r w:rsidRPr="00300841">
        <w:rPr>
          <w:szCs w:val="24"/>
        </w:rPr>
        <w:t xml:space="preserve">  </w:t>
      </w:r>
      <w:r w:rsidRPr="00300841">
        <w:rPr>
          <w:b/>
          <w:szCs w:val="24"/>
        </w:rPr>
        <w:t>50</w:t>
      </w:r>
      <w:r w:rsidRPr="00300841">
        <w:rPr>
          <w:szCs w:val="24"/>
        </w:rPr>
        <w:t>, 610-625.</w:t>
      </w:r>
    </w:p>
    <w:p w:rsidR="00300841" w:rsidRPr="00300841" w:rsidRDefault="00300841" w:rsidP="00300841">
      <w:pPr>
        <w:spacing w:after="0" w:line="240" w:lineRule="auto"/>
        <w:ind w:left="720" w:hanging="720"/>
        <w:rPr>
          <w:szCs w:val="24"/>
        </w:rPr>
      </w:pPr>
      <w:r w:rsidRPr="00300841">
        <w:rPr>
          <w:szCs w:val="24"/>
        </w:rPr>
        <w:t>Yamada, T., Takatsu, Y., Kasumi, M., Marubashi, W. and Ichimura, K. (2004). A homolog of the defender against apoptotic death gene (DAD1) in senescing gladiolus petals is down-regulated prior to the onset of programmed cell death</w:t>
      </w:r>
      <w:r w:rsidRPr="00300841">
        <w:rPr>
          <w:i/>
          <w:szCs w:val="24"/>
        </w:rPr>
        <w:t>.</w:t>
      </w:r>
      <w:r w:rsidRPr="00300841">
        <w:rPr>
          <w:szCs w:val="24"/>
        </w:rPr>
        <w:t xml:space="preserve"> </w:t>
      </w:r>
      <w:r w:rsidRPr="00300841">
        <w:rPr>
          <w:i/>
          <w:szCs w:val="24"/>
        </w:rPr>
        <w:t>Journal of Plant Physiology</w:t>
      </w:r>
      <w:r w:rsidRPr="00300841">
        <w:rPr>
          <w:szCs w:val="24"/>
        </w:rPr>
        <w:t xml:space="preserve">  </w:t>
      </w:r>
      <w:r w:rsidRPr="00300841">
        <w:rPr>
          <w:b/>
          <w:szCs w:val="24"/>
        </w:rPr>
        <w:t>161</w:t>
      </w:r>
      <w:r w:rsidRPr="00300841">
        <w:rPr>
          <w:szCs w:val="24"/>
        </w:rPr>
        <w:t>, 1281-1283.</w:t>
      </w:r>
    </w:p>
    <w:p w:rsidR="00300841" w:rsidRPr="00300841" w:rsidRDefault="00300841" w:rsidP="00300841">
      <w:pPr>
        <w:spacing w:after="0" w:line="240" w:lineRule="auto"/>
        <w:ind w:left="720" w:hanging="720"/>
        <w:rPr>
          <w:szCs w:val="24"/>
        </w:rPr>
      </w:pPr>
      <w:r w:rsidRPr="00300841">
        <w:rPr>
          <w:szCs w:val="24"/>
        </w:rPr>
        <w:t xml:space="preserve">Yamaguchi, T., Yamada, A., Hong, N., Ogawa, T., Ishii, T. and Shibuya, N. (2000). Differences in the Recognition of Glucan Elicitor Signals between Rice and Soybean: </w:t>
      </w:r>
      <w:r w:rsidRPr="00300841">
        <w:rPr>
          <w:rFonts w:ascii="Symbol" w:hAnsi="Symbol"/>
          <w:szCs w:val="24"/>
        </w:rPr>
        <w:t></w:t>
      </w:r>
      <w:r w:rsidRPr="00300841">
        <w:rPr>
          <w:szCs w:val="24"/>
        </w:rPr>
        <w:t xml:space="preserve">-Glucan Fragments from the Rice Blast Disease Fungus </w:t>
      </w:r>
      <w:r w:rsidRPr="00300841">
        <w:rPr>
          <w:i/>
          <w:szCs w:val="24"/>
        </w:rPr>
        <w:t>Pyricularia oryzae</w:t>
      </w:r>
      <w:r w:rsidRPr="00300841">
        <w:rPr>
          <w:szCs w:val="24"/>
        </w:rPr>
        <w:t xml:space="preserve"> That Elicit Phytoalexin Biosynthesis in Suspension-Cultured Rice Cells</w:t>
      </w:r>
      <w:r w:rsidRPr="00300841">
        <w:rPr>
          <w:i/>
          <w:szCs w:val="24"/>
        </w:rPr>
        <w:t>.</w:t>
      </w:r>
      <w:r w:rsidRPr="00300841">
        <w:rPr>
          <w:szCs w:val="24"/>
        </w:rPr>
        <w:t xml:space="preserve"> </w:t>
      </w:r>
      <w:r w:rsidRPr="00300841">
        <w:rPr>
          <w:i/>
          <w:szCs w:val="24"/>
        </w:rPr>
        <w:t>Plant Cell</w:t>
      </w:r>
      <w:r w:rsidRPr="00300841">
        <w:rPr>
          <w:szCs w:val="24"/>
        </w:rPr>
        <w:t xml:space="preserve">  </w:t>
      </w:r>
      <w:r w:rsidRPr="00300841">
        <w:rPr>
          <w:b/>
          <w:szCs w:val="24"/>
        </w:rPr>
        <w:t>12</w:t>
      </w:r>
      <w:r w:rsidRPr="00300841">
        <w:rPr>
          <w:szCs w:val="24"/>
        </w:rPr>
        <w:t>, 817-826.</w:t>
      </w:r>
    </w:p>
    <w:p w:rsidR="00300841" w:rsidRPr="00300841" w:rsidRDefault="00300841" w:rsidP="00300841">
      <w:pPr>
        <w:spacing w:after="0" w:line="240" w:lineRule="auto"/>
        <w:ind w:left="720" w:hanging="720"/>
        <w:rPr>
          <w:szCs w:val="24"/>
        </w:rPr>
      </w:pPr>
      <w:r w:rsidRPr="00300841">
        <w:rPr>
          <w:szCs w:val="24"/>
        </w:rPr>
        <w:t>Yang, J., Liu, X., Bhalla, K., Kim, C.N., Ibrado, A.M., Cai, J., Peng, T.-I., Jones, D.P. and Wang, X. (1997). Prevention of Apoptosis by Bcl-2: Release of Cytochrome c from Mitochondria Blocked</w:t>
      </w:r>
      <w:r w:rsidRPr="00300841">
        <w:rPr>
          <w:i/>
          <w:szCs w:val="24"/>
        </w:rPr>
        <w:t>.</w:t>
      </w:r>
      <w:r w:rsidRPr="00300841">
        <w:rPr>
          <w:szCs w:val="24"/>
        </w:rPr>
        <w:t xml:space="preserve"> </w:t>
      </w:r>
      <w:r w:rsidRPr="00300841">
        <w:rPr>
          <w:i/>
          <w:szCs w:val="24"/>
        </w:rPr>
        <w:t>Science</w:t>
      </w:r>
      <w:r w:rsidRPr="00300841">
        <w:rPr>
          <w:szCs w:val="24"/>
        </w:rPr>
        <w:t xml:space="preserve">  </w:t>
      </w:r>
      <w:r w:rsidRPr="00300841">
        <w:rPr>
          <w:b/>
          <w:szCs w:val="24"/>
        </w:rPr>
        <w:t>275</w:t>
      </w:r>
      <w:r w:rsidRPr="00300841">
        <w:rPr>
          <w:szCs w:val="24"/>
        </w:rPr>
        <w:t>, 1129-1132.</w:t>
      </w:r>
    </w:p>
    <w:p w:rsidR="00300841" w:rsidRPr="00300841" w:rsidRDefault="00300841" w:rsidP="00300841">
      <w:pPr>
        <w:spacing w:after="0" w:line="240" w:lineRule="auto"/>
        <w:ind w:left="720" w:hanging="720"/>
        <w:rPr>
          <w:szCs w:val="24"/>
        </w:rPr>
      </w:pPr>
      <w:r w:rsidRPr="00300841">
        <w:rPr>
          <w:szCs w:val="24"/>
        </w:rPr>
        <w:t>Yano, A., Suzuki, K., Uchimiya, H. and Shinshi, H. (1998). Induction of Hypersensitive Cell Death by a Fungal Protein in Cultures of Tobacco Cells</w:t>
      </w:r>
      <w:r w:rsidRPr="00300841">
        <w:rPr>
          <w:i/>
          <w:szCs w:val="24"/>
        </w:rPr>
        <w:t>.</w:t>
      </w:r>
      <w:r w:rsidRPr="00300841">
        <w:rPr>
          <w:szCs w:val="24"/>
        </w:rPr>
        <w:t xml:space="preserve"> </w:t>
      </w:r>
      <w:r w:rsidRPr="00300841">
        <w:rPr>
          <w:i/>
          <w:szCs w:val="24"/>
        </w:rPr>
        <w:t>Molecular Plant-Microbe Interactions</w:t>
      </w:r>
      <w:r w:rsidRPr="00300841">
        <w:rPr>
          <w:szCs w:val="24"/>
        </w:rPr>
        <w:t xml:space="preserve">  </w:t>
      </w:r>
      <w:r w:rsidRPr="00300841">
        <w:rPr>
          <w:b/>
          <w:szCs w:val="24"/>
        </w:rPr>
        <w:t>11</w:t>
      </w:r>
      <w:r w:rsidRPr="00300841">
        <w:rPr>
          <w:szCs w:val="24"/>
        </w:rPr>
        <w:t>, 115-123.</w:t>
      </w:r>
    </w:p>
    <w:p w:rsidR="00300841" w:rsidRPr="00300841" w:rsidRDefault="00300841" w:rsidP="00300841">
      <w:pPr>
        <w:spacing w:after="0" w:line="240" w:lineRule="auto"/>
        <w:ind w:left="720" w:hanging="720"/>
        <w:rPr>
          <w:szCs w:val="24"/>
        </w:rPr>
      </w:pPr>
      <w:r w:rsidRPr="00300841">
        <w:rPr>
          <w:szCs w:val="24"/>
        </w:rPr>
        <w:t xml:space="preserve">Yao, N., Eisfelder, B.J., Marvin, J. and Greenberg, J.T. (2004). The mitochondrion: an organelle commonly involved in programmed cell death in </w:t>
      </w:r>
      <w:r w:rsidRPr="00300841">
        <w:rPr>
          <w:i/>
          <w:szCs w:val="24"/>
        </w:rPr>
        <w:t>Arabidopsis thaliana.</w:t>
      </w:r>
      <w:r w:rsidRPr="00300841">
        <w:rPr>
          <w:szCs w:val="24"/>
        </w:rPr>
        <w:t xml:space="preserve"> </w:t>
      </w:r>
      <w:r w:rsidRPr="00300841">
        <w:rPr>
          <w:i/>
          <w:szCs w:val="24"/>
        </w:rPr>
        <w:t>The Plant Journal</w:t>
      </w:r>
      <w:r w:rsidRPr="00300841">
        <w:rPr>
          <w:szCs w:val="24"/>
        </w:rPr>
        <w:t xml:space="preserve">  </w:t>
      </w:r>
      <w:r w:rsidRPr="00300841">
        <w:rPr>
          <w:b/>
          <w:szCs w:val="24"/>
        </w:rPr>
        <w:t>40</w:t>
      </w:r>
      <w:r w:rsidRPr="00300841">
        <w:rPr>
          <w:szCs w:val="24"/>
        </w:rPr>
        <w:t>, 596-610.</w:t>
      </w:r>
    </w:p>
    <w:p w:rsidR="00300841" w:rsidRPr="00300841" w:rsidRDefault="00300841" w:rsidP="00300841">
      <w:pPr>
        <w:spacing w:after="0" w:line="240" w:lineRule="auto"/>
        <w:ind w:left="720" w:hanging="720"/>
        <w:rPr>
          <w:szCs w:val="24"/>
        </w:rPr>
      </w:pPr>
      <w:r w:rsidRPr="00300841">
        <w:rPr>
          <w:szCs w:val="24"/>
        </w:rPr>
        <w:t xml:space="preserve">Yao, N. and Greenberg, J.T. (2006). </w:t>
      </w:r>
      <w:r w:rsidRPr="00300841">
        <w:rPr>
          <w:i/>
          <w:szCs w:val="24"/>
        </w:rPr>
        <w:t>Arabidopsis</w:t>
      </w:r>
      <w:r w:rsidRPr="00300841">
        <w:rPr>
          <w:szCs w:val="24"/>
        </w:rPr>
        <w:t xml:space="preserve"> ACCELERATED CELL DEATH2 Modulates Programmed Cell Death</w:t>
      </w:r>
      <w:r w:rsidRPr="00300841">
        <w:rPr>
          <w:i/>
          <w:szCs w:val="24"/>
        </w:rPr>
        <w:t>.</w:t>
      </w:r>
      <w:r w:rsidRPr="00300841">
        <w:rPr>
          <w:szCs w:val="24"/>
        </w:rPr>
        <w:t xml:space="preserve"> </w:t>
      </w:r>
      <w:r w:rsidRPr="00300841">
        <w:rPr>
          <w:i/>
          <w:szCs w:val="24"/>
        </w:rPr>
        <w:t>Plant Cell</w:t>
      </w:r>
      <w:r w:rsidRPr="00300841">
        <w:rPr>
          <w:szCs w:val="24"/>
        </w:rPr>
        <w:t xml:space="preserve">  </w:t>
      </w:r>
      <w:r w:rsidRPr="00300841">
        <w:rPr>
          <w:b/>
          <w:szCs w:val="24"/>
        </w:rPr>
        <w:t>18</w:t>
      </w:r>
      <w:r w:rsidRPr="00300841">
        <w:rPr>
          <w:szCs w:val="24"/>
        </w:rPr>
        <w:t>, 397-411.</w:t>
      </w:r>
    </w:p>
    <w:p w:rsidR="00300841" w:rsidRPr="00300841" w:rsidRDefault="00300841" w:rsidP="00300841">
      <w:pPr>
        <w:spacing w:after="0" w:line="240" w:lineRule="auto"/>
        <w:ind w:left="720" w:hanging="720"/>
        <w:rPr>
          <w:szCs w:val="24"/>
        </w:rPr>
      </w:pPr>
      <w:r w:rsidRPr="00300841">
        <w:rPr>
          <w:szCs w:val="24"/>
        </w:rPr>
        <w:t>Yao, N., Tada, Y., Sakamoto, M., Nakayashiki, H., Park, P., Tosa, Y. and Mayama, S. (2002). Mitochondrial oxidative burst involved in apoptotic response in oats</w:t>
      </w:r>
      <w:r w:rsidRPr="00300841">
        <w:rPr>
          <w:i/>
          <w:szCs w:val="24"/>
        </w:rPr>
        <w:t>.</w:t>
      </w:r>
      <w:r w:rsidRPr="00300841">
        <w:rPr>
          <w:szCs w:val="24"/>
        </w:rPr>
        <w:t xml:space="preserve"> </w:t>
      </w:r>
      <w:r w:rsidRPr="00300841">
        <w:rPr>
          <w:i/>
          <w:szCs w:val="24"/>
        </w:rPr>
        <w:t>The Plant Journal</w:t>
      </w:r>
      <w:r w:rsidRPr="00300841">
        <w:rPr>
          <w:szCs w:val="24"/>
        </w:rPr>
        <w:t xml:space="preserve">  </w:t>
      </w:r>
      <w:r w:rsidRPr="00300841">
        <w:rPr>
          <w:b/>
          <w:szCs w:val="24"/>
        </w:rPr>
        <w:t>30</w:t>
      </w:r>
      <w:r w:rsidRPr="00300841">
        <w:rPr>
          <w:szCs w:val="24"/>
        </w:rPr>
        <w:t>, 567-579.</w:t>
      </w:r>
    </w:p>
    <w:p w:rsidR="00300841" w:rsidRPr="00300841" w:rsidRDefault="00300841" w:rsidP="00300841">
      <w:pPr>
        <w:spacing w:after="0" w:line="240" w:lineRule="auto"/>
        <w:ind w:left="720" w:hanging="720"/>
        <w:rPr>
          <w:szCs w:val="24"/>
        </w:rPr>
      </w:pPr>
      <w:r w:rsidRPr="00300841">
        <w:rPr>
          <w:szCs w:val="24"/>
        </w:rPr>
        <w:t>Yeung, E.C. and Meinke, D.W. (1993). Embryogenesis in Angiosperms: Development of the Suspensor</w:t>
      </w:r>
      <w:r w:rsidRPr="00300841">
        <w:rPr>
          <w:i/>
          <w:szCs w:val="24"/>
        </w:rPr>
        <w:t>.</w:t>
      </w:r>
      <w:r w:rsidRPr="00300841">
        <w:rPr>
          <w:szCs w:val="24"/>
        </w:rPr>
        <w:t xml:space="preserve"> </w:t>
      </w:r>
      <w:r w:rsidRPr="00300841">
        <w:rPr>
          <w:i/>
          <w:szCs w:val="24"/>
        </w:rPr>
        <w:t>Plant Cell</w:t>
      </w:r>
      <w:r w:rsidRPr="00300841">
        <w:rPr>
          <w:szCs w:val="24"/>
        </w:rPr>
        <w:t xml:space="preserve">  </w:t>
      </w:r>
      <w:r w:rsidRPr="00300841">
        <w:rPr>
          <w:b/>
          <w:szCs w:val="24"/>
        </w:rPr>
        <w:t>5</w:t>
      </w:r>
      <w:r w:rsidRPr="00300841">
        <w:rPr>
          <w:szCs w:val="24"/>
        </w:rPr>
        <w:t>, 1371-1381.</w:t>
      </w:r>
    </w:p>
    <w:p w:rsidR="00300841" w:rsidRPr="00300841" w:rsidRDefault="00300841" w:rsidP="00300841">
      <w:pPr>
        <w:spacing w:after="0" w:line="240" w:lineRule="auto"/>
        <w:ind w:left="720" w:hanging="720"/>
        <w:rPr>
          <w:szCs w:val="24"/>
        </w:rPr>
      </w:pPr>
      <w:r w:rsidRPr="00300841">
        <w:rPr>
          <w:szCs w:val="24"/>
        </w:rPr>
        <w:t>Yorimitsu, T. and Klionsky, D.J. (2005). Autophagy: molecular machinery for self-eating</w:t>
      </w:r>
      <w:r w:rsidRPr="00300841">
        <w:rPr>
          <w:i/>
          <w:szCs w:val="24"/>
        </w:rPr>
        <w:t>.</w:t>
      </w:r>
      <w:r w:rsidRPr="00300841">
        <w:rPr>
          <w:szCs w:val="24"/>
        </w:rPr>
        <w:t xml:space="preserve"> </w:t>
      </w:r>
      <w:r w:rsidRPr="00300841">
        <w:rPr>
          <w:i/>
          <w:szCs w:val="24"/>
        </w:rPr>
        <w:t>Cell Death Differentiation</w:t>
      </w:r>
      <w:r w:rsidRPr="00300841">
        <w:rPr>
          <w:szCs w:val="24"/>
        </w:rPr>
        <w:t xml:space="preserve">  </w:t>
      </w:r>
      <w:r w:rsidRPr="00300841">
        <w:rPr>
          <w:b/>
          <w:szCs w:val="24"/>
        </w:rPr>
        <w:t>12</w:t>
      </w:r>
      <w:r w:rsidRPr="00300841">
        <w:rPr>
          <w:szCs w:val="24"/>
        </w:rPr>
        <w:t>, 1542-1552.</w:t>
      </w:r>
    </w:p>
    <w:p w:rsidR="00300841" w:rsidRPr="00300841" w:rsidRDefault="00300841" w:rsidP="00300841">
      <w:pPr>
        <w:spacing w:after="0" w:line="240" w:lineRule="auto"/>
        <w:ind w:left="720" w:hanging="720"/>
        <w:rPr>
          <w:szCs w:val="24"/>
        </w:rPr>
      </w:pPr>
      <w:r w:rsidRPr="00300841">
        <w:rPr>
          <w:szCs w:val="24"/>
        </w:rPr>
        <w:t>Yoshimoto, K., Hanaoka, H., Sato, S., Kato, T., Tabata, S., Noda, T. and Ohsumi, Y. (2004). Processing of ATG8s, Ubiquitin-Like Proteins, and Their Deconjugation by ATG4s Are Essential for Plant Autophagy</w:t>
      </w:r>
      <w:r w:rsidRPr="00300841">
        <w:rPr>
          <w:i/>
          <w:szCs w:val="24"/>
        </w:rPr>
        <w:t>.</w:t>
      </w:r>
      <w:r w:rsidRPr="00300841">
        <w:rPr>
          <w:szCs w:val="24"/>
        </w:rPr>
        <w:t xml:space="preserve"> </w:t>
      </w:r>
      <w:r w:rsidRPr="00300841">
        <w:rPr>
          <w:i/>
          <w:szCs w:val="24"/>
        </w:rPr>
        <w:t>Plant Cell</w:t>
      </w:r>
      <w:r w:rsidRPr="00300841">
        <w:rPr>
          <w:szCs w:val="24"/>
        </w:rPr>
        <w:t xml:space="preserve">  </w:t>
      </w:r>
      <w:r w:rsidRPr="00300841">
        <w:rPr>
          <w:b/>
          <w:szCs w:val="24"/>
        </w:rPr>
        <w:t>16</w:t>
      </w:r>
      <w:r w:rsidRPr="00300841">
        <w:rPr>
          <w:szCs w:val="24"/>
        </w:rPr>
        <w:t>, 2967-2983.</w:t>
      </w:r>
    </w:p>
    <w:p w:rsidR="00300841" w:rsidRPr="00300841" w:rsidRDefault="00300841" w:rsidP="00300841">
      <w:pPr>
        <w:spacing w:after="0" w:line="240" w:lineRule="auto"/>
        <w:ind w:left="720" w:hanging="720"/>
        <w:rPr>
          <w:szCs w:val="24"/>
        </w:rPr>
      </w:pPr>
      <w:r w:rsidRPr="00300841">
        <w:rPr>
          <w:szCs w:val="24"/>
        </w:rPr>
        <w:t xml:space="preserve">Yoshimoto, K., Jikumaru, Y., Kamiya, Y., Kusano, M., Consonni, C., Panstruga, R., Ohsumi, Y. and Shirasu, K. (2009). Autophagy Negatively Regulates Cell Death by Controlling NPR1-Dependent Salicylic Acid Signaling during Senescence and the Innate Immune Response in </w:t>
      </w:r>
      <w:r w:rsidRPr="00300841">
        <w:rPr>
          <w:i/>
          <w:szCs w:val="24"/>
        </w:rPr>
        <w:t>Arabidopsis.</w:t>
      </w:r>
      <w:r w:rsidRPr="00300841">
        <w:rPr>
          <w:szCs w:val="24"/>
        </w:rPr>
        <w:t xml:space="preserve"> </w:t>
      </w:r>
      <w:r w:rsidRPr="00300841">
        <w:rPr>
          <w:i/>
          <w:szCs w:val="24"/>
        </w:rPr>
        <w:t>Plant Cell</w:t>
      </w:r>
      <w:r w:rsidRPr="00300841">
        <w:rPr>
          <w:szCs w:val="24"/>
        </w:rPr>
        <w:t xml:space="preserve">  </w:t>
      </w:r>
      <w:r w:rsidRPr="00300841">
        <w:rPr>
          <w:b/>
          <w:szCs w:val="24"/>
        </w:rPr>
        <w:t>21</w:t>
      </w:r>
      <w:r w:rsidRPr="00300841">
        <w:rPr>
          <w:szCs w:val="24"/>
        </w:rPr>
        <w:t>, 2914-2927.</w:t>
      </w:r>
    </w:p>
    <w:p w:rsidR="00300841" w:rsidRPr="00300841" w:rsidRDefault="00300841" w:rsidP="00300841">
      <w:pPr>
        <w:spacing w:after="0" w:line="240" w:lineRule="auto"/>
        <w:ind w:left="720" w:hanging="720"/>
        <w:rPr>
          <w:szCs w:val="24"/>
        </w:rPr>
      </w:pPr>
      <w:r w:rsidRPr="00300841">
        <w:rPr>
          <w:szCs w:val="24"/>
        </w:rPr>
        <w:t xml:space="preserve">Yoshioka, K., Moeder, W., Kang, H.-G., Kachroo, P., Masmoudi, K., Berkowitz, G. and Klessig, D.F. (2006). The Chimeric </w:t>
      </w:r>
      <w:r w:rsidRPr="00300841">
        <w:rPr>
          <w:i/>
          <w:szCs w:val="24"/>
        </w:rPr>
        <w:t>Arabidopsis</w:t>
      </w:r>
      <w:r w:rsidRPr="00300841">
        <w:rPr>
          <w:szCs w:val="24"/>
        </w:rPr>
        <w:t xml:space="preserve"> CYCLIC NUCLEOTIDE-GATED ION CHANNEL 11/12 Activates Multiple Pathogen Resistance Responses</w:t>
      </w:r>
      <w:r w:rsidRPr="00300841">
        <w:rPr>
          <w:i/>
          <w:szCs w:val="24"/>
        </w:rPr>
        <w:t>.</w:t>
      </w:r>
      <w:r w:rsidRPr="00300841">
        <w:rPr>
          <w:szCs w:val="24"/>
        </w:rPr>
        <w:t xml:space="preserve"> </w:t>
      </w:r>
      <w:r w:rsidRPr="00300841">
        <w:rPr>
          <w:i/>
          <w:szCs w:val="24"/>
        </w:rPr>
        <w:t>The Plant Cell</w:t>
      </w:r>
      <w:r w:rsidRPr="00300841">
        <w:rPr>
          <w:szCs w:val="24"/>
        </w:rPr>
        <w:t xml:space="preserve">  </w:t>
      </w:r>
      <w:r w:rsidRPr="00300841">
        <w:rPr>
          <w:b/>
          <w:szCs w:val="24"/>
        </w:rPr>
        <w:t>18</w:t>
      </w:r>
      <w:r w:rsidRPr="00300841">
        <w:rPr>
          <w:szCs w:val="24"/>
        </w:rPr>
        <w:t>, 747-763.</w:t>
      </w:r>
    </w:p>
    <w:p w:rsidR="00300841" w:rsidRPr="00300841" w:rsidRDefault="00300841" w:rsidP="00300841">
      <w:pPr>
        <w:spacing w:after="0" w:line="240" w:lineRule="auto"/>
        <w:ind w:left="720" w:hanging="720"/>
        <w:rPr>
          <w:szCs w:val="24"/>
        </w:rPr>
      </w:pPr>
      <w:r w:rsidRPr="00300841">
        <w:rPr>
          <w:szCs w:val="24"/>
        </w:rPr>
        <w:t>Youle, R.J. and Strasser, A. (2008). The BCL-2 protein family: opposing activities that mediate cell death</w:t>
      </w:r>
      <w:r w:rsidRPr="00300841">
        <w:rPr>
          <w:i/>
          <w:szCs w:val="24"/>
        </w:rPr>
        <w:t>.</w:t>
      </w:r>
      <w:r w:rsidRPr="00300841">
        <w:rPr>
          <w:szCs w:val="24"/>
        </w:rPr>
        <w:t xml:space="preserve"> </w:t>
      </w:r>
      <w:r w:rsidRPr="00300841">
        <w:rPr>
          <w:i/>
          <w:szCs w:val="24"/>
        </w:rPr>
        <w:t>Nature Reviews Molecular Cell Biology</w:t>
      </w:r>
      <w:r w:rsidRPr="00300841">
        <w:rPr>
          <w:szCs w:val="24"/>
        </w:rPr>
        <w:t xml:space="preserve">  </w:t>
      </w:r>
      <w:r w:rsidRPr="00300841">
        <w:rPr>
          <w:b/>
          <w:szCs w:val="24"/>
        </w:rPr>
        <w:t>9</w:t>
      </w:r>
      <w:r w:rsidRPr="00300841">
        <w:rPr>
          <w:szCs w:val="24"/>
        </w:rPr>
        <w:t>, 47-59.</w:t>
      </w:r>
    </w:p>
    <w:p w:rsidR="00300841" w:rsidRPr="00300841" w:rsidRDefault="00300841" w:rsidP="00300841">
      <w:pPr>
        <w:spacing w:after="0" w:line="240" w:lineRule="auto"/>
        <w:ind w:left="720" w:hanging="720"/>
        <w:rPr>
          <w:szCs w:val="24"/>
        </w:rPr>
      </w:pPr>
      <w:r w:rsidRPr="00300841">
        <w:rPr>
          <w:szCs w:val="24"/>
        </w:rPr>
        <w:t>Young, T. and Gallie, D. (1999). Analysis of programmed cell death in wheat endosperm reveals differences in endosperm development between cereals</w:t>
      </w:r>
      <w:r w:rsidRPr="00300841">
        <w:rPr>
          <w:i/>
          <w:szCs w:val="24"/>
        </w:rPr>
        <w:t>.</w:t>
      </w:r>
      <w:r w:rsidRPr="00300841">
        <w:rPr>
          <w:szCs w:val="24"/>
        </w:rPr>
        <w:t xml:space="preserve"> </w:t>
      </w:r>
      <w:r w:rsidRPr="00300841">
        <w:rPr>
          <w:i/>
          <w:szCs w:val="24"/>
        </w:rPr>
        <w:t>Plant Molecular Biology</w:t>
      </w:r>
      <w:r w:rsidRPr="00300841">
        <w:rPr>
          <w:szCs w:val="24"/>
        </w:rPr>
        <w:t xml:space="preserve">  </w:t>
      </w:r>
      <w:r w:rsidRPr="00300841">
        <w:rPr>
          <w:b/>
          <w:szCs w:val="24"/>
        </w:rPr>
        <w:t>39</w:t>
      </w:r>
      <w:r w:rsidRPr="00300841">
        <w:rPr>
          <w:szCs w:val="24"/>
        </w:rPr>
        <w:t>, 915-926.</w:t>
      </w:r>
    </w:p>
    <w:p w:rsidR="00300841" w:rsidRPr="00300841" w:rsidRDefault="00300841" w:rsidP="00300841">
      <w:pPr>
        <w:spacing w:after="0" w:line="240" w:lineRule="auto"/>
        <w:ind w:left="720" w:hanging="720"/>
        <w:rPr>
          <w:szCs w:val="24"/>
        </w:rPr>
      </w:pPr>
      <w:r w:rsidRPr="00300841">
        <w:rPr>
          <w:szCs w:val="24"/>
        </w:rPr>
        <w:t>Young, T.E. and Gallie, D.R. (2000a). Programmed cell death during endosperm development</w:t>
      </w:r>
      <w:r w:rsidRPr="00300841">
        <w:rPr>
          <w:i/>
          <w:szCs w:val="24"/>
        </w:rPr>
        <w:t>.</w:t>
      </w:r>
      <w:r w:rsidRPr="00300841">
        <w:rPr>
          <w:szCs w:val="24"/>
        </w:rPr>
        <w:t xml:space="preserve"> </w:t>
      </w:r>
      <w:r w:rsidRPr="00300841">
        <w:rPr>
          <w:i/>
          <w:szCs w:val="24"/>
        </w:rPr>
        <w:t>Plant Molecular Biology</w:t>
      </w:r>
      <w:r w:rsidRPr="00300841">
        <w:rPr>
          <w:szCs w:val="24"/>
        </w:rPr>
        <w:t xml:space="preserve">  </w:t>
      </w:r>
      <w:r w:rsidRPr="00300841">
        <w:rPr>
          <w:b/>
          <w:szCs w:val="24"/>
        </w:rPr>
        <w:t>44</w:t>
      </w:r>
      <w:r w:rsidRPr="00300841">
        <w:rPr>
          <w:szCs w:val="24"/>
        </w:rPr>
        <w:t>, 283-301.</w:t>
      </w:r>
    </w:p>
    <w:p w:rsidR="00300841" w:rsidRPr="00300841" w:rsidRDefault="00300841" w:rsidP="00300841">
      <w:pPr>
        <w:spacing w:after="0" w:line="240" w:lineRule="auto"/>
        <w:ind w:left="720" w:hanging="720"/>
        <w:rPr>
          <w:szCs w:val="24"/>
        </w:rPr>
      </w:pPr>
      <w:r w:rsidRPr="00300841">
        <w:rPr>
          <w:szCs w:val="24"/>
        </w:rPr>
        <w:t>Young, T.E. and Gallie, D.R. (2000b). Regulation of programmed cell death in maize endosperm by abscisic acid</w:t>
      </w:r>
      <w:r w:rsidRPr="00300841">
        <w:rPr>
          <w:i/>
          <w:szCs w:val="24"/>
        </w:rPr>
        <w:t>.</w:t>
      </w:r>
      <w:r w:rsidRPr="00300841">
        <w:rPr>
          <w:szCs w:val="24"/>
        </w:rPr>
        <w:t xml:space="preserve"> </w:t>
      </w:r>
      <w:r w:rsidRPr="00300841">
        <w:rPr>
          <w:i/>
          <w:szCs w:val="24"/>
        </w:rPr>
        <w:t>Plant Molecular Biology</w:t>
      </w:r>
      <w:r w:rsidRPr="00300841">
        <w:rPr>
          <w:szCs w:val="24"/>
        </w:rPr>
        <w:t xml:space="preserve">  </w:t>
      </w:r>
      <w:r w:rsidRPr="00300841">
        <w:rPr>
          <w:b/>
          <w:szCs w:val="24"/>
        </w:rPr>
        <w:t>42</w:t>
      </w:r>
      <w:r w:rsidRPr="00300841">
        <w:rPr>
          <w:szCs w:val="24"/>
        </w:rPr>
        <w:t>, 397-414.</w:t>
      </w:r>
    </w:p>
    <w:p w:rsidR="00300841" w:rsidRPr="00300841" w:rsidRDefault="00300841" w:rsidP="00300841">
      <w:pPr>
        <w:spacing w:after="0" w:line="240" w:lineRule="auto"/>
        <w:ind w:left="720" w:hanging="720"/>
        <w:rPr>
          <w:szCs w:val="24"/>
        </w:rPr>
      </w:pPr>
      <w:r w:rsidRPr="00300841">
        <w:rPr>
          <w:szCs w:val="24"/>
        </w:rPr>
        <w:t>Young, T.E., Gallie, D.R. and DeMason, D.A. (1997). Ethylene-Mediated Programmed Cell Death during Maize Endosperm Development of Wild-Type and shrunken2 Genotypes</w:t>
      </w:r>
      <w:r w:rsidRPr="00300841">
        <w:rPr>
          <w:i/>
          <w:szCs w:val="24"/>
        </w:rPr>
        <w:t>.</w:t>
      </w:r>
      <w:r w:rsidRPr="00300841">
        <w:rPr>
          <w:szCs w:val="24"/>
        </w:rPr>
        <w:t xml:space="preserve"> </w:t>
      </w:r>
      <w:r w:rsidRPr="00300841">
        <w:rPr>
          <w:i/>
          <w:szCs w:val="24"/>
        </w:rPr>
        <w:t>Plant Physiology</w:t>
      </w:r>
      <w:r w:rsidRPr="00300841">
        <w:rPr>
          <w:szCs w:val="24"/>
        </w:rPr>
        <w:t xml:space="preserve">  </w:t>
      </w:r>
      <w:r w:rsidRPr="00300841">
        <w:rPr>
          <w:b/>
          <w:szCs w:val="24"/>
        </w:rPr>
        <w:t>115</w:t>
      </w:r>
      <w:r w:rsidRPr="00300841">
        <w:rPr>
          <w:szCs w:val="24"/>
        </w:rPr>
        <w:t>, 737-751.</w:t>
      </w:r>
    </w:p>
    <w:p w:rsidR="00300841" w:rsidRPr="00300841" w:rsidRDefault="00300841" w:rsidP="00300841">
      <w:pPr>
        <w:spacing w:after="0" w:line="240" w:lineRule="auto"/>
        <w:ind w:left="720" w:hanging="720"/>
        <w:rPr>
          <w:szCs w:val="24"/>
        </w:rPr>
      </w:pPr>
      <w:r w:rsidRPr="00300841">
        <w:rPr>
          <w:szCs w:val="24"/>
        </w:rPr>
        <w:t xml:space="preserve">Yu, I.-c., Parker, J. and Bent, A.F. (1998). Gene-for-gene disease resistance without the hypersensitive response in </w:t>
      </w:r>
      <w:r w:rsidRPr="00300841">
        <w:rPr>
          <w:i/>
          <w:szCs w:val="24"/>
        </w:rPr>
        <w:t>Arabidopsis</w:t>
      </w:r>
      <w:r w:rsidRPr="00300841">
        <w:rPr>
          <w:szCs w:val="24"/>
        </w:rPr>
        <w:t xml:space="preserve"> dnd1 mutant</w:t>
      </w:r>
      <w:r w:rsidRPr="00300841">
        <w:rPr>
          <w:i/>
          <w:szCs w:val="24"/>
        </w:rPr>
        <w:t>.</w:t>
      </w:r>
      <w:r w:rsidRPr="00300841">
        <w:rPr>
          <w:szCs w:val="24"/>
        </w:rPr>
        <w:t xml:space="preserve"> </w:t>
      </w:r>
      <w:r w:rsidRPr="00300841">
        <w:rPr>
          <w:i/>
          <w:szCs w:val="24"/>
        </w:rPr>
        <w:t>Proceedings of the National Academy of Sciences of the United States of America</w:t>
      </w:r>
      <w:r w:rsidRPr="00300841">
        <w:rPr>
          <w:szCs w:val="24"/>
        </w:rPr>
        <w:t xml:space="preserve">  </w:t>
      </w:r>
      <w:r w:rsidRPr="00300841">
        <w:rPr>
          <w:b/>
          <w:szCs w:val="24"/>
        </w:rPr>
        <w:t>95</w:t>
      </w:r>
      <w:r w:rsidRPr="00300841">
        <w:rPr>
          <w:szCs w:val="24"/>
        </w:rPr>
        <w:t>, 7819-7824.</w:t>
      </w:r>
    </w:p>
    <w:p w:rsidR="00300841" w:rsidRPr="00300841" w:rsidRDefault="00300841" w:rsidP="00300841">
      <w:pPr>
        <w:spacing w:after="0" w:line="240" w:lineRule="auto"/>
        <w:ind w:left="720" w:hanging="720"/>
        <w:rPr>
          <w:szCs w:val="24"/>
        </w:rPr>
      </w:pPr>
      <w:r w:rsidRPr="00300841">
        <w:rPr>
          <w:szCs w:val="24"/>
        </w:rPr>
        <w:t>Yu, X.-H., Perdue, T.D., Heimer, J.M. and Jones, A.M. (2002). Mitochondrial involvement in tracheary element programmed cell death</w:t>
      </w:r>
      <w:r w:rsidRPr="00300841">
        <w:rPr>
          <w:i/>
          <w:szCs w:val="24"/>
        </w:rPr>
        <w:t>.</w:t>
      </w:r>
      <w:r w:rsidRPr="00300841">
        <w:rPr>
          <w:szCs w:val="24"/>
        </w:rPr>
        <w:t xml:space="preserve"> </w:t>
      </w:r>
      <w:r w:rsidRPr="00300841">
        <w:rPr>
          <w:i/>
          <w:szCs w:val="24"/>
        </w:rPr>
        <w:t>Cell Death Differentiation</w:t>
      </w:r>
      <w:r w:rsidRPr="00300841">
        <w:rPr>
          <w:szCs w:val="24"/>
        </w:rPr>
        <w:t xml:space="preserve">  </w:t>
      </w:r>
      <w:r w:rsidRPr="00300841">
        <w:rPr>
          <w:b/>
          <w:szCs w:val="24"/>
        </w:rPr>
        <w:t>9</w:t>
      </w:r>
      <w:r w:rsidRPr="00300841">
        <w:rPr>
          <w:szCs w:val="24"/>
        </w:rPr>
        <w:t>, 189-198.</w:t>
      </w:r>
    </w:p>
    <w:p w:rsidR="00300841" w:rsidRPr="00300841" w:rsidRDefault="00300841" w:rsidP="00300841">
      <w:pPr>
        <w:spacing w:after="0" w:line="240" w:lineRule="auto"/>
        <w:ind w:left="720" w:hanging="720"/>
        <w:rPr>
          <w:szCs w:val="24"/>
        </w:rPr>
      </w:pPr>
      <w:r w:rsidRPr="00300841">
        <w:rPr>
          <w:szCs w:val="24"/>
        </w:rPr>
        <w:t>Zapata, J.M., Guera, A., Esteban-Carrasco, A., Martin, M. and Sabater, B. (2005). Chloroplasts regulate leaf senescence: delayed senescence in transgenic ndhF-defective tobacco</w:t>
      </w:r>
      <w:r w:rsidRPr="00300841">
        <w:rPr>
          <w:i/>
          <w:szCs w:val="24"/>
        </w:rPr>
        <w:t>.</w:t>
      </w:r>
      <w:r w:rsidRPr="00300841">
        <w:rPr>
          <w:szCs w:val="24"/>
        </w:rPr>
        <w:t xml:space="preserve"> </w:t>
      </w:r>
      <w:r w:rsidRPr="00300841">
        <w:rPr>
          <w:i/>
          <w:szCs w:val="24"/>
        </w:rPr>
        <w:t>Cell Death Differentiation</w:t>
      </w:r>
      <w:r w:rsidRPr="00300841">
        <w:rPr>
          <w:szCs w:val="24"/>
        </w:rPr>
        <w:t xml:space="preserve">  </w:t>
      </w:r>
      <w:r w:rsidRPr="00300841">
        <w:rPr>
          <w:b/>
          <w:szCs w:val="24"/>
        </w:rPr>
        <w:t>12</w:t>
      </w:r>
      <w:r w:rsidRPr="00300841">
        <w:rPr>
          <w:szCs w:val="24"/>
        </w:rPr>
        <w:t>, 1277-1284.</w:t>
      </w:r>
    </w:p>
    <w:p w:rsidR="00300841" w:rsidRPr="00300841" w:rsidRDefault="00300841" w:rsidP="00300841">
      <w:pPr>
        <w:spacing w:after="0" w:line="240" w:lineRule="auto"/>
        <w:ind w:left="720" w:hanging="720"/>
        <w:rPr>
          <w:szCs w:val="24"/>
        </w:rPr>
      </w:pPr>
      <w:r w:rsidRPr="00300841">
        <w:rPr>
          <w:szCs w:val="24"/>
        </w:rPr>
        <w:t>Zhang, L., Xu, Q., Xing, D., Gao, C. and Xiong, H. (2009). Real-Time Detection of Caspase-3-Like Protease Activation in Vivo Using Fluorescence Resonance Energy Transfer during Plant Programmed Cell Death Induced by Ultraviolet C Overexposure</w:t>
      </w:r>
      <w:r w:rsidRPr="00300841">
        <w:rPr>
          <w:i/>
          <w:szCs w:val="24"/>
        </w:rPr>
        <w:t>.</w:t>
      </w:r>
      <w:r w:rsidRPr="00300841">
        <w:rPr>
          <w:szCs w:val="24"/>
        </w:rPr>
        <w:t xml:space="preserve"> </w:t>
      </w:r>
      <w:r w:rsidRPr="00300841">
        <w:rPr>
          <w:i/>
          <w:szCs w:val="24"/>
        </w:rPr>
        <w:t>Plant Physiology</w:t>
      </w:r>
      <w:r w:rsidRPr="00300841">
        <w:rPr>
          <w:szCs w:val="24"/>
        </w:rPr>
        <w:t xml:space="preserve">  </w:t>
      </w:r>
      <w:r w:rsidRPr="00300841">
        <w:rPr>
          <w:b/>
          <w:szCs w:val="24"/>
        </w:rPr>
        <w:t>150</w:t>
      </w:r>
      <w:r w:rsidRPr="00300841">
        <w:rPr>
          <w:szCs w:val="24"/>
        </w:rPr>
        <w:t>, 1773-1783.</w:t>
      </w:r>
    </w:p>
    <w:p w:rsidR="00300841" w:rsidRPr="00300841" w:rsidRDefault="00300841" w:rsidP="00300841">
      <w:pPr>
        <w:spacing w:after="0" w:line="240" w:lineRule="auto"/>
        <w:ind w:left="720" w:hanging="720"/>
        <w:rPr>
          <w:szCs w:val="24"/>
        </w:rPr>
      </w:pPr>
      <w:r w:rsidRPr="00300841">
        <w:rPr>
          <w:szCs w:val="24"/>
        </w:rPr>
        <w:t>Zhivotovsky, B. (2002). From the nematode and mammals back to the pine tree: on the diversity and evolution of programmed cell death</w:t>
      </w:r>
      <w:r w:rsidRPr="00300841">
        <w:rPr>
          <w:i/>
          <w:szCs w:val="24"/>
        </w:rPr>
        <w:t>.</w:t>
      </w:r>
      <w:r w:rsidRPr="00300841">
        <w:rPr>
          <w:szCs w:val="24"/>
        </w:rPr>
        <w:t xml:space="preserve"> </w:t>
      </w:r>
      <w:r w:rsidRPr="00300841">
        <w:rPr>
          <w:i/>
          <w:szCs w:val="24"/>
        </w:rPr>
        <w:t>Cell Death and Differentiation</w:t>
      </w:r>
      <w:r w:rsidRPr="00300841">
        <w:rPr>
          <w:szCs w:val="24"/>
        </w:rPr>
        <w:t xml:space="preserve">  </w:t>
      </w:r>
      <w:r w:rsidRPr="00300841">
        <w:rPr>
          <w:b/>
          <w:szCs w:val="24"/>
        </w:rPr>
        <w:t>9</w:t>
      </w:r>
      <w:r w:rsidRPr="00300841">
        <w:rPr>
          <w:szCs w:val="24"/>
        </w:rPr>
        <w:t>, 3.</w:t>
      </w:r>
    </w:p>
    <w:p w:rsidR="00300841" w:rsidRPr="00300841" w:rsidRDefault="00300841" w:rsidP="00300841">
      <w:pPr>
        <w:spacing w:after="0" w:line="240" w:lineRule="auto"/>
        <w:ind w:left="720" w:hanging="720"/>
        <w:rPr>
          <w:szCs w:val="24"/>
        </w:rPr>
      </w:pPr>
      <w:r w:rsidRPr="00300841">
        <w:rPr>
          <w:szCs w:val="24"/>
        </w:rPr>
        <w:t>Zhurov, V., Terzin, T. and Grbić, M. (2007). (In)discrete charm of the polyembryony: Evolution of embryo cloning</w:t>
      </w:r>
      <w:r w:rsidRPr="00300841">
        <w:rPr>
          <w:i/>
          <w:szCs w:val="24"/>
        </w:rPr>
        <w:t>.</w:t>
      </w:r>
      <w:r w:rsidRPr="00300841">
        <w:rPr>
          <w:szCs w:val="24"/>
        </w:rPr>
        <w:t xml:space="preserve"> </w:t>
      </w:r>
      <w:r w:rsidRPr="00300841">
        <w:rPr>
          <w:i/>
          <w:szCs w:val="24"/>
        </w:rPr>
        <w:t>Cellular and Molecular Life Sciences</w:t>
      </w:r>
      <w:r w:rsidRPr="00300841">
        <w:rPr>
          <w:szCs w:val="24"/>
        </w:rPr>
        <w:t xml:space="preserve">  </w:t>
      </w:r>
      <w:r w:rsidRPr="00300841">
        <w:rPr>
          <w:b/>
          <w:szCs w:val="24"/>
        </w:rPr>
        <w:t>64</w:t>
      </w:r>
      <w:r w:rsidRPr="00300841">
        <w:rPr>
          <w:szCs w:val="24"/>
        </w:rPr>
        <w:t>, 2790-2798.</w:t>
      </w:r>
    </w:p>
    <w:p w:rsidR="00300841" w:rsidRPr="00300841" w:rsidRDefault="00300841" w:rsidP="00300841">
      <w:pPr>
        <w:spacing w:after="0" w:line="240" w:lineRule="auto"/>
        <w:ind w:left="720" w:hanging="720"/>
        <w:rPr>
          <w:szCs w:val="24"/>
        </w:rPr>
      </w:pPr>
      <w:r w:rsidRPr="00300841">
        <w:rPr>
          <w:szCs w:val="24"/>
        </w:rPr>
        <w:t xml:space="preserve">Zottini, M., Barizza, E., Bastianelli, F., Carimi, F. and Schiavo, F.L. (2006). Growth and Senescence of </w:t>
      </w:r>
      <w:r w:rsidRPr="00300841">
        <w:rPr>
          <w:i/>
          <w:szCs w:val="24"/>
        </w:rPr>
        <w:t>Medicago truncatula</w:t>
      </w:r>
      <w:r w:rsidRPr="00300841">
        <w:rPr>
          <w:szCs w:val="24"/>
        </w:rPr>
        <w:t xml:space="preserve"> Cultured Cells Are Associated with Characteristic Mitochondrial Morphology</w:t>
      </w:r>
      <w:r w:rsidRPr="00300841">
        <w:rPr>
          <w:i/>
          <w:szCs w:val="24"/>
        </w:rPr>
        <w:t>.</w:t>
      </w:r>
      <w:r w:rsidRPr="00300841">
        <w:rPr>
          <w:szCs w:val="24"/>
        </w:rPr>
        <w:t xml:space="preserve"> </w:t>
      </w:r>
      <w:r w:rsidRPr="00300841">
        <w:rPr>
          <w:i/>
          <w:szCs w:val="24"/>
        </w:rPr>
        <w:t>New Phytologist</w:t>
      </w:r>
      <w:r w:rsidRPr="00300841">
        <w:rPr>
          <w:szCs w:val="24"/>
        </w:rPr>
        <w:t xml:space="preserve">  </w:t>
      </w:r>
      <w:r w:rsidRPr="00300841">
        <w:rPr>
          <w:b/>
          <w:szCs w:val="24"/>
        </w:rPr>
        <w:t>172</w:t>
      </w:r>
      <w:r w:rsidRPr="00300841">
        <w:rPr>
          <w:szCs w:val="24"/>
        </w:rPr>
        <w:t>, 239-247.</w:t>
      </w:r>
    </w:p>
    <w:p w:rsidR="00300841" w:rsidRPr="00300841" w:rsidRDefault="00300841" w:rsidP="00300841">
      <w:pPr>
        <w:spacing w:after="0" w:line="240" w:lineRule="auto"/>
        <w:ind w:left="720" w:hanging="720"/>
        <w:rPr>
          <w:szCs w:val="24"/>
        </w:rPr>
      </w:pPr>
      <w:r w:rsidRPr="00300841">
        <w:rPr>
          <w:szCs w:val="24"/>
        </w:rPr>
        <w:t xml:space="preserve">Zuppini, A., Andreoli, C. and Baldan, B. (2007). Heat Stress: an Inducer of Programmed Cell Death in </w:t>
      </w:r>
      <w:r w:rsidRPr="00300841">
        <w:rPr>
          <w:i/>
          <w:szCs w:val="24"/>
        </w:rPr>
        <w:t>Chlorella saccharophila.</w:t>
      </w:r>
      <w:r w:rsidRPr="00300841">
        <w:rPr>
          <w:szCs w:val="24"/>
        </w:rPr>
        <w:t xml:space="preserve"> </w:t>
      </w:r>
      <w:r w:rsidRPr="00300841">
        <w:rPr>
          <w:i/>
          <w:szCs w:val="24"/>
        </w:rPr>
        <w:t>Plant Cell Physiology</w:t>
      </w:r>
      <w:r w:rsidRPr="00300841">
        <w:rPr>
          <w:szCs w:val="24"/>
        </w:rPr>
        <w:t xml:space="preserve">  </w:t>
      </w:r>
      <w:r w:rsidRPr="00300841">
        <w:rPr>
          <w:b/>
          <w:szCs w:val="24"/>
        </w:rPr>
        <w:t>48</w:t>
      </w:r>
      <w:r w:rsidRPr="00300841">
        <w:rPr>
          <w:szCs w:val="24"/>
        </w:rPr>
        <w:t>, 1000-1009.</w:t>
      </w:r>
    </w:p>
    <w:p w:rsidR="00300841" w:rsidRPr="00300841" w:rsidRDefault="00300841" w:rsidP="00300841">
      <w:pPr>
        <w:spacing w:after="0" w:line="240" w:lineRule="auto"/>
        <w:ind w:left="720" w:hanging="720"/>
        <w:rPr>
          <w:szCs w:val="24"/>
        </w:rPr>
      </w:pPr>
      <w:r w:rsidRPr="00300841">
        <w:rPr>
          <w:szCs w:val="24"/>
        </w:rPr>
        <w:t>Zuppini, A., Gerotto, C. and Baldan, B. (2010). Programmed Cell Death and Adaptation: Two Different Types of Abiotic Stress Response in a Unicellular Chlorophyte</w:t>
      </w:r>
      <w:r w:rsidRPr="00300841">
        <w:rPr>
          <w:i/>
          <w:szCs w:val="24"/>
        </w:rPr>
        <w:t>.</w:t>
      </w:r>
      <w:r w:rsidRPr="00300841">
        <w:rPr>
          <w:szCs w:val="24"/>
        </w:rPr>
        <w:t xml:space="preserve"> </w:t>
      </w:r>
      <w:r w:rsidRPr="00300841">
        <w:rPr>
          <w:i/>
          <w:szCs w:val="24"/>
        </w:rPr>
        <w:t>Plant Cell Physiology</w:t>
      </w:r>
      <w:r w:rsidRPr="00300841">
        <w:rPr>
          <w:szCs w:val="24"/>
        </w:rPr>
        <w:t xml:space="preserve">  </w:t>
      </w:r>
      <w:r w:rsidRPr="00300841">
        <w:rPr>
          <w:b/>
          <w:szCs w:val="24"/>
        </w:rPr>
        <w:t>51</w:t>
      </w:r>
      <w:r w:rsidRPr="00300841">
        <w:rPr>
          <w:szCs w:val="24"/>
        </w:rPr>
        <w:t>, 884-895.</w:t>
      </w:r>
    </w:p>
    <w:p w:rsidR="00300841" w:rsidRPr="00300841" w:rsidRDefault="00300841" w:rsidP="00300841">
      <w:pPr>
        <w:spacing w:after="0" w:line="240" w:lineRule="auto"/>
        <w:ind w:left="720" w:hanging="720"/>
        <w:rPr>
          <w:szCs w:val="24"/>
        </w:rPr>
      </w:pPr>
      <w:r w:rsidRPr="00300841">
        <w:rPr>
          <w:szCs w:val="24"/>
        </w:rPr>
        <w:t>Zuppini, A., Navazio, L. and Mariani, P. (2004). Endoplasmic reticulum stress-induced programmed cell death in soybean cells</w:t>
      </w:r>
      <w:r w:rsidRPr="00300841">
        <w:rPr>
          <w:i/>
          <w:szCs w:val="24"/>
        </w:rPr>
        <w:t>.</w:t>
      </w:r>
      <w:r w:rsidRPr="00300841">
        <w:rPr>
          <w:szCs w:val="24"/>
        </w:rPr>
        <w:t xml:space="preserve"> </w:t>
      </w:r>
      <w:r w:rsidRPr="00300841">
        <w:rPr>
          <w:i/>
          <w:szCs w:val="24"/>
        </w:rPr>
        <w:t>Journal of Cell Science</w:t>
      </w:r>
      <w:r w:rsidRPr="00300841">
        <w:rPr>
          <w:szCs w:val="24"/>
        </w:rPr>
        <w:t xml:space="preserve">  </w:t>
      </w:r>
      <w:r w:rsidRPr="00300841">
        <w:rPr>
          <w:b/>
          <w:szCs w:val="24"/>
        </w:rPr>
        <w:t>117</w:t>
      </w:r>
      <w:r w:rsidRPr="00300841">
        <w:rPr>
          <w:szCs w:val="24"/>
        </w:rPr>
        <w:t>, 2591-2598.</w:t>
      </w:r>
    </w:p>
    <w:p w:rsidR="00300841" w:rsidRPr="00300841" w:rsidRDefault="00300841" w:rsidP="00300841">
      <w:pPr>
        <w:spacing w:after="0" w:line="240" w:lineRule="auto"/>
        <w:ind w:left="720" w:hanging="720"/>
        <w:rPr>
          <w:szCs w:val="24"/>
        </w:rPr>
      </w:pPr>
      <w:r w:rsidRPr="00300841">
        <w:rPr>
          <w:szCs w:val="24"/>
        </w:rPr>
        <w:t xml:space="preserve">Zuppini, A., Navazio, L., Sella, L., Castiglioni, C., Favaron, F. and Mariani, P. (2005). An endopolygalacturonase from </w:t>
      </w:r>
      <w:r w:rsidRPr="00300841">
        <w:rPr>
          <w:i/>
          <w:szCs w:val="24"/>
        </w:rPr>
        <w:t>Sclerotinia sclerotiorum</w:t>
      </w:r>
      <w:r w:rsidRPr="00300841">
        <w:rPr>
          <w:szCs w:val="24"/>
        </w:rPr>
        <w:t xml:space="preserve"> induces calcium-mediated signaling and programmed cell death in soybean cells</w:t>
      </w:r>
      <w:r w:rsidRPr="00300841">
        <w:rPr>
          <w:i/>
          <w:szCs w:val="24"/>
        </w:rPr>
        <w:t>.</w:t>
      </w:r>
      <w:r w:rsidRPr="00300841">
        <w:rPr>
          <w:szCs w:val="24"/>
        </w:rPr>
        <w:t xml:space="preserve"> </w:t>
      </w:r>
      <w:r w:rsidRPr="00300841">
        <w:rPr>
          <w:i/>
          <w:szCs w:val="24"/>
        </w:rPr>
        <w:t>Molecular Plant-Microbe Interactions</w:t>
      </w:r>
      <w:r w:rsidRPr="00300841">
        <w:rPr>
          <w:szCs w:val="24"/>
        </w:rPr>
        <w:t xml:space="preserve">  </w:t>
      </w:r>
      <w:r w:rsidRPr="00300841">
        <w:rPr>
          <w:b/>
          <w:szCs w:val="24"/>
        </w:rPr>
        <w:t>18</w:t>
      </w:r>
      <w:r w:rsidRPr="00300841">
        <w:rPr>
          <w:szCs w:val="24"/>
        </w:rPr>
        <w:t>, 849 - 855.</w:t>
      </w:r>
    </w:p>
    <w:p w:rsidR="00300841" w:rsidRPr="00300841" w:rsidRDefault="00300841" w:rsidP="00300841">
      <w:pPr>
        <w:spacing w:after="0" w:line="240" w:lineRule="auto"/>
        <w:ind w:left="720" w:hanging="720"/>
        <w:rPr>
          <w:szCs w:val="24"/>
        </w:rPr>
      </w:pPr>
    </w:p>
    <w:p w:rsidR="00300841" w:rsidRPr="00300841" w:rsidRDefault="00300841" w:rsidP="00300841">
      <w:pPr>
        <w:rPr>
          <w:rFonts w:asciiTheme="minorHAnsi" w:eastAsiaTheme="minorHAnsi" w:hAnsiTheme="minorHAnsi" w:cstheme="minorBidi"/>
        </w:rPr>
      </w:pPr>
    </w:p>
    <w:p w:rsidR="00300841" w:rsidRDefault="00300841" w:rsidP="008A1688">
      <w:pPr>
        <w:spacing w:line="480" w:lineRule="auto"/>
        <w:rPr>
          <w:rFonts w:asciiTheme="minorHAnsi" w:eastAsiaTheme="minorHAnsi" w:hAnsiTheme="minorHAnsi" w:cstheme="minorBidi"/>
        </w:rPr>
      </w:pPr>
    </w:p>
    <w:p w:rsidR="00300841" w:rsidRDefault="00300841" w:rsidP="008A1688">
      <w:pPr>
        <w:spacing w:line="480" w:lineRule="auto"/>
        <w:rPr>
          <w:rFonts w:asciiTheme="minorHAnsi" w:eastAsiaTheme="minorHAnsi" w:hAnsiTheme="minorHAnsi" w:cstheme="minorBidi"/>
        </w:rPr>
      </w:pPr>
    </w:p>
    <w:p w:rsidR="00300841" w:rsidRDefault="00300841" w:rsidP="008A1688">
      <w:pPr>
        <w:spacing w:line="480" w:lineRule="auto"/>
        <w:rPr>
          <w:rFonts w:asciiTheme="minorHAnsi" w:eastAsiaTheme="minorHAnsi" w:hAnsiTheme="minorHAnsi" w:cstheme="minorBidi"/>
        </w:rPr>
      </w:pPr>
    </w:p>
    <w:p w:rsidR="00300841" w:rsidRDefault="00300841" w:rsidP="008A1688">
      <w:pPr>
        <w:spacing w:line="480" w:lineRule="auto"/>
        <w:rPr>
          <w:rFonts w:asciiTheme="minorHAnsi" w:eastAsiaTheme="minorHAnsi" w:hAnsiTheme="minorHAnsi" w:cstheme="minorBidi"/>
        </w:rPr>
      </w:pPr>
    </w:p>
    <w:p w:rsidR="00300841" w:rsidRDefault="00300841" w:rsidP="008A1688">
      <w:pPr>
        <w:spacing w:line="480" w:lineRule="auto"/>
        <w:rPr>
          <w:rFonts w:asciiTheme="minorHAnsi" w:eastAsiaTheme="minorHAnsi" w:hAnsiTheme="minorHAnsi" w:cstheme="minorBidi"/>
        </w:rPr>
      </w:pPr>
    </w:p>
    <w:p w:rsidR="00300841" w:rsidRDefault="00300841" w:rsidP="008A1688">
      <w:pPr>
        <w:spacing w:line="480" w:lineRule="auto"/>
        <w:rPr>
          <w:rFonts w:asciiTheme="minorHAnsi" w:eastAsiaTheme="minorHAnsi" w:hAnsiTheme="minorHAnsi" w:cstheme="minorBidi"/>
        </w:rPr>
      </w:pPr>
    </w:p>
    <w:p w:rsidR="00300841" w:rsidRDefault="00300841" w:rsidP="008A1688">
      <w:pPr>
        <w:spacing w:line="480" w:lineRule="auto"/>
        <w:rPr>
          <w:rFonts w:asciiTheme="minorHAnsi" w:eastAsiaTheme="minorHAnsi" w:hAnsiTheme="minorHAnsi" w:cstheme="minorBidi"/>
        </w:rPr>
      </w:pPr>
    </w:p>
    <w:p w:rsidR="00300841" w:rsidRDefault="00300841" w:rsidP="008A1688">
      <w:pPr>
        <w:spacing w:line="480" w:lineRule="auto"/>
        <w:rPr>
          <w:rFonts w:asciiTheme="minorHAnsi" w:eastAsiaTheme="minorHAnsi" w:hAnsiTheme="minorHAnsi" w:cstheme="minorBidi"/>
        </w:rPr>
      </w:pPr>
    </w:p>
    <w:p w:rsidR="00300841" w:rsidRDefault="00300841" w:rsidP="008A1688">
      <w:pPr>
        <w:spacing w:line="480" w:lineRule="auto"/>
        <w:rPr>
          <w:rFonts w:asciiTheme="minorHAnsi" w:eastAsiaTheme="minorHAnsi" w:hAnsiTheme="minorHAnsi" w:cstheme="minorBidi"/>
        </w:rPr>
      </w:pPr>
    </w:p>
    <w:p w:rsidR="00300841" w:rsidRDefault="00300841" w:rsidP="008A1688">
      <w:pPr>
        <w:spacing w:line="480" w:lineRule="auto"/>
        <w:rPr>
          <w:rFonts w:asciiTheme="minorHAnsi" w:eastAsiaTheme="minorHAnsi" w:hAnsiTheme="minorHAnsi" w:cstheme="minorBidi"/>
        </w:rPr>
      </w:pPr>
    </w:p>
    <w:p w:rsidR="00300841" w:rsidRDefault="00300841" w:rsidP="008A1688">
      <w:pPr>
        <w:spacing w:line="480" w:lineRule="auto"/>
        <w:rPr>
          <w:rFonts w:asciiTheme="minorHAnsi" w:eastAsiaTheme="minorHAnsi" w:hAnsiTheme="minorHAnsi" w:cstheme="minorBidi"/>
        </w:rPr>
      </w:pPr>
    </w:p>
    <w:p w:rsidR="00300841" w:rsidRDefault="00300841" w:rsidP="008A1688">
      <w:pPr>
        <w:spacing w:line="480" w:lineRule="auto"/>
        <w:rPr>
          <w:rFonts w:asciiTheme="minorHAnsi" w:eastAsiaTheme="minorHAnsi" w:hAnsiTheme="minorHAnsi" w:cstheme="minorBidi"/>
        </w:rPr>
      </w:pPr>
    </w:p>
    <w:p w:rsidR="00300841" w:rsidRDefault="00300841" w:rsidP="008A1688">
      <w:pPr>
        <w:spacing w:line="480" w:lineRule="auto"/>
        <w:rPr>
          <w:rFonts w:asciiTheme="minorHAnsi" w:eastAsiaTheme="minorHAnsi" w:hAnsiTheme="minorHAnsi" w:cstheme="minorBidi"/>
        </w:rPr>
      </w:pPr>
    </w:p>
    <w:p w:rsidR="00300841" w:rsidRDefault="00300841" w:rsidP="008A1688">
      <w:pPr>
        <w:spacing w:line="480" w:lineRule="auto"/>
        <w:rPr>
          <w:rFonts w:asciiTheme="minorHAnsi" w:eastAsiaTheme="minorHAnsi" w:hAnsiTheme="minorHAnsi" w:cstheme="minorBidi"/>
        </w:rPr>
      </w:pPr>
    </w:p>
    <w:p w:rsidR="00300841" w:rsidRDefault="00300841" w:rsidP="008A1688">
      <w:pPr>
        <w:spacing w:line="480" w:lineRule="auto"/>
        <w:rPr>
          <w:rFonts w:asciiTheme="minorHAnsi" w:eastAsiaTheme="minorHAnsi" w:hAnsiTheme="minorHAnsi" w:cstheme="minorBidi"/>
        </w:rPr>
      </w:pPr>
    </w:p>
    <w:p w:rsidR="00D1297B" w:rsidRDefault="00D1297B" w:rsidP="00D1297B">
      <w:pPr>
        <w:spacing w:line="480" w:lineRule="auto"/>
        <w:rPr>
          <w:rFonts w:asciiTheme="minorHAnsi" w:eastAsiaTheme="minorHAnsi" w:hAnsiTheme="minorHAnsi" w:cstheme="minorBidi"/>
        </w:rPr>
        <w:sectPr w:rsidR="00D1297B" w:rsidSect="002B4B8D">
          <w:footerReference w:type="default" r:id="rId9"/>
          <w:pgSz w:w="11906" w:h="16838"/>
          <w:pgMar w:top="1440" w:right="1440" w:bottom="1440" w:left="1440" w:header="708" w:footer="708" w:gutter="0"/>
          <w:cols w:space="708"/>
          <w:docGrid w:linePitch="360"/>
        </w:sectPr>
      </w:pPr>
    </w:p>
    <w:p w:rsidR="00300841" w:rsidRPr="00300841" w:rsidRDefault="00300841" w:rsidP="00D1297B">
      <w:pPr>
        <w:spacing w:line="480" w:lineRule="auto"/>
        <w:rPr>
          <w:rFonts w:ascii="Times New Roman" w:hAnsi="Times New Roman" w:cs="Times New Roman"/>
          <w:b/>
          <w:sz w:val="24"/>
          <w:szCs w:val="24"/>
        </w:rPr>
      </w:pPr>
      <w:r w:rsidRPr="00300841">
        <w:rPr>
          <w:rFonts w:ascii="Times New Roman" w:hAnsi="Times New Roman" w:cs="Times New Roman"/>
          <w:b/>
          <w:sz w:val="24"/>
          <w:szCs w:val="24"/>
        </w:rPr>
        <w:t>Figures and Tables</w:t>
      </w:r>
    </w:p>
    <w:p w:rsidR="00300841" w:rsidRPr="00300841" w:rsidRDefault="00300841" w:rsidP="00300841">
      <w:pPr>
        <w:rPr>
          <w:rFonts w:ascii="Times New Roman" w:hAnsi="Times New Roman" w:cs="Times New Roman"/>
          <w:sz w:val="24"/>
          <w:szCs w:val="24"/>
        </w:rPr>
      </w:pPr>
      <w:r w:rsidRPr="00300841">
        <w:rPr>
          <w:rFonts w:ascii="Times New Roman" w:hAnsi="Times New Roman" w:cs="Times New Roman"/>
          <w:sz w:val="24"/>
          <w:szCs w:val="24"/>
        </w:rPr>
        <w:t>Figure 1.</w:t>
      </w:r>
    </w:p>
    <w:p w:rsidR="00300841" w:rsidRPr="00300841" w:rsidRDefault="00300841" w:rsidP="00300841">
      <w:pPr>
        <w:rPr>
          <w:rFonts w:ascii="Times New Roman" w:hAnsi="Times New Roman" w:cs="Times New Roman"/>
          <w:sz w:val="24"/>
          <w:szCs w:val="24"/>
          <w:lang w:val="en-GB"/>
        </w:rPr>
      </w:pPr>
      <w:r w:rsidRPr="00300841">
        <w:rPr>
          <w:rFonts w:ascii="Times New Roman" w:hAnsi="Times New Roman" w:cs="Times New Roman"/>
          <w:sz w:val="24"/>
          <w:szCs w:val="24"/>
        </w:rPr>
        <w:t>AL-PCD morphology in various types of cells of</w:t>
      </w:r>
      <w:r w:rsidRPr="00300841">
        <w:rPr>
          <w:rFonts w:ascii="Times New Roman" w:hAnsi="Times New Roman" w:cs="Times New Roman"/>
          <w:i/>
          <w:iCs/>
          <w:sz w:val="24"/>
          <w:szCs w:val="24"/>
        </w:rPr>
        <w:t xml:space="preserve"> Arabidopsis thaliana</w:t>
      </w:r>
      <w:r w:rsidRPr="00300841">
        <w:rPr>
          <w:rFonts w:ascii="Times New Roman" w:hAnsi="Times New Roman" w:cs="Times New Roman"/>
          <w:sz w:val="24"/>
          <w:szCs w:val="24"/>
        </w:rPr>
        <w:t>:</w:t>
      </w:r>
      <w:r w:rsidRPr="00300841">
        <w:rPr>
          <w:rFonts w:ascii="Times New Roman" w:hAnsi="Times New Roman" w:cs="Times New Roman"/>
          <w:b/>
          <w:bCs/>
          <w:sz w:val="24"/>
          <w:szCs w:val="24"/>
        </w:rPr>
        <w:t xml:space="preserve"> </w:t>
      </w:r>
      <w:r w:rsidRPr="00300841">
        <w:rPr>
          <w:rFonts w:ascii="Times New Roman" w:hAnsi="Times New Roman" w:cs="Times New Roman"/>
          <w:sz w:val="24"/>
          <w:szCs w:val="24"/>
        </w:rPr>
        <w:t xml:space="preserve">A. cultured cells; B. root hair; C, D. root cap cells; E. trichome. Death was induced by temperature. Arrows indicate condensed cell content and protoplast retraction away from the cell wall. Cells exhibiting corpse morphology did not fluoresce after fluorescein diacetate viability staining. Bar is </w:t>
      </w:r>
      <w:r w:rsidRPr="00300841">
        <w:rPr>
          <w:rFonts w:ascii="Times New Roman" w:hAnsi="Times New Roman" w:cs="Times New Roman"/>
          <w:sz w:val="24"/>
          <w:szCs w:val="24"/>
          <w:lang w:val="en-GB"/>
        </w:rPr>
        <w:t xml:space="preserve">10 µm. </w:t>
      </w:r>
    </w:p>
    <w:p w:rsidR="00D1297B" w:rsidRDefault="00230311" w:rsidP="00300841">
      <w:pPr>
        <w:rPr>
          <w:rFonts w:ascii="Times New Roman" w:hAnsi="Times New Roman" w:cs="Times New Roman"/>
          <w:sz w:val="24"/>
          <w:szCs w:val="24"/>
          <w:lang w:val="en-GB"/>
        </w:rPr>
      </w:pPr>
      <w:r w:rsidRPr="005C514B">
        <w:rPr>
          <w:rFonts w:ascii="Times New Roman" w:hAnsi="Times New Roman" w:cs="Times New Roman"/>
          <w:sz w:val="24"/>
          <w:szCs w:val="24"/>
          <w:lang w:val="en-GB"/>
        </w:rPr>
        <w:pict>
          <v:shape id="_x0000_i1026" type="#_x0000_t75" style="width:500.85pt;height:309.15pt">
            <v:imagedata r:id="rId10" o:title="Figure 1"/>
          </v:shape>
        </w:pict>
      </w:r>
    </w:p>
    <w:p w:rsidR="00300841" w:rsidRPr="00300841" w:rsidRDefault="00300841" w:rsidP="00300841">
      <w:pPr>
        <w:rPr>
          <w:rFonts w:ascii="Times New Roman" w:hAnsi="Times New Roman" w:cs="Times New Roman"/>
          <w:sz w:val="24"/>
          <w:szCs w:val="24"/>
          <w:lang w:val="en-GB"/>
        </w:rPr>
      </w:pPr>
      <w:r w:rsidRPr="00300841">
        <w:rPr>
          <w:rFonts w:ascii="Times New Roman" w:hAnsi="Times New Roman" w:cs="Times New Roman"/>
        </w:rPr>
        <w:t xml:space="preserve">Table 1. </w:t>
      </w:r>
      <w:r w:rsidRPr="00300841">
        <w:rPr>
          <w:rFonts w:ascii="Times New Roman" w:hAnsi="Times New Roman" w:cs="Times New Roman"/>
          <w:sz w:val="24"/>
          <w:szCs w:val="24"/>
          <w:lang w:val="en-GB"/>
        </w:rPr>
        <w:t>Potential protease executors of plant PCD.</w:t>
      </w:r>
    </w:p>
    <w:tbl>
      <w:tblPr>
        <w:tblW w:w="4838" w:type="pct"/>
        <w:tblLook w:val="00A0"/>
      </w:tblPr>
      <w:tblGrid>
        <w:gridCol w:w="3097"/>
        <w:gridCol w:w="277"/>
        <w:gridCol w:w="447"/>
        <w:gridCol w:w="9894"/>
      </w:tblGrid>
      <w:tr w:rsidR="00300841" w:rsidRPr="00300841" w:rsidTr="00300841">
        <w:trPr>
          <w:trHeight w:val="315"/>
        </w:trPr>
        <w:tc>
          <w:tcPr>
            <w:tcW w:w="1129" w:type="pct"/>
            <w:tcBorders>
              <w:top w:val="single" w:sz="4" w:space="0" w:color="auto"/>
              <w:left w:val="nil"/>
              <w:bottom w:val="double" w:sz="6" w:space="0" w:color="auto"/>
              <w:right w:val="nil"/>
            </w:tcBorders>
            <w:noWrap/>
            <w:vAlign w:val="bottom"/>
          </w:tcPr>
          <w:p w:rsidR="00300841" w:rsidRPr="00300841" w:rsidRDefault="00300841" w:rsidP="00300841">
            <w:pPr>
              <w:spacing w:after="0" w:line="240" w:lineRule="auto"/>
              <w:rPr>
                <w:rFonts w:ascii="Times New Roman" w:hAnsi="Times New Roman" w:cs="Times New Roman"/>
                <w:b/>
                <w:bCs/>
                <w:color w:val="000000"/>
                <w:sz w:val="24"/>
                <w:szCs w:val="24"/>
                <w:lang w:eastAsia="en-IE"/>
              </w:rPr>
            </w:pPr>
            <w:r w:rsidRPr="00300841">
              <w:rPr>
                <w:rFonts w:ascii="Times New Roman" w:hAnsi="Times New Roman" w:cs="Times New Roman"/>
                <w:b/>
                <w:bCs/>
                <w:color w:val="000000"/>
                <w:sz w:val="24"/>
                <w:szCs w:val="24"/>
                <w:lang w:eastAsia="en-IE"/>
              </w:rPr>
              <w:t xml:space="preserve"> Putative cell death protease </w:t>
            </w:r>
          </w:p>
        </w:tc>
        <w:tc>
          <w:tcPr>
            <w:tcW w:w="101" w:type="pct"/>
            <w:tcBorders>
              <w:top w:val="single" w:sz="4" w:space="0" w:color="auto"/>
              <w:left w:val="nil"/>
              <w:bottom w:val="double" w:sz="6" w:space="0" w:color="auto"/>
              <w:right w:val="nil"/>
            </w:tcBorders>
            <w:noWrap/>
            <w:vAlign w:val="center"/>
          </w:tcPr>
          <w:p w:rsidR="00300841" w:rsidRPr="00300841" w:rsidRDefault="00300841" w:rsidP="00300841">
            <w:pPr>
              <w:spacing w:after="0" w:line="240" w:lineRule="auto"/>
              <w:jc w:val="center"/>
              <w:rPr>
                <w:rFonts w:ascii="Times New Roman" w:hAnsi="Times New Roman" w:cs="Times New Roman"/>
                <w:b/>
                <w:bCs/>
                <w:color w:val="000000"/>
                <w:sz w:val="24"/>
                <w:szCs w:val="24"/>
                <w:lang w:eastAsia="en-IE"/>
              </w:rPr>
            </w:pPr>
            <w:r w:rsidRPr="00300841">
              <w:rPr>
                <w:rFonts w:ascii="Times New Roman" w:hAnsi="Times New Roman" w:cs="Times New Roman"/>
                <w:b/>
                <w:bCs/>
                <w:color w:val="000000"/>
                <w:sz w:val="24"/>
                <w:szCs w:val="24"/>
                <w:lang w:eastAsia="en-IE"/>
              </w:rPr>
              <w:t> </w:t>
            </w:r>
          </w:p>
        </w:tc>
        <w:tc>
          <w:tcPr>
            <w:tcW w:w="3770" w:type="pct"/>
            <w:gridSpan w:val="2"/>
            <w:tcBorders>
              <w:top w:val="single" w:sz="4" w:space="0" w:color="auto"/>
              <w:left w:val="nil"/>
              <w:bottom w:val="double" w:sz="6" w:space="0" w:color="auto"/>
              <w:right w:val="nil"/>
            </w:tcBorders>
            <w:noWrap/>
            <w:vAlign w:val="bottom"/>
          </w:tcPr>
          <w:p w:rsidR="00300841" w:rsidRPr="00300841" w:rsidRDefault="00300841" w:rsidP="00300841">
            <w:pPr>
              <w:spacing w:after="0" w:line="240" w:lineRule="auto"/>
              <w:rPr>
                <w:rFonts w:ascii="Times New Roman" w:hAnsi="Times New Roman" w:cs="Times New Roman"/>
                <w:b/>
                <w:bCs/>
                <w:color w:val="000000"/>
                <w:sz w:val="24"/>
                <w:szCs w:val="24"/>
                <w:lang w:eastAsia="en-IE"/>
              </w:rPr>
            </w:pPr>
            <w:r w:rsidRPr="00300841">
              <w:rPr>
                <w:rFonts w:ascii="Times New Roman" w:hAnsi="Times New Roman" w:cs="Times New Roman"/>
                <w:b/>
                <w:bCs/>
                <w:color w:val="000000"/>
                <w:sz w:val="24"/>
                <w:szCs w:val="24"/>
                <w:lang w:eastAsia="en-IE"/>
              </w:rPr>
              <w:t xml:space="preserve">        Evidence for role in plant PCD</w:t>
            </w:r>
          </w:p>
        </w:tc>
      </w:tr>
      <w:tr w:rsidR="00300841" w:rsidRPr="00300841" w:rsidTr="00300841">
        <w:trPr>
          <w:trHeight w:val="627"/>
        </w:trPr>
        <w:tc>
          <w:tcPr>
            <w:tcW w:w="1393" w:type="pct"/>
            <w:gridSpan w:val="3"/>
            <w:vMerge w:val="restart"/>
            <w:tcBorders>
              <w:top w:val="nil"/>
              <w:left w:val="nil"/>
              <w:bottom w:val="nil"/>
              <w:right w:val="nil"/>
            </w:tcBorders>
            <w:vAlign w:val="center"/>
          </w:tcPr>
          <w:p w:rsidR="00300841" w:rsidRPr="00300841" w:rsidRDefault="00300841" w:rsidP="00300841">
            <w:pPr>
              <w:spacing w:after="0" w:line="240" w:lineRule="auto"/>
              <w:rPr>
                <w:rFonts w:ascii="Times New Roman" w:hAnsi="Times New Roman" w:cs="Times New Roman"/>
                <w:color w:val="000000"/>
                <w:sz w:val="24"/>
                <w:szCs w:val="24"/>
                <w:lang w:eastAsia="en-IE"/>
              </w:rPr>
            </w:pPr>
            <w:r w:rsidRPr="00300841">
              <w:rPr>
                <w:rFonts w:ascii="Times New Roman" w:hAnsi="Times New Roman" w:cs="Times New Roman"/>
                <w:b/>
                <w:bCs/>
                <w:color w:val="000000"/>
                <w:sz w:val="24"/>
                <w:szCs w:val="24"/>
                <w:lang w:eastAsia="en-IE"/>
              </w:rPr>
              <w:t>METACASPASES</w:t>
            </w:r>
            <w:r w:rsidRPr="00300841">
              <w:rPr>
                <w:rFonts w:ascii="Times New Roman" w:hAnsi="Times New Roman" w:cs="Times New Roman"/>
                <w:color w:val="000000"/>
                <w:sz w:val="24"/>
                <w:szCs w:val="24"/>
                <w:lang w:eastAsia="en-IE"/>
              </w:rPr>
              <w:t xml:space="preserve"> </w:t>
            </w:r>
          </w:p>
          <w:p w:rsidR="00300841" w:rsidRPr="00300841" w:rsidRDefault="00300841" w:rsidP="00300841">
            <w:pPr>
              <w:spacing w:after="0" w:line="240" w:lineRule="auto"/>
              <w:rPr>
                <w:rFonts w:ascii="Times New Roman" w:hAnsi="Times New Roman" w:cs="Times New Roman"/>
                <w:color w:val="000000"/>
                <w:sz w:val="24"/>
                <w:szCs w:val="24"/>
                <w:lang w:eastAsia="en-IE"/>
              </w:rPr>
            </w:pPr>
            <w:r w:rsidRPr="00300841">
              <w:rPr>
                <w:rFonts w:ascii="Times New Roman" w:hAnsi="Times New Roman" w:cs="Times New Roman"/>
                <w:color w:val="000000"/>
                <w:sz w:val="24"/>
                <w:szCs w:val="24"/>
                <w:lang w:eastAsia="en-IE"/>
              </w:rPr>
              <w:t>Sequence and structural similarity to animal caspases (Uren et al. 2000), but do not appear functionally equivalent to caspases. Metacaspase degradome studies should shed more light on their role in PCD machinery.</w:t>
            </w:r>
          </w:p>
        </w:tc>
        <w:tc>
          <w:tcPr>
            <w:tcW w:w="3607" w:type="pct"/>
            <w:tcBorders>
              <w:top w:val="nil"/>
              <w:left w:val="nil"/>
              <w:bottom w:val="single" w:sz="4" w:space="0" w:color="auto"/>
              <w:right w:val="nil"/>
            </w:tcBorders>
            <w:vAlign w:val="center"/>
          </w:tcPr>
          <w:p w:rsidR="00300841" w:rsidRPr="00300841" w:rsidRDefault="00300841" w:rsidP="00300841">
            <w:pPr>
              <w:spacing w:after="0" w:line="240" w:lineRule="auto"/>
              <w:rPr>
                <w:rFonts w:ascii="Times New Roman" w:hAnsi="Times New Roman" w:cs="Times New Roman"/>
                <w:color w:val="000000"/>
                <w:sz w:val="24"/>
                <w:szCs w:val="24"/>
                <w:lang w:eastAsia="en-IE"/>
              </w:rPr>
            </w:pPr>
            <w:r w:rsidRPr="00300841">
              <w:rPr>
                <w:rFonts w:ascii="Times New Roman" w:hAnsi="Times New Roman" w:cs="Times New Roman"/>
                <w:color w:val="000000"/>
                <w:sz w:val="24"/>
                <w:szCs w:val="24"/>
                <w:lang w:eastAsia="en-IE"/>
              </w:rPr>
              <w:t xml:space="preserve">Metacaspase mcII-Pa has been shown to be involved in PCD execution during embryogenesis of Norway Spruce (Suarez </w:t>
            </w:r>
            <w:r w:rsidRPr="00300841">
              <w:rPr>
                <w:rFonts w:ascii="Times New Roman" w:hAnsi="Times New Roman" w:cs="Times New Roman"/>
                <w:i/>
                <w:iCs/>
                <w:color w:val="000000"/>
                <w:sz w:val="24"/>
                <w:szCs w:val="24"/>
                <w:lang w:eastAsia="en-IE"/>
              </w:rPr>
              <w:t>et al.</w:t>
            </w:r>
            <w:r w:rsidRPr="00300841">
              <w:rPr>
                <w:rFonts w:ascii="Times New Roman" w:hAnsi="Times New Roman" w:cs="Times New Roman"/>
                <w:color w:val="000000"/>
                <w:sz w:val="24"/>
                <w:szCs w:val="24"/>
                <w:lang w:eastAsia="en-IE"/>
              </w:rPr>
              <w:t xml:space="preserve">, 2004, Bozhkov </w:t>
            </w:r>
            <w:r w:rsidRPr="00300841">
              <w:rPr>
                <w:rFonts w:ascii="Times New Roman" w:hAnsi="Times New Roman" w:cs="Times New Roman"/>
                <w:i/>
                <w:iCs/>
                <w:color w:val="000000"/>
                <w:sz w:val="24"/>
                <w:szCs w:val="24"/>
                <w:lang w:eastAsia="en-IE"/>
              </w:rPr>
              <w:t>et al.</w:t>
            </w:r>
            <w:r w:rsidRPr="00300841">
              <w:rPr>
                <w:rFonts w:ascii="Times New Roman" w:hAnsi="Times New Roman" w:cs="Times New Roman"/>
                <w:color w:val="000000"/>
                <w:sz w:val="24"/>
                <w:szCs w:val="24"/>
                <w:lang w:eastAsia="en-IE"/>
              </w:rPr>
              <w:t>, 2005b)</w:t>
            </w:r>
          </w:p>
        </w:tc>
      </w:tr>
      <w:tr w:rsidR="00300841" w:rsidRPr="00300841" w:rsidTr="00300841">
        <w:trPr>
          <w:trHeight w:val="686"/>
        </w:trPr>
        <w:tc>
          <w:tcPr>
            <w:tcW w:w="1393" w:type="pct"/>
            <w:gridSpan w:val="3"/>
            <w:vMerge/>
            <w:tcBorders>
              <w:top w:val="nil"/>
              <w:left w:val="nil"/>
              <w:bottom w:val="nil"/>
              <w:right w:val="nil"/>
            </w:tcBorders>
            <w:vAlign w:val="center"/>
          </w:tcPr>
          <w:p w:rsidR="00300841" w:rsidRPr="00300841" w:rsidRDefault="00300841" w:rsidP="00300841">
            <w:pPr>
              <w:spacing w:after="0" w:line="240" w:lineRule="auto"/>
              <w:rPr>
                <w:rFonts w:ascii="Times New Roman" w:hAnsi="Times New Roman" w:cs="Times New Roman"/>
                <w:color w:val="000000"/>
                <w:sz w:val="24"/>
                <w:szCs w:val="24"/>
                <w:lang w:eastAsia="en-IE"/>
              </w:rPr>
            </w:pPr>
          </w:p>
        </w:tc>
        <w:tc>
          <w:tcPr>
            <w:tcW w:w="3607" w:type="pct"/>
            <w:tcBorders>
              <w:top w:val="nil"/>
              <w:left w:val="nil"/>
              <w:bottom w:val="single" w:sz="4" w:space="0" w:color="auto"/>
              <w:right w:val="nil"/>
            </w:tcBorders>
            <w:vAlign w:val="center"/>
          </w:tcPr>
          <w:p w:rsidR="00300841" w:rsidRPr="00300841" w:rsidRDefault="00300841" w:rsidP="00300841">
            <w:pPr>
              <w:spacing w:after="0" w:line="240" w:lineRule="auto"/>
              <w:rPr>
                <w:rFonts w:ascii="Times New Roman" w:hAnsi="Times New Roman" w:cs="Times New Roman"/>
                <w:color w:val="000000"/>
                <w:sz w:val="24"/>
                <w:szCs w:val="24"/>
                <w:lang w:eastAsia="en-IE"/>
              </w:rPr>
            </w:pPr>
            <w:r w:rsidRPr="00300841">
              <w:rPr>
                <w:rFonts w:ascii="Times New Roman" w:hAnsi="Times New Roman" w:cs="Times New Roman"/>
                <w:color w:val="000000"/>
                <w:sz w:val="24"/>
                <w:szCs w:val="24"/>
                <w:lang w:eastAsia="en-IE"/>
              </w:rPr>
              <w:t>Metacaspase-8 is strongly up-regulated by UVC, H</w:t>
            </w:r>
            <w:r w:rsidRPr="00300841">
              <w:rPr>
                <w:rFonts w:ascii="Times New Roman" w:hAnsi="Times New Roman" w:cs="Times New Roman"/>
                <w:color w:val="000000"/>
                <w:sz w:val="24"/>
                <w:szCs w:val="24"/>
                <w:vertAlign w:val="subscript"/>
                <w:lang w:eastAsia="en-IE"/>
              </w:rPr>
              <w:t>2</w:t>
            </w:r>
            <w:r w:rsidRPr="00300841">
              <w:rPr>
                <w:rFonts w:ascii="Times New Roman" w:hAnsi="Times New Roman" w:cs="Times New Roman"/>
                <w:color w:val="000000"/>
                <w:sz w:val="24"/>
                <w:szCs w:val="24"/>
                <w:lang w:eastAsia="en-IE"/>
              </w:rPr>
              <w:t>O</w:t>
            </w:r>
            <w:r w:rsidRPr="00300841">
              <w:rPr>
                <w:rFonts w:ascii="Times New Roman" w:hAnsi="Times New Roman" w:cs="Times New Roman"/>
                <w:color w:val="000000"/>
                <w:sz w:val="24"/>
                <w:szCs w:val="24"/>
                <w:vertAlign w:val="subscript"/>
                <w:lang w:eastAsia="en-IE"/>
              </w:rPr>
              <w:t>2</w:t>
            </w:r>
            <w:r w:rsidRPr="00300841">
              <w:rPr>
                <w:rFonts w:ascii="Times New Roman" w:hAnsi="Times New Roman" w:cs="Times New Roman"/>
                <w:color w:val="000000"/>
                <w:sz w:val="24"/>
                <w:szCs w:val="24"/>
                <w:lang w:eastAsia="en-IE"/>
              </w:rPr>
              <w:t xml:space="preserve">, and methyl viologen and its involvement in PCD was suggested by knockout studies (He </w:t>
            </w:r>
            <w:r w:rsidRPr="00300841">
              <w:rPr>
                <w:rFonts w:ascii="Times New Roman" w:hAnsi="Times New Roman" w:cs="Times New Roman"/>
                <w:i/>
                <w:iCs/>
                <w:color w:val="000000"/>
                <w:sz w:val="24"/>
                <w:szCs w:val="24"/>
                <w:lang w:eastAsia="en-IE"/>
              </w:rPr>
              <w:t>et al.,</w:t>
            </w:r>
            <w:r w:rsidRPr="00300841">
              <w:rPr>
                <w:rFonts w:ascii="Times New Roman" w:hAnsi="Times New Roman" w:cs="Times New Roman"/>
                <w:color w:val="000000"/>
                <w:sz w:val="24"/>
                <w:szCs w:val="24"/>
                <w:lang w:eastAsia="en-IE"/>
              </w:rPr>
              <w:t xml:space="preserve"> 2007)</w:t>
            </w:r>
          </w:p>
        </w:tc>
      </w:tr>
      <w:tr w:rsidR="00300841" w:rsidRPr="00300841" w:rsidTr="00300841">
        <w:trPr>
          <w:trHeight w:val="566"/>
        </w:trPr>
        <w:tc>
          <w:tcPr>
            <w:tcW w:w="1393" w:type="pct"/>
            <w:gridSpan w:val="3"/>
            <w:vMerge/>
            <w:tcBorders>
              <w:top w:val="nil"/>
              <w:left w:val="nil"/>
              <w:bottom w:val="nil"/>
              <w:right w:val="nil"/>
            </w:tcBorders>
            <w:vAlign w:val="center"/>
          </w:tcPr>
          <w:p w:rsidR="00300841" w:rsidRPr="00300841" w:rsidRDefault="00300841" w:rsidP="00300841">
            <w:pPr>
              <w:spacing w:after="0" w:line="240" w:lineRule="auto"/>
              <w:rPr>
                <w:rFonts w:ascii="Times New Roman" w:hAnsi="Times New Roman" w:cs="Times New Roman"/>
                <w:color w:val="000000"/>
                <w:sz w:val="24"/>
                <w:szCs w:val="24"/>
                <w:lang w:eastAsia="en-IE"/>
              </w:rPr>
            </w:pPr>
          </w:p>
        </w:tc>
        <w:tc>
          <w:tcPr>
            <w:tcW w:w="3607" w:type="pct"/>
            <w:tcBorders>
              <w:top w:val="nil"/>
              <w:left w:val="nil"/>
              <w:bottom w:val="nil"/>
              <w:right w:val="nil"/>
            </w:tcBorders>
            <w:vAlign w:val="bottom"/>
          </w:tcPr>
          <w:p w:rsidR="00300841" w:rsidRPr="00300841" w:rsidRDefault="00300841" w:rsidP="00300841">
            <w:pPr>
              <w:spacing w:after="0" w:line="240" w:lineRule="auto"/>
              <w:rPr>
                <w:rFonts w:ascii="Times New Roman" w:hAnsi="Times New Roman" w:cs="Times New Roman"/>
                <w:color w:val="000000"/>
                <w:sz w:val="24"/>
                <w:szCs w:val="24"/>
                <w:lang w:eastAsia="en-IE"/>
              </w:rPr>
            </w:pPr>
            <w:r w:rsidRPr="00300841">
              <w:rPr>
                <w:rFonts w:ascii="Times New Roman" w:hAnsi="Times New Roman" w:cs="Times New Roman"/>
                <w:color w:val="000000"/>
                <w:sz w:val="24"/>
                <w:szCs w:val="24"/>
                <w:lang w:eastAsia="en-IE"/>
              </w:rPr>
              <w:t xml:space="preserve">LeMCA1, a type II metacaspase was upregulated in necrotrophic pathogen-infected tomato leaves suggesting involvement in the induction of plant cell death  (Hoeberichts </w:t>
            </w:r>
            <w:r w:rsidRPr="00300841">
              <w:rPr>
                <w:rFonts w:ascii="Times New Roman" w:hAnsi="Times New Roman" w:cs="Times New Roman"/>
                <w:i/>
                <w:iCs/>
                <w:color w:val="000000"/>
                <w:sz w:val="24"/>
                <w:szCs w:val="24"/>
                <w:lang w:eastAsia="en-IE"/>
              </w:rPr>
              <w:t>et al.</w:t>
            </w:r>
            <w:r w:rsidRPr="00300841">
              <w:rPr>
                <w:rFonts w:ascii="Times New Roman" w:hAnsi="Times New Roman" w:cs="Times New Roman"/>
                <w:color w:val="000000"/>
                <w:sz w:val="24"/>
                <w:szCs w:val="24"/>
                <w:lang w:eastAsia="en-IE"/>
              </w:rPr>
              <w:t>, 2003)</w:t>
            </w:r>
          </w:p>
        </w:tc>
      </w:tr>
      <w:tr w:rsidR="00300841" w:rsidRPr="00300841" w:rsidTr="00300841">
        <w:trPr>
          <w:trHeight w:val="1113"/>
        </w:trPr>
        <w:tc>
          <w:tcPr>
            <w:tcW w:w="1393" w:type="pct"/>
            <w:gridSpan w:val="3"/>
            <w:vMerge/>
            <w:tcBorders>
              <w:top w:val="nil"/>
              <w:left w:val="nil"/>
              <w:bottom w:val="nil"/>
              <w:right w:val="nil"/>
            </w:tcBorders>
            <w:vAlign w:val="center"/>
          </w:tcPr>
          <w:p w:rsidR="00300841" w:rsidRPr="00300841" w:rsidRDefault="00300841" w:rsidP="00300841">
            <w:pPr>
              <w:spacing w:after="0" w:line="240" w:lineRule="auto"/>
              <w:rPr>
                <w:rFonts w:ascii="Times New Roman" w:hAnsi="Times New Roman" w:cs="Times New Roman"/>
                <w:color w:val="000000"/>
                <w:sz w:val="24"/>
                <w:szCs w:val="24"/>
                <w:lang w:eastAsia="en-IE"/>
              </w:rPr>
            </w:pPr>
          </w:p>
        </w:tc>
        <w:tc>
          <w:tcPr>
            <w:tcW w:w="3607" w:type="pct"/>
            <w:tcBorders>
              <w:top w:val="single" w:sz="4" w:space="0" w:color="auto"/>
              <w:left w:val="nil"/>
              <w:bottom w:val="single" w:sz="4" w:space="0" w:color="auto"/>
              <w:right w:val="nil"/>
            </w:tcBorders>
            <w:vAlign w:val="bottom"/>
          </w:tcPr>
          <w:p w:rsidR="00300841" w:rsidRPr="00300841" w:rsidRDefault="00300841" w:rsidP="00300841">
            <w:pPr>
              <w:spacing w:after="0" w:line="240" w:lineRule="auto"/>
              <w:rPr>
                <w:rFonts w:ascii="Times New Roman" w:hAnsi="Times New Roman" w:cs="Times New Roman"/>
                <w:color w:val="000000"/>
                <w:sz w:val="24"/>
                <w:szCs w:val="24"/>
                <w:lang w:eastAsia="en-IE"/>
              </w:rPr>
            </w:pPr>
            <w:r w:rsidRPr="00300841">
              <w:rPr>
                <w:rFonts w:ascii="Times New Roman" w:hAnsi="Times New Roman" w:cs="Times New Roman"/>
                <w:color w:val="000000"/>
                <w:sz w:val="24"/>
                <w:szCs w:val="24"/>
                <w:lang w:eastAsia="en-IE"/>
              </w:rPr>
              <w:t xml:space="preserve">Fail to cleave caspase substrates (Vercammen </w:t>
            </w:r>
            <w:r w:rsidRPr="00300841">
              <w:rPr>
                <w:rFonts w:ascii="Times New Roman" w:hAnsi="Times New Roman" w:cs="Times New Roman"/>
                <w:i/>
                <w:iCs/>
                <w:color w:val="000000"/>
                <w:sz w:val="24"/>
                <w:szCs w:val="24"/>
                <w:lang w:eastAsia="en-IE"/>
              </w:rPr>
              <w:t>et al.</w:t>
            </w:r>
            <w:r w:rsidRPr="00300841">
              <w:rPr>
                <w:rFonts w:ascii="Times New Roman" w:hAnsi="Times New Roman" w:cs="Times New Roman"/>
                <w:color w:val="000000"/>
                <w:sz w:val="24"/>
                <w:szCs w:val="24"/>
                <w:lang w:eastAsia="en-IE"/>
              </w:rPr>
              <w:t xml:space="preserve">, 2004, Watanabe and Lam, 2005) and are not suppressed by caspase inhibitors (Vercammen </w:t>
            </w:r>
            <w:r w:rsidRPr="00300841">
              <w:rPr>
                <w:rFonts w:ascii="Times New Roman" w:hAnsi="Times New Roman" w:cs="Times New Roman"/>
                <w:i/>
                <w:iCs/>
                <w:color w:val="000000"/>
                <w:sz w:val="24"/>
                <w:szCs w:val="24"/>
                <w:lang w:eastAsia="en-IE"/>
              </w:rPr>
              <w:t>et al.</w:t>
            </w:r>
            <w:r w:rsidRPr="00300841">
              <w:rPr>
                <w:rFonts w:ascii="Times New Roman" w:hAnsi="Times New Roman" w:cs="Times New Roman"/>
                <w:color w:val="000000"/>
                <w:sz w:val="24"/>
                <w:szCs w:val="24"/>
                <w:lang w:eastAsia="en-IE"/>
              </w:rPr>
              <w:t>, 2004). It is therefore possible that metacaspases expression results in activation of downstream proteases with caspase-like activities which execute PCD (Watanabe and Lam, 2005).</w:t>
            </w:r>
          </w:p>
        </w:tc>
      </w:tr>
      <w:tr w:rsidR="00300841" w:rsidRPr="00300841" w:rsidTr="00300841">
        <w:trPr>
          <w:trHeight w:val="704"/>
        </w:trPr>
        <w:tc>
          <w:tcPr>
            <w:tcW w:w="1393" w:type="pct"/>
            <w:gridSpan w:val="3"/>
            <w:vMerge/>
            <w:tcBorders>
              <w:top w:val="nil"/>
              <w:left w:val="nil"/>
              <w:bottom w:val="nil"/>
              <w:right w:val="nil"/>
            </w:tcBorders>
            <w:vAlign w:val="center"/>
          </w:tcPr>
          <w:p w:rsidR="00300841" w:rsidRPr="00300841" w:rsidRDefault="00300841" w:rsidP="00300841">
            <w:pPr>
              <w:spacing w:after="0" w:line="240" w:lineRule="auto"/>
              <w:rPr>
                <w:rFonts w:ascii="Times New Roman" w:hAnsi="Times New Roman" w:cs="Times New Roman"/>
                <w:color w:val="000000"/>
                <w:sz w:val="24"/>
                <w:szCs w:val="24"/>
                <w:lang w:eastAsia="en-IE"/>
              </w:rPr>
            </w:pPr>
          </w:p>
        </w:tc>
        <w:tc>
          <w:tcPr>
            <w:tcW w:w="3607" w:type="pct"/>
            <w:tcBorders>
              <w:top w:val="single" w:sz="4" w:space="0" w:color="auto"/>
              <w:left w:val="nil"/>
              <w:bottom w:val="single" w:sz="4" w:space="0" w:color="auto"/>
              <w:right w:val="nil"/>
            </w:tcBorders>
            <w:vAlign w:val="center"/>
          </w:tcPr>
          <w:p w:rsidR="00300841" w:rsidRPr="00300841" w:rsidRDefault="00300841" w:rsidP="00300841">
            <w:pPr>
              <w:spacing w:after="0" w:line="240" w:lineRule="auto"/>
              <w:rPr>
                <w:rFonts w:ascii="Times New Roman" w:hAnsi="Times New Roman" w:cs="Times New Roman"/>
                <w:color w:val="000000"/>
                <w:sz w:val="24"/>
                <w:szCs w:val="24"/>
                <w:lang w:eastAsia="en-IE"/>
              </w:rPr>
            </w:pPr>
            <w:r w:rsidRPr="00300841">
              <w:rPr>
                <w:rFonts w:ascii="Times New Roman" w:hAnsi="Times New Roman" w:cs="Times New Roman"/>
                <w:color w:val="000000"/>
                <w:sz w:val="24"/>
                <w:szCs w:val="24"/>
                <w:lang w:eastAsia="en-IE"/>
              </w:rPr>
              <w:t xml:space="preserve">Tudor staphylococcal nuclease, first natural plant metacaspase substrate identified, it is also a substrate of animal caspase-3 (Sundstrom </w:t>
            </w:r>
            <w:r w:rsidRPr="00300841">
              <w:rPr>
                <w:rFonts w:ascii="Times New Roman" w:hAnsi="Times New Roman" w:cs="Times New Roman"/>
                <w:i/>
                <w:iCs/>
                <w:color w:val="000000"/>
                <w:sz w:val="24"/>
                <w:szCs w:val="24"/>
                <w:lang w:eastAsia="en-IE"/>
              </w:rPr>
              <w:t>et al.</w:t>
            </w:r>
            <w:r w:rsidRPr="00300841">
              <w:rPr>
                <w:rFonts w:ascii="Times New Roman" w:hAnsi="Times New Roman" w:cs="Times New Roman"/>
                <w:color w:val="000000"/>
                <w:sz w:val="24"/>
                <w:szCs w:val="24"/>
                <w:lang w:eastAsia="en-IE"/>
              </w:rPr>
              <w:t>, 2009).</w:t>
            </w:r>
          </w:p>
        </w:tc>
      </w:tr>
      <w:tr w:rsidR="00300841" w:rsidRPr="00300841" w:rsidTr="00300841">
        <w:trPr>
          <w:trHeight w:val="704"/>
        </w:trPr>
        <w:tc>
          <w:tcPr>
            <w:tcW w:w="1393" w:type="pct"/>
            <w:gridSpan w:val="3"/>
            <w:tcBorders>
              <w:top w:val="nil"/>
              <w:left w:val="nil"/>
              <w:bottom w:val="nil"/>
              <w:right w:val="nil"/>
            </w:tcBorders>
            <w:vAlign w:val="center"/>
          </w:tcPr>
          <w:p w:rsidR="00300841" w:rsidRPr="00300841" w:rsidRDefault="00300841" w:rsidP="00300841">
            <w:pPr>
              <w:spacing w:after="0" w:line="240" w:lineRule="auto"/>
              <w:rPr>
                <w:rFonts w:ascii="Times New Roman" w:hAnsi="Times New Roman" w:cs="Times New Roman"/>
                <w:color w:val="000000"/>
                <w:sz w:val="24"/>
                <w:szCs w:val="24"/>
                <w:lang w:eastAsia="en-IE"/>
              </w:rPr>
            </w:pPr>
          </w:p>
        </w:tc>
        <w:tc>
          <w:tcPr>
            <w:tcW w:w="3607" w:type="pct"/>
            <w:tcBorders>
              <w:top w:val="single" w:sz="4" w:space="0" w:color="auto"/>
              <w:left w:val="nil"/>
              <w:bottom w:val="nil"/>
              <w:right w:val="nil"/>
            </w:tcBorders>
            <w:vAlign w:val="center"/>
          </w:tcPr>
          <w:p w:rsidR="00300841" w:rsidRPr="00300841" w:rsidRDefault="00300841" w:rsidP="00300841">
            <w:pPr>
              <w:spacing w:after="0" w:line="240" w:lineRule="auto"/>
              <w:rPr>
                <w:rFonts w:ascii="Times New Roman" w:hAnsi="Times New Roman" w:cs="Times New Roman"/>
                <w:color w:val="000000"/>
                <w:sz w:val="24"/>
                <w:szCs w:val="24"/>
                <w:lang w:eastAsia="en-IE"/>
              </w:rPr>
            </w:pPr>
            <w:r w:rsidRPr="00300841">
              <w:rPr>
                <w:rFonts w:ascii="Times New Roman" w:hAnsi="Times New Roman" w:cs="Times New Roman"/>
                <w:sz w:val="24"/>
                <w:szCs w:val="24"/>
              </w:rPr>
              <w:t xml:space="preserve">Two type I metacaspases were shown to antagonistically control PCD in </w:t>
            </w:r>
            <w:r w:rsidRPr="00300841">
              <w:rPr>
                <w:rFonts w:ascii="Times New Roman" w:hAnsi="Times New Roman" w:cs="Times New Roman"/>
                <w:i/>
                <w:iCs/>
                <w:sz w:val="24"/>
              </w:rPr>
              <w:t>Arabidopsis</w:t>
            </w:r>
            <w:r w:rsidRPr="00300841">
              <w:rPr>
                <w:rFonts w:ascii="Times New Roman" w:hAnsi="Times New Roman" w:cs="Times New Roman"/>
                <w:iCs/>
                <w:sz w:val="24"/>
              </w:rPr>
              <w:t>:</w:t>
            </w:r>
            <w:r w:rsidRPr="00300841">
              <w:rPr>
                <w:rFonts w:ascii="Times New Roman" w:hAnsi="Times New Roman" w:cs="Times New Roman"/>
                <w:color w:val="000000"/>
                <w:sz w:val="24"/>
                <w:szCs w:val="24"/>
                <w:lang w:eastAsia="en-IE"/>
              </w:rPr>
              <w:t xml:space="preserve"> AtMC1 acting as a positive regulator and AtMC2 stalling cell death (Coll </w:t>
            </w:r>
            <w:r w:rsidRPr="00300841">
              <w:rPr>
                <w:rFonts w:ascii="Times New Roman" w:hAnsi="Times New Roman" w:cs="Times New Roman"/>
                <w:i/>
                <w:color w:val="000000"/>
                <w:sz w:val="24"/>
                <w:szCs w:val="24"/>
                <w:lang w:eastAsia="en-IE"/>
              </w:rPr>
              <w:t>et al.</w:t>
            </w:r>
            <w:r w:rsidRPr="00300841">
              <w:rPr>
                <w:rFonts w:ascii="Times New Roman" w:hAnsi="Times New Roman" w:cs="Times New Roman"/>
                <w:color w:val="000000"/>
                <w:sz w:val="24"/>
                <w:szCs w:val="24"/>
                <w:lang w:eastAsia="en-IE"/>
              </w:rPr>
              <w:t>, 2010).</w:t>
            </w:r>
          </w:p>
        </w:tc>
      </w:tr>
      <w:tr w:rsidR="00300841" w:rsidRPr="00300841" w:rsidTr="00300841">
        <w:trPr>
          <w:trHeight w:val="1281"/>
        </w:trPr>
        <w:tc>
          <w:tcPr>
            <w:tcW w:w="1393" w:type="pct"/>
            <w:gridSpan w:val="3"/>
            <w:vMerge w:val="restart"/>
            <w:tcBorders>
              <w:top w:val="single" w:sz="4" w:space="0" w:color="auto"/>
              <w:left w:val="nil"/>
              <w:bottom w:val="single" w:sz="4" w:space="0" w:color="000000"/>
              <w:right w:val="nil"/>
            </w:tcBorders>
            <w:vAlign w:val="center"/>
          </w:tcPr>
          <w:p w:rsidR="00300841" w:rsidRPr="00300841" w:rsidRDefault="00300841" w:rsidP="00300841">
            <w:pPr>
              <w:spacing w:after="0" w:line="240" w:lineRule="auto"/>
              <w:rPr>
                <w:rFonts w:ascii="Times New Roman" w:hAnsi="Times New Roman" w:cs="Times New Roman"/>
                <w:b/>
                <w:bCs/>
                <w:color w:val="000000"/>
                <w:sz w:val="24"/>
                <w:szCs w:val="24"/>
                <w:lang w:eastAsia="en-IE"/>
              </w:rPr>
            </w:pPr>
            <w:r w:rsidRPr="00300841">
              <w:rPr>
                <w:rFonts w:ascii="Times New Roman" w:hAnsi="Times New Roman" w:cs="Times New Roman"/>
                <w:b/>
                <w:bCs/>
                <w:color w:val="000000"/>
                <w:sz w:val="24"/>
                <w:szCs w:val="24"/>
                <w:lang w:eastAsia="en-IE"/>
              </w:rPr>
              <w:t>CASPASE-LIKE ACTIVITIES</w:t>
            </w:r>
          </w:p>
          <w:p w:rsidR="00300841" w:rsidRPr="00300841" w:rsidRDefault="00300841" w:rsidP="00300841">
            <w:pPr>
              <w:spacing w:after="0" w:line="240" w:lineRule="auto"/>
              <w:rPr>
                <w:rFonts w:ascii="Times New Roman" w:hAnsi="Times New Roman" w:cs="Times New Roman"/>
                <w:color w:val="000000"/>
                <w:sz w:val="24"/>
                <w:szCs w:val="24"/>
                <w:lang w:eastAsia="en-IE"/>
              </w:rPr>
            </w:pPr>
            <w:r w:rsidRPr="00300841">
              <w:rPr>
                <w:rFonts w:ascii="Times New Roman" w:hAnsi="Times New Roman" w:cs="Times New Roman"/>
                <w:color w:val="000000"/>
                <w:sz w:val="24"/>
                <w:szCs w:val="24"/>
                <w:lang w:eastAsia="en-IE"/>
              </w:rPr>
              <w:t xml:space="preserve">Putative cell death proteases with functional but not structural resembalance to animal caspases. Commonly investigated using synthetic fluorogenic tetrapeptide substrates designed to contain preferred cleavage sites of mammalian caspases and by inhibition studies with caspase inhibitors. </w:t>
            </w:r>
          </w:p>
        </w:tc>
        <w:tc>
          <w:tcPr>
            <w:tcW w:w="3607" w:type="pct"/>
            <w:tcBorders>
              <w:top w:val="single" w:sz="4" w:space="0" w:color="auto"/>
              <w:left w:val="nil"/>
              <w:bottom w:val="nil"/>
              <w:right w:val="nil"/>
            </w:tcBorders>
            <w:vAlign w:val="center"/>
          </w:tcPr>
          <w:p w:rsidR="00300841" w:rsidRPr="00300841" w:rsidRDefault="00300841" w:rsidP="00300841">
            <w:pPr>
              <w:spacing w:after="0" w:line="240" w:lineRule="auto"/>
              <w:rPr>
                <w:rFonts w:ascii="Times New Roman" w:hAnsi="Times New Roman" w:cs="Times New Roman"/>
                <w:color w:val="000000"/>
                <w:sz w:val="24"/>
                <w:szCs w:val="24"/>
                <w:lang w:eastAsia="en-IE"/>
              </w:rPr>
            </w:pPr>
            <w:r w:rsidRPr="00300841">
              <w:rPr>
                <w:rFonts w:ascii="Times New Roman" w:hAnsi="Times New Roman" w:cs="Times New Roman"/>
                <w:color w:val="000000"/>
                <w:sz w:val="24"/>
                <w:szCs w:val="24"/>
                <w:lang w:eastAsia="en-IE"/>
              </w:rPr>
              <w:t xml:space="preserve">YVADase, DEVDase, LEHDase, LEVDase, TATDase, VEIDase activities were detected in correlation with PCD induction in various types of cells, tissues and species. Suppression of PCD induced by various treatments was commonly but not always observed after application of caspase inhibitors (Bonneau </w:t>
            </w:r>
            <w:r w:rsidRPr="00300841">
              <w:rPr>
                <w:rFonts w:ascii="Times New Roman" w:hAnsi="Times New Roman" w:cs="Times New Roman"/>
                <w:i/>
                <w:iCs/>
                <w:color w:val="000000"/>
                <w:sz w:val="24"/>
                <w:szCs w:val="24"/>
                <w:lang w:eastAsia="en-IE"/>
              </w:rPr>
              <w:t xml:space="preserve">et al., </w:t>
            </w:r>
            <w:r w:rsidRPr="00300841">
              <w:rPr>
                <w:rFonts w:ascii="Times New Roman" w:hAnsi="Times New Roman" w:cs="Times New Roman"/>
                <w:color w:val="000000"/>
                <w:sz w:val="24"/>
                <w:szCs w:val="24"/>
                <w:lang w:eastAsia="en-IE"/>
              </w:rPr>
              <w:t xml:space="preserve">2008 and references therein). </w:t>
            </w:r>
          </w:p>
        </w:tc>
      </w:tr>
      <w:tr w:rsidR="00300841" w:rsidRPr="00300841" w:rsidTr="00300841">
        <w:trPr>
          <w:trHeight w:val="690"/>
        </w:trPr>
        <w:tc>
          <w:tcPr>
            <w:tcW w:w="1393" w:type="pct"/>
            <w:gridSpan w:val="3"/>
            <w:vMerge/>
            <w:tcBorders>
              <w:top w:val="single" w:sz="4" w:space="0" w:color="auto"/>
              <w:left w:val="nil"/>
              <w:bottom w:val="single" w:sz="4" w:space="0" w:color="000000"/>
              <w:right w:val="nil"/>
            </w:tcBorders>
            <w:vAlign w:val="center"/>
          </w:tcPr>
          <w:p w:rsidR="00300841" w:rsidRPr="00300841" w:rsidRDefault="00300841" w:rsidP="00300841">
            <w:pPr>
              <w:spacing w:after="0" w:line="240" w:lineRule="auto"/>
              <w:rPr>
                <w:rFonts w:ascii="Times New Roman" w:hAnsi="Times New Roman" w:cs="Times New Roman"/>
                <w:color w:val="000000"/>
                <w:sz w:val="24"/>
                <w:szCs w:val="24"/>
                <w:lang w:eastAsia="en-IE"/>
              </w:rPr>
            </w:pPr>
          </w:p>
        </w:tc>
        <w:tc>
          <w:tcPr>
            <w:tcW w:w="3607" w:type="pct"/>
            <w:tcBorders>
              <w:top w:val="single" w:sz="4" w:space="0" w:color="auto"/>
              <w:left w:val="nil"/>
              <w:bottom w:val="single" w:sz="4" w:space="0" w:color="auto"/>
              <w:right w:val="nil"/>
            </w:tcBorders>
            <w:vAlign w:val="center"/>
          </w:tcPr>
          <w:p w:rsidR="00300841" w:rsidRPr="00300841" w:rsidRDefault="00300841" w:rsidP="00300841">
            <w:pPr>
              <w:spacing w:after="0" w:line="240" w:lineRule="auto"/>
              <w:rPr>
                <w:rFonts w:ascii="Times New Roman" w:hAnsi="Times New Roman" w:cs="Times New Roman"/>
                <w:color w:val="000000"/>
                <w:sz w:val="24"/>
                <w:szCs w:val="24"/>
                <w:lang w:eastAsia="en-IE"/>
              </w:rPr>
            </w:pPr>
            <w:r w:rsidRPr="00300841">
              <w:rPr>
                <w:rFonts w:ascii="Times New Roman" w:hAnsi="Times New Roman" w:cs="Times New Roman"/>
                <w:color w:val="000000"/>
                <w:sz w:val="24"/>
                <w:szCs w:val="24"/>
                <w:lang w:eastAsia="en-IE"/>
              </w:rPr>
              <w:t xml:space="preserve">Phytaspase, protease expressing VEIDase activity shown to be necessary for PCD-related responses to tobacco mosaic virus and abiotic stresses (Chichkova </w:t>
            </w:r>
            <w:r w:rsidRPr="00300841">
              <w:rPr>
                <w:rFonts w:ascii="Times New Roman" w:hAnsi="Times New Roman" w:cs="Times New Roman"/>
                <w:i/>
                <w:iCs/>
                <w:color w:val="000000"/>
                <w:sz w:val="24"/>
                <w:szCs w:val="24"/>
                <w:lang w:eastAsia="en-IE"/>
              </w:rPr>
              <w:t>et al.</w:t>
            </w:r>
            <w:r w:rsidRPr="00300841">
              <w:rPr>
                <w:rFonts w:ascii="Times New Roman" w:hAnsi="Times New Roman" w:cs="Times New Roman"/>
                <w:color w:val="000000"/>
                <w:sz w:val="24"/>
                <w:szCs w:val="24"/>
                <w:lang w:eastAsia="en-IE"/>
              </w:rPr>
              <w:t>, 2010).</w:t>
            </w:r>
          </w:p>
        </w:tc>
      </w:tr>
      <w:tr w:rsidR="00300841" w:rsidRPr="00300841" w:rsidTr="00300841">
        <w:trPr>
          <w:trHeight w:val="842"/>
        </w:trPr>
        <w:tc>
          <w:tcPr>
            <w:tcW w:w="1393" w:type="pct"/>
            <w:gridSpan w:val="3"/>
            <w:vMerge/>
            <w:tcBorders>
              <w:top w:val="single" w:sz="4" w:space="0" w:color="auto"/>
              <w:left w:val="nil"/>
              <w:bottom w:val="single" w:sz="4" w:space="0" w:color="000000"/>
              <w:right w:val="nil"/>
            </w:tcBorders>
            <w:vAlign w:val="center"/>
          </w:tcPr>
          <w:p w:rsidR="00300841" w:rsidRPr="00300841" w:rsidRDefault="00300841" w:rsidP="00300841">
            <w:pPr>
              <w:spacing w:after="0" w:line="240" w:lineRule="auto"/>
              <w:rPr>
                <w:rFonts w:ascii="Times New Roman" w:hAnsi="Times New Roman" w:cs="Times New Roman"/>
                <w:color w:val="000000"/>
                <w:sz w:val="24"/>
                <w:szCs w:val="24"/>
                <w:lang w:eastAsia="en-IE"/>
              </w:rPr>
            </w:pPr>
          </w:p>
        </w:tc>
        <w:tc>
          <w:tcPr>
            <w:tcW w:w="3607" w:type="pct"/>
            <w:tcBorders>
              <w:top w:val="nil"/>
              <w:left w:val="nil"/>
              <w:bottom w:val="single" w:sz="4" w:space="0" w:color="auto"/>
              <w:right w:val="nil"/>
            </w:tcBorders>
            <w:vAlign w:val="bottom"/>
          </w:tcPr>
          <w:p w:rsidR="00300841" w:rsidRPr="00300841" w:rsidRDefault="00300841" w:rsidP="00300841">
            <w:pPr>
              <w:spacing w:after="0" w:line="240" w:lineRule="auto"/>
              <w:rPr>
                <w:rFonts w:ascii="Times New Roman" w:hAnsi="Times New Roman" w:cs="Times New Roman"/>
                <w:sz w:val="24"/>
                <w:szCs w:val="24"/>
                <w:lang w:eastAsia="en-IE"/>
              </w:rPr>
            </w:pPr>
            <w:r w:rsidRPr="00300841">
              <w:rPr>
                <w:rFonts w:ascii="Times New Roman" w:hAnsi="Times New Roman" w:cs="Times New Roman"/>
                <w:sz w:val="24"/>
                <w:szCs w:val="24"/>
                <w:lang w:eastAsia="en-IE"/>
              </w:rPr>
              <w:t xml:space="preserve">Saspases, plant proteases containing Ser-active site unlike caspases, which contain a Cys-active site  were found to exhibit caspase-like activities (IETDase and VKMDase) and be involved in PCD in </w:t>
            </w:r>
            <w:r w:rsidRPr="00300841">
              <w:rPr>
                <w:rFonts w:ascii="Times New Roman" w:hAnsi="Times New Roman" w:cs="Times New Roman"/>
                <w:i/>
                <w:iCs/>
                <w:sz w:val="24"/>
                <w:szCs w:val="24"/>
                <w:lang w:eastAsia="en-IE"/>
              </w:rPr>
              <w:t>Avena sativa</w:t>
            </w:r>
            <w:r w:rsidRPr="00300841">
              <w:rPr>
                <w:rFonts w:ascii="Times New Roman" w:hAnsi="Times New Roman" w:cs="Times New Roman"/>
                <w:sz w:val="24"/>
                <w:szCs w:val="24"/>
                <w:lang w:eastAsia="en-IE"/>
              </w:rPr>
              <w:t xml:space="preserve"> leaves (Coffeen and Wolpert, 2004).</w:t>
            </w:r>
          </w:p>
        </w:tc>
      </w:tr>
      <w:tr w:rsidR="00300841" w:rsidRPr="00300841" w:rsidTr="00300841">
        <w:trPr>
          <w:trHeight w:val="1123"/>
        </w:trPr>
        <w:tc>
          <w:tcPr>
            <w:tcW w:w="1393" w:type="pct"/>
            <w:gridSpan w:val="3"/>
            <w:vMerge/>
            <w:tcBorders>
              <w:top w:val="single" w:sz="4" w:space="0" w:color="auto"/>
              <w:left w:val="nil"/>
              <w:bottom w:val="single" w:sz="4" w:space="0" w:color="000000"/>
              <w:right w:val="nil"/>
            </w:tcBorders>
            <w:vAlign w:val="center"/>
          </w:tcPr>
          <w:p w:rsidR="00300841" w:rsidRPr="00300841" w:rsidRDefault="00300841" w:rsidP="00300841">
            <w:pPr>
              <w:spacing w:after="0" w:line="240" w:lineRule="auto"/>
              <w:rPr>
                <w:rFonts w:ascii="Times New Roman" w:hAnsi="Times New Roman" w:cs="Times New Roman"/>
                <w:color w:val="000000"/>
                <w:sz w:val="24"/>
                <w:szCs w:val="24"/>
                <w:lang w:eastAsia="en-IE"/>
              </w:rPr>
            </w:pPr>
          </w:p>
        </w:tc>
        <w:tc>
          <w:tcPr>
            <w:tcW w:w="3607" w:type="pct"/>
            <w:tcBorders>
              <w:top w:val="nil"/>
              <w:left w:val="nil"/>
              <w:bottom w:val="single" w:sz="4" w:space="0" w:color="auto"/>
              <w:right w:val="nil"/>
            </w:tcBorders>
            <w:vAlign w:val="bottom"/>
          </w:tcPr>
          <w:p w:rsidR="00300841" w:rsidRPr="00300841" w:rsidRDefault="00300841" w:rsidP="00300841">
            <w:pPr>
              <w:spacing w:after="0" w:line="240" w:lineRule="auto"/>
              <w:rPr>
                <w:rFonts w:ascii="Times New Roman" w:hAnsi="Times New Roman" w:cs="Times New Roman"/>
                <w:color w:val="000000"/>
                <w:sz w:val="24"/>
                <w:szCs w:val="24"/>
                <w:lang w:eastAsia="en-IE"/>
              </w:rPr>
            </w:pPr>
            <w:r w:rsidRPr="00300841">
              <w:rPr>
                <w:rFonts w:ascii="Times New Roman" w:hAnsi="Times New Roman" w:cs="Times New Roman"/>
                <w:color w:val="000000"/>
                <w:sz w:val="24"/>
                <w:szCs w:val="24"/>
                <w:lang w:eastAsia="en-IE"/>
              </w:rPr>
              <w:t xml:space="preserve">Vacuolar processing enzyme (VPE) was found to have YVADase activity, and VPE deficiency rescued virus-induced HR death in tobacco (Hatsugai </w:t>
            </w:r>
            <w:r w:rsidRPr="00300841">
              <w:rPr>
                <w:rFonts w:ascii="Times New Roman" w:hAnsi="Times New Roman" w:cs="Times New Roman"/>
                <w:i/>
                <w:iCs/>
                <w:color w:val="000000"/>
                <w:sz w:val="24"/>
                <w:szCs w:val="24"/>
                <w:lang w:eastAsia="en-IE"/>
              </w:rPr>
              <w:t>et al</w:t>
            </w:r>
            <w:r w:rsidRPr="00300841">
              <w:rPr>
                <w:rFonts w:ascii="Times New Roman" w:hAnsi="Times New Roman" w:cs="Times New Roman"/>
                <w:color w:val="000000"/>
                <w:sz w:val="24"/>
                <w:szCs w:val="24"/>
                <w:lang w:eastAsia="en-IE"/>
              </w:rPr>
              <w:t xml:space="preserve">., 2004) and it was shown to be essential for mycotoxin-induced cell death in </w:t>
            </w:r>
            <w:r w:rsidRPr="00300841">
              <w:rPr>
                <w:rFonts w:ascii="Times New Roman" w:hAnsi="Times New Roman" w:cs="Times New Roman"/>
                <w:i/>
                <w:iCs/>
                <w:color w:val="000000"/>
                <w:sz w:val="24"/>
                <w:szCs w:val="24"/>
                <w:lang w:eastAsia="en-IE"/>
              </w:rPr>
              <w:t>Arabidopsis</w:t>
            </w:r>
            <w:r w:rsidRPr="00300841">
              <w:rPr>
                <w:rFonts w:ascii="Times New Roman" w:hAnsi="Times New Roman" w:cs="Times New Roman"/>
                <w:color w:val="000000"/>
                <w:sz w:val="24"/>
                <w:szCs w:val="24"/>
                <w:lang w:eastAsia="en-IE"/>
              </w:rPr>
              <w:t xml:space="preserve"> (Kuroyanagi </w:t>
            </w:r>
            <w:r w:rsidRPr="00300841">
              <w:rPr>
                <w:rFonts w:ascii="Times New Roman" w:hAnsi="Times New Roman" w:cs="Times New Roman"/>
                <w:i/>
                <w:iCs/>
                <w:color w:val="000000"/>
                <w:sz w:val="24"/>
                <w:szCs w:val="24"/>
                <w:lang w:eastAsia="en-IE"/>
              </w:rPr>
              <w:t>et al</w:t>
            </w:r>
            <w:r w:rsidRPr="00300841">
              <w:rPr>
                <w:rFonts w:ascii="Times New Roman" w:hAnsi="Times New Roman" w:cs="Times New Roman"/>
                <w:color w:val="000000"/>
                <w:sz w:val="24"/>
                <w:szCs w:val="24"/>
                <w:lang w:eastAsia="en-IE"/>
              </w:rPr>
              <w:t xml:space="preserve">., 2005) and developmental cell death in seeds (Nakaune </w:t>
            </w:r>
            <w:r w:rsidRPr="00300841">
              <w:rPr>
                <w:rFonts w:ascii="Times New Roman" w:hAnsi="Times New Roman" w:cs="Times New Roman"/>
                <w:i/>
                <w:color w:val="000000"/>
                <w:sz w:val="24"/>
                <w:szCs w:val="24"/>
                <w:lang w:eastAsia="en-IE"/>
              </w:rPr>
              <w:t>et al.,</w:t>
            </w:r>
            <w:r w:rsidRPr="00300841">
              <w:rPr>
                <w:rFonts w:ascii="Times New Roman" w:hAnsi="Times New Roman" w:cs="Times New Roman"/>
                <w:color w:val="000000"/>
                <w:sz w:val="24"/>
                <w:szCs w:val="24"/>
                <w:lang w:eastAsia="en-IE"/>
              </w:rPr>
              <w:t xml:space="preserve"> 2005).</w:t>
            </w:r>
          </w:p>
        </w:tc>
      </w:tr>
    </w:tbl>
    <w:p w:rsidR="00300841" w:rsidRDefault="00300841" w:rsidP="00300841">
      <w:pPr>
        <w:rPr>
          <w:rFonts w:ascii="Times New Roman" w:hAnsi="Times New Roman" w:cs="Times New Roman"/>
          <w:sz w:val="24"/>
          <w:szCs w:val="24"/>
        </w:rPr>
      </w:pPr>
    </w:p>
    <w:p w:rsidR="00D1297B" w:rsidRDefault="00D1297B" w:rsidP="00300841">
      <w:pPr>
        <w:rPr>
          <w:rFonts w:ascii="Times New Roman" w:hAnsi="Times New Roman" w:cs="Times New Roman"/>
          <w:sz w:val="24"/>
          <w:szCs w:val="24"/>
        </w:rPr>
      </w:pPr>
    </w:p>
    <w:p w:rsidR="00D1297B" w:rsidRDefault="00D1297B" w:rsidP="00300841">
      <w:pPr>
        <w:rPr>
          <w:rFonts w:ascii="Times New Roman" w:hAnsi="Times New Roman" w:cs="Times New Roman"/>
          <w:sz w:val="24"/>
          <w:szCs w:val="24"/>
        </w:rPr>
      </w:pPr>
    </w:p>
    <w:p w:rsidR="00D1297B" w:rsidRDefault="00D1297B" w:rsidP="00300841">
      <w:pPr>
        <w:rPr>
          <w:rFonts w:ascii="Times New Roman" w:hAnsi="Times New Roman" w:cs="Times New Roman"/>
          <w:sz w:val="24"/>
          <w:szCs w:val="24"/>
        </w:rPr>
      </w:pPr>
    </w:p>
    <w:p w:rsidR="00D1297B" w:rsidRDefault="00D1297B" w:rsidP="00300841">
      <w:pPr>
        <w:rPr>
          <w:rFonts w:ascii="Times New Roman" w:hAnsi="Times New Roman" w:cs="Times New Roman"/>
          <w:sz w:val="24"/>
          <w:szCs w:val="24"/>
        </w:rPr>
      </w:pPr>
    </w:p>
    <w:p w:rsidR="00D1297B" w:rsidRDefault="00D1297B" w:rsidP="00300841">
      <w:pPr>
        <w:rPr>
          <w:rFonts w:ascii="Times New Roman" w:hAnsi="Times New Roman" w:cs="Times New Roman"/>
          <w:sz w:val="24"/>
          <w:szCs w:val="24"/>
        </w:rPr>
      </w:pPr>
    </w:p>
    <w:p w:rsidR="00D1297B" w:rsidRDefault="00D1297B" w:rsidP="00300841">
      <w:pPr>
        <w:rPr>
          <w:rFonts w:ascii="Times New Roman" w:hAnsi="Times New Roman" w:cs="Times New Roman"/>
          <w:sz w:val="24"/>
          <w:szCs w:val="24"/>
        </w:rPr>
      </w:pPr>
    </w:p>
    <w:p w:rsidR="00D1297B" w:rsidRDefault="00D1297B" w:rsidP="00300841">
      <w:pPr>
        <w:rPr>
          <w:rFonts w:ascii="Times New Roman" w:hAnsi="Times New Roman" w:cs="Times New Roman"/>
          <w:sz w:val="24"/>
          <w:szCs w:val="24"/>
        </w:rPr>
      </w:pPr>
    </w:p>
    <w:p w:rsidR="00D1297B" w:rsidRDefault="00D1297B" w:rsidP="00300841">
      <w:pPr>
        <w:rPr>
          <w:rFonts w:ascii="Times New Roman" w:hAnsi="Times New Roman" w:cs="Times New Roman"/>
          <w:sz w:val="24"/>
          <w:szCs w:val="24"/>
        </w:rPr>
      </w:pPr>
    </w:p>
    <w:p w:rsidR="00D1297B" w:rsidRDefault="00D1297B" w:rsidP="00300841">
      <w:pPr>
        <w:rPr>
          <w:rFonts w:ascii="Times New Roman" w:hAnsi="Times New Roman" w:cs="Times New Roman"/>
          <w:sz w:val="24"/>
          <w:szCs w:val="24"/>
        </w:rPr>
      </w:pPr>
    </w:p>
    <w:p w:rsidR="00D1297B" w:rsidRDefault="00D1297B" w:rsidP="00300841">
      <w:pPr>
        <w:rPr>
          <w:rFonts w:ascii="Times New Roman" w:hAnsi="Times New Roman" w:cs="Times New Roman"/>
          <w:sz w:val="24"/>
          <w:szCs w:val="24"/>
        </w:rPr>
      </w:pPr>
    </w:p>
    <w:p w:rsidR="00D1297B" w:rsidRDefault="00D1297B" w:rsidP="00300841">
      <w:pPr>
        <w:rPr>
          <w:rFonts w:ascii="Times New Roman" w:hAnsi="Times New Roman" w:cs="Times New Roman"/>
          <w:sz w:val="24"/>
          <w:szCs w:val="24"/>
        </w:rPr>
      </w:pPr>
    </w:p>
    <w:p w:rsidR="00D1297B" w:rsidRDefault="00D1297B" w:rsidP="00300841">
      <w:pPr>
        <w:rPr>
          <w:rFonts w:ascii="Times New Roman" w:hAnsi="Times New Roman" w:cs="Times New Roman"/>
          <w:sz w:val="24"/>
          <w:szCs w:val="24"/>
        </w:rPr>
      </w:pPr>
    </w:p>
    <w:p w:rsidR="00D1297B" w:rsidRDefault="00D1297B" w:rsidP="00300841">
      <w:pPr>
        <w:rPr>
          <w:rFonts w:ascii="Times New Roman" w:hAnsi="Times New Roman" w:cs="Times New Roman"/>
          <w:sz w:val="24"/>
          <w:szCs w:val="24"/>
        </w:rPr>
      </w:pPr>
    </w:p>
    <w:p w:rsidR="00D1297B" w:rsidRPr="00300841" w:rsidRDefault="00D1297B" w:rsidP="00300841">
      <w:pPr>
        <w:rPr>
          <w:rFonts w:ascii="Times New Roman" w:hAnsi="Times New Roman" w:cs="Times New Roman"/>
          <w:sz w:val="24"/>
          <w:szCs w:val="24"/>
        </w:rPr>
      </w:pPr>
    </w:p>
    <w:p w:rsidR="00300841" w:rsidRPr="00300841" w:rsidRDefault="00300841" w:rsidP="00300841">
      <w:pPr>
        <w:rPr>
          <w:rFonts w:ascii="Times New Roman" w:hAnsi="Times New Roman" w:cs="Times New Roman"/>
          <w:sz w:val="24"/>
          <w:szCs w:val="24"/>
          <w:lang w:val="en-GB"/>
        </w:rPr>
      </w:pPr>
      <w:r w:rsidRPr="00300841">
        <w:rPr>
          <w:rFonts w:ascii="Times New Roman" w:hAnsi="Times New Roman" w:cs="Times New Roman"/>
          <w:sz w:val="24"/>
          <w:szCs w:val="24"/>
          <w:lang w:val="en-GB"/>
        </w:rPr>
        <w:t>Figure 2. Lace plant: unique lattice-like pattern of perforations on lace plant leaves is formed by PCD of discrete subpopulations of cells (photo courtesy of A.H.L.A.N. Gunawardena).</w:t>
      </w:r>
    </w:p>
    <w:p w:rsidR="00300841" w:rsidRPr="00300841" w:rsidRDefault="00230311" w:rsidP="00300841">
      <w:pPr>
        <w:rPr>
          <w:rFonts w:ascii="Times New Roman" w:hAnsi="Times New Roman" w:cs="Times New Roman"/>
          <w:sz w:val="24"/>
          <w:szCs w:val="24"/>
          <w:lang w:val="en-GB"/>
        </w:rPr>
      </w:pPr>
      <w:r w:rsidRPr="005C514B">
        <w:rPr>
          <w:rFonts w:ascii="Times New Roman" w:hAnsi="Times New Roman" w:cs="Times New Roman"/>
          <w:sz w:val="24"/>
          <w:szCs w:val="24"/>
          <w:lang w:val="en-GB"/>
        </w:rPr>
        <w:pict>
          <v:shape id="_x0000_i1027" type="#_x0000_t75" style="width:227.75pt;height:356.85pt">
            <v:imagedata r:id="rId11" o:title="Figure 2"/>
          </v:shape>
        </w:pict>
      </w:r>
    </w:p>
    <w:p w:rsidR="00D1297B" w:rsidRDefault="00D1297B" w:rsidP="00300841">
      <w:pPr>
        <w:rPr>
          <w:rFonts w:ascii="Times New Roman" w:hAnsi="Times New Roman" w:cs="Times New Roman"/>
          <w:sz w:val="24"/>
          <w:szCs w:val="24"/>
          <w:lang w:val="en-GB"/>
        </w:rPr>
      </w:pPr>
    </w:p>
    <w:p w:rsidR="00D1297B" w:rsidRDefault="00D1297B" w:rsidP="00300841">
      <w:pPr>
        <w:rPr>
          <w:rFonts w:ascii="Times New Roman" w:hAnsi="Times New Roman" w:cs="Times New Roman"/>
          <w:sz w:val="24"/>
          <w:szCs w:val="24"/>
          <w:lang w:val="en-GB"/>
        </w:rPr>
      </w:pPr>
    </w:p>
    <w:p w:rsidR="00300841" w:rsidRPr="00300841" w:rsidRDefault="00300841" w:rsidP="00300841">
      <w:pPr>
        <w:rPr>
          <w:rFonts w:ascii="Times New Roman" w:hAnsi="Times New Roman" w:cs="Times New Roman"/>
          <w:sz w:val="24"/>
          <w:szCs w:val="24"/>
          <w:lang w:val="en-GB"/>
        </w:rPr>
      </w:pPr>
      <w:r w:rsidRPr="00300841">
        <w:rPr>
          <w:rFonts w:ascii="Times New Roman" w:hAnsi="Times New Roman" w:cs="Times New Roman"/>
          <w:sz w:val="24"/>
          <w:szCs w:val="24"/>
          <w:lang w:val="en-GB"/>
        </w:rPr>
        <w:t>Figure 3.</w:t>
      </w:r>
    </w:p>
    <w:p w:rsidR="00300841" w:rsidRPr="00300841" w:rsidRDefault="00300841" w:rsidP="00300841">
      <w:pPr>
        <w:autoSpaceDE w:val="0"/>
        <w:autoSpaceDN w:val="0"/>
        <w:adjustRightInd w:val="0"/>
        <w:spacing w:after="0" w:line="360" w:lineRule="auto"/>
        <w:rPr>
          <w:rFonts w:ascii="Times New Roman" w:hAnsi="Times New Roman" w:cs="Times New Roman"/>
          <w:sz w:val="24"/>
          <w:szCs w:val="24"/>
          <w:lang w:val="en-GB"/>
        </w:rPr>
      </w:pPr>
      <w:r w:rsidRPr="00300841">
        <w:rPr>
          <w:rFonts w:ascii="Times New Roman" w:hAnsi="Times New Roman" w:cs="Times New Roman"/>
          <w:sz w:val="24"/>
          <w:szCs w:val="24"/>
          <w:lang w:val="en-GB"/>
        </w:rPr>
        <w:t>Examples of applied and potential model systems for studying PCD in plants.</w:t>
      </w:r>
    </w:p>
    <w:p w:rsidR="00300841" w:rsidRPr="00300841" w:rsidRDefault="00230311" w:rsidP="00300841">
      <w:pPr>
        <w:rPr>
          <w:rFonts w:ascii="Times New Roman" w:hAnsi="Times New Roman" w:cs="Times New Roman"/>
          <w:sz w:val="24"/>
          <w:szCs w:val="24"/>
          <w:lang w:val="en-GB"/>
        </w:rPr>
      </w:pPr>
      <w:r w:rsidRPr="005C514B">
        <w:rPr>
          <w:rFonts w:ascii="Times New Roman" w:hAnsi="Times New Roman" w:cs="Times New Roman"/>
          <w:sz w:val="24"/>
          <w:szCs w:val="24"/>
          <w:lang w:val="en-GB"/>
        </w:rPr>
        <w:pict>
          <v:shape id="_x0000_i1028" type="#_x0000_t75" style="width:475.85pt;height:347.5pt">
            <v:imagedata r:id="rId12" o:title=""/>
          </v:shape>
        </w:pict>
      </w:r>
    </w:p>
    <w:p w:rsidR="00300841" w:rsidRPr="00300841" w:rsidRDefault="00300841" w:rsidP="00300841">
      <w:pPr>
        <w:rPr>
          <w:rFonts w:ascii="Times New Roman" w:hAnsi="Times New Roman" w:cs="Times New Roman"/>
          <w:sz w:val="24"/>
          <w:szCs w:val="24"/>
          <w:lang w:val="en-GB"/>
        </w:rPr>
      </w:pPr>
    </w:p>
    <w:p w:rsidR="00300841" w:rsidRPr="00300841" w:rsidRDefault="00300841" w:rsidP="00300841">
      <w:pPr>
        <w:rPr>
          <w:rFonts w:ascii="Times New Roman" w:hAnsi="Times New Roman" w:cs="Times New Roman"/>
          <w:sz w:val="24"/>
          <w:szCs w:val="24"/>
        </w:rPr>
      </w:pPr>
    </w:p>
    <w:p w:rsidR="00300841" w:rsidRPr="00300841" w:rsidRDefault="00300841" w:rsidP="00300841">
      <w:pPr>
        <w:rPr>
          <w:rFonts w:ascii="Times New Roman" w:hAnsi="Times New Roman" w:cs="Times New Roman"/>
          <w:sz w:val="24"/>
          <w:szCs w:val="24"/>
        </w:rPr>
      </w:pPr>
      <w:r w:rsidRPr="00300841">
        <w:rPr>
          <w:rFonts w:ascii="Times New Roman" w:hAnsi="Times New Roman" w:cs="Times New Roman"/>
          <w:sz w:val="24"/>
          <w:szCs w:val="24"/>
        </w:rPr>
        <w:t xml:space="preserve">Table 2. Characterisation of potential model systems for studying plant PCD.   </w:t>
      </w:r>
    </w:p>
    <w:tbl>
      <w:tblPr>
        <w:tblW w:w="13060" w:type="dxa"/>
        <w:tblCellMar>
          <w:left w:w="0" w:type="dxa"/>
          <w:right w:w="0" w:type="dxa"/>
        </w:tblCellMar>
        <w:tblLook w:val="00A0"/>
      </w:tblPr>
      <w:tblGrid>
        <w:gridCol w:w="1987"/>
        <w:gridCol w:w="11073"/>
      </w:tblGrid>
      <w:tr w:rsidR="00300841" w:rsidRPr="00300841" w:rsidTr="00300841">
        <w:trPr>
          <w:trHeight w:val="675"/>
        </w:trPr>
        <w:tc>
          <w:tcPr>
            <w:tcW w:w="1987" w:type="dxa"/>
            <w:tcBorders>
              <w:top w:val="single" w:sz="12" w:space="0" w:color="auto"/>
              <w:left w:val="single" w:sz="8" w:space="0" w:color="FFFFFF"/>
              <w:bottom w:val="single" w:sz="12" w:space="0" w:color="auto"/>
              <w:right w:val="single" w:sz="8" w:space="0" w:color="FFFFFF"/>
            </w:tcBorders>
            <w:tcMar>
              <w:top w:w="72" w:type="dxa"/>
              <w:left w:w="144" w:type="dxa"/>
              <w:bottom w:w="72" w:type="dxa"/>
              <w:right w:w="144" w:type="dxa"/>
            </w:tcMar>
            <w:vAlign w:val="center"/>
          </w:tcPr>
          <w:p w:rsidR="00300841" w:rsidRPr="00300841" w:rsidRDefault="00300841" w:rsidP="00300841">
            <w:pPr>
              <w:spacing w:line="240" w:lineRule="auto"/>
              <w:jc w:val="center"/>
              <w:rPr>
                <w:rFonts w:ascii="Times New Roman" w:hAnsi="Times New Roman" w:cs="Times New Roman"/>
                <w:sz w:val="24"/>
                <w:szCs w:val="24"/>
              </w:rPr>
            </w:pPr>
            <w:r w:rsidRPr="00300841">
              <w:rPr>
                <w:rFonts w:ascii="Times New Roman" w:hAnsi="Times New Roman" w:cs="Times New Roman"/>
                <w:b/>
                <w:bCs/>
                <w:sz w:val="24"/>
                <w:szCs w:val="24"/>
              </w:rPr>
              <w:t>Model System</w:t>
            </w:r>
          </w:p>
        </w:tc>
        <w:tc>
          <w:tcPr>
            <w:tcW w:w="11073" w:type="dxa"/>
            <w:tcBorders>
              <w:top w:val="single" w:sz="12" w:space="0" w:color="auto"/>
              <w:left w:val="single" w:sz="8" w:space="0" w:color="FFFFFF"/>
              <w:bottom w:val="single" w:sz="12" w:space="0" w:color="auto"/>
              <w:right w:val="single" w:sz="8" w:space="0" w:color="FFFFFF"/>
            </w:tcBorders>
            <w:tcMar>
              <w:top w:w="72" w:type="dxa"/>
              <w:left w:w="144" w:type="dxa"/>
              <w:bottom w:w="72" w:type="dxa"/>
              <w:right w:w="144" w:type="dxa"/>
            </w:tcMar>
            <w:vAlign w:val="center"/>
          </w:tcPr>
          <w:p w:rsidR="00300841" w:rsidRPr="00300841" w:rsidRDefault="00300841" w:rsidP="00300841">
            <w:pPr>
              <w:spacing w:line="240" w:lineRule="auto"/>
              <w:jc w:val="center"/>
              <w:rPr>
                <w:rFonts w:ascii="Times New Roman" w:hAnsi="Times New Roman" w:cs="Times New Roman"/>
                <w:sz w:val="24"/>
                <w:szCs w:val="24"/>
              </w:rPr>
            </w:pPr>
            <w:r w:rsidRPr="00300841">
              <w:rPr>
                <w:rFonts w:ascii="Times New Roman" w:hAnsi="Times New Roman" w:cs="Times New Roman"/>
                <w:b/>
                <w:bCs/>
                <w:sz w:val="24"/>
                <w:szCs w:val="24"/>
              </w:rPr>
              <w:t>Characteristics</w:t>
            </w:r>
          </w:p>
        </w:tc>
      </w:tr>
      <w:tr w:rsidR="00300841" w:rsidRPr="00300841" w:rsidTr="00300841">
        <w:trPr>
          <w:trHeight w:val="984"/>
        </w:trPr>
        <w:tc>
          <w:tcPr>
            <w:tcW w:w="1987" w:type="dxa"/>
            <w:tcBorders>
              <w:top w:val="single" w:sz="12" w:space="0" w:color="auto"/>
              <w:left w:val="single" w:sz="8" w:space="0" w:color="FFFFFF"/>
              <w:bottom w:val="single" w:sz="4" w:space="0" w:color="auto"/>
              <w:right w:val="single" w:sz="8" w:space="0" w:color="FFFFFF"/>
            </w:tcBorders>
            <w:tcMar>
              <w:top w:w="72" w:type="dxa"/>
              <w:left w:w="144" w:type="dxa"/>
              <w:bottom w:w="72" w:type="dxa"/>
              <w:right w:w="144" w:type="dxa"/>
            </w:tcMar>
            <w:vAlign w:val="center"/>
          </w:tcPr>
          <w:p w:rsidR="00300841" w:rsidRPr="00300841" w:rsidRDefault="00300841" w:rsidP="00300841">
            <w:pPr>
              <w:spacing w:after="0" w:line="240" w:lineRule="auto"/>
              <w:jc w:val="center"/>
              <w:rPr>
                <w:rFonts w:ascii="Times New Roman" w:hAnsi="Times New Roman" w:cs="Times New Roman"/>
                <w:b/>
                <w:bCs/>
              </w:rPr>
            </w:pPr>
            <w:r w:rsidRPr="00300841">
              <w:rPr>
                <w:rFonts w:ascii="Times New Roman" w:hAnsi="Times New Roman" w:cs="Times New Roman"/>
                <w:b/>
                <w:bCs/>
              </w:rPr>
              <w:t>Cell Suspension Cultures</w:t>
            </w:r>
          </w:p>
          <w:p w:rsidR="00300841" w:rsidRPr="00300841" w:rsidRDefault="00300841" w:rsidP="00300841">
            <w:pPr>
              <w:spacing w:after="0" w:line="240" w:lineRule="auto"/>
              <w:jc w:val="center"/>
              <w:rPr>
                <w:rFonts w:ascii="Times New Roman" w:hAnsi="Times New Roman" w:cs="Times New Roman"/>
                <w:sz w:val="20"/>
                <w:szCs w:val="20"/>
              </w:rPr>
            </w:pPr>
            <w:r w:rsidRPr="00300841">
              <w:rPr>
                <w:rFonts w:ascii="Times New Roman" w:hAnsi="Times New Roman" w:cs="Times New Roman"/>
                <w:sz w:val="20"/>
                <w:szCs w:val="20"/>
              </w:rPr>
              <w:t>reviewed by McCabe and Leaver (2000)</w:t>
            </w:r>
          </w:p>
        </w:tc>
        <w:tc>
          <w:tcPr>
            <w:tcW w:w="11073" w:type="dxa"/>
            <w:tcBorders>
              <w:top w:val="single" w:sz="12" w:space="0" w:color="auto"/>
              <w:left w:val="single" w:sz="8" w:space="0" w:color="FFFFFF"/>
              <w:bottom w:val="single" w:sz="4" w:space="0" w:color="auto"/>
              <w:right w:val="single" w:sz="8" w:space="0" w:color="FFFFFF"/>
            </w:tcBorders>
            <w:tcMar>
              <w:top w:w="72" w:type="dxa"/>
              <w:left w:w="144" w:type="dxa"/>
              <w:bottom w:w="72" w:type="dxa"/>
              <w:right w:w="144" w:type="dxa"/>
            </w:tcMar>
            <w:vAlign w:val="center"/>
          </w:tcPr>
          <w:p w:rsidR="00300841" w:rsidRPr="00300841" w:rsidRDefault="00300841" w:rsidP="00300841">
            <w:pPr>
              <w:spacing w:after="0" w:line="240" w:lineRule="auto"/>
              <w:ind w:left="360"/>
              <w:rPr>
                <w:rFonts w:ascii="Times New Roman" w:hAnsi="Times New Roman" w:cs="Times New Roman"/>
              </w:rPr>
            </w:pPr>
            <w:r w:rsidRPr="00300841">
              <w:rPr>
                <w:rFonts w:ascii="Times New Roman" w:hAnsi="Times New Roman" w:cs="Times New Roman"/>
              </w:rPr>
              <w:t>Homogeneous  collection of cells  routinely used for</w:t>
            </w:r>
            <w:r w:rsidRPr="00300841">
              <w:rPr>
                <w:rFonts w:ascii="Times New Roman" w:hAnsi="Times New Roman" w:cs="Times New Roman"/>
                <w:b/>
                <w:bCs/>
              </w:rPr>
              <w:t xml:space="preserve"> </w:t>
            </w:r>
            <w:r w:rsidRPr="00300841">
              <w:rPr>
                <w:rFonts w:ascii="Times New Roman" w:hAnsi="Times New Roman" w:cs="Times New Roman"/>
                <w:i/>
                <w:iCs/>
              </w:rPr>
              <w:t>in vitro</w:t>
            </w:r>
            <w:r w:rsidRPr="00300841">
              <w:rPr>
                <w:rFonts w:ascii="Times New Roman" w:hAnsi="Times New Roman" w:cs="Times New Roman"/>
              </w:rPr>
              <w:t xml:space="preserve"> AL-PCD studies</w:t>
            </w:r>
          </w:p>
          <w:p w:rsidR="00300841" w:rsidRPr="00300841" w:rsidRDefault="00300841" w:rsidP="00300841">
            <w:pPr>
              <w:spacing w:after="0" w:line="240" w:lineRule="auto"/>
              <w:ind w:left="360"/>
              <w:rPr>
                <w:rFonts w:ascii="Times New Roman" w:hAnsi="Times New Roman" w:cs="Times New Roman"/>
              </w:rPr>
            </w:pPr>
            <w:r w:rsidRPr="00300841">
              <w:rPr>
                <w:rFonts w:ascii="Times New Roman" w:hAnsi="Times New Roman" w:cs="Times New Roman"/>
              </w:rPr>
              <w:t>Established for variety of species and easy to maintain and propagate, but can be labour intensive and time consuming to establish</w:t>
            </w:r>
          </w:p>
          <w:p w:rsidR="00300841" w:rsidRPr="00300841" w:rsidRDefault="00300841" w:rsidP="00300841">
            <w:pPr>
              <w:spacing w:after="0" w:line="240" w:lineRule="auto"/>
              <w:ind w:left="360"/>
              <w:rPr>
                <w:rFonts w:ascii="Times New Roman" w:hAnsi="Times New Roman" w:cs="Times New Roman"/>
              </w:rPr>
            </w:pPr>
            <w:r w:rsidRPr="00300841">
              <w:rPr>
                <w:rFonts w:ascii="Times New Roman" w:hAnsi="Times New Roman" w:cs="Times New Roman"/>
              </w:rPr>
              <w:t xml:space="preserve">Easy to add potential AL-PCD modulators, cells easily accessible </w:t>
            </w:r>
          </w:p>
          <w:p w:rsidR="00300841" w:rsidRPr="00300841" w:rsidRDefault="00300841" w:rsidP="00300841">
            <w:pPr>
              <w:spacing w:after="0" w:line="240" w:lineRule="auto"/>
              <w:ind w:left="360"/>
              <w:rPr>
                <w:rFonts w:ascii="Times New Roman" w:hAnsi="Times New Roman" w:cs="Times New Roman"/>
              </w:rPr>
            </w:pPr>
            <w:r w:rsidRPr="00300841">
              <w:rPr>
                <w:rFonts w:ascii="Times New Roman" w:hAnsi="Times New Roman" w:cs="Times New Roman"/>
              </w:rPr>
              <w:t xml:space="preserve">Useful for studying basal death responses, and differentiation may be induced in order to study developmental PCD - for example the </w:t>
            </w:r>
            <w:r w:rsidRPr="00300841">
              <w:rPr>
                <w:rFonts w:ascii="Times New Roman" w:hAnsi="Times New Roman" w:cs="Times New Roman"/>
                <w:i/>
                <w:iCs/>
              </w:rPr>
              <w:t>Zinna elegans</w:t>
            </w:r>
            <w:r w:rsidRPr="00300841">
              <w:rPr>
                <w:rFonts w:ascii="Times New Roman" w:hAnsi="Times New Roman" w:cs="Times New Roman"/>
              </w:rPr>
              <w:t xml:space="preserve"> model system for xylogenesis studies (Fukuda and Komamine, 1980; Twumasi 2009) </w:t>
            </w:r>
          </w:p>
        </w:tc>
      </w:tr>
      <w:tr w:rsidR="00300841" w:rsidRPr="00300841" w:rsidTr="00300841">
        <w:trPr>
          <w:trHeight w:val="984"/>
        </w:trPr>
        <w:tc>
          <w:tcPr>
            <w:tcW w:w="1987" w:type="dxa"/>
            <w:tcBorders>
              <w:top w:val="single" w:sz="4" w:space="0" w:color="auto"/>
              <w:left w:val="single" w:sz="8" w:space="0" w:color="FFFFFF"/>
              <w:bottom w:val="single" w:sz="4" w:space="0" w:color="auto"/>
              <w:right w:val="single" w:sz="8" w:space="0" w:color="FFFFFF"/>
            </w:tcBorders>
            <w:tcMar>
              <w:top w:w="72" w:type="dxa"/>
              <w:left w:w="144" w:type="dxa"/>
              <w:bottom w:w="72" w:type="dxa"/>
              <w:right w:w="144" w:type="dxa"/>
            </w:tcMar>
            <w:vAlign w:val="center"/>
          </w:tcPr>
          <w:p w:rsidR="00300841" w:rsidRPr="00300841" w:rsidRDefault="00300841" w:rsidP="00300841">
            <w:pPr>
              <w:spacing w:after="0" w:line="240" w:lineRule="auto"/>
              <w:jc w:val="center"/>
              <w:rPr>
                <w:rFonts w:ascii="Times New Roman" w:hAnsi="Times New Roman" w:cs="Times New Roman"/>
                <w:b/>
                <w:bCs/>
              </w:rPr>
            </w:pPr>
            <w:r w:rsidRPr="00300841">
              <w:rPr>
                <w:rFonts w:ascii="Times New Roman" w:hAnsi="Times New Roman" w:cs="Times New Roman"/>
                <w:b/>
                <w:bCs/>
              </w:rPr>
              <w:t>Root Hairs</w:t>
            </w:r>
          </w:p>
          <w:p w:rsidR="00300841" w:rsidRPr="00300841" w:rsidRDefault="00300841" w:rsidP="00300841">
            <w:pPr>
              <w:spacing w:after="0" w:line="240" w:lineRule="auto"/>
              <w:jc w:val="center"/>
              <w:rPr>
                <w:rFonts w:ascii="Times New Roman" w:hAnsi="Times New Roman" w:cs="Times New Roman"/>
                <w:sz w:val="20"/>
                <w:szCs w:val="20"/>
              </w:rPr>
            </w:pPr>
            <w:r w:rsidRPr="00300841">
              <w:rPr>
                <w:rFonts w:ascii="Times New Roman" w:hAnsi="Times New Roman" w:cs="Times New Roman"/>
                <w:sz w:val="20"/>
                <w:szCs w:val="20"/>
              </w:rPr>
              <w:t xml:space="preserve">Presented by Hogg </w:t>
            </w:r>
            <w:r w:rsidRPr="00300841">
              <w:rPr>
                <w:rFonts w:ascii="Times New Roman" w:hAnsi="Times New Roman" w:cs="Times New Roman"/>
                <w:i/>
                <w:iCs/>
                <w:sz w:val="20"/>
                <w:szCs w:val="20"/>
              </w:rPr>
              <w:t>et al.</w:t>
            </w:r>
            <w:r w:rsidRPr="00300841">
              <w:rPr>
                <w:rFonts w:ascii="Times New Roman" w:hAnsi="Times New Roman" w:cs="Times New Roman"/>
                <w:sz w:val="20"/>
                <w:szCs w:val="20"/>
              </w:rPr>
              <w:t xml:space="preserve"> </w:t>
            </w:r>
          </w:p>
          <w:p w:rsidR="00300841" w:rsidRPr="00300841" w:rsidRDefault="00300841" w:rsidP="00300841">
            <w:pPr>
              <w:spacing w:after="0" w:line="240" w:lineRule="auto"/>
              <w:jc w:val="center"/>
              <w:rPr>
                <w:rFonts w:ascii="Times New Roman" w:hAnsi="Times New Roman" w:cs="Times New Roman"/>
                <w:sz w:val="20"/>
                <w:szCs w:val="20"/>
              </w:rPr>
            </w:pPr>
            <w:r w:rsidRPr="00300841">
              <w:rPr>
                <w:rFonts w:ascii="Times New Roman" w:hAnsi="Times New Roman" w:cs="Times New Roman"/>
                <w:sz w:val="20"/>
                <w:szCs w:val="20"/>
              </w:rPr>
              <w:t>(in preparation)</w:t>
            </w:r>
          </w:p>
        </w:tc>
        <w:tc>
          <w:tcPr>
            <w:tcW w:w="11073" w:type="dxa"/>
            <w:tcBorders>
              <w:top w:val="single" w:sz="4" w:space="0" w:color="auto"/>
              <w:left w:val="single" w:sz="8" w:space="0" w:color="FFFFFF"/>
              <w:bottom w:val="single" w:sz="4" w:space="0" w:color="auto"/>
              <w:right w:val="single" w:sz="8" w:space="0" w:color="FFFFFF"/>
            </w:tcBorders>
            <w:tcMar>
              <w:top w:w="72" w:type="dxa"/>
              <w:left w:w="144" w:type="dxa"/>
              <w:bottom w:w="72" w:type="dxa"/>
              <w:right w:w="144" w:type="dxa"/>
            </w:tcMar>
            <w:vAlign w:val="center"/>
          </w:tcPr>
          <w:p w:rsidR="00300841" w:rsidRPr="00300841" w:rsidRDefault="00300841" w:rsidP="00300841">
            <w:pPr>
              <w:spacing w:after="0" w:line="240" w:lineRule="auto"/>
              <w:ind w:left="360"/>
              <w:rPr>
                <w:rFonts w:ascii="Times New Roman" w:hAnsi="Times New Roman" w:cs="Times New Roman"/>
              </w:rPr>
            </w:pPr>
            <w:r w:rsidRPr="00300841">
              <w:rPr>
                <w:rFonts w:ascii="Times New Roman" w:hAnsi="Times New Roman" w:cs="Times New Roman"/>
              </w:rPr>
              <w:t xml:space="preserve">Novel </w:t>
            </w:r>
            <w:r w:rsidRPr="00300841">
              <w:rPr>
                <w:rFonts w:ascii="Times New Roman" w:hAnsi="Times New Roman" w:cs="Times New Roman"/>
                <w:i/>
                <w:iCs/>
              </w:rPr>
              <w:t>in vivo</w:t>
            </w:r>
            <w:r w:rsidRPr="00300841">
              <w:rPr>
                <w:rFonts w:ascii="Times New Roman" w:hAnsi="Times New Roman" w:cs="Times New Roman"/>
              </w:rPr>
              <w:t xml:space="preserve"> assay based on observation of AL- PCD morphology (protoplast condensed and retracted from the cell wall) of dying root hairs  </w:t>
            </w:r>
          </w:p>
          <w:p w:rsidR="00300841" w:rsidRPr="00300841" w:rsidRDefault="00300841" w:rsidP="00300841">
            <w:pPr>
              <w:spacing w:after="0" w:line="240" w:lineRule="auto"/>
              <w:ind w:left="360"/>
              <w:rPr>
                <w:rFonts w:ascii="Times New Roman" w:hAnsi="Times New Roman" w:cs="Times New Roman"/>
              </w:rPr>
            </w:pPr>
            <w:r w:rsidRPr="00300841">
              <w:rPr>
                <w:rFonts w:ascii="Times New Roman" w:hAnsi="Times New Roman" w:cs="Times New Roman"/>
              </w:rPr>
              <w:t>R</w:t>
            </w:r>
            <w:r w:rsidRPr="00300841">
              <w:rPr>
                <w:rFonts w:ascii="Times New Roman" w:hAnsi="Times New Roman" w:cs="Times New Roman"/>
                <w:lang w:val="en-US"/>
              </w:rPr>
              <w:t>oot hairs are single cells, readily observed by light microscopy, present in large numbers</w:t>
            </w:r>
          </w:p>
          <w:p w:rsidR="00300841" w:rsidRPr="00300841" w:rsidRDefault="00300841" w:rsidP="00300841">
            <w:pPr>
              <w:spacing w:after="0" w:line="240" w:lineRule="auto"/>
              <w:ind w:left="360"/>
              <w:rPr>
                <w:rFonts w:ascii="Times New Roman" w:hAnsi="Times New Roman" w:cs="Times New Roman"/>
              </w:rPr>
            </w:pPr>
            <w:r w:rsidRPr="00300841">
              <w:rPr>
                <w:rFonts w:ascii="Times New Roman" w:hAnsi="Times New Roman" w:cs="Times New Roman"/>
              </w:rPr>
              <w:t>Plants can be grown quickly and results can be obtained in shorter time than with cell suspension cultures, therefore the system is an i</w:t>
            </w:r>
            <w:r w:rsidRPr="00300841">
              <w:rPr>
                <w:rFonts w:ascii="Times New Roman" w:hAnsi="Times New Roman" w:cs="Times New Roman"/>
                <w:lang w:val="en-GB"/>
              </w:rPr>
              <w:t>nvaluable tool to investigate modulation of AL-PCD in mutant/transgenic plant lines</w:t>
            </w:r>
          </w:p>
          <w:p w:rsidR="00300841" w:rsidRPr="00300841" w:rsidRDefault="00300841" w:rsidP="00300841">
            <w:pPr>
              <w:spacing w:after="0" w:line="240" w:lineRule="auto"/>
              <w:ind w:left="360"/>
              <w:rPr>
                <w:rFonts w:ascii="Times New Roman" w:hAnsi="Times New Roman" w:cs="Times New Roman"/>
              </w:rPr>
            </w:pPr>
            <w:r w:rsidRPr="00300841">
              <w:rPr>
                <w:rFonts w:ascii="Times New Roman" w:hAnsi="Times New Roman" w:cs="Times New Roman"/>
              </w:rPr>
              <w:t>Easy to add potential AL-PCD modulators and system is transferrable between species</w:t>
            </w:r>
          </w:p>
        </w:tc>
      </w:tr>
      <w:tr w:rsidR="00300841" w:rsidRPr="00300841" w:rsidTr="00300841">
        <w:trPr>
          <w:trHeight w:val="984"/>
        </w:trPr>
        <w:tc>
          <w:tcPr>
            <w:tcW w:w="1987" w:type="dxa"/>
            <w:tcBorders>
              <w:top w:val="single" w:sz="4" w:space="0" w:color="auto"/>
              <w:left w:val="single" w:sz="8" w:space="0" w:color="FFFFFF"/>
              <w:bottom w:val="single" w:sz="4" w:space="0" w:color="auto"/>
              <w:right w:val="single" w:sz="8" w:space="0" w:color="FFFFFF"/>
            </w:tcBorders>
            <w:tcMar>
              <w:top w:w="72" w:type="dxa"/>
              <w:left w:w="144" w:type="dxa"/>
              <w:bottom w:w="72" w:type="dxa"/>
              <w:right w:w="144" w:type="dxa"/>
            </w:tcMar>
            <w:vAlign w:val="center"/>
          </w:tcPr>
          <w:p w:rsidR="00300841" w:rsidRPr="00300841" w:rsidRDefault="00300841" w:rsidP="00300841">
            <w:pPr>
              <w:spacing w:after="0" w:line="240" w:lineRule="auto"/>
              <w:jc w:val="center"/>
              <w:rPr>
                <w:rFonts w:ascii="Times New Roman" w:hAnsi="Times New Roman" w:cs="Times New Roman"/>
              </w:rPr>
            </w:pPr>
            <w:r w:rsidRPr="00300841">
              <w:rPr>
                <w:rFonts w:ascii="Times New Roman" w:hAnsi="Times New Roman" w:cs="Times New Roman"/>
                <w:b/>
                <w:bCs/>
              </w:rPr>
              <w:t>Root Cap Cells</w:t>
            </w:r>
          </w:p>
        </w:tc>
        <w:tc>
          <w:tcPr>
            <w:tcW w:w="11073" w:type="dxa"/>
            <w:tcBorders>
              <w:top w:val="single" w:sz="4" w:space="0" w:color="auto"/>
              <w:left w:val="single" w:sz="8" w:space="0" w:color="FFFFFF"/>
              <w:bottom w:val="single" w:sz="4" w:space="0" w:color="auto"/>
              <w:right w:val="single" w:sz="8" w:space="0" w:color="FFFFFF"/>
            </w:tcBorders>
            <w:tcMar>
              <w:top w:w="72" w:type="dxa"/>
              <w:left w:w="144" w:type="dxa"/>
              <w:bottom w:w="72" w:type="dxa"/>
              <w:right w:w="144" w:type="dxa"/>
            </w:tcMar>
            <w:vAlign w:val="center"/>
          </w:tcPr>
          <w:p w:rsidR="00300841" w:rsidRPr="00300841" w:rsidRDefault="00300841" w:rsidP="00300841">
            <w:pPr>
              <w:spacing w:after="0" w:line="240" w:lineRule="auto"/>
              <w:ind w:left="360"/>
              <w:rPr>
                <w:rFonts w:ascii="Times New Roman" w:hAnsi="Times New Roman" w:cs="Times New Roman"/>
              </w:rPr>
            </w:pPr>
            <w:r w:rsidRPr="00300841">
              <w:rPr>
                <w:rFonts w:ascii="Times New Roman" w:hAnsi="Times New Roman" w:cs="Times New Roman"/>
              </w:rPr>
              <w:t xml:space="preserve">Dying root cap cells exhibit AL-PCD features (Wang </w:t>
            </w:r>
            <w:r w:rsidRPr="00300841">
              <w:rPr>
                <w:rFonts w:ascii="Times New Roman" w:hAnsi="Times New Roman" w:cs="Times New Roman"/>
                <w:i/>
                <w:iCs/>
              </w:rPr>
              <w:t>et al.</w:t>
            </w:r>
            <w:r w:rsidRPr="00300841">
              <w:rPr>
                <w:rFonts w:ascii="Times New Roman" w:hAnsi="Times New Roman" w:cs="Times New Roman"/>
              </w:rPr>
              <w:t xml:space="preserve">, 1996) </w:t>
            </w:r>
          </w:p>
          <w:p w:rsidR="00300841" w:rsidRPr="00300841" w:rsidRDefault="00300841" w:rsidP="00300841">
            <w:pPr>
              <w:spacing w:after="0" w:line="240" w:lineRule="auto"/>
              <w:ind w:left="360"/>
              <w:rPr>
                <w:rFonts w:ascii="Times New Roman" w:hAnsi="Times New Roman" w:cs="Times New Roman"/>
              </w:rPr>
            </w:pPr>
            <w:r w:rsidRPr="00300841">
              <w:rPr>
                <w:rFonts w:ascii="Times New Roman" w:hAnsi="Times New Roman" w:cs="Times New Roman"/>
              </w:rPr>
              <w:t>Maize root cap cells can be cultured in vitro (Caporali, 1983)</w:t>
            </w:r>
          </w:p>
          <w:p w:rsidR="00300841" w:rsidRPr="00300841" w:rsidRDefault="00300841" w:rsidP="00300841">
            <w:pPr>
              <w:spacing w:after="0" w:line="240" w:lineRule="auto"/>
              <w:ind w:left="360"/>
              <w:rPr>
                <w:rFonts w:ascii="Times New Roman" w:hAnsi="Times New Roman" w:cs="Times New Roman"/>
              </w:rPr>
            </w:pPr>
            <w:r w:rsidRPr="00300841">
              <w:rPr>
                <w:rFonts w:ascii="Times New Roman" w:hAnsi="Times New Roman" w:cs="Times New Roman"/>
              </w:rPr>
              <w:t>Cells exposed on the surface of the root create potential for application of PCD modulators</w:t>
            </w:r>
          </w:p>
          <w:p w:rsidR="00300841" w:rsidRPr="00300841" w:rsidRDefault="00300841" w:rsidP="00300841">
            <w:pPr>
              <w:spacing w:after="0" w:line="240" w:lineRule="auto"/>
              <w:ind w:left="360"/>
              <w:rPr>
                <w:rFonts w:ascii="Times New Roman" w:hAnsi="Times New Roman" w:cs="Times New Roman"/>
              </w:rPr>
            </w:pPr>
            <w:r w:rsidRPr="00300841">
              <w:rPr>
                <w:rFonts w:ascii="Times New Roman" w:hAnsi="Times New Roman" w:cs="Times New Roman"/>
              </w:rPr>
              <w:t xml:space="preserve">In Arabidopsis, root cap cells die before detachment. Mutants with altered PCD in root cap cells would provide an attractive tool for analysing cell death </w:t>
            </w:r>
          </w:p>
        </w:tc>
      </w:tr>
      <w:tr w:rsidR="00300841" w:rsidRPr="00300841" w:rsidTr="00300841">
        <w:trPr>
          <w:trHeight w:val="984"/>
        </w:trPr>
        <w:tc>
          <w:tcPr>
            <w:tcW w:w="1987" w:type="dxa"/>
            <w:tcBorders>
              <w:top w:val="single" w:sz="4" w:space="0" w:color="auto"/>
              <w:left w:val="single" w:sz="8" w:space="0" w:color="FFFFFF"/>
              <w:bottom w:val="single" w:sz="4" w:space="0" w:color="auto"/>
              <w:right w:val="single" w:sz="8" w:space="0" w:color="FFFFFF"/>
            </w:tcBorders>
            <w:tcMar>
              <w:top w:w="72" w:type="dxa"/>
              <w:left w:w="144" w:type="dxa"/>
              <w:bottom w:w="72" w:type="dxa"/>
              <w:right w:w="144" w:type="dxa"/>
            </w:tcMar>
            <w:vAlign w:val="center"/>
          </w:tcPr>
          <w:p w:rsidR="00300841" w:rsidRPr="00300841" w:rsidRDefault="00300841" w:rsidP="00300841">
            <w:pPr>
              <w:spacing w:after="0" w:line="240" w:lineRule="auto"/>
              <w:jc w:val="center"/>
              <w:rPr>
                <w:rFonts w:ascii="Times New Roman" w:hAnsi="Times New Roman" w:cs="Times New Roman"/>
                <w:b/>
                <w:bCs/>
                <w:lang w:val="de-DE"/>
              </w:rPr>
            </w:pPr>
            <w:r w:rsidRPr="00300841">
              <w:rPr>
                <w:rFonts w:ascii="Times New Roman" w:hAnsi="Times New Roman" w:cs="Times New Roman"/>
                <w:b/>
                <w:bCs/>
                <w:lang w:val="de-DE"/>
              </w:rPr>
              <w:t>Lace Plant</w:t>
            </w:r>
          </w:p>
          <w:p w:rsidR="00300841" w:rsidRPr="00300841" w:rsidRDefault="00300841" w:rsidP="00300841">
            <w:pPr>
              <w:spacing w:after="0" w:line="240" w:lineRule="auto"/>
              <w:jc w:val="center"/>
              <w:rPr>
                <w:rFonts w:ascii="Times New Roman" w:hAnsi="Times New Roman" w:cs="Times New Roman"/>
                <w:sz w:val="20"/>
                <w:szCs w:val="20"/>
                <w:lang w:val="de-DE"/>
              </w:rPr>
            </w:pPr>
            <w:r w:rsidRPr="00300841">
              <w:rPr>
                <w:rFonts w:ascii="Times New Roman" w:hAnsi="Times New Roman" w:cs="Times New Roman"/>
                <w:sz w:val="20"/>
                <w:szCs w:val="20"/>
                <w:lang w:val="de-DE"/>
              </w:rPr>
              <w:t xml:space="preserve">(Gunawerdena </w:t>
            </w:r>
            <w:r w:rsidRPr="00300841">
              <w:rPr>
                <w:rFonts w:ascii="Times New Roman" w:hAnsi="Times New Roman" w:cs="Times New Roman"/>
                <w:i/>
                <w:iCs/>
                <w:sz w:val="20"/>
                <w:szCs w:val="20"/>
                <w:lang w:val="de-DE"/>
              </w:rPr>
              <w:t>et al.</w:t>
            </w:r>
            <w:r w:rsidRPr="00300841">
              <w:rPr>
                <w:rFonts w:ascii="Times New Roman" w:hAnsi="Times New Roman" w:cs="Times New Roman"/>
                <w:sz w:val="20"/>
                <w:szCs w:val="20"/>
                <w:lang w:val="de-DE"/>
              </w:rPr>
              <w:t xml:space="preserve">, 2004; Gunawerdena </w:t>
            </w:r>
            <w:r w:rsidRPr="00300841">
              <w:rPr>
                <w:rFonts w:ascii="Times New Roman" w:hAnsi="Times New Roman" w:cs="Times New Roman"/>
                <w:i/>
                <w:iCs/>
                <w:sz w:val="20"/>
                <w:szCs w:val="20"/>
                <w:lang w:val="de-DE"/>
              </w:rPr>
              <w:t>et al.</w:t>
            </w:r>
            <w:r w:rsidRPr="00300841">
              <w:rPr>
                <w:rFonts w:ascii="Times New Roman" w:hAnsi="Times New Roman" w:cs="Times New Roman"/>
                <w:sz w:val="20"/>
                <w:szCs w:val="20"/>
                <w:lang w:val="de-DE"/>
              </w:rPr>
              <w:t>, 2008)</w:t>
            </w:r>
          </w:p>
        </w:tc>
        <w:tc>
          <w:tcPr>
            <w:tcW w:w="11073" w:type="dxa"/>
            <w:tcBorders>
              <w:top w:val="single" w:sz="4" w:space="0" w:color="auto"/>
              <w:left w:val="single" w:sz="8" w:space="0" w:color="FFFFFF"/>
              <w:bottom w:val="single" w:sz="4" w:space="0" w:color="auto"/>
              <w:right w:val="single" w:sz="8" w:space="0" w:color="FFFFFF"/>
            </w:tcBorders>
            <w:tcMar>
              <w:top w:w="72" w:type="dxa"/>
              <w:left w:w="144" w:type="dxa"/>
              <w:bottom w:w="72" w:type="dxa"/>
              <w:right w:w="144" w:type="dxa"/>
            </w:tcMar>
            <w:vAlign w:val="center"/>
          </w:tcPr>
          <w:p w:rsidR="00300841" w:rsidRPr="00300841" w:rsidRDefault="00300841" w:rsidP="00300841">
            <w:pPr>
              <w:spacing w:after="0" w:line="240" w:lineRule="auto"/>
              <w:ind w:left="360"/>
              <w:rPr>
                <w:rFonts w:ascii="Times New Roman" w:hAnsi="Times New Roman" w:cs="Times New Roman"/>
              </w:rPr>
            </w:pPr>
            <w:r w:rsidRPr="00300841">
              <w:rPr>
                <w:rFonts w:ascii="Times New Roman" w:hAnsi="Times New Roman" w:cs="Times New Roman"/>
              </w:rPr>
              <w:t xml:space="preserve">Numerous, developmental PCD events occur in lace plant leaves at predictable time and location </w:t>
            </w:r>
          </w:p>
          <w:p w:rsidR="00300841" w:rsidRPr="00300841" w:rsidRDefault="00300841" w:rsidP="00300841">
            <w:pPr>
              <w:spacing w:after="0" w:line="240" w:lineRule="auto"/>
              <w:ind w:left="360"/>
              <w:rPr>
                <w:rFonts w:ascii="Times New Roman" w:hAnsi="Times New Roman" w:cs="Times New Roman"/>
              </w:rPr>
            </w:pPr>
            <w:r w:rsidRPr="00300841">
              <w:rPr>
                <w:rFonts w:ascii="Times New Roman" w:hAnsi="Times New Roman" w:cs="Times New Roman"/>
              </w:rPr>
              <w:t>Different stages of PCD can be observed at the same time</w:t>
            </w:r>
          </w:p>
          <w:p w:rsidR="00300841" w:rsidRPr="00300841" w:rsidRDefault="00300841" w:rsidP="00300841">
            <w:pPr>
              <w:spacing w:after="0" w:line="240" w:lineRule="auto"/>
              <w:ind w:left="360"/>
              <w:rPr>
                <w:rFonts w:ascii="Times New Roman" w:hAnsi="Times New Roman" w:cs="Times New Roman"/>
              </w:rPr>
            </w:pPr>
            <w:r w:rsidRPr="00300841">
              <w:rPr>
                <w:rFonts w:ascii="Times New Roman" w:hAnsi="Times New Roman" w:cs="Times New Roman"/>
              </w:rPr>
              <w:t xml:space="preserve">High number and accessibility of cells undergoing PCD </w:t>
            </w:r>
          </w:p>
          <w:p w:rsidR="00300841" w:rsidRPr="00300841" w:rsidRDefault="00300841" w:rsidP="00300841">
            <w:pPr>
              <w:spacing w:after="0" w:line="240" w:lineRule="auto"/>
              <w:ind w:left="360"/>
              <w:rPr>
                <w:rFonts w:ascii="Times New Roman" w:hAnsi="Times New Roman" w:cs="Times New Roman"/>
              </w:rPr>
            </w:pPr>
            <w:r w:rsidRPr="00300841">
              <w:rPr>
                <w:rFonts w:ascii="Times New Roman" w:hAnsi="Times New Roman" w:cs="Times New Roman"/>
              </w:rPr>
              <w:t xml:space="preserve">Plant can be propagated in sterile conditions, </w:t>
            </w:r>
          </w:p>
          <w:p w:rsidR="00300841" w:rsidRPr="00300841" w:rsidRDefault="00300841" w:rsidP="00300841">
            <w:pPr>
              <w:spacing w:after="0" w:line="240" w:lineRule="auto"/>
              <w:ind w:left="360"/>
              <w:rPr>
                <w:rFonts w:ascii="Times New Roman" w:hAnsi="Times New Roman" w:cs="Times New Roman"/>
              </w:rPr>
            </w:pPr>
            <w:r w:rsidRPr="00300841">
              <w:rPr>
                <w:rFonts w:ascii="Times New Roman" w:hAnsi="Times New Roman" w:cs="Times New Roman"/>
              </w:rPr>
              <w:t xml:space="preserve">Easy to apply modulators, as this is an aquatic plant </w:t>
            </w:r>
          </w:p>
        </w:tc>
      </w:tr>
      <w:tr w:rsidR="00300841" w:rsidRPr="00300841" w:rsidTr="00300841">
        <w:trPr>
          <w:trHeight w:val="984"/>
        </w:trPr>
        <w:tc>
          <w:tcPr>
            <w:tcW w:w="1987" w:type="dxa"/>
            <w:tcBorders>
              <w:top w:val="single" w:sz="4" w:space="0" w:color="auto"/>
              <w:left w:val="single" w:sz="8" w:space="0" w:color="FFFFFF"/>
              <w:bottom w:val="single" w:sz="4" w:space="0" w:color="auto"/>
              <w:right w:val="single" w:sz="8" w:space="0" w:color="FFFFFF"/>
            </w:tcBorders>
            <w:tcMar>
              <w:top w:w="72" w:type="dxa"/>
              <w:left w:w="144" w:type="dxa"/>
              <w:bottom w:w="72" w:type="dxa"/>
              <w:right w:w="144" w:type="dxa"/>
            </w:tcMar>
            <w:vAlign w:val="center"/>
          </w:tcPr>
          <w:p w:rsidR="00300841" w:rsidRPr="00300841" w:rsidRDefault="00300841" w:rsidP="00300841">
            <w:pPr>
              <w:spacing w:after="0" w:line="240" w:lineRule="auto"/>
              <w:jc w:val="center"/>
              <w:rPr>
                <w:rFonts w:ascii="Times New Roman" w:hAnsi="Times New Roman" w:cs="Times New Roman"/>
              </w:rPr>
            </w:pPr>
            <w:r w:rsidRPr="00300841">
              <w:rPr>
                <w:rFonts w:ascii="Times New Roman" w:hAnsi="Times New Roman" w:cs="Times New Roman"/>
                <w:b/>
                <w:bCs/>
              </w:rPr>
              <w:t>Hypersensitive Response</w:t>
            </w:r>
          </w:p>
        </w:tc>
        <w:tc>
          <w:tcPr>
            <w:tcW w:w="11073" w:type="dxa"/>
            <w:tcBorders>
              <w:top w:val="single" w:sz="4" w:space="0" w:color="auto"/>
              <w:left w:val="single" w:sz="8" w:space="0" w:color="FFFFFF"/>
              <w:bottom w:val="single" w:sz="4" w:space="0" w:color="auto"/>
              <w:right w:val="single" w:sz="8" w:space="0" w:color="FFFFFF"/>
            </w:tcBorders>
            <w:tcMar>
              <w:top w:w="72" w:type="dxa"/>
              <w:left w:w="144" w:type="dxa"/>
              <w:bottom w:w="72" w:type="dxa"/>
              <w:right w:w="144" w:type="dxa"/>
            </w:tcMar>
            <w:vAlign w:val="center"/>
          </w:tcPr>
          <w:p w:rsidR="00300841" w:rsidRPr="00300841" w:rsidRDefault="00300841" w:rsidP="00300841">
            <w:pPr>
              <w:spacing w:after="0" w:line="240" w:lineRule="auto"/>
              <w:ind w:left="360"/>
              <w:rPr>
                <w:rFonts w:ascii="Times New Roman" w:hAnsi="Times New Roman" w:cs="Times New Roman"/>
              </w:rPr>
            </w:pPr>
            <w:r w:rsidRPr="00300841">
              <w:rPr>
                <w:rFonts w:ascii="Times New Roman" w:hAnsi="Times New Roman" w:cs="Times New Roman"/>
              </w:rPr>
              <w:t xml:space="preserve">Studies of  HR elicited by injection/infiltration of Arabidopsis (or other species e.g. tobacco) leaves with high titres of bacteria (e.g. Liu </w:t>
            </w:r>
            <w:r w:rsidRPr="00300841">
              <w:rPr>
                <w:rFonts w:ascii="Times New Roman" w:hAnsi="Times New Roman" w:cs="Times New Roman"/>
                <w:i/>
                <w:iCs/>
              </w:rPr>
              <w:t>et al.</w:t>
            </w:r>
            <w:r w:rsidRPr="00300841">
              <w:rPr>
                <w:rFonts w:ascii="Times New Roman" w:hAnsi="Times New Roman" w:cs="Times New Roman"/>
              </w:rPr>
              <w:t xml:space="preserve">, 2005; Patel </w:t>
            </w:r>
            <w:r w:rsidRPr="00300841">
              <w:rPr>
                <w:rFonts w:ascii="Times New Roman" w:hAnsi="Times New Roman" w:cs="Times New Roman"/>
                <w:i/>
                <w:iCs/>
              </w:rPr>
              <w:t>et al.,</w:t>
            </w:r>
            <w:r w:rsidRPr="00300841">
              <w:rPr>
                <w:rFonts w:ascii="Times New Roman" w:hAnsi="Times New Roman" w:cs="Times New Roman"/>
              </w:rPr>
              <w:t xml:space="preserve"> 2008; Hofius </w:t>
            </w:r>
            <w:r w:rsidRPr="00300841">
              <w:rPr>
                <w:rFonts w:ascii="Times New Roman" w:hAnsi="Times New Roman" w:cs="Times New Roman"/>
                <w:i/>
                <w:iCs/>
              </w:rPr>
              <w:t>et al.</w:t>
            </w:r>
            <w:r w:rsidRPr="00300841">
              <w:rPr>
                <w:rFonts w:ascii="Times New Roman" w:hAnsi="Times New Roman" w:cs="Times New Roman"/>
              </w:rPr>
              <w:t>, 2009, )</w:t>
            </w:r>
          </w:p>
          <w:p w:rsidR="00300841" w:rsidRPr="00300841" w:rsidRDefault="00300841" w:rsidP="00300841">
            <w:pPr>
              <w:spacing w:after="0" w:line="240" w:lineRule="auto"/>
              <w:ind w:left="360"/>
              <w:rPr>
                <w:rFonts w:ascii="Times New Roman" w:hAnsi="Times New Roman" w:cs="Times New Roman"/>
              </w:rPr>
            </w:pPr>
            <w:r w:rsidRPr="00300841">
              <w:rPr>
                <w:rFonts w:ascii="Times New Roman" w:hAnsi="Times New Roman" w:cs="Times New Roman"/>
              </w:rPr>
              <w:t xml:space="preserve">Large scale induction (naturally induced in few cells only) – one disadvantage is the artificiality of the method </w:t>
            </w:r>
          </w:p>
        </w:tc>
      </w:tr>
      <w:tr w:rsidR="00300841" w:rsidRPr="00300841" w:rsidTr="00300841">
        <w:trPr>
          <w:trHeight w:val="984"/>
        </w:trPr>
        <w:tc>
          <w:tcPr>
            <w:tcW w:w="1987" w:type="dxa"/>
            <w:tcBorders>
              <w:top w:val="single" w:sz="4" w:space="0" w:color="auto"/>
              <w:left w:val="single" w:sz="8" w:space="0" w:color="FFFFFF"/>
              <w:bottom w:val="single" w:sz="4" w:space="0" w:color="auto"/>
              <w:right w:val="single" w:sz="8" w:space="0" w:color="FFFFFF"/>
            </w:tcBorders>
            <w:tcMar>
              <w:top w:w="72" w:type="dxa"/>
              <w:left w:w="144" w:type="dxa"/>
              <w:bottom w:w="72" w:type="dxa"/>
              <w:right w:w="144" w:type="dxa"/>
            </w:tcMar>
            <w:vAlign w:val="center"/>
          </w:tcPr>
          <w:p w:rsidR="00300841" w:rsidRPr="00300841" w:rsidRDefault="00300841" w:rsidP="00300841">
            <w:pPr>
              <w:spacing w:after="0" w:line="240" w:lineRule="auto"/>
              <w:jc w:val="center"/>
              <w:rPr>
                <w:rFonts w:ascii="Times New Roman" w:hAnsi="Times New Roman" w:cs="Times New Roman"/>
              </w:rPr>
            </w:pPr>
            <w:r w:rsidRPr="00300841">
              <w:rPr>
                <w:rFonts w:ascii="Times New Roman" w:hAnsi="Times New Roman" w:cs="Times New Roman"/>
                <w:b/>
                <w:bCs/>
              </w:rPr>
              <w:t>Trichomes</w:t>
            </w:r>
          </w:p>
        </w:tc>
        <w:tc>
          <w:tcPr>
            <w:tcW w:w="11073" w:type="dxa"/>
            <w:tcBorders>
              <w:top w:val="single" w:sz="4" w:space="0" w:color="auto"/>
              <w:left w:val="single" w:sz="8" w:space="0" w:color="FFFFFF"/>
              <w:bottom w:val="single" w:sz="4" w:space="0" w:color="auto"/>
              <w:right w:val="single" w:sz="8" w:space="0" w:color="FFFFFF"/>
            </w:tcBorders>
            <w:tcMar>
              <w:top w:w="72" w:type="dxa"/>
              <w:left w:w="144" w:type="dxa"/>
              <w:bottom w:w="72" w:type="dxa"/>
              <w:right w:w="144" w:type="dxa"/>
            </w:tcMar>
            <w:vAlign w:val="center"/>
          </w:tcPr>
          <w:p w:rsidR="00300841" w:rsidRPr="00300841" w:rsidRDefault="00300841" w:rsidP="00300841">
            <w:pPr>
              <w:spacing w:after="0" w:line="240" w:lineRule="auto"/>
              <w:ind w:left="360"/>
              <w:rPr>
                <w:rFonts w:ascii="Times New Roman" w:hAnsi="Times New Roman" w:cs="Times New Roman"/>
              </w:rPr>
            </w:pPr>
            <w:r w:rsidRPr="00300841">
              <w:rPr>
                <w:rFonts w:ascii="Times New Roman" w:hAnsi="Times New Roman" w:cs="Times New Roman"/>
              </w:rPr>
              <w:t>Accessible (epidermal origin, composed of single or several cells) and present in large numbers</w:t>
            </w:r>
          </w:p>
          <w:p w:rsidR="00300841" w:rsidRPr="00300841" w:rsidRDefault="00300841" w:rsidP="00300841">
            <w:pPr>
              <w:spacing w:after="0" w:line="240" w:lineRule="auto"/>
              <w:ind w:left="360"/>
              <w:rPr>
                <w:rFonts w:ascii="Times New Roman" w:hAnsi="Times New Roman" w:cs="Times New Roman"/>
              </w:rPr>
            </w:pPr>
            <w:r w:rsidRPr="00300841">
              <w:rPr>
                <w:rFonts w:ascii="Times New Roman" w:hAnsi="Times New Roman" w:cs="Times New Roman"/>
              </w:rPr>
              <w:t xml:space="preserve">Arabidopsis functional trichomes are not essential for plant growth in laboratory conditions, which facilitates isolation of mutants (Haughn and Somerville, 1988) </w:t>
            </w:r>
          </w:p>
          <w:p w:rsidR="00300841" w:rsidRPr="00300841" w:rsidRDefault="00300841" w:rsidP="00300841">
            <w:pPr>
              <w:spacing w:after="0" w:line="240" w:lineRule="auto"/>
              <w:ind w:left="360"/>
              <w:rPr>
                <w:rFonts w:ascii="Times New Roman" w:hAnsi="Times New Roman" w:cs="Times New Roman"/>
              </w:rPr>
            </w:pPr>
            <w:r w:rsidRPr="00300841">
              <w:rPr>
                <w:rFonts w:ascii="Times New Roman" w:hAnsi="Times New Roman" w:cs="Times New Roman"/>
              </w:rPr>
              <w:t xml:space="preserve">AL-PCD hallmarks were observed in dying trichomes cells (Papini </w:t>
            </w:r>
            <w:r w:rsidRPr="00300841">
              <w:rPr>
                <w:rFonts w:ascii="Times New Roman" w:hAnsi="Times New Roman" w:cs="Times New Roman"/>
                <w:i/>
                <w:iCs/>
              </w:rPr>
              <w:t>et al</w:t>
            </w:r>
            <w:r w:rsidRPr="00300841">
              <w:rPr>
                <w:rFonts w:ascii="Times New Roman" w:hAnsi="Times New Roman" w:cs="Times New Roman"/>
              </w:rPr>
              <w:t xml:space="preserve">., 2009; Reina-Pinto </w:t>
            </w:r>
            <w:r w:rsidRPr="00300841">
              <w:rPr>
                <w:rFonts w:ascii="Times New Roman" w:hAnsi="Times New Roman" w:cs="Times New Roman"/>
                <w:i/>
                <w:iCs/>
              </w:rPr>
              <w:t>et al.</w:t>
            </w:r>
            <w:r w:rsidRPr="00300841">
              <w:rPr>
                <w:rFonts w:ascii="Times New Roman" w:hAnsi="Times New Roman" w:cs="Times New Roman"/>
              </w:rPr>
              <w:t xml:space="preserve">, 2009) and genes can be expressed under trichome specific promoter (Schnittger </w:t>
            </w:r>
            <w:r w:rsidRPr="00300841">
              <w:rPr>
                <w:rFonts w:ascii="Times New Roman" w:hAnsi="Times New Roman" w:cs="Times New Roman"/>
                <w:i/>
                <w:iCs/>
              </w:rPr>
              <w:t>et al.</w:t>
            </w:r>
            <w:r w:rsidRPr="00300841">
              <w:rPr>
                <w:rFonts w:ascii="Times New Roman" w:hAnsi="Times New Roman" w:cs="Times New Roman"/>
              </w:rPr>
              <w:t xml:space="preserve">, 2003), which makes it potentially attractive system for PCD studies </w:t>
            </w:r>
          </w:p>
          <w:p w:rsidR="00300841" w:rsidRPr="00300841" w:rsidRDefault="00300841" w:rsidP="00300841">
            <w:pPr>
              <w:spacing w:after="0" w:line="240" w:lineRule="auto"/>
              <w:ind w:left="360"/>
              <w:rPr>
                <w:rFonts w:ascii="Times New Roman" w:hAnsi="Times New Roman" w:cs="Times New Roman"/>
              </w:rPr>
            </w:pPr>
            <w:r w:rsidRPr="00300841">
              <w:rPr>
                <w:rFonts w:ascii="Times New Roman" w:hAnsi="Times New Roman" w:cs="Times New Roman"/>
              </w:rPr>
              <w:t xml:space="preserve">PCD modulators can be applied to the trichomes by spraying of leaf/stem surface </w:t>
            </w:r>
          </w:p>
        </w:tc>
      </w:tr>
      <w:tr w:rsidR="00300841" w:rsidRPr="00300841" w:rsidTr="00300841">
        <w:trPr>
          <w:trHeight w:val="984"/>
        </w:trPr>
        <w:tc>
          <w:tcPr>
            <w:tcW w:w="1987" w:type="dxa"/>
            <w:tcBorders>
              <w:top w:val="single" w:sz="4" w:space="0" w:color="auto"/>
              <w:left w:val="single" w:sz="8" w:space="0" w:color="FFFFFF"/>
              <w:bottom w:val="single" w:sz="4" w:space="0" w:color="auto"/>
              <w:right w:val="single" w:sz="8" w:space="0" w:color="FFFFFF"/>
            </w:tcBorders>
            <w:tcMar>
              <w:top w:w="72" w:type="dxa"/>
              <w:left w:w="144" w:type="dxa"/>
              <w:bottom w:w="72" w:type="dxa"/>
              <w:right w:w="144" w:type="dxa"/>
            </w:tcMar>
            <w:vAlign w:val="center"/>
          </w:tcPr>
          <w:p w:rsidR="00300841" w:rsidRPr="00300841" w:rsidRDefault="00300841" w:rsidP="00300841">
            <w:pPr>
              <w:spacing w:after="0" w:line="240" w:lineRule="auto"/>
              <w:jc w:val="center"/>
              <w:rPr>
                <w:rFonts w:ascii="Times New Roman" w:hAnsi="Times New Roman" w:cs="Times New Roman"/>
              </w:rPr>
            </w:pPr>
            <w:r w:rsidRPr="00300841">
              <w:rPr>
                <w:rFonts w:ascii="Times New Roman" w:hAnsi="Times New Roman" w:cs="Times New Roman"/>
                <w:b/>
                <w:bCs/>
              </w:rPr>
              <w:t>Leaf Epidermal Peels</w:t>
            </w:r>
          </w:p>
        </w:tc>
        <w:tc>
          <w:tcPr>
            <w:tcW w:w="11073" w:type="dxa"/>
            <w:tcBorders>
              <w:top w:val="single" w:sz="4" w:space="0" w:color="auto"/>
              <w:left w:val="single" w:sz="8" w:space="0" w:color="FFFFFF"/>
              <w:bottom w:val="single" w:sz="4" w:space="0" w:color="auto"/>
              <w:right w:val="single" w:sz="8" w:space="0" w:color="FFFFFF"/>
            </w:tcBorders>
            <w:tcMar>
              <w:top w:w="72" w:type="dxa"/>
              <w:left w:w="144" w:type="dxa"/>
              <w:bottom w:w="72" w:type="dxa"/>
              <w:right w:w="144" w:type="dxa"/>
            </w:tcMar>
            <w:vAlign w:val="center"/>
          </w:tcPr>
          <w:p w:rsidR="00300841" w:rsidRPr="00300841" w:rsidRDefault="00300841" w:rsidP="00300841">
            <w:pPr>
              <w:spacing w:after="0" w:line="240" w:lineRule="auto"/>
              <w:ind w:left="360"/>
              <w:rPr>
                <w:rFonts w:ascii="Times New Roman" w:hAnsi="Times New Roman" w:cs="Times New Roman"/>
              </w:rPr>
            </w:pPr>
            <w:r w:rsidRPr="00300841">
              <w:rPr>
                <w:rFonts w:ascii="Times New Roman" w:hAnsi="Times New Roman" w:cs="Times New Roman"/>
              </w:rPr>
              <w:t>Convenient for microscopic observations – peel is a monolayer of cells</w:t>
            </w:r>
          </w:p>
          <w:p w:rsidR="00300841" w:rsidRPr="00300841" w:rsidRDefault="00300841" w:rsidP="00300841">
            <w:pPr>
              <w:spacing w:after="0" w:line="240" w:lineRule="auto"/>
              <w:ind w:left="360"/>
              <w:rPr>
                <w:rFonts w:ascii="Times New Roman" w:hAnsi="Times New Roman" w:cs="Times New Roman"/>
              </w:rPr>
            </w:pPr>
            <w:r w:rsidRPr="00300841">
              <w:rPr>
                <w:rFonts w:ascii="Times New Roman" w:hAnsi="Times New Roman" w:cs="Times New Roman"/>
              </w:rPr>
              <w:t xml:space="preserve">Both phototrophic (guard) and chemotrophic (epidermal) cells present, and can therefore be used to investigate the role of the chloroplast in PCD (Samuilov </w:t>
            </w:r>
            <w:r w:rsidRPr="00300841">
              <w:rPr>
                <w:rFonts w:ascii="Times New Roman" w:hAnsi="Times New Roman" w:cs="Times New Roman"/>
                <w:i/>
                <w:iCs/>
              </w:rPr>
              <w:t>et al.</w:t>
            </w:r>
            <w:r w:rsidRPr="00300841">
              <w:rPr>
                <w:rFonts w:ascii="Times New Roman" w:hAnsi="Times New Roman" w:cs="Times New Roman"/>
              </w:rPr>
              <w:t>, 2003)</w:t>
            </w:r>
          </w:p>
        </w:tc>
      </w:tr>
      <w:tr w:rsidR="00300841" w:rsidRPr="00300841" w:rsidTr="00300841">
        <w:trPr>
          <w:trHeight w:val="984"/>
        </w:trPr>
        <w:tc>
          <w:tcPr>
            <w:tcW w:w="1987" w:type="dxa"/>
            <w:tcBorders>
              <w:top w:val="single" w:sz="4" w:space="0" w:color="auto"/>
              <w:left w:val="single" w:sz="8" w:space="0" w:color="FFFFFF"/>
              <w:bottom w:val="single" w:sz="4" w:space="0" w:color="auto"/>
              <w:right w:val="single" w:sz="8" w:space="0" w:color="FFFFFF"/>
            </w:tcBorders>
            <w:tcMar>
              <w:top w:w="72" w:type="dxa"/>
              <w:left w:w="144" w:type="dxa"/>
              <w:bottom w:w="72" w:type="dxa"/>
              <w:right w:w="144" w:type="dxa"/>
            </w:tcMar>
            <w:vAlign w:val="center"/>
          </w:tcPr>
          <w:p w:rsidR="00300841" w:rsidRPr="00300841" w:rsidRDefault="00300841" w:rsidP="00300841">
            <w:pPr>
              <w:spacing w:after="0" w:line="240" w:lineRule="auto"/>
              <w:jc w:val="center"/>
              <w:rPr>
                <w:rFonts w:ascii="Times New Roman" w:hAnsi="Times New Roman" w:cs="Times New Roman"/>
              </w:rPr>
            </w:pPr>
            <w:r w:rsidRPr="00300841">
              <w:rPr>
                <w:rFonts w:ascii="Times New Roman" w:hAnsi="Times New Roman" w:cs="Times New Roman"/>
                <w:b/>
                <w:bCs/>
              </w:rPr>
              <w:t>Embryogenesis</w:t>
            </w:r>
          </w:p>
        </w:tc>
        <w:tc>
          <w:tcPr>
            <w:tcW w:w="11073" w:type="dxa"/>
            <w:tcBorders>
              <w:top w:val="single" w:sz="4" w:space="0" w:color="auto"/>
              <w:left w:val="single" w:sz="8" w:space="0" w:color="FFFFFF"/>
              <w:bottom w:val="single" w:sz="4" w:space="0" w:color="auto"/>
              <w:right w:val="single" w:sz="8" w:space="0" w:color="FFFFFF"/>
            </w:tcBorders>
            <w:tcMar>
              <w:top w:w="72" w:type="dxa"/>
              <w:left w:w="144" w:type="dxa"/>
              <w:bottom w:w="72" w:type="dxa"/>
              <w:right w:w="144" w:type="dxa"/>
            </w:tcMar>
            <w:vAlign w:val="center"/>
          </w:tcPr>
          <w:p w:rsidR="00300841" w:rsidRPr="00300841" w:rsidRDefault="00300841" w:rsidP="00300841">
            <w:pPr>
              <w:spacing w:after="0" w:line="240" w:lineRule="auto"/>
              <w:ind w:left="360"/>
              <w:rPr>
                <w:rFonts w:ascii="Times New Roman" w:hAnsi="Times New Roman" w:cs="Times New Roman"/>
              </w:rPr>
            </w:pPr>
            <w:r w:rsidRPr="00300841">
              <w:rPr>
                <w:rFonts w:ascii="Times New Roman" w:hAnsi="Times New Roman" w:cs="Times New Roman"/>
              </w:rPr>
              <w:t xml:space="preserve">Somatic embryogenic cultures are suitable for studying PCD as numerous embryos at the same stage of development may be obtained (Bozhkov </w:t>
            </w:r>
            <w:r w:rsidRPr="00300841">
              <w:rPr>
                <w:rFonts w:ascii="Times New Roman" w:hAnsi="Times New Roman" w:cs="Times New Roman"/>
                <w:i/>
                <w:iCs/>
              </w:rPr>
              <w:t>et al.</w:t>
            </w:r>
            <w:r w:rsidRPr="00300841">
              <w:rPr>
                <w:rFonts w:ascii="Times New Roman" w:hAnsi="Times New Roman" w:cs="Times New Roman"/>
              </w:rPr>
              <w:t xml:space="preserve">, 2002; Kawashima and Goldberg, 2010) </w:t>
            </w:r>
          </w:p>
          <w:p w:rsidR="00300841" w:rsidRPr="00300841" w:rsidRDefault="00300841" w:rsidP="00300841">
            <w:pPr>
              <w:spacing w:after="0" w:line="240" w:lineRule="auto"/>
              <w:ind w:left="360"/>
              <w:rPr>
                <w:rFonts w:ascii="Times New Roman" w:hAnsi="Times New Roman" w:cs="Times New Roman"/>
              </w:rPr>
            </w:pPr>
            <w:r w:rsidRPr="00300841">
              <w:rPr>
                <w:rFonts w:ascii="Times New Roman" w:hAnsi="Times New Roman" w:cs="Times New Roman"/>
              </w:rPr>
              <w:t>Almost all seed plant embryos contain suspensors, which are eliminated by PCD (Yeung and Meinke, 1993)</w:t>
            </w:r>
          </w:p>
          <w:p w:rsidR="00300841" w:rsidRPr="00300841" w:rsidRDefault="00300841" w:rsidP="00300841">
            <w:pPr>
              <w:spacing w:after="0" w:line="240" w:lineRule="auto"/>
              <w:ind w:left="360"/>
              <w:rPr>
                <w:rFonts w:ascii="Times New Roman" w:hAnsi="Times New Roman" w:cs="Times New Roman"/>
              </w:rPr>
            </w:pPr>
            <w:r w:rsidRPr="00300841">
              <w:rPr>
                <w:rFonts w:ascii="Times New Roman" w:hAnsi="Times New Roman" w:cs="Times New Roman"/>
              </w:rPr>
              <w:t xml:space="preserve">Gymnosperm embryos are better for suspensor death studies, due to absence of endosperm </w:t>
            </w:r>
          </w:p>
        </w:tc>
      </w:tr>
    </w:tbl>
    <w:p w:rsidR="00300841" w:rsidRPr="00300841" w:rsidRDefault="00300841" w:rsidP="00300841">
      <w:pPr>
        <w:rPr>
          <w:rFonts w:ascii="Times New Roman" w:hAnsi="Times New Roman" w:cs="Times New Roman"/>
          <w:sz w:val="24"/>
          <w:szCs w:val="24"/>
        </w:rPr>
      </w:pPr>
    </w:p>
    <w:p w:rsidR="00300841" w:rsidRDefault="00300841" w:rsidP="008A1688">
      <w:pPr>
        <w:spacing w:line="480" w:lineRule="auto"/>
        <w:rPr>
          <w:rFonts w:asciiTheme="minorHAnsi" w:eastAsiaTheme="minorHAnsi" w:hAnsiTheme="minorHAnsi" w:cstheme="minorBidi"/>
        </w:rPr>
      </w:pPr>
    </w:p>
    <w:p w:rsidR="00300841" w:rsidRDefault="00300841" w:rsidP="008A1688">
      <w:pPr>
        <w:spacing w:line="480" w:lineRule="auto"/>
        <w:rPr>
          <w:rFonts w:asciiTheme="minorHAnsi" w:eastAsiaTheme="minorHAnsi" w:hAnsiTheme="minorHAnsi" w:cstheme="minorBidi"/>
        </w:rPr>
      </w:pPr>
    </w:p>
    <w:p w:rsidR="00300841" w:rsidRDefault="00300841" w:rsidP="008A1688">
      <w:pPr>
        <w:spacing w:line="480" w:lineRule="auto"/>
        <w:rPr>
          <w:rFonts w:asciiTheme="minorHAnsi" w:eastAsiaTheme="minorHAnsi" w:hAnsiTheme="minorHAnsi" w:cstheme="minorBidi"/>
        </w:rPr>
      </w:pPr>
    </w:p>
    <w:p w:rsidR="00300841" w:rsidRDefault="00300841" w:rsidP="008A1688">
      <w:pPr>
        <w:spacing w:line="480" w:lineRule="auto"/>
        <w:rPr>
          <w:rFonts w:asciiTheme="minorHAnsi" w:eastAsiaTheme="minorHAnsi" w:hAnsiTheme="minorHAnsi" w:cstheme="minorBidi"/>
        </w:rPr>
      </w:pPr>
    </w:p>
    <w:p w:rsidR="004B4E5E" w:rsidRPr="00255762" w:rsidRDefault="004B4E5E" w:rsidP="00D1297B">
      <w:pPr>
        <w:spacing w:line="480" w:lineRule="auto"/>
        <w:rPr>
          <w:rFonts w:ascii="Times New Roman" w:hAnsi="Times New Roman" w:cs="Times New Roman"/>
          <w:sz w:val="24"/>
          <w:szCs w:val="24"/>
        </w:rPr>
      </w:pPr>
    </w:p>
    <w:sectPr w:rsidR="004B4E5E" w:rsidRPr="00255762" w:rsidSect="00D1297B">
      <w:pgSz w:w="16838" w:h="11906" w:orient="landscape"/>
      <w:pgMar w:top="1440" w:right="1440" w:bottom="1440"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136D" w:rsidRDefault="0081136D" w:rsidP="004C505F">
      <w:pPr>
        <w:spacing w:after="0" w:line="240" w:lineRule="auto"/>
      </w:pPr>
      <w:r>
        <w:separator/>
      </w:r>
    </w:p>
  </w:endnote>
  <w:endnote w:type="continuationSeparator" w:id="0">
    <w:p w:rsidR="0081136D" w:rsidRDefault="0081136D" w:rsidP="004C505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New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0311" w:rsidRDefault="00230311">
    <w:pPr>
      <w:pStyle w:val="Footer"/>
      <w:jc w:val="right"/>
    </w:pPr>
    <w:fldSimple w:instr=" PAGE   \* MERGEFORMAT ">
      <w:r w:rsidR="0081136D">
        <w:rPr>
          <w:noProof/>
        </w:rPr>
        <w:t>1</w:t>
      </w:r>
    </w:fldSimple>
  </w:p>
  <w:p w:rsidR="00230311" w:rsidRDefault="0023031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136D" w:rsidRDefault="0081136D" w:rsidP="004C505F">
      <w:pPr>
        <w:spacing w:after="0" w:line="240" w:lineRule="auto"/>
      </w:pPr>
      <w:r>
        <w:separator/>
      </w:r>
    </w:p>
  </w:footnote>
  <w:footnote w:type="continuationSeparator" w:id="0">
    <w:p w:rsidR="0081136D" w:rsidRDefault="0081136D" w:rsidP="004C505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620340"/>
    <w:multiLevelType w:val="hybridMultilevel"/>
    <w:tmpl w:val="CB88B18A"/>
    <w:lvl w:ilvl="0" w:tplc="26FC0338">
      <w:start w:val="1"/>
      <w:numFmt w:val="upp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nsid w:val="0DCD17DD"/>
    <w:multiLevelType w:val="hybridMultilevel"/>
    <w:tmpl w:val="BCBE6A60"/>
    <w:lvl w:ilvl="0" w:tplc="655C1B40">
      <w:start w:val="1"/>
      <w:numFmt w:val="decimal"/>
      <w:lvlText w:val="%1."/>
      <w:lvlJc w:val="left"/>
      <w:pPr>
        <w:ind w:left="786" w:hanging="360"/>
      </w:pPr>
      <w:rPr>
        <w:rFonts w:eastAsia="Times New Roman" w:hint="default"/>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nsid w:val="0E3F4541"/>
    <w:multiLevelType w:val="hybridMultilevel"/>
    <w:tmpl w:val="5D087334"/>
    <w:lvl w:ilvl="0" w:tplc="09486334">
      <w:start w:val="1"/>
      <w:numFmt w:val="upperLetter"/>
      <w:lvlText w:val="%1."/>
      <w:lvlJc w:val="left"/>
      <w:pPr>
        <w:ind w:left="1440" w:hanging="360"/>
      </w:pPr>
      <w:rPr>
        <w:rFonts w:hint="default"/>
      </w:r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3">
    <w:nsid w:val="10287794"/>
    <w:multiLevelType w:val="hybridMultilevel"/>
    <w:tmpl w:val="A52AC47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nsid w:val="11DB2DA7"/>
    <w:multiLevelType w:val="hybridMultilevel"/>
    <w:tmpl w:val="670CB454"/>
    <w:lvl w:ilvl="0" w:tplc="D4C884F0">
      <w:numFmt w:val="bullet"/>
      <w:lvlText w:val=""/>
      <w:lvlJc w:val="left"/>
      <w:pPr>
        <w:ind w:left="720" w:hanging="360"/>
      </w:pPr>
      <w:rPr>
        <w:rFonts w:ascii="Wingdings" w:eastAsia="Times New Roman"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cs="Wingdings" w:hint="default"/>
      </w:rPr>
    </w:lvl>
    <w:lvl w:ilvl="3" w:tplc="18090001" w:tentative="1">
      <w:start w:val="1"/>
      <w:numFmt w:val="bullet"/>
      <w:lvlText w:val=""/>
      <w:lvlJc w:val="left"/>
      <w:pPr>
        <w:ind w:left="2880" w:hanging="360"/>
      </w:pPr>
      <w:rPr>
        <w:rFonts w:ascii="Symbol" w:hAnsi="Symbol" w:cs="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cs="Wingdings" w:hint="default"/>
      </w:rPr>
    </w:lvl>
    <w:lvl w:ilvl="6" w:tplc="18090001" w:tentative="1">
      <w:start w:val="1"/>
      <w:numFmt w:val="bullet"/>
      <w:lvlText w:val=""/>
      <w:lvlJc w:val="left"/>
      <w:pPr>
        <w:ind w:left="5040" w:hanging="360"/>
      </w:pPr>
      <w:rPr>
        <w:rFonts w:ascii="Symbol" w:hAnsi="Symbol" w:cs="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cs="Wingdings" w:hint="default"/>
      </w:rPr>
    </w:lvl>
  </w:abstractNum>
  <w:abstractNum w:abstractNumId="5">
    <w:nsid w:val="167B20E8"/>
    <w:multiLevelType w:val="hybridMultilevel"/>
    <w:tmpl w:val="71BCDC1E"/>
    <w:lvl w:ilvl="0" w:tplc="03DC6A0A">
      <w:start w:val="1"/>
      <w:numFmt w:val="decimal"/>
      <w:lvlText w:val="%1."/>
      <w:lvlJc w:val="left"/>
      <w:pPr>
        <w:ind w:left="786" w:hanging="360"/>
      </w:pPr>
      <w:rPr>
        <w:rFonts w:hint="default"/>
      </w:rPr>
    </w:lvl>
    <w:lvl w:ilvl="1" w:tplc="18090019" w:tentative="1">
      <w:start w:val="1"/>
      <w:numFmt w:val="lowerLetter"/>
      <w:lvlText w:val="%2."/>
      <w:lvlJc w:val="left"/>
      <w:pPr>
        <w:ind w:left="1506" w:hanging="360"/>
      </w:pPr>
    </w:lvl>
    <w:lvl w:ilvl="2" w:tplc="1809001B" w:tentative="1">
      <w:start w:val="1"/>
      <w:numFmt w:val="lowerRoman"/>
      <w:lvlText w:val="%3."/>
      <w:lvlJc w:val="right"/>
      <w:pPr>
        <w:ind w:left="2226" w:hanging="180"/>
      </w:pPr>
    </w:lvl>
    <w:lvl w:ilvl="3" w:tplc="1809000F" w:tentative="1">
      <w:start w:val="1"/>
      <w:numFmt w:val="decimal"/>
      <w:lvlText w:val="%4."/>
      <w:lvlJc w:val="left"/>
      <w:pPr>
        <w:ind w:left="2946" w:hanging="360"/>
      </w:pPr>
    </w:lvl>
    <w:lvl w:ilvl="4" w:tplc="18090019" w:tentative="1">
      <w:start w:val="1"/>
      <w:numFmt w:val="lowerLetter"/>
      <w:lvlText w:val="%5."/>
      <w:lvlJc w:val="left"/>
      <w:pPr>
        <w:ind w:left="3666" w:hanging="360"/>
      </w:pPr>
    </w:lvl>
    <w:lvl w:ilvl="5" w:tplc="1809001B" w:tentative="1">
      <w:start w:val="1"/>
      <w:numFmt w:val="lowerRoman"/>
      <w:lvlText w:val="%6."/>
      <w:lvlJc w:val="right"/>
      <w:pPr>
        <w:ind w:left="4386" w:hanging="180"/>
      </w:pPr>
    </w:lvl>
    <w:lvl w:ilvl="6" w:tplc="1809000F" w:tentative="1">
      <w:start w:val="1"/>
      <w:numFmt w:val="decimal"/>
      <w:lvlText w:val="%7."/>
      <w:lvlJc w:val="left"/>
      <w:pPr>
        <w:ind w:left="5106" w:hanging="360"/>
      </w:pPr>
    </w:lvl>
    <w:lvl w:ilvl="7" w:tplc="18090019" w:tentative="1">
      <w:start w:val="1"/>
      <w:numFmt w:val="lowerLetter"/>
      <w:lvlText w:val="%8."/>
      <w:lvlJc w:val="left"/>
      <w:pPr>
        <w:ind w:left="5826" w:hanging="360"/>
      </w:pPr>
    </w:lvl>
    <w:lvl w:ilvl="8" w:tplc="1809001B" w:tentative="1">
      <w:start w:val="1"/>
      <w:numFmt w:val="lowerRoman"/>
      <w:lvlText w:val="%9."/>
      <w:lvlJc w:val="right"/>
      <w:pPr>
        <w:ind w:left="6546" w:hanging="180"/>
      </w:pPr>
    </w:lvl>
  </w:abstractNum>
  <w:abstractNum w:abstractNumId="6">
    <w:nsid w:val="17002208"/>
    <w:multiLevelType w:val="hybridMultilevel"/>
    <w:tmpl w:val="A3F8F19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nsid w:val="27923987"/>
    <w:multiLevelType w:val="hybridMultilevel"/>
    <w:tmpl w:val="8B6C4C46"/>
    <w:lvl w:ilvl="0" w:tplc="6D780E08">
      <w:start w:val="1"/>
      <w:numFmt w:val="decimal"/>
      <w:lvlText w:val="%1."/>
      <w:lvlJc w:val="left"/>
      <w:pPr>
        <w:ind w:left="786" w:hanging="360"/>
      </w:pPr>
      <w:rPr>
        <w:rFonts w:hint="default"/>
      </w:rPr>
    </w:lvl>
    <w:lvl w:ilvl="1" w:tplc="18090019">
      <w:start w:val="1"/>
      <w:numFmt w:val="lowerLetter"/>
      <w:lvlText w:val="%2."/>
      <w:lvlJc w:val="left"/>
      <w:pPr>
        <w:ind w:left="1506" w:hanging="360"/>
      </w:pPr>
    </w:lvl>
    <w:lvl w:ilvl="2" w:tplc="1809001B" w:tentative="1">
      <w:start w:val="1"/>
      <w:numFmt w:val="lowerRoman"/>
      <w:lvlText w:val="%3."/>
      <w:lvlJc w:val="right"/>
      <w:pPr>
        <w:ind w:left="2226" w:hanging="180"/>
      </w:pPr>
    </w:lvl>
    <w:lvl w:ilvl="3" w:tplc="1809000F" w:tentative="1">
      <w:start w:val="1"/>
      <w:numFmt w:val="decimal"/>
      <w:lvlText w:val="%4."/>
      <w:lvlJc w:val="left"/>
      <w:pPr>
        <w:ind w:left="2946" w:hanging="360"/>
      </w:pPr>
    </w:lvl>
    <w:lvl w:ilvl="4" w:tplc="18090019" w:tentative="1">
      <w:start w:val="1"/>
      <w:numFmt w:val="lowerLetter"/>
      <w:lvlText w:val="%5."/>
      <w:lvlJc w:val="left"/>
      <w:pPr>
        <w:ind w:left="3666" w:hanging="360"/>
      </w:pPr>
    </w:lvl>
    <w:lvl w:ilvl="5" w:tplc="1809001B" w:tentative="1">
      <w:start w:val="1"/>
      <w:numFmt w:val="lowerRoman"/>
      <w:lvlText w:val="%6."/>
      <w:lvlJc w:val="right"/>
      <w:pPr>
        <w:ind w:left="4386" w:hanging="180"/>
      </w:pPr>
    </w:lvl>
    <w:lvl w:ilvl="6" w:tplc="1809000F" w:tentative="1">
      <w:start w:val="1"/>
      <w:numFmt w:val="decimal"/>
      <w:lvlText w:val="%7."/>
      <w:lvlJc w:val="left"/>
      <w:pPr>
        <w:ind w:left="5106" w:hanging="360"/>
      </w:pPr>
    </w:lvl>
    <w:lvl w:ilvl="7" w:tplc="18090019" w:tentative="1">
      <w:start w:val="1"/>
      <w:numFmt w:val="lowerLetter"/>
      <w:lvlText w:val="%8."/>
      <w:lvlJc w:val="left"/>
      <w:pPr>
        <w:ind w:left="5826" w:hanging="360"/>
      </w:pPr>
    </w:lvl>
    <w:lvl w:ilvl="8" w:tplc="1809001B" w:tentative="1">
      <w:start w:val="1"/>
      <w:numFmt w:val="lowerRoman"/>
      <w:lvlText w:val="%9."/>
      <w:lvlJc w:val="right"/>
      <w:pPr>
        <w:ind w:left="6546" w:hanging="180"/>
      </w:pPr>
    </w:lvl>
  </w:abstractNum>
  <w:abstractNum w:abstractNumId="8">
    <w:nsid w:val="291F3F49"/>
    <w:multiLevelType w:val="hybridMultilevel"/>
    <w:tmpl w:val="3E8CE90A"/>
    <w:lvl w:ilvl="0" w:tplc="18090015">
      <w:start w:val="1"/>
      <w:numFmt w:val="upp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nsid w:val="2C09128F"/>
    <w:multiLevelType w:val="hybridMultilevel"/>
    <w:tmpl w:val="9CFCEBC2"/>
    <w:lvl w:ilvl="0" w:tplc="2AB848C2">
      <w:start w:val="2"/>
      <w:numFmt w:val="upperRoman"/>
      <w:lvlText w:val="%1."/>
      <w:lvlJc w:val="left"/>
      <w:pPr>
        <w:ind w:left="3240" w:hanging="720"/>
      </w:pPr>
      <w:rPr>
        <w:rFonts w:hint="default"/>
      </w:rPr>
    </w:lvl>
    <w:lvl w:ilvl="1" w:tplc="18090019" w:tentative="1">
      <w:start w:val="1"/>
      <w:numFmt w:val="lowerLetter"/>
      <w:lvlText w:val="%2."/>
      <w:lvlJc w:val="left"/>
      <w:pPr>
        <w:ind w:left="3600" w:hanging="360"/>
      </w:pPr>
    </w:lvl>
    <w:lvl w:ilvl="2" w:tplc="1809001B" w:tentative="1">
      <w:start w:val="1"/>
      <w:numFmt w:val="lowerRoman"/>
      <w:lvlText w:val="%3."/>
      <w:lvlJc w:val="right"/>
      <w:pPr>
        <w:ind w:left="4320" w:hanging="180"/>
      </w:pPr>
    </w:lvl>
    <w:lvl w:ilvl="3" w:tplc="1809000F" w:tentative="1">
      <w:start w:val="1"/>
      <w:numFmt w:val="decimal"/>
      <w:lvlText w:val="%4."/>
      <w:lvlJc w:val="left"/>
      <w:pPr>
        <w:ind w:left="5040" w:hanging="360"/>
      </w:pPr>
    </w:lvl>
    <w:lvl w:ilvl="4" w:tplc="18090019" w:tentative="1">
      <w:start w:val="1"/>
      <w:numFmt w:val="lowerLetter"/>
      <w:lvlText w:val="%5."/>
      <w:lvlJc w:val="left"/>
      <w:pPr>
        <w:ind w:left="5760" w:hanging="360"/>
      </w:pPr>
    </w:lvl>
    <w:lvl w:ilvl="5" w:tplc="1809001B" w:tentative="1">
      <w:start w:val="1"/>
      <w:numFmt w:val="lowerRoman"/>
      <w:lvlText w:val="%6."/>
      <w:lvlJc w:val="right"/>
      <w:pPr>
        <w:ind w:left="6480" w:hanging="180"/>
      </w:pPr>
    </w:lvl>
    <w:lvl w:ilvl="6" w:tplc="1809000F" w:tentative="1">
      <w:start w:val="1"/>
      <w:numFmt w:val="decimal"/>
      <w:lvlText w:val="%7."/>
      <w:lvlJc w:val="left"/>
      <w:pPr>
        <w:ind w:left="7200" w:hanging="360"/>
      </w:pPr>
    </w:lvl>
    <w:lvl w:ilvl="7" w:tplc="18090019" w:tentative="1">
      <w:start w:val="1"/>
      <w:numFmt w:val="lowerLetter"/>
      <w:lvlText w:val="%8."/>
      <w:lvlJc w:val="left"/>
      <w:pPr>
        <w:ind w:left="7920" w:hanging="360"/>
      </w:pPr>
    </w:lvl>
    <w:lvl w:ilvl="8" w:tplc="1809001B" w:tentative="1">
      <w:start w:val="1"/>
      <w:numFmt w:val="lowerRoman"/>
      <w:lvlText w:val="%9."/>
      <w:lvlJc w:val="right"/>
      <w:pPr>
        <w:ind w:left="8640" w:hanging="180"/>
      </w:pPr>
    </w:lvl>
  </w:abstractNum>
  <w:abstractNum w:abstractNumId="10">
    <w:nsid w:val="31D6129F"/>
    <w:multiLevelType w:val="hybridMultilevel"/>
    <w:tmpl w:val="7420523C"/>
    <w:lvl w:ilvl="0" w:tplc="9F90EE2A">
      <w:start w:val="1"/>
      <w:numFmt w:val="decimal"/>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nsid w:val="3C7768F8"/>
    <w:multiLevelType w:val="hybridMultilevel"/>
    <w:tmpl w:val="14348A48"/>
    <w:lvl w:ilvl="0" w:tplc="18090015">
      <w:start w:val="1"/>
      <w:numFmt w:val="upperLetter"/>
      <w:lvlText w:val="%1."/>
      <w:lvlJc w:val="left"/>
      <w:pPr>
        <w:ind w:left="720" w:hanging="360"/>
      </w:pPr>
      <w:rPr>
        <w:rFonts w:hint="default"/>
      </w:rPr>
    </w:lvl>
    <w:lvl w:ilvl="1" w:tplc="76A4F0BE">
      <w:start w:val="1"/>
      <w:numFmt w:val="lowerLetter"/>
      <w:lvlText w:val="%2."/>
      <w:lvlJc w:val="left"/>
      <w:pPr>
        <w:ind w:left="1440" w:hanging="360"/>
      </w:pPr>
      <w:rPr>
        <w:rFonts w:ascii="Times New Roman" w:hAnsi="Times New Roman" w:cs="Times New Roman" w:hint="default"/>
        <w:b/>
        <w:bCs/>
        <w:color w:val="auto"/>
        <w:sz w:val="24"/>
        <w:szCs w:val="24"/>
      </w:rPr>
    </w:lvl>
    <w:lvl w:ilvl="2" w:tplc="1809001B">
      <w:start w:val="1"/>
      <w:numFmt w:val="lowerRoman"/>
      <w:lvlText w:val="%3."/>
      <w:lvlJc w:val="right"/>
      <w:pPr>
        <w:ind w:left="2160" w:hanging="180"/>
      </w:pPr>
    </w:lvl>
    <w:lvl w:ilvl="3" w:tplc="115E8E9C">
      <w:start w:val="2"/>
      <w:numFmt w:val="upperRoman"/>
      <w:lvlText w:val="%4."/>
      <w:lvlJc w:val="left"/>
      <w:pPr>
        <w:ind w:left="3240" w:hanging="720"/>
      </w:pPr>
      <w:rPr>
        <w:rFonts w:hint="default"/>
      </w:rPr>
    </w:lvl>
    <w:lvl w:ilvl="4" w:tplc="83BE7B3E">
      <w:start w:val="1"/>
      <w:numFmt w:val="decimal"/>
      <w:lvlText w:val="%5."/>
      <w:lvlJc w:val="left"/>
      <w:pPr>
        <w:ind w:left="3621" w:hanging="360"/>
      </w:pPr>
      <w:rPr>
        <w:rFonts w:hint="default"/>
      </w:r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nsid w:val="3C80456C"/>
    <w:multiLevelType w:val="hybridMultilevel"/>
    <w:tmpl w:val="2AAEBA76"/>
    <w:lvl w:ilvl="0" w:tplc="BAD88A9A">
      <w:start w:val="1"/>
      <w:numFmt w:val="decimal"/>
      <w:lvlText w:val="%1."/>
      <w:lvlJc w:val="left"/>
      <w:pPr>
        <w:ind w:left="786" w:hanging="360"/>
      </w:pPr>
      <w:rPr>
        <w:rFonts w:hint="default"/>
      </w:rPr>
    </w:lvl>
    <w:lvl w:ilvl="1" w:tplc="18090019">
      <w:start w:val="1"/>
      <w:numFmt w:val="lowerLetter"/>
      <w:lvlText w:val="%2."/>
      <w:lvlJc w:val="left"/>
      <w:pPr>
        <w:ind w:left="1506" w:hanging="360"/>
      </w:pPr>
    </w:lvl>
    <w:lvl w:ilvl="2" w:tplc="F5C8BFDA">
      <w:start w:val="1"/>
      <w:numFmt w:val="upperLetter"/>
      <w:lvlText w:val="%3."/>
      <w:lvlJc w:val="left"/>
      <w:pPr>
        <w:ind w:left="2406" w:hanging="360"/>
      </w:pPr>
      <w:rPr>
        <w:rFonts w:hint="default"/>
      </w:rPr>
    </w:lvl>
    <w:lvl w:ilvl="3" w:tplc="1809000F" w:tentative="1">
      <w:start w:val="1"/>
      <w:numFmt w:val="decimal"/>
      <w:lvlText w:val="%4."/>
      <w:lvlJc w:val="left"/>
      <w:pPr>
        <w:ind w:left="2946" w:hanging="360"/>
      </w:pPr>
    </w:lvl>
    <w:lvl w:ilvl="4" w:tplc="18090019" w:tentative="1">
      <w:start w:val="1"/>
      <w:numFmt w:val="lowerLetter"/>
      <w:lvlText w:val="%5."/>
      <w:lvlJc w:val="left"/>
      <w:pPr>
        <w:ind w:left="3666" w:hanging="360"/>
      </w:pPr>
    </w:lvl>
    <w:lvl w:ilvl="5" w:tplc="1809001B" w:tentative="1">
      <w:start w:val="1"/>
      <w:numFmt w:val="lowerRoman"/>
      <w:lvlText w:val="%6."/>
      <w:lvlJc w:val="right"/>
      <w:pPr>
        <w:ind w:left="4386" w:hanging="180"/>
      </w:pPr>
    </w:lvl>
    <w:lvl w:ilvl="6" w:tplc="1809000F" w:tentative="1">
      <w:start w:val="1"/>
      <w:numFmt w:val="decimal"/>
      <w:lvlText w:val="%7."/>
      <w:lvlJc w:val="left"/>
      <w:pPr>
        <w:ind w:left="5106" w:hanging="360"/>
      </w:pPr>
    </w:lvl>
    <w:lvl w:ilvl="7" w:tplc="18090019" w:tentative="1">
      <w:start w:val="1"/>
      <w:numFmt w:val="lowerLetter"/>
      <w:lvlText w:val="%8."/>
      <w:lvlJc w:val="left"/>
      <w:pPr>
        <w:ind w:left="5826" w:hanging="360"/>
      </w:pPr>
    </w:lvl>
    <w:lvl w:ilvl="8" w:tplc="1809001B" w:tentative="1">
      <w:start w:val="1"/>
      <w:numFmt w:val="lowerRoman"/>
      <w:lvlText w:val="%9."/>
      <w:lvlJc w:val="right"/>
      <w:pPr>
        <w:ind w:left="6546" w:hanging="180"/>
      </w:pPr>
    </w:lvl>
  </w:abstractNum>
  <w:abstractNum w:abstractNumId="13">
    <w:nsid w:val="42FA2464"/>
    <w:multiLevelType w:val="hybridMultilevel"/>
    <w:tmpl w:val="087499C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nsid w:val="51E51271"/>
    <w:multiLevelType w:val="hybridMultilevel"/>
    <w:tmpl w:val="7B6A26DA"/>
    <w:lvl w:ilvl="0" w:tplc="59A44692">
      <w:start w:val="1"/>
      <w:numFmt w:val="upperLetter"/>
      <w:lvlText w:val="%1."/>
      <w:lvlJc w:val="left"/>
      <w:pPr>
        <w:ind w:left="180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nsid w:val="58B30788"/>
    <w:multiLevelType w:val="hybridMultilevel"/>
    <w:tmpl w:val="1FCC5A1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nsid w:val="5964192E"/>
    <w:multiLevelType w:val="hybridMultilevel"/>
    <w:tmpl w:val="55EA41EE"/>
    <w:lvl w:ilvl="0" w:tplc="18090015">
      <w:start w:val="1"/>
      <w:numFmt w:val="upp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nsid w:val="59974225"/>
    <w:multiLevelType w:val="hybridMultilevel"/>
    <w:tmpl w:val="A142D29E"/>
    <w:lvl w:ilvl="0" w:tplc="CA92E0A4">
      <w:start w:val="2"/>
      <w:numFmt w:val="decimal"/>
      <w:lvlText w:val="%1."/>
      <w:lvlJc w:val="left"/>
      <w:pPr>
        <w:ind w:left="786"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nsid w:val="5DBC37AF"/>
    <w:multiLevelType w:val="hybridMultilevel"/>
    <w:tmpl w:val="35E02BC0"/>
    <w:lvl w:ilvl="0" w:tplc="9E048656">
      <w:start w:val="1"/>
      <w:numFmt w:val="upperLetter"/>
      <w:lvlText w:val="%1."/>
      <w:lvlJc w:val="left"/>
      <w:pPr>
        <w:ind w:left="1800" w:hanging="360"/>
      </w:pPr>
      <w:rPr>
        <w:rFonts w:hint="default"/>
      </w:rPr>
    </w:lvl>
    <w:lvl w:ilvl="1" w:tplc="18090019" w:tentative="1">
      <w:start w:val="1"/>
      <w:numFmt w:val="lowerLetter"/>
      <w:lvlText w:val="%2."/>
      <w:lvlJc w:val="left"/>
      <w:pPr>
        <w:ind w:left="2520" w:hanging="360"/>
      </w:pPr>
    </w:lvl>
    <w:lvl w:ilvl="2" w:tplc="1809001B" w:tentative="1">
      <w:start w:val="1"/>
      <w:numFmt w:val="lowerRoman"/>
      <w:lvlText w:val="%3."/>
      <w:lvlJc w:val="right"/>
      <w:pPr>
        <w:ind w:left="3240" w:hanging="180"/>
      </w:pPr>
    </w:lvl>
    <w:lvl w:ilvl="3" w:tplc="1809000F" w:tentative="1">
      <w:start w:val="1"/>
      <w:numFmt w:val="decimal"/>
      <w:lvlText w:val="%4."/>
      <w:lvlJc w:val="left"/>
      <w:pPr>
        <w:ind w:left="3960" w:hanging="360"/>
      </w:pPr>
    </w:lvl>
    <w:lvl w:ilvl="4" w:tplc="18090019" w:tentative="1">
      <w:start w:val="1"/>
      <w:numFmt w:val="lowerLetter"/>
      <w:lvlText w:val="%5."/>
      <w:lvlJc w:val="left"/>
      <w:pPr>
        <w:ind w:left="4680" w:hanging="360"/>
      </w:pPr>
    </w:lvl>
    <w:lvl w:ilvl="5" w:tplc="1809001B" w:tentative="1">
      <w:start w:val="1"/>
      <w:numFmt w:val="lowerRoman"/>
      <w:lvlText w:val="%6."/>
      <w:lvlJc w:val="right"/>
      <w:pPr>
        <w:ind w:left="5400" w:hanging="180"/>
      </w:pPr>
    </w:lvl>
    <w:lvl w:ilvl="6" w:tplc="1809000F" w:tentative="1">
      <w:start w:val="1"/>
      <w:numFmt w:val="decimal"/>
      <w:lvlText w:val="%7."/>
      <w:lvlJc w:val="left"/>
      <w:pPr>
        <w:ind w:left="6120" w:hanging="360"/>
      </w:pPr>
    </w:lvl>
    <w:lvl w:ilvl="7" w:tplc="18090019" w:tentative="1">
      <w:start w:val="1"/>
      <w:numFmt w:val="lowerLetter"/>
      <w:lvlText w:val="%8."/>
      <w:lvlJc w:val="left"/>
      <w:pPr>
        <w:ind w:left="6840" w:hanging="360"/>
      </w:pPr>
    </w:lvl>
    <w:lvl w:ilvl="8" w:tplc="1809001B" w:tentative="1">
      <w:start w:val="1"/>
      <w:numFmt w:val="lowerRoman"/>
      <w:lvlText w:val="%9."/>
      <w:lvlJc w:val="right"/>
      <w:pPr>
        <w:ind w:left="7560" w:hanging="180"/>
      </w:pPr>
    </w:lvl>
  </w:abstractNum>
  <w:abstractNum w:abstractNumId="19">
    <w:nsid w:val="6EE359B6"/>
    <w:multiLevelType w:val="hybridMultilevel"/>
    <w:tmpl w:val="C1E64124"/>
    <w:lvl w:ilvl="0" w:tplc="76A4F0BE">
      <w:start w:val="1"/>
      <w:numFmt w:val="lowerLetter"/>
      <w:lvlText w:val="%1."/>
      <w:lvlJc w:val="left"/>
      <w:pPr>
        <w:ind w:left="720" w:hanging="360"/>
      </w:pPr>
      <w:rPr>
        <w:rFonts w:ascii="Times New Roman" w:hAnsi="Times New Roman" w:cs="Times New Roman" w:hint="default"/>
        <w:b/>
        <w:bCs/>
        <w:color w:val="auto"/>
        <w:sz w:val="24"/>
        <w:szCs w:val="24"/>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nsid w:val="7950323A"/>
    <w:multiLevelType w:val="hybridMultilevel"/>
    <w:tmpl w:val="47283516"/>
    <w:lvl w:ilvl="0" w:tplc="79DEB50E">
      <w:start w:val="1"/>
      <w:numFmt w:val="upperLetter"/>
      <w:lvlText w:val="%1."/>
      <w:lvlJc w:val="left"/>
      <w:pPr>
        <w:ind w:left="1440" w:hanging="360"/>
      </w:pPr>
      <w:rPr>
        <w:rFonts w:hint="default"/>
      </w:r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num w:numId="1">
    <w:abstractNumId w:val="0"/>
  </w:num>
  <w:num w:numId="2">
    <w:abstractNumId w:val="2"/>
  </w:num>
  <w:num w:numId="3">
    <w:abstractNumId w:val="10"/>
  </w:num>
  <w:num w:numId="4">
    <w:abstractNumId w:val="6"/>
  </w:num>
  <w:num w:numId="5">
    <w:abstractNumId w:val="11"/>
  </w:num>
  <w:num w:numId="6">
    <w:abstractNumId w:val="13"/>
  </w:num>
  <w:num w:numId="7">
    <w:abstractNumId w:val="1"/>
  </w:num>
  <w:num w:numId="8">
    <w:abstractNumId w:val="8"/>
  </w:num>
  <w:num w:numId="9">
    <w:abstractNumId w:val="12"/>
  </w:num>
  <w:num w:numId="10">
    <w:abstractNumId w:val="19"/>
  </w:num>
  <w:num w:numId="11">
    <w:abstractNumId w:val="18"/>
  </w:num>
  <w:num w:numId="12">
    <w:abstractNumId w:val="4"/>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num>
  <w:num w:numId="25">
    <w:abstractNumId w:val="20"/>
  </w:num>
  <w:num w:numId="26">
    <w:abstractNumId w:val="3"/>
  </w:num>
  <w:num w:numId="27">
    <w:abstractNumId w:val="16"/>
  </w:num>
  <w:num w:numId="28">
    <w:abstractNumId w:val="15"/>
  </w:num>
  <w:num w:numId="29">
    <w:abstractNumId w:val="7"/>
  </w:num>
  <w:num w:numId="30">
    <w:abstractNumId w:val="5"/>
  </w:num>
  <w:num w:numId="31">
    <w:abstractNumId w:val="17"/>
  </w:num>
  <w:num w:numId="32">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embedSystemFonts/>
  <w:doNotTrackMoves/>
  <w:defaultTabStop w:val="720"/>
  <w:drawingGridHorizontalSpacing w:val="110"/>
  <w:displayHorizontalDrawingGridEvery w:val="2"/>
  <w:characterSpacingControl w:val="doNotCompress"/>
  <w:savePreviewPicture/>
  <w:doNotValidateAgainstSchema/>
  <w:doNotDemarcateInvalidXml/>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docVars>
    <w:docVar w:name="EN.InstantFormat" w:val="&lt;ENInstantFormat&gt;&lt;Enabled&gt;0&lt;/Enabled&gt;&lt;ScanUnformatted&gt;1&lt;/ScanUnformatted&gt;&lt;ScanChanges&gt;1&lt;/ScanChanges&gt;&lt;/ENInstantFormat&gt;"/>
  </w:docVars>
  <w:rsids>
    <w:rsidRoot w:val="002B4B8D"/>
    <w:rsid w:val="00007C27"/>
    <w:rsid w:val="000127DC"/>
    <w:rsid w:val="0001290C"/>
    <w:rsid w:val="000208EB"/>
    <w:rsid w:val="0003103A"/>
    <w:rsid w:val="0003359C"/>
    <w:rsid w:val="00035E18"/>
    <w:rsid w:val="000374EC"/>
    <w:rsid w:val="00052427"/>
    <w:rsid w:val="00062AB8"/>
    <w:rsid w:val="00065520"/>
    <w:rsid w:val="00081AAD"/>
    <w:rsid w:val="00096314"/>
    <w:rsid w:val="000B0BB3"/>
    <w:rsid w:val="000B2C2C"/>
    <w:rsid w:val="000B4E2B"/>
    <w:rsid w:val="000C49F9"/>
    <w:rsid w:val="000D0B43"/>
    <w:rsid w:val="000F07BA"/>
    <w:rsid w:val="000F7419"/>
    <w:rsid w:val="00110E95"/>
    <w:rsid w:val="00133B1A"/>
    <w:rsid w:val="00134FEF"/>
    <w:rsid w:val="001368AE"/>
    <w:rsid w:val="00145417"/>
    <w:rsid w:val="00150745"/>
    <w:rsid w:val="0017316D"/>
    <w:rsid w:val="001845A5"/>
    <w:rsid w:val="001A4E63"/>
    <w:rsid w:val="001C7F58"/>
    <w:rsid w:val="001E6F1D"/>
    <w:rsid w:val="001F39CD"/>
    <w:rsid w:val="001F53E8"/>
    <w:rsid w:val="00230311"/>
    <w:rsid w:val="00244DF1"/>
    <w:rsid w:val="00245AD8"/>
    <w:rsid w:val="0025302E"/>
    <w:rsid w:val="00255762"/>
    <w:rsid w:val="00257EA2"/>
    <w:rsid w:val="002734D2"/>
    <w:rsid w:val="00276F72"/>
    <w:rsid w:val="002965D6"/>
    <w:rsid w:val="00296FF4"/>
    <w:rsid w:val="002A0318"/>
    <w:rsid w:val="002B4B8D"/>
    <w:rsid w:val="00300841"/>
    <w:rsid w:val="003222A5"/>
    <w:rsid w:val="003369EE"/>
    <w:rsid w:val="003401C2"/>
    <w:rsid w:val="003458C9"/>
    <w:rsid w:val="0036200A"/>
    <w:rsid w:val="003D2E65"/>
    <w:rsid w:val="003D41A1"/>
    <w:rsid w:val="003D74CF"/>
    <w:rsid w:val="003E491D"/>
    <w:rsid w:val="003E6ED8"/>
    <w:rsid w:val="003F179C"/>
    <w:rsid w:val="003F3472"/>
    <w:rsid w:val="003F5FDE"/>
    <w:rsid w:val="003F61F4"/>
    <w:rsid w:val="00425194"/>
    <w:rsid w:val="004419DB"/>
    <w:rsid w:val="00451B44"/>
    <w:rsid w:val="00466B06"/>
    <w:rsid w:val="00473B52"/>
    <w:rsid w:val="004839DB"/>
    <w:rsid w:val="004B4E5E"/>
    <w:rsid w:val="004B7AFC"/>
    <w:rsid w:val="004C505F"/>
    <w:rsid w:val="004C5953"/>
    <w:rsid w:val="004D103A"/>
    <w:rsid w:val="004E56A1"/>
    <w:rsid w:val="00506AC0"/>
    <w:rsid w:val="00533E41"/>
    <w:rsid w:val="00537F66"/>
    <w:rsid w:val="00561B37"/>
    <w:rsid w:val="0056690C"/>
    <w:rsid w:val="0058325A"/>
    <w:rsid w:val="005876FA"/>
    <w:rsid w:val="005A3B21"/>
    <w:rsid w:val="005C2E0B"/>
    <w:rsid w:val="005C514B"/>
    <w:rsid w:val="005C674D"/>
    <w:rsid w:val="00600174"/>
    <w:rsid w:val="00624192"/>
    <w:rsid w:val="0064165E"/>
    <w:rsid w:val="00651009"/>
    <w:rsid w:val="00665F0E"/>
    <w:rsid w:val="0068494A"/>
    <w:rsid w:val="006944F9"/>
    <w:rsid w:val="006B3E63"/>
    <w:rsid w:val="006C307C"/>
    <w:rsid w:val="0070519B"/>
    <w:rsid w:val="00711364"/>
    <w:rsid w:val="00711B89"/>
    <w:rsid w:val="00717326"/>
    <w:rsid w:val="00730641"/>
    <w:rsid w:val="00733401"/>
    <w:rsid w:val="007536D1"/>
    <w:rsid w:val="00764B22"/>
    <w:rsid w:val="007825AA"/>
    <w:rsid w:val="00793728"/>
    <w:rsid w:val="007B54E5"/>
    <w:rsid w:val="007C3F5E"/>
    <w:rsid w:val="007D334E"/>
    <w:rsid w:val="007F3F43"/>
    <w:rsid w:val="008016B2"/>
    <w:rsid w:val="0081136D"/>
    <w:rsid w:val="008301A3"/>
    <w:rsid w:val="00863C30"/>
    <w:rsid w:val="008679AF"/>
    <w:rsid w:val="00870823"/>
    <w:rsid w:val="00874942"/>
    <w:rsid w:val="00890067"/>
    <w:rsid w:val="008928ED"/>
    <w:rsid w:val="008A1688"/>
    <w:rsid w:val="008A4410"/>
    <w:rsid w:val="008B44AE"/>
    <w:rsid w:val="008B65BA"/>
    <w:rsid w:val="008B7980"/>
    <w:rsid w:val="008D6EDD"/>
    <w:rsid w:val="008E68F8"/>
    <w:rsid w:val="008F3514"/>
    <w:rsid w:val="00912CF3"/>
    <w:rsid w:val="009246C2"/>
    <w:rsid w:val="00933A8D"/>
    <w:rsid w:val="00941F17"/>
    <w:rsid w:val="0096461D"/>
    <w:rsid w:val="00965ACE"/>
    <w:rsid w:val="00993866"/>
    <w:rsid w:val="00996448"/>
    <w:rsid w:val="009A1554"/>
    <w:rsid w:val="009A1D4D"/>
    <w:rsid w:val="009C14AE"/>
    <w:rsid w:val="009C25DC"/>
    <w:rsid w:val="00A05889"/>
    <w:rsid w:val="00A12821"/>
    <w:rsid w:val="00A14D3B"/>
    <w:rsid w:val="00A14DDA"/>
    <w:rsid w:val="00A43B68"/>
    <w:rsid w:val="00A53F02"/>
    <w:rsid w:val="00A5562A"/>
    <w:rsid w:val="00A71CD4"/>
    <w:rsid w:val="00A81353"/>
    <w:rsid w:val="00A96330"/>
    <w:rsid w:val="00AA0064"/>
    <w:rsid w:val="00AA2AA1"/>
    <w:rsid w:val="00AF2710"/>
    <w:rsid w:val="00AF3755"/>
    <w:rsid w:val="00AF4E1D"/>
    <w:rsid w:val="00B044AA"/>
    <w:rsid w:val="00B13611"/>
    <w:rsid w:val="00B14DD5"/>
    <w:rsid w:val="00B3586E"/>
    <w:rsid w:val="00B37993"/>
    <w:rsid w:val="00B44A89"/>
    <w:rsid w:val="00B51423"/>
    <w:rsid w:val="00B627F1"/>
    <w:rsid w:val="00B73B94"/>
    <w:rsid w:val="00B75D86"/>
    <w:rsid w:val="00BA30BA"/>
    <w:rsid w:val="00BB1665"/>
    <w:rsid w:val="00BB6B64"/>
    <w:rsid w:val="00BC36EB"/>
    <w:rsid w:val="00BE39E2"/>
    <w:rsid w:val="00BE49E0"/>
    <w:rsid w:val="00BE570F"/>
    <w:rsid w:val="00BF42BA"/>
    <w:rsid w:val="00C005B5"/>
    <w:rsid w:val="00C5204C"/>
    <w:rsid w:val="00C63622"/>
    <w:rsid w:val="00C63DE1"/>
    <w:rsid w:val="00C64D1B"/>
    <w:rsid w:val="00C84894"/>
    <w:rsid w:val="00C949F5"/>
    <w:rsid w:val="00CB1F7B"/>
    <w:rsid w:val="00CC6305"/>
    <w:rsid w:val="00D031C5"/>
    <w:rsid w:val="00D1297B"/>
    <w:rsid w:val="00D2245F"/>
    <w:rsid w:val="00D54999"/>
    <w:rsid w:val="00D57A9A"/>
    <w:rsid w:val="00D664B9"/>
    <w:rsid w:val="00D854AC"/>
    <w:rsid w:val="00DC6909"/>
    <w:rsid w:val="00DE6D30"/>
    <w:rsid w:val="00DF491C"/>
    <w:rsid w:val="00E11A18"/>
    <w:rsid w:val="00E150AD"/>
    <w:rsid w:val="00E46935"/>
    <w:rsid w:val="00E50B2B"/>
    <w:rsid w:val="00E54DA4"/>
    <w:rsid w:val="00E619AE"/>
    <w:rsid w:val="00E8745C"/>
    <w:rsid w:val="00E910B8"/>
    <w:rsid w:val="00E92831"/>
    <w:rsid w:val="00EA5B5D"/>
    <w:rsid w:val="00EB7306"/>
    <w:rsid w:val="00ED2174"/>
    <w:rsid w:val="00ED430F"/>
    <w:rsid w:val="00ED5DAC"/>
    <w:rsid w:val="00ED72DE"/>
    <w:rsid w:val="00F36A19"/>
    <w:rsid w:val="00F55405"/>
    <w:rsid w:val="00F632B6"/>
    <w:rsid w:val="00F744F3"/>
    <w:rsid w:val="00F77530"/>
    <w:rsid w:val="00F90CFE"/>
    <w:rsid w:val="00F9579C"/>
    <w:rsid w:val="00F961AB"/>
    <w:rsid w:val="00FE59E2"/>
    <w:rsid w:val="00FF2B27"/>
  </w:rsids>
  <m:mathPr>
    <m:mathFont m:val="Cambria Math"/>
    <m:brkBin m:val="before"/>
    <m:brkBinSub m:val="--"/>
    <m:smallFrac m:val="off"/>
    <m:dispDef/>
    <m:lMargin m:val="0"/>
    <m:rMargin m:val="0"/>
    <m:defJc m:val="centerGroup"/>
    <m:wrapIndent m:val="1440"/>
    <m:intLim m:val="subSup"/>
    <m:naryLim m:val="undOvr"/>
  </m:mathPr>
  <w:uiCompat97To2003/>
  <w:themeFontLang w:val="en-IE"/>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martTagType w:namespaceuri="urn:schemas-microsoft-com:office:smarttags" w:name="PersonName"/>
  <w:smartTagType w:namespaceuri="urn:schemas-microsoft-com:office:smarttags" w:name="country-region"/>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City"/>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IE" w:eastAsia="en-I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footer" w:unhideWhenUsed="0"/>
    <w:lsdException w:name="caption" w:uiPriority="35" w:qFormat="1"/>
    <w:lsdException w:name="annotation reference" w:unhideWhenUsed="0"/>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Hyperlink" w:unhideWhenUsed="0"/>
    <w:lsdException w:name="FollowedHyperlink" w:unhideWhenUsed="0"/>
    <w:lsdException w:name="Strong" w:semiHidden="0" w:unhideWhenUsed="0" w:qFormat="1"/>
    <w:lsdException w:name="Emphasis" w:semiHidden="0" w:uiPriority="20" w:unhideWhenUsed="0" w:qFormat="1"/>
    <w:lsdException w:name="Document Map" w:unhideWhenUsed="0"/>
    <w:lsdException w:name="Normal (Web)" w:unhideWhenUsed="0"/>
    <w:lsdException w:name="HTML Cite" w:unhideWhenUsed="0"/>
    <w:lsdException w:name="annotation subject"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4B8D"/>
    <w:pPr>
      <w:spacing w:after="200" w:line="276" w:lineRule="auto"/>
    </w:pPr>
    <w:rPr>
      <w:rFonts w:cs="Calibri"/>
      <w:sz w:val="22"/>
      <w:szCs w:val="22"/>
      <w:lang w:eastAsia="en-US"/>
    </w:rPr>
  </w:style>
  <w:style w:type="paragraph" w:styleId="Heading1">
    <w:name w:val="heading 1"/>
    <w:basedOn w:val="Normal"/>
    <w:link w:val="Heading1Char"/>
    <w:uiPriority w:val="99"/>
    <w:qFormat/>
    <w:rsid w:val="002B4B8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E"/>
    </w:rPr>
  </w:style>
  <w:style w:type="paragraph" w:styleId="Heading4">
    <w:name w:val="heading 4"/>
    <w:basedOn w:val="Normal"/>
    <w:next w:val="Normal"/>
    <w:link w:val="Heading4Char"/>
    <w:uiPriority w:val="99"/>
    <w:qFormat/>
    <w:rsid w:val="002B4B8D"/>
    <w:pPr>
      <w:keepNext/>
      <w:keepLines/>
      <w:spacing w:before="200" w:after="0"/>
      <w:outlineLvl w:val="3"/>
    </w:pPr>
    <w:rPr>
      <w:rFonts w:ascii="Cambria" w:eastAsia="Times New Roman" w:hAnsi="Cambria" w:cs="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2B4B8D"/>
    <w:rPr>
      <w:rFonts w:ascii="Times New Roman" w:hAnsi="Times New Roman" w:cs="Times New Roman"/>
      <w:b/>
      <w:bCs/>
      <w:kern w:val="36"/>
      <w:sz w:val="48"/>
      <w:szCs w:val="48"/>
      <w:lang w:eastAsia="en-IE"/>
    </w:rPr>
  </w:style>
  <w:style w:type="character" w:customStyle="1" w:styleId="Heading4Char">
    <w:name w:val="Heading 4 Char"/>
    <w:basedOn w:val="DefaultParagraphFont"/>
    <w:link w:val="Heading4"/>
    <w:uiPriority w:val="99"/>
    <w:rsid w:val="002B4B8D"/>
    <w:rPr>
      <w:rFonts w:ascii="Cambria" w:hAnsi="Cambria" w:cs="Cambria"/>
      <w:b/>
      <w:bCs/>
      <w:i/>
      <w:iCs/>
      <w:color w:val="4F81BD"/>
    </w:rPr>
  </w:style>
  <w:style w:type="character" w:customStyle="1" w:styleId="i">
    <w:name w:val="i"/>
    <w:basedOn w:val="DefaultParagraphFont"/>
    <w:uiPriority w:val="99"/>
    <w:rsid w:val="002B4B8D"/>
  </w:style>
  <w:style w:type="character" w:styleId="Hyperlink">
    <w:name w:val="Hyperlink"/>
    <w:basedOn w:val="DefaultParagraphFont"/>
    <w:uiPriority w:val="99"/>
    <w:rsid w:val="002B4B8D"/>
    <w:rPr>
      <w:color w:val="0000FF"/>
      <w:u w:val="single"/>
    </w:rPr>
  </w:style>
  <w:style w:type="character" w:styleId="FollowedHyperlink">
    <w:name w:val="FollowedHyperlink"/>
    <w:basedOn w:val="DefaultParagraphFont"/>
    <w:uiPriority w:val="99"/>
    <w:semiHidden/>
    <w:rsid w:val="002B4B8D"/>
    <w:rPr>
      <w:color w:val="800080"/>
      <w:u w:val="single"/>
    </w:rPr>
  </w:style>
  <w:style w:type="paragraph" w:styleId="ListParagraph">
    <w:name w:val="List Paragraph"/>
    <w:basedOn w:val="Normal"/>
    <w:uiPriority w:val="99"/>
    <w:qFormat/>
    <w:rsid w:val="002B4B8D"/>
    <w:pPr>
      <w:ind w:left="720"/>
      <w:contextualSpacing/>
    </w:pPr>
  </w:style>
  <w:style w:type="paragraph" w:styleId="NormalWeb">
    <w:name w:val="Normal (Web)"/>
    <w:basedOn w:val="Normal"/>
    <w:uiPriority w:val="99"/>
    <w:rsid w:val="002B4B8D"/>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nbapihighlight">
    <w:name w:val="nbapihighlight"/>
    <w:basedOn w:val="DefaultParagraphFont"/>
    <w:uiPriority w:val="99"/>
    <w:rsid w:val="002B4B8D"/>
  </w:style>
  <w:style w:type="character" w:styleId="HTMLCite">
    <w:name w:val="HTML Cite"/>
    <w:basedOn w:val="DefaultParagraphFont"/>
    <w:uiPriority w:val="99"/>
    <w:semiHidden/>
    <w:rsid w:val="002B4B8D"/>
    <w:rPr>
      <w:i/>
      <w:iCs/>
    </w:rPr>
  </w:style>
  <w:style w:type="character" w:customStyle="1" w:styleId="atl">
    <w:name w:val="atl"/>
    <w:basedOn w:val="DefaultParagraphFont"/>
    <w:uiPriority w:val="99"/>
    <w:rsid w:val="002B4B8D"/>
  </w:style>
  <w:style w:type="character" w:styleId="CommentReference">
    <w:name w:val="annotation reference"/>
    <w:basedOn w:val="DefaultParagraphFont"/>
    <w:uiPriority w:val="99"/>
    <w:semiHidden/>
    <w:rsid w:val="002B4B8D"/>
    <w:rPr>
      <w:sz w:val="16"/>
      <w:szCs w:val="16"/>
    </w:rPr>
  </w:style>
  <w:style w:type="paragraph" w:styleId="CommentText">
    <w:name w:val="annotation text"/>
    <w:basedOn w:val="Normal"/>
    <w:link w:val="CommentTextChar"/>
    <w:uiPriority w:val="99"/>
    <w:semiHidden/>
    <w:rsid w:val="002B4B8D"/>
    <w:pPr>
      <w:spacing w:line="240" w:lineRule="auto"/>
    </w:pPr>
    <w:rPr>
      <w:sz w:val="20"/>
      <w:szCs w:val="20"/>
    </w:rPr>
  </w:style>
  <w:style w:type="character" w:customStyle="1" w:styleId="CommentTextChar">
    <w:name w:val="Comment Text Char"/>
    <w:basedOn w:val="DefaultParagraphFont"/>
    <w:link w:val="CommentText"/>
    <w:uiPriority w:val="99"/>
    <w:semiHidden/>
    <w:rsid w:val="002B4B8D"/>
    <w:rPr>
      <w:rFonts w:ascii="Calibri" w:hAnsi="Calibri" w:cs="Calibri"/>
      <w:sz w:val="20"/>
      <w:szCs w:val="20"/>
    </w:rPr>
  </w:style>
  <w:style w:type="paragraph" w:styleId="CommentSubject">
    <w:name w:val="annotation subject"/>
    <w:basedOn w:val="CommentText"/>
    <w:next w:val="CommentText"/>
    <w:link w:val="CommentSubjectChar"/>
    <w:uiPriority w:val="99"/>
    <w:semiHidden/>
    <w:rsid w:val="002B4B8D"/>
    <w:rPr>
      <w:b/>
      <w:bCs/>
    </w:rPr>
  </w:style>
  <w:style w:type="character" w:customStyle="1" w:styleId="CommentSubjectChar">
    <w:name w:val="Comment Subject Char"/>
    <w:basedOn w:val="CommentTextChar"/>
    <w:link w:val="CommentSubject"/>
    <w:uiPriority w:val="99"/>
    <w:semiHidden/>
    <w:rsid w:val="002B4B8D"/>
    <w:rPr>
      <w:b/>
      <w:bCs/>
    </w:rPr>
  </w:style>
  <w:style w:type="paragraph" w:styleId="BalloonText">
    <w:name w:val="Balloon Text"/>
    <w:basedOn w:val="Normal"/>
    <w:link w:val="BalloonTextChar"/>
    <w:uiPriority w:val="99"/>
    <w:semiHidden/>
    <w:rsid w:val="002B4B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4B8D"/>
    <w:rPr>
      <w:rFonts w:ascii="Tahoma" w:hAnsi="Tahoma" w:cs="Tahoma"/>
      <w:sz w:val="16"/>
      <w:szCs w:val="16"/>
    </w:rPr>
  </w:style>
  <w:style w:type="paragraph" w:customStyle="1" w:styleId="first">
    <w:name w:val="first"/>
    <w:basedOn w:val="Normal"/>
    <w:uiPriority w:val="99"/>
    <w:rsid w:val="002B4B8D"/>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styleId="Emphasis">
    <w:name w:val="Emphasis"/>
    <w:basedOn w:val="DefaultParagraphFont"/>
    <w:uiPriority w:val="20"/>
    <w:qFormat/>
    <w:rsid w:val="002B4B8D"/>
    <w:rPr>
      <w:i/>
      <w:iCs/>
    </w:rPr>
  </w:style>
  <w:style w:type="paragraph" w:customStyle="1" w:styleId="Default">
    <w:name w:val="Default"/>
    <w:uiPriority w:val="99"/>
    <w:rsid w:val="002B4B8D"/>
    <w:pPr>
      <w:autoSpaceDE w:val="0"/>
      <w:autoSpaceDN w:val="0"/>
      <w:adjustRightInd w:val="0"/>
    </w:pPr>
    <w:rPr>
      <w:rFonts w:cs="Calibri"/>
      <w:color w:val="000000"/>
      <w:sz w:val="24"/>
      <w:szCs w:val="24"/>
      <w:lang w:eastAsia="en-US"/>
    </w:rPr>
  </w:style>
  <w:style w:type="paragraph" w:styleId="Header">
    <w:name w:val="header"/>
    <w:basedOn w:val="Normal"/>
    <w:link w:val="HeaderChar"/>
    <w:uiPriority w:val="99"/>
    <w:semiHidden/>
    <w:rsid w:val="002B4B8D"/>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2B4B8D"/>
    <w:rPr>
      <w:rFonts w:ascii="Calibri" w:hAnsi="Calibri" w:cs="Calibri"/>
    </w:rPr>
  </w:style>
  <w:style w:type="paragraph" w:styleId="Footer">
    <w:name w:val="footer"/>
    <w:basedOn w:val="Normal"/>
    <w:link w:val="FooterChar"/>
    <w:uiPriority w:val="99"/>
    <w:rsid w:val="002B4B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4B8D"/>
    <w:rPr>
      <w:rFonts w:ascii="Calibri" w:hAnsi="Calibri" w:cs="Calibri"/>
    </w:rPr>
  </w:style>
  <w:style w:type="paragraph" w:styleId="DocumentMap">
    <w:name w:val="Document Map"/>
    <w:basedOn w:val="Normal"/>
    <w:link w:val="DocumentMapChar"/>
    <w:uiPriority w:val="99"/>
    <w:semiHidden/>
    <w:rsid w:val="002B4B8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2B4B8D"/>
    <w:rPr>
      <w:rFonts w:ascii="Tahoma" w:hAnsi="Tahoma" w:cs="Tahoma"/>
      <w:sz w:val="16"/>
      <w:szCs w:val="16"/>
    </w:rPr>
  </w:style>
  <w:style w:type="paragraph" w:customStyle="1" w:styleId="para">
    <w:name w:val="para"/>
    <w:basedOn w:val="Normal"/>
    <w:uiPriority w:val="99"/>
    <w:rsid w:val="002B4B8D"/>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styleId="Strong">
    <w:name w:val="Strong"/>
    <w:basedOn w:val="DefaultParagraphFont"/>
    <w:uiPriority w:val="99"/>
    <w:qFormat/>
    <w:rsid w:val="002B4B8D"/>
    <w:rPr>
      <w:b/>
      <w:bCs/>
    </w:rPr>
  </w:style>
  <w:style w:type="paragraph" w:styleId="Revision">
    <w:name w:val="Revision"/>
    <w:hidden/>
    <w:uiPriority w:val="99"/>
    <w:semiHidden/>
    <w:rsid w:val="002B4B8D"/>
    <w:rPr>
      <w:rFonts w:cs="Calibri"/>
      <w:sz w:val="22"/>
      <w:szCs w:val="22"/>
      <w:lang w:eastAsia="en-US"/>
    </w:rPr>
  </w:style>
  <w:style w:type="character" w:customStyle="1" w:styleId="apple-style-span">
    <w:name w:val="apple-style-span"/>
    <w:basedOn w:val="DefaultParagraphFont"/>
    <w:uiPriority w:val="99"/>
    <w:rsid w:val="002B4B8D"/>
  </w:style>
  <w:style w:type="paragraph" w:styleId="BodyText">
    <w:name w:val="Body Text"/>
    <w:basedOn w:val="Normal"/>
    <w:link w:val="BodyTextChar"/>
    <w:uiPriority w:val="99"/>
    <w:rsid w:val="002B4B8D"/>
    <w:pPr>
      <w:spacing w:after="0" w:line="360" w:lineRule="auto"/>
    </w:pPr>
    <w:rPr>
      <w:rFonts w:ascii="Times New Roman" w:eastAsia="Times New Roman" w:hAnsi="Times New Roman" w:cs="Times New Roman"/>
      <w:sz w:val="20"/>
      <w:szCs w:val="20"/>
    </w:rPr>
  </w:style>
  <w:style w:type="character" w:customStyle="1" w:styleId="BodyTextChar">
    <w:name w:val="Body Text Char"/>
    <w:basedOn w:val="DefaultParagraphFont"/>
    <w:link w:val="BodyText"/>
    <w:uiPriority w:val="99"/>
    <w:rsid w:val="002B4B8D"/>
    <w:rPr>
      <w:rFonts w:ascii="Times New Roman" w:hAnsi="Times New Roman" w:cs="Times New Roman"/>
      <w:sz w:val="20"/>
      <w:szCs w:val="20"/>
    </w:rPr>
  </w:style>
  <w:style w:type="character" w:customStyle="1" w:styleId="b">
    <w:name w:val="b"/>
    <w:basedOn w:val="DefaultParagraphFont"/>
    <w:uiPriority w:val="99"/>
    <w:rsid w:val="002B4B8D"/>
  </w:style>
  <w:style w:type="numbering" w:customStyle="1" w:styleId="NoList1">
    <w:name w:val="No List1"/>
    <w:next w:val="NoList"/>
    <w:uiPriority w:val="99"/>
    <w:semiHidden/>
    <w:unhideWhenUsed/>
    <w:rsid w:val="00300841"/>
  </w:style>
  <w:style w:type="numbering" w:customStyle="1" w:styleId="NoList11">
    <w:name w:val="No List11"/>
    <w:next w:val="NoList"/>
    <w:uiPriority w:val="99"/>
    <w:semiHidden/>
    <w:unhideWhenUsed/>
    <w:rsid w:val="00300841"/>
  </w:style>
  <w:style w:type="character" w:customStyle="1" w:styleId="slug-pages">
    <w:name w:val="slug-pages"/>
    <w:basedOn w:val="DefaultParagraphFont"/>
    <w:rsid w:val="00300841"/>
  </w:style>
</w:styles>
</file>

<file path=word/webSettings.xml><?xml version="1.0" encoding="utf-8"?>
<w:webSettings xmlns:r="http://schemas.openxmlformats.org/officeDocument/2006/relationships" xmlns:w="http://schemas.openxmlformats.org/wordprocessingml/2006/main">
  <w:divs>
    <w:div w:id="39092521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https://rms.ucd.ie/rmsv2/images/spacer.gif"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119</Pages>
  <Words>41507</Words>
  <Characters>236590</Characters>
  <Application>Microsoft Office Word</Application>
  <DocSecurity>0</DocSecurity>
  <Lines>1971</Lines>
  <Paragraphs>555</Paragraphs>
  <ScaleCrop>false</ScaleCrop>
  <HeadingPairs>
    <vt:vector size="2" baseType="variant">
      <vt:variant>
        <vt:lpstr>Title</vt:lpstr>
      </vt:variant>
      <vt:variant>
        <vt:i4>1</vt:i4>
      </vt:variant>
    </vt:vector>
  </HeadingPairs>
  <TitlesOfParts>
    <vt:vector size="1" baseType="lpstr">
      <vt:lpstr>ABSTRACT</vt:lpstr>
    </vt:vector>
  </TitlesOfParts>
  <Company>UCD</Company>
  <LinksUpToDate>false</LinksUpToDate>
  <CharactersWithSpaces>277542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ABSTRACT</dc:title>
  <dc:creator>Joanna</dc:creator>
  <cp:lastModifiedBy>Joanna</cp:lastModifiedBy>
  <cp:revision>7</cp:revision>
  <cp:lastPrinted>2010-11-15T15:24:00Z</cp:lastPrinted>
  <dcterms:created xsi:type="dcterms:W3CDTF">2011-12-13T13:13:00Z</dcterms:created>
  <dcterms:modified xsi:type="dcterms:W3CDTF">2011-12-13T16:15:00Z</dcterms:modified>
</cp:coreProperties>
</file>