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753" w:rsidRPr="0009045F" w:rsidRDefault="001F6753" w:rsidP="001F6753">
      <w:pPr>
        <w:spacing w:line="480" w:lineRule="auto"/>
        <w:jc w:val="center"/>
        <w:rPr>
          <w:rFonts w:ascii="Arial" w:hAnsi="Arial" w:cs="Arial"/>
          <w:b/>
          <w:sz w:val="24"/>
          <w:szCs w:val="24"/>
        </w:rPr>
      </w:pPr>
      <w:r w:rsidRPr="00DF43FB">
        <w:rPr>
          <w:rFonts w:ascii="Arial" w:hAnsi="Arial" w:cs="Arial"/>
          <w:b/>
          <w:sz w:val="24"/>
          <w:szCs w:val="24"/>
        </w:rPr>
        <w:t>Different dispersions of group II catalysts over SBA 15 and MCM-41</w:t>
      </w:r>
      <w:r>
        <w:rPr>
          <w:rFonts w:ascii="Arial" w:hAnsi="Arial" w:cs="Arial"/>
          <w:b/>
          <w:sz w:val="24"/>
          <w:szCs w:val="24"/>
        </w:rPr>
        <w:t>:</w:t>
      </w:r>
      <w:r w:rsidRPr="00DF43FB">
        <w:rPr>
          <w:rFonts w:ascii="Arial" w:hAnsi="Arial" w:cs="Arial"/>
          <w:b/>
          <w:sz w:val="24"/>
          <w:szCs w:val="24"/>
        </w:rPr>
        <w:t xml:space="preserve"> Effects on transesterification reactivity</w:t>
      </w:r>
      <w:r w:rsidRPr="0009045F">
        <w:rPr>
          <w:rFonts w:ascii="Arial" w:hAnsi="Arial" w:cs="Arial"/>
          <w:b/>
          <w:sz w:val="24"/>
          <w:szCs w:val="24"/>
        </w:rPr>
        <w:t>.</w:t>
      </w:r>
    </w:p>
    <w:p w:rsidR="001F6753" w:rsidRPr="0009045F" w:rsidRDefault="001F6753" w:rsidP="001F6753">
      <w:pPr>
        <w:spacing w:line="240" w:lineRule="auto"/>
        <w:jc w:val="right"/>
        <w:rPr>
          <w:rFonts w:ascii="Arial" w:hAnsi="Arial" w:cs="Arial"/>
          <w:sz w:val="24"/>
          <w:szCs w:val="24"/>
        </w:rPr>
      </w:pPr>
      <w:r w:rsidRPr="0009045F">
        <w:rPr>
          <w:rFonts w:ascii="Arial" w:hAnsi="Arial" w:cs="Arial"/>
          <w:sz w:val="24"/>
          <w:szCs w:val="24"/>
        </w:rPr>
        <w:t>James A Sullivan* and Linda Sherry,</w:t>
      </w:r>
    </w:p>
    <w:p w:rsidR="001F6753" w:rsidRPr="0009045F" w:rsidRDefault="001F6753" w:rsidP="001F6753">
      <w:pPr>
        <w:spacing w:line="240" w:lineRule="auto"/>
        <w:jc w:val="right"/>
        <w:rPr>
          <w:rFonts w:ascii="Arial" w:hAnsi="Arial" w:cs="Arial"/>
          <w:sz w:val="24"/>
          <w:szCs w:val="24"/>
        </w:rPr>
      </w:pPr>
      <w:r w:rsidRPr="0009045F">
        <w:rPr>
          <w:rFonts w:ascii="Arial" w:hAnsi="Arial" w:cs="Arial"/>
          <w:sz w:val="24"/>
          <w:szCs w:val="24"/>
        </w:rPr>
        <w:t>UCD School of Chemistry and Chemical Biology,</w:t>
      </w:r>
    </w:p>
    <w:p w:rsidR="001F6753" w:rsidRPr="0009045F" w:rsidRDefault="001F6753" w:rsidP="001F6753">
      <w:pPr>
        <w:spacing w:line="240" w:lineRule="auto"/>
        <w:jc w:val="right"/>
        <w:rPr>
          <w:rFonts w:ascii="Arial" w:hAnsi="Arial" w:cs="Arial"/>
          <w:sz w:val="24"/>
          <w:szCs w:val="24"/>
        </w:rPr>
      </w:pPr>
      <w:r w:rsidRPr="0009045F">
        <w:rPr>
          <w:rFonts w:ascii="Arial" w:hAnsi="Arial" w:cs="Arial"/>
          <w:sz w:val="24"/>
          <w:szCs w:val="24"/>
        </w:rPr>
        <w:t>Belfield,</w:t>
      </w:r>
    </w:p>
    <w:p w:rsidR="001F6753" w:rsidRPr="0009045F" w:rsidRDefault="001F6753" w:rsidP="001F6753">
      <w:pPr>
        <w:spacing w:line="240" w:lineRule="auto"/>
        <w:jc w:val="right"/>
        <w:rPr>
          <w:rFonts w:ascii="Arial" w:hAnsi="Arial" w:cs="Arial"/>
          <w:sz w:val="24"/>
          <w:szCs w:val="24"/>
        </w:rPr>
      </w:pPr>
      <w:r w:rsidRPr="0009045F">
        <w:rPr>
          <w:rFonts w:ascii="Arial" w:hAnsi="Arial" w:cs="Arial"/>
          <w:sz w:val="24"/>
          <w:szCs w:val="24"/>
        </w:rPr>
        <w:t>Dublin 4.</w:t>
      </w:r>
    </w:p>
    <w:p w:rsidR="001F6753" w:rsidRPr="0009045F" w:rsidRDefault="001F6753" w:rsidP="001F6753">
      <w:pPr>
        <w:spacing w:line="240" w:lineRule="auto"/>
        <w:jc w:val="right"/>
        <w:rPr>
          <w:rFonts w:ascii="Arial" w:hAnsi="Arial" w:cs="Arial"/>
          <w:sz w:val="24"/>
          <w:szCs w:val="24"/>
        </w:rPr>
      </w:pPr>
      <w:r w:rsidRPr="0009045F">
        <w:rPr>
          <w:rFonts w:ascii="Arial" w:hAnsi="Arial" w:cs="Arial"/>
          <w:sz w:val="24"/>
          <w:szCs w:val="24"/>
        </w:rPr>
        <w:t xml:space="preserve">Email: </w:t>
      </w:r>
      <w:hyperlink r:id="rId6" w:history="1">
        <w:r w:rsidRPr="0009045F">
          <w:rPr>
            <w:rStyle w:val="Hyperlink"/>
            <w:rFonts w:ascii="Arial" w:hAnsi="Arial" w:cs="Arial"/>
            <w:sz w:val="24"/>
            <w:szCs w:val="24"/>
          </w:rPr>
          <w:t>james.sullivan@ucd.ie</w:t>
        </w:r>
      </w:hyperlink>
    </w:p>
    <w:p w:rsidR="001F6753" w:rsidRDefault="001F6753" w:rsidP="001F6753">
      <w:pPr>
        <w:spacing w:line="480" w:lineRule="auto"/>
        <w:jc w:val="both"/>
        <w:rPr>
          <w:rFonts w:ascii="Arial" w:hAnsi="Arial" w:cs="Arial"/>
          <w:sz w:val="24"/>
          <w:szCs w:val="24"/>
        </w:rPr>
      </w:pPr>
      <w:r w:rsidRPr="0009045F">
        <w:rPr>
          <w:rFonts w:ascii="Arial" w:hAnsi="Arial" w:cs="Arial"/>
          <w:b/>
          <w:sz w:val="24"/>
          <w:szCs w:val="24"/>
        </w:rPr>
        <w:t>Abstract</w:t>
      </w:r>
      <w:r w:rsidRPr="0009045F">
        <w:rPr>
          <w:rFonts w:ascii="Arial" w:hAnsi="Arial" w:cs="Arial"/>
          <w:sz w:val="24"/>
          <w:szCs w:val="24"/>
        </w:rPr>
        <w:t>.</w:t>
      </w:r>
      <w:r>
        <w:rPr>
          <w:rFonts w:ascii="Arial" w:hAnsi="Arial" w:cs="Arial"/>
          <w:sz w:val="24"/>
          <w:szCs w:val="24"/>
        </w:rPr>
        <w:tab/>
      </w:r>
      <w:r>
        <w:rPr>
          <w:rFonts w:ascii="Arial" w:hAnsi="Arial" w:cs="Arial"/>
          <w:sz w:val="24"/>
          <w:szCs w:val="24"/>
        </w:rPr>
        <w:t xml:space="preserve">Activities of </w:t>
      </w:r>
      <w:proofErr w:type="spellStart"/>
      <w:r>
        <w:rPr>
          <w:rFonts w:ascii="Arial" w:hAnsi="Arial" w:cs="Arial"/>
          <w:sz w:val="24"/>
          <w:szCs w:val="24"/>
        </w:rPr>
        <w:t>CaO</w:t>
      </w:r>
      <w:proofErr w:type="spellEnd"/>
      <w:r>
        <w:rPr>
          <w:rFonts w:ascii="Arial" w:hAnsi="Arial" w:cs="Arial"/>
          <w:sz w:val="24"/>
          <w:szCs w:val="24"/>
        </w:rPr>
        <w:t xml:space="preserve"> catalysts on SBA-15 and MCM-41 have been compared in transesterification and SBA-15 supported samples invariably more active than those on MCM-41. Increased activity is not due to diffusional effects (as measured using substrates of differing size) but rather to increased dispersion of </w:t>
      </w:r>
      <w:proofErr w:type="spellStart"/>
      <w:r>
        <w:rPr>
          <w:rFonts w:ascii="Arial" w:hAnsi="Arial" w:cs="Arial"/>
          <w:sz w:val="24"/>
          <w:szCs w:val="24"/>
        </w:rPr>
        <w:t>CaO</w:t>
      </w:r>
      <w:proofErr w:type="spellEnd"/>
      <w:r>
        <w:rPr>
          <w:rFonts w:ascii="Arial" w:hAnsi="Arial" w:cs="Arial"/>
          <w:sz w:val="24"/>
          <w:szCs w:val="24"/>
        </w:rPr>
        <w:t xml:space="preserve"> on SBA-15 (as measured using NOx TPD). The effect, i.e. increased reactivity of SBA-15 supported catalysts being related to increased dispersion, is also noted in supported </w:t>
      </w:r>
      <w:proofErr w:type="spellStart"/>
      <w:r>
        <w:rPr>
          <w:rFonts w:ascii="Arial" w:hAnsi="Arial" w:cs="Arial"/>
          <w:sz w:val="24"/>
          <w:szCs w:val="24"/>
        </w:rPr>
        <w:t>BaO</w:t>
      </w:r>
      <w:proofErr w:type="spellEnd"/>
      <w:r>
        <w:rPr>
          <w:rFonts w:ascii="Arial" w:hAnsi="Arial" w:cs="Arial"/>
          <w:sz w:val="24"/>
          <w:szCs w:val="24"/>
        </w:rPr>
        <w:t xml:space="preserve"> catalysts while supported MgCO</w:t>
      </w:r>
      <w:r w:rsidRPr="00AA7523">
        <w:rPr>
          <w:rFonts w:ascii="Arial" w:hAnsi="Arial" w:cs="Arial"/>
          <w:sz w:val="24"/>
          <w:szCs w:val="24"/>
          <w:vertAlign w:val="subscript"/>
        </w:rPr>
        <w:t>3</w:t>
      </w:r>
      <w:r>
        <w:rPr>
          <w:rFonts w:ascii="Arial" w:hAnsi="Arial" w:cs="Arial"/>
          <w:sz w:val="24"/>
          <w:szCs w:val="24"/>
        </w:rPr>
        <w:t xml:space="preserve"> catalysts show little variation in dispersion (or in reactivity) as a function of the support used. </w:t>
      </w:r>
    </w:p>
    <w:p w:rsidR="001F6753" w:rsidRDefault="001F6753" w:rsidP="001F6753">
      <w:pPr>
        <w:spacing w:line="480" w:lineRule="auto"/>
        <w:jc w:val="both"/>
        <w:rPr>
          <w:rFonts w:ascii="Arial" w:hAnsi="Arial" w:cs="Arial"/>
          <w:sz w:val="24"/>
          <w:szCs w:val="24"/>
        </w:rPr>
      </w:pPr>
      <w:r>
        <w:rPr>
          <w:noProof/>
          <w:lang w:val="en-GB" w:eastAsia="en-GB"/>
        </w:rPr>
        <w:drawing>
          <wp:anchor distT="0" distB="0" distL="114300" distR="114300" simplePos="0" relativeHeight="251658240" behindDoc="1" locked="0" layoutInCell="1" allowOverlap="1" wp14:anchorId="35DBB2C2" wp14:editId="48659FFB">
            <wp:simplePos x="0" y="0"/>
            <wp:positionH relativeFrom="column">
              <wp:posOffset>1516820</wp:posOffset>
            </wp:positionH>
            <wp:positionV relativeFrom="paragraph">
              <wp:posOffset>354330</wp:posOffset>
            </wp:positionV>
            <wp:extent cx="4590107" cy="1827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0107" cy="1827458"/>
                    </a:xfrm>
                    <a:prstGeom prst="rect">
                      <a:avLst/>
                    </a:prstGeom>
                    <a:noFill/>
                  </pic:spPr>
                </pic:pic>
              </a:graphicData>
            </a:graphic>
            <wp14:sizeRelH relativeFrom="page">
              <wp14:pctWidth>0</wp14:pctWidth>
            </wp14:sizeRelH>
            <wp14:sizeRelV relativeFrom="page">
              <wp14:pctHeight>0</wp14:pctHeight>
            </wp14:sizeRelV>
          </wp:anchor>
        </w:drawing>
      </w:r>
      <w:r w:rsidRPr="0009045F">
        <w:rPr>
          <w:rFonts w:ascii="Arial" w:hAnsi="Arial" w:cs="Arial"/>
          <w:b/>
          <w:sz w:val="24"/>
          <w:szCs w:val="24"/>
        </w:rPr>
        <w:t>Keywords:</w:t>
      </w:r>
      <w:r w:rsidRPr="0009045F">
        <w:rPr>
          <w:rFonts w:ascii="Arial" w:hAnsi="Arial" w:cs="Arial"/>
          <w:sz w:val="24"/>
          <w:szCs w:val="24"/>
        </w:rPr>
        <w:t xml:space="preserve"> mesoporous SiO</w:t>
      </w:r>
      <w:r w:rsidRPr="0009045F">
        <w:rPr>
          <w:rFonts w:ascii="Arial" w:hAnsi="Arial" w:cs="Arial"/>
          <w:sz w:val="24"/>
          <w:szCs w:val="24"/>
          <w:vertAlign w:val="subscript"/>
        </w:rPr>
        <w:t>2</w:t>
      </w:r>
      <w:r w:rsidRPr="0009045F">
        <w:rPr>
          <w:rFonts w:ascii="Arial" w:hAnsi="Arial" w:cs="Arial"/>
          <w:sz w:val="24"/>
          <w:szCs w:val="24"/>
        </w:rPr>
        <w:t>, catalyst characterisation</w:t>
      </w:r>
      <w:r>
        <w:rPr>
          <w:rFonts w:ascii="Arial" w:hAnsi="Arial" w:cs="Arial"/>
          <w:sz w:val="24"/>
          <w:szCs w:val="24"/>
        </w:rPr>
        <w:t>,</w:t>
      </w:r>
      <w:r w:rsidRPr="00BB4F43">
        <w:rPr>
          <w:rFonts w:ascii="Arial" w:hAnsi="Arial" w:cs="Arial"/>
          <w:sz w:val="24"/>
          <w:szCs w:val="24"/>
        </w:rPr>
        <w:t xml:space="preserve"> </w:t>
      </w:r>
      <w:r>
        <w:rPr>
          <w:rFonts w:ascii="Arial" w:hAnsi="Arial" w:cs="Arial"/>
          <w:sz w:val="24"/>
          <w:szCs w:val="24"/>
        </w:rPr>
        <w:t>transesterification.</w:t>
      </w:r>
    </w:p>
    <w:p w:rsidR="001F6753" w:rsidRDefault="001F6753"/>
    <w:p w:rsidR="001F6753" w:rsidRPr="001F6753" w:rsidRDefault="001F6753">
      <w:pPr>
        <w:rPr>
          <w:color w:val="FF0000"/>
          <w:sz w:val="28"/>
          <w:szCs w:val="28"/>
        </w:rPr>
      </w:pPr>
      <w:r w:rsidRPr="001F6753">
        <w:rPr>
          <w:color w:val="FF0000"/>
          <w:sz w:val="28"/>
          <w:szCs w:val="28"/>
        </w:rPr>
        <w:t>Graphical Abstract</w:t>
      </w:r>
    </w:p>
    <w:p w:rsidR="001F6753" w:rsidRDefault="001F6753"/>
    <w:p w:rsidR="001F6753" w:rsidRDefault="001F6753"/>
    <w:p w:rsidR="001F6753" w:rsidRDefault="001F6753"/>
    <w:p w:rsidR="001F6753" w:rsidRDefault="001F6753"/>
    <w:p w:rsidR="004C7A1C" w:rsidRDefault="00A62A8C">
      <w:r>
        <w:t>Research highlights</w:t>
      </w:r>
    </w:p>
    <w:p w:rsidR="00A62A8C" w:rsidRDefault="002C370B" w:rsidP="00A62A8C">
      <w:pPr>
        <w:pStyle w:val="ListParagraph"/>
        <w:numPr>
          <w:ilvl w:val="0"/>
          <w:numId w:val="1"/>
        </w:numPr>
        <w:ind w:left="567"/>
      </w:pPr>
      <w:r>
        <w:t xml:space="preserve">SBA-15 supported catalysts are </w:t>
      </w:r>
      <w:r w:rsidR="00517BF7">
        <w:t xml:space="preserve">more active </w:t>
      </w:r>
      <w:r>
        <w:t>than MCM-41 supported analogues</w:t>
      </w:r>
    </w:p>
    <w:p w:rsidR="00A62A8C" w:rsidRDefault="002C370B" w:rsidP="001077B1">
      <w:pPr>
        <w:pStyle w:val="ListParagraph"/>
        <w:numPr>
          <w:ilvl w:val="0"/>
          <w:numId w:val="1"/>
        </w:numPr>
        <w:ind w:left="567"/>
      </w:pPr>
      <w:r>
        <w:t>The effect is independent of the nature of the active p</w:t>
      </w:r>
      <w:r w:rsidR="001077B1">
        <w:t>hase (Ca/</w:t>
      </w:r>
      <w:r>
        <w:t>Ba)</w:t>
      </w:r>
    </w:p>
    <w:p w:rsidR="005E2A66" w:rsidRDefault="00517BF7" w:rsidP="005E2A66">
      <w:pPr>
        <w:pStyle w:val="ListParagraph"/>
        <w:numPr>
          <w:ilvl w:val="0"/>
          <w:numId w:val="1"/>
        </w:numPr>
        <w:ind w:left="567"/>
      </w:pPr>
      <w:r>
        <w:t xml:space="preserve">It is also </w:t>
      </w:r>
      <w:r w:rsidR="002C370B">
        <w:t>independent of the condition of the mesoporous SiO</w:t>
      </w:r>
      <w:r w:rsidR="002C370B" w:rsidRPr="002C370B">
        <w:rPr>
          <w:vertAlign w:val="subscript"/>
        </w:rPr>
        <w:t>2</w:t>
      </w:r>
      <w:r w:rsidR="002C370B">
        <w:t xml:space="preserve"> </w:t>
      </w:r>
      <w:r>
        <w:t>and substrate size</w:t>
      </w:r>
    </w:p>
    <w:p w:rsidR="005E2A66" w:rsidRDefault="005E2A66" w:rsidP="005E2A66">
      <w:pPr>
        <w:pStyle w:val="ListParagraph"/>
        <w:numPr>
          <w:ilvl w:val="0"/>
          <w:numId w:val="1"/>
        </w:numPr>
        <w:ind w:left="567"/>
      </w:pPr>
      <w:r>
        <w:t>Ba</w:t>
      </w:r>
      <w:r w:rsidRPr="00517BF7">
        <w:rPr>
          <w:vertAlign w:val="superscript"/>
        </w:rPr>
        <w:t>2+</w:t>
      </w:r>
      <w:r>
        <w:t xml:space="preserve"> and Ca</w:t>
      </w:r>
      <w:r w:rsidRPr="00517BF7">
        <w:rPr>
          <w:vertAlign w:val="superscript"/>
        </w:rPr>
        <w:t>2+</w:t>
      </w:r>
      <w:r>
        <w:t xml:space="preserve"> active phases are more dispersed on SBA-15 than on MCM-41</w:t>
      </w:r>
    </w:p>
    <w:p w:rsidR="001F6753" w:rsidRPr="001F6753" w:rsidRDefault="001F6753" w:rsidP="001F6753">
      <w:pPr>
        <w:spacing w:line="480" w:lineRule="auto"/>
        <w:jc w:val="both"/>
        <w:rPr>
          <w:rFonts w:ascii="Arial" w:hAnsi="Arial" w:cs="Arial"/>
          <w:b/>
          <w:sz w:val="24"/>
          <w:szCs w:val="24"/>
        </w:rPr>
      </w:pPr>
      <w:r>
        <w:rPr>
          <w:rFonts w:ascii="Arial" w:hAnsi="Arial" w:cs="Arial"/>
          <w:b/>
          <w:sz w:val="24"/>
          <w:szCs w:val="24"/>
        </w:rPr>
        <w:lastRenderedPageBreak/>
        <w:t>1</w:t>
      </w:r>
      <w:r>
        <w:rPr>
          <w:rFonts w:ascii="Arial" w:hAnsi="Arial" w:cs="Arial"/>
          <w:b/>
          <w:sz w:val="24"/>
          <w:szCs w:val="24"/>
        </w:rPr>
        <w:tab/>
      </w:r>
      <w:r w:rsidRPr="001F6753">
        <w:rPr>
          <w:rFonts w:ascii="Arial" w:hAnsi="Arial" w:cs="Arial"/>
          <w:b/>
          <w:sz w:val="24"/>
          <w:szCs w:val="24"/>
        </w:rPr>
        <w:t>Introduction</w:t>
      </w:r>
    </w:p>
    <w:p w:rsidR="001F6753" w:rsidRDefault="001F6753" w:rsidP="001F6753">
      <w:pPr>
        <w:spacing w:line="480" w:lineRule="auto"/>
        <w:jc w:val="both"/>
        <w:rPr>
          <w:rFonts w:ascii="Arial" w:hAnsi="Arial" w:cs="Arial"/>
          <w:sz w:val="24"/>
          <w:szCs w:val="24"/>
        </w:rPr>
      </w:pPr>
      <w:r>
        <w:rPr>
          <w:rFonts w:ascii="Arial" w:hAnsi="Arial" w:cs="Arial"/>
          <w:sz w:val="24"/>
          <w:szCs w:val="24"/>
        </w:rPr>
        <w:t>MCM-41 and SBA-15 mesoporous SiO</w:t>
      </w:r>
      <w:r w:rsidRPr="005D3D33">
        <w:rPr>
          <w:rFonts w:ascii="Arial" w:hAnsi="Arial" w:cs="Arial"/>
          <w:sz w:val="24"/>
          <w:szCs w:val="24"/>
          <w:vertAlign w:val="subscript"/>
        </w:rPr>
        <w:t>2</w:t>
      </w:r>
      <w:r>
        <w:rPr>
          <w:rFonts w:ascii="Arial" w:hAnsi="Arial" w:cs="Arial"/>
          <w:sz w:val="24"/>
          <w:szCs w:val="24"/>
        </w:rPr>
        <w:t xml:space="preserve"> materials have found wide application as catalyst supports since they were first developed [1-4]. In several specific reactions it has been found that SBA-15 supported materials are more active and stable catalysts and this has been related to their larger pore sizes (which mitigates against diffusional constraints) and their thicker pore walls (which promotes the maintenance of structural stability). These features have also been used to explain the benefits of SBA-15 over MCM-41 as supports for alkaline earth catalysts in the important triglyceride transesterification reaction [5, 6].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Triglycerides consist of three long chain fatty acid esters on a glycerol backbone. They are the principal components of vegetable oils and animal fats and recently there has been significant interest in their conversion to fatty acid methyl esters (FAME) [7] and use as biodiesel fuel substitutes.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Under ideal conditions (notwithstanding social, economic and other serious environmental problems associated with their use [8, 9]) such molecules </w:t>
      </w:r>
      <w:r w:rsidRPr="007A57E6">
        <w:rPr>
          <w:rFonts w:ascii="Arial" w:hAnsi="Arial" w:cs="Arial"/>
          <w:sz w:val="24"/>
          <w:szCs w:val="24"/>
        </w:rPr>
        <w:t>might</w:t>
      </w:r>
      <w:r>
        <w:rPr>
          <w:rFonts w:ascii="Arial" w:hAnsi="Arial" w:cs="Arial"/>
          <w:sz w:val="24"/>
          <w:szCs w:val="24"/>
        </w:rPr>
        <w:t xml:space="preserve"> provide a carbon-neutral fuel supply to augment or substitute hydrocarbon fuels that are currently derived from non-renewable petroleum resources [10].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Traditionally, the catalysts used to promote the transesterification reaction have been aqueous phase basic materials such as solutions of </w:t>
      </w:r>
      <w:proofErr w:type="spellStart"/>
      <w:r>
        <w:rPr>
          <w:rFonts w:ascii="Arial" w:hAnsi="Arial" w:cs="Arial"/>
          <w:sz w:val="24"/>
          <w:szCs w:val="24"/>
        </w:rPr>
        <w:t>NaOH</w:t>
      </w:r>
      <w:proofErr w:type="spellEnd"/>
      <w:r>
        <w:rPr>
          <w:rFonts w:ascii="Arial" w:hAnsi="Arial" w:cs="Arial"/>
          <w:sz w:val="24"/>
          <w:szCs w:val="24"/>
        </w:rPr>
        <w:t xml:space="preserve"> or KOH [11]. There are several problems associated with these catalytic solutions, including separation and recycling issues, the production of alkaline waste streams and the formation of soaps within the reaction mixture [12]. </w:t>
      </w:r>
    </w:p>
    <w:p w:rsidR="001F6753" w:rsidRDefault="001F6753" w:rsidP="001F6753">
      <w:pPr>
        <w:spacing w:line="480" w:lineRule="auto"/>
        <w:jc w:val="both"/>
        <w:rPr>
          <w:rFonts w:ascii="Arial" w:hAnsi="Arial" w:cs="Arial"/>
          <w:sz w:val="24"/>
          <w:szCs w:val="24"/>
        </w:rPr>
      </w:pPr>
      <w:r>
        <w:rPr>
          <w:rFonts w:ascii="Arial" w:hAnsi="Arial" w:cs="Arial"/>
          <w:sz w:val="24"/>
          <w:szCs w:val="24"/>
        </w:rPr>
        <w:lastRenderedPageBreak/>
        <w:t>These problems have led to a significant amount of research into solid acid [13] and basic [14-17] catalysts to carry out the transesterification reaction. Of the basic materials that have been studied, supported and unsupported group II oxide materials are amongst the most prevalent.</w:t>
      </w:r>
    </w:p>
    <w:p w:rsidR="001F6753" w:rsidRDefault="001F6753" w:rsidP="001F6753">
      <w:pPr>
        <w:spacing w:line="480" w:lineRule="auto"/>
        <w:jc w:val="both"/>
        <w:rPr>
          <w:rFonts w:ascii="Arial" w:hAnsi="Arial" w:cs="Arial"/>
          <w:sz w:val="24"/>
          <w:szCs w:val="24"/>
        </w:rPr>
      </w:pPr>
      <w:r>
        <w:rPr>
          <w:rFonts w:ascii="Arial" w:hAnsi="Arial" w:cs="Arial"/>
          <w:sz w:val="24"/>
          <w:szCs w:val="24"/>
        </w:rPr>
        <w:t>Various types of mesoporous SiO</w:t>
      </w:r>
      <w:r w:rsidRPr="00256DE9">
        <w:rPr>
          <w:rFonts w:ascii="Arial" w:hAnsi="Arial" w:cs="Arial"/>
          <w:sz w:val="24"/>
          <w:szCs w:val="24"/>
          <w:vertAlign w:val="subscript"/>
        </w:rPr>
        <w:t>2</w:t>
      </w:r>
      <w:r>
        <w:rPr>
          <w:rFonts w:ascii="Arial" w:hAnsi="Arial" w:cs="Arial"/>
          <w:sz w:val="24"/>
          <w:szCs w:val="24"/>
        </w:rPr>
        <w:t xml:space="preserve"> (MPS), in particular MCM-41 and SBA-15 have been used as such supports. Of specific relevance to this work, </w:t>
      </w:r>
      <w:proofErr w:type="spellStart"/>
      <w:r w:rsidRPr="00ED54CC">
        <w:rPr>
          <w:rFonts w:ascii="Arial" w:hAnsi="Arial" w:cs="Arial"/>
          <w:sz w:val="24"/>
          <w:szCs w:val="24"/>
        </w:rPr>
        <w:t>Maireles</w:t>
      </w:r>
      <w:proofErr w:type="spellEnd"/>
      <w:r w:rsidRPr="00ED54CC">
        <w:rPr>
          <w:rFonts w:ascii="Arial" w:hAnsi="Arial" w:cs="Arial"/>
          <w:sz w:val="24"/>
          <w:szCs w:val="24"/>
        </w:rPr>
        <w:t>-Torres</w:t>
      </w:r>
      <w:r>
        <w:rPr>
          <w:rFonts w:ascii="Arial" w:hAnsi="Arial" w:cs="Arial"/>
          <w:sz w:val="24"/>
          <w:szCs w:val="24"/>
        </w:rPr>
        <w:t xml:space="preserve"> </w:t>
      </w:r>
      <w:r w:rsidRPr="00DC67BC">
        <w:rPr>
          <w:rFonts w:ascii="Arial" w:hAnsi="Arial" w:cs="Arial"/>
          <w:i/>
          <w:sz w:val="24"/>
          <w:szCs w:val="24"/>
        </w:rPr>
        <w:t>et al</w:t>
      </w:r>
      <w:r w:rsidRPr="00DC67BC">
        <w:rPr>
          <w:rFonts w:ascii="Arial" w:hAnsi="Arial" w:cs="Arial"/>
          <w:sz w:val="24"/>
          <w:szCs w:val="24"/>
        </w:rPr>
        <w:t>.</w:t>
      </w:r>
      <w:r>
        <w:rPr>
          <w:rFonts w:ascii="Arial" w:hAnsi="Arial" w:cs="Arial"/>
          <w:sz w:val="24"/>
          <w:szCs w:val="24"/>
        </w:rPr>
        <w:t xml:space="preserve"> [5] have studied supported </w:t>
      </w:r>
      <w:proofErr w:type="spellStart"/>
      <w:r>
        <w:rPr>
          <w:rFonts w:ascii="Arial" w:hAnsi="Arial" w:cs="Arial"/>
          <w:sz w:val="24"/>
          <w:szCs w:val="24"/>
        </w:rPr>
        <w:t>CaO</w:t>
      </w:r>
      <w:proofErr w:type="spellEnd"/>
      <w:r>
        <w:rPr>
          <w:rFonts w:ascii="Arial" w:hAnsi="Arial" w:cs="Arial"/>
          <w:sz w:val="24"/>
          <w:szCs w:val="24"/>
        </w:rPr>
        <w:t xml:space="preserve"> on MCM and SBA-15 and report that the latter support formed more active catalysts. They ascribed this to the increased stability of SBA-15 over MCM-41. Li and Rudolf [6] have noted a similar effect on </w:t>
      </w:r>
      <w:proofErr w:type="spellStart"/>
      <w:r>
        <w:rPr>
          <w:rFonts w:ascii="Arial" w:hAnsi="Arial" w:cs="Arial"/>
          <w:sz w:val="24"/>
          <w:szCs w:val="24"/>
        </w:rPr>
        <w:t>MgO</w:t>
      </w:r>
      <w:proofErr w:type="spellEnd"/>
      <w:r>
        <w:rPr>
          <w:rFonts w:ascii="Arial" w:hAnsi="Arial" w:cs="Arial"/>
          <w:sz w:val="24"/>
          <w:szCs w:val="24"/>
        </w:rPr>
        <w:t xml:space="preserve"> supported catalysts (albeit at significantly higher temperatures (220 °C)) when they compared SBA-15, MCM-41 and KIT as supports.</w:t>
      </w:r>
    </w:p>
    <w:p w:rsidR="001F6753" w:rsidRDefault="001F6753" w:rsidP="001F6753">
      <w:pPr>
        <w:spacing w:line="480" w:lineRule="auto"/>
        <w:jc w:val="both"/>
        <w:rPr>
          <w:rFonts w:ascii="Arial" w:hAnsi="Arial" w:cs="Arial"/>
          <w:sz w:val="24"/>
          <w:szCs w:val="24"/>
        </w:rPr>
      </w:pPr>
      <w:r w:rsidRPr="00C20B20">
        <w:rPr>
          <w:rFonts w:ascii="Arial" w:hAnsi="Arial" w:cs="Arial"/>
          <w:sz w:val="24"/>
          <w:szCs w:val="24"/>
        </w:rPr>
        <w:t>Here we have looked</w:t>
      </w:r>
      <w:r>
        <w:rPr>
          <w:rFonts w:ascii="Arial" w:hAnsi="Arial" w:cs="Arial"/>
          <w:sz w:val="24"/>
          <w:szCs w:val="24"/>
        </w:rPr>
        <w:t xml:space="preserve"> </w:t>
      </w:r>
      <w:r w:rsidRPr="00C20B20">
        <w:rPr>
          <w:rFonts w:ascii="Arial" w:hAnsi="Arial" w:cs="Arial"/>
          <w:sz w:val="24"/>
          <w:szCs w:val="24"/>
        </w:rPr>
        <w:t xml:space="preserve">at the </w:t>
      </w:r>
      <w:r>
        <w:rPr>
          <w:rFonts w:ascii="Arial" w:hAnsi="Arial" w:cs="Arial"/>
          <w:sz w:val="24"/>
          <w:szCs w:val="24"/>
        </w:rPr>
        <w:t>re</w:t>
      </w:r>
      <w:r w:rsidRPr="00C20B20">
        <w:rPr>
          <w:rFonts w:ascii="Arial" w:hAnsi="Arial" w:cs="Arial"/>
          <w:sz w:val="24"/>
          <w:szCs w:val="24"/>
        </w:rPr>
        <w:t xml:space="preserve">activity of </w:t>
      </w:r>
      <w:r>
        <w:rPr>
          <w:rFonts w:ascii="Arial" w:hAnsi="Arial" w:cs="Arial"/>
          <w:sz w:val="24"/>
          <w:szCs w:val="24"/>
        </w:rPr>
        <w:t xml:space="preserve">model </w:t>
      </w:r>
      <w:proofErr w:type="spellStart"/>
      <w:r>
        <w:rPr>
          <w:rFonts w:ascii="Arial" w:hAnsi="Arial" w:cs="Arial"/>
          <w:sz w:val="24"/>
          <w:szCs w:val="24"/>
        </w:rPr>
        <w:t>CaO</w:t>
      </w:r>
      <w:proofErr w:type="spellEnd"/>
      <w:r>
        <w:rPr>
          <w:rFonts w:ascii="Arial" w:hAnsi="Arial" w:cs="Arial"/>
          <w:sz w:val="24"/>
          <w:szCs w:val="24"/>
        </w:rPr>
        <w:t xml:space="preserve"> / MPS catalysts (where MPS is </w:t>
      </w:r>
      <w:r w:rsidRPr="00C20B20">
        <w:rPr>
          <w:rFonts w:ascii="Arial" w:hAnsi="Arial" w:cs="Arial"/>
          <w:sz w:val="24"/>
          <w:szCs w:val="24"/>
        </w:rPr>
        <w:t xml:space="preserve">MCM-41 </w:t>
      </w:r>
      <w:r>
        <w:rPr>
          <w:rFonts w:ascii="Arial" w:hAnsi="Arial" w:cs="Arial"/>
          <w:sz w:val="24"/>
          <w:szCs w:val="24"/>
        </w:rPr>
        <w:t xml:space="preserve">or </w:t>
      </w:r>
      <w:r w:rsidRPr="00C20B20">
        <w:rPr>
          <w:rFonts w:ascii="Arial" w:hAnsi="Arial" w:cs="Arial"/>
          <w:sz w:val="24"/>
          <w:szCs w:val="24"/>
        </w:rPr>
        <w:t>SBA-15</w:t>
      </w:r>
      <w:r>
        <w:rPr>
          <w:rFonts w:ascii="Arial" w:hAnsi="Arial" w:cs="Arial"/>
          <w:sz w:val="24"/>
          <w:szCs w:val="24"/>
        </w:rPr>
        <w:t>)</w:t>
      </w:r>
      <w:r w:rsidRPr="00C20B20">
        <w:rPr>
          <w:rFonts w:ascii="Arial" w:hAnsi="Arial" w:cs="Arial"/>
          <w:sz w:val="24"/>
          <w:szCs w:val="24"/>
        </w:rPr>
        <w:t xml:space="preserve"> </w:t>
      </w:r>
      <w:r>
        <w:rPr>
          <w:rFonts w:ascii="Arial" w:hAnsi="Arial" w:cs="Arial"/>
          <w:sz w:val="24"/>
          <w:szCs w:val="24"/>
        </w:rPr>
        <w:t xml:space="preserve">under conditions where structural stability is not compromised (50 °C, atmospheric pressure, in the absence of any extreme pH) and noted similar results. </w:t>
      </w:r>
    </w:p>
    <w:p w:rsidR="001F6753" w:rsidRDefault="001F6753" w:rsidP="001F6753">
      <w:pPr>
        <w:spacing w:line="480" w:lineRule="auto"/>
        <w:jc w:val="both"/>
        <w:rPr>
          <w:rFonts w:ascii="Arial" w:hAnsi="Arial" w:cs="Arial"/>
          <w:sz w:val="24"/>
          <w:szCs w:val="24"/>
        </w:rPr>
      </w:pPr>
      <w:r>
        <w:rPr>
          <w:rFonts w:ascii="Arial" w:hAnsi="Arial" w:cs="Arial"/>
          <w:sz w:val="24"/>
          <w:szCs w:val="24"/>
        </w:rPr>
        <w:t>We have explored whether the increased reactivity is related to diffusional effects (through the use of differently sized triglyceride reactants) and dispersion of the active phase (through the use of NOx TPD measurements) and concluded that the group II active phase is more dispersed on the SBA-15 support than the MCM-41 analogue. We propose that this effect is responsible for the increased catalytic reactivity of the SBA-15 supported materials. We show the effect (increased activity and increased active phase dispersion) is also present in related Ba-containing catalysts while Mg-containing analogues show similar activities to one another (and interestingly also have similar active phase dispersions).</w:t>
      </w:r>
    </w:p>
    <w:p w:rsidR="001F6753" w:rsidRPr="001F6753" w:rsidRDefault="001F6753" w:rsidP="001F6753">
      <w:pPr>
        <w:spacing w:line="480" w:lineRule="auto"/>
        <w:jc w:val="both"/>
        <w:rPr>
          <w:rFonts w:ascii="Arial" w:hAnsi="Arial" w:cs="Arial"/>
          <w:b/>
          <w:sz w:val="24"/>
          <w:szCs w:val="24"/>
        </w:rPr>
      </w:pPr>
      <w:r>
        <w:rPr>
          <w:rFonts w:ascii="Arial" w:hAnsi="Arial" w:cs="Arial"/>
          <w:b/>
          <w:sz w:val="24"/>
          <w:szCs w:val="24"/>
        </w:rPr>
        <w:lastRenderedPageBreak/>
        <w:t>2</w:t>
      </w:r>
      <w:r>
        <w:rPr>
          <w:rFonts w:ascii="Arial" w:hAnsi="Arial" w:cs="Arial"/>
          <w:b/>
          <w:sz w:val="24"/>
          <w:szCs w:val="24"/>
        </w:rPr>
        <w:tab/>
      </w:r>
      <w:r w:rsidRPr="001F6753">
        <w:rPr>
          <w:rFonts w:ascii="Arial" w:hAnsi="Arial" w:cs="Arial"/>
          <w:b/>
          <w:sz w:val="24"/>
          <w:szCs w:val="24"/>
        </w:rPr>
        <w:t>Experimental</w:t>
      </w:r>
    </w:p>
    <w:p w:rsidR="001F6753" w:rsidRPr="00C07801" w:rsidRDefault="001F6753" w:rsidP="001F6753">
      <w:pPr>
        <w:spacing w:line="480" w:lineRule="auto"/>
        <w:jc w:val="both"/>
        <w:rPr>
          <w:rFonts w:ascii="Arial" w:hAnsi="Arial" w:cs="Arial"/>
          <w:b/>
          <w:sz w:val="24"/>
          <w:szCs w:val="24"/>
        </w:rPr>
      </w:pPr>
      <w:r>
        <w:rPr>
          <w:rFonts w:ascii="Arial" w:hAnsi="Arial" w:cs="Arial"/>
          <w:b/>
          <w:sz w:val="24"/>
          <w:szCs w:val="24"/>
        </w:rPr>
        <w:t>2.1</w:t>
      </w:r>
      <w:r>
        <w:rPr>
          <w:rFonts w:ascii="Arial" w:hAnsi="Arial" w:cs="Arial"/>
          <w:b/>
          <w:sz w:val="24"/>
          <w:szCs w:val="24"/>
        </w:rPr>
        <w:tab/>
        <w:t>Preparation of Mesoporous SiO</w:t>
      </w:r>
      <w:r w:rsidRPr="00C07801">
        <w:rPr>
          <w:rFonts w:ascii="Arial" w:hAnsi="Arial" w:cs="Arial"/>
          <w:b/>
          <w:sz w:val="24"/>
          <w:szCs w:val="24"/>
          <w:vertAlign w:val="subscript"/>
        </w:rPr>
        <w:t>2</w:t>
      </w:r>
      <w:r>
        <w:rPr>
          <w:rFonts w:ascii="Arial" w:hAnsi="Arial" w:cs="Arial"/>
          <w:b/>
          <w:sz w:val="24"/>
          <w:szCs w:val="24"/>
        </w:rPr>
        <w:t xml:space="preserve"> </w:t>
      </w:r>
      <w:r w:rsidRPr="00C07801">
        <w:rPr>
          <w:rFonts w:ascii="Arial" w:hAnsi="Arial" w:cs="Arial"/>
          <w:b/>
          <w:sz w:val="24"/>
          <w:szCs w:val="24"/>
        </w:rPr>
        <w:t xml:space="preserve">Materials </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rPr>
        <w:t xml:space="preserve">The materials used in the preparation of MCM-41 were </w:t>
      </w:r>
      <w:proofErr w:type="spellStart"/>
      <w:r w:rsidRPr="0009045F">
        <w:rPr>
          <w:rFonts w:ascii="Arial" w:hAnsi="Arial" w:cs="Arial"/>
          <w:sz w:val="24"/>
          <w:szCs w:val="24"/>
        </w:rPr>
        <w:t>tetraethylorthosilicate</w:t>
      </w:r>
      <w:proofErr w:type="spellEnd"/>
      <w:r w:rsidRPr="0009045F">
        <w:rPr>
          <w:rFonts w:ascii="Arial" w:hAnsi="Arial" w:cs="Arial"/>
          <w:sz w:val="24"/>
          <w:szCs w:val="24"/>
        </w:rPr>
        <w:t xml:space="preserve"> (TEOS) as the silica source, </w:t>
      </w:r>
      <w:proofErr w:type="spellStart"/>
      <w:r w:rsidRPr="0009045F">
        <w:rPr>
          <w:rFonts w:ascii="Arial" w:hAnsi="Arial" w:cs="Arial"/>
          <w:sz w:val="24"/>
          <w:szCs w:val="24"/>
        </w:rPr>
        <w:t>cetyltrimethylammonium</w:t>
      </w:r>
      <w:proofErr w:type="spellEnd"/>
      <w:r w:rsidRPr="0009045F">
        <w:rPr>
          <w:rFonts w:ascii="Arial" w:hAnsi="Arial" w:cs="Arial"/>
          <w:sz w:val="24"/>
          <w:szCs w:val="24"/>
        </w:rPr>
        <w:t xml:space="preserve"> bromide (CTAB) as the surfactant, NH</w:t>
      </w:r>
      <w:r w:rsidRPr="0009045F">
        <w:rPr>
          <w:rFonts w:ascii="Arial" w:hAnsi="Arial" w:cs="Arial"/>
          <w:sz w:val="24"/>
          <w:szCs w:val="24"/>
          <w:vertAlign w:val="subscript"/>
        </w:rPr>
        <w:t>4</w:t>
      </w:r>
      <w:r w:rsidRPr="0009045F">
        <w:rPr>
          <w:rFonts w:ascii="Arial" w:hAnsi="Arial" w:cs="Arial"/>
          <w:sz w:val="24"/>
          <w:szCs w:val="24"/>
        </w:rPr>
        <w:t>OH (for pH control) and distilled H</w:t>
      </w:r>
      <w:r w:rsidRPr="004C5116">
        <w:rPr>
          <w:rFonts w:ascii="Arial" w:hAnsi="Arial" w:cs="Arial"/>
          <w:sz w:val="24"/>
          <w:szCs w:val="24"/>
          <w:vertAlign w:val="subscript"/>
        </w:rPr>
        <w:t>2</w:t>
      </w:r>
      <w:r w:rsidRPr="0009045F">
        <w:rPr>
          <w:rFonts w:ascii="Arial" w:hAnsi="Arial" w:cs="Arial"/>
          <w:sz w:val="24"/>
          <w:szCs w:val="24"/>
        </w:rPr>
        <w:t xml:space="preserve">O. Many synthesis procedures have been detailed in the preparation of MCM-41 and we have adapted that of </w:t>
      </w:r>
      <w:proofErr w:type="spellStart"/>
      <w:proofErr w:type="gramStart"/>
      <w:r w:rsidRPr="0009045F">
        <w:rPr>
          <w:rFonts w:ascii="Arial" w:hAnsi="Arial" w:cs="Arial"/>
          <w:sz w:val="24"/>
          <w:szCs w:val="24"/>
        </w:rPr>
        <w:t>Cai</w:t>
      </w:r>
      <w:proofErr w:type="spellEnd"/>
      <w:r w:rsidRPr="0009045F">
        <w:rPr>
          <w:rFonts w:ascii="Arial" w:hAnsi="Arial" w:cs="Arial"/>
          <w:sz w:val="24"/>
          <w:szCs w:val="24"/>
        </w:rPr>
        <w:t xml:space="preserve"> </w:t>
      </w:r>
      <w:r w:rsidRPr="0009045F">
        <w:rPr>
          <w:rFonts w:ascii="Arial" w:hAnsi="Arial" w:cs="Arial"/>
          <w:i/>
          <w:sz w:val="24"/>
          <w:szCs w:val="24"/>
        </w:rPr>
        <w:t>et al</w:t>
      </w:r>
      <w:proofErr w:type="gramEnd"/>
      <w:r w:rsidRPr="0009045F">
        <w:rPr>
          <w:rFonts w:ascii="Arial" w:hAnsi="Arial" w:cs="Arial"/>
          <w:i/>
          <w:sz w:val="24"/>
          <w:szCs w:val="24"/>
        </w:rPr>
        <w:t>.</w:t>
      </w:r>
      <w:r w:rsidRPr="0009045F">
        <w:rPr>
          <w:rFonts w:ascii="Arial" w:hAnsi="Arial" w:cs="Arial"/>
          <w:sz w:val="24"/>
          <w:szCs w:val="24"/>
        </w:rPr>
        <w:t xml:space="preserve"> first reported in 2001 [</w:t>
      </w:r>
      <w:r>
        <w:rPr>
          <w:rFonts w:ascii="Arial" w:hAnsi="Arial" w:cs="Arial"/>
          <w:sz w:val="24"/>
          <w:szCs w:val="24"/>
        </w:rPr>
        <w:t>18</w:t>
      </w:r>
      <w:r w:rsidRPr="0009045F">
        <w:rPr>
          <w:rFonts w:ascii="Arial" w:hAnsi="Arial" w:cs="Arial"/>
          <w:sz w:val="24"/>
          <w:szCs w:val="24"/>
        </w:rPr>
        <w:t>].</w:t>
      </w:r>
    </w:p>
    <w:p w:rsidR="001F6753" w:rsidRPr="0009045F" w:rsidRDefault="001F6753" w:rsidP="001F6753">
      <w:pPr>
        <w:spacing w:line="480" w:lineRule="auto"/>
        <w:jc w:val="both"/>
        <w:rPr>
          <w:rFonts w:ascii="Arial" w:hAnsi="Arial" w:cs="Arial"/>
          <w:sz w:val="24"/>
          <w:szCs w:val="24"/>
        </w:rPr>
      </w:pPr>
      <w:r>
        <w:rPr>
          <w:rFonts w:ascii="Arial" w:hAnsi="Arial" w:cs="Arial"/>
          <w:sz w:val="24"/>
          <w:szCs w:val="24"/>
        </w:rPr>
        <w:t>Changes to the above</w:t>
      </w:r>
      <w:r w:rsidRPr="0009045F">
        <w:rPr>
          <w:rFonts w:ascii="Arial" w:hAnsi="Arial" w:cs="Arial"/>
          <w:sz w:val="24"/>
          <w:szCs w:val="24"/>
        </w:rPr>
        <w:t xml:space="preserve"> used in the preparation of the SBA-15 catalysts </w:t>
      </w:r>
      <w:r>
        <w:rPr>
          <w:rFonts w:ascii="Arial" w:hAnsi="Arial" w:cs="Arial"/>
          <w:sz w:val="24"/>
          <w:szCs w:val="24"/>
        </w:rPr>
        <w:t xml:space="preserve">involved the use of </w:t>
      </w:r>
      <w:proofErr w:type="spellStart"/>
      <w:r w:rsidRPr="0009045F">
        <w:rPr>
          <w:rFonts w:ascii="Arial" w:hAnsi="Arial" w:cs="Arial"/>
          <w:sz w:val="24"/>
          <w:szCs w:val="24"/>
        </w:rPr>
        <w:t>pluronic</w:t>
      </w:r>
      <w:proofErr w:type="spellEnd"/>
      <w:r w:rsidRPr="0009045F">
        <w:rPr>
          <w:rFonts w:ascii="Arial" w:hAnsi="Arial" w:cs="Arial"/>
          <w:sz w:val="24"/>
          <w:szCs w:val="24"/>
        </w:rPr>
        <w:t xml:space="preserve"> 123 as the surfactant</w:t>
      </w:r>
      <w:r>
        <w:rPr>
          <w:rFonts w:ascii="Arial" w:hAnsi="Arial" w:cs="Arial"/>
          <w:sz w:val="24"/>
          <w:szCs w:val="24"/>
        </w:rPr>
        <w:t xml:space="preserve"> and </w:t>
      </w:r>
      <w:proofErr w:type="spellStart"/>
      <w:r w:rsidRPr="0009045F">
        <w:rPr>
          <w:rFonts w:ascii="Arial" w:hAnsi="Arial" w:cs="Arial"/>
          <w:sz w:val="24"/>
          <w:szCs w:val="24"/>
        </w:rPr>
        <w:t>HCl</w:t>
      </w:r>
      <w:proofErr w:type="spellEnd"/>
      <w:r w:rsidRPr="0009045F">
        <w:rPr>
          <w:rFonts w:ascii="Arial" w:hAnsi="Arial" w:cs="Arial"/>
          <w:sz w:val="24"/>
          <w:szCs w:val="24"/>
        </w:rPr>
        <w:t xml:space="preserve"> (for pH control)</w:t>
      </w:r>
      <w:r>
        <w:rPr>
          <w:rFonts w:ascii="Arial" w:hAnsi="Arial" w:cs="Arial"/>
          <w:sz w:val="24"/>
          <w:szCs w:val="24"/>
        </w:rPr>
        <w:t>.</w:t>
      </w:r>
      <w:r w:rsidRPr="0009045F">
        <w:rPr>
          <w:rFonts w:ascii="Arial" w:hAnsi="Arial" w:cs="Arial"/>
          <w:sz w:val="24"/>
          <w:szCs w:val="24"/>
        </w:rPr>
        <w:t xml:space="preserve"> Once again, numerous methods have been reported in the synthesis of SBA-15 and we have adopted that first published and since widely cited, by Zhao </w:t>
      </w:r>
      <w:r w:rsidRPr="0009045F">
        <w:rPr>
          <w:rFonts w:ascii="Arial" w:hAnsi="Arial" w:cs="Arial"/>
          <w:i/>
          <w:sz w:val="24"/>
          <w:szCs w:val="24"/>
        </w:rPr>
        <w:t>et al.</w:t>
      </w:r>
      <w:r w:rsidRPr="0009045F">
        <w:rPr>
          <w:rFonts w:ascii="Arial" w:hAnsi="Arial" w:cs="Arial"/>
          <w:sz w:val="24"/>
          <w:szCs w:val="24"/>
        </w:rPr>
        <w:t xml:space="preserve"> in 1998 [</w:t>
      </w:r>
      <w:r>
        <w:rPr>
          <w:rFonts w:ascii="Arial" w:hAnsi="Arial" w:cs="Arial"/>
          <w:sz w:val="24"/>
          <w:szCs w:val="24"/>
        </w:rPr>
        <w:t>19</w:t>
      </w:r>
      <w:r w:rsidRPr="0009045F">
        <w:rPr>
          <w:rFonts w:ascii="Arial" w:hAnsi="Arial" w:cs="Arial"/>
          <w:sz w:val="24"/>
          <w:szCs w:val="24"/>
        </w:rPr>
        <w:t>].</w:t>
      </w:r>
    </w:p>
    <w:p w:rsidR="001F6753" w:rsidRPr="00C07801" w:rsidRDefault="001F6753" w:rsidP="001F6753">
      <w:pPr>
        <w:spacing w:line="480" w:lineRule="auto"/>
        <w:jc w:val="both"/>
        <w:rPr>
          <w:rFonts w:ascii="Arial" w:hAnsi="Arial" w:cs="Arial"/>
          <w:b/>
          <w:sz w:val="24"/>
          <w:szCs w:val="24"/>
        </w:rPr>
      </w:pPr>
      <w:r>
        <w:rPr>
          <w:rFonts w:ascii="Arial" w:hAnsi="Arial" w:cs="Arial"/>
          <w:b/>
          <w:sz w:val="24"/>
          <w:szCs w:val="24"/>
        </w:rPr>
        <w:t>2.2</w:t>
      </w:r>
      <w:r>
        <w:rPr>
          <w:rFonts w:ascii="Arial" w:hAnsi="Arial" w:cs="Arial"/>
          <w:b/>
          <w:sz w:val="24"/>
          <w:szCs w:val="24"/>
        </w:rPr>
        <w:tab/>
      </w:r>
      <w:r w:rsidRPr="00C07801">
        <w:rPr>
          <w:rFonts w:ascii="Arial" w:hAnsi="Arial" w:cs="Arial"/>
          <w:b/>
          <w:sz w:val="24"/>
          <w:szCs w:val="24"/>
        </w:rPr>
        <w:t>Preparation of metal oxide</w:t>
      </w:r>
      <w:r>
        <w:rPr>
          <w:rFonts w:ascii="Arial" w:hAnsi="Arial" w:cs="Arial"/>
          <w:b/>
          <w:sz w:val="24"/>
          <w:szCs w:val="24"/>
        </w:rPr>
        <w:t>/carbonate</w:t>
      </w:r>
      <w:r w:rsidRPr="00C07801">
        <w:rPr>
          <w:rFonts w:ascii="Arial" w:hAnsi="Arial" w:cs="Arial"/>
          <w:b/>
          <w:sz w:val="24"/>
          <w:szCs w:val="24"/>
        </w:rPr>
        <w:t xml:space="preserve"> modified mesoporous materials. </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rPr>
        <w:t xml:space="preserve">Appropriate masses of calcium acetate </w:t>
      </w:r>
      <w:r>
        <w:rPr>
          <w:rFonts w:ascii="Arial" w:hAnsi="Arial" w:cs="Arial"/>
          <w:sz w:val="24"/>
          <w:szCs w:val="24"/>
        </w:rPr>
        <w:t xml:space="preserve">(or Ba / Mg acetate) </w:t>
      </w:r>
      <w:r w:rsidRPr="0009045F">
        <w:rPr>
          <w:rFonts w:ascii="Arial" w:hAnsi="Arial" w:cs="Arial"/>
          <w:sz w:val="24"/>
          <w:szCs w:val="24"/>
        </w:rPr>
        <w:t>were dissolved in H</w:t>
      </w:r>
      <w:r w:rsidRPr="0009045F">
        <w:rPr>
          <w:rFonts w:ascii="Arial" w:hAnsi="Arial" w:cs="Arial"/>
          <w:sz w:val="24"/>
          <w:szCs w:val="24"/>
          <w:vertAlign w:val="subscript"/>
        </w:rPr>
        <w:t>2</w:t>
      </w:r>
      <w:r w:rsidRPr="0009045F">
        <w:rPr>
          <w:rFonts w:ascii="Arial" w:hAnsi="Arial" w:cs="Arial"/>
          <w:sz w:val="24"/>
          <w:szCs w:val="24"/>
        </w:rPr>
        <w:t xml:space="preserve">O (to the pore volume of the support) and samples of 0.9 g of MCM-41 or SBA-15 </w:t>
      </w:r>
      <w:r>
        <w:rPr>
          <w:rFonts w:ascii="Arial" w:hAnsi="Arial" w:cs="Arial"/>
          <w:sz w:val="24"/>
          <w:szCs w:val="24"/>
        </w:rPr>
        <w:t xml:space="preserve">were impregnated with the </w:t>
      </w:r>
      <w:r w:rsidRPr="0009045F">
        <w:rPr>
          <w:rFonts w:ascii="Arial" w:hAnsi="Arial" w:cs="Arial"/>
          <w:sz w:val="24"/>
          <w:szCs w:val="24"/>
        </w:rPr>
        <w:t>solutions giving eventual theoretical mass loadings of 13.</w:t>
      </w:r>
      <w:r>
        <w:rPr>
          <w:rFonts w:ascii="Arial" w:hAnsi="Arial" w:cs="Arial"/>
          <w:sz w:val="24"/>
          <w:szCs w:val="24"/>
        </w:rPr>
        <w:t xml:space="preserve">8% </w:t>
      </w:r>
      <w:proofErr w:type="spellStart"/>
      <w:r>
        <w:rPr>
          <w:rFonts w:ascii="Arial" w:hAnsi="Arial" w:cs="Arial"/>
          <w:sz w:val="24"/>
          <w:szCs w:val="24"/>
        </w:rPr>
        <w:t>MgO</w:t>
      </w:r>
      <w:proofErr w:type="spellEnd"/>
      <w:r>
        <w:rPr>
          <w:rFonts w:ascii="Arial" w:hAnsi="Arial" w:cs="Arial"/>
          <w:sz w:val="24"/>
          <w:szCs w:val="24"/>
        </w:rPr>
        <w:t xml:space="preserve">, 10.6% </w:t>
      </w:r>
      <w:proofErr w:type="spellStart"/>
      <w:r>
        <w:rPr>
          <w:rFonts w:ascii="Arial" w:hAnsi="Arial" w:cs="Arial"/>
          <w:sz w:val="24"/>
          <w:szCs w:val="24"/>
        </w:rPr>
        <w:t>CaO</w:t>
      </w:r>
      <w:proofErr w:type="spellEnd"/>
      <w:r>
        <w:rPr>
          <w:rFonts w:ascii="Arial" w:hAnsi="Arial" w:cs="Arial"/>
          <w:sz w:val="24"/>
          <w:szCs w:val="24"/>
        </w:rPr>
        <w:t xml:space="preserve"> and 10.0% </w:t>
      </w:r>
      <w:proofErr w:type="spellStart"/>
      <w:r>
        <w:rPr>
          <w:rFonts w:ascii="Arial" w:hAnsi="Arial" w:cs="Arial"/>
          <w:sz w:val="24"/>
          <w:szCs w:val="24"/>
        </w:rPr>
        <w:t>BaO</w:t>
      </w:r>
      <w:proofErr w:type="spellEnd"/>
      <w:r w:rsidRPr="0009045F">
        <w:rPr>
          <w:rFonts w:ascii="Arial" w:hAnsi="Arial" w:cs="Arial"/>
          <w:sz w:val="24"/>
          <w:szCs w:val="24"/>
        </w:rPr>
        <w:t xml:space="preserve"> in </w:t>
      </w:r>
      <w:r>
        <w:rPr>
          <w:rFonts w:ascii="Arial" w:hAnsi="Arial" w:cs="Arial"/>
          <w:sz w:val="24"/>
          <w:szCs w:val="24"/>
        </w:rPr>
        <w:t>any</w:t>
      </w:r>
      <w:r w:rsidRPr="0009045F">
        <w:rPr>
          <w:rFonts w:ascii="Arial" w:hAnsi="Arial" w:cs="Arial"/>
          <w:sz w:val="24"/>
          <w:szCs w:val="24"/>
        </w:rPr>
        <w:t xml:space="preserve"> final oxide material</w:t>
      </w:r>
      <w:r>
        <w:rPr>
          <w:rFonts w:ascii="Arial" w:hAnsi="Arial" w:cs="Arial"/>
          <w:sz w:val="24"/>
          <w:szCs w:val="24"/>
        </w:rPr>
        <w:t xml:space="preserve"> (note: the </w:t>
      </w:r>
      <w:proofErr w:type="spellStart"/>
      <w:r>
        <w:rPr>
          <w:rFonts w:ascii="Arial" w:hAnsi="Arial" w:cs="Arial"/>
          <w:sz w:val="24"/>
          <w:szCs w:val="24"/>
        </w:rPr>
        <w:t>MgO</w:t>
      </w:r>
      <w:proofErr w:type="spellEnd"/>
      <w:r>
        <w:rPr>
          <w:rFonts w:ascii="Arial" w:hAnsi="Arial" w:cs="Arial"/>
          <w:sz w:val="24"/>
          <w:szCs w:val="24"/>
        </w:rPr>
        <w:t xml:space="preserve"> phase never forms, as MgCO</w:t>
      </w:r>
      <w:r w:rsidRPr="007B3222">
        <w:rPr>
          <w:rFonts w:ascii="Arial" w:hAnsi="Arial" w:cs="Arial"/>
          <w:sz w:val="24"/>
          <w:szCs w:val="24"/>
          <w:vertAlign w:val="subscript"/>
        </w:rPr>
        <w:t>3</w:t>
      </w:r>
      <w:r>
        <w:rPr>
          <w:rFonts w:ascii="Arial" w:hAnsi="Arial" w:cs="Arial"/>
          <w:sz w:val="24"/>
          <w:szCs w:val="24"/>
        </w:rPr>
        <w:t xml:space="preserve"> is the product of magnesium acetate calcination under these conditions [20])</w:t>
      </w:r>
      <w:r w:rsidRPr="0009045F">
        <w:rPr>
          <w:rFonts w:ascii="Arial" w:hAnsi="Arial" w:cs="Arial"/>
          <w:sz w:val="24"/>
          <w:szCs w:val="24"/>
        </w:rPr>
        <w:t xml:space="preserve">.  </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rPr>
        <w:t>The</w:t>
      </w:r>
      <w:r>
        <w:rPr>
          <w:rFonts w:ascii="Arial" w:hAnsi="Arial" w:cs="Arial"/>
          <w:sz w:val="24"/>
          <w:szCs w:val="24"/>
        </w:rPr>
        <w:t xml:space="preserve"> samples</w:t>
      </w:r>
      <w:r w:rsidRPr="0009045F">
        <w:rPr>
          <w:rFonts w:ascii="Arial" w:hAnsi="Arial" w:cs="Arial"/>
          <w:sz w:val="24"/>
          <w:szCs w:val="24"/>
        </w:rPr>
        <w:t xml:space="preserve"> were then dried at 80 °C overnight and then </w:t>
      </w:r>
      <w:r>
        <w:rPr>
          <w:rFonts w:ascii="Arial" w:hAnsi="Arial" w:cs="Arial"/>
          <w:sz w:val="24"/>
          <w:szCs w:val="24"/>
        </w:rPr>
        <w:t xml:space="preserve">calcined </w:t>
      </w:r>
      <w:r w:rsidRPr="0009045F">
        <w:rPr>
          <w:rFonts w:ascii="Arial" w:hAnsi="Arial" w:cs="Arial"/>
          <w:sz w:val="24"/>
          <w:szCs w:val="24"/>
        </w:rPr>
        <w:t xml:space="preserve">at 800 °C </w:t>
      </w:r>
      <w:r>
        <w:rPr>
          <w:rFonts w:ascii="Arial" w:hAnsi="Arial" w:cs="Arial"/>
          <w:sz w:val="24"/>
          <w:szCs w:val="24"/>
        </w:rPr>
        <w:t xml:space="preserve">for 5h </w:t>
      </w:r>
      <w:r w:rsidRPr="0009045F">
        <w:rPr>
          <w:rFonts w:ascii="Arial" w:hAnsi="Arial" w:cs="Arial"/>
          <w:sz w:val="24"/>
          <w:szCs w:val="24"/>
        </w:rPr>
        <w:t>in order to ensu</w:t>
      </w:r>
      <w:r>
        <w:rPr>
          <w:rFonts w:ascii="Arial" w:hAnsi="Arial" w:cs="Arial"/>
          <w:sz w:val="24"/>
          <w:szCs w:val="24"/>
        </w:rPr>
        <w:t>re the conversion into its oxide</w:t>
      </w:r>
      <w:r w:rsidRPr="0009045F">
        <w:rPr>
          <w:rFonts w:ascii="Arial" w:hAnsi="Arial" w:cs="Arial"/>
          <w:sz w:val="24"/>
          <w:szCs w:val="24"/>
        </w:rPr>
        <w:t xml:space="preserve"> state [</w:t>
      </w:r>
      <w:r>
        <w:rPr>
          <w:rFonts w:ascii="Arial" w:hAnsi="Arial" w:cs="Arial"/>
          <w:sz w:val="24"/>
          <w:szCs w:val="24"/>
        </w:rPr>
        <w:t xml:space="preserve">20]. This treatment results in some degradation of the MPS structures (as measured by SAXS). Mg and Ba containing catalysts were calcined at 600 °C to produce samples of supported </w:t>
      </w:r>
      <w:proofErr w:type="spellStart"/>
      <w:r>
        <w:rPr>
          <w:rFonts w:ascii="Arial" w:hAnsi="Arial" w:cs="Arial"/>
          <w:sz w:val="24"/>
          <w:szCs w:val="24"/>
        </w:rPr>
        <w:t>BaO</w:t>
      </w:r>
      <w:proofErr w:type="spellEnd"/>
      <w:r>
        <w:rPr>
          <w:rFonts w:ascii="Arial" w:hAnsi="Arial" w:cs="Arial"/>
          <w:sz w:val="24"/>
          <w:szCs w:val="24"/>
        </w:rPr>
        <w:t xml:space="preserve"> and MgCO</w:t>
      </w:r>
      <w:r w:rsidRPr="00FC6ADC">
        <w:rPr>
          <w:rFonts w:ascii="Arial" w:hAnsi="Arial" w:cs="Arial"/>
          <w:sz w:val="24"/>
          <w:szCs w:val="24"/>
          <w:vertAlign w:val="subscript"/>
        </w:rPr>
        <w:t>3</w:t>
      </w:r>
      <w:r>
        <w:rPr>
          <w:rFonts w:ascii="Arial" w:hAnsi="Arial" w:cs="Arial"/>
          <w:sz w:val="24"/>
          <w:szCs w:val="24"/>
        </w:rPr>
        <w:t xml:space="preserve"> [20] respectively.</w:t>
      </w:r>
    </w:p>
    <w:p w:rsidR="001F6753" w:rsidRDefault="001F6753" w:rsidP="001F6753">
      <w:pPr>
        <w:spacing w:line="480" w:lineRule="auto"/>
        <w:jc w:val="both"/>
        <w:rPr>
          <w:rFonts w:ascii="Arial" w:hAnsi="Arial" w:cs="Arial"/>
          <w:b/>
          <w:sz w:val="24"/>
          <w:szCs w:val="24"/>
        </w:rPr>
      </w:pPr>
      <w:r w:rsidRPr="00301851">
        <w:rPr>
          <w:rFonts w:ascii="Arial" w:hAnsi="Arial" w:cs="Arial"/>
          <w:b/>
          <w:sz w:val="24"/>
          <w:szCs w:val="24"/>
        </w:rPr>
        <w:lastRenderedPageBreak/>
        <w:t>2.3</w:t>
      </w:r>
      <w:r w:rsidRPr="00301851">
        <w:rPr>
          <w:rFonts w:ascii="Arial" w:hAnsi="Arial" w:cs="Arial"/>
          <w:b/>
          <w:sz w:val="24"/>
          <w:szCs w:val="24"/>
        </w:rPr>
        <w:tab/>
        <w:t>Characterisation techniques</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rPr>
        <w:t xml:space="preserve">Nitrogen adsorption/desorption isotherms were recorded using a </w:t>
      </w:r>
      <w:proofErr w:type="spellStart"/>
      <w:r w:rsidRPr="0009045F">
        <w:rPr>
          <w:rFonts w:ascii="Arial" w:hAnsi="Arial" w:cs="Arial"/>
          <w:sz w:val="24"/>
          <w:szCs w:val="24"/>
        </w:rPr>
        <w:t>Quantachrome</w:t>
      </w:r>
      <w:proofErr w:type="spellEnd"/>
      <w:r w:rsidRPr="0009045F">
        <w:rPr>
          <w:rFonts w:ascii="Arial" w:hAnsi="Arial" w:cs="Arial"/>
          <w:sz w:val="24"/>
          <w:szCs w:val="24"/>
        </w:rPr>
        <w:t xml:space="preserve"> NOVA 2000E Series instrument. </w:t>
      </w:r>
      <w:r>
        <w:rPr>
          <w:rFonts w:ascii="Arial" w:hAnsi="Arial" w:cs="Arial"/>
          <w:sz w:val="24"/>
          <w:szCs w:val="24"/>
        </w:rPr>
        <w:t xml:space="preserve">The BET method was used to determine surface area while the BJH treatment was applied to the data to determine pore sizes. </w:t>
      </w:r>
    </w:p>
    <w:p w:rsidR="001F6753" w:rsidRPr="006824A8" w:rsidRDefault="001F6753" w:rsidP="001F6753">
      <w:pPr>
        <w:spacing w:line="480" w:lineRule="auto"/>
        <w:jc w:val="both"/>
        <w:rPr>
          <w:rFonts w:ascii="Arial" w:hAnsi="Arial" w:cs="Arial"/>
          <w:sz w:val="24"/>
          <w:szCs w:val="24"/>
        </w:rPr>
      </w:pPr>
      <w:r w:rsidRPr="006824A8">
        <w:rPr>
          <w:rFonts w:ascii="Arial" w:hAnsi="Arial" w:cs="Arial"/>
          <w:sz w:val="24"/>
          <w:szCs w:val="24"/>
        </w:rPr>
        <w:t xml:space="preserve">Powder XRD measurements were performed on a Siemens D500 </w:t>
      </w:r>
      <w:proofErr w:type="spellStart"/>
      <w:r w:rsidRPr="006824A8">
        <w:rPr>
          <w:rFonts w:ascii="Arial" w:hAnsi="Arial" w:cs="Arial"/>
          <w:sz w:val="24"/>
          <w:szCs w:val="24"/>
        </w:rPr>
        <w:t>Kristalloflex</w:t>
      </w:r>
      <w:proofErr w:type="spellEnd"/>
      <w:r w:rsidRPr="006824A8">
        <w:rPr>
          <w:rFonts w:ascii="Arial" w:hAnsi="Arial" w:cs="Arial"/>
          <w:sz w:val="24"/>
          <w:szCs w:val="24"/>
        </w:rPr>
        <w:t xml:space="preserve"> using </w:t>
      </w:r>
      <w:proofErr w:type="spellStart"/>
      <w:r w:rsidRPr="006824A8">
        <w:rPr>
          <w:rFonts w:ascii="Arial" w:hAnsi="Arial" w:cs="Arial"/>
          <w:sz w:val="24"/>
          <w:szCs w:val="24"/>
        </w:rPr>
        <w:t>CuK</w:t>
      </w:r>
      <w:proofErr w:type="spellEnd"/>
      <w:r w:rsidRPr="006824A8">
        <w:rPr>
          <w:rFonts w:ascii="Arial" w:hAnsi="Arial" w:cs="Arial"/>
          <w:sz w:val="24"/>
          <w:szCs w:val="24"/>
        </w:rPr>
        <w:t xml:space="preserve">α radiation over a 2θ range of 20 – 60 °, while SAXS measurements were performed on an Anton </w:t>
      </w:r>
      <w:proofErr w:type="spellStart"/>
      <w:r w:rsidRPr="006824A8">
        <w:rPr>
          <w:rFonts w:ascii="Arial" w:hAnsi="Arial" w:cs="Arial"/>
          <w:sz w:val="24"/>
          <w:szCs w:val="24"/>
        </w:rPr>
        <w:t>Paar</w:t>
      </w:r>
      <w:proofErr w:type="spellEnd"/>
      <w:r w:rsidRPr="006824A8">
        <w:rPr>
          <w:rFonts w:ascii="Arial" w:hAnsi="Arial" w:cs="Arial"/>
          <w:sz w:val="24"/>
          <w:szCs w:val="24"/>
        </w:rPr>
        <w:t xml:space="preserve"> </w:t>
      </w:r>
      <w:proofErr w:type="spellStart"/>
      <w:r w:rsidRPr="006824A8">
        <w:rPr>
          <w:rFonts w:ascii="Arial" w:hAnsi="Arial" w:cs="Arial"/>
          <w:sz w:val="24"/>
          <w:szCs w:val="24"/>
        </w:rPr>
        <w:t>SAXSees</w:t>
      </w:r>
      <w:proofErr w:type="spellEnd"/>
      <w:r w:rsidRPr="006824A8">
        <w:rPr>
          <w:rFonts w:ascii="Arial" w:hAnsi="Arial" w:cs="Arial"/>
          <w:sz w:val="24"/>
          <w:szCs w:val="24"/>
        </w:rPr>
        <w:t xml:space="preserve"> mc</w:t>
      </w:r>
      <w:r w:rsidRPr="006824A8">
        <w:rPr>
          <w:rFonts w:ascii="Arial" w:hAnsi="Arial" w:cs="Arial"/>
          <w:sz w:val="24"/>
          <w:szCs w:val="24"/>
          <w:vertAlign w:val="superscript"/>
        </w:rPr>
        <w:t>2</w:t>
      </w:r>
      <w:r w:rsidRPr="006824A8">
        <w:rPr>
          <w:rFonts w:ascii="Arial" w:hAnsi="Arial" w:cs="Arial"/>
          <w:sz w:val="24"/>
          <w:szCs w:val="24"/>
        </w:rPr>
        <w:t xml:space="preserve"> over a q range of 0.05 – 5 nm</w:t>
      </w:r>
      <w:r w:rsidRPr="006824A8">
        <w:rPr>
          <w:rFonts w:ascii="Arial" w:hAnsi="Arial" w:cs="Arial"/>
          <w:sz w:val="24"/>
          <w:szCs w:val="24"/>
          <w:vertAlign w:val="superscript"/>
        </w:rPr>
        <w:t>-1</w:t>
      </w:r>
      <w:r w:rsidRPr="006824A8">
        <w:rPr>
          <w:rFonts w:ascii="Arial" w:hAnsi="Arial" w:cs="Arial"/>
          <w:sz w:val="24"/>
          <w:szCs w:val="24"/>
        </w:rPr>
        <w:t xml:space="preserve">. </w:t>
      </w:r>
    </w:p>
    <w:p w:rsidR="001F6753" w:rsidRDefault="001F6753" w:rsidP="001F6753">
      <w:pPr>
        <w:spacing w:line="480" w:lineRule="auto"/>
        <w:jc w:val="both"/>
        <w:rPr>
          <w:rFonts w:ascii="Arial" w:hAnsi="Arial" w:cs="Arial"/>
          <w:sz w:val="24"/>
          <w:szCs w:val="24"/>
        </w:rPr>
      </w:pPr>
      <w:r>
        <w:rPr>
          <w:rFonts w:ascii="Arial" w:hAnsi="Arial" w:cs="Arial"/>
          <w:sz w:val="24"/>
          <w:szCs w:val="24"/>
        </w:rPr>
        <w:t>T</w:t>
      </w:r>
      <w:r w:rsidRPr="006824A8">
        <w:rPr>
          <w:rFonts w:ascii="Arial" w:eastAsia="Calibri" w:hAnsi="Arial" w:cs="Arial"/>
          <w:sz w:val="24"/>
          <w:szCs w:val="24"/>
        </w:rPr>
        <w:t xml:space="preserve">emperature </w:t>
      </w:r>
      <w:r>
        <w:rPr>
          <w:rFonts w:ascii="Arial" w:eastAsia="Calibri" w:hAnsi="Arial" w:cs="Arial"/>
          <w:sz w:val="24"/>
          <w:szCs w:val="24"/>
        </w:rPr>
        <w:t>P</w:t>
      </w:r>
      <w:r w:rsidRPr="006824A8">
        <w:rPr>
          <w:rFonts w:ascii="Arial" w:eastAsia="Calibri" w:hAnsi="Arial" w:cs="Arial"/>
          <w:sz w:val="24"/>
          <w:szCs w:val="24"/>
        </w:rPr>
        <w:t xml:space="preserve">rogrammed </w:t>
      </w:r>
      <w:r>
        <w:rPr>
          <w:rFonts w:ascii="Arial" w:eastAsia="Calibri" w:hAnsi="Arial" w:cs="Arial"/>
          <w:sz w:val="24"/>
          <w:szCs w:val="24"/>
        </w:rPr>
        <w:t>D</w:t>
      </w:r>
      <w:r w:rsidRPr="006824A8">
        <w:rPr>
          <w:rFonts w:ascii="Arial" w:eastAsia="Calibri" w:hAnsi="Arial" w:cs="Arial"/>
          <w:sz w:val="24"/>
          <w:szCs w:val="24"/>
        </w:rPr>
        <w:t xml:space="preserve">esorption </w:t>
      </w:r>
      <w:r>
        <w:rPr>
          <w:rFonts w:ascii="Arial" w:eastAsia="Calibri" w:hAnsi="Arial" w:cs="Arial"/>
          <w:sz w:val="24"/>
          <w:szCs w:val="24"/>
        </w:rPr>
        <w:t xml:space="preserve">(TPD) </w:t>
      </w:r>
      <w:r w:rsidRPr="006824A8">
        <w:rPr>
          <w:rFonts w:ascii="Arial" w:eastAsia="Calibri" w:hAnsi="Arial" w:cs="Arial"/>
          <w:sz w:val="24"/>
          <w:szCs w:val="24"/>
        </w:rPr>
        <w:t>experiment</w:t>
      </w:r>
      <w:r>
        <w:rPr>
          <w:rFonts w:ascii="Arial" w:hAnsi="Arial" w:cs="Arial"/>
          <w:sz w:val="24"/>
          <w:szCs w:val="24"/>
        </w:rPr>
        <w:t>s</w:t>
      </w:r>
      <w:r w:rsidRPr="006824A8">
        <w:rPr>
          <w:rFonts w:ascii="Arial" w:eastAsia="Calibri" w:hAnsi="Arial" w:cs="Arial"/>
          <w:sz w:val="24"/>
          <w:szCs w:val="24"/>
        </w:rPr>
        <w:t xml:space="preserve"> involve</w:t>
      </w:r>
      <w:r>
        <w:rPr>
          <w:rFonts w:ascii="Arial" w:hAnsi="Arial" w:cs="Arial"/>
          <w:sz w:val="24"/>
          <w:szCs w:val="24"/>
        </w:rPr>
        <w:t>d</w:t>
      </w:r>
      <w:r w:rsidRPr="006824A8">
        <w:rPr>
          <w:rFonts w:ascii="Arial" w:eastAsia="Calibri" w:hAnsi="Arial" w:cs="Arial"/>
          <w:sz w:val="24"/>
          <w:szCs w:val="24"/>
        </w:rPr>
        <w:t xml:space="preserve"> saturating</w:t>
      </w:r>
      <w:r>
        <w:rPr>
          <w:rFonts w:ascii="Arial" w:eastAsia="Calibri" w:hAnsi="Arial" w:cs="Arial"/>
          <w:sz w:val="24"/>
          <w:szCs w:val="24"/>
        </w:rPr>
        <w:t xml:space="preserve"> the surface of a catalyst in a flow of NO/O</w:t>
      </w:r>
      <w:r w:rsidRPr="00A20D59">
        <w:rPr>
          <w:rFonts w:ascii="Arial" w:eastAsia="Calibri" w:hAnsi="Arial" w:cs="Arial"/>
          <w:sz w:val="24"/>
          <w:szCs w:val="24"/>
          <w:vertAlign w:val="subscript"/>
        </w:rPr>
        <w:t>2</w:t>
      </w:r>
      <w:r>
        <w:rPr>
          <w:rFonts w:ascii="Arial" w:eastAsia="Calibri" w:hAnsi="Arial" w:cs="Arial"/>
          <w:sz w:val="24"/>
          <w:szCs w:val="24"/>
        </w:rPr>
        <w:t xml:space="preserve"> (an acidic gas mixture to probe surface basic sites) at low temperature (50 °C) to prevent bulk nitrate formation</w:t>
      </w:r>
      <w:r w:rsidRPr="006824A8">
        <w:rPr>
          <w:rFonts w:ascii="Arial" w:hAnsi="Arial" w:cs="Arial"/>
          <w:sz w:val="24"/>
          <w:szCs w:val="24"/>
        </w:rPr>
        <w:t>.</w:t>
      </w:r>
      <w:r w:rsidRPr="006824A8">
        <w:rPr>
          <w:rFonts w:ascii="Arial" w:eastAsia="Calibri" w:hAnsi="Arial" w:cs="Arial"/>
          <w:sz w:val="24"/>
          <w:szCs w:val="24"/>
        </w:rPr>
        <w:t xml:space="preserve"> After saturating the catalyst surface</w:t>
      </w:r>
      <w:r>
        <w:rPr>
          <w:rFonts w:ascii="Arial" w:eastAsia="Calibri" w:hAnsi="Arial" w:cs="Arial"/>
          <w:sz w:val="24"/>
          <w:szCs w:val="24"/>
        </w:rPr>
        <w:t xml:space="preserve"> and removing </w:t>
      </w:r>
      <w:proofErr w:type="spellStart"/>
      <w:r>
        <w:rPr>
          <w:rFonts w:ascii="Arial" w:eastAsia="Calibri" w:hAnsi="Arial" w:cs="Arial"/>
          <w:sz w:val="24"/>
          <w:szCs w:val="24"/>
        </w:rPr>
        <w:t>physisorbed</w:t>
      </w:r>
      <w:proofErr w:type="spellEnd"/>
      <w:r>
        <w:rPr>
          <w:rFonts w:ascii="Arial" w:eastAsia="Calibri" w:hAnsi="Arial" w:cs="Arial"/>
          <w:sz w:val="24"/>
          <w:szCs w:val="24"/>
        </w:rPr>
        <w:t xml:space="preserve"> NOx</w:t>
      </w:r>
      <w:r w:rsidRPr="006824A8">
        <w:rPr>
          <w:rFonts w:ascii="Arial" w:eastAsia="Calibri" w:hAnsi="Arial" w:cs="Arial"/>
          <w:sz w:val="24"/>
          <w:szCs w:val="24"/>
        </w:rPr>
        <w:t xml:space="preserve">, </w:t>
      </w:r>
      <w:r>
        <w:rPr>
          <w:rFonts w:ascii="Arial" w:eastAsia="Calibri" w:hAnsi="Arial" w:cs="Arial"/>
          <w:sz w:val="24"/>
          <w:szCs w:val="24"/>
        </w:rPr>
        <w:t xml:space="preserve">the catalyst </w:t>
      </w:r>
      <w:r>
        <w:rPr>
          <w:rFonts w:ascii="Arial" w:hAnsi="Arial" w:cs="Arial"/>
          <w:sz w:val="24"/>
          <w:szCs w:val="24"/>
        </w:rPr>
        <w:t>wa</w:t>
      </w:r>
      <w:r w:rsidRPr="006824A8">
        <w:rPr>
          <w:rFonts w:ascii="Arial" w:eastAsia="Calibri" w:hAnsi="Arial" w:cs="Arial"/>
          <w:sz w:val="24"/>
          <w:szCs w:val="24"/>
        </w:rPr>
        <w:t xml:space="preserve">s subjected to a </w:t>
      </w:r>
      <w:r>
        <w:rPr>
          <w:rFonts w:ascii="Arial" w:eastAsia="Calibri" w:hAnsi="Arial" w:cs="Arial"/>
          <w:sz w:val="24"/>
          <w:szCs w:val="24"/>
        </w:rPr>
        <w:t xml:space="preserve">temperature ramp to </w:t>
      </w:r>
      <w:r w:rsidRPr="006824A8">
        <w:rPr>
          <w:rFonts w:ascii="Arial" w:eastAsia="Calibri" w:hAnsi="Arial" w:cs="Arial"/>
          <w:sz w:val="24"/>
          <w:szCs w:val="24"/>
        </w:rPr>
        <w:t xml:space="preserve">remove the adsorbed species. </w:t>
      </w:r>
      <w:r>
        <w:rPr>
          <w:rFonts w:ascii="Arial" w:eastAsia="Calibri" w:hAnsi="Arial" w:cs="Arial"/>
          <w:sz w:val="24"/>
          <w:szCs w:val="24"/>
        </w:rPr>
        <w:t>A mass spectrometer continually monitored the exit gas.</w:t>
      </w:r>
    </w:p>
    <w:p w:rsidR="001F6753" w:rsidRPr="00301851" w:rsidRDefault="001F6753" w:rsidP="001F6753">
      <w:pPr>
        <w:spacing w:line="480" w:lineRule="auto"/>
        <w:jc w:val="both"/>
        <w:rPr>
          <w:rFonts w:ascii="Arial" w:hAnsi="Arial" w:cs="Arial"/>
          <w:b/>
          <w:sz w:val="24"/>
          <w:szCs w:val="24"/>
        </w:rPr>
      </w:pPr>
      <w:r w:rsidRPr="00301851">
        <w:rPr>
          <w:rFonts w:ascii="Arial" w:hAnsi="Arial" w:cs="Arial"/>
          <w:b/>
          <w:sz w:val="24"/>
          <w:szCs w:val="24"/>
        </w:rPr>
        <w:t>2.4 Activity studies</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rPr>
        <w:t>The activit</w:t>
      </w:r>
      <w:r>
        <w:rPr>
          <w:rFonts w:ascii="Arial" w:hAnsi="Arial" w:cs="Arial"/>
          <w:sz w:val="24"/>
          <w:szCs w:val="24"/>
        </w:rPr>
        <w:t>i</w:t>
      </w:r>
      <w:r w:rsidRPr="0009045F">
        <w:rPr>
          <w:rFonts w:ascii="Arial" w:hAnsi="Arial" w:cs="Arial"/>
          <w:sz w:val="24"/>
          <w:szCs w:val="24"/>
        </w:rPr>
        <w:t xml:space="preserve">es of </w:t>
      </w:r>
      <w:r>
        <w:rPr>
          <w:rFonts w:ascii="Arial" w:hAnsi="Arial" w:cs="Arial"/>
          <w:sz w:val="24"/>
          <w:szCs w:val="24"/>
        </w:rPr>
        <w:t xml:space="preserve">the </w:t>
      </w:r>
      <w:r w:rsidRPr="0009045F">
        <w:rPr>
          <w:rFonts w:ascii="Arial" w:hAnsi="Arial" w:cs="Arial"/>
          <w:sz w:val="24"/>
          <w:szCs w:val="24"/>
        </w:rPr>
        <w:t xml:space="preserve">catalysts in the transesterification of </w:t>
      </w:r>
      <w:r>
        <w:rPr>
          <w:rFonts w:ascii="Arial" w:hAnsi="Arial" w:cs="Arial"/>
          <w:sz w:val="24"/>
          <w:szCs w:val="24"/>
        </w:rPr>
        <w:t xml:space="preserve">short and long chain </w:t>
      </w:r>
      <w:r w:rsidRPr="0009045F">
        <w:rPr>
          <w:rFonts w:ascii="Arial" w:hAnsi="Arial" w:cs="Arial"/>
          <w:sz w:val="24"/>
          <w:szCs w:val="24"/>
        </w:rPr>
        <w:t>model triglycerides and a commercial rapeseed oil</w:t>
      </w:r>
      <w:r>
        <w:rPr>
          <w:rFonts w:ascii="Arial" w:hAnsi="Arial" w:cs="Arial"/>
          <w:sz w:val="24"/>
          <w:szCs w:val="24"/>
        </w:rPr>
        <w:t xml:space="preserve"> were analysed</w:t>
      </w:r>
      <w:r w:rsidRPr="0009045F">
        <w:rPr>
          <w:rFonts w:ascii="Arial" w:hAnsi="Arial" w:cs="Arial"/>
          <w:sz w:val="24"/>
          <w:szCs w:val="24"/>
        </w:rPr>
        <w:t xml:space="preserve">. </w:t>
      </w:r>
      <w:r>
        <w:rPr>
          <w:rFonts w:ascii="Arial" w:hAnsi="Arial" w:cs="Arial"/>
          <w:sz w:val="24"/>
          <w:szCs w:val="24"/>
        </w:rPr>
        <w:t>The reactions used a triglyceride</w:t>
      </w:r>
      <w:r w:rsidRPr="0009045F">
        <w:rPr>
          <w:rFonts w:ascii="Arial" w:hAnsi="Arial" w:cs="Arial"/>
          <w:sz w:val="24"/>
          <w:szCs w:val="24"/>
        </w:rPr>
        <w:t xml:space="preserve">: methanol molar ratio </w:t>
      </w:r>
      <w:r>
        <w:rPr>
          <w:rFonts w:ascii="Arial" w:hAnsi="Arial" w:cs="Arial"/>
          <w:sz w:val="24"/>
          <w:szCs w:val="24"/>
        </w:rPr>
        <w:t>of 1:</w:t>
      </w:r>
      <w:r w:rsidRPr="0009045F">
        <w:rPr>
          <w:rFonts w:ascii="Arial" w:hAnsi="Arial" w:cs="Arial"/>
          <w:sz w:val="24"/>
          <w:szCs w:val="24"/>
        </w:rPr>
        <w:t xml:space="preserve">9, </w:t>
      </w:r>
      <w:r>
        <w:rPr>
          <w:rFonts w:ascii="Arial" w:hAnsi="Arial" w:cs="Arial"/>
          <w:sz w:val="24"/>
          <w:szCs w:val="24"/>
        </w:rPr>
        <w:t>a c</w:t>
      </w:r>
      <w:r w:rsidRPr="0009045F">
        <w:rPr>
          <w:rFonts w:ascii="Arial" w:hAnsi="Arial" w:cs="Arial"/>
          <w:sz w:val="24"/>
          <w:szCs w:val="24"/>
        </w:rPr>
        <w:t xml:space="preserve">atalyst loading </w:t>
      </w:r>
      <w:r>
        <w:rPr>
          <w:rFonts w:ascii="Arial" w:hAnsi="Arial" w:cs="Arial"/>
          <w:sz w:val="24"/>
          <w:szCs w:val="24"/>
        </w:rPr>
        <w:t>of</w:t>
      </w:r>
      <w:r w:rsidRPr="0009045F">
        <w:rPr>
          <w:rFonts w:ascii="Arial" w:hAnsi="Arial" w:cs="Arial"/>
          <w:sz w:val="24"/>
          <w:szCs w:val="24"/>
        </w:rPr>
        <w:t xml:space="preserve"> 1 wt</w:t>
      </w:r>
      <w:proofErr w:type="gramStart"/>
      <w:r w:rsidRPr="0009045F">
        <w:rPr>
          <w:rFonts w:ascii="Arial" w:hAnsi="Arial" w:cs="Arial"/>
          <w:sz w:val="24"/>
          <w:szCs w:val="24"/>
        </w:rPr>
        <w:t>.%</w:t>
      </w:r>
      <w:proofErr w:type="gramEnd"/>
      <w:r w:rsidRPr="0009045F">
        <w:rPr>
          <w:rFonts w:ascii="Arial" w:hAnsi="Arial" w:cs="Arial"/>
          <w:sz w:val="24"/>
          <w:szCs w:val="24"/>
        </w:rPr>
        <w:t xml:space="preserve"> (relative to </w:t>
      </w:r>
      <w:r>
        <w:rPr>
          <w:rFonts w:ascii="Arial" w:hAnsi="Arial" w:cs="Arial"/>
          <w:sz w:val="24"/>
          <w:szCs w:val="24"/>
        </w:rPr>
        <w:t xml:space="preserve">the </w:t>
      </w:r>
      <w:r w:rsidRPr="0009045F">
        <w:rPr>
          <w:rFonts w:ascii="Arial" w:hAnsi="Arial" w:cs="Arial"/>
          <w:sz w:val="24"/>
          <w:szCs w:val="24"/>
        </w:rPr>
        <w:t>oil mass)</w:t>
      </w:r>
      <w:r>
        <w:rPr>
          <w:rFonts w:ascii="Arial" w:hAnsi="Arial" w:cs="Arial"/>
          <w:sz w:val="24"/>
          <w:szCs w:val="24"/>
        </w:rPr>
        <w:t xml:space="preserve"> and a r</w:t>
      </w:r>
      <w:r w:rsidRPr="0009045F">
        <w:rPr>
          <w:rFonts w:ascii="Arial" w:hAnsi="Arial" w:cs="Arial"/>
          <w:sz w:val="24"/>
          <w:szCs w:val="24"/>
        </w:rPr>
        <w:t xml:space="preserve">eaction temperature </w:t>
      </w:r>
      <w:r>
        <w:rPr>
          <w:rFonts w:ascii="Arial" w:hAnsi="Arial" w:cs="Arial"/>
          <w:sz w:val="24"/>
          <w:szCs w:val="24"/>
        </w:rPr>
        <w:t>of</w:t>
      </w:r>
      <w:r w:rsidRPr="0009045F">
        <w:rPr>
          <w:rFonts w:ascii="Arial" w:hAnsi="Arial" w:cs="Arial"/>
          <w:sz w:val="24"/>
          <w:szCs w:val="24"/>
        </w:rPr>
        <w:t xml:space="preserve"> 50 °C</w:t>
      </w:r>
      <w:r>
        <w:rPr>
          <w:rFonts w:ascii="Arial" w:hAnsi="Arial" w:cs="Arial"/>
          <w:sz w:val="24"/>
          <w:szCs w:val="24"/>
        </w:rPr>
        <w:t xml:space="preserve"> with constant stirring. </w:t>
      </w:r>
    </w:p>
    <w:p w:rsidR="001F6753" w:rsidRDefault="001F6753" w:rsidP="001F6753">
      <w:pPr>
        <w:spacing w:line="480" w:lineRule="auto"/>
        <w:jc w:val="both"/>
        <w:rPr>
          <w:rFonts w:ascii="Arial" w:hAnsi="Arial" w:cs="Arial"/>
          <w:sz w:val="24"/>
          <w:szCs w:val="24"/>
        </w:rPr>
      </w:pPr>
      <w:r w:rsidRPr="0009045F">
        <w:rPr>
          <w:rFonts w:ascii="Arial" w:hAnsi="Arial" w:cs="Arial"/>
          <w:sz w:val="24"/>
          <w:szCs w:val="24"/>
          <w:vertAlign w:val="superscript"/>
        </w:rPr>
        <w:t>1</w:t>
      </w:r>
      <w:r w:rsidRPr="0009045F">
        <w:rPr>
          <w:rFonts w:ascii="Arial" w:hAnsi="Arial" w:cs="Arial"/>
          <w:sz w:val="24"/>
          <w:szCs w:val="24"/>
        </w:rPr>
        <w:t xml:space="preserve">H NMR was used as a quantitative method to monitor reaction progress. We used a similar technique to that described by Morgenstern </w:t>
      </w:r>
      <w:r w:rsidRPr="0009045F">
        <w:rPr>
          <w:rFonts w:ascii="Arial" w:hAnsi="Arial" w:cs="Arial"/>
          <w:i/>
          <w:sz w:val="24"/>
          <w:szCs w:val="24"/>
        </w:rPr>
        <w:t>et al.</w:t>
      </w:r>
      <w:r>
        <w:rPr>
          <w:rFonts w:ascii="Arial" w:hAnsi="Arial" w:cs="Arial"/>
          <w:sz w:val="24"/>
          <w:szCs w:val="24"/>
        </w:rPr>
        <w:t xml:space="preserve"> [21]</w:t>
      </w:r>
      <w:r w:rsidRPr="0009045F">
        <w:rPr>
          <w:rFonts w:ascii="Arial" w:hAnsi="Arial" w:cs="Arial"/>
          <w:sz w:val="24"/>
          <w:szCs w:val="24"/>
        </w:rPr>
        <w:t xml:space="preserve">  Aliquots of reaction mixture were removed from a batch reaction at t = 1, 2, 3, 4, 5, 6 and 24 h and prepared for analysis by </w:t>
      </w:r>
      <w:r w:rsidRPr="0009045F">
        <w:rPr>
          <w:rFonts w:ascii="Arial" w:hAnsi="Arial" w:cs="Arial"/>
          <w:sz w:val="24"/>
          <w:szCs w:val="24"/>
          <w:vertAlign w:val="superscript"/>
        </w:rPr>
        <w:t>1</w:t>
      </w:r>
      <w:r w:rsidRPr="0009045F">
        <w:rPr>
          <w:rFonts w:ascii="Arial" w:hAnsi="Arial" w:cs="Arial"/>
          <w:sz w:val="24"/>
          <w:szCs w:val="24"/>
        </w:rPr>
        <w:t xml:space="preserve">H </w:t>
      </w:r>
      <w:r>
        <w:rPr>
          <w:rFonts w:ascii="Arial" w:hAnsi="Arial" w:cs="Arial"/>
          <w:sz w:val="24"/>
          <w:szCs w:val="24"/>
        </w:rPr>
        <w:t>NMR in deuterated chloroform using acetone as a standard</w:t>
      </w:r>
      <w:r w:rsidRPr="0009045F">
        <w:rPr>
          <w:rFonts w:ascii="Arial" w:hAnsi="Arial" w:cs="Arial"/>
          <w:sz w:val="24"/>
          <w:szCs w:val="24"/>
        </w:rPr>
        <w:t>. The integrated value of the acetone CH</w:t>
      </w:r>
      <w:r w:rsidRPr="0009045F">
        <w:rPr>
          <w:rFonts w:ascii="Arial" w:hAnsi="Arial" w:cs="Arial"/>
          <w:sz w:val="24"/>
          <w:szCs w:val="24"/>
          <w:vertAlign w:val="subscript"/>
        </w:rPr>
        <w:t>3</w:t>
      </w:r>
      <w:r w:rsidRPr="0009045F">
        <w:rPr>
          <w:rFonts w:ascii="Arial" w:hAnsi="Arial" w:cs="Arial"/>
          <w:sz w:val="24"/>
          <w:szCs w:val="24"/>
        </w:rPr>
        <w:t xml:space="preserve"> peak (~ 2.17 ppm) was compared </w:t>
      </w:r>
      <w:r w:rsidRPr="0009045F">
        <w:rPr>
          <w:rFonts w:ascii="Arial" w:hAnsi="Arial" w:cs="Arial"/>
          <w:sz w:val="24"/>
          <w:szCs w:val="24"/>
        </w:rPr>
        <w:lastRenderedPageBreak/>
        <w:t>to that of the</w:t>
      </w:r>
      <w:r>
        <w:rPr>
          <w:rFonts w:ascii="Arial" w:hAnsi="Arial" w:cs="Arial"/>
          <w:sz w:val="24"/>
          <w:szCs w:val="24"/>
        </w:rPr>
        <w:t xml:space="preserve"> methyl group of the methyl ester CH</w:t>
      </w:r>
      <w:r w:rsidRPr="0028205E">
        <w:rPr>
          <w:rFonts w:ascii="Arial" w:hAnsi="Arial" w:cs="Arial"/>
          <w:sz w:val="24"/>
          <w:szCs w:val="24"/>
          <w:vertAlign w:val="subscript"/>
        </w:rPr>
        <w:t>3</w:t>
      </w:r>
      <w:r>
        <w:rPr>
          <w:rFonts w:ascii="Arial" w:hAnsi="Arial" w:cs="Arial"/>
          <w:sz w:val="24"/>
          <w:szCs w:val="24"/>
        </w:rPr>
        <w:t xml:space="preserve"> peak </w:t>
      </w:r>
      <w:r w:rsidRPr="0009045F">
        <w:rPr>
          <w:rFonts w:ascii="Arial" w:hAnsi="Arial" w:cs="Arial"/>
          <w:sz w:val="24"/>
          <w:szCs w:val="24"/>
        </w:rPr>
        <w:t>(~ 3.67 ppm)</w:t>
      </w:r>
      <w:r>
        <w:rPr>
          <w:rFonts w:ascii="Arial" w:hAnsi="Arial" w:cs="Arial"/>
          <w:sz w:val="24"/>
          <w:szCs w:val="24"/>
        </w:rPr>
        <w:t xml:space="preserve"> for quantification</w:t>
      </w:r>
      <w:r w:rsidRPr="0009045F">
        <w:rPr>
          <w:rFonts w:ascii="Arial" w:hAnsi="Arial" w:cs="Arial"/>
          <w:sz w:val="24"/>
          <w:szCs w:val="24"/>
        </w:rPr>
        <w:t xml:space="preserve">. </w:t>
      </w:r>
    </w:p>
    <w:p w:rsidR="001F6753" w:rsidRPr="00CA7AD7" w:rsidRDefault="001F6753" w:rsidP="001F6753">
      <w:pPr>
        <w:spacing w:line="480" w:lineRule="auto"/>
        <w:jc w:val="both"/>
        <w:rPr>
          <w:rFonts w:ascii="Arial" w:hAnsi="Arial" w:cs="Arial"/>
          <w:sz w:val="24"/>
          <w:szCs w:val="24"/>
        </w:rPr>
      </w:pPr>
      <w:r w:rsidRPr="00CA7AD7">
        <w:rPr>
          <w:rFonts w:ascii="Arial" w:hAnsi="Arial" w:cs="Arial"/>
          <w:b/>
          <w:sz w:val="24"/>
          <w:szCs w:val="24"/>
        </w:rPr>
        <w:t>3</w:t>
      </w:r>
      <w:r w:rsidRPr="00CA7AD7">
        <w:rPr>
          <w:rFonts w:ascii="Arial" w:hAnsi="Arial" w:cs="Arial"/>
          <w:b/>
          <w:sz w:val="24"/>
          <w:szCs w:val="24"/>
        </w:rPr>
        <w:tab/>
      </w:r>
      <w:r w:rsidRPr="0028205E">
        <w:rPr>
          <w:rFonts w:ascii="Arial" w:hAnsi="Arial" w:cs="Arial"/>
          <w:b/>
          <w:sz w:val="24"/>
          <w:szCs w:val="24"/>
        </w:rPr>
        <w:t>Results and Discussion</w:t>
      </w:r>
    </w:p>
    <w:p w:rsidR="001F6753" w:rsidRPr="00762ADF" w:rsidRDefault="001F6753" w:rsidP="001F6753">
      <w:pPr>
        <w:spacing w:line="480" w:lineRule="auto"/>
        <w:jc w:val="both"/>
        <w:rPr>
          <w:rFonts w:ascii="Arial" w:hAnsi="Arial" w:cs="Arial"/>
          <w:b/>
          <w:sz w:val="24"/>
          <w:szCs w:val="24"/>
        </w:rPr>
      </w:pPr>
      <w:r w:rsidRPr="00762ADF">
        <w:rPr>
          <w:rFonts w:ascii="Arial" w:hAnsi="Arial" w:cs="Arial"/>
          <w:b/>
          <w:sz w:val="24"/>
          <w:szCs w:val="24"/>
        </w:rPr>
        <w:t>3.1 Characterisation studies</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The measured surface area of MCM-41 was </w:t>
      </w:r>
      <w:proofErr w:type="gramStart"/>
      <w:r>
        <w:rPr>
          <w:rFonts w:ascii="Arial" w:hAnsi="Arial" w:cs="Arial"/>
          <w:sz w:val="24"/>
          <w:szCs w:val="24"/>
        </w:rPr>
        <w:t>955 m</w:t>
      </w:r>
      <w:r w:rsidRPr="006C4D97">
        <w:rPr>
          <w:rFonts w:ascii="Arial" w:hAnsi="Arial" w:cs="Arial"/>
          <w:sz w:val="24"/>
          <w:szCs w:val="24"/>
          <w:vertAlign w:val="superscript"/>
        </w:rPr>
        <w:t>2</w:t>
      </w:r>
      <w:r>
        <w:rPr>
          <w:rFonts w:ascii="Arial" w:hAnsi="Arial" w:cs="Arial"/>
          <w:sz w:val="24"/>
          <w:szCs w:val="24"/>
        </w:rPr>
        <w:t xml:space="preserve"> g</w:t>
      </w:r>
      <w:r w:rsidRPr="006C4D97">
        <w:rPr>
          <w:rFonts w:ascii="Arial" w:hAnsi="Arial" w:cs="Arial"/>
          <w:sz w:val="24"/>
          <w:szCs w:val="24"/>
          <w:vertAlign w:val="superscript"/>
        </w:rPr>
        <w:t>-1</w:t>
      </w:r>
      <w:proofErr w:type="gramEnd"/>
      <w:r>
        <w:rPr>
          <w:rFonts w:ascii="Arial" w:hAnsi="Arial" w:cs="Arial"/>
          <w:sz w:val="24"/>
          <w:szCs w:val="24"/>
        </w:rPr>
        <w:t xml:space="preserve"> while its pore size was 3.1 nm. In the case of the SBA-15 material the surface area and pore size were 653 m</w:t>
      </w:r>
      <w:r w:rsidRPr="006C4D97">
        <w:rPr>
          <w:rFonts w:ascii="Arial" w:hAnsi="Arial" w:cs="Arial"/>
          <w:sz w:val="24"/>
          <w:szCs w:val="24"/>
          <w:vertAlign w:val="superscript"/>
        </w:rPr>
        <w:t>2</w:t>
      </w:r>
      <w:r>
        <w:rPr>
          <w:rFonts w:ascii="Arial" w:hAnsi="Arial" w:cs="Arial"/>
          <w:sz w:val="24"/>
          <w:szCs w:val="24"/>
        </w:rPr>
        <w:t xml:space="preserve"> g</w:t>
      </w:r>
      <w:r w:rsidRPr="006C4D97">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 xml:space="preserve">and 9.6 nm respectively. </w:t>
      </w:r>
    </w:p>
    <w:p w:rsidR="001F6753" w:rsidRDefault="001F6753" w:rsidP="001F6753">
      <w:pPr>
        <w:spacing w:line="480" w:lineRule="auto"/>
        <w:jc w:val="both"/>
        <w:rPr>
          <w:rFonts w:ascii="Arial" w:hAnsi="Arial" w:cs="Arial"/>
          <w:sz w:val="24"/>
          <w:szCs w:val="24"/>
        </w:rPr>
      </w:pPr>
      <w:r>
        <w:rPr>
          <w:rFonts w:ascii="Arial" w:hAnsi="Arial" w:cs="Arial"/>
          <w:sz w:val="24"/>
          <w:szCs w:val="24"/>
        </w:rPr>
        <w:t>Impregnation of calcium acetate and calcination at 800 °C for 5 h resulted in falls in the surface areas to 368 m</w:t>
      </w:r>
      <w:r w:rsidRPr="004E3359">
        <w:rPr>
          <w:rFonts w:ascii="Arial" w:hAnsi="Arial" w:cs="Arial"/>
          <w:sz w:val="24"/>
          <w:szCs w:val="24"/>
          <w:vertAlign w:val="superscript"/>
        </w:rPr>
        <w:t>2</w:t>
      </w:r>
      <w:r>
        <w:rPr>
          <w:rFonts w:ascii="Arial" w:hAnsi="Arial" w:cs="Arial"/>
          <w:sz w:val="24"/>
          <w:szCs w:val="24"/>
        </w:rPr>
        <w:t>g</w:t>
      </w:r>
      <w:r w:rsidRPr="004E3359">
        <w:rPr>
          <w:rFonts w:ascii="Arial" w:hAnsi="Arial" w:cs="Arial"/>
          <w:sz w:val="24"/>
          <w:szCs w:val="24"/>
          <w:vertAlign w:val="superscript"/>
        </w:rPr>
        <w:t>-1</w:t>
      </w:r>
      <w:r>
        <w:rPr>
          <w:rFonts w:ascii="Arial" w:hAnsi="Arial" w:cs="Arial"/>
          <w:sz w:val="24"/>
          <w:szCs w:val="24"/>
        </w:rPr>
        <w:t xml:space="preserve"> (for the MCM-41 supported s</w:t>
      </w:r>
      <w:r w:rsidRPr="00D01F03">
        <w:rPr>
          <w:rFonts w:ascii="Arial" w:hAnsi="Arial" w:cs="Arial"/>
          <w:sz w:val="24"/>
          <w:szCs w:val="24"/>
        </w:rPr>
        <w:t>ample</w:t>
      </w:r>
      <w:r>
        <w:rPr>
          <w:rFonts w:ascii="Arial" w:hAnsi="Arial" w:cs="Arial"/>
          <w:sz w:val="24"/>
          <w:szCs w:val="24"/>
        </w:rPr>
        <w:t>)</w:t>
      </w:r>
      <w:r w:rsidRPr="00D01F03">
        <w:rPr>
          <w:rFonts w:ascii="Arial" w:hAnsi="Arial" w:cs="Arial"/>
          <w:sz w:val="24"/>
          <w:szCs w:val="24"/>
        </w:rPr>
        <w:t xml:space="preserve"> </w:t>
      </w:r>
      <w:r>
        <w:rPr>
          <w:rFonts w:ascii="Arial" w:hAnsi="Arial" w:cs="Arial"/>
          <w:sz w:val="24"/>
          <w:szCs w:val="24"/>
        </w:rPr>
        <w:t>and to 207 m</w:t>
      </w:r>
      <w:r w:rsidRPr="004E3359">
        <w:rPr>
          <w:rFonts w:ascii="Arial" w:hAnsi="Arial" w:cs="Arial"/>
          <w:sz w:val="24"/>
          <w:szCs w:val="24"/>
          <w:vertAlign w:val="superscript"/>
        </w:rPr>
        <w:t>2</w:t>
      </w:r>
      <w:r>
        <w:rPr>
          <w:rFonts w:ascii="Arial" w:hAnsi="Arial" w:cs="Arial"/>
          <w:sz w:val="24"/>
          <w:szCs w:val="24"/>
        </w:rPr>
        <w:t>g</w:t>
      </w:r>
      <w:r w:rsidRPr="004E3359">
        <w:rPr>
          <w:rFonts w:ascii="Arial" w:hAnsi="Arial" w:cs="Arial"/>
          <w:sz w:val="24"/>
          <w:szCs w:val="24"/>
          <w:vertAlign w:val="superscript"/>
        </w:rPr>
        <w:t>-1</w:t>
      </w:r>
      <w:r>
        <w:rPr>
          <w:rFonts w:ascii="Arial" w:hAnsi="Arial" w:cs="Arial"/>
          <w:sz w:val="24"/>
          <w:szCs w:val="24"/>
        </w:rPr>
        <w:t xml:space="preserve"> (for the SBA-15 supported materials). The pore sizes also fell (to 2.7 nm and 7.6 nm respectively) </w:t>
      </w:r>
      <w:r w:rsidRPr="00D01F03">
        <w:rPr>
          <w:rFonts w:ascii="Arial" w:hAnsi="Arial" w:cs="Arial"/>
          <w:sz w:val="24"/>
          <w:szCs w:val="24"/>
        </w:rPr>
        <w:t xml:space="preserve">and these </w:t>
      </w:r>
      <w:r>
        <w:rPr>
          <w:rFonts w:ascii="Arial" w:hAnsi="Arial" w:cs="Arial"/>
          <w:sz w:val="24"/>
          <w:szCs w:val="24"/>
        </w:rPr>
        <w:t xml:space="preserve">data </w:t>
      </w:r>
      <w:r w:rsidRPr="00D01F03">
        <w:rPr>
          <w:rFonts w:ascii="Arial" w:hAnsi="Arial" w:cs="Arial"/>
          <w:sz w:val="24"/>
          <w:szCs w:val="24"/>
        </w:rPr>
        <w:t>are in line with results previously published [</w:t>
      </w:r>
      <w:r>
        <w:rPr>
          <w:rFonts w:ascii="Arial" w:hAnsi="Arial" w:cs="Arial"/>
          <w:sz w:val="24"/>
          <w:szCs w:val="24"/>
        </w:rPr>
        <w:t xml:space="preserve">22, 23]. </w:t>
      </w:r>
    </w:p>
    <w:p w:rsidR="001F6753" w:rsidRDefault="001F6753" w:rsidP="001F6753">
      <w:pPr>
        <w:spacing w:line="480" w:lineRule="auto"/>
        <w:jc w:val="both"/>
        <w:rPr>
          <w:rFonts w:ascii="Arial" w:hAnsi="Arial" w:cs="Arial"/>
          <w:sz w:val="24"/>
          <w:szCs w:val="24"/>
        </w:rPr>
      </w:pPr>
      <w:r>
        <w:rPr>
          <w:rFonts w:ascii="Arial" w:hAnsi="Arial" w:cs="Arial"/>
          <w:sz w:val="24"/>
          <w:szCs w:val="24"/>
        </w:rPr>
        <w:t>X-Ray characterisation (see supporting information) confirmed that these supports are essentially amorphous</w:t>
      </w:r>
      <w:r w:rsidRPr="00222D17">
        <w:rPr>
          <w:rFonts w:ascii="Arial" w:hAnsi="Arial" w:cs="Arial"/>
          <w:sz w:val="24"/>
          <w:szCs w:val="24"/>
        </w:rPr>
        <w:t xml:space="preserve"> [</w:t>
      </w:r>
      <w:r>
        <w:rPr>
          <w:rFonts w:ascii="Arial" w:hAnsi="Arial" w:cs="Arial"/>
          <w:sz w:val="24"/>
          <w:szCs w:val="24"/>
        </w:rPr>
        <w:t>23</w:t>
      </w:r>
      <w:r w:rsidRPr="00222D17">
        <w:rPr>
          <w:rFonts w:ascii="Arial" w:hAnsi="Arial" w:cs="Arial"/>
          <w:sz w:val="24"/>
          <w:szCs w:val="24"/>
        </w:rPr>
        <w:t>]</w:t>
      </w:r>
      <w:r>
        <w:rPr>
          <w:rFonts w:ascii="Arial" w:hAnsi="Arial" w:cs="Arial"/>
          <w:sz w:val="24"/>
          <w:szCs w:val="24"/>
        </w:rPr>
        <w:t xml:space="preserve"> (figure S1)</w:t>
      </w:r>
      <w:r w:rsidRPr="00222D17">
        <w:rPr>
          <w:rFonts w:ascii="Arial" w:hAnsi="Arial" w:cs="Arial"/>
          <w:sz w:val="24"/>
          <w:szCs w:val="24"/>
        </w:rPr>
        <w:t xml:space="preserve">. </w:t>
      </w:r>
      <w:r>
        <w:rPr>
          <w:rFonts w:ascii="Arial" w:hAnsi="Arial" w:cs="Arial"/>
          <w:sz w:val="24"/>
          <w:szCs w:val="24"/>
        </w:rPr>
        <w:t xml:space="preserve">A broad peak </w:t>
      </w:r>
      <w:proofErr w:type="spellStart"/>
      <w:r>
        <w:rPr>
          <w:rFonts w:ascii="Arial" w:hAnsi="Arial" w:cs="Arial"/>
          <w:sz w:val="24"/>
          <w:szCs w:val="24"/>
        </w:rPr>
        <w:t>centrered</w:t>
      </w:r>
      <w:proofErr w:type="spellEnd"/>
      <w:r>
        <w:rPr>
          <w:rFonts w:ascii="Arial" w:hAnsi="Arial" w:cs="Arial"/>
          <w:sz w:val="24"/>
          <w:szCs w:val="24"/>
        </w:rPr>
        <w:t xml:space="preserve"> at 2</w:t>
      </w:r>
      <w:r w:rsidRPr="00FF0FA6">
        <w:rPr>
          <w:rFonts w:ascii="Arial" w:hAnsi="Arial" w:cs="Arial"/>
          <w:sz w:val="24"/>
          <w:szCs w:val="24"/>
        </w:rPr>
        <w:t xml:space="preserve"> θ</w:t>
      </w:r>
      <w:r>
        <w:rPr>
          <w:rFonts w:ascii="Arial" w:hAnsi="Arial" w:cs="Arial"/>
          <w:sz w:val="24"/>
          <w:szCs w:val="24"/>
        </w:rPr>
        <w:t xml:space="preserve"> ~ 23 ° in the profiles of both materials relates to </w:t>
      </w:r>
      <w:r w:rsidRPr="00FF0FA6">
        <w:rPr>
          <w:rFonts w:ascii="Arial" w:hAnsi="Arial" w:cs="Arial"/>
          <w:sz w:val="24"/>
          <w:szCs w:val="24"/>
        </w:rPr>
        <w:t xml:space="preserve">the presence of amorphous silica [24]. </w:t>
      </w:r>
      <w:r>
        <w:rPr>
          <w:rFonts w:ascii="Arial" w:hAnsi="Arial" w:cs="Arial"/>
          <w:sz w:val="24"/>
          <w:szCs w:val="24"/>
        </w:rPr>
        <w:t>XRD evidence for CaCO</w:t>
      </w:r>
      <w:r w:rsidRPr="00237778">
        <w:rPr>
          <w:rFonts w:ascii="Arial" w:hAnsi="Arial" w:cs="Arial"/>
          <w:sz w:val="24"/>
          <w:szCs w:val="24"/>
          <w:vertAlign w:val="subscript"/>
        </w:rPr>
        <w:t>3</w:t>
      </w:r>
      <w:r>
        <w:rPr>
          <w:rFonts w:ascii="Arial" w:hAnsi="Arial" w:cs="Arial"/>
          <w:sz w:val="24"/>
          <w:szCs w:val="24"/>
        </w:rPr>
        <w:t xml:space="preserve"> and </w:t>
      </w:r>
      <w:proofErr w:type="spellStart"/>
      <w:r>
        <w:rPr>
          <w:rFonts w:ascii="Arial" w:hAnsi="Arial" w:cs="Arial"/>
          <w:sz w:val="24"/>
          <w:szCs w:val="24"/>
        </w:rPr>
        <w:t>CaO</w:t>
      </w:r>
      <w:proofErr w:type="spellEnd"/>
      <w:r>
        <w:rPr>
          <w:rFonts w:ascii="Arial" w:hAnsi="Arial" w:cs="Arial"/>
          <w:sz w:val="24"/>
          <w:szCs w:val="24"/>
        </w:rPr>
        <w:t xml:space="preserve"> (following different calcination treatments) can also be seen on each sample. SAXS (Figure S2) gives information about the </w:t>
      </w:r>
      <w:r w:rsidRPr="0079091A">
        <w:rPr>
          <w:rFonts w:ascii="Arial" w:hAnsi="Arial" w:cs="Arial"/>
          <w:sz w:val="24"/>
          <w:szCs w:val="24"/>
        </w:rPr>
        <w:t>coherence of the support materials following the various preparations</w:t>
      </w:r>
      <w:r>
        <w:rPr>
          <w:rFonts w:ascii="Arial" w:hAnsi="Arial" w:cs="Arial"/>
          <w:sz w:val="24"/>
          <w:szCs w:val="24"/>
        </w:rPr>
        <w:t xml:space="preserve"> [25, 26]</w:t>
      </w:r>
      <w:r w:rsidRPr="0079091A">
        <w:rPr>
          <w:rFonts w:ascii="Arial" w:hAnsi="Arial" w:cs="Arial"/>
          <w:sz w:val="24"/>
          <w:szCs w:val="24"/>
        </w:rPr>
        <w:t xml:space="preserve">.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This technique (figure S2) confirms significant changes to the </w:t>
      </w:r>
      <w:r w:rsidRPr="00614287">
        <w:rPr>
          <w:rFonts w:ascii="Arial" w:hAnsi="Arial" w:cs="Arial"/>
          <w:sz w:val="24"/>
          <w:szCs w:val="24"/>
        </w:rPr>
        <w:t xml:space="preserve">Ca-containing materials </w:t>
      </w:r>
      <w:r>
        <w:rPr>
          <w:rFonts w:ascii="Arial" w:hAnsi="Arial" w:cs="Arial"/>
          <w:sz w:val="24"/>
          <w:szCs w:val="24"/>
        </w:rPr>
        <w:t xml:space="preserve">following </w:t>
      </w:r>
      <w:r w:rsidRPr="00614287">
        <w:rPr>
          <w:rFonts w:ascii="Arial" w:hAnsi="Arial" w:cs="Arial"/>
          <w:sz w:val="24"/>
          <w:szCs w:val="24"/>
        </w:rPr>
        <w:t xml:space="preserve">high temperature calcination, </w:t>
      </w:r>
      <w:r w:rsidRPr="00614287">
        <w:rPr>
          <w:rFonts w:ascii="Arial" w:hAnsi="Arial" w:cs="Arial"/>
          <w:i/>
          <w:sz w:val="24"/>
          <w:szCs w:val="24"/>
        </w:rPr>
        <w:t>i.e.</w:t>
      </w:r>
      <w:r w:rsidRPr="00614287">
        <w:rPr>
          <w:rFonts w:ascii="Arial" w:hAnsi="Arial" w:cs="Arial"/>
          <w:sz w:val="24"/>
          <w:szCs w:val="24"/>
        </w:rPr>
        <w:t xml:space="preserve"> decreased pore ordering and a contraction of the unit cell</w:t>
      </w:r>
      <w:r>
        <w:rPr>
          <w:rFonts w:ascii="Arial" w:hAnsi="Arial" w:cs="Arial"/>
          <w:sz w:val="24"/>
          <w:szCs w:val="24"/>
        </w:rPr>
        <w:t xml:space="preserve">, but has confirmed retention of the </w:t>
      </w:r>
      <w:proofErr w:type="spellStart"/>
      <w:r w:rsidRPr="0079091A">
        <w:rPr>
          <w:rFonts w:ascii="Arial" w:hAnsi="Arial" w:cs="Arial"/>
          <w:sz w:val="24"/>
          <w:szCs w:val="24"/>
        </w:rPr>
        <w:t>mesoscopic</w:t>
      </w:r>
      <w:proofErr w:type="spellEnd"/>
      <w:r w:rsidRPr="0079091A">
        <w:rPr>
          <w:rFonts w:ascii="Arial" w:hAnsi="Arial" w:cs="Arial"/>
          <w:sz w:val="24"/>
          <w:szCs w:val="24"/>
        </w:rPr>
        <w:t xml:space="preserve"> order and the hexagonal features of the support</w:t>
      </w:r>
      <w:r>
        <w:rPr>
          <w:rFonts w:ascii="Arial" w:hAnsi="Arial" w:cs="Arial"/>
          <w:sz w:val="24"/>
          <w:szCs w:val="24"/>
        </w:rPr>
        <w:t>. MgCO</w:t>
      </w:r>
      <w:r w:rsidRPr="002A0542">
        <w:rPr>
          <w:rFonts w:ascii="Arial" w:hAnsi="Arial" w:cs="Arial"/>
          <w:sz w:val="24"/>
          <w:szCs w:val="24"/>
          <w:vertAlign w:val="subscript"/>
        </w:rPr>
        <w:t>3</w:t>
      </w:r>
      <w:r>
        <w:rPr>
          <w:rFonts w:ascii="Arial" w:hAnsi="Arial" w:cs="Arial"/>
          <w:sz w:val="24"/>
          <w:szCs w:val="24"/>
        </w:rPr>
        <w:t xml:space="preserve"> and </w:t>
      </w:r>
      <w:proofErr w:type="spellStart"/>
      <w:r>
        <w:rPr>
          <w:rFonts w:ascii="Arial" w:hAnsi="Arial" w:cs="Arial"/>
          <w:sz w:val="24"/>
          <w:szCs w:val="24"/>
        </w:rPr>
        <w:t>BaO</w:t>
      </w:r>
      <w:proofErr w:type="spellEnd"/>
      <w:r>
        <w:rPr>
          <w:rFonts w:ascii="Arial" w:hAnsi="Arial" w:cs="Arial"/>
          <w:sz w:val="24"/>
          <w:szCs w:val="24"/>
        </w:rPr>
        <w:t xml:space="preserve"> catalysts show no change to the profiles collected from the support confirming little change to the pore structure or </w:t>
      </w:r>
      <w:r>
        <w:rPr>
          <w:rFonts w:ascii="Arial" w:hAnsi="Arial" w:cs="Arial"/>
          <w:sz w:val="24"/>
          <w:szCs w:val="24"/>
        </w:rPr>
        <w:lastRenderedPageBreak/>
        <w:t>ordering following incorporation of precursors to these species and calcination to 600 °C (results not shown in S2).</w:t>
      </w:r>
    </w:p>
    <w:p w:rsidR="001F6753" w:rsidRDefault="001F6753" w:rsidP="001F6753">
      <w:pPr>
        <w:spacing w:line="480" w:lineRule="auto"/>
        <w:jc w:val="both"/>
        <w:rPr>
          <w:rFonts w:ascii="Arial" w:hAnsi="Arial" w:cs="Arial"/>
          <w:b/>
          <w:sz w:val="24"/>
          <w:szCs w:val="24"/>
        </w:rPr>
      </w:pPr>
      <w:r w:rsidRPr="00762ADF">
        <w:rPr>
          <w:rFonts w:ascii="Arial" w:hAnsi="Arial" w:cs="Arial"/>
          <w:b/>
          <w:sz w:val="24"/>
          <w:szCs w:val="24"/>
        </w:rPr>
        <w:t>3.</w:t>
      </w:r>
      <w:r>
        <w:rPr>
          <w:rFonts w:ascii="Arial" w:hAnsi="Arial" w:cs="Arial"/>
          <w:b/>
          <w:sz w:val="24"/>
          <w:szCs w:val="24"/>
        </w:rPr>
        <w:t>2</w:t>
      </w:r>
      <w:r w:rsidRPr="00762ADF">
        <w:rPr>
          <w:rFonts w:ascii="Arial" w:hAnsi="Arial" w:cs="Arial"/>
          <w:b/>
          <w:sz w:val="24"/>
          <w:szCs w:val="24"/>
        </w:rPr>
        <w:t xml:space="preserve"> </w:t>
      </w:r>
      <w:r>
        <w:rPr>
          <w:rFonts w:ascii="Arial" w:hAnsi="Arial" w:cs="Arial"/>
          <w:b/>
          <w:sz w:val="24"/>
          <w:szCs w:val="24"/>
        </w:rPr>
        <w:t>Temperature programmed desorption of NOx</w:t>
      </w:r>
    </w:p>
    <w:p w:rsidR="001F6753" w:rsidRDefault="001F6753" w:rsidP="001F6753">
      <w:pPr>
        <w:spacing w:line="480" w:lineRule="auto"/>
        <w:jc w:val="both"/>
        <w:rPr>
          <w:rFonts w:ascii="Arial" w:hAnsi="Arial" w:cs="Arial"/>
          <w:sz w:val="24"/>
          <w:szCs w:val="24"/>
        </w:rPr>
      </w:pPr>
      <w:r>
        <w:rPr>
          <w:rFonts w:ascii="Arial" w:hAnsi="Arial" w:cs="Arial"/>
          <w:sz w:val="24"/>
          <w:szCs w:val="24"/>
        </w:rPr>
        <w:t>Neither SBA-15 nor MCM-41 adsorb or desorb appreciable amounts of NOx during the NOx TPD experiments, so all NOx measured during TPD arose from interaction with, and desorption from, the group II species. The principal results are detailed in Table 1. These include the total amount of NO desorbed (giving information about the concentration of surface sites), the temperatures of maximum desorption (giving information about the enthalpy of desorption – which is related to the basic strength of the material) and the ratio of NO desorbed to the total group II metal ion content in the material (giving information about the group II phase dispersion).</w:t>
      </w:r>
    </w:p>
    <w:p w:rsidR="001F6753" w:rsidRDefault="001F6753" w:rsidP="001F6753">
      <w:pPr>
        <w:spacing w:line="480" w:lineRule="auto"/>
        <w:jc w:val="both"/>
        <w:rPr>
          <w:rFonts w:ascii="Arial" w:hAnsi="Arial" w:cs="Arial"/>
          <w:sz w:val="24"/>
          <w:szCs w:val="24"/>
        </w:rPr>
      </w:pPr>
    </w:p>
    <w:p w:rsidR="001F6753" w:rsidRPr="001F6753" w:rsidRDefault="001F6753" w:rsidP="001F6753">
      <w:pPr>
        <w:spacing w:line="480" w:lineRule="auto"/>
        <w:jc w:val="center"/>
        <w:rPr>
          <w:rFonts w:ascii="Arial" w:hAnsi="Arial" w:cs="Arial"/>
          <w:b/>
          <w:sz w:val="24"/>
          <w:szCs w:val="24"/>
        </w:rPr>
      </w:pPr>
      <w:r w:rsidRPr="001F6753">
        <w:rPr>
          <w:rFonts w:ascii="Arial" w:hAnsi="Arial" w:cs="Arial"/>
          <w:b/>
          <w:sz w:val="24"/>
          <w:szCs w:val="24"/>
        </w:rPr>
        <w:t>Table 1</w:t>
      </w:r>
    </w:p>
    <w:tbl>
      <w:tblPr>
        <w:tblStyle w:val="TableGrid"/>
        <w:tblW w:w="0" w:type="auto"/>
        <w:tblLook w:val="04A0" w:firstRow="1" w:lastRow="0" w:firstColumn="1" w:lastColumn="0" w:noHBand="0" w:noVBand="1"/>
      </w:tblPr>
      <w:tblGrid>
        <w:gridCol w:w="1599"/>
        <w:gridCol w:w="1442"/>
        <w:gridCol w:w="1320"/>
        <w:gridCol w:w="956"/>
        <w:gridCol w:w="1414"/>
        <w:gridCol w:w="1457"/>
        <w:gridCol w:w="1054"/>
      </w:tblGrid>
      <w:tr w:rsidR="001F6753" w:rsidTr="009E0C06">
        <w:tc>
          <w:tcPr>
            <w:tcW w:w="1599" w:type="dxa"/>
          </w:tcPr>
          <w:p w:rsidR="001F6753" w:rsidRDefault="001F6753" w:rsidP="009E0C06">
            <w:pPr>
              <w:spacing w:line="480" w:lineRule="auto"/>
              <w:jc w:val="center"/>
              <w:rPr>
                <w:rFonts w:ascii="Arial" w:hAnsi="Arial" w:cs="Arial"/>
                <w:sz w:val="24"/>
                <w:szCs w:val="24"/>
              </w:rPr>
            </w:pPr>
          </w:p>
        </w:tc>
        <w:tc>
          <w:tcPr>
            <w:tcW w:w="3718" w:type="dxa"/>
            <w:gridSpan w:val="3"/>
          </w:tcPr>
          <w:p w:rsidR="001F6753" w:rsidRDefault="001F6753" w:rsidP="009E0C06">
            <w:pPr>
              <w:spacing w:line="480" w:lineRule="auto"/>
              <w:jc w:val="center"/>
              <w:rPr>
                <w:rFonts w:ascii="Arial" w:hAnsi="Arial" w:cs="Arial"/>
                <w:sz w:val="24"/>
                <w:szCs w:val="24"/>
              </w:rPr>
            </w:pPr>
            <w:r>
              <w:rPr>
                <w:rFonts w:ascii="Arial" w:hAnsi="Arial" w:cs="Arial"/>
                <w:sz w:val="24"/>
                <w:szCs w:val="24"/>
              </w:rPr>
              <w:t>MCM-41</w:t>
            </w:r>
          </w:p>
        </w:tc>
        <w:tc>
          <w:tcPr>
            <w:tcW w:w="3925" w:type="dxa"/>
            <w:gridSpan w:val="3"/>
          </w:tcPr>
          <w:p w:rsidR="001F6753" w:rsidRDefault="001F6753" w:rsidP="009E0C06">
            <w:pPr>
              <w:spacing w:line="480" w:lineRule="auto"/>
              <w:jc w:val="center"/>
              <w:rPr>
                <w:rFonts w:ascii="Arial" w:hAnsi="Arial" w:cs="Arial"/>
                <w:sz w:val="24"/>
                <w:szCs w:val="24"/>
              </w:rPr>
            </w:pPr>
            <w:r>
              <w:rPr>
                <w:rFonts w:ascii="Arial" w:hAnsi="Arial" w:cs="Arial"/>
                <w:sz w:val="24"/>
                <w:szCs w:val="24"/>
              </w:rPr>
              <w:t>SBA-15</w:t>
            </w:r>
          </w:p>
        </w:tc>
      </w:tr>
      <w:tr w:rsidR="001F6753" w:rsidTr="009E0C06">
        <w:tc>
          <w:tcPr>
            <w:tcW w:w="1599" w:type="dxa"/>
          </w:tcPr>
          <w:p w:rsidR="001F6753" w:rsidRDefault="001F6753" w:rsidP="009E0C06">
            <w:pPr>
              <w:spacing w:line="480" w:lineRule="auto"/>
              <w:jc w:val="center"/>
              <w:rPr>
                <w:rFonts w:ascii="Arial" w:hAnsi="Arial" w:cs="Arial"/>
                <w:sz w:val="24"/>
                <w:szCs w:val="24"/>
              </w:rPr>
            </w:pPr>
          </w:p>
        </w:tc>
        <w:tc>
          <w:tcPr>
            <w:tcW w:w="1442" w:type="dxa"/>
            <w:vAlign w:val="center"/>
          </w:tcPr>
          <w:p w:rsidR="001F6753" w:rsidRPr="00F62BF6" w:rsidRDefault="001F6753" w:rsidP="009E0C06">
            <w:pPr>
              <w:jc w:val="center"/>
              <w:rPr>
                <w:rFonts w:ascii="Arial" w:hAnsi="Arial" w:cs="Arial"/>
                <w:color w:val="000000"/>
                <w:sz w:val="24"/>
                <w:szCs w:val="24"/>
              </w:rPr>
            </w:pPr>
            <w:r w:rsidRPr="00BD24A3">
              <w:rPr>
                <w:rFonts w:ascii="Symbol" w:hAnsi="Symbol" w:cs="Arial"/>
                <w:color w:val="000000"/>
                <w:sz w:val="24"/>
                <w:szCs w:val="24"/>
              </w:rPr>
              <w:t></w:t>
            </w:r>
            <w:proofErr w:type="spellStart"/>
            <w:r>
              <w:rPr>
                <w:rFonts w:ascii="Arial" w:hAnsi="Arial" w:cs="Arial"/>
                <w:color w:val="000000"/>
                <w:sz w:val="24"/>
                <w:szCs w:val="24"/>
              </w:rPr>
              <w:t>mol</w:t>
            </w:r>
            <w:proofErr w:type="spellEnd"/>
            <w:r>
              <w:rPr>
                <w:rFonts w:ascii="Arial" w:hAnsi="Arial" w:cs="Arial"/>
                <w:color w:val="000000"/>
                <w:sz w:val="24"/>
                <w:szCs w:val="24"/>
              </w:rPr>
              <w:t xml:space="preserve"> NO desorbed g</w:t>
            </w:r>
            <w:r w:rsidRPr="00BD24A3">
              <w:rPr>
                <w:rFonts w:ascii="Arial" w:hAnsi="Arial" w:cs="Arial"/>
                <w:color w:val="000000"/>
                <w:sz w:val="24"/>
                <w:szCs w:val="24"/>
                <w:vertAlign w:val="superscript"/>
              </w:rPr>
              <w:t>-1</w:t>
            </w:r>
          </w:p>
        </w:tc>
        <w:tc>
          <w:tcPr>
            <w:tcW w:w="1320" w:type="dxa"/>
            <w:vAlign w:val="center"/>
          </w:tcPr>
          <w:p w:rsidR="001F6753" w:rsidRPr="00F62BF6" w:rsidRDefault="001F6753" w:rsidP="009E0C06">
            <w:pPr>
              <w:jc w:val="center"/>
              <w:rPr>
                <w:rFonts w:ascii="Arial" w:hAnsi="Arial" w:cs="Arial"/>
                <w:color w:val="000000"/>
                <w:sz w:val="24"/>
                <w:szCs w:val="24"/>
              </w:rPr>
            </w:pPr>
            <w:proofErr w:type="spellStart"/>
            <w:r>
              <w:rPr>
                <w:rFonts w:ascii="Arial" w:hAnsi="Arial" w:cs="Arial"/>
                <w:color w:val="000000"/>
                <w:sz w:val="24"/>
                <w:szCs w:val="24"/>
              </w:rPr>
              <w:t>mol</w:t>
            </w:r>
            <w:proofErr w:type="spellEnd"/>
            <w:r>
              <w:rPr>
                <w:rFonts w:ascii="Arial" w:hAnsi="Arial" w:cs="Arial"/>
                <w:color w:val="000000"/>
                <w:sz w:val="24"/>
                <w:szCs w:val="24"/>
              </w:rPr>
              <w:t xml:space="preserve"> NO / </w:t>
            </w:r>
            <w:proofErr w:type="spellStart"/>
            <w:r>
              <w:rPr>
                <w:rFonts w:ascii="Arial" w:hAnsi="Arial" w:cs="Arial"/>
                <w:color w:val="000000"/>
                <w:sz w:val="24"/>
                <w:szCs w:val="24"/>
              </w:rPr>
              <w:t>mol</w:t>
            </w:r>
            <w:proofErr w:type="spellEnd"/>
            <w:r>
              <w:rPr>
                <w:rFonts w:ascii="Arial" w:hAnsi="Arial" w:cs="Arial"/>
                <w:color w:val="000000"/>
                <w:sz w:val="24"/>
                <w:szCs w:val="24"/>
              </w:rPr>
              <w:t xml:space="preserve"> M(II)</w:t>
            </w:r>
          </w:p>
        </w:tc>
        <w:tc>
          <w:tcPr>
            <w:tcW w:w="956" w:type="dxa"/>
          </w:tcPr>
          <w:p w:rsidR="001F6753" w:rsidRPr="00F62BF6" w:rsidRDefault="001F6753" w:rsidP="009E0C06">
            <w:pPr>
              <w:jc w:val="center"/>
              <w:rPr>
                <w:rFonts w:ascii="Arial" w:hAnsi="Arial" w:cs="Arial"/>
                <w:color w:val="000000"/>
                <w:sz w:val="24"/>
                <w:szCs w:val="24"/>
              </w:rPr>
            </w:pPr>
            <w:proofErr w:type="spellStart"/>
            <w:r>
              <w:rPr>
                <w:rFonts w:ascii="Arial" w:hAnsi="Arial" w:cs="Arial"/>
                <w:color w:val="000000"/>
                <w:sz w:val="24"/>
                <w:szCs w:val="24"/>
              </w:rPr>
              <w:t>T</w:t>
            </w:r>
            <w:r w:rsidRPr="00BD24A3">
              <w:rPr>
                <w:rFonts w:ascii="Arial" w:hAnsi="Arial" w:cs="Arial"/>
                <w:color w:val="000000"/>
                <w:sz w:val="24"/>
                <w:szCs w:val="24"/>
                <w:vertAlign w:val="subscript"/>
              </w:rPr>
              <w:t>max</w:t>
            </w:r>
            <w:proofErr w:type="spellEnd"/>
            <w:r>
              <w:rPr>
                <w:rFonts w:ascii="Arial" w:hAnsi="Arial" w:cs="Arial"/>
                <w:color w:val="000000"/>
                <w:sz w:val="24"/>
                <w:szCs w:val="24"/>
              </w:rPr>
              <w:t xml:space="preserve"> / °C</w:t>
            </w:r>
          </w:p>
        </w:tc>
        <w:tc>
          <w:tcPr>
            <w:tcW w:w="1414" w:type="dxa"/>
            <w:vAlign w:val="center"/>
          </w:tcPr>
          <w:p w:rsidR="001F6753" w:rsidRPr="00F62BF6" w:rsidRDefault="001F6753" w:rsidP="009E0C06">
            <w:pPr>
              <w:jc w:val="center"/>
              <w:rPr>
                <w:rFonts w:ascii="Arial" w:hAnsi="Arial" w:cs="Arial"/>
                <w:color w:val="000000"/>
                <w:sz w:val="24"/>
                <w:szCs w:val="24"/>
              </w:rPr>
            </w:pPr>
            <w:r w:rsidRPr="00BD24A3">
              <w:rPr>
                <w:rFonts w:ascii="Symbol" w:hAnsi="Symbol" w:cs="Arial"/>
                <w:color w:val="000000"/>
                <w:sz w:val="24"/>
                <w:szCs w:val="24"/>
              </w:rPr>
              <w:t></w:t>
            </w:r>
            <w:proofErr w:type="spellStart"/>
            <w:r>
              <w:rPr>
                <w:rFonts w:ascii="Arial" w:hAnsi="Arial" w:cs="Arial"/>
                <w:color w:val="000000"/>
                <w:sz w:val="24"/>
                <w:szCs w:val="24"/>
              </w:rPr>
              <w:t>mol</w:t>
            </w:r>
            <w:proofErr w:type="spellEnd"/>
            <w:r>
              <w:rPr>
                <w:rFonts w:ascii="Arial" w:hAnsi="Arial" w:cs="Arial"/>
                <w:color w:val="000000"/>
                <w:sz w:val="24"/>
                <w:szCs w:val="24"/>
              </w:rPr>
              <w:t xml:space="preserve"> NO desorbed g</w:t>
            </w:r>
            <w:r w:rsidRPr="00BD24A3">
              <w:rPr>
                <w:rFonts w:ascii="Arial" w:hAnsi="Arial" w:cs="Arial"/>
                <w:color w:val="000000"/>
                <w:sz w:val="24"/>
                <w:szCs w:val="24"/>
                <w:vertAlign w:val="superscript"/>
              </w:rPr>
              <w:t>-1</w:t>
            </w:r>
          </w:p>
        </w:tc>
        <w:tc>
          <w:tcPr>
            <w:tcW w:w="1457" w:type="dxa"/>
            <w:vAlign w:val="center"/>
          </w:tcPr>
          <w:p w:rsidR="001F6753" w:rsidRPr="00F62BF6" w:rsidRDefault="001F6753" w:rsidP="009E0C06">
            <w:pPr>
              <w:jc w:val="center"/>
              <w:rPr>
                <w:rFonts w:ascii="Arial" w:hAnsi="Arial" w:cs="Arial"/>
                <w:color w:val="000000"/>
                <w:sz w:val="24"/>
                <w:szCs w:val="24"/>
              </w:rPr>
            </w:pPr>
            <w:proofErr w:type="spellStart"/>
            <w:r>
              <w:rPr>
                <w:rFonts w:ascii="Arial" w:hAnsi="Arial" w:cs="Arial"/>
                <w:color w:val="000000"/>
                <w:sz w:val="24"/>
                <w:szCs w:val="24"/>
              </w:rPr>
              <w:t>mol</w:t>
            </w:r>
            <w:proofErr w:type="spellEnd"/>
            <w:r>
              <w:rPr>
                <w:rFonts w:ascii="Arial" w:hAnsi="Arial" w:cs="Arial"/>
                <w:color w:val="000000"/>
                <w:sz w:val="24"/>
                <w:szCs w:val="24"/>
              </w:rPr>
              <w:t xml:space="preserve"> NO / </w:t>
            </w:r>
            <w:proofErr w:type="spellStart"/>
            <w:r>
              <w:rPr>
                <w:rFonts w:ascii="Arial" w:hAnsi="Arial" w:cs="Arial"/>
                <w:color w:val="000000"/>
                <w:sz w:val="24"/>
                <w:szCs w:val="24"/>
              </w:rPr>
              <w:t>mol</w:t>
            </w:r>
            <w:proofErr w:type="spellEnd"/>
            <w:r>
              <w:rPr>
                <w:rFonts w:ascii="Arial" w:hAnsi="Arial" w:cs="Arial"/>
                <w:color w:val="000000"/>
                <w:sz w:val="24"/>
                <w:szCs w:val="24"/>
              </w:rPr>
              <w:t xml:space="preserve"> M(II)</w:t>
            </w:r>
          </w:p>
        </w:tc>
        <w:tc>
          <w:tcPr>
            <w:tcW w:w="1054" w:type="dxa"/>
          </w:tcPr>
          <w:p w:rsidR="001F6753" w:rsidRPr="00F62BF6" w:rsidRDefault="001F6753" w:rsidP="009E0C06">
            <w:pPr>
              <w:jc w:val="center"/>
              <w:rPr>
                <w:rFonts w:ascii="Arial" w:hAnsi="Arial" w:cs="Arial"/>
                <w:color w:val="000000"/>
                <w:sz w:val="24"/>
                <w:szCs w:val="24"/>
              </w:rPr>
            </w:pPr>
            <w:proofErr w:type="spellStart"/>
            <w:r>
              <w:rPr>
                <w:rFonts w:ascii="Arial" w:hAnsi="Arial" w:cs="Arial"/>
                <w:color w:val="000000"/>
                <w:sz w:val="24"/>
                <w:szCs w:val="24"/>
              </w:rPr>
              <w:t>T</w:t>
            </w:r>
            <w:r w:rsidRPr="00BD24A3">
              <w:rPr>
                <w:rFonts w:ascii="Arial" w:hAnsi="Arial" w:cs="Arial"/>
                <w:color w:val="000000"/>
                <w:sz w:val="24"/>
                <w:szCs w:val="24"/>
                <w:vertAlign w:val="subscript"/>
              </w:rPr>
              <w:t>max</w:t>
            </w:r>
            <w:proofErr w:type="spellEnd"/>
            <w:r>
              <w:rPr>
                <w:rFonts w:ascii="Arial" w:hAnsi="Arial" w:cs="Arial"/>
                <w:color w:val="000000"/>
                <w:sz w:val="24"/>
                <w:szCs w:val="24"/>
              </w:rPr>
              <w:t xml:space="preserve"> / °C</w:t>
            </w:r>
          </w:p>
        </w:tc>
      </w:tr>
      <w:tr w:rsidR="001F6753" w:rsidTr="009E0C06">
        <w:tc>
          <w:tcPr>
            <w:tcW w:w="1599" w:type="dxa"/>
          </w:tcPr>
          <w:p w:rsidR="001F6753" w:rsidRDefault="001F6753" w:rsidP="009E0C06">
            <w:pPr>
              <w:spacing w:line="360" w:lineRule="auto"/>
              <w:jc w:val="center"/>
              <w:rPr>
                <w:rFonts w:ascii="Arial" w:hAnsi="Arial" w:cs="Arial"/>
                <w:sz w:val="24"/>
                <w:szCs w:val="24"/>
              </w:rPr>
            </w:pPr>
            <w:proofErr w:type="spellStart"/>
            <w:r>
              <w:rPr>
                <w:rFonts w:ascii="Arial" w:hAnsi="Arial" w:cs="Arial"/>
                <w:sz w:val="24"/>
                <w:szCs w:val="24"/>
              </w:rPr>
              <w:t>CaO</w:t>
            </w:r>
            <w:proofErr w:type="spellEnd"/>
          </w:p>
        </w:tc>
        <w:tc>
          <w:tcPr>
            <w:tcW w:w="1442"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548</w:t>
            </w:r>
          </w:p>
        </w:tc>
        <w:tc>
          <w:tcPr>
            <w:tcW w:w="1320"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0.29</w:t>
            </w:r>
          </w:p>
        </w:tc>
        <w:tc>
          <w:tcPr>
            <w:tcW w:w="956"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545</w:t>
            </w:r>
          </w:p>
        </w:tc>
        <w:tc>
          <w:tcPr>
            <w:tcW w:w="141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770</w:t>
            </w:r>
          </w:p>
        </w:tc>
        <w:tc>
          <w:tcPr>
            <w:tcW w:w="1457"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0.41</w:t>
            </w:r>
          </w:p>
        </w:tc>
        <w:tc>
          <w:tcPr>
            <w:tcW w:w="105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540</w:t>
            </w:r>
          </w:p>
        </w:tc>
      </w:tr>
      <w:tr w:rsidR="001F6753" w:rsidTr="009E0C06">
        <w:tc>
          <w:tcPr>
            <w:tcW w:w="1599" w:type="dxa"/>
          </w:tcPr>
          <w:p w:rsidR="001F6753" w:rsidRDefault="001F6753" w:rsidP="009E0C06">
            <w:pPr>
              <w:spacing w:line="360" w:lineRule="auto"/>
              <w:jc w:val="center"/>
              <w:rPr>
                <w:rFonts w:ascii="Arial" w:hAnsi="Arial" w:cs="Arial"/>
                <w:sz w:val="24"/>
                <w:szCs w:val="24"/>
              </w:rPr>
            </w:pPr>
            <w:proofErr w:type="spellStart"/>
            <w:r>
              <w:rPr>
                <w:rFonts w:ascii="Arial" w:hAnsi="Arial" w:cs="Arial"/>
                <w:sz w:val="24"/>
                <w:szCs w:val="24"/>
              </w:rPr>
              <w:t>BaO</w:t>
            </w:r>
            <w:proofErr w:type="spellEnd"/>
          </w:p>
        </w:tc>
        <w:tc>
          <w:tcPr>
            <w:tcW w:w="1442"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359</w:t>
            </w:r>
          </w:p>
        </w:tc>
        <w:tc>
          <w:tcPr>
            <w:tcW w:w="1320"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0.55</w:t>
            </w:r>
          </w:p>
        </w:tc>
        <w:tc>
          <w:tcPr>
            <w:tcW w:w="956"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595</w:t>
            </w:r>
          </w:p>
        </w:tc>
        <w:tc>
          <w:tcPr>
            <w:tcW w:w="141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573</w:t>
            </w:r>
          </w:p>
        </w:tc>
        <w:tc>
          <w:tcPr>
            <w:tcW w:w="1457"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0.88</w:t>
            </w:r>
          </w:p>
        </w:tc>
        <w:tc>
          <w:tcPr>
            <w:tcW w:w="105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595</w:t>
            </w:r>
          </w:p>
        </w:tc>
      </w:tr>
      <w:tr w:rsidR="001F6753" w:rsidTr="009E0C06">
        <w:tc>
          <w:tcPr>
            <w:tcW w:w="1599" w:type="dxa"/>
          </w:tcPr>
          <w:p w:rsidR="001F6753" w:rsidRDefault="001F6753" w:rsidP="009E0C06">
            <w:pPr>
              <w:spacing w:line="360" w:lineRule="auto"/>
              <w:jc w:val="center"/>
              <w:rPr>
                <w:rFonts w:ascii="Arial" w:hAnsi="Arial" w:cs="Arial"/>
                <w:sz w:val="24"/>
                <w:szCs w:val="24"/>
              </w:rPr>
            </w:pPr>
            <w:r>
              <w:rPr>
                <w:rFonts w:ascii="Arial" w:hAnsi="Arial" w:cs="Arial"/>
                <w:sz w:val="24"/>
                <w:szCs w:val="24"/>
              </w:rPr>
              <w:t>MgCO</w:t>
            </w:r>
            <w:r w:rsidRPr="00F62BF6">
              <w:rPr>
                <w:rFonts w:ascii="Arial" w:hAnsi="Arial" w:cs="Arial"/>
                <w:sz w:val="24"/>
                <w:szCs w:val="24"/>
                <w:vertAlign w:val="subscript"/>
              </w:rPr>
              <w:t>3</w:t>
            </w:r>
          </w:p>
        </w:tc>
        <w:tc>
          <w:tcPr>
            <w:tcW w:w="1442"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571</w:t>
            </w:r>
          </w:p>
        </w:tc>
        <w:tc>
          <w:tcPr>
            <w:tcW w:w="1320"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0.17</w:t>
            </w:r>
          </w:p>
        </w:tc>
        <w:tc>
          <w:tcPr>
            <w:tcW w:w="956"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475</w:t>
            </w:r>
          </w:p>
        </w:tc>
        <w:tc>
          <w:tcPr>
            <w:tcW w:w="141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563</w:t>
            </w:r>
          </w:p>
        </w:tc>
        <w:tc>
          <w:tcPr>
            <w:tcW w:w="1457" w:type="dxa"/>
            <w:vAlign w:val="center"/>
          </w:tcPr>
          <w:p w:rsidR="001F6753" w:rsidRPr="00F62BF6" w:rsidRDefault="001F6753" w:rsidP="009E0C06">
            <w:pPr>
              <w:jc w:val="center"/>
              <w:rPr>
                <w:rFonts w:ascii="Arial" w:hAnsi="Arial" w:cs="Arial"/>
                <w:color w:val="000000"/>
                <w:sz w:val="24"/>
                <w:szCs w:val="24"/>
              </w:rPr>
            </w:pPr>
            <w:r w:rsidRPr="00F62BF6">
              <w:rPr>
                <w:rFonts w:ascii="Arial" w:hAnsi="Arial" w:cs="Arial"/>
                <w:color w:val="000000"/>
                <w:sz w:val="24"/>
                <w:szCs w:val="24"/>
              </w:rPr>
              <w:t>0.16</w:t>
            </w:r>
          </w:p>
        </w:tc>
        <w:tc>
          <w:tcPr>
            <w:tcW w:w="1054" w:type="dxa"/>
            <w:vAlign w:val="center"/>
          </w:tcPr>
          <w:p w:rsidR="001F6753" w:rsidRPr="00F62BF6" w:rsidRDefault="001F6753" w:rsidP="009E0C06">
            <w:pPr>
              <w:jc w:val="center"/>
              <w:rPr>
                <w:rFonts w:ascii="Arial" w:hAnsi="Arial" w:cs="Arial"/>
                <w:color w:val="000000"/>
                <w:sz w:val="24"/>
                <w:szCs w:val="24"/>
              </w:rPr>
            </w:pPr>
            <w:r>
              <w:rPr>
                <w:rFonts w:ascii="Arial" w:hAnsi="Arial" w:cs="Arial"/>
                <w:color w:val="000000"/>
                <w:sz w:val="24"/>
                <w:szCs w:val="24"/>
              </w:rPr>
              <w:t>470</w:t>
            </w:r>
          </w:p>
        </w:tc>
      </w:tr>
    </w:tbl>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Showing the number of moles of NO desorbed in TPD experiments g</w:t>
      </w:r>
      <w:r w:rsidRPr="00A94D48">
        <w:rPr>
          <w:rFonts w:ascii="Arial" w:hAnsi="Arial" w:cs="Arial"/>
          <w:sz w:val="24"/>
          <w:szCs w:val="24"/>
          <w:vertAlign w:val="superscript"/>
        </w:rPr>
        <w:t>-1</w:t>
      </w:r>
      <w:r>
        <w:rPr>
          <w:rFonts w:ascii="Arial" w:hAnsi="Arial" w:cs="Arial"/>
          <w:sz w:val="24"/>
          <w:szCs w:val="24"/>
        </w:rPr>
        <w:t xml:space="preserve"> of catalyst and mole</w:t>
      </w:r>
      <w:r w:rsidRPr="00BD24A3">
        <w:rPr>
          <w:rFonts w:ascii="Arial" w:hAnsi="Arial" w:cs="Arial"/>
          <w:sz w:val="24"/>
          <w:szCs w:val="24"/>
          <w:vertAlign w:val="superscript"/>
        </w:rPr>
        <w:t>-1</w:t>
      </w:r>
      <w:r>
        <w:rPr>
          <w:rFonts w:ascii="Arial" w:hAnsi="Arial" w:cs="Arial"/>
          <w:sz w:val="24"/>
          <w:szCs w:val="24"/>
        </w:rPr>
        <w:t xml:space="preserve"> of group II </w:t>
      </w:r>
      <w:proofErr w:type="spellStart"/>
      <w:r>
        <w:rPr>
          <w:rFonts w:ascii="Arial" w:hAnsi="Arial" w:cs="Arial"/>
          <w:sz w:val="24"/>
          <w:szCs w:val="24"/>
        </w:rPr>
        <w:t>cation</w:t>
      </w:r>
      <w:proofErr w:type="spellEnd"/>
      <w:r>
        <w:rPr>
          <w:rFonts w:ascii="Arial" w:hAnsi="Arial" w:cs="Arial"/>
          <w:sz w:val="24"/>
          <w:szCs w:val="24"/>
        </w:rPr>
        <w:t xml:space="preserve"> from MCM-41 and SBA-15 supported catalysts. The </w:t>
      </w:r>
      <w:proofErr w:type="spellStart"/>
      <w:r>
        <w:rPr>
          <w:rFonts w:ascii="Arial" w:hAnsi="Arial" w:cs="Arial"/>
          <w:sz w:val="24"/>
          <w:szCs w:val="24"/>
        </w:rPr>
        <w:t>T</w:t>
      </w:r>
      <w:r w:rsidRPr="00BD24A3">
        <w:rPr>
          <w:rFonts w:ascii="Arial" w:hAnsi="Arial" w:cs="Arial"/>
          <w:sz w:val="24"/>
          <w:szCs w:val="24"/>
          <w:vertAlign w:val="subscript"/>
        </w:rPr>
        <w:t>max</w:t>
      </w:r>
      <w:proofErr w:type="spellEnd"/>
      <w:r>
        <w:rPr>
          <w:rFonts w:ascii="Arial" w:hAnsi="Arial" w:cs="Arial"/>
          <w:sz w:val="24"/>
          <w:szCs w:val="24"/>
        </w:rPr>
        <w:t xml:space="preserve"> of each desorption profile is also shown</w:t>
      </w:r>
      <w:r>
        <w:rPr>
          <w:rFonts w:ascii="Arial" w:hAnsi="Arial" w:cs="Arial"/>
          <w:sz w:val="24"/>
          <w:szCs w:val="24"/>
        </w:rPr>
        <w:t>.</w:t>
      </w:r>
    </w:p>
    <w:p w:rsidR="001F6753" w:rsidRDefault="001F6753" w:rsidP="001F6753">
      <w:pPr>
        <w:spacing w:line="480" w:lineRule="auto"/>
        <w:rPr>
          <w:rFonts w:ascii="Arial" w:hAnsi="Arial" w:cs="Arial"/>
          <w:sz w:val="24"/>
          <w:szCs w:val="24"/>
        </w:rPr>
      </w:pPr>
    </w:p>
    <w:p w:rsidR="001F6753" w:rsidRDefault="001F6753" w:rsidP="001F6753">
      <w:pPr>
        <w:spacing w:line="480" w:lineRule="auto"/>
        <w:jc w:val="both"/>
        <w:rPr>
          <w:rFonts w:ascii="Arial" w:hAnsi="Arial" w:cs="Arial"/>
          <w:sz w:val="24"/>
          <w:szCs w:val="24"/>
        </w:rPr>
      </w:pPr>
      <w:r>
        <w:rPr>
          <w:rFonts w:ascii="Arial" w:hAnsi="Arial" w:cs="Arial"/>
          <w:sz w:val="24"/>
          <w:szCs w:val="24"/>
        </w:rPr>
        <w:lastRenderedPageBreak/>
        <w:t>In all cases a single NOx desorption peak was seen – confirming that only one type of adsorbed surface nitrate species formed following the treatment in NO + O</w:t>
      </w:r>
      <w:r w:rsidRPr="00802666">
        <w:rPr>
          <w:rFonts w:ascii="Arial" w:hAnsi="Arial" w:cs="Arial"/>
          <w:sz w:val="24"/>
          <w:szCs w:val="24"/>
          <w:vertAlign w:val="subscript"/>
        </w:rPr>
        <w:t>2</w:t>
      </w:r>
      <w:r>
        <w:rPr>
          <w:rFonts w:ascii="Arial" w:hAnsi="Arial" w:cs="Arial"/>
          <w:sz w:val="24"/>
          <w:szCs w:val="24"/>
        </w:rPr>
        <w:t xml:space="preserve"> at 50 °C. Surface basicity (as measured by the temperatures of maximum desorption) tallies with the basicity of the different materials (which increase down group II). </w:t>
      </w:r>
    </w:p>
    <w:p w:rsidR="001F6753" w:rsidRDefault="001F6753" w:rsidP="001F6753">
      <w:pPr>
        <w:spacing w:line="480" w:lineRule="auto"/>
        <w:jc w:val="both"/>
        <w:rPr>
          <w:rFonts w:ascii="Arial" w:hAnsi="Arial" w:cs="Arial"/>
          <w:sz w:val="24"/>
          <w:szCs w:val="24"/>
        </w:rPr>
      </w:pPr>
      <w:r>
        <w:rPr>
          <w:rFonts w:ascii="Arial" w:hAnsi="Arial" w:cs="Arial"/>
          <w:sz w:val="24"/>
          <w:szCs w:val="24"/>
        </w:rPr>
        <w:t>Regarding the substantive issue in this work (where we are seeking information about the dispersion of the active phase) we can draw several conclusions from the data.</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In the case of the supported </w:t>
      </w:r>
      <w:proofErr w:type="spellStart"/>
      <w:r>
        <w:rPr>
          <w:rFonts w:ascii="Arial" w:hAnsi="Arial" w:cs="Arial"/>
          <w:sz w:val="24"/>
          <w:szCs w:val="24"/>
        </w:rPr>
        <w:t>CaO</w:t>
      </w:r>
      <w:proofErr w:type="spellEnd"/>
      <w:r>
        <w:rPr>
          <w:rFonts w:ascii="Arial" w:hAnsi="Arial" w:cs="Arial"/>
          <w:sz w:val="24"/>
          <w:szCs w:val="24"/>
        </w:rPr>
        <w:t xml:space="preserve"> catalysts the dispersion varied depending on the particular mesoporous support used with the oxides supported on SBA-15 having a greater dispersion than those supported on MCM-41. </w:t>
      </w:r>
    </w:p>
    <w:p w:rsidR="001F6753" w:rsidRDefault="001F6753" w:rsidP="001F6753">
      <w:pPr>
        <w:spacing w:line="480" w:lineRule="auto"/>
        <w:jc w:val="both"/>
        <w:rPr>
          <w:rFonts w:ascii="Arial" w:hAnsi="Arial" w:cs="Arial"/>
          <w:sz w:val="24"/>
          <w:szCs w:val="24"/>
        </w:rPr>
      </w:pPr>
      <w:r>
        <w:rPr>
          <w:rFonts w:ascii="Arial" w:hAnsi="Arial" w:cs="Arial"/>
          <w:sz w:val="24"/>
          <w:szCs w:val="24"/>
        </w:rPr>
        <w:t>This is relatively surprising given the larger BET surface area of the latter compared to SBA-15 (both before and after calcination). So, even though MCM-41 supports have a far higher BET surface area, the species deposited on the SBA-15 support following incipient wetness impregnation, are more dispersed (leading to eventually more dispersed oxide phases following calcination).</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The same is true for the </w:t>
      </w:r>
      <w:proofErr w:type="spellStart"/>
      <w:r>
        <w:rPr>
          <w:rFonts w:ascii="Arial" w:hAnsi="Arial" w:cs="Arial"/>
          <w:sz w:val="24"/>
          <w:szCs w:val="24"/>
        </w:rPr>
        <w:t>BaO</w:t>
      </w:r>
      <w:proofErr w:type="spellEnd"/>
      <w:r>
        <w:rPr>
          <w:rFonts w:ascii="Arial" w:hAnsi="Arial" w:cs="Arial"/>
          <w:sz w:val="24"/>
          <w:szCs w:val="24"/>
        </w:rPr>
        <w:t xml:space="preserve"> catalysts but this effect is not seen over MgCO</w:t>
      </w:r>
      <w:r w:rsidRPr="00B777D5">
        <w:rPr>
          <w:rFonts w:ascii="Arial" w:hAnsi="Arial" w:cs="Arial"/>
          <w:sz w:val="24"/>
          <w:szCs w:val="24"/>
          <w:vertAlign w:val="subscript"/>
        </w:rPr>
        <w:t>3</w:t>
      </w:r>
      <w:r>
        <w:rPr>
          <w:rFonts w:ascii="Arial" w:hAnsi="Arial" w:cs="Arial"/>
          <w:sz w:val="24"/>
          <w:szCs w:val="24"/>
        </w:rPr>
        <w:t xml:space="preserve"> catalysts where equivalent amounts of NOx were desorbed from both the SBA-15 and the MCM-41 supported materials (recall treatment at 600 °C leads to the formation </w:t>
      </w:r>
      <w:proofErr w:type="spellStart"/>
      <w:r>
        <w:rPr>
          <w:rFonts w:ascii="Arial" w:hAnsi="Arial" w:cs="Arial"/>
          <w:sz w:val="24"/>
          <w:szCs w:val="24"/>
        </w:rPr>
        <w:t>BaO</w:t>
      </w:r>
      <w:proofErr w:type="spellEnd"/>
      <w:r>
        <w:rPr>
          <w:rFonts w:ascii="Arial" w:hAnsi="Arial" w:cs="Arial"/>
          <w:sz w:val="24"/>
          <w:szCs w:val="24"/>
        </w:rPr>
        <w:t xml:space="preserve"> and MgCO</w:t>
      </w:r>
      <w:r w:rsidRPr="00AF24C0">
        <w:rPr>
          <w:rFonts w:ascii="Arial" w:hAnsi="Arial" w:cs="Arial"/>
          <w:sz w:val="24"/>
          <w:szCs w:val="24"/>
          <w:vertAlign w:val="subscript"/>
        </w:rPr>
        <w:t>3</w:t>
      </w:r>
      <w:r>
        <w:rPr>
          <w:rFonts w:ascii="Arial" w:hAnsi="Arial" w:cs="Arial"/>
          <w:sz w:val="24"/>
          <w:szCs w:val="24"/>
        </w:rPr>
        <w:t xml:space="preserve"> from calcination of the analogous acetates).</w:t>
      </w:r>
    </w:p>
    <w:p w:rsidR="001F6753" w:rsidRDefault="001F6753" w:rsidP="001F6753">
      <w:pPr>
        <w:spacing w:line="480" w:lineRule="auto"/>
        <w:jc w:val="both"/>
        <w:rPr>
          <w:rFonts w:ascii="Arial" w:hAnsi="Arial" w:cs="Arial"/>
          <w:b/>
          <w:sz w:val="24"/>
          <w:szCs w:val="24"/>
        </w:rPr>
      </w:pPr>
    </w:p>
    <w:p w:rsidR="001F6753" w:rsidRPr="00762ADF" w:rsidRDefault="001F6753" w:rsidP="001F6753">
      <w:pPr>
        <w:spacing w:line="480" w:lineRule="auto"/>
        <w:jc w:val="both"/>
        <w:rPr>
          <w:rFonts w:ascii="Arial" w:hAnsi="Arial" w:cs="Arial"/>
          <w:b/>
          <w:sz w:val="24"/>
          <w:szCs w:val="24"/>
        </w:rPr>
      </w:pPr>
      <w:r>
        <w:rPr>
          <w:rFonts w:ascii="Arial" w:hAnsi="Arial" w:cs="Arial"/>
          <w:b/>
          <w:sz w:val="24"/>
          <w:szCs w:val="24"/>
        </w:rPr>
        <w:t>3.3 Activity studies</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Before discussing the activity of the various catalysts in these reactions it should be noted that there was no reactivity in the absence of catalysts and that the </w:t>
      </w:r>
      <w:r>
        <w:rPr>
          <w:rFonts w:ascii="Arial" w:hAnsi="Arial" w:cs="Arial"/>
          <w:sz w:val="24"/>
          <w:szCs w:val="24"/>
        </w:rPr>
        <w:lastRenderedPageBreak/>
        <w:t>mesoporous SiO</w:t>
      </w:r>
      <w:r w:rsidRPr="00192A65">
        <w:rPr>
          <w:rFonts w:ascii="Arial" w:hAnsi="Arial" w:cs="Arial"/>
          <w:sz w:val="24"/>
          <w:szCs w:val="24"/>
          <w:vertAlign w:val="subscript"/>
        </w:rPr>
        <w:t>2</w:t>
      </w:r>
      <w:r>
        <w:rPr>
          <w:rFonts w:ascii="Arial" w:hAnsi="Arial" w:cs="Arial"/>
          <w:sz w:val="24"/>
          <w:szCs w:val="24"/>
        </w:rPr>
        <w:t xml:space="preserve"> materials also showed no reactivity. Therefore, catalytic activity is related to the presence of the group II oxide (</w:t>
      </w:r>
      <w:proofErr w:type="spellStart"/>
      <w:r>
        <w:rPr>
          <w:rFonts w:ascii="Arial" w:hAnsi="Arial" w:cs="Arial"/>
          <w:sz w:val="24"/>
          <w:szCs w:val="24"/>
        </w:rPr>
        <w:t>CaO</w:t>
      </w:r>
      <w:proofErr w:type="spellEnd"/>
      <w:r>
        <w:rPr>
          <w:rFonts w:ascii="Arial" w:hAnsi="Arial" w:cs="Arial"/>
          <w:sz w:val="24"/>
          <w:szCs w:val="24"/>
        </w:rPr>
        <w:t xml:space="preserve"> or </w:t>
      </w:r>
      <w:proofErr w:type="spellStart"/>
      <w:r>
        <w:rPr>
          <w:rFonts w:ascii="Arial" w:hAnsi="Arial" w:cs="Arial"/>
          <w:sz w:val="24"/>
          <w:szCs w:val="24"/>
        </w:rPr>
        <w:t>BaO</w:t>
      </w:r>
      <w:proofErr w:type="spellEnd"/>
      <w:r>
        <w:rPr>
          <w:rFonts w:ascii="Arial" w:hAnsi="Arial" w:cs="Arial"/>
          <w:sz w:val="24"/>
          <w:szCs w:val="24"/>
        </w:rPr>
        <w:t>) or carbonate (MgCO</w:t>
      </w:r>
      <w:r w:rsidRPr="00E94452">
        <w:rPr>
          <w:rFonts w:ascii="Arial" w:hAnsi="Arial" w:cs="Arial"/>
          <w:sz w:val="24"/>
          <w:szCs w:val="24"/>
          <w:vertAlign w:val="subscript"/>
        </w:rPr>
        <w:t>3</w:t>
      </w:r>
      <w:r>
        <w:rPr>
          <w:rFonts w:ascii="Arial" w:hAnsi="Arial" w:cs="Arial"/>
          <w:sz w:val="24"/>
          <w:szCs w:val="24"/>
        </w:rPr>
        <w:t xml:space="preserve">) on the materials.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Elemental analysis of the catalysts before and after reaction confirmed there was no substantial leaching of group II materials from the catalyst to the solution during reaction. This is unsurprising given the relatively low temperatures (50 °C) at which the reactions were carried out. Finally, catalyst recycling experiments showed that, while catalytic activity decreased upon recycling, this was not due to leaching of active material from the catalyst but rather related to the deposition of organic material onto the active sites (reactivity could be restored by a calcination treatment). </w:t>
      </w:r>
    </w:p>
    <w:p w:rsidR="001F6753" w:rsidRDefault="001F6753" w:rsidP="001F6753">
      <w:pPr>
        <w:spacing w:line="480" w:lineRule="auto"/>
        <w:jc w:val="both"/>
        <w:rPr>
          <w:rFonts w:ascii="Arial" w:hAnsi="Arial" w:cs="Arial"/>
          <w:sz w:val="24"/>
          <w:szCs w:val="24"/>
        </w:rPr>
      </w:pPr>
      <w:r>
        <w:rPr>
          <w:rFonts w:ascii="Arial" w:hAnsi="Arial" w:cs="Arial"/>
          <w:sz w:val="24"/>
          <w:szCs w:val="24"/>
        </w:rPr>
        <w:t>While these features are interesting in themselves, the purpose of this contribution was to compare the effects of the different supports on reactivity and we will not comment on them further here.</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Figure 1 shows the activity profiles for the six catalysts in the conversion of </w:t>
      </w:r>
      <w:proofErr w:type="spellStart"/>
      <w:r>
        <w:rPr>
          <w:rFonts w:ascii="Arial" w:hAnsi="Arial" w:cs="Arial"/>
          <w:sz w:val="24"/>
          <w:szCs w:val="24"/>
        </w:rPr>
        <w:t>triacetin</w:t>
      </w:r>
      <w:proofErr w:type="spellEnd"/>
      <w:r>
        <w:rPr>
          <w:rFonts w:ascii="Arial" w:hAnsi="Arial" w:cs="Arial"/>
          <w:sz w:val="24"/>
          <w:szCs w:val="24"/>
        </w:rPr>
        <w:t xml:space="preserve"> (</w:t>
      </w:r>
      <w:proofErr w:type="gramStart"/>
      <w:r>
        <w:rPr>
          <w:rFonts w:ascii="Arial" w:hAnsi="Arial" w:cs="Arial"/>
          <w:sz w:val="24"/>
          <w:szCs w:val="24"/>
        </w:rPr>
        <w:t>a model triglyceride containing acetate esters on a glycerol backbone)</w:t>
      </w:r>
      <w:proofErr w:type="gramEnd"/>
      <w:r>
        <w:rPr>
          <w:rFonts w:ascii="Arial" w:hAnsi="Arial" w:cs="Arial"/>
          <w:sz w:val="24"/>
          <w:szCs w:val="24"/>
        </w:rPr>
        <w:t xml:space="preserve">. It is clear that </w:t>
      </w:r>
      <w:proofErr w:type="spellStart"/>
      <w:r>
        <w:rPr>
          <w:rFonts w:ascii="Arial" w:hAnsi="Arial" w:cs="Arial"/>
          <w:sz w:val="24"/>
          <w:szCs w:val="24"/>
        </w:rPr>
        <w:t>CaO</w:t>
      </w:r>
      <w:proofErr w:type="spellEnd"/>
      <w:r>
        <w:rPr>
          <w:rFonts w:ascii="Arial" w:hAnsi="Arial" w:cs="Arial"/>
          <w:sz w:val="24"/>
          <w:szCs w:val="24"/>
        </w:rPr>
        <w:t xml:space="preserve"> supported catalysts are the most effective, followed by </w:t>
      </w:r>
      <w:proofErr w:type="spellStart"/>
      <w:r>
        <w:rPr>
          <w:rFonts w:ascii="Arial" w:hAnsi="Arial" w:cs="Arial"/>
          <w:sz w:val="24"/>
          <w:szCs w:val="24"/>
        </w:rPr>
        <w:t>BaO</w:t>
      </w:r>
      <w:proofErr w:type="spellEnd"/>
      <w:r>
        <w:rPr>
          <w:rFonts w:ascii="Arial" w:hAnsi="Arial" w:cs="Arial"/>
          <w:sz w:val="24"/>
          <w:szCs w:val="24"/>
        </w:rPr>
        <w:t xml:space="preserve"> supported materials with supported MgCO</w:t>
      </w:r>
      <w:r w:rsidRPr="00FA042F">
        <w:rPr>
          <w:rFonts w:ascii="Arial" w:hAnsi="Arial" w:cs="Arial"/>
          <w:sz w:val="24"/>
          <w:szCs w:val="24"/>
          <w:vertAlign w:val="subscript"/>
        </w:rPr>
        <w:t>3</w:t>
      </w:r>
      <w:r>
        <w:rPr>
          <w:rFonts w:ascii="Arial" w:hAnsi="Arial" w:cs="Arial"/>
          <w:sz w:val="24"/>
          <w:szCs w:val="24"/>
        </w:rPr>
        <w:t xml:space="preserve"> catalysts being the least effective in catalysing the transesterification.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What is of more specific interest in relation to this work is the fact that in the cases of the Ba and Ca catalysts the SBA-15 supported materials are more active than their MCM-41 supported analogues. Recall that in both of these catalytic systems the dispersed oxide phase was more dispersed on the SBA-15 support than on the MCM-41 analogue (see table 1) so reactivity correlates with dispersion. </w:t>
      </w:r>
    </w:p>
    <w:p w:rsidR="001F6753" w:rsidRPr="001F6753" w:rsidRDefault="001F6753" w:rsidP="001F6753">
      <w:pPr>
        <w:spacing w:line="480" w:lineRule="auto"/>
        <w:jc w:val="center"/>
        <w:rPr>
          <w:rFonts w:ascii="Arial" w:hAnsi="Arial" w:cs="Arial"/>
          <w:b/>
          <w:sz w:val="24"/>
          <w:szCs w:val="24"/>
        </w:rPr>
      </w:pPr>
      <w:r w:rsidRPr="00750C91">
        <w:rPr>
          <w:noProof/>
          <w:szCs w:val="24"/>
          <w:lang w:val="en-GB" w:eastAsia="en-GB"/>
        </w:rPr>
        <w:lastRenderedPageBreak/>
        <w:drawing>
          <wp:anchor distT="0" distB="0" distL="114300" distR="114300" simplePos="0" relativeHeight="251660288" behindDoc="1" locked="0" layoutInCell="1" allowOverlap="1" wp14:anchorId="59F9B463" wp14:editId="5B8A1860">
            <wp:simplePos x="0" y="0"/>
            <wp:positionH relativeFrom="column">
              <wp:posOffset>510766</wp:posOffset>
            </wp:positionH>
            <wp:positionV relativeFrom="paragraph">
              <wp:posOffset>238760</wp:posOffset>
            </wp:positionV>
            <wp:extent cx="4372610" cy="263906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72610" cy="2639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6753">
        <w:rPr>
          <w:rFonts w:ascii="Arial" w:hAnsi="Arial" w:cs="Arial"/>
          <w:b/>
          <w:sz w:val="24"/>
          <w:szCs w:val="24"/>
        </w:rPr>
        <w:t>F</w:t>
      </w:r>
      <w:r w:rsidRPr="001F6753">
        <w:rPr>
          <w:rFonts w:ascii="Arial" w:hAnsi="Arial" w:cs="Arial"/>
          <w:b/>
          <w:sz w:val="24"/>
          <w:szCs w:val="24"/>
        </w:rPr>
        <w:t>igure 1</w:t>
      </w: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240" w:lineRule="auto"/>
        <w:jc w:val="both"/>
        <w:rPr>
          <w:rFonts w:ascii="Arial" w:hAnsi="Arial" w:cs="Arial"/>
          <w:sz w:val="24"/>
          <w:szCs w:val="24"/>
        </w:rPr>
      </w:pPr>
      <w:proofErr w:type="gramStart"/>
      <w:r>
        <w:rPr>
          <w:rFonts w:ascii="Arial" w:hAnsi="Arial" w:cs="Arial"/>
          <w:sz w:val="24"/>
          <w:szCs w:val="24"/>
        </w:rPr>
        <w:t>Figure 1.</w:t>
      </w:r>
      <w:proofErr w:type="gramEnd"/>
      <w:r>
        <w:rPr>
          <w:rFonts w:ascii="Arial" w:hAnsi="Arial" w:cs="Arial"/>
          <w:sz w:val="24"/>
          <w:szCs w:val="24"/>
        </w:rPr>
        <w:t xml:space="preserve"> Activity versus time profiles from the conversion of </w:t>
      </w:r>
      <w:proofErr w:type="spellStart"/>
      <w:r>
        <w:rPr>
          <w:rFonts w:ascii="Arial" w:hAnsi="Arial" w:cs="Arial"/>
          <w:sz w:val="24"/>
          <w:szCs w:val="24"/>
        </w:rPr>
        <w:t>triacetin</w:t>
      </w:r>
      <w:proofErr w:type="spellEnd"/>
      <w:r>
        <w:rPr>
          <w:rFonts w:ascii="Arial" w:hAnsi="Arial" w:cs="Arial"/>
          <w:sz w:val="24"/>
          <w:szCs w:val="24"/>
        </w:rPr>
        <w:t xml:space="preserve"> over mesoporous SiO</w:t>
      </w:r>
      <w:r w:rsidRPr="00750C91">
        <w:rPr>
          <w:rFonts w:ascii="Arial" w:hAnsi="Arial" w:cs="Arial"/>
          <w:sz w:val="24"/>
          <w:szCs w:val="24"/>
          <w:vertAlign w:val="subscript"/>
        </w:rPr>
        <w:t>2</w:t>
      </w:r>
      <w:r>
        <w:rPr>
          <w:rFonts w:ascii="Arial" w:hAnsi="Arial" w:cs="Arial"/>
          <w:sz w:val="24"/>
          <w:szCs w:val="24"/>
        </w:rPr>
        <w:t xml:space="preserve"> supported </w:t>
      </w:r>
      <w:proofErr w:type="spellStart"/>
      <w:r>
        <w:rPr>
          <w:rFonts w:ascii="Arial" w:hAnsi="Arial" w:cs="Arial"/>
          <w:sz w:val="24"/>
          <w:szCs w:val="24"/>
        </w:rPr>
        <w:t>CaO</w:t>
      </w:r>
      <w:proofErr w:type="spellEnd"/>
      <w:r>
        <w:rPr>
          <w:rFonts w:ascii="Arial" w:hAnsi="Arial" w:cs="Arial"/>
          <w:sz w:val="24"/>
          <w:szCs w:val="24"/>
        </w:rPr>
        <w:t xml:space="preserve"> (</w:t>
      </w:r>
      <w:r w:rsidRPr="003F5227">
        <w:rPr>
          <w:rFonts w:ascii="Times New Roman" w:hAnsi="Times New Roman" w:cs="Times New Roman"/>
          <w:sz w:val="28"/>
          <w:szCs w:val="28"/>
        </w:rPr>
        <w:t>▲</w:t>
      </w:r>
      <w:r>
        <w:rPr>
          <w:rFonts w:ascii="Times New Roman" w:hAnsi="Times New Roman" w:cs="Times New Roman"/>
          <w:sz w:val="24"/>
          <w:szCs w:val="24"/>
        </w:rPr>
        <w:t>,</w:t>
      </w:r>
      <w:r>
        <w:rPr>
          <w:rFonts w:ascii="Arial" w:hAnsi="Arial" w:cs="Arial"/>
          <w:sz w:val="24"/>
          <w:szCs w:val="24"/>
        </w:rPr>
        <w:sym w:font="Wingdings 3" w:char="F072"/>
      </w:r>
      <w:r>
        <w:rPr>
          <w:rFonts w:ascii="Arial" w:hAnsi="Arial" w:cs="Arial"/>
          <w:sz w:val="24"/>
          <w:szCs w:val="24"/>
        </w:rPr>
        <w:t xml:space="preserve">), </w:t>
      </w:r>
      <w:proofErr w:type="spellStart"/>
      <w:proofErr w:type="gramStart"/>
      <w:r>
        <w:rPr>
          <w:rFonts w:ascii="Arial" w:hAnsi="Arial" w:cs="Arial"/>
          <w:sz w:val="24"/>
          <w:szCs w:val="24"/>
        </w:rPr>
        <w:t>BaO</w:t>
      </w:r>
      <w:proofErr w:type="spellEnd"/>
      <w:r>
        <w:rPr>
          <w:rFonts w:ascii="Arial" w:hAnsi="Arial" w:cs="Arial"/>
          <w:sz w:val="24"/>
          <w:szCs w:val="24"/>
        </w:rPr>
        <w:t>(</w:t>
      </w:r>
      <w:proofErr w:type="gramEnd"/>
      <w:r w:rsidRPr="003F5227">
        <w:rPr>
          <w:rFonts w:ascii="Arial" w:hAnsi="Arial" w:cs="Arial"/>
          <w:sz w:val="28"/>
          <w:szCs w:val="28"/>
        </w:rPr>
        <w:sym w:font="Wingdings" w:char="F06C"/>
      </w:r>
      <w:r>
        <w:rPr>
          <w:rFonts w:ascii="Arial" w:hAnsi="Arial" w:cs="Arial"/>
          <w:sz w:val="24"/>
          <w:szCs w:val="24"/>
        </w:rPr>
        <w:t>,</w:t>
      </w:r>
      <w:r>
        <w:rPr>
          <w:rFonts w:ascii="Arial" w:hAnsi="Arial" w:cs="Arial"/>
          <w:sz w:val="24"/>
          <w:szCs w:val="24"/>
        </w:rPr>
        <w:sym w:font="Wingdings" w:char="F06D"/>
      </w:r>
      <w:r>
        <w:rPr>
          <w:rFonts w:ascii="Arial" w:hAnsi="Arial" w:cs="Arial"/>
          <w:sz w:val="24"/>
          <w:szCs w:val="24"/>
        </w:rPr>
        <w:t>) and MgCO</w:t>
      </w:r>
      <w:r w:rsidRPr="00750C91">
        <w:rPr>
          <w:rFonts w:ascii="Arial" w:hAnsi="Arial" w:cs="Arial"/>
          <w:sz w:val="24"/>
          <w:szCs w:val="24"/>
          <w:vertAlign w:val="subscript"/>
        </w:rPr>
        <w:t>3</w:t>
      </w:r>
      <w:r>
        <w:rPr>
          <w:rFonts w:ascii="Arial" w:hAnsi="Arial" w:cs="Arial"/>
          <w:sz w:val="24"/>
          <w:szCs w:val="24"/>
        </w:rPr>
        <w:t xml:space="preserve"> (</w:t>
      </w:r>
      <w:r w:rsidRPr="003F5227">
        <w:rPr>
          <w:rFonts w:ascii="Arial" w:hAnsi="Arial" w:cs="Arial"/>
          <w:sz w:val="28"/>
          <w:szCs w:val="28"/>
        </w:rPr>
        <w:sym w:font="Wingdings" w:char="F06E"/>
      </w:r>
      <w:r>
        <w:rPr>
          <w:rFonts w:ascii="Arial" w:hAnsi="Arial" w:cs="Arial"/>
          <w:sz w:val="24"/>
          <w:szCs w:val="24"/>
        </w:rPr>
        <w:t>,</w:t>
      </w:r>
      <w:r>
        <w:rPr>
          <w:rFonts w:ascii="Arial" w:hAnsi="Arial" w:cs="Arial"/>
          <w:sz w:val="24"/>
          <w:szCs w:val="24"/>
        </w:rPr>
        <w:sym w:font="Wingdings" w:char="F070"/>
      </w:r>
      <w:r>
        <w:rPr>
          <w:rFonts w:ascii="Arial" w:hAnsi="Arial" w:cs="Arial"/>
          <w:sz w:val="24"/>
          <w:szCs w:val="24"/>
        </w:rPr>
        <w:t>). Filled symbols represent SBA-15 supported catalysts and empty symbols represent MCM-41 supported materials.</w:t>
      </w: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r>
        <w:rPr>
          <w:rFonts w:ascii="Arial" w:hAnsi="Arial" w:cs="Arial"/>
          <w:sz w:val="24"/>
          <w:szCs w:val="24"/>
        </w:rPr>
        <w:t>Neither of the two MgCO</w:t>
      </w:r>
      <w:r w:rsidRPr="00AD0150">
        <w:rPr>
          <w:rFonts w:ascii="Arial" w:hAnsi="Arial" w:cs="Arial"/>
          <w:sz w:val="24"/>
          <w:szCs w:val="24"/>
          <w:vertAlign w:val="subscript"/>
        </w:rPr>
        <w:t>3</w:t>
      </w:r>
      <w:r>
        <w:rPr>
          <w:rFonts w:ascii="Arial" w:hAnsi="Arial" w:cs="Arial"/>
          <w:sz w:val="24"/>
          <w:szCs w:val="24"/>
        </w:rPr>
        <w:t xml:space="preserve"> catalysts is particularly active and under these (low temperature) conditions. Regarding this work the interesting aspect is that both catalysts are essentially equivalent regarding reactivity (albeit with the SBA-15 supported materials converting slightly more substrate in the earlier parts of the reaction). It should be recalled that the NOx TPD measurements of basic site distribution on these catalysts suggests their dispersions were equivalent (see table 1).</w:t>
      </w:r>
    </w:p>
    <w:p w:rsidR="001F6753" w:rsidRDefault="001F6753" w:rsidP="001F6753">
      <w:pPr>
        <w:spacing w:line="480" w:lineRule="auto"/>
        <w:jc w:val="both"/>
        <w:rPr>
          <w:rFonts w:ascii="Arial" w:hAnsi="Arial" w:cs="Arial"/>
          <w:sz w:val="24"/>
          <w:szCs w:val="24"/>
        </w:rPr>
      </w:pPr>
      <w:r>
        <w:rPr>
          <w:rFonts w:ascii="Arial" w:hAnsi="Arial" w:cs="Arial"/>
          <w:sz w:val="24"/>
          <w:szCs w:val="24"/>
        </w:rPr>
        <w:t>Therefore, while the nature of the active phase is important in determining the overall reactivity (</w:t>
      </w:r>
      <w:proofErr w:type="spellStart"/>
      <w:r>
        <w:rPr>
          <w:rFonts w:ascii="Arial" w:hAnsi="Arial" w:cs="Arial"/>
          <w:sz w:val="24"/>
          <w:szCs w:val="24"/>
        </w:rPr>
        <w:t>CaO</w:t>
      </w:r>
      <w:proofErr w:type="spellEnd"/>
      <w:r>
        <w:rPr>
          <w:rFonts w:ascii="Arial" w:hAnsi="Arial" w:cs="Arial"/>
          <w:sz w:val="24"/>
          <w:szCs w:val="24"/>
        </w:rPr>
        <w:t xml:space="preserve"> &gt; </w:t>
      </w:r>
      <w:proofErr w:type="spellStart"/>
      <w:r>
        <w:rPr>
          <w:rFonts w:ascii="Arial" w:hAnsi="Arial" w:cs="Arial"/>
          <w:sz w:val="24"/>
          <w:szCs w:val="24"/>
        </w:rPr>
        <w:t>BaO</w:t>
      </w:r>
      <w:proofErr w:type="spellEnd"/>
      <w:r>
        <w:rPr>
          <w:rFonts w:ascii="Arial" w:hAnsi="Arial" w:cs="Arial"/>
          <w:sz w:val="24"/>
          <w:szCs w:val="24"/>
        </w:rPr>
        <w:t xml:space="preserve"> &gt; MgCO</w:t>
      </w:r>
      <w:r w:rsidRPr="00AD0150">
        <w:rPr>
          <w:rFonts w:ascii="Arial" w:hAnsi="Arial" w:cs="Arial"/>
          <w:sz w:val="24"/>
          <w:szCs w:val="24"/>
          <w:vertAlign w:val="subscript"/>
        </w:rPr>
        <w:t>3</w:t>
      </w:r>
      <w:r>
        <w:rPr>
          <w:rFonts w:ascii="Arial" w:hAnsi="Arial" w:cs="Arial"/>
          <w:sz w:val="24"/>
          <w:szCs w:val="24"/>
        </w:rPr>
        <w:t xml:space="preserve">), there is a noticeable effect associated with the support in the case of the </w:t>
      </w:r>
      <w:proofErr w:type="spellStart"/>
      <w:r>
        <w:rPr>
          <w:rFonts w:ascii="Arial" w:hAnsi="Arial" w:cs="Arial"/>
          <w:sz w:val="24"/>
          <w:szCs w:val="24"/>
        </w:rPr>
        <w:t>BaO</w:t>
      </w:r>
      <w:proofErr w:type="spellEnd"/>
      <w:r>
        <w:rPr>
          <w:rFonts w:ascii="Arial" w:hAnsi="Arial" w:cs="Arial"/>
          <w:sz w:val="24"/>
          <w:szCs w:val="24"/>
        </w:rPr>
        <w:t xml:space="preserve"> and </w:t>
      </w:r>
      <w:proofErr w:type="spellStart"/>
      <w:r>
        <w:rPr>
          <w:rFonts w:ascii="Arial" w:hAnsi="Arial" w:cs="Arial"/>
          <w:sz w:val="24"/>
          <w:szCs w:val="24"/>
        </w:rPr>
        <w:t>CaO</w:t>
      </w:r>
      <w:proofErr w:type="spellEnd"/>
      <w:r>
        <w:rPr>
          <w:rFonts w:ascii="Arial" w:hAnsi="Arial" w:cs="Arial"/>
          <w:sz w:val="24"/>
          <w:szCs w:val="24"/>
        </w:rPr>
        <w:t xml:space="preserve"> catalysts.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Another feature that may be important is the pore sizes of the materials. SBA-15 materials have significantly larger pores than those of the MCM-41 materials and it should be considered whether this has an influence on the diffusion of reactants and </w:t>
      </w:r>
      <w:r>
        <w:rPr>
          <w:rFonts w:ascii="Arial" w:hAnsi="Arial" w:cs="Arial"/>
          <w:sz w:val="24"/>
          <w:szCs w:val="24"/>
        </w:rPr>
        <w:lastRenderedPageBreak/>
        <w:t xml:space="preserve">products to and from the active sites of the material. It has previously been shown that diffusional constraints do not affect this reaction [27].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In order to extend this comparison, the activity of </w:t>
      </w:r>
      <w:proofErr w:type="spellStart"/>
      <w:r>
        <w:rPr>
          <w:rFonts w:ascii="Arial" w:hAnsi="Arial" w:cs="Arial"/>
          <w:sz w:val="24"/>
          <w:szCs w:val="24"/>
        </w:rPr>
        <w:t>CaO</w:t>
      </w:r>
      <w:proofErr w:type="spellEnd"/>
      <w:r>
        <w:rPr>
          <w:rFonts w:ascii="Arial" w:hAnsi="Arial" w:cs="Arial"/>
          <w:sz w:val="24"/>
          <w:szCs w:val="24"/>
        </w:rPr>
        <w:t xml:space="preserve">-containing catalysts were further analysed in reactions where the substrate was changed. We looked at larger model triglycerides, i.e. </w:t>
      </w:r>
      <w:proofErr w:type="spellStart"/>
      <w:r w:rsidRPr="0009045F">
        <w:rPr>
          <w:rFonts w:ascii="Arial" w:hAnsi="Arial" w:cs="Arial"/>
          <w:sz w:val="24"/>
          <w:szCs w:val="24"/>
        </w:rPr>
        <w:t>triglyceryl</w:t>
      </w:r>
      <w:proofErr w:type="spellEnd"/>
      <w:r w:rsidRPr="0009045F">
        <w:rPr>
          <w:rFonts w:ascii="Arial" w:hAnsi="Arial" w:cs="Arial"/>
          <w:sz w:val="24"/>
          <w:szCs w:val="24"/>
        </w:rPr>
        <w:t xml:space="preserve"> </w:t>
      </w:r>
      <w:proofErr w:type="spellStart"/>
      <w:r w:rsidRPr="0009045F">
        <w:rPr>
          <w:rFonts w:ascii="Arial" w:hAnsi="Arial" w:cs="Arial"/>
          <w:sz w:val="24"/>
          <w:szCs w:val="24"/>
        </w:rPr>
        <w:t>octanoate</w:t>
      </w:r>
      <w:proofErr w:type="spellEnd"/>
      <w:r>
        <w:rPr>
          <w:rFonts w:ascii="Arial" w:hAnsi="Arial" w:cs="Arial"/>
          <w:sz w:val="24"/>
          <w:szCs w:val="24"/>
        </w:rPr>
        <w:t xml:space="preserve"> (C</w:t>
      </w:r>
      <w:r w:rsidRPr="00EF6752">
        <w:rPr>
          <w:rFonts w:ascii="Arial" w:hAnsi="Arial" w:cs="Arial"/>
          <w:sz w:val="24"/>
          <w:szCs w:val="24"/>
          <w:vertAlign w:val="subscript"/>
        </w:rPr>
        <w:t>8</w:t>
      </w:r>
      <w:r>
        <w:rPr>
          <w:rFonts w:ascii="Arial" w:hAnsi="Arial" w:cs="Arial"/>
          <w:sz w:val="24"/>
          <w:szCs w:val="24"/>
        </w:rPr>
        <w:t>) and a commercially available rapeseed oil (~C</w:t>
      </w:r>
      <w:r w:rsidRPr="00EF6752">
        <w:rPr>
          <w:rFonts w:ascii="Arial" w:hAnsi="Arial" w:cs="Arial"/>
          <w:sz w:val="24"/>
          <w:szCs w:val="24"/>
          <w:vertAlign w:val="subscript"/>
        </w:rPr>
        <w:t>19</w:t>
      </w:r>
      <w:r>
        <w:rPr>
          <w:rFonts w:ascii="Arial" w:hAnsi="Arial" w:cs="Arial"/>
          <w:sz w:val="24"/>
          <w:szCs w:val="24"/>
        </w:rPr>
        <w:t>). The results of these reactions are presented in figure 2 where the conversion to FAME is shown as a function of reaction time.</w:t>
      </w:r>
    </w:p>
    <w:p w:rsidR="001F6753" w:rsidRPr="001F6753" w:rsidRDefault="001F6753" w:rsidP="001F6753">
      <w:pPr>
        <w:spacing w:line="480" w:lineRule="auto"/>
        <w:jc w:val="center"/>
        <w:rPr>
          <w:rFonts w:ascii="Arial" w:hAnsi="Arial" w:cs="Arial"/>
          <w:b/>
          <w:sz w:val="24"/>
          <w:szCs w:val="24"/>
        </w:rPr>
      </w:pPr>
      <w:r>
        <w:rPr>
          <w:rFonts w:ascii="Arial" w:hAnsi="Arial" w:cs="Arial"/>
          <w:noProof/>
          <w:sz w:val="24"/>
          <w:szCs w:val="24"/>
          <w:lang w:val="en-GB" w:eastAsia="en-GB"/>
        </w:rPr>
        <w:drawing>
          <wp:anchor distT="0" distB="0" distL="114300" distR="114300" simplePos="0" relativeHeight="251662336" behindDoc="1" locked="0" layoutInCell="1" allowOverlap="1" wp14:anchorId="75A96CF9" wp14:editId="7FC67667">
            <wp:simplePos x="0" y="0"/>
            <wp:positionH relativeFrom="column">
              <wp:posOffset>556926</wp:posOffset>
            </wp:positionH>
            <wp:positionV relativeFrom="paragraph">
              <wp:posOffset>230210</wp:posOffset>
            </wp:positionV>
            <wp:extent cx="4304786" cy="2593817"/>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304192" cy="25934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6753">
        <w:rPr>
          <w:rFonts w:ascii="Arial" w:hAnsi="Arial" w:cs="Arial"/>
          <w:b/>
          <w:sz w:val="24"/>
          <w:szCs w:val="24"/>
        </w:rPr>
        <w:t>Figure 2</w:t>
      </w: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p>
    <w:p w:rsidR="001F6753" w:rsidRPr="00681302" w:rsidRDefault="001F6753" w:rsidP="001F6753">
      <w:pPr>
        <w:spacing w:line="240" w:lineRule="auto"/>
        <w:jc w:val="both"/>
        <w:rPr>
          <w:rFonts w:ascii="Arial" w:hAnsi="Arial" w:cs="Arial"/>
          <w:sz w:val="24"/>
          <w:szCs w:val="24"/>
        </w:rPr>
      </w:pPr>
      <w:proofErr w:type="gramStart"/>
      <w:r>
        <w:rPr>
          <w:rFonts w:ascii="Arial" w:hAnsi="Arial" w:cs="Arial"/>
          <w:sz w:val="24"/>
          <w:szCs w:val="24"/>
        </w:rPr>
        <w:t>Figure 2.</w:t>
      </w:r>
      <w:proofErr w:type="gramEnd"/>
      <w:r>
        <w:rPr>
          <w:rFonts w:ascii="Arial" w:hAnsi="Arial" w:cs="Arial"/>
          <w:sz w:val="24"/>
          <w:szCs w:val="24"/>
        </w:rPr>
        <w:t xml:space="preserve"> Activity versus time profiles from the conversion of </w:t>
      </w:r>
      <w:proofErr w:type="spellStart"/>
      <w:r>
        <w:rPr>
          <w:rFonts w:ascii="Arial" w:hAnsi="Arial" w:cs="Arial"/>
          <w:sz w:val="24"/>
          <w:szCs w:val="24"/>
        </w:rPr>
        <w:t>triacetin</w:t>
      </w:r>
      <w:proofErr w:type="spellEnd"/>
      <w:r>
        <w:rPr>
          <w:rFonts w:ascii="Arial" w:hAnsi="Arial" w:cs="Arial"/>
          <w:sz w:val="24"/>
          <w:szCs w:val="24"/>
        </w:rPr>
        <w:t xml:space="preserve"> (</w:t>
      </w:r>
      <w:r w:rsidRPr="003F5227">
        <w:rPr>
          <w:rFonts w:ascii="Arial" w:hAnsi="Arial" w:cs="Arial"/>
          <w:sz w:val="28"/>
          <w:szCs w:val="28"/>
        </w:rPr>
        <w:sym w:font="Wingdings" w:char="F06E"/>
      </w:r>
      <w:r>
        <w:rPr>
          <w:rFonts w:ascii="Arial" w:hAnsi="Arial" w:cs="Arial"/>
          <w:sz w:val="24"/>
          <w:szCs w:val="24"/>
        </w:rPr>
        <w:t>,</w:t>
      </w:r>
      <w:r>
        <w:rPr>
          <w:rFonts w:ascii="Arial" w:hAnsi="Arial" w:cs="Arial"/>
          <w:sz w:val="24"/>
          <w:szCs w:val="24"/>
        </w:rPr>
        <w:sym w:font="Wingdings" w:char="F070"/>
      </w:r>
      <w:r>
        <w:rPr>
          <w:rFonts w:ascii="Arial" w:hAnsi="Arial" w:cs="Arial"/>
          <w:sz w:val="24"/>
          <w:szCs w:val="24"/>
        </w:rPr>
        <w:t xml:space="preserve">), </w:t>
      </w:r>
      <w:proofErr w:type="spellStart"/>
      <w:r w:rsidRPr="0009045F">
        <w:rPr>
          <w:rFonts w:ascii="Arial" w:hAnsi="Arial" w:cs="Arial"/>
          <w:sz w:val="24"/>
          <w:szCs w:val="24"/>
        </w:rPr>
        <w:t>triglyceryl</w:t>
      </w:r>
      <w:proofErr w:type="spellEnd"/>
      <w:r w:rsidRPr="0009045F">
        <w:rPr>
          <w:rFonts w:ascii="Arial" w:hAnsi="Arial" w:cs="Arial"/>
          <w:sz w:val="24"/>
          <w:szCs w:val="24"/>
        </w:rPr>
        <w:t xml:space="preserve"> </w:t>
      </w:r>
      <w:proofErr w:type="spellStart"/>
      <w:r w:rsidRPr="0009045F">
        <w:rPr>
          <w:rFonts w:ascii="Arial" w:hAnsi="Arial" w:cs="Arial"/>
          <w:sz w:val="24"/>
          <w:szCs w:val="24"/>
        </w:rPr>
        <w:t>octanoate</w:t>
      </w:r>
      <w:proofErr w:type="spellEnd"/>
      <w:r>
        <w:rPr>
          <w:rFonts w:ascii="Arial" w:hAnsi="Arial" w:cs="Arial"/>
          <w:sz w:val="24"/>
          <w:szCs w:val="24"/>
        </w:rPr>
        <w:t xml:space="preserve"> (</w:t>
      </w:r>
      <w:r w:rsidRPr="003F5227">
        <w:rPr>
          <w:rFonts w:ascii="Times New Roman" w:hAnsi="Times New Roman" w:cs="Times New Roman"/>
          <w:sz w:val="28"/>
          <w:szCs w:val="28"/>
        </w:rPr>
        <w:t>▲</w:t>
      </w:r>
      <w:r>
        <w:rPr>
          <w:rFonts w:ascii="Times New Roman" w:hAnsi="Times New Roman" w:cs="Times New Roman"/>
          <w:sz w:val="24"/>
          <w:szCs w:val="24"/>
        </w:rPr>
        <w:t>,</w:t>
      </w:r>
      <w:r>
        <w:rPr>
          <w:rFonts w:ascii="Arial" w:hAnsi="Arial" w:cs="Arial"/>
          <w:sz w:val="24"/>
          <w:szCs w:val="24"/>
        </w:rPr>
        <w:sym w:font="Wingdings 3" w:char="F072"/>
      </w:r>
      <w:r>
        <w:rPr>
          <w:rFonts w:ascii="Arial" w:hAnsi="Arial" w:cs="Arial"/>
          <w:sz w:val="24"/>
          <w:szCs w:val="24"/>
        </w:rPr>
        <w:t>) and a commercial rapeseed oil (</w:t>
      </w:r>
      <w:r w:rsidRPr="003F5227">
        <w:rPr>
          <w:rFonts w:ascii="Arial" w:hAnsi="Arial" w:cs="Arial"/>
          <w:sz w:val="28"/>
          <w:szCs w:val="28"/>
        </w:rPr>
        <w:sym w:font="Wingdings" w:char="F06C"/>
      </w:r>
      <w:r>
        <w:rPr>
          <w:rFonts w:ascii="Arial" w:hAnsi="Arial" w:cs="Arial"/>
          <w:sz w:val="24"/>
          <w:szCs w:val="24"/>
        </w:rPr>
        <w:t>,</w:t>
      </w:r>
      <w:r>
        <w:rPr>
          <w:rFonts w:ascii="Arial" w:hAnsi="Arial" w:cs="Arial"/>
          <w:sz w:val="24"/>
          <w:szCs w:val="24"/>
        </w:rPr>
        <w:sym w:font="Wingdings" w:char="F06D"/>
      </w:r>
      <w:r>
        <w:rPr>
          <w:rFonts w:ascii="Arial" w:hAnsi="Arial" w:cs="Arial"/>
          <w:sz w:val="24"/>
          <w:szCs w:val="24"/>
        </w:rPr>
        <w:t>) over mesoporous SiO</w:t>
      </w:r>
      <w:r w:rsidRPr="00750C91">
        <w:rPr>
          <w:rFonts w:ascii="Arial" w:hAnsi="Arial" w:cs="Arial"/>
          <w:sz w:val="24"/>
          <w:szCs w:val="24"/>
          <w:vertAlign w:val="subscript"/>
        </w:rPr>
        <w:t>2</w:t>
      </w:r>
      <w:r>
        <w:rPr>
          <w:rFonts w:ascii="Arial" w:hAnsi="Arial" w:cs="Arial"/>
          <w:sz w:val="24"/>
          <w:szCs w:val="24"/>
        </w:rPr>
        <w:t xml:space="preserve"> supported </w:t>
      </w:r>
      <w:proofErr w:type="spellStart"/>
      <w:r>
        <w:rPr>
          <w:rFonts w:ascii="Arial" w:hAnsi="Arial" w:cs="Arial"/>
          <w:sz w:val="24"/>
          <w:szCs w:val="24"/>
        </w:rPr>
        <w:t>CaO</w:t>
      </w:r>
      <w:proofErr w:type="spellEnd"/>
      <w:r>
        <w:rPr>
          <w:rFonts w:ascii="Arial" w:hAnsi="Arial" w:cs="Arial"/>
          <w:sz w:val="24"/>
          <w:szCs w:val="24"/>
        </w:rPr>
        <w:t>. Filled symbols represent SBA-15 supported catalysts and empty symbols represent MCM-41 supported materials.</w:t>
      </w:r>
    </w:p>
    <w:p w:rsidR="001F6753" w:rsidRDefault="001F6753" w:rsidP="001F6753">
      <w:pPr>
        <w:spacing w:line="480" w:lineRule="auto"/>
        <w:jc w:val="both"/>
        <w:rPr>
          <w:rFonts w:ascii="Arial" w:hAnsi="Arial" w:cs="Arial"/>
          <w:sz w:val="24"/>
          <w:szCs w:val="24"/>
        </w:rPr>
      </w:pPr>
    </w:p>
    <w:p w:rsidR="001F6753" w:rsidRDefault="001F6753" w:rsidP="001F6753">
      <w:pPr>
        <w:spacing w:line="480" w:lineRule="auto"/>
        <w:jc w:val="both"/>
        <w:rPr>
          <w:rFonts w:ascii="Arial" w:hAnsi="Arial" w:cs="Arial"/>
          <w:sz w:val="24"/>
          <w:szCs w:val="24"/>
        </w:rPr>
      </w:pPr>
      <w:r>
        <w:rPr>
          <w:rFonts w:ascii="Arial" w:hAnsi="Arial" w:cs="Arial"/>
          <w:sz w:val="24"/>
          <w:szCs w:val="24"/>
        </w:rPr>
        <w:t>The most obvious result from these experiments is that the reaction is more rapid when the substrate is a shorter chain triglyceride with larger triglycerides being more difficult to convert. Apart from this, it is clear that the Ca-containing catalysts supported on MCM-41 are less active than those supported on SBA-15 for all the different reactions. The fact that the effect is equivalent, irrespective of the size of the substrate molecule suggests that diffusion is not an important feature here.</w:t>
      </w:r>
    </w:p>
    <w:p w:rsidR="001F6753" w:rsidRPr="0009045F" w:rsidRDefault="001F6753" w:rsidP="001F6753">
      <w:pPr>
        <w:spacing w:line="480" w:lineRule="auto"/>
        <w:jc w:val="both"/>
        <w:rPr>
          <w:rFonts w:ascii="Arial" w:hAnsi="Arial" w:cs="Arial"/>
          <w:b/>
          <w:sz w:val="24"/>
          <w:szCs w:val="24"/>
        </w:rPr>
      </w:pPr>
      <w:r>
        <w:rPr>
          <w:rFonts w:ascii="Arial" w:hAnsi="Arial" w:cs="Arial"/>
          <w:b/>
          <w:sz w:val="24"/>
          <w:szCs w:val="24"/>
        </w:rPr>
        <w:lastRenderedPageBreak/>
        <w:t>4</w:t>
      </w:r>
      <w:r>
        <w:rPr>
          <w:rFonts w:ascii="Arial" w:hAnsi="Arial" w:cs="Arial"/>
          <w:b/>
          <w:sz w:val="24"/>
          <w:szCs w:val="24"/>
        </w:rPr>
        <w:tab/>
      </w:r>
      <w:r w:rsidRPr="0009045F">
        <w:rPr>
          <w:rFonts w:ascii="Arial" w:hAnsi="Arial" w:cs="Arial"/>
          <w:b/>
          <w:sz w:val="24"/>
          <w:szCs w:val="24"/>
        </w:rPr>
        <w:t>Conclusions</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The main result we present in this work is that, even in the absence of diffusional limitations in the reactions themselves [26], for Ca and Ba supported catalysts; the larger pored SBA-15 supported materials are invariably more active than smaller pored MCM-41 analogues. </w:t>
      </w:r>
    </w:p>
    <w:p w:rsidR="001F6753" w:rsidRDefault="001F6753" w:rsidP="001F6753">
      <w:pPr>
        <w:spacing w:line="480" w:lineRule="auto"/>
        <w:jc w:val="both"/>
        <w:rPr>
          <w:rFonts w:ascii="Arial" w:hAnsi="Arial" w:cs="Arial"/>
          <w:sz w:val="24"/>
          <w:szCs w:val="24"/>
        </w:rPr>
      </w:pPr>
      <w:r>
        <w:rPr>
          <w:rFonts w:ascii="Arial" w:hAnsi="Arial" w:cs="Arial"/>
          <w:sz w:val="24"/>
          <w:szCs w:val="24"/>
        </w:rPr>
        <w:t xml:space="preserve">The effect is independent of the composition of the active phase and also independent of the pre-treatment of the catalyst. It is also independent on the size of the triglyceride substrate used (suggesting this effect is not related to diffusion). </w:t>
      </w:r>
    </w:p>
    <w:p w:rsidR="001F6753" w:rsidRDefault="001F6753" w:rsidP="001F6753">
      <w:pPr>
        <w:spacing w:line="480" w:lineRule="auto"/>
        <w:jc w:val="both"/>
        <w:rPr>
          <w:rFonts w:ascii="Arial" w:hAnsi="Arial" w:cs="Arial"/>
          <w:sz w:val="24"/>
          <w:szCs w:val="24"/>
        </w:rPr>
      </w:pPr>
      <w:r>
        <w:rPr>
          <w:rFonts w:ascii="Arial" w:hAnsi="Arial" w:cs="Arial"/>
          <w:sz w:val="24"/>
          <w:szCs w:val="24"/>
        </w:rPr>
        <w:t>It appears to be related to the different dispersion of the active phase over each (as measured using NOx TPD). SBA-15, notwithstanding its smaller surface area, generates more dispersed group II oxide catalysts than MCM-41.</w:t>
      </w:r>
    </w:p>
    <w:p w:rsidR="001F6753" w:rsidRDefault="001F6753" w:rsidP="001F6753">
      <w:pPr>
        <w:spacing w:line="480" w:lineRule="auto"/>
        <w:jc w:val="both"/>
        <w:rPr>
          <w:rFonts w:ascii="Arial" w:hAnsi="Arial" w:cs="Arial"/>
          <w:sz w:val="24"/>
          <w:szCs w:val="24"/>
        </w:rPr>
      </w:pPr>
      <w:r>
        <w:rPr>
          <w:rFonts w:ascii="Arial" w:hAnsi="Arial" w:cs="Arial"/>
          <w:sz w:val="24"/>
          <w:szCs w:val="24"/>
        </w:rPr>
        <w:t>While both sets of catalysts were prepared using incipient wetness impregnation of aqueous solutions of acetate salts, it seems that the manner in which these deposited onto the MPS surfaces following H</w:t>
      </w:r>
      <w:r w:rsidRPr="00131B0C">
        <w:rPr>
          <w:rFonts w:ascii="Arial" w:hAnsi="Arial" w:cs="Arial"/>
          <w:sz w:val="24"/>
          <w:szCs w:val="24"/>
          <w:vertAlign w:val="subscript"/>
        </w:rPr>
        <w:t>2</w:t>
      </w:r>
      <w:r>
        <w:rPr>
          <w:rFonts w:ascii="Arial" w:hAnsi="Arial" w:cs="Arial"/>
          <w:sz w:val="24"/>
          <w:szCs w:val="24"/>
        </w:rPr>
        <w:t xml:space="preserve">O evaporation has led to more dispersed active phases in the SBA-15 catalysts than in the MCM-41 analogues. </w:t>
      </w:r>
    </w:p>
    <w:p w:rsidR="001F6753" w:rsidRPr="0009045F" w:rsidRDefault="001F6753" w:rsidP="001F6753">
      <w:pPr>
        <w:spacing w:line="480" w:lineRule="auto"/>
        <w:jc w:val="both"/>
        <w:rPr>
          <w:rFonts w:ascii="Arial" w:hAnsi="Arial" w:cs="Arial"/>
          <w:b/>
          <w:sz w:val="24"/>
          <w:szCs w:val="24"/>
        </w:rPr>
      </w:pPr>
      <w:r w:rsidRPr="0009045F">
        <w:rPr>
          <w:rFonts w:ascii="Arial" w:hAnsi="Arial" w:cs="Arial"/>
          <w:b/>
          <w:sz w:val="24"/>
          <w:szCs w:val="24"/>
        </w:rPr>
        <w:t>Acknowledgements</w:t>
      </w:r>
    </w:p>
    <w:p w:rsidR="001F6753" w:rsidRPr="0009045F" w:rsidRDefault="001F6753" w:rsidP="001F6753">
      <w:pPr>
        <w:spacing w:line="480" w:lineRule="auto"/>
        <w:jc w:val="both"/>
        <w:rPr>
          <w:rFonts w:ascii="Arial" w:hAnsi="Arial" w:cs="Arial"/>
          <w:sz w:val="24"/>
          <w:szCs w:val="24"/>
        </w:rPr>
      </w:pPr>
      <w:r w:rsidRPr="0009045F">
        <w:rPr>
          <w:rFonts w:ascii="Arial" w:hAnsi="Arial" w:cs="Arial"/>
          <w:sz w:val="24"/>
          <w:szCs w:val="24"/>
        </w:rPr>
        <w:t>The UCD School of Chemistry &amp; Chemical Biology is acknowledged for providing a studentship for LS.</w:t>
      </w:r>
    </w:p>
    <w:p w:rsidR="001F6753" w:rsidRDefault="001F6753" w:rsidP="001F6753">
      <w:pPr>
        <w:jc w:val="both"/>
        <w:rPr>
          <w:rFonts w:ascii="Arial" w:hAnsi="Arial" w:cs="Arial"/>
          <w:b/>
          <w:sz w:val="24"/>
          <w:szCs w:val="24"/>
        </w:rPr>
      </w:pPr>
      <w:r w:rsidRPr="0009045F">
        <w:rPr>
          <w:rFonts w:ascii="Arial" w:hAnsi="Arial" w:cs="Arial"/>
          <w:b/>
          <w:sz w:val="24"/>
          <w:szCs w:val="24"/>
        </w:rPr>
        <w:t>References</w:t>
      </w:r>
    </w:p>
    <w:p w:rsidR="001F6753" w:rsidRPr="004D2222" w:rsidRDefault="001F6753" w:rsidP="001F6753">
      <w:pPr>
        <w:spacing w:before="240"/>
        <w:contextualSpacing/>
        <w:jc w:val="both"/>
        <w:rPr>
          <w:rFonts w:ascii="Arial" w:hAnsi="Arial" w:cs="Arial"/>
        </w:rPr>
      </w:pPr>
      <w:r w:rsidRPr="004D2222">
        <w:rPr>
          <w:rFonts w:ascii="Arial" w:hAnsi="Arial" w:cs="Arial"/>
        </w:rPr>
        <w:t>[1]</w:t>
      </w:r>
      <w:r w:rsidRPr="004D2222">
        <w:rPr>
          <w:rFonts w:ascii="Arial" w:hAnsi="Arial" w:cs="Arial"/>
        </w:rPr>
        <w:tab/>
        <w:t xml:space="preserve">D.P. Serrano, J. </w:t>
      </w:r>
      <w:proofErr w:type="spellStart"/>
      <w:r w:rsidRPr="004D2222">
        <w:rPr>
          <w:rFonts w:ascii="Arial" w:hAnsi="Arial" w:cs="Arial"/>
        </w:rPr>
        <w:t>Aguado</w:t>
      </w:r>
      <w:proofErr w:type="spellEnd"/>
      <w:r w:rsidRPr="004D2222">
        <w:rPr>
          <w:rFonts w:ascii="Arial" w:hAnsi="Arial" w:cs="Arial"/>
        </w:rPr>
        <w:t>, J.M. Escola, ACS Catalysis, (2012), 2, 9, 1924-1941.</w:t>
      </w:r>
    </w:p>
    <w:p w:rsidR="001F6753" w:rsidRPr="004D2222" w:rsidRDefault="001F6753" w:rsidP="001F6753">
      <w:pPr>
        <w:spacing w:before="240"/>
        <w:contextualSpacing/>
        <w:jc w:val="both"/>
        <w:rPr>
          <w:rFonts w:ascii="Arial" w:hAnsi="Arial" w:cs="Arial"/>
        </w:rPr>
      </w:pPr>
      <w:r w:rsidRPr="004D2222">
        <w:rPr>
          <w:rFonts w:ascii="Arial" w:hAnsi="Arial" w:cs="Arial"/>
        </w:rPr>
        <w:t>[2]</w:t>
      </w:r>
      <w:r w:rsidRPr="004D2222">
        <w:rPr>
          <w:rFonts w:ascii="Arial" w:hAnsi="Arial" w:cs="Arial"/>
        </w:rPr>
        <w:tab/>
        <w:t>J.S. Chang, J.S. Hwang, S.E. Park, Research on Chemical Intermediates, (2003), 29, 7-9, 921-938</w:t>
      </w:r>
    </w:p>
    <w:p w:rsidR="001F6753" w:rsidRPr="004D2222" w:rsidRDefault="001F6753" w:rsidP="001F6753">
      <w:pPr>
        <w:spacing w:before="240"/>
        <w:contextualSpacing/>
        <w:jc w:val="both"/>
        <w:rPr>
          <w:rFonts w:ascii="Arial" w:hAnsi="Arial" w:cs="Arial"/>
        </w:rPr>
      </w:pPr>
      <w:r w:rsidRPr="004D2222">
        <w:rPr>
          <w:rFonts w:ascii="Arial" w:hAnsi="Arial" w:cs="Arial"/>
        </w:rPr>
        <w:t>[3]</w:t>
      </w:r>
      <w:r w:rsidRPr="004D2222">
        <w:rPr>
          <w:rFonts w:ascii="Arial" w:hAnsi="Arial" w:cs="Arial"/>
        </w:rPr>
        <w:tab/>
        <w:t>X.G. Wang, K.S.K. Lin, J.C.C. Chan, S.F. Cheng, Journal of Physical Chemistry B, (2005), 109, 5, 1763-1769</w:t>
      </w:r>
    </w:p>
    <w:p w:rsidR="001F6753" w:rsidRPr="004D2222" w:rsidRDefault="001F6753" w:rsidP="001F6753">
      <w:pPr>
        <w:spacing w:before="240"/>
        <w:contextualSpacing/>
        <w:jc w:val="both"/>
        <w:rPr>
          <w:rFonts w:ascii="Arial" w:hAnsi="Arial" w:cs="Arial"/>
        </w:rPr>
      </w:pPr>
      <w:r w:rsidRPr="004D2222">
        <w:rPr>
          <w:rFonts w:ascii="Arial" w:hAnsi="Arial" w:cs="Arial"/>
        </w:rPr>
        <w:t>[4]</w:t>
      </w:r>
      <w:r w:rsidRPr="004D2222">
        <w:rPr>
          <w:rFonts w:ascii="Arial" w:hAnsi="Arial" w:cs="Arial"/>
        </w:rPr>
        <w:tab/>
        <w:t xml:space="preserve">J. A. Sullivan, G.G. Morgan, K. Fennell, M.J.L. Kishore. </w:t>
      </w:r>
      <w:proofErr w:type="spellStart"/>
      <w:r w:rsidRPr="004D2222">
        <w:rPr>
          <w:rFonts w:ascii="Arial" w:hAnsi="Arial" w:cs="Arial"/>
        </w:rPr>
        <w:t>ChemCatChem</w:t>
      </w:r>
      <w:proofErr w:type="spellEnd"/>
      <w:r w:rsidRPr="004D2222">
        <w:rPr>
          <w:rFonts w:ascii="Arial" w:hAnsi="Arial" w:cs="Arial"/>
        </w:rPr>
        <w:t>, (2013) 5, 4, 951-958.</w:t>
      </w:r>
    </w:p>
    <w:p w:rsidR="001F6753" w:rsidRPr="004D2222" w:rsidRDefault="001F6753" w:rsidP="001F6753">
      <w:pPr>
        <w:spacing w:before="240"/>
        <w:contextualSpacing/>
        <w:jc w:val="both"/>
        <w:rPr>
          <w:rFonts w:ascii="Arial" w:hAnsi="Arial" w:cs="Arial"/>
        </w:rPr>
      </w:pPr>
      <w:r w:rsidRPr="004D2222">
        <w:rPr>
          <w:rFonts w:ascii="Arial" w:hAnsi="Arial" w:cs="Arial"/>
        </w:rPr>
        <w:lastRenderedPageBreak/>
        <w:t xml:space="preserve">[5] </w:t>
      </w:r>
      <w:r w:rsidRPr="004D2222">
        <w:rPr>
          <w:rFonts w:ascii="Arial" w:hAnsi="Arial" w:cs="Arial"/>
        </w:rPr>
        <w:tab/>
        <w:t>M.C.G. Albuquerque, I. Jimenez-</w:t>
      </w:r>
      <w:proofErr w:type="spellStart"/>
      <w:r w:rsidRPr="004D2222">
        <w:rPr>
          <w:rFonts w:ascii="Arial" w:hAnsi="Arial" w:cs="Arial"/>
        </w:rPr>
        <w:t>Urbistondo</w:t>
      </w:r>
      <w:proofErr w:type="spellEnd"/>
      <w:r w:rsidRPr="004D2222">
        <w:rPr>
          <w:rFonts w:ascii="Arial" w:hAnsi="Arial" w:cs="Arial"/>
        </w:rPr>
        <w:t>, J. Santamarıa-Gonzalez, J.M. Merida-Robles, R. Moreno-</w:t>
      </w:r>
      <w:proofErr w:type="spellStart"/>
      <w:r w:rsidRPr="004D2222">
        <w:rPr>
          <w:rFonts w:ascii="Arial" w:hAnsi="Arial" w:cs="Arial"/>
        </w:rPr>
        <w:t>Tost</w:t>
      </w:r>
      <w:proofErr w:type="spellEnd"/>
      <w:r w:rsidRPr="004D2222">
        <w:rPr>
          <w:rFonts w:ascii="Arial" w:hAnsi="Arial" w:cs="Arial"/>
        </w:rPr>
        <w:t xml:space="preserve">, E. Rodrıguez-Castellon, </w:t>
      </w:r>
      <w:proofErr w:type="spellStart"/>
      <w:r w:rsidRPr="004D2222">
        <w:rPr>
          <w:rFonts w:ascii="Arial" w:hAnsi="Arial" w:cs="Arial"/>
        </w:rPr>
        <w:t>A.Jimenez</w:t>
      </w:r>
      <w:proofErr w:type="spellEnd"/>
      <w:r w:rsidRPr="004D2222">
        <w:rPr>
          <w:rFonts w:ascii="Arial" w:hAnsi="Arial" w:cs="Arial"/>
        </w:rPr>
        <w:t xml:space="preserve">-Lopez, D.C.S. </w:t>
      </w:r>
      <w:proofErr w:type="spellStart"/>
      <w:r w:rsidRPr="004D2222">
        <w:rPr>
          <w:rFonts w:ascii="Arial" w:hAnsi="Arial" w:cs="Arial"/>
        </w:rPr>
        <w:t>Azevedo</w:t>
      </w:r>
      <w:proofErr w:type="spellEnd"/>
      <w:r w:rsidRPr="004D2222">
        <w:rPr>
          <w:rFonts w:ascii="Arial" w:hAnsi="Arial" w:cs="Arial"/>
        </w:rPr>
        <w:t xml:space="preserve">,  C.L. </w:t>
      </w:r>
      <w:proofErr w:type="spellStart"/>
      <w:r w:rsidRPr="004D2222">
        <w:rPr>
          <w:rFonts w:ascii="Arial" w:hAnsi="Arial" w:cs="Arial"/>
        </w:rPr>
        <w:t>Cavalcante</w:t>
      </w:r>
      <w:proofErr w:type="spellEnd"/>
      <w:r w:rsidRPr="004D2222">
        <w:rPr>
          <w:rFonts w:ascii="Arial" w:hAnsi="Arial" w:cs="Arial"/>
        </w:rPr>
        <w:t xml:space="preserve"> Jr, P. </w:t>
      </w:r>
      <w:proofErr w:type="spellStart"/>
      <w:r w:rsidRPr="004D2222">
        <w:rPr>
          <w:rFonts w:ascii="Arial" w:hAnsi="Arial" w:cs="Arial"/>
        </w:rPr>
        <w:t>Maireles</w:t>
      </w:r>
      <w:proofErr w:type="spellEnd"/>
      <w:r w:rsidRPr="004D2222">
        <w:rPr>
          <w:rFonts w:ascii="Arial" w:hAnsi="Arial" w:cs="Arial"/>
        </w:rPr>
        <w:t>-Torres, Applied Catalysis A: General 334 (2008) 35–43.</w:t>
      </w:r>
    </w:p>
    <w:p w:rsidR="001F6753" w:rsidRPr="004D2222" w:rsidRDefault="001F6753" w:rsidP="001F6753">
      <w:pPr>
        <w:spacing w:before="240"/>
        <w:contextualSpacing/>
        <w:jc w:val="both"/>
        <w:rPr>
          <w:rFonts w:ascii="Arial" w:hAnsi="Arial" w:cs="Arial"/>
        </w:rPr>
      </w:pPr>
      <w:r w:rsidRPr="004D2222">
        <w:rPr>
          <w:rFonts w:ascii="Arial" w:hAnsi="Arial" w:cs="Arial"/>
        </w:rPr>
        <w:t xml:space="preserve">[6] </w:t>
      </w:r>
      <w:r w:rsidRPr="004D2222">
        <w:rPr>
          <w:rFonts w:ascii="Arial" w:hAnsi="Arial" w:cs="Arial"/>
        </w:rPr>
        <w:tab/>
        <w:t xml:space="preserve">E. Li, V. Rudolph, Energy and Fuels, 22, 1, (2008), 145-149. </w:t>
      </w:r>
    </w:p>
    <w:p w:rsidR="001F6753" w:rsidRPr="004D2222" w:rsidRDefault="001F6753" w:rsidP="001F6753">
      <w:pPr>
        <w:spacing w:before="240" w:after="0"/>
        <w:contextualSpacing/>
        <w:jc w:val="both"/>
        <w:rPr>
          <w:rFonts w:ascii="Arial" w:hAnsi="Arial" w:cs="Arial"/>
        </w:rPr>
      </w:pPr>
      <w:r w:rsidRPr="004D2222">
        <w:rPr>
          <w:rFonts w:ascii="Arial" w:hAnsi="Arial" w:cs="Arial"/>
        </w:rPr>
        <w:t xml:space="preserve">[7] </w:t>
      </w:r>
      <w:r w:rsidRPr="004D2222">
        <w:rPr>
          <w:rFonts w:ascii="Arial" w:hAnsi="Arial" w:cs="Arial"/>
        </w:rPr>
        <w:tab/>
        <w:t xml:space="preserve">S.N. </w:t>
      </w:r>
      <w:proofErr w:type="spellStart"/>
      <w:r w:rsidRPr="004D2222">
        <w:rPr>
          <w:rFonts w:ascii="Arial" w:hAnsi="Arial" w:cs="Arial"/>
        </w:rPr>
        <w:t>Naik</w:t>
      </w:r>
      <w:proofErr w:type="spellEnd"/>
      <w:r w:rsidRPr="004D2222">
        <w:rPr>
          <w:rFonts w:ascii="Arial" w:hAnsi="Arial" w:cs="Arial"/>
        </w:rPr>
        <w:t xml:space="preserve">, V.V. </w:t>
      </w:r>
      <w:proofErr w:type="spellStart"/>
      <w:r w:rsidRPr="004D2222">
        <w:rPr>
          <w:rFonts w:ascii="Arial" w:hAnsi="Arial" w:cs="Arial"/>
        </w:rPr>
        <w:t>Goud</w:t>
      </w:r>
      <w:proofErr w:type="spellEnd"/>
      <w:r w:rsidRPr="004D2222">
        <w:rPr>
          <w:rFonts w:ascii="Arial" w:hAnsi="Arial" w:cs="Arial"/>
        </w:rPr>
        <w:t xml:space="preserve">, P.K. Rout and A.K. Dalai, Renewable and Sustainable Energy Reviews, 14 (2010) 578-597. </w:t>
      </w:r>
    </w:p>
    <w:p w:rsidR="001F6753" w:rsidRPr="004D2222" w:rsidRDefault="001F6753" w:rsidP="001F6753">
      <w:pPr>
        <w:spacing w:before="240" w:after="0"/>
        <w:contextualSpacing/>
        <w:jc w:val="both"/>
        <w:rPr>
          <w:rFonts w:ascii="Arial" w:hAnsi="Arial" w:cs="Arial"/>
        </w:rPr>
      </w:pPr>
      <w:r w:rsidRPr="004D2222">
        <w:rPr>
          <w:rFonts w:ascii="Arial" w:hAnsi="Arial" w:cs="Arial"/>
        </w:rPr>
        <w:t>[8]</w:t>
      </w:r>
      <w:r w:rsidRPr="004D2222">
        <w:rPr>
          <w:rFonts w:ascii="Arial" w:hAnsi="Arial" w:cs="Arial"/>
        </w:rPr>
        <w:tab/>
        <w:t>L. Roberts, Science, 333 (2011) 540-543.</w:t>
      </w:r>
    </w:p>
    <w:p w:rsidR="001F6753" w:rsidRPr="004D2222" w:rsidRDefault="001F6753" w:rsidP="001F6753">
      <w:pPr>
        <w:spacing w:before="240" w:after="0"/>
        <w:contextualSpacing/>
        <w:jc w:val="both"/>
        <w:rPr>
          <w:rFonts w:ascii="Arial" w:hAnsi="Arial" w:cs="Arial"/>
        </w:rPr>
      </w:pPr>
      <w:r w:rsidRPr="004D2222">
        <w:rPr>
          <w:rFonts w:ascii="Arial" w:hAnsi="Arial" w:cs="Arial"/>
        </w:rPr>
        <w:t>[9]</w:t>
      </w:r>
      <w:r w:rsidRPr="004D2222">
        <w:rPr>
          <w:rFonts w:ascii="Arial" w:hAnsi="Arial" w:cs="Arial"/>
        </w:rPr>
        <w:tab/>
        <w:t xml:space="preserve">P.J. </w:t>
      </w:r>
      <w:proofErr w:type="spellStart"/>
      <w:r w:rsidRPr="004D2222">
        <w:rPr>
          <w:rFonts w:ascii="Arial" w:hAnsi="Arial" w:cs="Arial"/>
        </w:rPr>
        <w:t>Crutzen</w:t>
      </w:r>
      <w:proofErr w:type="spellEnd"/>
      <w:r w:rsidRPr="004D2222">
        <w:rPr>
          <w:rFonts w:ascii="Arial" w:hAnsi="Arial" w:cs="Arial"/>
        </w:rPr>
        <w:t xml:space="preserve">, A.R. Mosier, K.A. Smith and W. </w:t>
      </w:r>
      <w:proofErr w:type="spellStart"/>
      <w:r w:rsidRPr="004D2222">
        <w:rPr>
          <w:rFonts w:ascii="Arial" w:hAnsi="Arial" w:cs="Arial"/>
        </w:rPr>
        <w:t>Winiwarter</w:t>
      </w:r>
      <w:proofErr w:type="spellEnd"/>
      <w:r w:rsidRPr="004D2222">
        <w:rPr>
          <w:rFonts w:ascii="Arial" w:hAnsi="Arial" w:cs="Arial"/>
        </w:rPr>
        <w:t>, Atmos. Chem. Phys. Discuss., 7 (2007) 11191-11205.</w:t>
      </w:r>
    </w:p>
    <w:p w:rsidR="001F6753" w:rsidRPr="004D2222" w:rsidRDefault="001F6753" w:rsidP="001F6753">
      <w:pPr>
        <w:spacing w:before="240" w:after="0"/>
        <w:contextualSpacing/>
        <w:jc w:val="both"/>
        <w:rPr>
          <w:rFonts w:ascii="Arial" w:hAnsi="Arial" w:cs="Arial"/>
        </w:rPr>
      </w:pPr>
      <w:r w:rsidRPr="004D2222">
        <w:rPr>
          <w:rFonts w:ascii="Arial" w:hAnsi="Arial" w:cs="Arial"/>
        </w:rPr>
        <w:t xml:space="preserve">[10] </w:t>
      </w:r>
      <w:r w:rsidRPr="004D2222">
        <w:rPr>
          <w:rFonts w:ascii="Arial" w:hAnsi="Arial" w:cs="Arial"/>
        </w:rPr>
        <w:tab/>
        <w:t>E. Johnson, Environmental Impact Assessment Review, 29, 3, (2009), 165-168.</w:t>
      </w:r>
    </w:p>
    <w:p w:rsidR="001F6753" w:rsidRPr="004D2222" w:rsidRDefault="001F6753" w:rsidP="001F6753">
      <w:pPr>
        <w:spacing w:before="240"/>
        <w:contextualSpacing/>
        <w:jc w:val="both"/>
        <w:rPr>
          <w:rFonts w:ascii="Arial" w:hAnsi="Arial" w:cs="Arial"/>
        </w:rPr>
      </w:pPr>
      <w:r w:rsidRPr="004D2222">
        <w:rPr>
          <w:rFonts w:ascii="Arial" w:hAnsi="Arial" w:cs="Arial"/>
        </w:rPr>
        <w:t xml:space="preserve">[11] </w:t>
      </w:r>
      <w:r w:rsidRPr="004D2222">
        <w:rPr>
          <w:rFonts w:ascii="Arial" w:hAnsi="Arial" w:cs="Arial"/>
        </w:rPr>
        <w:tab/>
        <w:t xml:space="preserve">G. Vicente, M. Martınez, J. </w:t>
      </w:r>
      <w:proofErr w:type="spellStart"/>
      <w:r w:rsidRPr="004D2222">
        <w:rPr>
          <w:rFonts w:ascii="Arial" w:hAnsi="Arial" w:cs="Arial"/>
        </w:rPr>
        <w:t>Aracil</w:t>
      </w:r>
      <w:proofErr w:type="spellEnd"/>
      <w:r w:rsidRPr="004D2222">
        <w:rPr>
          <w:rFonts w:ascii="Arial" w:hAnsi="Arial" w:cs="Arial"/>
        </w:rPr>
        <w:t xml:space="preserve">, </w:t>
      </w:r>
      <w:proofErr w:type="spellStart"/>
      <w:r w:rsidRPr="004D2222">
        <w:rPr>
          <w:rFonts w:ascii="Arial" w:hAnsi="Arial" w:cs="Arial"/>
        </w:rPr>
        <w:t>Bioresource</w:t>
      </w:r>
      <w:proofErr w:type="spellEnd"/>
      <w:r w:rsidRPr="004D2222">
        <w:rPr>
          <w:rFonts w:ascii="Arial" w:hAnsi="Arial" w:cs="Arial"/>
        </w:rPr>
        <w:t xml:space="preserve"> Technology, 92, (2004) 297-305.</w:t>
      </w:r>
    </w:p>
    <w:p w:rsidR="001F6753" w:rsidRPr="004D2222" w:rsidRDefault="001F6753" w:rsidP="001F6753">
      <w:pPr>
        <w:spacing w:before="240"/>
        <w:contextualSpacing/>
        <w:jc w:val="both"/>
        <w:rPr>
          <w:rFonts w:ascii="Arial" w:hAnsi="Arial" w:cs="Arial"/>
        </w:rPr>
      </w:pPr>
      <w:r w:rsidRPr="004D2222">
        <w:rPr>
          <w:rFonts w:ascii="Arial" w:hAnsi="Arial" w:cs="Arial"/>
        </w:rPr>
        <w:t xml:space="preserve">[12] </w:t>
      </w:r>
      <w:r w:rsidRPr="004D2222">
        <w:rPr>
          <w:rFonts w:ascii="Arial" w:hAnsi="Arial" w:cs="Arial"/>
        </w:rPr>
        <w:tab/>
        <w:t xml:space="preserve">D.Y.C. Leung, X. Wu, M.K.H. Leung, Applied Energy, 87, 4, (2010), 1083-1095. </w:t>
      </w:r>
    </w:p>
    <w:p w:rsidR="001F6753" w:rsidRPr="004D2222" w:rsidRDefault="001F6753" w:rsidP="001F6753">
      <w:pPr>
        <w:spacing w:before="240"/>
        <w:contextualSpacing/>
        <w:jc w:val="both"/>
        <w:rPr>
          <w:rFonts w:ascii="Arial" w:eastAsia="Times New Roman" w:hAnsi="Arial" w:cs="Arial"/>
          <w:b/>
          <w:bCs/>
          <w:color w:val="333333"/>
        </w:rPr>
      </w:pPr>
      <w:r w:rsidRPr="004D2222">
        <w:rPr>
          <w:rFonts w:ascii="Arial" w:eastAsia="Times New Roman" w:hAnsi="Arial" w:cs="Arial"/>
          <w:color w:val="333333"/>
        </w:rPr>
        <w:t>[13]</w:t>
      </w:r>
      <w:r w:rsidRPr="004D2222">
        <w:rPr>
          <w:rFonts w:ascii="Arial" w:eastAsia="Times New Roman" w:hAnsi="Arial" w:cs="Arial"/>
          <w:color w:val="333333"/>
        </w:rPr>
        <w:tab/>
        <w:t>L. Sherry, J.A. Sullivan, Catalysis Today, 175, 1, (2011), 471-476.</w:t>
      </w:r>
    </w:p>
    <w:p w:rsidR="001F6753" w:rsidRPr="004D2222" w:rsidRDefault="001F6753" w:rsidP="001F6753">
      <w:pPr>
        <w:spacing w:before="240"/>
        <w:contextualSpacing/>
        <w:jc w:val="both"/>
        <w:rPr>
          <w:rFonts w:ascii="Arial" w:eastAsia="Calibri" w:hAnsi="Arial" w:cs="Arial"/>
        </w:rPr>
      </w:pPr>
      <w:r w:rsidRPr="004D2222">
        <w:rPr>
          <w:rFonts w:ascii="Arial" w:hAnsi="Arial" w:cs="Arial"/>
        </w:rPr>
        <w:t xml:space="preserve">[14] </w:t>
      </w:r>
      <w:r w:rsidRPr="004D2222">
        <w:rPr>
          <w:rFonts w:ascii="Arial" w:hAnsi="Arial" w:cs="Arial"/>
        </w:rPr>
        <w:tab/>
      </w:r>
      <w:r w:rsidRPr="004D2222">
        <w:rPr>
          <w:rFonts w:ascii="Arial" w:eastAsia="Calibri" w:hAnsi="Arial" w:cs="Arial"/>
        </w:rPr>
        <w:t xml:space="preserve">L. </w:t>
      </w:r>
      <w:proofErr w:type="spellStart"/>
      <w:r w:rsidRPr="004D2222">
        <w:rPr>
          <w:rFonts w:ascii="Arial" w:eastAsia="Calibri" w:hAnsi="Arial" w:cs="Arial"/>
        </w:rPr>
        <w:t>Guerreiro</w:t>
      </w:r>
      <w:proofErr w:type="spellEnd"/>
      <w:r w:rsidRPr="004D2222">
        <w:rPr>
          <w:rFonts w:ascii="Arial" w:eastAsia="Calibri" w:hAnsi="Arial" w:cs="Arial"/>
        </w:rPr>
        <w:t>, P.M. Pereira, I.M. Fonseca, R.M. Martin-</w:t>
      </w:r>
      <w:proofErr w:type="spellStart"/>
      <w:r w:rsidRPr="004D2222">
        <w:rPr>
          <w:rFonts w:ascii="Arial" w:eastAsia="Calibri" w:hAnsi="Arial" w:cs="Arial"/>
        </w:rPr>
        <w:t>Aranda</w:t>
      </w:r>
      <w:proofErr w:type="spellEnd"/>
      <w:r w:rsidRPr="004D2222">
        <w:rPr>
          <w:rFonts w:ascii="Arial" w:eastAsia="Calibri" w:hAnsi="Arial" w:cs="Arial"/>
        </w:rPr>
        <w:t>, A.M. Ramos, J.M.L. Dias, R. Oliveira and J. Vital, Catalysis Today, 156 (2010) 191-197.</w:t>
      </w:r>
    </w:p>
    <w:p w:rsidR="001F6753" w:rsidRPr="004D2222" w:rsidRDefault="001F6753" w:rsidP="001F6753">
      <w:pPr>
        <w:spacing w:before="240"/>
        <w:contextualSpacing/>
        <w:jc w:val="both"/>
        <w:rPr>
          <w:rFonts w:ascii="Arial" w:hAnsi="Arial" w:cs="Arial"/>
        </w:rPr>
      </w:pPr>
      <w:r w:rsidRPr="004D2222">
        <w:rPr>
          <w:rFonts w:ascii="Arial" w:hAnsi="Arial" w:cs="Arial"/>
        </w:rPr>
        <w:t>[15]</w:t>
      </w:r>
      <w:r w:rsidRPr="004D2222">
        <w:rPr>
          <w:rFonts w:ascii="Arial" w:hAnsi="Arial" w:cs="Arial"/>
        </w:rPr>
        <w:tab/>
        <w:t xml:space="preserve">M.L. Granados, M.D.Z. </w:t>
      </w:r>
      <w:proofErr w:type="spellStart"/>
      <w:r w:rsidRPr="004D2222">
        <w:rPr>
          <w:rFonts w:ascii="Arial" w:hAnsi="Arial" w:cs="Arial"/>
        </w:rPr>
        <w:t>Poves</w:t>
      </w:r>
      <w:proofErr w:type="spellEnd"/>
      <w:r w:rsidRPr="004D2222">
        <w:rPr>
          <w:rFonts w:ascii="Arial" w:hAnsi="Arial" w:cs="Arial"/>
        </w:rPr>
        <w:t xml:space="preserve">, D.M. Alonso, R. </w:t>
      </w:r>
      <w:proofErr w:type="spellStart"/>
      <w:r w:rsidRPr="004D2222">
        <w:rPr>
          <w:rFonts w:ascii="Arial" w:hAnsi="Arial" w:cs="Arial"/>
        </w:rPr>
        <w:t>Mariscal</w:t>
      </w:r>
      <w:proofErr w:type="spellEnd"/>
      <w:r w:rsidRPr="004D2222">
        <w:rPr>
          <w:rFonts w:ascii="Arial" w:hAnsi="Arial" w:cs="Arial"/>
        </w:rPr>
        <w:t xml:space="preserve">, F.C. </w:t>
      </w:r>
      <w:proofErr w:type="spellStart"/>
      <w:r w:rsidRPr="004D2222">
        <w:rPr>
          <w:rFonts w:ascii="Arial" w:hAnsi="Arial" w:cs="Arial"/>
        </w:rPr>
        <w:t>Galisteo</w:t>
      </w:r>
      <w:proofErr w:type="spellEnd"/>
      <w:r w:rsidRPr="004D2222">
        <w:rPr>
          <w:rFonts w:ascii="Arial" w:hAnsi="Arial" w:cs="Arial"/>
        </w:rPr>
        <w:t>, R. Moreno-</w:t>
      </w:r>
      <w:proofErr w:type="spellStart"/>
      <w:r w:rsidRPr="004D2222">
        <w:rPr>
          <w:rFonts w:ascii="Arial" w:hAnsi="Arial" w:cs="Arial"/>
        </w:rPr>
        <w:t>Tost</w:t>
      </w:r>
      <w:proofErr w:type="spellEnd"/>
      <w:r w:rsidRPr="004D2222">
        <w:rPr>
          <w:rFonts w:ascii="Arial" w:hAnsi="Arial" w:cs="Arial"/>
        </w:rPr>
        <w:t xml:space="preserve">, J. </w:t>
      </w:r>
      <w:proofErr w:type="spellStart"/>
      <w:r w:rsidRPr="004D2222">
        <w:rPr>
          <w:rFonts w:ascii="Arial" w:hAnsi="Arial" w:cs="Arial"/>
        </w:rPr>
        <w:t>Santamara</w:t>
      </w:r>
      <w:proofErr w:type="spellEnd"/>
      <w:r w:rsidRPr="004D2222">
        <w:rPr>
          <w:rFonts w:ascii="Arial" w:hAnsi="Arial" w:cs="Arial"/>
        </w:rPr>
        <w:t xml:space="preserve"> and J.L.G. Fierro, Applied Catalysis B: Environmental, 73 (2007) 317-326.</w:t>
      </w:r>
    </w:p>
    <w:p w:rsidR="001F6753" w:rsidRPr="004D2222" w:rsidRDefault="001F6753" w:rsidP="001F6753">
      <w:pPr>
        <w:spacing w:before="240"/>
        <w:contextualSpacing/>
        <w:jc w:val="both"/>
        <w:rPr>
          <w:rFonts w:ascii="Arial" w:hAnsi="Arial" w:cs="Arial"/>
        </w:rPr>
      </w:pPr>
      <w:r w:rsidRPr="004D2222">
        <w:rPr>
          <w:rFonts w:ascii="Arial" w:hAnsi="Arial" w:cs="Arial"/>
        </w:rPr>
        <w:t>[16]</w:t>
      </w:r>
      <w:r w:rsidRPr="004D2222">
        <w:rPr>
          <w:rFonts w:ascii="Arial" w:hAnsi="Arial" w:cs="Arial"/>
        </w:rPr>
        <w:tab/>
        <w:t>A.C. Alba-Rubio, J. Santamaria-Gonzalez, J.M. Merida-Robles, R. Moreno-</w:t>
      </w:r>
      <w:proofErr w:type="spellStart"/>
      <w:r w:rsidRPr="004D2222">
        <w:rPr>
          <w:rFonts w:ascii="Arial" w:hAnsi="Arial" w:cs="Arial"/>
        </w:rPr>
        <w:t>Tost</w:t>
      </w:r>
      <w:proofErr w:type="spellEnd"/>
      <w:r w:rsidRPr="004D2222">
        <w:rPr>
          <w:rFonts w:ascii="Arial" w:hAnsi="Arial" w:cs="Arial"/>
        </w:rPr>
        <w:t xml:space="preserve">, D. Martin-Alonso, A. Jimenez-Lopez, P. </w:t>
      </w:r>
      <w:proofErr w:type="spellStart"/>
      <w:r w:rsidRPr="004D2222">
        <w:rPr>
          <w:rFonts w:ascii="Arial" w:hAnsi="Arial" w:cs="Arial"/>
        </w:rPr>
        <w:t>Maireles</w:t>
      </w:r>
      <w:proofErr w:type="spellEnd"/>
      <w:r w:rsidRPr="004D2222">
        <w:rPr>
          <w:rFonts w:ascii="Arial" w:hAnsi="Arial" w:cs="Arial"/>
        </w:rPr>
        <w:t>-Torres, Catalysis Today, 149, 3-4    (2010), 281-287.</w:t>
      </w:r>
    </w:p>
    <w:p w:rsidR="001F6753" w:rsidRPr="004D2222" w:rsidRDefault="001F6753" w:rsidP="001F6753">
      <w:pPr>
        <w:spacing w:before="240"/>
        <w:contextualSpacing/>
        <w:jc w:val="both"/>
        <w:rPr>
          <w:rFonts w:ascii="Arial" w:hAnsi="Arial" w:cs="Arial"/>
        </w:rPr>
      </w:pPr>
      <w:r w:rsidRPr="004D2222">
        <w:rPr>
          <w:rFonts w:ascii="Arial" w:hAnsi="Arial" w:cs="Arial"/>
        </w:rPr>
        <w:t>[17]</w:t>
      </w:r>
      <w:r w:rsidRPr="004D2222">
        <w:rPr>
          <w:rFonts w:ascii="Arial" w:hAnsi="Arial" w:cs="Arial"/>
        </w:rPr>
        <w:tab/>
        <w:t xml:space="preserve">M. </w:t>
      </w:r>
      <w:proofErr w:type="spellStart"/>
      <w:r w:rsidRPr="004D2222">
        <w:rPr>
          <w:rFonts w:ascii="Arial" w:hAnsi="Arial" w:cs="Arial"/>
        </w:rPr>
        <w:t>Verziu</w:t>
      </w:r>
      <w:proofErr w:type="spellEnd"/>
      <w:r w:rsidRPr="004D2222">
        <w:rPr>
          <w:rFonts w:ascii="Arial" w:hAnsi="Arial" w:cs="Arial"/>
        </w:rPr>
        <w:t xml:space="preserve">, B. </w:t>
      </w:r>
      <w:proofErr w:type="spellStart"/>
      <w:r w:rsidRPr="004D2222">
        <w:rPr>
          <w:rFonts w:ascii="Arial" w:hAnsi="Arial" w:cs="Arial"/>
        </w:rPr>
        <w:t>Cojocaru</w:t>
      </w:r>
      <w:proofErr w:type="spellEnd"/>
      <w:r w:rsidRPr="004D2222">
        <w:rPr>
          <w:rFonts w:ascii="Arial" w:hAnsi="Arial" w:cs="Arial"/>
        </w:rPr>
        <w:t xml:space="preserve">, B J.C. Hu, R. Richards, C. </w:t>
      </w:r>
      <w:proofErr w:type="spellStart"/>
      <w:r w:rsidRPr="004D2222">
        <w:rPr>
          <w:rFonts w:ascii="Arial" w:hAnsi="Arial" w:cs="Arial"/>
        </w:rPr>
        <w:t>Ciuculescu</w:t>
      </w:r>
      <w:proofErr w:type="spellEnd"/>
      <w:r w:rsidRPr="004D2222">
        <w:rPr>
          <w:rFonts w:ascii="Arial" w:hAnsi="Arial" w:cs="Arial"/>
        </w:rPr>
        <w:t xml:space="preserve">, P. Filip, V.I. </w:t>
      </w:r>
      <w:proofErr w:type="spellStart"/>
      <w:r w:rsidRPr="004D2222">
        <w:rPr>
          <w:rFonts w:ascii="Arial" w:hAnsi="Arial" w:cs="Arial"/>
        </w:rPr>
        <w:t>Parvulescu</w:t>
      </w:r>
      <w:proofErr w:type="spellEnd"/>
      <w:r w:rsidRPr="004D2222">
        <w:rPr>
          <w:rFonts w:ascii="Arial" w:hAnsi="Arial" w:cs="Arial"/>
        </w:rPr>
        <w:t xml:space="preserve">, Green Chemistry, 10, 4, (2008) 373-381. </w:t>
      </w:r>
    </w:p>
    <w:p w:rsidR="001F6753" w:rsidRPr="004D2222" w:rsidRDefault="001F6753" w:rsidP="001F6753">
      <w:pPr>
        <w:spacing w:before="240" w:after="0"/>
        <w:contextualSpacing/>
        <w:jc w:val="both"/>
        <w:rPr>
          <w:rFonts w:ascii="Arial" w:hAnsi="Arial" w:cs="Arial"/>
        </w:rPr>
      </w:pPr>
      <w:r w:rsidRPr="004D2222">
        <w:rPr>
          <w:rFonts w:ascii="Arial" w:hAnsi="Arial" w:cs="Arial"/>
        </w:rPr>
        <w:t>[18]</w:t>
      </w:r>
      <w:r w:rsidRPr="004D2222">
        <w:rPr>
          <w:rFonts w:ascii="Arial" w:hAnsi="Arial" w:cs="Arial"/>
        </w:rPr>
        <w:tab/>
        <w:t xml:space="preserve">Q. </w:t>
      </w:r>
      <w:proofErr w:type="spellStart"/>
      <w:proofErr w:type="gramStart"/>
      <w:r w:rsidRPr="004D2222">
        <w:rPr>
          <w:rFonts w:ascii="Arial" w:hAnsi="Arial" w:cs="Arial"/>
        </w:rPr>
        <w:t>Cai</w:t>
      </w:r>
      <w:proofErr w:type="spellEnd"/>
      <w:proofErr w:type="gramEnd"/>
      <w:r w:rsidRPr="004D2222">
        <w:rPr>
          <w:rFonts w:ascii="Arial" w:hAnsi="Arial" w:cs="Arial"/>
        </w:rPr>
        <w:t xml:space="preserve">, W.-Y. </w:t>
      </w:r>
      <w:proofErr w:type="gramStart"/>
      <w:r w:rsidRPr="004D2222">
        <w:rPr>
          <w:rFonts w:ascii="Arial" w:hAnsi="Arial" w:cs="Arial"/>
        </w:rPr>
        <w:t>Lin, F.-S.</w:t>
      </w:r>
      <w:proofErr w:type="gramEnd"/>
      <w:r w:rsidRPr="004D2222">
        <w:rPr>
          <w:rFonts w:ascii="Arial" w:hAnsi="Arial" w:cs="Arial"/>
        </w:rPr>
        <w:t xml:space="preserve"> </w:t>
      </w:r>
      <w:proofErr w:type="gramStart"/>
      <w:r w:rsidRPr="004D2222">
        <w:rPr>
          <w:rFonts w:ascii="Arial" w:hAnsi="Arial" w:cs="Arial"/>
        </w:rPr>
        <w:t>Xiao, W.-Q.</w:t>
      </w:r>
      <w:proofErr w:type="gramEnd"/>
      <w:r w:rsidRPr="004D2222">
        <w:rPr>
          <w:rFonts w:ascii="Arial" w:hAnsi="Arial" w:cs="Arial"/>
        </w:rPr>
        <w:t xml:space="preserve"> </w:t>
      </w:r>
      <w:proofErr w:type="gramStart"/>
      <w:r w:rsidRPr="004D2222">
        <w:rPr>
          <w:rFonts w:ascii="Arial" w:hAnsi="Arial" w:cs="Arial"/>
        </w:rPr>
        <w:t>Pang, X.-H.</w:t>
      </w:r>
      <w:proofErr w:type="gramEnd"/>
      <w:r w:rsidRPr="004D2222">
        <w:rPr>
          <w:rFonts w:ascii="Arial" w:hAnsi="Arial" w:cs="Arial"/>
        </w:rPr>
        <w:t xml:space="preserve"> </w:t>
      </w:r>
      <w:proofErr w:type="gramStart"/>
      <w:r w:rsidRPr="004D2222">
        <w:rPr>
          <w:rFonts w:ascii="Arial" w:hAnsi="Arial" w:cs="Arial"/>
        </w:rPr>
        <w:t>Chen and B.-S.</w:t>
      </w:r>
      <w:proofErr w:type="gramEnd"/>
      <w:r w:rsidRPr="004D2222">
        <w:rPr>
          <w:rFonts w:ascii="Arial" w:hAnsi="Arial" w:cs="Arial"/>
        </w:rPr>
        <w:t xml:space="preserve"> Zou, </w:t>
      </w:r>
      <w:proofErr w:type="spellStart"/>
      <w:r w:rsidRPr="004D2222">
        <w:rPr>
          <w:rFonts w:ascii="Arial" w:hAnsi="Arial" w:cs="Arial"/>
        </w:rPr>
        <w:t>Microporous</w:t>
      </w:r>
      <w:proofErr w:type="spellEnd"/>
      <w:r w:rsidRPr="004D2222">
        <w:rPr>
          <w:rFonts w:ascii="Arial" w:hAnsi="Arial" w:cs="Arial"/>
        </w:rPr>
        <w:t xml:space="preserve"> and Mesoporous Materials, 32 (1999) 1-15.</w:t>
      </w:r>
    </w:p>
    <w:p w:rsidR="001F6753" w:rsidRPr="004D2222" w:rsidRDefault="001F6753" w:rsidP="001F6753">
      <w:pPr>
        <w:spacing w:before="240" w:after="0"/>
        <w:contextualSpacing/>
        <w:jc w:val="both"/>
        <w:rPr>
          <w:rFonts w:ascii="Arial" w:hAnsi="Arial" w:cs="Arial"/>
        </w:rPr>
      </w:pPr>
      <w:r w:rsidRPr="004D2222">
        <w:rPr>
          <w:rFonts w:ascii="Arial" w:hAnsi="Arial" w:cs="Arial"/>
        </w:rPr>
        <w:t>[19]</w:t>
      </w:r>
      <w:r w:rsidRPr="004D2222">
        <w:rPr>
          <w:rFonts w:ascii="Arial" w:hAnsi="Arial" w:cs="Arial"/>
        </w:rPr>
        <w:tab/>
        <w:t xml:space="preserve">D. Zhao, J. Feng, Q. </w:t>
      </w:r>
      <w:proofErr w:type="spellStart"/>
      <w:r w:rsidRPr="004D2222">
        <w:rPr>
          <w:rFonts w:ascii="Arial" w:hAnsi="Arial" w:cs="Arial"/>
        </w:rPr>
        <w:t>Huo</w:t>
      </w:r>
      <w:proofErr w:type="spellEnd"/>
      <w:r w:rsidRPr="004D2222">
        <w:rPr>
          <w:rFonts w:ascii="Arial" w:hAnsi="Arial" w:cs="Arial"/>
        </w:rPr>
        <w:t xml:space="preserve">, N. </w:t>
      </w:r>
      <w:proofErr w:type="spellStart"/>
      <w:r w:rsidRPr="004D2222">
        <w:rPr>
          <w:rFonts w:ascii="Arial" w:hAnsi="Arial" w:cs="Arial"/>
        </w:rPr>
        <w:t>Melosh</w:t>
      </w:r>
      <w:proofErr w:type="spellEnd"/>
      <w:r w:rsidRPr="004D2222">
        <w:rPr>
          <w:rFonts w:ascii="Arial" w:hAnsi="Arial" w:cs="Arial"/>
        </w:rPr>
        <w:t xml:space="preserve">, G.H. Fredrickson, B.F. </w:t>
      </w:r>
      <w:proofErr w:type="spellStart"/>
      <w:r w:rsidRPr="004D2222">
        <w:rPr>
          <w:rFonts w:ascii="Arial" w:hAnsi="Arial" w:cs="Arial"/>
        </w:rPr>
        <w:t>Chmelka</w:t>
      </w:r>
      <w:proofErr w:type="spellEnd"/>
      <w:r w:rsidRPr="004D2222">
        <w:rPr>
          <w:rFonts w:ascii="Arial" w:hAnsi="Arial" w:cs="Arial"/>
        </w:rPr>
        <w:t xml:space="preserve"> and G.D. </w:t>
      </w:r>
      <w:proofErr w:type="spellStart"/>
      <w:r w:rsidRPr="004D2222">
        <w:rPr>
          <w:rFonts w:ascii="Arial" w:hAnsi="Arial" w:cs="Arial"/>
        </w:rPr>
        <w:t>Stucky</w:t>
      </w:r>
      <w:proofErr w:type="spellEnd"/>
      <w:r w:rsidRPr="004D2222">
        <w:rPr>
          <w:rFonts w:ascii="Arial" w:hAnsi="Arial" w:cs="Arial"/>
        </w:rPr>
        <w:t>, Science, 279 (1998) 548-552.</w:t>
      </w:r>
    </w:p>
    <w:p w:rsidR="001F6753" w:rsidRPr="004D2222" w:rsidRDefault="001F6753" w:rsidP="001F6753">
      <w:pPr>
        <w:spacing w:before="240" w:after="0"/>
        <w:contextualSpacing/>
        <w:jc w:val="both"/>
        <w:rPr>
          <w:rFonts w:ascii="Arial" w:hAnsi="Arial" w:cs="Arial"/>
        </w:rPr>
      </w:pPr>
      <w:r w:rsidRPr="004D2222">
        <w:rPr>
          <w:rFonts w:ascii="Arial" w:hAnsi="Arial" w:cs="Arial"/>
        </w:rPr>
        <w:t xml:space="preserve">[20] </w:t>
      </w:r>
      <w:r w:rsidRPr="004D2222">
        <w:rPr>
          <w:rFonts w:ascii="Arial" w:hAnsi="Arial" w:cs="Arial"/>
        </w:rPr>
        <w:tab/>
        <w:t>J.A. Sullivan and L. Sherry, Catalysis Letters, (2013) 143:401-405.</w:t>
      </w:r>
    </w:p>
    <w:p w:rsidR="001F6753" w:rsidRPr="004D2222" w:rsidRDefault="001F6753" w:rsidP="001F6753">
      <w:pPr>
        <w:spacing w:before="240"/>
        <w:contextualSpacing/>
        <w:jc w:val="both"/>
        <w:rPr>
          <w:rFonts w:ascii="Arial" w:hAnsi="Arial" w:cs="Arial"/>
        </w:rPr>
      </w:pPr>
      <w:r w:rsidRPr="004D2222">
        <w:rPr>
          <w:rFonts w:ascii="Arial" w:hAnsi="Arial" w:cs="Arial"/>
        </w:rPr>
        <w:t xml:space="preserve">[21] </w:t>
      </w:r>
      <w:r w:rsidRPr="004D2222">
        <w:rPr>
          <w:rFonts w:ascii="Arial" w:hAnsi="Arial" w:cs="Arial"/>
        </w:rPr>
        <w:tab/>
        <w:t xml:space="preserve">M. Morgenstern, J. Cline, S. Meyer and S. </w:t>
      </w:r>
      <w:proofErr w:type="spellStart"/>
      <w:r w:rsidRPr="004D2222">
        <w:rPr>
          <w:rFonts w:ascii="Arial" w:hAnsi="Arial" w:cs="Arial"/>
        </w:rPr>
        <w:t>Cataldo</w:t>
      </w:r>
      <w:proofErr w:type="spellEnd"/>
      <w:r w:rsidRPr="004D2222">
        <w:rPr>
          <w:rFonts w:ascii="Arial" w:hAnsi="Arial" w:cs="Arial"/>
        </w:rPr>
        <w:t>, Energy &amp; Fuels, 20 (2006) 1350-1353.</w:t>
      </w:r>
    </w:p>
    <w:p w:rsidR="001F6753" w:rsidRPr="004D2222" w:rsidRDefault="001F6753" w:rsidP="001F6753">
      <w:pPr>
        <w:spacing w:before="240"/>
        <w:contextualSpacing/>
        <w:jc w:val="both"/>
      </w:pPr>
      <w:r w:rsidRPr="004D2222">
        <w:rPr>
          <w:rFonts w:ascii="Arial" w:hAnsi="Arial" w:cs="Arial"/>
        </w:rPr>
        <w:t>[22]</w:t>
      </w:r>
      <w:r w:rsidRPr="004D2222">
        <w:rPr>
          <w:rFonts w:ascii="Arial" w:hAnsi="Arial" w:cs="Arial"/>
        </w:rPr>
        <w:tab/>
        <w:t xml:space="preserve">R. Wang, X. Liu, Y. He, Q. Yuan, X. Li, G. Lu and T. Zhang, Sensors and Actuators B: Chemical, 145 (2010) 386-393. </w:t>
      </w:r>
    </w:p>
    <w:p w:rsidR="001F6753" w:rsidRPr="004D2222" w:rsidRDefault="001F6753" w:rsidP="001F6753">
      <w:pPr>
        <w:spacing w:before="240"/>
        <w:contextualSpacing/>
        <w:jc w:val="both"/>
        <w:rPr>
          <w:rFonts w:ascii="Arial" w:hAnsi="Arial" w:cs="Arial"/>
        </w:rPr>
      </w:pPr>
      <w:r w:rsidRPr="004D2222">
        <w:rPr>
          <w:rFonts w:ascii="Arial" w:hAnsi="Arial" w:cs="Arial"/>
        </w:rPr>
        <w:t>[23]</w:t>
      </w:r>
      <w:r w:rsidRPr="004D2222">
        <w:rPr>
          <w:rFonts w:ascii="Arial" w:hAnsi="Arial" w:cs="Arial"/>
        </w:rPr>
        <w:tab/>
        <w:t xml:space="preserve"> G. Wu, S. Jiang, L. Li and N. Guan, Applied Catalysis A: General, 391 (2011) 225-233.</w:t>
      </w:r>
      <w:r w:rsidRPr="004D2222">
        <w:t xml:space="preserve"> </w:t>
      </w:r>
    </w:p>
    <w:p w:rsidR="001F6753" w:rsidRDefault="001F6753" w:rsidP="001F6753">
      <w:pPr>
        <w:spacing w:before="240"/>
        <w:contextualSpacing/>
        <w:jc w:val="both"/>
        <w:rPr>
          <w:rFonts w:ascii="Arial" w:hAnsi="Arial" w:cs="Arial"/>
        </w:rPr>
      </w:pPr>
      <w:r w:rsidRPr="004D2222">
        <w:rPr>
          <w:rFonts w:ascii="Arial" w:hAnsi="Arial" w:cs="Arial"/>
        </w:rPr>
        <w:t>[24]</w:t>
      </w:r>
      <w:r w:rsidRPr="004D2222">
        <w:rPr>
          <w:rFonts w:ascii="Arial" w:hAnsi="Arial" w:cs="Arial"/>
        </w:rPr>
        <w:tab/>
      </w:r>
      <w:r w:rsidRPr="00FF0FA6">
        <w:rPr>
          <w:rFonts w:ascii="Arial" w:hAnsi="Arial" w:cs="Arial"/>
        </w:rPr>
        <w:t xml:space="preserve">B.E. Warren and J. </w:t>
      </w:r>
      <w:proofErr w:type="spellStart"/>
      <w:r w:rsidRPr="00FF0FA6">
        <w:rPr>
          <w:rFonts w:ascii="Arial" w:hAnsi="Arial" w:cs="Arial"/>
        </w:rPr>
        <w:t>Biscce</w:t>
      </w:r>
      <w:proofErr w:type="spellEnd"/>
      <w:r w:rsidRPr="00FF0FA6">
        <w:rPr>
          <w:rFonts w:ascii="Arial" w:hAnsi="Arial" w:cs="Arial"/>
        </w:rPr>
        <w:t>, Journal of the American Ceramic Society, 21 (1938) 49</w:t>
      </w:r>
    </w:p>
    <w:p w:rsidR="001F6753" w:rsidRPr="004D2222" w:rsidRDefault="001F6753" w:rsidP="001F6753">
      <w:pPr>
        <w:spacing w:before="240"/>
        <w:contextualSpacing/>
        <w:jc w:val="both"/>
        <w:rPr>
          <w:rFonts w:ascii="Arial" w:hAnsi="Arial" w:cs="Arial"/>
        </w:rPr>
      </w:pPr>
      <w:r>
        <w:rPr>
          <w:rFonts w:ascii="Arial" w:hAnsi="Arial" w:cs="Arial"/>
        </w:rPr>
        <w:t>[25]</w:t>
      </w:r>
      <w:r>
        <w:rPr>
          <w:rFonts w:ascii="Arial" w:hAnsi="Arial" w:cs="Arial"/>
        </w:rPr>
        <w:tab/>
      </w:r>
      <w:r w:rsidRPr="004D2222">
        <w:rPr>
          <w:rFonts w:ascii="Arial" w:hAnsi="Arial" w:cs="Arial"/>
        </w:rPr>
        <w:t xml:space="preserve">D. Zhao, J. Feng, Q. </w:t>
      </w:r>
      <w:proofErr w:type="spellStart"/>
      <w:r w:rsidRPr="004D2222">
        <w:rPr>
          <w:rFonts w:ascii="Arial" w:hAnsi="Arial" w:cs="Arial"/>
        </w:rPr>
        <w:t>Huo</w:t>
      </w:r>
      <w:proofErr w:type="spellEnd"/>
      <w:r w:rsidRPr="004D2222">
        <w:rPr>
          <w:rFonts w:ascii="Arial" w:hAnsi="Arial" w:cs="Arial"/>
        </w:rPr>
        <w:t xml:space="preserve">, N. </w:t>
      </w:r>
      <w:proofErr w:type="spellStart"/>
      <w:r w:rsidRPr="004D2222">
        <w:rPr>
          <w:rFonts w:ascii="Arial" w:hAnsi="Arial" w:cs="Arial"/>
        </w:rPr>
        <w:t>Melosh</w:t>
      </w:r>
      <w:proofErr w:type="spellEnd"/>
      <w:r w:rsidRPr="004D2222">
        <w:rPr>
          <w:rFonts w:ascii="Arial" w:hAnsi="Arial" w:cs="Arial"/>
        </w:rPr>
        <w:t xml:space="preserve">, G.H. Fredrickson, B.F. </w:t>
      </w:r>
      <w:proofErr w:type="spellStart"/>
      <w:r w:rsidRPr="004D2222">
        <w:rPr>
          <w:rFonts w:ascii="Arial" w:hAnsi="Arial" w:cs="Arial"/>
        </w:rPr>
        <w:t>Chmelka</w:t>
      </w:r>
      <w:proofErr w:type="spellEnd"/>
      <w:r w:rsidRPr="004D2222">
        <w:rPr>
          <w:rFonts w:ascii="Arial" w:hAnsi="Arial" w:cs="Arial"/>
        </w:rPr>
        <w:t xml:space="preserve"> and G.D. </w:t>
      </w:r>
      <w:proofErr w:type="spellStart"/>
      <w:r w:rsidRPr="004D2222">
        <w:rPr>
          <w:rFonts w:ascii="Arial" w:hAnsi="Arial" w:cs="Arial"/>
        </w:rPr>
        <w:t>Stucky</w:t>
      </w:r>
      <w:proofErr w:type="spellEnd"/>
      <w:r w:rsidRPr="004D2222">
        <w:rPr>
          <w:rFonts w:ascii="Arial" w:hAnsi="Arial" w:cs="Arial"/>
        </w:rPr>
        <w:t xml:space="preserve">, Science, 279 (1998) 548-552. </w:t>
      </w:r>
    </w:p>
    <w:p w:rsidR="001F6753" w:rsidRPr="004D2222" w:rsidRDefault="001F6753" w:rsidP="001F6753">
      <w:pPr>
        <w:spacing w:before="240"/>
        <w:contextualSpacing/>
        <w:jc w:val="both"/>
        <w:rPr>
          <w:rFonts w:ascii="Arial" w:hAnsi="Arial" w:cs="Arial"/>
        </w:rPr>
      </w:pPr>
      <w:r w:rsidRPr="004D2222">
        <w:rPr>
          <w:rFonts w:ascii="Arial" w:hAnsi="Arial" w:cs="Arial"/>
        </w:rPr>
        <w:t>[2</w:t>
      </w:r>
      <w:r>
        <w:rPr>
          <w:rFonts w:ascii="Arial" w:hAnsi="Arial" w:cs="Arial"/>
        </w:rPr>
        <w:t>6</w:t>
      </w:r>
      <w:r w:rsidRPr="004D2222">
        <w:rPr>
          <w:rFonts w:ascii="Arial" w:hAnsi="Arial" w:cs="Arial"/>
        </w:rPr>
        <w:t>]</w:t>
      </w:r>
      <w:r w:rsidRPr="004D2222">
        <w:rPr>
          <w:rFonts w:ascii="Arial" w:hAnsi="Arial" w:cs="Arial"/>
        </w:rPr>
        <w:tab/>
        <w:t xml:space="preserve">D. Chen, Z. Li, Y. Wan, X. </w:t>
      </w:r>
      <w:proofErr w:type="spellStart"/>
      <w:r w:rsidRPr="004D2222">
        <w:rPr>
          <w:rFonts w:ascii="Arial" w:hAnsi="Arial" w:cs="Arial"/>
        </w:rPr>
        <w:t>Tu</w:t>
      </w:r>
      <w:proofErr w:type="spellEnd"/>
      <w:r w:rsidRPr="004D2222">
        <w:rPr>
          <w:rFonts w:ascii="Arial" w:hAnsi="Arial" w:cs="Arial"/>
        </w:rPr>
        <w:t xml:space="preserve">, Y. Shi, Z. Chen, W. Shen, C. Yu, B. </w:t>
      </w:r>
      <w:proofErr w:type="spellStart"/>
      <w:r w:rsidRPr="004D2222">
        <w:rPr>
          <w:rFonts w:ascii="Arial" w:hAnsi="Arial" w:cs="Arial"/>
        </w:rPr>
        <w:t>Tu</w:t>
      </w:r>
      <w:proofErr w:type="spellEnd"/>
      <w:r w:rsidRPr="004D2222">
        <w:rPr>
          <w:rFonts w:ascii="Arial" w:hAnsi="Arial" w:cs="Arial"/>
        </w:rPr>
        <w:t xml:space="preserve"> and D. Zhao, Journal of Materials Chemistry, 16 (2006) 1511-1519.</w:t>
      </w:r>
    </w:p>
    <w:p w:rsidR="001F6753" w:rsidRDefault="001F6753" w:rsidP="001F6753">
      <w:pPr>
        <w:spacing w:before="240"/>
        <w:contextualSpacing/>
        <w:jc w:val="both"/>
        <w:rPr>
          <w:rFonts w:ascii="Arial" w:hAnsi="Arial" w:cs="Arial"/>
        </w:rPr>
      </w:pPr>
      <w:r w:rsidRPr="004D2222">
        <w:rPr>
          <w:rFonts w:ascii="Arial" w:hAnsi="Arial" w:cs="Arial"/>
        </w:rPr>
        <w:t>[2</w:t>
      </w:r>
      <w:r>
        <w:rPr>
          <w:rFonts w:ascii="Arial" w:hAnsi="Arial" w:cs="Arial"/>
        </w:rPr>
        <w:t>7</w:t>
      </w:r>
      <w:r w:rsidRPr="004D2222">
        <w:rPr>
          <w:rFonts w:ascii="Arial" w:hAnsi="Arial" w:cs="Arial"/>
        </w:rPr>
        <w:t>]</w:t>
      </w:r>
      <w:r w:rsidRPr="004D2222">
        <w:rPr>
          <w:rFonts w:ascii="Arial" w:hAnsi="Arial" w:cs="Arial"/>
        </w:rPr>
        <w:tab/>
        <w:t xml:space="preserve">I. Diaz, F. </w:t>
      </w:r>
      <w:proofErr w:type="spellStart"/>
      <w:r w:rsidRPr="004D2222">
        <w:rPr>
          <w:rFonts w:ascii="Arial" w:hAnsi="Arial" w:cs="Arial"/>
        </w:rPr>
        <w:t>Mohino</w:t>
      </w:r>
      <w:proofErr w:type="spellEnd"/>
      <w:r w:rsidRPr="004D2222">
        <w:rPr>
          <w:rFonts w:ascii="Arial" w:hAnsi="Arial" w:cs="Arial"/>
        </w:rPr>
        <w:t>, J. Perez-</w:t>
      </w:r>
      <w:proofErr w:type="spellStart"/>
      <w:r w:rsidRPr="004D2222">
        <w:rPr>
          <w:rFonts w:ascii="Arial" w:hAnsi="Arial" w:cs="Arial"/>
        </w:rPr>
        <w:t>Pariente</w:t>
      </w:r>
      <w:proofErr w:type="spellEnd"/>
      <w:r w:rsidRPr="004D2222">
        <w:rPr>
          <w:rFonts w:ascii="Arial" w:hAnsi="Arial" w:cs="Arial"/>
        </w:rPr>
        <w:t xml:space="preserve"> and E. </w:t>
      </w:r>
      <w:proofErr w:type="spellStart"/>
      <w:r w:rsidRPr="004D2222">
        <w:rPr>
          <w:rFonts w:ascii="Arial" w:hAnsi="Arial" w:cs="Arial"/>
        </w:rPr>
        <w:t>Sastre</w:t>
      </w:r>
      <w:proofErr w:type="spellEnd"/>
      <w:r w:rsidRPr="004D2222">
        <w:rPr>
          <w:rFonts w:ascii="Arial" w:hAnsi="Arial" w:cs="Arial"/>
        </w:rPr>
        <w:t>, Applied Catalysis A: General, 242 (2003) 161-169.</w:t>
      </w: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before="240"/>
        <w:contextualSpacing/>
        <w:jc w:val="both"/>
        <w:rPr>
          <w:rFonts w:ascii="Arial" w:hAnsi="Arial" w:cs="Arial"/>
        </w:rPr>
      </w:pPr>
    </w:p>
    <w:p w:rsidR="001F6753" w:rsidRDefault="001F6753" w:rsidP="001F6753">
      <w:pPr>
        <w:spacing w:line="480" w:lineRule="auto"/>
        <w:rPr>
          <w:rFonts w:ascii="Arial" w:hAnsi="Arial" w:cs="Arial"/>
          <w:sz w:val="24"/>
          <w:szCs w:val="24"/>
        </w:rPr>
      </w:pPr>
      <w:r>
        <w:rPr>
          <w:rFonts w:ascii="Arial" w:hAnsi="Arial" w:cs="Arial"/>
          <w:sz w:val="24"/>
          <w:szCs w:val="24"/>
        </w:rPr>
        <w:lastRenderedPageBreak/>
        <w:t>Supplementary information</w:t>
      </w:r>
    </w:p>
    <w:p w:rsidR="001F6753" w:rsidRPr="001F6753" w:rsidRDefault="001F6753" w:rsidP="001F6753">
      <w:pPr>
        <w:spacing w:line="480" w:lineRule="auto"/>
        <w:jc w:val="center"/>
        <w:rPr>
          <w:rFonts w:ascii="Arial" w:hAnsi="Arial" w:cs="Arial"/>
          <w:b/>
          <w:sz w:val="24"/>
          <w:szCs w:val="24"/>
        </w:rPr>
      </w:pPr>
      <w:r>
        <w:rPr>
          <w:rFonts w:ascii="Arial" w:hAnsi="Arial" w:cs="Arial"/>
          <w:noProof/>
          <w:sz w:val="24"/>
          <w:szCs w:val="24"/>
          <w:lang w:val="en-GB" w:eastAsia="en-GB"/>
        </w:rPr>
        <w:drawing>
          <wp:anchor distT="0" distB="0" distL="114300" distR="114300" simplePos="0" relativeHeight="251664384" behindDoc="1" locked="0" layoutInCell="1" allowOverlap="1" wp14:anchorId="394D9849" wp14:editId="70D7FCA9">
            <wp:simplePos x="0" y="0"/>
            <wp:positionH relativeFrom="column">
              <wp:posOffset>442595</wp:posOffset>
            </wp:positionH>
            <wp:positionV relativeFrom="paragraph">
              <wp:posOffset>397717</wp:posOffset>
            </wp:positionV>
            <wp:extent cx="4921250" cy="5207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21250" cy="5207000"/>
                    </a:xfrm>
                    <a:prstGeom prst="rect">
                      <a:avLst/>
                    </a:prstGeom>
                    <a:noFill/>
                    <a:ln w="9525">
                      <a:noFill/>
                      <a:miter lim="800000"/>
                      <a:headEnd/>
                      <a:tailEnd/>
                    </a:ln>
                  </pic:spPr>
                </pic:pic>
              </a:graphicData>
            </a:graphic>
          </wp:anchor>
        </w:drawing>
      </w:r>
      <w:r w:rsidRPr="001F6753">
        <w:rPr>
          <w:rFonts w:ascii="Arial" w:hAnsi="Arial" w:cs="Arial"/>
          <w:b/>
          <w:sz w:val="24"/>
          <w:szCs w:val="24"/>
        </w:rPr>
        <w:t>Figure S1</w:t>
      </w: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240" w:lineRule="auto"/>
        <w:rPr>
          <w:rFonts w:ascii="Arial" w:hAnsi="Arial" w:cs="Arial"/>
          <w:sz w:val="24"/>
          <w:szCs w:val="24"/>
        </w:rPr>
      </w:pPr>
      <w:proofErr w:type="gramStart"/>
      <w:r>
        <w:rPr>
          <w:rFonts w:ascii="Arial" w:hAnsi="Arial" w:cs="Arial"/>
          <w:sz w:val="24"/>
          <w:szCs w:val="24"/>
        </w:rPr>
        <w:t>Figure 1.</w:t>
      </w:r>
      <w:proofErr w:type="gramEnd"/>
      <w:r>
        <w:rPr>
          <w:rFonts w:ascii="Arial" w:hAnsi="Arial" w:cs="Arial"/>
          <w:sz w:val="24"/>
          <w:szCs w:val="24"/>
        </w:rPr>
        <w:t xml:space="preserve"> Displaced XRD profiles of (from bottom) MCM-41, SBA-15, CaCO</w:t>
      </w:r>
      <w:r w:rsidRPr="00681302">
        <w:rPr>
          <w:rFonts w:ascii="Arial" w:hAnsi="Arial" w:cs="Arial"/>
          <w:sz w:val="24"/>
          <w:szCs w:val="24"/>
          <w:vertAlign w:val="subscript"/>
        </w:rPr>
        <w:t>3</w:t>
      </w:r>
      <w:r>
        <w:rPr>
          <w:rFonts w:ascii="Arial" w:hAnsi="Arial" w:cs="Arial"/>
          <w:sz w:val="24"/>
          <w:szCs w:val="24"/>
        </w:rPr>
        <w:t xml:space="preserve"> / MCM-41, </w:t>
      </w:r>
      <w:proofErr w:type="spellStart"/>
      <w:r>
        <w:rPr>
          <w:rFonts w:ascii="Arial" w:hAnsi="Arial" w:cs="Arial"/>
          <w:sz w:val="24"/>
          <w:szCs w:val="24"/>
        </w:rPr>
        <w:t>CaO</w:t>
      </w:r>
      <w:proofErr w:type="spellEnd"/>
      <w:r>
        <w:rPr>
          <w:rFonts w:ascii="Arial" w:hAnsi="Arial" w:cs="Arial"/>
          <w:sz w:val="24"/>
          <w:szCs w:val="24"/>
        </w:rPr>
        <w:t>/MCM-41, CaCO</w:t>
      </w:r>
      <w:r w:rsidRPr="00681302">
        <w:rPr>
          <w:rFonts w:ascii="Arial" w:hAnsi="Arial" w:cs="Arial"/>
          <w:sz w:val="24"/>
          <w:szCs w:val="24"/>
          <w:vertAlign w:val="subscript"/>
        </w:rPr>
        <w:t>3</w:t>
      </w:r>
      <w:r>
        <w:rPr>
          <w:rFonts w:ascii="Arial" w:hAnsi="Arial" w:cs="Arial"/>
          <w:sz w:val="24"/>
          <w:szCs w:val="24"/>
        </w:rPr>
        <w:t xml:space="preserve">/SBA-15 and </w:t>
      </w:r>
      <w:proofErr w:type="spellStart"/>
      <w:r>
        <w:rPr>
          <w:rFonts w:ascii="Arial" w:hAnsi="Arial" w:cs="Arial"/>
          <w:sz w:val="24"/>
          <w:szCs w:val="24"/>
        </w:rPr>
        <w:t>CaO</w:t>
      </w:r>
      <w:proofErr w:type="spellEnd"/>
      <w:r>
        <w:rPr>
          <w:rFonts w:ascii="Arial" w:hAnsi="Arial" w:cs="Arial"/>
          <w:sz w:val="24"/>
          <w:szCs w:val="24"/>
        </w:rPr>
        <w:t>/SBA15 (top).</w:t>
      </w: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bookmarkStart w:id="0" w:name="_GoBack"/>
      <w:bookmarkEnd w:id="0"/>
    </w:p>
    <w:p w:rsidR="001F6753" w:rsidRDefault="001F6753" w:rsidP="001F6753">
      <w:pPr>
        <w:spacing w:line="480" w:lineRule="auto"/>
        <w:rPr>
          <w:rFonts w:ascii="Arial" w:hAnsi="Arial" w:cs="Arial"/>
          <w:sz w:val="24"/>
          <w:szCs w:val="24"/>
        </w:rPr>
      </w:pPr>
    </w:p>
    <w:p w:rsidR="001F6753" w:rsidRPr="001F6753" w:rsidRDefault="001F6753" w:rsidP="001F6753">
      <w:pPr>
        <w:spacing w:line="480" w:lineRule="auto"/>
        <w:jc w:val="center"/>
        <w:rPr>
          <w:rFonts w:ascii="Arial" w:hAnsi="Arial" w:cs="Arial"/>
          <w:b/>
          <w:sz w:val="24"/>
          <w:szCs w:val="24"/>
        </w:rPr>
      </w:pPr>
      <w:r w:rsidRPr="00E67A29">
        <w:rPr>
          <w:noProof/>
          <w:lang w:val="en-GB" w:eastAsia="en-GB"/>
        </w:rPr>
        <w:lastRenderedPageBreak/>
        <w:drawing>
          <wp:anchor distT="0" distB="0" distL="114300" distR="114300" simplePos="0" relativeHeight="251665408" behindDoc="1" locked="0" layoutInCell="1" allowOverlap="1" wp14:anchorId="258C662A" wp14:editId="16381175">
            <wp:simplePos x="0" y="0"/>
            <wp:positionH relativeFrom="column">
              <wp:posOffset>543560</wp:posOffset>
            </wp:positionH>
            <wp:positionV relativeFrom="paragraph">
              <wp:posOffset>462280</wp:posOffset>
            </wp:positionV>
            <wp:extent cx="4584700" cy="2774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70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753">
        <w:rPr>
          <w:rFonts w:ascii="Arial" w:hAnsi="Arial" w:cs="Arial"/>
          <w:b/>
          <w:sz w:val="24"/>
          <w:szCs w:val="24"/>
        </w:rPr>
        <w:t>Figure S2</w:t>
      </w: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r>
        <w:rPr>
          <w:rFonts w:ascii="Arial" w:hAnsi="Arial" w:cs="Arial"/>
          <w:sz w:val="24"/>
          <w:szCs w:val="24"/>
        </w:rPr>
        <w:t xml:space="preserve"> </w:t>
      </w: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480" w:lineRule="auto"/>
        <w:rPr>
          <w:rFonts w:ascii="Arial" w:hAnsi="Arial" w:cs="Arial"/>
          <w:sz w:val="24"/>
          <w:szCs w:val="24"/>
        </w:rPr>
      </w:pPr>
    </w:p>
    <w:p w:rsidR="001F6753" w:rsidRDefault="001F6753" w:rsidP="001F6753">
      <w:pPr>
        <w:spacing w:line="240" w:lineRule="auto"/>
        <w:rPr>
          <w:rFonts w:ascii="Arial" w:hAnsi="Arial" w:cs="Arial"/>
          <w:sz w:val="24"/>
          <w:szCs w:val="24"/>
        </w:rPr>
      </w:pPr>
      <w:r>
        <w:rPr>
          <w:rFonts w:ascii="Arial" w:hAnsi="Arial" w:cs="Arial"/>
          <w:sz w:val="24"/>
          <w:szCs w:val="24"/>
        </w:rPr>
        <w:t>Figure S2. Displaced SAXS profiles of MCM-41 (</w:t>
      </w:r>
      <w:r>
        <w:rPr>
          <w:rFonts w:ascii="Arial" w:hAnsi="Arial" w:cs="Arial"/>
          <w:sz w:val="24"/>
          <w:szCs w:val="24"/>
        </w:rPr>
        <w:sym w:font="Wingdings" w:char="F075"/>
      </w:r>
      <w:r>
        <w:rPr>
          <w:rFonts w:ascii="Arial" w:hAnsi="Arial" w:cs="Arial"/>
          <w:sz w:val="24"/>
          <w:szCs w:val="24"/>
        </w:rPr>
        <w:t xml:space="preserve">), </w:t>
      </w:r>
      <w:proofErr w:type="spellStart"/>
      <w:r>
        <w:rPr>
          <w:rFonts w:ascii="Arial" w:hAnsi="Arial" w:cs="Arial"/>
          <w:sz w:val="24"/>
          <w:szCs w:val="24"/>
        </w:rPr>
        <w:t>CaO</w:t>
      </w:r>
      <w:proofErr w:type="spellEnd"/>
      <w:r>
        <w:rPr>
          <w:rFonts w:ascii="Arial" w:hAnsi="Arial" w:cs="Arial"/>
          <w:sz w:val="24"/>
          <w:szCs w:val="24"/>
        </w:rPr>
        <w:t>/MCM-41 (</w:t>
      </w:r>
      <w:r>
        <w:rPr>
          <w:rFonts w:ascii="Arial" w:hAnsi="Arial" w:cs="Arial"/>
          <w:sz w:val="24"/>
          <w:szCs w:val="24"/>
        </w:rPr>
        <w:sym w:font="Wingdings" w:char="F06E"/>
      </w:r>
      <w:r>
        <w:rPr>
          <w:rFonts w:ascii="Arial" w:hAnsi="Arial" w:cs="Arial"/>
          <w:sz w:val="24"/>
          <w:szCs w:val="24"/>
        </w:rPr>
        <w:t>), SBA-15 (</w:t>
      </w:r>
      <w:r>
        <w:rPr>
          <w:rFonts w:ascii="Arial" w:hAnsi="Arial" w:cs="Arial"/>
          <w:sz w:val="24"/>
          <w:szCs w:val="24"/>
        </w:rPr>
        <w:sym w:font="Wingdings" w:char="F06C"/>
      </w:r>
      <w:r>
        <w:rPr>
          <w:rFonts w:ascii="Arial" w:hAnsi="Arial" w:cs="Arial"/>
          <w:sz w:val="24"/>
          <w:szCs w:val="24"/>
        </w:rPr>
        <w:t xml:space="preserve">) and </w:t>
      </w:r>
      <w:proofErr w:type="spellStart"/>
      <w:r>
        <w:rPr>
          <w:rFonts w:ascii="Arial" w:hAnsi="Arial" w:cs="Arial"/>
          <w:sz w:val="24"/>
          <w:szCs w:val="24"/>
        </w:rPr>
        <w:t>CaO</w:t>
      </w:r>
      <w:proofErr w:type="spellEnd"/>
      <w:r>
        <w:rPr>
          <w:rFonts w:ascii="Arial" w:hAnsi="Arial" w:cs="Arial"/>
          <w:sz w:val="24"/>
          <w:szCs w:val="24"/>
        </w:rPr>
        <w:t>/SBA-15 (</w:t>
      </w:r>
      <w:r>
        <w:rPr>
          <w:rFonts w:ascii="Arial" w:hAnsi="Arial" w:cs="Arial"/>
          <w:sz w:val="24"/>
          <w:szCs w:val="24"/>
        </w:rPr>
        <w:sym w:font="Webdings" w:char="F035"/>
      </w:r>
      <w:r>
        <w:rPr>
          <w:rFonts w:ascii="Arial" w:hAnsi="Arial" w:cs="Arial"/>
          <w:sz w:val="24"/>
          <w:szCs w:val="24"/>
        </w:rPr>
        <w:t xml:space="preserve">) supported catalysts. </w:t>
      </w:r>
    </w:p>
    <w:p w:rsidR="001F6753" w:rsidRDefault="001F6753" w:rsidP="001F6753"/>
    <w:p w:rsidR="001F6753" w:rsidRPr="004D2222" w:rsidRDefault="001F6753" w:rsidP="001F6753">
      <w:pPr>
        <w:spacing w:before="240"/>
        <w:contextualSpacing/>
        <w:jc w:val="both"/>
        <w:rPr>
          <w:rFonts w:ascii="Arial" w:hAnsi="Arial" w:cs="Arial"/>
        </w:rPr>
      </w:pPr>
    </w:p>
    <w:p w:rsidR="00A62A8C" w:rsidRDefault="00A62A8C" w:rsidP="005E2A66">
      <w:pPr>
        <w:pStyle w:val="ListParagraph"/>
        <w:ind w:left="567"/>
      </w:pPr>
    </w:p>
    <w:sectPr w:rsidR="00A62A8C" w:rsidSect="004C7A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6D"/>
    <w:multiLevelType w:val="hybridMultilevel"/>
    <w:tmpl w:val="44A4D5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D3D1C5D"/>
    <w:multiLevelType w:val="hybridMultilevel"/>
    <w:tmpl w:val="C1A4345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AE567F9"/>
    <w:multiLevelType w:val="multilevel"/>
    <w:tmpl w:val="0EC60818"/>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4DFD16F3"/>
    <w:multiLevelType w:val="multilevel"/>
    <w:tmpl w:val="4088ED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A8C"/>
    <w:rsid w:val="001077B1"/>
    <w:rsid w:val="00141A45"/>
    <w:rsid w:val="001F6753"/>
    <w:rsid w:val="002C370B"/>
    <w:rsid w:val="00403E5A"/>
    <w:rsid w:val="004A57F2"/>
    <w:rsid w:val="004C7A1C"/>
    <w:rsid w:val="004E4DCF"/>
    <w:rsid w:val="00517BF7"/>
    <w:rsid w:val="005E2A66"/>
    <w:rsid w:val="00A62A8C"/>
    <w:rsid w:val="00DB6C96"/>
    <w:rsid w:val="00E76FB5"/>
    <w:rsid w:val="00EB6CE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A8C"/>
    <w:pPr>
      <w:ind w:left="720"/>
      <w:contextualSpacing/>
    </w:pPr>
  </w:style>
  <w:style w:type="paragraph" w:styleId="BalloonText">
    <w:name w:val="Balloon Text"/>
    <w:basedOn w:val="Normal"/>
    <w:link w:val="BalloonTextChar"/>
    <w:uiPriority w:val="99"/>
    <w:semiHidden/>
    <w:unhideWhenUsed/>
    <w:rsid w:val="001F6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53"/>
    <w:rPr>
      <w:rFonts w:ascii="Tahoma" w:hAnsi="Tahoma" w:cs="Tahoma"/>
      <w:sz w:val="16"/>
      <w:szCs w:val="16"/>
    </w:rPr>
  </w:style>
  <w:style w:type="character" w:styleId="Hyperlink">
    <w:name w:val="Hyperlink"/>
    <w:basedOn w:val="DefaultParagraphFont"/>
    <w:uiPriority w:val="99"/>
    <w:unhideWhenUsed/>
    <w:rsid w:val="001F6753"/>
    <w:rPr>
      <w:color w:val="0000FF" w:themeColor="hyperlink"/>
      <w:u w:val="single"/>
    </w:rPr>
  </w:style>
  <w:style w:type="table" w:styleId="TableGrid">
    <w:name w:val="Table Grid"/>
    <w:basedOn w:val="TableNormal"/>
    <w:uiPriority w:val="59"/>
    <w:rsid w:val="001F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A8C"/>
    <w:pPr>
      <w:ind w:left="720"/>
      <w:contextualSpacing/>
    </w:pPr>
  </w:style>
  <w:style w:type="paragraph" w:styleId="BalloonText">
    <w:name w:val="Balloon Text"/>
    <w:basedOn w:val="Normal"/>
    <w:link w:val="BalloonTextChar"/>
    <w:uiPriority w:val="99"/>
    <w:semiHidden/>
    <w:unhideWhenUsed/>
    <w:rsid w:val="001F6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53"/>
    <w:rPr>
      <w:rFonts w:ascii="Tahoma" w:hAnsi="Tahoma" w:cs="Tahoma"/>
      <w:sz w:val="16"/>
      <w:szCs w:val="16"/>
    </w:rPr>
  </w:style>
  <w:style w:type="character" w:styleId="Hyperlink">
    <w:name w:val="Hyperlink"/>
    <w:basedOn w:val="DefaultParagraphFont"/>
    <w:uiPriority w:val="99"/>
    <w:unhideWhenUsed/>
    <w:rsid w:val="001F6753"/>
    <w:rPr>
      <w:color w:val="0000FF" w:themeColor="hyperlink"/>
      <w:u w:val="single"/>
    </w:rPr>
  </w:style>
  <w:style w:type="table" w:styleId="TableGrid">
    <w:name w:val="Table Grid"/>
    <w:basedOn w:val="TableNormal"/>
    <w:uiPriority w:val="59"/>
    <w:rsid w:val="001F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ames.sullivan@ucd.ie"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3177</Words>
  <Characters>18110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21245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Sulliva</dc:creator>
  <cp:lastModifiedBy>James Sullivan</cp:lastModifiedBy>
  <cp:revision>2</cp:revision>
  <dcterms:created xsi:type="dcterms:W3CDTF">2014-11-11T16:27:00Z</dcterms:created>
  <dcterms:modified xsi:type="dcterms:W3CDTF">2014-11-11T16:27:00Z</dcterms:modified>
</cp:coreProperties>
</file>