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EC6DA" w14:textId="77777777" w:rsidR="00126982" w:rsidRPr="00D16549" w:rsidRDefault="00126982" w:rsidP="00500F06">
      <w:pPr>
        <w:spacing w:after="0" w:line="480" w:lineRule="auto"/>
        <w:jc w:val="both"/>
        <w:rPr>
          <w:b/>
          <w:sz w:val="28"/>
          <w:szCs w:val="24"/>
        </w:rPr>
      </w:pPr>
    </w:p>
    <w:p w14:paraId="667F8E62" w14:textId="77777777" w:rsidR="00126982" w:rsidRDefault="00126982" w:rsidP="00500F06">
      <w:pPr>
        <w:tabs>
          <w:tab w:val="left" w:pos="1050"/>
        </w:tabs>
        <w:spacing w:after="0" w:line="480" w:lineRule="auto"/>
        <w:jc w:val="both"/>
        <w:rPr>
          <w:b/>
          <w:sz w:val="24"/>
          <w:szCs w:val="24"/>
        </w:rPr>
      </w:pPr>
    </w:p>
    <w:p w14:paraId="468622BD" w14:textId="77777777" w:rsidR="00126982" w:rsidRPr="00D16549" w:rsidRDefault="00126982" w:rsidP="00500F06">
      <w:pPr>
        <w:tabs>
          <w:tab w:val="left" w:pos="1050"/>
        </w:tabs>
        <w:spacing w:after="0" w:line="480" w:lineRule="auto"/>
        <w:jc w:val="both"/>
        <w:rPr>
          <w:b/>
          <w:sz w:val="24"/>
          <w:szCs w:val="24"/>
        </w:rPr>
      </w:pPr>
      <w:r w:rsidRPr="00D16549">
        <w:rPr>
          <w:b/>
          <w:sz w:val="24"/>
          <w:szCs w:val="24"/>
        </w:rPr>
        <w:t>Exploring coverage of the 2008 Irish dioxin crisis in the Irish and UK newsprint media</w:t>
      </w:r>
    </w:p>
    <w:p w14:paraId="22EF7E09" w14:textId="77777777" w:rsidR="00126982" w:rsidRDefault="00126982" w:rsidP="00500F06">
      <w:pPr>
        <w:spacing w:after="0" w:line="480" w:lineRule="auto"/>
        <w:jc w:val="both"/>
        <w:rPr>
          <w:b/>
          <w:sz w:val="24"/>
          <w:szCs w:val="24"/>
        </w:rPr>
      </w:pPr>
    </w:p>
    <w:p w14:paraId="58C2DCC9" w14:textId="77777777" w:rsidR="00126982" w:rsidRPr="00233C01" w:rsidRDefault="00126982" w:rsidP="00500F06">
      <w:pPr>
        <w:spacing w:after="0" w:line="480" w:lineRule="auto"/>
        <w:jc w:val="both"/>
        <w:rPr>
          <w:b/>
          <w:sz w:val="24"/>
          <w:szCs w:val="24"/>
        </w:rPr>
      </w:pPr>
    </w:p>
    <w:p w14:paraId="469CE9BB" w14:textId="77777777" w:rsidR="00126982" w:rsidRPr="00233C01" w:rsidRDefault="00126982" w:rsidP="00500F06">
      <w:pPr>
        <w:spacing w:after="0" w:line="480" w:lineRule="auto"/>
        <w:jc w:val="both"/>
        <w:rPr>
          <w:sz w:val="24"/>
          <w:szCs w:val="24"/>
          <w:vertAlign w:val="superscript"/>
        </w:rPr>
      </w:pPr>
      <w:r w:rsidRPr="00233C01">
        <w:rPr>
          <w:sz w:val="24"/>
          <w:szCs w:val="24"/>
        </w:rPr>
        <w:t>Aoife De Brún</w:t>
      </w:r>
      <w:r w:rsidRPr="00233C01">
        <w:rPr>
          <w:sz w:val="24"/>
          <w:szCs w:val="24"/>
          <w:vertAlign w:val="superscript"/>
        </w:rPr>
        <w:t>1</w:t>
      </w:r>
      <w:proofErr w:type="gramStart"/>
      <w:r w:rsidRPr="00233C01">
        <w:rPr>
          <w:sz w:val="24"/>
          <w:szCs w:val="24"/>
          <w:vertAlign w:val="superscript"/>
        </w:rPr>
        <w:t>,2</w:t>
      </w:r>
      <w:proofErr w:type="gramEnd"/>
      <w:r w:rsidRPr="00233C01">
        <w:rPr>
          <w:sz w:val="24"/>
          <w:szCs w:val="24"/>
        </w:rPr>
        <w:t xml:space="preserve">, </w:t>
      </w:r>
      <w:proofErr w:type="spellStart"/>
      <w:r w:rsidRPr="00233C01">
        <w:rPr>
          <w:sz w:val="24"/>
          <w:szCs w:val="24"/>
        </w:rPr>
        <w:t>Liran</w:t>
      </w:r>
      <w:proofErr w:type="spellEnd"/>
      <w:r>
        <w:rPr>
          <w:sz w:val="24"/>
          <w:szCs w:val="24"/>
        </w:rPr>
        <w:t xml:space="preserve"> Christine</w:t>
      </w:r>
      <w:r w:rsidRPr="00233C01">
        <w:rPr>
          <w:sz w:val="24"/>
          <w:szCs w:val="24"/>
        </w:rPr>
        <w:t xml:space="preserve"> Shan</w:t>
      </w:r>
      <w:r w:rsidRPr="00233C01">
        <w:rPr>
          <w:sz w:val="24"/>
          <w:szCs w:val="24"/>
          <w:vertAlign w:val="superscript"/>
        </w:rPr>
        <w:t>1</w:t>
      </w:r>
      <w:r w:rsidRPr="00233C01">
        <w:rPr>
          <w:sz w:val="24"/>
          <w:szCs w:val="24"/>
        </w:rPr>
        <w:t xml:space="preserve">, </w:t>
      </w:r>
      <w:proofErr w:type="spellStart"/>
      <w:r w:rsidRPr="00233C01">
        <w:rPr>
          <w:sz w:val="24"/>
          <w:szCs w:val="24"/>
        </w:rPr>
        <w:t>Áine</w:t>
      </w:r>
      <w:proofErr w:type="spellEnd"/>
      <w:r w:rsidRPr="00233C01">
        <w:rPr>
          <w:sz w:val="24"/>
          <w:szCs w:val="24"/>
        </w:rPr>
        <w:t xml:space="preserve"> Regan</w:t>
      </w:r>
      <w:r w:rsidRPr="00233C01">
        <w:rPr>
          <w:sz w:val="24"/>
          <w:szCs w:val="24"/>
          <w:vertAlign w:val="superscript"/>
        </w:rPr>
        <w:t>1</w:t>
      </w:r>
      <w:r w:rsidRPr="00233C01">
        <w:rPr>
          <w:sz w:val="24"/>
          <w:szCs w:val="24"/>
        </w:rPr>
        <w:t xml:space="preserve">, </w:t>
      </w:r>
      <w:proofErr w:type="spellStart"/>
      <w:r w:rsidRPr="00233C01">
        <w:rPr>
          <w:sz w:val="24"/>
          <w:szCs w:val="24"/>
        </w:rPr>
        <w:t>Áine</w:t>
      </w:r>
      <w:proofErr w:type="spellEnd"/>
      <w:r w:rsidRPr="00233C01">
        <w:rPr>
          <w:sz w:val="24"/>
          <w:szCs w:val="24"/>
        </w:rPr>
        <w:t xml:space="preserve"> McConnon</w:t>
      </w:r>
      <w:r w:rsidRPr="00233C01">
        <w:rPr>
          <w:sz w:val="24"/>
          <w:szCs w:val="24"/>
          <w:vertAlign w:val="superscript"/>
        </w:rPr>
        <w:t>1</w:t>
      </w:r>
      <w:r w:rsidRPr="00233C01">
        <w:rPr>
          <w:sz w:val="24"/>
          <w:szCs w:val="24"/>
        </w:rPr>
        <w:t>, &amp; Patrick Wall</w:t>
      </w:r>
      <w:r w:rsidRPr="00233C01">
        <w:rPr>
          <w:sz w:val="24"/>
          <w:szCs w:val="24"/>
          <w:vertAlign w:val="superscript"/>
        </w:rPr>
        <w:t>1</w:t>
      </w:r>
    </w:p>
    <w:p w14:paraId="0CBF7531" w14:textId="77777777" w:rsidR="00126982" w:rsidRPr="00233C01" w:rsidRDefault="00126982" w:rsidP="00500F06">
      <w:pPr>
        <w:spacing w:after="0" w:line="480" w:lineRule="auto"/>
        <w:jc w:val="both"/>
        <w:rPr>
          <w:sz w:val="24"/>
          <w:szCs w:val="24"/>
        </w:rPr>
      </w:pPr>
    </w:p>
    <w:p w14:paraId="27FF8C81" w14:textId="77777777" w:rsidR="00126982" w:rsidRDefault="00126982" w:rsidP="00500F06">
      <w:pPr>
        <w:spacing w:after="0" w:line="480" w:lineRule="auto"/>
        <w:jc w:val="both"/>
        <w:rPr>
          <w:sz w:val="24"/>
          <w:szCs w:val="24"/>
          <w:vertAlign w:val="superscript"/>
        </w:rPr>
      </w:pPr>
    </w:p>
    <w:p w14:paraId="11BDF114" w14:textId="77777777" w:rsidR="00126982" w:rsidRPr="00233C01" w:rsidRDefault="00126982" w:rsidP="00500F06">
      <w:pPr>
        <w:spacing w:after="0" w:line="480" w:lineRule="auto"/>
        <w:jc w:val="both"/>
        <w:rPr>
          <w:sz w:val="24"/>
          <w:szCs w:val="24"/>
        </w:rPr>
      </w:pPr>
      <w:r w:rsidRPr="00233C01">
        <w:rPr>
          <w:sz w:val="24"/>
          <w:szCs w:val="24"/>
          <w:vertAlign w:val="superscript"/>
        </w:rPr>
        <w:t>1</w:t>
      </w:r>
      <w:r w:rsidRPr="00233C01">
        <w:rPr>
          <w:sz w:val="24"/>
          <w:szCs w:val="24"/>
        </w:rPr>
        <w:t xml:space="preserve"> School of Public Health, Physiotherapy and Population Science, University College Dublin, </w:t>
      </w:r>
      <w:r>
        <w:rPr>
          <w:sz w:val="24"/>
          <w:szCs w:val="24"/>
        </w:rPr>
        <w:t xml:space="preserve">Dublin 4, </w:t>
      </w:r>
      <w:r w:rsidRPr="00233C01">
        <w:rPr>
          <w:sz w:val="24"/>
          <w:szCs w:val="24"/>
        </w:rPr>
        <w:t>Ireland.</w:t>
      </w:r>
    </w:p>
    <w:p w14:paraId="3ED6594B" w14:textId="77777777" w:rsidR="00126982" w:rsidRPr="00233C01" w:rsidRDefault="00126982" w:rsidP="00500F06">
      <w:pPr>
        <w:spacing w:after="0" w:line="480" w:lineRule="auto"/>
        <w:jc w:val="both"/>
        <w:rPr>
          <w:sz w:val="24"/>
          <w:szCs w:val="24"/>
        </w:rPr>
      </w:pPr>
      <w:r w:rsidRPr="00233C01">
        <w:rPr>
          <w:sz w:val="24"/>
          <w:szCs w:val="24"/>
          <w:vertAlign w:val="superscript"/>
        </w:rPr>
        <w:t>2</w:t>
      </w:r>
      <w:r w:rsidRPr="00233C01">
        <w:rPr>
          <w:sz w:val="24"/>
          <w:szCs w:val="24"/>
        </w:rPr>
        <w:t xml:space="preserve"> </w:t>
      </w:r>
      <w:proofErr w:type="gramStart"/>
      <w:r w:rsidRPr="00233C01">
        <w:rPr>
          <w:sz w:val="24"/>
          <w:szCs w:val="24"/>
        </w:rPr>
        <w:t>Institute</w:t>
      </w:r>
      <w:proofErr w:type="gramEnd"/>
      <w:r w:rsidRPr="00233C01">
        <w:rPr>
          <w:sz w:val="24"/>
          <w:szCs w:val="24"/>
        </w:rPr>
        <w:t xml:space="preserve"> of Health &amp; Society, Newcastle University, Newcastle upon Tyne, NE2 4AX, UK.</w:t>
      </w:r>
    </w:p>
    <w:p w14:paraId="402C6198" w14:textId="77777777" w:rsidR="00126982" w:rsidRPr="00233C01" w:rsidRDefault="00126982" w:rsidP="00500F06">
      <w:pPr>
        <w:spacing w:after="0" w:line="480" w:lineRule="auto"/>
        <w:jc w:val="both"/>
        <w:rPr>
          <w:b/>
          <w:sz w:val="24"/>
          <w:szCs w:val="24"/>
        </w:rPr>
      </w:pPr>
    </w:p>
    <w:p w14:paraId="01A8EBC6" w14:textId="77777777" w:rsidR="00126982" w:rsidRPr="00233C01" w:rsidRDefault="00126982" w:rsidP="00500F06">
      <w:pPr>
        <w:spacing w:after="0" w:line="480" w:lineRule="auto"/>
        <w:jc w:val="both"/>
        <w:rPr>
          <w:b/>
          <w:sz w:val="24"/>
          <w:szCs w:val="24"/>
        </w:rPr>
      </w:pPr>
    </w:p>
    <w:p w14:paraId="4869BF74" w14:textId="319F554F" w:rsidR="00126982" w:rsidRPr="00233C01" w:rsidRDefault="00126982" w:rsidP="00500F06">
      <w:pPr>
        <w:spacing w:after="0" w:line="480" w:lineRule="auto"/>
        <w:jc w:val="both"/>
        <w:rPr>
          <w:b/>
          <w:sz w:val="24"/>
          <w:szCs w:val="24"/>
          <w:lang w:val="en-GB"/>
        </w:rPr>
      </w:pPr>
      <w:r w:rsidRPr="00233C01">
        <w:rPr>
          <w:b/>
          <w:sz w:val="24"/>
          <w:szCs w:val="24"/>
          <w:lang w:val="en-GB"/>
        </w:rPr>
        <w:t xml:space="preserve">Corresponding author: </w:t>
      </w:r>
      <w:r w:rsidRPr="00233C01">
        <w:rPr>
          <w:sz w:val="24"/>
          <w:szCs w:val="24"/>
          <w:lang w:val="en-GB"/>
        </w:rPr>
        <w:t xml:space="preserve">Aoife De </w:t>
      </w:r>
      <w:r w:rsidRPr="00233C01">
        <w:rPr>
          <w:sz w:val="24"/>
          <w:szCs w:val="24"/>
        </w:rPr>
        <w:t>Brún</w:t>
      </w:r>
      <w:r w:rsidRPr="00233C01">
        <w:rPr>
          <w:sz w:val="24"/>
          <w:szCs w:val="24"/>
          <w:lang w:val="en-GB"/>
        </w:rPr>
        <w:t xml:space="preserve">, </w:t>
      </w:r>
      <w:r w:rsidR="000652E3">
        <w:rPr>
          <w:sz w:val="24"/>
          <w:szCs w:val="24"/>
        </w:rPr>
        <w:t>University College Dublin, Belfield, Dublin 4, Ireland.</w:t>
      </w:r>
      <w:r w:rsidRPr="00233C01">
        <w:rPr>
          <w:sz w:val="24"/>
          <w:szCs w:val="24"/>
        </w:rPr>
        <w:t xml:space="preserve"> E-mail: aoife.debrun@</w:t>
      </w:r>
      <w:r w:rsidR="000652E3">
        <w:rPr>
          <w:sz w:val="24"/>
          <w:szCs w:val="24"/>
        </w:rPr>
        <w:t>ucd.ie</w:t>
      </w:r>
    </w:p>
    <w:p w14:paraId="1BE2ABA5" w14:textId="77777777" w:rsidR="00126982" w:rsidRPr="00233C01" w:rsidRDefault="00126982" w:rsidP="00500F06">
      <w:pPr>
        <w:spacing w:after="0" w:line="480" w:lineRule="auto"/>
        <w:jc w:val="both"/>
        <w:rPr>
          <w:sz w:val="24"/>
          <w:szCs w:val="24"/>
        </w:rPr>
      </w:pPr>
    </w:p>
    <w:p w14:paraId="61DFAA76" w14:textId="77777777" w:rsidR="00126982" w:rsidRPr="00233C01" w:rsidRDefault="00126982" w:rsidP="00500F06">
      <w:pPr>
        <w:spacing w:after="0" w:line="480" w:lineRule="auto"/>
        <w:jc w:val="both"/>
        <w:rPr>
          <w:b/>
          <w:sz w:val="24"/>
          <w:szCs w:val="24"/>
        </w:rPr>
      </w:pPr>
    </w:p>
    <w:p w14:paraId="5C9B62AF" w14:textId="77777777" w:rsidR="00126982" w:rsidRPr="00233C01" w:rsidRDefault="00126982" w:rsidP="00500F06">
      <w:pPr>
        <w:spacing w:after="0" w:line="480" w:lineRule="auto"/>
        <w:jc w:val="both"/>
        <w:rPr>
          <w:b/>
          <w:sz w:val="24"/>
          <w:szCs w:val="24"/>
        </w:rPr>
      </w:pPr>
      <w:r w:rsidRPr="00233C01">
        <w:rPr>
          <w:b/>
          <w:bCs/>
          <w:sz w:val="24"/>
          <w:szCs w:val="24"/>
        </w:rPr>
        <w:t xml:space="preserve">Acknowledgements: </w:t>
      </w:r>
      <w:r w:rsidRPr="00233C01">
        <w:rPr>
          <w:sz w:val="24"/>
          <w:szCs w:val="24"/>
        </w:rPr>
        <w:t xml:space="preserve">This work was supported by the </w:t>
      </w:r>
      <w:proofErr w:type="spellStart"/>
      <w:r w:rsidRPr="00233C01">
        <w:rPr>
          <w:sz w:val="24"/>
          <w:szCs w:val="24"/>
        </w:rPr>
        <w:t>FoodRisC</w:t>
      </w:r>
      <w:proofErr w:type="spellEnd"/>
      <w:r w:rsidRPr="00233C01">
        <w:rPr>
          <w:sz w:val="24"/>
          <w:szCs w:val="24"/>
        </w:rPr>
        <w:t xml:space="preserve"> project under the Seventh Framework Programme (CORDIS FP7) of the European Commission [grant number: 245124].</w:t>
      </w:r>
      <w:r w:rsidRPr="00233C01">
        <w:rPr>
          <w:b/>
          <w:sz w:val="24"/>
          <w:szCs w:val="24"/>
        </w:rPr>
        <w:t xml:space="preserve"> </w:t>
      </w:r>
    </w:p>
    <w:p w14:paraId="5025AA0A" w14:textId="77777777" w:rsidR="00126982" w:rsidRDefault="00126982" w:rsidP="00500F06">
      <w:pPr>
        <w:spacing w:after="0" w:line="480" w:lineRule="auto"/>
        <w:jc w:val="both"/>
        <w:rPr>
          <w:b/>
          <w:sz w:val="24"/>
          <w:szCs w:val="24"/>
        </w:rPr>
      </w:pPr>
    </w:p>
    <w:p w14:paraId="4FF93300" w14:textId="77777777" w:rsidR="00126982" w:rsidRDefault="00126982" w:rsidP="00500F06">
      <w:pPr>
        <w:spacing w:after="0" w:line="480" w:lineRule="auto"/>
        <w:jc w:val="both"/>
        <w:rPr>
          <w:b/>
          <w:sz w:val="24"/>
          <w:szCs w:val="24"/>
        </w:rPr>
      </w:pPr>
      <w:r>
        <w:rPr>
          <w:b/>
          <w:sz w:val="24"/>
          <w:szCs w:val="24"/>
        </w:rPr>
        <w:br w:type="page"/>
      </w:r>
    </w:p>
    <w:p w14:paraId="49A99559" w14:textId="77777777" w:rsidR="00126982" w:rsidRPr="00CE3E77" w:rsidRDefault="00126982" w:rsidP="00500F06">
      <w:pPr>
        <w:spacing w:after="0" w:line="480" w:lineRule="auto"/>
        <w:jc w:val="center"/>
        <w:rPr>
          <w:sz w:val="24"/>
          <w:szCs w:val="24"/>
        </w:rPr>
      </w:pPr>
      <w:r w:rsidRPr="00CE3E77">
        <w:rPr>
          <w:b/>
          <w:sz w:val="24"/>
          <w:szCs w:val="24"/>
        </w:rPr>
        <w:lastRenderedPageBreak/>
        <w:t>Abstract</w:t>
      </w:r>
    </w:p>
    <w:p w14:paraId="09D350A6" w14:textId="77777777" w:rsidR="00126982" w:rsidRPr="00387C1F" w:rsidRDefault="00126982" w:rsidP="00500F06">
      <w:pPr>
        <w:spacing w:after="0" w:line="480" w:lineRule="auto"/>
        <w:jc w:val="both"/>
        <w:rPr>
          <w:sz w:val="24"/>
          <w:szCs w:val="24"/>
        </w:rPr>
      </w:pPr>
      <w:r w:rsidRPr="00387C1F">
        <w:rPr>
          <w:sz w:val="24"/>
          <w:szCs w:val="24"/>
        </w:rPr>
        <w:t xml:space="preserve">The 2008 dioxin crisis occurred as a result of contamination of Irish pork. The event had significant implications for Ireland’s economy, the reputation of its agricultural industry, as well as </w:t>
      </w:r>
      <w:r>
        <w:rPr>
          <w:sz w:val="24"/>
          <w:szCs w:val="24"/>
        </w:rPr>
        <w:t>raising</w:t>
      </w:r>
      <w:r w:rsidRPr="00387C1F">
        <w:rPr>
          <w:sz w:val="24"/>
          <w:szCs w:val="24"/>
        </w:rPr>
        <w:t xml:space="preserve"> concerns for </w:t>
      </w:r>
      <w:r>
        <w:rPr>
          <w:sz w:val="24"/>
          <w:szCs w:val="24"/>
        </w:rPr>
        <w:t>human health. This study describes the results of a</w:t>
      </w:r>
      <w:r w:rsidRPr="00387C1F">
        <w:rPr>
          <w:sz w:val="24"/>
          <w:szCs w:val="24"/>
        </w:rPr>
        <w:t xml:space="preserve"> </w:t>
      </w:r>
      <w:r>
        <w:rPr>
          <w:sz w:val="24"/>
          <w:szCs w:val="24"/>
        </w:rPr>
        <w:t>content</w:t>
      </w:r>
      <w:r w:rsidRPr="00387C1F">
        <w:rPr>
          <w:sz w:val="24"/>
          <w:szCs w:val="24"/>
        </w:rPr>
        <w:t xml:space="preserve"> analysis of Irish and UK newspaper coverage of the 2008 Irish dioxin crisis, as this is likely to provide insight into how public perceptions of this issue were shaped. Articles from 16 print publications were systematically sampled for the period</w:t>
      </w:r>
      <w:r>
        <w:rPr>
          <w:sz w:val="24"/>
          <w:szCs w:val="24"/>
        </w:rPr>
        <w:t xml:space="preserve"> December 2008 to February 2009. T</w:t>
      </w:r>
      <w:r w:rsidRPr="00387C1F">
        <w:rPr>
          <w:sz w:val="24"/>
          <w:szCs w:val="24"/>
        </w:rPr>
        <w:t xml:space="preserve">he resulting data set of 141 articles was examined using a </w:t>
      </w:r>
      <w:r>
        <w:rPr>
          <w:sz w:val="24"/>
          <w:szCs w:val="24"/>
        </w:rPr>
        <w:t>coding</w:t>
      </w:r>
      <w:r w:rsidRPr="00387C1F">
        <w:rPr>
          <w:sz w:val="24"/>
          <w:szCs w:val="24"/>
        </w:rPr>
        <w:t xml:space="preserve"> protocol developed based on previous research</w:t>
      </w:r>
      <w:r>
        <w:rPr>
          <w:sz w:val="24"/>
          <w:szCs w:val="24"/>
        </w:rPr>
        <w:t xml:space="preserve"> and refined during piloting</w:t>
      </w:r>
      <w:r w:rsidRPr="00387C1F">
        <w:rPr>
          <w:sz w:val="24"/>
          <w:szCs w:val="24"/>
        </w:rPr>
        <w:t>. Results indicated that the</w:t>
      </w:r>
      <w:r>
        <w:rPr>
          <w:sz w:val="24"/>
          <w:szCs w:val="24"/>
        </w:rPr>
        <w:t xml:space="preserve"> dioxin</w:t>
      </w:r>
      <w:r w:rsidRPr="00387C1F">
        <w:rPr>
          <w:sz w:val="24"/>
          <w:szCs w:val="24"/>
        </w:rPr>
        <w:t xml:space="preserve"> crisis was primaril</w:t>
      </w:r>
      <w:r>
        <w:rPr>
          <w:sz w:val="24"/>
          <w:szCs w:val="24"/>
        </w:rPr>
        <w:t>y portrayed by the media as an i</w:t>
      </w:r>
      <w:r w:rsidRPr="00387C1F">
        <w:rPr>
          <w:sz w:val="24"/>
          <w:szCs w:val="24"/>
        </w:rPr>
        <w:t>ndustry/</w:t>
      </w:r>
      <w:r>
        <w:rPr>
          <w:sz w:val="24"/>
          <w:szCs w:val="24"/>
        </w:rPr>
        <w:t>e</w:t>
      </w:r>
      <w:r w:rsidRPr="00387C1F">
        <w:rPr>
          <w:sz w:val="24"/>
          <w:szCs w:val="24"/>
        </w:rPr>
        <w:t xml:space="preserve">conomic crisis, </w:t>
      </w:r>
      <w:r>
        <w:rPr>
          <w:sz w:val="24"/>
          <w:szCs w:val="24"/>
        </w:rPr>
        <w:t xml:space="preserve">dominant in </w:t>
      </w:r>
      <w:r w:rsidRPr="00387C1F">
        <w:rPr>
          <w:sz w:val="24"/>
          <w:szCs w:val="24"/>
        </w:rPr>
        <w:t xml:space="preserve">26.9% of articles in the sample. Within this dominant </w:t>
      </w:r>
      <w:r>
        <w:rPr>
          <w:sz w:val="24"/>
          <w:szCs w:val="24"/>
        </w:rPr>
        <w:t>portrayal</w:t>
      </w:r>
      <w:r w:rsidRPr="00387C1F">
        <w:rPr>
          <w:sz w:val="24"/>
          <w:szCs w:val="24"/>
        </w:rPr>
        <w:t>, the agricultural industry was frequently c</w:t>
      </w:r>
      <w:r>
        <w:rPr>
          <w:sz w:val="24"/>
          <w:szCs w:val="24"/>
        </w:rPr>
        <w:t>ited as being in crisis (42.6%);</w:t>
      </w:r>
      <w:r w:rsidRPr="00387C1F">
        <w:rPr>
          <w:sz w:val="24"/>
          <w:szCs w:val="24"/>
        </w:rPr>
        <w:t xml:space="preserve"> however, the implications of the crisis on </w:t>
      </w:r>
      <w:r>
        <w:rPr>
          <w:sz w:val="24"/>
          <w:szCs w:val="24"/>
        </w:rPr>
        <w:t>the wider economic environment</w:t>
      </w:r>
      <w:r w:rsidRPr="00387C1F">
        <w:rPr>
          <w:sz w:val="24"/>
          <w:szCs w:val="24"/>
        </w:rPr>
        <w:t xml:space="preserve"> also received attention (17.7%). Differences between Irish and UK</w:t>
      </w:r>
      <w:r>
        <w:rPr>
          <w:sz w:val="24"/>
          <w:szCs w:val="24"/>
        </w:rPr>
        <w:t>-based</w:t>
      </w:r>
      <w:r w:rsidRPr="00387C1F">
        <w:rPr>
          <w:sz w:val="24"/>
          <w:szCs w:val="24"/>
        </w:rPr>
        <w:t xml:space="preserve"> media were also examined, revealing that while the Irish media most</w:t>
      </w:r>
      <w:r>
        <w:rPr>
          <w:sz w:val="24"/>
          <w:szCs w:val="24"/>
        </w:rPr>
        <w:t xml:space="preserve"> frequently</w:t>
      </w:r>
      <w:r w:rsidRPr="00387C1F">
        <w:rPr>
          <w:sz w:val="24"/>
          <w:szCs w:val="24"/>
        </w:rPr>
        <w:t xml:space="preserve"> </w:t>
      </w:r>
      <w:r>
        <w:rPr>
          <w:sz w:val="24"/>
          <w:szCs w:val="24"/>
        </w:rPr>
        <w:t xml:space="preserve">described the crisis in terms of its impact on the industry and economy, </w:t>
      </w:r>
      <w:r w:rsidRPr="00387C1F">
        <w:rPr>
          <w:sz w:val="24"/>
          <w:szCs w:val="24"/>
        </w:rPr>
        <w:t xml:space="preserve">the UK media were more likely to </w:t>
      </w:r>
      <w:r>
        <w:rPr>
          <w:sz w:val="24"/>
          <w:szCs w:val="24"/>
        </w:rPr>
        <w:t xml:space="preserve">portray the crisis as a risk to health. These dominant media messages and message framings have </w:t>
      </w:r>
      <w:r w:rsidRPr="00387C1F">
        <w:rPr>
          <w:sz w:val="24"/>
          <w:szCs w:val="24"/>
        </w:rPr>
        <w:t xml:space="preserve">implications for the </w:t>
      </w:r>
      <w:r>
        <w:rPr>
          <w:sz w:val="24"/>
          <w:szCs w:val="24"/>
        </w:rPr>
        <w:t xml:space="preserve">public </w:t>
      </w:r>
      <w:r w:rsidRPr="00387C1F">
        <w:rPr>
          <w:sz w:val="24"/>
          <w:szCs w:val="24"/>
        </w:rPr>
        <w:t>understanding of the issue in each country and</w:t>
      </w:r>
      <w:r>
        <w:rPr>
          <w:sz w:val="24"/>
          <w:szCs w:val="24"/>
        </w:rPr>
        <w:t xml:space="preserve"> potential consequences regarding </w:t>
      </w:r>
      <w:r w:rsidRPr="00387C1F">
        <w:rPr>
          <w:sz w:val="24"/>
          <w:szCs w:val="24"/>
        </w:rPr>
        <w:t xml:space="preserve">perception of the adequacy of existing food policy and regulatory oversight. </w:t>
      </w:r>
    </w:p>
    <w:p w14:paraId="0AC9B791" w14:textId="77777777" w:rsidR="00126982" w:rsidRDefault="00126982" w:rsidP="00500F06">
      <w:pPr>
        <w:spacing w:after="0" w:line="480" w:lineRule="auto"/>
        <w:ind w:firstLine="720"/>
        <w:jc w:val="both"/>
        <w:rPr>
          <w:i/>
          <w:sz w:val="24"/>
          <w:szCs w:val="24"/>
        </w:rPr>
      </w:pPr>
    </w:p>
    <w:p w14:paraId="28C15D6F" w14:textId="77777777" w:rsidR="00F10B8C" w:rsidRDefault="00F10B8C" w:rsidP="00F10B8C">
      <w:pPr>
        <w:spacing w:after="0" w:line="480" w:lineRule="auto"/>
        <w:jc w:val="both"/>
        <w:rPr>
          <w:i/>
          <w:sz w:val="24"/>
          <w:szCs w:val="24"/>
        </w:rPr>
      </w:pPr>
    </w:p>
    <w:p w14:paraId="7793DF2F" w14:textId="77777777" w:rsidR="00126982" w:rsidRPr="00CE3E77" w:rsidRDefault="00126982" w:rsidP="00F10B8C">
      <w:pPr>
        <w:spacing w:after="0" w:line="480" w:lineRule="auto"/>
        <w:jc w:val="both"/>
        <w:rPr>
          <w:sz w:val="24"/>
          <w:szCs w:val="24"/>
        </w:rPr>
      </w:pPr>
      <w:r w:rsidRPr="002E7CFE">
        <w:rPr>
          <w:i/>
          <w:sz w:val="24"/>
          <w:szCs w:val="24"/>
        </w:rPr>
        <w:t>Keywords</w:t>
      </w:r>
      <w:r>
        <w:rPr>
          <w:sz w:val="24"/>
          <w:szCs w:val="24"/>
        </w:rPr>
        <w:t>: food risk; content analysis; dioxin crisis; media analysis; Ireland.</w:t>
      </w:r>
    </w:p>
    <w:p w14:paraId="7EE60009" w14:textId="77777777" w:rsidR="00126982" w:rsidRDefault="00126982" w:rsidP="00500F06">
      <w:pPr>
        <w:spacing w:after="0" w:line="480" w:lineRule="auto"/>
        <w:jc w:val="both"/>
        <w:rPr>
          <w:b/>
          <w:sz w:val="24"/>
          <w:szCs w:val="24"/>
        </w:rPr>
      </w:pPr>
      <w:r>
        <w:rPr>
          <w:b/>
          <w:sz w:val="24"/>
          <w:szCs w:val="24"/>
        </w:rPr>
        <w:br w:type="page"/>
      </w:r>
    </w:p>
    <w:p w14:paraId="589C641C" w14:textId="77777777" w:rsidR="00126982" w:rsidRPr="00A2342A" w:rsidRDefault="00126982" w:rsidP="00500F06">
      <w:pPr>
        <w:spacing w:after="0" w:line="480" w:lineRule="auto"/>
        <w:jc w:val="center"/>
        <w:rPr>
          <w:b/>
          <w:sz w:val="24"/>
          <w:szCs w:val="24"/>
        </w:rPr>
      </w:pPr>
      <w:r w:rsidRPr="00A2342A">
        <w:rPr>
          <w:b/>
          <w:sz w:val="24"/>
          <w:szCs w:val="24"/>
        </w:rPr>
        <w:lastRenderedPageBreak/>
        <w:t>Introduction</w:t>
      </w:r>
    </w:p>
    <w:p w14:paraId="02B97658" w14:textId="77777777" w:rsidR="00126982" w:rsidRDefault="00126982" w:rsidP="00500F06">
      <w:pPr>
        <w:spacing w:after="0" w:line="480" w:lineRule="auto"/>
        <w:jc w:val="both"/>
        <w:rPr>
          <w:sz w:val="24"/>
          <w:szCs w:val="24"/>
        </w:rPr>
      </w:pPr>
      <w:r>
        <w:rPr>
          <w:sz w:val="24"/>
          <w:szCs w:val="24"/>
        </w:rPr>
        <w:t>The Irish dioxin crisis began in</w:t>
      </w:r>
      <w:r w:rsidRPr="007B57EB">
        <w:rPr>
          <w:sz w:val="24"/>
          <w:szCs w:val="24"/>
        </w:rPr>
        <w:t xml:space="preserve"> November 2008</w:t>
      </w:r>
      <w:r>
        <w:rPr>
          <w:sz w:val="24"/>
          <w:szCs w:val="24"/>
        </w:rPr>
        <w:t xml:space="preserve">, when </w:t>
      </w:r>
      <w:r w:rsidRPr="007B57EB">
        <w:rPr>
          <w:sz w:val="24"/>
          <w:szCs w:val="24"/>
        </w:rPr>
        <w:t xml:space="preserve">contaminated animal feed resulted in the contamination of </w:t>
      </w:r>
      <w:r>
        <w:rPr>
          <w:sz w:val="24"/>
          <w:szCs w:val="24"/>
        </w:rPr>
        <w:t xml:space="preserve">Irish </w:t>
      </w:r>
      <w:r w:rsidRPr="007B57EB">
        <w:rPr>
          <w:sz w:val="24"/>
          <w:szCs w:val="24"/>
        </w:rPr>
        <w:t>pork products</w:t>
      </w:r>
      <w:r>
        <w:rPr>
          <w:sz w:val="24"/>
          <w:szCs w:val="24"/>
        </w:rPr>
        <w:t xml:space="preserve"> with dioxins</w:t>
      </w:r>
      <w:r w:rsidRPr="007B57EB">
        <w:rPr>
          <w:sz w:val="24"/>
          <w:szCs w:val="24"/>
        </w:rPr>
        <w:t xml:space="preserve">. </w:t>
      </w:r>
      <w:r w:rsidRPr="00220597">
        <w:rPr>
          <w:sz w:val="24"/>
          <w:szCs w:val="24"/>
        </w:rPr>
        <w:t>Dioxins are by-products of chemical production processes</w:t>
      </w:r>
      <w:r>
        <w:rPr>
          <w:sz w:val="24"/>
          <w:szCs w:val="24"/>
        </w:rPr>
        <w:t xml:space="preserve">. </w:t>
      </w:r>
      <w:r w:rsidRPr="00220597">
        <w:rPr>
          <w:sz w:val="24"/>
          <w:szCs w:val="24"/>
        </w:rPr>
        <w:t xml:space="preserve">. They can accumulate in the food chain, mainly in the fatty tissue of animals, and a build-up of these toxins </w:t>
      </w:r>
      <w:r>
        <w:rPr>
          <w:sz w:val="24"/>
          <w:szCs w:val="24"/>
        </w:rPr>
        <w:t>can</w:t>
      </w:r>
      <w:r w:rsidRPr="00220597">
        <w:rPr>
          <w:sz w:val="24"/>
          <w:szCs w:val="24"/>
        </w:rPr>
        <w:t xml:space="preserve"> present a risk to human health. </w:t>
      </w:r>
      <w:proofErr w:type="gramStart"/>
      <w:r w:rsidRPr="00220597">
        <w:rPr>
          <w:sz w:val="24"/>
          <w:szCs w:val="24"/>
        </w:rPr>
        <w:t>According to the</w:t>
      </w:r>
      <w:r>
        <w:rPr>
          <w:sz w:val="24"/>
          <w:szCs w:val="24"/>
        </w:rPr>
        <w:t xml:space="preserve"> World Health Organisation ([</w:t>
      </w:r>
      <w:r w:rsidRPr="00220597">
        <w:rPr>
          <w:sz w:val="24"/>
          <w:szCs w:val="24"/>
        </w:rPr>
        <w:t>WHO</w:t>
      </w:r>
      <w:r>
        <w:rPr>
          <w:sz w:val="24"/>
          <w:szCs w:val="24"/>
        </w:rPr>
        <w:t xml:space="preserve">], </w:t>
      </w:r>
      <w:r w:rsidRPr="00220597">
        <w:rPr>
          <w:sz w:val="24"/>
          <w:szCs w:val="24"/>
        </w:rPr>
        <w:t>2010), more than 90% of human exposure to dioxins is through food, particularly meat and dairy products.</w:t>
      </w:r>
      <w:proofErr w:type="gramEnd"/>
      <w:r w:rsidRPr="00220597">
        <w:rPr>
          <w:sz w:val="24"/>
          <w:szCs w:val="24"/>
        </w:rPr>
        <w:t xml:space="preserve"> High levels of exposure to dioxins can cause reproductive and developmental problems, damage the immune system, and can cause cancer (WHO, 2010). </w:t>
      </w:r>
      <w:r>
        <w:rPr>
          <w:sz w:val="24"/>
          <w:szCs w:val="24"/>
        </w:rPr>
        <w:t xml:space="preserve">The Irish dioxin crisis has been labelled as </w:t>
      </w:r>
      <w:r w:rsidRPr="00220597">
        <w:rPr>
          <w:sz w:val="24"/>
          <w:szCs w:val="24"/>
        </w:rPr>
        <w:t xml:space="preserve">a media-facilitated crisis </w:t>
      </w:r>
      <w:r>
        <w:rPr>
          <w:sz w:val="24"/>
          <w:szCs w:val="24"/>
        </w:rPr>
        <w:t>(Jacob</w:t>
      </w:r>
      <w:r w:rsidRPr="00131B34">
        <w:rPr>
          <w:sz w:val="24"/>
          <w:szCs w:val="24"/>
        </w:rPr>
        <w:t xml:space="preserve">, </w:t>
      </w:r>
      <w:proofErr w:type="spellStart"/>
      <w:r w:rsidRPr="00131B34">
        <w:rPr>
          <w:sz w:val="24"/>
          <w:szCs w:val="24"/>
        </w:rPr>
        <w:t>Lok</w:t>
      </w:r>
      <w:proofErr w:type="spellEnd"/>
      <w:r w:rsidRPr="00131B34">
        <w:rPr>
          <w:sz w:val="24"/>
          <w:szCs w:val="24"/>
        </w:rPr>
        <w:t>, Morley, &amp; Powell</w:t>
      </w:r>
      <w:r w:rsidRPr="00220597">
        <w:rPr>
          <w:sz w:val="24"/>
          <w:szCs w:val="24"/>
        </w:rPr>
        <w:t>, 2001)</w:t>
      </w:r>
      <w:r>
        <w:rPr>
          <w:sz w:val="24"/>
          <w:szCs w:val="24"/>
        </w:rPr>
        <w:t>,</w:t>
      </w:r>
      <w:r w:rsidRPr="00220597">
        <w:rPr>
          <w:sz w:val="24"/>
          <w:szCs w:val="24"/>
        </w:rPr>
        <w:t xml:space="preserve"> due to the high level of media attention the crisis received. One reflection on the crisis observed that there was </w:t>
      </w:r>
      <w:r w:rsidRPr="0084326D">
        <w:rPr>
          <w:sz w:val="24"/>
          <w:szCs w:val="24"/>
        </w:rPr>
        <w:t xml:space="preserve">“an unprecedented level of Irish media coverage, for almost a week, on a single food issue” </w:t>
      </w:r>
      <w:r w:rsidRPr="00220597">
        <w:rPr>
          <w:sz w:val="24"/>
          <w:szCs w:val="24"/>
        </w:rPr>
        <w:t>(Kennedy</w:t>
      </w:r>
      <w:r>
        <w:rPr>
          <w:sz w:val="24"/>
          <w:szCs w:val="24"/>
        </w:rPr>
        <w:t xml:space="preserve">, Delaney, Hudson, </w:t>
      </w:r>
      <w:proofErr w:type="spellStart"/>
      <w:r>
        <w:rPr>
          <w:sz w:val="24"/>
          <w:szCs w:val="24"/>
        </w:rPr>
        <w:t>McGloin</w:t>
      </w:r>
      <w:proofErr w:type="spellEnd"/>
      <w:r>
        <w:rPr>
          <w:sz w:val="24"/>
          <w:szCs w:val="24"/>
        </w:rPr>
        <w:t xml:space="preserve">, &amp; Wall, </w:t>
      </w:r>
      <w:r w:rsidRPr="00220597">
        <w:rPr>
          <w:sz w:val="24"/>
          <w:szCs w:val="24"/>
        </w:rPr>
        <w:t xml:space="preserve">2010, p. 939). </w:t>
      </w:r>
      <w:r>
        <w:rPr>
          <w:sz w:val="24"/>
          <w:szCs w:val="24"/>
        </w:rPr>
        <w:t>This paper presents an analysis of th</w:t>
      </w:r>
      <w:r w:rsidRPr="00220597">
        <w:rPr>
          <w:sz w:val="24"/>
          <w:szCs w:val="24"/>
        </w:rPr>
        <w:t>is coverage</w:t>
      </w:r>
      <w:r>
        <w:rPr>
          <w:sz w:val="24"/>
          <w:szCs w:val="24"/>
        </w:rPr>
        <w:t xml:space="preserve">, thus providing insight into </w:t>
      </w:r>
      <w:r w:rsidRPr="00220597">
        <w:rPr>
          <w:sz w:val="24"/>
          <w:szCs w:val="24"/>
        </w:rPr>
        <w:t xml:space="preserve">how </w:t>
      </w:r>
      <w:r>
        <w:rPr>
          <w:sz w:val="24"/>
          <w:szCs w:val="24"/>
        </w:rPr>
        <w:t>the public may have understood the</w:t>
      </w:r>
      <w:r w:rsidRPr="00220597">
        <w:rPr>
          <w:sz w:val="24"/>
          <w:szCs w:val="24"/>
        </w:rPr>
        <w:t xml:space="preserve"> </w:t>
      </w:r>
      <w:r>
        <w:rPr>
          <w:sz w:val="24"/>
          <w:szCs w:val="24"/>
        </w:rPr>
        <w:t>incident during the</w:t>
      </w:r>
      <w:r w:rsidRPr="00220597">
        <w:rPr>
          <w:sz w:val="24"/>
          <w:szCs w:val="24"/>
        </w:rPr>
        <w:t xml:space="preserve"> period immediately following the </w:t>
      </w:r>
      <w:r>
        <w:rPr>
          <w:sz w:val="24"/>
          <w:szCs w:val="24"/>
        </w:rPr>
        <w:t xml:space="preserve">announcement of the pork </w:t>
      </w:r>
      <w:r w:rsidRPr="00220597">
        <w:rPr>
          <w:sz w:val="24"/>
          <w:szCs w:val="24"/>
        </w:rPr>
        <w:t xml:space="preserve">recall. </w:t>
      </w:r>
    </w:p>
    <w:p w14:paraId="6395E154" w14:textId="77777777" w:rsidR="009C2DF4" w:rsidRDefault="009C2DF4" w:rsidP="00500F06">
      <w:pPr>
        <w:spacing w:after="0" w:line="480" w:lineRule="auto"/>
        <w:jc w:val="both"/>
        <w:rPr>
          <w:sz w:val="24"/>
          <w:szCs w:val="24"/>
        </w:rPr>
      </w:pPr>
    </w:p>
    <w:p w14:paraId="1FFDBE3A" w14:textId="15A12F07" w:rsidR="00126982" w:rsidRDefault="00126982" w:rsidP="00500F06">
      <w:pPr>
        <w:spacing w:after="0" w:line="480" w:lineRule="auto"/>
        <w:jc w:val="both"/>
        <w:rPr>
          <w:sz w:val="24"/>
          <w:szCs w:val="24"/>
        </w:rPr>
      </w:pPr>
      <w:r>
        <w:rPr>
          <w:sz w:val="24"/>
          <w:szCs w:val="24"/>
        </w:rPr>
        <w:t xml:space="preserve">On 6 December 2008, the Irish Government declared the recall of all </w:t>
      </w:r>
      <w:r w:rsidRPr="00220597">
        <w:rPr>
          <w:sz w:val="24"/>
          <w:szCs w:val="24"/>
        </w:rPr>
        <w:t>Irish pork products</w:t>
      </w:r>
      <w:r>
        <w:rPr>
          <w:sz w:val="24"/>
          <w:szCs w:val="24"/>
        </w:rPr>
        <w:t xml:space="preserve"> from pigs that had been slaughtered since September 1</w:t>
      </w:r>
      <w:r w:rsidRPr="00EF0A1F">
        <w:rPr>
          <w:sz w:val="24"/>
          <w:szCs w:val="24"/>
          <w:vertAlign w:val="superscript"/>
        </w:rPr>
        <w:t>st</w:t>
      </w:r>
      <w:r>
        <w:rPr>
          <w:sz w:val="24"/>
          <w:szCs w:val="24"/>
        </w:rPr>
        <w:t xml:space="preserve"> 2008, due to abnormal dioxin levels found </w:t>
      </w:r>
      <w:r w:rsidRPr="00220597">
        <w:rPr>
          <w:sz w:val="24"/>
          <w:szCs w:val="24"/>
        </w:rPr>
        <w:t>during routine</w:t>
      </w:r>
      <w:r>
        <w:rPr>
          <w:sz w:val="24"/>
          <w:szCs w:val="24"/>
        </w:rPr>
        <w:t xml:space="preserve"> testing </w:t>
      </w:r>
      <w:r w:rsidRPr="00220597">
        <w:rPr>
          <w:sz w:val="24"/>
          <w:szCs w:val="24"/>
        </w:rPr>
        <w:t>(</w:t>
      </w:r>
      <w:r>
        <w:rPr>
          <w:sz w:val="24"/>
          <w:szCs w:val="24"/>
        </w:rPr>
        <w:t>Food Safety Authority of Ireland [</w:t>
      </w:r>
      <w:r w:rsidRPr="00220597">
        <w:rPr>
          <w:sz w:val="24"/>
          <w:szCs w:val="24"/>
        </w:rPr>
        <w:t>FSAI</w:t>
      </w:r>
      <w:r>
        <w:rPr>
          <w:sz w:val="24"/>
          <w:szCs w:val="24"/>
        </w:rPr>
        <w:t>]</w:t>
      </w:r>
      <w:r w:rsidRPr="00220597">
        <w:rPr>
          <w:sz w:val="24"/>
          <w:szCs w:val="24"/>
        </w:rPr>
        <w:t>, 2008a, 2008b).</w:t>
      </w:r>
      <w:r>
        <w:rPr>
          <w:sz w:val="24"/>
          <w:szCs w:val="24"/>
        </w:rPr>
        <w:t xml:space="preserve"> </w:t>
      </w:r>
      <w:r>
        <w:rPr>
          <w:sz w:val="24"/>
          <w:szCs w:val="24"/>
          <w:lang w:val="en-GB"/>
        </w:rPr>
        <w:t>Du</w:t>
      </w:r>
      <w:r w:rsidRPr="00EF0A1F">
        <w:rPr>
          <w:sz w:val="24"/>
          <w:szCs w:val="24"/>
          <w:lang w:val="en-GB"/>
        </w:rPr>
        <w:t xml:space="preserve">e to the inability to accurately trace the pork products that were contaminated, it was deemed necessary to recall </w:t>
      </w:r>
      <w:r>
        <w:rPr>
          <w:sz w:val="24"/>
          <w:szCs w:val="24"/>
          <w:lang w:val="en-GB"/>
        </w:rPr>
        <w:t xml:space="preserve">all </w:t>
      </w:r>
      <w:r w:rsidRPr="00EF0A1F">
        <w:rPr>
          <w:sz w:val="24"/>
          <w:szCs w:val="24"/>
          <w:lang w:val="en-GB"/>
        </w:rPr>
        <w:t>pork products</w:t>
      </w:r>
      <w:r>
        <w:rPr>
          <w:sz w:val="24"/>
          <w:szCs w:val="24"/>
          <w:lang w:val="en-GB"/>
        </w:rPr>
        <w:t xml:space="preserve">, highlighting significant </w:t>
      </w:r>
      <w:r w:rsidRPr="00EF0A1F">
        <w:rPr>
          <w:sz w:val="24"/>
          <w:szCs w:val="24"/>
          <w:lang w:val="en-GB"/>
        </w:rPr>
        <w:t>weakne</w:t>
      </w:r>
      <w:r>
        <w:rPr>
          <w:sz w:val="24"/>
          <w:szCs w:val="24"/>
          <w:lang w:val="en-GB"/>
        </w:rPr>
        <w:t>sses in the traceability regimen</w:t>
      </w:r>
      <w:r w:rsidRPr="00EF0A1F">
        <w:rPr>
          <w:sz w:val="24"/>
          <w:szCs w:val="24"/>
          <w:lang w:val="en-GB"/>
        </w:rPr>
        <w:t>.</w:t>
      </w:r>
      <w:r w:rsidRPr="00CC76D7">
        <w:rPr>
          <w:sz w:val="24"/>
          <w:szCs w:val="24"/>
          <w:lang w:val="en-GB"/>
        </w:rPr>
        <w:t xml:space="preserve"> </w:t>
      </w:r>
      <w:r>
        <w:rPr>
          <w:sz w:val="24"/>
          <w:szCs w:val="24"/>
          <w:lang w:val="en-GB"/>
        </w:rPr>
        <w:t xml:space="preserve">Approximately </w:t>
      </w:r>
      <w:r w:rsidRPr="00CC76D7">
        <w:rPr>
          <w:sz w:val="24"/>
          <w:szCs w:val="24"/>
          <w:lang w:val="en-GB"/>
        </w:rPr>
        <w:t>100,000 pigs were slaughtered and €125</w:t>
      </w:r>
      <w:r>
        <w:rPr>
          <w:sz w:val="24"/>
          <w:szCs w:val="24"/>
          <w:lang w:val="en-GB"/>
        </w:rPr>
        <w:t xml:space="preserve"> million</w:t>
      </w:r>
      <w:r w:rsidRPr="00CC76D7">
        <w:rPr>
          <w:sz w:val="24"/>
          <w:szCs w:val="24"/>
          <w:lang w:val="en-GB"/>
        </w:rPr>
        <w:t xml:space="preserve"> worth of pork products were withdrawn</w:t>
      </w:r>
      <w:r>
        <w:rPr>
          <w:sz w:val="24"/>
          <w:szCs w:val="24"/>
          <w:lang w:val="en-GB"/>
        </w:rPr>
        <w:t xml:space="preserve"> from the market</w:t>
      </w:r>
      <w:r w:rsidRPr="00CC76D7">
        <w:rPr>
          <w:sz w:val="24"/>
          <w:szCs w:val="24"/>
          <w:lang w:val="en-GB"/>
        </w:rPr>
        <w:t xml:space="preserve"> and destroyed</w:t>
      </w:r>
      <w:r>
        <w:rPr>
          <w:sz w:val="24"/>
          <w:szCs w:val="24"/>
          <w:lang w:val="en-GB"/>
        </w:rPr>
        <w:t>.</w:t>
      </w:r>
      <w:r w:rsidRPr="00EF0A1F">
        <w:rPr>
          <w:sz w:val="24"/>
          <w:szCs w:val="24"/>
          <w:lang w:val="en-GB"/>
        </w:rPr>
        <w:t xml:space="preserve"> </w:t>
      </w:r>
      <w:r>
        <w:rPr>
          <w:sz w:val="24"/>
          <w:szCs w:val="24"/>
          <w:lang w:val="en-GB"/>
        </w:rPr>
        <w:t>C</w:t>
      </w:r>
      <w:r w:rsidRPr="000E2B6B">
        <w:rPr>
          <w:sz w:val="24"/>
          <w:szCs w:val="24"/>
          <w:lang w:val="en-GB"/>
        </w:rPr>
        <w:t>ustomers were advised to return recently</w:t>
      </w:r>
      <w:r>
        <w:rPr>
          <w:sz w:val="24"/>
          <w:szCs w:val="24"/>
          <w:lang w:val="en-GB"/>
        </w:rPr>
        <w:t xml:space="preserve"> purchased</w:t>
      </w:r>
      <w:r w:rsidRPr="000E2B6B">
        <w:rPr>
          <w:sz w:val="24"/>
          <w:szCs w:val="24"/>
          <w:lang w:val="en-GB"/>
        </w:rPr>
        <w:t xml:space="preserve"> pork products to the </w:t>
      </w:r>
      <w:r>
        <w:rPr>
          <w:sz w:val="24"/>
          <w:szCs w:val="24"/>
          <w:lang w:val="en-GB"/>
        </w:rPr>
        <w:t>point of sale for safe disposal and refund</w:t>
      </w:r>
      <w:r w:rsidRPr="000E2B6B">
        <w:rPr>
          <w:sz w:val="24"/>
          <w:szCs w:val="24"/>
          <w:lang w:val="en-GB"/>
        </w:rPr>
        <w:t xml:space="preserve">. </w:t>
      </w:r>
      <w:r w:rsidRPr="00220597">
        <w:rPr>
          <w:sz w:val="24"/>
          <w:szCs w:val="24"/>
        </w:rPr>
        <w:t xml:space="preserve">The animal feed was subsequently also found to have been fed to cattle and thus, higher than normal </w:t>
      </w:r>
      <w:r w:rsidRPr="00220597">
        <w:rPr>
          <w:sz w:val="24"/>
          <w:szCs w:val="24"/>
        </w:rPr>
        <w:lastRenderedPageBreak/>
        <w:t xml:space="preserve">dioxin levels were also found in beef products. However, it was determined that these levels were not sufficiently high as to warrant a beef recall. </w:t>
      </w:r>
    </w:p>
    <w:p w14:paraId="07F23FCA" w14:textId="77777777" w:rsidR="009C2DF4" w:rsidRDefault="009C2DF4" w:rsidP="00500F06">
      <w:pPr>
        <w:spacing w:after="0" w:line="480" w:lineRule="auto"/>
        <w:jc w:val="both"/>
        <w:rPr>
          <w:sz w:val="24"/>
          <w:szCs w:val="24"/>
        </w:rPr>
      </w:pPr>
    </w:p>
    <w:p w14:paraId="647769A6" w14:textId="77777777" w:rsidR="00126982" w:rsidRPr="003C6ABD" w:rsidRDefault="00126982" w:rsidP="00500F06">
      <w:pPr>
        <w:spacing w:after="0" w:line="480" w:lineRule="auto"/>
        <w:jc w:val="both"/>
        <w:rPr>
          <w:sz w:val="24"/>
          <w:szCs w:val="24"/>
        </w:rPr>
      </w:pPr>
      <w:r w:rsidRPr="00220597">
        <w:rPr>
          <w:sz w:val="24"/>
          <w:szCs w:val="24"/>
        </w:rPr>
        <w:t>The pork industry is ranked 4</w:t>
      </w:r>
      <w:r w:rsidRPr="00220597">
        <w:rPr>
          <w:sz w:val="24"/>
          <w:szCs w:val="24"/>
          <w:vertAlign w:val="superscript"/>
        </w:rPr>
        <w:t>th</w:t>
      </w:r>
      <w:r w:rsidRPr="00220597">
        <w:rPr>
          <w:sz w:val="24"/>
          <w:szCs w:val="24"/>
        </w:rPr>
        <w:t xml:space="preserve"> in Ireland’s agriculture sector and </w:t>
      </w:r>
      <w:r>
        <w:rPr>
          <w:sz w:val="24"/>
          <w:szCs w:val="24"/>
        </w:rPr>
        <w:t xml:space="preserve">according </w:t>
      </w:r>
      <w:r>
        <w:rPr>
          <w:sz w:val="24"/>
          <w:szCs w:val="24"/>
          <w:lang w:val="en-GB"/>
        </w:rPr>
        <w:t>to official figures, in</w:t>
      </w:r>
      <w:r>
        <w:rPr>
          <w:sz w:val="24"/>
          <w:szCs w:val="24"/>
        </w:rPr>
        <w:t xml:space="preserve"> 2008 the Irish agrifood industry had annual exports valued at €8.2 billion</w:t>
      </w:r>
      <w:r w:rsidRPr="007D640F">
        <w:rPr>
          <w:sz w:val="24"/>
          <w:szCs w:val="24"/>
        </w:rPr>
        <w:t xml:space="preserve">, representing 10% of Ireland’s exports and </w:t>
      </w:r>
      <w:r>
        <w:rPr>
          <w:sz w:val="24"/>
          <w:szCs w:val="24"/>
        </w:rPr>
        <w:t xml:space="preserve">8.5% of Ireland’s workforce </w:t>
      </w:r>
      <w:r w:rsidRPr="007D640F">
        <w:rPr>
          <w:sz w:val="24"/>
          <w:szCs w:val="24"/>
        </w:rPr>
        <w:t>(Department of Agricul</w:t>
      </w:r>
      <w:r>
        <w:rPr>
          <w:sz w:val="24"/>
          <w:szCs w:val="24"/>
        </w:rPr>
        <w:t>ture, Fisheries and Food, 2009). T</w:t>
      </w:r>
      <w:r w:rsidRPr="007D640F">
        <w:rPr>
          <w:sz w:val="24"/>
          <w:szCs w:val="24"/>
        </w:rPr>
        <w:t>herefore, the dioxin crisis had significant implications for Ireland’s economy, the international reputation of the Irish agricultural sector, as well as presenting concerns for human health.</w:t>
      </w:r>
      <w:r>
        <w:rPr>
          <w:sz w:val="24"/>
          <w:szCs w:val="24"/>
        </w:rPr>
        <w:t xml:space="preserve"> </w:t>
      </w:r>
      <w:r>
        <w:rPr>
          <w:sz w:val="24"/>
          <w:szCs w:val="24"/>
          <w:lang w:val="en-GB"/>
        </w:rPr>
        <w:t>On December 9</w:t>
      </w:r>
      <w:r w:rsidRPr="00AC1AC3">
        <w:rPr>
          <w:sz w:val="24"/>
          <w:szCs w:val="24"/>
          <w:vertAlign w:val="superscript"/>
          <w:lang w:val="en-GB"/>
        </w:rPr>
        <w:t>th</w:t>
      </w:r>
      <w:r>
        <w:rPr>
          <w:sz w:val="24"/>
          <w:szCs w:val="24"/>
          <w:lang w:val="en-GB"/>
        </w:rPr>
        <w:t xml:space="preserve"> 2008 the European Food Safety Agency confirmed results of testing which indicated the contamination presented no significant health risk to the public and on December 11</w:t>
      </w:r>
      <w:r w:rsidRPr="00EF0A1F">
        <w:rPr>
          <w:sz w:val="24"/>
          <w:szCs w:val="24"/>
          <w:vertAlign w:val="superscript"/>
          <w:lang w:val="en-GB"/>
        </w:rPr>
        <w:t>th</w:t>
      </w:r>
      <w:r>
        <w:rPr>
          <w:sz w:val="24"/>
          <w:szCs w:val="24"/>
          <w:lang w:val="en-GB"/>
        </w:rPr>
        <w:t xml:space="preserve">, five days after the initial recall, pork products returned to the market. In the weeks following, the Irish Government introduced a €200 million compensation package for the Irish pork industry, funded by the Irish taxpayer. </w:t>
      </w:r>
      <w:r>
        <w:rPr>
          <w:sz w:val="24"/>
          <w:szCs w:val="24"/>
        </w:rPr>
        <w:t>Subsequent</w:t>
      </w:r>
      <w:r w:rsidRPr="003C6ABD">
        <w:rPr>
          <w:sz w:val="24"/>
          <w:szCs w:val="24"/>
        </w:rPr>
        <w:t xml:space="preserve"> investigation</w:t>
      </w:r>
      <w:r>
        <w:rPr>
          <w:sz w:val="24"/>
          <w:szCs w:val="24"/>
        </w:rPr>
        <w:t>s</w:t>
      </w:r>
      <w:r w:rsidRPr="003C6ABD">
        <w:rPr>
          <w:sz w:val="24"/>
          <w:szCs w:val="24"/>
        </w:rPr>
        <w:t xml:space="preserve"> determined that the food recycling plant at the centre of the crisis had used oil that was not appropriate for the manufacture of animal feed and thus, led t</w:t>
      </w:r>
      <w:r>
        <w:rPr>
          <w:sz w:val="24"/>
          <w:szCs w:val="24"/>
        </w:rPr>
        <w:t xml:space="preserve">o the higher than normal </w:t>
      </w:r>
      <w:r w:rsidRPr="003C6ABD">
        <w:rPr>
          <w:sz w:val="24"/>
          <w:szCs w:val="24"/>
        </w:rPr>
        <w:t>dioxin</w:t>
      </w:r>
      <w:r>
        <w:rPr>
          <w:sz w:val="24"/>
          <w:szCs w:val="24"/>
        </w:rPr>
        <w:t xml:space="preserve"> level</w:t>
      </w:r>
      <w:r w:rsidRPr="003C6ABD">
        <w:rPr>
          <w:sz w:val="24"/>
          <w:szCs w:val="24"/>
        </w:rPr>
        <w:t xml:space="preserve">s. </w:t>
      </w:r>
      <w:r>
        <w:rPr>
          <w:sz w:val="24"/>
          <w:szCs w:val="24"/>
        </w:rPr>
        <w:t xml:space="preserve">The dioxin crisis </w:t>
      </w:r>
      <w:r w:rsidRPr="00220597">
        <w:rPr>
          <w:sz w:val="24"/>
          <w:szCs w:val="24"/>
        </w:rPr>
        <w:t>received global media attention and was a matter of considerable debate.</w:t>
      </w:r>
    </w:p>
    <w:p w14:paraId="7385EDEA" w14:textId="77777777" w:rsidR="009C2DF4" w:rsidRDefault="009C2DF4" w:rsidP="00500F06">
      <w:pPr>
        <w:spacing w:after="0" w:line="480" w:lineRule="auto"/>
        <w:jc w:val="both"/>
        <w:rPr>
          <w:sz w:val="24"/>
          <w:szCs w:val="24"/>
        </w:rPr>
      </w:pPr>
    </w:p>
    <w:p w14:paraId="541CE716" w14:textId="77777777" w:rsidR="00126982" w:rsidRDefault="00126982" w:rsidP="00500F06">
      <w:pPr>
        <w:spacing w:after="0" w:line="480" w:lineRule="auto"/>
        <w:jc w:val="both"/>
        <w:rPr>
          <w:sz w:val="24"/>
          <w:szCs w:val="24"/>
        </w:rPr>
      </w:pPr>
      <w:r>
        <w:rPr>
          <w:sz w:val="24"/>
          <w:szCs w:val="24"/>
        </w:rPr>
        <w:t>P</w:t>
      </w:r>
      <w:r w:rsidRPr="00220597">
        <w:rPr>
          <w:sz w:val="24"/>
          <w:szCs w:val="24"/>
        </w:rPr>
        <w:t xml:space="preserve">revious research has </w:t>
      </w:r>
      <w:r>
        <w:rPr>
          <w:sz w:val="24"/>
          <w:szCs w:val="24"/>
        </w:rPr>
        <w:t>illustrated</w:t>
      </w:r>
      <w:r w:rsidRPr="00220597">
        <w:rPr>
          <w:sz w:val="24"/>
          <w:szCs w:val="24"/>
        </w:rPr>
        <w:t xml:space="preserve"> that </w:t>
      </w:r>
      <w:r>
        <w:rPr>
          <w:sz w:val="24"/>
          <w:szCs w:val="24"/>
        </w:rPr>
        <w:t xml:space="preserve">the way the </w:t>
      </w:r>
      <w:r w:rsidRPr="00220597">
        <w:rPr>
          <w:sz w:val="24"/>
          <w:szCs w:val="24"/>
        </w:rPr>
        <w:t xml:space="preserve">media </w:t>
      </w:r>
      <w:r>
        <w:rPr>
          <w:sz w:val="24"/>
          <w:szCs w:val="24"/>
        </w:rPr>
        <w:t xml:space="preserve">portray </w:t>
      </w:r>
      <w:r w:rsidRPr="00220597">
        <w:rPr>
          <w:sz w:val="24"/>
          <w:szCs w:val="24"/>
        </w:rPr>
        <w:t xml:space="preserve">food and nutrition-related issues and events can have implications for consumer behaviour and beliefs (Barry, </w:t>
      </w:r>
      <w:proofErr w:type="spellStart"/>
      <w:r w:rsidRPr="00220597">
        <w:rPr>
          <w:sz w:val="24"/>
          <w:szCs w:val="24"/>
        </w:rPr>
        <w:t>Brescoll</w:t>
      </w:r>
      <w:proofErr w:type="spellEnd"/>
      <w:r w:rsidRPr="00220597">
        <w:rPr>
          <w:sz w:val="24"/>
          <w:szCs w:val="24"/>
        </w:rPr>
        <w:t xml:space="preserve">, &amp; </w:t>
      </w:r>
      <w:proofErr w:type="spellStart"/>
      <w:r w:rsidRPr="00220597">
        <w:rPr>
          <w:sz w:val="24"/>
          <w:szCs w:val="24"/>
        </w:rPr>
        <w:t>Gollust</w:t>
      </w:r>
      <w:proofErr w:type="spellEnd"/>
      <w:r w:rsidRPr="00220597">
        <w:rPr>
          <w:sz w:val="24"/>
          <w:szCs w:val="24"/>
        </w:rPr>
        <w:t xml:space="preserve">, 2013; Cho &amp; Gower, 2006; </w:t>
      </w:r>
      <w:proofErr w:type="spellStart"/>
      <w:r w:rsidRPr="00220597">
        <w:rPr>
          <w:sz w:val="24"/>
          <w:szCs w:val="24"/>
        </w:rPr>
        <w:t>Verbeke</w:t>
      </w:r>
      <w:proofErr w:type="spellEnd"/>
      <w:r w:rsidRPr="00220597">
        <w:rPr>
          <w:sz w:val="24"/>
          <w:szCs w:val="24"/>
        </w:rPr>
        <w:t xml:space="preserve">, </w:t>
      </w:r>
      <w:proofErr w:type="spellStart"/>
      <w:r w:rsidRPr="00220597">
        <w:rPr>
          <w:sz w:val="24"/>
          <w:szCs w:val="24"/>
        </w:rPr>
        <w:t>Viaene</w:t>
      </w:r>
      <w:proofErr w:type="spellEnd"/>
      <w:r w:rsidRPr="00220597">
        <w:rPr>
          <w:sz w:val="24"/>
          <w:szCs w:val="24"/>
        </w:rPr>
        <w:t xml:space="preserve">, &amp; </w:t>
      </w:r>
      <w:proofErr w:type="spellStart"/>
      <w:r w:rsidRPr="00220597">
        <w:rPr>
          <w:sz w:val="24"/>
          <w:szCs w:val="24"/>
        </w:rPr>
        <w:t>Guiot</w:t>
      </w:r>
      <w:proofErr w:type="spellEnd"/>
      <w:r w:rsidRPr="00220597">
        <w:rPr>
          <w:sz w:val="24"/>
          <w:szCs w:val="24"/>
        </w:rPr>
        <w:t xml:space="preserve">, 1999). </w:t>
      </w:r>
      <w:r>
        <w:rPr>
          <w:sz w:val="24"/>
          <w:szCs w:val="24"/>
        </w:rPr>
        <w:t xml:space="preserve">Framing theory posits that how an issue or story is communicated by the media </w:t>
      </w:r>
      <w:r w:rsidRPr="007D640F">
        <w:rPr>
          <w:sz w:val="24"/>
          <w:szCs w:val="24"/>
        </w:rPr>
        <w:t>can have significant implications for audience understandings</w:t>
      </w:r>
      <w:r>
        <w:rPr>
          <w:sz w:val="24"/>
          <w:szCs w:val="24"/>
        </w:rPr>
        <w:t xml:space="preserve"> (Entman, 1993, 2004). The media may engage in issue framing through increasing the salience of an interpretation of an event/problem or by promoting a certain perspective on an issue (Entman, 2004). </w:t>
      </w:r>
      <w:r w:rsidRPr="007D640F">
        <w:rPr>
          <w:sz w:val="24"/>
          <w:szCs w:val="24"/>
        </w:rPr>
        <w:t xml:space="preserve">Due to the reliance of the public </w:t>
      </w:r>
      <w:r w:rsidRPr="007D640F">
        <w:rPr>
          <w:sz w:val="24"/>
          <w:szCs w:val="24"/>
        </w:rPr>
        <w:lastRenderedPageBreak/>
        <w:t xml:space="preserve">on the media for health and food risk news (Eyck, 2000; Hargreaves, Lewis, &amp; Spears, 2003; Lupton, 1999; </w:t>
      </w:r>
      <w:proofErr w:type="spellStart"/>
      <w:r w:rsidRPr="007D640F">
        <w:rPr>
          <w:i/>
          <w:sz w:val="24"/>
          <w:szCs w:val="24"/>
        </w:rPr>
        <w:t>safe</w:t>
      </w:r>
      <w:r>
        <w:rPr>
          <w:sz w:val="24"/>
          <w:szCs w:val="24"/>
        </w:rPr>
        <w:t>food</w:t>
      </w:r>
      <w:proofErr w:type="spellEnd"/>
      <w:r>
        <w:rPr>
          <w:sz w:val="24"/>
          <w:szCs w:val="24"/>
        </w:rPr>
        <w:t>, 2012), the media offers a valuable research site to</w:t>
      </w:r>
      <w:r w:rsidRPr="007D640F">
        <w:rPr>
          <w:sz w:val="24"/>
          <w:szCs w:val="24"/>
        </w:rPr>
        <w:t xml:space="preserve"> </w:t>
      </w:r>
      <w:r>
        <w:rPr>
          <w:sz w:val="24"/>
          <w:szCs w:val="24"/>
        </w:rPr>
        <w:t>provide insight into</w:t>
      </w:r>
      <w:r w:rsidRPr="007D640F">
        <w:rPr>
          <w:sz w:val="24"/>
          <w:szCs w:val="24"/>
        </w:rPr>
        <w:t xml:space="preserve"> how an issue or risk has been </w:t>
      </w:r>
      <w:r>
        <w:rPr>
          <w:sz w:val="24"/>
          <w:szCs w:val="24"/>
        </w:rPr>
        <w:t>understood by the public</w:t>
      </w:r>
      <w:r w:rsidRPr="007D640F">
        <w:rPr>
          <w:sz w:val="24"/>
          <w:szCs w:val="24"/>
        </w:rPr>
        <w:t xml:space="preserve">. </w:t>
      </w:r>
      <w:r>
        <w:rPr>
          <w:sz w:val="24"/>
          <w:szCs w:val="24"/>
        </w:rPr>
        <w:t xml:space="preserve">The Irish dioxin </w:t>
      </w:r>
      <w:r w:rsidRPr="007D640F">
        <w:rPr>
          <w:sz w:val="24"/>
          <w:szCs w:val="24"/>
        </w:rPr>
        <w:t>crisis has been considered by both academics (</w:t>
      </w:r>
      <w:r>
        <w:rPr>
          <w:sz w:val="24"/>
          <w:szCs w:val="24"/>
        </w:rPr>
        <w:t>Casey, Lawless, &amp; Wall</w:t>
      </w:r>
      <w:r w:rsidRPr="00131B34">
        <w:rPr>
          <w:sz w:val="24"/>
          <w:szCs w:val="24"/>
        </w:rPr>
        <w:t>, 2010; Jacob et al., 2011</w:t>
      </w:r>
      <w:r>
        <w:rPr>
          <w:sz w:val="24"/>
          <w:szCs w:val="24"/>
        </w:rPr>
        <w:t>; Kennedy</w:t>
      </w:r>
      <w:r w:rsidRPr="007D640F">
        <w:rPr>
          <w:sz w:val="24"/>
          <w:szCs w:val="24"/>
        </w:rPr>
        <w:t xml:space="preserve"> </w:t>
      </w:r>
      <w:r>
        <w:rPr>
          <w:sz w:val="24"/>
          <w:szCs w:val="24"/>
        </w:rPr>
        <w:t>et al.</w:t>
      </w:r>
      <w:r w:rsidRPr="007D640F">
        <w:rPr>
          <w:sz w:val="24"/>
          <w:szCs w:val="24"/>
        </w:rPr>
        <w:t xml:space="preserve">, 2010) and practitioners </w:t>
      </w:r>
      <w:r>
        <w:rPr>
          <w:noProof/>
          <w:sz w:val="24"/>
          <w:szCs w:val="24"/>
        </w:rPr>
        <w:t>(European Food Safety Authority and national food safety organisations in Europe, 2012)</w:t>
      </w:r>
      <w:r w:rsidRPr="007D640F">
        <w:rPr>
          <w:sz w:val="24"/>
          <w:szCs w:val="24"/>
        </w:rPr>
        <w:t xml:space="preserve"> as a classic case study of risk management and communication in times of</w:t>
      </w:r>
      <w:r>
        <w:rPr>
          <w:sz w:val="24"/>
          <w:szCs w:val="24"/>
        </w:rPr>
        <w:t xml:space="preserve"> a food contamination incident. </w:t>
      </w:r>
    </w:p>
    <w:p w14:paraId="7B62C4D8" w14:textId="77777777" w:rsidR="0054234D" w:rsidRDefault="0054234D" w:rsidP="0054234D">
      <w:pPr>
        <w:spacing w:after="0" w:line="480" w:lineRule="auto"/>
        <w:jc w:val="both"/>
        <w:rPr>
          <w:sz w:val="24"/>
          <w:szCs w:val="24"/>
        </w:rPr>
      </w:pPr>
    </w:p>
    <w:p w14:paraId="73DA1267" w14:textId="77777777" w:rsidR="00126982" w:rsidRDefault="00126982" w:rsidP="0054234D">
      <w:pPr>
        <w:spacing w:after="0" w:line="480" w:lineRule="auto"/>
        <w:jc w:val="both"/>
        <w:rPr>
          <w:sz w:val="24"/>
          <w:szCs w:val="24"/>
        </w:rPr>
      </w:pPr>
      <w:r>
        <w:rPr>
          <w:sz w:val="24"/>
          <w:szCs w:val="24"/>
        </w:rPr>
        <w:t xml:space="preserve">Research suggests that previous dioxin food contamination events have had a lasting impact on the public and the risk posed by dioxins are still considered significant by the public </w:t>
      </w:r>
      <w:r w:rsidRPr="007D640F">
        <w:rPr>
          <w:noProof/>
          <w:sz w:val="24"/>
          <w:szCs w:val="24"/>
        </w:rPr>
        <w:t>(</w:t>
      </w:r>
      <w:r w:rsidRPr="00B035FE">
        <w:rPr>
          <w:i/>
          <w:noProof/>
          <w:sz w:val="24"/>
          <w:szCs w:val="24"/>
        </w:rPr>
        <w:t>safe</w:t>
      </w:r>
      <w:r w:rsidRPr="007D640F">
        <w:rPr>
          <w:noProof/>
          <w:sz w:val="24"/>
          <w:szCs w:val="24"/>
        </w:rPr>
        <w:t>food, 2012)</w:t>
      </w:r>
      <w:r w:rsidRPr="007D640F">
        <w:rPr>
          <w:sz w:val="24"/>
          <w:szCs w:val="24"/>
        </w:rPr>
        <w:t>.</w:t>
      </w:r>
      <w:r>
        <w:rPr>
          <w:sz w:val="24"/>
          <w:szCs w:val="24"/>
        </w:rPr>
        <w:t xml:space="preserve"> Despite </w:t>
      </w:r>
      <w:r w:rsidRPr="007D640F">
        <w:rPr>
          <w:sz w:val="24"/>
          <w:szCs w:val="24"/>
        </w:rPr>
        <w:t>the widespread impact</w:t>
      </w:r>
      <w:r>
        <w:rPr>
          <w:sz w:val="24"/>
          <w:szCs w:val="24"/>
        </w:rPr>
        <w:t xml:space="preserve"> of the dioxin crisis and its subsequent characterisation as a “</w:t>
      </w:r>
      <w:r w:rsidRPr="009F7E3F">
        <w:rPr>
          <w:sz w:val="24"/>
          <w:szCs w:val="24"/>
        </w:rPr>
        <w:t>media-facilitated</w:t>
      </w:r>
      <w:r>
        <w:rPr>
          <w:sz w:val="24"/>
          <w:szCs w:val="24"/>
        </w:rPr>
        <w:t>”</w:t>
      </w:r>
      <w:r w:rsidRPr="009F7E3F">
        <w:rPr>
          <w:sz w:val="24"/>
          <w:szCs w:val="24"/>
        </w:rPr>
        <w:t xml:space="preserve"> </w:t>
      </w:r>
      <w:r>
        <w:rPr>
          <w:sz w:val="24"/>
          <w:szCs w:val="24"/>
        </w:rPr>
        <w:t>event (Jacob</w:t>
      </w:r>
      <w:r w:rsidRPr="006A1A46">
        <w:rPr>
          <w:sz w:val="24"/>
          <w:szCs w:val="24"/>
        </w:rPr>
        <w:t xml:space="preserve"> </w:t>
      </w:r>
      <w:r>
        <w:rPr>
          <w:sz w:val="24"/>
          <w:szCs w:val="24"/>
        </w:rPr>
        <w:t>et al.</w:t>
      </w:r>
      <w:r w:rsidRPr="006A1A46">
        <w:rPr>
          <w:sz w:val="24"/>
          <w:szCs w:val="24"/>
        </w:rPr>
        <w:t>, 2001, p. 262</w:t>
      </w:r>
      <w:r>
        <w:rPr>
          <w:sz w:val="24"/>
          <w:szCs w:val="24"/>
        </w:rPr>
        <w:t>), relatively little attention h</w:t>
      </w:r>
      <w:r w:rsidRPr="007D640F">
        <w:rPr>
          <w:sz w:val="24"/>
          <w:szCs w:val="24"/>
        </w:rPr>
        <w:t>as focused on how the media por</w:t>
      </w:r>
      <w:r>
        <w:rPr>
          <w:sz w:val="24"/>
          <w:szCs w:val="24"/>
        </w:rPr>
        <w:t xml:space="preserve">trayed and </w:t>
      </w:r>
      <w:r w:rsidRPr="00094242">
        <w:rPr>
          <w:sz w:val="24"/>
          <w:szCs w:val="24"/>
        </w:rPr>
        <w:t>framed</w:t>
      </w:r>
      <w:r>
        <w:rPr>
          <w:sz w:val="24"/>
          <w:szCs w:val="24"/>
        </w:rPr>
        <w:t xml:space="preserve"> this incident to the public (</w:t>
      </w:r>
      <w:r w:rsidRPr="00CF21C4">
        <w:rPr>
          <w:sz w:val="24"/>
          <w:szCs w:val="24"/>
        </w:rPr>
        <w:t xml:space="preserve">Shan, Regan, De Brún, Barnett, van der Sanden, Wall, &amp; </w:t>
      </w:r>
      <w:proofErr w:type="spellStart"/>
      <w:r w:rsidRPr="00CF21C4">
        <w:rPr>
          <w:sz w:val="24"/>
          <w:szCs w:val="24"/>
        </w:rPr>
        <w:t>McConnon</w:t>
      </w:r>
      <w:proofErr w:type="spellEnd"/>
      <w:r w:rsidRPr="00CF21C4">
        <w:rPr>
          <w:sz w:val="24"/>
          <w:szCs w:val="24"/>
        </w:rPr>
        <w:t>, 2013</w:t>
      </w:r>
      <w:r>
        <w:rPr>
          <w:sz w:val="24"/>
          <w:szCs w:val="24"/>
        </w:rPr>
        <w:t xml:space="preserve">). </w:t>
      </w:r>
      <w:r w:rsidRPr="007D640F">
        <w:rPr>
          <w:sz w:val="24"/>
          <w:szCs w:val="24"/>
        </w:rPr>
        <w:t xml:space="preserve">This is a significant research gap, as it is widely held that how an issue is </w:t>
      </w:r>
      <w:r>
        <w:rPr>
          <w:sz w:val="24"/>
          <w:szCs w:val="24"/>
        </w:rPr>
        <w:t>portrayed or ‘framed’</w:t>
      </w:r>
      <w:r w:rsidRPr="007D640F">
        <w:rPr>
          <w:sz w:val="24"/>
          <w:szCs w:val="24"/>
        </w:rPr>
        <w:t xml:space="preserve"> in the media can play a significant role in shaping public perceptions and beliefs</w:t>
      </w:r>
      <w:r>
        <w:rPr>
          <w:sz w:val="24"/>
          <w:szCs w:val="24"/>
        </w:rPr>
        <w:t xml:space="preserve"> </w:t>
      </w:r>
      <w:r w:rsidRPr="007D640F">
        <w:rPr>
          <w:noProof/>
          <w:sz w:val="24"/>
          <w:szCs w:val="24"/>
        </w:rPr>
        <w:t>(Entman, 1989, 1993; Nelson &amp; Oxley, 1999; Scheufele, 1999)</w:t>
      </w:r>
      <w:r w:rsidRPr="007D640F">
        <w:rPr>
          <w:sz w:val="24"/>
          <w:szCs w:val="24"/>
        </w:rPr>
        <w:t xml:space="preserve">. Therefore, this study addresses this </w:t>
      </w:r>
      <w:r>
        <w:rPr>
          <w:sz w:val="24"/>
          <w:szCs w:val="24"/>
        </w:rPr>
        <w:t xml:space="preserve">gap </w:t>
      </w:r>
      <w:r w:rsidRPr="007D640F">
        <w:rPr>
          <w:sz w:val="24"/>
          <w:szCs w:val="24"/>
        </w:rPr>
        <w:t xml:space="preserve">by </w:t>
      </w:r>
      <w:r>
        <w:rPr>
          <w:sz w:val="24"/>
          <w:szCs w:val="24"/>
        </w:rPr>
        <w:t xml:space="preserve">conducting a quantitative content analysis to understand and compare how the </w:t>
      </w:r>
      <w:r w:rsidRPr="007D640F">
        <w:rPr>
          <w:sz w:val="24"/>
          <w:szCs w:val="24"/>
        </w:rPr>
        <w:t xml:space="preserve">Irish dioxin </w:t>
      </w:r>
      <w:r>
        <w:rPr>
          <w:sz w:val="24"/>
          <w:szCs w:val="24"/>
        </w:rPr>
        <w:t>crisis was presented and framed by the</w:t>
      </w:r>
      <w:r w:rsidRPr="007D640F">
        <w:rPr>
          <w:sz w:val="24"/>
          <w:szCs w:val="24"/>
        </w:rPr>
        <w:t xml:space="preserve"> print media in two countries affected by the crisis; the Republic of Ireland and the United Kingdom</w:t>
      </w:r>
      <w:r>
        <w:rPr>
          <w:sz w:val="24"/>
          <w:szCs w:val="24"/>
        </w:rPr>
        <w:t xml:space="preserve"> (UK)</w:t>
      </w:r>
      <w:r w:rsidRPr="007D640F">
        <w:rPr>
          <w:sz w:val="24"/>
          <w:szCs w:val="24"/>
        </w:rPr>
        <w:t>.</w:t>
      </w:r>
      <w:r>
        <w:rPr>
          <w:sz w:val="24"/>
          <w:szCs w:val="24"/>
        </w:rPr>
        <w:t xml:space="preserve"> The aim of this analysis was to address two research questions regarding the framing of the dioxin crisis. Firstly, an overview of the coverage of the crisis is of interest.</w:t>
      </w:r>
    </w:p>
    <w:p w14:paraId="1000EA57" w14:textId="77777777" w:rsidR="00126982" w:rsidRDefault="00126982" w:rsidP="00500F06">
      <w:pPr>
        <w:spacing w:after="0" w:line="480" w:lineRule="auto"/>
        <w:ind w:firstLine="720"/>
        <w:jc w:val="both"/>
        <w:rPr>
          <w:sz w:val="24"/>
          <w:szCs w:val="24"/>
        </w:rPr>
      </w:pPr>
      <w:r>
        <w:rPr>
          <w:sz w:val="24"/>
          <w:szCs w:val="24"/>
        </w:rPr>
        <w:t>RQ1: How did newsprint media portray the Irish dioxin crisis?</w:t>
      </w:r>
    </w:p>
    <w:p w14:paraId="53D8BADE" w14:textId="77777777" w:rsidR="00FF7D39" w:rsidRDefault="00FF7D39" w:rsidP="00500F06">
      <w:pPr>
        <w:spacing w:after="0" w:line="480" w:lineRule="auto"/>
        <w:jc w:val="both"/>
        <w:rPr>
          <w:sz w:val="24"/>
          <w:szCs w:val="24"/>
        </w:rPr>
      </w:pPr>
    </w:p>
    <w:p w14:paraId="0E2AB4E5" w14:textId="04D5A0ED" w:rsidR="00126982" w:rsidRPr="007F343A" w:rsidRDefault="00126982" w:rsidP="00500F06">
      <w:pPr>
        <w:spacing w:after="0" w:line="480" w:lineRule="auto"/>
        <w:jc w:val="both"/>
        <w:rPr>
          <w:sz w:val="24"/>
          <w:szCs w:val="24"/>
        </w:rPr>
      </w:pPr>
      <w:r w:rsidRPr="002C5A61">
        <w:rPr>
          <w:sz w:val="24"/>
          <w:szCs w:val="24"/>
        </w:rPr>
        <w:lastRenderedPageBreak/>
        <w:t xml:space="preserve">Shan et al. (2013) found that </w:t>
      </w:r>
      <w:r>
        <w:rPr>
          <w:sz w:val="24"/>
          <w:szCs w:val="24"/>
        </w:rPr>
        <w:t xml:space="preserve">traditional and social media data sets differed </w:t>
      </w:r>
      <w:r w:rsidRPr="002C5A61">
        <w:rPr>
          <w:sz w:val="24"/>
          <w:szCs w:val="24"/>
        </w:rPr>
        <w:t>in the</w:t>
      </w:r>
      <w:r>
        <w:rPr>
          <w:sz w:val="24"/>
          <w:szCs w:val="24"/>
        </w:rPr>
        <w:t>ir</w:t>
      </w:r>
      <w:r w:rsidRPr="002C5A61">
        <w:rPr>
          <w:sz w:val="24"/>
          <w:szCs w:val="24"/>
        </w:rPr>
        <w:t xml:space="preserve"> a</w:t>
      </w:r>
      <w:r>
        <w:rPr>
          <w:sz w:val="24"/>
          <w:szCs w:val="24"/>
        </w:rPr>
        <w:t>nalyse</w:t>
      </w:r>
      <w:r w:rsidRPr="002C5A61">
        <w:rPr>
          <w:sz w:val="24"/>
          <w:szCs w:val="24"/>
        </w:rPr>
        <w:t>s and portrayal</w:t>
      </w:r>
      <w:r>
        <w:rPr>
          <w:sz w:val="24"/>
          <w:szCs w:val="24"/>
        </w:rPr>
        <w:t>s</w:t>
      </w:r>
      <w:r w:rsidRPr="002C5A61">
        <w:rPr>
          <w:sz w:val="24"/>
          <w:szCs w:val="24"/>
        </w:rPr>
        <w:t xml:space="preserve"> of the </w:t>
      </w:r>
      <w:r>
        <w:rPr>
          <w:sz w:val="24"/>
          <w:szCs w:val="24"/>
        </w:rPr>
        <w:t xml:space="preserve">dioxin </w:t>
      </w:r>
      <w:r w:rsidRPr="002C5A61">
        <w:rPr>
          <w:sz w:val="24"/>
          <w:szCs w:val="24"/>
        </w:rPr>
        <w:t>crisis,</w:t>
      </w:r>
      <w:r>
        <w:rPr>
          <w:sz w:val="24"/>
          <w:szCs w:val="24"/>
        </w:rPr>
        <w:t xml:space="preserve"> as indicated</w:t>
      </w:r>
      <w:r w:rsidRPr="002C5A61">
        <w:rPr>
          <w:sz w:val="24"/>
          <w:szCs w:val="24"/>
        </w:rPr>
        <w:t xml:space="preserve"> </w:t>
      </w:r>
      <w:r w:rsidRPr="002C5A61">
        <w:rPr>
          <w:rFonts w:eastAsia="Times New Roman"/>
          <w:sz w:val="24"/>
          <w:szCs w:val="24"/>
          <w:lang w:val="en-GB" w:eastAsia="en-GB"/>
        </w:rPr>
        <w:t xml:space="preserve">by </w:t>
      </w:r>
      <w:r>
        <w:rPr>
          <w:rFonts w:eastAsia="Times New Roman"/>
          <w:sz w:val="24"/>
          <w:szCs w:val="24"/>
          <w:lang w:val="en-GB" w:eastAsia="en-GB"/>
        </w:rPr>
        <w:t xml:space="preserve">their respective </w:t>
      </w:r>
      <w:r w:rsidRPr="002C5A61">
        <w:rPr>
          <w:rFonts w:eastAsia="Times New Roman"/>
          <w:sz w:val="24"/>
          <w:szCs w:val="24"/>
          <w:lang w:val="en-GB" w:eastAsia="en-GB"/>
        </w:rPr>
        <w:t>e</w:t>
      </w:r>
      <w:r>
        <w:rPr>
          <w:rFonts w:eastAsia="Times New Roman"/>
          <w:sz w:val="24"/>
          <w:szCs w:val="24"/>
          <w:lang w:val="en-GB" w:eastAsia="en-GB"/>
        </w:rPr>
        <w:t>mphasis and exclusion of</w:t>
      </w:r>
      <w:r w:rsidRPr="002C5A61">
        <w:rPr>
          <w:rFonts w:eastAsia="Times New Roman"/>
          <w:sz w:val="24"/>
          <w:szCs w:val="24"/>
          <w:lang w:val="en-GB" w:eastAsia="en-GB"/>
        </w:rPr>
        <w:t xml:space="preserve"> certain elements. </w:t>
      </w:r>
      <w:r>
        <w:rPr>
          <w:rFonts w:eastAsia="Times New Roman"/>
          <w:sz w:val="24"/>
          <w:szCs w:val="24"/>
          <w:lang w:val="en-GB" w:eastAsia="en-GB"/>
        </w:rPr>
        <w:t xml:space="preserve">It may also be expected that </w:t>
      </w:r>
      <w:r w:rsidRPr="002C5A61">
        <w:rPr>
          <w:rFonts w:eastAsia="Times New Roman"/>
          <w:sz w:val="24"/>
          <w:szCs w:val="24"/>
          <w:lang w:val="en-GB" w:eastAsia="en-GB"/>
        </w:rPr>
        <w:t>further differences</w:t>
      </w:r>
      <w:r>
        <w:rPr>
          <w:rFonts w:eastAsia="Times New Roman"/>
          <w:sz w:val="24"/>
          <w:szCs w:val="24"/>
          <w:lang w:val="en-GB" w:eastAsia="en-GB"/>
        </w:rPr>
        <w:t xml:space="preserve"> in the representation of the event would be observed </w:t>
      </w:r>
      <w:r w:rsidRPr="002C5A61">
        <w:rPr>
          <w:rFonts w:eastAsia="Times New Roman"/>
          <w:sz w:val="24"/>
          <w:szCs w:val="24"/>
          <w:lang w:val="en-GB" w:eastAsia="en-GB"/>
        </w:rPr>
        <w:t xml:space="preserve">between different countries, </w:t>
      </w:r>
      <w:proofErr w:type="gramStart"/>
      <w:r>
        <w:rPr>
          <w:rFonts w:eastAsia="Times New Roman"/>
          <w:sz w:val="24"/>
          <w:szCs w:val="24"/>
          <w:lang w:val="en-GB" w:eastAsia="en-GB"/>
        </w:rPr>
        <w:t>who</w:t>
      </w:r>
      <w:proofErr w:type="gramEnd"/>
      <w:r>
        <w:rPr>
          <w:rFonts w:eastAsia="Times New Roman"/>
          <w:sz w:val="24"/>
          <w:szCs w:val="24"/>
          <w:lang w:val="en-GB" w:eastAsia="en-GB"/>
        </w:rPr>
        <w:t xml:space="preserve"> may hold</w:t>
      </w:r>
      <w:r w:rsidRPr="002C5A61">
        <w:rPr>
          <w:rFonts w:eastAsia="Times New Roman"/>
          <w:sz w:val="24"/>
          <w:szCs w:val="24"/>
          <w:lang w:val="en-GB" w:eastAsia="en-GB"/>
        </w:rPr>
        <w:t xml:space="preserve"> different concerns and priorities related to the event. </w:t>
      </w:r>
      <w:r>
        <w:rPr>
          <w:rFonts w:eastAsia="Times New Roman"/>
          <w:sz w:val="24"/>
          <w:szCs w:val="24"/>
          <w:lang w:val="en-GB" w:eastAsia="en-GB"/>
        </w:rPr>
        <w:t xml:space="preserve">For </w:t>
      </w:r>
      <w:r>
        <w:rPr>
          <w:rFonts w:eastAsia="Times New Roman"/>
          <w:sz w:val="24"/>
          <w:szCs w:val="24"/>
          <w:lang w:val="en-GB" w:eastAsia="en-GB"/>
        </w:rPr>
        <w:t>instance</w:t>
      </w:r>
      <w:r w:rsidR="00FF7D39">
        <w:rPr>
          <w:rFonts w:eastAsia="Times New Roman"/>
          <w:sz w:val="24"/>
          <w:szCs w:val="24"/>
          <w:lang w:val="en-GB" w:eastAsia="en-GB"/>
        </w:rPr>
        <w:t>,</w:t>
      </w:r>
      <w:r>
        <w:rPr>
          <w:sz w:val="24"/>
          <w:szCs w:val="24"/>
        </w:rPr>
        <w:t xml:space="preserve"> differences </w:t>
      </w:r>
      <w:r>
        <w:rPr>
          <w:sz w:val="24"/>
          <w:szCs w:val="24"/>
        </w:rPr>
        <w:t>were documented in the coverage and framing of obesity in the American and French press</w:t>
      </w:r>
      <w:r w:rsidRPr="007F343A">
        <w:rPr>
          <w:sz w:val="24"/>
          <w:szCs w:val="24"/>
        </w:rPr>
        <w:t xml:space="preserve"> (Saguy, 2013) and </w:t>
      </w:r>
      <w:r>
        <w:rPr>
          <w:sz w:val="24"/>
          <w:szCs w:val="24"/>
        </w:rPr>
        <w:t xml:space="preserve">in </w:t>
      </w:r>
      <w:r w:rsidRPr="007F343A">
        <w:rPr>
          <w:sz w:val="24"/>
          <w:szCs w:val="24"/>
        </w:rPr>
        <w:t xml:space="preserve">biotechnology </w:t>
      </w:r>
      <w:r>
        <w:rPr>
          <w:sz w:val="24"/>
          <w:szCs w:val="24"/>
        </w:rPr>
        <w:t xml:space="preserve">coverage </w:t>
      </w:r>
      <w:r w:rsidRPr="007F343A">
        <w:rPr>
          <w:sz w:val="24"/>
          <w:szCs w:val="24"/>
        </w:rPr>
        <w:t xml:space="preserve">in the UK and American press (Lundy &amp; </w:t>
      </w:r>
      <w:proofErr w:type="spellStart"/>
      <w:r w:rsidRPr="007F343A">
        <w:rPr>
          <w:sz w:val="24"/>
          <w:szCs w:val="24"/>
        </w:rPr>
        <w:t>Irani</w:t>
      </w:r>
      <w:proofErr w:type="spellEnd"/>
      <w:r w:rsidRPr="007F343A">
        <w:rPr>
          <w:sz w:val="24"/>
          <w:szCs w:val="24"/>
        </w:rPr>
        <w:t xml:space="preserve">, 2004). </w:t>
      </w:r>
      <w:r>
        <w:rPr>
          <w:sz w:val="24"/>
          <w:szCs w:val="24"/>
        </w:rPr>
        <w:t>Given that the UK is the main export market for the Irish pig industry</w:t>
      </w:r>
      <w:r w:rsidRPr="00245798">
        <w:rPr>
          <w:sz w:val="24"/>
          <w:szCs w:val="24"/>
        </w:rPr>
        <w:t>,</w:t>
      </w:r>
      <w:r>
        <w:rPr>
          <w:sz w:val="24"/>
          <w:szCs w:val="24"/>
        </w:rPr>
        <w:t xml:space="preserve"> representing approximately 56% of total exports in 2007,</w:t>
      </w:r>
      <w:r w:rsidRPr="00245798">
        <w:rPr>
          <w:sz w:val="24"/>
          <w:szCs w:val="24"/>
        </w:rPr>
        <w:t xml:space="preserve"> the Irish dioxin crisis was particularly </w:t>
      </w:r>
      <w:r>
        <w:rPr>
          <w:sz w:val="24"/>
          <w:szCs w:val="24"/>
        </w:rPr>
        <w:t>pertinent</w:t>
      </w:r>
      <w:r w:rsidRPr="00245798">
        <w:rPr>
          <w:sz w:val="24"/>
          <w:szCs w:val="24"/>
        </w:rPr>
        <w:t xml:space="preserve"> to UK </w:t>
      </w:r>
      <w:r>
        <w:rPr>
          <w:sz w:val="24"/>
          <w:szCs w:val="24"/>
        </w:rPr>
        <w:t xml:space="preserve">businesses, consumers, and </w:t>
      </w:r>
      <w:r w:rsidRPr="00245798">
        <w:rPr>
          <w:sz w:val="24"/>
          <w:szCs w:val="24"/>
        </w:rPr>
        <w:t xml:space="preserve">media outlets. </w:t>
      </w:r>
      <w:r w:rsidRPr="007F343A">
        <w:rPr>
          <w:sz w:val="24"/>
          <w:szCs w:val="24"/>
        </w:rPr>
        <w:t xml:space="preserve">As this sample comprised both Irish and UK newspaper data, an assessment of any variance in the </w:t>
      </w:r>
      <w:r>
        <w:rPr>
          <w:sz w:val="24"/>
          <w:szCs w:val="24"/>
        </w:rPr>
        <w:t>coverage</w:t>
      </w:r>
      <w:r w:rsidRPr="007F343A">
        <w:rPr>
          <w:sz w:val="24"/>
          <w:szCs w:val="24"/>
        </w:rPr>
        <w:t xml:space="preserve"> of the issue between the media’s reporting in </w:t>
      </w:r>
      <w:r>
        <w:rPr>
          <w:sz w:val="24"/>
          <w:szCs w:val="24"/>
        </w:rPr>
        <w:t>these</w:t>
      </w:r>
      <w:r w:rsidRPr="007F343A">
        <w:rPr>
          <w:sz w:val="24"/>
          <w:szCs w:val="24"/>
        </w:rPr>
        <w:t xml:space="preserve"> countries was of interest.</w:t>
      </w:r>
    </w:p>
    <w:p w14:paraId="176A6BE4" w14:textId="77777777" w:rsidR="00126982" w:rsidRPr="007F343A" w:rsidRDefault="00126982" w:rsidP="00500F06">
      <w:pPr>
        <w:spacing w:after="0" w:line="480" w:lineRule="auto"/>
        <w:ind w:left="720"/>
        <w:jc w:val="both"/>
        <w:rPr>
          <w:sz w:val="24"/>
          <w:szCs w:val="24"/>
        </w:rPr>
      </w:pPr>
      <w:r w:rsidRPr="007F343A">
        <w:rPr>
          <w:sz w:val="24"/>
          <w:szCs w:val="24"/>
        </w:rPr>
        <w:t>RQ</w:t>
      </w:r>
      <w:r>
        <w:rPr>
          <w:sz w:val="24"/>
          <w:szCs w:val="24"/>
        </w:rPr>
        <w:t>2</w:t>
      </w:r>
      <w:r w:rsidRPr="007F343A">
        <w:rPr>
          <w:sz w:val="24"/>
          <w:szCs w:val="24"/>
        </w:rPr>
        <w:t xml:space="preserve">: </w:t>
      </w:r>
      <w:r>
        <w:rPr>
          <w:sz w:val="24"/>
          <w:szCs w:val="24"/>
        </w:rPr>
        <w:t>What differences, if any, were there in the coverage</w:t>
      </w:r>
      <w:r w:rsidRPr="007F343A">
        <w:rPr>
          <w:sz w:val="24"/>
          <w:szCs w:val="24"/>
        </w:rPr>
        <w:t xml:space="preserve"> of the Irish dioxin crisis between Irish and UK media outlets?</w:t>
      </w:r>
    </w:p>
    <w:p w14:paraId="63F97E58" w14:textId="77777777" w:rsidR="005A1B6A" w:rsidRDefault="005A1B6A" w:rsidP="00500F06">
      <w:pPr>
        <w:spacing w:after="0" w:line="480" w:lineRule="auto"/>
        <w:jc w:val="both"/>
        <w:rPr>
          <w:b/>
          <w:sz w:val="24"/>
          <w:szCs w:val="24"/>
        </w:rPr>
      </w:pPr>
    </w:p>
    <w:p w14:paraId="68B9D43B" w14:textId="77777777" w:rsidR="00126982" w:rsidRDefault="00126982" w:rsidP="005A1B6A">
      <w:pPr>
        <w:spacing w:after="0" w:line="480" w:lineRule="auto"/>
        <w:jc w:val="center"/>
        <w:rPr>
          <w:b/>
          <w:sz w:val="24"/>
          <w:szCs w:val="24"/>
        </w:rPr>
      </w:pPr>
      <w:r>
        <w:rPr>
          <w:b/>
          <w:sz w:val="24"/>
          <w:szCs w:val="24"/>
        </w:rPr>
        <w:t>Methods</w:t>
      </w:r>
    </w:p>
    <w:p w14:paraId="3C0FC36F" w14:textId="77777777" w:rsidR="00126982" w:rsidRDefault="00126982" w:rsidP="00500F06">
      <w:pPr>
        <w:spacing w:after="0" w:line="480" w:lineRule="auto"/>
        <w:jc w:val="both"/>
        <w:rPr>
          <w:b/>
          <w:sz w:val="24"/>
          <w:szCs w:val="24"/>
        </w:rPr>
      </w:pPr>
      <w:r>
        <w:rPr>
          <w:b/>
          <w:sz w:val="24"/>
          <w:szCs w:val="24"/>
        </w:rPr>
        <w:t>Sample</w:t>
      </w:r>
    </w:p>
    <w:p w14:paraId="43C957A9" w14:textId="77777777" w:rsidR="00126982" w:rsidRDefault="00126982" w:rsidP="001E1FD9">
      <w:pPr>
        <w:spacing w:after="0" w:line="480" w:lineRule="auto"/>
        <w:jc w:val="both"/>
        <w:rPr>
          <w:sz w:val="24"/>
          <w:szCs w:val="24"/>
        </w:rPr>
      </w:pPr>
      <w:r w:rsidRPr="00C60833">
        <w:rPr>
          <w:i/>
          <w:sz w:val="24"/>
          <w:szCs w:val="24"/>
        </w:rPr>
        <w:t>Lexis-Nexis</w:t>
      </w:r>
      <w:r w:rsidRPr="00C60833">
        <w:rPr>
          <w:sz w:val="24"/>
          <w:szCs w:val="24"/>
        </w:rPr>
        <w:t xml:space="preserve"> and the private news article database of </w:t>
      </w:r>
      <w:proofErr w:type="spellStart"/>
      <w:r w:rsidRPr="00C60833">
        <w:rPr>
          <w:i/>
          <w:sz w:val="24"/>
          <w:szCs w:val="24"/>
        </w:rPr>
        <w:t>safe</w:t>
      </w:r>
      <w:r w:rsidRPr="00C60833">
        <w:rPr>
          <w:sz w:val="24"/>
          <w:szCs w:val="24"/>
        </w:rPr>
        <w:t>food</w:t>
      </w:r>
      <w:proofErr w:type="spellEnd"/>
      <w:r w:rsidRPr="00C60833">
        <w:rPr>
          <w:sz w:val="24"/>
          <w:szCs w:val="24"/>
          <w:vertAlign w:val="superscript"/>
        </w:rPr>
        <w:footnoteReference w:id="1"/>
      </w:r>
      <w:r w:rsidRPr="00C60833">
        <w:rPr>
          <w:sz w:val="24"/>
          <w:szCs w:val="24"/>
        </w:rPr>
        <w:t xml:space="preserve"> were used to collate the article sample.</w:t>
      </w:r>
      <w:r>
        <w:rPr>
          <w:sz w:val="24"/>
          <w:szCs w:val="24"/>
        </w:rPr>
        <w:t xml:space="preserve"> Newspapers were chosen for sampling as the print media are considered more credible than television and online news (Bruhn &amp; </w:t>
      </w:r>
      <w:proofErr w:type="spellStart"/>
      <w:r>
        <w:rPr>
          <w:sz w:val="24"/>
          <w:szCs w:val="24"/>
        </w:rPr>
        <w:t>Shutz</w:t>
      </w:r>
      <w:proofErr w:type="spellEnd"/>
      <w:r>
        <w:rPr>
          <w:sz w:val="24"/>
          <w:szCs w:val="24"/>
        </w:rPr>
        <w:t xml:space="preserve">, 1999; </w:t>
      </w:r>
      <w:proofErr w:type="spellStart"/>
      <w:r w:rsidRPr="003F4160">
        <w:rPr>
          <w:sz w:val="24"/>
          <w:szCs w:val="24"/>
        </w:rPr>
        <w:t>Kiousis</w:t>
      </w:r>
      <w:proofErr w:type="spellEnd"/>
      <w:r>
        <w:rPr>
          <w:sz w:val="24"/>
          <w:szCs w:val="24"/>
        </w:rPr>
        <w:t xml:space="preserve">, 2001). Searches were performed using the term ‘dioxin AND (Irish </w:t>
      </w:r>
      <w:r w:rsidRPr="00C60833">
        <w:rPr>
          <w:sz w:val="24"/>
          <w:szCs w:val="24"/>
          <w:u w:val="single"/>
        </w:rPr>
        <w:t>or</w:t>
      </w:r>
      <w:r>
        <w:rPr>
          <w:sz w:val="24"/>
          <w:szCs w:val="24"/>
        </w:rPr>
        <w:t xml:space="preserve"> Ireland </w:t>
      </w:r>
      <w:r w:rsidRPr="00C60833">
        <w:rPr>
          <w:sz w:val="24"/>
          <w:szCs w:val="24"/>
          <w:u w:val="single"/>
        </w:rPr>
        <w:t>or</w:t>
      </w:r>
      <w:r w:rsidRPr="00C60833">
        <w:rPr>
          <w:sz w:val="24"/>
          <w:szCs w:val="24"/>
        </w:rPr>
        <w:t xml:space="preserve"> pig </w:t>
      </w:r>
      <w:r w:rsidRPr="00C60833">
        <w:rPr>
          <w:sz w:val="24"/>
          <w:szCs w:val="24"/>
          <w:u w:val="single"/>
        </w:rPr>
        <w:t>or</w:t>
      </w:r>
      <w:r w:rsidRPr="00C60833">
        <w:rPr>
          <w:sz w:val="24"/>
          <w:szCs w:val="24"/>
        </w:rPr>
        <w:t xml:space="preserve"> pork </w:t>
      </w:r>
      <w:r w:rsidRPr="00C60833">
        <w:rPr>
          <w:sz w:val="24"/>
          <w:szCs w:val="24"/>
          <w:u w:val="single"/>
        </w:rPr>
        <w:t>or</w:t>
      </w:r>
      <w:r w:rsidRPr="00C60833">
        <w:rPr>
          <w:sz w:val="24"/>
          <w:szCs w:val="24"/>
        </w:rPr>
        <w:t xml:space="preserve"> crisis </w:t>
      </w:r>
      <w:r w:rsidRPr="00C60833">
        <w:rPr>
          <w:sz w:val="24"/>
          <w:szCs w:val="24"/>
          <w:u w:val="single"/>
        </w:rPr>
        <w:t>or</w:t>
      </w:r>
      <w:r w:rsidRPr="00C60833">
        <w:rPr>
          <w:sz w:val="24"/>
          <w:szCs w:val="24"/>
        </w:rPr>
        <w:t xml:space="preserve"> </w:t>
      </w:r>
      <w:r w:rsidRPr="00770C9F">
        <w:rPr>
          <w:sz w:val="24"/>
          <w:szCs w:val="24"/>
        </w:rPr>
        <w:t>contamination)</w:t>
      </w:r>
      <w:r>
        <w:rPr>
          <w:sz w:val="24"/>
          <w:szCs w:val="24"/>
        </w:rPr>
        <w:t xml:space="preserve">’ for articles published between 1 December 2008 and 28 February 2009, to </w:t>
      </w:r>
      <w:r>
        <w:rPr>
          <w:sz w:val="24"/>
          <w:szCs w:val="24"/>
        </w:rPr>
        <w:lastRenderedPageBreak/>
        <w:t xml:space="preserve">cover the period just before, during and following the crisis. The search returned 369 articles and systematic sampling of every second article per publication and </w:t>
      </w:r>
      <w:r w:rsidRPr="00847F35">
        <w:rPr>
          <w:sz w:val="24"/>
          <w:szCs w:val="24"/>
        </w:rPr>
        <w:t>exclusion of irrelevant articles and articles that appeared twice in the sample</w:t>
      </w:r>
      <w:r>
        <w:rPr>
          <w:sz w:val="24"/>
          <w:szCs w:val="24"/>
        </w:rPr>
        <w:t xml:space="preserve"> ensured a manageable final sample of 141 articles for analysis (</w:t>
      </w:r>
      <w:proofErr w:type="spellStart"/>
      <w:r>
        <w:rPr>
          <w:sz w:val="24"/>
          <w:szCs w:val="24"/>
        </w:rPr>
        <w:t>Riffe</w:t>
      </w:r>
      <w:proofErr w:type="spellEnd"/>
      <w:r>
        <w:rPr>
          <w:sz w:val="24"/>
          <w:szCs w:val="24"/>
        </w:rPr>
        <w:t xml:space="preserve">, Lacy, &amp; Fico, 2008). </w:t>
      </w:r>
    </w:p>
    <w:p w14:paraId="12BB6CF4" w14:textId="77777777" w:rsidR="001E1FD9" w:rsidRDefault="001E1FD9" w:rsidP="001E1FD9">
      <w:pPr>
        <w:spacing w:after="0" w:line="480" w:lineRule="auto"/>
        <w:jc w:val="both"/>
        <w:rPr>
          <w:sz w:val="24"/>
          <w:szCs w:val="24"/>
        </w:rPr>
      </w:pPr>
    </w:p>
    <w:p w14:paraId="1E34BC2C" w14:textId="77777777" w:rsidR="00126982" w:rsidRDefault="00126982" w:rsidP="001E1FD9">
      <w:pPr>
        <w:spacing w:after="0" w:line="480" w:lineRule="auto"/>
        <w:jc w:val="both"/>
        <w:rPr>
          <w:sz w:val="24"/>
          <w:szCs w:val="24"/>
        </w:rPr>
      </w:pPr>
      <w:r>
        <w:rPr>
          <w:sz w:val="24"/>
          <w:szCs w:val="24"/>
        </w:rPr>
        <w:t>Newsprint publications were included in the sample based on circulation and readership profiles in the UK and Ireland. In total, 16 publications were sampled, 5 from Ireland and 11 from the UK, though it must be noted that the UK papers are also on sale in Ireland in a small number of retailers</w:t>
      </w:r>
      <w:r>
        <w:rPr>
          <w:rStyle w:val="FootnoteReference"/>
          <w:sz w:val="24"/>
          <w:szCs w:val="24"/>
        </w:rPr>
        <w:footnoteReference w:id="2"/>
      </w:r>
      <w:r>
        <w:rPr>
          <w:sz w:val="24"/>
          <w:szCs w:val="24"/>
        </w:rPr>
        <w:t>. Within the media samples from each country, broadsheets and tabloids were both represented. The data set included articles sampled from six daily publications (</w:t>
      </w:r>
      <w:r w:rsidRPr="00806E03">
        <w:rPr>
          <w:i/>
          <w:sz w:val="24"/>
          <w:szCs w:val="24"/>
        </w:rPr>
        <w:t>Irish Independent</w:t>
      </w:r>
      <w:r>
        <w:rPr>
          <w:sz w:val="24"/>
          <w:szCs w:val="24"/>
        </w:rPr>
        <w:t xml:space="preserve"> (IE)</w:t>
      </w:r>
      <w:r>
        <w:rPr>
          <w:rStyle w:val="FootnoteReference"/>
          <w:sz w:val="24"/>
          <w:szCs w:val="24"/>
        </w:rPr>
        <w:footnoteReference w:id="3"/>
      </w:r>
      <w:r>
        <w:rPr>
          <w:sz w:val="24"/>
          <w:szCs w:val="24"/>
        </w:rPr>
        <w:t xml:space="preserve">, </w:t>
      </w:r>
      <w:r w:rsidRPr="00806E03">
        <w:rPr>
          <w:i/>
          <w:sz w:val="24"/>
          <w:szCs w:val="24"/>
        </w:rPr>
        <w:t>The Irish Times</w:t>
      </w:r>
      <w:r>
        <w:rPr>
          <w:sz w:val="24"/>
          <w:szCs w:val="24"/>
        </w:rPr>
        <w:t xml:space="preserve"> (IE), </w:t>
      </w:r>
      <w:r w:rsidRPr="00806E03">
        <w:rPr>
          <w:i/>
          <w:sz w:val="24"/>
          <w:szCs w:val="24"/>
        </w:rPr>
        <w:t>The Times</w:t>
      </w:r>
      <w:r>
        <w:rPr>
          <w:sz w:val="24"/>
          <w:szCs w:val="24"/>
        </w:rPr>
        <w:t xml:space="preserve"> (UK), </w:t>
      </w:r>
      <w:r w:rsidRPr="00806E03">
        <w:rPr>
          <w:i/>
          <w:sz w:val="24"/>
          <w:szCs w:val="24"/>
        </w:rPr>
        <w:t>Financial Times</w:t>
      </w:r>
      <w:r>
        <w:rPr>
          <w:sz w:val="24"/>
          <w:szCs w:val="24"/>
        </w:rPr>
        <w:t xml:space="preserve"> (UK), </w:t>
      </w:r>
      <w:r w:rsidRPr="00DC0755">
        <w:rPr>
          <w:i/>
          <w:sz w:val="24"/>
          <w:szCs w:val="24"/>
        </w:rPr>
        <w:t>The Guardian</w:t>
      </w:r>
      <w:r>
        <w:rPr>
          <w:sz w:val="24"/>
          <w:szCs w:val="24"/>
        </w:rPr>
        <w:t xml:space="preserve"> (UK), </w:t>
      </w:r>
      <w:r w:rsidRPr="00DC0755">
        <w:rPr>
          <w:i/>
          <w:sz w:val="24"/>
          <w:szCs w:val="24"/>
        </w:rPr>
        <w:t>The Telegraph</w:t>
      </w:r>
      <w:r>
        <w:rPr>
          <w:sz w:val="24"/>
          <w:szCs w:val="24"/>
        </w:rPr>
        <w:t xml:space="preserve"> (UK)), four daily tabloids (</w:t>
      </w:r>
      <w:r w:rsidRPr="001830A5">
        <w:rPr>
          <w:i/>
          <w:sz w:val="24"/>
          <w:szCs w:val="24"/>
        </w:rPr>
        <w:t>Evening Herald</w:t>
      </w:r>
      <w:r>
        <w:rPr>
          <w:sz w:val="24"/>
          <w:szCs w:val="24"/>
        </w:rPr>
        <w:t xml:space="preserve"> (IE),  </w:t>
      </w:r>
      <w:r w:rsidRPr="001830A5">
        <w:rPr>
          <w:i/>
          <w:sz w:val="24"/>
          <w:szCs w:val="24"/>
        </w:rPr>
        <w:t>The Sun</w:t>
      </w:r>
      <w:r>
        <w:rPr>
          <w:sz w:val="24"/>
          <w:szCs w:val="24"/>
        </w:rPr>
        <w:t xml:space="preserve"> (UK), </w:t>
      </w:r>
      <w:r w:rsidRPr="001830A5">
        <w:rPr>
          <w:i/>
          <w:sz w:val="24"/>
          <w:szCs w:val="24"/>
        </w:rPr>
        <w:t>Daily Mirror</w:t>
      </w:r>
      <w:r>
        <w:rPr>
          <w:sz w:val="24"/>
          <w:szCs w:val="24"/>
        </w:rPr>
        <w:t xml:space="preserve"> (UK), </w:t>
      </w:r>
      <w:r w:rsidRPr="001830A5">
        <w:rPr>
          <w:i/>
          <w:sz w:val="24"/>
          <w:szCs w:val="24"/>
        </w:rPr>
        <w:t>Daily Mail</w:t>
      </w:r>
      <w:r>
        <w:rPr>
          <w:sz w:val="24"/>
          <w:szCs w:val="24"/>
        </w:rPr>
        <w:t xml:space="preserve"> (UK)), two weekly broadsheet publications (</w:t>
      </w:r>
      <w:r w:rsidRPr="001830A5">
        <w:rPr>
          <w:i/>
          <w:sz w:val="24"/>
          <w:szCs w:val="24"/>
        </w:rPr>
        <w:t>Sunday Independent</w:t>
      </w:r>
      <w:r>
        <w:rPr>
          <w:sz w:val="24"/>
          <w:szCs w:val="24"/>
        </w:rPr>
        <w:t xml:space="preserve"> (IE), </w:t>
      </w:r>
      <w:r w:rsidRPr="001830A5">
        <w:rPr>
          <w:i/>
          <w:sz w:val="24"/>
          <w:szCs w:val="24"/>
        </w:rPr>
        <w:t>The Sunday Times</w:t>
      </w:r>
      <w:r>
        <w:rPr>
          <w:sz w:val="24"/>
          <w:szCs w:val="24"/>
        </w:rPr>
        <w:t xml:space="preserve"> (UK)) and four weekly tabloids (</w:t>
      </w:r>
      <w:r w:rsidRPr="00F73911">
        <w:rPr>
          <w:i/>
          <w:sz w:val="24"/>
          <w:szCs w:val="24"/>
        </w:rPr>
        <w:t>Irish Mail on Sunday</w:t>
      </w:r>
      <w:r>
        <w:rPr>
          <w:sz w:val="24"/>
          <w:szCs w:val="24"/>
        </w:rPr>
        <w:t xml:space="preserve"> (IE), </w:t>
      </w:r>
      <w:r w:rsidRPr="00F73911">
        <w:rPr>
          <w:i/>
          <w:sz w:val="24"/>
          <w:szCs w:val="24"/>
        </w:rPr>
        <w:t>News of the World</w:t>
      </w:r>
      <w:r>
        <w:rPr>
          <w:sz w:val="24"/>
          <w:szCs w:val="24"/>
        </w:rPr>
        <w:t xml:space="preserve"> (UK), </w:t>
      </w:r>
      <w:r w:rsidRPr="00F73911">
        <w:rPr>
          <w:i/>
          <w:sz w:val="24"/>
          <w:szCs w:val="24"/>
        </w:rPr>
        <w:t>The Mail on Sunday</w:t>
      </w:r>
      <w:r>
        <w:rPr>
          <w:sz w:val="24"/>
          <w:szCs w:val="24"/>
        </w:rPr>
        <w:t xml:space="preserve"> (UK), </w:t>
      </w:r>
      <w:r w:rsidRPr="00F73911">
        <w:rPr>
          <w:i/>
          <w:sz w:val="24"/>
          <w:szCs w:val="24"/>
        </w:rPr>
        <w:t>Sunday Mirror</w:t>
      </w:r>
      <w:r>
        <w:rPr>
          <w:sz w:val="24"/>
          <w:szCs w:val="24"/>
        </w:rPr>
        <w:t xml:space="preserve"> (UK)). </w:t>
      </w:r>
      <w:r w:rsidRPr="0051074E">
        <w:rPr>
          <w:sz w:val="24"/>
          <w:szCs w:val="24"/>
        </w:rPr>
        <w:t xml:space="preserve">In total, </w:t>
      </w:r>
      <w:r>
        <w:rPr>
          <w:sz w:val="24"/>
          <w:szCs w:val="24"/>
        </w:rPr>
        <w:t>the</w:t>
      </w:r>
      <w:r w:rsidRPr="000611CC">
        <w:rPr>
          <w:sz w:val="24"/>
          <w:szCs w:val="24"/>
          <w:lang w:val="en-GB"/>
        </w:rPr>
        <w:t xml:space="preserve"> UK</w:t>
      </w:r>
      <w:r>
        <w:rPr>
          <w:sz w:val="24"/>
          <w:szCs w:val="24"/>
          <w:lang w:val="en-GB"/>
        </w:rPr>
        <w:t>-based publications</w:t>
      </w:r>
      <w:r w:rsidRPr="000611CC">
        <w:rPr>
          <w:sz w:val="24"/>
          <w:szCs w:val="24"/>
          <w:lang w:val="en-GB"/>
        </w:rPr>
        <w:t xml:space="preserve"> </w:t>
      </w:r>
      <w:r>
        <w:rPr>
          <w:sz w:val="24"/>
          <w:szCs w:val="24"/>
          <w:lang w:val="en-GB"/>
        </w:rPr>
        <w:t>had</w:t>
      </w:r>
      <w:r w:rsidRPr="000611CC">
        <w:rPr>
          <w:sz w:val="24"/>
          <w:szCs w:val="24"/>
          <w:lang w:val="en-GB"/>
        </w:rPr>
        <w:t xml:space="preserve"> a combined </w:t>
      </w:r>
      <w:r>
        <w:rPr>
          <w:sz w:val="24"/>
          <w:szCs w:val="24"/>
          <w:lang w:val="en-GB"/>
        </w:rPr>
        <w:t xml:space="preserve">UK </w:t>
      </w:r>
      <w:r w:rsidRPr="000611CC">
        <w:rPr>
          <w:sz w:val="24"/>
          <w:szCs w:val="24"/>
          <w:lang w:val="en-GB"/>
        </w:rPr>
        <w:t>circulation of 14,657,425</w:t>
      </w:r>
      <w:r>
        <w:rPr>
          <w:sz w:val="24"/>
          <w:szCs w:val="24"/>
          <w:lang w:val="en-GB"/>
        </w:rPr>
        <w:t xml:space="preserve"> in 2008 (Press Gazette, 2009). The Irish</w:t>
      </w:r>
      <w:r>
        <w:rPr>
          <w:sz w:val="24"/>
          <w:szCs w:val="24"/>
        </w:rPr>
        <w:t xml:space="preserve"> papers in the sample had</w:t>
      </w:r>
      <w:r w:rsidRPr="0051074E">
        <w:rPr>
          <w:sz w:val="24"/>
          <w:szCs w:val="24"/>
        </w:rPr>
        <w:t xml:space="preserve"> a </w:t>
      </w:r>
      <w:r>
        <w:rPr>
          <w:sz w:val="24"/>
          <w:szCs w:val="24"/>
        </w:rPr>
        <w:t>pooled</w:t>
      </w:r>
      <w:r w:rsidRPr="0051074E">
        <w:rPr>
          <w:sz w:val="24"/>
          <w:szCs w:val="24"/>
        </w:rPr>
        <w:t xml:space="preserve"> circulation of </w:t>
      </w:r>
      <w:r w:rsidRPr="0051074E">
        <w:rPr>
          <w:sz w:val="24"/>
          <w:szCs w:val="24"/>
          <w:lang w:val="en-GB"/>
        </w:rPr>
        <w:t xml:space="preserve">733,044 </w:t>
      </w:r>
      <w:r>
        <w:rPr>
          <w:sz w:val="24"/>
          <w:szCs w:val="24"/>
          <w:lang w:val="en-GB"/>
        </w:rPr>
        <w:t xml:space="preserve">in Ireland </w:t>
      </w:r>
      <w:r w:rsidRPr="0051074E">
        <w:rPr>
          <w:sz w:val="24"/>
          <w:szCs w:val="24"/>
          <w:lang w:val="en-GB"/>
        </w:rPr>
        <w:t xml:space="preserve">(National Newspapers of Ireland, 2009) with an estimated readership of </w:t>
      </w:r>
      <w:r w:rsidRPr="0051074E">
        <w:rPr>
          <w:sz w:val="24"/>
          <w:szCs w:val="24"/>
        </w:rPr>
        <w:t>2,363,000 (67%</w:t>
      </w:r>
      <w:r>
        <w:rPr>
          <w:sz w:val="24"/>
          <w:szCs w:val="24"/>
        </w:rPr>
        <w:t xml:space="preserve"> of Irish adult population</w:t>
      </w:r>
      <w:r w:rsidRPr="0051074E">
        <w:rPr>
          <w:sz w:val="24"/>
          <w:szCs w:val="24"/>
        </w:rPr>
        <w:t xml:space="preserve">; </w:t>
      </w:r>
      <w:r>
        <w:rPr>
          <w:sz w:val="24"/>
          <w:szCs w:val="24"/>
        </w:rPr>
        <w:t>Joint National Readership Survey</w:t>
      </w:r>
      <w:r w:rsidRPr="0051074E">
        <w:rPr>
          <w:sz w:val="24"/>
          <w:szCs w:val="24"/>
        </w:rPr>
        <w:t xml:space="preserve">, 2009). </w:t>
      </w:r>
    </w:p>
    <w:p w14:paraId="75574088" w14:textId="77777777" w:rsidR="001E1FD9" w:rsidRDefault="001E1FD9">
      <w:pPr>
        <w:rPr>
          <w:b/>
          <w:sz w:val="24"/>
          <w:szCs w:val="24"/>
        </w:rPr>
      </w:pPr>
      <w:r>
        <w:rPr>
          <w:b/>
          <w:sz w:val="24"/>
          <w:szCs w:val="24"/>
        </w:rPr>
        <w:br w:type="page"/>
      </w:r>
    </w:p>
    <w:p w14:paraId="6823AC4A" w14:textId="3B4F8968" w:rsidR="00126982" w:rsidRDefault="00126982" w:rsidP="00500F06">
      <w:pPr>
        <w:spacing w:after="0" w:line="480" w:lineRule="auto"/>
        <w:jc w:val="both"/>
        <w:rPr>
          <w:b/>
          <w:sz w:val="24"/>
          <w:szCs w:val="24"/>
        </w:rPr>
      </w:pPr>
      <w:r>
        <w:rPr>
          <w:b/>
          <w:sz w:val="24"/>
          <w:szCs w:val="24"/>
        </w:rPr>
        <w:lastRenderedPageBreak/>
        <w:t>Coding Strategy</w:t>
      </w:r>
    </w:p>
    <w:p w14:paraId="3B957796" w14:textId="77777777" w:rsidR="00126982" w:rsidRDefault="00126982" w:rsidP="001E1FD9">
      <w:pPr>
        <w:spacing w:after="0" w:line="480" w:lineRule="auto"/>
        <w:jc w:val="both"/>
        <w:rPr>
          <w:sz w:val="24"/>
          <w:szCs w:val="24"/>
        </w:rPr>
      </w:pPr>
      <w:r w:rsidRPr="001272F2">
        <w:rPr>
          <w:sz w:val="24"/>
          <w:szCs w:val="24"/>
        </w:rPr>
        <w:t>Based on</w:t>
      </w:r>
      <w:r>
        <w:rPr>
          <w:sz w:val="24"/>
          <w:szCs w:val="24"/>
        </w:rPr>
        <w:t xml:space="preserve"> previous research relating the media coverage of food risk events (An &amp; Gower, 2009; </w:t>
      </w:r>
      <w:proofErr w:type="spellStart"/>
      <w:r>
        <w:rPr>
          <w:sz w:val="24"/>
          <w:szCs w:val="24"/>
        </w:rPr>
        <w:t>Ashlock</w:t>
      </w:r>
      <w:proofErr w:type="spellEnd"/>
      <w:r>
        <w:rPr>
          <w:sz w:val="24"/>
          <w:szCs w:val="24"/>
        </w:rPr>
        <w:t xml:space="preserve">, </w:t>
      </w:r>
      <w:proofErr w:type="spellStart"/>
      <w:r>
        <w:rPr>
          <w:sz w:val="24"/>
          <w:szCs w:val="24"/>
        </w:rPr>
        <w:t>Cartmell</w:t>
      </w:r>
      <w:proofErr w:type="spellEnd"/>
      <w:r>
        <w:rPr>
          <w:sz w:val="24"/>
          <w:szCs w:val="24"/>
        </w:rPr>
        <w:t xml:space="preserve">, &amp; </w:t>
      </w:r>
      <w:proofErr w:type="spellStart"/>
      <w:r>
        <w:rPr>
          <w:sz w:val="24"/>
          <w:szCs w:val="24"/>
        </w:rPr>
        <w:t>Keleman</w:t>
      </w:r>
      <w:proofErr w:type="spellEnd"/>
      <w:r>
        <w:rPr>
          <w:sz w:val="24"/>
          <w:szCs w:val="24"/>
        </w:rPr>
        <w:t xml:space="preserve">, 2006; </w:t>
      </w:r>
      <w:proofErr w:type="spellStart"/>
      <w:r>
        <w:rPr>
          <w:sz w:val="24"/>
          <w:szCs w:val="24"/>
        </w:rPr>
        <w:t>Feindt</w:t>
      </w:r>
      <w:proofErr w:type="spellEnd"/>
      <w:r>
        <w:rPr>
          <w:sz w:val="24"/>
          <w:szCs w:val="24"/>
        </w:rPr>
        <w:t xml:space="preserve"> &amp; </w:t>
      </w:r>
      <w:proofErr w:type="spellStart"/>
      <w:r>
        <w:rPr>
          <w:sz w:val="24"/>
          <w:szCs w:val="24"/>
        </w:rPr>
        <w:t>Kleinschmit</w:t>
      </w:r>
      <w:proofErr w:type="spellEnd"/>
      <w:r>
        <w:rPr>
          <w:sz w:val="24"/>
          <w:szCs w:val="24"/>
        </w:rPr>
        <w:t>, 2011; Ruth</w:t>
      </w:r>
      <w:r>
        <w:rPr>
          <w:noProof/>
          <w:sz w:val="24"/>
          <w:szCs w:val="24"/>
        </w:rPr>
        <w:t>, Eubanks,</w:t>
      </w:r>
      <w:r w:rsidRPr="000D1BF3">
        <w:rPr>
          <w:noProof/>
          <w:sz w:val="24"/>
          <w:szCs w:val="24"/>
        </w:rPr>
        <w:t xml:space="preserve"> &amp; Telg</w:t>
      </w:r>
      <w:r>
        <w:rPr>
          <w:sz w:val="24"/>
          <w:szCs w:val="24"/>
        </w:rPr>
        <w:t>, 2005), a coding protocol was developed and refined in order to analyse the data set and to establish the dominant message of each article. Table 1 outlines the final coding protocol and coding/sub-coding structure, with sample text extracts.</w:t>
      </w:r>
    </w:p>
    <w:p w14:paraId="70199420" w14:textId="77777777" w:rsidR="00126982" w:rsidRDefault="00126982" w:rsidP="00580BEF">
      <w:pPr>
        <w:spacing w:after="0" w:line="480" w:lineRule="auto"/>
        <w:jc w:val="center"/>
        <w:rPr>
          <w:sz w:val="24"/>
          <w:szCs w:val="24"/>
        </w:rPr>
      </w:pPr>
      <w:r>
        <w:rPr>
          <w:sz w:val="24"/>
          <w:szCs w:val="24"/>
        </w:rPr>
        <w:t>[Insert Table 1 here]</w:t>
      </w:r>
    </w:p>
    <w:p w14:paraId="722CBF02" w14:textId="77777777" w:rsidR="00580BEF" w:rsidRDefault="00580BEF" w:rsidP="00580BEF">
      <w:pPr>
        <w:tabs>
          <w:tab w:val="left" w:pos="4111"/>
        </w:tabs>
        <w:spacing w:after="0" w:line="480" w:lineRule="auto"/>
        <w:jc w:val="both"/>
        <w:rPr>
          <w:sz w:val="24"/>
          <w:szCs w:val="24"/>
        </w:rPr>
      </w:pPr>
    </w:p>
    <w:p w14:paraId="20547947" w14:textId="77777777" w:rsidR="00126982" w:rsidRDefault="00126982" w:rsidP="00580BEF">
      <w:pPr>
        <w:tabs>
          <w:tab w:val="left" w:pos="4111"/>
        </w:tabs>
        <w:spacing w:after="0" w:line="480" w:lineRule="auto"/>
        <w:jc w:val="both"/>
        <w:rPr>
          <w:sz w:val="24"/>
          <w:szCs w:val="24"/>
        </w:rPr>
      </w:pPr>
      <w:r>
        <w:rPr>
          <w:sz w:val="24"/>
          <w:szCs w:val="24"/>
        </w:rPr>
        <w:t>Articles were coded for the presence (1) or absence (0) of various article elements. For the purposes of this analysis, e</w:t>
      </w:r>
      <w:r w:rsidRPr="007F736F">
        <w:rPr>
          <w:sz w:val="24"/>
          <w:szCs w:val="24"/>
        </w:rPr>
        <w:t xml:space="preserve">ach category </w:t>
      </w:r>
      <w:r>
        <w:rPr>
          <w:sz w:val="24"/>
          <w:szCs w:val="24"/>
        </w:rPr>
        <w:t>was</w:t>
      </w:r>
      <w:r w:rsidRPr="007F736F">
        <w:rPr>
          <w:sz w:val="24"/>
          <w:szCs w:val="24"/>
        </w:rPr>
        <w:t xml:space="preserve"> only coded once, even if there were multiple </w:t>
      </w:r>
      <w:r>
        <w:rPr>
          <w:sz w:val="24"/>
          <w:szCs w:val="24"/>
        </w:rPr>
        <w:t xml:space="preserve">article elements that could have been ascribed the same code </w:t>
      </w:r>
      <w:r w:rsidRPr="007F736F">
        <w:rPr>
          <w:sz w:val="24"/>
          <w:szCs w:val="24"/>
        </w:rPr>
        <w:t xml:space="preserve">in one article. </w:t>
      </w:r>
      <w:r>
        <w:rPr>
          <w:sz w:val="24"/>
          <w:szCs w:val="24"/>
        </w:rPr>
        <w:t>Based</w:t>
      </w:r>
      <w:r w:rsidRPr="007F736F">
        <w:rPr>
          <w:sz w:val="24"/>
          <w:szCs w:val="24"/>
        </w:rPr>
        <w:t xml:space="preserve"> on previous research (</w:t>
      </w:r>
      <w:r>
        <w:rPr>
          <w:sz w:val="24"/>
          <w:szCs w:val="24"/>
        </w:rPr>
        <w:t>e.g., Boyd</w:t>
      </w:r>
      <w:r>
        <w:rPr>
          <w:noProof/>
          <w:sz w:val="24"/>
          <w:szCs w:val="24"/>
        </w:rPr>
        <w:t>, Jardine,</w:t>
      </w:r>
      <w:r w:rsidRPr="00940E56">
        <w:rPr>
          <w:noProof/>
          <w:sz w:val="24"/>
          <w:szCs w:val="24"/>
        </w:rPr>
        <w:t xml:space="preserve"> &amp; Dr</w:t>
      </w:r>
      <w:r>
        <w:rPr>
          <w:noProof/>
          <w:sz w:val="24"/>
          <w:szCs w:val="24"/>
        </w:rPr>
        <w:t>iedger</w:t>
      </w:r>
      <w:r>
        <w:rPr>
          <w:sz w:val="24"/>
          <w:szCs w:val="24"/>
        </w:rPr>
        <w:t>, 2009;</w:t>
      </w:r>
      <w:r w:rsidRPr="007F736F">
        <w:rPr>
          <w:sz w:val="24"/>
          <w:szCs w:val="24"/>
        </w:rPr>
        <w:t xml:space="preserve"> De Brú</w:t>
      </w:r>
      <w:r>
        <w:rPr>
          <w:sz w:val="24"/>
          <w:szCs w:val="24"/>
        </w:rPr>
        <w:t>n</w:t>
      </w:r>
      <w:r w:rsidRPr="00800A92">
        <w:rPr>
          <w:noProof/>
          <w:sz w:val="24"/>
          <w:szCs w:val="24"/>
        </w:rPr>
        <w:t xml:space="preserve">, McKenzie, McCarthy, &amp; McGloin, </w:t>
      </w:r>
      <w:r>
        <w:rPr>
          <w:sz w:val="24"/>
          <w:szCs w:val="24"/>
        </w:rPr>
        <w:t>2012) a dominant message code was assigned if clearly suggested by the sub-</w:t>
      </w:r>
      <w:r w:rsidRPr="00AE7928">
        <w:rPr>
          <w:sz w:val="24"/>
          <w:szCs w:val="24"/>
        </w:rPr>
        <w:t>coding. For instance, if an article was</w:t>
      </w:r>
      <w:r>
        <w:rPr>
          <w:sz w:val="24"/>
          <w:szCs w:val="24"/>
        </w:rPr>
        <w:t xml:space="preserve"> coded as containing one mention of ‘government /regulatory blame’ for the cause of the crisis, one mention related to ‘consequences for the economy’ and one mention of ‘government responsibility for a solution’, the article would be considered as communicating a dominant message relating to ‘Blame/Responsibility’.</w:t>
      </w:r>
    </w:p>
    <w:p w14:paraId="1BA732BA" w14:textId="77777777" w:rsidR="00580BEF" w:rsidRDefault="00580BEF" w:rsidP="00580BEF">
      <w:pPr>
        <w:tabs>
          <w:tab w:val="left" w:pos="4111"/>
        </w:tabs>
        <w:spacing w:after="0" w:line="480" w:lineRule="auto"/>
        <w:jc w:val="both"/>
        <w:rPr>
          <w:sz w:val="24"/>
          <w:szCs w:val="24"/>
        </w:rPr>
      </w:pPr>
    </w:p>
    <w:p w14:paraId="63BD50C3" w14:textId="39A8AA76" w:rsidR="00126982" w:rsidRDefault="00126982" w:rsidP="00580BEF">
      <w:pPr>
        <w:tabs>
          <w:tab w:val="left" w:pos="4111"/>
        </w:tabs>
        <w:spacing w:after="0" w:line="480" w:lineRule="auto"/>
        <w:jc w:val="both"/>
        <w:rPr>
          <w:sz w:val="24"/>
          <w:szCs w:val="24"/>
        </w:rPr>
      </w:pPr>
      <w:r>
        <w:rPr>
          <w:sz w:val="24"/>
          <w:szCs w:val="24"/>
        </w:rPr>
        <w:t>Where multiple sub-codes were present and there was uncertainty about the dominant emphasis, the researchers reviewed the article again, re-coding the article to capture multiple mentions of all sub-codes and then relied on the relative frequencies to determine a dominant focus. Where no clear emphasis could be identified, or there was equal presence of two or more elements, articles where coded as illustrating ‘no dominant emphasis/mixed emphasis’.</w:t>
      </w:r>
    </w:p>
    <w:p w14:paraId="5E39DF22" w14:textId="77777777" w:rsidR="006B0079" w:rsidRDefault="006B0079" w:rsidP="006B0079">
      <w:pPr>
        <w:spacing w:after="0" w:line="480" w:lineRule="auto"/>
        <w:jc w:val="both"/>
        <w:rPr>
          <w:sz w:val="24"/>
          <w:szCs w:val="24"/>
        </w:rPr>
      </w:pPr>
    </w:p>
    <w:p w14:paraId="70D03CFA" w14:textId="77777777" w:rsidR="00126982" w:rsidRDefault="00126982" w:rsidP="006B0079">
      <w:pPr>
        <w:spacing w:after="0" w:line="480" w:lineRule="auto"/>
        <w:jc w:val="both"/>
        <w:rPr>
          <w:sz w:val="24"/>
          <w:szCs w:val="24"/>
        </w:rPr>
      </w:pPr>
      <w:r>
        <w:rPr>
          <w:sz w:val="24"/>
          <w:szCs w:val="24"/>
        </w:rPr>
        <w:lastRenderedPageBreak/>
        <w:t>The first author performed all coding and the second author coded a subset of articles (</w:t>
      </w:r>
      <w:r w:rsidRPr="00235C15">
        <w:rPr>
          <w:i/>
          <w:sz w:val="24"/>
          <w:szCs w:val="24"/>
        </w:rPr>
        <w:t>n</w:t>
      </w:r>
      <w:r>
        <w:rPr>
          <w:sz w:val="24"/>
          <w:szCs w:val="24"/>
        </w:rPr>
        <w:t xml:space="preserve">=21, 15%) in order to ensure the coding scheme was dependable and to evaluate </w:t>
      </w:r>
      <w:proofErr w:type="spellStart"/>
      <w:r>
        <w:rPr>
          <w:sz w:val="24"/>
          <w:szCs w:val="24"/>
        </w:rPr>
        <w:t>intercoder</w:t>
      </w:r>
      <w:proofErr w:type="spellEnd"/>
      <w:r>
        <w:rPr>
          <w:sz w:val="24"/>
          <w:szCs w:val="24"/>
        </w:rPr>
        <w:t xml:space="preserve"> reliability (Miles &amp; Huberman, 1994). Results indicated that inter-coder reliability was moderate to high, with percentage agreement ranging from 70-100% (average 88.1%) and an average Cohen’s kappa of 0</w:t>
      </w:r>
      <w:r w:rsidRPr="00AA7160">
        <w:rPr>
          <w:sz w:val="24"/>
          <w:szCs w:val="24"/>
        </w:rPr>
        <w:t>.7</w:t>
      </w:r>
      <w:r>
        <w:rPr>
          <w:sz w:val="24"/>
          <w:szCs w:val="24"/>
        </w:rPr>
        <w:t>1, which is considered as ‘substantial’ agreement between coders (Landis &amp; Koch, 1977). The percentage agreement and kappa values for each discrete variable are presented in Table 2. Through discussion, all disagreements between coders were settled and coding was finalised. Data was entered in SPSS20 for analysis.</w:t>
      </w:r>
    </w:p>
    <w:p w14:paraId="7FC0317C" w14:textId="77777777" w:rsidR="00126982" w:rsidRPr="001272F2" w:rsidRDefault="00126982" w:rsidP="00500F06">
      <w:pPr>
        <w:spacing w:after="0" w:line="480" w:lineRule="auto"/>
        <w:jc w:val="both"/>
        <w:rPr>
          <w:sz w:val="24"/>
          <w:szCs w:val="24"/>
        </w:rPr>
      </w:pPr>
      <w:r>
        <w:rPr>
          <w:sz w:val="24"/>
          <w:szCs w:val="24"/>
        </w:rPr>
        <w:t>[Insert Table 2 here]</w:t>
      </w:r>
    </w:p>
    <w:p w14:paraId="6D31F869" w14:textId="77777777" w:rsidR="006B0079" w:rsidRDefault="006B0079" w:rsidP="00500F06">
      <w:pPr>
        <w:spacing w:after="0" w:line="480" w:lineRule="auto"/>
        <w:jc w:val="both"/>
        <w:rPr>
          <w:b/>
          <w:sz w:val="24"/>
          <w:szCs w:val="24"/>
        </w:rPr>
      </w:pPr>
    </w:p>
    <w:p w14:paraId="0B376D31" w14:textId="77777777" w:rsidR="00126982" w:rsidRDefault="00126982" w:rsidP="006B0079">
      <w:pPr>
        <w:spacing w:after="0" w:line="480" w:lineRule="auto"/>
        <w:jc w:val="center"/>
        <w:rPr>
          <w:sz w:val="24"/>
          <w:szCs w:val="24"/>
        </w:rPr>
      </w:pPr>
      <w:r w:rsidRPr="00E219DF">
        <w:rPr>
          <w:b/>
          <w:sz w:val="24"/>
          <w:szCs w:val="24"/>
        </w:rPr>
        <w:t>Results</w:t>
      </w:r>
    </w:p>
    <w:p w14:paraId="6864B01D" w14:textId="77777777" w:rsidR="00126982" w:rsidRDefault="00126982" w:rsidP="006B0079">
      <w:pPr>
        <w:spacing w:after="0" w:line="480" w:lineRule="auto"/>
        <w:jc w:val="both"/>
        <w:rPr>
          <w:sz w:val="24"/>
          <w:szCs w:val="24"/>
        </w:rPr>
      </w:pPr>
      <w:r>
        <w:rPr>
          <w:sz w:val="24"/>
          <w:szCs w:val="24"/>
        </w:rPr>
        <w:t>The results are presented in two sections in order of research question. The first section examines overall coverage of the issue (RQ1) and the second compares the UK and Irish media portrayal of the issue (RQ2).</w:t>
      </w:r>
    </w:p>
    <w:p w14:paraId="5C47E3CD" w14:textId="77777777" w:rsidR="006B0079" w:rsidRDefault="006B0079" w:rsidP="00500F06">
      <w:pPr>
        <w:spacing w:after="0" w:line="480" w:lineRule="auto"/>
        <w:jc w:val="both"/>
        <w:rPr>
          <w:b/>
          <w:sz w:val="24"/>
          <w:szCs w:val="24"/>
        </w:rPr>
      </w:pPr>
    </w:p>
    <w:p w14:paraId="79C53507" w14:textId="77777777" w:rsidR="00126982" w:rsidRDefault="00126982" w:rsidP="00500F06">
      <w:pPr>
        <w:spacing w:after="0" w:line="480" w:lineRule="auto"/>
        <w:jc w:val="both"/>
        <w:rPr>
          <w:b/>
          <w:sz w:val="24"/>
          <w:szCs w:val="24"/>
        </w:rPr>
      </w:pPr>
      <w:r w:rsidRPr="009F1590">
        <w:rPr>
          <w:b/>
          <w:sz w:val="24"/>
          <w:szCs w:val="24"/>
        </w:rPr>
        <w:t xml:space="preserve">RQ1: </w:t>
      </w:r>
      <w:r>
        <w:rPr>
          <w:b/>
          <w:sz w:val="24"/>
          <w:szCs w:val="24"/>
        </w:rPr>
        <w:t>Coverage of</w:t>
      </w:r>
      <w:r w:rsidRPr="009F1590">
        <w:rPr>
          <w:b/>
          <w:sz w:val="24"/>
          <w:szCs w:val="24"/>
        </w:rPr>
        <w:t xml:space="preserve"> the dioxin crisis</w:t>
      </w:r>
    </w:p>
    <w:p w14:paraId="1D904E59" w14:textId="4C044E97" w:rsidR="00126982" w:rsidRDefault="00126982" w:rsidP="00500F06">
      <w:pPr>
        <w:spacing w:after="0" w:line="480" w:lineRule="auto"/>
        <w:jc w:val="both"/>
        <w:rPr>
          <w:sz w:val="24"/>
          <w:szCs w:val="24"/>
        </w:rPr>
      </w:pPr>
      <w:r>
        <w:rPr>
          <w:sz w:val="24"/>
          <w:szCs w:val="24"/>
        </w:rPr>
        <w:t>In order to assess the dominant elements of the crisis in news coverage, articles were coded for the presence/absence of certain elements. Table 3 presents the results of this coding, which assisted in determining the overall emphasis of each individual article and hence, the dominant portrayal of the issue. Overall, consequences for the agribusiness industry, feed supplier/processor blame and the reporting of ‘no risk to health’ were the most common depictions of the issue.</w:t>
      </w:r>
    </w:p>
    <w:p w14:paraId="441A6919" w14:textId="77777777" w:rsidR="00126982" w:rsidRDefault="00126982" w:rsidP="006B0079">
      <w:pPr>
        <w:spacing w:after="0" w:line="480" w:lineRule="auto"/>
        <w:jc w:val="center"/>
        <w:rPr>
          <w:sz w:val="24"/>
          <w:szCs w:val="24"/>
        </w:rPr>
      </w:pPr>
      <w:r>
        <w:rPr>
          <w:sz w:val="24"/>
          <w:szCs w:val="24"/>
        </w:rPr>
        <w:t>[Insert Table 3 here]</w:t>
      </w:r>
    </w:p>
    <w:p w14:paraId="4CFB0D5B" w14:textId="77777777" w:rsidR="006B0079" w:rsidRDefault="006B0079" w:rsidP="006B0079">
      <w:pPr>
        <w:spacing w:after="0" w:line="480" w:lineRule="auto"/>
        <w:jc w:val="both"/>
        <w:rPr>
          <w:sz w:val="24"/>
          <w:szCs w:val="24"/>
        </w:rPr>
      </w:pPr>
    </w:p>
    <w:p w14:paraId="443EC9D6" w14:textId="77777777" w:rsidR="00126982" w:rsidRDefault="00126982" w:rsidP="006B0079">
      <w:pPr>
        <w:spacing w:after="0" w:line="480" w:lineRule="auto"/>
        <w:jc w:val="both"/>
        <w:rPr>
          <w:sz w:val="24"/>
          <w:szCs w:val="24"/>
        </w:rPr>
      </w:pPr>
      <w:r>
        <w:rPr>
          <w:sz w:val="24"/>
          <w:szCs w:val="24"/>
        </w:rPr>
        <w:lastRenderedPageBreak/>
        <w:t xml:space="preserve">Dominant representations of the crisis were determined based on these sub-codes. Results indicate that overall the 2008 Irish dioxin crisis was primarily portrayed by the newsprint media as an Industry and/or Economic crisis, appearing as the dominant focus in 38 (26.9%) of articles in the sample (Figure 1). Within this, the agricultural industry was frequently cited as being in crisis (42.6%) and the implications of the crisis for the wider economic environment also received attention (17.7%). The assignment of blame and responsibility was frequently discussed, appearing as the dominant theme in 37 articles (26.2%). The coding strategy facilitated insight into who was deemed at fault for causing the crisis and who was considered responsible for a solution. The government were most often positioned as responsible (22 articles, 59% of Blame/Responsibility coding) compared to the food processor/feed supplier (15 articles, 41%). This indicates that although the </w:t>
      </w:r>
      <w:r w:rsidRPr="003B7CA5">
        <w:rPr>
          <w:sz w:val="24"/>
          <w:szCs w:val="24"/>
        </w:rPr>
        <w:t xml:space="preserve">food processor/feed supplier </w:t>
      </w:r>
      <w:r>
        <w:rPr>
          <w:sz w:val="24"/>
          <w:szCs w:val="24"/>
        </w:rPr>
        <w:t>was identified as the source of the contamination in 55% of all articles, this was often framed as having occurred as a result of the failure of government and regulatory oversight. This is likely due to the finding that the food recycling plant at the centre of the crisis had not been subject to inspection by the Department of Agriculture in 2008.</w:t>
      </w:r>
    </w:p>
    <w:p w14:paraId="37D1E3D8" w14:textId="77777777" w:rsidR="00126982" w:rsidRPr="00B141DA" w:rsidRDefault="00126982" w:rsidP="006B0079">
      <w:pPr>
        <w:spacing w:after="0" w:line="480" w:lineRule="auto"/>
        <w:jc w:val="center"/>
        <w:rPr>
          <w:sz w:val="24"/>
          <w:szCs w:val="24"/>
        </w:rPr>
      </w:pPr>
      <w:r>
        <w:rPr>
          <w:sz w:val="24"/>
          <w:szCs w:val="24"/>
        </w:rPr>
        <w:t>[</w:t>
      </w:r>
      <w:r w:rsidRPr="00B141DA">
        <w:rPr>
          <w:sz w:val="24"/>
          <w:szCs w:val="24"/>
        </w:rPr>
        <w:t>Insert Figure 1 here]</w:t>
      </w:r>
    </w:p>
    <w:p w14:paraId="563C4CC0" w14:textId="77777777" w:rsidR="006B0079" w:rsidRDefault="006B0079" w:rsidP="006B0079">
      <w:pPr>
        <w:spacing w:after="0" w:line="480" w:lineRule="auto"/>
        <w:jc w:val="both"/>
        <w:rPr>
          <w:sz w:val="24"/>
          <w:szCs w:val="24"/>
        </w:rPr>
      </w:pPr>
    </w:p>
    <w:p w14:paraId="0A1EABCA" w14:textId="77777777" w:rsidR="00126982" w:rsidRDefault="00126982" w:rsidP="006B0079">
      <w:pPr>
        <w:spacing w:after="0" w:line="480" w:lineRule="auto"/>
        <w:jc w:val="both"/>
        <w:rPr>
          <w:sz w:val="24"/>
          <w:szCs w:val="24"/>
        </w:rPr>
      </w:pPr>
      <w:r>
        <w:rPr>
          <w:sz w:val="24"/>
          <w:szCs w:val="24"/>
        </w:rPr>
        <w:t xml:space="preserve">The ‘Health’ emphasis category was also divided into sub-codes of ‘health risk’ and ‘no health risk’. Similar to previous research (Ruth et al., 2005), there was often interplay between the ‘health risk’ and ‘no health risk’ elements, sometimes making it difficult to ascertain a dominant article position. Thirty articles (21.3% of sample) dominantly portrayed the issue as relevant to health and the majority of these articles emphasised the ‘no health risk’ message compared to the ‘health risk’ message (19 and 11 articles, respectively). There were only a minority of articles in the sample which presented a perspective on how the crisis </w:t>
      </w:r>
      <w:r>
        <w:rPr>
          <w:sz w:val="24"/>
          <w:szCs w:val="24"/>
        </w:rPr>
        <w:lastRenderedPageBreak/>
        <w:t xml:space="preserve">was affecting consumer confidence and food purchasing behaviour (8% of articles, </w:t>
      </w:r>
      <w:r w:rsidRPr="008B59F8">
        <w:rPr>
          <w:i/>
          <w:sz w:val="24"/>
          <w:szCs w:val="24"/>
        </w:rPr>
        <w:t>n</w:t>
      </w:r>
      <w:r>
        <w:rPr>
          <w:sz w:val="24"/>
          <w:szCs w:val="24"/>
        </w:rPr>
        <w:t>=11). Clearly, t</w:t>
      </w:r>
      <w:r w:rsidRPr="007C2356">
        <w:rPr>
          <w:sz w:val="24"/>
          <w:szCs w:val="24"/>
        </w:rPr>
        <w:t>here was minimal discussion a</w:t>
      </w:r>
      <w:r>
        <w:rPr>
          <w:sz w:val="24"/>
          <w:szCs w:val="24"/>
        </w:rPr>
        <w:t>bout the fall-out of this crisis in terms of consumer impact; that is, there was no significant indication in media reports that consumer confidence had</w:t>
      </w:r>
      <w:r w:rsidRPr="007C2356">
        <w:rPr>
          <w:sz w:val="24"/>
          <w:szCs w:val="24"/>
        </w:rPr>
        <w:t xml:space="preserve"> been </w:t>
      </w:r>
      <w:r>
        <w:rPr>
          <w:sz w:val="24"/>
          <w:szCs w:val="24"/>
        </w:rPr>
        <w:t>affected. Finally, 25 articles were coded as presenting a mixed message or had no clear emphasis (17.7% of sample).</w:t>
      </w:r>
    </w:p>
    <w:p w14:paraId="55B12173" w14:textId="77777777" w:rsidR="00126982" w:rsidRDefault="00126982" w:rsidP="00500F06">
      <w:pPr>
        <w:spacing w:after="0" w:line="480" w:lineRule="auto"/>
        <w:ind w:firstLine="720"/>
        <w:jc w:val="both"/>
        <w:rPr>
          <w:sz w:val="24"/>
          <w:szCs w:val="24"/>
        </w:rPr>
      </w:pPr>
    </w:p>
    <w:p w14:paraId="075D140B" w14:textId="77777777" w:rsidR="00126982" w:rsidRPr="009F1590" w:rsidRDefault="00126982" w:rsidP="00500F06">
      <w:pPr>
        <w:spacing w:after="0" w:line="480" w:lineRule="auto"/>
        <w:jc w:val="both"/>
        <w:rPr>
          <w:b/>
          <w:sz w:val="24"/>
          <w:szCs w:val="24"/>
        </w:rPr>
      </w:pPr>
      <w:r>
        <w:rPr>
          <w:b/>
          <w:sz w:val="24"/>
          <w:szCs w:val="24"/>
        </w:rPr>
        <w:t>RQ2: Differences between Irish and UK media portrayal of the crisis</w:t>
      </w:r>
    </w:p>
    <w:p w14:paraId="18D6A69E" w14:textId="625942C8" w:rsidR="00126982" w:rsidRDefault="00126982" w:rsidP="00500F06">
      <w:pPr>
        <w:spacing w:after="0" w:line="480" w:lineRule="auto"/>
        <w:jc w:val="both"/>
        <w:rPr>
          <w:sz w:val="24"/>
          <w:szCs w:val="24"/>
        </w:rPr>
      </w:pPr>
      <w:r>
        <w:rPr>
          <w:sz w:val="24"/>
          <w:szCs w:val="24"/>
        </w:rPr>
        <w:t xml:space="preserve">Research Question 2 investigated if differences existed between the UK and Irish media in their portrayal of the Irish dioxin crisis. As the UK is the main destination for Ireland’s agrifood and drink exports (Houses of the </w:t>
      </w:r>
      <w:proofErr w:type="spellStart"/>
      <w:r>
        <w:rPr>
          <w:sz w:val="24"/>
          <w:szCs w:val="24"/>
        </w:rPr>
        <w:t>Oireachtas</w:t>
      </w:r>
      <w:proofErr w:type="spellEnd"/>
      <w:r w:rsidRPr="00086D44">
        <w:rPr>
          <w:sz w:val="24"/>
          <w:szCs w:val="24"/>
        </w:rPr>
        <w:t>,</w:t>
      </w:r>
      <w:r>
        <w:rPr>
          <w:sz w:val="24"/>
          <w:szCs w:val="24"/>
        </w:rPr>
        <w:t xml:space="preserve"> 2009)</w:t>
      </w:r>
      <w:r w:rsidRPr="00086D44">
        <w:rPr>
          <w:sz w:val="24"/>
          <w:szCs w:val="24"/>
        </w:rPr>
        <w:t xml:space="preserve">, the crisis </w:t>
      </w:r>
      <w:r>
        <w:rPr>
          <w:sz w:val="24"/>
          <w:szCs w:val="24"/>
        </w:rPr>
        <w:t xml:space="preserve">also </w:t>
      </w:r>
      <w:r w:rsidRPr="00086D44">
        <w:rPr>
          <w:sz w:val="24"/>
          <w:szCs w:val="24"/>
        </w:rPr>
        <w:t xml:space="preserve">had significant implications </w:t>
      </w:r>
      <w:r>
        <w:rPr>
          <w:sz w:val="24"/>
          <w:szCs w:val="24"/>
        </w:rPr>
        <w:t xml:space="preserve">for UK-based businesses and consumers. Figure 2 illustrates the differences between the dominant media portrayals of the issue. The Irish media most frequently emphasised the impact on the industry and economy, likely due to the size of the agriculture industry in Ireland and the considerable impact the crisis could have on the wider economy. Emphasis on blame and responsibility for the crisis was second most common, while articles with mixed or no clear emphasis were also frequently observed. In contrast, the UK media were more likely to portray the issue as relevant to public health. Specifically, the UK media were significantly more likely than the Irish media to report the crisis as a ‘health risk’ to the consumer, </w:t>
      </w:r>
      <w:proofErr w:type="gramStart"/>
      <w:r w:rsidRPr="00C549A3">
        <w:rPr>
          <w:i/>
          <w:sz w:val="24"/>
          <w:szCs w:val="24"/>
        </w:rPr>
        <w:t>χ</w:t>
      </w:r>
      <w:r>
        <w:rPr>
          <w:sz w:val="24"/>
          <w:szCs w:val="24"/>
          <w:vertAlign w:val="superscript"/>
        </w:rPr>
        <w:t>2</w:t>
      </w:r>
      <w:r>
        <w:rPr>
          <w:sz w:val="24"/>
          <w:szCs w:val="24"/>
        </w:rPr>
        <w:t>(</w:t>
      </w:r>
      <w:proofErr w:type="gramEnd"/>
      <w:r>
        <w:rPr>
          <w:sz w:val="24"/>
          <w:szCs w:val="24"/>
        </w:rPr>
        <w:t xml:space="preserve">1) = 12.35, </w:t>
      </w:r>
      <w:r w:rsidRPr="00C549A3">
        <w:rPr>
          <w:i/>
          <w:sz w:val="24"/>
          <w:szCs w:val="24"/>
        </w:rPr>
        <w:t>p</w:t>
      </w:r>
      <w:r>
        <w:rPr>
          <w:sz w:val="24"/>
          <w:szCs w:val="24"/>
        </w:rPr>
        <w:t xml:space="preserve">=0.001 (odds ratio 4.5 : 1). It is important to note that there was no significant difference observed between countries in their presentation of the issue as ‘no health risk’ to the public. </w:t>
      </w:r>
    </w:p>
    <w:p w14:paraId="1563D51D" w14:textId="77777777" w:rsidR="006B0079" w:rsidRDefault="006B0079" w:rsidP="006B0079">
      <w:pPr>
        <w:spacing w:after="0" w:line="480" w:lineRule="auto"/>
        <w:jc w:val="both"/>
        <w:rPr>
          <w:sz w:val="24"/>
          <w:szCs w:val="24"/>
        </w:rPr>
      </w:pPr>
    </w:p>
    <w:p w14:paraId="7DC2ACD9" w14:textId="77777777" w:rsidR="00126982" w:rsidRDefault="00126982" w:rsidP="006B0079">
      <w:pPr>
        <w:spacing w:after="0" w:line="480" w:lineRule="auto"/>
        <w:jc w:val="both"/>
        <w:rPr>
          <w:sz w:val="24"/>
          <w:szCs w:val="24"/>
        </w:rPr>
      </w:pPr>
      <w:r>
        <w:rPr>
          <w:sz w:val="24"/>
          <w:szCs w:val="24"/>
        </w:rPr>
        <w:t xml:space="preserve">While the industry/economic emphasis was dominant in Irish media reports of the crisis, the UK media were less concerned with the impact of the crisis on the Irish agribusiness sector and economy. </w:t>
      </w:r>
      <w:r w:rsidRPr="00E309E5">
        <w:rPr>
          <w:sz w:val="24"/>
          <w:szCs w:val="24"/>
        </w:rPr>
        <w:t xml:space="preserve">As indicated by the results presented </w:t>
      </w:r>
      <w:r>
        <w:rPr>
          <w:sz w:val="24"/>
          <w:szCs w:val="24"/>
        </w:rPr>
        <w:t xml:space="preserve">in Table 4, the UK media were less likely </w:t>
      </w:r>
      <w:r>
        <w:rPr>
          <w:sz w:val="24"/>
          <w:szCs w:val="24"/>
        </w:rPr>
        <w:lastRenderedPageBreak/>
        <w:t xml:space="preserve">to discuss the impact on consumers, with the </w:t>
      </w:r>
      <w:r w:rsidRPr="00E8764D">
        <w:rPr>
          <w:sz w:val="24"/>
          <w:szCs w:val="24"/>
        </w:rPr>
        <w:t>Irish media</w:t>
      </w:r>
      <w:r>
        <w:rPr>
          <w:sz w:val="24"/>
          <w:szCs w:val="24"/>
        </w:rPr>
        <w:t xml:space="preserve"> </w:t>
      </w:r>
      <w:r w:rsidRPr="00E8764D">
        <w:rPr>
          <w:sz w:val="24"/>
          <w:szCs w:val="24"/>
        </w:rPr>
        <w:t xml:space="preserve">7.9 times more likely to </w:t>
      </w:r>
      <w:r>
        <w:rPr>
          <w:sz w:val="24"/>
          <w:szCs w:val="24"/>
        </w:rPr>
        <w:t>portray</w:t>
      </w:r>
      <w:r w:rsidRPr="00E8764D">
        <w:rPr>
          <w:sz w:val="24"/>
          <w:szCs w:val="24"/>
        </w:rPr>
        <w:t xml:space="preserve"> th</w:t>
      </w:r>
      <w:r>
        <w:rPr>
          <w:sz w:val="24"/>
          <w:szCs w:val="24"/>
        </w:rPr>
        <w:t>e issue as relevant to consumer trust and food purchasing</w:t>
      </w:r>
      <w:r w:rsidRPr="00E8764D">
        <w:rPr>
          <w:sz w:val="24"/>
          <w:szCs w:val="24"/>
        </w:rPr>
        <w:t xml:space="preserve"> behaviour.</w:t>
      </w:r>
      <w:r>
        <w:rPr>
          <w:sz w:val="24"/>
          <w:szCs w:val="24"/>
        </w:rPr>
        <w:t xml:space="preserve"> The assignment of blame/responsibility was the second most likely element to be invoked by the UK media and they were more likely to implicate the Irish government (</w:t>
      </w:r>
      <w:r w:rsidRPr="00AC40D9">
        <w:rPr>
          <w:i/>
          <w:sz w:val="24"/>
          <w:szCs w:val="24"/>
        </w:rPr>
        <w:t>n</w:t>
      </w:r>
      <w:r>
        <w:rPr>
          <w:sz w:val="24"/>
          <w:szCs w:val="24"/>
        </w:rPr>
        <w:t>=11) than feed supplies/processors (</w:t>
      </w:r>
      <w:r w:rsidRPr="00AC40D9">
        <w:rPr>
          <w:i/>
          <w:sz w:val="24"/>
          <w:szCs w:val="24"/>
        </w:rPr>
        <w:t>n</w:t>
      </w:r>
      <w:r>
        <w:rPr>
          <w:sz w:val="24"/>
          <w:szCs w:val="24"/>
        </w:rPr>
        <w:t>=4).</w:t>
      </w:r>
    </w:p>
    <w:p w14:paraId="306DFC8A" w14:textId="31F386F0" w:rsidR="00126982" w:rsidRDefault="00126982" w:rsidP="006B0079">
      <w:pPr>
        <w:spacing w:after="0" w:line="480" w:lineRule="auto"/>
        <w:jc w:val="center"/>
        <w:rPr>
          <w:sz w:val="24"/>
          <w:szCs w:val="24"/>
        </w:rPr>
      </w:pPr>
      <w:r>
        <w:rPr>
          <w:sz w:val="24"/>
          <w:szCs w:val="24"/>
        </w:rPr>
        <w:t>[Insert Figure 2 here]</w:t>
      </w:r>
    </w:p>
    <w:p w14:paraId="067E0FC8" w14:textId="77777777" w:rsidR="00126982" w:rsidRDefault="00126982" w:rsidP="006B0079">
      <w:pPr>
        <w:spacing w:after="0" w:line="480" w:lineRule="auto"/>
        <w:jc w:val="center"/>
        <w:rPr>
          <w:sz w:val="24"/>
          <w:szCs w:val="24"/>
        </w:rPr>
      </w:pPr>
      <w:r>
        <w:rPr>
          <w:sz w:val="24"/>
          <w:szCs w:val="24"/>
        </w:rPr>
        <w:t>[Insert Table 4 here]</w:t>
      </w:r>
    </w:p>
    <w:p w14:paraId="668C7103" w14:textId="77777777" w:rsidR="006B0079" w:rsidRDefault="006B0079" w:rsidP="006B0079">
      <w:pPr>
        <w:spacing w:after="0" w:line="480" w:lineRule="auto"/>
        <w:jc w:val="center"/>
        <w:rPr>
          <w:b/>
          <w:sz w:val="24"/>
          <w:szCs w:val="24"/>
        </w:rPr>
      </w:pPr>
    </w:p>
    <w:p w14:paraId="2D30105F" w14:textId="77777777" w:rsidR="00126982" w:rsidRPr="00E219DF" w:rsidRDefault="00126982" w:rsidP="006B0079">
      <w:pPr>
        <w:spacing w:after="0" w:line="480" w:lineRule="auto"/>
        <w:jc w:val="center"/>
        <w:rPr>
          <w:b/>
          <w:sz w:val="24"/>
          <w:szCs w:val="24"/>
        </w:rPr>
      </w:pPr>
      <w:r w:rsidRPr="00E219DF">
        <w:rPr>
          <w:b/>
          <w:sz w:val="24"/>
          <w:szCs w:val="24"/>
        </w:rPr>
        <w:t>Discussion</w:t>
      </w:r>
    </w:p>
    <w:p w14:paraId="27F0E681" w14:textId="77777777" w:rsidR="00126982" w:rsidRDefault="00126982" w:rsidP="00CB480D">
      <w:pPr>
        <w:spacing w:after="0" w:line="480" w:lineRule="auto"/>
        <w:jc w:val="both"/>
        <w:rPr>
          <w:sz w:val="24"/>
          <w:szCs w:val="24"/>
        </w:rPr>
      </w:pPr>
      <w:r>
        <w:rPr>
          <w:sz w:val="24"/>
          <w:szCs w:val="24"/>
        </w:rPr>
        <w:t xml:space="preserve">This study examined coverage of the 2008 Irish dioxin crisis in UK and Irish media. Overall, the emphasis on the impact of the incident on the industry and economy and the assignment of blame and responsibility were dominant concerns in the coverage of the crisis. According to Entman (1993), dominant media messages will likely be congruent with audience understandings and beliefs about an issue. Based on the tenets of framing theory (Entman, 1993), one would expect that news audiences would primarily understand the incident in terms of its impact on the agribusiness industry and the wider economy. The almost equal dominance of discussion of blame and responsibility for the crisis also suggests that the public may hold particular views regarding who was responsible for the dioxin contamination. In emphasising the issue as a fault of a processors or feed suppliers, the media are highlighting a potentially vulnerable link in the food chain. This may foster distrust in products identified as related to the source of contamination but could also have a related ‘knock on’ impact on sales of meat products generally. By comparison, portraying the issue as a fault of government and as </w:t>
      </w:r>
      <w:r w:rsidRPr="00E17448">
        <w:rPr>
          <w:sz w:val="24"/>
          <w:szCs w:val="24"/>
        </w:rPr>
        <w:t xml:space="preserve">due to a comparative lack of regulatory oversight </w:t>
      </w:r>
      <w:r>
        <w:rPr>
          <w:sz w:val="24"/>
          <w:szCs w:val="24"/>
        </w:rPr>
        <w:t>may result in calls for legislation and further action to increase monitoring and the frequency of safety inspections at this stage of the food production process</w:t>
      </w:r>
      <w:r w:rsidRPr="00E17448">
        <w:rPr>
          <w:sz w:val="24"/>
          <w:szCs w:val="24"/>
        </w:rPr>
        <w:t>.</w:t>
      </w:r>
      <w:r>
        <w:rPr>
          <w:sz w:val="24"/>
          <w:szCs w:val="24"/>
        </w:rPr>
        <w:t xml:space="preserve"> </w:t>
      </w:r>
    </w:p>
    <w:p w14:paraId="5FC79C1B" w14:textId="77777777" w:rsidR="00126982" w:rsidRDefault="00126982" w:rsidP="00CB480D">
      <w:pPr>
        <w:spacing w:after="0" w:line="480" w:lineRule="auto"/>
        <w:jc w:val="both"/>
        <w:rPr>
          <w:sz w:val="24"/>
          <w:szCs w:val="24"/>
        </w:rPr>
      </w:pPr>
      <w:r>
        <w:rPr>
          <w:sz w:val="24"/>
          <w:szCs w:val="24"/>
        </w:rPr>
        <w:lastRenderedPageBreak/>
        <w:t xml:space="preserve">In both scenarios, it is feasible that these framings of the issue could impact on consumer perceptions of the adequacy of oversight of the food chain. The dominant proportioning of blame on the Irish Government </w:t>
      </w:r>
      <w:r w:rsidRPr="002E4B8B">
        <w:rPr>
          <w:sz w:val="24"/>
          <w:szCs w:val="24"/>
        </w:rPr>
        <w:t xml:space="preserve">stemmed from the fact that the </w:t>
      </w:r>
      <w:r>
        <w:rPr>
          <w:sz w:val="24"/>
          <w:szCs w:val="24"/>
        </w:rPr>
        <w:t>food recycling plant</w:t>
      </w:r>
      <w:r w:rsidRPr="002E4B8B">
        <w:rPr>
          <w:sz w:val="24"/>
          <w:szCs w:val="24"/>
        </w:rPr>
        <w:t xml:space="preserve"> </w:t>
      </w:r>
      <w:r>
        <w:rPr>
          <w:sz w:val="24"/>
          <w:szCs w:val="24"/>
        </w:rPr>
        <w:t>at the centre of the contamination w</w:t>
      </w:r>
      <w:r w:rsidRPr="002E4B8B">
        <w:rPr>
          <w:sz w:val="24"/>
          <w:szCs w:val="24"/>
        </w:rPr>
        <w:t>as not subject to official inspection</w:t>
      </w:r>
      <w:r>
        <w:rPr>
          <w:sz w:val="24"/>
          <w:szCs w:val="24"/>
        </w:rPr>
        <w:t xml:space="preserve"> in 2008</w:t>
      </w:r>
      <w:r w:rsidRPr="002E4B8B">
        <w:rPr>
          <w:sz w:val="24"/>
          <w:szCs w:val="24"/>
        </w:rPr>
        <w:t>.</w:t>
      </w:r>
      <w:r>
        <w:rPr>
          <w:sz w:val="24"/>
          <w:szCs w:val="24"/>
        </w:rPr>
        <w:t xml:space="preserve"> </w:t>
      </w:r>
      <w:r w:rsidRPr="005C47AB">
        <w:rPr>
          <w:sz w:val="24"/>
          <w:szCs w:val="24"/>
        </w:rPr>
        <w:t xml:space="preserve">However, the oil was inappropriate for use in this circumstance and a criminal investigation followed the crisis due to concerns that illegal and unlicensed oil was </w:t>
      </w:r>
      <w:r>
        <w:rPr>
          <w:sz w:val="24"/>
          <w:szCs w:val="24"/>
        </w:rPr>
        <w:t>used by the processing plant; this too received considerable attention.</w:t>
      </w:r>
    </w:p>
    <w:p w14:paraId="68BFDE98" w14:textId="77777777" w:rsidR="00CB480D" w:rsidRDefault="00CB480D" w:rsidP="00CB480D">
      <w:pPr>
        <w:spacing w:after="0" w:line="480" w:lineRule="auto"/>
        <w:jc w:val="both"/>
        <w:rPr>
          <w:sz w:val="24"/>
          <w:szCs w:val="24"/>
        </w:rPr>
      </w:pPr>
    </w:p>
    <w:p w14:paraId="07BCAF53" w14:textId="77777777" w:rsidR="00126982" w:rsidRDefault="00126982" w:rsidP="00CB480D">
      <w:pPr>
        <w:spacing w:after="0" w:line="480" w:lineRule="auto"/>
        <w:jc w:val="both"/>
        <w:rPr>
          <w:sz w:val="24"/>
          <w:szCs w:val="24"/>
        </w:rPr>
      </w:pPr>
      <w:r>
        <w:rPr>
          <w:sz w:val="24"/>
          <w:szCs w:val="24"/>
        </w:rPr>
        <w:t xml:space="preserve">The second research question examined potential differences between Irish and UK media coverage of the crisis. </w:t>
      </w:r>
      <w:r w:rsidRPr="00C77081">
        <w:rPr>
          <w:sz w:val="24"/>
          <w:szCs w:val="24"/>
        </w:rPr>
        <w:t xml:space="preserve">Comparing </w:t>
      </w:r>
      <w:r>
        <w:rPr>
          <w:sz w:val="24"/>
          <w:szCs w:val="24"/>
        </w:rPr>
        <w:t>countries</w:t>
      </w:r>
      <w:r w:rsidRPr="00C77081">
        <w:rPr>
          <w:sz w:val="24"/>
          <w:szCs w:val="24"/>
        </w:rPr>
        <w:t xml:space="preserve"> may reveal different</w:t>
      </w:r>
      <w:r>
        <w:rPr>
          <w:sz w:val="24"/>
          <w:szCs w:val="24"/>
        </w:rPr>
        <w:t xml:space="preserve"> media</w:t>
      </w:r>
      <w:r w:rsidRPr="00C77081">
        <w:rPr>
          <w:sz w:val="24"/>
          <w:szCs w:val="24"/>
        </w:rPr>
        <w:t xml:space="preserve"> </w:t>
      </w:r>
      <w:r>
        <w:rPr>
          <w:sz w:val="24"/>
          <w:szCs w:val="24"/>
        </w:rPr>
        <w:t>concerns and political</w:t>
      </w:r>
      <w:r w:rsidRPr="00C77081">
        <w:rPr>
          <w:sz w:val="24"/>
          <w:szCs w:val="24"/>
        </w:rPr>
        <w:t xml:space="preserve"> motivations and </w:t>
      </w:r>
      <w:r>
        <w:rPr>
          <w:sz w:val="24"/>
          <w:szCs w:val="24"/>
        </w:rPr>
        <w:t xml:space="preserve">could </w:t>
      </w:r>
      <w:r w:rsidRPr="00C77081">
        <w:rPr>
          <w:sz w:val="24"/>
          <w:szCs w:val="24"/>
        </w:rPr>
        <w:t xml:space="preserve">therefore </w:t>
      </w:r>
      <w:r>
        <w:rPr>
          <w:sz w:val="24"/>
          <w:szCs w:val="24"/>
        </w:rPr>
        <w:t xml:space="preserve">indicate </w:t>
      </w:r>
      <w:r w:rsidRPr="00C77081">
        <w:rPr>
          <w:sz w:val="24"/>
          <w:szCs w:val="24"/>
        </w:rPr>
        <w:t>different un</w:t>
      </w:r>
      <w:r>
        <w:rPr>
          <w:sz w:val="24"/>
          <w:szCs w:val="24"/>
        </w:rPr>
        <w:t>derstandings of the same issue</w:t>
      </w:r>
      <w:r w:rsidRPr="00C77081">
        <w:rPr>
          <w:sz w:val="24"/>
          <w:szCs w:val="24"/>
        </w:rPr>
        <w:t xml:space="preserve">. </w:t>
      </w:r>
      <w:r>
        <w:rPr>
          <w:sz w:val="24"/>
          <w:szCs w:val="24"/>
        </w:rPr>
        <w:t xml:space="preserve">Analysis revealed divergences in the coverage of the issue; </w:t>
      </w:r>
      <w:r w:rsidRPr="003E7159">
        <w:rPr>
          <w:sz w:val="24"/>
          <w:szCs w:val="24"/>
        </w:rPr>
        <w:t>Irish media</w:t>
      </w:r>
      <w:r>
        <w:rPr>
          <w:sz w:val="24"/>
          <w:szCs w:val="24"/>
        </w:rPr>
        <w:t xml:space="preserve"> emphasised the impact of the crisis</w:t>
      </w:r>
      <w:r w:rsidRPr="003E7159">
        <w:rPr>
          <w:sz w:val="24"/>
          <w:szCs w:val="24"/>
        </w:rPr>
        <w:t xml:space="preserve"> on </w:t>
      </w:r>
      <w:r>
        <w:rPr>
          <w:sz w:val="24"/>
          <w:szCs w:val="24"/>
        </w:rPr>
        <w:t xml:space="preserve">Irish </w:t>
      </w:r>
      <w:r w:rsidRPr="003E7159">
        <w:rPr>
          <w:sz w:val="24"/>
          <w:szCs w:val="24"/>
        </w:rPr>
        <w:t>agribusiness</w:t>
      </w:r>
      <w:r>
        <w:rPr>
          <w:sz w:val="24"/>
          <w:szCs w:val="24"/>
        </w:rPr>
        <w:t xml:space="preserve"> and the wider economy,</w:t>
      </w:r>
      <w:r w:rsidRPr="003E7159">
        <w:rPr>
          <w:sz w:val="24"/>
          <w:szCs w:val="24"/>
        </w:rPr>
        <w:t xml:space="preserve"> </w:t>
      </w:r>
      <w:r>
        <w:rPr>
          <w:sz w:val="24"/>
          <w:szCs w:val="24"/>
        </w:rPr>
        <w:t xml:space="preserve">whereas UK media were more likely to portray the issue as relevant to public health. </w:t>
      </w:r>
      <w:r w:rsidRPr="003E7159">
        <w:rPr>
          <w:sz w:val="24"/>
          <w:szCs w:val="24"/>
        </w:rPr>
        <w:t xml:space="preserve">Given the size and contribution of the agribusiness sector to the Irish economy, it is perhaps not surprising that the issue was predominantly </w:t>
      </w:r>
      <w:r>
        <w:rPr>
          <w:sz w:val="24"/>
          <w:szCs w:val="24"/>
        </w:rPr>
        <w:t>portrayed</w:t>
      </w:r>
      <w:r w:rsidRPr="003E7159">
        <w:rPr>
          <w:sz w:val="24"/>
          <w:szCs w:val="24"/>
        </w:rPr>
        <w:t xml:space="preserve"> this way</w:t>
      </w:r>
      <w:r>
        <w:rPr>
          <w:sz w:val="24"/>
          <w:szCs w:val="24"/>
        </w:rPr>
        <w:t xml:space="preserve"> in Ireland</w:t>
      </w:r>
      <w:r w:rsidRPr="003E7159">
        <w:rPr>
          <w:sz w:val="24"/>
          <w:szCs w:val="24"/>
        </w:rPr>
        <w:t xml:space="preserve">. </w:t>
      </w:r>
      <w:r>
        <w:rPr>
          <w:sz w:val="24"/>
          <w:szCs w:val="24"/>
        </w:rPr>
        <w:t>The a</w:t>
      </w:r>
      <w:r w:rsidRPr="003E7159">
        <w:rPr>
          <w:sz w:val="24"/>
          <w:szCs w:val="24"/>
        </w:rPr>
        <w:t>gribusiness i</w:t>
      </w:r>
      <w:r>
        <w:rPr>
          <w:sz w:val="24"/>
          <w:szCs w:val="24"/>
        </w:rPr>
        <w:t>ndustry represented 8.5% Ireland’</w:t>
      </w:r>
      <w:r w:rsidRPr="003E7159">
        <w:rPr>
          <w:sz w:val="24"/>
          <w:szCs w:val="24"/>
        </w:rPr>
        <w:t xml:space="preserve">s workforce in 2008, with annual exports </w:t>
      </w:r>
      <w:r>
        <w:rPr>
          <w:sz w:val="24"/>
          <w:szCs w:val="24"/>
        </w:rPr>
        <w:t xml:space="preserve">exceeding €8 billion, and therefore the crisis constituted a significant threat to the Irish economy. In contrast, the UK media were more concerned with the potential health implications of this food risk event. Despite the finding that UK media were significantly more likely to report the dioxin contamination as a risk to human health, there were no significant differences between countries in their reporting of the crisis as having no health risk to the consumer. This indicates that the UK media tended to report the potential health risk of contamination, before also reporting the communications of the Irish and UK food safety authorities and other health experts who reassured the public regarding the negligible health risk of the meat contamination. </w:t>
      </w:r>
    </w:p>
    <w:p w14:paraId="6C9EABC3" w14:textId="77777777" w:rsidR="00126982" w:rsidRPr="00046C45" w:rsidRDefault="00126982" w:rsidP="00CB480D">
      <w:pPr>
        <w:spacing w:after="0" w:line="480" w:lineRule="auto"/>
        <w:jc w:val="both"/>
        <w:rPr>
          <w:sz w:val="24"/>
          <w:szCs w:val="24"/>
        </w:rPr>
      </w:pPr>
      <w:r>
        <w:rPr>
          <w:sz w:val="24"/>
          <w:szCs w:val="24"/>
        </w:rPr>
        <w:lastRenderedPageBreak/>
        <w:t>Day (1997)</w:t>
      </w:r>
      <w:r w:rsidRPr="003E7159">
        <w:rPr>
          <w:sz w:val="24"/>
          <w:szCs w:val="24"/>
        </w:rPr>
        <w:t xml:space="preserve"> reminds us th</w:t>
      </w:r>
      <w:r>
        <w:rPr>
          <w:sz w:val="24"/>
          <w:szCs w:val="24"/>
        </w:rPr>
        <w:t>at even specialist journalists in the areas of health or</w:t>
      </w:r>
      <w:r w:rsidRPr="003E7159">
        <w:rPr>
          <w:sz w:val="24"/>
          <w:szCs w:val="24"/>
        </w:rPr>
        <w:t xml:space="preserve"> science</w:t>
      </w:r>
      <w:r>
        <w:rPr>
          <w:sz w:val="24"/>
          <w:szCs w:val="24"/>
        </w:rPr>
        <w:t xml:space="preserve"> are</w:t>
      </w:r>
      <w:r w:rsidRPr="003E7159">
        <w:rPr>
          <w:sz w:val="24"/>
          <w:szCs w:val="24"/>
        </w:rPr>
        <w:t xml:space="preserve"> </w:t>
      </w:r>
      <w:r>
        <w:rPr>
          <w:sz w:val="24"/>
          <w:szCs w:val="24"/>
        </w:rPr>
        <w:t xml:space="preserve">journalists </w:t>
      </w:r>
      <w:r w:rsidRPr="003E7159">
        <w:rPr>
          <w:sz w:val="24"/>
          <w:szCs w:val="24"/>
        </w:rPr>
        <w:t>first</w:t>
      </w:r>
      <w:r>
        <w:rPr>
          <w:sz w:val="24"/>
          <w:szCs w:val="24"/>
        </w:rPr>
        <w:t xml:space="preserve">. Thus, the UK reporting of the issue may represent a manifestation of the different goals of science and the media. Eyck (2000) posits that the news media are attracted to sensationalist stories that can affect a wide number of people and have high news value, thus, food risk crises are exemplars of an ‘ideal’ media story. These media-facilitated issues then can become politicised, developing into power struggles between various stakeholders and interest groups, as they compete to define the problem and search for culprits to blame and hold responsible. </w:t>
      </w:r>
      <w:proofErr w:type="spellStart"/>
      <w:r w:rsidRPr="00046C45">
        <w:rPr>
          <w:sz w:val="24"/>
          <w:szCs w:val="24"/>
        </w:rPr>
        <w:t>Feindt</w:t>
      </w:r>
      <w:proofErr w:type="spellEnd"/>
      <w:r w:rsidRPr="00046C45">
        <w:rPr>
          <w:sz w:val="24"/>
          <w:szCs w:val="24"/>
        </w:rPr>
        <w:t xml:space="preserve"> and </w:t>
      </w:r>
      <w:proofErr w:type="spellStart"/>
      <w:r w:rsidRPr="00046C45">
        <w:rPr>
          <w:sz w:val="24"/>
          <w:szCs w:val="24"/>
        </w:rPr>
        <w:t>Kleinschmit</w:t>
      </w:r>
      <w:proofErr w:type="spellEnd"/>
      <w:r w:rsidRPr="00046C45">
        <w:rPr>
          <w:sz w:val="24"/>
          <w:szCs w:val="24"/>
        </w:rPr>
        <w:t xml:space="preserve"> (2011) describe food crises as contested events, as they create an opportu</w:t>
      </w:r>
      <w:r>
        <w:rPr>
          <w:sz w:val="24"/>
          <w:szCs w:val="24"/>
        </w:rPr>
        <w:t>nity to legitimise policy change. Thus, the portrayal of the issue could also have significant implications for future food policy.</w:t>
      </w:r>
      <w:r w:rsidRPr="00046C45">
        <w:rPr>
          <w:sz w:val="24"/>
          <w:szCs w:val="24"/>
        </w:rPr>
        <w:t xml:space="preserve"> </w:t>
      </w:r>
      <w:r>
        <w:rPr>
          <w:sz w:val="24"/>
          <w:szCs w:val="24"/>
        </w:rPr>
        <w:t xml:space="preserve">In the current analysis, it was clear that the discussion of blame and responsibility featured strongly, with the government implicated as primarily at fault. Although the dioxin contamination has since been investigated as revealed to be caused by the supply of illegal fuel to the recycling plant producing animal feed and contamination from oil fumes, there was a strong focus on the alleged failure of government and regulatory oversight to have controls in place that would prevent this kind of contamination. </w:t>
      </w:r>
    </w:p>
    <w:p w14:paraId="23CB596B" w14:textId="77777777" w:rsidR="00CB480D" w:rsidRDefault="00CB480D" w:rsidP="00CB480D">
      <w:pPr>
        <w:spacing w:after="0" w:line="480" w:lineRule="auto"/>
        <w:jc w:val="both"/>
        <w:rPr>
          <w:sz w:val="24"/>
          <w:szCs w:val="24"/>
        </w:rPr>
      </w:pPr>
    </w:p>
    <w:p w14:paraId="1E3042EA" w14:textId="77777777" w:rsidR="00126982" w:rsidRDefault="00126982" w:rsidP="00CB480D">
      <w:pPr>
        <w:spacing w:after="0" w:line="480" w:lineRule="auto"/>
        <w:jc w:val="both"/>
        <w:rPr>
          <w:sz w:val="24"/>
          <w:szCs w:val="24"/>
        </w:rPr>
      </w:pPr>
      <w:r>
        <w:rPr>
          <w:sz w:val="24"/>
          <w:szCs w:val="24"/>
        </w:rPr>
        <w:t>It is</w:t>
      </w:r>
      <w:r w:rsidRPr="00046C45">
        <w:rPr>
          <w:sz w:val="24"/>
          <w:szCs w:val="24"/>
        </w:rPr>
        <w:t xml:space="preserve"> </w:t>
      </w:r>
      <w:r>
        <w:rPr>
          <w:sz w:val="24"/>
          <w:szCs w:val="24"/>
        </w:rPr>
        <w:t>asserted</w:t>
      </w:r>
      <w:r w:rsidRPr="00046C45">
        <w:rPr>
          <w:sz w:val="24"/>
          <w:szCs w:val="24"/>
        </w:rPr>
        <w:t xml:space="preserve"> that during crises</w:t>
      </w:r>
      <w:r>
        <w:rPr>
          <w:sz w:val="24"/>
          <w:szCs w:val="24"/>
        </w:rPr>
        <w:t>,</w:t>
      </w:r>
      <w:r w:rsidRPr="00046C45">
        <w:rPr>
          <w:sz w:val="24"/>
          <w:szCs w:val="24"/>
        </w:rPr>
        <w:t xml:space="preserve"> responsib</w:t>
      </w:r>
      <w:r>
        <w:rPr>
          <w:sz w:val="24"/>
          <w:szCs w:val="24"/>
        </w:rPr>
        <w:t>ilities are negotiated in urgency</w:t>
      </w:r>
      <w:r w:rsidRPr="00046C45">
        <w:rPr>
          <w:sz w:val="24"/>
          <w:szCs w:val="24"/>
        </w:rPr>
        <w:t xml:space="preserve"> and therefore </w:t>
      </w:r>
      <w:r>
        <w:rPr>
          <w:sz w:val="24"/>
          <w:szCs w:val="24"/>
        </w:rPr>
        <w:t xml:space="preserve">media communications and the dominance of one depiction or message </w:t>
      </w:r>
      <w:r w:rsidRPr="00046C45">
        <w:rPr>
          <w:sz w:val="24"/>
          <w:szCs w:val="24"/>
        </w:rPr>
        <w:t>can have implications for</w:t>
      </w:r>
      <w:r>
        <w:rPr>
          <w:sz w:val="24"/>
          <w:szCs w:val="24"/>
        </w:rPr>
        <w:t xml:space="preserve"> public</w:t>
      </w:r>
      <w:r w:rsidRPr="00046C45">
        <w:rPr>
          <w:sz w:val="24"/>
          <w:szCs w:val="24"/>
        </w:rPr>
        <w:t xml:space="preserve"> understanding and beliefs regarding blame </w:t>
      </w:r>
      <w:r>
        <w:rPr>
          <w:sz w:val="24"/>
          <w:szCs w:val="24"/>
        </w:rPr>
        <w:t>(</w:t>
      </w:r>
      <w:proofErr w:type="spellStart"/>
      <w:r>
        <w:rPr>
          <w:sz w:val="24"/>
          <w:szCs w:val="24"/>
        </w:rPr>
        <w:t>Feindt</w:t>
      </w:r>
      <w:proofErr w:type="spellEnd"/>
      <w:r>
        <w:rPr>
          <w:sz w:val="24"/>
          <w:szCs w:val="24"/>
        </w:rPr>
        <w:t xml:space="preserve"> &amp; </w:t>
      </w:r>
      <w:proofErr w:type="spellStart"/>
      <w:r>
        <w:rPr>
          <w:sz w:val="24"/>
          <w:szCs w:val="24"/>
        </w:rPr>
        <w:t>Kleinschmit</w:t>
      </w:r>
      <w:proofErr w:type="spellEnd"/>
      <w:r>
        <w:rPr>
          <w:sz w:val="24"/>
          <w:szCs w:val="24"/>
        </w:rPr>
        <w:t>, 2011)</w:t>
      </w:r>
      <w:r w:rsidRPr="00046C45">
        <w:rPr>
          <w:sz w:val="24"/>
          <w:szCs w:val="24"/>
        </w:rPr>
        <w:t>. In this way, the media operate as sit</w:t>
      </w:r>
      <w:r>
        <w:rPr>
          <w:sz w:val="24"/>
          <w:szCs w:val="24"/>
        </w:rPr>
        <w:t>e of social construction, where</w:t>
      </w:r>
      <w:r w:rsidRPr="00046C45">
        <w:rPr>
          <w:sz w:val="24"/>
          <w:szCs w:val="24"/>
        </w:rPr>
        <w:t xml:space="preserve"> meanings and responsibilities are negotiated and understanding dominant </w:t>
      </w:r>
      <w:r>
        <w:rPr>
          <w:sz w:val="24"/>
          <w:szCs w:val="24"/>
        </w:rPr>
        <w:t>media messages</w:t>
      </w:r>
      <w:r w:rsidRPr="00046C45">
        <w:rPr>
          <w:sz w:val="24"/>
          <w:szCs w:val="24"/>
        </w:rPr>
        <w:t xml:space="preserve"> can help to und</w:t>
      </w:r>
      <w:r>
        <w:rPr>
          <w:sz w:val="24"/>
          <w:szCs w:val="24"/>
        </w:rPr>
        <w:t>erstand dominant public opinion</w:t>
      </w:r>
      <w:r w:rsidRPr="00046C45">
        <w:rPr>
          <w:sz w:val="24"/>
          <w:szCs w:val="24"/>
        </w:rPr>
        <w:t xml:space="preserve"> (Entman, 1993, 2004).</w:t>
      </w:r>
      <w:r>
        <w:rPr>
          <w:sz w:val="24"/>
          <w:szCs w:val="24"/>
        </w:rPr>
        <w:t xml:space="preserve"> This is a key strength of the current research and underlines the value of this study as a proxy of public opinion. Previous work has found that the media portrayal of the Belgian dioxin crisis had a significant negative impact on </w:t>
      </w:r>
      <w:r>
        <w:rPr>
          <w:sz w:val="24"/>
          <w:szCs w:val="24"/>
        </w:rPr>
        <w:lastRenderedPageBreak/>
        <w:t xml:space="preserve">consumer confidence and behaviour </w:t>
      </w:r>
      <w:r w:rsidRPr="00D24B04">
        <w:rPr>
          <w:sz w:val="24"/>
          <w:szCs w:val="24"/>
        </w:rPr>
        <w:t>(</w:t>
      </w:r>
      <w:proofErr w:type="spellStart"/>
      <w:r w:rsidRPr="00D24B04">
        <w:rPr>
          <w:sz w:val="24"/>
          <w:szCs w:val="24"/>
        </w:rPr>
        <w:t>Verbeke</w:t>
      </w:r>
      <w:proofErr w:type="spellEnd"/>
      <w:r w:rsidRPr="00D24B04">
        <w:rPr>
          <w:sz w:val="24"/>
          <w:szCs w:val="24"/>
        </w:rPr>
        <w:t xml:space="preserve"> </w:t>
      </w:r>
      <w:r>
        <w:rPr>
          <w:sz w:val="24"/>
          <w:szCs w:val="24"/>
        </w:rPr>
        <w:t>et al.</w:t>
      </w:r>
      <w:r w:rsidRPr="00D24B04">
        <w:rPr>
          <w:sz w:val="24"/>
          <w:szCs w:val="24"/>
        </w:rPr>
        <w:t>, 1999)</w:t>
      </w:r>
      <w:r>
        <w:rPr>
          <w:sz w:val="24"/>
          <w:szCs w:val="24"/>
        </w:rPr>
        <w:t xml:space="preserve">. Yet, given the differences between the Belgian and Irish governments’ handling of the respective dioxin crises (Jacob et al., 2011) and the relative lack of negative and alarming reporting by the Irish media (particularly regarding health risks), it appears that these factors may have contributed to differences in the impact of the incidents on the Belgian and Irish public (Kennedy et al., 2010; </w:t>
      </w:r>
      <w:proofErr w:type="spellStart"/>
      <w:r>
        <w:rPr>
          <w:sz w:val="24"/>
          <w:szCs w:val="24"/>
        </w:rPr>
        <w:t>Verbeke</w:t>
      </w:r>
      <w:proofErr w:type="spellEnd"/>
      <w:r>
        <w:rPr>
          <w:sz w:val="24"/>
          <w:szCs w:val="24"/>
        </w:rPr>
        <w:t xml:space="preserve"> et al., 1999). </w:t>
      </w:r>
      <w:r w:rsidRPr="00DF13F1">
        <w:rPr>
          <w:sz w:val="24"/>
          <w:szCs w:val="24"/>
        </w:rPr>
        <w:t xml:space="preserve">The Irish dioxin crisis </w:t>
      </w:r>
      <w:r>
        <w:rPr>
          <w:sz w:val="24"/>
          <w:szCs w:val="24"/>
        </w:rPr>
        <w:t>is</w:t>
      </w:r>
      <w:r w:rsidRPr="00DF13F1">
        <w:rPr>
          <w:sz w:val="24"/>
          <w:szCs w:val="24"/>
        </w:rPr>
        <w:t xml:space="preserve"> widely regarded as an example of a successfully managed food safety </w:t>
      </w:r>
      <w:r>
        <w:rPr>
          <w:sz w:val="24"/>
          <w:szCs w:val="24"/>
        </w:rPr>
        <w:t>event (Casey et al.</w:t>
      </w:r>
      <w:r w:rsidRPr="00131B34">
        <w:rPr>
          <w:sz w:val="24"/>
          <w:szCs w:val="24"/>
        </w:rPr>
        <w:t xml:space="preserve">, 2010; </w:t>
      </w:r>
      <w:r>
        <w:rPr>
          <w:sz w:val="24"/>
          <w:szCs w:val="24"/>
        </w:rPr>
        <w:t>Jacob et al.</w:t>
      </w:r>
      <w:r w:rsidRPr="00131B34">
        <w:rPr>
          <w:sz w:val="24"/>
          <w:szCs w:val="24"/>
        </w:rPr>
        <w:t>, 2001</w:t>
      </w:r>
      <w:r w:rsidRPr="00DF13F1">
        <w:rPr>
          <w:sz w:val="24"/>
          <w:szCs w:val="24"/>
        </w:rPr>
        <w:t xml:space="preserve">), with minimal damage to consumer trust in authorities. The management of the </w:t>
      </w:r>
      <w:r>
        <w:rPr>
          <w:sz w:val="24"/>
          <w:szCs w:val="24"/>
        </w:rPr>
        <w:t>incident</w:t>
      </w:r>
      <w:r w:rsidRPr="00DF13F1">
        <w:rPr>
          <w:sz w:val="24"/>
          <w:szCs w:val="24"/>
        </w:rPr>
        <w:t xml:space="preserve"> was broadly in line with consumer perceptions of best pract</w:t>
      </w:r>
      <w:r>
        <w:rPr>
          <w:sz w:val="24"/>
          <w:szCs w:val="24"/>
        </w:rPr>
        <w:t xml:space="preserve">ice in risk communication (Cope, </w:t>
      </w:r>
      <w:r>
        <w:rPr>
          <w:noProof/>
          <w:sz w:val="24"/>
          <w:szCs w:val="24"/>
        </w:rPr>
        <w:t xml:space="preserve">Frewer, </w:t>
      </w:r>
      <w:r w:rsidRPr="00AC247A">
        <w:rPr>
          <w:noProof/>
          <w:sz w:val="24"/>
          <w:szCs w:val="24"/>
        </w:rPr>
        <w:t>Hough</w:t>
      </w:r>
      <w:r>
        <w:rPr>
          <w:noProof/>
          <w:sz w:val="24"/>
          <w:szCs w:val="24"/>
        </w:rPr>
        <w:t xml:space="preserve">ton, </w:t>
      </w:r>
      <w:r w:rsidRPr="00AC247A">
        <w:rPr>
          <w:noProof/>
          <w:sz w:val="24"/>
          <w:szCs w:val="24"/>
        </w:rPr>
        <w:t>Rowe, Fischer, &amp; de Jonge</w:t>
      </w:r>
      <w:r w:rsidRPr="00DF13F1">
        <w:rPr>
          <w:sz w:val="24"/>
          <w:szCs w:val="24"/>
        </w:rPr>
        <w:t xml:space="preserve">, 2010) and </w:t>
      </w:r>
      <w:r>
        <w:rPr>
          <w:sz w:val="24"/>
          <w:szCs w:val="24"/>
        </w:rPr>
        <w:t>research has found</w:t>
      </w:r>
      <w:r w:rsidRPr="00DF13F1">
        <w:rPr>
          <w:sz w:val="24"/>
          <w:szCs w:val="24"/>
        </w:rPr>
        <w:t xml:space="preserve"> that the majority of consumers surveyed felt that the incident had been handled in an adequate or efficient manner (</w:t>
      </w:r>
      <w:r>
        <w:rPr>
          <w:sz w:val="24"/>
          <w:szCs w:val="24"/>
        </w:rPr>
        <w:t>Kennedy</w:t>
      </w:r>
      <w:r w:rsidRPr="00CE4B6B">
        <w:rPr>
          <w:sz w:val="24"/>
          <w:szCs w:val="24"/>
        </w:rPr>
        <w:t xml:space="preserve"> </w:t>
      </w:r>
      <w:r>
        <w:rPr>
          <w:sz w:val="24"/>
          <w:szCs w:val="24"/>
        </w:rPr>
        <w:t>et al.,</w:t>
      </w:r>
      <w:r w:rsidRPr="00CE4B6B">
        <w:rPr>
          <w:sz w:val="24"/>
          <w:szCs w:val="24"/>
        </w:rPr>
        <w:t xml:space="preserve"> 2010</w:t>
      </w:r>
      <w:r>
        <w:rPr>
          <w:sz w:val="24"/>
          <w:szCs w:val="24"/>
        </w:rPr>
        <w:t>).</w:t>
      </w:r>
    </w:p>
    <w:p w14:paraId="4B321C70" w14:textId="77777777" w:rsidR="00CB480D" w:rsidRDefault="00CB480D" w:rsidP="00CB480D">
      <w:pPr>
        <w:spacing w:after="0" w:line="480" w:lineRule="auto"/>
        <w:jc w:val="both"/>
        <w:rPr>
          <w:sz w:val="24"/>
          <w:szCs w:val="24"/>
        </w:rPr>
      </w:pPr>
    </w:p>
    <w:p w14:paraId="3C83D437" w14:textId="77777777" w:rsidR="00126982" w:rsidRPr="00373582" w:rsidRDefault="00126982" w:rsidP="00CB480D">
      <w:pPr>
        <w:spacing w:after="0" w:line="480" w:lineRule="auto"/>
        <w:jc w:val="both"/>
        <w:rPr>
          <w:sz w:val="24"/>
          <w:szCs w:val="24"/>
        </w:rPr>
      </w:pPr>
      <w:r w:rsidRPr="00373582">
        <w:rPr>
          <w:sz w:val="24"/>
          <w:szCs w:val="24"/>
        </w:rPr>
        <w:t>In sum, this study found that the 2008 Irish dioxin crisis was primarily portrayed as significantly impacting on the</w:t>
      </w:r>
      <w:r>
        <w:rPr>
          <w:sz w:val="24"/>
          <w:szCs w:val="24"/>
        </w:rPr>
        <w:t xml:space="preserve"> Irish</w:t>
      </w:r>
      <w:r w:rsidRPr="00373582">
        <w:rPr>
          <w:sz w:val="24"/>
          <w:szCs w:val="24"/>
        </w:rPr>
        <w:t xml:space="preserve"> agribusiness industry and economy, though</w:t>
      </w:r>
      <w:r>
        <w:rPr>
          <w:sz w:val="24"/>
          <w:szCs w:val="24"/>
        </w:rPr>
        <w:t xml:space="preserve"> discussion of</w:t>
      </w:r>
      <w:r w:rsidRPr="00373582">
        <w:rPr>
          <w:sz w:val="24"/>
          <w:szCs w:val="24"/>
        </w:rPr>
        <w:t xml:space="preserve"> blame and responsibility </w:t>
      </w:r>
      <w:r>
        <w:rPr>
          <w:sz w:val="24"/>
          <w:szCs w:val="24"/>
        </w:rPr>
        <w:t>for the event was</w:t>
      </w:r>
      <w:r w:rsidRPr="00373582">
        <w:rPr>
          <w:sz w:val="24"/>
          <w:szCs w:val="24"/>
        </w:rPr>
        <w:t xml:space="preserve"> also common. Differences emerged between Irish and UK newspaper coverage of the incident, with the UK media more likely to invoke</w:t>
      </w:r>
      <w:r>
        <w:rPr>
          <w:sz w:val="24"/>
          <w:szCs w:val="24"/>
        </w:rPr>
        <w:t xml:space="preserve"> an emphasis on health </w:t>
      </w:r>
      <w:r w:rsidRPr="00373582">
        <w:rPr>
          <w:sz w:val="24"/>
          <w:szCs w:val="24"/>
        </w:rPr>
        <w:t xml:space="preserve">and Irish media more likely to </w:t>
      </w:r>
      <w:r>
        <w:rPr>
          <w:sz w:val="24"/>
          <w:szCs w:val="24"/>
        </w:rPr>
        <w:t>describe the impact of the crisis on the consumer</w:t>
      </w:r>
      <w:r w:rsidRPr="00373582">
        <w:rPr>
          <w:sz w:val="24"/>
          <w:szCs w:val="24"/>
        </w:rPr>
        <w:t xml:space="preserve">. This study adapted an existing </w:t>
      </w:r>
      <w:r>
        <w:rPr>
          <w:sz w:val="24"/>
          <w:szCs w:val="24"/>
        </w:rPr>
        <w:t>coding framework</w:t>
      </w:r>
      <w:r w:rsidRPr="00373582">
        <w:rPr>
          <w:sz w:val="24"/>
          <w:szCs w:val="24"/>
        </w:rPr>
        <w:t xml:space="preserve">, used previously in the analysis of other food risk events, </w:t>
      </w:r>
      <w:r>
        <w:rPr>
          <w:sz w:val="24"/>
          <w:szCs w:val="24"/>
        </w:rPr>
        <w:t xml:space="preserve">and </w:t>
      </w:r>
      <w:r w:rsidRPr="00373582">
        <w:rPr>
          <w:sz w:val="24"/>
          <w:szCs w:val="24"/>
        </w:rPr>
        <w:t>subsequent adjustment of the coding frame where appropriate helped to ensure it was relevant for the examination of the dioxin contamination incident. Future research should examine if the typology employed</w:t>
      </w:r>
      <w:r>
        <w:rPr>
          <w:sz w:val="24"/>
          <w:szCs w:val="24"/>
        </w:rPr>
        <w:t xml:space="preserve"> here</w:t>
      </w:r>
      <w:r w:rsidRPr="00373582">
        <w:rPr>
          <w:sz w:val="24"/>
          <w:szCs w:val="24"/>
        </w:rPr>
        <w:t xml:space="preserve"> may be extended to other food risk events, such as the recent adulteration of beef products with horsemeat, to assess its value in other kinds of food risks. </w:t>
      </w:r>
    </w:p>
    <w:p w14:paraId="28710737" w14:textId="77777777" w:rsidR="00126982" w:rsidRDefault="00126982" w:rsidP="00CB480D">
      <w:pPr>
        <w:spacing w:after="0" w:line="480" w:lineRule="auto"/>
        <w:jc w:val="center"/>
        <w:rPr>
          <w:b/>
          <w:sz w:val="24"/>
          <w:szCs w:val="24"/>
        </w:rPr>
      </w:pPr>
      <w:r w:rsidRPr="00373582">
        <w:rPr>
          <w:sz w:val="24"/>
          <w:szCs w:val="24"/>
        </w:rPr>
        <w:br w:type="page"/>
      </w:r>
      <w:r w:rsidRPr="00D23792">
        <w:rPr>
          <w:b/>
          <w:sz w:val="24"/>
          <w:szCs w:val="24"/>
        </w:rPr>
        <w:lastRenderedPageBreak/>
        <w:t>References</w:t>
      </w:r>
    </w:p>
    <w:p w14:paraId="132E9C87" w14:textId="77777777" w:rsidR="00126982" w:rsidRDefault="00126982" w:rsidP="00500F06">
      <w:pPr>
        <w:spacing w:after="0" w:line="480" w:lineRule="auto"/>
        <w:jc w:val="both"/>
        <w:rPr>
          <w:noProof/>
          <w:sz w:val="24"/>
          <w:szCs w:val="24"/>
        </w:rPr>
      </w:pPr>
      <w:r w:rsidRPr="00AF0E45">
        <w:rPr>
          <w:noProof/>
          <w:sz w:val="24"/>
          <w:szCs w:val="24"/>
        </w:rPr>
        <w:t xml:space="preserve">An, S.-K., &amp; Gower, K. K. (2009). How do the news media frame crises? A content analysis </w:t>
      </w:r>
      <w:r>
        <w:rPr>
          <w:noProof/>
          <w:sz w:val="24"/>
          <w:szCs w:val="24"/>
        </w:rPr>
        <w:tab/>
      </w:r>
      <w:r w:rsidRPr="00BE3A3B">
        <w:rPr>
          <w:noProof/>
          <w:sz w:val="24"/>
          <w:szCs w:val="24"/>
        </w:rPr>
        <w:t xml:space="preserve">of crisis news coverage. </w:t>
      </w:r>
      <w:r w:rsidRPr="00BE3A3B">
        <w:rPr>
          <w:i/>
          <w:iCs/>
          <w:noProof/>
          <w:sz w:val="24"/>
          <w:szCs w:val="24"/>
        </w:rPr>
        <w:t>Public Relations Review, 35</w:t>
      </w:r>
      <w:r w:rsidRPr="00BE3A3B">
        <w:rPr>
          <w:noProof/>
          <w:sz w:val="24"/>
          <w:szCs w:val="24"/>
        </w:rPr>
        <w:t xml:space="preserve">, 107-112. doi: </w:t>
      </w:r>
      <w:r w:rsidRPr="00BE3A3B">
        <w:rPr>
          <w:noProof/>
          <w:sz w:val="24"/>
          <w:szCs w:val="24"/>
        </w:rPr>
        <w:tab/>
      </w:r>
      <w:hyperlink r:id="rId8" w:history="1">
        <w:r w:rsidRPr="00BE3A3B">
          <w:rPr>
            <w:rStyle w:val="Hyperlink"/>
            <w:noProof/>
            <w:sz w:val="24"/>
            <w:szCs w:val="24"/>
          </w:rPr>
          <w:t>http://dx.doi.org/10.1016/j.pubrev.2009.01.010</w:t>
        </w:r>
      </w:hyperlink>
    </w:p>
    <w:p w14:paraId="7E37AED2" w14:textId="77777777" w:rsidR="00126982" w:rsidRDefault="00126982" w:rsidP="00500F06">
      <w:pPr>
        <w:spacing w:after="0" w:line="480" w:lineRule="auto"/>
        <w:jc w:val="both"/>
        <w:rPr>
          <w:noProof/>
          <w:sz w:val="24"/>
          <w:szCs w:val="24"/>
        </w:rPr>
      </w:pPr>
      <w:r w:rsidRPr="00BE3A3B">
        <w:rPr>
          <w:noProof/>
          <w:sz w:val="24"/>
          <w:szCs w:val="24"/>
        </w:rPr>
        <w:t xml:space="preserve">Ashlock, M. A., Cartmell, D. D., &amp; Keleman, D. B. (2006). The cow that stole Christmas: </w:t>
      </w:r>
      <w:r>
        <w:rPr>
          <w:noProof/>
          <w:sz w:val="24"/>
          <w:szCs w:val="24"/>
        </w:rPr>
        <w:tab/>
      </w:r>
      <w:r w:rsidRPr="00BE3A3B">
        <w:rPr>
          <w:noProof/>
          <w:sz w:val="24"/>
          <w:szCs w:val="24"/>
        </w:rPr>
        <w:t xml:space="preserve">Framing the first US Mad Cow crisis. </w:t>
      </w:r>
      <w:r w:rsidRPr="00BE3A3B">
        <w:rPr>
          <w:i/>
          <w:iCs/>
          <w:noProof/>
          <w:sz w:val="24"/>
          <w:szCs w:val="24"/>
        </w:rPr>
        <w:t>Journal of Applied Communications, 90</w:t>
      </w:r>
      <w:r w:rsidRPr="00BE3A3B">
        <w:rPr>
          <w:noProof/>
          <w:sz w:val="24"/>
          <w:szCs w:val="24"/>
        </w:rPr>
        <w:t>, 29-</w:t>
      </w:r>
      <w:r>
        <w:rPr>
          <w:noProof/>
          <w:sz w:val="24"/>
          <w:szCs w:val="24"/>
        </w:rPr>
        <w:tab/>
      </w:r>
      <w:r w:rsidRPr="00BE3A3B">
        <w:rPr>
          <w:noProof/>
          <w:sz w:val="24"/>
          <w:szCs w:val="24"/>
        </w:rPr>
        <w:t>46.</w:t>
      </w:r>
    </w:p>
    <w:p w14:paraId="393AAEF1" w14:textId="77777777" w:rsidR="00126982" w:rsidRDefault="00126982" w:rsidP="00500F06">
      <w:pPr>
        <w:spacing w:after="0" w:line="480" w:lineRule="auto"/>
        <w:jc w:val="both"/>
        <w:rPr>
          <w:noProof/>
          <w:sz w:val="24"/>
          <w:szCs w:val="24"/>
        </w:rPr>
      </w:pPr>
      <w:r w:rsidRPr="00940E56">
        <w:rPr>
          <w:noProof/>
          <w:sz w:val="24"/>
          <w:szCs w:val="24"/>
        </w:rPr>
        <w:t>Boyd, A. D., Jardine, C. G., &amp; Dr</w:t>
      </w:r>
      <w:r>
        <w:rPr>
          <w:noProof/>
          <w:sz w:val="24"/>
          <w:szCs w:val="24"/>
        </w:rPr>
        <w:t>iedger, S. M. (2009). Canadian media r</w:t>
      </w:r>
      <w:r w:rsidRPr="00940E56">
        <w:rPr>
          <w:noProof/>
          <w:sz w:val="24"/>
          <w:szCs w:val="24"/>
        </w:rPr>
        <w:t xml:space="preserve">epresentations of </w:t>
      </w:r>
      <w:r>
        <w:rPr>
          <w:noProof/>
          <w:sz w:val="24"/>
          <w:szCs w:val="24"/>
        </w:rPr>
        <w:tab/>
      </w:r>
      <w:r w:rsidRPr="00940E56">
        <w:rPr>
          <w:noProof/>
          <w:sz w:val="24"/>
          <w:szCs w:val="24"/>
        </w:rPr>
        <w:t xml:space="preserve">Mad Cow Disease. </w:t>
      </w:r>
      <w:r w:rsidRPr="00940E56">
        <w:rPr>
          <w:i/>
          <w:iCs/>
          <w:noProof/>
          <w:sz w:val="24"/>
          <w:szCs w:val="24"/>
        </w:rPr>
        <w:t>Journal of Toxicology and Environmental Health, Part A, 72</w:t>
      </w:r>
      <w:r w:rsidRPr="00940E56">
        <w:rPr>
          <w:noProof/>
          <w:sz w:val="24"/>
          <w:szCs w:val="24"/>
        </w:rPr>
        <w:t xml:space="preserve">, </w:t>
      </w:r>
      <w:r>
        <w:rPr>
          <w:noProof/>
          <w:sz w:val="24"/>
          <w:szCs w:val="24"/>
        </w:rPr>
        <w:tab/>
      </w:r>
      <w:r w:rsidRPr="00940E56">
        <w:rPr>
          <w:noProof/>
          <w:sz w:val="24"/>
          <w:szCs w:val="24"/>
        </w:rPr>
        <w:t>1096-1105. doi: 10.1080/15287390903084629</w:t>
      </w:r>
    </w:p>
    <w:p w14:paraId="1B5628BF" w14:textId="77777777" w:rsidR="00126982" w:rsidRDefault="00126982" w:rsidP="00500F06">
      <w:pPr>
        <w:spacing w:after="0" w:line="480" w:lineRule="auto"/>
        <w:jc w:val="both"/>
        <w:rPr>
          <w:noProof/>
          <w:sz w:val="24"/>
          <w:szCs w:val="24"/>
        </w:rPr>
      </w:pPr>
      <w:r w:rsidRPr="00FD7E4C">
        <w:rPr>
          <w:noProof/>
          <w:sz w:val="24"/>
          <w:szCs w:val="24"/>
        </w:rPr>
        <w:t xml:space="preserve">Bruhn, C. M., &amp; Schutz, H. G. (1999). Consumer food safety knowledge and practices. </w:t>
      </w:r>
      <w:r>
        <w:rPr>
          <w:noProof/>
          <w:sz w:val="24"/>
          <w:szCs w:val="24"/>
        </w:rPr>
        <w:tab/>
      </w:r>
      <w:r w:rsidRPr="00FD7E4C">
        <w:rPr>
          <w:i/>
          <w:iCs/>
          <w:noProof/>
          <w:sz w:val="24"/>
          <w:szCs w:val="24"/>
        </w:rPr>
        <w:t>Journal of Food Safety, 19</w:t>
      </w:r>
      <w:r w:rsidRPr="00FD7E4C">
        <w:rPr>
          <w:noProof/>
          <w:sz w:val="24"/>
          <w:szCs w:val="24"/>
        </w:rPr>
        <w:t>, 73-87. doi: 10.1111/j.1745-4565.1999.tb00235.x</w:t>
      </w:r>
    </w:p>
    <w:p w14:paraId="5365EF04" w14:textId="77777777" w:rsidR="00126982" w:rsidRPr="003C62B3" w:rsidRDefault="00126982" w:rsidP="00500F06">
      <w:pPr>
        <w:spacing w:after="0" w:line="480" w:lineRule="auto"/>
        <w:jc w:val="both"/>
        <w:rPr>
          <w:noProof/>
          <w:sz w:val="24"/>
          <w:szCs w:val="24"/>
        </w:rPr>
      </w:pPr>
      <w:r w:rsidRPr="003C62B3">
        <w:rPr>
          <w:sz w:val="24"/>
          <w:szCs w:val="24"/>
        </w:rPr>
        <w:t xml:space="preserve">Casey, D. K., Lawless, J. S., </w:t>
      </w:r>
      <w:r>
        <w:rPr>
          <w:sz w:val="24"/>
          <w:szCs w:val="24"/>
        </w:rPr>
        <w:t xml:space="preserve">&amp; </w:t>
      </w:r>
      <w:r w:rsidRPr="003C62B3">
        <w:rPr>
          <w:sz w:val="24"/>
          <w:szCs w:val="24"/>
        </w:rPr>
        <w:t xml:space="preserve">Wall, P. G. (2010). A tale of two crises: The Belgian and Irish </w:t>
      </w:r>
      <w:r>
        <w:rPr>
          <w:sz w:val="24"/>
          <w:szCs w:val="24"/>
        </w:rPr>
        <w:tab/>
      </w:r>
      <w:r w:rsidRPr="003C62B3">
        <w:rPr>
          <w:sz w:val="24"/>
          <w:szCs w:val="24"/>
        </w:rPr>
        <w:t xml:space="preserve">dioxin contamination incidents. </w:t>
      </w:r>
      <w:r w:rsidRPr="003C62B3">
        <w:rPr>
          <w:i/>
          <w:sz w:val="24"/>
          <w:szCs w:val="24"/>
        </w:rPr>
        <w:t>British Food Journal</w:t>
      </w:r>
      <w:r w:rsidRPr="003C62B3">
        <w:rPr>
          <w:sz w:val="24"/>
          <w:szCs w:val="24"/>
        </w:rPr>
        <w:t xml:space="preserve">, </w:t>
      </w:r>
      <w:r>
        <w:rPr>
          <w:sz w:val="24"/>
          <w:szCs w:val="24"/>
        </w:rPr>
        <w:t>112</w:t>
      </w:r>
      <w:r w:rsidRPr="003C62B3">
        <w:rPr>
          <w:sz w:val="24"/>
          <w:szCs w:val="24"/>
        </w:rPr>
        <w:t>, 1077-1091.</w:t>
      </w:r>
    </w:p>
    <w:p w14:paraId="088F5F2C" w14:textId="77777777" w:rsidR="00126982" w:rsidRDefault="00126982" w:rsidP="00500F06">
      <w:pPr>
        <w:spacing w:after="0" w:line="480" w:lineRule="auto"/>
        <w:jc w:val="both"/>
        <w:rPr>
          <w:rStyle w:val="Hyperlink"/>
          <w:noProof/>
          <w:sz w:val="24"/>
          <w:szCs w:val="24"/>
        </w:rPr>
      </w:pPr>
      <w:r w:rsidRPr="00357F77">
        <w:rPr>
          <w:noProof/>
          <w:sz w:val="24"/>
          <w:szCs w:val="24"/>
        </w:rPr>
        <w:t xml:space="preserve">Cho, S. H., &amp; Gower, K. K. (2006). Framing effect on the public's response to crisis: Human </w:t>
      </w:r>
      <w:r>
        <w:rPr>
          <w:noProof/>
          <w:sz w:val="24"/>
          <w:szCs w:val="24"/>
        </w:rPr>
        <w:tab/>
      </w:r>
      <w:r w:rsidRPr="00357F77">
        <w:rPr>
          <w:noProof/>
          <w:sz w:val="24"/>
          <w:szCs w:val="24"/>
        </w:rPr>
        <w:t xml:space="preserve">interest frame and crisis type influencing responsibility and blame. </w:t>
      </w:r>
      <w:r w:rsidRPr="00357F77">
        <w:rPr>
          <w:i/>
          <w:iCs/>
          <w:noProof/>
          <w:sz w:val="24"/>
          <w:szCs w:val="24"/>
        </w:rPr>
        <w:t>Public Relations</w:t>
      </w:r>
      <w:r>
        <w:rPr>
          <w:i/>
          <w:iCs/>
          <w:noProof/>
          <w:sz w:val="24"/>
          <w:szCs w:val="24"/>
        </w:rPr>
        <w:tab/>
      </w:r>
      <w:r w:rsidRPr="00357F77">
        <w:rPr>
          <w:i/>
          <w:iCs/>
          <w:noProof/>
          <w:sz w:val="24"/>
          <w:szCs w:val="24"/>
        </w:rPr>
        <w:t xml:space="preserve"> Review, 32</w:t>
      </w:r>
      <w:r w:rsidRPr="00357F77">
        <w:rPr>
          <w:noProof/>
          <w:sz w:val="24"/>
          <w:szCs w:val="24"/>
        </w:rPr>
        <w:t>, 420-422. do</w:t>
      </w:r>
      <w:r w:rsidRPr="00455BF7">
        <w:rPr>
          <w:noProof/>
          <w:sz w:val="24"/>
          <w:szCs w:val="24"/>
        </w:rPr>
        <w:t xml:space="preserve">i: </w:t>
      </w:r>
      <w:hyperlink r:id="rId9" w:history="1">
        <w:r w:rsidRPr="00455BF7">
          <w:rPr>
            <w:rStyle w:val="Hyperlink"/>
            <w:noProof/>
            <w:sz w:val="24"/>
            <w:szCs w:val="24"/>
          </w:rPr>
          <w:t>http://dx.doi.org/10.1016/j.pubrev.2006.09.011</w:t>
        </w:r>
      </w:hyperlink>
    </w:p>
    <w:p w14:paraId="7F42D1FA" w14:textId="77777777" w:rsidR="00126982" w:rsidRPr="00AC247A" w:rsidRDefault="00126982" w:rsidP="00500F06">
      <w:pPr>
        <w:spacing w:after="0" w:line="480" w:lineRule="auto"/>
        <w:jc w:val="both"/>
        <w:rPr>
          <w:noProof/>
          <w:sz w:val="24"/>
          <w:szCs w:val="24"/>
        </w:rPr>
      </w:pPr>
      <w:r w:rsidRPr="00AC247A">
        <w:rPr>
          <w:noProof/>
          <w:sz w:val="24"/>
          <w:szCs w:val="24"/>
        </w:rPr>
        <w:t xml:space="preserve">Cope, S., Frewer, L. J., Houghton, J., Rowe, G., Fischer, A. R. H., &amp; de Jonge, J. (2010). </w:t>
      </w:r>
      <w:r>
        <w:rPr>
          <w:noProof/>
          <w:sz w:val="24"/>
          <w:szCs w:val="24"/>
        </w:rPr>
        <w:tab/>
      </w:r>
      <w:r w:rsidRPr="00AC247A">
        <w:rPr>
          <w:noProof/>
          <w:sz w:val="24"/>
          <w:szCs w:val="24"/>
        </w:rPr>
        <w:t xml:space="preserve">Consumer perceptions of best practice in food risk communication and management: </w:t>
      </w:r>
      <w:r>
        <w:rPr>
          <w:noProof/>
          <w:sz w:val="24"/>
          <w:szCs w:val="24"/>
        </w:rPr>
        <w:tab/>
      </w:r>
      <w:r w:rsidRPr="00AC247A">
        <w:rPr>
          <w:noProof/>
          <w:sz w:val="24"/>
          <w:szCs w:val="24"/>
        </w:rPr>
        <w:t xml:space="preserve">Implications for risk analysis policy. </w:t>
      </w:r>
      <w:r w:rsidRPr="00AC247A">
        <w:rPr>
          <w:i/>
          <w:iCs/>
          <w:noProof/>
          <w:sz w:val="24"/>
          <w:szCs w:val="24"/>
        </w:rPr>
        <w:t>Food Policy, 35</w:t>
      </w:r>
      <w:r w:rsidRPr="00AC247A">
        <w:rPr>
          <w:noProof/>
          <w:sz w:val="24"/>
          <w:szCs w:val="24"/>
        </w:rPr>
        <w:t xml:space="preserve">, 349-357. doi: </w:t>
      </w:r>
      <w:r>
        <w:rPr>
          <w:noProof/>
          <w:sz w:val="24"/>
          <w:szCs w:val="24"/>
        </w:rPr>
        <w:tab/>
      </w:r>
      <w:r w:rsidRPr="00AC247A">
        <w:rPr>
          <w:noProof/>
          <w:sz w:val="24"/>
          <w:szCs w:val="24"/>
        </w:rPr>
        <w:t>http://dx.doi.org/10.1016/j.foodpol.2010.04.002</w:t>
      </w:r>
    </w:p>
    <w:p w14:paraId="417E7076" w14:textId="77777777" w:rsidR="00126982" w:rsidRDefault="00126982" w:rsidP="00500F06">
      <w:pPr>
        <w:spacing w:after="0" w:line="480" w:lineRule="auto"/>
        <w:jc w:val="both"/>
        <w:rPr>
          <w:noProof/>
          <w:sz w:val="24"/>
          <w:szCs w:val="24"/>
        </w:rPr>
      </w:pPr>
      <w:r w:rsidRPr="00E245CF">
        <w:rPr>
          <w:noProof/>
          <w:sz w:val="24"/>
          <w:szCs w:val="24"/>
        </w:rPr>
        <w:t xml:space="preserve">Day, P. (1997). The media and the scientific message. </w:t>
      </w:r>
      <w:r w:rsidRPr="00E245CF">
        <w:rPr>
          <w:i/>
          <w:iCs/>
          <w:noProof/>
          <w:sz w:val="24"/>
          <w:szCs w:val="24"/>
        </w:rPr>
        <w:t xml:space="preserve">Journal of Health Services and </w:t>
      </w:r>
      <w:r>
        <w:rPr>
          <w:i/>
          <w:iCs/>
          <w:noProof/>
          <w:sz w:val="24"/>
          <w:szCs w:val="24"/>
        </w:rPr>
        <w:tab/>
      </w:r>
      <w:r w:rsidRPr="00E245CF">
        <w:rPr>
          <w:i/>
          <w:iCs/>
          <w:noProof/>
          <w:sz w:val="24"/>
          <w:szCs w:val="24"/>
        </w:rPr>
        <w:t>Research Policy</w:t>
      </w:r>
      <w:r>
        <w:rPr>
          <w:noProof/>
          <w:sz w:val="24"/>
          <w:szCs w:val="24"/>
        </w:rPr>
        <w:t>, 2</w:t>
      </w:r>
      <w:r w:rsidRPr="00E245CF">
        <w:rPr>
          <w:noProof/>
          <w:sz w:val="24"/>
          <w:szCs w:val="24"/>
        </w:rPr>
        <w:t>, 65-66.</w:t>
      </w:r>
    </w:p>
    <w:p w14:paraId="2AAD3676" w14:textId="77777777" w:rsidR="00126982" w:rsidRDefault="00126982" w:rsidP="00500F06">
      <w:pPr>
        <w:spacing w:after="0" w:line="480" w:lineRule="auto"/>
        <w:jc w:val="both"/>
        <w:rPr>
          <w:noProof/>
          <w:sz w:val="24"/>
          <w:szCs w:val="24"/>
        </w:rPr>
      </w:pPr>
      <w:r w:rsidRPr="00800A92">
        <w:rPr>
          <w:noProof/>
          <w:sz w:val="24"/>
          <w:szCs w:val="24"/>
        </w:rPr>
        <w:lastRenderedPageBreak/>
        <w:t xml:space="preserve">De Brún, A., McKenzie, K., McCarthy, M., &amp; McGloin, A. (2012). The </w:t>
      </w:r>
      <w:r>
        <w:rPr>
          <w:noProof/>
          <w:sz w:val="24"/>
          <w:szCs w:val="24"/>
        </w:rPr>
        <w:t>e</w:t>
      </w:r>
      <w:r w:rsidRPr="00800A92">
        <w:rPr>
          <w:noProof/>
          <w:sz w:val="24"/>
          <w:szCs w:val="24"/>
        </w:rPr>
        <w:t xml:space="preserve">mergence and </w:t>
      </w:r>
      <w:r>
        <w:rPr>
          <w:noProof/>
          <w:sz w:val="24"/>
          <w:szCs w:val="24"/>
        </w:rPr>
        <w:tab/>
        <w:t>p</w:t>
      </w:r>
      <w:r w:rsidRPr="00800A92">
        <w:rPr>
          <w:noProof/>
          <w:sz w:val="24"/>
          <w:szCs w:val="24"/>
        </w:rPr>
        <w:t xml:space="preserve">ortrayal of </w:t>
      </w:r>
      <w:r>
        <w:rPr>
          <w:noProof/>
          <w:sz w:val="24"/>
          <w:szCs w:val="24"/>
        </w:rPr>
        <w:t>o</w:t>
      </w:r>
      <w:r w:rsidRPr="00800A92">
        <w:rPr>
          <w:noProof/>
          <w:sz w:val="24"/>
          <w:szCs w:val="24"/>
        </w:rPr>
        <w:t>besi</w:t>
      </w:r>
      <w:r>
        <w:rPr>
          <w:noProof/>
          <w:sz w:val="24"/>
          <w:szCs w:val="24"/>
        </w:rPr>
        <w:t xml:space="preserve">ty in </w:t>
      </w:r>
      <w:r w:rsidRPr="009B1829">
        <w:rPr>
          <w:i/>
          <w:noProof/>
          <w:sz w:val="24"/>
          <w:szCs w:val="24"/>
        </w:rPr>
        <w:t>The Irish Times</w:t>
      </w:r>
      <w:r>
        <w:rPr>
          <w:noProof/>
          <w:sz w:val="24"/>
          <w:szCs w:val="24"/>
        </w:rPr>
        <w:t>: Content a</w:t>
      </w:r>
      <w:r w:rsidRPr="00800A92">
        <w:rPr>
          <w:noProof/>
          <w:sz w:val="24"/>
          <w:szCs w:val="24"/>
        </w:rPr>
        <w:t xml:space="preserve">nalysis of </w:t>
      </w:r>
      <w:r>
        <w:rPr>
          <w:noProof/>
          <w:sz w:val="24"/>
          <w:szCs w:val="24"/>
        </w:rPr>
        <w:t>obesity c</w:t>
      </w:r>
      <w:r w:rsidRPr="00800A92">
        <w:rPr>
          <w:noProof/>
          <w:sz w:val="24"/>
          <w:szCs w:val="24"/>
        </w:rPr>
        <w:t>overage 1997-</w:t>
      </w:r>
      <w:r>
        <w:rPr>
          <w:noProof/>
          <w:sz w:val="24"/>
          <w:szCs w:val="24"/>
        </w:rPr>
        <w:tab/>
      </w:r>
      <w:r w:rsidRPr="00800A92">
        <w:rPr>
          <w:noProof/>
          <w:sz w:val="24"/>
          <w:szCs w:val="24"/>
        </w:rPr>
        <w:t xml:space="preserve">2009. </w:t>
      </w:r>
      <w:r w:rsidRPr="00800A92">
        <w:rPr>
          <w:i/>
          <w:iCs/>
          <w:noProof/>
          <w:sz w:val="24"/>
          <w:szCs w:val="24"/>
        </w:rPr>
        <w:t>Health Communication, 27</w:t>
      </w:r>
      <w:r w:rsidRPr="00800A92">
        <w:rPr>
          <w:noProof/>
          <w:sz w:val="24"/>
          <w:szCs w:val="24"/>
        </w:rPr>
        <w:t>, 389-398.</w:t>
      </w:r>
    </w:p>
    <w:p w14:paraId="520F0D4E" w14:textId="77777777" w:rsidR="00126982" w:rsidRDefault="00126982" w:rsidP="00500F06">
      <w:pPr>
        <w:spacing w:after="0" w:line="480" w:lineRule="auto"/>
        <w:jc w:val="both"/>
        <w:rPr>
          <w:noProof/>
          <w:sz w:val="24"/>
          <w:szCs w:val="24"/>
        </w:rPr>
      </w:pPr>
      <w:r w:rsidRPr="00455BF7">
        <w:rPr>
          <w:noProof/>
          <w:sz w:val="24"/>
          <w:szCs w:val="24"/>
        </w:rPr>
        <w:t>Department of Agriculture,</w:t>
      </w:r>
      <w:r>
        <w:rPr>
          <w:noProof/>
          <w:sz w:val="24"/>
          <w:szCs w:val="24"/>
        </w:rPr>
        <w:t xml:space="preserve"> Fisheries and Food.</w:t>
      </w:r>
      <w:r w:rsidRPr="00455BF7">
        <w:rPr>
          <w:noProof/>
          <w:sz w:val="24"/>
          <w:szCs w:val="24"/>
        </w:rPr>
        <w:t xml:space="preserve"> (2009). Annual Review and Outlook for </w:t>
      </w:r>
      <w:r>
        <w:rPr>
          <w:noProof/>
          <w:sz w:val="24"/>
          <w:szCs w:val="24"/>
        </w:rPr>
        <w:tab/>
      </w:r>
      <w:r w:rsidRPr="00455BF7">
        <w:rPr>
          <w:noProof/>
          <w:sz w:val="24"/>
          <w:szCs w:val="24"/>
        </w:rPr>
        <w:t xml:space="preserve">Agriculture, Fisheries and Food, 2008-2009. Retrieved from </w:t>
      </w:r>
      <w:r w:rsidRPr="00455BF7">
        <w:rPr>
          <w:noProof/>
          <w:sz w:val="24"/>
          <w:szCs w:val="24"/>
        </w:rPr>
        <w:tab/>
      </w:r>
      <w:hyperlink r:id="rId10" w:history="1">
        <w:r w:rsidRPr="00455BF7">
          <w:rPr>
            <w:rStyle w:val="Hyperlink"/>
            <w:noProof/>
            <w:sz w:val="24"/>
            <w:szCs w:val="24"/>
          </w:rPr>
          <w:t>http://www.agriculture.gov.ie/media/migration/publications/2009/English%202%20A</w:t>
        </w:r>
      </w:hyperlink>
      <w:r w:rsidRPr="00455BF7">
        <w:rPr>
          <w:noProof/>
          <w:sz w:val="24"/>
          <w:szCs w:val="24"/>
        </w:rPr>
        <w:tab/>
        <w:t>nnual%20Review%20Outlook%202008%202009.pdf</w:t>
      </w:r>
    </w:p>
    <w:p w14:paraId="1EC1349C" w14:textId="77777777" w:rsidR="00E654B5" w:rsidRPr="00E654B5" w:rsidRDefault="00E654B5" w:rsidP="00500F06">
      <w:pPr>
        <w:pStyle w:val="EndNoteBibliography"/>
        <w:spacing w:after="0" w:line="480" w:lineRule="auto"/>
        <w:ind w:left="720" w:hanging="720"/>
        <w:jc w:val="both"/>
        <w:rPr>
          <w:sz w:val="24"/>
        </w:rPr>
      </w:pPr>
      <w:bookmarkStart w:id="0" w:name="_ENREF_1"/>
      <w:r w:rsidRPr="00E654B5">
        <w:rPr>
          <w:sz w:val="24"/>
        </w:rPr>
        <w:t xml:space="preserve">Entman, R. M. (1989). How the Media Affect What People Think: An Information Processing Approach. </w:t>
      </w:r>
      <w:r w:rsidRPr="00E654B5">
        <w:rPr>
          <w:i/>
          <w:sz w:val="24"/>
        </w:rPr>
        <w:t>The Journal of Politics, 51</w:t>
      </w:r>
      <w:r w:rsidRPr="00E654B5">
        <w:rPr>
          <w:sz w:val="24"/>
        </w:rPr>
        <w:t xml:space="preserve">, 347-370. </w:t>
      </w:r>
      <w:bookmarkEnd w:id="0"/>
    </w:p>
    <w:p w14:paraId="750BF4EC" w14:textId="77777777" w:rsidR="00E654B5" w:rsidRPr="00E654B5" w:rsidRDefault="00E654B5" w:rsidP="00500F06">
      <w:pPr>
        <w:pStyle w:val="EndNoteBibliography"/>
        <w:spacing w:after="0" w:line="480" w:lineRule="auto"/>
        <w:ind w:left="720" w:hanging="720"/>
        <w:jc w:val="both"/>
        <w:rPr>
          <w:sz w:val="24"/>
        </w:rPr>
      </w:pPr>
      <w:bookmarkStart w:id="1" w:name="_ENREF_2"/>
      <w:r w:rsidRPr="00E654B5">
        <w:rPr>
          <w:sz w:val="24"/>
        </w:rPr>
        <w:t xml:space="preserve">Entman, R. M. (1993). Framing: Toward Clarification of a Fractured Paradigm. </w:t>
      </w:r>
      <w:r w:rsidRPr="00E654B5">
        <w:rPr>
          <w:i/>
          <w:sz w:val="24"/>
        </w:rPr>
        <w:t>Journal of Communication, 43</w:t>
      </w:r>
      <w:r w:rsidRPr="00E654B5">
        <w:rPr>
          <w:sz w:val="24"/>
        </w:rPr>
        <w:t xml:space="preserve">, 51-58. </w:t>
      </w:r>
      <w:bookmarkEnd w:id="1"/>
    </w:p>
    <w:p w14:paraId="4BD73066" w14:textId="77777777" w:rsidR="00126982" w:rsidRDefault="00126982" w:rsidP="00500F06">
      <w:pPr>
        <w:spacing w:after="0" w:line="480" w:lineRule="auto"/>
        <w:jc w:val="both"/>
        <w:rPr>
          <w:noProof/>
          <w:sz w:val="24"/>
          <w:szCs w:val="24"/>
        </w:rPr>
      </w:pPr>
      <w:r w:rsidRPr="000C4B16">
        <w:rPr>
          <w:noProof/>
          <w:sz w:val="24"/>
          <w:szCs w:val="24"/>
        </w:rPr>
        <w:t xml:space="preserve">Entman, R. M. (2004). </w:t>
      </w:r>
      <w:r>
        <w:rPr>
          <w:i/>
          <w:iCs/>
          <w:noProof/>
          <w:sz w:val="24"/>
          <w:szCs w:val="24"/>
        </w:rPr>
        <w:t>Projections of power: F</w:t>
      </w:r>
      <w:r w:rsidRPr="000C4B16">
        <w:rPr>
          <w:i/>
          <w:iCs/>
          <w:noProof/>
          <w:sz w:val="24"/>
          <w:szCs w:val="24"/>
        </w:rPr>
        <w:t xml:space="preserve">raming news, public opinion, and U.S. foreign </w:t>
      </w:r>
      <w:r>
        <w:rPr>
          <w:i/>
          <w:iCs/>
          <w:noProof/>
          <w:sz w:val="24"/>
          <w:szCs w:val="24"/>
        </w:rPr>
        <w:tab/>
      </w:r>
      <w:r w:rsidRPr="000C4B16">
        <w:rPr>
          <w:i/>
          <w:iCs/>
          <w:noProof/>
          <w:sz w:val="24"/>
          <w:szCs w:val="24"/>
        </w:rPr>
        <w:t>policy</w:t>
      </w:r>
      <w:r w:rsidRPr="000C4B16">
        <w:rPr>
          <w:noProof/>
          <w:sz w:val="24"/>
          <w:szCs w:val="24"/>
        </w:rPr>
        <w:t>. Chicago: University of Chicago Press</w:t>
      </w:r>
      <w:r>
        <w:rPr>
          <w:noProof/>
          <w:sz w:val="24"/>
          <w:szCs w:val="24"/>
        </w:rPr>
        <w:t>.</w:t>
      </w:r>
    </w:p>
    <w:p w14:paraId="19688961" w14:textId="2DA56B27" w:rsidR="00126982" w:rsidRPr="0026451F" w:rsidRDefault="00126982" w:rsidP="00500F06">
      <w:pPr>
        <w:spacing w:after="0" w:line="480" w:lineRule="auto"/>
        <w:jc w:val="both"/>
        <w:rPr>
          <w:noProof/>
          <w:sz w:val="24"/>
          <w:szCs w:val="24"/>
          <w:lang w:val="en-GB"/>
        </w:rPr>
      </w:pPr>
      <w:r w:rsidRPr="0026451F">
        <w:rPr>
          <w:noProof/>
          <w:sz w:val="24"/>
          <w:szCs w:val="24"/>
          <w:lang w:val="en-GB"/>
        </w:rPr>
        <w:t xml:space="preserve">European Food Safety Authority (2012). When food is cooking up a storm: Proven recipes </w:t>
      </w:r>
      <w:r w:rsidR="00E654B5">
        <w:rPr>
          <w:noProof/>
          <w:sz w:val="24"/>
          <w:szCs w:val="24"/>
          <w:lang w:val="en-GB"/>
        </w:rPr>
        <w:tab/>
      </w:r>
      <w:r w:rsidRPr="0026451F">
        <w:rPr>
          <w:noProof/>
          <w:sz w:val="24"/>
          <w:szCs w:val="24"/>
          <w:lang w:val="en-GB"/>
        </w:rPr>
        <w:t xml:space="preserve">for risk communications. </w:t>
      </w:r>
      <w:r>
        <w:rPr>
          <w:noProof/>
          <w:sz w:val="24"/>
          <w:szCs w:val="24"/>
          <w:lang w:val="en-GB"/>
        </w:rPr>
        <w:t xml:space="preserve">Retrieved from </w:t>
      </w:r>
      <w:r w:rsidR="00E654B5">
        <w:rPr>
          <w:noProof/>
          <w:sz w:val="24"/>
          <w:szCs w:val="24"/>
          <w:lang w:val="en-GB"/>
        </w:rPr>
        <w:tab/>
      </w:r>
      <w:r w:rsidRPr="0026451F">
        <w:rPr>
          <w:noProof/>
          <w:sz w:val="24"/>
          <w:szCs w:val="24"/>
          <w:lang w:val="en-GB"/>
        </w:rPr>
        <w:t>http://www.efsa.europa.eu/en/corporate/pub/riskcommguidelines.htm</w:t>
      </w:r>
    </w:p>
    <w:p w14:paraId="5A6B1D49" w14:textId="77777777" w:rsidR="00126982" w:rsidRDefault="00126982" w:rsidP="00500F06">
      <w:pPr>
        <w:spacing w:after="0" w:line="480" w:lineRule="auto"/>
        <w:jc w:val="both"/>
        <w:rPr>
          <w:noProof/>
          <w:sz w:val="24"/>
          <w:szCs w:val="24"/>
        </w:rPr>
      </w:pPr>
      <w:r w:rsidRPr="004009A9">
        <w:rPr>
          <w:noProof/>
          <w:sz w:val="24"/>
          <w:szCs w:val="24"/>
        </w:rPr>
        <w:t xml:space="preserve">Eyck, T. A. T. (2000). The marginalization of food safety issues: An interpretative approach </w:t>
      </w:r>
      <w:r>
        <w:rPr>
          <w:noProof/>
          <w:sz w:val="24"/>
          <w:szCs w:val="24"/>
        </w:rPr>
        <w:tab/>
      </w:r>
      <w:r w:rsidRPr="004009A9">
        <w:rPr>
          <w:noProof/>
          <w:sz w:val="24"/>
          <w:szCs w:val="24"/>
        </w:rPr>
        <w:t xml:space="preserve">to mass media coverage. </w:t>
      </w:r>
      <w:r w:rsidRPr="004009A9">
        <w:rPr>
          <w:i/>
          <w:iCs/>
          <w:noProof/>
          <w:sz w:val="24"/>
          <w:szCs w:val="24"/>
        </w:rPr>
        <w:t>Journal of Applied Communications, 84</w:t>
      </w:r>
      <w:r w:rsidRPr="004009A9">
        <w:rPr>
          <w:noProof/>
          <w:sz w:val="24"/>
          <w:szCs w:val="24"/>
        </w:rPr>
        <w:t>, 29-47.</w:t>
      </w:r>
    </w:p>
    <w:p w14:paraId="5A4F6B8F" w14:textId="77777777" w:rsidR="00126982" w:rsidRPr="00FD19A8" w:rsidRDefault="00126982" w:rsidP="00500F06">
      <w:pPr>
        <w:spacing w:after="0" w:line="480" w:lineRule="auto"/>
        <w:jc w:val="both"/>
        <w:rPr>
          <w:noProof/>
          <w:sz w:val="24"/>
          <w:szCs w:val="24"/>
        </w:rPr>
      </w:pPr>
      <w:r w:rsidRPr="00FD19A8">
        <w:rPr>
          <w:noProof/>
          <w:sz w:val="24"/>
          <w:szCs w:val="24"/>
        </w:rPr>
        <w:t xml:space="preserve">Feindt, P. H., &amp; Kleinschmit, D. (2011). The BSE </w:t>
      </w:r>
      <w:r>
        <w:rPr>
          <w:noProof/>
          <w:sz w:val="24"/>
          <w:szCs w:val="24"/>
        </w:rPr>
        <w:t>crisis in German n</w:t>
      </w:r>
      <w:r w:rsidRPr="00FD19A8">
        <w:rPr>
          <w:noProof/>
          <w:sz w:val="24"/>
          <w:szCs w:val="24"/>
        </w:rPr>
        <w:t xml:space="preserve">ewspapers: Reframing </w:t>
      </w:r>
      <w:r>
        <w:rPr>
          <w:noProof/>
          <w:sz w:val="24"/>
          <w:szCs w:val="24"/>
        </w:rPr>
        <w:tab/>
        <w:t>r</w:t>
      </w:r>
      <w:r w:rsidRPr="00FD19A8">
        <w:rPr>
          <w:noProof/>
          <w:sz w:val="24"/>
          <w:szCs w:val="24"/>
        </w:rPr>
        <w:t xml:space="preserve">esponsibility. </w:t>
      </w:r>
      <w:r w:rsidRPr="00FD19A8">
        <w:rPr>
          <w:i/>
          <w:iCs/>
          <w:noProof/>
          <w:sz w:val="24"/>
          <w:szCs w:val="24"/>
        </w:rPr>
        <w:t>Science as Culture, 20</w:t>
      </w:r>
      <w:r w:rsidRPr="00FD19A8">
        <w:rPr>
          <w:noProof/>
          <w:sz w:val="24"/>
          <w:szCs w:val="24"/>
        </w:rPr>
        <w:t>, 183-208. doi: 10.1080/09505431.2011.</w:t>
      </w:r>
      <w:r>
        <w:rPr>
          <w:noProof/>
          <w:sz w:val="24"/>
          <w:szCs w:val="24"/>
        </w:rPr>
        <w:t xml:space="preserve"> </w:t>
      </w:r>
      <w:r>
        <w:rPr>
          <w:noProof/>
          <w:sz w:val="24"/>
          <w:szCs w:val="24"/>
        </w:rPr>
        <w:tab/>
      </w:r>
      <w:r w:rsidRPr="00FD19A8">
        <w:rPr>
          <w:noProof/>
          <w:sz w:val="24"/>
          <w:szCs w:val="24"/>
        </w:rPr>
        <w:t>563569</w:t>
      </w:r>
    </w:p>
    <w:p w14:paraId="33DE3853" w14:textId="77777777" w:rsidR="00126982" w:rsidRPr="003E03F8" w:rsidRDefault="00126982" w:rsidP="00500F06">
      <w:pPr>
        <w:spacing w:after="0" w:line="480" w:lineRule="auto"/>
        <w:jc w:val="both"/>
        <w:rPr>
          <w:noProof/>
          <w:sz w:val="24"/>
          <w:szCs w:val="24"/>
        </w:rPr>
      </w:pPr>
      <w:r w:rsidRPr="003E03F8">
        <w:rPr>
          <w:noProof/>
          <w:sz w:val="24"/>
          <w:szCs w:val="24"/>
        </w:rPr>
        <w:t>Food Safety Authority of Ireland. (2008</w:t>
      </w:r>
      <w:r>
        <w:rPr>
          <w:noProof/>
          <w:sz w:val="24"/>
          <w:szCs w:val="24"/>
        </w:rPr>
        <w:t>a</w:t>
      </w:r>
      <w:r w:rsidRPr="003E03F8">
        <w:rPr>
          <w:noProof/>
          <w:sz w:val="24"/>
          <w:szCs w:val="24"/>
        </w:rPr>
        <w:t xml:space="preserve">). Recall of Irish Pork and Bacon Product. Retrieved </w:t>
      </w:r>
      <w:r w:rsidRPr="003E03F8">
        <w:rPr>
          <w:noProof/>
          <w:sz w:val="24"/>
          <w:szCs w:val="24"/>
        </w:rPr>
        <w:tab/>
        <w:t xml:space="preserve">from </w:t>
      </w:r>
      <w:r w:rsidRPr="009505A8">
        <w:rPr>
          <w:noProof/>
          <w:sz w:val="24"/>
          <w:szCs w:val="24"/>
        </w:rPr>
        <w:t>http://www.fsai.ie/news_centre/press_releases/06122008.html</w:t>
      </w:r>
    </w:p>
    <w:p w14:paraId="6F2386CA" w14:textId="77777777" w:rsidR="00126982" w:rsidRDefault="00126982" w:rsidP="00500F06">
      <w:pPr>
        <w:spacing w:after="0" w:line="480" w:lineRule="auto"/>
        <w:jc w:val="both"/>
        <w:rPr>
          <w:noProof/>
          <w:sz w:val="24"/>
          <w:szCs w:val="24"/>
        </w:rPr>
      </w:pPr>
      <w:r w:rsidRPr="00D23792">
        <w:rPr>
          <w:noProof/>
          <w:sz w:val="24"/>
          <w:szCs w:val="24"/>
        </w:rPr>
        <w:t>Food Safety Authority of Ireland</w:t>
      </w:r>
      <w:r>
        <w:rPr>
          <w:noProof/>
          <w:sz w:val="24"/>
          <w:szCs w:val="24"/>
        </w:rPr>
        <w:t xml:space="preserve">. </w:t>
      </w:r>
      <w:r w:rsidRPr="00D23792">
        <w:rPr>
          <w:noProof/>
          <w:sz w:val="24"/>
          <w:szCs w:val="24"/>
        </w:rPr>
        <w:t>(2008</w:t>
      </w:r>
      <w:r>
        <w:rPr>
          <w:noProof/>
          <w:sz w:val="24"/>
          <w:szCs w:val="24"/>
        </w:rPr>
        <w:t>b</w:t>
      </w:r>
      <w:r w:rsidRPr="00D23792">
        <w:rPr>
          <w:noProof/>
          <w:sz w:val="24"/>
          <w:szCs w:val="24"/>
        </w:rPr>
        <w:t>). FSAI Provides</w:t>
      </w:r>
      <w:r>
        <w:rPr>
          <w:noProof/>
          <w:sz w:val="24"/>
          <w:szCs w:val="24"/>
        </w:rPr>
        <w:t xml:space="preserve"> Update on Irish Pork and Bacon </w:t>
      </w:r>
      <w:r>
        <w:rPr>
          <w:noProof/>
          <w:sz w:val="24"/>
          <w:szCs w:val="24"/>
        </w:rPr>
        <w:tab/>
        <w:t xml:space="preserve">Recall. </w:t>
      </w:r>
      <w:r w:rsidRPr="00D23792">
        <w:rPr>
          <w:noProof/>
          <w:sz w:val="24"/>
          <w:szCs w:val="24"/>
        </w:rPr>
        <w:t xml:space="preserve">Retrieved  from </w:t>
      </w:r>
      <w:hyperlink r:id="rId11" w:history="1">
        <w:r w:rsidRPr="00D23792">
          <w:rPr>
            <w:rStyle w:val="Hyperlink"/>
            <w:noProof/>
            <w:sz w:val="24"/>
            <w:szCs w:val="24"/>
          </w:rPr>
          <w:t>http://www.fsai.ie/news_centre/</w:t>
        </w:r>
      </w:hyperlink>
      <w:r w:rsidRPr="00D23792">
        <w:rPr>
          <w:noProof/>
          <w:sz w:val="24"/>
          <w:szCs w:val="24"/>
        </w:rPr>
        <w:t>press_releases/08122008.html</w:t>
      </w:r>
    </w:p>
    <w:p w14:paraId="40F6EDE4" w14:textId="77777777" w:rsidR="00126982" w:rsidRPr="00F41490" w:rsidRDefault="00126982" w:rsidP="00500F06">
      <w:pPr>
        <w:spacing w:after="0" w:line="480" w:lineRule="auto"/>
        <w:jc w:val="both"/>
        <w:rPr>
          <w:noProof/>
          <w:sz w:val="32"/>
          <w:szCs w:val="24"/>
        </w:rPr>
      </w:pPr>
      <w:proofErr w:type="spellStart"/>
      <w:r w:rsidRPr="00F41490">
        <w:rPr>
          <w:sz w:val="24"/>
        </w:rPr>
        <w:lastRenderedPageBreak/>
        <w:t>Hallgren</w:t>
      </w:r>
      <w:proofErr w:type="spellEnd"/>
      <w:r w:rsidRPr="00F41490">
        <w:rPr>
          <w:sz w:val="24"/>
        </w:rPr>
        <w:t xml:space="preserve">, K. A. (2012). </w:t>
      </w:r>
      <w:proofErr w:type="gramStart"/>
      <w:r w:rsidRPr="00F41490">
        <w:rPr>
          <w:sz w:val="24"/>
        </w:rPr>
        <w:t xml:space="preserve">Computing inter-rater reliability for observational data: An overview </w:t>
      </w:r>
      <w:r>
        <w:rPr>
          <w:sz w:val="24"/>
        </w:rPr>
        <w:tab/>
      </w:r>
      <w:r w:rsidRPr="00F41490">
        <w:rPr>
          <w:sz w:val="24"/>
        </w:rPr>
        <w:t>and tutorial.</w:t>
      </w:r>
      <w:proofErr w:type="gramEnd"/>
      <w:r w:rsidRPr="00F41490">
        <w:rPr>
          <w:sz w:val="24"/>
        </w:rPr>
        <w:t xml:space="preserve"> </w:t>
      </w:r>
      <w:proofErr w:type="gramStart"/>
      <w:r w:rsidRPr="00F41490">
        <w:rPr>
          <w:i/>
          <w:iCs/>
          <w:sz w:val="24"/>
        </w:rPr>
        <w:t>Tutorials in quantitative methods for psychology</w:t>
      </w:r>
      <w:r w:rsidRPr="00F41490">
        <w:rPr>
          <w:sz w:val="24"/>
        </w:rPr>
        <w:t xml:space="preserve">, </w:t>
      </w:r>
      <w:r w:rsidRPr="00F41490">
        <w:rPr>
          <w:i/>
          <w:iCs/>
          <w:sz w:val="24"/>
        </w:rPr>
        <w:t>8</w:t>
      </w:r>
      <w:r w:rsidRPr="00F41490">
        <w:rPr>
          <w:sz w:val="24"/>
        </w:rPr>
        <w:t>, 23.</w:t>
      </w:r>
      <w:proofErr w:type="gramEnd"/>
    </w:p>
    <w:p w14:paraId="5C111D11" w14:textId="77777777" w:rsidR="00126982" w:rsidRDefault="00126982" w:rsidP="00500F06">
      <w:pPr>
        <w:spacing w:after="0" w:line="480" w:lineRule="auto"/>
        <w:jc w:val="both"/>
        <w:rPr>
          <w:noProof/>
          <w:sz w:val="24"/>
          <w:szCs w:val="24"/>
        </w:rPr>
      </w:pPr>
      <w:r w:rsidRPr="005C40E0">
        <w:rPr>
          <w:noProof/>
          <w:sz w:val="24"/>
          <w:szCs w:val="24"/>
        </w:rPr>
        <w:t xml:space="preserve">Hargreaves, I., Lewis, J., &amp; Spears, T. (2003). </w:t>
      </w:r>
      <w:r w:rsidRPr="005C40E0">
        <w:rPr>
          <w:i/>
          <w:iCs/>
          <w:noProof/>
          <w:sz w:val="24"/>
          <w:szCs w:val="24"/>
        </w:rPr>
        <w:t xml:space="preserve">Towards a Better Map: Science, the Public </w:t>
      </w:r>
      <w:r>
        <w:rPr>
          <w:i/>
          <w:iCs/>
          <w:noProof/>
          <w:sz w:val="24"/>
          <w:szCs w:val="24"/>
        </w:rPr>
        <w:tab/>
      </w:r>
      <w:r w:rsidRPr="005C40E0">
        <w:rPr>
          <w:i/>
          <w:iCs/>
          <w:noProof/>
          <w:sz w:val="24"/>
          <w:szCs w:val="24"/>
        </w:rPr>
        <w:t>and the Media</w:t>
      </w:r>
      <w:r w:rsidRPr="005C40E0">
        <w:rPr>
          <w:noProof/>
          <w:sz w:val="24"/>
          <w:szCs w:val="24"/>
        </w:rPr>
        <w:t>. London: Economic and Social Research Council.</w:t>
      </w:r>
    </w:p>
    <w:p w14:paraId="1794FBD5" w14:textId="77777777" w:rsidR="00126982" w:rsidRPr="00147EAE" w:rsidRDefault="00126982" w:rsidP="00500F06">
      <w:pPr>
        <w:spacing w:after="0" w:line="480" w:lineRule="auto"/>
        <w:jc w:val="both"/>
        <w:rPr>
          <w:rFonts w:eastAsia="Times New Roman"/>
          <w:sz w:val="24"/>
          <w:szCs w:val="24"/>
          <w:lang w:val="en-GB" w:eastAsia="en-GB"/>
        </w:rPr>
      </w:pPr>
      <w:r w:rsidRPr="00B24506">
        <w:rPr>
          <w:noProof/>
          <w:sz w:val="24"/>
          <w:szCs w:val="24"/>
        </w:rPr>
        <w:t xml:space="preserve">Houses of the Oireachtas (2009). </w:t>
      </w:r>
      <w:r w:rsidRPr="00B24506">
        <w:rPr>
          <w:rFonts w:eastAsia="Times New Roman"/>
          <w:sz w:val="24"/>
          <w:szCs w:val="24"/>
          <w:lang w:val="en-GB" w:eastAsia="en-GB"/>
        </w:rPr>
        <w:t xml:space="preserve">Joint Committee on </w:t>
      </w:r>
      <w:r w:rsidRPr="00147EAE">
        <w:rPr>
          <w:rFonts w:eastAsia="Times New Roman"/>
          <w:sz w:val="24"/>
          <w:szCs w:val="24"/>
          <w:lang w:val="en-GB" w:eastAsia="en-GB"/>
        </w:rPr>
        <w:t>Agriculture, Fisheries and Food</w:t>
      </w:r>
      <w:r w:rsidRPr="00B24506">
        <w:rPr>
          <w:rFonts w:eastAsia="Times New Roman"/>
          <w:sz w:val="24"/>
          <w:szCs w:val="24"/>
          <w:lang w:val="en-GB" w:eastAsia="en-GB"/>
        </w:rPr>
        <w:t xml:space="preserve"> </w:t>
      </w:r>
      <w:r w:rsidRPr="00147EAE">
        <w:rPr>
          <w:rFonts w:eastAsia="Times New Roman"/>
          <w:sz w:val="24"/>
          <w:szCs w:val="24"/>
          <w:lang w:val="en-GB" w:eastAsia="en-GB"/>
        </w:rPr>
        <w:t xml:space="preserve">First </w:t>
      </w:r>
      <w:r>
        <w:rPr>
          <w:rFonts w:eastAsia="Times New Roman"/>
          <w:sz w:val="24"/>
          <w:szCs w:val="24"/>
          <w:lang w:val="en-GB" w:eastAsia="en-GB"/>
        </w:rPr>
        <w:tab/>
      </w:r>
      <w:r w:rsidRPr="00147EAE">
        <w:rPr>
          <w:rFonts w:eastAsia="Times New Roman"/>
          <w:sz w:val="24"/>
          <w:szCs w:val="24"/>
          <w:lang w:val="en-GB" w:eastAsia="en-GB"/>
        </w:rPr>
        <w:t>Report</w:t>
      </w:r>
      <w:r>
        <w:rPr>
          <w:rFonts w:eastAsia="Times New Roman"/>
          <w:sz w:val="24"/>
          <w:szCs w:val="24"/>
          <w:lang w:val="en-GB" w:eastAsia="en-GB"/>
        </w:rPr>
        <w:t xml:space="preserve">: </w:t>
      </w:r>
      <w:r w:rsidRPr="00147EAE">
        <w:rPr>
          <w:rFonts w:eastAsia="Times New Roman"/>
          <w:sz w:val="24"/>
          <w:szCs w:val="24"/>
          <w:lang w:val="en-GB" w:eastAsia="en-GB"/>
        </w:rPr>
        <w:t>Report on the contamination of Irish pork products</w:t>
      </w:r>
      <w:r>
        <w:rPr>
          <w:rFonts w:eastAsia="Times New Roman"/>
          <w:sz w:val="24"/>
          <w:szCs w:val="24"/>
          <w:lang w:val="en-GB" w:eastAsia="en-GB"/>
        </w:rPr>
        <w:t xml:space="preserve">. </w:t>
      </w:r>
      <w:proofErr w:type="gramStart"/>
      <w:r w:rsidRPr="003F4C73">
        <w:rPr>
          <w:rFonts w:eastAsia="Times New Roman"/>
          <w:sz w:val="24"/>
          <w:szCs w:val="24"/>
          <w:lang w:val="en-GB" w:eastAsia="en-GB"/>
        </w:rPr>
        <w:t>PRN No.</w:t>
      </w:r>
      <w:proofErr w:type="gramEnd"/>
      <w:r>
        <w:rPr>
          <w:rFonts w:eastAsia="Times New Roman"/>
          <w:sz w:val="24"/>
          <w:szCs w:val="24"/>
          <w:lang w:val="en-GB" w:eastAsia="en-GB"/>
        </w:rPr>
        <w:t xml:space="preserve"> </w:t>
      </w:r>
      <w:proofErr w:type="gramStart"/>
      <w:r w:rsidRPr="003F4C73">
        <w:rPr>
          <w:rFonts w:eastAsia="Times New Roman"/>
          <w:sz w:val="24"/>
          <w:szCs w:val="24"/>
          <w:lang w:val="en-GB" w:eastAsia="en-GB"/>
        </w:rPr>
        <w:t>A9/068</w:t>
      </w:r>
      <w:r>
        <w:rPr>
          <w:rFonts w:eastAsia="Times New Roman"/>
          <w:sz w:val="24"/>
          <w:szCs w:val="24"/>
          <w:lang w:val="en-GB" w:eastAsia="en-GB"/>
        </w:rPr>
        <w:t>6</w:t>
      </w:r>
      <w:r w:rsidRPr="003F4C73">
        <w:rPr>
          <w:rFonts w:eastAsia="Times New Roman"/>
          <w:sz w:val="24"/>
          <w:szCs w:val="24"/>
          <w:lang w:val="en-GB" w:eastAsia="en-GB"/>
        </w:rPr>
        <w:t>.</w:t>
      </w:r>
      <w:proofErr w:type="gramEnd"/>
      <w:r>
        <w:rPr>
          <w:rFonts w:eastAsia="Times New Roman"/>
          <w:sz w:val="24"/>
          <w:szCs w:val="24"/>
          <w:lang w:val="en-GB" w:eastAsia="en-GB"/>
        </w:rPr>
        <w:t xml:space="preserve"> </w:t>
      </w:r>
      <w:r>
        <w:rPr>
          <w:rFonts w:eastAsia="Times New Roman"/>
          <w:sz w:val="24"/>
          <w:szCs w:val="24"/>
          <w:lang w:val="en-GB" w:eastAsia="en-GB"/>
        </w:rPr>
        <w:tab/>
        <w:t xml:space="preserve">Retrieved from </w:t>
      </w:r>
      <w:hyperlink r:id="rId12" w:history="1">
        <w:r w:rsidRPr="00122211">
          <w:rPr>
            <w:rStyle w:val="Hyperlink"/>
            <w:rFonts w:eastAsia="Times New Roman"/>
            <w:sz w:val="24"/>
            <w:szCs w:val="24"/>
            <w:lang w:val="en-GB" w:eastAsia="en-GB"/>
          </w:rPr>
          <w:t>http://www.oireachtas.ie/documents/committees30thdail/j-</w:t>
        </w:r>
      </w:hyperlink>
      <w:r>
        <w:rPr>
          <w:rFonts w:eastAsia="Times New Roman"/>
          <w:sz w:val="24"/>
          <w:szCs w:val="24"/>
          <w:lang w:val="en-GB" w:eastAsia="en-GB"/>
        </w:rPr>
        <w:tab/>
      </w:r>
      <w:proofErr w:type="spellStart"/>
      <w:r w:rsidRPr="003F4C73">
        <w:rPr>
          <w:rFonts w:eastAsia="Times New Roman"/>
          <w:sz w:val="24"/>
          <w:szCs w:val="24"/>
          <w:lang w:val="en-GB" w:eastAsia="en-GB"/>
        </w:rPr>
        <w:t>agriculturefisheriesfood</w:t>
      </w:r>
      <w:proofErr w:type="spellEnd"/>
      <w:r w:rsidRPr="003F4C73">
        <w:rPr>
          <w:rFonts w:eastAsia="Times New Roman"/>
          <w:sz w:val="24"/>
          <w:szCs w:val="24"/>
          <w:lang w:val="en-GB" w:eastAsia="en-GB"/>
        </w:rPr>
        <w:t>/Reports_2009/20090526-1.pdf</w:t>
      </w:r>
      <w:r>
        <w:rPr>
          <w:rFonts w:eastAsia="Times New Roman"/>
          <w:sz w:val="24"/>
          <w:szCs w:val="24"/>
          <w:lang w:val="en-GB" w:eastAsia="en-GB"/>
        </w:rPr>
        <w:t xml:space="preserve">  </w:t>
      </w:r>
    </w:p>
    <w:p w14:paraId="498DC803" w14:textId="77777777" w:rsidR="00126982" w:rsidRDefault="00126982" w:rsidP="00500F06">
      <w:pPr>
        <w:spacing w:after="0" w:line="480" w:lineRule="auto"/>
        <w:jc w:val="both"/>
        <w:rPr>
          <w:noProof/>
          <w:sz w:val="24"/>
          <w:szCs w:val="24"/>
        </w:rPr>
      </w:pPr>
      <w:r w:rsidRPr="00676920">
        <w:rPr>
          <w:noProof/>
          <w:sz w:val="24"/>
          <w:szCs w:val="24"/>
        </w:rPr>
        <w:t xml:space="preserve">Irlbeck, E., &amp; Akers, C. (2009). </w:t>
      </w:r>
      <w:r w:rsidRPr="00676920">
        <w:rPr>
          <w:i/>
          <w:iCs/>
          <w:noProof/>
          <w:sz w:val="24"/>
          <w:szCs w:val="24"/>
        </w:rPr>
        <w:t xml:space="preserve">The summer of salmonella in salsa: A framing analysis of the </w:t>
      </w:r>
      <w:r>
        <w:rPr>
          <w:i/>
          <w:iCs/>
          <w:noProof/>
          <w:sz w:val="24"/>
          <w:szCs w:val="24"/>
        </w:rPr>
        <w:tab/>
      </w:r>
      <w:r w:rsidRPr="00676920">
        <w:rPr>
          <w:i/>
          <w:iCs/>
          <w:noProof/>
          <w:sz w:val="24"/>
          <w:szCs w:val="24"/>
        </w:rPr>
        <w:t>2008 salmonella outbreak in tomatoes and jalapenos.</w:t>
      </w:r>
      <w:r w:rsidRPr="00676920">
        <w:rPr>
          <w:noProof/>
          <w:sz w:val="24"/>
          <w:szCs w:val="24"/>
        </w:rPr>
        <w:t xml:space="preserve"> Paper presented at the </w:t>
      </w:r>
      <w:r>
        <w:rPr>
          <w:noProof/>
          <w:sz w:val="24"/>
          <w:szCs w:val="24"/>
        </w:rPr>
        <w:tab/>
      </w:r>
      <w:r w:rsidRPr="00676920">
        <w:rPr>
          <w:noProof/>
          <w:sz w:val="24"/>
          <w:szCs w:val="24"/>
        </w:rPr>
        <w:t xml:space="preserve">American Association for Agricultural Education Research Conference, May 20-22, </w:t>
      </w:r>
      <w:r>
        <w:rPr>
          <w:noProof/>
          <w:sz w:val="24"/>
          <w:szCs w:val="24"/>
        </w:rPr>
        <w:tab/>
      </w:r>
      <w:r w:rsidRPr="00676920">
        <w:rPr>
          <w:noProof/>
          <w:sz w:val="24"/>
          <w:szCs w:val="24"/>
        </w:rPr>
        <w:t>Louisville, KY.</w:t>
      </w:r>
    </w:p>
    <w:p w14:paraId="5F3EE651" w14:textId="77777777" w:rsidR="00126982" w:rsidRDefault="00126982" w:rsidP="00500F06">
      <w:pPr>
        <w:spacing w:after="0" w:line="480" w:lineRule="auto"/>
        <w:jc w:val="both"/>
        <w:rPr>
          <w:noProof/>
          <w:sz w:val="24"/>
          <w:szCs w:val="24"/>
        </w:rPr>
      </w:pPr>
      <w:r w:rsidRPr="00C34479">
        <w:rPr>
          <w:noProof/>
          <w:sz w:val="24"/>
          <w:szCs w:val="24"/>
        </w:rPr>
        <w:t xml:space="preserve">Jacob, C. J., Lok, C., Morley, K., &amp; Powell, D. A. (2011). Government management of two </w:t>
      </w:r>
      <w:r>
        <w:rPr>
          <w:noProof/>
          <w:sz w:val="24"/>
          <w:szCs w:val="24"/>
        </w:rPr>
        <w:tab/>
      </w:r>
      <w:r w:rsidRPr="00C34479">
        <w:rPr>
          <w:noProof/>
          <w:sz w:val="24"/>
          <w:szCs w:val="24"/>
        </w:rPr>
        <w:t xml:space="preserve">media-facilitated crises involving dioxin contamination of food. </w:t>
      </w:r>
      <w:r w:rsidRPr="00C34479">
        <w:rPr>
          <w:i/>
          <w:iCs/>
          <w:noProof/>
          <w:sz w:val="24"/>
          <w:szCs w:val="24"/>
        </w:rPr>
        <w:t xml:space="preserve">Public </w:t>
      </w:r>
      <w:r>
        <w:rPr>
          <w:i/>
          <w:iCs/>
          <w:noProof/>
          <w:sz w:val="24"/>
          <w:szCs w:val="24"/>
        </w:rPr>
        <w:tab/>
      </w:r>
      <w:r w:rsidRPr="00C34479">
        <w:rPr>
          <w:i/>
          <w:iCs/>
          <w:noProof/>
          <w:sz w:val="24"/>
          <w:szCs w:val="24"/>
        </w:rPr>
        <w:t>Understanding of Science, 20</w:t>
      </w:r>
      <w:r w:rsidRPr="00C34479">
        <w:rPr>
          <w:noProof/>
          <w:sz w:val="24"/>
          <w:szCs w:val="24"/>
        </w:rPr>
        <w:t>, 261-269. doi: 10.1177/0963662509355737</w:t>
      </w:r>
    </w:p>
    <w:p w14:paraId="0B16995B" w14:textId="77777777" w:rsidR="00126982" w:rsidRPr="00F005C1" w:rsidRDefault="00126982" w:rsidP="00500F06">
      <w:pPr>
        <w:spacing w:after="0" w:line="480" w:lineRule="auto"/>
        <w:jc w:val="both"/>
        <w:rPr>
          <w:sz w:val="24"/>
          <w:szCs w:val="24"/>
        </w:rPr>
      </w:pPr>
      <w:r w:rsidRPr="00F005C1">
        <w:rPr>
          <w:noProof/>
          <w:sz w:val="24"/>
          <w:szCs w:val="24"/>
        </w:rPr>
        <w:t xml:space="preserve">Joint National Readership Survey (2009). </w:t>
      </w:r>
      <w:bookmarkStart w:id="2" w:name="_ENREF_232"/>
      <w:proofErr w:type="gramStart"/>
      <w:r w:rsidRPr="00F005C1">
        <w:rPr>
          <w:sz w:val="24"/>
          <w:szCs w:val="24"/>
        </w:rPr>
        <w:t>Joint National Readership Survey 2008</w:t>
      </w:r>
      <w:r>
        <w:rPr>
          <w:sz w:val="24"/>
          <w:szCs w:val="24"/>
        </w:rPr>
        <w:t>.</w:t>
      </w:r>
      <w:proofErr w:type="gramEnd"/>
      <w:r>
        <w:rPr>
          <w:sz w:val="24"/>
          <w:szCs w:val="24"/>
        </w:rPr>
        <w:t xml:space="preserve"> Retrieved </w:t>
      </w:r>
      <w:r>
        <w:rPr>
          <w:sz w:val="24"/>
          <w:szCs w:val="24"/>
        </w:rPr>
        <w:tab/>
        <w:t xml:space="preserve">1 October, </w:t>
      </w:r>
      <w:r w:rsidRPr="00F005C1">
        <w:rPr>
          <w:sz w:val="24"/>
          <w:szCs w:val="24"/>
        </w:rPr>
        <w:t xml:space="preserve">2014, from </w:t>
      </w:r>
      <w:hyperlink r:id="rId13" w:history="1">
        <w:r w:rsidRPr="00A837B5">
          <w:rPr>
            <w:rStyle w:val="Hyperlink"/>
            <w:sz w:val="24"/>
            <w:szCs w:val="24"/>
          </w:rPr>
          <w:t>http://www.jnrs.ie/survey.htm</w:t>
        </w:r>
      </w:hyperlink>
      <w:bookmarkEnd w:id="2"/>
      <w:r>
        <w:rPr>
          <w:sz w:val="24"/>
          <w:szCs w:val="24"/>
        </w:rPr>
        <w:t xml:space="preserve"> </w:t>
      </w:r>
    </w:p>
    <w:p w14:paraId="7D05E90F" w14:textId="77777777" w:rsidR="00126982" w:rsidRPr="00EB0EFE" w:rsidRDefault="00126982" w:rsidP="00500F06">
      <w:pPr>
        <w:spacing w:after="0" w:line="480" w:lineRule="auto"/>
        <w:jc w:val="both"/>
        <w:rPr>
          <w:noProof/>
          <w:sz w:val="24"/>
          <w:szCs w:val="24"/>
        </w:rPr>
      </w:pPr>
      <w:proofErr w:type="gramStart"/>
      <w:r w:rsidRPr="00EB0EFE">
        <w:rPr>
          <w:sz w:val="24"/>
          <w:szCs w:val="24"/>
          <w:lang w:val="en-GB" w:eastAsia="zh-CN"/>
        </w:rPr>
        <w:t xml:space="preserve">Kennedy, J., Delaney, L., Hudson, E. M., </w:t>
      </w:r>
      <w:proofErr w:type="spellStart"/>
      <w:r w:rsidRPr="00EB0EFE">
        <w:rPr>
          <w:sz w:val="24"/>
          <w:szCs w:val="24"/>
          <w:lang w:val="en-GB" w:eastAsia="zh-CN"/>
        </w:rPr>
        <w:t>McGloin</w:t>
      </w:r>
      <w:proofErr w:type="spellEnd"/>
      <w:r w:rsidRPr="00EB0EFE">
        <w:rPr>
          <w:sz w:val="24"/>
          <w:szCs w:val="24"/>
          <w:lang w:val="en-GB" w:eastAsia="zh-CN"/>
        </w:rPr>
        <w:t>, A., &amp; Wall, P. G. (2010).</w:t>
      </w:r>
      <w:proofErr w:type="gramEnd"/>
      <w:r w:rsidRPr="00EB0EFE">
        <w:rPr>
          <w:sz w:val="24"/>
          <w:szCs w:val="24"/>
          <w:lang w:val="en-GB" w:eastAsia="zh-CN"/>
        </w:rPr>
        <w:t xml:space="preserve"> </w:t>
      </w:r>
      <w:proofErr w:type="gramStart"/>
      <w:r w:rsidRPr="00EB0EFE">
        <w:rPr>
          <w:sz w:val="24"/>
          <w:szCs w:val="24"/>
          <w:lang w:val="en-GB" w:eastAsia="zh-CN"/>
        </w:rPr>
        <w:t xml:space="preserve">Public </w:t>
      </w:r>
      <w:r>
        <w:rPr>
          <w:sz w:val="24"/>
          <w:szCs w:val="24"/>
          <w:lang w:val="en-GB" w:eastAsia="zh-CN"/>
        </w:rPr>
        <w:tab/>
      </w:r>
      <w:r w:rsidRPr="00EB0EFE">
        <w:rPr>
          <w:sz w:val="24"/>
          <w:szCs w:val="24"/>
          <w:lang w:val="en-GB" w:eastAsia="zh-CN"/>
        </w:rPr>
        <w:t>perceptions of the dioxin incident in Irish pork.</w:t>
      </w:r>
      <w:proofErr w:type="gramEnd"/>
      <w:r w:rsidRPr="00EB0EFE">
        <w:rPr>
          <w:sz w:val="24"/>
          <w:szCs w:val="24"/>
          <w:lang w:val="en-GB" w:eastAsia="zh-CN"/>
        </w:rPr>
        <w:t xml:space="preserve"> </w:t>
      </w:r>
      <w:proofErr w:type="gramStart"/>
      <w:r w:rsidRPr="00EB0EFE">
        <w:rPr>
          <w:i/>
          <w:iCs/>
          <w:sz w:val="24"/>
          <w:szCs w:val="24"/>
          <w:lang w:val="en-GB" w:eastAsia="zh-CN"/>
        </w:rPr>
        <w:t>Journal of Risk Research, 13</w:t>
      </w:r>
      <w:r w:rsidRPr="00EB0EFE">
        <w:rPr>
          <w:sz w:val="24"/>
          <w:szCs w:val="24"/>
          <w:lang w:val="en-GB" w:eastAsia="zh-CN"/>
        </w:rPr>
        <w:t>, 937-</w:t>
      </w:r>
      <w:r>
        <w:rPr>
          <w:sz w:val="24"/>
          <w:szCs w:val="24"/>
          <w:lang w:val="en-GB" w:eastAsia="zh-CN"/>
        </w:rPr>
        <w:tab/>
      </w:r>
      <w:r w:rsidRPr="00EB0EFE">
        <w:rPr>
          <w:sz w:val="24"/>
          <w:szCs w:val="24"/>
          <w:lang w:val="en-GB" w:eastAsia="zh-CN"/>
        </w:rPr>
        <w:t>949.</w:t>
      </w:r>
      <w:proofErr w:type="gramEnd"/>
      <w:r w:rsidRPr="00EB0EFE">
        <w:rPr>
          <w:sz w:val="24"/>
          <w:szCs w:val="24"/>
          <w:lang w:val="en-GB" w:eastAsia="zh-CN"/>
        </w:rPr>
        <w:t xml:space="preserve"> </w:t>
      </w:r>
      <w:proofErr w:type="spellStart"/>
      <w:proofErr w:type="gramStart"/>
      <w:r w:rsidRPr="00EB0EFE">
        <w:rPr>
          <w:sz w:val="24"/>
          <w:szCs w:val="24"/>
          <w:lang w:val="en-GB" w:eastAsia="zh-CN"/>
        </w:rPr>
        <w:t>doi</w:t>
      </w:r>
      <w:proofErr w:type="spellEnd"/>
      <w:proofErr w:type="gramEnd"/>
      <w:r w:rsidRPr="00EB0EFE">
        <w:rPr>
          <w:sz w:val="24"/>
          <w:szCs w:val="24"/>
          <w:lang w:val="en-GB" w:eastAsia="zh-CN"/>
        </w:rPr>
        <w:t>: 10.1080/13669871003782769</w:t>
      </w:r>
    </w:p>
    <w:p w14:paraId="66CADCB5" w14:textId="77777777" w:rsidR="00126982" w:rsidRDefault="00126982" w:rsidP="00500F06">
      <w:pPr>
        <w:spacing w:after="0" w:line="480" w:lineRule="auto"/>
        <w:jc w:val="both"/>
        <w:rPr>
          <w:noProof/>
          <w:sz w:val="24"/>
          <w:szCs w:val="24"/>
        </w:rPr>
      </w:pPr>
      <w:r>
        <w:rPr>
          <w:noProof/>
          <w:sz w:val="24"/>
          <w:szCs w:val="24"/>
        </w:rPr>
        <w:t>Kiousis, S. (2001). Public t</w:t>
      </w:r>
      <w:r w:rsidRPr="003F4160">
        <w:rPr>
          <w:noProof/>
          <w:sz w:val="24"/>
          <w:szCs w:val="24"/>
        </w:rPr>
        <w:t>r</w:t>
      </w:r>
      <w:r>
        <w:rPr>
          <w:noProof/>
          <w:sz w:val="24"/>
          <w:szCs w:val="24"/>
        </w:rPr>
        <w:t>ust or mistrust? Perceptions of media c</w:t>
      </w:r>
      <w:r w:rsidRPr="003F4160">
        <w:rPr>
          <w:noProof/>
          <w:sz w:val="24"/>
          <w:szCs w:val="24"/>
        </w:rPr>
        <w:t xml:space="preserve">redibility in the </w:t>
      </w:r>
      <w:r>
        <w:rPr>
          <w:noProof/>
          <w:sz w:val="24"/>
          <w:szCs w:val="24"/>
        </w:rPr>
        <w:tab/>
        <w:t>information a</w:t>
      </w:r>
      <w:r w:rsidRPr="003F4160">
        <w:rPr>
          <w:noProof/>
          <w:sz w:val="24"/>
          <w:szCs w:val="24"/>
        </w:rPr>
        <w:t xml:space="preserve">ge. </w:t>
      </w:r>
      <w:r w:rsidRPr="003F4160">
        <w:rPr>
          <w:i/>
          <w:iCs/>
          <w:noProof/>
          <w:sz w:val="24"/>
          <w:szCs w:val="24"/>
        </w:rPr>
        <w:t>Mass Communication and Society, 4</w:t>
      </w:r>
      <w:r w:rsidRPr="003F4160">
        <w:rPr>
          <w:noProof/>
          <w:sz w:val="24"/>
          <w:szCs w:val="24"/>
        </w:rPr>
        <w:t>, 381-403.</w:t>
      </w:r>
    </w:p>
    <w:p w14:paraId="0F81FA20" w14:textId="77777777" w:rsidR="00126982" w:rsidRDefault="00126982" w:rsidP="00500F06">
      <w:pPr>
        <w:spacing w:after="0" w:line="480" w:lineRule="auto"/>
        <w:jc w:val="both"/>
        <w:rPr>
          <w:noProof/>
          <w:sz w:val="24"/>
          <w:szCs w:val="24"/>
          <w:lang w:val="en-GB"/>
        </w:rPr>
      </w:pPr>
      <w:r>
        <w:rPr>
          <w:noProof/>
          <w:sz w:val="24"/>
          <w:szCs w:val="24"/>
          <w:lang w:val="en-GB"/>
        </w:rPr>
        <w:t>Kwan, S. (2009). Framing the f</w:t>
      </w:r>
      <w:r w:rsidRPr="0026451F">
        <w:rPr>
          <w:noProof/>
          <w:sz w:val="24"/>
          <w:szCs w:val="24"/>
          <w:lang w:val="en-GB"/>
        </w:rPr>
        <w:t xml:space="preserve">at </w:t>
      </w:r>
      <w:r>
        <w:rPr>
          <w:noProof/>
          <w:sz w:val="24"/>
          <w:szCs w:val="24"/>
          <w:lang w:val="en-GB"/>
        </w:rPr>
        <w:t>b</w:t>
      </w:r>
      <w:r w:rsidRPr="0026451F">
        <w:rPr>
          <w:noProof/>
          <w:sz w:val="24"/>
          <w:szCs w:val="24"/>
          <w:lang w:val="en-GB"/>
        </w:rPr>
        <w:t xml:space="preserve">ody: Contested </w:t>
      </w:r>
      <w:r>
        <w:rPr>
          <w:noProof/>
          <w:sz w:val="24"/>
          <w:szCs w:val="24"/>
          <w:lang w:val="en-GB"/>
        </w:rPr>
        <w:t>m</w:t>
      </w:r>
      <w:r w:rsidRPr="0026451F">
        <w:rPr>
          <w:noProof/>
          <w:sz w:val="24"/>
          <w:szCs w:val="24"/>
          <w:lang w:val="en-GB"/>
        </w:rPr>
        <w:t xml:space="preserve">eanings between </w:t>
      </w:r>
      <w:r>
        <w:rPr>
          <w:noProof/>
          <w:sz w:val="24"/>
          <w:szCs w:val="24"/>
          <w:lang w:val="en-GB"/>
        </w:rPr>
        <w:t>g</w:t>
      </w:r>
      <w:r w:rsidRPr="0026451F">
        <w:rPr>
          <w:noProof/>
          <w:sz w:val="24"/>
          <w:szCs w:val="24"/>
          <w:lang w:val="en-GB"/>
        </w:rPr>
        <w:t xml:space="preserve">overnment, </w:t>
      </w:r>
      <w:r>
        <w:rPr>
          <w:noProof/>
          <w:sz w:val="24"/>
          <w:szCs w:val="24"/>
          <w:lang w:val="en-GB"/>
        </w:rPr>
        <w:tab/>
        <w:t>activists, and i</w:t>
      </w:r>
      <w:r w:rsidRPr="0026451F">
        <w:rPr>
          <w:noProof/>
          <w:sz w:val="24"/>
          <w:szCs w:val="24"/>
          <w:lang w:val="en-GB"/>
        </w:rPr>
        <w:t xml:space="preserve">ndustry. </w:t>
      </w:r>
      <w:r w:rsidRPr="0026451F">
        <w:rPr>
          <w:i/>
          <w:iCs/>
          <w:noProof/>
          <w:sz w:val="24"/>
          <w:szCs w:val="24"/>
          <w:lang w:val="en-GB"/>
        </w:rPr>
        <w:t>Sociological Inquiry, 79</w:t>
      </w:r>
      <w:r w:rsidRPr="0026451F">
        <w:rPr>
          <w:noProof/>
          <w:sz w:val="24"/>
          <w:szCs w:val="24"/>
          <w:lang w:val="en-GB"/>
        </w:rPr>
        <w:t>, 25-50. doi: 10.1111/j.1475-</w:t>
      </w:r>
      <w:r>
        <w:rPr>
          <w:noProof/>
          <w:sz w:val="24"/>
          <w:szCs w:val="24"/>
          <w:lang w:val="en-GB"/>
        </w:rPr>
        <w:tab/>
      </w:r>
      <w:r w:rsidRPr="0026451F">
        <w:rPr>
          <w:noProof/>
          <w:sz w:val="24"/>
          <w:szCs w:val="24"/>
          <w:lang w:val="en-GB"/>
        </w:rPr>
        <w:t>682X.2008.00271.x</w:t>
      </w:r>
    </w:p>
    <w:p w14:paraId="08656676" w14:textId="77777777" w:rsidR="00126982" w:rsidRPr="00A21E3B" w:rsidRDefault="00126982" w:rsidP="00500F06">
      <w:pPr>
        <w:spacing w:after="0" w:line="480" w:lineRule="auto"/>
        <w:jc w:val="both"/>
        <w:rPr>
          <w:noProof/>
          <w:sz w:val="36"/>
          <w:szCs w:val="24"/>
          <w:lang w:val="en-GB"/>
        </w:rPr>
      </w:pPr>
      <w:proofErr w:type="gramStart"/>
      <w:r w:rsidRPr="00A21E3B">
        <w:rPr>
          <w:sz w:val="24"/>
          <w:szCs w:val="18"/>
          <w:lang w:val="en-GB" w:eastAsia="zh-CN"/>
        </w:rPr>
        <w:lastRenderedPageBreak/>
        <w:t>Landis, J. R., &amp; Koch, G. G. (1977).</w:t>
      </w:r>
      <w:proofErr w:type="gramEnd"/>
      <w:r w:rsidRPr="00A21E3B">
        <w:rPr>
          <w:sz w:val="24"/>
          <w:szCs w:val="18"/>
          <w:lang w:val="en-GB" w:eastAsia="zh-CN"/>
        </w:rPr>
        <w:t xml:space="preserve"> </w:t>
      </w:r>
      <w:proofErr w:type="gramStart"/>
      <w:r w:rsidRPr="00A21E3B">
        <w:rPr>
          <w:sz w:val="24"/>
          <w:szCs w:val="18"/>
          <w:lang w:val="en-GB" w:eastAsia="zh-CN"/>
        </w:rPr>
        <w:t xml:space="preserve">The Measurement of Observer Agreement for </w:t>
      </w:r>
      <w:r>
        <w:rPr>
          <w:sz w:val="24"/>
          <w:szCs w:val="18"/>
          <w:lang w:val="en-GB" w:eastAsia="zh-CN"/>
        </w:rPr>
        <w:tab/>
      </w:r>
      <w:r w:rsidRPr="00A21E3B">
        <w:rPr>
          <w:sz w:val="24"/>
          <w:szCs w:val="18"/>
          <w:lang w:val="en-GB" w:eastAsia="zh-CN"/>
        </w:rPr>
        <w:t>Categorical Data.</w:t>
      </w:r>
      <w:proofErr w:type="gramEnd"/>
      <w:r w:rsidRPr="00A21E3B">
        <w:rPr>
          <w:sz w:val="24"/>
          <w:szCs w:val="18"/>
          <w:lang w:val="en-GB" w:eastAsia="zh-CN"/>
        </w:rPr>
        <w:t xml:space="preserve"> </w:t>
      </w:r>
      <w:r w:rsidRPr="00A21E3B">
        <w:rPr>
          <w:i/>
          <w:iCs/>
          <w:sz w:val="24"/>
          <w:szCs w:val="18"/>
          <w:lang w:val="en-GB" w:eastAsia="zh-CN"/>
        </w:rPr>
        <w:t>Biometrics, 33</w:t>
      </w:r>
      <w:r w:rsidRPr="00A21E3B">
        <w:rPr>
          <w:sz w:val="24"/>
          <w:szCs w:val="18"/>
          <w:lang w:val="en-GB" w:eastAsia="zh-CN"/>
        </w:rPr>
        <w:t xml:space="preserve">, 159-174. </w:t>
      </w:r>
      <w:proofErr w:type="spellStart"/>
      <w:proofErr w:type="gramStart"/>
      <w:r w:rsidRPr="00A21E3B">
        <w:rPr>
          <w:sz w:val="24"/>
          <w:szCs w:val="18"/>
          <w:lang w:val="en-GB" w:eastAsia="zh-CN"/>
        </w:rPr>
        <w:t>doi</w:t>
      </w:r>
      <w:proofErr w:type="spellEnd"/>
      <w:proofErr w:type="gramEnd"/>
      <w:r w:rsidRPr="00A21E3B">
        <w:rPr>
          <w:sz w:val="24"/>
          <w:szCs w:val="18"/>
          <w:lang w:val="en-GB" w:eastAsia="zh-CN"/>
        </w:rPr>
        <w:t>: 10.2307/2529310</w:t>
      </w:r>
    </w:p>
    <w:p w14:paraId="35185F43" w14:textId="77777777" w:rsidR="00126982" w:rsidRPr="00D23792" w:rsidRDefault="00126982" w:rsidP="00500F06">
      <w:pPr>
        <w:spacing w:after="0" w:line="480" w:lineRule="auto"/>
        <w:jc w:val="both"/>
        <w:rPr>
          <w:noProof/>
          <w:sz w:val="24"/>
          <w:szCs w:val="24"/>
        </w:rPr>
      </w:pPr>
      <w:r w:rsidRPr="0049524E">
        <w:rPr>
          <w:noProof/>
          <w:sz w:val="24"/>
          <w:szCs w:val="24"/>
        </w:rPr>
        <w:t>Lundy, L. K., &amp; Irani, T. A. (2004). Framing biotechnology: A comparison of US and British</w:t>
      </w:r>
      <w:r>
        <w:rPr>
          <w:noProof/>
          <w:sz w:val="24"/>
          <w:szCs w:val="24"/>
        </w:rPr>
        <w:tab/>
      </w:r>
      <w:r w:rsidRPr="0049524E">
        <w:rPr>
          <w:noProof/>
          <w:sz w:val="24"/>
          <w:szCs w:val="24"/>
        </w:rPr>
        <w:t xml:space="preserve"> national newspapers. </w:t>
      </w:r>
      <w:r w:rsidRPr="0049524E">
        <w:rPr>
          <w:i/>
          <w:iCs/>
          <w:noProof/>
          <w:sz w:val="24"/>
          <w:szCs w:val="24"/>
        </w:rPr>
        <w:t>Journal of Applied Communications, 88</w:t>
      </w:r>
      <w:r w:rsidRPr="0049524E">
        <w:rPr>
          <w:noProof/>
          <w:sz w:val="24"/>
          <w:szCs w:val="24"/>
        </w:rPr>
        <w:t>, 37-49.</w:t>
      </w:r>
    </w:p>
    <w:p w14:paraId="030B4F22" w14:textId="77777777" w:rsidR="00126982" w:rsidRDefault="00126982" w:rsidP="00500F06">
      <w:pPr>
        <w:spacing w:after="0" w:line="480" w:lineRule="auto"/>
        <w:jc w:val="both"/>
        <w:rPr>
          <w:noProof/>
          <w:sz w:val="24"/>
          <w:szCs w:val="24"/>
        </w:rPr>
      </w:pPr>
      <w:r w:rsidRPr="00D23792">
        <w:rPr>
          <w:noProof/>
          <w:sz w:val="24"/>
          <w:szCs w:val="24"/>
        </w:rPr>
        <w:t xml:space="preserve">Lupton, D. (1999). Editorial: Health, Illness and Medicine in the Media. </w:t>
      </w:r>
      <w:r w:rsidRPr="00D23792">
        <w:rPr>
          <w:i/>
          <w:iCs/>
          <w:noProof/>
          <w:sz w:val="24"/>
          <w:szCs w:val="24"/>
        </w:rPr>
        <w:t>Health:, 3</w:t>
      </w:r>
      <w:r w:rsidRPr="00D23792">
        <w:rPr>
          <w:noProof/>
          <w:sz w:val="24"/>
          <w:szCs w:val="24"/>
        </w:rPr>
        <w:t>, 259-</w:t>
      </w:r>
      <w:r>
        <w:rPr>
          <w:noProof/>
          <w:sz w:val="24"/>
          <w:szCs w:val="24"/>
        </w:rPr>
        <w:tab/>
      </w:r>
      <w:r w:rsidRPr="00D23792">
        <w:rPr>
          <w:noProof/>
          <w:sz w:val="24"/>
          <w:szCs w:val="24"/>
        </w:rPr>
        <w:t>262. doi: 10.1177/136345939900300301</w:t>
      </w:r>
    </w:p>
    <w:p w14:paraId="63E76AE5" w14:textId="77777777" w:rsidR="00126982" w:rsidRDefault="00126982" w:rsidP="00500F06">
      <w:pPr>
        <w:spacing w:after="0" w:line="480" w:lineRule="auto"/>
        <w:jc w:val="both"/>
        <w:rPr>
          <w:noProof/>
          <w:sz w:val="24"/>
          <w:szCs w:val="24"/>
        </w:rPr>
      </w:pPr>
      <w:r w:rsidRPr="008D133F">
        <w:rPr>
          <w:noProof/>
          <w:sz w:val="24"/>
          <w:szCs w:val="24"/>
        </w:rPr>
        <w:t xml:space="preserve">Miles, M. B., &amp; Huberman, M. (1994). </w:t>
      </w:r>
      <w:r w:rsidRPr="008D133F">
        <w:rPr>
          <w:i/>
          <w:iCs/>
          <w:noProof/>
          <w:sz w:val="24"/>
          <w:szCs w:val="24"/>
        </w:rPr>
        <w:t>Qualitative Data Analysis</w:t>
      </w:r>
      <w:r w:rsidRPr="008D133F">
        <w:rPr>
          <w:noProof/>
          <w:sz w:val="24"/>
          <w:szCs w:val="24"/>
        </w:rPr>
        <w:t>. London: Sage.</w:t>
      </w:r>
    </w:p>
    <w:p w14:paraId="3FFCBF17" w14:textId="77777777" w:rsidR="00126982" w:rsidRPr="007F7069" w:rsidRDefault="00126982" w:rsidP="00500F06">
      <w:pPr>
        <w:spacing w:after="0" w:line="480" w:lineRule="auto"/>
        <w:jc w:val="both"/>
        <w:rPr>
          <w:noProof/>
          <w:sz w:val="24"/>
          <w:szCs w:val="24"/>
        </w:rPr>
      </w:pPr>
      <w:r>
        <w:rPr>
          <w:noProof/>
          <w:sz w:val="24"/>
          <w:szCs w:val="24"/>
        </w:rPr>
        <w:t xml:space="preserve">National Newspapers of Ireland (2009). </w:t>
      </w:r>
      <w:r w:rsidRPr="00B27544">
        <w:rPr>
          <w:noProof/>
          <w:sz w:val="24"/>
          <w:szCs w:val="24"/>
          <w:lang w:val="en-GB"/>
        </w:rPr>
        <w:t>2008 JNRS – Readership</w:t>
      </w:r>
      <w:r>
        <w:rPr>
          <w:noProof/>
          <w:sz w:val="24"/>
          <w:szCs w:val="24"/>
          <w:lang w:val="en-GB"/>
        </w:rPr>
        <w:t xml:space="preserve">. </w:t>
      </w:r>
      <w:r w:rsidRPr="007F7069">
        <w:rPr>
          <w:noProof/>
          <w:sz w:val="24"/>
          <w:szCs w:val="24"/>
        </w:rPr>
        <w:t>Retrieved</w:t>
      </w:r>
      <w:r>
        <w:rPr>
          <w:noProof/>
          <w:sz w:val="24"/>
          <w:szCs w:val="24"/>
        </w:rPr>
        <w:t xml:space="preserve"> </w:t>
      </w:r>
      <w:r w:rsidRPr="007F7069">
        <w:rPr>
          <w:noProof/>
          <w:sz w:val="24"/>
          <w:szCs w:val="24"/>
        </w:rPr>
        <w:t xml:space="preserve">from </w:t>
      </w:r>
      <w:r>
        <w:rPr>
          <w:noProof/>
          <w:sz w:val="24"/>
          <w:szCs w:val="24"/>
        </w:rPr>
        <w:tab/>
      </w:r>
      <w:hyperlink r:id="rId14" w:history="1">
        <w:r w:rsidRPr="00A837B5">
          <w:rPr>
            <w:rStyle w:val="Hyperlink"/>
            <w:sz w:val="24"/>
            <w:szCs w:val="24"/>
          </w:rPr>
          <w:t>http://nni.ie/2008-jnrs-readership/</w:t>
        </w:r>
      </w:hyperlink>
    </w:p>
    <w:p w14:paraId="5E3BB569" w14:textId="77777777" w:rsidR="00126982" w:rsidRDefault="00126982" w:rsidP="00500F06">
      <w:pPr>
        <w:spacing w:after="0" w:line="480" w:lineRule="auto"/>
        <w:jc w:val="both"/>
        <w:rPr>
          <w:noProof/>
          <w:sz w:val="24"/>
          <w:szCs w:val="24"/>
        </w:rPr>
      </w:pPr>
      <w:r w:rsidRPr="00731CBD">
        <w:rPr>
          <w:noProof/>
          <w:sz w:val="24"/>
          <w:szCs w:val="24"/>
        </w:rPr>
        <w:t xml:space="preserve">Nelkin, D. (1995). </w:t>
      </w:r>
      <w:r w:rsidRPr="00731CBD">
        <w:rPr>
          <w:i/>
          <w:iCs/>
          <w:noProof/>
          <w:sz w:val="24"/>
          <w:szCs w:val="24"/>
        </w:rPr>
        <w:t xml:space="preserve">Selling Science: How the Press Covers Science and Technology, revised </w:t>
      </w:r>
      <w:r>
        <w:rPr>
          <w:i/>
          <w:iCs/>
          <w:noProof/>
          <w:sz w:val="24"/>
          <w:szCs w:val="24"/>
        </w:rPr>
        <w:tab/>
      </w:r>
      <w:r w:rsidRPr="00731CBD">
        <w:rPr>
          <w:i/>
          <w:iCs/>
          <w:noProof/>
          <w:sz w:val="24"/>
          <w:szCs w:val="24"/>
        </w:rPr>
        <w:t>edition</w:t>
      </w:r>
      <w:r w:rsidRPr="00731CBD">
        <w:rPr>
          <w:noProof/>
          <w:sz w:val="24"/>
          <w:szCs w:val="24"/>
        </w:rPr>
        <w:t>. New York: W. H. Freeman.</w:t>
      </w:r>
    </w:p>
    <w:p w14:paraId="33AB781A" w14:textId="77777777" w:rsidR="00126982" w:rsidRDefault="00126982" w:rsidP="00500F06">
      <w:pPr>
        <w:spacing w:after="0" w:line="480" w:lineRule="auto"/>
        <w:jc w:val="both"/>
        <w:rPr>
          <w:noProof/>
          <w:sz w:val="24"/>
          <w:szCs w:val="24"/>
          <w:lang w:val="en-GB"/>
        </w:rPr>
      </w:pPr>
      <w:r w:rsidRPr="006C3C4E">
        <w:rPr>
          <w:noProof/>
          <w:sz w:val="24"/>
          <w:szCs w:val="24"/>
          <w:lang w:val="en-GB"/>
        </w:rPr>
        <w:t>Nelson, T. E.</w:t>
      </w:r>
      <w:r>
        <w:rPr>
          <w:noProof/>
          <w:sz w:val="24"/>
          <w:szCs w:val="24"/>
          <w:lang w:val="en-GB"/>
        </w:rPr>
        <w:t>, &amp; Oxley, Z. M. (1999). Issue f</w:t>
      </w:r>
      <w:r w:rsidRPr="006C3C4E">
        <w:rPr>
          <w:noProof/>
          <w:sz w:val="24"/>
          <w:szCs w:val="24"/>
          <w:lang w:val="en-GB"/>
        </w:rPr>
        <w:t xml:space="preserve">raming </w:t>
      </w:r>
      <w:r>
        <w:rPr>
          <w:noProof/>
          <w:sz w:val="24"/>
          <w:szCs w:val="24"/>
          <w:lang w:val="en-GB"/>
        </w:rPr>
        <w:t>e</w:t>
      </w:r>
      <w:r w:rsidRPr="006C3C4E">
        <w:rPr>
          <w:noProof/>
          <w:sz w:val="24"/>
          <w:szCs w:val="24"/>
          <w:lang w:val="en-GB"/>
        </w:rPr>
        <w:t xml:space="preserve">ffects on </w:t>
      </w:r>
      <w:r>
        <w:rPr>
          <w:noProof/>
          <w:sz w:val="24"/>
          <w:szCs w:val="24"/>
          <w:lang w:val="en-GB"/>
        </w:rPr>
        <w:t>b</w:t>
      </w:r>
      <w:r w:rsidRPr="006C3C4E">
        <w:rPr>
          <w:noProof/>
          <w:sz w:val="24"/>
          <w:szCs w:val="24"/>
          <w:lang w:val="en-GB"/>
        </w:rPr>
        <w:t xml:space="preserve">elief </w:t>
      </w:r>
      <w:r>
        <w:rPr>
          <w:noProof/>
          <w:sz w:val="24"/>
          <w:szCs w:val="24"/>
          <w:lang w:val="en-GB"/>
        </w:rPr>
        <w:t>i</w:t>
      </w:r>
      <w:r w:rsidRPr="006C3C4E">
        <w:rPr>
          <w:noProof/>
          <w:sz w:val="24"/>
          <w:szCs w:val="24"/>
          <w:lang w:val="en-GB"/>
        </w:rPr>
        <w:t xml:space="preserve">mportance and </w:t>
      </w:r>
      <w:r>
        <w:rPr>
          <w:noProof/>
          <w:sz w:val="24"/>
          <w:szCs w:val="24"/>
          <w:lang w:val="en-GB"/>
        </w:rPr>
        <w:t>o</w:t>
      </w:r>
      <w:r w:rsidRPr="006C3C4E">
        <w:rPr>
          <w:noProof/>
          <w:sz w:val="24"/>
          <w:szCs w:val="24"/>
          <w:lang w:val="en-GB"/>
        </w:rPr>
        <w:t>pinion.</w:t>
      </w:r>
      <w:r>
        <w:rPr>
          <w:noProof/>
          <w:sz w:val="24"/>
          <w:szCs w:val="24"/>
          <w:lang w:val="en-GB"/>
        </w:rPr>
        <w:tab/>
      </w:r>
      <w:r w:rsidRPr="006C3C4E">
        <w:rPr>
          <w:noProof/>
          <w:sz w:val="24"/>
          <w:szCs w:val="24"/>
          <w:lang w:val="en-GB"/>
        </w:rPr>
        <w:t xml:space="preserve"> </w:t>
      </w:r>
      <w:r w:rsidRPr="006C3C4E">
        <w:rPr>
          <w:i/>
          <w:iCs/>
          <w:noProof/>
          <w:sz w:val="24"/>
          <w:szCs w:val="24"/>
          <w:lang w:val="en-GB"/>
        </w:rPr>
        <w:t>The Journal of Politics, 61</w:t>
      </w:r>
      <w:r>
        <w:rPr>
          <w:noProof/>
          <w:sz w:val="24"/>
          <w:szCs w:val="24"/>
          <w:lang w:val="en-GB"/>
        </w:rPr>
        <w:t xml:space="preserve">, 1040-1067. </w:t>
      </w:r>
      <w:r w:rsidRPr="006C3C4E">
        <w:rPr>
          <w:noProof/>
          <w:sz w:val="24"/>
          <w:szCs w:val="24"/>
          <w:lang w:val="en-GB"/>
        </w:rPr>
        <w:t>doi:10.2307/2647553</w:t>
      </w:r>
    </w:p>
    <w:p w14:paraId="542B5A0E" w14:textId="77777777" w:rsidR="00126982" w:rsidRPr="00A22B42" w:rsidRDefault="00126982" w:rsidP="00500F06">
      <w:pPr>
        <w:spacing w:after="0" w:line="480" w:lineRule="auto"/>
        <w:jc w:val="both"/>
        <w:rPr>
          <w:noProof/>
          <w:sz w:val="24"/>
          <w:szCs w:val="24"/>
          <w:lang w:val="en-GB"/>
        </w:rPr>
      </w:pPr>
      <w:r w:rsidRPr="00A22B42">
        <w:rPr>
          <w:bCs/>
          <w:noProof/>
          <w:sz w:val="24"/>
          <w:szCs w:val="24"/>
          <w:lang w:val="en-GB"/>
        </w:rPr>
        <w:t>Press Gazette (2009). ABC national daily newspaper circulation for January 2009</w:t>
      </w:r>
      <w:r>
        <w:rPr>
          <w:bCs/>
          <w:noProof/>
          <w:sz w:val="24"/>
          <w:szCs w:val="24"/>
          <w:lang w:val="en-GB"/>
        </w:rPr>
        <w:t xml:space="preserve">. Retrieved </w:t>
      </w:r>
      <w:r>
        <w:rPr>
          <w:bCs/>
          <w:noProof/>
          <w:sz w:val="24"/>
          <w:szCs w:val="24"/>
          <w:lang w:val="en-GB"/>
        </w:rPr>
        <w:tab/>
        <w:t xml:space="preserve">from </w:t>
      </w:r>
      <w:hyperlink r:id="rId15" w:history="1">
        <w:r w:rsidRPr="00A837B5">
          <w:rPr>
            <w:rStyle w:val="Hyperlink"/>
            <w:bCs/>
            <w:noProof/>
            <w:sz w:val="24"/>
            <w:szCs w:val="24"/>
            <w:lang w:val="en-GB"/>
          </w:rPr>
          <w:t>http://www.pressgazette.co.uk/node/40210</w:t>
        </w:r>
      </w:hyperlink>
      <w:r>
        <w:rPr>
          <w:bCs/>
          <w:noProof/>
          <w:sz w:val="24"/>
          <w:szCs w:val="24"/>
          <w:lang w:val="en-GB"/>
        </w:rPr>
        <w:t xml:space="preserve"> </w:t>
      </w:r>
    </w:p>
    <w:p w14:paraId="1E2AB869" w14:textId="77777777" w:rsidR="00126982" w:rsidRDefault="00126982" w:rsidP="00500F06">
      <w:pPr>
        <w:spacing w:after="0" w:line="480" w:lineRule="auto"/>
        <w:jc w:val="both"/>
        <w:rPr>
          <w:noProof/>
          <w:sz w:val="24"/>
          <w:szCs w:val="24"/>
        </w:rPr>
      </w:pPr>
      <w:r w:rsidRPr="002A2793">
        <w:rPr>
          <w:noProof/>
          <w:sz w:val="24"/>
          <w:szCs w:val="24"/>
        </w:rPr>
        <w:t xml:space="preserve">Riffe, D., Lacy, S., &amp; Fico, F. G. (2008). </w:t>
      </w:r>
      <w:r w:rsidRPr="002A2793">
        <w:rPr>
          <w:i/>
          <w:iCs/>
          <w:noProof/>
          <w:sz w:val="24"/>
          <w:szCs w:val="24"/>
        </w:rPr>
        <w:t xml:space="preserve">Analyzing media messages: Using quantitative </w:t>
      </w:r>
      <w:r>
        <w:rPr>
          <w:i/>
          <w:iCs/>
          <w:noProof/>
          <w:sz w:val="24"/>
          <w:szCs w:val="24"/>
        </w:rPr>
        <w:tab/>
      </w:r>
      <w:r w:rsidRPr="002A2793">
        <w:rPr>
          <w:i/>
          <w:iCs/>
          <w:noProof/>
          <w:sz w:val="24"/>
          <w:szCs w:val="24"/>
        </w:rPr>
        <w:t>content analysis in research</w:t>
      </w:r>
      <w:r w:rsidRPr="002A2793">
        <w:rPr>
          <w:noProof/>
          <w:sz w:val="24"/>
          <w:szCs w:val="24"/>
        </w:rPr>
        <w:t xml:space="preserve"> (2nd ed.). Mahwah, New Jersey: Lawrence Erlbaum </w:t>
      </w:r>
      <w:r>
        <w:rPr>
          <w:noProof/>
          <w:sz w:val="24"/>
          <w:szCs w:val="24"/>
        </w:rPr>
        <w:tab/>
      </w:r>
      <w:r w:rsidRPr="002A2793">
        <w:rPr>
          <w:noProof/>
          <w:sz w:val="24"/>
          <w:szCs w:val="24"/>
        </w:rPr>
        <w:t>Associates, Inc.</w:t>
      </w:r>
    </w:p>
    <w:p w14:paraId="67F14825" w14:textId="77777777" w:rsidR="00126982" w:rsidRPr="000D1BF3" w:rsidRDefault="00126982" w:rsidP="00500F06">
      <w:pPr>
        <w:spacing w:after="0" w:line="480" w:lineRule="auto"/>
        <w:jc w:val="both"/>
        <w:rPr>
          <w:noProof/>
          <w:sz w:val="24"/>
          <w:szCs w:val="24"/>
        </w:rPr>
      </w:pPr>
      <w:r w:rsidRPr="000D1BF3">
        <w:rPr>
          <w:noProof/>
          <w:sz w:val="24"/>
          <w:szCs w:val="24"/>
        </w:rPr>
        <w:t xml:space="preserve">Ruth, A. M., Eubanks, E. E., &amp; Telg, R. (2005). Framing of mad cow media coverage. </w:t>
      </w:r>
      <w:r>
        <w:rPr>
          <w:noProof/>
          <w:sz w:val="24"/>
          <w:szCs w:val="24"/>
        </w:rPr>
        <w:tab/>
      </w:r>
      <w:r w:rsidRPr="000D1BF3">
        <w:rPr>
          <w:i/>
          <w:iCs/>
          <w:noProof/>
          <w:sz w:val="24"/>
          <w:szCs w:val="24"/>
        </w:rPr>
        <w:t>Journal of Applied Communications, 89</w:t>
      </w:r>
      <w:r w:rsidRPr="000D1BF3">
        <w:rPr>
          <w:noProof/>
          <w:sz w:val="24"/>
          <w:szCs w:val="24"/>
        </w:rPr>
        <w:t xml:space="preserve">, 39-54. </w:t>
      </w:r>
    </w:p>
    <w:p w14:paraId="2E698F88" w14:textId="77777777" w:rsidR="00126982" w:rsidRDefault="00126982" w:rsidP="00500F06">
      <w:pPr>
        <w:spacing w:after="0" w:line="480" w:lineRule="auto"/>
        <w:jc w:val="both"/>
        <w:rPr>
          <w:noProof/>
          <w:sz w:val="24"/>
          <w:szCs w:val="24"/>
        </w:rPr>
      </w:pPr>
      <w:r w:rsidRPr="00874B4D">
        <w:rPr>
          <w:i/>
          <w:noProof/>
          <w:sz w:val="24"/>
          <w:szCs w:val="24"/>
        </w:rPr>
        <w:t>safe</w:t>
      </w:r>
      <w:r>
        <w:rPr>
          <w:noProof/>
          <w:sz w:val="24"/>
          <w:szCs w:val="24"/>
        </w:rPr>
        <w:t>f</w:t>
      </w:r>
      <w:r w:rsidRPr="00D23792">
        <w:rPr>
          <w:noProof/>
          <w:sz w:val="24"/>
          <w:szCs w:val="24"/>
        </w:rPr>
        <w:t xml:space="preserve">ood. (2012). Consumer Food Behaviour Report  Retrieved from </w:t>
      </w:r>
      <w:r>
        <w:rPr>
          <w:noProof/>
          <w:sz w:val="24"/>
          <w:szCs w:val="24"/>
        </w:rPr>
        <w:tab/>
      </w:r>
      <w:hyperlink r:id="rId16" w:history="1">
        <w:r w:rsidRPr="00874B4D">
          <w:rPr>
            <w:rStyle w:val="Hyperlink"/>
            <w:noProof/>
            <w:sz w:val="24"/>
            <w:szCs w:val="24"/>
          </w:rPr>
          <w:t>http://www.safefood.eu/Publications/Research-reports/Consumer-Food-Behaviour-</w:t>
        </w:r>
      </w:hyperlink>
      <w:r w:rsidRPr="00874B4D">
        <w:rPr>
          <w:noProof/>
          <w:sz w:val="24"/>
          <w:szCs w:val="24"/>
        </w:rPr>
        <w:tab/>
        <w:t>Report.aspx</w:t>
      </w:r>
    </w:p>
    <w:p w14:paraId="50708DB0" w14:textId="77777777" w:rsidR="00E654B5" w:rsidRPr="00E654B5" w:rsidRDefault="00E654B5" w:rsidP="00500F06">
      <w:pPr>
        <w:pStyle w:val="EndNoteBibliography"/>
        <w:spacing w:after="0" w:line="480" w:lineRule="auto"/>
        <w:ind w:left="720" w:hanging="720"/>
        <w:jc w:val="both"/>
        <w:rPr>
          <w:sz w:val="24"/>
        </w:rPr>
      </w:pPr>
      <w:bookmarkStart w:id="3" w:name="_ENREF_5"/>
      <w:r w:rsidRPr="00E654B5">
        <w:rPr>
          <w:sz w:val="24"/>
        </w:rPr>
        <w:t>safefood. (2012). Food Behaviours: Food Safety on the Island of Ireland. http://www.safefood.eu/Publications/Research-reports/Food-Behaviours.aspx</w:t>
      </w:r>
      <w:bookmarkEnd w:id="3"/>
    </w:p>
    <w:p w14:paraId="22B410F3" w14:textId="77777777" w:rsidR="00126982" w:rsidRDefault="00126982" w:rsidP="00500F06">
      <w:pPr>
        <w:spacing w:after="0" w:line="480" w:lineRule="auto"/>
        <w:jc w:val="both"/>
        <w:rPr>
          <w:noProof/>
          <w:sz w:val="24"/>
          <w:szCs w:val="24"/>
        </w:rPr>
      </w:pPr>
      <w:r w:rsidRPr="0080326B">
        <w:rPr>
          <w:noProof/>
          <w:sz w:val="24"/>
          <w:szCs w:val="24"/>
        </w:rPr>
        <w:lastRenderedPageBreak/>
        <w:t xml:space="preserve">Saguy, A. C. (2013). </w:t>
      </w:r>
      <w:r w:rsidRPr="0080326B">
        <w:rPr>
          <w:i/>
          <w:iCs/>
          <w:noProof/>
          <w:sz w:val="24"/>
          <w:szCs w:val="24"/>
        </w:rPr>
        <w:t>What's Wrong with Fat?</w:t>
      </w:r>
      <w:r w:rsidRPr="0080326B">
        <w:rPr>
          <w:noProof/>
          <w:sz w:val="24"/>
          <w:szCs w:val="24"/>
        </w:rPr>
        <w:t xml:space="preserve"> Oxford: Oxford University Press.</w:t>
      </w:r>
    </w:p>
    <w:p w14:paraId="70FB0B1F" w14:textId="77777777" w:rsidR="00126982" w:rsidRPr="0026451F" w:rsidRDefault="00126982" w:rsidP="00500F06">
      <w:pPr>
        <w:spacing w:after="0" w:line="480" w:lineRule="auto"/>
        <w:jc w:val="both"/>
        <w:rPr>
          <w:noProof/>
          <w:sz w:val="24"/>
          <w:szCs w:val="24"/>
        </w:rPr>
      </w:pPr>
      <w:r w:rsidRPr="0026451F">
        <w:rPr>
          <w:noProof/>
          <w:sz w:val="24"/>
          <w:szCs w:val="24"/>
          <w:lang w:val="en-GB"/>
        </w:rPr>
        <w:t xml:space="preserve">Scheufele, D. (1999). Framing as a theory of media effects. </w:t>
      </w:r>
      <w:r w:rsidRPr="0026451F">
        <w:rPr>
          <w:i/>
          <w:iCs/>
          <w:noProof/>
          <w:sz w:val="24"/>
          <w:szCs w:val="24"/>
          <w:lang w:val="en-GB"/>
        </w:rPr>
        <w:t>Journal of Communication, 49</w:t>
      </w:r>
      <w:r w:rsidRPr="0026451F">
        <w:rPr>
          <w:noProof/>
          <w:sz w:val="24"/>
          <w:szCs w:val="24"/>
          <w:lang w:val="en-GB"/>
        </w:rPr>
        <w:t xml:space="preserve">, </w:t>
      </w:r>
      <w:r>
        <w:rPr>
          <w:noProof/>
          <w:sz w:val="24"/>
          <w:szCs w:val="24"/>
          <w:lang w:val="en-GB"/>
        </w:rPr>
        <w:tab/>
      </w:r>
      <w:r w:rsidRPr="0026451F">
        <w:rPr>
          <w:noProof/>
          <w:sz w:val="24"/>
          <w:szCs w:val="24"/>
          <w:lang w:val="en-GB"/>
        </w:rPr>
        <w:t>103-122.</w:t>
      </w:r>
    </w:p>
    <w:p w14:paraId="69E6A416" w14:textId="77777777" w:rsidR="00126982" w:rsidRDefault="00126982" w:rsidP="00500F06">
      <w:pPr>
        <w:spacing w:after="0" w:line="480" w:lineRule="auto"/>
        <w:jc w:val="both"/>
        <w:rPr>
          <w:noProof/>
          <w:sz w:val="24"/>
          <w:szCs w:val="24"/>
        </w:rPr>
      </w:pPr>
      <w:r w:rsidRPr="00116741">
        <w:rPr>
          <w:noProof/>
          <w:sz w:val="24"/>
          <w:szCs w:val="24"/>
        </w:rPr>
        <w:t xml:space="preserve">Shan, L., Regan, Á., De Brún, A., Barnett, J., van der Sanden, M. C. A., Wall, P., &amp; </w:t>
      </w:r>
      <w:r>
        <w:rPr>
          <w:noProof/>
          <w:sz w:val="24"/>
          <w:szCs w:val="24"/>
        </w:rPr>
        <w:tab/>
      </w:r>
      <w:r w:rsidRPr="00116741">
        <w:rPr>
          <w:noProof/>
          <w:sz w:val="24"/>
          <w:szCs w:val="24"/>
        </w:rPr>
        <w:t xml:space="preserve">McConnon, Á. (2013). Food crisis coverage by social and traditional media: A case </w:t>
      </w:r>
      <w:r>
        <w:rPr>
          <w:noProof/>
          <w:sz w:val="24"/>
          <w:szCs w:val="24"/>
        </w:rPr>
        <w:tab/>
      </w:r>
      <w:r w:rsidRPr="00116741">
        <w:rPr>
          <w:noProof/>
          <w:sz w:val="24"/>
          <w:szCs w:val="24"/>
        </w:rPr>
        <w:t xml:space="preserve">study of the 2008 Irish dioxin crisis. </w:t>
      </w:r>
      <w:r w:rsidRPr="00116741">
        <w:rPr>
          <w:i/>
          <w:iCs/>
          <w:noProof/>
          <w:sz w:val="24"/>
          <w:szCs w:val="24"/>
        </w:rPr>
        <w:t>Public Understanding of Science</w:t>
      </w:r>
      <w:r w:rsidRPr="00116741">
        <w:rPr>
          <w:noProof/>
          <w:sz w:val="24"/>
          <w:szCs w:val="24"/>
        </w:rPr>
        <w:t xml:space="preserve">. doi: </w:t>
      </w:r>
      <w:r>
        <w:rPr>
          <w:noProof/>
          <w:sz w:val="24"/>
          <w:szCs w:val="24"/>
        </w:rPr>
        <w:tab/>
      </w:r>
      <w:r w:rsidRPr="00116741">
        <w:rPr>
          <w:noProof/>
          <w:sz w:val="24"/>
          <w:szCs w:val="24"/>
        </w:rPr>
        <w:t>10.1177/0963662512472315</w:t>
      </w:r>
      <w:r w:rsidRPr="00592ECF">
        <w:rPr>
          <w:noProof/>
          <w:sz w:val="24"/>
          <w:szCs w:val="24"/>
        </w:rPr>
        <w:t xml:space="preserve"> </w:t>
      </w:r>
    </w:p>
    <w:p w14:paraId="5031DBB3" w14:textId="77777777" w:rsidR="00126982" w:rsidRDefault="00126982" w:rsidP="00500F06">
      <w:pPr>
        <w:spacing w:after="0" w:line="480" w:lineRule="auto"/>
        <w:jc w:val="both"/>
        <w:rPr>
          <w:noProof/>
          <w:sz w:val="24"/>
          <w:szCs w:val="24"/>
        </w:rPr>
      </w:pPr>
      <w:r w:rsidRPr="00543B71">
        <w:rPr>
          <w:noProof/>
          <w:sz w:val="24"/>
          <w:szCs w:val="24"/>
        </w:rPr>
        <w:t xml:space="preserve">Verbeke, W., Viaene, J., &amp; Guiot, O. (1999). Health </w:t>
      </w:r>
      <w:r>
        <w:rPr>
          <w:noProof/>
          <w:sz w:val="24"/>
          <w:szCs w:val="24"/>
        </w:rPr>
        <w:t>communication and consumer b</w:t>
      </w:r>
      <w:r w:rsidRPr="00543B71">
        <w:rPr>
          <w:noProof/>
          <w:sz w:val="24"/>
          <w:szCs w:val="24"/>
        </w:rPr>
        <w:t xml:space="preserve">ehavior </w:t>
      </w:r>
      <w:r>
        <w:rPr>
          <w:noProof/>
          <w:sz w:val="24"/>
          <w:szCs w:val="24"/>
        </w:rPr>
        <w:tab/>
      </w:r>
      <w:r w:rsidRPr="00543B71">
        <w:rPr>
          <w:noProof/>
          <w:sz w:val="24"/>
          <w:szCs w:val="24"/>
        </w:rPr>
        <w:t xml:space="preserve">on </w:t>
      </w:r>
      <w:r>
        <w:rPr>
          <w:noProof/>
          <w:sz w:val="24"/>
          <w:szCs w:val="24"/>
        </w:rPr>
        <w:t>m</w:t>
      </w:r>
      <w:r w:rsidRPr="00543B71">
        <w:rPr>
          <w:noProof/>
          <w:sz w:val="24"/>
          <w:szCs w:val="24"/>
        </w:rPr>
        <w:t xml:space="preserve">eat in </w:t>
      </w:r>
      <w:r>
        <w:rPr>
          <w:noProof/>
          <w:sz w:val="24"/>
          <w:szCs w:val="24"/>
        </w:rPr>
        <w:t>belgium: From BSE until d</w:t>
      </w:r>
      <w:r w:rsidRPr="00543B71">
        <w:rPr>
          <w:noProof/>
          <w:sz w:val="24"/>
          <w:szCs w:val="24"/>
        </w:rPr>
        <w:t xml:space="preserve">ioxin. </w:t>
      </w:r>
      <w:r w:rsidRPr="00543B71">
        <w:rPr>
          <w:i/>
          <w:iCs/>
          <w:noProof/>
          <w:sz w:val="24"/>
          <w:szCs w:val="24"/>
        </w:rPr>
        <w:t xml:space="preserve">Journal of Health Communication: </w:t>
      </w:r>
      <w:r>
        <w:rPr>
          <w:i/>
          <w:iCs/>
          <w:noProof/>
          <w:sz w:val="24"/>
          <w:szCs w:val="24"/>
        </w:rPr>
        <w:tab/>
      </w:r>
      <w:r w:rsidRPr="00543B71">
        <w:rPr>
          <w:i/>
          <w:iCs/>
          <w:noProof/>
          <w:sz w:val="24"/>
          <w:szCs w:val="24"/>
        </w:rPr>
        <w:t>International Perspectives, 4</w:t>
      </w:r>
      <w:r w:rsidRPr="00543B71">
        <w:rPr>
          <w:noProof/>
          <w:sz w:val="24"/>
          <w:szCs w:val="24"/>
        </w:rPr>
        <w:t>, 345 - 357.</w:t>
      </w:r>
    </w:p>
    <w:p w14:paraId="23C63799" w14:textId="77777777" w:rsidR="00126982" w:rsidRDefault="00126982" w:rsidP="00500F06">
      <w:pPr>
        <w:spacing w:after="0" w:line="480" w:lineRule="auto"/>
        <w:jc w:val="both"/>
        <w:rPr>
          <w:noProof/>
          <w:sz w:val="24"/>
          <w:szCs w:val="24"/>
        </w:rPr>
      </w:pPr>
      <w:r w:rsidRPr="00AB0C24">
        <w:rPr>
          <w:noProof/>
          <w:sz w:val="24"/>
          <w:szCs w:val="24"/>
        </w:rPr>
        <w:t xml:space="preserve">WHO. (2010). Dioxins and their effects on human health. </w:t>
      </w:r>
      <w:r w:rsidRPr="00AB0C24">
        <w:rPr>
          <w:i/>
          <w:iCs/>
          <w:noProof/>
          <w:sz w:val="24"/>
          <w:szCs w:val="24"/>
        </w:rPr>
        <w:t>Media Centre Fact Sheet.</w:t>
      </w:r>
      <w:r w:rsidRPr="00AB0C24">
        <w:rPr>
          <w:noProof/>
          <w:sz w:val="24"/>
          <w:szCs w:val="24"/>
        </w:rPr>
        <w:t xml:space="preserve">  </w:t>
      </w:r>
      <w:r>
        <w:rPr>
          <w:noProof/>
          <w:sz w:val="24"/>
          <w:szCs w:val="24"/>
        </w:rPr>
        <w:tab/>
      </w:r>
      <w:r w:rsidRPr="00AB0C24">
        <w:rPr>
          <w:noProof/>
          <w:sz w:val="24"/>
          <w:szCs w:val="24"/>
        </w:rPr>
        <w:t>Retrieved from http://www.who.int/mediacentre/factsheets/fs225/en/</w:t>
      </w:r>
    </w:p>
    <w:p w14:paraId="064FACB2" w14:textId="77777777" w:rsidR="00126982" w:rsidRPr="0026451F" w:rsidRDefault="00126982" w:rsidP="00500F06">
      <w:pPr>
        <w:spacing w:after="0" w:line="480" w:lineRule="auto"/>
        <w:jc w:val="both"/>
        <w:rPr>
          <w:b/>
          <w:noProof/>
          <w:sz w:val="24"/>
          <w:szCs w:val="24"/>
        </w:rPr>
      </w:pPr>
    </w:p>
    <w:p w14:paraId="39A0E069" w14:textId="77777777" w:rsidR="00126982" w:rsidRDefault="00126982" w:rsidP="00500F06">
      <w:pPr>
        <w:spacing w:after="0" w:line="480" w:lineRule="auto"/>
        <w:jc w:val="both"/>
        <w:rPr>
          <w:b/>
          <w:noProof/>
          <w:sz w:val="24"/>
          <w:szCs w:val="24"/>
        </w:rPr>
      </w:pPr>
      <w:r>
        <w:rPr>
          <w:b/>
          <w:noProof/>
          <w:sz w:val="24"/>
          <w:szCs w:val="24"/>
        </w:rPr>
        <w:br w:type="page"/>
      </w:r>
    </w:p>
    <w:p w14:paraId="5C79C1DD" w14:textId="460F1892" w:rsidR="00CB480D" w:rsidRDefault="00CB480D" w:rsidP="00CB480D">
      <w:pPr>
        <w:spacing w:after="0" w:line="480" w:lineRule="auto"/>
        <w:jc w:val="center"/>
        <w:rPr>
          <w:b/>
          <w:noProof/>
          <w:sz w:val="24"/>
          <w:szCs w:val="24"/>
        </w:rPr>
      </w:pPr>
      <w:r>
        <w:rPr>
          <w:b/>
          <w:noProof/>
          <w:sz w:val="24"/>
          <w:szCs w:val="24"/>
        </w:rPr>
        <w:lastRenderedPageBreak/>
        <w:t>Tables and Figures</w:t>
      </w:r>
    </w:p>
    <w:p w14:paraId="4C2E7859" w14:textId="77777777" w:rsidR="00CB480D" w:rsidRDefault="00CB480D" w:rsidP="00CB480D">
      <w:pPr>
        <w:spacing w:after="0" w:line="480" w:lineRule="auto"/>
        <w:jc w:val="center"/>
        <w:rPr>
          <w:b/>
          <w:noProof/>
          <w:sz w:val="24"/>
          <w:szCs w:val="24"/>
        </w:rPr>
      </w:pPr>
    </w:p>
    <w:p w14:paraId="6BCDFB60" w14:textId="77777777" w:rsidR="00126982" w:rsidRPr="00160255" w:rsidRDefault="00126982" w:rsidP="00CB480D">
      <w:pPr>
        <w:spacing w:after="0" w:line="480" w:lineRule="auto"/>
        <w:jc w:val="center"/>
        <w:rPr>
          <w:b/>
          <w:noProof/>
          <w:sz w:val="24"/>
          <w:szCs w:val="24"/>
        </w:rPr>
      </w:pPr>
      <w:r w:rsidRPr="00160255">
        <w:rPr>
          <w:b/>
          <w:noProof/>
          <w:sz w:val="24"/>
          <w:szCs w:val="24"/>
        </w:rPr>
        <w:t xml:space="preserve">Table 1. </w:t>
      </w:r>
      <w:r w:rsidRPr="00CB480D">
        <w:rPr>
          <w:noProof/>
          <w:sz w:val="24"/>
          <w:szCs w:val="24"/>
        </w:rPr>
        <w:t>Coding protocol and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2284"/>
        <w:gridCol w:w="2552"/>
        <w:gridCol w:w="2046"/>
      </w:tblGrid>
      <w:tr w:rsidR="00126982" w:rsidRPr="00160255" w14:paraId="7C56F0B5" w14:textId="77777777" w:rsidTr="00981A91">
        <w:tc>
          <w:tcPr>
            <w:tcW w:w="2360" w:type="dxa"/>
            <w:shd w:val="clear" w:color="auto" w:fill="auto"/>
          </w:tcPr>
          <w:p w14:paraId="58318CE8" w14:textId="490B20CC" w:rsidR="00126982" w:rsidRPr="00160255" w:rsidRDefault="00CB480D" w:rsidP="00CB480D">
            <w:pPr>
              <w:spacing w:after="0" w:line="480" w:lineRule="auto"/>
              <w:jc w:val="center"/>
              <w:rPr>
                <w:noProof/>
                <w:sz w:val="24"/>
                <w:szCs w:val="24"/>
              </w:rPr>
            </w:pPr>
            <w:r>
              <w:rPr>
                <w:b/>
                <w:noProof/>
                <w:sz w:val="24"/>
                <w:szCs w:val="24"/>
              </w:rPr>
              <w:t>Dominant emphasis</w:t>
            </w:r>
          </w:p>
        </w:tc>
        <w:tc>
          <w:tcPr>
            <w:tcW w:w="2284" w:type="dxa"/>
          </w:tcPr>
          <w:p w14:paraId="7FF78402" w14:textId="5BD37F58" w:rsidR="00126982" w:rsidRPr="00160255" w:rsidRDefault="00126982" w:rsidP="00CB480D">
            <w:pPr>
              <w:spacing w:after="0" w:line="480" w:lineRule="auto"/>
              <w:jc w:val="center"/>
              <w:rPr>
                <w:b/>
                <w:noProof/>
                <w:sz w:val="24"/>
                <w:szCs w:val="24"/>
              </w:rPr>
            </w:pPr>
            <w:r w:rsidRPr="00160255">
              <w:rPr>
                <w:b/>
                <w:noProof/>
                <w:sz w:val="24"/>
                <w:szCs w:val="24"/>
              </w:rPr>
              <w:t>Sub</w:t>
            </w:r>
            <w:r>
              <w:rPr>
                <w:b/>
                <w:noProof/>
                <w:sz w:val="24"/>
                <w:szCs w:val="24"/>
              </w:rPr>
              <w:t>-</w:t>
            </w:r>
            <w:r w:rsidR="00CB480D">
              <w:rPr>
                <w:b/>
                <w:noProof/>
                <w:sz w:val="24"/>
                <w:szCs w:val="24"/>
              </w:rPr>
              <w:t>code(s)</w:t>
            </w:r>
          </w:p>
        </w:tc>
        <w:tc>
          <w:tcPr>
            <w:tcW w:w="2552" w:type="dxa"/>
            <w:shd w:val="clear" w:color="auto" w:fill="auto"/>
          </w:tcPr>
          <w:p w14:paraId="559037DD" w14:textId="5377A874" w:rsidR="00126982" w:rsidRPr="00160255" w:rsidRDefault="00CB480D" w:rsidP="00CB480D">
            <w:pPr>
              <w:spacing w:after="0" w:line="480" w:lineRule="auto"/>
              <w:jc w:val="center"/>
              <w:rPr>
                <w:b/>
                <w:noProof/>
                <w:sz w:val="24"/>
                <w:szCs w:val="24"/>
              </w:rPr>
            </w:pPr>
            <w:r>
              <w:rPr>
                <w:b/>
                <w:noProof/>
                <w:sz w:val="24"/>
                <w:szCs w:val="24"/>
              </w:rPr>
              <w:t>Indicators of code</w:t>
            </w:r>
          </w:p>
        </w:tc>
        <w:tc>
          <w:tcPr>
            <w:tcW w:w="2046" w:type="dxa"/>
            <w:shd w:val="clear" w:color="auto" w:fill="auto"/>
          </w:tcPr>
          <w:p w14:paraId="18BBEBEF" w14:textId="28809627" w:rsidR="00126982" w:rsidRPr="00160255" w:rsidRDefault="00CB480D" w:rsidP="00CB480D">
            <w:pPr>
              <w:spacing w:after="0" w:line="480" w:lineRule="auto"/>
              <w:jc w:val="center"/>
              <w:rPr>
                <w:b/>
                <w:noProof/>
                <w:sz w:val="24"/>
                <w:szCs w:val="24"/>
              </w:rPr>
            </w:pPr>
            <w:r>
              <w:rPr>
                <w:b/>
                <w:noProof/>
                <w:sz w:val="24"/>
                <w:szCs w:val="24"/>
              </w:rPr>
              <w:t>Sample text</w:t>
            </w:r>
          </w:p>
        </w:tc>
      </w:tr>
      <w:tr w:rsidR="00126982" w:rsidRPr="00160255" w14:paraId="76DC07BE" w14:textId="77777777" w:rsidTr="00981A91">
        <w:trPr>
          <w:trHeight w:val="1035"/>
        </w:trPr>
        <w:tc>
          <w:tcPr>
            <w:tcW w:w="2360" w:type="dxa"/>
            <w:vMerge w:val="restart"/>
            <w:shd w:val="clear" w:color="auto" w:fill="auto"/>
          </w:tcPr>
          <w:p w14:paraId="2E5D5B7F" w14:textId="77777777" w:rsidR="00126982" w:rsidRPr="00160255" w:rsidRDefault="00126982" w:rsidP="00CB480D">
            <w:pPr>
              <w:spacing w:after="0" w:line="480" w:lineRule="auto"/>
              <w:rPr>
                <w:b/>
                <w:noProof/>
                <w:sz w:val="24"/>
                <w:szCs w:val="24"/>
              </w:rPr>
            </w:pPr>
            <w:r w:rsidRPr="00160255">
              <w:rPr>
                <w:b/>
                <w:noProof/>
                <w:sz w:val="24"/>
                <w:szCs w:val="24"/>
              </w:rPr>
              <w:t xml:space="preserve">Consequences to agribusiness industry/ economy </w:t>
            </w:r>
          </w:p>
        </w:tc>
        <w:tc>
          <w:tcPr>
            <w:tcW w:w="2284" w:type="dxa"/>
          </w:tcPr>
          <w:p w14:paraId="4E8BE7D5" w14:textId="77777777" w:rsidR="00126982" w:rsidRPr="00160255" w:rsidRDefault="00126982" w:rsidP="00CB480D">
            <w:pPr>
              <w:spacing w:after="0" w:line="480" w:lineRule="auto"/>
              <w:rPr>
                <w:noProof/>
                <w:sz w:val="24"/>
                <w:szCs w:val="24"/>
              </w:rPr>
            </w:pPr>
            <w:r w:rsidRPr="00160255">
              <w:rPr>
                <w:noProof/>
                <w:sz w:val="24"/>
                <w:szCs w:val="24"/>
              </w:rPr>
              <w:t>Consequences to agribusiness industry</w:t>
            </w:r>
          </w:p>
        </w:tc>
        <w:tc>
          <w:tcPr>
            <w:tcW w:w="2552" w:type="dxa"/>
            <w:shd w:val="clear" w:color="auto" w:fill="auto"/>
          </w:tcPr>
          <w:p w14:paraId="6849C845" w14:textId="77777777" w:rsidR="00126982" w:rsidRPr="00160255" w:rsidRDefault="00126982" w:rsidP="00CB480D">
            <w:pPr>
              <w:spacing w:after="0" w:line="480" w:lineRule="auto"/>
              <w:rPr>
                <w:noProof/>
                <w:sz w:val="24"/>
                <w:szCs w:val="24"/>
              </w:rPr>
            </w:pPr>
            <w:r w:rsidRPr="00160255">
              <w:rPr>
                <w:noProof/>
                <w:sz w:val="24"/>
                <w:szCs w:val="24"/>
              </w:rPr>
              <w:t xml:space="preserve">References to the economic consequences of the crisis, industry impact, financial losses to industry </w:t>
            </w:r>
          </w:p>
        </w:tc>
        <w:tc>
          <w:tcPr>
            <w:tcW w:w="2046" w:type="dxa"/>
            <w:shd w:val="clear" w:color="auto" w:fill="auto"/>
          </w:tcPr>
          <w:p w14:paraId="7194DC80" w14:textId="77777777" w:rsidR="00126982" w:rsidRPr="00160255" w:rsidRDefault="00126982" w:rsidP="00CB480D">
            <w:pPr>
              <w:spacing w:after="0" w:line="480" w:lineRule="auto"/>
              <w:rPr>
                <w:noProof/>
                <w:sz w:val="24"/>
                <w:szCs w:val="24"/>
              </w:rPr>
            </w:pPr>
            <w:r w:rsidRPr="00160255">
              <w:rPr>
                <w:noProof/>
                <w:sz w:val="24"/>
                <w:szCs w:val="24"/>
              </w:rPr>
              <w:t>“The scare could destroy the Irish pork industry”, “Irish pig industry plunged into disaster”</w:t>
            </w:r>
          </w:p>
        </w:tc>
      </w:tr>
      <w:tr w:rsidR="00126982" w:rsidRPr="00160255" w14:paraId="56D92725" w14:textId="77777777" w:rsidTr="00981A91">
        <w:trPr>
          <w:trHeight w:val="1035"/>
        </w:trPr>
        <w:tc>
          <w:tcPr>
            <w:tcW w:w="2360" w:type="dxa"/>
            <w:vMerge/>
            <w:shd w:val="clear" w:color="auto" w:fill="auto"/>
          </w:tcPr>
          <w:p w14:paraId="7221FDEE" w14:textId="77777777" w:rsidR="00126982" w:rsidRPr="00160255" w:rsidRDefault="00126982" w:rsidP="00CB480D">
            <w:pPr>
              <w:spacing w:after="0" w:line="480" w:lineRule="auto"/>
              <w:rPr>
                <w:b/>
                <w:noProof/>
                <w:sz w:val="24"/>
                <w:szCs w:val="24"/>
              </w:rPr>
            </w:pPr>
          </w:p>
        </w:tc>
        <w:tc>
          <w:tcPr>
            <w:tcW w:w="2284" w:type="dxa"/>
          </w:tcPr>
          <w:p w14:paraId="1D1781AF" w14:textId="77777777" w:rsidR="00126982" w:rsidRPr="00160255" w:rsidRDefault="00126982" w:rsidP="00CB480D">
            <w:pPr>
              <w:spacing w:after="0" w:line="480" w:lineRule="auto"/>
              <w:rPr>
                <w:noProof/>
                <w:sz w:val="24"/>
                <w:szCs w:val="24"/>
              </w:rPr>
            </w:pPr>
            <w:r w:rsidRPr="00160255">
              <w:rPr>
                <w:noProof/>
                <w:sz w:val="24"/>
                <w:szCs w:val="24"/>
              </w:rPr>
              <w:t>Consequences to economy</w:t>
            </w:r>
          </w:p>
        </w:tc>
        <w:tc>
          <w:tcPr>
            <w:tcW w:w="2552" w:type="dxa"/>
            <w:shd w:val="clear" w:color="auto" w:fill="auto"/>
          </w:tcPr>
          <w:p w14:paraId="29D6D18B" w14:textId="77777777" w:rsidR="00126982" w:rsidRPr="00160255" w:rsidRDefault="00126982" w:rsidP="00CB480D">
            <w:pPr>
              <w:spacing w:after="0" w:line="480" w:lineRule="auto"/>
              <w:rPr>
                <w:noProof/>
                <w:sz w:val="24"/>
                <w:szCs w:val="24"/>
              </w:rPr>
            </w:pPr>
            <w:r w:rsidRPr="00160255">
              <w:rPr>
                <w:noProof/>
                <w:sz w:val="24"/>
                <w:szCs w:val="24"/>
              </w:rPr>
              <w:t>References to the economic consequences of the crisis, industry impact, financial impact on economy</w:t>
            </w:r>
          </w:p>
        </w:tc>
        <w:tc>
          <w:tcPr>
            <w:tcW w:w="2046" w:type="dxa"/>
            <w:shd w:val="clear" w:color="auto" w:fill="auto"/>
          </w:tcPr>
          <w:p w14:paraId="31319977" w14:textId="77777777" w:rsidR="00126982" w:rsidRPr="00160255" w:rsidRDefault="00126982" w:rsidP="00CB480D">
            <w:pPr>
              <w:spacing w:after="0" w:line="480" w:lineRule="auto"/>
              <w:rPr>
                <w:noProof/>
                <w:sz w:val="24"/>
                <w:szCs w:val="24"/>
              </w:rPr>
            </w:pPr>
            <w:r w:rsidRPr="00160255">
              <w:rPr>
                <w:noProof/>
                <w:sz w:val="24"/>
                <w:szCs w:val="24"/>
              </w:rPr>
              <w:t>“repercussions for the Irish economy”</w:t>
            </w:r>
          </w:p>
        </w:tc>
      </w:tr>
      <w:tr w:rsidR="00126982" w:rsidRPr="00160255" w14:paraId="4E699262" w14:textId="77777777" w:rsidTr="00981A91">
        <w:trPr>
          <w:trHeight w:val="1380"/>
        </w:trPr>
        <w:tc>
          <w:tcPr>
            <w:tcW w:w="2360" w:type="dxa"/>
            <w:vMerge w:val="restart"/>
            <w:shd w:val="clear" w:color="auto" w:fill="auto"/>
          </w:tcPr>
          <w:p w14:paraId="63BFAA21" w14:textId="77777777" w:rsidR="00126982" w:rsidRPr="00160255" w:rsidRDefault="00126982" w:rsidP="00CB480D">
            <w:pPr>
              <w:spacing w:after="0" w:line="480" w:lineRule="auto"/>
              <w:rPr>
                <w:b/>
                <w:noProof/>
                <w:sz w:val="24"/>
                <w:szCs w:val="24"/>
              </w:rPr>
            </w:pPr>
            <w:r w:rsidRPr="00160255">
              <w:rPr>
                <w:b/>
                <w:noProof/>
                <w:sz w:val="24"/>
                <w:szCs w:val="24"/>
              </w:rPr>
              <w:t>Blame/responsibility assignment</w:t>
            </w:r>
          </w:p>
        </w:tc>
        <w:tc>
          <w:tcPr>
            <w:tcW w:w="2284" w:type="dxa"/>
          </w:tcPr>
          <w:p w14:paraId="4AEE9F36" w14:textId="77777777" w:rsidR="00126982" w:rsidRDefault="00126982" w:rsidP="00CB480D">
            <w:pPr>
              <w:spacing w:after="0" w:line="480" w:lineRule="auto"/>
              <w:rPr>
                <w:noProof/>
                <w:sz w:val="24"/>
                <w:szCs w:val="24"/>
              </w:rPr>
            </w:pPr>
            <w:r>
              <w:rPr>
                <w:noProof/>
                <w:sz w:val="24"/>
                <w:szCs w:val="24"/>
              </w:rPr>
              <w:t>-</w:t>
            </w:r>
            <w:r w:rsidRPr="00160255">
              <w:rPr>
                <w:noProof/>
                <w:sz w:val="24"/>
                <w:szCs w:val="24"/>
              </w:rPr>
              <w:t>Government/ regulation blame/</w:t>
            </w:r>
          </w:p>
          <w:p w14:paraId="3F5EB1AF" w14:textId="77777777" w:rsidR="00126982" w:rsidRPr="00160255" w:rsidRDefault="00126982" w:rsidP="00CB480D">
            <w:pPr>
              <w:spacing w:after="0" w:line="480" w:lineRule="auto"/>
              <w:rPr>
                <w:noProof/>
                <w:sz w:val="24"/>
                <w:szCs w:val="24"/>
              </w:rPr>
            </w:pPr>
            <w:r>
              <w:rPr>
                <w:noProof/>
                <w:sz w:val="24"/>
                <w:szCs w:val="24"/>
              </w:rPr>
              <w:t>-</w:t>
            </w:r>
            <w:r w:rsidRPr="007F55C3">
              <w:rPr>
                <w:noProof/>
                <w:sz w:val="24"/>
                <w:szCs w:val="24"/>
              </w:rPr>
              <w:t xml:space="preserve"> </w:t>
            </w:r>
            <w:r>
              <w:rPr>
                <w:noProof/>
                <w:sz w:val="24"/>
                <w:szCs w:val="24"/>
              </w:rPr>
              <w:t xml:space="preserve">Government </w:t>
            </w:r>
            <w:r w:rsidRPr="00160255">
              <w:rPr>
                <w:noProof/>
                <w:sz w:val="24"/>
                <w:szCs w:val="24"/>
              </w:rPr>
              <w:t>responsibility</w:t>
            </w:r>
            <w:r>
              <w:rPr>
                <w:noProof/>
                <w:sz w:val="24"/>
                <w:szCs w:val="24"/>
              </w:rPr>
              <w:t xml:space="preserve"> for solution</w:t>
            </w:r>
          </w:p>
        </w:tc>
        <w:tc>
          <w:tcPr>
            <w:tcW w:w="2552" w:type="dxa"/>
            <w:vMerge w:val="restart"/>
            <w:shd w:val="clear" w:color="auto" w:fill="auto"/>
          </w:tcPr>
          <w:p w14:paraId="2ED362F6" w14:textId="77777777" w:rsidR="00126982" w:rsidRPr="00160255" w:rsidRDefault="00126982" w:rsidP="00CB480D">
            <w:pPr>
              <w:spacing w:after="0" w:line="480" w:lineRule="auto"/>
              <w:rPr>
                <w:noProof/>
                <w:sz w:val="24"/>
                <w:szCs w:val="24"/>
              </w:rPr>
            </w:pPr>
            <w:r w:rsidRPr="00160255">
              <w:rPr>
                <w:noProof/>
                <w:sz w:val="24"/>
                <w:szCs w:val="24"/>
              </w:rPr>
              <w:t>Blame/responsibility attributed to specific individuals, groups or policies, e.g., government, animal feed supplier, processors, regulators</w:t>
            </w:r>
          </w:p>
        </w:tc>
        <w:tc>
          <w:tcPr>
            <w:tcW w:w="2046" w:type="dxa"/>
            <w:shd w:val="clear" w:color="auto" w:fill="auto"/>
          </w:tcPr>
          <w:p w14:paraId="7E884FC7" w14:textId="77777777" w:rsidR="00126982" w:rsidRPr="00160255" w:rsidRDefault="00126982" w:rsidP="00CB480D">
            <w:pPr>
              <w:spacing w:after="0" w:line="480" w:lineRule="auto"/>
              <w:rPr>
                <w:noProof/>
                <w:sz w:val="24"/>
                <w:szCs w:val="24"/>
              </w:rPr>
            </w:pPr>
            <w:r w:rsidRPr="00160255">
              <w:rPr>
                <w:noProof/>
                <w:sz w:val="24"/>
                <w:szCs w:val="24"/>
              </w:rPr>
              <w:t xml:space="preserve">“The government got us into this mess; they must get us out of it”, </w:t>
            </w:r>
          </w:p>
        </w:tc>
      </w:tr>
      <w:tr w:rsidR="00126982" w:rsidRPr="00160255" w14:paraId="0833E8E3" w14:textId="77777777" w:rsidTr="00981A91">
        <w:trPr>
          <w:trHeight w:val="1380"/>
        </w:trPr>
        <w:tc>
          <w:tcPr>
            <w:tcW w:w="2360" w:type="dxa"/>
            <w:vMerge/>
            <w:shd w:val="clear" w:color="auto" w:fill="auto"/>
          </w:tcPr>
          <w:p w14:paraId="432194A4" w14:textId="77777777" w:rsidR="00126982" w:rsidRPr="00160255" w:rsidRDefault="00126982" w:rsidP="00CB480D">
            <w:pPr>
              <w:spacing w:after="0" w:line="480" w:lineRule="auto"/>
              <w:rPr>
                <w:b/>
                <w:noProof/>
                <w:sz w:val="24"/>
                <w:szCs w:val="24"/>
              </w:rPr>
            </w:pPr>
          </w:p>
        </w:tc>
        <w:tc>
          <w:tcPr>
            <w:tcW w:w="2284" w:type="dxa"/>
          </w:tcPr>
          <w:p w14:paraId="7A5025A6" w14:textId="77777777" w:rsidR="00126982" w:rsidRDefault="00126982" w:rsidP="00CB480D">
            <w:pPr>
              <w:spacing w:after="0" w:line="480" w:lineRule="auto"/>
              <w:rPr>
                <w:noProof/>
                <w:sz w:val="24"/>
                <w:szCs w:val="24"/>
              </w:rPr>
            </w:pPr>
            <w:r>
              <w:rPr>
                <w:noProof/>
                <w:sz w:val="24"/>
                <w:szCs w:val="24"/>
              </w:rPr>
              <w:t>-</w:t>
            </w:r>
            <w:r w:rsidRPr="00160255">
              <w:rPr>
                <w:noProof/>
                <w:sz w:val="24"/>
                <w:szCs w:val="24"/>
              </w:rPr>
              <w:t xml:space="preserve">Producer/processor </w:t>
            </w:r>
            <w:r>
              <w:rPr>
                <w:noProof/>
                <w:sz w:val="24"/>
                <w:szCs w:val="24"/>
              </w:rPr>
              <w:t>blame</w:t>
            </w:r>
          </w:p>
          <w:p w14:paraId="6FC15BD8" w14:textId="77777777" w:rsidR="00126982" w:rsidRPr="00160255" w:rsidRDefault="00126982" w:rsidP="00CB480D">
            <w:pPr>
              <w:spacing w:after="0" w:line="480" w:lineRule="auto"/>
              <w:rPr>
                <w:noProof/>
                <w:sz w:val="24"/>
                <w:szCs w:val="24"/>
              </w:rPr>
            </w:pPr>
            <w:r>
              <w:rPr>
                <w:noProof/>
                <w:sz w:val="24"/>
                <w:szCs w:val="24"/>
              </w:rPr>
              <w:t xml:space="preserve">- </w:t>
            </w:r>
            <w:r w:rsidRPr="007F55C3">
              <w:rPr>
                <w:noProof/>
                <w:sz w:val="24"/>
                <w:szCs w:val="24"/>
              </w:rPr>
              <w:t xml:space="preserve">Producer/processor </w:t>
            </w:r>
            <w:r w:rsidRPr="00160255">
              <w:rPr>
                <w:noProof/>
                <w:sz w:val="24"/>
                <w:szCs w:val="24"/>
              </w:rPr>
              <w:t>responsibility</w:t>
            </w:r>
            <w:r>
              <w:rPr>
                <w:noProof/>
                <w:sz w:val="24"/>
                <w:szCs w:val="24"/>
              </w:rPr>
              <w:t xml:space="preserve"> for </w:t>
            </w:r>
            <w:r>
              <w:rPr>
                <w:noProof/>
                <w:sz w:val="24"/>
                <w:szCs w:val="24"/>
              </w:rPr>
              <w:lastRenderedPageBreak/>
              <w:t>solution</w:t>
            </w:r>
          </w:p>
        </w:tc>
        <w:tc>
          <w:tcPr>
            <w:tcW w:w="2552" w:type="dxa"/>
            <w:vMerge/>
            <w:shd w:val="clear" w:color="auto" w:fill="auto"/>
          </w:tcPr>
          <w:p w14:paraId="67ED6820" w14:textId="77777777" w:rsidR="00126982" w:rsidRPr="00160255" w:rsidRDefault="00126982" w:rsidP="00CB480D">
            <w:pPr>
              <w:spacing w:after="0" w:line="480" w:lineRule="auto"/>
              <w:rPr>
                <w:noProof/>
                <w:sz w:val="24"/>
                <w:szCs w:val="24"/>
              </w:rPr>
            </w:pPr>
          </w:p>
        </w:tc>
        <w:tc>
          <w:tcPr>
            <w:tcW w:w="2046" w:type="dxa"/>
            <w:shd w:val="clear" w:color="auto" w:fill="auto"/>
          </w:tcPr>
          <w:p w14:paraId="19C07ACE" w14:textId="77777777" w:rsidR="00126982" w:rsidRPr="00160255" w:rsidRDefault="00126982" w:rsidP="00CB480D">
            <w:pPr>
              <w:spacing w:after="0" w:line="480" w:lineRule="auto"/>
              <w:rPr>
                <w:noProof/>
                <w:sz w:val="24"/>
                <w:szCs w:val="24"/>
              </w:rPr>
            </w:pPr>
            <w:r w:rsidRPr="00160255">
              <w:rPr>
                <w:noProof/>
                <w:sz w:val="24"/>
                <w:szCs w:val="24"/>
              </w:rPr>
              <w:t>“The processing plant did not have a licence for the oil it used”</w:t>
            </w:r>
          </w:p>
        </w:tc>
      </w:tr>
      <w:tr w:rsidR="00126982" w:rsidRPr="00160255" w14:paraId="4FCF045C" w14:textId="77777777" w:rsidTr="00981A91">
        <w:trPr>
          <w:trHeight w:val="1380"/>
        </w:trPr>
        <w:tc>
          <w:tcPr>
            <w:tcW w:w="2360" w:type="dxa"/>
            <w:vMerge/>
            <w:shd w:val="clear" w:color="auto" w:fill="auto"/>
          </w:tcPr>
          <w:p w14:paraId="4A79FAD8" w14:textId="77777777" w:rsidR="00126982" w:rsidRPr="00160255" w:rsidRDefault="00126982" w:rsidP="00CB480D">
            <w:pPr>
              <w:spacing w:after="0" w:line="480" w:lineRule="auto"/>
              <w:rPr>
                <w:b/>
                <w:noProof/>
                <w:sz w:val="24"/>
                <w:szCs w:val="24"/>
              </w:rPr>
            </w:pPr>
          </w:p>
        </w:tc>
        <w:tc>
          <w:tcPr>
            <w:tcW w:w="2284" w:type="dxa"/>
          </w:tcPr>
          <w:p w14:paraId="44991B04" w14:textId="77777777" w:rsidR="00126982" w:rsidRPr="00160255" w:rsidRDefault="00126982" w:rsidP="00CB480D">
            <w:pPr>
              <w:spacing w:after="0" w:line="480" w:lineRule="auto"/>
              <w:rPr>
                <w:noProof/>
                <w:sz w:val="24"/>
                <w:szCs w:val="24"/>
              </w:rPr>
            </w:pPr>
            <w:r w:rsidRPr="00160255">
              <w:rPr>
                <w:noProof/>
                <w:sz w:val="24"/>
                <w:szCs w:val="24"/>
              </w:rPr>
              <w:t>Other assignment of blame/responsibility</w:t>
            </w:r>
          </w:p>
        </w:tc>
        <w:tc>
          <w:tcPr>
            <w:tcW w:w="2552" w:type="dxa"/>
            <w:vMerge/>
            <w:shd w:val="clear" w:color="auto" w:fill="auto"/>
          </w:tcPr>
          <w:p w14:paraId="40AE4D88" w14:textId="77777777" w:rsidR="00126982" w:rsidRPr="00160255" w:rsidRDefault="00126982" w:rsidP="00CB480D">
            <w:pPr>
              <w:spacing w:after="0" w:line="480" w:lineRule="auto"/>
              <w:rPr>
                <w:noProof/>
                <w:sz w:val="24"/>
                <w:szCs w:val="24"/>
              </w:rPr>
            </w:pPr>
          </w:p>
        </w:tc>
        <w:tc>
          <w:tcPr>
            <w:tcW w:w="2046" w:type="dxa"/>
            <w:shd w:val="clear" w:color="auto" w:fill="auto"/>
          </w:tcPr>
          <w:p w14:paraId="79E13584" w14:textId="77777777" w:rsidR="00126982" w:rsidRPr="00160255" w:rsidRDefault="00126982" w:rsidP="00CB480D">
            <w:pPr>
              <w:spacing w:after="0" w:line="480" w:lineRule="auto"/>
              <w:rPr>
                <w:noProof/>
                <w:sz w:val="24"/>
                <w:szCs w:val="24"/>
              </w:rPr>
            </w:pPr>
            <w:r w:rsidRPr="00160255">
              <w:rPr>
                <w:noProof/>
                <w:sz w:val="24"/>
                <w:szCs w:val="24"/>
              </w:rPr>
              <w:t>“we must look beyond the government and the plant at the centre of the crisis for blame”</w:t>
            </w:r>
          </w:p>
        </w:tc>
      </w:tr>
      <w:tr w:rsidR="00126982" w:rsidRPr="00160255" w14:paraId="1900EC65" w14:textId="77777777" w:rsidTr="00981A91">
        <w:trPr>
          <w:trHeight w:val="1448"/>
        </w:trPr>
        <w:tc>
          <w:tcPr>
            <w:tcW w:w="2360" w:type="dxa"/>
            <w:vMerge w:val="restart"/>
            <w:shd w:val="clear" w:color="auto" w:fill="auto"/>
          </w:tcPr>
          <w:p w14:paraId="53E71D8E" w14:textId="77777777" w:rsidR="00126982" w:rsidRPr="00160255" w:rsidRDefault="00126982" w:rsidP="00CB480D">
            <w:pPr>
              <w:spacing w:after="0" w:line="480" w:lineRule="auto"/>
              <w:rPr>
                <w:b/>
                <w:noProof/>
                <w:sz w:val="24"/>
                <w:szCs w:val="24"/>
              </w:rPr>
            </w:pPr>
            <w:r w:rsidRPr="00160255">
              <w:rPr>
                <w:b/>
                <w:noProof/>
                <w:sz w:val="24"/>
                <w:szCs w:val="24"/>
              </w:rPr>
              <w:t>Health Consequences</w:t>
            </w:r>
          </w:p>
        </w:tc>
        <w:tc>
          <w:tcPr>
            <w:tcW w:w="2284" w:type="dxa"/>
          </w:tcPr>
          <w:p w14:paraId="6465AC25" w14:textId="77777777" w:rsidR="00126982" w:rsidRPr="00160255" w:rsidRDefault="00126982" w:rsidP="00CB480D">
            <w:pPr>
              <w:spacing w:after="0" w:line="480" w:lineRule="auto"/>
              <w:rPr>
                <w:noProof/>
                <w:sz w:val="24"/>
                <w:szCs w:val="24"/>
              </w:rPr>
            </w:pPr>
            <w:r w:rsidRPr="00160255">
              <w:rPr>
                <w:noProof/>
                <w:sz w:val="24"/>
                <w:szCs w:val="24"/>
              </w:rPr>
              <w:t>Health Risk</w:t>
            </w:r>
          </w:p>
        </w:tc>
        <w:tc>
          <w:tcPr>
            <w:tcW w:w="2552" w:type="dxa"/>
            <w:shd w:val="clear" w:color="auto" w:fill="auto"/>
          </w:tcPr>
          <w:p w14:paraId="2B8A064C" w14:textId="77777777" w:rsidR="00126982" w:rsidRPr="00160255" w:rsidRDefault="00126982" w:rsidP="00CB480D">
            <w:pPr>
              <w:spacing w:after="0" w:line="480" w:lineRule="auto"/>
              <w:rPr>
                <w:noProof/>
                <w:sz w:val="24"/>
                <w:szCs w:val="24"/>
              </w:rPr>
            </w:pPr>
            <w:r w:rsidRPr="00160255">
              <w:rPr>
                <w:noProof/>
                <w:sz w:val="24"/>
                <w:szCs w:val="24"/>
              </w:rPr>
              <w:t>References to risk to human physical health, potential consequences of exposure, safety concerns.</w:t>
            </w:r>
          </w:p>
        </w:tc>
        <w:tc>
          <w:tcPr>
            <w:tcW w:w="2046" w:type="dxa"/>
            <w:shd w:val="clear" w:color="auto" w:fill="auto"/>
          </w:tcPr>
          <w:p w14:paraId="692058F0" w14:textId="77777777" w:rsidR="00126982" w:rsidRPr="00160255" w:rsidRDefault="00126982" w:rsidP="00CB480D">
            <w:pPr>
              <w:spacing w:after="0" w:line="480" w:lineRule="auto"/>
              <w:rPr>
                <w:noProof/>
                <w:sz w:val="24"/>
                <w:szCs w:val="24"/>
              </w:rPr>
            </w:pPr>
            <w:r w:rsidRPr="00160255">
              <w:rPr>
                <w:noProof/>
                <w:sz w:val="24"/>
                <w:szCs w:val="24"/>
              </w:rPr>
              <w:t>“..dioxins, which in some forms and concentrations, and with long exposure, can cause cancer”, “deadly dioxins”</w:t>
            </w:r>
          </w:p>
        </w:tc>
      </w:tr>
      <w:tr w:rsidR="00126982" w:rsidRPr="00160255" w14:paraId="2C70A7C3" w14:textId="77777777" w:rsidTr="00981A91">
        <w:trPr>
          <w:trHeight w:val="1447"/>
        </w:trPr>
        <w:tc>
          <w:tcPr>
            <w:tcW w:w="2360" w:type="dxa"/>
            <w:vMerge/>
            <w:shd w:val="clear" w:color="auto" w:fill="auto"/>
          </w:tcPr>
          <w:p w14:paraId="5379A62C" w14:textId="77777777" w:rsidR="00126982" w:rsidRPr="00160255" w:rsidRDefault="00126982" w:rsidP="00CB480D">
            <w:pPr>
              <w:spacing w:after="0" w:line="480" w:lineRule="auto"/>
              <w:rPr>
                <w:b/>
                <w:noProof/>
                <w:sz w:val="24"/>
                <w:szCs w:val="24"/>
              </w:rPr>
            </w:pPr>
          </w:p>
        </w:tc>
        <w:tc>
          <w:tcPr>
            <w:tcW w:w="2284" w:type="dxa"/>
          </w:tcPr>
          <w:p w14:paraId="7CE8CAC2" w14:textId="77777777" w:rsidR="00126982" w:rsidRPr="00160255" w:rsidRDefault="00126982" w:rsidP="00CB480D">
            <w:pPr>
              <w:spacing w:after="0" w:line="480" w:lineRule="auto"/>
              <w:rPr>
                <w:noProof/>
                <w:sz w:val="24"/>
                <w:szCs w:val="24"/>
              </w:rPr>
            </w:pPr>
            <w:r w:rsidRPr="00160255">
              <w:rPr>
                <w:noProof/>
                <w:sz w:val="24"/>
                <w:szCs w:val="24"/>
              </w:rPr>
              <w:t>No Health Risk</w:t>
            </w:r>
          </w:p>
        </w:tc>
        <w:tc>
          <w:tcPr>
            <w:tcW w:w="2552" w:type="dxa"/>
            <w:shd w:val="clear" w:color="auto" w:fill="auto"/>
          </w:tcPr>
          <w:p w14:paraId="09B78072" w14:textId="77777777" w:rsidR="00126982" w:rsidRPr="00160255" w:rsidRDefault="00126982" w:rsidP="00CB480D">
            <w:pPr>
              <w:spacing w:after="0" w:line="480" w:lineRule="auto"/>
              <w:rPr>
                <w:noProof/>
                <w:sz w:val="24"/>
                <w:szCs w:val="24"/>
              </w:rPr>
            </w:pPr>
            <w:r w:rsidRPr="00160255">
              <w:rPr>
                <w:noProof/>
                <w:sz w:val="24"/>
                <w:szCs w:val="24"/>
              </w:rPr>
              <w:t>Reassurance regarding low/no risk of dioxin crisis</w:t>
            </w:r>
          </w:p>
        </w:tc>
        <w:tc>
          <w:tcPr>
            <w:tcW w:w="2046" w:type="dxa"/>
            <w:shd w:val="clear" w:color="auto" w:fill="auto"/>
          </w:tcPr>
          <w:p w14:paraId="5FC75494" w14:textId="77777777" w:rsidR="00126982" w:rsidRDefault="00126982" w:rsidP="00CB480D">
            <w:pPr>
              <w:spacing w:after="0" w:line="480" w:lineRule="auto"/>
              <w:rPr>
                <w:noProof/>
                <w:sz w:val="24"/>
                <w:szCs w:val="24"/>
              </w:rPr>
            </w:pPr>
            <w:r w:rsidRPr="00160255">
              <w:rPr>
                <w:noProof/>
                <w:sz w:val="24"/>
                <w:szCs w:val="24"/>
              </w:rPr>
              <w:t>“The risk</w:t>
            </w:r>
            <w:r>
              <w:rPr>
                <w:noProof/>
                <w:sz w:val="24"/>
                <w:szCs w:val="24"/>
              </w:rPr>
              <w:t xml:space="preserve"> to public health is very low”</w:t>
            </w:r>
          </w:p>
          <w:p w14:paraId="7D049052" w14:textId="77777777" w:rsidR="00126982" w:rsidRDefault="00126982" w:rsidP="00CB480D">
            <w:pPr>
              <w:spacing w:after="0" w:line="480" w:lineRule="auto"/>
              <w:rPr>
                <w:noProof/>
                <w:sz w:val="24"/>
                <w:szCs w:val="24"/>
              </w:rPr>
            </w:pPr>
            <w:r w:rsidRPr="00160255">
              <w:rPr>
                <w:noProof/>
                <w:sz w:val="24"/>
                <w:szCs w:val="24"/>
              </w:rPr>
              <w:t>“no harmful effects”</w:t>
            </w:r>
          </w:p>
          <w:p w14:paraId="3321A2D6" w14:textId="77777777" w:rsidR="00126982" w:rsidRPr="00160255" w:rsidRDefault="00126982" w:rsidP="00CB480D">
            <w:pPr>
              <w:spacing w:after="0" w:line="480" w:lineRule="auto"/>
              <w:rPr>
                <w:noProof/>
                <w:sz w:val="24"/>
                <w:szCs w:val="24"/>
              </w:rPr>
            </w:pPr>
            <w:r>
              <w:rPr>
                <w:noProof/>
                <w:sz w:val="24"/>
                <w:szCs w:val="24"/>
              </w:rPr>
              <w:t>“poses no risk to the consumer”</w:t>
            </w:r>
          </w:p>
        </w:tc>
      </w:tr>
      <w:tr w:rsidR="00126982" w:rsidRPr="00160255" w14:paraId="526CB113" w14:textId="77777777" w:rsidTr="00981A91">
        <w:trPr>
          <w:trHeight w:val="2280"/>
        </w:trPr>
        <w:tc>
          <w:tcPr>
            <w:tcW w:w="2360" w:type="dxa"/>
            <w:vMerge w:val="restart"/>
            <w:shd w:val="clear" w:color="auto" w:fill="auto"/>
          </w:tcPr>
          <w:p w14:paraId="78E0AA45" w14:textId="77777777" w:rsidR="00126982" w:rsidRPr="00160255" w:rsidRDefault="00126982" w:rsidP="00CB480D">
            <w:pPr>
              <w:spacing w:after="0" w:line="480" w:lineRule="auto"/>
              <w:rPr>
                <w:b/>
                <w:noProof/>
                <w:sz w:val="24"/>
                <w:szCs w:val="24"/>
              </w:rPr>
            </w:pPr>
            <w:r w:rsidRPr="00160255">
              <w:rPr>
                <w:b/>
                <w:noProof/>
                <w:sz w:val="24"/>
                <w:szCs w:val="24"/>
              </w:rPr>
              <w:lastRenderedPageBreak/>
              <w:t>Public consumer impact</w:t>
            </w:r>
          </w:p>
        </w:tc>
        <w:tc>
          <w:tcPr>
            <w:tcW w:w="2284" w:type="dxa"/>
          </w:tcPr>
          <w:p w14:paraId="5DF10F60" w14:textId="77777777" w:rsidR="00126982" w:rsidRPr="00160255" w:rsidRDefault="00126982" w:rsidP="00CB480D">
            <w:pPr>
              <w:spacing w:after="0" w:line="480" w:lineRule="auto"/>
              <w:rPr>
                <w:noProof/>
                <w:sz w:val="24"/>
                <w:szCs w:val="24"/>
              </w:rPr>
            </w:pPr>
            <w:r w:rsidRPr="00160255">
              <w:rPr>
                <w:noProof/>
                <w:sz w:val="24"/>
                <w:szCs w:val="24"/>
              </w:rPr>
              <w:t>Impact on consumer trust</w:t>
            </w:r>
          </w:p>
        </w:tc>
        <w:tc>
          <w:tcPr>
            <w:tcW w:w="2552" w:type="dxa"/>
            <w:shd w:val="clear" w:color="auto" w:fill="auto"/>
          </w:tcPr>
          <w:p w14:paraId="03E7CEE3" w14:textId="77777777" w:rsidR="00126982" w:rsidRPr="00160255" w:rsidRDefault="00126982" w:rsidP="00CB480D">
            <w:pPr>
              <w:spacing w:after="0" w:line="480" w:lineRule="auto"/>
              <w:rPr>
                <w:noProof/>
                <w:sz w:val="24"/>
                <w:szCs w:val="24"/>
              </w:rPr>
            </w:pPr>
            <w:r w:rsidRPr="00160255">
              <w:rPr>
                <w:noProof/>
                <w:sz w:val="24"/>
                <w:szCs w:val="24"/>
              </w:rPr>
              <w:t>References to the effect of food risk on trust, consumer education/reassurance, consumer protection</w:t>
            </w:r>
          </w:p>
        </w:tc>
        <w:tc>
          <w:tcPr>
            <w:tcW w:w="2046" w:type="dxa"/>
            <w:shd w:val="clear" w:color="auto" w:fill="auto"/>
          </w:tcPr>
          <w:p w14:paraId="6EF89B5A" w14:textId="77777777" w:rsidR="00126982" w:rsidRPr="00160255" w:rsidRDefault="00126982" w:rsidP="00CB480D">
            <w:pPr>
              <w:spacing w:after="0" w:line="480" w:lineRule="auto"/>
              <w:rPr>
                <w:noProof/>
                <w:sz w:val="24"/>
                <w:szCs w:val="24"/>
              </w:rPr>
            </w:pPr>
            <w:r w:rsidRPr="00160255">
              <w:rPr>
                <w:noProof/>
                <w:sz w:val="24"/>
                <w:szCs w:val="24"/>
              </w:rPr>
              <w:t xml:space="preserve">“plan to restore confidence in Irish pork”, “consumer focus groups will be used to identify what shoppers need in terms of information”, </w:t>
            </w:r>
          </w:p>
        </w:tc>
      </w:tr>
      <w:tr w:rsidR="00126982" w:rsidRPr="00160255" w14:paraId="55C4E7CC" w14:textId="77777777" w:rsidTr="00981A91">
        <w:trPr>
          <w:trHeight w:val="2280"/>
        </w:trPr>
        <w:tc>
          <w:tcPr>
            <w:tcW w:w="2360" w:type="dxa"/>
            <w:vMerge/>
            <w:shd w:val="clear" w:color="auto" w:fill="auto"/>
          </w:tcPr>
          <w:p w14:paraId="2ED1F69A" w14:textId="77777777" w:rsidR="00126982" w:rsidRPr="00160255" w:rsidRDefault="00126982" w:rsidP="00CB480D">
            <w:pPr>
              <w:spacing w:after="0" w:line="480" w:lineRule="auto"/>
              <w:rPr>
                <w:b/>
                <w:noProof/>
                <w:sz w:val="24"/>
                <w:szCs w:val="24"/>
              </w:rPr>
            </w:pPr>
          </w:p>
        </w:tc>
        <w:tc>
          <w:tcPr>
            <w:tcW w:w="2284" w:type="dxa"/>
          </w:tcPr>
          <w:p w14:paraId="47EE3D79" w14:textId="77777777" w:rsidR="00126982" w:rsidRPr="00160255" w:rsidRDefault="00126982" w:rsidP="00CB480D">
            <w:pPr>
              <w:spacing w:after="0" w:line="480" w:lineRule="auto"/>
              <w:rPr>
                <w:noProof/>
                <w:sz w:val="24"/>
                <w:szCs w:val="24"/>
              </w:rPr>
            </w:pPr>
            <w:r w:rsidRPr="00160255">
              <w:rPr>
                <w:noProof/>
                <w:sz w:val="24"/>
                <w:szCs w:val="24"/>
              </w:rPr>
              <w:t xml:space="preserve">Imapact on consumer </w:t>
            </w:r>
            <w:r w:rsidRPr="00380CC8">
              <w:rPr>
                <w:noProof/>
                <w:sz w:val="24"/>
                <w:szCs w:val="24"/>
              </w:rPr>
              <w:t>food purchasing</w:t>
            </w:r>
          </w:p>
        </w:tc>
        <w:tc>
          <w:tcPr>
            <w:tcW w:w="2552" w:type="dxa"/>
            <w:shd w:val="clear" w:color="auto" w:fill="auto"/>
          </w:tcPr>
          <w:p w14:paraId="19B92865" w14:textId="77777777" w:rsidR="00126982" w:rsidRPr="00160255" w:rsidRDefault="00126982" w:rsidP="00CB480D">
            <w:pPr>
              <w:spacing w:after="0" w:line="480" w:lineRule="auto"/>
              <w:rPr>
                <w:noProof/>
                <w:sz w:val="24"/>
                <w:szCs w:val="24"/>
              </w:rPr>
            </w:pPr>
            <w:r w:rsidRPr="00160255">
              <w:rPr>
                <w:noProof/>
                <w:sz w:val="24"/>
                <w:szCs w:val="24"/>
              </w:rPr>
              <w:t>References to the effect of the crisis on consumer purchasing behaviour</w:t>
            </w:r>
          </w:p>
        </w:tc>
        <w:tc>
          <w:tcPr>
            <w:tcW w:w="2046" w:type="dxa"/>
            <w:shd w:val="clear" w:color="auto" w:fill="auto"/>
          </w:tcPr>
          <w:p w14:paraId="6F4F7192" w14:textId="77777777" w:rsidR="00126982" w:rsidRPr="00160255" w:rsidRDefault="00126982" w:rsidP="00CB480D">
            <w:pPr>
              <w:spacing w:after="0" w:line="480" w:lineRule="auto"/>
              <w:rPr>
                <w:noProof/>
                <w:sz w:val="24"/>
                <w:szCs w:val="24"/>
              </w:rPr>
            </w:pPr>
            <w:r w:rsidRPr="00160255">
              <w:rPr>
                <w:noProof/>
                <w:sz w:val="24"/>
                <w:szCs w:val="24"/>
              </w:rPr>
              <w:t>“Consumers have avoided pork products” “report buying less meat as a result”</w:t>
            </w:r>
          </w:p>
        </w:tc>
      </w:tr>
      <w:tr w:rsidR="00126982" w:rsidRPr="00160255" w14:paraId="440F49C4" w14:textId="77777777" w:rsidTr="00981A91">
        <w:tc>
          <w:tcPr>
            <w:tcW w:w="2360" w:type="dxa"/>
            <w:shd w:val="clear" w:color="auto" w:fill="auto"/>
          </w:tcPr>
          <w:p w14:paraId="7DFD5D64" w14:textId="77777777" w:rsidR="00126982" w:rsidRPr="00160255" w:rsidRDefault="00126982" w:rsidP="00CB480D">
            <w:pPr>
              <w:spacing w:after="0" w:line="480" w:lineRule="auto"/>
              <w:rPr>
                <w:b/>
                <w:noProof/>
                <w:sz w:val="24"/>
                <w:szCs w:val="24"/>
              </w:rPr>
            </w:pPr>
            <w:r w:rsidRPr="00160255">
              <w:rPr>
                <w:b/>
                <w:noProof/>
                <w:sz w:val="24"/>
                <w:szCs w:val="24"/>
              </w:rPr>
              <w:t>No clear message/ mixed messges</w:t>
            </w:r>
          </w:p>
        </w:tc>
        <w:tc>
          <w:tcPr>
            <w:tcW w:w="2284" w:type="dxa"/>
          </w:tcPr>
          <w:p w14:paraId="7BF4AED3" w14:textId="77777777" w:rsidR="00126982" w:rsidRPr="00160255" w:rsidRDefault="00126982" w:rsidP="00CB480D">
            <w:pPr>
              <w:spacing w:after="0" w:line="480" w:lineRule="auto"/>
              <w:rPr>
                <w:noProof/>
                <w:sz w:val="24"/>
                <w:szCs w:val="24"/>
              </w:rPr>
            </w:pPr>
            <w:r w:rsidRPr="00160255">
              <w:rPr>
                <w:noProof/>
                <w:sz w:val="24"/>
                <w:szCs w:val="24"/>
              </w:rPr>
              <w:t>-</w:t>
            </w:r>
          </w:p>
        </w:tc>
        <w:tc>
          <w:tcPr>
            <w:tcW w:w="2552" w:type="dxa"/>
            <w:shd w:val="clear" w:color="auto" w:fill="auto"/>
          </w:tcPr>
          <w:p w14:paraId="74E3CB43" w14:textId="77777777" w:rsidR="00126982" w:rsidRPr="00160255" w:rsidRDefault="00126982" w:rsidP="00CB480D">
            <w:pPr>
              <w:spacing w:after="0" w:line="480" w:lineRule="auto"/>
              <w:rPr>
                <w:noProof/>
                <w:sz w:val="24"/>
                <w:szCs w:val="24"/>
              </w:rPr>
            </w:pPr>
            <w:r w:rsidRPr="00160255">
              <w:rPr>
                <w:noProof/>
                <w:sz w:val="24"/>
                <w:szCs w:val="24"/>
              </w:rPr>
              <w:t>Two or more messages with equal exposure,or no one dominant message identified</w:t>
            </w:r>
          </w:p>
        </w:tc>
        <w:tc>
          <w:tcPr>
            <w:tcW w:w="2046" w:type="dxa"/>
            <w:shd w:val="clear" w:color="auto" w:fill="auto"/>
          </w:tcPr>
          <w:p w14:paraId="61F9B7DB" w14:textId="77777777" w:rsidR="00126982" w:rsidRPr="00160255" w:rsidRDefault="00126982" w:rsidP="00CB480D">
            <w:pPr>
              <w:spacing w:after="0" w:line="480" w:lineRule="auto"/>
              <w:rPr>
                <w:noProof/>
                <w:sz w:val="24"/>
                <w:szCs w:val="24"/>
              </w:rPr>
            </w:pPr>
            <w:r w:rsidRPr="00160255">
              <w:rPr>
                <w:noProof/>
                <w:sz w:val="24"/>
                <w:szCs w:val="24"/>
              </w:rPr>
              <w:t>-</w:t>
            </w:r>
          </w:p>
        </w:tc>
      </w:tr>
    </w:tbl>
    <w:p w14:paraId="198DABB0" w14:textId="77777777" w:rsidR="00126982" w:rsidRPr="00160255" w:rsidRDefault="00126982" w:rsidP="00500F06">
      <w:pPr>
        <w:spacing w:after="0" w:line="480" w:lineRule="auto"/>
        <w:jc w:val="both"/>
        <w:rPr>
          <w:noProof/>
          <w:sz w:val="24"/>
          <w:szCs w:val="24"/>
        </w:rPr>
      </w:pPr>
    </w:p>
    <w:p w14:paraId="6B003D5A" w14:textId="77777777" w:rsidR="00126982" w:rsidRPr="00160255" w:rsidRDefault="00126982" w:rsidP="00500F06">
      <w:pPr>
        <w:spacing w:after="0" w:line="480" w:lineRule="auto"/>
        <w:jc w:val="both"/>
        <w:rPr>
          <w:b/>
          <w:noProof/>
          <w:sz w:val="24"/>
          <w:szCs w:val="24"/>
        </w:rPr>
      </w:pPr>
    </w:p>
    <w:p w14:paraId="033E8B4D" w14:textId="77777777" w:rsidR="00126982" w:rsidRPr="0026451F" w:rsidRDefault="00126982" w:rsidP="00500F06">
      <w:pPr>
        <w:spacing w:after="0" w:line="480" w:lineRule="auto"/>
        <w:jc w:val="both"/>
        <w:rPr>
          <w:noProof/>
          <w:sz w:val="24"/>
          <w:szCs w:val="24"/>
          <w:lang w:val="en-GB"/>
        </w:rPr>
      </w:pPr>
    </w:p>
    <w:p w14:paraId="1172C824" w14:textId="77777777" w:rsidR="00126982" w:rsidRDefault="00126982" w:rsidP="00500F06">
      <w:pPr>
        <w:spacing w:after="0" w:line="480" w:lineRule="auto"/>
        <w:jc w:val="both"/>
        <w:rPr>
          <w:b/>
          <w:noProof/>
          <w:szCs w:val="24"/>
        </w:rPr>
      </w:pPr>
      <w:r>
        <w:rPr>
          <w:noProof/>
          <w:sz w:val="24"/>
          <w:szCs w:val="24"/>
        </w:rPr>
        <w:br w:type="page"/>
      </w:r>
    </w:p>
    <w:p w14:paraId="7B74C546" w14:textId="77777777" w:rsidR="00126982" w:rsidRDefault="00126982" w:rsidP="00A958D4">
      <w:pPr>
        <w:spacing w:after="0" w:line="480" w:lineRule="auto"/>
        <w:jc w:val="center"/>
        <w:rPr>
          <w:b/>
          <w:noProof/>
          <w:sz w:val="24"/>
          <w:szCs w:val="24"/>
        </w:rPr>
      </w:pPr>
      <w:r>
        <w:rPr>
          <w:b/>
          <w:noProof/>
          <w:sz w:val="24"/>
          <w:szCs w:val="24"/>
        </w:rPr>
        <w:lastRenderedPageBreak/>
        <w:t xml:space="preserve">Table 2. </w:t>
      </w:r>
      <w:r w:rsidRPr="00A958D4">
        <w:rPr>
          <w:noProof/>
          <w:sz w:val="24"/>
          <w:szCs w:val="24"/>
        </w:rPr>
        <w:t>Results of intercoder reliability tests</w:t>
      </w:r>
    </w:p>
    <w:p w14:paraId="49C1081D" w14:textId="77777777" w:rsidR="00126982" w:rsidRDefault="00126982" w:rsidP="00500F06">
      <w:pPr>
        <w:spacing w:after="0" w:line="480" w:lineRule="auto"/>
        <w:jc w:val="both"/>
        <w:rPr>
          <w:b/>
          <w:noProof/>
          <w:sz w:val="24"/>
          <w:szCs w:val="24"/>
        </w:rPr>
      </w:pPr>
    </w:p>
    <w:p w14:paraId="0D6119C7" w14:textId="77777777" w:rsidR="00126982" w:rsidRDefault="00126982" w:rsidP="00500F06">
      <w:pPr>
        <w:spacing w:after="0" w:line="480" w:lineRule="auto"/>
        <w:jc w:val="both"/>
        <w:rPr>
          <w:b/>
          <w:noProof/>
          <w:sz w:val="24"/>
          <w:szCs w:val="24"/>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843"/>
        <w:gridCol w:w="1843"/>
      </w:tblGrid>
      <w:tr w:rsidR="00126982" w14:paraId="218D8FE6" w14:textId="77777777" w:rsidTr="00A958D4">
        <w:tc>
          <w:tcPr>
            <w:tcW w:w="4786" w:type="dxa"/>
            <w:tcBorders>
              <w:top w:val="single" w:sz="4" w:space="0" w:color="auto"/>
              <w:bottom w:val="single" w:sz="4" w:space="0" w:color="auto"/>
            </w:tcBorders>
          </w:tcPr>
          <w:p w14:paraId="6126A794" w14:textId="77777777" w:rsidR="00126982" w:rsidRDefault="00126982" w:rsidP="00A958D4">
            <w:pPr>
              <w:spacing w:line="360" w:lineRule="auto"/>
              <w:jc w:val="both"/>
              <w:rPr>
                <w:b/>
                <w:noProof/>
                <w:sz w:val="24"/>
                <w:szCs w:val="24"/>
              </w:rPr>
            </w:pPr>
            <w:r>
              <w:rPr>
                <w:b/>
                <w:noProof/>
                <w:sz w:val="24"/>
                <w:szCs w:val="24"/>
              </w:rPr>
              <w:br w:type="page"/>
            </w:r>
          </w:p>
          <w:p w14:paraId="22F7D320" w14:textId="77777777" w:rsidR="00126982" w:rsidRDefault="00126982" w:rsidP="00A958D4">
            <w:pPr>
              <w:spacing w:line="360" w:lineRule="auto"/>
              <w:jc w:val="both"/>
              <w:rPr>
                <w:b/>
                <w:noProof/>
                <w:sz w:val="24"/>
                <w:szCs w:val="24"/>
              </w:rPr>
            </w:pPr>
          </w:p>
          <w:p w14:paraId="186B3DDB" w14:textId="77777777" w:rsidR="00126982" w:rsidRDefault="00126982" w:rsidP="00A958D4">
            <w:pPr>
              <w:spacing w:line="360" w:lineRule="auto"/>
              <w:jc w:val="both"/>
              <w:rPr>
                <w:b/>
                <w:noProof/>
                <w:sz w:val="24"/>
                <w:szCs w:val="24"/>
              </w:rPr>
            </w:pPr>
            <w:r>
              <w:rPr>
                <w:b/>
                <w:noProof/>
                <w:sz w:val="24"/>
                <w:szCs w:val="24"/>
              </w:rPr>
              <w:t>Variable</w:t>
            </w:r>
          </w:p>
          <w:p w14:paraId="6530BC1E" w14:textId="77777777" w:rsidR="00126982" w:rsidRDefault="00126982" w:rsidP="00A958D4">
            <w:pPr>
              <w:spacing w:line="360" w:lineRule="auto"/>
              <w:jc w:val="both"/>
              <w:rPr>
                <w:b/>
                <w:noProof/>
                <w:sz w:val="24"/>
                <w:szCs w:val="24"/>
              </w:rPr>
            </w:pPr>
          </w:p>
        </w:tc>
        <w:tc>
          <w:tcPr>
            <w:tcW w:w="1843" w:type="dxa"/>
            <w:tcBorders>
              <w:top w:val="single" w:sz="4" w:space="0" w:color="auto"/>
              <w:bottom w:val="single" w:sz="4" w:space="0" w:color="auto"/>
            </w:tcBorders>
          </w:tcPr>
          <w:p w14:paraId="19ADC8A1" w14:textId="77777777" w:rsidR="00126982" w:rsidRDefault="00126982" w:rsidP="008A68F9">
            <w:pPr>
              <w:spacing w:line="360" w:lineRule="auto"/>
              <w:jc w:val="center"/>
              <w:rPr>
                <w:b/>
                <w:noProof/>
                <w:sz w:val="24"/>
                <w:szCs w:val="24"/>
              </w:rPr>
            </w:pPr>
            <w:r>
              <w:rPr>
                <w:b/>
                <w:noProof/>
                <w:sz w:val="24"/>
                <w:szCs w:val="24"/>
              </w:rPr>
              <w:t>Percentage Agreeement (%)</w:t>
            </w:r>
          </w:p>
        </w:tc>
        <w:tc>
          <w:tcPr>
            <w:tcW w:w="1843" w:type="dxa"/>
            <w:tcBorders>
              <w:top w:val="single" w:sz="4" w:space="0" w:color="auto"/>
              <w:bottom w:val="single" w:sz="4" w:space="0" w:color="auto"/>
            </w:tcBorders>
          </w:tcPr>
          <w:p w14:paraId="3AF69A63" w14:textId="77777777" w:rsidR="00126982" w:rsidRDefault="00126982" w:rsidP="008A68F9">
            <w:pPr>
              <w:spacing w:line="360" w:lineRule="auto"/>
              <w:jc w:val="center"/>
              <w:rPr>
                <w:b/>
                <w:noProof/>
                <w:sz w:val="24"/>
                <w:szCs w:val="24"/>
              </w:rPr>
            </w:pPr>
            <w:r>
              <w:rPr>
                <w:b/>
                <w:noProof/>
                <w:sz w:val="24"/>
                <w:szCs w:val="24"/>
              </w:rPr>
              <w:t>Cohen’s Kappa</w:t>
            </w:r>
          </w:p>
        </w:tc>
      </w:tr>
      <w:tr w:rsidR="00126982" w14:paraId="41A638B0" w14:textId="77777777" w:rsidTr="00A958D4">
        <w:tc>
          <w:tcPr>
            <w:tcW w:w="4786" w:type="dxa"/>
            <w:tcBorders>
              <w:top w:val="single" w:sz="4" w:space="0" w:color="auto"/>
              <w:bottom w:val="nil"/>
            </w:tcBorders>
          </w:tcPr>
          <w:p w14:paraId="4ED62C6B" w14:textId="77777777" w:rsidR="00126982" w:rsidRPr="00FB7565" w:rsidRDefault="00126982" w:rsidP="00500F06">
            <w:pPr>
              <w:spacing w:line="480" w:lineRule="auto"/>
              <w:jc w:val="both"/>
              <w:rPr>
                <w:noProof/>
                <w:sz w:val="24"/>
                <w:szCs w:val="24"/>
              </w:rPr>
            </w:pPr>
            <w:r w:rsidRPr="00FB7565">
              <w:rPr>
                <w:noProof/>
                <w:sz w:val="24"/>
                <w:szCs w:val="24"/>
              </w:rPr>
              <w:t>Publication name</w:t>
            </w:r>
          </w:p>
        </w:tc>
        <w:tc>
          <w:tcPr>
            <w:tcW w:w="1843" w:type="dxa"/>
            <w:tcBorders>
              <w:top w:val="single" w:sz="4" w:space="0" w:color="auto"/>
              <w:bottom w:val="nil"/>
            </w:tcBorders>
          </w:tcPr>
          <w:p w14:paraId="0972D1C0" w14:textId="77777777" w:rsidR="00126982" w:rsidRPr="00A958D4" w:rsidRDefault="00126982" w:rsidP="008A68F9">
            <w:pPr>
              <w:spacing w:line="480" w:lineRule="auto"/>
              <w:jc w:val="center"/>
              <w:rPr>
                <w:noProof/>
                <w:sz w:val="24"/>
                <w:szCs w:val="24"/>
              </w:rPr>
            </w:pPr>
            <w:r w:rsidRPr="00A958D4">
              <w:rPr>
                <w:noProof/>
                <w:sz w:val="24"/>
                <w:szCs w:val="24"/>
              </w:rPr>
              <w:t>100</w:t>
            </w:r>
          </w:p>
        </w:tc>
        <w:tc>
          <w:tcPr>
            <w:tcW w:w="1843" w:type="dxa"/>
            <w:tcBorders>
              <w:top w:val="single" w:sz="4" w:space="0" w:color="auto"/>
              <w:bottom w:val="nil"/>
              <w:right w:val="nil"/>
            </w:tcBorders>
          </w:tcPr>
          <w:p w14:paraId="14E5742A" w14:textId="77777777" w:rsidR="00126982" w:rsidRPr="00A958D4" w:rsidRDefault="00126982" w:rsidP="008A68F9">
            <w:pPr>
              <w:spacing w:line="480" w:lineRule="auto"/>
              <w:jc w:val="center"/>
              <w:rPr>
                <w:noProof/>
                <w:sz w:val="24"/>
                <w:szCs w:val="24"/>
              </w:rPr>
            </w:pPr>
            <w:r w:rsidRPr="00A958D4">
              <w:rPr>
                <w:noProof/>
                <w:sz w:val="24"/>
                <w:szCs w:val="24"/>
              </w:rPr>
              <w:t>1</w:t>
            </w:r>
          </w:p>
        </w:tc>
      </w:tr>
      <w:tr w:rsidR="00126982" w14:paraId="7C86CD4B" w14:textId="77777777" w:rsidTr="009F2A98">
        <w:tc>
          <w:tcPr>
            <w:tcW w:w="4786" w:type="dxa"/>
            <w:tcBorders>
              <w:top w:val="nil"/>
              <w:bottom w:val="nil"/>
            </w:tcBorders>
          </w:tcPr>
          <w:p w14:paraId="20D99214" w14:textId="77777777" w:rsidR="00126982" w:rsidRPr="00FB7565" w:rsidRDefault="00126982" w:rsidP="00500F06">
            <w:pPr>
              <w:spacing w:line="480" w:lineRule="auto"/>
              <w:jc w:val="both"/>
              <w:rPr>
                <w:noProof/>
                <w:sz w:val="24"/>
                <w:szCs w:val="24"/>
              </w:rPr>
            </w:pPr>
            <w:r w:rsidRPr="00FB7565">
              <w:rPr>
                <w:noProof/>
                <w:sz w:val="24"/>
                <w:szCs w:val="24"/>
              </w:rPr>
              <w:t>Country of publ</w:t>
            </w:r>
            <w:r>
              <w:rPr>
                <w:noProof/>
                <w:sz w:val="24"/>
                <w:szCs w:val="24"/>
              </w:rPr>
              <w:t>ic</w:t>
            </w:r>
            <w:r w:rsidRPr="00FB7565">
              <w:rPr>
                <w:noProof/>
                <w:sz w:val="24"/>
                <w:szCs w:val="24"/>
              </w:rPr>
              <w:t>ation</w:t>
            </w:r>
          </w:p>
        </w:tc>
        <w:tc>
          <w:tcPr>
            <w:tcW w:w="1843" w:type="dxa"/>
            <w:tcBorders>
              <w:top w:val="nil"/>
              <w:bottom w:val="nil"/>
            </w:tcBorders>
          </w:tcPr>
          <w:p w14:paraId="55C5D072" w14:textId="77777777" w:rsidR="00126982" w:rsidRPr="00A958D4" w:rsidRDefault="00126982" w:rsidP="008A68F9">
            <w:pPr>
              <w:spacing w:line="480" w:lineRule="auto"/>
              <w:jc w:val="center"/>
              <w:rPr>
                <w:noProof/>
                <w:sz w:val="24"/>
                <w:szCs w:val="24"/>
              </w:rPr>
            </w:pPr>
            <w:r w:rsidRPr="00A958D4">
              <w:rPr>
                <w:noProof/>
                <w:sz w:val="24"/>
                <w:szCs w:val="24"/>
              </w:rPr>
              <w:t>100</w:t>
            </w:r>
          </w:p>
        </w:tc>
        <w:tc>
          <w:tcPr>
            <w:tcW w:w="1843" w:type="dxa"/>
            <w:tcBorders>
              <w:top w:val="nil"/>
              <w:bottom w:val="nil"/>
              <w:right w:val="nil"/>
            </w:tcBorders>
          </w:tcPr>
          <w:p w14:paraId="20DA94AF" w14:textId="77777777" w:rsidR="00126982" w:rsidRPr="00A958D4" w:rsidRDefault="00126982" w:rsidP="008A68F9">
            <w:pPr>
              <w:spacing w:line="480" w:lineRule="auto"/>
              <w:jc w:val="center"/>
              <w:rPr>
                <w:noProof/>
                <w:sz w:val="24"/>
                <w:szCs w:val="24"/>
              </w:rPr>
            </w:pPr>
            <w:r w:rsidRPr="00A958D4">
              <w:rPr>
                <w:noProof/>
                <w:sz w:val="24"/>
                <w:szCs w:val="24"/>
              </w:rPr>
              <w:t>1</w:t>
            </w:r>
          </w:p>
        </w:tc>
      </w:tr>
      <w:tr w:rsidR="00126982" w14:paraId="0CCAA951" w14:textId="77777777" w:rsidTr="009F2A98">
        <w:tc>
          <w:tcPr>
            <w:tcW w:w="4786" w:type="dxa"/>
            <w:tcBorders>
              <w:top w:val="nil"/>
            </w:tcBorders>
          </w:tcPr>
          <w:p w14:paraId="5A7EC0A3" w14:textId="77777777" w:rsidR="00126982" w:rsidRPr="00380CC8" w:rsidRDefault="00126982" w:rsidP="00500F06">
            <w:pPr>
              <w:spacing w:line="480" w:lineRule="auto"/>
              <w:jc w:val="both"/>
              <w:rPr>
                <w:noProof/>
                <w:sz w:val="24"/>
                <w:szCs w:val="24"/>
              </w:rPr>
            </w:pPr>
            <w:r w:rsidRPr="00380CC8">
              <w:rPr>
                <w:noProof/>
                <w:sz w:val="24"/>
                <w:szCs w:val="24"/>
              </w:rPr>
              <w:t xml:space="preserve">Consequences for Agribusiness industry </w:t>
            </w:r>
          </w:p>
        </w:tc>
        <w:tc>
          <w:tcPr>
            <w:tcW w:w="1843" w:type="dxa"/>
            <w:tcBorders>
              <w:top w:val="nil"/>
            </w:tcBorders>
          </w:tcPr>
          <w:p w14:paraId="4BB119EF" w14:textId="77777777" w:rsidR="00126982" w:rsidRPr="00A958D4" w:rsidRDefault="00126982" w:rsidP="008A68F9">
            <w:pPr>
              <w:spacing w:line="480" w:lineRule="auto"/>
              <w:jc w:val="center"/>
              <w:rPr>
                <w:noProof/>
                <w:sz w:val="24"/>
                <w:szCs w:val="24"/>
              </w:rPr>
            </w:pPr>
            <w:r w:rsidRPr="00A958D4">
              <w:rPr>
                <w:noProof/>
                <w:sz w:val="24"/>
                <w:szCs w:val="24"/>
              </w:rPr>
              <w:t>70</w:t>
            </w:r>
          </w:p>
        </w:tc>
        <w:tc>
          <w:tcPr>
            <w:tcW w:w="1843" w:type="dxa"/>
            <w:tcBorders>
              <w:top w:val="nil"/>
            </w:tcBorders>
          </w:tcPr>
          <w:p w14:paraId="643CD52A" w14:textId="77777777" w:rsidR="00126982" w:rsidRPr="00A958D4" w:rsidRDefault="00126982" w:rsidP="008A68F9">
            <w:pPr>
              <w:spacing w:line="480" w:lineRule="auto"/>
              <w:jc w:val="center"/>
              <w:rPr>
                <w:noProof/>
                <w:sz w:val="24"/>
                <w:szCs w:val="24"/>
              </w:rPr>
            </w:pPr>
            <w:r w:rsidRPr="00A958D4">
              <w:rPr>
                <w:noProof/>
                <w:sz w:val="24"/>
                <w:szCs w:val="24"/>
              </w:rPr>
              <w:t>.41*</w:t>
            </w:r>
          </w:p>
        </w:tc>
      </w:tr>
      <w:tr w:rsidR="00126982" w14:paraId="608B3F89" w14:textId="77777777" w:rsidTr="006B1F92">
        <w:tc>
          <w:tcPr>
            <w:tcW w:w="4786" w:type="dxa"/>
          </w:tcPr>
          <w:p w14:paraId="55CE41F8" w14:textId="77777777" w:rsidR="00126982" w:rsidRPr="00380CC8" w:rsidRDefault="00126982" w:rsidP="00500F06">
            <w:pPr>
              <w:spacing w:line="480" w:lineRule="auto"/>
              <w:jc w:val="both"/>
              <w:rPr>
                <w:noProof/>
                <w:sz w:val="24"/>
                <w:szCs w:val="24"/>
              </w:rPr>
            </w:pPr>
            <w:r w:rsidRPr="00380CC8">
              <w:rPr>
                <w:noProof/>
                <w:sz w:val="24"/>
                <w:szCs w:val="24"/>
              </w:rPr>
              <w:t>Feed supplier/Processor blame</w:t>
            </w:r>
          </w:p>
        </w:tc>
        <w:tc>
          <w:tcPr>
            <w:tcW w:w="1843" w:type="dxa"/>
          </w:tcPr>
          <w:p w14:paraId="64C5B41D" w14:textId="77777777" w:rsidR="00126982" w:rsidRPr="00A958D4" w:rsidRDefault="00126982" w:rsidP="008A68F9">
            <w:pPr>
              <w:spacing w:line="480" w:lineRule="auto"/>
              <w:jc w:val="center"/>
              <w:rPr>
                <w:noProof/>
                <w:sz w:val="24"/>
                <w:szCs w:val="24"/>
              </w:rPr>
            </w:pPr>
            <w:r w:rsidRPr="00A958D4">
              <w:rPr>
                <w:noProof/>
                <w:sz w:val="24"/>
                <w:szCs w:val="24"/>
              </w:rPr>
              <w:t>85</w:t>
            </w:r>
          </w:p>
        </w:tc>
        <w:tc>
          <w:tcPr>
            <w:tcW w:w="1843" w:type="dxa"/>
          </w:tcPr>
          <w:p w14:paraId="0F9BA164" w14:textId="77777777" w:rsidR="00126982" w:rsidRPr="00A958D4" w:rsidRDefault="00126982" w:rsidP="008A68F9">
            <w:pPr>
              <w:spacing w:line="480" w:lineRule="auto"/>
              <w:jc w:val="center"/>
              <w:rPr>
                <w:noProof/>
                <w:sz w:val="24"/>
                <w:szCs w:val="24"/>
              </w:rPr>
            </w:pPr>
            <w:r w:rsidRPr="00A958D4">
              <w:rPr>
                <w:noProof/>
                <w:sz w:val="24"/>
                <w:szCs w:val="24"/>
              </w:rPr>
              <w:t>.58</w:t>
            </w:r>
          </w:p>
        </w:tc>
      </w:tr>
      <w:tr w:rsidR="00126982" w14:paraId="3ACD1721" w14:textId="77777777" w:rsidTr="006B1F92">
        <w:tc>
          <w:tcPr>
            <w:tcW w:w="4786" w:type="dxa"/>
          </w:tcPr>
          <w:p w14:paraId="59114C2D" w14:textId="77777777" w:rsidR="00126982" w:rsidRPr="00380CC8" w:rsidRDefault="00126982" w:rsidP="00500F06">
            <w:pPr>
              <w:spacing w:line="480" w:lineRule="auto"/>
              <w:jc w:val="both"/>
              <w:rPr>
                <w:noProof/>
                <w:sz w:val="24"/>
                <w:szCs w:val="24"/>
              </w:rPr>
            </w:pPr>
            <w:r>
              <w:rPr>
                <w:noProof/>
                <w:sz w:val="24"/>
                <w:szCs w:val="24"/>
              </w:rPr>
              <w:t>Blame Other</w:t>
            </w:r>
          </w:p>
        </w:tc>
        <w:tc>
          <w:tcPr>
            <w:tcW w:w="1843" w:type="dxa"/>
          </w:tcPr>
          <w:p w14:paraId="07A43949" w14:textId="77777777" w:rsidR="00126982" w:rsidRPr="00A958D4" w:rsidRDefault="00126982" w:rsidP="008A68F9">
            <w:pPr>
              <w:spacing w:line="480" w:lineRule="auto"/>
              <w:jc w:val="center"/>
              <w:rPr>
                <w:noProof/>
                <w:sz w:val="24"/>
                <w:szCs w:val="24"/>
              </w:rPr>
            </w:pPr>
            <w:r w:rsidRPr="00A958D4">
              <w:rPr>
                <w:noProof/>
                <w:sz w:val="24"/>
                <w:szCs w:val="24"/>
              </w:rPr>
              <w:t>90</w:t>
            </w:r>
          </w:p>
        </w:tc>
        <w:tc>
          <w:tcPr>
            <w:tcW w:w="1843" w:type="dxa"/>
          </w:tcPr>
          <w:p w14:paraId="42365E51" w14:textId="77777777" w:rsidR="00126982" w:rsidRPr="00A958D4" w:rsidRDefault="00126982" w:rsidP="008A68F9">
            <w:pPr>
              <w:spacing w:line="480" w:lineRule="auto"/>
              <w:jc w:val="center"/>
              <w:rPr>
                <w:noProof/>
                <w:sz w:val="24"/>
                <w:szCs w:val="24"/>
              </w:rPr>
            </w:pPr>
            <w:r w:rsidRPr="00A958D4">
              <w:rPr>
                <w:noProof/>
                <w:sz w:val="24"/>
                <w:szCs w:val="24"/>
              </w:rPr>
              <w:t>.69</w:t>
            </w:r>
          </w:p>
        </w:tc>
      </w:tr>
      <w:tr w:rsidR="00126982" w14:paraId="63B62B6F" w14:textId="77777777" w:rsidTr="006B1F92">
        <w:tc>
          <w:tcPr>
            <w:tcW w:w="4786" w:type="dxa"/>
          </w:tcPr>
          <w:p w14:paraId="68FD0E53" w14:textId="77777777" w:rsidR="00126982" w:rsidRPr="00380CC8" w:rsidRDefault="00126982" w:rsidP="00500F06">
            <w:pPr>
              <w:spacing w:line="480" w:lineRule="auto"/>
              <w:jc w:val="both"/>
              <w:rPr>
                <w:noProof/>
                <w:sz w:val="24"/>
                <w:szCs w:val="24"/>
              </w:rPr>
            </w:pPr>
            <w:r w:rsidRPr="00380CC8">
              <w:rPr>
                <w:noProof/>
                <w:sz w:val="24"/>
                <w:szCs w:val="24"/>
              </w:rPr>
              <w:t>Consequences</w:t>
            </w:r>
            <w:r>
              <w:rPr>
                <w:noProof/>
                <w:sz w:val="24"/>
                <w:szCs w:val="24"/>
              </w:rPr>
              <w:t xml:space="preserve"> -</w:t>
            </w:r>
            <w:r w:rsidRPr="00380CC8">
              <w:rPr>
                <w:noProof/>
                <w:sz w:val="24"/>
                <w:szCs w:val="24"/>
              </w:rPr>
              <w:t xml:space="preserve"> </w:t>
            </w:r>
            <w:r>
              <w:rPr>
                <w:noProof/>
                <w:sz w:val="24"/>
                <w:szCs w:val="24"/>
              </w:rPr>
              <w:t>no</w:t>
            </w:r>
            <w:r w:rsidRPr="00380CC8">
              <w:rPr>
                <w:noProof/>
                <w:sz w:val="24"/>
                <w:szCs w:val="24"/>
              </w:rPr>
              <w:t xml:space="preserve"> health risk</w:t>
            </w:r>
          </w:p>
        </w:tc>
        <w:tc>
          <w:tcPr>
            <w:tcW w:w="1843" w:type="dxa"/>
          </w:tcPr>
          <w:p w14:paraId="4F1B6EFA" w14:textId="77777777" w:rsidR="00126982" w:rsidRPr="00A958D4" w:rsidRDefault="00126982" w:rsidP="008A68F9">
            <w:pPr>
              <w:spacing w:line="480" w:lineRule="auto"/>
              <w:jc w:val="center"/>
              <w:rPr>
                <w:noProof/>
                <w:sz w:val="24"/>
                <w:szCs w:val="24"/>
              </w:rPr>
            </w:pPr>
            <w:r w:rsidRPr="00A958D4">
              <w:rPr>
                <w:noProof/>
                <w:sz w:val="24"/>
                <w:szCs w:val="24"/>
              </w:rPr>
              <w:t>95</w:t>
            </w:r>
          </w:p>
        </w:tc>
        <w:tc>
          <w:tcPr>
            <w:tcW w:w="1843" w:type="dxa"/>
          </w:tcPr>
          <w:p w14:paraId="6A7D4B14" w14:textId="77777777" w:rsidR="00126982" w:rsidRPr="00A958D4" w:rsidRDefault="00126982" w:rsidP="008A68F9">
            <w:pPr>
              <w:spacing w:line="480" w:lineRule="auto"/>
              <w:jc w:val="center"/>
              <w:rPr>
                <w:noProof/>
                <w:sz w:val="24"/>
                <w:szCs w:val="24"/>
              </w:rPr>
            </w:pPr>
            <w:r w:rsidRPr="00A958D4">
              <w:rPr>
                <w:noProof/>
                <w:sz w:val="24"/>
                <w:szCs w:val="24"/>
              </w:rPr>
              <w:t>.9</w:t>
            </w:r>
          </w:p>
        </w:tc>
      </w:tr>
      <w:tr w:rsidR="00126982" w14:paraId="12A9E6F2" w14:textId="77777777" w:rsidTr="006B1F92">
        <w:tc>
          <w:tcPr>
            <w:tcW w:w="4786" w:type="dxa"/>
          </w:tcPr>
          <w:p w14:paraId="5EAD341D" w14:textId="77777777" w:rsidR="00126982" w:rsidRPr="00380CC8" w:rsidRDefault="00126982" w:rsidP="00500F06">
            <w:pPr>
              <w:spacing w:line="480" w:lineRule="auto"/>
              <w:jc w:val="both"/>
              <w:rPr>
                <w:noProof/>
                <w:sz w:val="24"/>
                <w:szCs w:val="24"/>
              </w:rPr>
            </w:pPr>
            <w:r w:rsidRPr="00380CC8">
              <w:rPr>
                <w:noProof/>
                <w:sz w:val="24"/>
                <w:szCs w:val="24"/>
              </w:rPr>
              <w:t>Consequences</w:t>
            </w:r>
            <w:r>
              <w:rPr>
                <w:noProof/>
                <w:sz w:val="24"/>
                <w:szCs w:val="24"/>
              </w:rPr>
              <w:t xml:space="preserve"> -</w:t>
            </w:r>
            <w:r w:rsidRPr="00380CC8">
              <w:rPr>
                <w:noProof/>
                <w:sz w:val="24"/>
                <w:szCs w:val="24"/>
              </w:rPr>
              <w:t xml:space="preserve"> health risk</w:t>
            </w:r>
          </w:p>
        </w:tc>
        <w:tc>
          <w:tcPr>
            <w:tcW w:w="1843" w:type="dxa"/>
          </w:tcPr>
          <w:p w14:paraId="35B520DD" w14:textId="77777777" w:rsidR="00126982" w:rsidRPr="00A958D4" w:rsidRDefault="00126982" w:rsidP="008A68F9">
            <w:pPr>
              <w:spacing w:line="480" w:lineRule="auto"/>
              <w:jc w:val="center"/>
              <w:rPr>
                <w:noProof/>
                <w:sz w:val="24"/>
                <w:szCs w:val="24"/>
              </w:rPr>
            </w:pPr>
            <w:r w:rsidRPr="00A958D4">
              <w:rPr>
                <w:noProof/>
                <w:sz w:val="24"/>
                <w:szCs w:val="24"/>
              </w:rPr>
              <w:t>90</w:t>
            </w:r>
          </w:p>
        </w:tc>
        <w:tc>
          <w:tcPr>
            <w:tcW w:w="1843" w:type="dxa"/>
          </w:tcPr>
          <w:p w14:paraId="00BAA072" w14:textId="77777777" w:rsidR="00126982" w:rsidRPr="00A958D4" w:rsidRDefault="00126982" w:rsidP="008A68F9">
            <w:pPr>
              <w:spacing w:line="480" w:lineRule="auto"/>
              <w:jc w:val="center"/>
              <w:rPr>
                <w:noProof/>
                <w:sz w:val="24"/>
                <w:szCs w:val="24"/>
              </w:rPr>
            </w:pPr>
            <w:r w:rsidRPr="00A958D4">
              <w:rPr>
                <w:noProof/>
                <w:sz w:val="24"/>
                <w:szCs w:val="24"/>
              </w:rPr>
              <w:t>.69</w:t>
            </w:r>
          </w:p>
        </w:tc>
      </w:tr>
      <w:tr w:rsidR="00126982" w14:paraId="1B21CB80" w14:textId="77777777" w:rsidTr="006B1F92">
        <w:tc>
          <w:tcPr>
            <w:tcW w:w="4786" w:type="dxa"/>
          </w:tcPr>
          <w:p w14:paraId="1B0D87DE" w14:textId="77777777" w:rsidR="00126982" w:rsidRPr="00380CC8" w:rsidRDefault="00126982" w:rsidP="00500F06">
            <w:pPr>
              <w:spacing w:line="480" w:lineRule="auto"/>
              <w:jc w:val="both"/>
              <w:rPr>
                <w:noProof/>
                <w:sz w:val="24"/>
                <w:szCs w:val="24"/>
              </w:rPr>
            </w:pPr>
            <w:r w:rsidRPr="00380CC8">
              <w:rPr>
                <w:noProof/>
                <w:sz w:val="24"/>
                <w:szCs w:val="24"/>
              </w:rPr>
              <w:t>Government responsibility for a solution</w:t>
            </w:r>
          </w:p>
        </w:tc>
        <w:tc>
          <w:tcPr>
            <w:tcW w:w="1843" w:type="dxa"/>
          </w:tcPr>
          <w:p w14:paraId="7122063B" w14:textId="77777777" w:rsidR="00126982" w:rsidRPr="00A958D4" w:rsidRDefault="00126982" w:rsidP="008A68F9">
            <w:pPr>
              <w:spacing w:line="480" w:lineRule="auto"/>
              <w:jc w:val="center"/>
              <w:rPr>
                <w:noProof/>
                <w:sz w:val="24"/>
                <w:szCs w:val="24"/>
              </w:rPr>
            </w:pPr>
            <w:r w:rsidRPr="00A958D4">
              <w:rPr>
                <w:noProof/>
                <w:sz w:val="24"/>
                <w:szCs w:val="24"/>
              </w:rPr>
              <w:t>80</w:t>
            </w:r>
          </w:p>
        </w:tc>
        <w:tc>
          <w:tcPr>
            <w:tcW w:w="1843" w:type="dxa"/>
          </w:tcPr>
          <w:p w14:paraId="4155FEEE" w14:textId="77777777" w:rsidR="00126982" w:rsidRPr="00A958D4" w:rsidRDefault="00126982" w:rsidP="008A68F9">
            <w:pPr>
              <w:spacing w:line="480" w:lineRule="auto"/>
              <w:jc w:val="center"/>
              <w:rPr>
                <w:noProof/>
                <w:sz w:val="24"/>
                <w:szCs w:val="24"/>
              </w:rPr>
            </w:pPr>
            <w:r w:rsidRPr="00A958D4">
              <w:rPr>
                <w:noProof/>
                <w:sz w:val="24"/>
                <w:szCs w:val="24"/>
              </w:rPr>
              <w:t>.6</w:t>
            </w:r>
          </w:p>
        </w:tc>
      </w:tr>
      <w:tr w:rsidR="00126982" w14:paraId="717FC855" w14:textId="77777777" w:rsidTr="006B1F92">
        <w:tc>
          <w:tcPr>
            <w:tcW w:w="4786" w:type="dxa"/>
          </w:tcPr>
          <w:p w14:paraId="7A88BB92" w14:textId="77777777" w:rsidR="00126982" w:rsidRPr="00380CC8" w:rsidRDefault="00126982" w:rsidP="00500F06">
            <w:pPr>
              <w:spacing w:line="480" w:lineRule="auto"/>
              <w:jc w:val="both"/>
              <w:rPr>
                <w:noProof/>
                <w:sz w:val="24"/>
                <w:szCs w:val="24"/>
              </w:rPr>
            </w:pPr>
            <w:r w:rsidRPr="00380CC8">
              <w:rPr>
                <w:noProof/>
                <w:sz w:val="24"/>
                <w:szCs w:val="24"/>
              </w:rPr>
              <w:t>Consequences for the economy</w:t>
            </w:r>
          </w:p>
        </w:tc>
        <w:tc>
          <w:tcPr>
            <w:tcW w:w="1843" w:type="dxa"/>
          </w:tcPr>
          <w:p w14:paraId="6A90DA94" w14:textId="77777777" w:rsidR="00126982" w:rsidRPr="00A958D4" w:rsidRDefault="00126982" w:rsidP="008A68F9">
            <w:pPr>
              <w:spacing w:line="480" w:lineRule="auto"/>
              <w:jc w:val="center"/>
              <w:rPr>
                <w:noProof/>
                <w:sz w:val="24"/>
                <w:szCs w:val="24"/>
              </w:rPr>
            </w:pPr>
            <w:r w:rsidRPr="00A958D4">
              <w:rPr>
                <w:noProof/>
                <w:sz w:val="24"/>
                <w:szCs w:val="24"/>
              </w:rPr>
              <w:t>85</w:t>
            </w:r>
          </w:p>
        </w:tc>
        <w:tc>
          <w:tcPr>
            <w:tcW w:w="1843" w:type="dxa"/>
          </w:tcPr>
          <w:p w14:paraId="521E5A6C" w14:textId="77777777" w:rsidR="00126982" w:rsidRPr="00A958D4" w:rsidRDefault="00126982" w:rsidP="008A68F9">
            <w:pPr>
              <w:spacing w:line="480" w:lineRule="auto"/>
              <w:jc w:val="center"/>
              <w:rPr>
                <w:noProof/>
                <w:sz w:val="24"/>
                <w:szCs w:val="24"/>
              </w:rPr>
            </w:pPr>
            <w:r w:rsidRPr="00A958D4">
              <w:rPr>
                <w:noProof/>
                <w:sz w:val="24"/>
                <w:szCs w:val="24"/>
              </w:rPr>
              <w:t>.58</w:t>
            </w:r>
          </w:p>
        </w:tc>
      </w:tr>
      <w:tr w:rsidR="00126982" w14:paraId="653C008F" w14:textId="77777777" w:rsidTr="006B1F92">
        <w:tc>
          <w:tcPr>
            <w:tcW w:w="4786" w:type="dxa"/>
          </w:tcPr>
          <w:p w14:paraId="4E3562AF" w14:textId="77777777" w:rsidR="00126982" w:rsidRPr="00380CC8" w:rsidRDefault="00126982" w:rsidP="00500F06">
            <w:pPr>
              <w:spacing w:line="480" w:lineRule="auto"/>
              <w:jc w:val="both"/>
              <w:rPr>
                <w:noProof/>
                <w:sz w:val="24"/>
                <w:szCs w:val="24"/>
              </w:rPr>
            </w:pPr>
            <w:r w:rsidRPr="00380CC8">
              <w:rPr>
                <w:noProof/>
                <w:sz w:val="24"/>
                <w:szCs w:val="24"/>
              </w:rPr>
              <w:t>Governmental/Regulatory blame</w:t>
            </w:r>
          </w:p>
        </w:tc>
        <w:tc>
          <w:tcPr>
            <w:tcW w:w="1843" w:type="dxa"/>
          </w:tcPr>
          <w:p w14:paraId="7117AC83" w14:textId="77777777" w:rsidR="00126982" w:rsidRPr="00A958D4" w:rsidRDefault="00126982" w:rsidP="008A68F9">
            <w:pPr>
              <w:spacing w:line="480" w:lineRule="auto"/>
              <w:jc w:val="center"/>
              <w:rPr>
                <w:noProof/>
                <w:sz w:val="24"/>
                <w:szCs w:val="24"/>
              </w:rPr>
            </w:pPr>
            <w:r w:rsidRPr="00A958D4">
              <w:rPr>
                <w:noProof/>
                <w:sz w:val="24"/>
                <w:szCs w:val="24"/>
              </w:rPr>
              <w:t>80</w:t>
            </w:r>
          </w:p>
        </w:tc>
        <w:tc>
          <w:tcPr>
            <w:tcW w:w="1843" w:type="dxa"/>
          </w:tcPr>
          <w:p w14:paraId="34420EBC" w14:textId="77777777" w:rsidR="00126982" w:rsidRPr="00A958D4" w:rsidRDefault="00126982" w:rsidP="008A68F9">
            <w:pPr>
              <w:spacing w:line="480" w:lineRule="auto"/>
              <w:jc w:val="center"/>
              <w:rPr>
                <w:noProof/>
                <w:sz w:val="24"/>
                <w:szCs w:val="24"/>
              </w:rPr>
            </w:pPr>
            <w:r w:rsidRPr="00A958D4">
              <w:rPr>
                <w:noProof/>
                <w:sz w:val="24"/>
                <w:szCs w:val="24"/>
              </w:rPr>
              <w:t>.59</w:t>
            </w:r>
          </w:p>
        </w:tc>
      </w:tr>
      <w:tr w:rsidR="00126982" w14:paraId="4C63C47B" w14:textId="77777777" w:rsidTr="006B1F92">
        <w:tc>
          <w:tcPr>
            <w:tcW w:w="4786" w:type="dxa"/>
          </w:tcPr>
          <w:p w14:paraId="49EE6BFA" w14:textId="77777777" w:rsidR="00126982" w:rsidRPr="00380CC8" w:rsidRDefault="00126982" w:rsidP="00500F06">
            <w:pPr>
              <w:spacing w:line="480" w:lineRule="auto"/>
              <w:jc w:val="both"/>
              <w:rPr>
                <w:noProof/>
                <w:sz w:val="24"/>
                <w:szCs w:val="24"/>
              </w:rPr>
            </w:pPr>
            <w:r w:rsidRPr="00380CC8">
              <w:rPr>
                <w:noProof/>
                <w:sz w:val="24"/>
                <w:szCs w:val="24"/>
              </w:rPr>
              <w:t xml:space="preserve">Consequences for consumer </w:t>
            </w:r>
            <w:r>
              <w:rPr>
                <w:noProof/>
                <w:sz w:val="24"/>
                <w:szCs w:val="24"/>
              </w:rPr>
              <w:t>trust</w:t>
            </w:r>
          </w:p>
        </w:tc>
        <w:tc>
          <w:tcPr>
            <w:tcW w:w="1843" w:type="dxa"/>
          </w:tcPr>
          <w:p w14:paraId="5AB14397" w14:textId="77777777" w:rsidR="00126982" w:rsidRPr="00A958D4" w:rsidRDefault="00126982" w:rsidP="008A68F9">
            <w:pPr>
              <w:spacing w:line="480" w:lineRule="auto"/>
              <w:jc w:val="center"/>
              <w:rPr>
                <w:noProof/>
                <w:sz w:val="24"/>
                <w:szCs w:val="24"/>
              </w:rPr>
            </w:pPr>
            <w:r w:rsidRPr="00A958D4">
              <w:rPr>
                <w:noProof/>
                <w:sz w:val="24"/>
                <w:szCs w:val="24"/>
              </w:rPr>
              <w:t>85</w:t>
            </w:r>
          </w:p>
        </w:tc>
        <w:tc>
          <w:tcPr>
            <w:tcW w:w="1843" w:type="dxa"/>
          </w:tcPr>
          <w:p w14:paraId="5D7AD5AA" w14:textId="77777777" w:rsidR="00126982" w:rsidRPr="00A958D4" w:rsidRDefault="00126982" w:rsidP="008A68F9">
            <w:pPr>
              <w:spacing w:line="480" w:lineRule="auto"/>
              <w:jc w:val="center"/>
              <w:rPr>
                <w:noProof/>
                <w:sz w:val="24"/>
                <w:szCs w:val="24"/>
              </w:rPr>
            </w:pPr>
            <w:r w:rsidRPr="00A958D4">
              <w:rPr>
                <w:noProof/>
                <w:sz w:val="24"/>
                <w:szCs w:val="24"/>
              </w:rPr>
              <w:t>.58</w:t>
            </w:r>
          </w:p>
        </w:tc>
      </w:tr>
      <w:tr w:rsidR="00126982" w14:paraId="5036A8D6" w14:textId="77777777" w:rsidTr="006B1F92">
        <w:tc>
          <w:tcPr>
            <w:tcW w:w="4786" w:type="dxa"/>
          </w:tcPr>
          <w:p w14:paraId="2A7587D7" w14:textId="77777777" w:rsidR="00126982" w:rsidRPr="00380CC8" w:rsidRDefault="00126982" w:rsidP="00500F06">
            <w:pPr>
              <w:spacing w:line="480" w:lineRule="auto"/>
              <w:jc w:val="both"/>
              <w:rPr>
                <w:noProof/>
                <w:sz w:val="24"/>
                <w:szCs w:val="24"/>
              </w:rPr>
            </w:pPr>
            <w:r w:rsidRPr="00380CC8">
              <w:rPr>
                <w:noProof/>
                <w:sz w:val="24"/>
                <w:szCs w:val="24"/>
              </w:rPr>
              <w:t>Consequences for consumer food purchasing</w:t>
            </w:r>
          </w:p>
        </w:tc>
        <w:tc>
          <w:tcPr>
            <w:tcW w:w="1843" w:type="dxa"/>
          </w:tcPr>
          <w:p w14:paraId="79E8FED2" w14:textId="77777777" w:rsidR="00126982" w:rsidRPr="00A958D4" w:rsidRDefault="00126982" w:rsidP="008A68F9">
            <w:pPr>
              <w:spacing w:line="480" w:lineRule="auto"/>
              <w:jc w:val="center"/>
              <w:rPr>
                <w:noProof/>
                <w:sz w:val="24"/>
                <w:szCs w:val="24"/>
              </w:rPr>
            </w:pPr>
            <w:r w:rsidRPr="00A958D4">
              <w:rPr>
                <w:noProof/>
                <w:sz w:val="24"/>
                <w:szCs w:val="24"/>
              </w:rPr>
              <w:t>100</w:t>
            </w:r>
          </w:p>
        </w:tc>
        <w:tc>
          <w:tcPr>
            <w:tcW w:w="1843" w:type="dxa"/>
          </w:tcPr>
          <w:p w14:paraId="7A84B592" w14:textId="77777777" w:rsidR="00126982" w:rsidRPr="00A958D4" w:rsidRDefault="00126982" w:rsidP="008A68F9">
            <w:pPr>
              <w:spacing w:line="480" w:lineRule="auto"/>
              <w:jc w:val="center"/>
              <w:rPr>
                <w:noProof/>
                <w:sz w:val="24"/>
                <w:szCs w:val="24"/>
              </w:rPr>
            </w:pPr>
            <w:r w:rsidRPr="00A958D4">
              <w:rPr>
                <w:noProof/>
                <w:sz w:val="24"/>
                <w:szCs w:val="24"/>
              </w:rPr>
              <w:t>1</w:t>
            </w:r>
          </w:p>
        </w:tc>
      </w:tr>
      <w:tr w:rsidR="00126982" w14:paraId="198C0DFE" w14:textId="77777777" w:rsidTr="006B1F92">
        <w:tc>
          <w:tcPr>
            <w:tcW w:w="4786" w:type="dxa"/>
          </w:tcPr>
          <w:p w14:paraId="5BF7EAE3" w14:textId="77777777" w:rsidR="00126982" w:rsidRPr="00380CC8" w:rsidRDefault="00126982" w:rsidP="00500F06">
            <w:pPr>
              <w:spacing w:line="480" w:lineRule="auto"/>
              <w:jc w:val="both"/>
              <w:rPr>
                <w:noProof/>
                <w:sz w:val="24"/>
                <w:szCs w:val="24"/>
              </w:rPr>
            </w:pPr>
            <w:r w:rsidRPr="00380CC8">
              <w:rPr>
                <w:noProof/>
                <w:sz w:val="24"/>
                <w:szCs w:val="24"/>
              </w:rPr>
              <w:t>Food processor responsibility</w:t>
            </w:r>
          </w:p>
        </w:tc>
        <w:tc>
          <w:tcPr>
            <w:tcW w:w="1843" w:type="dxa"/>
          </w:tcPr>
          <w:p w14:paraId="50FAFBCD" w14:textId="77777777" w:rsidR="00126982" w:rsidRPr="00A958D4" w:rsidRDefault="00126982" w:rsidP="008A68F9">
            <w:pPr>
              <w:spacing w:line="480" w:lineRule="auto"/>
              <w:jc w:val="center"/>
              <w:rPr>
                <w:noProof/>
                <w:sz w:val="24"/>
                <w:szCs w:val="24"/>
              </w:rPr>
            </w:pPr>
            <w:r w:rsidRPr="00A958D4">
              <w:rPr>
                <w:noProof/>
                <w:sz w:val="24"/>
                <w:szCs w:val="24"/>
              </w:rPr>
              <w:t>85</w:t>
            </w:r>
          </w:p>
        </w:tc>
        <w:tc>
          <w:tcPr>
            <w:tcW w:w="1843" w:type="dxa"/>
          </w:tcPr>
          <w:p w14:paraId="479AD28C" w14:textId="77777777" w:rsidR="00126982" w:rsidRPr="00A958D4" w:rsidRDefault="00126982" w:rsidP="008A68F9">
            <w:pPr>
              <w:spacing w:line="480" w:lineRule="auto"/>
              <w:jc w:val="center"/>
              <w:rPr>
                <w:noProof/>
                <w:sz w:val="24"/>
                <w:szCs w:val="24"/>
              </w:rPr>
            </w:pPr>
            <w:r w:rsidRPr="00A958D4">
              <w:rPr>
                <w:noProof/>
                <w:sz w:val="24"/>
                <w:szCs w:val="24"/>
              </w:rPr>
              <w:t>.58</w:t>
            </w:r>
          </w:p>
        </w:tc>
      </w:tr>
      <w:tr w:rsidR="00126982" w14:paraId="0DD7C88D" w14:textId="77777777" w:rsidTr="0090729C">
        <w:tc>
          <w:tcPr>
            <w:tcW w:w="4786" w:type="dxa"/>
            <w:tcBorders>
              <w:top w:val="single" w:sz="4" w:space="0" w:color="auto"/>
              <w:bottom w:val="single" w:sz="4" w:space="0" w:color="auto"/>
            </w:tcBorders>
          </w:tcPr>
          <w:p w14:paraId="2D01878A" w14:textId="77777777" w:rsidR="00126982" w:rsidRDefault="00126982" w:rsidP="00500F06">
            <w:pPr>
              <w:spacing w:line="480" w:lineRule="auto"/>
              <w:jc w:val="both"/>
              <w:rPr>
                <w:noProof/>
                <w:sz w:val="24"/>
                <w:szCs w:val="24"/>
              </w:rPr>
            </w:pPr>
            <w:r>
              <w:rPr>
                <w:noProof/>
                <w:sz w:val="24"/>
                <w:szCs w:val="24"/>
              </w:rPr>
              <w:t>Average</w:t>
            </w:r>
          </w:p>
        </w:tc>
        <w:tc>
          <w:tcPr>
            <w:tcW w:w="1843" w:type="dxa"/>
            <w:tcBorders>
              <w:top w:val="single" w:sz="4" w:space="0" w:color="auto"/>
              <w:bottom w:val="single" w:sz="4" w:space="0" w:color="auto"/>
            </w:tcBorders>
          </w:tcPr>
          <w:p w14:paraId="2EB990CD" w14:textId="77777777" w:rsidR="00126982" w:rsidRPr="00FB7565" w:rsidRDefault="00126982" w:rsidP="008A68F9">
            <w:pPr>
              <w:spacing w:line="480" w:lineRule="auto"/>
              <w:jc w:val="center"/>
              <w:rPr>
                <w:b/>
                <w:noProof/>
                <w:sz w:val="24"/>
                <w:szCs w:val="24"/>
              </w:rPr>
            </w:pPr>
            <w:r w:rsidRPr="00FB7565">
              <w:rPr>
                <w:b/>
                <w:noProof/>
                <w:sz w:val="24"/>
                <w:szCs w:val="24"/>
              </w:rPr>
              <w:t>88.1%</w:t>
            </w:r>
          </w:p>
        </w:tc>
        <w:tc>
          <w:tcPr>
            <w:tcW w:w="1843" w:type="dxa"/>
            <w:tcBorders>
              <w:top w:val="single" w:sz="4" w:space="0" w:color="auto"/>
              <w:bottom w:val="single" w:sz="4" w:space="0" w:color="auto"/>
            </w:tcBorders>
          </w:tcPr>
          <w:p w14:paraId="1FF4CFE2" w14:textId="77777777" w:rsidR="00126982" w:rsidRPr="00FB7565" w:rsidRDefault="00126982" w:rsidP="008A68F9">
            <w:pPr>
              <w:spacing w:line="480" w:lineRule="auto"/>
              <w:jc w:val="center"/>
              <w:rPr>
                <w:b/>
                <w:noProof/>
                <w:sz w:val="24"/>
                <w:szCs w:val="24"/>
              </w:rPr>
            </w:pPr>
            <w:r w:rsidRPr="00FB7565">
              <w:rPr>
                <w:b/>
                <w:noProof/>
                <w:sz w:val="24"/>
                <w:szCs w:val="24"/>
              </w:rPr>
              <w:t>0.71</w:t>
            </w:r>
          </w:p>
        </w:tc>
      </w:tr>
      <w:tr w:rsidR="00126982" w14:paraId="595FEE15" w14:textId="77777777" w:rsidTr="00CC3E91">
        <w:tc>
          <w:tcPr>
            <w:tcW w:w="8472" w:type="dxa"/>
            <w:gridSpan w:val="3"/>
            <w:tcBorders>
              <w:top w:val="single" w:sz="4" w:space="0" w:color="auto"/>
              <w:bottom w:val="nil"/>
            </w:tcBorders>
          </w:tcPr>
          <w:p w14:paraId="2A358C96" w14:textId="77777777" w:rsidR="00126982" w:rsidRPr="008A68F9" w:rsidRDefault="00126982" w:rsidP="008A68F9">
            <w:pPr>
              <w:spacing w:line="480" w:lineRule="auto"/>
              <w:rPr>
                <w:noProof/>
                <w:sz w:val="14"/>
                <w:szCs w:val="24"/>
              </w:rPr>
            </w:pPr>
          </w:p>
          <w:p w14:paraId="635F1548" w14:textId="6C51B4CA" w:rsidR="00126982" w:rsidRPr="00065DCE" w:rsidRDefault="00126982" w:rsidP="008A68F9">
            <w:pPr>
              <w:spacing w:line="480" w:lineRule="auto"/>
              <w:rPr>
                <w:noProof/>
              </w:rPr>
            </w:pPr>
            <w:r w:rsidRPr="00065DCE">
              <w:rPr>
                <w:b/>
                <w:i/>
                <w:noProof/>
              </w:rPr>
              <w:t>Note</w:t>
            </w:r>
            <w:r w:rsidRPr="00065DCE">
              <w:rPr>
                <w:b/>
                <w:noProof/>
              </w:rPr>
              <w:t>:</w:t>
            </w:r>
            <w:r>
              <w:rPr>
                <w:b/>
                <w:noProof/>
              </w:rPr>
              <w:t xml:space="preserve"> * </w:t>
            </w:r>
            <w:r>
              <w:rPr>
                <w:noProof/>
              </w:rPr>
              <w:t>K</w:t>
            </w:r>
            <w:r w:rsidRPr="00065DCE">
              <w:rPr>
                <w:noProof/>
              </w:rPr>
              <w:t>appa value suggests</w:t>
            </w:r>
            <w:r>
              <w:rPr>
                <w:noProof/>
              </w:rPr>
              <w:t xml:space="preserve"> moderate agreement (per Landis &amp; Koch, 1977) but should be noted as not reaching the same levels of intercoder reliability as other variables.</w:t>
            </w:r>
          </w:p>
          <w:p w14:paraId="51C04D3D" w14:textId="77777777" w:rsidR="00126982" w:rsidRPr="00FB7565" w:rsidRDefault="00126982" w:rsidP="008A68F9">
            <w:pPr>
              <w:spacing w:line="480" w:lineRule="auto"/>
              <w:rPr>
                <w:b/>
                <w:noProof/>
                <w:sz w:val="24"/>
                <w:szCs w:val="24"/>
              </w:rPr>
            </w:pPr>
          </w:p>
        </w:tc>
      </w:tr>
    </w:tbl>
    <w:p w14:paraId="503D7C10" w14:textId="77777777" w:rsidR="00126982" w:rsidRDefault="00126982" w:rsidP="008A68F9">
      <w:pPr>
        <w:spacing w:after="0" w:line="480" w:lineRule="auto"/>
        <w:rPr>
          <w:b/>
          <w:noProof/>
          <w:sz w:val="24"/>
          <w:szCs w:val="24"/>
        </w:rPr>
      </w:pPr>
    </w:p>
    <w:p w14:paraId="61CD42E2" w14:textId="77777777" w:rsidR="00126982" w:rsidRDefault="00126982" w:rsidP="008A68F9">
      <w:pPr>
        <w:spacing w:after="0" w:line="480" w:lineRule="auto"/>
        <w:rPr>
          <w:b/>
          <w:i/>
          <w:noProof/>
        </w:rPr>
      </w:pPr>
    </w:p>
    <w:p w14:paraId="1A8BC679" w14:textId="77777777" w:rsidR="00126982" w:rsidRDefault="00126982" w:rsidP="008A68F9">
      <w:pPr>
        <w:spacing w:after="0" w:line="480" w:lineRule="auto"/>
        <w:rPr>
          <w:b/>
          <w:noProof/>
          <w:sz w:val="24"/>
          <w:szCs w:val="24"/>
        </w:rPr>
      </w:pPr>
    </w:p>
    <w:p w14:paraId="7F49D8C9" w14:textId="77777777" w:rsidR="00126982" w:rsidRDefault="00126982" w:rsidP="008A68F9">
      <w:pPr>
        <w:spacing w:after="0" w:line="480" w:lineRule="auto"/>
        <w:rPr>
          <w:b/>
          <w:noProof/>
          <w:sz w:val="24"/>
          <w:szCs w:val="24"/>
        </w:rPr>
      </w:pPr>
    </w:p>
    <w:p w14:paraId="4F0E8623" w14:textId="77777777" w:rsidR="00126982" w:rsidRDefault="00126982" w:rsidP="00500F06">
      <w:pPr>
        <w:spacing w:after="0" w:line="480" w:lineRule="auto"/>
        <w:jc w:val="both"/>
        <w:rPr>
          <w:b/>
          <w:noProof/>
          <w:sz w:val="24"/>
          <w:szCs w:val="24"/>
        </w:rPr>
      </w:pPr>
      <w:r>
        <w:rPr>
          <w:b/>
          <w:noProof/>
          <w:sz w:val="24"/>
          <w:szCs w:val="24"/>
        </w:rPr>
        <w:br w:type="textWrapping" w:clear="all"/>
      </w:r>
    </w:p>
    <w:p w14:paraId="7B3CD4F0" w14:textId="77777777" w:rsidR="00126982" w:rsidRDefault="00126982" w:rsidP="00500F06">
      <w:pPr>
        <w:spacing w:after="0" w:line="480" w:lineRule="auto"/>
        <w:jc w:val="both"/>
        <w:rPr>
          <w:b/>
          <w:noProof/>
          <w:sz w:val="24"/>
          <w:szCs w:val="24"/>
        </w:rPr>
      </w:pPr>
      <w:r>
        <w:rPr>
          <w:b/>
          <w:noProof/>
          <w:sz w:val="24"/>
          <w:szCs w:val="24"/>
        </w:rPr>
        <w:br w:type="page"/>
      </w:r>
    </w:p>
    <w:p w14:paraId="67C1EE6D" w14:textId="77777777" w:rsidR="00126982" w:rsidRPr="00E8468F" w:rsidRDefault="00126982" w:rsidP="00343DB5">
      <w:pPr>
        <w:spacing w:after="0" w:line="480" w:lineRule="auto"/>
        <w:jc w:val="center"/>
        <w:rPr>
          <w:b/>
          <w:noProof/>
          <w:sz w:val="24"/>
          <w:szCs w:val="24"/>
        </w:rPr>
      </w:pPr>
      <w:r w:rsidRPr="00E8468F">
        <w:rPr>
          <w:b/>
          <w:noProof/>
          <w:sz w:val="24"/>
          <w:szCs w:val="24"/>
        </w:rPr>
        <w:lastRenderedPageBreak/>
        <w:t xml:space="preserve">Table </w:t>
      </w:r>
      <w:r>
        <w:rPr>
          <w:b/>
          <w:noProof/>
          <w:sz w:val="24"/>
          <w:szCs w:val="24"/>
        </w:rPr>
        <w:t>3</w:t>
      </w:r>
      <w:r w:rsidRPr="00E8468F">
        <w:rPr>
          <w:b/>
          <w:noProof/>
          <w:sz w:val="24"/>
          <w:szCs w:val="24"/>
        </w:rPr>
        <w:t xml:space="preserve">. </w:t>
      </w:r>
      <w:r w:rsidRPr="00343DB5">
        <w:rPr>
          <w:noProof/>
          <w:sz w:val="24"/>
          <w:szCs w:val="24"/>
        </w:rPr>
        <w:t>Frequency of sub-codes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2500"/>
      </w:tblGrid>
      <w:tr w:rsidR="00126982" w:rsidRPr="00380CC8" w14:paraId="6EC3E541" w14:textId="77777777" w:rsidTr="00BC40B6">
        <w:trPr>
          <w:jc w:val="center"/>
        </w:trPr>
        <w:tc>
          <w:tcPr>
            <w:tcW w:w="5099" w:type="dxa"/>
            <w:tcBorders>
              <w:left w:val="nil"/>
              <w:bottom w:val="single" w:sz="4" w:space="0" w:color="auto"/>
              <w:right w:val="nil"/>
            </w:tcBorders>
            <w:shd w:val="clear" w:color="auto" w:fill="auto"/>
          </w:tcPr>
          <w:p w14:paraId="15E4B387" w14:textId="72A71FA6" w:rsidR="00126982" w:rsidRPr="00380CC8" w:rsidRDefault="00126982" w:rsidP="00B558E1">
            <w:pPr>
              <w:spacing w:after="0" w:line="480" w:lineRule="auto"/>
              <w:jc w:val="center"/>
              <w:rPr>
                <w:b/>
                <w:noProof/>
                <w:sz w:val="24"/>
                <w:szCs w:val="24"/>
              </w:rPr>
            </w:pPr>
            <w:r>
              <w:rPr>
                <w:b/>
                <w:noProof/>
                <w:sz w:val="24"/>
                <w:szCs w:val="24"/>
              </w:rPr>
              <w:t>Coding</w:t>
            </w:r>
            <w:r w:rsidR="00B558E1">
              <w:rPr>
                <w:b/>
                <w:noProof/>
                <w:sz w:val="24"/>
                <w:szCs w:val="24"/>
              </w:rPr>
              <w:t xml:space="preserve"> elements</w:t>
            </w:r>
          </w:p>
        </w:tc>
        <w:tc>
          <w:tcPr>
            <w:tcW w:w="2500" w:type="dxa"/>
            <w:tcBorders>
              <w:left w:val="nil"/>
              <w:bottom w:val="single" w:sz="4" w:space="0" w:color="auto"/>
              <w:right w:val="nil"/>
            </w:tcBorders>
            <w:shd w:val="clear" w:color="auto" w:fill="auto"/>
          </w:tcPr>
          <w:p w14:paraId="01C7F30D" w14:textId="77777777" w:rsidR="00126982" w:rsidRPr="00380CC8" w:rsidRDefault="00126982" w:rsidP="00B558E1">
            <w:pPr>
              <w:spacing w:after="0" w:line="480" w:lineRule="auto"/>
              <w:jc w:val="center"/>
              <w:rPr>
                <w:b/>
                <w:noProof/>
                <w:sz w:val="24"/>
                <w:szCs w:val="24"/>
              </w:rPr>
            </w:pPr>
            <w:r w:rsidRPr="00380CC8">
              <w:rPr>
                <w:b/>
                <w:i/>
                <w:noProof/>
                <w:sz w:val="24"/>
                <w:szCs w:val="24"/>
              </w:rPr>
              <w:t>N</w:t>
            </w:r>
            <w:r w:rsidRPr="00380CC8">
              <w:rPr>
                <w:b/>
                <w:noProof/>
                <w:sz w:val="24"/>
                <w:szCs w:val="24"/>
              </w:rPr>
              <w:t xml:space="preserve"> (%)</w:t>
            </w:r>
          </w:p>
        </w:tc>
      </w:tr>
      <w:tr w:rsidR="00126982" w:rsidRPr="00380CC8" w14:paraId="1C35D859" w14:textId="77777777" w:rsidTr="00BC40B6">
        <w:trPr>
          <w:jc w:val="center"/>
        </w:trPr>
        <w:tc>
          <w:tcPr>
            <w:tcW w:w="5099" w:type="dxa"/>
            <w:tcBorders>
              <w:left w:val="nil"/>
              <w:bottom w:val="nil"/>
              <w:right w:val="nil"/>
            </w:tcBorders>
            <w:shd w:val="clear" w:color="auto" w:fill="auto"/>
          </w:tcPr>
          <w:p w14:paraId="6C3EDCE8" w14:textId="77777777" w:rsidR="00126982" w:rsidRPr="00380CC8" w:rsidRDefault="00126982" w:rsidP="00500F06">
            <w:pPr>
              <w:spacing w:after="0" w:line="480" w:lineRule="auto"/>
              <w:jc w:val="both"/>
              <w:rPr>
                <w:noProof/>
                <w:sz w:val="24"/>
                <w:szCs w:val="24"/>
              </w:rPr>
            </w:pPr>
            <w:r w:rsidRPr="00380CC8">
              <w:rPr>
                <w:noProof/>
                <w:sz w:val="24"/>
                <w:szCs w:val="24"/>
              </w:rPr>
              <w:t xml:space="preserve">Consequences for Agribusiness industry </w:t>
            </w:r>
          </w:p>
        </w:tc>
        <w:tc>
          <w:tcPr>
            <w:tcW w:w="2500" w:type="dxa"/>
            <w:tcBorders>
              <w:left w:val="nil"/>
              <w:bottom w:val="nil"/>
              <w:right w:val="nil"/>
            </w:tcBorders>
            <w:shd w:val="clear" w:color="auto" w:fill="auto"/>
          </w:tcPr>
          <w:p w14:paraId="42ADAF96" w14:textId="77777777" w:rsidR="00126982" w:rsidRPr="00380CC8" w:rsidRDefault="00126982" w:rsidP="00B558E1">
            <w:pPr>
              <w:spacing w:after="0" w:line="480" w:lineRule="auto"/>
              <w:jc w:val="center"/>
              <w:rPr>
                <w:noProof/>
                <w:sz w:val="24"/>
                <w:szCs w:val="24"/>
              </w:rPr>
            </w:pPr>
            <w:r w:rsidRPr="00380CC8">
              <w:rPr>
                <w:noProof/>
                <w:sz w:val="24"/>
                <w:szCs w:val="24"/>
              </w:rPr>
              <w:t>60 (42.6%)</w:t>
            </w:r>
          </w:p>
        </w:tc>
      </w:tr>
      <w:tr w:rsidR="00126982" w:rsidRPr="00380CC8" w14:paraId="13657FB6" w14:textId="77777777" w:rsidTr="00BC40B6">
        <w:trPr>
          <w:jc w:val="center"/>
        </w:trPr>
        <w:tc>
          <w:tcPr>
            <w:tcW w:w="5099" w:type="dxa"/>
            <w:tcBorders>
              <w:top w:val="nil"/>
              <w:left w:val="nil"/>
              <w:bottom w:val="nil"/>
              <w:right w:val="nil"/>
            </w:tcBorders>
            <w:shd w:val="clear" w:color="auto" w:fill="auto"/>
          </w:tcPr>
          <w:p w14:paraId="58B9936A" w14:textId="77777777" w:rsidR="00126982" w:rsidRPr="00380CC8" w:rsidRDefault="00126982" w:rsidP="00500F06">
            <w:pPr>
              <w:spacing w:after="0" w:line="480" w:lineRule="auto"/>
              <w:jc w:val="both"/>
              <w:rPr>
                <w:noProof/>
                <w:sz w:val="24"/>
                <w:szCs w:val="24"/>
              </w:rPr>
            </w:pPr>
            <w:r w:rsidRPr="00380CC8">
              <w:rPr>
                <w:noProof/>
                <w:sz w:val="24"/>
                <w:szCs w:val="24"/>
              </w:rPr>
              <w:t>Feed supplier/Processor blame</w:t>
            </w:r>
          </w:p>
        </w:tc>
        <w:tc>
          <w:tcPr>
            <w:tcW w:w="2500" w:type="dxa"/>
            <w:tcBorders>
              <w:top w:val="nil"/>
              <w:left w:val="nil"/>
              <w:bottom w:val="nil"/>
              <w:right w:val="nil"/>
            </w:tcBorders>
            <w:shd w:val="clear" w:color="auto" w:fill="auto"/>
          </w:tcPr>
          <w:p w14:paraId="6259357A" w14:textId="77777777" w:rsidR="00126982" w:rsidRPr="00380CC8" w:rsidRDefault="00126982" w:rsidP="00B558E1">
            <w:pPr>
              <w:spacing w:after="0" w:line="480" w:lineRule="auto"/>
              <w:jc w:val="center"/>
              <w:rPr>
                <w:noProof/>
                <w:sz w:val="24"/>
                <w:szCs w:val="24"/>
              </w:rPr>
            </w:pPr>
            <w:r w:rsidRPr="00380CC8">
              <w:rPr>
                <w:noProof/>
                <w:sz w:val="24"/>
                <w:szCs w:val="24"/>
              </w:rPr>
              <w:t>55 (39%)</w:t>
            </w:r>
          </w:p>
        </w:tc>
      </w:tr>
      <w:tr w:rsidR="00126982" w:rsidRPr="00380CC8" w14:paraId="7BFE90A7" w14:textId="77777777" w:rsidTr="00BC40B6">
        <w:trPr>
          <w:jc w:val="center"/>
        </w:trPr>
        <w:tc>
          <w:tcPr>
            <w:tcW w:w="5099" w:type="dxa"/>
            <w:tcBorders>
              <w:top w:val="nil"/>
              <w:left w:val="nil"/>
              <w:bottom w:val="nil"/>
              <w:right w:val="nil"/>
            </w:tcBorders>
            <w:shd w:val="clear" w:color="auto" w:fill="auto"/>
          </w:tcPr>
          <w:p w14:paraId="37E11C4B" w14:textId="77777777" w:rsidR="00126982" w:rsidRPr="00380CC8" w:rsidRDefault="00126982" w:rsidP="00500F06">
            <w:pPr>
              <w:spacing w:after="0" w:line="480" w:lineRule="auto"/>
              <w:jc w:val="both"/>
              <w:rPr>
                <w:noProof/>
                <w:sz w:val="24"/>
                <w:szCs w:val="24"/>
              </w:rPr>
            </w:pPr>
            <w:r w:rsidRPr="00380CC8">
              <w:rPr>
                <w:noProof/>
                <w:sz w:val="24"/>
                <w:szCs w:val="24"/>
              </w:rPr>
              <w:t>Consequences</w:t>
            </w:r>
            <w:r>
              <w:rPr>
                <w:noProof/>
                <w:sz w:val="24"/>
                <w:szCs w:val="24"/>
              </w:rPr>
              <w:t xml:space="preserve"> -</w:t>
            </w:r>
            <w:r w:rsidRPr="00380CC8">
              <w:rPr>
                <w:noProof/>
                <w:sz w:val="24"/>
                <w:szCs w:val="24"/>
              </w:rPr>
              <w:t xml:space="preserve"> </w:t>
            </w:r>
            <w:r>
              <w:rPr>
                <w:noProof/>
                <w:sz w:val="24"/>
                <w:szCs w:val="24"/>
              </w:rPr>
              <w:t>no</w:t>
            </w:r>
            <w:r w:rsidRPr="00380CC8">
              <w:rPr>
                <w:noProof/>
                <w:sz w:val="24"/>
                <w:szCs w:val="24"/>
              </w:rPr>
              <w:t xml:space="preserve"> health risk</w:t>
            </w:r>
          </w:p>
        </w:tc>
        <w:tc>
          <w:tcPr>
            <w:tcW w:w="2500" w:type="dxa"/>
            <w:tcBorders>
              <w:top w:val="nil"/>
              <w:left w:val="nil"/>
              <w:bottom w:val="nil"/>
              <w:right w:val="nil"/>
            </w:tcBorders>
            <w:shd w:val="clear" w:color="auto" w:fill="auto"/>
          </w:tcPr>
          <w:p w14:paraId="52074568" w14:textId="77777777" w:rsidR="00126982" w:rsidRPr="00380CC8" w:rsidRDefault="00126982" w:rsidP="00B558E1">
            <w:pPr>
              <w:spacing w:after="0" w:line="480" w:lineRule="auto"/>
              <w:jc w:val="center"/>
              <w:rPr>
                <w:noProof/>
                <w:sz w:val="24"/>
                <w:szCs w:val="24"/>
              </w:rPr>
            </w:pPr>
            <w:r w:rsidRPr="00380CC8">
              <w:rPr>
                <w:noProof/>
                <w:sz w:val="24"/>
                <w:szCs w:val="24"/>
              </w:rPr>
              <w:t>54 (38.3%)</w:t>
            </w:r>
          </w:p>
        </w:tc>
      </w:tr>
      <w:tr w:rsidR="00126982" w:rsidRPr="00380CC8" w14:paraId="4F7A022C" w14:textId="77777777" w:rsidTr="00BC40B6">
        <w:trPr>
          <w:jc w:val="center"/>
        </w:trPr>
        <w:tc>
          <w:tcPr>
            <w:tcW w:w="5099" w:type="dxa"/>
            <w:tcBorders>
              <w:top w:val="nil"/>
              <w:left w:val="nil"/>
              <w:bottom w:val="nil"/>
              <w:right w:val="nil"/>
            </w:tcBorders>
            <w:shd w:val="clear" w:color="auto" w:fill="auto"/>
          </w:tcPr>
          <w:p w14:paraId="700049C1" w14:textId="77777777" w:rsidR="00126982" w:rsidRPr="00380CC8" w:rsidRDefault="00126982" w:rsidP="00500F06">
            <w:pPr>
              <w:spacing w:after="0" w:line="480" w:lineRule="auto"/>
              <w:jc w:val="both"/>
              <w:rPr>
                <w:noProof/>
                <w:sz w:val="24"/>
                <w:szCs w:val="24"/>
              </w:rPr>
            </w:pPr>
            <w:r w:rsidRPr="00380CC8">
              <w:rPr>
                <w:noProof/>
                <w:sz w:val="24"/>
                <w:szCs w:val="24"/>
              </w:rPr>
              <w:t>Consequences</w:t>
            </w:r>
            <w:r>
              <w:rPr>
                <w:noProof/>
                <w:sz w:val="24"/>
                <w:szCs w:val="24"/>
              </w:rPr>
              <w:t xml:space="preserve"> -</w:t>
            </w:r>
            <w:r w:rsidRPr="00380CC8">
              <w:rPr>
                <w:noProof/>
                <w:sz w:val="24"/>
                <w:szCs w:val="24"/>
              </w:rPr>
              <w:t xml:space="preserve"> health risk</w:t>
            </w:r>
          </w:p>
        </w:tc>
        <w:tc>
          <w:tcPr>
            <w:tcW w:w="2500" w:type="dxa"/>
            <w:tcBorders>
              <w:top w:val="nil"/>
              <w:left w:val="nil"/>
              <w:bottom w:val="nil"/>
              <w:right w:val="nil"/>
            </w:tcBorders>
            <w:shd w:val="clear" w:color="auto" w:fill="auto"/>
          </w:tcPr>
          <w:p w14:paraId="561A7151" w14:textId="77777777" w:rsidR="00126982" w:rsidRPr="00380CC8" w:rsidRDefault="00126982" w:rsidP="00B558E1">
            <w:pPr>
              <w:spacing w:after="0" w:line="480" w:lineRule="auto"/>
              <w:jc w:val="center"/>
              <w:rPr>
                <w:noProof/>
                <w:sz w:val="24"/>
                <w:szCs w:val="24"/>
              </w:rPr>
            </w:pPr>
            <w:r w:rsidRPr="00380CC8">
              <w:rPr>
                <w:noProof/>
                <w:sz w:val="24"/>
                <w:szCs w:val="24"/>
              </w:rPr>
              <w:t>29 (20.6%)</w:t>
            </w:r>
          </w:p>
        </w:tc>
      </w:tr>
      <w:tr w:rsidR="00126982" w:rsidRPr="00380CC8" w14:paraId="7D6EB907" w14:textId="77777777" w:rsidTr="00BC40B6">
        <w:trPr>
          <w:jc w:val="center"/>
        </w:trPr>
        <w:tc>
          <w:tcPr>
            <w:tcW w:w="5099" w:type="dxa"/>
            <w:tcBorders>
              <w:top w:val="nil"/>
              <w:left w:val="nil"/>
              <w:bottom w:val="nil"/>
              <w:right w:val="nil"/>
            </w:tcBorders>
            <w:shd w:val="clear" w:color="auto" w:fill="auto"/>
          </w:tcPr>
          <w:p w14:paraId="16B23258" w14:textId="77777777" w:rsidR="00126982" w:rsidRPr="00380CC8" w:rsidRDefault="00126982" w:rsidP="00500F06">
            <w:pPr>
              <w:spacing w:after="0" w:line="480" w:lineRule="auto"/>
              <w:jc w:val="both"/>
              <w:rPr>
                <w:noProof/>
                <w:sz w:val="24"/>
                <w:szCs w:val="24"/>
              </w:rPr>
            </w:pPr>
            <w:r w:rsidRPr="00380CC8">
              <w:rPr>
                <w:noProof/>
                <w:sz w:val="24"/>
                <w:szCs w:val="24"/>
              </w:rPr>
              <w:t>Government responsibility for a solution</w:t>
            </w:r>
          </w:p>
        </w:tc>
        <w:tc>
          <w:tcPr>
            <w:tcW w:w="2500" w:type="dxa"/>
            <w:tcBorders>
              <w:top w:val="nil"/>
              <w:left w:val="nil"/>
              <w:bottom w:val="nil"/>
              <w:right w:val="nil"/>
            </w:tcBorders>
            <w:shd w:val="clear" w:color="auto" w:fill="auto"/>
          </w:tcPr>
          <w:p w14:paraId="4D422413" w14:textId="77777777" w:rsidR="00126982" w:rsidRPr="00380CC8" w:rsidRDefault="00126982" w:rsidP="00B558E1">
            <w:pPr>
              <w:spacing w:after="0" w:line="480" w:lineRule="auto"/>
              <w:jc w:val="center"/>
              <w:rPr>
                <w:noProof/>
                <w:sz w:val="24"/>
                <w:szCs w:val="24"/>
              </w:rPr>
            </w:pPr>
            <w:r w:rsidRPr="00380CC8">
              <w:rPr>
                <w:noProof/>
                <w:sz w:val="24"/>
                <w:szCs w:val="24"/>
              </w:rPr>
              <w:t>27 (19.2%)</w:t>
            </w:r>
          </w:p>
        </w:tc>
      </w:tr>
      <w:tr w:rsidR="00126982" w:rsidRPr="00380CC8" w14:paraId="2FAB1814" w14:textId="77777777" w:rsidTr="00BC40B6">
        <w:trPr>
          <w:jc w:val="center"/>
        </w:trPr>
        <w:tc>
          <w:tcPr>
            <w:tcW w:w="5099" w:type="dxa"/>
            <w:tcBorders>
              <w:top w:val="nil"/>
              <w:left w:val="nil"/>
              <w:bottom w:val="nil"/>
              <w:right w:val="nil"/>
            </w:tcBorders>
            <w:shd w:val="clear" w:color="auto" w:fill="auto"/>
          </w:tcPr>
          <w:p w14:paraId="1BBD305D" w14:textId="77777777" w:rsidR="00126982" w:rsidRPr="00380CC8" w:rsidRDefault="00126982" w:rsidP="00500F06">
            <w:pPr>
              <w:spacing w:after="0" w:line="480" w:lineRule="auto"/>
              <w:jc w:val="both"/>
              <w:rPr>
                <w:noProof/>
                <w:sz w:val="24"/>
                <w:szCs w:val="24"/>
              </w:rPr>
            </w:pPr>
            <w:r w:rsidRPr="00380CC8">
              <w:rPr>
                <w:noProof/>
                <w:sz w:val="24"/>
                <w:szCs w:val="24"/>
              </w:rPr>
              <w:t>Consequences for the economy</w:t>
            </w:r>
          </w:p>
        </w:tc>
        <w:tc>
          <w:tcPr>
            <w:tcW w:w="2500" w:type="dxa"/>
            <w:tcBorders>
              <w:top w:val="nil"/>
              <w:left w:val="nil"/>
              <w:bottom w:val="nil"/>
              <w:right w:val="nil"/>
            </w:tcBorders>
            <w:shd w:val="clear" w:color="auto" w:fill="auto"/>
          </w:tcPr>
          <w:p w14:paraId="43F52C23" w14:textId="77777777" w:rsidR="00126982" w:rsidRPr="00380CC8" w:rsidRDefault="00126982" w:rsidP="00B558E1">
            <w:pPr>
              <w:spacing w:after="0" w:line="480" w:lineRule="auto"/>
              <w:jc w:val="center"/>
              <w:rPr>
                <w:noProof/>
                <w:sz w:val="24"/>
                <w:szCs w:val="24"/>
              </w:rPr>
            </w:pPr>
            <w:r w:rsidRPr="00380CC8">
              <w:rPr>
                <w:noProof/>
                <w:sz w:val="24"/>
                <w:szCs w:val="24"/>
              </w:rPr>
              <w:t>25 (17.7%)</w:t>
            </w:r>
          </w:p>
        </w:tc>
      </w:tr>
      <w:tr w:rsidR="00126982" w:rsidRPr="00380CC8" w14:paraId="20A04BE8" w14:textId="77777777" w:rsidTr="00BC40B6">
        <w:trPr>
          <w:jc w:val="center"/>
        </w:trPr>
        <w:tc>
          <w:tcPr>
            <w:tcW w:w="5099" w:type="dxa"/>
            <w:tcBorders>
              <w:top w:val="nil"/>
              <w:left w:val="nil"/>
              <w:bottom w:val="nil"/>
              <w:right w:val="nil"/>
            </w:tcBorders>
            <w:shd w:val="clear" w:color="auto" w:fill="auto"/>
          </w:tcPr>
          <w:p w14:paraId="51C7772E" w14:textId="77777777" w:rsidR="00126982" w:rsidRPr="00380CC8" w:rsidRDefault="00126982" w:rsidP="00500F06">
            <w:pPr>
              <w:spacing w:after="0" w:line="480" w:lineRule="auto"/>
              <w:jc w:val="both"/>
              <w:rPr>
                <w:noProof/>
                <w:sz w:val="24"/>
                <w:szCs w:val="24"/>
              </w:rPr>
            </w:pPr>
            <w:r w:rsidRPr="00380CC8">
              <w:rPr>
                <w:noProof/>
                <w:sz w:val="24"/>
                <w:szCs w:val="24"/>
              </w:rPr>
              <w:t>Governmental/Regulatory blame</w:t>
            </w:r>
          </w:p>
        </w:tc>
        <w:tc>
          <w:tcPr>
            <w:tcW w:w="2500" w:type="dxa"/>
            <w:tcBorders>
              <w:top w:val="nil"/>
              <w:left w:val="nil"/>
              <w:bottom w:val="nil"/>
              <w:right w:val="nil"/>
            </w:tcBorders>
            <w:shd w:val="clear" w:color="auto" w:fill="auto"/>
          </w:tcPr>
          <w:p w14:paraId="6C33F73A" w14:textId="77777777" w:rsidR="00126982" w:rsidRPr="00380CC8" w:rsidRDefault="00126982" w:rsidP="00B558E1">
            <w:pPr>
              <w:spacing w:after="0" w:line="480" w:lineRule="auto"/>
              <w:jc w:val="center"/>
              <w:rPr>
                <w:noProof/>
                <w:sz w:val="24"/>
                <w:szCs w:val="24"/>
              </w:rPr>
            </w:pPr>
            <w:r w:rsidRPr="00380CC8">
              <w:rPr>
                <w:noProof/>
                <w:sz w:val="24"/>
                <w:szCs w:val="24"/>
              </w:rPr>
              <w:t>17 (12.1%)</w:t>
            </w:r>
          </w:p>
        </w:tc>
      </w:tr>
      <w:tr w:rsidR="00126982" w:rsidRPr="00380CC8" w14:paraId="31171B44" w14:textId="77777777" w:rsidTr="00BC40B6">
        <w:trPr>
          <w:jc w:val="center"/>
        </w:trPr>
        <w:tc>
          <w:tcPr>
            <w:tcW w:w="5099" w:type="dxa"/>
            <w:tcBorders>
              <w:top w:val="nil"/>
              <w:left w:val="nil"/>
              <w:bottom w:val="nil"/>
              <w:right w:val="nil"/>
            </w:tcBorders>
            <w:shd w:val="clear" w:color="auto" w:fill="auto"/>
          </w:tcPr>
          <w:p w14:paraId="408CC30C" w14:textId="77777777" w:rsidR="00126982" w:rsidRPr="00380CC8" w:rsidRDefault="00126982" w:rsidP="00500F06">
            <w:pPr>
              <w:spacing w:after="0" w:line="480" w:lineRule="auto"/>
              <w:jc w:val="both"/>
              <w:rPr>
                <w:noProof/>
                <w:sz w:val="24"/>
                <w:szCs w:val="24"/>
              </w:rPr>
            </w:pPr>
            <w:r w:rsidRPr="00380CC8">
              <w:rPr>
                <w:noProof/>
                <w:sz w:val="24"/>
                <w:szCs w:val="24"/>
              </w:rPr>
              <w:t xml:space="preserve">Consequences for consumer </w:t>
            </w:r>
            <w:r>
              <w:rPr>
                <w:noProof/>
                <w:sz w:val="24"/>
                <w:szCs w:val="24"/>
              </w:rPr>
              <w:t>trust</w:t>
            </w:r>
          </w:p>
        </w:tc>
        <w:tc>
          <w:tcPr>
            <w:tcW w:w="2500" w:type="dxa"/>
            <w:tcBorders>
              <w:top w:val="nil"/>
              <w:left w:val="nil"/>
              <w:bottom w:val="nil"/>
              <w:right w:val="nil"/>
            </w:tcBorders>
            <w:shd w:val="clear" w:color="auto" w:fill="auto"/>
          </w:tcPr>
          <w:p w14:paraId="73236CF0" w14:textId="77777777" w:rsidR="00126982" w:rsidRPr="00380CC8" w:rsidRDefault="00126982" w:rsidP="00B558E1">
            <w:pPr>
              <w:spacing w:after="0" w:line="480" w:lineRule="auto"/>
              <w:jc w:val="center"/>
              <w:rPr>
                <w:noProof/>
                <w:sz w:val="24"/>
                <w:szCs w:val="24"/>
              </w:rPr>
            </w:pPr>
            <w:r w:rsidRPr="00380CC8">
              <w:rPr>
                <w:noProof/>
                <w:sz w:val="24"/>
                <w:szCs w:val="24"/>
              </w:rPr>
              <w:t>15 (10.6%)</w:t>
            </w:r>
          </w:p>
        </w:tc>
      </w:tr>
      <w:tr w:rsidR="00126982" w:rsidRPr="00380CC8" w14:paraId="3F7CE527" w14:textId="77777777" w:rsidTr="00BC40B6">
        <w:trPr>
          <w:jc w:val="center"/>
        </w:trPr>
        <w:tc>
          <w:tcPr>
            <w:tcW w:w="5099" w:type="dxa"/>
            <w:tcBorders>
              <w:top w:val="nil"/>
              <w:left w:val="nil"/>
              <w:bottom w:val="nil"/>
              <w:right w:val="nil"/>
            </w:tcBorders>
            <w:shd w:val="clear" w:color="auto" w:fill="auto"/>
          </w:tcPr>
          <w:p w14:paraId="5E7DBEB7" w14:textId="77777777" w:rsidR="00126982" w:rsidRPr="00380CC8" w:rsidRDefault="00126982" w:rsidP="00500F06">
            <w:pPr>
              <w:spacing w:after="0" w:line="480" w:lineRule="auto"/>
              <w:jc w:val="both"/>
              <w:rPr>
                <w:noProof/>
                <w:sz w:val="24"/>
                <w:szCs w:val="24"/>
              </w:rPr>
            </w:pPr>
            <w:r w:rsidRPr="00380CC8">
              <w:rPr>
                <w:noProof/>
                <w:sz w:val="24"/>
                <w:szCs w:val="24"/>
              </w:rPr>
              <w:t>Consequences for consumer food purchasing</w:t>
            </w:r>
          </w:p>
        </w:tc>
        <w:tc>
          <w:tcPr>
            <w:tcW w:w="2500" w:type="dxa"/>
            <w:tcBorders>
              <w:top w:val="nil"/>
              <w:left w:val="nil"/>
              <w:bottom w:val="nil"/>
              <w:right w:val="nil"/>
            </w:tcBorders>
            <w:shd w:val="clear" w:color="auto" w:fill="auto"/>
          </w:tcPr>
          <w:p w14:paraId="190A6978" w14:textId="77777777" w:rsidR="00126982" w:rsidRPr="00380CC8" w:rsidRDefault="00126982" w:rsidP="00B558E1">
            <w:pPr>
              <w:spacing w:after="0" w:line="480" w:lineRule="auto"/>
              <w:jc w:val="center"/>
              <w:rPr>
                <w:noProof/>
                <w:sz w:val="24"/>
                <w:szCs w:val="24"/>
              </w:rPr>
            </w:pPr>
            <w:r w:rsidRPr="00380CC8">
              <w:rPr>
                <w:noProof/>
                <w:sz w:val="24"/>
                <w:szCs w:val="24"/>
              </w:rPr>
              <w:t>6 (4.3%)</w:t>
            </w:r>
          </w:p>
        </w:tc>
      </w:tr>
      <w:tr w:rsidR="00126982" w:rsidRPr="00380CC8" w14:paraId="2C18DE2F" w14:textId="77777777" w:rsidTr="00BC40B6">
        <w:trPr>
          <w:jc w:val="center"/>
        </w:trPr>
        <w:tc>
          <w:tcPr>
            <w:tcW w:w="5099" w:type="dxa"/>
            <w:tcBorders>
              <w:top w:val="nil"/>
              <w:left w:val="nil"/>
              <w:right w:val="nil"/>
            </w:tcBorders>
            <w:shd w:val="clear" w:color="auto" w:fill="auto"/>
          </w:tcPr>
          <w:p w14:paraId="356FEABA" w14:textId="77777777" w:rsidR="00126982" w:rsidRPr="00380CC8" w:rsidRDefault="00126982" w:rsidP="00500F06">
            <w:pPr>
              <w:spacing w:after="0" w:line="480" w:lineRule="auto"/>
              <w:jc w:val="both"/>
              <w:rPr>
                <w:noProof/>
                <w:sz w:val="24"/>
                <w:szCs w:val="24"/>
              </w:rPr>
            </w:pPr>
            <w:r w:rsidRPr="00380CC8">
              <w:rPr>
                <w:noProof/>
                <w:sz w:val="24"/>
                <w:szCs w:val="24"/>
              </w:rPr>
              <w:t>Food processor responsibility</w:t>
            </w:r>
          </w:p>
        </w:tc>
        <w:tc>
          <w:tcPr>
            <w:tcW w:w="2500" w:type="dxa"/>
            <w:tcBorders>
              <w:top w:val="nil"/>
              <w:left w:val="nil"/>
              <w:right w:val="nil"/>
            </w:tcBorders>
            <w:shd w:val="clear" w:color="auto" w:fill="auto"/>
          </w:tcPr>
          <w:p w14:paraId="218CA814" w14:textId="77777777" w:rsidR="00126982" w:rsidRPr="00380CC8" w:rsidRDefault="00126982" w:rsidP="00B558E1">
            <w:pPr>
              <w:spacing w:after="0" w:line="480" w:lineRule="auto"/>
              <w:jc w:val="center"/>
              <w:rPr>
                <w:noProof/>
                <w:sz w:val="24"/>
                <w:szCs w:val="24"/>
              </w:rPr>
            </w:pPr>
            <w:r w:rsidRPr="00380CC8">
              <w:rPr>
                <w:noProof/>
                <w:sz w:val="24"/>
                <w:szCs w:val="24"/>
              </w:rPr>
              <w:t>1 (0.7%)</w:t>
            </w:r>
          </w:p>
        </w:tc>
      </w:tr>
    </w:tbl>
    <w:p w14:paraId="51107F86" w14:textId="77777777" w:rsidR="00126982" w:rsidRPr="00E8468F" w:rsidRDefault="00126982" w:rsidP="00500F06">
      <w:pPr>
        <w:spacing w:after="0" w:line="480" w:lineRule="auto"/>
        <w:jc w:val="both"/>
        <w:rPr>
          <w:b/>
          <w:noProof/>
          <w:sz w:val="24"/>
          <w:szCs w:val="24"/>
        </w:rPr>
      </w:pPr>
    </w:p>
    <w:p w14:paraId="00F91857" w14:textId="77777777" w:rsidR="00126982" w:rsidRDefault="00126982" w:rsidP="00500F06">
      <w:pPr>
        <w:spacing w:after="0" w:line="480" w:lineRule="auto"/>
        <w:jc w:val="both"/>
        <w:rPr>
          <w:b/>
          <w:noProof/>
          <w:sz w:val="24"/>
          <w:szCs w:val="24"/>
        </w:rPr>
      </w:pPr>
      <w:r>
        <w:rPr>
          <w:b/>
          <w:noProof/>
          <w:sz w:val="24"/>
          <w:szCs w:val="24"/>
        </w:rPr>
        <w:br w:type="page"/>
      </w:r>
    </w:p>
    <w:p w14:paraId="6F278138" w14:textId="77777777" w:rsidR="00126982" w:rsidRDefault="00126982" w:rsidP="00500F06">
      <w:pPr>
        <w:spacing w:after="0" w:line="480" w:lineRule="auto"/>
        <w:jc w:val="both"/>
        <w:rPr>
          <w:b/>
          <w:noProof/>
          <w:szCs w:val="24"/>
        </w:rPr>
        <w:sectPr w:rsidR="00126982" w:rsidSect="00AF0446">
          <w:headerReference w:type="default" r:id="rId17"/>
          <w:footerReference w:type="default" r:id="rId18"/>
          <w:pgSz w:w="11906" w:h="16838"/>
          <w:pgMar w:top="1440" w:right="1440" w:bottom="1440" w:left="1440" w:header="708" w:footer="708" w:gutter="0"/>
          <w:cols w:space="708"/>
          <w:docGrid w:linePitch="360"/>
        </w:sectPr>
      </w:pPr>
    </w:p>
    <w:p w14:paraId="5995235A" w14:textId="77FDBF01" w:rsidR="00126982" w:rsidRDefault="00126982" w:rsidP="00500F06">
      <w:pPr>
        <w:spacing w:after="0" w:line="480" w:lineRule="auto"/>
        <w:jc w:val="both"/>
        <w:rPr>
          <w:b/>
          <w:noProof/>
          <w:szCs w:val="24"/>
        </w:rPr>
      </w:pPr>
    </w:p>
    <w:p w14:paraId="497A0930" w14:textId="78BE09D1" w:rsidR="00126982" w:rsidRDefault="00126982" w:rsidP="00500F06">
      <w:pPr>
        <w:spacing w:after="0" w:line="480" w:lineRule="auto"/>
        <w:jc w:val="both"/>
        <w:rPr>
          <w:b/>
          <w:noProof/>
          <w:szCs w:val="24"/>
        </w:rPr>
      </w:pPr>
    </w:p>
    <w:p w14:paraId="74C35B83" w14:textId="07E822D9" w:rsidR="00126982" w:rsidRDefault="00CD5B25" w:rsidP="00500F06">
      <w:pPr>
        <w:tabs>
          <w:tab w:val="left" w:pos="11340"/>
        </w:tabs>
        <w:spacing w:after="0" w:line="480" w:lineRule="auto"/>
        <w:jc w:val="both"/>
        <w:rPr>
          <w:noProof/>
        </w:rPr>
      </w:pPr>
      <w:r>
        <w:rPr>
          <w:b/>
          <w:noProof/>
          <w:szCs w:val="24"/>
        </w:rPr>
        <w:drawing>
          <wp:anchor distT="0" distB="0" distL="114300" distR="114300" simplePos="0" relativeHeight="251660288" behindDoc="0" locked="0" layoutInCell="1" allowOverlap="1" wp14:anchorId="2A1AC44F" wp14:editId="19B02A5C">
            <wp:simplePos x="0" y="0"/>
            <wp:positionH relativeFrom="margin">
              <wp:align>right</wp:align>
            </wp:positionH>
            <wp:positionV relativeFrom="paragraph">
              <wp:posOffset>288472</wp:posOffset>
            </wp:positionV>
            <wp:extent cx="8482965" cy="4010025"/>
            <wp:effectExtent l="0" t="0" r="0" b="0"/>
            <wp:wrapTopAndBottom/>
            <wp:docPr id="1" name="Object 1" title="Number of articles"/>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Pr="00F406B8">
        <w:rPr>
          <w:b/>
          <w:noProof/>
          <w:szCs w:val="24"/>
        </w:rPr>
        <mc:AlternateContent>
          <mc:Choice Requires="wps">
            <w:drawing>
              <wp:anchor distT="45720" distB="45720" distL="114300" distR="114300" simplePos="0" relativeHeight="251659264" behindDoc="0" locked="0" layoutInCell="1" allowOverlap="1" wp14:anchorId="06863D90" wp14:editId="733F3781">
                <wp:simplePos x="0" y="0"/>
                <wp:positionH relativeFrom="column">
                  <wp:posOffset>224790</wp:posOffset>
                </wp:positionH>
                <wp:positionV relativeFrom="paragraph">
                  <wp:posOffset>1730375</wp:posOffset>
                </wp:positionV>
                <wp:extent cx="1302385" cy="284480"/>
                <wp:effectExtent l="0" t="5397" r="6667" b="6668"/>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02385" cy="284480"/>
                        </a:xfrm>
                        <a:prstGeom prst="rect">
                          <a:avLst/>
                        </a:prstGeom>
                        <a:solidFill>
                          <a:srgbClr val="FFFFFF"/>
                        </a:solidFill>
                        <a:ln w="9525">
                          <a:noFill/>
                          <a:miter lim="800000"/>
                          <a:headEnd/>
                          <a:tailEnd/>
                        </a:ln>
                      </wps:spPr>
                      <wps:txbx>
                        <w:txbxContent>
                          <w:p w14:paraId="7C65933D" w14:textId="0FE0556C" w:rsidR="00F406B8" w:rsidRPr="00F406B8" w:rsidRDefault="00F406B8">
                            <w:pPr>
                              <w:rPr>
                                <w:rFonts w:asciiTheme="minorHAnsi" w:hAnsiTheme="minorHAnsi"/>
                                <w:sz w:val="22"/>
                              </w:rPr>
                            </w:pPr>
                            <w:r w:rsidRPr="00F406B8">
                              <w:rPr>
                                <w:rFonts w:asciiTheme="minorHAnsi" w:hAnsiTheme="minorHAnsi"/>
                                <w:sz w:val="22"/>
                              </w:rPr>
                              <w:t>Number of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863D90" id="_x0000_t202" coordsize="21600,21600" o:spt="202" path="m,l,21600r21600,l21600,xe">
                <v:stroke joinstyle="miter"/>
                <v:path gradientshapeok="t" o:connecttype="rect"/>
              </v:shapetype>
              <v:shape id="Text Box 2" o:spid="_x0000_s1026" type="#_x0000_t202" style="position:absolute;left:0;text-align:left;margin-left:17.7pt;margin-top:136.25pt;width:102.55pt;height:22.4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" stroked="f">
                <v:textbox>
                  <w:txbxContent>
                    <w:p w14:paraId="7C65933D" w14:textId="0FE0556C" w:rsidR="00F406B8" w:rsidRPr="00F406B8" w:rsidRDefault="00F406B8">
                      <w:pPr>
                        <w:rPr>
                          <w:rFonts w:asciiTheme="minorHAnsi" w:hAnsiTheme="minorHAnsi"/>
                          <w:sz w:val="22"/>
                        </w:rPr>
                      </w:pPr>
                      <w:r w:rsidRPr="00F406B8">
                        <w:rPr>
                          <w:rFonts w:asciiTheme="minorHAnsi" w:hAnsiTheme="minorHAnsi"/>
                          <w:sz w:val="22"/>
                        </w:rPr>
                        <w:t>Number of articles</w:t>
                      </w:r>
                    </w:p>
                  </w:txbxContent>
                </v:textbox>
              </v:shape>
            </w:pict>
          </mc:Fallback>
        </mc:AlternateContent>
      </w:r>
    </w:p>
    <w:p w14:paraId="42FDE6AA" w14:textId="33E233C0" w:rsidR="00F406B8" w:rsidRPr="00D51073" w:rsidRDefault="00F406B8" w:rsidP="00B558E1">
      <w:pPr>
        <w:spacing w:after="0" w:line="480" w:lineRule="auto"/>
        <w:jc w:val="center"/>
        <w:rPr>
          <w:b/>
          <w:noProof/>
          <w:sz w:val="24"/>
          <w:szCs w:val="24"/>
        </w:rPr>
      </w:pPr>
      <w:r w:rsidRPr="00D51073">
        <w:rPr>
          <w:b/>
          <w:noProof/>
          <w:sz w:val="24"/>
          <w:szCs w:val="24"/>
        </w:rPr>
        <w:t xml:space="preserve">Figure 1. </w:t>
      </w:r>
      <w:r w:rsidRPr="00B558E1">
        <w:rPr>
          <w:noProof/>
          <w:sz w:val="24"/>
          <w:szCs w:val="24"/>
        </w:rPr>
        <w:t>Dominant messages in the coverage of the dioxin crisis</w:t>
      </w:r>
    </w:p>
    <w:p w14:paraId="059AAF4C" w14:textId="21254F4C" w:rsidR="00126982" w:rsidRDefault="00126982" w:rsidP="00500F06">
      <w:pPr>
        <w:spacing w:after="0" w:line="480" w:lineRule="auto"/>
        <w:jc w:val="both"/>
        <w:rPr>
          <w:b/>
          <w:noProof/>
          <w:szCs w:val="24"/>
        </w:rPr>
      </w:pPr>
    </w:p>
    <w:p w14:paraId="1A43B015" w14:textId="77777777" w:rsidR="00126982" w:rsidRDefault="00126982" w:rsidP="00B558E1">
      <w:pPr>
        <w:spacing w:after="0" w:line="480" w:lineRule="auto"/>
        <w:jc w:val="center"/>
        <w:rPr>
          <w:b/>
          <w:noProof/>
          <w:szCs w:val="24"/>
        </w:rPr>
      </w:pPr>
      <w:r>
        <w:rPr>
          <w:noProof/>
          <w:szCs w:val="24"/>
        </w:rPr>
        <w:drawing>
          <wp:inline distT="0" distB="0" distL="0" distR="0" wp14:anchorId="5361BEBC" wp14:editId="7735196D">
            <wp:extent cx="6716053" cy="3257550"/>
            <wp:effectExtent l="0" t="0" r="889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C6D552" w14:textId="77777777" w:rsidR="00126982" w:rsidRDefault="00126982" w:rsidP="00500F06">
      <w:pPr>
        <w:spacing w:after="0" w:line="480" w:lineRule="auto"/>
        <w:jc w:val="both"/>
        <w:rPr>
          <w:b/>
          <w:noProof/>
          <w:szCs w:val="24"/>
        </w:rPr>
        <w:sectPr w:rsidR="00126982" w:rsidSect="008F4E29">
          <w:pgSz w:w="16838" w:h="11906" w:orient="landscape"/>
          <w:pgMar w:top="1440" w:right="1440" w:bottom="1440" w:left="1440" w:header="709" w:footer="709" w:gutter="0"/>
          <w:cols w:space="708"/>
          <w:docGrid w:linePitch="360"/>
        </w:sectPr>
      </w:pPr>
    </w:p>
    <w:p w14:paraId="33F26D67" w14:textId="77777777" w:rsidR="00126982" w:rsidRPr="00CB12BF" w:rsidRDefault="00126982" w:rsidP="00B558E1">
      <w:pPr>
        <w:spacing w:after="0" w:line="480" w:lineRule="auto"/>
        <w:jc w:val="center"/>
        <w:rPr>
          <w:szCs w:val="24"/>
        </w:rPr>
      </w:pPr>
    </w:p>
    <w:p w14:paraId="765BCE40" w14:textId="77777777" w:rsidR="00126982" w:rsidRDefault="00126982" w:rsidP="00B558E1">
      <w:pPr>
        <w:spacing w:after="0" w:line="480" w:lineRule="auto"/>
        <w:jc w:val="center"/>
        <w:rPr>
          <w:b/>
          <w:sz w:val="24"/>
          <w:szCs w:val="24"/>
        </w:rPr>
      </w:pPr>
      <w:proofErr w:type="gramStart"/>
      <w:r w:rsidRPr="00222BDB">
        <w:rPr>
          <w:b/>
          <w:sz w:val="24"/>
          <w:szCs w:val="24"/>
        </w:rPr>
        <w:t>Figure 2.</w:t>
      </w:r>
      <w:proofErr w:type="gramEnd"/>
      <w:r w:rsidRPr="00222BDB">
        <w:rPr>
          <w:b/>
          <w:sz w:val="24"/>
          <w:szCs w:val="24"/>
        </w:rPr>
        <w:t xml:space="preserve"> </w:t>
      </w:r>
      <w:r w:rsidRPr="00B558E1">
        <w:rPr>
          <w:sz w:val="24"/>
          <w:szCs w:val="24"/>
        </w:rPr>
        <w:t>Comparing Irish and UK media coverage of the dioxin crisis</w:t>
      </w:r>
    </w:p>
    <w:p w14:paraId="3B04522E" w14:textId="77777777" w:rsidR="00126982" w:rsidRDefault="00126982" w:rsidP="00500F06">
      <w:pPr>
        <w:spacing w:after="0" w:line="480" w:lineRule="auto"/>
        <w:jc w:val="both"/>
        <w:rPr>
          <w:b/>
          <w:sz w:val="24"/>
          <w:szCs w:val="24"/>
        </w:rPr>
      </w:pPr>
      <w:r>
        <w:rPr>
          <w:b/>
          <w:sz w:val="24"/>
          <w:szCs w:val="24"/>
        </w:rPr>
        <w:br w:type="page"/>
      </w:r>
    </w:p>
    <w:p w14:paraId="2FD17BF7" w14:textId="77777777" w:rsidR="00126982" w:rsidRDefault="00126982" w:rsidP="00500F06">
      <w:pPr>
        <w:spacing w:after="0" w:line="480" w:lineRule="auto"/>
        <w:jc w:val="both"/>
        <w:rPr>
          <w:b/>
          <w:sz w:val="24"/>
          <w:szCs w:val="24"/>
        </w:rPr>
        <w:sectPr w:rsidR="00126982" w:rsidSect="008F4E29">
          <w:type w:val="continuous"/>
          <w:pgSz w:w="16838" w:h="11906" w:orient="landscape"/>
          <w:pgMar w:top="1440" w:right="1440" w:bottom="1440" w:left="1440" w:header="709" w:footer="709" w:gutter="0"/>
          <w:cols w:space="708"/>
          <w:docGrid w:linePitch="360"/>
        </w:sectPr>
      </w:pPr>
    </w:p>
    <w:p w14:paraId="128D70A0" w14:textId="77777777" w:rsidR="00126982" w:rsidRDefault="00126982" w:rsidP="00500F06">
      <w:pPr>
        <w:spacing w:after="0" w:line="480" w:lineRule="auto"/>
        <w:jc w:val="both"/>
        <w:rPr>
          <w:b/>
          <w:sz w:val="24"/>
          <w:szCs w:val="24"/>
        </w:rPr>
      </w:pPr>
    </w:p>
    <w:p w14:paraId="57265EF3" w14:textId="77777777" w:rsidR="00126982" w:rsidRDefault="00126982" w:rsidP="00500F06">
      <w:pPr>
        <w:spacing w:after="0" w:line="480" w:lineRule="auto"/>
        <w:jc w:val="both"/>
        <w:rPr>
          <w:b/>
          <w:sz w:val="24"/>
          <w:szCs w:val="24"/>
        </w:rPr>
      </w:pPr>
    </w:p>
    <w:p w14:paraId="76156C49" w14:textId="77777777" w:rsidR="00126982" w:rsidRPr="00544C68" w:rsidRDefault="00126982" w:rsidP="00500F06">
      <w:pPr>
        <w:spacing w:after="0" w:line="480" w:lineRule="auto"/>
        <w:jc w:val="both"/>
        <w:rPr>
          <w:b/>
          <w:sz w:val="24"/>
          <w:szCs w:val="24"/>
        </w:rPr>
      </w:pPr>
      <w:proofErr w:type="gramStart"/>
      <w:r w:rsidRPr="00544C68">
        <w:rPr>
          <w:b/>
          <w:sz w:val="24"/>
          <w:szCs w:val="24"/>
        </w:rPr>
        <w:t xml:space="preserve">Table </w:t>
      </w:r>
      <w:r>
        <w:rPr>
          <w:b/>
          <w:sz w:val="24"/>
          <w:szCs w:val="24"/>
        </w:rPr>
        <w:t>4</w:t>
      </w:r>
      <w:r w:rsidRPr="00544C68">
        <w:rPr>
          <w:b/>
          <w:sz w:val="24"/>
          <w:szCs w:val="24"/>
        </w:rPr>
        <w:t>.</w:t>
      </w:r>
      <w:proofErr w:type="gramEnd"/>
      <w:r w:rsidRPr="00544C68">
        <w:rPr>
          <w:b/>
          <w:sz w:val="24"/>
          <w:szCs w:val="24"/>
        </w:rPr>
        <w:t xml:space="preserve"> </w:t>
      </w:r>
      <w:r w:rsidRPr="00B558E1">
        <w:rPr>
          <w:sz w:val="24"/>
          <w:szCs w:val="24"/>
        </w:rPr>
        <w:t>Difference between UK and Irish media in overall coverage of the dioxin crisis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1597"/>
        <w:gridCol w:w="1881"/>
        <w:gridCol w:w="1275"/>
        <w:gridCol w:w="1196"/>
      </w:tblGrid>
      <w:tr w:rsidR="00126982" w:rsidRPr="00544C68" w14:paraId="07149996" w14:textId="77777777" w:rsidTr="008F4E29">
        <w:trPr>
          <w:jc w:val="center"/>
        </w:trPr>
        <w:tc>
          <w:tcPr>
            <w:tcW w:w="3293" w:type="dxa"/>
            <w:tcBorders>
              <w:left w:val="nil"/>
              <w:bottom w:val="single" w:sz="4" w:space="0" w:color="auto"/>
              <w:right w:val="nil"/>
            </w:tcBorders>
            <w:shd w:val="clear" w:color="auto" w:fill="auto"/>
          </w:tcPr>
          <w:p w14:paraId="2EE82ED2" w14:textId="77777777" w:rsidR="00126982" w:rsidRPr="00544C68" w:rsidRDefault="00126982" w:rsidP="00500F06">
            <w:pPr>
              <w:spacing w:after="0" w:line="480" w:lineRule="auto"/>
              <w:jc w:val="both"/>
              <w:rPr>
                <w:b/>
                <w:sz w:val="24"/>
                <w:szCs w:val="24"/>
              </w:rPr>
            </w:pPr>
          </w:p>
        </w:tc>
        <w:tc>
          <w:tcPr>
            <w:tcW w:w="1597" w:type="dxa"/>
            <w:tcBorders>
              <w:left w:val="nil"/>
              <w:bottom w:val="single" w:sz="4" w:space="0" w:color="auto"/>
              <w:right w:val="nil"/>
            </w:tcBorders>
            <w:shd w:val="clear" w:color="auto" w:fill="auto"/>
          </w:tcPr>
          <w:p w14:paraId="1C590356" w14:textId="10761FC4" w:rsidR="00126982" w:rsidRPr="00544C68" w:rsidRDefault="00126982" w:rsidP="00B558E1">
            <w:pPr>
              <w:spacing w:after="0" w:line="480" w:lineRule="auto"/>
              <w:jc w:val="center"/>
              <w:rPr>
                <w:b/>
                <w:sz w:val="24"/>
                <w:szCs w:val="24"/>
              </w:rPr>
            </w:pPr>
            <w:r w:rsidRPr="00544C68">
              <w:rPr>
                <w:b/>
                <w:sz w:val="24"/>
                <w:szCs w:val="24"/>
              </w:rPr>
              <w:t>Ireland</w:t>
            </w:r>
          </w:p>
          <w:p w14:paraId="1DE1B3F0" w14:textId="77777777" w:rsidR="00126982" w:rsidRPr="00544C68" w:rsidRDefault="00126982" w:rsidP="00B558E1">
            <w:pPr>
              <w:spacing w:after="0" w:line="480" w:lineRule="auto"/>
              <w:jc w:val="center"/>
              <w:rPr>
                <w:b/>
                <w:sz w:val="24"/>
                <w:szCs w:val="24"/>
              </w:rPr>
            </w:pPr>
            <w:proofErr w:type="gramStart"/>
            <w:r w:rsidRPr="00544C68">
              <w:rPr>
                <w:b/>
                <w:i/>
                <w:sz w:val="24"/>
                <w:szCs w:val="24"/>
              </w:rPr>
              <w:t>n</w:t>
            </w:r>
            <w:proofErr w:type="gramEnd"/>
            <w:r w:rsidRPr="00544C68">
              <w:rPr>
                <w:b/>
                <w:sz w:val="24"/>
                <w:szCs w:val="24"/>
              </w:rPr>
              <w:t xml:space="preserve"> (%)</w:t>
            </w:r>
          </w:p>
        </w:tc>
        <w:tc>
          <w:tcPr>
            <w:tcW w:w="1881" w:type="dxa"/>
            <w:tcBorders>
              <w:left w:val="nil"/>
              <w:bottom w:val="single" w:sz="4" w:space="0" w:color="auto"/>
              <w:right w:val="nil"/>
            </w:tcBorders>
            <w:shd w:val="clear" w:color="auto" w:fill="auto"/>
          </w:tcPr>
          <w:p w14:paraId="76C0D2C7" w14:textId="1EAD4A71" w:rsidR="00126982" w:rsidRPr="00544C68" w:rsidRDefault="00126982" w:rsidP="00B558E1">
            <w:pPr>
              <w:spacing w:after="0" w:line="480" w:lineRule="auto"/>
              <w:jc w:val="center"/>
              <w:rPr>
                <w:b/>
                <w:sz w:val="24"/>
                <w:szCs w:val="24"/>
              </w:rPr>
            </w:pPr>
            <w:r w:rsidRPr="00544C68">
              <w:rPr>
                <w:b/>
                <w:sz w:val="24"/>
                <w:szCs w:val="24"/>
              </w:rPr>
              <w:t>UK</w:t>
            </w:r>
          </w:p>
          <w:p w14:paraId="5E631F44" w14:textId="77777777" w:rsidR="00126982" w:rsidRPr="00544C68" w:rsidRDefault="00126982" w:rsidP="00B558E1">
            <w:pPr>
              <w:spacing w:after="0" w:line="480" w:lineRule="auto"/>
              <w:jc w:val="center"/>
              <w:rPr>
                <w:b/>
                <w:sz w:val="24"/>
                <w:szCs w:val="24"/>
              </w:rPr>
            </w:pPr>
            <w:proofErr w:type="gramStart"/>
            <w:r w:rsidRPr="00544C68">
              <w:rPr>
                <w:b/>
                <w:i/>
                <w:sz w:val="24"/>
                <w:szCs w:val="24"/>
              </w:rPr>
              <w:t>n</w:t>
            </w:r>
            <w:proofErr w:type="gramEnd"/>
            <w:r w:rsidRPr="00544C68">
              <w:rPr>
                <w:b/>
                <w:sz w:val="24"/>
                <w:szCs w:val="24"/>
              </w:rPr>
              <w:t xml:space="preserve"> (%)</w:t>
            </w:r>
          </w:p>
        </w:tc>
        <w:tc>
          <w:tcPr>
            <w:tcW w:w="1275" w:type="dxa"/>
            <w:tcBorders>
              <w:left w:val="nil"/>
              <w:bottom w:val="single" w:sz="4" w:space="0" w:color="auto"/>
              <w:right w:val="nil"/>
            </w:tcBorders>
            <w:shd w:val="clear" w:color="auto" w:fill="auto"/>
          </w:tcPr>
          <w:p w14:paraId="1BB36107" w14:textId="77777777" w:rsidR="00126982" w:rsidRPr="00544C68" w:rsidRDefault="00126982" w:rsidP="00B558E1">
            <w:pPr>
              <w:spacing w:after="0" w:line="480" w:lineRule="auto"/>
              <w:jc w:val="center"/>
              <w:rPr>
                <w:b/>
                <w:i/>
                <w:sz w:val="24"/>
                <w:szCs w:val="24"/>
                <w:vertAlign w:val="superscript"/>
              </w:rPr>
            </w:pPr>
            <w:r w:rsidRPr="00544C68">
              <w:rPr>
                <w:b/>
                <w:i/>
                <w:sz w:val="24"/>
                <w:szCs w:val="24"/>
              </w:rPr>
              <w:t>χ</w:t>
            </w:r>
            <w:r w:rsidRPr="00544C68">
              <w:rPr>
                <w:b/>
                <w:i/>
                <w:sz w:val="24"/>
                <w:szCs w:val="24"/>
                <w:vertAlign w:val="superscript"/>
              </w:rPr>
              <w:t>2</w:t>
            </w:r>
          </w:p>
        </w:tc>
        <w:tc>
          <w:tcPr>
            <w:tcW w:w="1196" w:type="dxa"/>
            <w:tcBorders>
              <w:left w:val="nil"/>
              <w:bottom w:val="single" w:sz="4" w:space="0" w:color="auto"/>
              <w:right w:val="nil"/>
            </w:tcBorders>
            <w:shd w:val="clear" w:color="auto" w:fill="auto"/>
          </w:tcPr>
          <w:p w14:paraId="4B9DFD8B" w14:textId="77777777" w:rsidR="00126982" w:rsidRPr="00544C68" w:rsidRDefault="00126982" w:rsidP="00B558E1">
            <w:pPr>
              <w:spacing w:after="0" w:line="480" w:lineRule="auto"/>
              <w:jc w:val="center"/>
              <w:rPr>
                <w:b/>
                <w:i/>
                <w:sz w:val="24"/>
                <w:szCs w:val="24"/>
                <w:vertAlign w:val="superscript"/>
              </w:rPr>
            </w:pPr>
            <w:r w:rsidRPr="00544C68">
              <w:rPr>
                <w:b/>
                <w:i/>
                <w:sz w:val="24"/>
                <w:szCs w:val="24"/>
              </w:rPr>
              <w:t>p</w:t>
            </w:r>
          </w:p>
        </w:tc>
      </w:tr>
      <w:tr w:rsidR="00126982" w:rsidRPr="00544C68" w14:paraId="2BE83447" w14:textId="77777777" w:rsidTr="008F4E29">
        <w:trPr>
          <w:jc w:val="center"/>
        </w:trPr>
        <w:tc>
          <w:tcPr>
            <w:tcW w:w="3293" w:type="dxa"/>
            <w:tcBorders>
              <w:top w:val="single" w:sz="4" w:space="0" w:color="auto"/>
              <w:left w:val="nil"/>
              <w:bottom w:val="nil"/>
              <w:right w:val="nil"/>
            </w:tcBorders>
            <w:shd w:val="clear" w:color="auto" w:fill="auto"/>
          </w:tcPr>
          <w:p w14:paraId="3C54CC09" w14:textId="77777777" w:rsidR="00126982" w:rsidRPr="00544C68" w:rsidRDefault="00126982" w:rsidP="00500F06">
            <w:pPr>
              <w:spacing w:after="0" w:line="480" w:lineRule="auto"/>
              <w:jc w:val="both"/>
              <w:rPr>
                <w:b/>
                <w:sz w:val="24"/>
                <w:szCs w:val="24"/>
              </w:rPr>
            </w:pPr>
            <w:r w:rsidRPr="00544C68">
              <w:rPr>
                <w:b/>
                <w:sz w:val="24"/>
                <w:szCs w:val="24"/>
              </w:rPr>
              <w:t xml:space="preserve">Industry/Economic </w:t>
            </w:r>
            <w:r>
              <w:rPr>
                <w:b/>
                <w:sz w:val="24"/>
                <w:szCs w:val="24"/>
              </w:rPr>
              <w:t>impact</w:t>
            </w:r>
          </w:p>
        </w:tc>
        <w:tc>
          <w:tcPr>
            <w:tcW w:w="1597" w:type="dxa"/>
            <w:tcBorders>
              <w:top w:val="single" w:sz="4" w:space="0" w:color="auto"/>
              <w:left w:val="nil"/>
              <w:bottom w:val="nil"/>
              <w:right w:val="nil"/>
            </w:tcBorders>
            <w:shd w:val="clear" w:color="auto" w:fill="auto"/>
          </w:tcPr>
          <w:p w14:paraId="1C24461F" w14:textId="77777777" w:rsidR="00126982" w:rsidRPr="00544C68" w:rsidRDefault="00126982" w:rsidP="00B558E1">
            <w:pPr>
              <w:spacing w:after="0" w:line="480" w:lineRule="auto"/>
              <w:jc w:val="center"/>
              <w:rPr>
                <w:sz w:val="24"/>
                <w:szCs w:val="24"/>
              </w:rPr>
            </w:pPr>
            <w:r w:rsidRPr="00544C68">
              <w:rPr>
                <w:sz w:val="24"/>
                <w:szCs w:val="24"/>
              </w:rPr>
              <w:t>25 (29.8)</w:t>
            </w:r>
          </w:p>
        </w:tc>
        <w:tc>
          <w:tcPr>
            <w:tcW w:w="1881" w:type="dxa"/>
            <w:tcBorders>
              <w:top w:val="single" w:sz="4" w:space="0" w:color="auto"/>
              <w:left w:val="nil"/>
              <w:bottom w:val="nil"/>
              <w:right w:val="nil"/>
            </w:tcBorders>
            <w:shd w:val="clear" w:color="auto" w:fill="auto"/>
          </w:tcPr>
          <w:p w14:paraId="36A2C65D" w14:textId="77777777" w:rsidR="00126982" w:rsidRPr="00544C68" w:rsidRDefault="00126982" w:rsidP="00B558E1">
            <w:pPr>
              <w:spacing w:after="0" w:line="480" w:lineRule="auto"/>
              <w:jc w:val="center"/>
              <w:rPr>
                <w:sz w:val="24"/>
                <w:szCs w:val="24"/>
              </w:rPr>
            </w:pPr>
            <w:r w:rsidRPr="00544C68">
              <w:rPr>
                <w:sz w:val="24"/>
                <w:szCs w:val="24"/>
              </w:rPr>
              <w:t>13 (22.8)</w:t>
            </w:r>
          </w:p>
        </w:tc>
        <w:tc>
          <w:tcPr>
            <w:tcW w:w="1275" w:type="dxa"/>
            <w:tcBorders>
              <w:top w:val="single" w:sz="4" w:space="0" w:color="auto"/>
              <w:left w:val="nil"/>
              <w:bottom w:val="nil"/>
              <w:right w:val="nil"/>
            </w:tcBorders>
            <w:shd w:val="clear" w:color="auto" w:fill="auto"/>
          </w:tcPr>
          <w:p w14:paraId="1DA0B2FB" w14:textId="77777777" w:rsidR="00126982" w:rsidRPr="00544C68" w:rsidRDefault="00126982" w:rsidP="00B558E1">
            <w:pPr>
              <w:spacing w:after="0" w:line="480" w:lineRule="auto"/>
              <w:jc w:val="center"/>
              <w:rPr>
                <w:sz w:val="24"/>
                <w:szCs w:val="24"/>
              </w:rPr>
            </w:pPr>
            <w:r w:rsidRPr="00544C68">
              <w:rPr>
                <w:sz w:val="24"/>
                <w:szCs w:val="24"/>
              </w:rPr>
              <w:t>0.83</w:t>
            </w:r>
          </w:p>
        </w:tc>
        <w:tc>
          <w:tcPr>
            <w:tcW w:w="1196" w:type="dxa"/>
            <w:tcBorders>
              <w:top w:val="single" w:sz="4" w:space="0" w:color="auto"/>
              <w:left w:val="nil"/>
              <w:bottom w:val="nil"/>
              <w:right w:val="nil"/>
            </w:tcBorders>
            <w:shd w:val="clear" w:color="auto" w:fill="auto"/>
          </w:tcPr>
          <w:p w14:paraId="38FF0ED1" w14:textId="77777777" w:rsidR="00126982" w:rsidRPr="00544C68" w:rsidRDefault="00126982" w:rsidP="00B558E1">
            <w:pPr>
              <w:spacing w:after="0" w:line="480" w:lineRule="auto"/>
              <w:jc w:val="center"/>
              <w:rPr>
                <w:sz w:val="24"/>
                <w:szCs w:val="24"/>
              </w:rPr>
            </w:pPr>
            <w:r w:rsidRPr="00544C68">
              <w:rPr>
                <w:sz w:val="24"/>
                <w:szCs w:val="24"/>
              </w:rPr>
              <w:t>&gt;0.05</w:t>
            </w:r>
          </w:p>
        </w:tc>
      </w:tr>
      <w:tr w:rsidR="00126982" w:rsidRPr="00544C68" w14:paraId="7B2D9895" w14:textId="77777777" w:rsidTr="008F4E29">
        <w:trPr>
          <w:jc w:val="center"/>
        </w:trPr>
        <w:tc>
          <w:tcPr>
            <w:tcW w:w="3293" w:type="dxa"/>
            <w:tcBorders>
              <w:top w:val="nil"/>
              <w:left w:val="nil"/>
              <w:bottom w:val="nil"/>
              <w:right w:val="nil"/>
            </w:tcBorders>
            <w:shd w:val="clear" w:color="auto" w:fill="auto"/>
          </w:tcPr>
          <w:p w14:paraId="062A6528" w14:textId="77777777" w:rsidR="00126982" w:rsidRPr="00544C68" w:rsidRDefault="00126982" w:rsidP="00500F06">
            <w:pPr>
              <w:spacing w:after="0" w:line="480" w:lineRule="auto"/>
              <w:jc w:val="both"/>
              <w:rPr>
                <w:b/>
                <w:sz w:val="24"/>
                <w:szCs w:val="24"/>
              </w:rPr>
            </w:pPr>
            <w:r w:rsidRPr="00544C68">
              <w:rPr>
                <w:b/>
                <w:sz w:val="24"/>
                <w:szCs w:val="24"/>
              </w:rPr>
              <w:t xml:space="preserve">Blame/Responsibility </w:t>
            </w:r>
          </w:p>
        </w:tc>
        <w:tc>
          <w:tcPr>
            <w:tcW w:w="1597" w:type="dxa"/>
            <w:tcBorders>
              <w:top w:val="nil"/>
              <w:left w:val="nil"/>
              <w:bottom w:val="nil"/>
              <w:right w:val="nil"/>
            </w:tcBorders>
            <w:shd w:val="clear" w:color="auto" w:fill="auto"/>
          </w:tcPr>
          <w:p w14:paraId="23776F72" w14:textId="77777777" w:rsidR="00126982" w:rsidRPr="00544C68" w:rsidRDefault="00126982" w:rsidP="00B558E1">
            <w:pPr>
              <w:spacing w:after="0" w:line="480" w:lineRule="auto"/>
              <w:jc w:val="center"/>
              <w:rPr>
                <w:sz w:val="24"/>
                <w:szCs w:val="24"/>
              </w:rPr>
            </w:pPr>
            <w:r w:rsidRPr="00544C68">
              <w:rPr>
                <w:sz w:val="24"/>
                <w:szCs w:val="24"/>
              </w:rPr>
              <w:t>22 (26.2)</w:t>
            </w:r>
          </w:p>
        </w:tc>
        <w:tc>
          <w:tcPr>
            <w:tcW w:w="1881" w:type="dxa"/>
            <w:tcBorders>
              <w:top w:val="nil"/>
              <w:left w:val="nil"/>
              <w:bottom w:val="nil"/>
              <w:right w:val="nil"/>
            </w:tcBorders>
            <w:shd w:val="clear" w:color="auto" w:fill="auto"/>
          </w:tcPr>
          <w:p w14:paraId="37FB3FEE" w14:textId="77777777" w:rsidR="00126982" w:rsidRPr="00544C68" w:rsidRDefault="00126982" w:rsidP="00B558E1">
            <w:pPr>
              <w:spacing w:after="0" w:line="480" w:lineRule="auto"/>
              <w:jc w:val="center"/>
              <w:rPr>
                <w:sz w:val="24"/>
                <w:szCs w:val="24"/>
              </w:rPr>
            </w:pPr>
            <w:r w:rsidRPr="00544C68">
              <w:rPr>
                <w:sz w:val="24"/>
                <w:szCs w:val="24"/>
              </w:rPr>
              <w:t>15 (26.3)</w:t>
            </w:r>
          </w:p>
        </w:tc>
        <w:tc>
          <w:tcPr>
            <w:tcW w:w="1275" w:type="dxa"/>
            <w:tcBorders>
              <w:top w:val="nil"/>
              <w:left w:val="nil"/>
              <w:bottom w:val="nil"/>
              <w:right w:val="nil"/>
            </w:tcBorders>
            <w:shd w:val="clear" w:color="auto" w:fill="auto"/>
          </w:tcPr>
          <w:p w14:paraId="3CD06D4B" w14:textId="77777777" w:rsidR="00126982" w:rsidRPr="00544C68" w:rsidRDefault="00126982" w:rsidP="00B558E1">
            <w:pPr>
              <w:spacing w:after="0" w:line="480" w:lineRule="auto"/>
              <w:jc w:val="center"/>
              <w:rPr>
                <w:sz w:val="24"/>
                <w:szCs w:val="24"/>
              </w:rPr>
            </w:pPr>
            <w:r w:rsidRPr="00544C68">
              <w:rPr>
                <w:sz w:val="24"/>
                <w:szCs w:val="24"/>
              </w:rPr>
              <w:t>0.01</w:t>
            </w:r>
          </w:p>
        </w:tc>
        <w:tc>
          <w:tcPr>
            <w:tcW w:w="1196" w:type="dxa"/>
            <w:tcBorders>
              <w:top w:val="nil"/>
              <w:left w:val="nil"/>
              <w:bottom w:val="nil"/>
              <w:right w:val="nil"/>
            </w:tcBorders>
            <w:shd w:val="clear" w:color="auto" w:fill="auto"/>
          </w:tcPr>
          <w:p w14:paraId="22FDBC4D" w14:textId="77777777" w:rsidR="00126982" w:rsidRPr="00544C68" w:rsidRDefault="00126982" w:rsidP="00B558E1">
            <w:pPr>
              <w:spacing w:after="0" w:line="480" w:lineRule="auto"/>
              <w:jc w:val="center"/>
              <w:rPr>
                <w:sz w:val="24"/>
                <w:szCs w:val="24"/>
              </w:rPr>
            </w:pPr>
            <w:r w:rsidRPr="00544C68">
              <w:rPr>
                <w:sz w:val="24"/>
                <w:szCs w:val="24"/>
              </w:rPr>
              <w:t>&gt;0.05</w:t>
            </w:r>
          </w:p>
        </w:tc>
      </w:tr>
      <w:tr w:rsidR="00126982" w:rsidRPr="00544C68" w14:paraId="3A9E579C" w14:textId="77777777" w:rsidTr="008F4E29">
        <w:trPr>
          <w:jc w:val="center"/>
        </w:trPr>
        <w:tc>
          <w:tcPr>
            <w:tcW w:w="3293" w:type="dxa"/>
            <w:tcBorders>
              <w:top w:val="nil"/>
              <w:left w:val="nil"/>
              <w:bottom w:val="nil"/>
              <w:right w:val="nil"/>
            </w:tcBorders>
            <w:shd w:val="clear" w:color="auto" w:fill="auto"/>
          </w:tcPr>
          <w:p w14:paraId="1F437854" w14:textId="77777777" w:rsidR="00126982" w:rsidRPr="00544C68" w:rsidRDefault="00126982" w:rsidP="00500F06">
            <w:pPr>
              <w:spacing w:after="0" w:line="480" w:lineRule="auto"/>
              <w:jc w:val="both"/>
              <w:rPr>
                <w:b/>
                <w:sz w:val="24"/>
                <w:szCs w:val="24"/>
              </w:rPr>
            </w:pPr>
            <w:r w:rsidRPr="00544C68">
              <w:rPr>
                <w:b/>
                <w:sz w:val="24"/>
                <w:szCs w:val="24"/>
              </w:rPr>
              <w:t xml:space="preserve">Health </w:t>
            </w:r>
            <w:r>
              <w:rPr>
                <w:b/>
                <w:sz w:val="24"/>
                <w:szCs w:val="24"/>
              </w:rPr>
              <w:t>focus</w:t>
            </w:r>
          </w:p>
        </w:tc>
        <w:tc>
          <w:tcPr>
            <w:tcW w:w="1597" w:type="dxa"/>
            <w:tcBorders>
              <w:top w:val="nil"/>
              <w:left w:val="nil"/>
              <w:bottom w:val="nil"/>
              <w:right w:val="nil"/>
            </w:tcBorders>
            <w:shd w:val="clear" w:color="auto" w:fill="auto"/>
          </w:tcPr>
          <w:p w14:paraId="7A6BED14" w14:textId="77777777" w:rsidR="00126982" w:rsidRPr="00544C68" w:rsidRDefault="00126982" w:rsidP="00B558E1">
            <w:pPr>
              <w:spacing w:after="0" w:line="480" w:lineRule="auto"/>
              <w:jc w:val="center"/>
              <w:rPr>
                <w:sz w:val="24"/>
                <w:szCs w:val="24"/>
              </w:rPr>
            </w:pPr>
            <w:r w:rsidRPr="00544C68">
              <w:rPr>
                <w:sz w:val="24"/>
                <w:szCs w:val="24"/>
              </w:rPr>
              <w:t>13 (15.5)</w:t>
            </w:r>
          </w:p>
        </w:tc>
        <w:tc>
          <w:tcPr>
            <w:tcW w:w="1881" w:type="dxa"/>
            <w:tcBorders>
              <w:top w:val="nil"/>
              <w:left w:val="nil"/>
              <w:bottom w:val="nil"/>
              <w:right w:val="nil"/>
            </w:tcBorders>
            <w:shd w:val="clear" w:color="auto" w:fill="auto"/>
          </w:tcPr>
          <w:p w14:paraId="19730BCF" w14:textId="77777777" w:rsidR="00126982" w:rsidRPr="00544C68" w:rsidRDefault="00126982" w:rsidP="00B558E1">
            <w:pPr>
              <w:spacing w:after="0" w:line="480" w:lineRule="auto"/>
              <w:jc w:val="center"/>
              <w:rPr>
                <w:sz w:val="24"/>
                <w:szCs w:val="24"/>
              </w:rPr>
            </w:pPr>
            <w:r w:rsidRPr="00544C68">
              <w:rPr>
                <w:sz w:val="24"/>
                <w:szCs w:val="24"/>
              </w:rPr>
              <w:t>17 (29.8)</w:t>
            </w:r>
          </w:p>
        </w:tc>
        <w:tc>
          <w:tcPr>
            <w:tcW w:w="1275" w:type="dxa"/>
            <w:tcBorders>
              <w:top w:val="nil"/>
              <w:left w:val="nil"/>
              <w:bottom w:val="nil"/>
              <w:right w:val="nil"/>
            </w:tcBorders>
            <w:shd w:val="clear" w:color="auto" w:fill="auto"/>
          </w:tcPr>
          <w:p w14:paraId="6D98BB45" w14:textId="77777777" w:rsidR="00126982" w:rsidRPr="00544C68" w:rsidRDefault="00126982" w:rsidP="00B558E1">
            <w:pPr>
              <w:spacing w:after="0" w:line="480" w:lineRule="auto"/>
              <w:jc w:val="center"/>
              <w:rPr>
                <w:sz w:val="24"/>
                <w:szCs w:val="24"/>
              </w:rPr>
            </w:pPr>
            <w:r w:rsidRPr="00544C68">
              <w:rPr>
                <w:sz w:val="24"/>
                <w:szCs w:val="24"/>
              </w:rPr>
              <w:t>4.17</w:t>
            </w:r>
          </w:p>
        </w:tc>
        <w:tc>
          <w:tcPr>
            <w:tcW w:w="1196" w:type="dxa"/>
            <w:tcBorders>
              <w:top w:val="nil"/>
              <w:left w:val="nil"/>
              <w:bottom w:val="nil"/>
              <w:right w:val="nil"/>
            </w:tcBorders>
            <w:shd w:val="clear" w:color="auto" w:fill="auto"/>
          </w:tcPr>
          <w:p w14:paraId="17553351" w14:textId="77777777" w:rsidR="00126982" w:rsidRPr="00544C68" w:rsidRDefault="00126982" w:rsidP="00B558E1">
            <w:pPr>
              <w:spacing w:after="0" w:line="480" w:lineRule="auto"/>
              <w:jc w:val="center"/>
              <w:rPr>
                <w:sz w:val="24"/>
                <w:szCs w:val="24"/>
              </w:rPr>
            </w:pPr>
            <w:r w:rsidRPr="00544C68">
              <w:rPr>
                <w:sz w:val="24"/>
                <w:szCs w:val="24"/>
              </w:rPr>
              <w:t>0.04</w:t>
            </w:r>
          </w:p>
        </w:tc>
      </w:tr>
      <w:tr w:rsidR="00126982" w:rsidRPr="00544C68" w14:paraId="0BC9D6D5" w14:textId="77777777" w:rsidTr="008F4E29">
        <w:trPr>
          <w:jc w:val="center"/>
        </w:trPr>
        <w:tc>
          <w:tcPr>
            <w:tcW w:w="3293" w:type="dxa"/>
            <w:tcBorders>
              <w:top w:val="nil"/>
              <w:left w:val="nil"/>
              <w:bottom w:val="nil"/>
              <w:right w:val="nil"/>
            </w:tcBorders>
            <w:shd w:val="clear" w:color="auto" w:fill="auto"/>
          </w:tcPr>
          <w:p w14:paraId="6793C373" w14:textId="77777777" w:rsidR="00126982" w:rsidRPr="00544C68" w:rsidRDefault="00126982" w:rsidP="00500F06">
            <w:pPr>
              <w:spacing w:after="0" w:line="480" w:lineRule="auto"/>
              <w:jc w:val="both"/>
              <w:rPr>
                <w:b/>
                <w:sz w:val="24"/>
                <w:szCs w:val="24"/>
              </w:rPr>
            </w:pPr>
            <w:r w:rsidRPr="00544C68">
              <w:rPr>
                <w:b/>
                <w:sz w:val="24"/>
                <w:szCs w:val="24"/>
              </w:rPr>
              <w:t xml:space="preserve">Consumer Impact </w:t>
            </w:r>
          </w:p>
        </w:tc>
        <w:tc>
          <w:tcPr>
            <w:tcW w:w="1597" w:type="dxa"/>
            <w:tcBorders>
              <w:top w:val="nil"/>
              <w:left w:val="nil"/>
              <w:bottom w:val="nil"/>
              <w:right w:val="nil"/>
            </w:tcBorders>
            <w:shd w:val="clear" w:color="auto" w:fill="auto"/>
          </w:tcPr>
          <w:p w14:paraId="2ABE136E" w14:textId="77777777" w:rsidR="00126982" w:rsidRPr="00544C68" w:rsidRDefault="00126982" w:rsidP="00B558E1">
            <w:pPr>
              <w:spacing w:after="0" w:line="480" w:lineRule="auto"/>
              <w:jc w:val="center"/>
              <w:rPr>
                <w:sz w:val="24"/>
                <w:szCs w:val="24"/>
              </w:rPr>
            </w:pPr>
            <w:r w:rsidRPr="00544C68">
              <w:rPr>
                <w:sz w:val="24"/>
                <w:szCs w:val="24"/>
              </w:rPr>
              <w:t>10 (11.8)</w:t>
            </w:r>
          </w:p>
        </w:tc>
        <w:tc>
          <w:tcPr>
            <w:tcW w:w="1881" w:type="dxa"/>
            <w:tcBorders>
              <w:top w:val="nil"/>
              <w:left w:val="nil"/>
              <w:bottom w:val="nil"/>
              <w:right w:val="nil"/>
            </w:tcBorders>
            <w:shd w:val="clear" w:color="auto" w:fill="auto"/>
          </w:tcPr>
          <w:p w14:paraId="58FC3814" w14:textId="77777777" w:rsidR="00126982" w:rsidRPr="00544C68" w:rsidRDefault="00126982" w:rsidP="00B558E1">
            <w:pPr>
              <w:spacing w:after="0" w:line="480" w:lineRule="auto"/>
              <w:jc w:val="center"/>
              <w:rPr>
                <w:sz w:val="24"/>
                <w:szCs w:val="24"/>
              </w:rPr>
            </w:pPr>
            <w:r w:rsidRPr="00544C68">
              <w:rPr>
                <w:sz w:val="24"/>
                <w:szCs w:val="24"/>
              </w:rPr>
              <w:t>1 (1.8)</w:t>
            </w:r>
          </w:p>
        </w:tc>
        <w:tc>
          <w:tcPr>
            <w:tcW w:w="1275" w:type="dxa"/>
            <w:tcBorders>
              <w:top w:val="nil"/>
              <w:left w:val="nil"/>
              <w:bottom w:val="nil"/>
              <w:right w:val="nil"/>
            </w:tcBorders>
            <w:shd w:val="clear" w:color="auto" w:fill="auto"/>
          </w:tcPr>
          <w:p w14:paraId="5F003E4A" w14:textId="77777777" w:rsidR="00126982" w:rsidRPr="00544C68" w:rsidRDefault="00126982" w:rsidP="00B558E1">
            <w:pPr>
              <w:spacing w:after="0" w:line="480" w:lineRule="auto"/>
              <w:jc w:val="center"/>
              <w:rPr>
                <w:sz w:val="24"/>
                <w:szCs w:val="24"/>
              </w:rPr>
            </w:pPr>
            <w:r w:rsidRPr="00544C68">
              <w:rPr>
                <w:sz w:val="24"/>
                <w:szCs w:val="24"/>
              </w:rPr>
              <w:t>4.86</w:t>
            </w:r>
          </w:p>
        </w:tc>
        <w:tc>
          <w:tcPr>
            <w:tcW w:w="1196" w:type="dxa"/>
            <w:tcBorders>
              <w:top w:val="nil"/>
              <w:left w:val="nil"/>
              <w:bottom w:val="nil"/>
              <w:right w:val="nil"/>
            </w:tcBorders>
            <w:shd w:val="clear" w:color="auto" w:fill="auto"/>
          </w:tcPr>
          <w:p w14:paraId="276293B9" w14:textId="77777777" w:rsidR="00126982" w:rsidRPr="00544C68" w:rsidRDefault="00126982" w:rsidP="00B558E1">
            <w:pPr>
              <w:spacing w:after="0" w:line="480" w:lineRule="auto"/>
              <w:jc w:val="center"/>
              <w:rPr>
                <w:sz w:val="24"/>
                <w:szCs w:val="24"/>
              </w:rPr>
            </w:pPr>
            <w:r w:rsidRPr="00544C68">
              <w:rPr>
                <w:sz w:val="24"/>
                <w:szCs w:val="24"/>
              </w:rPr>
              <w:t>0.03</w:t>
            </w:r>
          </w:p>
        </w:tc>
      </w:tr>
      <w:tr w:rsidR="00126982" w:rsidRPr="00544C68" w14:paraId="6DDC4AB1" w14:textId="77777777" w:rsidTr="008F4E29">
        <w:trPr>
          <w:jc w:val="center"/>
        </w:trPr>
        <w:tc>
          <w:tcPr>
            <w:tcW w:w="3293" w:type="dxa"/>
            <w:tcBorders>
              <w:top w:val="nil"/>
              <w:left w:val="nil"/>
              <w:bottom w:val="single" w:sz="4" w:space="0" w:color="auto"/>
              <w:right w:val="nil"/>
            </w:tcBorders>
            <w:shd w:val="clear" w:color="auto" w:fill="auto"/>
          </w:tcPr>
          <w:p w14:paraId="59436CD0" w14:textId="77777777" w:rsidR="00126982" w:rsidRPr="00544C68" w:rsidRDefault="00126982" w:rsidP="00500F06">
            <w:pPr>
              <w:spacing w:after="0" w:line="480" w:lineRule="auto"/>
              <w:jc w:val="both"/>
              <w:rPr>
                <w:b/>
                <w:sz w:val="24"/>
                <w:szCs w:val="24"/>
              </w:rPr>
            </w:pPr>
            <w:r w:rsidRPr="00544C68">
              <w:rPr>
                <w:b/>
                <w:sz w:val="24"/>
                <w:szCs w:val="24"/>
              </w:rPr>
              <w:t xml:space="preserve">Mixed/No </w:t>
            </w:r>
            <w:bookmarkStart w:id="4" w:name="_GoBack"/>
            <w:bookmarkEnd w:id="4"/>
            <w:r w:rsidRPr="00544C68">
              <w:rPr>
                <w:b/>
                <w:sz w:val="24"/>
                <w:szCs w:val="24"/>
              </w:rPr>
              <w:t xml:space="preserve">Clear </w:t>
            </w:r>
            <w:r>
              <w:rPr>
                <w:b/>
                <w:sz w:val="24"/>
                <w:szCs w:val="24"/>
              </w:rPr>
              <w:t>message</w:t>
            </w:r>
          </w:p>
        </w:tc>
        <w:tc>
          <w:tcPr>
            <w:tcW w:w="1597" w:type="dxa"/>
            <w:tcBorders>
              <w:top w:val="nil"/>
              <w:left w:val="nil"/>
              <w:bottom w:val="single" w:sz="4" w:space="0" w:color="auto"/>
              <w:right w:val="nil"/>
            </w:tcBorders>
            <w:shd w:val="clear" w:color="auto" w:fill="auto"/>
          </w:tcPr>
          <w:p w14:paraId="0AB253B0" w14:textId="77777777" w:rsidR="00126982" w:rsidRPr="00544C68" w:rsidRDefault="00126982" w:rsidP="00B558E1">
            <w:pPr>
              <w:spacing w:after="0" w:line="480" w:lineRule="auto"/>
              <w:jc w:val="center"/>
              <w:rPr>
                <w:sz w:val="24"/>
                <w:szCs w:val="24"/>
              </w:rPr>
            </w:pPr>
            <w:r w:rsidRPr="00544C68">
              <w:rPr>
                <w:sz w:val="24"/>
                <w:szCs w:val="24"/>
              </w:rPr>
              <w:t>14 (16.7)</w:t>
            </w:r>
          </w:p>
        </w:tc>
        <w:tc>
          <w:tcPr>
            <w:tcW w:w="1881" w:type="dxa"/>
            <w:tcBorders>
              <w:top w:val="nil"/>
              <w:left w:val="nil"/>
              <w:bottom w:val="single" w:sz="4" w:space="0" w:color="auto"/>
              <w:right w:val="nil"/>
            </w:tcBorders>
            <w:shd w:val="clear" w:color="auto" w:fill="auto"/>
          </w:tcPr>
          <w:p w14:paraId="76413E88" w14:textId="77777777" w:rsidR="00126982" w:rsidRPr="00544C68" w:rsidRDefault="00126982" w:rsidP="00B558E1">
            <w:pPr>
              <w:spacing w:after="0" w:line="480" w:lineRule="auto"/>
              <w:jc w:val="center"/>
              <w:rPr>
                <w:sz w:val="24"/>
                <w:szCs w:val="24"/>
              </w:rPr>
            </w:pPr>
            <w:r w:rsidRPr="00544C68">
              <w:rPr>
                <w:sz w:val="24"/>
                <w:szCs w:val="24"/>
              </w:rPr>
              <w:t>11 (19.3)</w:t>
            </w:r>
          </w:p>
        </w:tc>
        <w:tc>
          <w:tcPr>
            <w:tcW w:w="1275" w:type="dxa"/>
            <w:tcBorders>
              <w:top w:val="nil"/>
              <w:left w:val="nil"/>
              <w:bottom w:val="single" w:sz="4" w:space="0" w:color="auto"/>
              <w:right w:val="nil"/>
            </w:tcBorders>
            <w:shd w:val="clear" w:color="auto" w:fill="auto"/>
          </w:tcPr>
          <w:p w14:paraId="4008DF11" w14:textId="77777777" w:rsidR="00126982" w:rsidRPr="00544C68" w:rsidRDefault="00126982" w:rsidP="00B558E1">
            <w:pPr>
              <w:spacing w:after="0" w:line="480" w:lineRule="auto"/>
              <w:jc w:val="center"/>
              <w:rPr>
                <w:sz w:val="24"/>
                <w:szCs w:val="24"/>
              </w:rPr>
            </w:pPr>
            <w:r w:rsidRPr="00544C68">
              <w:rPr>
                <w:sz w:val="24"/>
                <w:szCs w:val="24"/>
              </w:rPr>
              <w:t>0.16</w:t>
            </w:r>
          </w:p>
        </w:tc>
        <w:tc>
          <w:tcPr>
            <w:tcW w:w="1196" w:type="dxa"/>
            <w:tcBorders>
              <w:top w:val="nil"/>
              <w:left w:val="nil"/>
              <w:bottom w:val="single" w:sz="4" w:space="0" w:color="auto"/>
              <w:right w:val="nil"/>
            </w:tcBorders>
            <w:shd w:val="clear" w:color="auto" w:fill="auto"/>
          </w:tcPr>
          <w:p w14:paraId="2F626C2A" w14:textId="77777777" w:rsidR="00126982" w:rsidRPr="00544C68" w:rsidRDefault="00126982" w:rsidP="00B558E1">
            <w:pPr>
              <w:spacing w:after="0" w:line="480" w:lineRule="auto"/>
              <w:jc w:val="center"/>
              <w:rPr>
                <w:sz w:val="24"/>
                <w:szCs w:val="24"/>
              </w:rPr>
            </w:pPr>
            <w:r w:rsidRPr="00544C68">
              <w:rPr>
                <w:sz w:val="24"/>
                <w:szCs w:val="24"/>
              </w:rPr>
              <w:t>&gt;0.05</w:t>
            </w:r>
          </w:p>
        </w:tc>
      </w:tr>
      <w:tr w:rsidR="00126982" w:rsidRPr="00544C68" w14:paraId="752B1C27" w14:textId="77777777" w:rsidTr="008F4E29">
        <w:trPr>
          <w:jc w:val="center"/>
        </w:trPr>
        <w:tc>
          <w:tcPr>
            <w:tcW w:w="3293" w:type="dxa"/>
            <w:tcBorders>
              <w:left w:val="nil"/>
              <w:right w:val="nil"/>
            </w:tcBorders>
            <w:shd w:val="clear" w:color="auto" w:fill="auto"/>
          </w:tcPr>
          <w:p w14:paraId="372A546C" w14:textId="77777777" w:rsidR="00126982" w:rsidRPr="00544C68" w:rsidRDefault="00126982" w:rsidP="00500F06">
            <w:pPr>
              <w:spacing w:after="0" w:line="480" w:lineRule="auto"/>
              <w:jc w:val="both"/>
              <w:rPr>
                <w:b/>
                <w:sz w:val="24"/>
                <w:szCs w:val="24"/>
              </w:rPr>
            </w:pPr>
            <w:r w:rsidRPr="00544C68">
              <w:rPr>
                <w:b/>
                <w:sz w:val="24"/>
                <w:szCs w:val="24"/>
              </w:rPr>
              <w:t>Total</w:t>
            </w:r>
          </w:p>
        </w:tc>
        <w:tc>
          <w:tcPr>
            <w:tcW w:w="1597" w:type="dxa"/>
            <w:tcBorders>
              <w:left w:val="nil"/>
              <w:right w:val="nil"/>
            </w:tcBorders>
            <w:shd w:val="clear" w:color="auto" w:fill="auto"/>
          </w:tcPr>
          <w:p w14:paraId="6DF59144" w14:textId="77777777" w:rsidR="00126982" w:rsidRPr="00544C68" w:rsidRDefault="00126982" w:rsidP="00B558E1">
            <w:pPr>
              <w:spacing w:after="0" w:line="480" w:lineRule="auto"/>
              <w:jc w:val="center"/>
              <w:rPr>
                <w:sz w:val="24"/>
                <w:szCs w:val="24"/>
              </w:rPr>
            </w:pPr>
            <w:r w:rsidRPr="00544C68">
              <w:rPr>
                <w:sz w:val="24"/>
                <w:szCs w:val="24"/>
              </w:rPr>
              <w:t>84 (100)</w:t>
            </w:r>
          </w:p>
        </w:tc>
        <w:tc>
          <w:tcPr>
            <w:tcW w:w="1881" w:type="dxa"/>
            <w:tcBorders>
              <w:left w:val="nil"/>
              <w:right w:val="nil"/>
            </w:tcBorders>
            <w:shd w:val="clear" w:color="auto" w:fill="auto"/>
          </w:tcPr>
          <w:p w14:paraId="00D2DC56" w14:textId="77777777" w:rsidR="00126982" w:rsidRPr="00544C68" w:rsidRDefault="00126982" w:rsidP="00B558E1">
            <w:pPr>
              <w:spacing w:after="0" w:line="480" w:lineRule="auto"/>
              <w:jc w:val="center"/>
              <w:rPr>
                <w:sz w:val="24"/>
                <w:szCs w:val="24"/>
              </w:rPr>
            </w:pPr>
            <w:r w:rsidRPr="00544C68">
              <w:rPr>
                <w:sz w:val="24"/>
                <w:szCs w:val="24"/>
              </w:rPr>
              <w:t>57 (100)</w:t>
            </w:r>
          </w:p>
        </w:tc>
        <w:tc>
          <w:tcPr>
            <w:tcW w:w="1275" w:type="dxa"/>
            <w:tcBorders>
              <w:left w:val="nil"/>
              <w:right w:val="nil"/>
            </w:tcBorders>
            <w:shd w:val="clear" w:color="auto" w:fill="auto"/>
          </w:tcPr>
          <w:p w14:paraId="345B81D2" w14:textId="77777777" w:rsidR="00126982" w:rsidRPr="00544C68" w:rsidRDefault="00126982" w:rsidP="00B558E1">
            <w:pPr>
              <w:spacing w:after="0" w:line="480" w:lineRule="auto"/>
              <w:jc w:val="center"/>
              <w:rPr>
                <w:b/>
                <w:sz w:val="24"/>
                <w:szCs w:val="24"/>
              </w:rPr>
            </w:pPr>
          </w:p>
        </w:tc>
        <w:tc>
          <w:tcPr>
            <w:tcW w:w="1196" w:type="dxa"/>
            <w:tcBorders>
              <w:left w:val="nil"/>
              <w:right w:val="nil"/>
            </w:tcBorders>
            <w:shd w:val="clear" w:color="auto" w:fill="auto"/>
          </w:tcPr>
          <w:p w14:paraId="35902012" w14:textId="77777777" w:rsidR="00126982" w:rsidRPr="00544C68" w:rsidRDefault="00126982" w:rsidP="00B558E1">
            <w:pPr>
              <w:spacing w:after="0" w:line="480" w:lineRule="auto"/>
              <w:jc w:val="center"/>
              <w:rPr>
                <w:b/>
                <w:sz w:val="24"/>
                <w:szCs w:val="24"/>
              </w:rPr>
            </w:pPr>
          </w:p>
        </w:tc>
      </w:tr>
    </w:tbl>
    <w:p w14:paraId="11E402F3" w14:textId="77777777" w:rsidR="00126982" w:rsidRDefault="00126982" w:rsidP="00500F06">
      <w:pPr>
        <w:spacing w:after="0" w:line="480" w:lineRule="auto"/>
        <w:jc w:val="both"/>
        <w:rPr>
          <w:b/>
          <w:sz w:val="24"/>
          <w:szCs w:val="24"/>
        </w:rPr>
      </w:pPr>
    </w:p>
    <w:p w14:paraId="7351E4A3" w14:textId="77777777" w:rsidR="00126982" w:rsidRDefault="00126982" w:rsidP="00500F06">
      <w:pPr>
        <w:spacing w:after="0" w:line="480" w:lineRule="auto"/>
        <w:jc w:val="both"/>
        <w:rPr>
          <w:b/>
          <w:sz w:val="24"/>
          <w:szCs w:val="24"/>
        </w:rPr>
      </w:pPr>
    </w:p>
    <w:p w14:paraId="383B3257" w14:textId="77777777" w:rsidR="00126982" w:rsidRPr="00544C68" w:rsidRDefault="00126982" w:rsidP="00500F06">
      <w:pPr>
        <w:spacing w:after="0" w:line="480" w:lineRule="auto"/>
        <w:jc w:val="both"/>
        <w:rPr>
          <w:b/>
          <w:sz w:val="24"/>
          <w:szCs w:val="24"/>
        </w:rPr>
      </w:pPr>
    </w:p>
    <w:p w14:paraId="52070188" w14:textId="77777777" w:rsidR="005C5CB0" w:rsidRDefault="005C5CB0" w:rsidP="00500F06">
      <w:pPr>
        <w:spacing w:after="0" w:line="480" w:lineRule="auto"/>
        <w:jc w:val="both"/>
      </w:pPr>
    </w:p>
    <w:sectPr w:rsidR="005C5CB0" w:rsidSect="008F4E2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DC487" w14:textId="77777777" w:rsidR="00F5234E" w:rsidRDefault="00F5234E" w:rsidP="00126982">
      <w:pPr>
        <w:spacing w:after="0" w:line="240" w:lineRule="auto"/>
      </w:pPr>
      <w:r>
        <w:separator/>
      </w:r>
    </w:p>
  </w:endnote>
  <w:endnote w:type="continuationSeparator" w:id="0">
    <w:p w14:paraId="7CCD0A86" w14:textId="77777777" w:rsidR="00F5234E" w:rsidRDefault="00F5234E" w:rsidP="0012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616B4" w14:textId="77777777" w:rsidR="00126982" w:rsidRPr="00867A99" w:rsidRDefault="00126982">
    <w:pPr>
      <w:pStyle w:val="Footer"/>
      <w:jc w:val="center"/>
      <w:rPr>
        <w:sz w:val="24"/>
        <w:szCs w:val="24"/>
      </w:rPr>
    </w:pPr>
    <w:r w:rsidRPr="00867A99">
      <w:rPr>
        <w:sz w:val="24"/>
        <w:szCs w:val="24"/>
      </w:rPr>
      <w:fldChar w:fldCharType="begin"/>
    </w:r>
    <w:r w:rsidRPr="00867A99">
      <w:rPr>
        <w:sz w:val="24"/>
        <w:szCs w:val="24"/>
      </w:rPr>
      <w:instrText xml:space="preserve"> PAGE   \* MERGEFORMAT </w:instrText>
    </w:r>
    <w:r w:rsidRPr="00867A99">
      <w:rPr>
        <w:sz w:val="24"/>
        <w:szCs w:val="24"/>
      </w:rPr>
      <w:fldChar w:fldCharType="separate"/>
    </w:r>
    <w:r w:rsidR="00B558E1">
      <w:rPr>
        <w:noProof/>
        <w:sz w:val="24"/>
        <w:szCs w:val="24"/>
      </w:rPr>
      <w:t>28</w:t>
    </w:r>
    <w:r w:rsidRPr="00867A99">
      <w:rPr>
        <w:noProof/>
        <w:sz w:val="24"/>
        <w:szCs w:val="24"/>
      </w:rPr>
      <w:fldChar w:fldCharType="end"/>
    </w:r>
  </w:p>
  <w:p w14:paraId="66B1B3B5" w14:textId="77777777" w:rsidR="00126982" w:rsidRDefault="00126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7E3EC" w14:textId="77777777" w:rsidR="00F5234E" w:rsidRDefault="00F5234E" w:rsidP="00126982">
      <w:pPr>
        <w:spacing w:after="0" w:line="240" w:lineRule="auto"/>
      </w:pPr>
      <w:r>
        <w:separator/>
      </w:r>
    </w:p>
  </w:footnote>
  <w:footnote w:type="continuationSeparator" w:id="0">
    <w:p w14:paraId="52F2C88D" w14:textId="77777777" w:rsidR="00F5234E" w:rsidRDefault="00F5234E" w:rsidP="00126982">
      <w:pPr>
        <w:spacing w:after="0" w:line="240" w:lineRule="auto"/>
      </w:pPr>
      <w:r>
        <w:continuationSeparator/>
      </w:r>
    </w:p>
  </w:footnote>
  <w:footnote w:id="1">
    <w:p w14:paraId="6749F9DC" w14:textId="77777777" w:rsidR="00126982" w:rsidRDefault="00126982" w:rsidP="00517F46">
      <w:pPr>
        <w:pStyle w:val="FootnoteText"/>
        <w:spacing w:line="360" w:lineRule="auto"/>
      </w:pPr>
      <w:r>
        <w:rPr>
          <w:rStyle w:val="FootnoteReference"/>
        </w:rPr>
        <w:footnoteRef/>
      </w:r>
      <w:r>
        <w:t xml:space="preserve"> </w:t>
      </w:r>
      <w:proofErr w:type="spellStart"/>
      <w:proofErr w:type="gramStart"/>
      <w:r w:rsidRPr="00D06997">
        <w:rPr>
          <w:i/>
        </w:rPr>
        <w:t>safe</w:t>
      </w:r>
      <w:r>
        <w:t>food</w:t>
      </w:r>
      <w:proofErr w:type="spellEnd"/>
      <w:proofErr w:type="gramEnd"/>
      <w:r>
        <w:t xml:space="preserve"> is an organisation with the remit of promoting</w:t>
      </w:r>
      <w:r w:rsidRPr="00D06997">
        <w:t xml:space="preserve"> awareness and knowledge of food safety and nutrition issues on the island of Ireland</w:t>
      </w:r>
      <w:r>
        <w:t>. Their database includes all articles relevant to food and nutrition and was used to sample relevant articles from Irish tabloid publications as these publications were not available in the Lexis-</w:t>
      </w:r>
      <w:r w:rsidRPr="003A4D37">
        <w:t>Nexis database.</w:t>
      </w:r>
    </w:p>
  </w:footnote>
  <w:footnote w:id="2">
    <w:p w14:paraId="1C03657C" w14:textId="77777777" w:rsidR="00126982" w:rsidRPr="004D78E0" w:rsidRDefault="00126982" w:rsidP="00FF43C5">
      <w:pPr>
        <w:pStyle w:val="FootnoteText"/>
        <w:spacing w:line="240" w:lineRule="auto"/>
        <w:rPr>
          <w:lang w:val="en-GB"/>
        </w:rPr>
      </w:pPr>
      <w:r>
        <w:rPr>
          <w:rStyle w:val="FootnoteReference"/>
        </w:rPr>
        <w:footnoteRef/>
      </w:r>
      <w:r>
        <w:t xml:space="preserve"> Some </w:t>
      </w:r>
      <w:r w:rsidRPr="004D78E0">
        <w:t xml:space="preserve">Irish papers are subsidiaries of British companies and there may have been some overlap in coverage. </w:t>
      </w:r>
      <w:r w:rsidRPr="000233E2">
        <w:t>Thus, in some instances, Irish media coverage may have been influenced by UK coverage and Irish readers would have been exposed to some of the same stories, or parts thereof.</w:t>
      </w:r>
      <w:r w:rsidRPr="000233E2">
        <w:rPr>
          <w:rFonts w:ascii="Arial" w:hAnsi="Arial" w:cs="Arial"/>
          <w:i/>
        </w:rPr>
        <w:t xml:space="preserve"> </w:t>
      </w:r>
      <w:r w:rsidRPr="004D78E0">
        <w:t>However, this is only likely to be the case in a minority of the sample</w:t>
      </w:r>
      <w:r>
        <w:t xml:space="preserve">. </w:t>
      </w:r>
    </w:p>
  </w:footnote>
  <w:footnote w:id="3">
    <w:p w14:paraId="4959037D" w14:textId="77777777" w:rsidR="00126982" w:rsidRDefault="00126982" w:rsidP="00517F46">
      <w:pPr>
        <w:pStyle w:val="FootnoteText"/>
        <w:spacing w:line="360" w:lineRule="auto"/>
      </w:pPr>
      <w:r>
        <w:rPr>
          <w:rStyle w:val="FootnoteReference"/>
        </w:rPr>
        <w:footnoteRef/>
      </w:r>
      <w:r>
        <w:t xml:space="preserve"> IE = Ireland, UK = United Kingdom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083D1" w14:textId="77777777" w:rsidR="00126982" w:rsidRPr="00EF7FF0" w:rsidRDefault="00126982">
    <w:pPr>
      <w:pStyle w:val="Header"/>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C4480"/>
    <w:multiLevelType w:val="hybridMultilevel"/>
    <w:tmpl w:val="7D965C30"/>
    <w:lvl w:ilvl="0" w:tplc="B56EB126">
      <w:numFmt w:val="bullet"/>
      <w:lvlText w:val="-"/>
      <w:lvlJc w:val="left"/>
      <w:pPr>
        <w:ind w:left="420" w:hanging="360"/>
      </w:pPr>
      <w:rPr>
        <w:rFonts w:ascii="Times New Roman" w:eastAsia="Calibri"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nsid w:val="71400744"/>
    <w:multiLevelType w:val="hybridMultilevel"/>
    <w:tmpl w:val="72A827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26982"/>
    <w:rsid w:val="000652E3"/>
    <w:rsid w:val="00123E12"/>
    <w:rsid w:val="00126982"/>
    <w:rsid w:val="001620E9"/>
    <w:rsid w:val="001E1FD9"/>
    <w:rsid w:val="002D7E64"/>
    <w:rsid w:val="00343DB5"/>
    <w:rsid w:val="004237A6"/>
    <w:rsid w:val="00500F06"/>
    <w:rsid w:val="0054234D"/>
    <w:rsid w:val="00580BEF"/>
    <w:rsid w:val="005A1B6A"/>
    <w:rsid w:val="005C5CB0"/>
    <w:rsid w:val="006B0079"/>
    <w:rsid w:val="006C3CBE"/>
    <w:rsid w:val="008A68F9"/>
    <w:rsid w:val="008B4445"/>
    <w:rsid w:val="009C2DF4"/>
    <w:rsid w:val="00A958D4"/>
    <w:rsid w:val="00B558E1"/>
    <w:rsid w:val="00CB480D"/>
    <w:rsid w:val="00CD5B25"/>
    <w:rsid w:val="00E654B5"/>
    <w:rsid w:val="00EA5541"/>
    <w:rsid w:val="00F10B8C"/>
    <w:rsid w:val="00F406B8"/>
    <w:rsid w:val="00F5234E"/>
    <w:rsid w:val="00FF7D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82"/>
    <w:rPr>
      <w:rFonts w:ascii="Times New Roman" w:hAnsi="Times New Roman" w:cs="Times New Roman"/>
      <w:sz w:val="20"/>
      <w:szCs w:val="20"/>
      <w:lang w:val="en-IE" w:eastAsia="en-IE"/>
    </w:rPr>
  </w:style>
  <w:style w:type="paragraph" w:styleId="Heading3">
    <w:name w:val="heading 3"/>
    <w:basedOn w:val="Normal"/>
    <w:next w:val="Normal"/>
    <w:link w:val="Heading3Char"/>
    <w:uiPriority w:val="9"/>
    <w:unhideWhenUsed/>
    <w:qFormat/>
    <w:rsid w:val="001269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6982"/>
    <w:rPr>
      <w:rFonts w:asciiTheme="majorHAnsi" w:eastAsiaTheme="majorEastAsia" w:hAnsiTheme="majorHAnsi" w:cstheme="majorBidi"/>
      <w:b/>
      <w:bCs/>
      <w:color w:val="4F81BD" w:themeColor="accent1"/>
      <w:sz w:val="20"/>
      <w:szCs w:val="20"/>
      <w:lang w:val="en-IE" w:eastAsia="en-IE"/>
    </w:rPr>
  </w:style>
  <w:style w:type="paragraph" w:styleId="Header">
    <w:name w:val="header"/>
    <w:basedOn w:val="Normal"/>
    <w:link w:val="HeaderChar"/>
    <w:uiPriority w:val="99"/>
    <w:unhideWhenUsed/>
    <w:rsid w:val="00126982"/>
    <w:pPr>
      <w:tabs>
        <w:tab w:val="center" w:pos="4513"/>
        <w:tab w:val="right" w:pos="9026"/>
      </w:tabs>
    </w:pPr>
  </w:style>
  <w:style w:type="character" w:customStyle="1" w:styleId="HeaderChar">
    <w:name w:val="Header Char"/>
    <w:basedOn w:val="DefaultParagraphFont"/>
    <w:link w:val="Header"/>
    <w:uiPriority w:val="99"/>
    <w:rsid w:val="00126982"/>
    <w:rPr>
      <w:rFonts w:ascii="Times New Roman" w:hAnsi="Times New Roman" w:cs="Times New Roman"/>
      <w:sz w:val="20"/>
      <w:szCs w:val="20"/>
      <w:lang w:val="en-IE" w:eastAsia="en-IE"/>
    </w:rPr>
  </w:style>
  <w:style w:type="paragraph" w:styleId="Footer">
    <w:name w:val="footer"/>
    <w:basedOn w:val="Normal"/>
    <w:link w:val="FooterChar"/>
    <w:uiPriority w:val="99"/>
    <w:unhideWhenUsed/>
    <w:rsid w:val="00126982"/>
    <w:pPr>
      <w:tabs>
        <w:tab w:val="center" w:pos="4513"/>
        <w:tab w:val="right" w:pos="9026"/>
      </w:tabs>
    </w:pPr>
  </w:style>
  <w:style w:type="character" w:customStyle="1" w:styleId="FooterChar">
    <w:name w:val="Footer Char"/>
    <w:basedOn w:val="DefaultParagraphFont"/>
    <w:link w:val="Footer"/>
    <w:uiPriority w:val="99"/>
    <w:rsid w:val="00126982"/>
    <w:rPr>
      <w:rFonts w:ascii="Times New Roman" w:hAnsi="Times New Roman" w:cs="Times New Roman"/>
      <w:sz w:val="20"/>
      <w:szCs w:val="20"/>
      <w:lang w:val="en-IE" w:eastAsia="en-IE"/>
    </w:rPr>
  </w:style>
  <w:style w:type="character" w:styleId="Hyperlink">
    <w:name w:val="Hyperlink"/>
    <w:uiPriority w:val="99"/>
    <w:unhideWhenUsed/>
    <w:rsid w:val="00126982"/>
    <w:rPr>
      <w:color w:val="0000FF"/>
      <w:u w:val="single"/>
    </w:rPr>
  </w:style>
  <w:style w:type="paragraph" w:styleId="FootnoteText">
    <w:name w:val="footnote text"/>
    <w:basedOn w:val="Normal"/>
    <w:link w:val="FootnoteTextChar"/>
    <w:uiPriority w:val="99"/>
    <w:semiHidden/>
    <w:unhideWhenUsed/>
    <w:rsid w:val="00126982"/>
  </w:style>
  <w:style w:type="character" w:customStyle="1" w:styleId="FootnoteTextChar">
    <w:name w:val="Footnote Text Char"/>
    <w:basedOn w:val="DefaultParagraphFont"/>
    <w:link w:val="FootnoteText"/>
    <w:uiPriority w:val="99"/>
    <w:semiHidden/>
    <w:rsid w:val="00126982"/>
    <w:rPr>
      <w:rFonts w:ascii="Times New Roman" w:hAnsi="Times New Roman" w:cs="Times New Roman"/>
      <w:sz w:val="20"/>
      <w:szCs w:val="20"/>
      <w:lang w:val="en-IE" w:eastAsia="en-IE"/>
    </w:rPr>
  </w:style>
  <w:style w:type="character" w:styleId="FootnoteReference">
    <w:name w:val="footnote reference"/>
    <w:uiPriority w:val="99"/>
    <w:semiHidden/>
    <w:unhideWhenUsed/>
    <w:rsid w:val="00126982"/>
    <w:rPr>
      <w:vertAlign w:val="superscript"/>
    </w:rPr>
  </w:style>
  <w:style w:type="character" w:styleId="CommentReference">
    <w:name w:val="annotation reference"/>
    <w:uiPriority w:val="99"/>
    <w:semiHidden/>
    <w:unhideWhenUsed/>
    <w:rsid w:val="00126982"/>
    <w:rPr>
      <w:sz w:val="16"/>
      <w:szCs w:val="16"/>
    </w:rPr>
  </w:style>
  <w:style w:type="paragraph" w:styleId="CommentText">
    <w:name w:val="annotation text"/>
    <w:basedOn w:val="Normal"/>
    <w:link w:val="CommentTextChar"/>
    <w:uiPriority w:val="99"/>
    <w:unhideWhenUsed/>
    <w:rsid w:val="00126982"/>
  </w:style>
  <w:style w:type="character" w:customStyle="1" w:styleId="CommentTextChar">
    <w:name w:val="Comment Text Char"/>
    <w:basedOn w:val="DefaultParagraphFont"/>
    <w:link w:val="CommentText"/>
    <w:uiPriority w:val="99"/>
    <w:rsid w:val="00126982"/>
    <w:rPr>
      <w:rFonts w:ascii="Times New Roman" w:hAnsi="Times New Roman" w:cs="Times New Roman"/>
      <w:sz w:val="20"/>
      <w:szCs w:val="20"/>
      <w:lang w:val="en-IE" w:eastAsia="en-IE"/>
    </w:rPr>
  </w:style>
  <w:style w:type="paragraph" w:styleId="CommentSubject">
    <w:name w:val="annotation subject"/>
    <w:basedOn w:val="CommentText"/>
    <w:next w:val="CommentText"/>
    <w:link w:val="CommentSubjectChar"/>
    <w:uiPriority w:val="99"/>
    <w:semiHidden/>
    <w:unhideWhenUsed/>
    <w:rsid w:val="00126982"/>
    <w:rPr>
      <w:b/>
      <w:bCs/>
    </w:rPr>
  </w:style>
  <w:style w:type="character" w:customStyle="1" w:styleId="CommentSubjectChar">
    <w:name w:val="Comment Subject Char"/>
    <w:link w:val="CommentSubject"/>
    <w:uiPriority w:val="99"/>
    <w:semiHidden/>
    <w:rsid w:val="00126982"/>
    <w:rPr>
      <w:rFonts w:ascii="Times New Roman" w:hAnsi="Times New Roman" w:cs="Times New Roman"/>
      <w:b/>
      <w:bCs/>
      <w:sz w:val="20"/>
      <w:szCs w:val="20"/>
      <w:lang w:val="en-IE" w:eastAsia="en-IE"/>
    </w:rPr>
  </w:style>
  <w:style w:type="paragraph" w:styleId="BalloonText">
    <w:name w:val="Balloon Text"/>
    <w:basedOn w:val="Normal"/>
    <w:link w:val="BalloonTextChar"/>
    <w:uiPriority w:val="99"/>
    <w:semiHidden/>
    <w:unhideWhenUsed/>
    <w:rsid w:val="001269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6982"/>
    <w:rPr>
      <w:rFonts w:ascii="Tahoma" w:hAnsi="Tahoma" w:cs="Tahoma"/>
      <w:sz w:val="16"/>
      <w:szCs w:val="16"/>
      <w:lang w:val="en-IE" w:eastAsia="en-IE"/>
    </w:rPr>
  </w:style>
  <w:style w:type="table" w:styleId="TableGrid">
    <w:name w:val="Table Grid"/>
    <w:basedOn w:val="TableNormal"/>
    <w:uiPriority w:val="59"/>
    <w:rsid w:val="00126982"/>
    <w:pPr>
      <w:spacing w:after="0" w:line="240" w:lineRule="auto"/>
    </w:pPr>
    <w:rPr>
      <w:rFonts w:ascii="Times New Roman" w:hAnsi="Times New Roman" w:cs="Times New Roman"/>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6982"/>
    <w:pPr>
      <w:spacing w:after="0" w:line="240" w:lineRule="auto"/>
    </w:pPr>
    <w:rPr>
      <w:rFonts w:ascii="Times New Roman" w:hAnsi="Times New Roman" w:cs="Times New Roman"/>
      <w:sz w:val="20"/>
      <w:szCs w:val="20"/>
      <w:lang w:val="en-IE" w:eastAsia="en-IE"/>
    </w:rPr>
  </w:style>
  <w:style w:type="paragraph" w:customStyle="1" w:styleId="EndNoteBibliographyTitle">
    <w:name w:val="EndNote Bibliography Title"/>
    <w:basedOn w:val="Normal"/>
    <w:link w:val="EndNoteBibliographyTitleChar"/>
    <w:rsid w:val="00126982"/>
    <w:pPr>
      <w:spacing w:after="0"/>
      <w:jc w:val="center"/>
    </w:pPr>
    <w:rPr>
      <w:noProof/>
    </w:rPr>
  </w:style>
  <w:style w:type="character" w:customStyle="1" w:styleId="EndNoteBibliographyTitleChar">
    <w:name w:val="EndNote Bibliography Title Char"/>
    <w:basedOn w:val="DefaultParagraphFont"/>
    <w:link w:val="EndNoteBibliographyTitle"/>
    <w:rsid w:val="00126982"/>
    <w:rPr>
      <w:rFonts w:ascii="Times New Roman" w:hAnsi="Times New Roman" w:cs="Times New Roman"/>
      <w:noProof/>
      <w:sz w:val="20"/>
      <w:szCs w:val="20"/>
      <w:lang w:val="en-IE" w:eastAsia="en-IE"/>
    </w:rPr>
  </w:style>
  <w:style w:type="paragraph" w:customStyle="1" w:styleId="EndNoteBibliography">
    <w:name w:val="EndNote Bibliography"/>
    <w:basedOn w:val="Normal"/>
    <w:link w:val="EndNoteBibliographyChar"/>
    <w:rsid w:val="00126982"/>
    <w:pPr>
      <w:spacing w:line="240" w:lineRule="auto"/>
      <w:jc w:val="center"/>
    </w:pPr>
    <w:rPr>
      <w:noProof/>
    </w:rPr>
  </w:style>
  <w:style w:type="character" w:customStyle="1" w:styleId="EndNoteBibliographyChar">
    <w:name w:val="EndNote Bibliography Char"/>
    <w:basedOn w:val="DefaultParagraphFont"/>
    <w:link w:val="EndNoteBibliography"/>
    <w:rsid w:val="00126982"/>
    <w:rPr>
      <w:rFonts w:ascii="Times New Roman" w:hAnsi="Times New Roman" w:cs="Times New Roman"/>
      <w:noProof/>
      <w:sz w:val="20"/>
      <w:szCs w:val="20"/>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82"/>
    <w:rPr>
      <w:rFonts w:ascii="Times New Roman" w:hAnsi="Times New Roman" w:cs="Times New Roman"/>
      <w:sz w:val="20"/>
      <w:szCs w:val="20"/>
      <w:lang w:val="en-IE" w:eastAsia="en-IE"/>
    </w:rPr>
  </w:style>
  <w:style w:type="paragraph" w:styleId="Heading3">
    <w:name w:val="heading 3"/>
    <w:basedOn w:val="Normal"/>
    <w:next w:val="Normal"/>
    <w:link w:val="Heading3Char"/>
    <w:uiPriority w:val="9"/>
    <w:unhideWhenUsed/>
    <w:qFormat/>
    <w:rsid w:val="001269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6982"/>
    <w:rPr>
      <w:rFonts w:asciiTheme="majorHAnsi" w:eastAsiaTheme="majorEastAsia" w:hAnsiTheme="majorHAnsi" w:cstheme="majorBidi"/>
      <w:b/>
      <w:bCs/>
      <w:color w:val="4F81BD" w:themeColor="accent1"/>
      <w:sz w:val="20"/>
      <w:szCs w:val="20"/>
      <w:lang w:val="en-IE" w:eastAsia="en-IE"/>
    </w:rPr>
  </w:style>
  <w:style w:type="paragraph" w:styleId="Header">
    <w:name w:val="header"/>
    <w:basedOn w:val="Normal"/>
    <w:link w:val="HeaderChar"/>
    <w:uiPriority w:val="99"/>
    <w:unhideWhenUsed/>
    <w:rsid w:val="00126982"/>
    <w:pPr>
      <w:tabs>
        <w:tab w:val="center" w:pos="4513"/>
        <w:tab w:val="right" w:pos="9026"/>
      </w:tabs>
    </w:pPr>
  </w:style>
  <w:style w:type="character" w:customStyle="1" w:styleId="HeaderChar">
    <w:name w:val="Header Char"/>
    <w:basedOn w:val="DefaultParagraphFont"/>
    <w:link w:val="Header"/>
    <w:uiPriority w:val="99"/>
    <w:rsid w:val="00126982"/>
    <w:rPr>
      <w:rFonts w:ascii="Times New Roman" w:hAnsi="Times New Roman" w:cs="Times New Roman"/>
      <w:sz w:val="20"/>
      <w:szCs w:val="20"/>
      <w:lang w:val="en-IE" w:eastAsia="en-IE"/>
    </w:rPr>
  </w:style>
  <w:style w:type="paragraph" w:styleId="Footer">
    <w:name w:val="footer"/>
    <w:basedOn w:val="Normal"/>
    <w:link w:val="FooterChar"/>
    <w:uiPriority w:val="99"/>
    <w:unhideWhenUsed/>
    <w:rsid w:val="00126982"/>
    <w:pPr>
      <w:tabs>
        <w:tab w:val="center" w:pos="4513"/>
        <w:tab w:val="right" w:pos="9026"/>
      </w:tabs>
    </w:pPr>
  </w:style>
  <w:style w:type="character" w:customStyle="1" w:styleId="FooterChar">
    <w:name w:val="Footer Char"/>
    <w:basedOn w:val="DefaultParagraphFont"/>
    <w:link w:val="Footer"/>
    <w:uiPriority w:val="99"/>
    <w:rsid w:val="00126982"/>
    <w:rPr>
      <w:rFonts w:ascii="Times New Roman" w:hAnsi="Times New Roman" w:cs="Times New Roman"/>
      <w:sz w:val="20"/>
      <w:szCs w:val="20"/>
      <w:lang w:val="en-IE" w:eastAsia="en-IE"/>
    </w:rPr>
  </w:style>
  <w:style w:type="character" w:styleId="Hyperlink">
    <w:name w:val="Hyperlink"/>
    <w:uiPriority w:val="99"/>
    <w:unhideWhenUsed/>
    <w:rsid w:val="00126982"/>
    <w:rPr>
      <w:color w:val="0000FF"/>
      <w:u w:val="single"/>
    </w:rPr>
  </w:style>
  <w:style w:type="paragraph" w:styleId="FootnoteText">
    <w:name w:val="footnote text"/>
    <w:basedOn w:val="Normal"/>
    <w:link w:val="FootnoteTextChar"/>
    <w:uiPriority w:val="99"/>
    <w:semiHidden/>
    <w:unhideWhenUsed/>
    <w:rsid w:val="00126982"/>
  </w:style>
  <w:style w:type="character" w:customStyle="1" w:styleId="FootnoteTextChar">
    <w:name w:val="Footnote Text Char"/>
    <w:basedOn w:val="DefaultParagraphFont"/>
    <w:link w:val="FootnoteText"/>
    <w:uiPriority w:val="99"/>
    <w:semiHidden/>
    <w:rsid w:val="00126982"/>
    <w:rPr>
      <w:rFonts w:ascii="Times New Roman" w:hAnsi="Times New Roman" w:cs="Times New Roman"/>
      <w:sz w:val="20"/>
      <w:szCs w:val="20"/>
      <w:lang w:val="en-IE" w:eastAsia="en-IE"/>
    </w:rPr>
  </w:style>
  <w:style w:type="character" w:styleId="FootnoteReference">
    <w:name w:val="footnote reference"/>
    <w:uiPriority w:val="99"/>
    <w:semiHidden/>
    <w:unhideWhenUsed/>
    <w:rsid w:val="00126982"/>
    <w:rPr>
      <w:vertAlign w:val="superscript"/>
    </w:rPr>
  </w:style>
  <w:style w:type="character" w:styleId="CommentReference">
    <w:name w:val="annotation reference"/>
    <w:uiPriority w:val="99"/>
    <w:semiHidden/>
    <w:unhideWhenUsed/>
    <w:rsid w:val="00126982"/>
    <w:rPr>
      <w:sz w:val="16"/>
      <w:szCs w:val="16"/>
    </w:rPr>
  </w:style>
  <w:style w:type="paragraph" w:styleId="CommentText">
    <w:name w:val="annotation text"/>
    <w:basedOn w:val="Normal"/>
    <w:link w:val="CommentTextChar"/>
    <w:uiPriority w:val="99"/>
    <w:unhideWhenUsed/>
    <w:rsid w:val="00126982"/>
  </w:style>
  <w:style w:type="character" w:customStyle="1" w:styleId="CommentTextChar">
    <w:name w:val="Comment Text Char"/>
    <w:basedOn w:val="DefaultParagraphFont"/>
    <w:link w:val="CommentText"/>
    <w:uiPriority w:val="99"/>
    <w:rsid w:val="00126982"/>
    <w:rPr>
      <w:rFonts w:ascii="Times New Roman" w:hAnsi="Times New Roman" w:cs="Times New Roman"/>
      <w:sz w:val="20"/>
      <w:szCs w:val="20"/>
      <w:lang w:val="en-IE" w:eastAsia="en-IE"/>
    </w:rPr>
  </w:style>
  <w:style w:type="paragraph" w:styleId="CommentSubject">
    <w:name w:val="annotation subject"/>
    <w:basedOn w:val="CommentText"/>
    <w:next w:val="CommentText"/>
    <w:link w:val="CommentSubjectChar"/>
    <w:uiPriority w:val="99"/>
    <w:semiHidden/>
    <w:unhideWhenUsed/>
    <w:rsid w:val="00126982"/>
    <w:rPr>
      <w:b/>
      <w:bCs/>
    </w:rPr>
  </w:style>
  <w:style w:type="character" w:customStyle="1" w:styleId="CommentSubjectChar">
    <w:name w:val="Comment Subject Char"/>
    <w:link w:val="CommentSubject"/>
    <w:uiPriority w:val="99"/>
    <w:semiHidden/>
    <w:rsid w:val="00126982"/>
    <w:rPr>
      <w:rFonts w:ascii="Times New Roman" w:hAnsi="Times New Roman" w:cs="Times New Roman"/>
      <w:b/>
      <w:bCs/>
      <w:sz w:val="20"/>
      <w:szCs w:val="20"/>
      <w:lang w:val="en-IE" w:eastAsia="en-IE"/>
    </w:rPr>
  </w:style>
  <w:style w:type="paragraph" w:styleId="BalloonText">
    <w:name w:val="Balloon Text"/>
    <w:basedOn w:val="Normal"/>
    <w:link w:val="BalloonTextChar"/>
    <w:uiPriority w:val="99"/>
    <w:semiHidden/>
    <w:unhideWhenUsed/>
    <w:rsid w:val="001269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6982"/>
    <w:rPr>
      <w:rFonts w:ascii="Tahoma" w:hAnsi="Tahoma" w:cs="Tahoma"/>
      <w:sz w:val="16"/>
      <w:szCs w:val="16"/>
      <w:lang w:val="en-IE" w:eastAsia="en-IE"/>
    </w:rPr>
  </w:style>
  <w:style w:type="table" w:styleId="TableGrid">
    <w:name w:val="Table Grid"/>
    <w:basedOn w:val="TableNormal"/>
    <w:uiPriority w:val="59"/>
    <w:rsid w:val="00126982"/>
    <w:pPr>
      <w:spacing w:after="0" w:line="240" w:lineRule="auto"/>
    </w:pPr>
    <w:rPr>
      <w:rFonts w:ascii="Times New Roman" w:hAnsi="Times New Roman" w:cs="Times New Roman"/>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6982"/>
    <w:pPr>
      <w:spacing w:after="0" w:line="240" w:lineRule="auto"/>
    </w:pPr>
    <w:rPr>
      <w:rFonts w:ascii="Times New Roman" w:hAnsi="Times New Roman" w:cs="Times New Roman"/>
      <w:sz w:val="20"/>
      <w:szCs w:val="20"/>
      <w:lang w:val="en-IE" w:eastAsia="en-IE"/>
    </w:rPr>
  </w:style>
  <w:style w:type="paragraph" w:customStyle="1" w:styleId="EndNoteBibliographyTitle">
    <w:name w:val="EndNote Bibliography Title"/>
    <w:basedOn w:val="Normal"/>
    <w:link w:val="EndNoteBibliographyTitleChar"/>
    <w:rsid w:val="00126982"/>
    <w:pPr>
      <w:spacing w:after="0"/>
      <w:jc w:val="center"/>
    </w:pPr>
    <w:rPr>
      <w:noProof/>
    </w:rPr>
  </w:style>
  <w:style w:type="character" w:customStyle="1" w:styleId="EndNoteBibliographyTitleChar">
    <w:name w:val="EndNote Bibliography Title Char"/>
    <w:basedOn w:val="DefaultParagraphFont"/>
    <w:link w:val="EndNoteBibliographyTitle"/>
    <w:rsid w:val="00126982"/>
    <w:rPr>
      <w:rFonts w:ascii="Times New Roman" w:hAnsi="Times New Roman" w:cs="Times New Roman"/>
      <w:noProof/>
      <w:sz w:val="20"/>
      <w:szCs w:val="20"/>
      <w:lang w:val="en-IE" w:eastAsia="en-IE"/>
    </w:rPr>
  </w:style>
  <w:style w:type="paragraph" w:customStyle="1" w:styleId="EndNoteBibliography">
    <w:name w:val="EndNote Bibliography"/>
    <w:basedOn w:val="Normal"/>
    <w:link w:val="EndNoteBibliographyChar"/>
    <w:rsid w:val="00126982"/>
    <w:pPr>
      <w:spacing w:line="240" w:lineRule="auto"/>
      <w:jc w:val="center"/>
    </w:pPr>
    <w:rPr>
      <w:noProof/>
    </w:rPr>
  </w:style>
  <w:style w:type="character" w:customStyle="1" w:styleId="EndNoteBibliographyChar">
    <w:name w:val="EndNote Bibliography Char"/>
    <w:basedOn w:val="DefaultParagraphFont"/>
    <w:link w:val="EndNoteBibliography"/>
    <w:rsid w:val="00126982"/>
    <w:rPr>
      <w:rFonts w:ascii="Times New Roman" w:hAnsi="Times New Roman" w:cs="Times New Roman"/>
      <w:noProof/>
      <w:sz w:val="20"/>
      <w:szCs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ubrev.2009.01.010" TargetMode="External"/><Relationship Id="rId13" Type="http://schemas.openxmlformats.org/officeDocument/2006/relationships/hyperlink" Target="http://www.jnrs.ie/survey.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ireachtas.ie/documents/committees30thdail/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afefood.eu/Publications/Research-reports/Consumer-Food-Behaviour-" TargetMode="Externa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ai.ie/news_centre/" TargetMode="External"/><Relationship Id="rId5" Type="http://schemas.openxmlformats.org/officeDocument/2006/relationships/webSettings" Target="webSettings.xml"/><Relationship Id="rId15" Type="http://schemas.openxmlformats.org/officeDocument/2006/relationships/hyperlink" Target="http://www.pressgazette.co.uk/node/40210" TargetMode="External"/><Relationship Id="rId10" Type="http://schemas.openxmlformats.org/officeDocument/2006/relationships/hyperlink" Target="http://www.agriculture.gov.ie/media/migration/publications/2009/English%202%20A"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dx.doi.org/10.1016/j.pubrev.2006.09.011" TargetMode="External"/><Relationship Id="rId14" Type="http://schemas.openxmlformats.org/officeDocument/2006/relationships/hyperlink" Target="http://nni.ie/2008-jnrs-readership/"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7725842320463"/>
          <c:y val="3.5053058559067679E-2"/>
          <c:w val="0.87067634960181961"/>
          <c:h val="0.78792002543625039"/>
        </c:manualLayout>
      </c:layout>
      <c:barChart>
        <c:barDir val="col"/>
        <c:grouping val="clustered"/>
        <c:varyColors val="0"/>
        <c:ser>
          <c:idx val="0"/>
          <c:order val="0"/>
          <c:tx>
            <c:strRef>
              <c:f>Sheet1!$A$2</c:f>
              <c:strCache>
                <c:ptCount val="1"/>
                <c:pt idx="0">
                  <c:v>Frequency</c:v>
                </c:pt>
              </c:strCache>
            </c:strRef>
          </c:tx>
          <c:spPr>
            <a:solidFill>
              <a:srgbClr val="808080"/>
            </a:solidFill>
            <a:ln w="12700">
              <a:solidFill>
                <a:srgbClr val="000000"/>
              </a:solidFill>
              <a:prstDash val="solid"/>
            </a:ln>
          </c:spPr>
          <c:invertIfNegative val="0"/>
          <c:cat>
            <c:strRef>
              <c:f>Sheet1!$B$1:$F$1</c:f>
              <c:strCache>
                <c:ptCount val="5"/>
                <c:pt idx="0">
                  <c:v>Industry/Economy </c:v>
                </c:pt>
                <c:pt idx="1">
                  <c:v>Blame/Responsibility</c:v>
                </c:pt>
                <c:pt idx="2">
                  <c:v>Health</c:v>
                </c:pt>
                <c:pt idx="3">
                  <c:v>Consumer Impact</c:v>
                </c:pt>
                <c:pt idx="4">
                  <c:v>Mixed/No Clear message</c:v>
                </c:pt>
              </c:strCache>
            </c:strRef>
          </c:cat>
          <c:val>
            <c:numRef>
              <c:f>Sheet1!$B$2:$F$2</c:f>
              <c:numCache>
                <c:formatCode>General</c:formatCode>
                <c:ptCount val="5"/>
                <c:pt idx="0">
                  <c:v>38</c:v>
                </c:pt>
                <c:pt idx="1">
                  <c:v>37</c:v>
                </c:pt>
                <c:pt idx="2">
                  <c:v>30</c:v>
                </c:pt>
                <c:pt idx="3">
                  <c:v>11</c:v>
                </c:pt>
                <c:pt idx="4">
                  <c:v>25</c:v>
                </c:pt>
              </c:numCache>
            </c:numRef>
          </c:val>
        </c:ser>
        <c:dLbls>
          <c:showLegendKey val="0"/>
          <c:showVal val="0"/>
          <c:showCatName val="0"/>
          <c:showSerName val="0"/>
          <c:showPercent val="0"/>
          <c:showBubbleSize val="0"/>
        </c:dLbls>
        <c:gapWidth val="150"/>
        <c:axId val="238736896"/>
        <c:axId val="241251072"/>
      </c:barChart>
      <c:catAx>
        <c:axId val="238736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nchor="t" anchorCtr="0"/>
          <a:lstStyle/>
          <a:p>
            <a:pPr>
              <a:defRPr sz="1100" b="0" i="0" u="none" strike="noStrike" baseline="0">
                <a:ln>
                  <a:noFill/>
                </a:ln>
                <a:solidFill>
                  <a:schemeClr val="tx1"/>
                </a:solidFill>
                <a:latin typeface="Calibri"/>
                <a:ea typeface="Calibri"/>
                <a:cs typeface="Calibri"/>
              </a:defRPr>
            </a:pPr>
            <a:endParaRPr lang="en-US"/>
          </a:p>
        </c:txPr>
        <c:crossAx val="241251072"/>
        <c:crosses val="autoZero"/>
        <c:auto val="1"/>
        <c:lblAlgn val="ctr"/>
        <c:lblOffset val="100"/>
        <c:tickLblSkip val="1"/>
        <c:tickMarkSkip val="1"/>
        <c:noMultiLvlLbl val="0"/>
      </c:catAx>
      <c:valAx>
        <c:axId val="241251072"/>
        <c:scaling>
          <c:orientation val="minMax"/>
        </c:scaling>
        <c:delete val="0"/>
        <c:axPos val="l"/>
        <c:majorGridlines>
          <c:spPr>
            <a:ln w="12700">
              <a:solidFill>
                <a:srgbClr val="969696"/>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38736896"/>
        <c:crosses val="autoZero"/>
        <c:crossBetween val="between"/>
      </c:valAx>
      <c:spPr>
        <a:solidFill>
          <a:srgbClr val="FFFFFF"/>
        </a:solidFill>
        <a:ln w="12700">
          <a:solidFill>
            <a:srgbClr val="969696"/>
          </a:solidFill>
          <a:prstDash val="solid"/>
        </a:ln>
      </c:spPr>
    </c:plotArea>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60360360360377"/>
          <c:y val="7.8616352201257858E-2"/>
          <c:w val="0.76726726726726657"/>
          <c:h val="0.64779874213836708"/>
        </c:manualLayout>
      </c:layout>
      <c:barChart>
        <c:barDir val="col"/>
        <c:grouping val="clustered"/>
        <c:varyColors val="0"/>
        <c:ser>
          <c:idx val="0"/>
          <c:order val="0"/>
          <c:tx>
            <c:strRef>
              <c:f>Sheet1!$A$2</c:f>
              <c:strCache>
                <c:ptCount val="1"/>
                <c:pt idx="0">
                  <c:v>Ireland</c:v>
                </c:pt>
              </c:strCache>
            </c:strRef>
          </c:tx>
          <c:spPr>
            <a:solidFill>
              <a:srgbClr val="000000"/>
            </a:solidFill>
            <a:ln w="12703">
              <a:solidFill>
                <a:srgbClr val="000000"/>
              </a:solidFill>
              <a:prstDash val="solid"/>
            </a:ln>
          </c:spPr>
          <c:invertIfNegative val="0"/>
          <c:cat>
            <c:strRef>
              <c:f>Sheet1!$B$1:$F$1</c:f>
              <c:strCache>
                <c:ptCount val="5"/>
                <c:pt idx="0">
                  <c:v>Industry / Economy</c:v>
                </c:pt>
                <c:pt idx="1">
                  <c:v>Blame/ Responsibility</c:v>
                </c:pt>
                <c:pt idx="2">
                  <c:v>Health Risk</c:v>
                </c:pt>
                <c:pt idx="3">
                  <c:v>Consumer Impact</c:v>
                </c:pt>
                <c:pt idx="4">
                  <c:v>Mixed/No Clear message</c:v>
                </c:pt>
              </c:strCache>
            </c:strRef>
          </c:cat>
          <c:val>
            <c:numRef>
              <c:f>Sheet1!$B$2:$F$2</c:f>
              <c:numCache>
                <c:formatCode>General</c:formatCode>
                <c:ptCount val="5"/>
                <c:pt idx="0">
                  <c:v>25</c:v>
                </c:pt>
                <c:pt idx="1">
                  <c:v>22</c:v>
                </c:pt>
                <c:pt idx="2">
                  <c:v>13</c:v>
                </c:pt>
                <c:pt idx="3">
                  <c:v>10</c:v>
                </c:pt>
                <c:pt idx="4">
                  <c:v>14</c:v>
                </c:pt>
              </c:numCache>
            </c:numRef>
          </c:val>
        </c:ser>
        <c:ser>
          <c:idx val="1"/>
          <c:order val="1"/>
          <c:tx>
            <c:strRef>
              <c:f>Sheet1!$A$3</c:f>
              <c:strCache>
                <c:ptCount val="1"/>
                <c:pt idx="0">
                  <c:v>UK</c:v>
                </c:pt>
              </c:strCache>
            </c:strRef>
          </c:tx>
          <c:spPr>
            <a:pattFill prst="ltDnDiag">
              <a:fgClr>
                <a:srgbClr val="000000"/>
              </a:fgClr>
              <a:bgClr>
                <a:srgbClr val="FFFFFF"/>
              </a:bgClr>
            </a:pattFill>
            <a:ln w="12703">
              <a:solidFill>
                <a:srgbClr val="000000"/>
              </a:solidFill>
              <a:prstDash val="solid"/>
            </a:ln>
          </c:spPr>
          <c:invertIfNegative val="0"/>
          <c:cat>
            <c:strRef>
              <c:f>Sheet1!$B$1:$F$1</c:f>
              <c:strCache>
                <c:ptCount val="5"/>
                <c:pt idx="0">
                  <c:v>Industry / Economy</c:v>
                </c:pt>
                <c:pt idx="1">
                  <c:v>Blame/ Responsibility</c:v>
                </c:pt>
                <c:pt idx="2">
                  <c:v>Health Risk</c:v>
                </c:pt>
                <c:pt idx="3">
                  <c:v>Consumer Impact</c:v>
                </c:pt>
                <c:pt idx="4">
                  <c:v>Mixed/No Clear message</c:v>
                </c:pt>
              </c:strCache>
            </c:strRef>
          </c:cat>
          <c:val>
            <c:numRef>
              <c:f>Sheet1!$B$3:$F$3</c:f>
              <c:numCache>
                <c:formatCode>General</c:formatCode>
                <c:ptCount val="5"/>
                <c:pt idx="0">
                  <c:v>13</c:v>
                </c:pt>
                <c:pt idx="1">
                  <c:v>15</c:v>
                </c:pt>
                <c:pt idx="2">
                  <c:v>17</c:v>
                </c:pt>
                <c:pt idx="3">
                  <c:v>1</c:v>
                </c:pt>
                <c:pt idx="4">
                  <c:v>11</c:v>
                </c:pt>
              </c:numCache>
            </c:numRef>
          </c:val>
        </c:ser>
        <c:dLbls>
          <c:showLegendKey val="0"/>
          <c:showVal val="0"/>
          <c:showCatName val="0"/>
          <c:showSerName val="0"/>
          <c:showPercent val="0"/>
          <c:showBubbleSize val="0"/>
        </c:dLbls>
        <c:gapWidth val="150"/>
        <c:axId val="199722112"/>
        <c:axId val="199724032"/>
      </c:barChart>
      <c:catAx>
        <c:axId val="199722112"/>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en-IE"/>
                  <a:t>Dominant</a:t>
                </a:r>
                <a:r>
                  <a:rPr lang="en-IE" baseline="0"/>
                  <a:t> messag</a:t>
                </a:r>
                <a:r>
                  <a:rPr lang="en-IE"/>
                  <a:t>e</a:t>
                </a:r>
              </a:p>
            </c:rich>
          </c:tx>
          <c:layout>
            <c:manualLayout>
              <c:xMode val="edge"/>
              <c:yMode val="edge"/>
              <c:x val="0.40845910537037183"/>
              <c:y val="0.87421374959708986"/>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950" b="0" i="0" u="none" strike="noStrike" baseline="0">
                <a:solidFill>
                  <a:srgbClr val="000000"/>
                </a:solidFill>
                <a:latin typeface="Calibri"/>
                <a:ea typeface="Calibri"/>
                <a:cs typeface="Calibri"/>
              </a:defRPr>
            </a:pPr>
            <a:endParaRPr lang="en-US"/>
          </a:p>
        </c:txPr>
        <c:crossAx val="199724032"/>
        <c:crosses val="autoZero"/>
        <c:auto val="1"/>
        <c:lblAlgn val="ctr"/>
        <c:lblOffset val="100"/>
        <c:tickLblSkip val="1"/>
        <c:tickMarkSkip val="1"/>
        <c:noMultiLvlLbl val="0"/>
      </c:catAx>
      <c:valAx>
        <c:axId val="199724032"/>
        <c:scaling>
          <c:orientation val="minMax"/>
        </c:scaling>
        <c:delete val="0"/>
        <c:axPos val="l"/>
        <c:majorGridlines>
          <c:spPr>
            <a:ln w="12703">
              <a:solidFill>
                <a:srgbClr val="C0C0C0"/>
              </a:solidFill>
              <a:prstDash val="solid"/>
            </a:ln>
          </c:spPr>
        </c:majorGridlines>
        <c:title>
          <c:tx>
            <c:rich>
              <a:bodyPr/>
              <a:lstStyle/>
              <a:p>
                <a:pPr>
                  <a:defRPr sz="1200" b="0" i="0" u="none" strike="noStrike" baseline="0">
                    <a:solidFill>
                      <a:srgbClr val="000000"/>
                    </a:solidFill>
                    <a:latin typeface="Calibri"/>
                    <a:ea typeface="Calibri"/>
                    <a:cs typeface="Calibri"/>
                  </a:defRPr>
                </a:pPr>
                <a:r>
                  <a:rPr lang="en-IE"/>
                  <a:t>Frequency</a:t>
                </a:r>
              </a:p>
            </c:rich>
          </c:tx>
          <c:layout>
            <c:manualLayout>
              <c:xMode val="edge"/>
              <c:yMode val="edge"/>
              <c:x val="1.6516516516516522E-2"/>
              <c:y val="0.28930817610062992"/>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en-US"/>
          </a:p>
        </c:txPr>
        <c:crossAx val="199722112"/>
        <c:crosses val="autoZero"/>
        <c:crossBetween val="between"/>
      </c:valAx>
      <c:spPr>
        <a:solidFill>
          <a:srgbClr val="FFFFFF"/>
        </a:solidFill>
        <a:ln w="12703">
          <a:solidFill>
            <a:srgbClr val="808080"/>
          </a:solidFill>
          <a:prstDash val="solid"/>
        </a:ln>
      </c:spPr>
    </c:plotArea>
    <c:legend>
      <c:legendPos val="r"/>
      <c:layout>
        <c:manualLayout>
          <c:xMode val="edge"/>
          <c:yMode val="edge"/>
          <c:x val="0.8903903903903907"/>
          <c:y val="0.29245283018868001"/>
          <c:w val="0.10243486962011746"/>
          <c:h val="0.15408805031446582"/>
        </c:manualLayout>
      </c:layout>
      <c:overlay val="0"/>
      <c:spPr>
        <a:noFill/>
        <a:ln w="3176">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5801</Words>
  <Characters>33070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De Brun</dc:creator>
  <cp:lastModifiedBy>Aoife</cp:lastModifiedBy>
  <cp:revision>17</cp:revision>
  <dcterms:created xsi:type="dcterms:W3CDTF">2016-10-23T10:50:00Z</dcterms:created>
  <dcterms:modified xsi:type="dcterms:W3CDTF">2016-10-23T10:56:00Z</dcterms:modified>
</cp:coreProperties>
</file>