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332F57" w14:textId="1280F6E1" w:rsidR="00472397" w:rsidRPr="00607598" w:rsidRDefault="00383A54" w:rsidP="000C7F33">
      <w:pPr>
        <w:pStyle w:val="Heading1"/>
        <w:jc w:val="both"/>
      </w:pPr>
      <w:r w:rsidRPr="00607598">
        <w:t xml:space="preserve">The DEIS </w:t>
      </w:r>
      <w:r w:rsidR="000C7F33" w:rsidRPr="00607598">
        <w:t>P</w:t>
      </w:r>
      <w:r w:rsidRPr="00607598">
        <w:t>rogramme</w:t>
      </w:r>
      <w:r w:rsidR="000C7F33" w:rsidRPr="00607598">
        <w:t xml:space="preserve"> as a Policy aimed at Combating Educational Disadvantage: Fit for Purpose?</w:t>
      </w:r>
    </w:p>
    <w:p w14:paraId="3DDE805A" w14:textId="1501B169" w:rsidR="00C84391" w:rsidRPr="00607598" w:rsidRDefault="003C0213" w:rsidP="003C0213">
      <w:pPr>
        <w:spacing w:line="360" w:lineRule="auto"/>
        <w:ind w:left="0"/>
        <w:rPr>
          <w:b/>
          <w:bCs/>
        </w:rPr>
      </w:pPr>
      <w:r w:rsidRPr="00607598">
        <w:rPr>
          <w:b/>
          <w:bCs/>
        </w:rPr>
        <w:t>Abstract</w:t>
      </w:r>
    </w:p>
    <w:p w14:paraId="318385CE" w14:textId="14EDC3DE" w:rsidR="00F53408" w:rsidRPr="00607598" w:rsidRDefault="00F53408" w:rsidP="00121690">
      <w:pPr>
        <w:spacing w:before="0" w:after="0" w:line="480" w:lineRule="auto"/>
        <w:ind w:left="0"/>
        <w:rPr>
          <w:rFonts w:cstheme="minorHAnsi"/>
        </w:rPr>
      </w:pPr>
      <w:r w:rsidRPr="00607598">
        <w:t xml:space="preserve">Existing research in the area of educational disadvantage in the Irish context is located either within the historiography of policy in the area or in contemporary macro analysis of dominant trends. </w:t>
      </w:r>
      <w:r w:rsidRPr="00607598">
        <w:rPr>
          <w:rFonts w:cstheme="minorHAnsi"/>
        </w:rPr>
        <w:t>The existing canon of research tells us that prolonged periods of unemployment</w:t>
      </w:r>
      <w:r w:rsidR="00012FA2" w:rsidRPr="00607598">
        <w:rPr>
          <w:rFonts w:cstheme="minorHAnsi"/>
        </w:rPr>
        <w:t xml:space="preserve"> and</w:t>
      </w:r>
      <w:r w:rsidRPr="00607598">
        <w:rPr>
          <w:rFonts w:cstheme="minorHAnsi"/>
        </w:rPr>
        <w:t xml:space="preserve"> poorer health outcomes are features of early school </w:t>
      </w:r>
      <w:r w:rsidR="000E13B9" w:rsidRPr="00607598">
        <w:rPr>
          <w:rFonts w:cstheme="minorHAnsi"/>
        </w:rPr>
        <w:t>leavers that</w:t>
      </w:r>
      <w:r w:rsidRPr="00607598">
        <w:rPr>
          <w:rFonts w:cstheme="minorHAnsi"/>
        </w:rPr>
        <w:t xml:space="preserve"> the educational experience</w:t>
      </w:r>
      <w:r w:rsidRPr="00607598">
        <w:rPr>
          <w:rFonts w:cstheme="minorHAnsi"/>
          <w:strike/>
        </w:rPr>
        <w:t>s</w:t>
      </w:r>
      <w:r w:rsidRPr="00607598">
        <w:rPr>
          <w:rFonts w:cstheme="minorHAnsi"/>
        </w:rPr>
        <w:t xml:space="preserve"> of young people are reflected in their future life trajectories</w:t>
      </w:r>
      <w:r w:rsidR="00323E20" w:rsidRPr="00607598">
        <w:rPr>
          <w:rFonts w:cstheme="minorHAnsi"/>
        </w:rPr>
        <w:t>,</w:t>
      </w:r>
      <w:r w:rsidRPr="00607598">
        <w:rPr>
          <w:rFonts w:cstheme="minorHAnsi"/>
        </w:rPr>
        <w:t xml:space="preserve"> and that inter-generational transmission is common. While broader macro analysis is fundamental in informing policy, context-specific research is also critical in shaping the policy trajectory and policy implementation. This article provides for the first time in Irish post-primary education an in-depth examination of the experience of existing policy in six case study schools, as articulated through the voices of school leaders, teachers, parents and pupils. </w:t>
      </w:r>
      <w:r w:rsidR="00564495" w:rsidRPr="00607598">
        <w:rPr>
          <w:rFonts w:cstheme="minorHAnsi"/>
        </w:rPr>
        <w:t xml:space="preserve">The focus </w:t>
      </w:r>
      <w:r w:rsidR="00241B37" w:rsidRPr="00607598">
        <w:rPr>
          <w:rFonts w:cstheme="minorHAnsi"/>
        </w:rPr>
        <w:t>here</w:t>
      </w:r>
      <w:r w:rsidR="00564495" w:rsidRPr="00607598">
        <w:rPr>
          <w:rFonts w:cstheme="minorHAnsi"/>
        </w:rPr>
        <w:t xml:space="preserve"> is on the adequacy or otherwise of the resources provided under the DEIS </w:t>
      </w:r>
      <w:r w:rsidR="00012FA2" w:rsidRPr="00607598">
        <w:rPr>
          <w:rFonts w:cstheme="minorHAnsi"/>
        </w:rPr>
        <w:t xml:space="preserve">(Delivering Equality of Opportunity in Schools) </w:t>
      </w:r>
      <w:r w:rsidR="00564495" w:rsidRPr="00607598">
        <w:rPr>
          <w:rFonts w:cstheme="minorHAnsi"/>
        </w:rPr>
        <w:t xml:space="preserve">programme in light of the particular challenges those school communities face. Clear evidence emerges that not only are the resources inadequate but that mechanisms are in place </w:t>
      </w:r>
      <w:r w:rsidR="00012FA2" w:rsidRPr="00607598">
        <w:rPr>
          <w:rFonts w:cstheme="minorHAnsi"/>
        </w:rPr>
        <w:t xml:space="preserve">in </w:t>
      </w:r>
      <w:r w:rsidR="00564495" w:rsidRPr="00607598">
        <w:rPr>
          <w:rFonts w:cstheme="minorHAnsi"/>
        </w:rPr>
        <w:t xml:space="preserve">the state’s funding of post-primary schools </w:t>
      </w:r>
      <w:r w:rsidR="00012FA2" w:rsidRPr="00607598">
        <w:rPr>
          <w:rFonts w:cstheme="minorHAnsi"/>
        </w:rPr>
        <w:t>to</w:t>
      </w:r>
      <w:r w:rsidR="00564495" w:rsidRPr="00607598">
        <w:rPr>
          <w:rFonts w:cstheme="minorHAnsi"/>
        </w:rPr>
        <w:t xml:space="preserve"> ensure the </w:t>
      </w:r>
      <w:r w:rsidR="00074E49" w:rsidRPr="00607598">
        <w:rPr>
          <w:rFonts w:cstheme="minorHAnsi"/>
        </w:rPr>
        <w:t xml:space="preserve">perpetuation </w:t>
      </w:r>
      <w:r w:rsidR="00564495" w:rsidRPr="00607598">
        <w:rPr>
          <w:rFonts w:cstheme="minorHAnsi"/>
        </w:rPr>
        <w:t xml:space="preserve">of educational disadvantage.  </w:t>
      </w:r>
    </w:p>
    <w:p w14:paraId="42428A6F" w14:textId="1515DDEE" w:rsidR="00DC0F90" w:rsidRPr="00607598" w:rsidRDefault="003C0213" w:rsidP="00C71378">
      <w:pPr>
        <w:ind w:left="0"/>
        <w:rPr>
          <w:lang w:val="en-US" w:eastAsia="en-GB"/>
        </w:rPr>
      </w:pPr>
      <w:r w:rsidRPr="00607598">
        <w:rPr>
          <w:b/>
          <w:bCs/>
          <w:lang w:val="en-US" w:eastAsia="en-GB"/>
        </w:rPr>
        <w:t>Key Words</w:t>
      </w:r>
      <w:r w:rsidRPr="00607598">
        <w:rPr>
          <w:lang w:val="en-US" w:eastAsia="en-GB"/>
        </w:rPr>
        <w:t>: educational disadvantage, DEIS, post-primary schools, Ireland</w:t>
      </w:r>
      <w:r w:rsidR="00121690" w:rsidRPr="00607598">
        <w:rPr>
          <w:lang w:val="en-US" w:eastAsia="en-GB"/>
        </w:rPr>
        <w:t>, context</w:t>
      </w:r>
      <w:r w:rsidR="00241B37" w:rsidRPr="00607598">
        <w:rPr>
          <w:lang w:val="en-US" w:eastAsia="en-GB"/>
        </w:rPr>
        <w:t>, resources</w:t>
      </w:r>
    </w:p>
    <w:p w14:paraId="6FAAF5F0" w14:textId="0CA9EFED" w:rsidR="00DC0F90" w:rsidRPr="00607598" w:rsidRDefault="00DC0F90" w:rsidP="00B35B74">
      <w:pPr>
        <w:spacing w:before="0" w:after="0"/>
        <w:ind w:left="0"/>
        <w:rPr>
          <w:b/>
          <w:bCs/>
          <w:lang w:val="en-US" w:eastAsia="en-GB"/>
        </w:rPr>
      </w:pPr>
    </w:p>
    <w:p w14:paraId="6E6614C3" w14:textId="77777777" w:rsidR="00DC0F90" w:rsidRPr="00607598" w:rsidRDefault="00DC0F90" w:rsidP="00B35B74">
      <w:pPr>
        <w:spacing w:before="0" w:after="0"/>
        <w:ind w:left="0"/>
        <w:rPr>
          <w:b/>
          <w:bCs/>
          <w:lang w:val="en-US" w:eastAsia="en-GB"/>
        </w:rPr>
      </w:pPr>
    </w:p>
    <w:p w14:paraId="007AEF38" w14:textId="5D37697C" w:rsidR="00467D96" w:rsidRPr="00607598" w:rsidRDefault="001B7B8C" w:rsidP="00121690">
      <w:pPr>
        <w:spacing w:before="0" w:after="0" w:line="480" w:lineRule="auto"/>
        <w:ind w:left="0"/>
        <w:rPr>
          <w:b/>
          <w:bCs/>
        </w:rPr>
      </w:pPr>
      <w:r w:rsidRPr="00607598">
        <w:rPr>
          <w:b/>
          <w:bCs/>
        </w:rPr>
        <w:t>Educational Disadvantage</w:t>
      </w:r>
    </w:p>
    <w:p w14:paraId="2BD01371" w14:textId="444A347D" w:rsidR="003E7D51" w:rsidRPr="00607598" w:rsidRDefault="001B7B8C" w:rsidP="001840DE">
      <w:pPr>
        <w:spacing w:before="0" w:after="0" w:line="480" w:lineRule="auto"/>
        <w:ind w:left="0"/>
        <w:rPr>
          <w:rFonts w:cs="Times New Roman"/>
          <w:szCs w:val="24"/>
        </w:rPr>
      </w:pPr>
      <w:r w:rsidRPr="00607598">
        <w:t>Since the term ‘</w:t>
      </w:r>
      <w:r w:rsidRPr="00607598">
        <w:rPr>
          <w:rFonts w:cstheme="minorHAnsi"/>
        </w:rPr>
        <w:t>educational disadvantage’ entered the policy discourse in Ireland in the early 1990s (DES, 1992), there has been a proliferation of research, at a broad macro level, highlighting the inequities in the existing system</w:t>
      </w:r>
      <w:r w:rsidR="004C7BEF" w:rsidRPr="00607598">
        <w:rPr>
          <w:rFonts w:cstheme="minorHAnsi"/>
        </w:rPr>
        <w:t>,</w:t>
      </w:r>
      <w:r w:rsidRPr="00607598">
        <w:rPr>
          <w:rFonts w:cstheme="minorHAnsi"/>
        </w:rPr>
        <w:t xml:space="preserve"> arguing for a more progressive vision as well </w:t>
      </w:r>
      <w:r w:rsidRPr="00607598">
        <w:rPr>
          <w:rFonts w:cstheme="minorHAnsi"/>
        </w:rPr>
        <w:lastRenderedPageBreak/>
        <w:t>as greater ambition regarding the educational imaginary of pupils attending schools in disadvantaged areas (</w:t>
      </w:r>
      <w:r w:rsidR="004C7BEF" w:rsidRPr="00607598">
        <w:rPr>
          <w:rFonts w:cstheme="minorHAnsi"/>
        </w:rPr>
        <w:t xml:space="preserve">Baker, Lynch, Cantillon and Walsh, 2004; </w:t>
      </w:r>
      <w:r w:rsidRPr="00607598">
        <w:rPr>
          <w:rFonts w:cstheme="minorHAnsi"/>
        </w:rPr>
        <w:t>Lynch and Crean, 2018). The existing canon of research tells us that prolonged periods of unemployment, poorer health outcomes and a higher propensity to be involved in crime are all features of early school leavers (Smyth and McCoy, 2009), that the educational experience</w:t>
      </w:r>
      <w:r w:rsidRPr="00607598">
        <w:rPr>
          <w:rFonts w:cstheme="minorHAnsi"/>
          <w:strike/>
        </w:rPr>
        <w:t>s</w:t>
      </w:r>
      <w:r w:rsidRPr="00607598">
        <w:rPr>
          <w:rFonts w:cstheme="minorHAnsi"/>
        </w:rPr>
        <w:t xml:space="preserve"> of young people are reflected in their future life trajectories (Smyth, 2018)</w:t>
      </w:r>
      <w:r w:rsidR="00FA27F3" w:rsidRPr="00607598">
        <w:rPr>
          <w:rFonts w:cstheme="minorHAnsi"/>
        </w:rPr>
        <w:t xml:space="preserve">, </w:t>
      </w:r>
      <w:r w:rsidRPr="00607598">
        <w:rPr>
          <w:rFonts w:cstheme="minorHAnsi"/>
        </w:rPr>
        <w:t>that inter-generational transmission is common</w:t>
      </w:r>
      <w:r w:rsidR="00FA27F3" w:rsidRPr="00607598">
        <w:rPr>
          <w:rFonts w:cstheme="minorHAnsi"/>
        </w:rPr>
        <w:t xml:space="preserve"> and that investment in </w:t>
      </w:r>
      <w:r w:rsidR="00AF5619" w:rsidRPr="00607598">
        <w:rPr>
          <w:rFonts w:cstheme="minorHAnsi"/>
        </w:rPr>
        <w:t>the early years of education is critical (Frawley, 2014)</w:t>
      </w:r>
      <w:r w:rsidRPr="00607598">
        <w:rPr>
          <w:rFonts w:cstheme="minorHAnsi"/>
        </w:rPr>
        <w:t xml:space="preserve">. </w:t>
      </w:r>
      <w:r w:rsidR="00E1593A" w:rsidRPr="00607598">
        <w:rPr>
          <w:rFonts w:cstheme="minorHAnsi"/>
        </w:rPr>
        <w:t xml:space="preserve">This body of research includes an interrogation of the very use of the term educational disadvantage with some scholars arguing that the deficit language itself perpetuates inequality (Archer and Weir, 2005; Spring, 2007). </w:t>
      </w:r>
      <w:r w:rsidR="00D50FAD" w:rsidRPr="00607598">
        <w:rPr>
          <w:rFonts w:cstheme="minorHAnsi"/>
        </w:rPr>
        <w:t xml:space="preserve">Similarly, </w:t>
      </w:r>
      <w:r w:rsidR="001A730F" w:rsidRPr="00607598">
        <w:rPr>
          <w:rFonts w:cstheme="minorHAnsi"/>
        </w:rPr>
        <w:t>scholars</w:t>
      </w:r>
      <w:r w:rsidR="008B7BE9" w:rsidRPr="00607598">
        <w:rPr>
          <w:rFonts w:cstheme="minorHAnsi"/>
        </w:rPr>
        <w:t>hip</w:t>
      </w:r>
      <w:r w:rsidR="001A730F" w:rsidRPr="00607598">
        <w:rPr>
          <w:rFonts w:cstheme="minorHAnsi"/>
        </w:rPr>
        <w:t xml:space="preserve"> </w:t>
      </w:r>
      <w:r w:rsidR="00DC0F90" w:rsidRPr="00607598">
        <w:rPr>
          <w:rFonts w:cstheme="minorHAnsi"/>
        </w:rPr>
        <w:t>focusse</w:t>
      </w:r>
      <w:r w:rsidR="008B7BE9" w:rsidRPr="00607598">
        <w:rPr>
          <w:rFonts w:cstheme="minorHAnsi"/>
        </w:rPr>
        <w:t>s</w:t>
      </w:r>
      <w:r w:rsidR="00DC0F90" w:rsidRPr="00607598">
        <w:rPr>
          <w:rFonts w:cstheme="minorHAnsi"/>
        </w:rPr>
        <w:t xml:space="preserve"> on</w:t>
      </w:r>
      <w:r w:rsidR="001A730F" w:rsidRPr="00607598">
        <w:rPr>
          <w:rFonts w:cstheme="minorHAnsi"/>
        </w:rPr>
        <w:t xml:space="preserve"> ways in which </w:t>
      </w:r>
      <w:r w:rsidR="00E1593A" w:rsidRPr="00607598">
        <w:rPr>
          <w:rFonts w:cs="Times New Roman"/>
          <w:szCs w:val="24"/>
        </w:rPr>
        <w:t>the education system</w:t>
      </w:r>
      <w:r w:rsidR="00DC0F90" w:rsidRPr="00607598">
        <w:rPr>
          <w:rFonts w:cs="Times New Roman"/>
          <w:szCs w:val="24"/>
        </w:rPr>
        <w:t xml:space="preserve"> more broadly</w:t>
      </w:r>
      <w:r w:rsidR="00E1593A" w:rsidRPr="00607598">
        <w:rPr>
          <w:rFonts w:cs="Times New Roman"/>
          <w:szCs w:val="24"/>
        </w:rPr>
        <w:t xml:space="preserve"> </w:t>
      </w:r>
      <w:r w:rsidR="00E1593A" w:rsidRPr="00607598">
        <w:rPr>
          <w:rFonts w:cs="Times New Roman"/>
          <w:szCs w:val="24"/>
          <w:shd w:val="clear" w:color="auto" w:fill="FFFFFF"/>
        </w:rPr>
        <w:t>propagates and legitimates inequality, reproducing intergenerational advantages for dominant social groups</w:t>
      </w:r>
      <w:r w:rsidR="00E1593A" w:rsidRPr="00607598">
        <w:t xml:space="preserve"> and exposing the close relationships between education, inequality and class (Bourdieu, 1996)</w:t>
      </w:r>
      <w:r w:rsidR="00DC0F90" w:rsidRPr="00607598">
        <w:t>,</w:t>
      </w:r>
      <w:r w:rsidR="00E1593A" w:rsidRPr="00607598">
        <w:t xml:space="preserve"> </w:t>
      </w:r>
      <w:r w:rsidR="00E1593A" w:rsidRPr="00607598">
        <w:rPr>
          <w:rFonts w:cs="Times New Roman"/>
          <w:szCs w:val="24"/>
          <w:shd w:val="clear" w:color="auto" w:fill="FFFFFF"/>
        </w:rPr>
        <w:t xml:space="preserve">a phenomenon which has intensified </w:t>
      </w:r>
      <w:r w:rsidR="00D50FAD" w:rsidRPr="00607598">
        <w:rPr>
          <w:rFonts w:cs="Times New Roman"/>
          <w:szCs w:val="24"/>
          <w:shd w:val="clear" w:color="auto" w:fill="FFFFFF"/>
        </w:rPr>
        <w:t xml:space="preserve">in the Irish context </w:t>
      </w:r>
      <w:r w:rsidR="00E1593A" w:rsidRPr="00607598">
        <w:rPr>
          <w:rFonts w:cs="Times New Roman"/>
          <w:szCs w:val="24"/>
          <w:shd w:val="clear" w:color="auto" w:fill="FFFFFF"/>
        </w:rPr>
        <w:t xml:space="preserve">since the 1970s (Byrne and McCoy, 2017; </w:t>
      </w:r>
      <w:r w:rsidR="002D3A81" w:rsidRPr="00607598">
        <w:rPr>
          <w:rFonts w:cs="Times New Roman"/>
          <w:szCs w:val="24"/>
          <w:shd w:val="clear" w:color="auto" w:fill="FFFFFF"/>
        </w:rPr>
        <w:t>Fleming</w:t>
      </w:r>
      <w:r w:rsidR="00E1593A" w:rsidRPr="00607598">
        <w:rPr>
          <w:rFonts w:cs="Times New Roman"/>
          <w:szCs w:val="24"/>
          <w:shd w:val="clear" w:color="auto" w:fill="FFFFFF"/>
        </w:rPr>
        <w:t xml:space="preserve">, 2016; </w:t>
      </w:r>
      <w:r w:rsidR="002D3A81" w:rsidRPr="00607598">
        <w:rPr>
          <w:rFonts w:cs="Times New Roman"/>
          <w:szCs w:val="24"/>
          <w:shd w:val="clear" w:color="auto" w:fill="FFFFFF"/>
        </w:rPr>
        <w:t>Fleming</w:t>
      </w:r>
      <w:r w:rsidR="00E1593A" w:rsidRPr="00607598">
        <w:rPr>
          <w:rFonts w:cs="Times New Roman"/>
          <w:szCs w:val="24"/>
          <w:shd w:val="clear" w:color="auto" w:fill="FFFFFF"/>
        </w:rPr>
        <w:t xml:space="preserve">, 2018; </w:t>
      </w:r>
      <w:r w:rsidR="002D3A81" w:rsidRPr="00607598">
        <w:rPr>
          <w:rFonts w:cs="Times New Roman"/>
          <w:szCs w:val="24"/>
          <w:shd w:val="clear" w:color="auto" w:fill="FFFFFF"/>
        </w:rPr>
        <w:t>Harford</w:t>
      </w:r>
      <w:r w:rsidR="00E1593A" w:rsidRPr="00607598">
        <w:rPr>
          <w:rFonts w:cs="Times New Roman"/>
          <w:szCs w:val="24"/>
          <w:shd w:val="clear" w:color="auto" w:fill="FFFFFF"/>
        </w:rPr>
        <w:t xml:space="preserve"> and </w:t>
      </w:r>
      <w:r w:rsidR="002D3A81" w:rsidRPr="00607598">
        <w:rPr>
          <w:rFonts w:cs="Times New Roman"/>
          <w:szCs w:val="24"/>
          <w:shd w:val="clear" w:color="auto" w:fill="FFFFFF"/>
        </w:rPr>
        <w:t>Fleming</w:t>
      </w:r>
      <w:r w:rsidR="00E1593A" w:rsidRPr="00607598">
        <w:rPr>
          <w:rFonts w:cs="Times New Roman"/>
          <w:szCs w:val="24"/>
          <w:shd w:val="clear" w:color="auto" w:fill="FFFFFF"/>
        </w:rPr>
        <w:t xml:space="preserve">, 2020; </w:t>
      </w:r>
      <w:r w:rsidR="002D3A81" w:rsidRPr="00607598">
        <w:rPr>
          <w:rFonts w:cs="Times New Roman"/>
          <w:szCs w:val="24"/>
          <w:shd w:val="clear" w:color="auto" w:fill="FFFFFF"/>
        </w:rPr>
        <w:t>Harford</w:t>
      </w:r>
      <w:r w:rsidR="00E1593A" w:rsidRPr="00607598">
        <w:rPr>
          <w:rFonts w:cs="Times New Roman"/>
          <w:szCs w:val="24"/>
          <w:shd w:val="clear" w:color="auto" w:fill="FFFFFF"/>
        </w:rPr>
        <w:t xml:space="preserve">, 2021). </w:t>
      </w:r>
      <w:r w:rsidR="00D50FAD" w:rsidRPr="00607598">
        <w:rPr>
          <w:rFonts w:cs="Times New Roman"/>
          <w:szCs w:val="24"/>
          <w:shd w:val="clear" w:color="auto" w:fill="FFFFFF"/>
        </w:rPr>
        <w:t xml:space="preserve">Implicit in this position is the view that </w:t>
      </w:r>
      <w:r w:rsidR="00E1593A" w:rsidRPr="00607598">
        <w:t xml:space="preserve">the values and norms promoted within the system are those of the middle-classes, shaped by the concerns and needs of middle-class families in their drive to maintain and reproduce their middle-class advantage (Ball, 2003; Reay, 2011), thus reproducing social inequalities by conferring a range of advantages on the already advantaged (Bourdieu and Passeron, 1990). </w:t>
      </w:r>
      <w:r w:rsidR="00D50FAD" w:rsidRPr="00607598">
        <w:t xml:space="preserve">This </w:t>
      </w:r>
      <w:r w:rsidR="001A730F" w:rsidRPr="00607598">
        <w:t>becomes more obvious and pronounced</w:t>
      </w:r>
      <w:r w:rsidR="00E1593A" w:rsidRPr="00607598">
        <w:t xml:space="preserve"> at post-primary level, the focus of this research, </w:t>
      </w:r>
      <w:r w:rsidR="001A730F" w:rsidRPr="00607598">
        <w:t xml:space="preserve">as </w:t>
      </w:r>
      <w:r w:rsidR="00E1593A" w:rsidRPr="00607598">
        <w:t xml:space="preserve">individual students’ social and cultural capitals, along with differences and stratifications in educational institutions, begin to interweave and </w:t>
      </w:r>
      <w:r w:rsidR="001A730F" w:rsidRPr="00607598">
        <w:t>intensify</w:t>
      </w:r>
      <w:r w:rsidR="00E1593A" w:rsidRPr="00607598">
        <w:t>.</w:t>
      </w:r>
      <w:r w:rsidR="001A730F" w:rsidRPr="00607598">
        <w:t xml:space="preserve"> </w:t>
      </w:r>
      <w:r w:rsidR="00DC0F90" w:rsidRPr="00607598">
        <w:t>There is significant evidence to suggest that t</w:t>
      </w:r>
      <w:r w:rsidR="001A730F" w:rsidRPr="00607598">
        <w:t>his</w:t>
      </w:r>
      <w:r w:rsidR="001A730F" w:rsidRPr="00607598">
        <w:rPr>
          <w:rFonts w:cs="Times New Roman"/>
          <w:szCs w:val="24"/>
          <w:shd w:val="clear" w:color="auto" w:fill="FFFFFF"/>
        </w:rPr>
        <w:t xml:space="preserve"> </w:t>
      </w:r>
      <w:r w:rsidR="00521E1C" w:rsidRPr="00607598">
        <w:rPr>
          <w:rFonts w:cs="Times New Roman"/>
          <w:szCs w:val="24"/>
          <w:shd w:val="clear" w:color="auto" w:fill="FFFFFF"/>
        </w:rPr>
        <w:t>process of accelerated disadvantage has been heightened by the advent of ‘hegemonic neoliberal ideals’ in which schools have become classes spaces</w:t>
      </w:r>
      <w:r w:rsidR="008D403F" w:rsidRPr="00607598">
        <w:rPr>
          <w:rFonts w:cs="Times New Roman"/>
          <w:szCs w:val="24"/>
          <w:shd w:val="clear" w:color="auto" w:fill="FFFFFF"/>
        </w:rPr>
        <w:t xml:space="preserve"> </w:t>
      </w:r>
      <w:r w:rsidR="00521E1C" w:rsidRPr="00607598">
        <w:rPr>
          <w:rFonts w:cs="Times New Roman"/>
          <w:szCs w:val="24"/>
          <w:shd w:val="clear" w:color="auto" w:fill="FFFFFF"/>
        </w:rPr>
        <w:t>‘characterised by market ideologies and structural inequality’ (</w:t>
      </w:r>
      <w:r w:rsidR="00BF3539" w:rsidRPr="00607598">
        <w:rPr>
          <w:rFonts w:cs="Times New Roman"/>
          <w:szCs w:val="24"/>
          <w:shd w:val="clear" w:color="auto" w:fill="FFFFFF"/>
        </w:rPr>
        <w:t>Cahill and Hall, 2014, 383).</w:t>
      </w:r>
      <w:r w:rsidR="00BE10A4" w:rsidRPr="00607598">
        <w:rPr>
          <w:rFonts w:cstheme="minorHAnsi"/>
        </w:rPr>
        <w:t xml:space="preserve"> </w:t>
      </w:r>
      <w:r w:rsidRPr="00607598">
        <w:rPr>
          <w:rFonts w:cs="Times New Roman"/>
          <w:szCs w:val="24"/>
        </w:rPr>
        <w:t xml:space="preserve">Scholars also make the point that there is only so much </w:t>
      </w:r>
      <w:r w:rsidRPr="00607598">
        <w:rPr>
          <w:rFonts w:cs="Times New Roman"/>
          <w:szCs w:val="24"/>
        </w:rPr>
        <w:lastRenderedPageBreak/>
        <w:t xml:space="preserve">that schools can do to tackle </w:t>
      </w:r>
      <w:r w:rsidR="00DC0F90" w:rsidRPr="00607598">
        <w:rPr>
          <w:rFonts w:cs="Times New Roman"/>
          <w:szCs w:val="24"/>
        </w:rPr>
        <w:t xml:space="preserve">the complex, wide-reaching and intractable issue of </w:t>
      </w:r>
      <w:r w:rsidRPr="00607598">
        <w:rPr>
          <w:rFonts w:cs="Times New Roman"/>
          <w:szCs w:val="24"/>
        </w:rPr>
        <w:t xml:space="preserve">educational disadvantage and that </w:t>
      </w:r>
      <w:r w:rsidR="00DC0F90" w:rsidRPr="00607598">
        <w:rPr>
          <w:rFonts w:cs="Times New Roman"/>
          <w:szCs w:val="24"/>
        </w:rPr>
        <w:t xml:space="preserve">a more sophisticated understanding of the interplay between educational disadvantage and susceptibility for involvement with child protection and welfare services is urgently required (Flynn, 2020). </w:t>
      </w:r>
    </w:p>
    <w:p w14:paraId="1637588B" w14:textId="77777777" w:rsidR="002123C2" w:rsidRPr="00607598" w:rsidRDefault="002123C2" w:rsidP="002123C2">
      <w:pPr>
        <w:spacing w:before="0" w:after="0"/>
        <w:ind w:left="0"/>
        <w:rPr>
          <w:rFonts w:cs="Times New Roman"/>
          <w:szCs w:val="24"/>
        </w:rPr>
      </w:pPr>
    </w:p>
    <w:p w14:paraId="4591C2FF" w14:textId="64B36789" w:rsidR="001B7B8C" w:rsidRPr="00607598" w:rsidRDefault="003863E2" w:rsidP="00157BEC">
      <w:pPr>
        <w:spacing w:before="0" w:after="0" w:line="480" w:lineRule="auto"/>
        <w:ind w:left="0"/>
        <w:rPr>
          <w:b/>
          <w:bCs/>
          <w:lang w:val="en-US" w:eastAsia="en-GB"/>
        </w:rPr>
      </w:pPr>
      <w:r w:rsidRPr="00607598">
        <w:rPr>
          <w:b/>
          <w:bCs/>
          <w:lang w:val="en-US" w:eastAsia="en-GB"/>
        </w:rPr>
        <w:t>Framing Contextualised Policy</w:t>
      </w:r>
    </w:p>
    <w:p w14:paraId="367A3EF6" w14:textId="6BF4C0F6" w:rsidR="00D47910" w:rsidRPr="00607598" w:rsidRDefault="00543C3E" w:rsidP="00D47910">
      <w:pPr>
        <w:spacing w:before="0" w:after="0" w:line="480" w:lineRule="auto"/>
        <w:ind w:left="0"/>
      </w:pPr>
      <w:r w:rsidRPr="00607598">
        <w:rPr>
          <w:lang w:val="en-US" w:eastAsia="en-GB"/>
        </w:rPr>
        <w:t xml:space="preserve">What happens in schools and classrooms does not occur in the abstract. </w:t>
      </w:r>
      <w:r w:rsidR="00121690" w:rsidRPr="00607598">
        <w:rPr>
          <w:lang w:val="en-US" w:eastAsia="en-GB"/>
        </w:rPr>
        <w:t>Rather, t</w:t>
      </w:r>
      <w:r w:rsidRPr="00607598">
        <w:rPr>
          <w:lang w:val="en-US" w:eastAsia="en-GB"/>
        </w:rPr>
        <w:t>here are layers of context which impact on the work of the individual teacher at classroom level. These exist at global, national</w:t>
      </w:r>
      <w:r w:rsidR="00541198" w:rsidRPr="00607598">
        <w:rPr>
          <w:lang w:val="en-US" w:eastAsia="en-GB"/>
        </w:rPr>
        <w:t xml:space="preserve"> </w:t>
      </w:r>
      <w:r w:rsidRPr="00607598">
        <w:rPr>
          <w:lang w:val="en-US" w:eastAsia="en-GB"/>
        </w:rPr>
        <w:t>and school levels. At global level</w:t>
      </w:r>
      <w:r w:rsidR="00541198" w:rsidRPr="00607598">
        <w:rPr>
          <w:lang w:val="en-US" w:eastAsia="en-GB"/>
        </w:rPr>
        <w:t>, the Global Education Reform Movement (Sahlberg, 2011)</w:t>
      </w:r>
      <w:r w:rsidRPr="00607598">
        <w:rPr>
          <w:lang w:val="en-US" w:eastAsia="en-GB"/>
        </w:rPr>
        <w:t xml:space="preserve"> </w:t>
      </w:r>
      <w:r w:rsidR="00541198" w:rsidRPr="00607598">
        <w:rPr>
          <w:lang w:val="en-US" w:eastAsia="en-GB"/>
        </w:rPr>
        <w:t>exercises dominance in particular through</w:t>
      </w:r>
      <w:r w:rsidRPr="00607598">
        <w:rPr>
          <w:lang w:val="en-US" w:eastAsia="en-GB"/>
        </w:rPr>
        <w:t xml:space="preserve"> the Programme for International Student Assessment (PISA)</w:t>
      </w:r>
      <w:r w:rsidR="002D0D6D" w:rsidRPr="00607598">
        <w:rPr>
          <w:lang w:val="en-US" w:eastAsia="en-GB"/>
        </w:rPr>
        <w:t>.</w:t>
      </w:r>
      <w:r w:rsidR="00D47910" w:rsidRPr="00607598">
        <w:rPr>
          <w:lang w:val="en-US" w:eastAsia="en-GB"/>
        </w:rPr>
        <w:t xml:space="preserve"> </w:t>
      </w:r>
      <w:r w:rsidRPr="00607598">
        <w:rPr>
          <w:lang w:val="en-US" w:eastAsia="en-GB"/>
        </w:rPr>
        <w:t xml:space="preserve">Despite widespread criticism on various grounds </w:t>
      </w:r>
      <w:r w:rsidRPr="00607598">
        <w:rPr>
          <w:lang w:val="en-US" w:eastAsia="en-GB"/>
        </w:rPr>
        <w:fldChar w:fldCharType="begin" w:fldLock="1"/>
      </w:r>
      <w:r w:rsidRPr="00607598">
        <w:rPr>
          <w:lang w:val="en-US" w:eastAsia="en-GB"/>
        </w:rPr>
        <w:instrText>ADDIN CSL_CITATION {"citationItems":[{"id":"ITEM-1","itemData":{"ISSN":"1989-6395","author":[{"dropping-particle":"","family":"MacRuairc","given":"Gerry","non-dropping-particle":"","parse-names":false,"suffix":""}],"container-title":"Profesorado","id":"ITEM-1","issue":"2","issued":{"date-parts":[["2013"]]},"page":"77-91","title":"The PISA girls and ticking the boxes. An examination of students' perspectives on PISA testing","type":"chapter","volume":"17"},"uris":["http://www.mendeley.com/documents/?uuid=a1be6901-63a2-4db8-bfd6-5b282b1e881d"]},{"id":"ITEM-2","itemData":{"DOI":"10.3384/confero.2001-4562.190125","ISSN":"2001-4562","author":[{"dropping-particle":"","family":"Sjöberg","given":"Svein","non-dropping-particle":"","parse-names":false,"suffix":""}],"container-title":"Confero: Essays on Education, Philosophy and Politics","id":"ITEM-2","issue":"1","issued":{"date-parts":[["2019"]]},"page":"12–65","title":"The PISA syndrome - How the OECD has hijacked the way we perceive pupils, schools and education","type":"article-journal","volume":"7"},"uris":["http://www.mendeley.com/documents/?uuid=6f11e7a9-43df-4992-b6f0-ed37bb973082"]},{"id":"ITEM-3","itemData":{"DOI":"10.4324/9781315440521-4","abstract":"This chapter comments on the restricted nature of the data modelling and analysis that underpins PISA, and the resulting interpretations. It points to certain features that raise questions about the provenance of the data collected, the ways in which it is disseminated and the limitations these impose on the interpretations that can be made in terms of international and overtime comparisons. Specifically, it discusses the issue of item translation and selection which PISA addresses through simplistic latent variable, or item response, modelling. It also looks at the ways in which data are provided to users and the technical limitations of this, and finally issues concerned with the legitimacy of causal inferences that have driven educational policy changes. 2","author":[{"dropping-particle":"","family":"Volante","given":"Louis","non-dropping-particle":"","parse-names":false,"suffix":""},{"dropping-particle":"","family":"Goldstein","given":"Harvey","non-dropping-particle":"","parse-names":false,"suffix":""}],"container-title":"The PISA Effect on Global Educational Governance","id":"ITEM-3","issue":"October","issued":{"date-parts":[["2018"]]},"page":"49–58","title":"Measurement and Evaluation Issues With PISA","type":"article-journal"},"uris":["http://www.mendeley.com/documents/?uuid=f95bb1e8-a791-49fc-9f67-94fc761f0119"]},{"id":"ITEM-4","itemData":{"author":[{"dropping-particle":"","family":"Gorur, R &amp; Wu","given":"M","non-dropping-particle":"","parse-names":false,"suffix":""}],"container-title":"Discourse: Studies in the Cultural Politics of Education","id":"ITEM-4","issue":"5","issued":{"date-parts":[["2015"]]},"page":"647–664","title":"Leaning too far: PISA, policy and the 'top five' ambitions","type":"article-journal","volume":"36"},"uris":["http://www.mendeley.com/documents/?uuid=0f966899-b806-4849-bfd9-a17d4e3b2344"]},{"id":"ITEM-5","itemData":{"DOI":"10.1007/s10833-019-09367-x","ISBN":"0123456789","ISSN":"15731812","abstract":"The Programme for International Students Assessment (PISA) has become one of the most influential forces in global education. The growing influence has been accompanied by growing criticism. For nearly two decades since the first round of PISA was conducted in 2000, the global assessment program has been roundly scrutinized and criticized by education researchers all over the world. But the mounting criticism seems to have had little impact on PISA’s influence as evidenced by its growing power in global education policy and practice. The lack of impact of criticism does not mean the criticism is not valid or PISA has improved. It simply means that the criticism has been largely ignored. The lack of impact is no reason to give up exposing PISA as a flawed business that has great power to misguide education. The expanding influence of the PISA enterprise makes it more even more important to be critical of this juggernaut today. It is also important to consider more effective and more straightforward approaches to present the criticism. The purpose of this article is to present a summary of criticisms that reveal the most fundamental flaws of PISA in non-technical language in one place. Specifically, the article focuses on criticisms of PISA’s three fundamental deficiencies: its underlying view of education, its implementation, and its interpretation and impact on education globally.","author":[{"dropping-particle":"","family":"Zhao","given":"Yong","non-dropping-particle":"","parse-names":false,"suffix":""}],"container-title":"Journal of Educational Change","id":"ITEM-5","issue":"2","issued":{"date-parts":[["2020"]]},"page":"245–266","publisher":"Springer Netherlands","title":"Two decades of havoc: A synthesis of criticism against PISA","type":"article-journal","volume":"21"},"uris":["http://www.mendeley.com/documents/?uuid=d837be1b-d8cd-46a0-8c14-19bf9d4ac426"]}],"mendeley":{"formattedCitation":"(Gorur, R &amp; Wu, 2015; Gerry MacRuairc, 2013; Sjöberg, 2019; Volante &amp; Goldstein, 2018; Zhao, 2020)","manualFormatting":"(Gorur &amp; Wu, 2015; MacRuairc, 2013; Sjöberg, 2019; Volante &amp; Goldstein, 2018; Zhao, 2020)","plainTextFormattedCitation":"(Gorur, R &amp; Wu, 2015; Gerry MacRuairc, 2013; Sjöberg, 2019; Volante &amp; Goldstein, 2018; Zhao, 2020)","previouslyFormattedCitation":"(Gorur, R &amp; Wu, 2015; Gerry MacRuairc, 2013; Sjöberg, 2019; Volante &amp; Goldstein, 2018; Zhao, 2020)"},"properties":{"noteIndex":0},"schema":"https://github.com/citation-style-language/schema/raw/master/csl-citation.json"}</w:instrText>
      </w:r>
      <w:r w:rsidRPr="00607598">
        <w:rPr>
          <w:lang w:val="en-US" w:eastAsia="en-GB"/>
        </w:rPr>
        <w:fldChar w:fldCharType="separate"/>
      </w:r>
      <w:r w:rsidRPr="00607598">
        <w:rPr>
          <w:noProof/>
          <w:lang w:val="en-US" w:eastAsia="en-GB"/>
        </w:rPr>
        <w:t>(MacRuairc, 2013; Zhao, 2020)</w:t>
      </w:r>
      <w:r w:rsidRPr="00607598">
        <w:rPr>
          <w:lang w:val="en-US" w:eastAsia="en-GB"/>
        </w:rPr>
        <w:fldChar w:fldCharType="end"/>
      </w:r>
      <w:r w:rsidRPr="00607598">
        <w:rPr>
          <w:lang w:val="en-US" w:eastAsia="en-GB"/>
        </w:rPr>
        <w:t xml:space="preserve">, PISA exercises a very significant influence on policymaking </w:t>
      </w:r>
      <w:r w:rsidR="00C14462" w:rsidRPr="00607598">
        <w:rPr>
          <w:lang w:val="en-US" w:eastAsia="en-GB"/>
        </w:rPr>
        <w:t>in Ireland as indeed internationally</w:t>
      </w:r>
      <w:r w:rsidRPr="00607598">
        <w:rPr>
          <w:lang w:val="en-US" w:eastAsia="en-GB"/>
        </w:rPr>
        <w:t xml:space="preserve"> </w:t>
      </w:r>
      <w:r w:rsidRPr="00607598">
        <w:rPr>
          <w:lang w:val="en-US" w:eastAsia="en-GB"/>
        </w:rPr>
        <w:fldChar w:fldCharType="begin" w:fldLock="1"/>
      </w:r>
      <w:r w:rsidRPr="00607598">
        <w:rPr>
          <w:lang w:val="en-US" w:eastAsia="en-GB"/>
        </w:rPr>
        <w:instrText>ADDIN CSL_CITATION {"citationItems":[{"id":"ITEM-1","itemData":{"author":[{"dropping-particle":"","family":"Grek","given":"S","non-dropping-particle":"","parse-names":false,"suffix":""}],"container-title":"Journal of Education Policy","id":"ITEM-1","issue":"10","issued":{"date-parts":[["2009"]]},"page":"23–37","title":"Governing by Numbers: The PISA effect in Europe","type":"article-journal","volume":"24"},"uris":["http://www.mendeley.com/documents/?uuid=7be50eb0-32ee-4053-be24-316143000835"]},{"id":"ITEM-2","itemData":{"DOI":"10.1080/01596306.2014.899833","ISBN":"9781873927960","ISSN":"14693739","author":[{"dropping-particle":"","family":"Lewis","given":"Steven","non-dropping-particle":"","parse-names":false,"suffix":""}],"container-title":"Discourse","id":"ITEM-2","issue":"2","issued":{"date-parts":[["2014"]]},"page":"317–327","title":"The OECD, PISA and educational governance: A call to critical engagement","type":"article-journal","volume":"35"},"uris":["http://www.mendeley.com/documents/?uuid=a53687f1-ac3b-4de2-bcac-e07da5aed860"]},{"id":"ITEM-3","itemData":{"author":[{"dropping-particle":"","family":"Sellar, S &amp; Lingard","given":"B","non-dropping-particle":"","parse-names":false,"suffix":""}],"id":"ITEM-3","issued":{"date-parts":[["0"]]},"title":"Looking East: Shanghai, Pisa, 2009 and the reconstitution of reference societies in the global education policy fiels","type":"article-journal"},"uris":["http://www.mendeley.com/documents/?uuid=d7abf0ac-a49e-4a34-b8d9-6f8e9d5cbe82"]},{"id":"ITEM-4","itemData":{"author":[{"dropping-particle":"","family":"Biesta","given":"G","non-dropping-particle":"","parse-names":false,"suffix":""}],"container-title":"Ethics and Education","id":"ITEM-4","issue":"3","issued":{"date-parts":[["2016"]]},"page":"348–360.","title":"Symposium: Educational Goals and the PISA assessments","type":"article-journal","volume":"10"},"uris":["http://www.mendeley.com/documents/?uuid=416b8ddc-e63a-4b6b-8b3a-078647453d50"]},{"id":"ITEM-5","itemData":{"author":[{"dropping-particle":"","family":"Sahlberg","given":"Pasi","non-dropping-particle":"","parse-names":false,"suffix":""}],"container-title":"Flip the system: Changing schools from the ground up","editor":[{"dropping-particle":"","family":"Evers, J &amp; Kynber","given":"R","non-dropping-particle":"","parse-names":false,"suffix":""}],"id":"ITEM-5","issued":{"date-parts":[["2015"]]},"page":"162–173","publisher":"Routledge","title":"Finnish schools and the global education reform movement","type":"chapter"},"uris":["http://www.mendeley.com/documents/?uuid=95452057-7b24-4826-a41e-e4043b3f93be"]},{"id":"ITEM-6","itemData":{"author":[{"dropping-particle":"","family":"Auld, E, Rappleye, J &amp; Morris","given":"P","non-dropping-particle":"","parse-names":false,"suffix":""}],"container-title":"Comparative Education","id":"ITEM-6","issue":"2","issued":{"date-parts":[["2019"]]},"page":"197–219","title":"PISA for development: how the OECD and the World Bank shaped education governance post-2015","type":"article-journal","volume":"55"},"uris":["http://www.mendeley.com/documents/?uuid=d18336c0-3f46-4610-8d2c-a8d4cc8e810c"]}],"mendeley":{"formattedCitation":"(Auld, E, Rappleye, J &amp; Morris, 2019; Biesta, 2016; Grek, 2009; Lewis, 2014; Sahlberg, 2015; Sellar, S &amp; Lingard, n.d.)","manualFormatting":"(Auld, Rappleye &amp; Morris, 2019; Biesta, 2015; Grek, 2009; Lewis, 2014; Sahlberg, 2015; Sellar, &amp; Lingard, 2013)","plainTextFormattedCitation":"(Auld, E, Rappleye, J &amp; Morris, 2019; Biesta, 2016; Grek, 2009; Lewis, 2014; Sahlberg, 2015; Sellar, S &amp; Lingard, n.d.)","previouslyFormattedCitation":"(Auld, E, Rappleye, J &amp; Morris, 2019; Biesta, 2016; Grek, 2009; Lewis, 2014; Sahlberg, 2015; Sellar, S &amp; Lingard, n.d.)"},"properties":{"noteIndex":0},"schema":"https://github.com/citation-style-language/schema/raw/master/csl-citation.json"}</w:instrText>
      </w:r>
      <w:r w:rsidRPr="00607598">
        <w:rPr>
          <w:lang w:val="en-US" w:eastAsia="en-GB"/>
        </w:rPr>
        <w:fldChar w:fldCharType="separate"/>
      </w:r>
      <w:r w:rsidRPr="00607598">
        <w:rPr>
          <w:noProof/>
          <w:lang w:val="en-US" w:eastAsia="en-GB"/>
        </w:rPr>
        <w:t xml:space="preserve">(Auld, Rappleye </w:t>
      </w:r>
      <w:r w:rsidR="00F102E6" w:rsidRPr="00607598">
        <w:rPr>
          <w:noProof/>
          <w:lang w:val="en-US" w:eastAsia="en-GB"/>
        </w:rPr>
        <w:t>and</w:t>
      </w:r>
      <w:r w:rsidRPr="00607598">
        <w:rPr>
          <w:noProof/>
          <w:lang w:val="en-US" w:eastAsia="en-GB"/>
        </w:rPr>
        <w:t xml:space="preserve"> Morris, 2019; Biesta, 2015; Grek, 2009; Sellar, </w:t>
      </w:r>
      <w:r w:rsidR="00F102E6" w:rsidRPr="00607598">
        <w:rPr>
          <w:noProof/>
          <w:lang w:val="en-US" w:eastAsia="en-GB"/>
        </w:rPr>
        <w:t>and</w:t>
      </w:r>
      <w:r w:rsidRPr="00607598">
        <w:rPr>
          <w:noProof/>
          <w:lang w:val="en-US" w:eastAsia="en-GB"/>
        </w:rPr>
        <w:t xml:space="preserve"> Lingard, 2013)</w:t>
      </w:r>
      <w:r w:rsidRPr="00607598">
        <w:rPr>
          <w:lang w:val="en-US" w:eastAsia="en-GB"/>
        </w:rPr>
        <w:fldChar w:fldCharType="end"/>
      </w:r>
      <w:r w:rsidRPr="00607598">
        <w:rPr>
          <w:lang w:val="en-US" w:eastAsia="en-GB"/>
        </w:rPr>
        <w:t xml:space="preserve">. There is </w:t>
      </w:r>
      <w:r w:rsidR="000037E2" w:rsidRPr="00607598">
        <w:rPr>
          <w:lang w:val="en-US" w:eastAsia="en-GB"/>
        </w:rPr>
        <w:t xml:space="preserve">a </w:t>
      </w:r>
      <w:r w:rsidRPr="00607598">
        <w:rPr>
          <w:lang w:val="en-US" w:eastAsia="en-GB"/>
        </w:rPr>
        <w:t xml:space="preserve">tendency for authorities to ‘borrow’ policy and implement initiatives which have proved successful elsewhere without due consideration of national contextual factors </w:t>
      </w:r>
      <w:r w:rsidRPr="00607598">
        <w:rPr>
          <w:lang w:val="en-US" w:eastAsia="en-GB"/>
        </w:rPr>
        <w:fldChar w:fldCharType="begin" w:fldLock="1"/>
      </w:r>
      <w:r w:rsidRPr="00607598">
        <w:rPr>
          <w:lang w:val="en-US" w:eastAsia="en-GB"/>
        </w:rPr>
        <w:instrText>ADDIN CSL_CITATION {"citationItems":[{"id":"ITEM-1","itemData":{"author":[{"dropping-particle":"","family":"Luke","given":"A","non-dropping-particle":"","parse-names":false,"suffix":""}],"container-title":"Educational Researcher","id":"ITEM-1","issue":"8","issued":{"date-parts":[["2011"]]},"page":"367–377","title":"Generalising across borders: Policy and the limits of Educational Science","type":"article-journal","volume":"40"},"uris":["http://www.mendeley.com/documents/?uuid=6b9e2f03-13c6-44b2-ae2b-ee3a71fac1e0"]},{"id":"ITEM-2","itemData":{"author":[{"dropping-particle":"","family":"Auld, E &amp; Morris","given":"P","non-dropping-particle":"","parse-names":false,"suffix":""}],"container-title":"Comparative Education","id":"ITEM-2","issue":"2","issued":{"date-parts":[["2014"]]},"page":"129–155","title":"Comparative education, the 'new paradigm' and policy borrowing: Constructing knowledge for educational reform","type":"article-journal","volume":"50"},"uris":["http://www.mendeley.com/documents/?uuid=9cdbd4da-e177-4406-94d7-abb0cdba6d95"]},{"id":"ITEM-3","itemData":{"author":[{"dropping-particle":"","family":"Alexander","given":"Robin","non-dropping-particle":"","parse-names":false,"suffix":""}],"container-title":"Scottish Educational Review","id":"ITEM-3","issue":"1","issued":{"date-parts":[["2012"]]},"page":"4–21","title":"Moral panic , miracle cures and educational policy : what can we really learn from international comparison ? . White Rose Research Online URL for this paper : Version : Published Version Article : Alexander , Robin John ( 201","type":"article-journal","volume":"44"},"uris":["http://www.mendeley.com/documents/?uuid=d15a9c3d-e8ee-4842-99a6-18e07e48519f"]},{"id":"ITEM-4","itemData":{"DOI":"10.1080/00071005.2010.520669","ISSN":"00071005","abstract":"An enduring concern for educational policy in many affluent countries is the endemic nature of educational inequalities that are predominately located in poor urban contexts. Given the inabilities of school reform per se to deal with these inequalities, the paper focuses on issues of scarcity and spatial processes that are implicated in the formation of young people's educational identities - identities that then mediate the conversion of educational resources into educational attainments or achievements. © 2011 Copyright Society for Educational Studies.","author":[{"dropping-particle":"","family":"Raffo","given":"Carlo","non-dropping-particle":"","parse-names":false,"suffix":""}],"container-title":"British Journal of Educational Studies","id":"ITEM-4","issue":"1","issued":{"date-parts":[["2011"]]},"page":"1-19","title":"Educational Equity in Poor Urban Contexts - Exploring Issues of Place/Space and Young People's Identity and Agency","type":"article-journal","volume":"59"},"uris":["http://www.mendeley.com/documents/?uuid=34aba67c-60a8-4e95-9c71-040131de3b1d"]},{"id":"ITEM-5","itemData":{"DOI":"10.1080/13632434.2017.1368864","ISSN":"13632434","author":[{"dropping-particle":"","family":"Harris","given":"Alma","non-dropping-particle":"","parse-names":false,"suffix":""},{"dropping-particle":"","family":"Jones","given":"Michelle","non-dropping-particle":"","parse-names":false,"suffix":""}],"container-title":"School Leadership and Management","id":"ITEM-5","issue":"5","issued":{"date-parts":[["2017"]]},"page":"431–433","publisher":"Taylor &amp; Francis","title":"Leading in context: putting international comparisons into perspective","type":"article-journal","volume":"37"},"uris":["http://www.mendeley.com/documents/?uuid=a5e48e23-b7a8-45b8-bcbe-bc6f385ca204"]}],"mendeley":{"formattedCitation":"(Alexander, 2012; Auld, E &amp; Morris, 2014; Harris &amp; Jones, 2017; Luke, 2011; Raffo, 2011)","manualFormatting":"(Alexander, 2012; Auld &amp; Morris, 2014;  Harris &amp; Jones, 2017; Luke, 2011; Raffo, 2011)","plainTextFormattedCitation":"(Alexander, 2012; Auld, E &amp; Morris, 2014; Harris &amp; Jones, 2017; Luke, 2011; Raffo, 2011)","previouslyFormattedCitation":"(Alexander, 2012; Auld, E &amp; Morris, 2014; Harris &amp; Jones, 2017; Luke, 2011; Raffo, 2011)"},"properties":{"noteIndex":0},"schema":"https://github.com/citation-style-language/schema/raw/master/csl-citation.json"}</w:instrText>
      </w:r>
      <w:r w:rsidRPr="00607598">
        <w:rPr>
          <w:lang w:val="en-US" w:eastAsia="en-GB"/>
        </w:rPr>
        <w:fldChar w:fldCharType="separate"/>
      </w:r>
      <w:r w:rsidRPr="00607598">
        <w:rPr>
          <w:noProof/>
          <w:lang w:val="en-US" w:eastAsia="en-GB"/>
        </w:rPr>
        <w:t xml:space="preserve">(Auld </w:t>
      </w:r>
      <w:r w:rsidR="00F102E6" w:rsidRPr="00607598">
        <w:rPr>
          <w:noProof/>
          <w:lang w:val="en-US" w:eastAsia="en-GB"/>
        </w:rPr>
        <w:t>and</w:t>
      </w:r>
      <w:r w:rsidRPr="00607598">
        <w:rPr>
          <w:noProof/>
          <w:lang w:val="en-US" w:eastAsia="en-GB"/>
        </w:rPr>
        <w:t xml:space="preserve"> Morris, 2014)</w:t>
      </w:r>
      <w:r w:rsidRPr="00607598">
        <w:rPr>
          <w:lang w:val="en-US" w:eastAsia="en-GB"/>
        </w:rPr>
        <w:fldChar w:fldCharType="end"/>
      </w:r>
      <w:r w:rsidRPr="00607598">
        <w:rPr>
          <w:lang w:val="en-US" w:eastAsia="en-GB"/>
        </w:rPr>
        <w:t xml:space="preserve">. Indeed, for historical reasons, Ireland may be more susceptible than most jurisdictions to this influence </w:t>
      </w:r>
      <w:r w:rsidRPr="00607598">
        <w:rPr>
          <w:lang w:val="en-US" w:eastAsia="en-GB"/>
        </w:rPr>
        <w:fldChar w:fldCharType="begin" w:fldLock="1"/>
      </w:r>
      <w:r w:rsidRPr="00607598">
        <w:rPr>
          <w:lang w:val="en-US" w:eastAsia="en-GB"/>
        </w:rPr>
        <w:instrText>ADDIN CSL_CITATION {"citationItems":[{"id":"ITEM-1","itemData":{"author":[{"dropping-particle":"","family":"Fleming","given":"Brian","non-dropping-particle":"","parse-names":false,"suffix":""}],"id":"ITEM-1","issued":{"date-parts":[["2016"]]},"publisher":"Mynchen's Field Press","title":"Irish Education, 1922-2007: Cherising All the Children?","type":"book"},"uris":["http://www.mendeley.com/documents/?uuid=d8ba0f6f-5b07-4ee3-8d5d-4c8ee29e3782"]}],"mendeley":{"formattedCitation":"(Fleming, 2016)","plainTextFormattedCitation":"(Fleming, 2016)","previouslyFormattedCitation":"(Fleming, 2016)"},"properties":{"noteIndex":0},"schema":"https://github.com/citation-style-language/schema/raw/master/csl-citation.json"}</w:instrText>
      </w:r>
      <w:r w:rsidRPr="00607598">
        <w:rPr>
          <w:lang w:val="en-US" w:eastAsia="en-GB"/>
        </w:rPr>
        <w:fldChar w:fldCharType="separate"/>
      </w:r>
      <w:r w:rsidRPr="00607598">
        <w:rPr>
          <w:noProof/>
          <w:lang w:val="en-US" w:eastAsia="en-GB"/>
        </w:rPr>
        <w:t>(</w:t>
      </w:r>
      <w:r w:rsidR="002D3A81" w:rsidRPr="00607598">
        <w:rPr>
          <w:noProof/>
          <w:lang w:val="en-US" w:eastAsia="en-GB"/>
        </w:rPr>
        <w:t>Fleming</w:t>
      </w:r>
      <w:r w:rsidRPr="00607598">
        <w:rPr>
          <w:noProof/>
          <w:lang w:val="en-US" w:eastAsia="en-GB"/>
        </w:rPr>
        <w:t>, 2016)</w:t>
      </w:r>
      <w:r w:rsidRPr="00607598">
        <w:rPr>
          <w:lang w:val="en-US" w:eastAsia="en-GB"/>
        </w:rPr>
        <w:fldChar w:fldCharType="end"/>
      </w:r>
      <w:r w:rsidR="00121690" w:rsidRPr="00607598">
        <w:rPr>
          <w:lang w:val="en-US" w:eastAsia="en-GB"/>
        </w:rPr>
        <w:t xml:space="preserve">. </w:t>
      </w:r>
      <w:r w:rsidRPr="00607598">
        <w:rPr>
          <w:lang w:val="en-US" w:eastAsia="en-GB"/>
        </w:rPr>
        <w:t xml:space="preserve">Another factor </w:t>
      </w:r>
      <w:r w:rsidR="00121690" w:rsidRPr="00607598">
        <w:rPr>
          <w:lang w:val="en-US" w:eastAsia="en-GB"/>
        </w:rPr>
        <w:t xml:space="preserve">which impacts the day-to-day running of schools </w:t>
      </w:r>
      <w:r w:rsidRPr="00607598">
        <w:rPr>
          <w:lang w:val="en-US" w:eastAsia="en-GB"/>
        </w:rPr>
        <w:t xml:space="preserve">is the growth in the New Public Management approach to accountability in education and in other parts of the public service. </w:t>
      </w:r>
      <w:r w:rsidR="00121690" w:rsidRPr="00607598">
        <w:rPr>
          <w:lang w:val="en-US" w:eastAsia="en-GB"/>
        </w:rPr>
        <w:t xml:space="preserve">A focus on </w:t>
      </w:r>
      <w:r w:rsidRPr="00607598">
        <w:rPr>
          <w:lang w:val="en-US" w:eastAsia="en-GB"/>
        </w:rPr>
        <w:t xml:space="preserve">‘performativity’ </w:t>
      </w:r>
      <w:r w:rsidR="00121690" w:rsidRPr="00607598">
        <w:rPr>
          <w:lang w:val="en-US" w:eastAsia="en-GB"/>
        </w:rPr>
        <w:t>‘</w:t>
      </w:r>
      <w:r w:rsidRPr="00607598">
        <w:t>requires individual practitioners to organise themselves as a response to targets, indicators, and evaluators; to set aside personal beliefs and commitments and live an existence of calculation</w:t>
      </w:r>
      <w:r w:rsidR="00851706" w:rsidRPr="00607598">
        <w:t>’</w:t>
      </w:r>
      <w:r w:rsidRPr="00607598">
        <w:t xml:space="preserve"> </w:t>
      </w:r>
      <w:r w:rsidRPr="00607598">
        <w:fldChar w:fldCharType="begin" w:fldLock="1"/>
      </w:r>
      <w:r w:rsidRPr="00607598">
        <w:instrText>ADDIN CSL_CITATION {"citationItems":[{"id":"ITEM-1","itemData":{"DOI":"10.1080/0268093022000043065","ISSN":"02680939","abstract":"This paper is the latest in a short series on the origins, processes and effects of performativity in the public sector. Performativity, it is argued, is a new mode of state regulation which makes it possible to govern in an 'advanced liberal' way. It requires individual practitioners to organize themselves as a response to targets, indicators and evaluations. To set aside personal beliefs and commitments and live an existence of calculation. The new performative worker is a promiscuous self, an enterprising self, with a passion for excellence. For some, this is an opportunity to make a success of themselves, for others it portends inner conflicts, inauthenticity and resistance. It is also suggested that performativity produces opacity rather than transparency as individuals and organizations take ever greater care in the construction and maintenance of fabrications.","author":[{"dropping-particle":"","family":"Ball","given":"Stephen J.","non-dropping-particle":"","parse-names":false,"suffix":""}],"container-title":"Journal of Education Policy","id":"ITEM-1","issue":"2","issued":{"date-parts":[["2003"]]},"page":"215–228","title":"The teacher's soul and the terrors of performativity","type":"article-journal","volume":"18"},"uris":["http://www.mendeley.com/documents/?uuid=3acfb62f-71f9-4403-a880-19bbffa764ee"]}],"mendeley":{"formattedCitation":"(Ball, 2003)","manualFormatting":"(Ball, 2003, p. 215)","plainTextFormattedCitation":"(Ball, 2003)","previouslyFormattedCitation":"(Ball, 2003)"},"properties":{"noteIndex":0},"schema":"https://github.com/citation-style-language/schema/raw/master/csl-citation.json"}</w:instrText>
      </w:r>
      <w:r w:rsidRPr="00607598">
        <w:fldChar w:fldCharType="separate"/>
      </w:r>
      <w:r w:rsidRPr="00607598">
        <w:rPr>
          <w:noProof/>
        </w:rPr>
        <w:t>(Ball, 2003, p. 215)</w:t>
      </w:r>
      <w:r w:rsidRPr="00607598">
        <w:fldChar w:fldCharType="end"/>
      </w:r>
      <w:r w:rsidR="00121690" w:rsidRPr="00607598">
        <w:rPr>
          <w:rFonts w:cs="Times New Roman"/>
          <w:szCs w:val="24"/>
        </w:rPr>
        <w:t xml:space="preserve">. </w:t>
      </w:r>
      <w:r w:rsidRPr="00607598">
        <w:t xml:space="preserve">What has </w:t>
      </w:r>
      <w:r w:rsidR="00121690" w:rsidRPr="00607598">
        <w:t xml:space="preserve">thus </w:t>
      </w:r>
      <w:r w:rsidRPr="00607598">
        <w:t xml:space="preserve">emerged is a largely de-contextualised approach to policymaking in which factors such as poverty and disadvantage are side-lined </w:t>
      </w:r>
      <w:r w:rsidRPr="00607598">
        <w:fldChar w:fldCharType="begin" w:fldLock="1"/>
      </w:r>
      <w:r w:rsidRPr="00607598">
        <w:instrText>ADDIN CSL_CITATION {"citationItems":[{"id":"ITEM-1","itemData":{"ISSN":"0310-8767","author":[{"dropping-particle":"","family":"Thrupp","given":"Martin","non-dropping-particle":"","parse-names":false,"suffix":""}],"id":"ITEM-1","issue":"2","issued":{"date-parts":[["2018"]]},"page":"92–100","title":"A socially contextualised approach to professional learning for school leaders","type":"article-journal","volume":"24"},"uris":["http://www.mendeley.com/documents/?uuid=a56beb97-9625-386e-86b1-9fd2cd9b37d9"]}],"mendeley":{"formattedCitation":"(Thrupp, 2018b)","manualFormatting":"(Thrupp, 2018)","plainTextFormattedCitation":"(Thrupp, 2018b)","previouslyFormattedCitation":"(Thrupp, 2018b)"},"properties":{"noteIndex":0},"schema":"https://github.com/citation-style-language/schema/raw/master/csl-citation.json"}</w:instrText>
      </w:r>
      <w:r w:rsidRPr="00607598">
        <w:fldChar w:fldCharType="separate"/>
      </w:r>
      <w:r w:rsidRPr="00607598">
        <w:rPr>
          <w:noProof/>
        </w:rPr>
        <w:t>(Thrupp, 2018)</w:t>
      </w:r>
      <w:r w:rsidRPr="00607598">
        <w:fldChar w:fldCharType="end"/>
      </w:r>
      <w:r w:rsidRPr="00607598">
        <w:t xml:space="preserve">. Scholars have described </w:t>
      </w:r>
      <w:r w:rsidR="00121690" w:rsidRPr="00607598">
        <w:t xml:space="preserve">this </w:t>
      </w:r>
      <w:r w:rsidR="00012FA2" w:rsidRPr="00607598">
        <w:t>approach</w:t>
      </w:r>
      <w:r w:rsidRPr="00607598">
        <w:t xml:space="preserve"> as policy as data </w:t>
      </w:r>
      <w:r w:rsidRPr="00607598">
        <w:fldChar w:fldCharType="begin" w:fldLock="1"/>
      </w:r>
      <w:r w:rsidRPr="00607598">
        <w:instrText>ADDIN CSL_CITATION {"citationItems":[{"id":"ITEM-1","itemData":{"DOI":"10.1080/02680930902733121","ISSN":"02680939","abstract":"This paper explores the relationship between changing forms of the governance of education and the growth and uses of data in the context of England - a context that can be described as the most 'advanced' in Europe in terms of data production and use. The paper links the shifting relations between the central department of education (variously known between the 1980s and the time of writing as the Department of Education and Science [DES], Department for Education and Skills [DfES] and the Department for Children, Schools and Families [DCSF]), the local education authorities and the schools to the growth and development of data-based systems of inspection and performance management, and suggests that the massive growth of data has unbalanced the relations of governing and created highly centralised system steering. Recent attempts to 'rebalance' steering through 'intelligent accountability' invoke network principles and self-regulation through self-evaluation, and thus give the appearance of deregulation, but the centre maintains control through its management and use of data, and local government remains peripheral.","author":[{"dropping-particle":"","family":"Ozga","given":"Jenny","non-dropping-particle":"","parse-names":false,"suffix":""}],"container-title":"Journal of Education Policy","id":"ITEM-1","issue":"2","issued":{"date-parts":[["2009"]]},"page":"149–162","title":"Governing education through data in England: From regulation to self-evaluation","type":"article-journal","volume":"24"},"uris":["http://www.mendeley.com/documents/?uuid=133caca0-7d2e-467a-91cd-870b3b0a9c9c"]},{"id":"ITEM-2","itemData":{"DOI":"10.1080/0305764X.2018.1441373","ISSN":"14693577","abstract":"This paper explores how data-driven practices and logics have come to reshape the possibilities by which the teaching profession, and teaching professionals, can be known and valued. Informed by the literature and theorising around educational performativity, the constitutive power of numbers, and affective responses to data, it shows how different US educators experienced, and came to embody, new forms of numbers-based accountability. Drawing on interviews with teachers, and school- and district-level leaders, as well as relevant school-based documents, it is argued that such data are now both effective (i.e. they change ‘what counts’ within the profession) and affective (i.e. they produce new expectations for teachers to profess data-responsive dispositions over actual educative practices). This prevalence and use of data have combined not only to change teaching into a ‘data profession’, but also to change teachers into ‘professors’ of data.","author":[{"dropping-particle":"","family":"Lewis","given":"Steven","non-dropping-particle":"","parse-names":false,"suffix":""},{"dropping-particle":"","family":"Holloway","given":"Jessica","non-dropping-particle":"","parse-names":false,"suffix":""}],"container-title":"Cambridge Journal of Education","id":"ITEM-2","issue":"1","issued":{"date-parts":[["2019"]]},"page":"35–51","publisher":"Routledge","title":"Datafying the teaching ‘profession’: remaking the professional teacher in the image of data","type":"article-journal","volume":"49"},"uris":["http://www.mendeley.com/documents/?uuid=deaeafa9-d15f-4aa9-8267-6b118974e78f"]}],"mendeley":{"formattedCitation":"(Lewis &amp; Holloway, 2019; Ozga, 2009)","plainTextFormattedCitation":"(Lewis &amp; Holloway, 2019; Ozga, 2009)","previouslyFormattedCitation":"(Lewis &amp; Holloway, 2019; Ozga, 2009)"},"properties":{"noteIndex":0},"schema":"https://github.com/citation-style-language/schema/raw/master/csl-citation.json"}</w:instrText>
      </w:r>
      <w:r w:rsidRPr="00607598">
        <w:fldChar w:fldCharType="separate"/>
      </w:r>
      <w:r w:rsidRPr="00607598">
        <w:rPr>
          <w:noProof/>
        </w:rPr>
        <w:t xml:space="preserve">(Lewis </w:t>
      </w:r>
      <w:r w:rsidR="00B80485" w:rsidRPr="00607598">
        <w:rPr>
          <w:noProof/>
        </w:rPr>
        <w:t>and</w:t>
      </w:r>
      <w:r w:rsidRPr="00607598">
        <w:rPr>
          <w:noProof/>
        </w:rPr>
        <w:t xml:space="preserve"> Holloway, 2019; Ozga, 2009)</w:t>
      </w:r>
      <w:r w:rsidRPr="00607598">
        <w:fldChar w:fldCharType="end"/>
      </w:r>
      <w:r w:rsidRPr="00607598">
        <w:t xml:space="preserve"> and as a mode of governance </w:t>
      </w:r>
      <w:r w:rsidRPr="00607598">
        <w:fldChar w:fldCharType="begin" w:fldLock="1"/>
      </w:r>
      <w:r w:rsidRPr="00607598">
        <w:instrText>ADDIN CSL_CITATION {"citationItems":[{"id":"ITEM-1","itemData":{"DOI":"10.4324/9780203961995","ISBN":"0203961994","author":[{"dropping-particle":"","family":"Nóvoa","given":"António","non-dropping-particle":"","parse-names":false,"suffix":""},{"dropping-particle":"","family":"Yariv-mashal","given":"Tali","non-dropping-particle":"","parse-names":false,"suffix":""}],"container-title":"Changing Educational Contexts, Issues and Identities: 40 Years of Comparative Education","id":"ITEM-1","issued":{"date-parts":[["2006","11","22"]]},"page":"350-369","publisher":"Routledge Taylor &amp; Francis Group","title":"Comparative research in education: A mode of governance or a historical journey?","type":"chapter"},"uris":["http://www.mendeley.com/documents/?uuid=ab141c4e-636f-3f87-ad15-32ddf173a8e1"]},{"id":"ITEM-2","itemData":{"DOI":"10.1080/02680939.2015.1013271","ISSN":"14645106","author":[{"dropping-particle":"","family":"Ball","given":"Stephen J.","non-dropping-particle":"","parse-names":false,"suffix":""}],"container-title":"Journal of Education Policy","id":"ITEM-2","issue":"3","issued":{"date-parts":[["2015"]]},"page":"299–301","publisher":"Routledge","title":"Education, governance and the tyranny of numbers","type":"article-journal","volume":"30"},"uris":["http://www.mendeley.com/documents/?uuid=a384dc51-ff18-46d0-9bc8-6fc3285f025d"]}],"mendeley":{"formattedCitation":"(Ball, 2015; Nóvoa &amp; Yariv-mashal, 2006)","manualFormatting":"(Ball, 2015; Nóvoa &amp; Yariv-Mashal, 2006)","plainTextFormattedCitation":"(Ball, 2015; Nóvoa &amp; Yariv-mashal, 2006)","previouslyFormattedCitation":"(Ball, 2015; Nóvoa &amp; Yariv-mashal, 2006)"},"properties":{"noteIndex":0},"schema":"https://github.com/citation-style-language/schema/raw/master/csl-citation.json"}</w:instrText>
      </w:r>
      <w:r w:rsidRPr="00607598">
        <w:fldChar w:fldCharType="separate"/>
      </w:r>
      <w:r w:rsidRPr="00607598">
        <w:rPr>
          <w:noProof/>
        </w:rPr>
        <w:t>(Ball, 2015)</w:t>
      </w:r>
      <w:r w:rsidRPr="00607598">
        <w:fldChar w:fldCharType="end"/>
      </w:r>
      <w:r w:rsidRPr="00607598">
        <w:t xml:space="preserve">. </w:t>
      </w:r>
      <w:r w:rsidR="00121690" w:rsidRPr="00607598">
        <w:t xml:space="preserve">Despite the </w:t>
      </w:r>
      <w:r w:rsidR="00446E2A" w:rsidRPr="00607598">
        <w:t xml:space="preserve">extensive body of research </w:t>
      </w:r>
      <w:r w:rsidRPr="00607598">
        <w:t xml:space="preserve">on the damaging effects of NPM </w:t>
      </w:r>
      <w:r w:rsidR="00446E2A" w:rsidRPr="00607598">
        <w:t>on</w:t>
      </w:r>
      <w:r w:rsidRPr="00607598">
        <w:t xml:space="preserve"> schools and the teaching profession generally, </w:t>
      </w:r>
      <w:r w:rsidR="00446E2A" w:rsidRPr="00607598">
        <w:lastRenderedPageBreak/>
        <w:t>(</w:t>
      </w:r>
      <w:r w:rsidR="00446E2A" w:rsidRPr="00607598">
        <w:rPr>
          <w:noProof/>
        </w:rPr>
        <w:t xml:space="preserve">Braun </w:t>
      </w:r>
      <w:r w:rsidR="00B80485" w:rsidRPr="00607598">
        <w:rPr>
          <w:noProof/>
        </w:rPr>
        <w:t>and</w:t>
      </w:r>
      <w:r w:rsidR="00446E2A" w:rsidRPr="00607598">
        <w:rPr>
          <w:noProof/>
        </w:rPr>
        <w:t xml:space="preserve"> Maguire, 2020; </w:t>
      </w:r>
      <w:r w:rsidRPr="00607598">
        <w:fldChar w:fldCharType="begin" w:fldLock="1"/>
      </w:r>
      <w:r w:rsidRPr="00607598">
        <w:instrText>ADDIN CSL_CITATION {"citationItems":[{"id":"ITEM-1","itemData":{"DOI":"10.1080/0305764022000024195","ISSN":"14693577","abstract":"Public sector reform in the field of education has been ongoing and relentless. Whether in the UK, Europe, the USA or Australasia, there has been an expectation that the education 'industry' can be managed in the same way as any other commercial enterprise with an emphasis upon forms of accountability which require less and less professional judgment on the part of practitioners. In this article we examine the growth of the 'audit society' and its consequences for professional practice in education. We indicate that there are two responses to bureaucratic surveillance: to act as an entrepreneurial professional or as an activist professional. We argue that the latter is achievable when trust is reinstated through the community of professional practice itself. We illustrate our case using issues surrounding the establishment of professional standards for teachers and we develop strategies for activist professionalism in education. © 2002, Taylor &amp; Francis Group, LLC.","author":[{"dropping-particle":"","family":"Groundwater-Smith","given":"Susan","non-dropping-particle":"","parse-names":false,"suffix":""},{"dropping-particle":"","family":"Sachs","given":"Judyth","non-dropping-particle":"","parse-names":false,"suffix":""}],"container-title":"Cambridge Journal of Education","id":"ITEM-1","issue":"3","issued":{"date-parts":[["2002"]]},"page":"341-358","title":"The activist professional and the reinstatement of trust","type":"article-journal","volume":"32"},"uris":["http://www.mendeley.com/documents/?uuid=7b05295e-1892-32ef-b677-c8f1a33afeaf"]}],"mendeley":{"formattedCitation":"(Groundwater-Smith &amp; Sachs, 2002)","manualFormatting":"Groundwater-Smith &amp; Sachs (2002)","plainTextFormattedCitation":"(Groundwater-Smith &amp; Sachs, 2002)","previouslyFormattedCitation":"(Groundwater-Smith &amp; Sachs, 2002)"},"properties":{"noteIndex":0},"schema":"https://github.com/citation-style-language/schema/raw/master/csl-citation.json"}</w:instrText>
      </w:r>
      <w:r w:rsidRPr="00607598">
        <w:fldChar w:fldCharType="separate"/>
      </w:r>
      <w:r w:rsidRPr="00607598">
        <w:rPr>
          <w:noProof/>
        </w:rPr>
        <w:t>Groundwater-Smith &amp; Sachs</w:t>
      </w:r>
      <w:r w:rsidR="00446E2A" w:rsidRPr="00607598">
        <w:rPr>
          <w:noProof/>
        </w:rPr>
        <w:t xml:space="preserve">, </w:t>
      </w:r>
      <w:r w:rsidRPr="00607598">
        <w:rPr>
          <w:noProof/>
        </w:rPr>
        <w:t>2002</w:t>
      </w:r>
      <w:r w:rsidR="00446E2A" w:rsidRPr="00607598">
        <w:rPr>
          <w:noProof/>
        </w:rPr>
        <w:t>; Skerritt, 2020; Sugrue, 2018</w:t>
      </w:r>
      <w:r w:rsidRPr="00607598">
        <w:rPr>
          <w:noProof/>
        </w:rPr>
        <w:t>)</w:t>
      </w:r>
      <w:r w:rsidRPr="00607598">
        <w:fldChar w:fldCharType="end"/>
      </w:r>
      <w:r w:rsidR="00446E2A" w:rsidRPr="00607598">
        <w:t xml:space="preserve">, </w:t>
      </w:r>
      <w:r w:rsidRPr="00607598">
        <w:t xml:space="preserve">this is the accountability agenda </w:t>
      </w:r>
      <w:r w:rsidR="00446E2A" w:rsidRPr="00607598">
        <w:t xml:space="preserve">adopted by </w:t>
      </w:r>
      <w:r w:rsidRPr="00607598">
        <w:t>the Irish inspectorate</w:t>
      </w:r>
      <w:r w:rsidR="00446E2A" w:rsidRPr="00607598">
        <w:t xml:space="preserve"> under the guise of </w:t>
      </w:r>
      <w:r w:rsidRPr="00607598">
        <w:t xml:space="preserve"> school self-evaluation</w:t>
      </w:r>
      <w:r w:rsidR="00C14462" w:rsidRPr="00607598">
        <w:t>,</w:t>
      </w:r>
      <w:r w:rsidRPr="00607598">
        <w:t xml:space="preserve"> which it manifestly is not </w:t>
      </w:r>
      <w:r w:rsidRPr="00607598">
        <w:fldChar w:fldCharType="begin" w:fldLock="1"/>
      </w:r>
      <w:r w:rsidRPr="00607598">
        <w:instrText>ADDIN CSL_CITATION {"citationItems":[{"id":"ITEM-1","itemData":{"DOI":"10.1080/00071005.2016.1164829","ISSN":"14678527","abstract":"Self-evaluation in inspection policy has become a global phenomenon. The idea is that it increases levels of teacher and school autonomy, wherein both schools and teachers have more ownership and responsibility over their work. In turn, such a process has allowed for greater accountability, which is then said to provide high quality education and, therefore, greater competitive advantage amongst knowledge-based economies. In both England and Ireland, self-evaluation has become a demanding procedure that is meant to complement external inspections of schools and teachers. In this article, I will argue that self-evaluation, whilst having the potential to become a worthwhile endeavour, does not live up to its name. In the first instance, the criteria used for self-evaluation are not internally generated but externally imposed. Thus, I would like to discuss the extent to which visions of ‘good’ or ‘bad’ education developed by inspecting bodies influence the way in which teachers and schools assess themselves. Furthermore, I will raise questions as to what appropriate criteria for teaching might look like. In doing so, I shall try to show that what is now current is a debased form of self-evaluation that is not only detrimental to the self-perception of teachers, but inadequate to what any coherent notion of the ‘self’ might be. In light of work by the philosopher Charles Taylor in particular, I will argue that the self is not something that can be examined in the way that is imagined in these inspection systems but is rather something dynamic and unfixed, constituted within a wider community of practice and, therefore, not amenable to evaluation in quite the way that is supposed.","author":[{"dropping-particle":"","family":"Brady","given":"Alison M.","non-dropping-particle":"","parse-names":false,"suffix":""}],"container-title":"British Journal of Educational Studies","id":"ITEM-1","issue":"4","issued":{"date-parts":[["2016"]]},"page":"523–541","publisher":"Routledge","title":"The Regime of Self-Evaluation: Self-Conception for Teachers and Schools","type":"article-journal","volume":"64"},"uris":["http://www.mendeley.com/documents/?uuid=dec7f081-a21f-42a1-a167-687d431baa91"]}],"mendeley":{"formattedCitation":"(Brady, 2016)","plainTextFormattedCitation":"(Brady, 2016)","previouslyFormattedCitation":"(Brady, 2016)"},"properties":{"noteIndex":0},"schema":"https://github.com/citation-style-language/schema/raw/master/csl-citation.json"}</w:instrText>
      </w:r>
      <w:r w:rsidRPr="00607598">
        <w:fldChar w:fldCharType="separate"/>
      </w:r>
      <w:r w:rsidRPr="00607598">
        <w:rPr>
          <w:noProof/>
        </w:rPr>
        <w:t>(Brady, 2016)</w:t>
      </w:r>
      <w:r w:rsidRPr="00607598">
        <w:fldChar w:fldCharType="end"/>
      </w:r>
      <w:r w:rsidRPr="00607598">
        <w:t>.</w:t>
      </w:r>
    </w:p>
    <w:p w14:paraId="6CCD7617" w14:textId="381FE8B1" w:rsidR="00981B32" w:rsidRPr="00607598" w:rsidRDefault="00981B32" w:rsidP="00D47910">
      <w:pPr>
        <w:spacing w:before="0" w:after="0" w:line="480" w:lineRule="auto"/>
        <w:ind w:left="0" w:firstLine="720"/>
        <w:rPr>
          <w:lang w:val="en-US" w:eastAsia="en-GB"/>
        </w:rPr>
      </w:pPr>
      <w:r w:rsidRPr="00607598">
        <w:rPr>
          <w:lang w:val="en-US" w:eastAsia="en-GB"/>
        </w:rPr>
        <w:t xml:space="preserve">A feature of the early studies of effective schools is that they focused on those seen to be effective, identified the relevant characteristics and then sought to transfer them to those in need of improvement </w:t>
      </w:r>
      <w:r w:rsidRPr="00607598">
        <w:rPr>
          <w:lang w:val="en-US" w:eastAsia="en-GB"/>
        </w:rPr>
        <w:fldChar w:fldCharType="begin" w:fldLock="1"/>
      </w:r>
      <w:r w:rsidRPr="00607598">
        <w:rPr>
          <w:lang w:val="en-US" w:eastAsia="en-GB"/>
        </w:rPr>
        <w:instrText>ADDIN CSL_CITATION {"citationItems":[{"id":"ITEM-1","itemData":{"author":[{"dropping-particle":"","family":"Hopkins","given":"David","non-dropping-particle":"","parse-names":false,"suffix":""}],"id":"ITEM-1","issued":{"date-parts":[["2001"]]},"publisher":"Routledge Falmer","title":"School Improvement for Real","type":"book"},"uris":["http://www.mendeley.com/documents/?uuid=1905ad7d-11e8-485b-b2ec-2dd7e30e9e2b"]}],"mendeley":{"formattedCitation":"(Hopkins, 2001)","plainTextFormattedCitation":"(Hopkins, 2001)","previouslyFormattedCitation":"(Hopkins, 2001)"},"properties":{"noteIndex":0},"schema":"https://github.com/citation-style-language/schema/raw/master/csl-citation.json"}</w:instrText>
      </w:r>
      <w:r w:rsidRPr="00607598">
        <w:rPr>
          <w:lang w:val="en-US" w:eastAsia="en-GB"/>
        </w:rPr>
        <w:fldChar w:fldCharType="separate"/>
      </w:r>
      <w:r w:rsidRPr="00607598">
        <w:rPr>
          <w:noProof/>
          <w:lang w:val="en-US" w:eastAsia="en-GB"/>
        </w:rPr>
        <w:t>(Hopkins, 2001)</w:t>
      </w:r>
      <w:r w:rsidRPr="00607598">
        <w:rPr>
          <w:lang w:val="en-US" w:eastAsia="en-GB"/>
        </w:rPr>
        <w:fldChar w:fldCharType="end"/>
      </w:r>
      <w:r w:rsidRPr="00607598">
        <w:rPr>
          <w:lang w:val="en-US" w:eastAsia="en-GB"/>
        </w:rPr>
        <w:t xml:space="preserve">. It seems that the reason scholars were </w:t>
      </w:r>
      <w:r w:rsidR="00E734B4" w:rsidRPr="00607598">
        <w:rPr>
          <w:lang w:val="en-US" w:eastAsia="en-GB"/>
        </w:rPr>
        <w:t xml:space="preserve">relatively </w:t>
      </w:r>
      <w:r w:rsidRPr="00607598">
        <w:rPr>
          <w:lang w:val="en-US" w:eastAsia="en-GB"/>
        </w:rPr>
        <w:t xml:space="preserve">slow to consider the ‘underachieving’ school was the complexity of the factors at play </w:t>
      </w:r>
      <w:r w:rsidRPr="00607598">
        <w:rPr>
          <w:lang w:val="en-US" w:eastAsia="en-GB"/>
        </w:rPr>
        <w:fldChar w:fldCharType="begin" w:fldLock="1"/>
      </w:r>
      <w:r w:rsidRPr="00607598">
        <w:rPr>
          <w:lang w:val="en-US" w:eastAsia="en-GB"/>
        </w:rPr>
        <w:instrText>ADDIN CSL_CITATION {"citationItems":[{"id":"ITEM-1","itemData":{"DOI":"10.1111/j.1467-8527.2004.00276.x","ISSN":"00071005","abstract":"This article focuses on 'improving' schools in difficult or disadvantaged contexts. It explores the contemporary policy discourse and intervention strategies aimed at improving schools in such circumstances. It argues that contemporary approaches to improvement are unlikely to succeed because the approaches adopted are not sufficiently differentiated or context specific. Drawing on two recent empirical studies, the article offers an alternative perspective on school improvement within this group of schools. It argues against standardised solutions in favour of a differentiated approach to school improvement that recognises and respects the diversity, variability and complexity of schools in difficult contexts.","author":[{"dropping-particle":"","family":"Harris","given":"Alma","non-dropping-particle":"","parse-names":false,"suffix":""},{"dropping-particle":"","family":"Chapman","given":"Christopher","non-dropping-particle":"","parse-names":false,"suffix":""}],"container-title":"British Journal of Educational Studies","id":"ITEM-1","issue":"4","issued":{"date-parts":[["2004"]]},"page":"417–431","title":"Improving schools in difficult contexts: Towards a differentiated approach","type":"article-journal","volume":"52"},"uris":["http://www.mendeley.com/documents/?uuid=aab80e8b-527f-4328-8520-044822b790e2"]}],"mendeley":{"formattedCitation":"(Harris &amp; Chapman, 2004)","plainTextFormattedCitation":"(Harris &amp; Chapman, 2004)","previouslyFormattedCitation":"(Harris &amp; Chapman, 2004)"},"properties":{"noteIndex":0},"schema":"https://github.com/citation-style-language/schema/raw/master/csl-citation.json"}</w:instrText>
      </w:r>
      <w:r w:rsidRPr="00607598">
        <w:rPr>
          <w:lang w:val="en-US" w:eastAsia="en-GB"/>
        </w:rPr>
        <w:fldChar w:fldCharType="separate"/>
      </w:r>
      <w:r w:rsidRPr="00607598">
        <w:rPr>
          <w:noProof/>
          <w:lang w:val="en-US" w:eastAsia="en-GB"/>
        </w:rPr>
        <w:t>(Harris &amp; Chapman, 2004)</w:t>
      </w:r>
      <w:r w:rsidRPr="00607598">
        <w:rPr>
          <w:lang w:val="en-US" w:eastAsia="en-GB"/>
        </w:rPr>
        <w:fldChar w:fldCharType="end"/>
      </w:r>
      <w:r w:rsidRPr="00607598">
        <w:rPr>
          <w:lang w:val="en-US" w:eastAsia="en-GB"/>
        </w:rPr>
        <w:t xml:space="preserve">, </w:t>
      </w:r>
      <w:r w:rsidR="00395666" w:rsidRPr="00607598">
        <w:rPr>
          <w:lang w:val="en-US" w:eastAsia="en-GB"/>
        </w:rPr>
        <w:t>al</w:t>
      </w:r>
      <w:r w:rsidRPr="00607598">
        <w:rPr>
          <w:lang w:val="en-US" w:eastAsia="en-GB"/>
        </w:rPr>
        <w:t xml:space="preserve">though there were exceptions </w:t>
      </w:r>
      <w:r w:rsidRPr="00607598">
        <w:rPr>
          <w:lang w:val="en-US" w:eastAsia="en-GB"/>
        </w:rPr>
        <w:fldChar w:fldCharType="begin" w:fldLock="1"/>
      </w:r>
      <w:r w:rsidRPr="00607598">
        <w:rPr>
          <w:lang w:val="en-US" w:eastAsia="en-GB"/>
        </w:rPr>
        <w:instrText>ADDIN CSL_CITATION {"citationItems":[{"id":"ITEM-1","itemData":{"author":[{"dropping-particle":"","family":"Mortimore, P &amp; Whitty","given":"G","non-dropping-particle":"","parse-names":false,"suffix":""}],"id":"ITEM-1","issued":{"date-parts":[["1997"]]},"publisher":"Institute of Education","title":"Can School improvement Overcome the Effects of Disadvantage?","type":"book"},"uris":["http://www.mendeley.com/documents/?uuid=1f005194-96ba-450c-bc7e-8e42b4a65f0b"]},{"id":"ITEM-2","itemData":{"author":[{"dropping-particle":"","family":"Stoll. L &amp; Myers","given":"K","non-dropping-particle":"","parse-names":false,"suffix":""}],"id":"ITEM-2","issued":{"date-parts":[["1998"]]},"publisher":"Falmer Press","title":"No Quick Fixes: Perspectives on Schools in Difficulty","type":"book"},"uris":["http://www.mendeley.com/documents/?uuid=4d4bd8bc-4776-4c6f-b5a8-ed3e9f81d01d"]},{"id":"ITEM-3","itemData":{"author":[{"dropping-particle":"","family":"Maden","given":"M","non-dropping-particle":"","parse-names":false,"suffix":""}],"id":"ITEM-3","issued":{"date-parts":[["2001"]]},"publisher":"Routledge","title":"Success against the Odds: Five Years on","type":"book"},"uris":["http://www.mendeley.com/documents/?uuid=d7421ed7-dbee-4090-8f80-cad6fc05d93b"]}],"mendeley":{"formattedCitation":"(Maden, 2001; Mortimore, P &amp; Whitty, 1997; Stoll. L &amp; Myers, 1998)","manualFormatting":"(for example, Maden, 2001; Mortimore, &amp; Whitty, 1997; Stoll &amp; Myers, 1998)","plainTextFormattedCitation":"(Maden, 2001; Mortimore, P &amp; Whitty, 1997; Stoll. L &amp; Myers, 1998)","previouslyFormattedCitation":"(Maden, 2001; Mortimore, P &amp; Whitty, 1997; Stoll. L &amp; Myers, 1998)"},"properties":{"noteIndex":0},"schema":"https://github.com/citation-style-language/schema/raw/master/csl-citation.json"}</w:instrText>
      </w:r>
      <w:r w:rsidRPr="00607598">
        <w:rPr>
          <w:lang w:val="en-US" w:eastAsia="en-GB"/>
        </w:rPr>
        <w:fldChar w:fldCharType="separate"/>
      </w:r>
      <w:r w:rsidRPr="00607598">
        <w:rPr>
          <w:noProof/>
          <w:lang w:val="en-US" w:eastAsia="en-GB"/>
        </w:rPr>
        <w:t>(for example, Maden, 2001; Mortimore &amp; Whitty, 1997)</w:t>
      </w:r>
      <w:r w:rsidRPr="00607598">
        <w:rPr>
          <w:lang w:val="en-US" w:eastAsia="en-GB"/>
        </w:rPr>
        <w:fldChar w:fldCharType="end"/>
      </w:r>
      <w:r w:rsidRPr="00607598">
        <w:rPr>
          <w:lang w:val="en-US" w:eastAsia="en-GB"/>
        </w:rPr>
        <w:t xml:space="preserve">. Gradually </w:t>
      </w:r>
      <w:r w:rsidR="00E734B4" w:rsidRPr="00607598">
        <w:rPr>
          <w:lang w:val="en-US" w:eastAsia="en-GB"/>
        </w:rPr>
        <w:t xml:space="preserve">it became apparent </w:t>
      </w:r>
      <w:r w:rsidRPr="00607598">
        <w:rPr>
          <w:lang w:val="en-US" w:eastAsia="en-GB"/>
        </w:rPr>
        <w:t>that the issue of school effectiveness was more complex than previously envisaged:</w:t>
      </w:r>
    </w:p>
    <w:p w14:paraId="213853A2" w14:textId="403DBA32" w:rsidR="00981B32" w:rsidRPr="00607598" w:rsidRDefault="00981B32" w:rsidP="008C59B8">
      <w:pPr>
        <w:pStyle w:val="NoSpacing"/>
        <w:rPr>
          <w:rStyle w:val="QuoteChar"/>
          <w:rFonts w:eastAsiaTheme="minorHAnsi"/>
        </w:rPr>
      </w:pPr>
      <w:r w:rsidRPr="00607598">
        <w:rPr>
          <w:rStyle w:val="QuoteChar"/>
          <w:rFonts w:eastAsiaTheme="minorHAnsi"/>
        </w:rPr>
        <w:t xml:space="preserve">We don’t really know how much more difficult it is for schools serving disadvantaged communities to improve because much of the improvement research has ignored this dimension – that it is much more difficult, however, seems unquestionable </w:t>
      </w:r>
      <w:r w:rsidRPr="00607598">
        <w:rPr>
          <w:rStyle w:val="QuoteChar"/>
          <w:rFonts w:eastAsiaTheme="minorHAnsi"/>
        </w:rPr>
        <w:fldChar w:fldCharType="begin" w:fldLock="1"/>
      </w:r>
      <w:r w:rsidRPr="00607598">
        <w:rPr>
          <w:rStyle w:val="QuoteChar"/>
          <w:rFonts w:eastAsiaTheme="minorHAnsi"/>
        </w:rPr>
        <w:instrText>ADDIN CSL_CITATION {"citationItems":[{"id":"ITEM-1","itemData":{"author":[{"dropping-particle":"","family":"Grey","given":"J.","non-dropping-particle":"","parse-names":false,"suffix":""}],"container-title":"Success Against the Odds:Five Years on","editor":[{"dropping-particle":"","family":"Maden","given":"M.","non-dropping-particle":"","parse-names":false,"suffix":""}],"id":"ITEM-1","issued":{"date-parts":[["2001"]]},"page":"1–39","publisher":"Routledge Falmer","title":"Building for improvement and sustaining change in schools serving disadvanatged communities","type":"chapter"},"uris":["http://www.mendeley.com/documents/?uuid=bedcf743-eb4a-405a-9a43-8ad389761872"]}],"mendeley":{"formattedCitation":"(Grey, 2001)","manualFormatting":"(Grey, 2001, p. 33)","plainTextFormattedCitation":"(Grey, 2001)","previouslyFormattedCitation":"(Grey, 2001)"},"properties":{"noteIndex":0},"schema":"https://github.com/citation-style-language/schema/raw/master/csl-citation.json"}</w:instrText>
      </w:r>
      <w:r w:rsidRPr="00607598">
        <w:rPr>
          <w:rStyle w:val="QuoteChar"/>
          <w:rFonts w:eastAsiaTheme="minorHAnsi"/>
        </w:rPr>
        <w:fldChar w:fldCharType="separate"/>
      </w:r>
      <w:r w:rsidRPr="00607598">
        <w:rPr>
          <w:rStyle w:val="QuoteChar"/>
          <w:rFonts w:eastAsiaTheme="minorHAnsi"/>
          <w:noProof/>
        </w:rPr>
        <w:t>(Grey, 2001, p. 33)</w:t>
      </w:r>
      <w:r w:rsidRPr="00607598">
        <w:rPr>
          <w:rStyle w:val="QuoteChar"/>
          <w:rFonts w:eastAsiaTheme="minorHAnsi"/>
        </w:rPr>
        <w:fldChar w:fldCharType="end"/>
      </w:r>
      <w:r w:rsidRPr="00607598">
        <w:rPr>
          <w:rStyle w:val="QuoteChar"/>
          <w:rFonts w:eastAsiaTheme="minorHAnsi"/>
        </w:rPr>
        <w:t xml:space="preserve">. </w:t>
      </w:r>
    </w:p>
    <w:p w14:paraId="1B1CE729" w14:textId="77777777" w:rsidR="007A3D3F" w:rsidRPr="00607598" w:rsidRDefault="007A3D3F" w:rsidP="00C71378">
      <w:pPr>
        <w:pStyle w:val="Quote"/>
        <w:rPr>
          <w:rStyle w:val="QuoteChar"/>
          <w:rFonts w:eastAsiaTheme="minorHAnsi"/>
        </w:rPr>
      </w:pPr>
    </w:p>
    <w:p w14:paraId="5CA93C37" w14:textId="39E53F5E" w:rsidR="00BD78A7" w:rsidRPr="00607598" w:rsidRDefault="00981B32" w:rsidP="003C249E">
      <w:pPr>
        <w:spacing w:before="0" w:after="0" w:line="480" w:lineRule="auto"/>
        <w:ind w:left="0"/>
      </w:pPr>
      <w:r w:rsidRPr="00607598">
        <w:rPr>
          <w:rFonts w:cs="Times New Roman"/>
          <w:lang w:val="en-US" w:eastAsia="en-GB"/>
        </w:rPr>
        <w:t xml:space="preserve">The need to pay more attention to contextual considerations became obvious, particularly in </w:t>
      </w:r>
      <w:r w:rsidR="007A3D3F" w:rsidRPr="00607598">
        <w:rPr>
          <w:rFonts w:cs="Times New Roman"/>
          <w:lang w:val="en-US" w:eastAsia="en-GB"/>
        </w:rPr>
        <w:t xml:space="preserve">relation to </w:t>
      </w:r>
      <w:r w:rsidRPr="00607598">
        <w:rPr>
          <w:rFonts w:cs="Times New Roman"/>
          <w:lang w:val="en-US" w:eastAsia="en-GB"/>
        </w:rPr>
        <w:t xml:space="preserve">schools facing challenging circumstances </w:t>
      </w:r>
      <w:r w:rsidRPr="00607598">
        <w:rPr>
          <w:rFonts w:cs="Times New Roman"/>
          <w:lang w:val="en-US" w:eastAsia="en-GB"/>
        </w:rPr>
        <w:fldChar w:fldCharType="begin" w:fldLock="1"/>
      </w:r>
      <w:r w:rsidRPr="00607598">
        <w:rPr>
          <w:rFonts w:cs="Times New Roman"/>
          <w:lang w:val="en-US" w:eastAsia="en-GB"/>
        </w:rPr>
        <w:instrText>ADDIN CSL_CITATION {"citationItems":[{"id":"ITEM-1","itemData":{"DOI":"10.1111/j.1467-8527.2004.00276.x","ISSN":"00071005","abstract":"This article focuses on 'improving' schools in difficult or disadvantaged contexts. It explores the contemporary policy discourse and intervention strategies aimed at improving schools in such circumstances. It argues that contemporary approaches to improvement are unlikely to succeed because the approaches adopted are not sufficiently differentiated or context specific. Drawing on two recent empirical studies, the article offers an alternative perspective on school improvement within this group of schools. It argues against standardised solutions in favour of a differentiated approach to school improvement that recognises and respects the diversity, variability and complexity of schools in difficult contexts.","author":[{"dropping-particle":"","family":"Harris","given":"Alma","non-dropping-particle":"","parse-names":false,"suffix":""},{"dropping-particle":"","family":"Chapman","given":"Christopher","non-dropping-particle":"","parse-names":false,"suffix":""}],"container-title":"British Journal of Educational Studies","id":"ITEM-1","issue":"4","issued":{"date-parts":[["2004"]]},"page":"417–431","title":"Improving schools in difficult contexts: Towards a differentiated approach","type":"article-journal","volume":"52"},"uris":["http://www.mendeley.com/documents/?uuid=aab80e8b-527f-4328-8520-044822b790e2"]}],"mendeley":{"formattedCitation":"(Harris &amp; Chapman, 2004)","plainTextFormattedCitation":"(Harris &amp; Chapman, 2004)","previouslyFormattedCitation":"(Harris &amp; Chapman, 2004)"},"properties":{"noteIndex":0},"schema":"https://github.com/citation-style-language/schema/raw/master/csl-citation.json"}</w:instrText>
      </w:r>
      <w:r w:rsidRPr="00607598">
        <w:rPr>
          <w:rFonts w:cs="Times New Roman"/>
          <w:lang w:val="en-US" w:eastAsia="en-GB"/>
        </w:rPr>
        <w:fldChar w:fldCharType="separate"/>
      </w:r>
      <w:r w:rsidRPr="00607598">
        <w:rPr>
          <w:rFonts w:cs="Times New Roman"/>
          <w:noProof/>
          <w:lang w:val="en-US" w:eastAsia="en-GB"/>
        </w:rPr>
        <w:t>(Harris &amp; Chapman, 2004)</w:t>
      </w:r>
      <w:r w:rsidRPr="00607598">
        <w:rPr>
          <w:rFonts w:cs="Times New Roman"/>
          <w:lang w:val="en-US" w:eastAsia="en-GB"/>
        </w:rPr>
        <w:fldChar w:fldCharType="end"/>
      </w:r>
      <w:r w:rsidRPr="00607598">
        <w:rPr>
          <w:rFonts w:cs="Times New Roman"/>
          <w:lang w:val="en-US" w:eastAsia="en-GB"/>
        </w:rPr>
        <w:t>.</w:t>
      </w:r>
      <w:r w:rsidR="003C249E" w:rsidRPr="00607598">
        <w:rPr>
          <w:rFonts w:cs="Times New Roman"/>
          <w:lang w:val="en-US" w:eastAsia="en-GB"/>
        </w:rPr>
        <w:t xml:space="preserve"> </w:t>
      </w:r>
      <w:r w:rsidRPr="00607598">
        <w:t>Empirical research in the UK traced daily life in four schools serving disadvantaged catchments over the course of a year</w:t>
      </w:r>
      <w:r w:rsidR="00D47910" w:rsidRPr="00607598">
        <w:t xml:space="preserve"> (Lupton, 2005), in which a number of patterns were identified. These included</w:t>
      </w:r>
      <w:r w:rsidR="005154FA" w:rsidRPr="00607598">
        <w:t>:</w:t>
      </w:r>
      <w:r w:rsidRPr="00607598">
        <w:t xml:space="preserve"> the wide ability </w:t>
      </w:r>
      <w:r w:rsidR="00395666" w:rsidRPr="00607598">
        <w:t xml:space="preserve">range </w:t>
      </w:r>
      <w:r w:rsidR="00D47910" w:rsidRPr="00607598">
        <w:t xml:space="preserve">of pupils, </w:t>
      </w:r>
      <w:r w:rsidRPr="00607598">
        <w:t xml:space="preserve">with many </w:t>
      </w:r>
      <w:r w:rsidR="005154FA" w:rsidRPr="00607598">
        <w:t xml:space="preserve">exhibiting </w:t>
      </w:r>
      <w:r w:rsidRPr="00607598">
        <w:t>very low prior attainment levels</w:t>
      </w:r>
      <w:r w:rsidR="005154FA" w:rsidRPr="00607598">
        <w:t>;</w:t>
      </w:r>
      <w:r w:rsidRPr="00607598">
        <w:t xml:space="preserve"> </w:t>
      </w:r>
      <w:r w:rsidR="005154FA" w:rsidRPr="00607598">
        <w:t xml:space="preserve">widespread </w:t>
      </w:r>
      <w:r w:rsidRPr="00607598">
        <w:t>evidence of poverty</w:t>
      </w:r>
      <w:r w:rsidR="005154FA" w:rsidRPr="00607598">
        <w:t>, which included</w:t>
      </w:r>
      <w:r w:rsidRPr="00607598">
        <w:t xml:space="preserve"> inappropriate diet, lack of equipment and materials, and little sign of engagement in family enrichment activities</w:t>
      </w:r>
      <w:r w:rsidR="005154FA" w:rsidRPr="00607598">
        <w:t>;</w:t>
      </w:r>
      <w:r w:rsidRPr="00607598">
        <w:t xml:space="preserve"> </w:t>
      </w:r>
      <w:r w:rsidR="005154FA" w:rsidRPr="00607598">
        <w:t>p</w:t>
      </w:r>
      <w:r w:rsidRPr="00607598">
        <w:t>oor attendance levels</w:t>
      </w:r>
      <w:r w:rsidR="005154FA" w:rsidRPr="00607598">
        <w:t xml:space="preserve">; and the tendency for </w:t>
      </w:r>
      <w:r w:rsidRPr="00607598">
        <w:t xml:space="preserve">pupil-teacher contact time </w:t>
      </w:r>
      <w:r w:rsidR="005154FA" w:rsidRPr="00607598">
        <w:t xml:space="preserve">to be </w:t>
      </w:r>
      <w:r w:rsidRPr="00607598">
        <w:t xml:space="preserve">diverted into counselling students and dealing with behavioural issues. </w:t>
      </w:r>
      <w:r w:rsidR="005154FA" w:rsidRPr="00607598">
        <w:t>Commenting on life in the four schools, Lupton (</w:t>
      </w:r>
      <w:r w:rsidR="005154FA" w:rsidRPr="00607598">
        <w:rPr>
          <w:i/>
        </w:rPr>
        <w:t>Ibid</w:t>
      </w:r>
      <w:r w:rsidR="005154FA" w:rsidRPr="00607598">
        <w:t xml:space="preserve">., p. 595) identified </w:t>
      </w:r>
      <w:r w:rsidRPr="00607598">
        <w:t xml:space="preserve">‘a charged emotional atmosphere’ </w:t>
      </w:r>
      <w:r w:rsidR="005154FA" w:rsidRPr="00607598">
        <w:t xml:space="preserve">and a sense of ‘unpredictability’ owing to the high number of </w:t>
      </w:r>
      <w:r w:rsidRPr="00607598">
        <w:t>students who were ‘anxious, traumatised, jealous, angry or vulnerable</w:t>
      </w:r>
      <w:r w:rsidR="005154FA" w:rsidRPr="00607598">
        <w:t>.</w:t>
      </w:r>
      <w:r w:rsidRPr="00607598">
        <w:t>’</w:t>
      </w:r>
      <w:r w:rsidR="003C249E" w:rsidRPr="00607598">
        <w:t xml:space="preserve"> </w:t>
      </w:r>
      <w:r w:rsidRPr="00607598">
        <w:t xml:space="preserve">Similar findings emerged from research by </w:t>
      </w:r>
      <w:r w:rsidRPr="00607598">
        <w:fldChar w:fldCharType="begin" w:fldLock="1"/>
      </w:r>
      <w:r w:rsidRPr="00607598">
        <w:instrText>ADDIN CSL_CITATION {"citationItems":[{"id":"ITEM-1","itemData":{"DOI":"10.1080/0268093980130203","ISSN":"14645106","abstract":"The extent to which school mix ‐‐ the social class composition of schools ‐‐ influences school processes and student achievement has long been a matter of dispute. Drawing on a comparative ethnography of four New Zealand secondary schools, this article suggests that school mix probably does impact on school organizational and management processes so as to drag down the academic effectiveness of schools in low socioeconomic settings and boost effectiveness in middle‐class settings. Evidence of daily routines, curriculum management and guidance and discipline matters being influenced by school mix is discussed. The article provides a framework for explaining why school mix might influence school organization and management and suggests implications for decentralization, educational markets and school evaluation. © 1998 Taylor &amp; Francis Ltd.","author":[{"dropping-particle":"","family":"Thrupp","given":"Martin","non-dropping-particle":"","parse-names":false,"suffix":""}],"container-title":"Journal of Education Policy","id":"ITEM-1","issue":"2","issued":{"date-parts":[["1998"]]},"page":"197-219","title":"The art of the possible: Organizing and managing high and low socioeconomic schools","type":"article-journal","volume":"13"},"uris":["http://www.mendeley.com/documents/?uuid=47e03f66-9603-4d9f-ada6-1573634bde3c"]}],"mendeley":{"formattedCitation":"(Thrupp, 1998)","manualFormatting":"Thrupp (1998)","plainTextFormattedCitation":"(Thrupp, 1998)","previouslyFormattedCitation":"(Thrupp, 1998)"},"properties":{"noteIndex":0},"schema":"https://github.com/citation-style-language/schema/raw/master/csl-citation.json"}</w:instrText>
      </w:r>
      <w:r w:rsidRPr="00607598">
        <w:fldChar w:fldCharType="separate"/>
      </w:r>
      <w:r w:rsidRPr="00607598">
        <w:rPr>
          <w:noProof/>
        </w:rPr>
        <w:t>Thrupp (1998)</w:t>
      </w:r>
      <w:r w:rsidRPr="00607598">
        <w:fldChar w:fldCharType="end"/>
      </w:r>
      <w:r w:rsidRPr="00607598">
        <w:t xml:space="preserve"> in New Zealand.</w:t>
      </w:r>
      <w:r w:rsidR="006F56B8" w:rsidRPr="00607598">
        <w:t xml:space="preserve"> Drawing on a comparative </w:t>
      </w:r>
      <w:r w:rsidR="006F56B8" w:rsidRPr="00607598">
        <w:lastRenderedPageBreak/>
        <w:t>ethnography of four New Zealand secondary schools, Thrupp found that school mix thwart</w:t>
      </w:r>
      <w:r w:rsidR="00395666" w:rsidRPr="00607598">
        <w:t>ed</w:t>
      </w:r>
      <w:r w:rsidR="006F56B8" w:rsidRPr="00607598">
        <w:t xml:space="preserve"> the academic effectiveness of schools in low socioeconomic settings and boost</w:t>
      </w:r>
      <w:r w:rsidR="00395666" w:rsidRPr="00607598">
        <w:t>ed</w:t>
      </w:r>
      <w:r w:rsidR="006F56B8" w:rsidRPr="00607598">
        <w:t xml:space="preserve"> effectiveness in middle-class settings.</w:t>
      </w:r>
      <w:r w:rsidR="00A05581" w:rsidRPr="00607598">
        <w:t xml:space="preserve"> Commenting on the challenges faced in one of the four schools </w:t>
      </w:r>
      <w:r w:rsidR="00D07B02" w:rsidRPr="00607598">
        <w:t>located in an area of se</w:t>
      </w:r>
      <w:r w:rsidR="007A3D3F" w:rsidRPr="00607598">
        <w:t>vere</w:t>
      </w:r>
      <w:r w:rsidR="00D07B02" w:rsidRPr="00607598">
        <w:t xml:space="preserve"> disadvantage</w:t>
      </w:r>
      <w:r w:rsidR="00A05581" w:rsidRPr="00607598">
        <w:t xml:space="preserve">, </w:t>
      </w:r>
      <w:r w:rsidR="00D07B02" w:rsidRPr="00607598">
        <w:t>Thrupp noted that ‘guidance and disciplinary matters, often with a care and protection dimension</w:t>
      </w:r>
      <w:r w:rsidR="008C72D4" w:rsidRPr="00607598">
        <w:t>,</w:t>
      </w:r>
      <w:r w:rsidR="00D07B02" w:rsidRPr="00607598">
        <w:t xml:space="preserve"> were the most pressing problem facing staff and management’ (1998,</w:t>
      </w:r>
      <w:r w:rsidR="006A6B16" w:rsidRPr="00607598">
        <w:t xml:space="preserve"> p. 208).</w:t>
      </w:r>
      <w:r w:rsidR="00D07B02" w:rsidRPr="00607598">
        <w:t xml:space="preserve"> </w:t>
      </w:r>
      <w:r w:rsidR="006A6B16" w:rsidRPr="00607598">
        <w:t xml:space="preserve">He </w:t>
      </w:r>
      <w:r w:rsidR="00A05581" w:rsidRPr="00607598">
        <w:t>further observed</w:t>
      </w:r>
      <w:r w:rsidR="006A6B16" w:rsidRPr="00607598">
        <w:t xml:space="preserve"> </w:t>
      </w:r>
      <w:r w:rsidR="00A05581" w:rsidRPr="00607598">
        <w:t xml:space="preserve">that while </w:t>
      </w:r>
      <w:r w:rsidR="006A6B16" w:rsidRPr="00607598">
        <w:t>staff had developed quite detailed policies on issues such as truancy and homework</w:t>
      </w:r>
      <w:r w:rsidR="00A05581" w:rsidRPr="00607598">
        <w:t>,</w:t>
      </w:r>
      <w:r w:rsidR="006A6B16" w:rsidRPr="00607598">
        <w:t xml:space="preserve"> putting them into practice was ‘time-consuming, unrewarding and risked confrontation’ (</w:t>
      </w:r>
      <w:r w:rsidR="00A05581" w:rsidRPr="00607598">
        <w:rPr>
          <w:i/>
          <w:iCs/>
        </w:rPr>
        <w:t>I</w:t>
      </w:r>
      <w:r w:rsidR="006A6B16" w:rsidRPr="00607598">
        <w:rPr>
          <w:i/>
          <w:iCs/>
        </w:rPr>
        <w:t>bid</w:t>
      </w:r>
      <w:r w:rsidR="006A6B16" w:rsidRPr="00607598">
        <w:t xml:space="preserve">, p. 202). </w:t>
      </w:r>
      <w:r w:rsidR="00A05581" w:rsidRPr="00607598">
        <w:t>I</w:t>
      </w:r>
      <w:r w:rsidR="00DD2523" w:rsidRPr="00607598">
        <w:t>n such circumstances</w:t>
      </w:r>
      <w:r w:rsidR="00A05581" w:rsidRPr="00607598">
        <w:t>,</w:t>
      </w:r>
      <w:r w:rsidR="00DD2523" w:rsidRPr="00607598">
        <w:t xml:space="preserve"> a staff</w:t>
      </w:r>
      <w:r w:rsidR="00E2109F" w:rsidRPr="00607598">
        <w:t>-</w:t>
      </w:r>
      <w:r w:rsidR="00DD2523" w:rsidRPr="00607598">
        <w:t>student ‘game’ pattern of ‘don’t hassle me and I won’t hassle you’ develop</w:t>
      </w:r>
      <w:r w:rsidR="00A05581" w:rsidRPr="00607598">
        <w:t>ed</w:t>
      </w:r>
      <w:r w:rsidR="00DD2523" w:rsidRPr="00607598">
        <w:t xml:space="preserve"> (</w:t>
      </w:r>
      <w:r w:rsidR="00A05581" w:rsidRPr="00607598">
        <w:rPr>
          <w:i/>
          <w:iCs/>
        </w:rPr>
        <w:t>I</w:t>
      </w:r>
      <w:r w:rsidR="00DD2523" w:rsidRPr="00607598">
        <w:rPr>
          <w:i/>
          <w:iCs/>
        </w:rPr>
        <w:t>bid</w:t>
      </w:r>
      <w:r w:rsidR="00DD2523" w:rsidRPr="00607598">
        <w:t>.)</w:t>
      </w:r>
      <w:r w:rsidR="00F8763F" w:rsidRPr="00607598">
        <w:t xml:space="preserve">. Both studies illustrate that schools in disadvantaged settings face additional pressures under two headings. Firstly, there are the additional challenges faced by the classroom teacher, both in terms of pedagogy and emotional resilience </w:t>
      </w:r>
      <w:r w:rsidR="00F8763F" w:rsidRPr="00607598">
        <w:fldChar w:fldCharType="begin" w:fldLock="1"/>
      </w:r>
      <w:r w:rsidR="00F8763F" w:rsidRPr="00607598">
        <w:instrText>ADDIN CSL_CITATION {"citationItems":[{"id":"ITEM-1","itemData":{"author":[{"dropping-particle":"","family":"Evans, G. W. &amp; English","given":"K","non-dropping-particle":"","parse-names":false,"suffix":""}],"container-title":"Child Development","id":"ITEM-1","issue":"4","issued":{"date-parts":[["2002"]]},"page":"1238–1248","title":"The environment of poverty: Multiple stressor exposure, psychophysiological stress and socioemotional adjustment","type":"article-journal","volume":"73"},"uris":["http://www.mendeley.com/documents/?uuid=4bfe7178-e682-4d6d-8901-cd69c5f4d38d"]},{"id":"ITEM-2","itemData":{"author":[{"dropping-particle":"","family":"Johnson, K. &amp; Hayes","given":"D.","non-dropping-particle":"","parse-names":false,"suffix":""}],"container-title":"International Journal of Inclusive Education","id":"ITEM-2","issue":"3","issued":{"date-parts":[["2007"]]},"page":"371–381.","title":"Supporting student success at school through teacher professional learning: the pedagogy of disrupting the default modes of schooling","type":"article-journal","volume":"11"},"uris":["http://www.mendeley.com/documents/?uuid=3aad8ae9-5bd4-4daa-aacf-621c8cf7490e"]},{"id":"ITEM-3","itemData":{"author":[{"dropping-particle":"","family":"Jensen","given":"E","non-dropping-particle":"","parse-names":false,"suffix":""}],"id":"ITEM-3","issued":{"date-parts":[["2009"]]},"publisher":"ASCD","title":"Teaching with poverty in mind: What being poor does to kids' brains and what schools can do about it","type":"book"},"uris":["http://www.mendeley.com/documents/?uuid=f23a01b6-219c-418e-b63b-44830c90c5f0"]},{"id":"ITEM-4","itemData":{"DOI":"10.1080/1554480X.2011.604905","ISSN":"1554480X","abstract":"New educational landscapes have emerged in large systems of schooling around the globe.While these formations are shaped by local conditions and develop regional characteristics, they also bear the marks of neo-liberalism and are responsive to its devices, such as intensified local markets competing for students and the pressure of privatization. Not surprisingly, schools in favourable contexts where there are strong resonances between home and school cultures are more able to accommodate and benefit from these conditions than are schools in challenging contexts where inequitable effects tend to be amplified and more deeply entrenched. This article interrogates the pressures on schools to change implicit in educational policy landscapes that have developed in Australia, and compares these with some examples of design processes that make up the mix of how schools in England and the United States have responded to similar pressures. Long-term reform efforts in two Australian public secondary schools are described in detail. These cases illustrate two commonly adopted designs for improving the pedagogical practice of teachers. The tension between what is rendered possible through locally available resources and what is needed in schools characterized by high levels of poverty and difference is explored in this article through a discussion of a selection of design processes and products, as well as two specific case studies. © 2011 Taylor &amp; Francis.","author":[{"dropping-particle":"","family":"Hayes","given":"Debra","non-dropping-particle":"","parse-names":false,"suffix":""}],"container-title":"Pedagogies","id":"ITEM-4","issue":"4","issued":{"date-parts":[["2011"]]},"page":"347–358","title":"Redesigning pedagogical practices: New designs for new landscapes","type":"article-journal","volume":"6"},"uris":["http://www.mendeley.com/documents/?uuid=d466148a-5ba8-470b-a362-1a3ba831ed9f"]},{"id":"ITEM-5","itemData":{"ISSN":"00288276","abstract":"Recent official policy discourses on student achievement have stressed the importance of teachers and the impact that effective teaching can have on student life chances and on national economic performance. There is also a body of research on the way teaching and learning are affected by school context. This article discusses research designed to investigate how and to what extent the contextual features of schools impacted on the beliefs New Zealand secondary teachers and principals held about teaching and learning, the extent to which they believed their agency could influence outcomes for their students, and the aspirations and goals they pursued. We interviewed principals and teachers in six secondary schools, two each in high, mid and low socio-economic areas. The findings show considerable commonality in teachers' pedagogical discourses and that the rhetoric of formal policy discourses is pervasive and normalized in schools. All the teachers believed they could make a difference to student achievement and life chances, tried to address diversity among their student bodies, and saw success as much wider than academic achievement. Concurrently we found that the institutional habitus of each school largely determined how discourses were enacted and that relationships, confidence, student-centredness and success were interpreted differently between schools. We argue that these differences must be taken into account if school policies and interventions are to be successful.","author":[{"dropping-particle":"","family":"Alcorn","given":"Noeline","non-dropping-particle":"","parse-names":false,"suffix":""},{"dropping-particle":"","family":"Thrupp","given":"Martin","non-dropping-particle":"","parse-names":false,"suffix":""}],"container-title":"New Zealand Journal of Educational Studies","id":"ITEM-5","issue":"1","issued":{"date-parts":[["2012"]]},"page":"107–121","title":"Uncovering meanings: The discourses of New Zealand secondary teachers in context","type":"article","volume":"47"},"uris":["http://www.mendeley.com/documents/?uuid=4a163de0-b917-420f-8ba1-5bf0c54e1953"]},{"id":"ITEM-6","itemData":{"DOI":"10.1080/02680939.2012.710016","ISSN":"02680939","abstract":"This paper starts from the propositions that (a) pedagogy is central to the achievement of socially just education and (b) there are existing pedagogical approaches that can contribute to more socially just outcomes. Given the ostensible commitments of the current English Government to reducing educational inequality and to the importance of teaching, we set out to explore the conditions that would need to be put in place to enable these approaches to be developed and sustained consistently in disadvantaged schools in England. We start by analysing classroom observation and interview data from four primary schools with contrasting socio-economic composition, highlighting the different pedagogical practices that emerge in working- and middle-class schools and also in working-class schools in different circumstances. Interviews with pupils show the impact of these practices on learner identities. We then draw on a variety of literatures on school composition, markets, leadership and teacher identities to present an account of the ways in which these different pedagogies are consciously or unconsciously produced. We point to systemic constraints: a mismatch between student demands and organisational capacity; teachers' attitudes and professional identities and performative pressures on school leaders. All of these suggest the need for fundamental reforms to educational purposes and system architecture, rather than the naïve reliance on teacher agency to transform educational outcomes. Nevertheless, the current policy environment in England does offer some possibilities for action and we close the paper with some suggestions about ways in which capacity for more socially just pedagogy could be built within English schools. © 2012 Copyright Taylor and Francis Group, LLC.","author":[{"dropping-particle":"","family":"Lupton","given":"Ruth","non-dropping-particle":"","parse-names":false,"suffix":""},{"dropping-particle":"","family":"Hempel-Jorgensen","given":"Amelia","non-dropping-particle":"","parse-names":false,"suffix":""}],"container-title":"Journal of Education Policy","id":"ITEM-6","issue":"5","issued":{"date-parts":[["2012"]]},"page":"601–620","title":"The importance of teaching: Pedagogical constraints and possibilities in working-class schools","type":"article-journal","volume":"27"},"uris":["http://www.mendeley.com/documents/?uuid=5026a5d9-04de-4870-a986-17da9f4ef31d"]},{"id":"ITEM-7","itemData":{"DOI":"10.1080/03054985.2016.1197111","ISSN":"14653915","abstract":"This paper foregrounds pedagogy in the realisation of children’s rights to non-discrimination and serving their best interests, as articulated in the UNCRC. Drawing on a mixed methodological study of teachers in 12 schools it does so through exploring teacher pedagogies in terms of how they 'think', 'do' and 'talk' pedagogy, conceived as their pedagogic 'habitus'. Findings confirm contradictions between teachers’ ideals and their practice that is significantly mediated by the socio-cultural context of their schools, gender and presence of migrant children. Especially striking is that neither social justice concerns nor children’s rights explicitly emerge in their narratives, in turn influencing how they ‘do’ pedagogy with different groups of children. This contradiction is understood as a dialectical process of re/action influenced by structures, policies and the exercise of power in local contexts. The UNCRC provides a generative mechanism within which to hold government to account for the impact of policies, especially in challenging contexts. To be realised in practice, however, it also needs to be embedded in teacher habitus, shaping their dispositions toward children’s rights to non-discrimination and serving their best interests in education.","author":[{"dropping-particle":"","family":"Devine","given":"Dympna","non-dropping-particle":"","parse-names":false,"suffix":""},{"dropping-particle":"","family":"McGillicuddy","given":"Deirdre","non-dropping-particle":"","parse-names":false,"suffix":""}],"container-title":"Oxford Review of Education","id":"ITEM-7","issue":"4","issued":{"date-parts":[["2016"]]},"page":"424-443","publisher":"Routledge","title":"Positioning pedagogy—a matter of children’s rights","type":"article-journal","volume":"42"},"uris":["http://www.mendeley.com/documents/?uuid=651cb44f-e035-47a8-b884-fe12c506adb8"]},{"id":"ITEM-8","itemData":{"DOI":"10.1080/1743727X.2017.1395409","ISSN":"17437288","abstract":"The enduring nature of the problem of inequality in education suggests that new ways of understanding and ameliorating it are needed. Non-representational ontology is yielding new insights in other fields but is yet to gain traction in education. The requisite ontological shift would attend to inequality as a specific material effect of practices of knowing, rather than a social, natural, or discursive reality requiring representation. In this paper, we investigate the potential of such a shift to advance our fundamental commitment to social change through equity and justice. Drawing mainly upon the work of Karen Barad, we offer a reconceptualistion of educational inequality as a doing, not a thing, which becomes meaningful as it is defined by the circumstances required to measure it. We re-examine data collected during a recently completed longitudinal study of schools in the northern-rustbelt-suburbs of Adelaide, specifically the phenomenon of teaching literacy in the classrooms of two teachers in one school in our completed study.","author":[{"dropping-particle":"","family":"Hayes","given":"Debra","non-dropping-particle":"","parse-names":false,"suffix":""},{"dropping-particle":"","family":"Comber","given":"Barbara","non-dropping-particle":"","parse-names":false,"suffix":""}],"container-title":"International Journal of Research and Method in Education","id":"ITEM-8","issue":"4","issued":{"date-parts":[["2018"]]},"page":"387–397","publisher":"Taylor &amp; Francis","title":"Researching pedagogy in high poverty contexts: implications of non-representational ontology","type":"article-journal","volume":"41"},"uris":["http://www.mendeley.com/documents/?uuid=86612854-880c-4388-95dd-9eb267936955"]}],"mendeley":{"formattedCitation":"(Alcorn &amp; Thrupp, 2012; Devine &amp; McGillicuddy, 2016; Evans, G. W. &amp; English, 2002; Hayes, 2011; Hayes &amp; Comber, 2018; Jensen, 2009; Johnson, K. &amp; Hayes, 2007; Lupton &amp; Hempel-Jorgensen, 2012)","manualFormatting":"(Alcorn &amp; Thrupp, 2012; Devine &amp; McGillicuddy, 2016; Evans &amp; English, 2002; Hayes, 2011; Hayes &amp; Comber, 2018; Jensen, 2009; Johnson &amp; Hayes, 2007; Lupton &amp; Hempel-Jorgensen, 2012)","plainTextFormattedCitation":"(Alcorn &amp; Thrupp, 2012; Devine &amp; McGillicuddy, 2016; Evans, G. W. &amp; English, 2002; Hayes, 2011; Hayes &amp; Comber, 2018; Jensen, 2009; Johnson, K. &amp; Hayes, 2007; Lupton &amp; Hempel-Jorgensen, 2012)","previouslyFormattedCitation":"(Alcorn &amp; Thrupp, 2012; Devine &amp; McGillicuddy, 2016; Evans, G. W. &amp; English, 2002; Hayes, 2011; Hayes &amp; Comber, 2018; Jensen, 2009; Johnson, K. &amp; Hayes, 2007; Lupton &amp; Hempel-Jorgensen, 2012)"},"properties":{"noteIndex":0},"schema":"https://github.com/citation-style-language/schema/raw/master/csl-citation.json"}</w:instrText>
      </w:r>
      <w:r w:rsidR="00F8763F" w:rsidRPr="00607598">
        <w:fldChar w:fldCharType="separate"/>
      </w:r>
      <w:r w:rsidR="00F8763F" w:rsidRPr="00607598">
        <w:rPr>
          <w:noProof/>
        </w:rPr>
        <w:t>(Lupton and Hempel-Jorgensen, 2012; Devine and McGillicuddy, 2016)</w:t>
      </w:r>
      <w:r w:rsidR="00F8763F" w:rsidRPr="00607598">
        <w:fldChar w:fldCharType="end"/>
      </w:r>
      <w:r w:rsidR="00F8763F" w:rsidRPr="00607598">
        <w:t>. Day and Hong (2016, p. 123) observe:</w:t>
      </w:r>
    </w:p>
    <w:p w14:paraId="223A448F" w14:textId="3E9E5ED7" w:rsidR="00981B32" w:rsidRPr="00607598" w:rsidRDefault="00981B32" w:rsidP="0068037A">
      <w:pPr>
        <w:pStyle w:val="NoSpacing"/>
      </w:pPr>
      <w:r w:rsidRPr="00607598">
        <w:t>Extreme emotional, learning and behavioural challenges posed by students, combined with external demands for academic accountability, are likely to cause a demand for greater and more enduring general and everyday capacities for emotional resilience in teachers who work in schools that serve disadvantaged, vulnerable communities</w:t>
      </w:r>
      <w:r w:rsidR="00142003" w:rsidRPr="00607598">
        <w:t>.</w:t>
      </w:r>
    </w:p>
    <w:p w14:paraId="66242969" w14:textId="77777777" w:rsidR="009B2756" w:rsidRPr="00607598" w:rsidRDefault="009B2756" w:rsidP="0068037A">
      <w:pPr>
        <w:pStyle w:val="NoSpacing"/>
      </w:pPr>
    </w:p>
    <w:p w14:paraId="7D81361C" w14:textId="46A45A99" w:rsidR="009B2756" w:rsidRPr="00607598" w:rsidRDefault="00981B32" w:rsidP="009B2756">
      <w:pPr>
        <w:spacing w:before="0" w:after="0" w:line="480" w:lineRule="auto"/>
        <w:ind w:left="0"/>
      </w:pPr>
      <w:r w:rsidRPr="00607598">
        <w:t xml:space="preserve">The problem is such circumstances is that ‘faced with these extra demands and internalising them as their own, teachers tend to fall back on modes of pedagogy with which they can, in various senses, succeed’ </w:t>
      </w:r>
      <w:r w:rsidRPr="00607598">
        <w:fldChar w:fldCharType="begin" w:fldLock="1"/>
      </w:r>
      <w:r w:rsidRPr="00607598">
        <w:instrText>ADDIN CSL_CITATION {"citationItems":[{"id":"ITEM-1","itemData":{"DOI":"10.1080/02680939.2012.710016","ISSN":"02680939","abstract":"This paper starts from the propositions that (a) pedagogy is central to the achievement of socially just education and (b) there are existing pedagogical approaches that can contribute to more socially just outcomes. Given the ostensible commitments of the current English Government to reducing educational inequality and to the importance of teaching, we set out to explore the conditions that would need to be put in place to enable these approaches to be developed and sustained consistently in disadvantaged schools in England. We start by analysing classroom observation and interview data from four primary schools with contrasting socio-economic composition, highlighting the different pedagogical practices that emerge in working- and middle-class schools and also in working-class schools in different circumstances. Interviews with pupils show the impact of these practices on learner identities. We then draw on a variety of literatures on school composition, markets, leadership and teacher identities to present an account of the ways in which these different pedagogies are consciously or unconsciously produced. We point to systemic constraints: a mismatch between student demands and organisational capacity; teachers' attitudes and professional identities and performative pressures on school leaders. All of these suggest the need for fundamental reforms to educational purposes and system architecture, rather than the naïve reliance on teacher agency to transform educational outcomes. Nevertheless, the current policy environment in England does offer some possibilities for action and we close the paper with some suggestions about ways in which capacity for more socially just pedagogy could be built within English schools. © 2012 Copyright Taylor and Francis Group, LLC.","author":[{"dropping-particle":"","family":"Lupton","given":"Ruth","non-dropping-particle":"","parse-names":false,"suffix":""},{"dropping-particle":"","family":"Hempel-Jorgensen","given":"Amelia","non-dropping-particle":"","parse-names":false,"suffix":""}],"container-title":"Journal of Education Policy","id":"ITEM-1","issue":"5","issued":{"date-parts":[["2012"]]},"page":"601–620","title":"The importance of teaching: Pedagogical constraints and possibilities in working-class schools","type":"article-journal","volume":"27"},"uris":["http://www.mendeley.com/documents/?uuid=5026a5d9-04de-4870-a986-17da9f4ef31d"]}],"mendeley":{"formattedCitation":"(Lupton &amp; Hempel-Jorgensen, 2012)","manualFormatting":"(Lupton &amp; Hempel-Jorgensen, 2012, p. 611)","plainTextFormattedCitation":"(Lupton &amp; Hempel-Jorgensen, 2012)","previouslyFormattedCitation":"(Lupton &amp; Hempel-Jorgensen, 2012)"},"properties":{"noteIndex":0},"schema":"https://github.com/citation-style-language/schema/raw/master/csl-citation.json"}</w:instrText>
      </w:r>
      <w:r w:rsidRPr="00607598">
        <w:fldChar w:fldCharType="separate"/>
      </w:r>
      <w:r w:rsidRPr="00607598">
        <w:rPr>
          <w:noProof/>
        </w:rPr>
        <w:t xml:space="preserve">(Lupton </w:t>
      </w:r>
      <w:r w:rsidR="007F4F45" w:rsidRPr="00607598">
        <w:rPr>
          <w:noProof/>
        </w:rPr>
        <w:t>and</w:t>
      </w:r>
      <w:r w:rsidRPr="00607598">
        <w:rPr>
          <w:noProof/>
        </w:rPr>
        <w:t xml:space="preserve"> Hempel-Jorgensen, 2012, p. 611)</w:t>
      </w:r>
      <w:r w:rsidRPr="00607598">
        <w:fldChar w:fldCharType="end"/>
      </w:r>
      <w:r w:rsidRPr="00607598">
        <w:t xml:space="preserve">. </w:t>
      </w:r>
      <w:r w:rsidR="009B2756" w:rsidRPr="00607598">
        <w:tab/>
      </w:r>
    </w:p>
    <w:p w14:paraId="286D9BFC" w14:textId="55A4930E" w:rsidR="00981B32" w:rsidRPr="00607598" w:rsidRDefault="00981B32" w:rsidP="009B2756">
      <w:pPr>
        <w:spacing w:before="0" w:after="0" w:line="480" w:lineRule="auto"/>
        <w:ind w:left="0" w:firstLine="720"/>
      </w:pPr>
      <w:r w:rsidRPr="00607598">
        <w:t>The second area where additional challenges are faced fall</w:t>
      </w:r>
      <w:r w:rsidR="009B2756" w:rsidRPr="00607598">
        <w:t>s</w:t>
      </w:r>
      <w:r w:rsidRPr="00607598">
        <w:t xml:space="preserve"> under the heading of management and leadership, with particular reference to the principal’s role. As with the teacher in the classroom, context is important in considering this issue. Research on leadership in organisations generally, </w:t>
      </w:r>
      <w:r w:rsidR="006F56B8" w:rsidRPr="00607598">
        <w:t xml:space="preserve">has </w:t>
      </w:r>
      <w:r w:rsidRPr="00607598">
        <w:t>tended to overlook the significance of context until relatively</w:t>
      </w:r>
      <w:r w:rsidR="007F4F45" w:rsidRPr="00607598">
        <w:t xml:space="preserve"> recently, </w:t>
      </w:r>
      <w:r w:rsidRPr="00607598">
        <w:t xml:space="preserve">but this </w:t>
      </w:r>
      <w:r w:rsidR="006F56B8" w:rsidRPr="00607598">
        <w:t xml:space="preserve">has in the last two decades begun to change </w:t>
      </w:r>
      <w:r w:rsidRPr="00607598">
        <w:fldChar w:fldCharType="begin" w:fldLock="1"/>
      </w:r>
      <w:r w:rsidRPr="00607598">
        <w:instrText>ADDIN CSL_CITATION {"citationItems":[{"id":"ITEM-1","itemData":{"author":[{"dropping-particle":"","family":"Rousseau, D. M. &amp; Fried","given":"Y.","non-dropping-particle":"","parse-names":false,"suffix":""}],"container-title":"Journal of Organisational Behaviour","id":"ITEM-1","issued":{"date-parts":[["2001"]]},"title":"Location, location, location: Contextualising organisational research","type":"article-journal","volume":"1–13"},"uris":["http://www.mendeley.com/documents/?uuid=537dd4a8-fa1f-4ce1-ba86-b12a00482a0d"]},{"id":"ITEM-2","itemData":{"author":[{"dropping-particle":"","family":"Johns","given":"G","non-dropping-particle":"","parse-names":false,"suffix":""}],"container-title":"Acadamy of Management Review","id":"ITEM-2","issue":"4","issued":{"date-parts":[["2006"]]},"page":"386–408","title":"The essential impact of context on organisational behaviour","type":"article-journal","volume":"42"},"uris":["http://www.mendeley.com/documents/?uuid=4a53f50c-0067-4e65-a60d-9362ae723322"]}],"mendeley":{"formattedCitation":"(Johns, 2006; Rousseau, D. M. &amp; Fried, 2001)","manualFormatting":"(Rousseau &amp; Fried, 2001; Johns, 2006 )","plainTextFormattedCitation":"(Johns, 2006; Rousseau, D. M. &amp; Fried, 2001)","previouslyFormattedCitation":"(Johns, 2006; Rousseau, D. M. &amp; Fried, 2001)"},"properties":{"noteIndex":0},"schema":"https://github.com/citation-style-language/schema/raw/master/csl-citation.json"}</w:instrText>
      </w:r>
      <w:r w:rsidRPr="00607598">
        <w:fldChar w:fldCharType="separate"/>
      </w:r>
      <w:r w:rsidRPr="00607598">
        <w:rPr>
          <w:noProof/>
        </w:rPr>
        <w:t xml:space="preserve">(Rousseau </w:t>
      </w:r>
      <w:r w:rsidR="00653EB0" w:rsidRPr="00607598">
        <w:rPr>
          <w:noProof/>
        </w:rPr>
        <w:t>and</w:t>
      </w:r>
      <w:r w:rsidRPr="00607598">
        <w:rPr>
          <w:noProof/>
        </w:rPr>
        <w:t xml:space="preserve"> Fried, 2001; Johns, 2006)</w:t>
      </w:r>
      <w:r w:rsidRPr="00607598">
        <w:fldChar w:fldCharType="end"/>
      </w:r>
      <w:r w:rsidRPr="00607598">
        <w:t>. Osborn, Hunt and Jauch</w:t>
      </w:r>
      <w:r w:rsidR="006F56B8" w:rsidRPr="00607598">
        <w:t xml:space="preserve"> (2002, p. 798)</w:t>
      </w:r>
      <w:r w:rsidRPr="00607598">
        <w:t xml:space="preserve"> argue that ‘leadership is embedded in </w:t>
      </w:r>
      <w:r w:rsidRPr="00607598">
        <w:lastRenderedPageBreak/>
        <w:t>context</w:t>
      </w:r>
      <w:r w:rsidRPr="00607598">
        <w:rPr>
          <w:rFonts w:cs="Times New Roman"/>
        </w:rPr>
        <w:t>…</w:t>
      </w:r>
      <w:r w:rsidRPr="00607598">
        <w:t>One cannot separate the leader(s) from the context any more than one can separate flavour from food</w:t>
      </w:r>
      <w:r w:rsidR="006F56B8" w:rsidRPr="00607598">
        <w:t>.</w:t>
      </w:r>
      <w:r w:rsidRPr="00607598">
        <w:t>’ Leithwood, Harris and Hopkins</w:t>
      </w:r>
      <w:r w:rsidR="009B2756" w:rsidRPr="00607598">
        <w:t xml:space="preserve"> (2020, p. 10)</w:t>
      </w:r>
      <w:r w:rsidRPr="00607598">
        <w:t xml:space="preserve"> </w:t>
      </w:r>
      <w:r w:rsidR="006F56B8" w:rsidRPr="00607598">
        <w:t>similarly observe:</w:t>
      </w:r>
    </w:p>
    <w:p w14:paraId="1005E412" w14:textId="2EE3939C" w:rsidR="00981B32" w:rsidRPr="00607598" w:rsidRDefault="00981B32" w:rsidP="0068037A">
      <w:pPr>
        <w:pStyle w:val="NoSpacing"/>
      </w:pPr>
      <w:r w:rsidRPr="00607598">
        <w:t>A school leader’s main question should always be: Under these conditions, what should I do? Indeed, there is a credible case to be made that the role of research is to identify forms of leadership that will be helpful across many different contexts and that the prime role of school leaders is to figure out how best to use that information as they craft their responses to their own unique contexts</w:t>
      </w:r>
      <w:r w:rsidR="009B2756" w:rsidRPr="00607598">
        <w:t>.</w:t>
      </w:r>
    </w:p>
    <w:p w14:paraId="6BA2A375" w14:textId="77777777" w:rsidR="009B2756" w:rsidRPr="00607598" w:rsidRDefault="009B2756" w:rsidP="00C71378">
      <w:pPr>
        <w:pStyle w:val="Quote"/>
      </w:pPr>
    </w:p>
    <w:p w14:paraId="4D0B51FE" w14:textId="48905614" w:rsidR="00981B32" w:rsidRPr="00607598" w:rsidRDefault="00981B32" w:rsidP="009B2756">
      <w:pPr>
        <w:spacing w:before="0" w:after="0" w:line="480" w:lineRule="auto"/>
        <w:ind w:left="0"/>
      </w:pPr>
      <w:r w:rsidRPr="00607598">
        <w:t>This is a central and serious task for any school principal.  Whilst it is recognised that context is important in the exercise of the leadership function, empirical research on the topic is scarce</w:t>
      </w:r>
      <w:r w:rsidR="00653EB0" w:rsidRPr="00607598">
        <w:t xml:space="preserve">. </w:t>
      </w:r>
      <w:r w:rsidRPr="00607598">
        <w:t xml:space="preserve">We still do not know enough about the impact of context, or indeed have an exhaustive list of the factors involved  and how they might interact with each other in any particular setting </w:t>
      </w:r>
      <w:r w:rsidRPr="00607598">
        <w:fldChar w:fldCharType="begin" w:fldLock="1"/>
      </w:r>
      <w:r w:rsidRPr="00607598">
        <w:instrText>ADDIN CSL_CITATION {"citationItems":[{"id":"ITEM-1","itemData":{"DOI":"10.1080/01596306.2011.601555","ISSN":"01596306","abstract":"This first paper in the series concentrates on school context and outlines a framework which identifies and relates a variety of factors that influence differences in policy enactments between similar schools. In taking context seriously in our four case-study schools we argue that policies are intimately shaped and influenced by school-specific factors, even though in much central policy making, these sorts of constraints, pressures and enablers of policy enactments tend to be neglected. This paper considers aspects such as school intake, history, staffing, school ethos and culture, 'material' elements like buildings, resources and budgets, as well as external environments. These factors are conceptualised as situated, material, professional and external dimensions and we aim to present a grounded exploration of the localised nature of policy actions that is more 'real' and realistic than that often assumed by policy making. © 2011 Taylor &amp; Francis.","author":[{"dropping-particle":"","family":"Braun","given":"Annette","non-dropping-particle":"","parse-names":false,"suffix":""},{"dropping-particle":"","family":"Ball","given":"Stephen J.","non-dropping-particle":"","parse-names":false,"suffix":""},{"dropping-particle":"","family":"Maguire","given":"Meg","non-dropping-particle":"","parse-names":false,"suffix":""},{"dropping-particle":"","family":"Hoskins","given":"Kate","non-dropping-particle":"","parse-names":false,"suffix":""}],"container-title":"Discourse","id":"ITEM-1","issue":"4","issued":{"date-parts":[["2011"]]},"page":"585–596","title":"Taking context seriously: Towards explaining policy enactments in the secondary school","type":"article-journal","volume":"32"},"uris":["http://www.mendeley.com/documents/?uuid=e2c38c6e-8b74-4e8f-b2f9-b2caaa7add2b"]}],"mendeley":{"formattedCitation":"(Braun, Ball, Maguire, &amp; Hoskins, 2011)","plainTextFormattedCitation":"(Braun, Ball, Maguire, &amp; Hoskins, 2011)","previouslyFormattedCitation":"(Braun, Ball, Maguire, &amp; Hoskins, 2011)"},"properties":{"noteIndex":0},"schema":"https://github.com/citation-style-language/schema/raw/master/csl-citation.json"}</w:instrText>
      </w:r>
      <w:r w:rsidRPr="00607598">
        <w:fldChar w:fldCharType="separate"/>
      </w:r>
      <w:r w:rsidRPr="00607598">
        <w:rPr>
          <w:noProof/>
        </w:rPr>
        <w:t>(Braun, Ball, Maguire, &amp; Hoskins, 2011)</w:t>
      </w:r>
      <w:r w:rsidRPr="00607598">
        <w:fldChar w:fldCharType="end"/>
      </w:r>
      <w:r w:rsidRPr="00607598">
        <w:t xml:space="preserve">. It is clear, however, that contexts are ‘volatile, latent, ambiguous and therefore elusive’ </w:t>
      </w:r>
      <w:r w:rsidRPr="00607598">
        <w:fldChar w:fldCharType="begin" w:fldLock="1"/>
      </w:r>
      <w:r w:rsidRPr="00607598">
        <w:instrText>ADDIN CSL_CITATION {"citationItems":[{"id":"ITEM-1","itemData":{"DOI":"10.1080/00071005.2016.1199772","ISSN":"14678527","abstract":"The amount of empirical research on leadership of educational organisations, and especially of schools, which has stressed the importance of being sensitive to context, is not great. This paper seeks to highlight the challenge presented by this situation. First, context is defined. Second, attention is drawn to what can be learned in the area of school leadership from the emphasis in other bodies of scholarship within the broad field of education studies on paying attention to matters of context. Third, an overview is provided of some of the key considerations arising out of the small body of work undertaken in the field by those researchers who have focussed on the broad range of issues that can arise for school leaders in distinctive contexts. Finally, five key and interconnected propositions to guide practice with regard to leadership in diverse contexts that have been generated from an analysis of the latter body of work are presented. In doing so, it is recognised that these are tentative in the absence of a much larger corpus of work. Overall, we hope that, along with providing intellectual sustenance, each of the four areas considered will also stimulate discussion on areas for further research.","author":[{"dropping-particle":"","family":"Clarke","given":"Simon","non-dropping-particle":"","parse-names":false,"suffix":""},{"dropping-particle":"","family":"O’Donoghue","given":"Tom","non-dropping-particle":"","parse-names":false,"suffix":""}],"container-title":"British Journal of Educational Studies","id":"ITEM-1","issue":"2","issued":{"date-parts":[["2017"]]},"page":"167–182","publisher":"Routledge","title":"Educational Leadership and Context: A Rendering of an Inseparable Relationship","type":"article-journal","volume":"65"},"uris":["http://www.mendeley.com/documents/?uuid=3f7b463e-1752-44c3-ab41-2da42ce1bf81"]}],"mendeley":{"formattedCitation":"(Clarke &amp; O’Donoghue, 2017)","manualFormatting":"(Clarke &amp; O’Donoghue, 2017, p. 176)","plainTextFormattedCitation":"(Clarke &amp; O’Donoghue, 2017)","previouslyFormattedCitation":"(Clarke &amp; O’Donoghue, 2017)"},"properties":{"noteIndex":0},"schema":"https://github.com/citation-style-language/schema/raw/master/csl-citation.json"}</w:instrText>
      </w:r>
      <w:r w:rsidRPr="00607598">
        <w:fldChar w:fldCharType="separate"/>
      </w:r>
      <w:r w:rsidRPr="00607598">
        <w:rPr>
          <w:noProof/>
        </w:rPr>
        <w:t xml:space="preserve">(Clarke </w:t>
      </w:r>
      <w:r w:rsidR="006F3415" w:rsidRPr="00607598">
        <w:rPr>
          <w:noProof/>
        </w:rPr>
        <w:t>and</w:t>
      </w:r>
      <w:r w:rsidRPr="00607598">
        <w:rPr>
          <w:noProof/>
        </w:rPr>
        <w:t xml:space="preserve"> O’Donoghue, 2017, p. 176)</w:t>
      </w:r>
      <w:r w:rsidRPr="00607598">
        <w:fldChar w:fldCharType="end"/>
      </w:r>
      <w:r w:rsidRPr="00607598">
        <w:t xml:space="preserve"> and therein lies the challenge.</w:t>
      </w:r>
    </w:p>
    <w:p w14:paraId="64430E30" w14:textId="77777777" w:rsidR="002123C2" w:rsidRPr="00607598" w:rsidRDefault="002123C2" w:rsidP="002123C2">
      <w:pPr>
        <w:spacing w:before="0" w:after="0"/>
        <w:ind w:left="0"/>
      </w:pPr>
    </w:p>
    <w:p w14:paraId="1BDF26B4" w14:textId="2A10260C" w:rsidR="002123C2" w:rsidRPr="00607598" w:rsidRDefault="002123C2" w:rsidP="006949D3">
      <w:pPr>
        <w:spacing w:before="0" w:after="0" w:line="480" w:lineRule="auto"/>
        <w:ind w:left="0"/>
        <w:rPr>
          <w:b/>
          <w:bCs/>
        </w:rPr>
      </w:pPr>
      <w:r w:rsidRPr="00607598">
        <w:rPr>
          <w:b/>
          <w:bCs/>
        </w:rPr>
        <w:t>The Delivering Equality of Opportunity in Schools (DEIS) Programme</w:t>
      </w:r>
    </w:p>
    <w:p w14:paraId="62758B9E" w14:textId="30A38694" w:rsidR="005C144B" w:rsidRPr="00607598" w:rsidRDefault="005639E3" w:rsidP="006949D3">
      <w:pPr>
        <w:spacing w:before="0" w:after="0" w:line="480" w:lineRule="auto"/>
        <w:ind w:left="0"/>
        <w:rPr>
          <w:rFonts w:ascii="Roboto" w:hAnsi="Roboto"/>
          <w:sz w:val="21"/>
          <w:szCs w:val="21"/>
          <w:shd w:val="clear" w:color="auto" w:fill="FFFFFF"/>
        </w:rPr>
      </w:pPr>
      <w:r w:rsidRPr="00607598">
        <w:rPr>
          <w:rFonts w:cs="Times New Roman"/>
          <w:szCs w:val="24"/>
        </w:rPr>
        <w:t xml:space="preserve">Educational disadvantage is defined in the Education Act of 1998 as </w:t>
      </w:r>
      <w:r w:rsidR="002123C2" w:rsidRPr="00607598">
        <w:rPr>
          <w:rFonts w:cs="Times New Roman"/>
          <w:szCs w:val="24"/>
        </w:rPr>
        <w:t>‘</w:t>
      </w:r>
      <w:r w:rsidRPr="00607598">
        <w:rPr>
          <w:rFonts w:cs="Times New Roman"/>
          <w:szCs w:val="24"/>
        </w:rPr>
        <w:t>the impediments to education arising from social or economic disadvantage which prevent students from deriving appropriate benefit from education in schools</w:t>
      </w:r>
      <w:r w:rsidR="002123C2" w:rsidRPr="00607598">
        <w:rPr>
          <w:rFonts w:cs="Times New Roman"/>
          <w:szCs w:val="24"/>
        </w:rPr>
        <w:t>’</w:t>
      </w:r>
      <w:r w:rsidRPr="00607598">
        <w:rPr>
          <w:rFonts w:cs="Times New Roman"/>
          <w:szCs w:val="24"/>
        </w:rPr>
        <w:t xml:space="preserve"> (Government of Ireland, 1998, Sect. 32, 9). </w:t>
      </w:r>
      <w:r w:rsidR="005C144B" w:rsidRPr="00607598">
        <w:rPr>
          <w:rFonts w:cs="Times New Roman"/>
          <w:szCs w:val="24"/>
        </w:rPr>
        <w:t>As Cahill (</w:t>
      </w:r>
      <w:r w:rsidR="00C84391" w:rsidRPr="00607598">
        <w:rPr>
          <w:rFonts w:cs="Times New Roman"/>
          <w:szCs w:val="24"/>
        </w:rPr>
        <w:t>2015, p. 313</w:t>
      </w:r>
      <w:r w:rsidR="005C144B" w:rsidRPr="00607598">
        <w:rPr>
          <w:rFonts w:cs="Times New Roman"/>
          <w:szCs w:val="24"/>
        </w:rPr>
        <w:t xml:space="preserve">) notes, the use of language such as ‘impediment’, ‘disadvantage’ and ‘prevent’ has a disempowering and objectifying effect, contributing to the construction of deficited ‘cultural models’ (Gee, 2011, p. 174) in which </w:t>
      </w:r>
      <w:r w:rsidR="005C144B" w:rsidRPr="00607598">
        <w:rPr>
          <w:rFonts w:cs="Times New Roman"/>
          <w:szCs w:val="24"/>
          <w:shd w:val="clear" w:color="auto" w:fill="FFFFFF"/>
        </w:rPr>
        <w:t>"the disadvantaged" become a recognisable entity that are different, othered, objectified and often vilified.</w:t>
      </w:r>
      <w:r w:rsidR="003C249E" w:rsidRPr="00607598">
        <w:rPr>
          <w:rFonts w:cs="Times New Roman"/>
          <w:szCs w:val="24"/>
          <w:shd w:val="clear" w:color="auto" w:fill="FFFFFF"/>
        </w:rPr>
        <w:t>’</w:t>
      </w:r>
    </w:p>
    <w:p w14:paraId="5C080EB8" w14:textId="5E702E30" w:rsidR="005639E3" w:rsidRPr="00607598" w:rsidRDefault="005C144B" w:rsidP="006949D3">
      <w:pPr>
        <w:spacing w:before="0" w:after="0" w:line="480" w:lineRule="auto"/>
        <w:ind w:left="0"/>
        <w:rPr>
          <w:lang w:val="en-US"/>
        </w:rPr>
      </w:pPr>
      <w:r w:rsidRPr="00607598">
        <w:rPr>
          <w:rFonts w:ascii="Roboto" w:hAnsi="Roboto"/>
          <w:sz w:val="21"/>
          <w:szCs w:val="21"/>
          <w:shd w:val="clear" w:color="auto" w:fill="FFFFFF"/>
        </w:rPr>
        <w:t xml:space="preserve"> </w:t>
      </w:r>
      <w:r w:rsidR="00CA6930" w:rsidRPr="00607598">
        <w:rPr>
          <w:rFonts w:cs="Times New Roman"/>
          <w:szCs w:val="24"/>
        </w:rPr>
        <w:tab/>
      </w:r>
      <w:r w:rsidR="005639E3" w:rsidRPr="00607598">
        <w:rPr>
          <w:rFonts w:cs="Times New Roman"/>
          <w:szCs w:val="24"/>
        </w:rPr>
        <w:t xml:space="preserve">The policy response of the Irish government has been to adopt a policy of positive discrimination, whereby additional resources are allocated to schools which cater for students, or really for high numbers of students, from low SES backgrounds (Weir, 2016). </w:t>
      </w:r>
      <w:r w:rsidR="002123C2" w:rsidRPr="00607598">
        <w:rPr>
          <w:rFonts w:cs="Times New Roman"/>
          <w:szCs w:val="24"/>
        </w:rPr>
        <w:t xml:space="preserve">This response is crystallised in the DEIS programme, launched in 2005 by then Minister </w:t>
      </w:r>
      <w:r w:rsidR="00CA6930" w:rsidRPr="00607598">
        <w:rPr>
          <w:rFonts w:cs="Times New Roman"/>
          <w:szCs w:val="24"/>
        </w:rPr>
        <w:t xml:space="preserve">for Education, </w:t>
      </w:r>
      <w:r w:rsidR="002123C2" w:rsidRPr="00607598">
        <w:rPr>
          <w:rFonts w:cs="Times New Roman"/>
          <w:szCs w:val="24"/>
        </w:rPr>
        <w:t xml:space="preserve">Mary </w:t>
      </w:r>
      <w:r w:rsidR="002123C2" w:rsidRPr="00607598">
        <w:rPr>
          <w:rFonts w:cs="Times New Roman"/>
          <w:szCs w:val="24"/>
        </w:rPr>
        <w:lastRenderedPageBreak/>
        <w:t xml:space="preserve">Hanafin. </w:t>
      </w:r>
      <w:r w:rsidR="002123C2" w:rsidRPr="00607598">
        <w:rPr>
          <w:rFonts w:eastAsia="Times New Roman" w:cs="Times New Roman"/>
          <w:iCs/>
          <w:szCs w:val="24"/>
          <w:lang w:eastAsia="en-GB"/>
        </w:rPr>
        <w:t xml:space="preserve">The </w:t>
      </w:r>
      <w:r w:rsidR="003C249E" w:rsidRPr="00607598">
        <w:rPr>
          <w:rFonts w:eastAsia="Times New Roman" w:cs="Times New Roman"/>
          <w:iCs/>
          <w:szCs w:val="24"/>
          <w:lang w:eastAsia="en-GB"/>
        </w:rPr>
        <w:t xml:space="preserve">DEIS </w:t>
      </w:r>
      <w:r w:rsidR="002123C2" w:rsidRPr="00607598">
        <w:rPr>
          <w:rFonts w:eastAsia="Times New Roman" w:cs="Times New Roman"/>
          <w:iCs/>
          <w:szCs w:val="24"/>
          <w:lang w:eastAsia="en-GB"/>
        </w:rPr>
        <w:t xml:space="preserve">programme </w:t>
      </w:r>
      <w:r w:rsidR="003C249E" w:rsidRPr="00607598">
        <w:rPr>
          <w:rFonts w:eastAsia="Times New Roman" w:cs="Times New Roman"/>
          <w:iCs/>
          <w:szCs w:val="24"/>
          <w:lang w:eastAsia="en-GB"/>
        </w:rPr>
        <w:t xml:space="preserve">builds on </w:t>
      </w:r>
      <w:r w:rsidR="002E76B8" w:rsidRPr="00607598">
        <w:rPr>
          <w:rFonts w:eastAsia="Times New Roman" w:cs="Times New Roman"/>
          <w:iCs/>
          <w:szCs w:val="24"/>
          <w:lang w:eastAsia="en-GB"/>
        </w:rPr>
        <w:t xml:space="preserve">the work of the Education Disadvantage Committee </w:t>
      </w:r>
      <w:r w:rsidR="00B167E8" w:rsidRPr="00607598">
        <w:rPr>
          <w:rFonts w:eastAsia="Times New Roman" w:cs="Times New Roman"/>
          <w:iCs/>
          <w:szCs w:val="24"/>
          <w:lang w:eastAsia="en-GB"/>
        </w:rPr>
        <w:t>(</w:t>
      </w:r>
      <w:r w:rsidR="002E76B8" w:rsidRPr="00607598">
        <w:rPr>
          <w:rFonts w:eastAsia="Times New Roman" w:cs="Times New Roman"/>
          <w:iCs/>
          <w:szCs w:val="24"/>
          <w:lang w:eastAsia="en-GB"/>
        </w:rPr>
        <w:t>EDC</w:t>
      </w:r>
      <w:r w:rsidR="00B167E8" w:rsidRPr="00607598">
        <w:rPr>
          <w:rFonts w:eastAsia="Times New Roman" w:cs="Times New Roman"/>
          <w:iCs/>
          <w:szCs w:val="24"/>
          <w:lang w:eastAsia="en-GB"/>
        </w:rPr>
        <w:t>)</w:t>
      </w:r>
      <w:r w:rsidR="002E76B8" w:rsidRPr="00607598">
        <w:rPr>
          <w:rFonts w:eastAsia="Times New Roman" w:cs="Times New Roman"/>
          <w:iCs/>
          <w:szCs w:val="24"/>
          <w:lang w:eastAsia="en-GB"/>
        </w:rPr>
        <w:t xml:space="preserve"> </w:t>
      </w:r>
      <w:r w:rsidR="000A493F" w:rsidRPr="00607598">
        <w:rPr>
          <w:rFonts w:eastAsia="Times New Roman" w:cs="Times New Roman"/>
          <w:iCs/>
          <w:szCs w:val="24"/>
          <w:lang w:eastAsia="en-GB"/>
        </w:rPr>
        <w:t xml:space="preserve">which </w:t>
      </w:r>
      <w:r w:rsidR="002E76B8" w:rsidRPr="00607598">
        <w:rPr>
          <w:rFonts w:eastAsia="Times New Roman" w:cs="Times New Roman"/>
          <w:iCs/>
          <w:szCs w:val="24"/>
          <w:lang w:eastAsia="en-GB"/>
        </w:rPr>
        <w:t>had been set up in 2002 as an expert group functioning on an independent statutory basis,</w:t>
      </w:r>
      <w:r w:rsidR="003C249E" w:rsidRPr="00607598">
        <w:rPr>
          <w:rFonts w:eastAsia="Times New Roman" w:cs="Times New Roman"/>
          <w:iCs/>
          <w:szCs w:val="24"/>
          <w:lang w:eastAsia="en-GB"/>
        </w:rPr>
        <w:t xml:space="preserve"> </w:t>
      </w:r>
      <w:r w:rsidR="002123C2" w:rsidRPr="00607598">
        <w:rPr>
          <w:szCs w:val="24"/>
          <w:lang w:val="en-US"/>
        </w:rPr>
        <w:t>under the leadership of Áine Hyland.</w:t>
      </w:r>
      <w:r w:rsidR="00BA0FF1" w:rsidRPr="00607598">
        <w:rPr>
          <w:szCs w:val="24"/>
          <w:lang w:val="en-US"/>
        </w:rPr>
        <w:t xml:space="preserve"> </w:t>
      </w:r>
      <w:r w:rsidR="002E76B8" w:rsidRPr="00607598">
        <w:rPr>
          <w:szCs w:val="24"/>
          <w:lang w:val="en-US"/>
        </w:rPr>
        <w:t>W</w:t>
      </w:r>
      <w:r w:rsidR="00AC583B" w:rsidRPr="00607598">
        <w:rPr>
          <w:szCs w:val="24"/>
          <w:lang w:val="en-US"/>
        </w:rPr>
        <w:t>hilst</w:t>
      </w:r>
      <w:r w:rsidR="000A493F" w:rsidRPr="00607598">
        <w:rPr>
          <w:szCs w:val="24"/>
          <w:lang w:val="en-US"/>
        </w:rPr>
        <w:t xml:space="preserve"> the EDC</w:t>
      </w:r>
      <w:r w:rsidR="002E76B8" w:rsidRPr="00607598">
        <w:rPr>
          <w:szCs w:val="24"/>
          <w:lang w:val="en-US"/>
        </w:rPr>
        <w:t xml:space="preserve"> had some influence on the </w:t>
      </w:r>
      <w:r w:rsidR="000A493F" w:rsidRPr="00607598">
        <w:rPr>
          <w:szCs w:val="24"/>
          <w:lang w:val="en-US"/>
        </w:rPr>
        <w:t xml:space="preserve">contents of the </w:t>
      </w:r>
      <w:r w:rsidR="002E76B8" w:rsidRPr="00607598">
        <w:rPr>
          <w:szCs w:val="24"/>
          <w:lang w:val="en-US"/>
        </w:rPr>
        <w:t>DEIS plan</w:t>
      </w:r>
      <w:r w:rsidR="003C249E" w:rsidRPr="00607598">
        <w:rPr>
          <w:szCs w:val="24"/>
          <w:lang w:val="en-US"/>
        </w:rPr>
        <w:t>,</w:t>
      </w:r>
      <w:r w:rsidR="000A493F" w:rsidRPr="00607598">
        <w:rPr>
          <w:szCs w:val="24"/>
          <w:lang w:val="en-US"/>
        </w:rPr>
        <w:t xml:space="preserve"> it seems to have been fairly limited. </w:t>
      </w:r>
      <w:r w:rsidR="000A493F" w:rsidRPr="00607598">
        <w:rPr>
          <w:lang w:val="en-US"/>
        </w:rPr>
        <w:t>The work of the EDC is beyond the scope of this article; suffice it to say that its various reports reflected a broad holistic approach to the issues raise</w:t>
      </w:r>
      <w:r w:rsidR="00AC583B" w:rsidRPr="00607598">
        <w:rPr>
          <w:lang w:val="en-US"/>
        </w:rPr>
        <w:t xml:space="preserve">d by educational disadvantage. </w:t>
      </w:r>
      <w:r w:rsidR="003C249E" w:rsidRPr="00607598">
        <w:rPr>
          <w:lang w:val="en-US"/>
        </w:rPr>
        <w:t>Furthermore</w:t>
      </w:r>
      <w:r w:rsidR="00AC583B" w:rsidRPr="00607598">
        <w:rPr>
          <w:lang w:val="en-US"/>
        </w:rPr>
        <w:t>, i</w:t>
      </w:r>
      <w:r w:rsidR="000A493F" w:rsidRPr="00607598">
        <w:rPr>
          <w:lang w:val="en-US"/>
        </w:rPr>
        <w:t xml:space="preserve">ts independent status allowed it to express a more open critique of current arrangements. In particular, its approach was based on the need for a whole of government approach to the problems of social exclusion involving action by a wide range of departments and agencies. Inevitably, the DEIS plan is more narrowly focused on the role schools and the DES can fulfill. </w:t>
      </w:r>
      <w:r w:rsidR="000A493F" w:rsidRPr="00607598">
        <w:t xml:space="preserve"> </w:t>
      </w:r>
      <w:r w:rsidR="00BA0FF1" w:rsidRPr="00607598">
        <w:rPr>
          <w:szCs w:val="24"/>
          <w:lang w:val="en-US"/>
        </w:rPr>
        <w:t>Indeed</w:t>
      </w:r>
      <w:r w:rsidR="00A74C58" w:rsidRPr="00607598">
        <w:rPr>
          <w:szCs w:val="24"/>
          <w:lang w:val="en-US"/>
        </w:rPr>
        <w:t>,</w:t>
      </w:r>
      <w:r w:rsidR="00BA0FF1" w:rsidRPr="00607598">
        <w:rPr>
          <w:szCs w:val="24"/>
          <w:lang w:val="en-US"/>
        </w:rPr>
        <w:t xml:space="preserve"> some scholars have argued that DEIS was set up as </w:t>
      </w:r>
      <w:r w:rsidR="002123C2" w:rsidRPr="00607598">
        <w:rPr>
          <w:rFonts w:eastAsia="Times New Roman" w:cs="Times New Roman"/>
          <w:iCs/>
          <w:szCs w:val="24"/>
          <w:lang w:eastAsia="en-GB"/>
        </w:rPr>
        <w:t>a means of taking back control of the educational disadvantage agenda from the independent statutory committee, which was taking a more radical and comprehensive approach to the issue (</w:t>
      </w:r>
      <w:r w:rsidR="002D3A81" w:rsidRPr="00607598">
        <w:rPr>
          <w:rFonts w:eastAsia="Times New Roman" w:cs="Times New Roman"/>
          <w:iCs/>
          <w:szCs w:val="24"/>
          <w:lang w:eastAsia="en-GB"/>
        </w:rPr>
        <w:t>Fleming</w:t>
      </w:r>
      <w:r w:rsidR="003F5B9A" w:rsidRPr="00607598">
        <w:rPr>
          <w:rFonts w:eastAsia="Times New Roman" w:cs="Times New Roman"/>
          <w:iCs/>
          <w:szCs w:val="24"/>
          <w:lang w:eastAsia="en-GB"/>
        </w:rPr>
        <w:t>,</w:t>
      </w:r>
      <w:r w:rsidR="002123C2" w:rsidRPr="00607598">
        <w:rPr>
          <w:rFonts w:eastAsia="Times New Roman" w:cs="Times New Roman"/>
          <w:iCs/>
          <w:szCs w:val="24"/>
          <w:lang w:eastAsia="en-GB"/>
        </w:rPr>
        <w:t xml:space="preserve"> 2016, pp. 347–353).</w:t>
      </w:r>
      <w:r w:rsidR="002123C2" w:rsidRPr="00607598">
        <w:rPr>
          <w:rFonts w:cs="Times New Roman"/>
          <w:szCs w:val="24"/>
        </w:rPr>
        <w:t xml:space="preserve"> </w:t>
      </w:r>
      <w:r w:rsidR="000A493F" w:rsidRPr="00607598">
        <w:rPr>
          <w:lang w:val="en-US"/>
        </w:rPr>
        <w:t xml:space="preserve">The original EDC was never replaced but it is interesting </w:t>
      </w:r>
      <w:r w:rsidR="000A493F" w:rsidRPr="00607598">
        <w:t xml:space="preserve">that a group of our most distinguished educationalists recently made the case for the provision of an EDC to be re-introduced (Coolahan, Drudy, Hogan, Hyland and McGuiness, 2017) and the idea seems to be gaining some traction in political circles with one of the major parties espousing the idea. </w:t>
      </w:r>
    </w:p>
    <w:p w14:paraId="1EBABD4E" w14:textId="64662178" w:rsidR="00A74C58" w:rsidRPr="00607598" w:rsidRDefault="005639E3" w:rsidP="006949D3">
      <w:pPr>
        <w:spacing w:before="0" w:after="0" w:line="480" w:lineRule="auto"/>
        <w:ind w:left="0" w:firstLine="720"/>
        <w:rPr>
          <w:rFonts w:eastAsia="Times New Roman" w:cs="Times New Roman"/>
          <w:szCs w:val="24"/>
          <w:lang w:eastAsia="en-GB"/>
        </w:rPr>
      </w:pPr>
      <w:r w:rsidRPr="00607598">
        <w:rPr>
          <w:rFonts w:cs="Times New Roman"/>
          <w:szCs w:val="24"/>
        </w:rPr>
        <w:t>DEIS introduced an independent standardised system for determining which schools were entitled to participate based on a deprivation index that includes variables such as employment status, education levels, single parenthood, overcrowding and dependency rates.</w:t>
      </w:r>
      <w:r w:rsidR="002123C2" w:rsidRPr="00607598">
        <w:rPr>
          <w:rFonts w:eastAsia="Times New Roman" w:cs="Times New Roman"/>
          <w:szCs w:val="24"/>
          <w:lang w:eastAsia="en-GB"/>
        </w:rPr>
        <w:t xml:space="preserve"> </w:t>
      </w:r>
      <w:r w:rsidRPr="00607598">
        <w:rPr>
          <w:rFonts w:eastAsia="Times New Roman" w:cs="Times New Roman"/>
          <w:szCs w:val="24"/>
          <w:lang w:val="en-IE" w:eastAsia="en-GB"/>
        </w:rPr>
        <w:t xml:space="preserve">Extra funding was to be made available to designated secondary schools, including an additional grant under the School Books Scheme, resources to fund a Whole School Literacy and Numeracy Strategy as well as inclusion in the Home School Community Liaison Scheme and the School Completion Programme. As an essential part of the programme, school planning and target-setting measures were to be provided. Curricular initiatives, such as the Junior </w:t>
      </w:r>
      <w:r w:rsidRPr="00607598">
        <w:rPr>
          <w:rFonts w:eastAsia="Times New Roman" w:cs="Times New Roman"/>
          <w:szCs w:val="24"/>
          <w:lang w:val="en-IE" w:eastAsia="en-GB"/>
        </w:rPr>
        <w:lastRenderedPageBreak/>
        <w:t>Certificate Schools Programme (JCSP) and the Leaving Certificate Applied were to be made available to all schools serving disadvantaged areas. The various initiatives that had previously been made available to such schools were to be integrated in a school-support programme (SSP), and outside agencies such as the NEWB were seen as important participants in ensuring progress. Progress on the implementation of plans was to be reviewed on an annual basis. It is noticeable, however, that no effort was made to analyse the educational needs of particular areas, their extent, and the resources needed to overcome them</w:t>
      </w:r>
      <w:r w:rsidR="003F5B9A" w:rsidRPr="00607598">
        <w:rPr>
          <w:rFonts w:eastAsia="Times New Roman" w:cs="Times New Roman"/>
          <w:szCs w:val="24"/>
          <w:lang w:val="en-IE" w:eastAsia="en-GB"/>
        </w:rPr>
        <w:t xml:space="preserve"> (</w:t>
      </w:r>
      <w:r w:rsidR="002D3A81" w:rsidRPr="00607598">
        <w:rPr>
          <w:rFonts w:eastAsia="Times New Roman" w:cs="Times New Roman"/>
          <w:szCs w:val="24"/>
          <w:lang w:val="en-IE" w:eastAsia="en-GB"/>
        </w:rPr>
        <w:t>Fleming</w:t>
      </w:r>
      <w:r w:rsidR="003F5B9A" w:rsidRPr="00607598">
        <w:rPr>
          <w:rFonts w:eastAsia="Times New Roman" w:cs="Times New Roman"/>
          <w:szCs w:val="24"/>
          <w:lang w:val="en-IE" w:eastAsia="en-GB"/>
        </w:rPr>
        <w:t>,</w:t>
      </w:r>
      <w:r w:rsidR="00BA0FF1" w:rsidRPr="00607598">
        <w:rPr>
          <w:rFonts w:eastAsia="Times New Roman" w:cs="Times New Roman"/>
          <w:szCs w:val="24"/>
          <w:lang w:val="en-IE" w:eastAsia="en-GB"/>
        </w:rPr>
        <w:t xml:space="preserve"> 2020)</w:t>
      </w:r>
      <w:r w:rsidRPr="00607598">
        <w:rPr>
          <w:rFonts w:eastAsia="Times New Roman" w:cs="Times New Roman"/>
          <w:szCs w:val="24"/>
          <w:lang w:val="en-IE" w:eastAsia="en-GB"/>
        </w:rPr>
        <w:t>.</w:t>
      </w:r>
      <w:r w:rsidR="003F5B9A" w:rsidRPr="00607598">
        <w:rPr>
          <w:rFonts w:eastAsia="Times New Roman" w:cs="Times New Roman"/>
          <w:szCs w:val="24"/>
          <w:lang w:val="en-IE" w:eastAsia="en-GB"/>
        </w:rPr>
        <w:t xml:space="preserve"> </w:t>
      </w:r>
    </w:p>
    <w:p w14:paraId="6C82356A" w14:textId="3DB1A62E" w:rsidR="00A74C58" w:rsidRPr="00607598" w:rsidRDefault="005639E3" w:rsidP="006949D3">
      <w:pPr>
        <w:spacing w:before="0" w:after="0" w:line="480" w:lineRule="auto"/>
        <w:ind w:left="0" w:firstLine="720"/>
        <w:rPr>
          <w:rFonts w:eastAsia="Times New Roman" w:cs="Times New Roman"/>
          <w:szCs w:val="24"/>
          <w:lang w:eastAsia="en-GB"/>
        </w:rPr>
      </w:pPr>
      <w:r w:rsidRPr="00607598">
        <w:rPr>
          <w:rFonts w:eastAsia="Times New Roman" w:cs="Times New Roman"/>
          <w:iCs/>
          <w:szCs w:val="24"/>
          <w:lang w:eastAsia="en-GB"/>
        </w:rPr>
        <w:t>The first evaluation of DEIS at post-primary level was carried out by the E</w:t>
      </w:r>
      <w:r w:rsidR="00A74C58" w:rsidRPr="00607598">
        <w:rPr>
          <w:rFonts w:eastAsia="Times New Roman" w:cs="Times New Roman"/>
          <w:iCs/>
          <w:szCs w:val="24"/>
          <w:lang w:eastAsia="en-GB"/>
        </w:rPr>
        <w:t xml:space="preserve">ducation </w:t>
      </w:r>
      <w:r w:rsidRPr="00607598">
        <w:rPr>
          <w:rFonts w:eastAsia="Times New Roman" w:cs="Times New Roman"/>
          <w:iCs/>
          <w:szCs w:val="24"/>
          <w:lang w:eastAsia="en-GB"/>
        </w:rPr>
        <w:t>R</w:t>
      </w:r>
      <w:r w:rsidR="00A74C58" w:rsidRPr="00607598">
        <w:rPr>
          <w:rFonts w:eastAsia="Times New Roman" w:cs="Times New Roman"/>
          <w:iCs/>
          <w:szCs w:val="24"/>
          <w:lang w:eastAsia="en-GB"/>
        </w:rPr>
        <w:t xml:space="preserve">esearch </w:t>
      </w:r>
      <w:r w:rsidRPr="00607598">
        <w:rPr>
          <w:rFonts w:eastAsia="Times New Roman" w:cs="Times New Roman"/>
          <w:iCs/>
          <w:szCs w:val="24"/>
          <w:lang w:eastAsia="en-GB"/>
        </w:rPr>
        <w:t>C</w:t>
      </w:r>
      <w:r w:rsidR="00A74C58" w:rsidRPr="00607598">
        <w:rPr>
          <w:rFonts w:eastAsia="Times New Roman" w:cs="Times New Roman"/>
          <w:iCs/>
          <w:szCs w:val="24"/>
          <w:lang w:eastAsia="en-GB"/>
        </w:rPr>
        <w:t>entre</w:t>
      </w:r>
      <w:r w:rsidRPr="00607598">
        <w:rPr>
          <w:rFonts w:eastAsia="Times New Roman" w:cs="Times New Roman"/>
          <w:iCs/>
          <w:szCs w:val="24"/>
          <w:lang w:eastAsia="en-GB"/>
        </w:rPr>
        <w:t xml:space="preserve"> and published in 2014 (Weir, McAvinue, Moran and O’Flaherty, 2014). Questionnaires were completed by schools in the scheme and principals were interviewed by a team of fieldworkers. This process was useful in that it supplied a picture of the uptake of the various elements of the programme across the sector, recorded a positive assessment of the scheme by principals and identified some challenges they faced. However, the self-reporting nature of the exercise limited its value. Not surprisingly, the average school principal, when asked if the additional resources afforded to his/her school proved beneficial, replied in the affirmative. On the other hand, the evaluation looked also at retention rates and performance at Junior Certificate examination level. Overall, there were improvements in DEIS schools under both headings though substantial gaps remained when compared with their non-DEIS peers. The following year McAvinue and Weir produced an updated report which included more data on achievement levels and retention, and which noted improvements in all schools over the period, with a more marked change in the DEIS category, although substantial gaps between the two categories remained (McAvinue and Weir, 2015). </w:t>
      </w:r>
      <w:r w:rsidR="00460071" w:rsidRPr="00607598">
        <w:rPr>
          <w:rFonts w:eastAsia="Times New Roman" w:cs="Times New Roman"/>
          <w:iCs/>
          <w:szCs w:val="24"/>
          <w:lang w:eastAsia="en-GB"/>
        </w:rPr>
        <w:t xml:space="preserve"> </w:t>
      </w:r>
      <w:r w:rsidR="005056D9" w:rsidRPr="00607598">
        <w:rPr>
          <w:rFonts w:eastAsia="Times New Roman" w:cs="Times New Roman"/>
          <w:iCs/>
          <w:szCs w:val="24"/>
          <w:lang w:eastAsia="en-GB"/>
        </w:rPr>
        <w:t>A recent ERC study</w:t>
      </w:r>
      <w:r w:rsidR="00460071" w:rsidRPr="00607598">
        <w:rPr>
          <w:rFonts w:eastAsia="Times New Roman" w:cs="Times New Roman"/>
          <w:iCs/>
          <w:szCs w:val="24"/>
          <w:lang w:eastAsia="en-GB"/>
        </w:rPr>
        <w:t xml:space="preserve"> used data from PISA cycles, 2009–2018, to evaluate progress. The authors noted that ‘students in DEIS schools have consistently achieved significantly lower average achievement than students in non-DEIS schools…While the size of the gap has narrowed significantly in reading, </w:t>
      </w:r>
      <w:r w:rsidR="00460071" w:rsidRPr="00607598">
        <w:rPr>
          <w:rFonts w:eastAsia="Times New Roman" w:cs="Times New Roman"/>
          <w:iCs/>
          <w:szCs w:val="24"/>
          <w:lang w:eastAsia="en-GB"/>
        </w:rPr>
        <w:lastRenderedPageBreak/>
        <w:t>it has not changed significantly in mathematics or science’ (Gilleece, Nelis, Fitzgerald and Cosgrove, p. xv).</w:t>
      </w:r>
    </w:p>
    <w:p w14:paraId="37169009" w14:textId="4BD34991" w:rsidR="00A74C58" w:rsidRPr="00607598" w:rsidRDefault="005639E3" w:rsidP="006949D3">
      <w:pPr>
        <w:spacing w:before="0" w:after="0" w:line="480" w:lineRule="auto"/>
        <w:ind w:left="0" w:firstLine="720"/>
        <w:rPr>
          <w:rFonts w:eastAsia="Times New Roman" w:cs="Times New Roman"/>
          <w:szCs w:val="24"/>
          <w:lang w:eastAsia="en-GB"/>
        </w:rPr>
      </w:pPr>
      <w:r w:rsidRPr="00607598">
        <w:rPr>
          <w:rFonts w:eastAsia="Times New Roman" w:cs="Times New Roman"/>
          <w:iCs/>
          <w:szCs w:val="24"/>
          <w:lang w:eastAsia="en-GB"/>
        </w:rPr>
        <w:t xml:space="preserve">In 2015, the ESRI issued a report entitled </w:t>
      </w:r>
      <w:r w:rsidRPr="00607598">
        <w:rPr>
          <w:rFonts w:eastAsia="Times New Roman" w:cs="Times New Roman"/>
          <w:i/>
          <w:iCs/>
          <w:szCs w:val="24"/>
          <w:lang w:eastAsia="en-GB"/>
        </w:rPr>
        <w:t>Learning from the Evaluation of DEIS</w:t>
      </w:r>
      <w:r w:rsidRPr="00607598">
        <w:rPr>
          <w:rFonts w:eastAsia="Times New Roman" w:cs="Times New Roman"/>
          <w:iCs/>
          <w:szCs w:val="24"/>
          <w:lang w:eastAsia="en-GB"/>
        </w:rPr>
        <w:t xml:space="preserve"> (Smyth, McCoy and Kingston, 2015), which drew attention to the fact that there are significant variations in educational achievement and retention levels across DEIS schools, (hardly surprising), and suggested that undertaking research in case study schools could shed light on what factors are at play. Two over-riding issues emerged from this report regarding the objectives of the DEIS scheme and the resources provided to support it. Firstly, the authors questioned what the objective of the DEIS programme was</w:t>
      </w:r>
      <w:r w:rsidR="00C429C1" w:rsidRPr="00607598">
        <w:rPr>
          <w:rFonts w:eastAsia="Times New Roman" w:cs="Times New Roman"/>
          <w:iCs/>
          <w:szCs w:val="24"/>
          <w:lang w:eastAsia="en-GB"/>
        </w:rPr>
        <w:t>,</w:t>
      </w:r>
      <w:r w:rsidRPr="00607598">
        <w:rPr>
          <w:rFonts w:eastAsia="Times New Roman" w:cs="Times New Roman"/>
          <w:iCs/>
          <w:szCs w:val="24"/>
          <w:lang w:eastAsia="en-GB"/>
        </w:rPr>
        <w:t xml:space="preserve"> highlighting the vagueness surrounding the launch of the DEIS scheme as well as the fact that data gaps made a comprehensive evaluation impossible</w:t>
      </w:r>
      <w:r w:rsidR="00C429C1" w:rsidRPr="00607598">
        <w:rPr>
          <w:rFonts w:eastAsia="Times New Roman" w:cs="Times New Roman"/>
          <w:iCs/>
          <w:szCs w:val="24"/>
          <w:lang w:eastAsia="en-GB"/>
        </w:rPr>
        <w:t>.</w:t>
      </w:r>
      <w:r w:rsidRPr="00607598">
        <w:rPr>
          <w:rFonts w:eastAsia="Times New Roman" w:cs="Times New Roman"/>
          <w:iCs/>
          <w:szCs w:val="24"/>
          <w:lang w:eastAsia="en-GB"/>
        </w:rPr>
        <w:t xml:space="preserve"> Secondly, the report pointed out that little discussion had taken place around the level of funding needed by DEIS schools. </w:t>
      </w:r>
    </w:p>
    <w:p w14:paraId="507DD9A4" w14:textId="539AAB73" w:rsidR="005639E3" w:rsidRPr="00607598" w:rsidRDefault="005639E3" w:rsidP="00830E70">
      <w:pPr>
        <w:spacing w:before="0" w:after="0" w:line="480" w:lineRule="auto"/>
        <w:ind w:left="0" w:firstLine="720"/>
        <w:rPr>
          <w:rFonts w:eastAsia="Times New Roman" w:cs="Times New Roman"/>
          <w:szCs w:val="20"/>
          <w:lang w:eastAsia="en-GB"/>
        </w:rPr>
      </w:pPr>
      <w:r w:rsidRPr="00607598">
        <w:rPr>
          <w:rFonts w:eastAsia="Times New Roman" w:cs="Times New Roman"/>
          <w:iCs/>
          <w:szCs w:val="24"/>
          <w:lang w:eastAsia="en-GB"/>
        </w:rPr>
        <w:t>Although DEIS</w:t>
      </w:r>
      <w:r w:rsidR="00C429C1" w:rsidRPr="00607598">
        <w:rPr>
          <w:rFonts w:eastAsia="Times New Roman" w:cs="Times New Roman"/>
          <w:iCs/>
          <w:szCs w:val="24"/>
          <w:lang w:eastAsia="en-GB"/>
        </w:rPr>
        <w:t xml:space="preserve">, </w:t>
      </w:r>
      <w:r w:rsidRPr="00607598">
        <w:rPr>
          <w:rFonts w:eastAsia="Times New Roman" w:cs="Times New Roman"/>
          <w:iCs/>
          <w:szCs w:val="24"/>
          <w:lang w:eastAsia="en-GB"/>
        </w:rPr>
        <w:t>2005</w:t>
      </w:r>
      <w:r w:rsidR="00CA6930" w:rsidRPr="00607598">
        <w:rPr>
          <w:rFonts w:eastAsia="Times New Roman" w:cs="Times New Roman"/>
          <w:iCs/>
          <w:szCs w:val="24"/>
          <w:lang w:eastAsia="en-GB"/>
        </w:rPr>
        <w:t>,</w:t>
      </w:r>
      <w:r w:rsidRPr="00607598">
        <w:rPr>
          <w:rFonts w:eastAsia="Times New Roman" w:cs="Times New Roman"/>
          <w:iCs/>
          <w:szCs w:val="24"/>
          <w:lang w:eastAsia="en-GB"/>
        </w:rPr>
        <w:t xml:space="preserve"> was the subject of ongoing evaluation and regular monitoring, twelve years elapsed before it was revised. </w:t>
      </w:r>
      <w:r w:rsidR="00830E70" w:rsidRPr="00607598">
        <w:rPr>
          <w:rFonts w:eastAsia="Times New Roman" w:cs="Times New Roman"/>
          <w:szCs w:val="20"/>
          <w:lang w:eastAsia="en-GB"/>
        </w:rPr>
        <w:t xml:space="preserve">DEIS, 2017, differed in two important respects from the original version. The process for identifying schools entitled to support under the programme was refined using information from the primary and post-primary databases, the geo-mapping capacity that had been developed in the interim within the DES, and additional information forthcoming from the 2011 census, together with the Pobal HP Deprivation Index. As a result, additional schools were invited to participate in DEIS. The other major change was the adoption of a target-setting approach to the process of policy evaluation. On the personnel side, there was only one change. DEIS schools, like others, are subject to the normal budgetary processes so the enhanced guidance allocation announced in DEIS 2017 was merely a partial replacement of the cutback under this heading in Budget 2012. Hence, in the case of schools already participating in the programme DEIS, 2017, did not represent significant change but, of course, for schools newly admitted it was a very welcome development. </w:t>
      </w:r>
      <w:r w:rsidRPr="00607598">
        <w:rPr>
          <w:rFonts w:eastAsia="Times New Roman" w:cs="Times New Roman"/>
          <w:iCs/>
          <w:szCs w:val="24"/>
          <w:lang w:eastAsia="en-GB"/>
        </w:rPr>
        <w:t xml:space="preserve">Targets to be </w:t>
      </w:r>
      <w:r w:rsidRPr="00607598">
        <w:rPr>
          <w:rFonts w:eastAsia="Times New Roman" w:cs="Times New Roman"/>
          <w:iCs/>
          <w:szCs w:val="24"/>
          <w:lang w:eastAsia="en-GB"/>
        </w:rPr>
        <w:lastRenderedPageBreak/>
        <w:t>examined include</w:t>
      </w:r>
      <w:r w:rsidR="00CA6930" w:rsidRPr="00607598">
        <w:rPr>
          <w:rFonts w:eastAsia="Times New Roman" w:cs="Times New Roman"/>
          <w:iCs/>
          <w:szCs w:val="24"/>
          <w:lang w:eastAsia="en-GB"/>
        </w:rPr>
        <w:t>d</w:t>
      </w:r>
      <w:r w:rsidRPr="00607598">
        <w:rPr>
          <w:rFonts w:eastAsia="Times New Roman" w:cs="Times New Roman"/>
          <w:iCs/>
          <w:szCs w:val="24"/>
          <w:lang w:eastAsia="en-GB"/>
        </w:rPr>
        <w:t xml:space="preserve"> quite specific ones in relation to literacy, numeracy, retention and progression to further education as well as more general improvements in parental engagement and community links. Unfortunately, however, some of the weaknesses in the 2005 version persist</w:t>
      </w:r>
      <w:r w:rsidR="00CA6930" w:rsidRPr="00607598">
        <w:rPr>
          <w:rFonts w:eastAsia="Times New Roman" w:cs="Times New Roman"/>
          <w:iCs/>
          <w:szCs w:val="24"/>
          <w:lang w:eastAsia="en-GB"/>
        </w:rPr>
        <w:t>ed</w:t>
      </w:r>
      <w:r w:rsidRPr="00607598">
        <w:rPr>
          <w:rFonts w:eastAsia="Times New Roman" w:cs="Times New Roman"/>
          <w:iCs/>
          <w:szCs w:val="24"/>
          <w:lang w:eastAsia="en-GB"/>
        </w:rPr>
        <w:t xml:space="preserve">. No attempt </w:t>
      </w:r>
      <w:r w:rsidR="00CA6930" w:rsidRPr="00607598">
        <w:rPr>
          <w:rFonts w:eastAsia="Times New Roman" w:cs="Times New Roman"/>
          <w:iCs/>
          <w:szCs w:val="24"/>
          <w:lang w:eastAsia="en-GB"/>
        </w:rPr>
        <w:t>was</w:t>
      </w:r>
      <w:r w:rsidRPr="00607598">
        <w:rPr>
          <w:rFonts w:eastAsia="Times New Roman" w:cs="Times New Roman"/>
          <w:iCs/>
          <w:szCs w:val="24"/>
          <w:lang w:eastAsia="en-GB"/>
        </w:rPr>
        <w:t xml:space="preserve"> made to address the main questions posed in the ESRI report, namely what the specific objective of the initiative </w:t>
      </w:r>
      <w:r w:rsidR="00CA6930" w:rsidRPr="00607598">
        <w:rPr>
          <w:rFonts w:eastAsia="Times New Roman" w:cs="Times New Roman"/>
          <w:iCs/>
          <w:szCs w:val="24"/>
          <w:lang w:eastAsia="en-GB"/>
        </w:rPr>
        <w:t>wa</w:t>
      </w:r>
      <w:r w:rsidRPr="00607598">
        <w:rPr>
          <w:rFonts w:eastAsia="Times New Roman" w:cs="Times New Roman"/>
          <w:iCs/>
          <w:szCs w:val="24"/>
          <w:lang w:eastAsia="en-GB"/>
        </w:rPr>
        <w:t xml:space="preserve">s and whether or not </w:t>
      </w:r>
      <w:r w:rsidR="00C429C1" w:rsidRPr="00607598">
        <w:rPr>
          <w:rFonts w:eastAsia="Times New Roman" w:cs="Times New Roman"/>
          <w:iCs/>
          <w:szCs w:val="24"/>
          <w:lang w:eastAsia="en-GB"/>
        </w:rPr>
        <w:t xml:space="preserve">it </w:t>
      </w:r>
      <w:r w:rsidR="00CA6930" w:rsidRPr="00607598">
        <w:rPr>
          <w:rFonts w:eastAsia="Times New Roman" w:cs="Times New Roman"/>
          <w:iCs/>
          <w:szCs w:val="24"/>
          <w:lang w:eastAsia="en-GB"/>
        </w:rPr>
        <w:t>wa</w:t>
      </w:r>
      <w:r w:rsidR="00C429C1" w:rsidRPr="00607598">
        <w:rPr>
          <w:rFonts w:eastAsia="Times New Roman" w:cs="Times New Roman"/>
          <w:iCs/>
          <w:szCs w:val="24"/>
          <w:lang w:eastAsia="en-GB"/>
        </w:rPr>
        <w:t xml:space="preserve">s being sufficiently resourced. </w:t>
      </w:r>
    </w:p>
    <w:p w14:paraId="51C0D73B" w14:textId="77777777" w:rsidR="00FF7B34" w:rsidRPr="00607598" w:rsidRDefault="00FF7B34" w:rsidP="00FF7B34">
      <w:pPr>
        <w:spacing w:before="0" w:after="0"/>
        <w:ind w:left="0"/>
      </w:pPr>
    </w:p>
    <w:p w14:paraId="16BF401D" w14:textId="77777777" w:rsidR="00FF7B34" w:rsidRPr="00607598" w:rsidRDefault="00FF7B34" w:rsidP="00FF7B34">
      <w:pPr>
        <w:pStyle w:val="Heading1"/>
        <w:spacing w:before="0" w:after="0" w:line="480" w:lineRule="auto"/>
        <w:jc w:val="both"/>
      </w:pPr>
      <w:r w:rsidRPr="00607598">
        <w:t>Resources</w:t>
      </w:r>
    </w:p>
    <w:p w14:paraId="420B5EF8" w14:textId="0732110B" w:rsidR="00FF7B34" w:rsidRPr="00607598" w:rsidRDefault="00FF7B34" w:rsidP="00FF7B34">
      <w:pPr>
        <w:spacing w:before="0" w:after="0" w:line="480" w:lineRule="auto"/>
        <w:ind w:left="0"/>
        <w:rPr>
          <w:lang w:val="en-US"/>
        </w:rPr>
      </w:pPr>
      <w:r w:rsidRPr="00607598">
        <w:rPr>
          <w:lang w:val="en-US"/>
        </w:rPr>
        <w:t xml:space="preserve">The state provides support to schools in the ‘free education’ scheme (i.e. excluding fee-paying schools) under two broad headings, financial, to cover running costs, and human resources. Of these the former is the minor element. The mechanism for allocating financial support is complex and varies depending on the sector to which the individual school belongs </w:t>
      </w:r>
      <w:r w:rsidRPr="00607598">
        <w:rPr>
          <w:lang w:val="en-US"/>
        </w:rPr>
        <w:fldChar w:fldCharType="begin" w:fldLock="1"/>
      </w:r>
      <w:r w:rsidRPr="00607598">
        <w:rPr>
          <w:lang w:val="en-US"/>
        </w:rPr>
        <w:instrText>ADDIN CSL_CITATION {"citationItems":[{"id":"ITEM-1","itemData":{"author":[{"dropping-particle":"","family":"Darmody","given":"Merike","non-dropping-particle":"","parse-names":false,"suffix":""},{"dropping-particle":"","family":"Smyth","given":"Emer","non-dropping-particle":"","parse-names":false,"suffix":""}],"container-title":"The Economic and Social Research Institute","id":"ITEM-1","issue":"34","issued":{"date-parts":[["2013"]]},"title":"Governance and Funding of Voluntary Secondary Schools in Ireland","type":"article-journal"},"uris":["http://www.mendeley.com/documents/?uuid=e02318a2-1e12-3b46-ae68-1c442df1b15f"]}],"mendeley":{"formattedCitation":"(Darmody &amp; Smyth, 2013)","plainTextFormattedCitation":"(Darmody &amp; Smyth, 2013)","previouslyFormattedCitation":"(Darmody &amp; Smyth, 2013)"},"properties":{"noteIndex":0},"schema":"https://github.com/citation-style-language/schema/raw/master/csl-citation.json"}</w:instrText>
      </w:r>
      <w:r w:rsidRPr="00607598">
        <w:rPr>
          <w:lang w:val="en-US"/>
        </w:rPr>
        <w:fldChar w:fldCharType="separate"/>
      </w:r>
      <w:r w:rsidRPr="00607598">
        <w:rPr>
          <w:noProof/>
          <w:lang w:val="en-US"/>
        </w:rPr>
        <w:t xml:space="preserve">(Darmody </w:t>
      </w:r>
      <w:r w:rsidR="000C3492" w:rsidRPr="00607598">
        <w:rPr>
          <w:noProof/>
          <w:lang w:val="en-US"/>
        </w:rPr>
        <w:t>and</w:t>
      </w:r>
      <w:r w:rsidRPr="00607598">
        <w:rPr>
          <w:noProof/>
          <w:lang w:val="en-US"/>
        </w:rPr>
        <w:t xml:space="preserve"> Smyth, 2013)</w:t>
      </w:r>
      <w:r w:rsidRPr="00607598">
        <w:rPr>
          <w:lang w:val="en-US"/>
        </w:rPr>
        <w:fldChar w:fldCharType="end"/>
      </w:r>
      <w:r w:rsidRPr="00607598">
        <w:rPr>
          <w:lang w:val="en-US"/>
        </w:rPr>
        <w:t xml:space="preserve">. The process is very opaque, and the total lack of transparency means that accurate comparisons are impossible. Insofar as a judgment is possible, it seems clear that in the allocation of state financial resources, schools in the voluntary secondary sector lose out by comparison with others. The issue of financial resources is further complicated by the fact that schools have access to local fundraising but, of course, some localities are in a better position to support their local schools in this regard than others. An expert group on the issue of funding post-primary schools was set up by the minister for education in 1996 chaired by E. J. Blackstock. It proposed a formula-based approach to apply to individual schools, which was designed to be more transparent and equitable. Schools serving disadvantaged areas would have a separate formula-based system, which meant that relatively greater financial support could be provided to them in such a way </w:t>
      </w:r>
      <w:r w:rsidR="00C429C1" w:rsidRPr="00607598">
        <w:rPr>
          <w:lang w:val="en-US"/>
        </w:rPr>
        <w:t xml:space="preserve">as </w:t>
      </w:r>
      <w:r w:rsidRPr="00607598">
        <w:rPr>
          <w:lang w:val="en-US"/>
        </w:rPr>
        <w:t xml:space="preserve">to reflect local needs </w:t>
      </w:r>
      <w:r w:rsidRPr="00607598">
        <w:rPr>
          <w:lang w:val="en-US"/>
        </w:rPr>
        <w:fldChar w:fldCharType="begin" w:fldLock="1"/>
      </w:r>
      <w:r w:rsidRPr="00607598">
        <w:rPr>
          <w:lang w:val="en-US"/>
        </w:rPr>
        <w:instrText>ADDIN CSL_CITATION {"citationItems":[{"id":"ITEM-1","itemData":{"author":[{"dropping-particle":"","family":"Blackstock","given":"E. J.","non-dropping-particle":"","parse-names":false,"suffix":""}],"id":"ITEM-1","issued":{"date-parts":[["1999"]]},"title":"The Report of the Steering Committee on the Funding of Second-Level Schools.","type":"book"},"uris":["http://www.mendeley.com/documents/?uuid=21182277-0625-4cfc-a072-157a98a15446"]}],"mendeley":{"formattedCitation":"(Blackstock, 1999)","plainTextFormattedCitation":"(Blackstock, 1999)","previouslyFormattedCitation":"(Blackstock, 1999)"},"properties":{"noteIndex":0},"schema":"https://github.com/citation-style-language/schema/raw/master/csl-citation.json"}</w:instrText>
      </w:r>
      <w:r w:rsidRPr="00607598">
        <w:rPr>
          <w:lang w:val="en-US"/>
        </w:rPr>
        <w:fldChar w:fldCharType="separate"/>
      </w:r>
      <w:r w:rsidRPr="00607598">
        <w:rPr>
          <w:noProof/>
          <w:lang w:val="en-US"/>
        </w:rPr>
        <w:t>(Blackstock, 1999)</w:t>
      </w:r>
      <w:r w:rsidRPr="00607598">
        <w:rPr>
          <w:lang w:val="en-US"/>
        </w:rPr>
        <w:fldChar w:fldCharType="end"/>
      </w:r>
      <w:r w:rsidRPr="00607598">
        <w:rPr>
          <w:lang w:val="en-US"/>
        </w:rPr>
        <w:t xml:space="preserve">. The recommendations of the </w:t>
      </w:r>
      <w:r w:rsidRPr="00607598">
        <w:rPr>
          <w:i/>
          <w:lang w:val="en-US"/>
        </w:rPr>
        <w:t>Steering Committee on the Funding of Second-Level Schools</w:t>
      </w:r>
      <w:r w:rsidRPr="00607598">
        <w:rPr>
          <w:lang w:val="en-US"/>
        </w:rPr>
        <w:t xml:space="preserve"> were never implemented.</w:t>
      </w:r>
    </w:p>
    <w:p w14:paraId="4947200B" w14:textId="3F74E360" w:rsidR="00FF7B34" w:rsidRPr="00607598" w:rsidRDefault="00FF7B34" w:rsidP="00FF7B34">
      <w:pPr>
        <w:spacing w:before="0" w:after="0" w:line="480" w:lineRule="auto"/>
        <w:ind w:left="0" w:firstLine="720"/>
        <w:rPr>
          <w:lang w:val="en-US"/>
        </w:rPr>
      </w:pPr>
      <w:r w:rsidRPr="00607598">
        <w:rPr>
          <w:lang w:val="en-US" w:eastAsia="en-GB"/>
        </w:rPr>
        <w:lastRenderedPageBreak/>
        <w:t>The state’s main contribution to education is in the form of the personnel it provides to schools. In the case of teachers, the primary mechanism of allocation to Irish schools is the pupil-teacher ratio (PTR). This tends to be improved when the economy is performing well and in times of recession cutbacks are applied. Thirty years ago, at post-primary level, it was 20:1, at the start of this century the figure was 18:1 and it currently stands at 19:1. Whilst this will determine the major portion of the staffing complement, there are in addition a few ex-quota posts (e.g. principal, a guidance allocation)</w:t>
      </w:r>
      <w:r w:rsidR="00C429C1" w:rsidRPr="00607598">
        <w:rPr>
          <w:lang w:val="en-US" w:eastAsia="en-GB"/>
        </w:rPr>
        <w:t>. T</w:t>
      </w:r>
      <w:r w:rsidRPr="00607598">
        <w:rPr>
          <w:lang w:val="en-US" w:eastAsia="en-GB"/>
        </w:rPr>
        <w:t xml:space="preserve">he National Council for Special Education oversees the provision of resources, both teaching and special needs assistants, in respect of identified special education needs. Prior to the introduction of DEIS, the </w:t>
      </w:r>
      <w:r w:rsidRPr="00607598">
        <w:rPr>
          <w:i/>
          <w:lang w:val="en-US" w:eastAsia="en-GB"/>
        </w:rPr>
        <w:t>Expert Group on the Allocation of Teachers to Second-level Schools</w:t>
      </w:r>
      <w:r w:rsidRPr="00607598">
        <w:rPr>
          <w:lang w:val="en-US" w:eastAsia="en-GB"/>
        </w:rPr>
        <w:t xml:space="preserve"> looked at the operation of the PTR nationally </w:t>
      </w:r>
      <w:r w:rsidRPr="00607598">
        <w:rPr>
          <w:lang w:val="en-US" w:eastAsia="en-GB"/>
        </w:rPr>
        <w:fldChar w:fldCharType="begin" w:fldLock="1"/>
      </w:r>
      <w:r w:rsidRPr="00607598">
        <w:rPr>
          <w:lang w:val="en-US" w:eastAsia="en-GB"/>
        </w:rPr>
        <w:instrText>ADDIN CSL_CITATION {"citationItems":[{"id":"ITEM-1","itemData":{"author":[{"dropping-particle":"","family":"McGuiness","given":"S","non-dropping-particle":"","parse-names":false,"suffix":""}],"id":"ITEM-1","issued":{"date-parts":[["2001"]]},"publisher":"DES","title":"Report of the Expert Group on the Allocation of Teachers to Second Level Schools.","type":"book"},"uris":["http://www.mendeley.com/documents/?uuid=5612568e-916f-4cca-ad9c-36fc371d6c03"]}],"mendeley":{"formattedCitation":"(McGuiness, 2001)","plainTextFormattedCitation":"(McGuiness, 2001)","previouslyFormattedCitation":"(McGuiness, 2001)"},"properties":{"noteIndex":0},"schema":"https://github.com/citation-style-language/schema/raw/master/csl-citation.json"}</w:instrText>
      </w:r>
      <w:r w:rsidRPr="00607598">
        <w:rPr>
          <w:lang w:val="en-US" w:eastAsia="en-GB"/>
        </w:rPr>
        <w:fldChar w:fldCharType="separate"/>
      </w:r>
      <w:r w:rsidRPr="00607598">
        <w:rPr>
          <w:noProof/>
          <w:lang w:val="en-US" w:eastAsia="en-GB"/>
        </w:rPr>
        <w:t>(McGuiness, 2001)</w:t>
      </w:r>
      <w:r w:rsidRPr="00607598">
        <w:rPr>
          <w:lang w:val="en-US" w:eastAsia="en-GB"/>
        </w:rPr>
        <w:fldChar w:fldCharType="end"/>
      </w:r>
      <w:r w:rsidRPr="00607598">
        <w:rPr>
          <w:lang w:val="en-US" w:eastAsia="en-GB"/>
        </w:rPr>
        <w:t>. It proposed a strategy based on providing significant extra resources to the twenty-five most deprived areas in order to tackle disadvantage in a variety of ways:</w:t>
      </w:r>
    </w:p>
    <w:p w14:paraId="48A51891" w14:textId="77777777" w:rsidR="00FF7B34" w:rsidRPr="00607598" w:rsidRDefault="00FF7B34" w:rsidP="0068037A">
      <w:pPr>
        <w:pStyle w:val="NoSpacing"/>
      </w:pPr>
      <w:r w:rsidRPr="00607598">
        <w:t>These may include the provision of smaller classes, additional group and one-to-one tutoring, better subject choice, increased emphasis on pastoral care, and reduced class contact time for teachers so as to engage in in-service training, planning instruction, in school planning and programme instruction and holding regular meetings with parents (</w:t>
      </w:r>
      <w:r w:rsidRPr="00607598">
        <w:rPr>
          <w:i/>
          <w:iCs/>
        </w:rPr>
        <w:t>Ibid</w:t>
      </w:r>
      <w:r w:rsidRPr="00607598">
        <w:t>. p. 80).</w:t>
      </w:r>
    </w:p>
    <w:p w14:paraId="00AC52F6" w14:textId="77777777" w:rsidR="00FF7B34" w:rsidRPr="00607598" w:rsidRDefault="00FF7B34" w:rsidP="00FF7B34">
      <w:pPr>
        <w:spacing w:before="0" w:after="0"/>
        <w:ind w:left="0"/>
      </w:pPr>
    </w:p>
    <w:p w14:paraId="6DF76A80" w14:textId="3F82AFDF" w:rsidR="00FF7B34" w:rsidRPr="00607598" w:rsidRDefault="00FF7B34" w:rsidP="00FF7B34">
      <w:pPr>
        <w:spacing w:before="0" w:after="0" w:line="480" w:lineRule="auto"/>
        <w:ind w:left="0"/>
      </w:pPr>
      <w:r w:rsidRPr="00607598">
        <w:t xml:space="preserve">The recommendations in the McGuiness report were </w:t>
      </w:r>
      <w:r w:rsidR="00693F78" w:rsidRPr="00607598">
        <w:t>not</w:t>
      </w:r>
      <w:r w:rsidRPr="00607598">
        <w:t xml:space="preserve"> implemented.</w:t>
      </w:r>
    </w:p>
    <w:p w14:paraId="7F223367" w14:textId="77777777" w:rsidR="000E49A1" w:rsidRPr="00607598" w:rsidRDefault="000E49A1" w:rsidP="000E49A1">
      <w:pPr>
        <w:spacing w:before="0" w:after="0"/>
        <w:ind w:left="0"/>
      </w:pPr>
    </w:p>
    <w:p w14:paraId="5D3B8518" w14:textId="70E4A375" w:rsidR="00C711A3" w:rsidRPr="00607598" w:rsidRDefault="000E49A1" w:rsidP="000E49A1">
      <w:pPr>
        <w:spacing w:before="0" w:after="0" w:line="480" w:lineRule="auto"/>
        <w:ind w:left="0"/>
        <w:rPr>
          <w:rFonts w:eastAsia="Times New Roman" w:cs="Times New Roman"/>
          <w:b/>
          <w:bCs/>
          <w:szCs w:val="24"/>
          <w:lang w:val="en-IE" w:eastAsia="en-GB"/>
        </w:rPr>
      </w:pPr>
      <w:r w:rsidRPr="00607598">
        <w:rPr>
          <w:b/>
          <w:bCs/>
        </w:rPr>
        <w:t>The Study</w:t>
      </w:r>
    </w:p>
    <w:p w14:paraId="750D6A28" w14:textId="366B8499" w:rsidR="00FF7B34" w:rsidRPr="00607598" w:rsidRDefault="000E49A1" w:rsidP="000E49A1">
      <w:pPr>
        <w:spacing w:before="0" w:after="0" w:line="480" w:lineRule="auto"/>
        <w:ind w:left="0"/>
        <w:rPr>
          <w:rFonts w:eastAsia="Times New Roman" w:cs="Times New Roman"/>
          <w:szCs w:val="24"/>
          <w:shd w:val="clear" w:color="auto" w:fill="FFFFFF"/>
          <w:lang w:val="en-US"/>
        </w:rPr>
      </w:pPr>
      <w:r w:rsidRPr="00607598">
        <w:rPr>
          <w:rFonts w:eastAsia="Times New Roman" w:cs="Times New Roman"/>
          <w:szCs w:val="24"/>
          <w:shd w:val="clear" w:color="auto" w:fill="FFFFFF"/>
          <w:lang w:val="en-US"/>
        </w:rPr>
        <w:t xml:space="preserve">Case-study research, involving six </w:t>
      </w:r>
      <w:r w:rsidR="000F5250" w:rsidRPr="00607598">
        <w:rPr>
          <w:rFonts w:eastAsia="Times New Roman" w:cs="Times New Roman"/>
          <w:szCs w:val="24"/>
          <w:shd w:val="clear" w:color="auto" w:fill="FFFFFF"/>
          <w:lang w:val="en-US"/>
        </w:rPr>
        <w:t xml:space="preserve">DEIS </w:t>
      </w:r>
      <w:r w:rsidRPr="00607598">
        <w:rPr>
          <w:rFonts w:eastAsia="Times New Roman" w:cs="Times New Roman"/>
          <w:szCs w:val="24"/>
          <w:shd w:val="clear" w:color="auto" w:fill="FFFFFF"/>
          <w:lang w:val="en-US"/>
        </w:rPr>
        <w:t>post-primary schools, was undertaken in 2019 to ascertain the effectiveness of the DEIS programme</w:t>
      </w:r>
      <w:r w:rsidR="003D500A" w:rsidRPr="00607598">
        <w:rPr>
          <w:rFonts w:eastAsia="Times New Roman" w:cs="Times New Roman"/>
          <w:szCs w:val="24"/>
          <w:shd w:val="clear" w:color="auto" w:fill="FFFFFF"/>
          <w:lang w:val="en-US"/>
        </w:rPr>
        <w:t>.</w:t>
      </w:r>
      <w:r w:rsidRPr="00607598">
        <w:rPr>
          <w:rFonts w:eastAsia="Times New Roman" w:cs="Times New Roman"/>
          <w:szCs w:val="24"/>
          <w:shd w:val="clear" w:color="auto" w:fill="FFFFFF"/>
          <w:lang w:val="en-US"/>
        </w:rPr>
        <w:t xml:space="preserve"> The central issue addressed in the study was the question of resources and whether or not school communities are adequately resourced under the DEIS programme to meet the challenges they face. In various official reports on the programme, this fundamental question has never been addressed to any serious extent. </w:t>
      </w:r>
    </w:p>
    <w:p w14:paraId="4766AAB6" w14:textId="2BDF8DCC" w:rsidR="000C3D09" w:rsidRPr="00607598" w:rsidRDefault="00395666" w:rsidP="000669DC">
      <w:pPr>
        <w:spacing w:before="0" w:after="0" w:line="480" w:lineRule="auto"/>
        <w:ind w:left="0" w:firstLine="720"/>
        <w:rPr>
          <w:lang w:val="en-US"/>
        </w:rPr>
      </w:pPr>
      <w:r w:rsidRPr="00607598">
        <w:rPr>
          <w:lang w:val="en-US"/>
        </w:rPr>
        <w:t>The s</w:t>
      </w:r>
      <w:r w:rsidR="007B2499" w:rsidRPr="00607598">
        <w:rPr>
          <w:lang w:val="en-US"/>
        </w:rPr>
        <w:t xml:space="preserve">ix </w:t>
      </w:r>
      <w:r w:rsidRPr="00607598">
        <w:rPr>
          <w:lang w:val="en-US"/>
        </w:rPr>
        <w:t xml:space="preserve">case study </w:t>
      </w:r>
      <w:r w:rsidR="00E0759F" w:rsidRPr="00607598">
        <w:rPr>
          <w:lang w:val="en-US"/>
        </w:rPr>
        <w:t xml:space="preserve">schools were </w:t>
      </w:r>
      <w:r w:rsidR="007B2499" w:rsidRPr="00607598">
        <w:rPr>
          <w:lang w:val="en-US"/>
        </w:rPr>
        <w:t xml:space="preserve">randomly selected </w:t>
      </w:r>
      <w:r w:rsidRPr="00607598">
        <w:rPr>
          <w:lang w:val="en-US"/>
        </w:rPr>
        <w:t>and</w:t>
      </w:r>
      <w:r w:rsidR="007B2499" w:rsidRPr="00607598">
        <w:rPr>
          <w:lang w:val="en-US"/>
        </w:rPr>
        <w:t xml:space="preserve"> interviews were undertaken with </w:t>
      </w:r>
      <w:r w:rsidR="008B3B50" w:rsidRPr="00607598">
        <w:rPr>
          <w:lang w:val="en-US"/>
        </w:rPr>
        <w:t>forty-three teachers</w:t>
      </w:r>
      <w:r w:rsidR="000E49A1" w:rsidRPr="00607598">
        <w:rPr>
          <w:lang w:val="en-US"/>
        </w:rPr>
        <w:t xml:space="preserve"> and principals</w:t>
      </w:r>
      <w:r w:rsidR="008B3B50" w:rsidRPr="00607598">
        <w:rPr>
          <w:lang w:val="en-US"/>
        </w:rPr>
        <w:t>. These included classroom teachers</w:t>
      </w:r>
      <w:r w:rsidR="00677D11" w:rsidRPr="00607598">
        <w:rPr>
          <w:lang w:val="en-US"/>
        </w:rPr>
        <w:t xml:space="preserve"> (CT</w:t>
      </w:r>
      <w:r w:rsidR="000E49A1" w:rsidRPr="00607598">
        <w:rPr>
          <w:lang w:val="en-US"/>
        </w:rPr>
        <w:t>; n=</w:t>
      </w:r>
      <w:r w:rsidR="00FF7B34" w:rsidRPr="00607598">
        <w:rPr>
          <w:lang w:val="en-US"/>
        </w:rPr>
        <w:t>18</w:t>
      </w:r>
      <w:r w:rsidR="00677D11" w:rsidRPr="00607598">
        <w:rPr>
          <w:lang w:val="en-US"/>
        </w:rPr>
        <w:t>)</w:t>
      </w:r>
      <w:r w:rsidR="008B3B50" w:rsidRPr="00607598">
        <w:rPr>
          <w:lang w:val="en-US"/>
        </w:rPr>
        <w:t xml:space="preserve">, year </w:t>
      </w:r>
      <w:r w:rsidR="008B3B50" w:rsidRPr="00607598">
        <w:rPr>
          <w:lang w:val="en-US"/>
        </w:rPr>
        <w:lastRenderedPageBreak/>
        <w:t>heads</w:t>
      </w:r>
      <w:r w:rsidR="00677D11" w:rsidRPr="00607598">
        <w:rPr>
          <w:lang w:val="en-US"/>
        </w:rPr>
        <w:t xml:space="preserve"> (YH</w:t>
      </w:r>
      <w:r w:rsidR="000E49A1" w:rsidRPr="00607598">
        <w:rPr>
          <w:lang w:val="en-US"/>
        </w:rPr>
        <w:t>; n =</w:t>
      </w:r>
      <w:r w:rsidR="00FF7B34" w:rsidRPr="00607598">
        <w:rPr>
          <w:lang w:val="en-US"/>
        </w:rPr>
        <w:t>7</w:t>
      </w:r>
      <w:r w:rsidR="00677D11" w:rsidRPr="00607598">
        <w:rPr>
          <w:lang w:val="en-US"/>
        </w:rPr>
        <w:t>)</w:t>
      </w:r>
      <w:r w:rsidR="008B3B50" w:rsidRPr="00607598">
        <w:rPr>
          <w:lang w:val="en-US"/>
        </w:rPr>
        <w:t>, guidance counsellors</w:t>
      </w:r>
      <w:r w:rsidR="00677D11" w:rsidRPr="00607598">
        <w:rPr>
          <w:lang w:val="en-US"/>
        </w:rPr>
        <w:t xml:space="preserve"> (GC</w:t>
      </w:r>
      <w:r w:rsidR="000E49A1" w:rsidRPr="00607598">
        <w:rPr>
          <w:lang w:val="en-US"/>
        </w:rPr>
        <w:t>; n =</w:t>
      </w:r>
      <w:r w:rsidR="00FF7B34" w:rsidRPr="00607598">
        <w:rPr>
          <w:lang w:val="en-US"/>
        </w:rPr>
        <w:t>7</w:t>
      </w:r>
      <w:r w:rsidR="00677D11" w:rsidRPr="00607598">
        <w:rPr>
          <w:lang w:val="en-US"/>
        </w:rPr>
        <w:t>)</w:t>
      </w:r>
      <w:r w:rsidR="008B3B50" w:rsidRPr="00607598">
        <w:rPr>
          <w:lang w:val="en-US"/>
        </w:rPr>
        <w:t xml:space="preserve">, </w:t>
      </w:r>
      <w:r w:rsidR="0094296D" w:rsidRPr="00607598">
        <w:rPr>
          <w:lang w:val="en-US"/>
        </w:rPr>
        <w:t>home-school community liaison officers (</w:t>
      </w:r>
      <w:r w:rsidR="008B3B50" w:rsidRPr="00607598">
        <w:rPr>
          <w:lang w:val="en-US"/>
        </w:rPr>
        <w:t>HSCLs</w:t>
      </w:r>
      <w:r w:rsidR="000E49A1" w:rsidRPr="00607598">
        <w:rPr>
          <w:lang w:val="en-US"/>
        </w:rPr>
        <w:t>; n =</w:t>
      </w:r>
      <w:r w:rsidR="00FF7B34" w:rsidRPr="00607598">
        <w:rPr>
          <w:lang w:val="en-US"/>
        </w:rPr>
        <w:t>5</w:t>
      </w:r>
      <w:r w:rsidR="0094296D" w:rsidRPr="00607598">
        <w:rPr>
          <w:lang w:val="en-US"/>
        </w:rPr>
        <w:t>)</w:t>
      </w:r>
      <w:r w:rsidR="008B3B50" w:rsidRPr="00607598">
        <w:rPr>
          <w:lang w:val="en-US"/>
        </w:rPr>
        <w:t xml:space="preserve"> and principals</w:t>
      </w:r>
      <w:r w:rsidR="000E49A1" w:rsidRPr="00607598">
        <w:rPr>
          <w:lang w:val="en-US"/>
        </w:rPr>
        <w:t xml:space="preserve"> (P; n =</w:t>
      </w:r>
      <w:r w:rsidR="00FF7B34" w:rsidRPr="00607598">
        <w:rPr>
          <w:lang w:val="en-US"/>
        </w:rPr>
        <w:t xml:space="preserve"> 6</w:t>
      </w:r>
      <w:r w:rsidR="000E49A1" w:rsidRPr="00607598">
        <w:rPr>
          <w:lang w:val="en-US"/>
        </w:rPr>
        <w:t>)</w:t>
      </w:r>
      <w:r w:rsidR="008B3B50" w:rsidRPr="00607598">
        <w:rPr>
          <w:lang w:val="en-US"/>
        </w:rPr>
        <w:t xml:space="preserve">. Focus group discussions were held with senior students (n=29) and parents/guardians (n=41). In addition, </w:t>
      </w:r>
      <w:r w:rsidR="00FF7B34" w:rsidRPr="00607598">
        <w:rPr>
          <w:lang w:val="en-US"/>
        </w:rPr>
        <w:t xml:space="preserve">a group of </w:t>
      </w:r>
      <w:r w:rsidR="008B3B50" w:rsidRPr="00607598">
        <w:rPr>
          <w:lang w:val="en-US"/>
        </w:rPr>
        <w:t xml:space="preserve">twenty-eight </w:t>
      </w:r>
      <w:r w:rsidR="00FF7B34" w:rsidRPr="00607598">
        <w:rPr>
          <w:lang w:val="en-US"/>
        </w:rPr>
        <w:t xml:space="preserve">stakeholders, including academics, </w:t>
      </w:r>
      <w:r w:rsidR="008B3B50" w:rsidRPr="00607598">
        <w:rPr>
          <w:lang w:val="en-US"/>
        </w:rPr>
        <w:t xml:space="preserve">educationalists, </w:t>
      </w:r>
      <w:r w:rsidR="00FF7B34" w:rsidRPr="00607598">
        <w:rPr>
          <w:lang w:val="en-US"/>
        </w:rPr>
        <w:t xml:space="preserve">psychologists and others working in support services, </w:t>
      </w:r>
      <w:r w:rsidR="008B3B50" w:rsidRPr="00607598">
        <w:rPr>
          <w:lang w:val="en-US"/>
        </w:rPr>
        <w:t xml:space="preserve">not connected to the six schools, were interviewed to gain their insights and experiences. </w:t>
      </w:r>
      <w:r w:rsidR="000669DC" w:rsidRPr="00607598">
        <w:rPr>
          <w:rFonts w:cs="Times New Roman"/>
          <w:bCs/>
          <w:szCs w:val="24"/>
        </w:rPr>
        <w:t xml:space="preserve">All interviews were audio recorded and transcribed </w:t>
      </w:r>
      <w:r w:rsidR="000669DC" w:rsidRPr="00607598">
        <w:rPr>
          <w:rFonts w:cs="Times New Roman"/>
          <w:bCs/>
          <w:i/>
          <w:iCs/>
          <w:szCs w:val="24"/>
        </w:rPr>
        <w:t>verbatim</w:t>
      </w:r>
      <w:r w:rsidR="000669DC" w:rsidRPr="00607598">
        <w:rPr>
          <w:rFonts w:cs="Times New Roman"/>
          <w:bCs/>
          <w:szCs w:val="24"/>
        </w:rPr>
        <w:t xml:space="preserve"> prior to analysis. Participants were allocated pseudonyms to ensure confidentiality and the dialectical features of the interview data were preserved in line with best practice in reporting qualitative data </w:t>
      </w:r>
      <w:r w:rsidR="000669DC" w:rsidRPr="00607598">
        <w:rPr>
          <w:rFonts w:cs="Times New Roman"/>
          <w:szCs w:val="24"/>
        </w:rPr>
        <w:t>(Rapley, 2004; O’ Donoghue, 2018).</w:t>
      </w:r>
      <w:r w:rsidR="000669DC" w:rsidRPr="00607598">
        <w:rPr>
          <w:rFonts w:cs="Times New Roman"/>
          <w:bCs/>
          <w:szCs w:val="24"/>
        </w:rPr>
        <w:t xml:space="preserve"> Interview data was initially coded according to participant and school type. </w:t>
      </w:r>
      <w:r w:rsidR="000669DC" w:rsidRPr="00607598">
        <w:rPr>
          <w:rFonts w:cs="Times New Roman"/>
          <w:bCs/>
          <w:szCs w:val="24"/>
          <w:lang w:val="en-IE"/>
        </w:rPr>
        <w:t>Following on from the classification of participants and schools, t</w:t>
      </w:r>
      <w:r w:rsidR="000669DC" w:rsidRPr="00607598">
        <w:rPr>
          <w:rFonts w:eastAsia="Times New Roman" w:cs="Times New Roman"/>
          <w:bCs/>
          <w:szCs w:val="24"/>
        </w:rPr>
        <w:t xml:space="preserve">he analysis followed a grounded theory methodology (Strauss &amp; Corbin 1994) </w:t>
      </w:r>
      <w:r w:rsidR="000669DC" w:rsidRPr="00607598">
        <w:rPr>
          <w:rFonts w:eastAsia="Times New Roman" w:cs="Times New Roman"/>
          <w:bCs/>
          <w:szCs w:val="24"/>
          <w:lang w:val="en-IE"/>
        </w:rPr>
        <w:t>enabling theory generation to be emergent, that is “emerge from, rather than exist before, the data” (</w:t>
      </w:r>
      <w:hyperlink r:id="rId8" w:anchor="bib31" w:history="1">
        <w:r w:rsidR="000669DC" w:rsidRPr="00607598">
          <w:rPr>
            <w:rFonts w:eastAsia="Times New Roman" w:cs="Times New Roman"/>
            <w:bCs/>
            <w:szCs w:val="24"/>
            <w:lang w:val="en-IE"/>
          </w:rPr>
          <w:t>Cohen, Manion, &amp; Morrison, 2011</w:t>
        </w:r>
      </w:hyperlink>
      <w:r w:rsidR="000669DC" w:rsidRPr="00607598">
        <w:rPr>
          <w:rFonts w:eastAsia="Times New Roman" w:cs="Times New Roman"/>
          <w:bCs/>
          <w:szCs w:val="24"/>
          <w:lang w:val="en-IE"/>
        </w:rPr>
        <w:t xml:space="preserve">, p. 598). </w:t>
      </w:r>
      <w:r w:rsidR="000669DC" w:rsidRPr="00607598">
        <w:rPr>
          <w:rFonts w:eastAsia="Times New Roman" w:cs="Times New Roman"/>
          <w:bCs/>
          <w:szCs w:val="24"/>
        </w:rPr>
        <w:t>This involved analysis of interview transcripts to generate substantive theory ‘grounded’ in the data provided by the participants and from this inductive analysis emergent themes informed the findings and analysis.</w:t>
      </w:r>
      <w:r w:rsidR="000669DC" w:rsidRPr="00607598">
        <w:rPr>
          <w:lang w:val="en-US"/>
        </w:rPr>
        <w:t xml:space="preserve"> </w:t>
      </w:r>
      <w:r w:rsidR="00DC15CB" w:rsidRPr="00607598">
        <w:rPr>
          <w:lang w:val="en-US"/>
        </w:rPr>
        <w:t>A substantial amount of relevant Irish and international res</w:t>
      </w:r>
      <w:r w:rsidR="00FD241F" w:rsidRPr="00607598">
        <w:rPr>
          <w:lang w:val="en-US"/>
        </w:rPr>
        <w:t xml:space="preserve">earch was </w:t>
      </w:r>
      <w:r w:rsidR="000669DC" w:rsidRPr="00607598">
        <w:rPr>
          <w:lang w:val="en-US"/>
        </w:rPr>
        <w:t xml:space="preserve">also </w:t>
      </w:r>
      <w:r w:rsidR="00FD241F" w:rsidRPr="00607598">
        <w:rPr>
          <w:lang w:val="en-US"/>
        </w:rPr>
        <w:t xml:space="preserve">consulted. </w:t>
      </w:r>
      <w:r w:rsidR="00C429C1" w:rsidRPr="00607598">
        <w:rPr>
          <w:lang w:val="en-US"/>
        </w:rPr>
        <w:t>C</w:t>
      </w:r>
      <w:r w:rsidR="00DC15CB" w:rsidRPr="00607598">
        <w:rPr>
          <w:lang w:val="en-US"/>
        </w:rPr>
        <w:t xml:space="preserve">onsideration was </w:t>
      </w:r>
      <w:r w:rsidR="00C429C1" w:rsidRPr="00607598">
        <w:rPr>
          <w:lang w:val="en-US"/>
        </w:rPr>
        <w:t xml:space="preserve">also </w:t>
      </w:r>
      <w:r w:rsidR="00DC15CB" w:rsidRPr="00607598">
        <w:rPr>
          <w:lang w:val="en-US"/>
        </w:rPr>
        <w:t>given to the work of various expert grou</w:t>
      </w:r>
      <w:r w:rsidR="008C2633" w:rsidRPr="00607598">
        <w:rPr>
          <w:lang w:val="en-US"/>
        </w:rPr>
        <w:t>ps set up by the DES</w:t>
      </w:r>
      <w:r w:rsidR="00DC15CB" w:rsidRPr="00607598">
        <w:rPr>
          <w:lang w:val="en-US"/>
        </w:rPr>
        <w:t xml:space="preserve"> in recent decades, </w:t>
      </w:r>
      <w:r w:rsidR="0068406A" w:rsidRPr="00607598">
        <w:rPr>
          <w:lang w:val="en-US"/>
        </w:rPr>
        <w:t xml:space="preserve">and the </w:t>
      </w:r>
      <w:r w:rsidR="00DC15CB" w:rsidRPr="00607598">
        <w:rPr>
          <w:lang w:val="en-US"/>
        </w:rPr>
        <w:t>recommendations</w:t>
      </w:r>
      <w:r w:rsidR="006C11A2" w:rsidRPr="00607598">
        <w:rPr>
          <w:lang w:val="en-US"/>
        </w:rPr>
        <w:t xml:space="preserve"> for changes in policy that</w:t>
      </w:r>
      <w:r w:rsidR="004D59DE" w:rsidRPr="00607598">
        <w:rPr>
          <w:lang w:val="en-US"/>
        </w:rPr>
        <w:t xml:space="preserve"> were</w:t>
      </w:r>
      <w:r w:rsidR="0068406A" w:rsidRPr="00607598">
        <w:rPr>
          <w:lang w:val="en-US"/>
        </w:rPr>
        <w:t xml:space="preserve"> proposed. </w:t>
      </w:r>
      <w:r w:rsidR="000669DC" w:rsidRPr="00607598">
        <w:rPr>
          <w:lang w:val="en-US"/>
        </w:rPr>
        <w:t xml:space="preserve">All ethical protocols of the institution were adhered to at all times. </w:t>
      </w:r>
    </w:p>
    <w:p w14:paraId="47946C91" w14:textId="3EE8E1F1" w:rsidR="006C20F4" w:rsidRPr="00607598" w:rsidRDefault="00E07A02" w:rsidP="007D2D4F">
      <w:pPr>
        <w:spacing w:before="0" w:after="0" w:line="480" w:lineRule="auto"/>
        <w:ind w:left="0" w:firstLine="720"/>
        <w:rPr>
          <w:rFonts w:eastAsia="Times New Roman" w:cs="Times New Roman"/>
          <w:szCs w:val="24"/>
          <w:lang w:val="en-IE" w:eastAsia="en-GB"/>
        </w:rPr>
      </w:pPr>
      <w:r w:rsidRPr="00607598">
        <w:rPr>
          <w:lang w:val="en-US" w:eastAsia="en-GB"/>
        </w:rPr>
        <w:t>The six schools involved in the case-studies varied quite significantly in a number of respects. One was quite small and another very large</w:t>
      </w:r>
      <w:r w:rsidR="00C429C1" w:rsidRPr="00607598">
        <w:rPr>
          <w:lang w:val="en-US" w:eastAsia="en-GB"/>
        </w:rPr>
        <w:t>,</w:t>
      </w:r>
      <w:r w:rsidRPr="00607598">
        <w:rPr>
          <w:lang w:val="en-US" w:eastAsia="en-GB"/>
        </w:rPr>
        <w:t xml:space="preserve"> with the remaining four </w:t>
      </w:r>
      <w:r w:rsidR="00C14462" w:rsidRPr="00607598">
        <w:rPr>
          <w:lang w:val="en-US" w:eastAsia="en-GB"/>
        </w:rPr>
        <w:t>medium-sized</w:t>
      </w:r>
      <w:r w:rsidRPr="00607598">
        <w:rPr>
          <w:lang w:val="en-US" w:eastAsia="en-GB"/>
        </w:rPr>
        <w:t>. Two were situated in country town settings with the remaining four located in urban area</w:t>
      </w:r>
      <w:r w:rsidR="001E38CD" w:rsidRPr="00607598">
        <w:rPr>
          <w:lang w:val="en-US" w:eastAsia="en-GB"/>
        </w:rPr>
        <w:t>s. Four</w:t>
      </w:r>
      <w:r w:rsidR="0094296D" w:rsidRPr="00607598">
        <w:rPr>
          <w:lang w:val="en-US" w:eastAsia="en-GB"/>
        </w:rPr>
        <w:t xml:space="preserve"> were co-educational and</w:t>
      </w:r>
      <w:r w:rsidRPr="00607598">
        <w:rPr>
          <w:lang w:val="en-US" w:eastAsia="en-GB"/>
        </w:rPr>
        <w:t xml:space="preserve"> two </w:t>
      </w:r>
      <w:r w:rsidR="0094296D" w:rsidRPr="00607598">
        <w:rPr>
          <w:lang w:val="en-US" w:eastAsia="en-GB"/>
        </w:rPr>
        <w:t xml:space="preserve">were </w:t>
      </w:r>
      <w:r w:rsidRPr="00607598">
        <w:rPr>
          <w:lang w:val="en-US" w:eastAsia="en-GB"/>
        </w:rPr>
        <w:t xml:space="preserve">single-sex, one </w:t>
      </w:r>
      <w:r w:rsidR="006B0174" w:rsidRPr="00607598">
        <w:rPr>
          <w:lang w:val="en-US" w:eastAsia="en-GB"/>
        </w:rPr>
        <w:t xml:space="preserve">all </w:t>
      </w:r>
      <w:r w:rsidRPr="00607598">
        <w:rPr>
          <w:lang w:val="en-US" w:eastAsia="en-GB"/>
        </w:rPr>
        <w:t xml:space="preserve">girls and </w:t>
      </w:r>
      <w:r w:rsidR="006B0174" w:rsidRPr="00607598">
        <w:rPr>
          <w:lang w:val="en-US" w:eastAsia="en-GB"/>
        </w:rPr>
        <w:t xml:space="preserve">the other all </w:t>
      </w:r>
      <w:r w:rsidRPr="00607598">
        <w:rPr>
          <w:lang w:val="en-US" w:eastAsia="en-GB"/>
        </w:rPr>
        <w:t>boys. Between them</w:t>
      </w:r>
      <w:r w:rsidR="003411E6" w:rsidRPr="00607598">
        <w:rPr>
          <w:lang w:val="en-US" w:eastAsia="en-GB"/>
        </w:rPr>
        <w:t>,</w:t>
      </w:r>
      <w:r w:rsidRPr="00607598">
        <w:rPr>
          <w:lang w:val="en-US" w:eastAsia="en-GB"/>
        </w:rPr>
        <w:t xml:space="preserve"> all the main sectors at post-primary level, voluntary secon</w:t>
      </w:r>
      <w:r w:rsidR="00377857" w:rsidRPr="00607598">
        <w:rPr>
          <w:lang w:val="en-US" w:eastAsia="en-GB"/>
        </w:rPr>
        <w:t>dary, education and training board and community s</w:t>
      </w:r>
      <w:r w:rsidR="004925F3" w:rsidRPr="00607598">
        <w:rPr>
          <w:lang w:val="en-US" w:eastAsia="en-GB"/>
        </w:rPr>
        <w:t>chools</w:t>
      </w:r>
      <w:r w:rsidR="003411E6" w:rsidRPr="00607598">
        <w:rPr>
          <w:lang w:val="en-US" w:eastAsia="en-GB"/>
        </w:rPr>
        <w:t>,</w:t>
      </w:r>
      <w:r w:rsidR="004925F3" w:rsidRPr="00607598">
        <w:rPr>
          <w:lang w:val="en-US" w:eastAsia="en-GB"/>
        </w:rPr>
        <w:t xml:space="preserve"> were included</w:t>
      </w:r>
      <w:r w:rsidR="00667A0C" w:rsidRPr="00607598">
        <w:rPr>
          <w:lang w:val="en-US" w:eastAsia="en-GB"/>
        </w:rPr>
        <w:t xml:space="preserve">. </w:t>
      </w:r>
      <w:r w:rsidR="006B0174" w:rsidRPr="00607598">
        <w:rPr>
          <w:lang w:val="en-US" w:eastAsia="en-GB"/>
        </w:rPr>
        <w:t xml:space="preserve">Despite their differences, </w:t>
      </w:r>
      <w:r w:rsidRPr="00607598">
        <w:rPr>
          <w:lang w:val="en-US" w:eastAsia="en-GB"/>
        </w:rPr>
        <w:t>across a</w:t>
      </w:r>
      <w:r w:rsidR="006B0174" w:rsidRPr="00607598">
        <w:rPr>
          <w:lang w:val="en-US" w:eastAsia="en-GB"/>
        </w:rPr>
        <w:t xml:space="preserve">ll of the </w:t>
      </w:r>
      <w:r w:rsidR="006B0174" w:rsidRPr="00607598">
        <w:rPr>
          <w:lang w:val="en-US" w:eastAsia="en-GB"/>
        </w:rPr>
        <w:lastRenderedPageBreak/>
        <w:t>schools, there</w:t>
      </w:r>
      <w:r w:rsidRPr="00607598">
        <w:rPr>
          <w:lang w:val="en-US" w:eastAsia="en-GB"/>
        </w:rPr>
        <w:t xml:space="preserve"> were </w:t>
      </w:r>
      <w:r w:rsidR="006B0174" w:rsidRPr="00607598">
        <w:rPr>
          <w:lang w:val="en-US" w:eastAsia="en-GB"/>
        </w:rPr>
        <w:t>a number of</w:t>
      </w:r>
      <w:r w:rsidRPr="00607598">
        <w:rPr>
          <w:lang w:val="en-US" w:eastAsia="en-GB"/>
        </w:rPr>
        <w:t xml:space="preserve"> common features. </w:t>
      </w:r>
      <w:r w:rsidRPr="00607598">
        <w:rPr>
          <w:lang w:val="en-US"/>
        </w:rPr>
        <w:t xml:space="preserve">A significant proportion of students in each </w:t>
      </w:r>
      <w:r w:rsidR="006B0174" w:rsidRPr="00607598">
        <w:rPr>
          <w:lang w:val="en-US"/>
        </w:rPr>
        <w:t>school</w:t>
      </w:r>
      <w:r w:rsidRPr="00607598">
        <w:rPr>
          <w:lang w:val="en-US"/>
        </w:rPr>
        <w:t xml:space="preserve"> was suffering from the effects of poverty in various forms, including financial, nutritional, educational and cultural; on average, 22.4% of the pupils had been assessed as having additional education</w:t>
      </w:r>
      <w:r w:rsidR="007B2499" w:rsidRPr="00607598">
        <w:rPr>
          <w:lang w:val="en-US"/>
        </w:rPr>
        <w:t>al</w:t>
      </w:r>
      <w:r w:rsidRPr="00607598">
        <w:rPr>
          <w:lang w:val="en-US"/>
        </w:rPr>
        <w:t xml:space="preserve"> needs and principals estimated about the same proportion had similar needs which had not been diagnosed; staff members at all levels expended considerable time and energy, both physical and emotional, responding to the care needs of students, many of whom were displaying signs of anxiety</w:t>
      </w:r>
      <w:r w:rsidR="003411E6" w:rsidRPr="00607598">
        <w:rPr>
          <w:lang w:val="en-US"/>
        </w:rPr>
        <w:t>,</w:t>
      </w:r>
      <w:r w:rsidRPr="00607598">
        <w:rPr>
          <w:lang w:val="en-US"/>
        </w:rPr>
        <w:t xml:space="preserve"> anger and trauma</w:t>
      </w:r>
      <w:r w:rsidR="00E0759F" w:rsidRPr="00607598">
        <w:rPr>
          <w:lang w:val="en-US"/>
        </w:rPr>
        <w:t>. E</w:t>
      </w:r>
      <w:r w:rsidRPr="00607598">
        <w:rPr>
          <w:lang w:val="en-US"/>
        </w:rPr>
        <w:t>ach of the schools could be described as unpredictable in the sense that a serious problem could arise at any time and support services to deal with mental health and wellbeing issues were grossly inadequate. In these circumstances, the challenges facing those who work</w:t>
      </w:r>
      <w:r w:rsidR="00667A0C" w:rsidRPr="00607598">
        <w:rPr>
          <w:lang w:val="en-US"/>
        </w:rPr>
        <w:t>ed</w:t>
      </w:r>
      <w:r w:rsidRPr="00607598">
        <w:rPr>
          <w:lang w:val="en-US"/>
        </w:rPr>
        <w:t xml:space="preserve"> in </w:t>
      </w:r>
      <w:r w:rsidR="00667A0C" w:rsidRPr="00607598">
        <w:rPr>
          <w:lang w:val="en-US"/>
        </w:rPr>
        <w:t>the schools we</w:t>
      </w:r>
      <w:r w:rsidRPr="00607598">
        <w:rPr>
          <w:lang w:val="en-US"/>
        </w:rPr>
        <w:t xml:space="preserve">re far greater than the norm. </w:t>
      </w:r>
      <w:r w:rsidR="006C20F4" w:rsidRPr="00607598">
        <w:rPr>
          <w:rFonts w:eastAsia="Times New Roman" w:cs="Times New Roman"/>
          <w:szCs w:val="24"/>
          <w:lang w:val="en-IE" w:eastAsia="en-GB"/>
        </w:rPr>
        <w:t xml:space="preserve">A weakness in official research on the </w:t>
      </w:r>
      <w:r w:rsidR="003411E6" w:rsidRPr="00607598">
        <w:rPr>
          <w:rFonts w:eastAsia="Times New Roman" w:cs="Times New Roman"/>
          <w:szCs w:val="24"/>
          <w:lang w:val="en-IE" w:eastAsia="en-GB"/>
        </w:rPr>
        <w:t xml:space="preserve">DEIS </w:t>
      </w:r>
      <w:r w:rsidR="006C20F4" w:rsidRPr="00607598">
        <w:rPr>
          <w:rFonts w:eastAsia="Times New Roman" w:cs="Times New Roman"/>
          <w:szCs w:val="24"/>
          <w:lang w:val="en-IE" w:eastAsia="en-GB"/>
        </w:rPr>
        <w:t>programme is the failure to address in any significant way the question of the resources provided under the programme. This was the fundamental issue discussed with participants in this study. The central research question addressed the challenges faced by school communities in meeting the needs of their pupils and the adequacy of the resources provided to meet them.</w:t>
      </w:r>
    </w:p>
    <w:p w14:paraId="3BD23FED" w14:textId="77777777" w:rsidR="007D2D4F" w:rsidRPr="00607598" w:rsidRDefault="007D2D4F" w:rsidP="007D2D4F">
      <w:pPr>
        <w:spacing w:before="0" w:after="0"/>
        <w:ind w:left="0" w:firstLine="720"/>
        <w:rPr>
          <w:lang w:val="en-US"/>
        </w:rPr>
      </w:pPr>
    </w:p>
    <w:p w14:paraId="6B865FF2" w14:textId="1C661843" w:rsidR="00613949" w:rsidRPr="00607598" w:rsidRDefault="00613949" w:rsidP="003D500A">
      <w:pPr>
        <w:pStyle w:val="Heading1"/>
        <w:spacing w:before="0" w:after="0" w:line="240" w:lineRule="auto"/>
        <w:jc w:val="both"/>
      </w:pPr>
      <w:r w:rsidRPr="00607598">
        <w:t>Findings</w:t>
      </w:r>
    </w:p>
    <w:p w14:paraId="6F353177" w14:textId="24027810" w:rsidR="009138B0" w:rsidRPr="00607598" w:rsidRDefault="009138B0" w:rsidP="009B2756">
      <w:pPr>
        <w:shd w:val="clear" w:color="auto" w:fill="FFFFFF"/>
        <w:spacing w:before="0" w:after="0"/>
        <w:ind w:left="0"/>
        <w:jc w:val="left"/>
        <w:rPr>
          <w:rFonts w:ascii="Arial" w:eastAsia="Times New Roman" w:hAnsi="Arial" w:cs="Arial"/>
          <w:szCs w:val="24"/>
          <w:lang w:val="en-US"/>
        </w:rPr>
      </w:pPr>
    </w:p>
    <w:p w14:paraId="12B05FAF" w14:textId="77777777" w:rsidR="00E0759F" w:rsidRPr="00607598" w:rsidRDefault="00981B32" w:rsidP="00DE3A21">
      <w:pPr>
        <w:spacing w:before="0" w:after="0" w:line="480" w:lineRule="auto"/>
        <w:ind w:left="0"/>
        <w:rPr>
          <w:rFonts w:eastAsia="Times New Roman" w:cs="Arial"/>
          <w:b/>
          <w:bCs/>
          <w:i/>
          <w:szCs w:val="28"/>
          <w:lang w:eastAsia="en-GB"/>
        </w:rPr>
      </w:pPr>
      <w:r w:rsidRPr="00607598">
        <w:rPr>
          <w:lang w:val="en-US" w:eastAsia="en-GB"/>
        </w:rPr>
        <w:t xml:space="preserve">Clear evidence emerged </w:t>
      </w:r>
      <w:r w:rsidR="009B2756" w:rsidRPr="00607598">
        <w:rPr>
          <w:lang w:val="en-US" w:eastAsia="en-GB"/>
        </w:rPr>
        <w:t xml:space="preserve">in the study </w:t>
      </w:r>
      <w:r w:rsidRPr="00607598">
        <w:rPr>
          <w:lang w:val="en-US" w:eastAsia="en-GB"/>
        </w:rPr>
        <w:t xml:space="preserve">to illustrate that DEIS schools are </w:t>
      </w:r>
      <w:r w:rsidR="009B2756" w:rsidRPr="00607598">
        <w:rPr>
          <w:lang w:val="en-US" w:eastAsia="en-GB"/>
        </w:rPr>
        <w:t xml:space="preserve">significantly </w:t>
      </w:r>
      <w:r w:rsidRPr="00607598">
        <w:rPr>
          <w:lang w:val="en-US" w:eastAsia="en-GB"/>
        </w:rPr>
        <w:t xml:space="preserve">different to </w:t>
      </w:r>
      <w:r w:rsidR="003D500A" w:rsidRPr="00607598">
        <w:rPr>
          <w:lang w:val="en-US" w:eastAsia="en-GB"/>
        </w:rPr>
        <w:t xml:space="preserve">one </w:t>
      </w:r>
      <w:r w:rsidRPr="00607598">
        <w:rPr>
          <w:lang w:val="en-US" w:eastAsia="en-GB"/>
        </w:rPr>
        <w:t>other. Factors such as the catchment area, the nature of the student body, enrolment patterns, the local education ‘market’, size, tradition, stage of development and school culture all contribute to that reality. The more significant divergence, of course, is between DEIS schools and those in the non-DEIS category. The challenges facing DEIS schools in meeting the needs of their students and local community, in which poverty in its various forms is usually quite substantial, are substantially different to those serving more middle-class areas.</w:t>
      </w:r>
      <w:r w:rsidR="00276A66" w:rsidRPr="00607598">
        <w:rPr>
          <w:rFonts w:eastAsia="Times New Roman" w:cs="Arial"/>
          <w:b/>
          <w:bCs/>
          <w:i/>
          <w:szCs w:val="28"/>
          <w:lang w:eastAsia="en-GB"/>
        </w:rPr>
        <w:t xml:space="preserve"> </w:t>
      </w:r>
    </w:p>
    <w:p w14:paraId="3A01768A" w14:textId="5057C8AA" w:rsidR="008A2CB1" w:rsidRPr="00607598" w:rsidRDefault="008B3B50" w:rsidP="00E0759F">
      <w:pPr>
        <w:spacing w:before="0" w:after="0" w:line="480" w:lineRule="auto"/>
        <w:ind w:left="0" w:firstLine="720"/>
        <w:rPr>
          <w:lang w:val="en-US"/>
        </w:rPr>
      </w:pPr>
      <w:r w:rsidRPr="00607598">
        <w:rPr>
          <w:lang w:val="en-US"/>
        </w:rPr>
        <w:t xml:space="preserve">It is trite to say that all schools are different but this is, in fact, the case. The nature of the catchment area, traditions, culture, ethos and the balance of student intake, all contribute to </w:t>
      </w:r>
      <w:r w:rsidRPr="00607598">
        <w:rPr>
          <w:lang w:val="en-US"/>
        </w:rPr>
        <w:lastRenderedPageBreak/>
        <w:t xml:space="preserve">this reality. </w:t>
      </w:r>
      <w:r w:rsidR="00AF7F6A" w:rsidRPr="00607598">
        <w:rPr>
          <w:lang w:val="en-US"/>
        </w:rPr>
        <w:t xml:space="preserve">Of course, these factors vary from place to place and change over time. </w:t>
      </w:r>
      <w:r w:rsidR="00C2020C" w:rsidRPr="00607598">
        <w:rPr>
          <w:lang w:val="en-US"/>
        </w:rPr>
        <w:t xml:space="preserve">The existence of grades and levels of disadvantage across schools was overwhelmingly apparent in this study, not only through the lens of the six case study schools, but through interviewees’ comments on experiences teaching and leading in other settings. </w:t>
      </w:r>
      <w:r w:rsidR="00E22E00" w:rsidRPr="00607598">
        <w:rPr>
          <w:lang w:val="en-US"/>
        </w:rPr>
        <w:t xml:space="preserve">For example, one principal reflected on his experiences in four </w:t>
      </w:r>
      <w:r w:rsidR="00AC4ACE" w:rsidRPr="00607598">
        <w:rPr>
          <w:lang w:val="en-US"/>
        </w:rPr>
        <w:t xml:space="preserve">DEIS </w:t>
      </w:r>
      <w:r w:rsidR="00E22E00" w:rsidRPr="00607598">
        <w:rPr>
          <w:lang w:val="en-US"/>
        </w:rPr>
        <w:t xml:space="preserve">schools and was able to grade them into four distinct categories of disadvantage. </w:t>
      </w:r>
      <w:r w:rsidR="00C2020C" w:rsidRPr="00607598">
        <w:rPr>
          <w:lang w:val="en-US"/>
        </w:rPr>
        <w:t xml:space="preserve">The inevitable existence of a scale or spectrum of disadvantage was </w:t>
      </w:r>
      <w:r w:rsidR="001A433B" w:rsidRPr="00607598">
        <w:rPr>
          <w:lang w:val="en-US"/>
        </w:rPr>
        <w:t xml:space="preserve">recognised </w:t>
      </w:r>
      <w:r w:rsidR="00C2020C" w:rsidRPr="00607598">
        <w:rPr>
          <w:lang w:val="en-US"/>
        </w:rPr>
        <w:t>by the DES when designing the primary level DEIS scheme, which operates at three levels.</w:t>
      </w:r>
      <w:r w:rsidR="001A433B" w:rsidRPr="00607598">
        <w:rPr>
          <w:lang w:val="en-US"/>
        </w:rPr>
        <w:t xml:space="preserve"> No reason has been advanced </w:t>
      </w:r>
      <w:r w:rsidR="00C2020C" w:rsidRPr="00607598">
        <w:rPr>
          <w:lang w:val="en-US"/>
        </w:rPr>
        <w:t xml:space="preserve">as to </w:t>
      </w:r>
      <w:r w:rsidR="001A433B" w:rsidRPr="00607598">
        <w:rPr>
          <w:lang w:val="en-US"/>
        </w:rPr>
        <w:t xml:space="preserve">why the situation should be different at post-primary level </w:t>
      </w:r>
      <w:r w:rsidR="001E38CD" w:rsidRPr="00607598">
        <w:rPr>
          <w:lang w:val="en-US"/>
        </w:rPr>
        <w:t xml:space="preserve">and </w:t>
      </w:r>
      <w:r w:rsidR="001A433B" w:rsidRPr="00607598">
        <w:rPr>
          <w:lang w:val="en-US"/>
        </w:rPr>
        <w:t xml:space="preserve">yet, </w:t>
      </w:r>
      <w:r w:rsidR="00C2020C" w:rsidRPr="00607598">
        <w:rPr>
          <w:lang w:val="en-US"/>
        </w:rPr>
        <w:t xml:space="preserve">over </w:t>
      </w:r>
      <w:r w:rsidR="001A433B" w:rsidRPr="00607598">
        <w:rPr>
          <w:lang w:val="en-US"/>
        </w:rPr>
        <w:t xml:space="preserve">fifteen years </w:t>
      </w:r>
      <w:r w:rsidR="00C2020C" w:rsidRPr="00607598">
        <w:rPr>
          <w:lang w:val="en-US"/>
        </w:rPr>
        <w:t>since the DEIS scheme was launched</w:t>
      </w:r>
      <w:r w:rsidR="001A433B" w:rsidRPr="00607598">
        <w:rPr>
          <w:lang w:val="en-US"/>
        </w:rPr>
        <w:t xml:space="preserve">, this issue has not been addressed. While it would be unrealistic to expect the DES to implement a bespoke arrangement to respond to the individual needs of every school, </w:t>
      </w:r>
      <w:r w:rsidR="00395666" w:rsidRPr="00607598">
        <w:rPr>
          <w:lang w:val="en-US"/>
        </w:rPr>
        <w:t>a model which is</w:t>
      </w:r>
      <w:r w:rsidR="001A433B" w:rsidRPr="00607598">
        <w:rPr>
          <w:lang w:val="en-US"/>
        </w:rPr>
        <w:t xml:space="preserve"> more precise</w:t>
      </w:r>
      <w:r w:rsidR="007468C6" w:rsidRPr="00607598">
        <w:rPr>
          <w:lang w:val="en-US"/>
        </w:rPr>
        <w:t xml:space="preserve"> and targeted</w:t>
      </w:r>
      <w:r w:rsidR="001A433B" w:rsidRPr="00607598">
        <w:rPr>
          <w:lang w:val="en-US"/>
        </w:rPr>
        <w:t xml:space="preserve"> than the current arrangement is needed.</w:t>
      </w:r>
      <w:r w:rsidR="00DE3A21" w:rsidRPr="00607598">
        <w:rPr>
          <w:lang w:val="en-US"/>
        </w:rPr>
        <w:t xml:space="preserve"> </w:t>
      </w:r>
      <w:r w:rsidRPr="00607598">
        <w:rPr>
          <w:lang w:val="en-US"/>
        </w:rPr>
        <w:t>The more fundamental differenc</w:t>
      </w:r>
      <w:r w:rsidR="002B4624" w:rsidRPr="00607598">
        <w:rPr>
          <w:lang w:val="en-US"/>
        </w:rPr>
        <w:t xml:space="preserve">e, of course, is </w:t>
      </w:r>
      <w:r w:rsidRPr="00607598">
        <w:rPr>
          <w:lang w:val="en-US"/>
        </w:rPr>
        <w:t xml:space="preserve">between DEIS and non-DEIS schools. The mere existence of the DEIS programme recognises that reality. </w:t>
      </w:r>
      <w:r w:rsidR="003F0DD5" w:rsidRPr="00607598">
        <w:rPr>
          <w:lang w:val="en-US"/>
        </w:rPr>
        <w:t xml:space="preserve">The </w:t>
      </w:r>
      <w:r w:rsidR="00276A66" w:rsidRPr="00607598">
        <w:rPr>
          <w:lang w:val="en-US"/>
        </w:rPr>
        <w:t xml:space="preserve">key </w:t>
      </w:r>
      <w:r w:rsidR="003F0DD5" w:rsidRPr="00607598">
        <w:rPr>
          <w:lang w:val="en-US"/>
        </w:rPr>
        <w:t>challenges faced</w:t>
      </w:r>
      <w:r w:rsidR="008A2CB1" w:rsidRPr="00607598">
        <w:rPr>
          <w:lang w:val="en-US"/>
        </w:rPr>
        <w:t xml:space="preserve"> </w:t>
      </w:r>
      <w:r w:rsidR="00276A66" w:rsidRPr="00607598">
        <w:rPr>
          <w:lang w:val="en-US"/>
        </w:rPr>
        <w:t xml:space="preserve">as articulated by participants in this study </w:t>
      </w:r>
      <w:r w:rsidR="008A2CB1" w:rsidRPr="00607598">
        <w:rPr>
          <w:lang w:val="en-US"/>
        </w:rPr>
        <w:t>include</w:t>
      </w:r>
      <w:r w:rsidR="00A30D1D" w:rsidRPr="00607598">
        <w:rPr>
          <w:lang w:val="en-US"/>
        </w:rPr>
        <w:t>d</w:t>
      </w:r>
      <w:r w:rsidR="008A2CB1" w:rsidRPr="00607598">
        <w:rPr>
          <w:lang w:val="en-US"/>
        </w:rPr>
        <w:t xml:space="preserve"> resourcing of teaching and learning, of leadership and management and of well-being.</w:t>
      </w:r>
    </w:p>
    <w:p w14:paraId="7CD90EF1" w14:textId="2B3061C8" w:rsidR="002B4624" w:rsidRPr="00607598" w:rsidRDefault="00CD2ADA" w:rsidP="003D500A">
      <w:pPr>
        <w:pStyle w:val="Heading3"/>
        <w:ind w:left="0"/>
        <w:rPr>
          <w:lang w:val="en-US"/>
        </w:rPr>
      </w:pPr>
      <w:r w:rsidRPr="00607598">
        <w:rPr>
          <w:lang w:val="en-US"/>
        </w:rPr>
        <w:t>R</w:t>
      </w:r>
      <w:r w:rsidR="00F0703B" w:rsidRPr="00607598">
        <w:rPr>
          <w:lang w:val="en-US"/>
        </w:rPr>
        <w:t>esourcing</w:t>
      </w:r>
      <w:r w:rsidR="00447E8C" w:rsidRPr="00607598">
        <w:rPr>
          <w:lang w:val="en-US"/>
        </w:rPr>
        <w:t xml:space="preserve">: </w:t>
      </w:r>
      <w:r w:rsidR="00F0703B" w:rsidRPr="00607598">
        <w:rPr>
          <w:lang w:val="en-US"/>
        </w:rPr>
        <w:t>Teaching and Learning</w:t>
      </w:r>
    </w:p>
    <w:p w14:paraId="2E1F3FF8" w14:textId="77777777" w:rsidR="000C43D6" w:rsidRPr="00607598" w:rsidRDefault="000C43D6" w:rsidP="00887EFE">
      <w:pPr>
        <w:pStyle w:val="Heading2"/>
        <w:spacing w:before="0" w:after="0"/>
        <w:ind w:left="0"/>
        <w:jc w:val="both"/>
        <w:rPr>
          <w:b w:val="0"/>
        </w:rPr>
      </w:pPr>
      <w:r w:rsidRPr="00607598">
        <w:rPr>
          <w:b w:val="0"/>
        </w:rPr>
        <w:t xml:space="preserve">Many of the teachers </w:t>
      </w:r>
      <w:r w:rsidR="00B20FE4" w:rsidRPr="00607598">
        <w:rPr>
          <w:b w:val="0"/>
        </w:rPr>
        <w:t xml:space="preserve">who were </w:t>
      </w:r>
      <w:r w:rsidRPr="00607598">
        <w:rPr>
          <w:b w:val="0"/>
        </w:rPr>
        <w:t xml:space="preserve">interviewed had </w:t>
      </w:r>
      <w:r w:rsidR="00B20FE4" w:rsidRPr="00607598">
        <w:rPr>
          <w:b w:val="0"/>
        </w:rPr>
        <w:t xml:space="preserve">previous </w:t>
      </w:r>
      <w:r w:rsidRPr="00607598">
        <w:rPr>
          <w:b w:val="0"/>
        </w:rPr>
        <w:t>experience in non-disadvantaged settings and were able to draw a distinction between DEIS and non-DEIS classrooms:</w:t>
      </w:r>
    </w:p>
    <w:p w14:paraId="7FE5CFDA" w14:textId="219BDF88" w:rsidR="000C43D6" w:rsidRPr="00607598" w:rsidRDefault="00DE3A21" w:rsidP="0068037A">
      <w:pPr>
        <w:pStyle w:val="NoSpacing"/>
      </w:pPr>
      <w:r w:rsidRPr="00607598">
        <w:t>It’s w</w:t>
      </w:r>
      <w:r w:rsidR="000C43D6" w:rsidRPr="00607598">
        <w:t>ay more difficult to teach in a DEIS school…It’s a calling, it really is, it’s a vocation, you reall</w:t>
      </w:r>
      <w:r w:rsidR="00D97D03" w:rsidRPr="00607598">
        <w:t>y have to have it in your heart</w:t>
      </w:r>
      <w:r w:rsidR="000C43D6" w:rsidRPr="00607598">
        <w:t xml:space="preserve"> that you want to be here every day and keep doing it because there’s loads of challenges</w:t>
      </w:r>
      <w:r w:rsidR="00CD2ADA" w:rsidRPr="00607598">
        <w:t>.</w:t>
      </w:r>
      <w:r w:rsidR="000C43D6" w:rsidRPr="00607598">
        <w:t xml:space="preserve"> (CT, 6)</w:t>
      </w:r>
    </w:p>
    <w:p w14:paraId="2E63D854" w14:textId="77777777" w:rsidR="00C37E1F" w:rsidRPr="00607598" w:rsidRDefault="00C37E1F" w:rsidP="00C71378">
      <w:pPr>
        <w:pStyle w:val="Quote"/>
      </w:pPr>
    </w:p>
    <w:p w14:paraId="27AEAADA" w14:textId="77777777" w:rsidR="00A30D1D" w:rsidRPr="00607598" w:rsidRDefault="000C43D6" w:rsidP="0068037A">
      <w:pPr>
        <w:pStyle w:val="NoSpacing"/>
      </w:pPr>
      <w:r w:rsidRPr="00607598">
        <w:t xml:space="preserve">90% of our kids are lovely kids that are normal teenagers dealing with whatever social, family and personal issues that are going on. The 10% of our kids that are so extreme </w:t>
      </w:r>
      <w:r w:rsidR="00C37E1F" w:rsidRPr="00607598">
        <w:t xml:space="preserve">that they take up all the time </w:t>
      </w:r>
      <w:r w:rsidRPr="00607598">
        <w:t xml:space="preserve">and they cause such an effect in the classroom on the other kids that it does hold up their learning…this is the problem with the </w:t>
      </w:r>
      <w:r w:rsidR="00C37E1F" w:rsidRPr="00607598">
        <w:t>[</w:t>
      </w:r>
      <w:r w:rsidRPr="00607598">
        <w:t>lack of</w:t>
      </w:r>
      <w:r w:rsidR="00C37E1F" w:rsidRPr="00607598">
        <w:t>] diagnoses. If you have got a kid that’s un-diagnosed, he’s frustrated, he knows he’s not stupid, but he doesn’t want to look stupid in front of the class and he is asked to do something, he would rather tell the teacher to f-off than he would to admit he needs help</w:t>
      </w:r>
      <w:r w:rsidR="00CD2ADA" w:rsidRPr="00607598">
        <w:t>.</w:t>
      </w:r>
      <w:r w:rsidR="00C37E1F" w:rsidRPr="00607598">
        <w:t xml:space="preserve"> (GC, 4)</w:t>
      </w:r>
    </w:p>
    <w:p w14:paraId="2C26E8DE" w14:textId="32C416E2" w:rsidR="00A30D1D" w:rsidRPr="00607598" w:rsidRDefault="000C43D6" w:rsidP="00C71378">
      <w:pPr>
        <w:pStyle w:val="Quote"/>
      </w:pPr>
      <w:r w:rsidRPr="00607598">
        <w:t xml:space="preserve"> </w:t>
      </w:r>
    </w:p>
    <w:p w14:paraId="0547B790" w14:textId="702FEE07" w:rsidR="00A07D1C" w:rsidRPr="00607598" w:rsidRDefault="00A30D1D" w:rsidP="00A30D1D">
      <w:pPr>
        <w:spacing w:line="480" w:lineRule="auto"/>
        <w:ind w:left="0"/>
      </w:pPr>
      <w:r w:rsidRPr="00607598">
        <w:lastRenderedPageBreak/>
        <w:t xml:space="preserve">Previous studies have indicated that pupils in disadvantaged schools are far more likely to experience </w:t>
      </w:r>
      <w:r w:rsidR="00080408" w:rsidRPr="00607598">
        <w:t>‘</w:t>
      </w:r>
      <w:r w:rsidRPr="00607598">
        <w:t>much higher levels of negative feedback from their teachers than their middle-class peers</w:t>
      </w:r>
      <w:r w:rsidR="00080408" w:rsidRPr="00607598">
        <w:t>’</w:t>
      </w:r>
      <w:r w:rsidRPr="00607598">
        <w:t xml:space="preserve"> (Smyth, 2018, p. 131), with sanctions employed typically more punitive than those used in middle-class or socially mixed schools (McCoy et al, 2014). </w:t>
      </w:r>
      <w:r w:rsidR="00A07D1C" w:rsidRPr="00607598">
        <w:t>Without exception</w:t>
      </w:r>
      <w:r w:rsidR="00E2109F" w:rsidRPr="00607598">
        <w:t>,</w:t>
      </w:r>
      <w:r w:rsidR="00A07D1C" w:rsidRPr="00607598">
        <w:t xml:space="preserve"> the interviewees </w:t>
      </w:r>
      <w:r w:rsidR="00447E8C" w:rsidRPr="00607598">
        <w:t xml:space="preserve">in this study </w:t>
      </w:r>
      <w:r w:rsidR="00A07D1C" w:rsidRPr="00607598">
        <w:t xml:space="preserve">were careful to avoid the easy option of apportioning </w:t>
      </w:r>
      <w:r w:rsidR="00CC69D1" w:rsidRPr="00607598">
        <w:t>blame to</w:t>
      </w:r>
      <w:r w:rsidR="00A07D1C" w:rsidRPr="00607598">
        <w:t xml:space="preserve"> </w:t>
      </w:r>
      <w:r w:rsidR="00AC4ACE" w:rsidRPr="00607598">
        <w:t>pupils</w:t>
      </w:r>
      <w:r w:rsidR="00A07D1C" w:rsidRPr="00607598">
        <w:t xml:space="preserve"> for classroom disruption. Rather they sought to understand the underlying causes:</w:t>
      </w:r>
    </w:p>
    <w:p w14:paraId="64773B5B" w14:textId="159103CD" w:rsidR="00B10FD9" w:rsidRPr="00607598" w:rsidRDefault="00A07D1C" w:rsidP="0068037A">
      <w:pPr>
        <w:pStyle w:val="NoSpacing"/>
      </w:pPr>
      <w:r w:rsidRPr="00607598">
        <w:t>I know there are ea</w:t>
      </w:r>
      <w:r w:rsidR="00CC69D1" w:rsidRPr="00607598">
        <w:t>sier schools to teach in…I do lo</w:t>
      </w:r>
      <w:r w:rsidRPr="00607598">
        <w:t>ve the kids in this school, I really do. I know some of them have huge difficulties and they sometimes take it out on you but, at this stage, I’m able to separate the child from the behaviour…There are a lot of extreme situations here. (YH, 6)</w:t>
      </w:r>
    </w:p>
    <w:p w14:paraId="44419265" w14:textId="229A06E8" w:rsidR="00E610DF" w:rsidRPr="00607598" w:rsidRDefault="00E610DF" w:rsidP="00C71378">
      <w:pPr>
        <w:pStyle w:val="Quote"/>
      </w:pPr>
    </w:p>
    <w:p w14:paraId="38F6AF50" w14:textId="2CE1BC4C" w:rsidR="008E0DCF" w:rsidRPr="00607598" w:rsidRDefault="00B10FD9" w:rsidP="00C71378">
      <w:pPr>
        <w:pStyle w:val="Quote"/>
      </w:pPr>
      <w:r w:rsidRPr="00607598">
        <w:t>In most cases, the behaviour was provoked by challenging home environments: ‘</w:t>
      </w:r>
      <w:r w:rsidR="008A0CDC" w:rsidRPr="00607598">
        <w:t>Parents with health issues, teenager filling the caring role, you wonder how they manage to come into school (HSCL, 2)</w:t>
      </w:r>
      <w:r w:rsidRPr="00607598">
        <w:t xml:space="preserve"> and in the majority, children were parented by mothers solely: </w:t>
      </w:r>
      <w:r w:rsidR="008E0DCF" w:rsidRPr="00607598">
        <w:t xml:space="preserve">There are </w:t>
      </w:r>
      <w:r w:rsidR="008A0CDC" w:rsidRPr="00607598">
        <w:t>lot</w:t>
      </w:r>
      <w:r w:rsidR="008E0DCF" w:rsidRPr="00607598">
        <w:t>s</w:t>
      </w:r>
      <w:r w:rsidR="008A0CDC" w:rsidRPr="00607598">
        <w:t xml:space="preserve"> of split </w:t>
      </w:r>
      <w:r w:rsidR="004C7C59" w:rsidRPr="00607598">
        <w:t xml:space="preserve">families … </w:t>
      </w:r>
      <w:r w:rsidR="008E0DCF" w:rsidRPr="00607598">
        <w:t>It’s difficult for a mother on her own, working and trying to rear kids. They are worn down by poverty and hardship.</w:t>
      </w:r>
      <w:r w:rsidR="00080408" w:rsidRPr="00607598">
        <w:t>’</w:t>
      </w:r>
      <w:r w:rsidR="008E0DCF" w:rsidRPr="00607598">
        <w:t xml:space="preserve"> (HSCL, 7).</w:t>
      </w:r>
      <w:r w:rsidRPr="00607598">
        <w:t xml:space="preserve"> The disconnect</w:t>
      </w:r>
      <w:r w:rsidR="00F8763F" w:rsidRPr="00607598">
        <w:t>ion</w:t>
      </w:r>
      <w:r w:rsidRPr="00607598">
        <w:t xml:space="preserve"> between the norms and values of the school and those of the home was stark:</w:t>
      </w:r>
    </w:p>
    <w:p w14:paraId="09FE9592" w14:textId="24562232" w:rsidR="00A07D1C" w:rsidRPr="00607598" w:rsidRDefault="008E0DCF" w:rsidP="0068037A">
      <w:pPr>
        <w:pStyle w:val="NoSpacing"/>
      </w:pPr>
      <w:r w:rsidRPr="00607598">
        <w:t xml:space="preserve">For some kids the achievement is arriving </w:t>
      </w:r>
      <w:r w:rsidR="00B10FD9" w:rsidRPr="00607598">
        <w:t>at</w:t>
      </w:r>
      <w:r w:rsidRPr="00607598">
        <w:t xml:space="preserve"> school in the morning. I think that’s a huge problem, a big challenge in DEIS schools in particular, keeping kids motivated when they’re coming from homes where their educati</w:t>
      </w:r>
      <w:r w:rsidR="00B20FE4" w:rsidRPr="00607598">
        <w:t>on just isn’t a priority in a lo</w:t>
      </w:r>
      <w:r w:rsidRPr="00607598">
        <w:t>t of cases for good reason, for very good reason. I just think it’s very difficult, you can motivate them and let them know what you expect but when they go home and there’s no one reinforcing that that or it’s not being supported at home that makes it very</w:t>
      </w:r>
      <w:r w:rsidR="00CD2ADA" w:rsidRPr="00607598">
        <w:t>,</w:t>
      </w:r>
      <w:r w:rsidRPr="00607598">
        <w:t xml:space="preserve"> very difficult for the kid. </w:t>
      </w:r>
      <w:r w:rsidR="00775E0C" w:rsidRPr="00607598">
        <w:t>(CT, 14)</w:t>
      </w:r>
    </w:p>
    <w:p w14:paraId="26203A2B" w14:textId="0A81F499" w:rsidR="00CD2ADA" w:rsidRPr="00607598" w:rsidRDefault="00CD2ADA" w:rsidP="00C71378">
      <w:pPr>
        <w:pStyle w:val="Quote"/>
      </w:pPr>
    </w:p>
    <w:p w14:paraId="38B7A830" w14:textId="23FDD955" w:rsidR="00CD05B3" w:rsidRPr="00607598" w:rsidRDefault="00CD05B3" w:rsidP="00A30D1D">
      <w:pPr>
        <w:spacing w:line="480" w:lineRule="auto"/>
        <w:ind w:left="0"/>
      </w:pPr>
      <w:r w:rsidRPr="00607598">
        <w:t xml:space="preserve">The impact of this disconnect on a school’s ability to provide a high quality teaching and learning environment and on teachers’ capacities to remain engaged and committed was clear. Commenting on his experience of working in a severely disadvantaged school, one principal </w:t>
      </w:r>
      <w:r w:rsidR="00775051" w:rsidRPr="00607598">
        <w:t>‘</w:t>
      </w:r>
      <w:r w:rsidRPr="00607598">
        <w:t>Frank</w:t>
      </w:r>
      <w:r w:rsidR="00775051" w:rsidRPr="00607598">
        <w:t>’</w:t>
      </w:r>
      <w:r w:rsidRPr="00607598">
        <w:t xml:space="preserve"> observed:</w:t>
      </w:r>
    </w:p>
    <w:p w14:paraId="713BF04B" w14:textId="58CB9C0C" w:rsidR="00CD05B3" w:rsidRPr="00607598" w:rsidRDefault="00CD05B3" w:rsidP="0068037A">
      <w:pPr>
        <w:pStyle w:val="NoSpacing"/>
      </w:pPr>
      <w:r w:rsidRPr="00607598">
        <w:lastRenderedPageBreak/>
        <w:t>[School J] was much more challenging for teachers and dealing with recalcitrant/unmotivated pupils made their work less fulfilling, frustrating and more tiring. Because of lower expectations among pupils – this was a factor. I feel this led to some teachers accepting lower standards in their own expectations of the pupils they were teaching.</w:t>
      </w:r>
    </w:p>
    <w:p w14:paraId="237E71DF" w14:textId="77777777" w:rsidR="00CD05B3" w:rsidRPr="00607598" w:rsidRDefault="00CD05B3" w:rsidP="00C71378">
      <w:pPr>
        <w:pStyle w:val="Quote"/>
      </w:pPr>
    </w:p>
    <w:p w14:paraId="3BD029B3" w14:textId="2B245ED5" w:rsidR="00CD05B3" w:rsidRPr="00607598" w:rsidRDefault="00CD05B3" w:rsidP="00CD05B3">
      <w:pPr>
        <w:spacing w:before="0" w:after="0" w:line="480" w:lineRule="auto"/>
        <w:ind w:left="0"/>
      </w:pPr>
      <w:r w:rsidRPr="00607598">
        <w:t xml:space="preserve">An issue that concerned </w:t>
      </w:r>
      <w:r w:rsidR="00E2109F" w:rsidRPr="00607598">
        <w:t>‘</w:t>
      </w:r>
      <w:r w:rsidRPr="00607598">
        <w:t>Frank</w:t>
      </w:r>
      <w:r w:rsidR="00E2109F" w:rsidRPr="00607598">
        <w:t>’</w:t>
      </w:r>
      <w:r w:rsidRPr="00607598">
        <w:t xml:space="preserve"> greatly was the fate of the more able student. He wondered if the same student was in attendance in a different school, might s/he have had a better educational experience and achieved greater success as a result. In School J, because of the needs of the preponderance of students and the demands these placed on teacher allocation, it was difficult and often impossible to provide subjects at higher level. This experience contrasted starkly with Frank’s tenure as principal of a middle-class school, which was characterised by high levels of parental involvement, including in fund-raising, which ensured the necessary facilities a</w:t>
      </w:r>
      <w:r w:rsidR="00E610DF" w:rsidRPr="00607598">
        <w:t>s well as</w:t>
      </w:r>
      <w:r w:rsidRPr="00607598">
        <w:t xml:space="preserve"> a comprehensive curricular programme could be put in place:</w:t>
      </w:r>
    </w:p>
    <w:p w14:paraId="5CF38A75" w14:textId="1096637E" w:rsidR="00CD05B3" w:rsidRPr="00607598" w:rsidRDefault="00CD05B3" w:rsidP="0068037A">
      <w:pPr>
        <w:pStyle w:val="NoSpacing"/>
      </w:pPr>
      <w:r w:rsidRPr="00607598">
        <w:t>In [school K] I was able to provide for all the needs of the students in terms of education. We could provide higher level classes in several subjects, including quite rare ones. (</w:t>
      </w:r>
      <w:r w:rsidR="0031545C" w:rsidRPr="00607598">
        <w:t>‘</w:t>
      </w:r>
      <w:r w:rsidRPr="00607598">
        <w:t>Frank</w:t>
      </w:r>
      <w:r w:rsidR="0031545C" w:rsidRPr="00607598">
        <w:t>’</w:t>
      </w:r>
      <w:r w:rsidRPr="00607598">
        <w:t>)</w:t>
      </w:r>
    </w:p>
    <w:p w14:paraId="2E89CC2A" w14:textId="77777777" w:rsidR="00CD05B3" w:rsidRPr="00607598" w:rsidRDefault="00CD05B3" w:rsidP="00C71378">
      <w:pPr>
        <w:pStyle w:val="Quote"/>
      </w:pPr>
    </w:p>
    <w:p w14:paraId="684A35C6" w14:textId="633CA1B5" w:rsidR="00527552" w:rsidRPr="00607598" w:rsidRDefault="00CD05B3" w:rsidP="00B71E63">
      <w:pPr>
        <w:spacing w:before="0" w:after="0" w:line="480" w:lineRule="auto"/>
        <w:ind w:left="0"/>
      </w:pPr>
      <w:r w:rsidRPr="00607598">
        <w:t xml:space="preserve">Both schools were in the ‘free education’ scheme and, as it happens, under the management of the same body, the local education and training board. Thus, even within the sector of schools provided by the DES (i.e. leaving aside the fee-paying schools) the provision was quite markedly two-tier in nature, reflecting fundamentally different experiences of schooling. </w:t>
      </w:r>
      <w:r w:rsidR="00A30D1D" w:rsidRPr="00607598">
        <w:t xml:space="preserve">Participants in this study commented on the degree to which pupils found it challenging to negotiate middle-class norms, values and codes of behaviour. </w:t>
      </w:r>
      <w:r w:rsidR="001340CF" w:rsidRPr="00607598">
        <w:t>Faced with large class sizes</w:t>
      </w:r>
      <w:r w:rsidR="006724F3" w:rsidRPr="00607598">
        <w:t>,</w:t>
      </w:r>
      <w:r w:rsidR="001340CF" w:rsidRPr="00607598">
        <w:t xml:space="preserve"> incorporating a wide range of ability</w:t>
      </w:r>
      <w:r w:rsidR="00E2724E" w:rsidRPr="00607598">
        <w:t xml:space="preserve"> levels</w:t>
      </w:r>
      <w:r w:rsidR="006724F3" w:rsidRPr="00607598">
        <w:t>,</w:t>
      </w:r>
      <w:r w:rsidR="00E2724E" w:rsidRPr="00607598">
        <w:t xml:space="preserve"> and </w:t>
      </w:r>
      <w:r w:rsidR="001340CF" w:rsidRPr="00607598">
        <w:t xml:space="preserve"> including a high proportion of students with additional needs</w:t>
      </w:r>
      <w:r w:rsidR="00E2724E" w:rsidRPr="00607598">
        <w:t>,</w:t>
      </w:r>
      <w:r w:rsidR="001340CF" w:rsidRPr="00607598">
        <w:t xml:space="preserve"> there is a grave danger that teachers will opt for a caring approach rather than an educationally and pedagogically challenging one </w:t>
      </w:r>
      <w:r w:rsidR="00D66ED2" w:rsidRPr="00607598">
        <w:fldChar w:fldCharType="begin" w:fldLock="1"/>
      </w:r>
      <w:r w:rsidR="00E2724E" w:rsidRPr="00607598">
        <w:instrText>ADDIN CSL_CITATION {"citationItems":[{"id":"ITEM-1","itemData":{"author":[{"dropping-particle":"","family":"McCoy, S, Banks, J. &amp; Shevlin","given":"M","non-dropping-particle":"","parse-names":false,"suffix":""}],"container-title":"Cherishing All the Children Equally? Ireland 100 Years on from the Easter Rising","editor":[{"dropping-particle":"","family":"Williams","given":"J et al.","non-dropping-particle":"","parse-names":false,"suffix":""}],"id":"ITEM-1","issued":{"date-parts":[["2016"]]},"page":"153–171","publisher":"Oak Tree Press &amp; ESRI","title":"Insights into the Prevalence of Special Educational Needs","type":"chapter"},"uris":["http://www.mendeley.com/documents/?uuid=fbaeb2bf-28bf-4c4e-974e-73f6888d6c8d"]},{"id":"ITEM-2","itemData":{"DOI":"10.1080/03054985.2016.1197111","ISSN":"14653915","abstract":"This paper foregrounds pedagogy in the realisation of children’s rights to non-discrimination and serving their best interests, as articulated in the UNCRC. Drawing on a mixed methodological study of teachers in 12 schools it does so through exploring teacher pedagogies in terms of how they 'think', 'do' and 'talk' pedagogy, conceived as their pedagogic 'habitus'. Findings confirm contradictions between teachers’ ideals and their practice that is significantly mediated by the socio-cultural context of their schools, gender and presence of migrant children. Especially striking is that neither social justice concerns nor children’s rights explicitly emerge in their narratives, in turn influencing how they ‘do’ pedagogy with different groups of children. This contradiction is understood as a dialectical process of re/action influenced by structures, policies and the exercise of power in local contexts. The UNCRC provides a generative mechanism within which to hold government to account for the impact of policies, especially in challenging contexts. To be realised in practice, however, it also needs to be embedded in teacher habitus, shaping their dispositions toward children’s rights to non-discrimination and serving their best interests in education.","author":[{"dropping-particle":"","family":"Devine","given":"Dympna","non-dropping-particle":"","parse-names":false,"suffix":""},{"dropping-particle":"","family":"McGillicuddy","given":"Deirdre","non-dropping-particle":"","parse-names":false,"suffix":""}],"container-title":"Oxford Review of Education","id":"ITEM-2","issue":"4","issued":{"date-parts":[["2016"]]},"page":"424-443","publisher":"Routledge","title":"Positioning pedagogy—a matter of children’s rights","type":"article-journal","volume":"42"},"uris":["http://www.mendeley.com/documents/?uuid=651cb44f-e035-47a8-b884-fe12c506adb8"]}],"mendeley":{"formattedCitation":"(Devine &amp; McGillicuddy, 2016; McCoy, S, Banks, J. &amp; Shevlin, 2016)","manualFormatting":"(Devine &amp; McGillicuddy, 2016; McCoy, Banks &amp; Shevlin, 2016)","plainTextFormattedCitation":"(Devine &amp; McGillicuddy, 2016; McCoy, S, Banks, J. &amp; Shevlin, 2016)","previouslyFormattedCitation":"(Devine &amp; McGillicuddy, 2016; McCoy, S, Banks, J. &amp; Shevlin, 2016)"},"properties":{"noteIndex":0},"schema":"https://github.com/citation-style-language/schema/raw/master/csl-citation.json"}</w:instrText>
      </w:r>
      <w:r w:rsidR="00D66ED2" w:rsidRPr="00607598">
        <w:fldChar w:fldCharType="separate"/>
      </w:r>
      <w:r w:rsidR="00D66ED2" w:rsidRPr="00607598">
        <w:rPr>
          <w:noProof/>
        </w:rPr>
        <w:t xml:space="preserve">(Devine </w:t>
      </w:r>
      <w:r w:rsidR="000C3492" w:rsidRPr="00607598">
        <w:rPr>
          <w:noProof/>
        </w:rPr>
        <w:t>and</w:t>
      </w:r>
      <w:r w:rsidR="00D66ED2" w:rsidRPr="00607598">
        <w:rPr>
          <w:noProof/>
        </w:rPr>
        <w:t xml:space="preserve"> McGillicuddy, 2016; McCoy, Banks </w:t>
      </w:r>
      <w:r w:rsidR="000C3492" w:rsidRPr="00607598">
        <w:rPr>
          <w:noProof/>
        </w:rPr>
        <w:t>and</w:t>
      </w:r>
      <w:r w:rsidR="00D66ED2" w:rsidRPr="00607598">
        <w:rPr>
          <w:noProof/>
        </w:rPr>
        <w:t xml:space="preserve"> Shevlin, 2016)</w:t>
      </w:r>
      <w:r w:rsidR="00D66ED2" w:rsidRPr="00607598">
        <w:fldChar w:fldCharType="end"/>
      </w:r>
      <w:r w:rsidR="00D66ED2" w:rsidRPr="00607598">
        <w:t>.</w:t>
      </w:r>
      <w:r w:rsidR="00E2724E" w:rsidRPr="00607598">
        <w:t xml:space="preserve"> </w:t>
      </w:r>
      <w:r w:rsidR="00B82BE2" w:rsidRPr="00607598">
        <w:t xml:space="preserve"> </w:t>
      </w:r>
      <w:r w:rsidR="00E2724E" w:rsidRPr="00607598">
        <w:t xml:space="preserve">This is not necessarily an issue of staff competence but more a pattern that arises from contextual pressures </w:t>
      </w:r>
      <w:r w:rsidR="00E2724E" w:rsidRPr="00607598">
        <w:fldChar w:fldCharType="begin" w:fldLock="1"/>
      </w:r>
      <w:r w:rsidR="00211ECB" w:rsidRPr="00607598">
        <w:instrText>ADDIN CSL_CITATION {"citationItems":[{"id":"ITEM-1","itemData":{"DOI":"10.1080/02680939.2012.710016","ISSN":"02680939","abstract":"This paper starts from the propositions that (a) pedagogy is central to the achievement of socially just education and (b) there are existing pedagogical approaches that can contribute to more socially just outcomes. Given the ostensible commitments of the current English Government to reducing educational inequality and to the importance of teaching, we set out to explore the conditions that would need to be put in place to enable these approaches to be developed and sustained consistently in disadvantaged schools in England. We start by analysing classroom observation and interview data from four primary schools with contrasting socio-economic composition, highlighting the different pedagogical practices that emerge in working- and middle-class schools and also in working-class schools in different circumstances. Interviews with pupils show the impact of these practices on learner identities. We then draw on a variety of literatures on school composition, markets, leadership and teacher identities to present an account of the ways in which these different pedagogies are consciously or unconsciously produced. We point to systemic constraints: a mismatch between student demands and organisational capacity; teachers' attitudes and professional identities and performative pressures on school leaders. All of these suggest the need for fundamental reforms to educational purposes and system architecture, rather than the naïve reliance on teacher agency to transform educational outcomes. Nevertheless, the current policy environment in England does offer some possibilities for action and we close the paper with some suggestions about ways in which capacity for more socially just pedagogy could be built within English schools. © 2012 Copyright Taylor and Francis Group, LLC.","author":[{"dropping-particle":"","family":"Lupton","given":"Ruth","non-dropping-particle":"","parse-names":false,"suffix":""},{"dropping-particle":"","family":"Hempel-Jorgensen","given":"Amelia","non-dropping-particle":"","parse-names":false,"suffix":""}],"container-title":"Journal of Education Policy","id":"ITEM-1","issue":"5","issued":{"date-parts":[["2012"]]},"page":"601–620","title":"The importance of teaching: Pedagogical constraints and possibilities in working-class schools","type":"article-journal","volume":"27"},"uris":["http://www.mendeley.com/documents/?uuid=5026a5d9-04de-4870-a986-17da9f4ef31d"]}],"mendeley":{"formattedCitation":"(Lupton &amp; Hempel-Jorgensen, 2012)","plainTextFormattedCitation":"(Lupton &amp; Hempel-Jorgensen, 2012)","previouslyFormattedCitation":"(Lupton &amp; Hempel-Jorgensen, 2012)"},"properties":{"noteIndex":0},"schema":"https://github.com/citation-style-language/schema/raw/master/csl-citation.json"}</w:instrText>
      </w:r>
      <w:r w:rsidR="00E2724E" w:rsidRPr="00607598">
        <w:fldChar w:fldCharType="separate"/>
      </w:r>
      <w:r w:rsidR="00E2724E" w:rsidRPr="00607598">
        <w:rPr>
          <w:noProof/>
        </w:rPr>
        <w:t xml:space="preserve">(Lupton </w:t>
      </w:r>
      <w:r w:rsidR="000C3492" w:rsidRPr="00607598">
        <w:rPr>
          <w:noProof/>
        </w:rPr>
        <w:t>and</w:t>
      </w:r>
      <w:r w:rsidR="00E2724E" w:rsidRPr="00607598">
        <w:rPr>
          <w:noProof/>
        </w:rPr>
        <w:t xml:space="preserve"> Hempel-Jorgensen, 2012)</w:t>
      </w:r>
      <w:r w:rsidR="00E2724E" w:rsidRPr="00607598">
        <w:fldChar w:fldCharType="end"/>
      </w:r>
      <w:r w:rsidR="00E2724E" w:rsidRPr="00607598">
        <w:t>.</w:t>
      </w:r>
      <w:r w:rsidR="00447E8C" w:rsidRPr="00607598">
        <w:t xml:space="preserve"> </w:t>
      </w:r>
      <w:r w:rsidR="00EF4732" w:rsidRPr="00607598">
        <w:t xml:space="preserve">In relation </w:t>
      </w:r>
      <w:r w:rsidR="00EF4732" w:rsidRPr="00607598">
        <w:lastRenderedPageBreak/>
        <w:t xml:space="preserve">to caring for students and responding to their needs, both pastoral and </w:t>
      </w:r>
      <w:r w:rsidR="00E52C81" w:rsidRPr="00607598">
        <w:t xml:space="preserve">educational, particular concerns were expressed by many teachers regarding those students displaying signs of special needs but for whom no diagnosis had been provided. They believed that a </w:t>
      </w:r>
      <w:r w:rsidR="008120B8" w:rsidRPr="00607598">
        <w:t xml:space="preserve">professionally-informed, </w:t>
      </w:r>
      <w:r w:rsidR="00E52C81" w:rsidRPr="00607598">
        <w:t xml:space="preserve">fuller understanding of the student </w:t>
      </w:r>
      <w:r w:rsidR="00E52C81" w:rsidRPr="00607598">
        <w:rPr>
          <w:szCs w:val="24"/>
        </w:rPr>
        <w:t>and the challenges s/he was facing would greatly enhance the</w:t>
      </w:r>
      <w:r w:rsidR="00CA6930" w:rsidRPr="00607598">
        <w:rPr>
          <w:szCs w:val="24"/>
        </w:rPr>
        <w:t xml:space="preserve"> school’s</w:t>
      </w:r>
      <w:r w:rsidR="00E52C81" w:rsidRPr="00607598">
        <w:rPr>
          <w:szCs w:val="24"/>
        </w:rPr>
        <w:t xml:space="preserve"> ability to meet his/her needs</w:t>
      </w:r>
      <w:r w:rsidR="00BD02F6" w:rsidRPr="00607598">
        <w:rPr>
          <w:szCs w:val="24"/>
        </w:rPr>
        <w:t xml:space="preserve">, </w:t>
      </w:r>
      <w:r w:rsidR="006638FA" w:rsidRPr="00607598">
        <w:rPr>
          <w:szCs w:val="24"/>
          <w:shd w:val="clear" w:color="auto" w:fill="FFFFFF"/>
        </w:rPr>
        <w:t xml:space="preserve">notwithstanding reservations regarding how labelling, where there is a power differential, can in itself, be considered a disciplinary technology designed to control and delimit  the parameters of a discourse as well as both define and, indeed, refine the inclusion and exclusion criteria for that same category (Foucault, 1975). </w:t>
      </w:r>
      <w:r w:rsidR="00E52C81" w:rsidRPr="00607598">
        <w:rPr>
          <w:szCs w:val="24"/>
        </w:rPr>
        <w:t>There was</w:t>
      </w:r>
      <w:r w:rsidR="00E52C81" w:rsidRPr="00607598">
        <w:t xml:space="preserve"> clear evidence that the absence of such understanding and advice in the case of such a high proportion of students was seriously </w:t>
      </w:r>
      <w:r w:rsidR="00C16592" w:rsidRPr="00607598">
        <w:t>undermining</w:t>
      </w:r>
      <w:r w:rsidR="00E52C81" w:rsidRPr="00607598">
        <w:t xml:space="preserve"> teachers’ sense of efficacy, both individual and collective.</w:t>
      </w:r>
    </w:p>
    <w:p w14:paraId="005896AE" w14:textId="77777777" w:rsidR="00B71E63" w:rsidRPr="00607598" w:rsidRDefault="00B71E63" w:rsidP="00B71E63">
      <w:pPr>
        <w:spacing w:before="0" w:after="0"/>
        <w:ind w:left="0"/>
      </w:pPr>
    </w:p>
    <w:p w14:paraId="12BCE169" w14:textId="181A96BB" w:rsidR="006E7D47" w:rsidRPr="00607598" w:rsidRDefault="00CD2ADA" w:rsidP="00CD2ADA">
      <w:pPr>
        <w:pStyle w:val="Heading3"/>
        <w:spacing w:before="0" w:after="0" w:line="480" w:lineRule="auto"/>
        <w:ind w:left="0"/>
        <w:rPr>
          <w:lang w:val="en-US"/>
        </w:rPr>
      </w:pPr>
      <w:r w:rsidRPr="00607598">
        <w:rPr>
          <w:lang w:val="en-US"/>
        </w:rPr>
        <w:t>Resourcing</w:t>
      </w:r>
      <w:r w:rsidR="00447E8C" w:rsidRPr="00607598">
        <w:rPr>
          <w:lang w:val="en-US"/>
        </w:rPr>
        <w:t xml:space="preserve">: </w:t>
      </w:r>
      <w:r w:rsidR="0002079F" w:rsidRPr="00607598">
        <w:rPr>
          <w:lang w:val="en-US"/>
        </w:rPr>
        <w:t>Leadership and Management</w:t>
      </w:r>
    </w:p>
    <w:p w14:paraId="3498FEB8" w14:textId="135A8A14" w:rsidR="001B3062" w:rsidRPr="00607598" w:rsidRDefault="0002079F" w:rsidP="00CD2ADA">
      <w:pPr>
        <w:spacing w:before="0" w:after="0" w:line="480" w:lineRule="auto"/>
        <w:ind w:left="0"/>
        <w:rPr>
          <w:lang w:val="en-US" w:eastAsia="en-GB"/>
        </w:rPr>
      </w:pPr>
      <w:r w:rsidRPr="00607598">
        <w:rPr>
          <w:lang w:val="en-US" w:eastAsia="en-GB"/>
        </w:rPr>
        <w:t xml:space="preserve">To </w:t>
      </w:r>
      <w:r w:rsidR="00CD2ADA" w:rsidRPr="00607598">
        <w:rPr>
          <w:lang w:val="en-US" w:eastAsia="en-GB"/>
        </w:rPr>
        <w:t>support</w:t>
      </w:r>
      <w:r w:rsidRPr="00607598">
        <w:rPr>
          <w:lang w:val="en-US" w:eastAsia="en-GB"/>
        </w:rPr>
        <w:t xml:space="preserve"> the management and leadership requirements of a school, the DES provides a principal, a deputy principal</w:t>
      </w:r>
      <w:r w:rsidR="00382B26" w:rsidRPr="00607598">
        <w:rPr>
          <w:lang w:val="en-US" w:eastAsia="en-GB"/>
        </w:rPr>
        <w:t>(s)</w:t>
      </w:r>
      <w:r w:rsidRPr="00607598">
        <w:rPr>
          <w:lang w:val="en-US" w:eastAsia="en-GB"/>
        </w:rPr>
        <w:t xml:space="preserve"> and others who are described as holders of posts of responsibility.</w:t>
      </w:r>
      <w:r w:rsidR="003D500A" w:rsidRPr="00607598">
        <w:rPr>
          <w:lang w:val="en-US" w:eastAsia="en-GB"/>
        </w:rPr>
        <w:t xml:space="preserve"> </w:t>
      </w:r>
      <w:r w:rsidR="008112D4" w:rsidRPr="00607598">
        <w:rPr>
          <w:lang w:val="en-US" w:eastAsia="en-GB"/>
        </w:rPr>
        <w:t>Difficulties for school principals in fulfilling their leadership role in the Irish system have been the subject of commentary for well over two decades</w:t>
      </w:r>
      <w:r w:rsidR="00080408" w:rsidRPr="00607598">
        <w:rPr>
          <w:lang w:val="en-US" w:eastAsia="en-GB"/>
        </w:rPr>
        <w:t>.</w:t>
      </w:r>
      <w:r w:rsidR="008112D4" w:rsidRPr="00607598">
        <w:rPr>
          <w:lang w:val="en-US" w:eastAsia="en-GB"/>
        </w:rPr>
        <w:t xml:space="preserve"> The multiplicity of administrative and management functions they have to fulfill ‘exerts a huge clogging influence on the work of real educational leadership</w:t>
      </w:r>
      <w:r w:rsidR="00395594" w:rsidRPr="00607598">
        <w:rPr>
          <w:lang w:val="en-US" w:eastAsia="en-GB"/>
        </w:rPr>
        <w:t>’</w:t>
      </w:r>
      <w:r w:rsidR="00B82BE2" w:rsidRPr="00607598">
        <w:rPr>
          <w:lang w:val="en-US" w:eastAsia="en-GB"/>
        </w:rPr>
        <w:t xml:space="preserve"> </w:t>
      </w:r>
      <w:r w:rsidR="00E30E44" w:rsidRPr="00607598">
        <w:rPr>
          <w:lang w:val="en-US" w:eastAsia="en-GB"/>
        </w:rPr>
        <w:fldChar w:fldCharType="begin" w:fldLock="1"/>
      </w:r>
      <w:r w:rsidR="00B82BE2" w:rsidRPr="00607598">
        <w:rPr>
          <w:lang w:val="en-US" w:eastAsia="en-GB"/>
        </w:rPr>
        <w:instrText>ADDIN CSL_CITATION {"citationItems":[{"id":"ITEM-1","itemData":{"author":[{"dropping-particle":"","family":"Coolahan, J., Drudy, S., Hogan, P., Hyland, Á. &amp; McGuiness","given":"S.","non-dropping-particle":"","parse-names":false,"suffix":""}],"id":"ITEM-1","issued":{"date-parts":[["2017"]]},"publisher":"IPPN &amp; NAPD","title":"Towards a Better Future","type":"book"},"uris":["http://www.mendeley.com/documents/?uuid=20837725-5387-44d6-98c4-45677a4926c1"]}],"mendeley":{"formattedCitation":"(Coolahan, J., Drudy, S., Hogan, P., Hyland, Á. &amp; McGuiness, 2017)","manualFormatting":"(Coolahan et al., 2017, p. 184)","plainTextFormattedCitation":"(Coolahan, J., Drudy, S., Hogan, P., Hyland, Á. &amp; McGuiness, 2017)","previouslyFormattedCitation":"(Coolahan, J., Drudy, S., Hogan, P., Hyland, Á. &amp; McGuiness, 2017)"},"properties":{"noteIndex":0},"schema":"https://github.com/citation-style-language/schema/raw/master/csl-citation.json"}</w:instrText>
      </w:r>
      <w:r w:rsidR="00E30E44" w:rsidRPr="00607598">
        <w:rPr>
          <w:lang w:val="en-US" w:eastAsia="en-GB"/>
        </w:rPr>
        <w:fldChar w:fldCharType="separate"/>
      </w:r>
      <w:r w:rsidR="00B82BE2" w:rsidRPr="00607598">
        <w:rPr>
          <w:noProof/>
          <w:lang w:val="en-US" w:eastAsia="en-GB"/>
        </w:rPr>
        <w:t>(Coolahan et al.,</w:t>
      </w:r>
      <w:r w:rsidR="00E30E44" w:rsidRPr="00607598">
        <w:rPr>
          <w:noProof/>
          <w:lang w:val="en-US" w:eastAsia="en-GB"/>
        </w:rPr>
        <w:t xml:space="preserve"> 2017, p. 184)</w:t>
      </w:r>
      <w:r w:rsidR="00E30E44" w:rsidRPr="00607598">
        <w:rPr>
          <w:lang w:val="en-US" w:eastAsia="en-GB"/>
        </w:rPr>
        <w:fldChar w:fldCharType="end"/>
      </w:r>
      <w:r w:rsidR="00B676E1" w:rsidRPr="00607598">
        <w:rPr>
          <w:lang w:val="en-US" w:eastAsia="en-GB"/>
        </w:rPr>
        <w:t>.</w:t>
      </w:r>
      <w:r w:rsidR="00E30E44" w:rsidRPr="00607598">
        <w:rPr>
          <w:lang w:val="en-US" w:eastAsia="en-GB"/>
        </w:rPr>
        <w:t xml:space="preserve"> This is true of all schools and the problem has grown significantly in the last decade</w:t>
      </w:r>
      <w:r w:rsidR="007B3286" w:rsidRPr="00607598">
        <w:rPr>
          <w:lang w:val="en-US" w:eastAsia="en-GB"/>
        </w:rPr>
        <w:t>,</w:t>
      </w:r>
      <w:r w:rsidR="00E30E44" w:rsidRPr="00607598">
        <w:rPr>
          <w:lang w:val="en-US" w:eastAsia="en-GB"/>
        </w:rPr>
        <w:t xml:space="preserve"> as more and more work has been assigned to schools</w:t>
      </w:r>
      <w:r w:rsidR="001B3062" w:rsidRPr="00607598">
        <w:rPr>
          <w:lang w:val="en-US" w:eastAsia="en-GB"/>
        </w:rPr>
        <w:t>, particularly t</w:t>
      </w:r>
      <w:r w:rsidR="00080408" w:rsidRPr="00607598">
        <w:rPr>
          <w:lang w:val="en-US" w:eastAsia="en-GB"/>
        </w:rPr>
        <w:t>o</w:t>
      </w:r>
      <w:r w:rsidR="001B3062" w:rsidRPr="00607598">
        <w:rPr>
          <w:lang w:val="en-US" w:eastAsia="en-GB"/>
        </w:rPr>
        <w:t xml:space="preserve"> principals:</w:t>
      </w:r>
    </w:p>
    <w:p w14:paraId="6C70A87D" w14:textId="77777777" w:rsidR="001B3062" w:rsidRPr="00607598" w:rsidRDefault="001B3062" w:rsidP="0068037A">
      <w:pPr>
        <w:pStyle w:val="NoSpacing"/>
      </w:pPr>
      <w:r w:rsidRPr="00607598">
        <w:t>I think since I got the job… the workload has prob</w:t>
      </w:r>
      <w:r w:rsidR="00B20FE4" w:rsidRPr="00607598">
        <w:t>ably tripled…</w:t>
      </w:r>
      <w:r w:rsidR="007B3286" w:rsidRPr="00607598">
        <w:t>many d</w:t>
      </w:r>
      <w:r w:rsidRPr="00607598">
        <w:t>ays I come in and I would literally eat my lunch at my desk for ten minutes…I would walk out in the evening and go ‘What did I do today?’…We are drawing up plans to bring about improvement…you are sitting down to do it and suddenly ten more things arrive. (Principal, 1)</w:t>
      </w:r>
      <w:r w:rsidR="00E30E44" w:rsidRPr="00607598">
        <w:t xml:space="preserve"> </w:t>
      </w:r>
    </w:p>
    <w:p w14:paraId="33167B30" w14:textId="77777777" w:rsidR="0068037A" w:rsidRPr="00607598" w:rsidRDefault="0068037A" w:rsidP="0068037A">
      <w:pPr>
        <w:pStyle w:val="NoSpacing"/>
      </w:pPr>
      <w:r w:rsidRPr="00607598">
        <w:t>I would love to really get into teaching and learning…but I just find there is so much firefighting or dealing with an upset parent or a kid who has had a really tough time or a staff member who is really struggling. (Principal, 3)</w:t>
      </w:r>
    </w:p>
    <w:p w14:paraId="7720FA25" w14:textId="46711F98" w:rsidR="00937CE6" w:rsidRPr="00607598" w:rsidRDefault="00E30E44" w:rsidP="00CD2ADA">
      <w:pPr>
        <w:spacing w:before="0" w:after="0" w:line="480" w:lineRule="auto"/>
        <w:ind w:left="0"/>
        <w:rPr>
          <w:lang w:val="en-US" w:eastAsia="en-GB"/>
        </w:rPr>
      </w:pPr>
      <w:r w:rsidRPr="00607598">
        <w:rPr>
          <w:lang w:val="en-US" w:eastAsia="en-GB"/>
        </w:rPr>
        <w:lastRenderedPageBreak/>
        <w:t>The source of most of</w:t>
      </w:r>
      <w:r w:rsidR="007B3286" w:rsidRPr="00607598">
        <w:rPr>
          <w:lang w:val="en-US" w:eastAsia="en-GB"/>
        </w:rPr>
        <w:t xml:space="preserve"> these additional requirements </w:t>
      </w:r>
      <w:r w:rsidR="00080408" w:rsidRPr="00607598">
        <w:rPr>
          <w:lang w:val="en-US" w:eastAsia="en-GB"/>
        </w:rPr>
        <w:t>is</w:t>
      </w:r>
      <w:r w:rsidRPr="00607598">
        <w:rPr>
          <w:lang w:val="en-US" w:eastAsia="en-GB"/>
        </w:rPr>
        <w:t xml:space="preserve"> the DES which, at the same time</w:t>
      </w:r>
      <w:r w:rsidR="008120B8" w:rsidRPr="00607598">
        <w:rPr>
          <w:lang w:val="en-US" w:eastAsia="en-GB"/>
        </w:rPr>
        <w:t>,</w:t>
      </w:r>
      <w:r w:rsidRPr="00607598">
        <w:rPr>
          <w:lang w:val="en-US" w:eastAsia="en-GB"/>
        </w:rPr>
        <w:t xml:space="preserve"> </w:t>
      </w:r>
      <w:r w:rsidR="00080408" w:rsidRPr="00607598">
        <w:rPr>
          <w:lang w:val="en-US" w:eastAsia="en-GB"/>
        </w:rPr>
        <w:t>h</w:t>
      </w:r>
      <w:r w:rsidRPr="00607598">
        <w:rPr>
          <w:lang w:val="en-US" w:eastAsia="en-GB"/>
        </w:rPr>
        <w:t xml:space="preserve">as cut back on </w:t>
      </w:r>
      <w:r w:rsidR="007468C6" w:rsidRPr="00607598">
        <w:rPr>
          <w:lang w:val="en-US" w:eastAsia="en-GB"/>
        </w:rPr>
        <w:t xml:space="preserve">the </w:t>
      </w:r>
      <w:r w:rsidRPr="00607598">
        <w:rPr>
          <w:lang w:val="en-US" w:eastAsia="en-GB"/>
        </w:rPr>
        <w:t>resources made available to schools</w:t>
      </w:r>
      <w:r w:rsidR="00C57D9B" w:rsidRPr="00607598">
        <w:rPr>
          <w:lang w:val="en-US" w:eastAsia="en-GB"/>
        </w:rPr>
        <w:t>.</w:t>
      </w:r>
      <w:r w:rsidR="008112D4" w:rsidRPr="00607598">
        <w:rPr>
          <w:lang w:val="en-US" w:eastAsia="en-GB"/>
        </w:rPr>
        <w:t xml:space="preserve"> </w:t>
      </w:r>
      <w:r w:rsidR="00937CE6" w:rsidRPr="00607598">
        <w:rPr>
          <w:lang w:val="en-US" w:eastAsia="en-GB"/>
        </w:rPr>
        <w:t>Much of this extra workload originate</w:t>
      </w:r>
      <w:r w:rsidR="00080408" w:rsidRPr="00607598">
        <w:rPr>
          <w:lang w:val="en-US" w:eastAsia="en-GB"/>
        </w:rPr>
        <w:t>s</w:t>
      </w:r>
      <w:r w:rsidR="00937CE6" w:rsidRPr="00607598">
        <w:rPr>
          <w:lang w:val="en-US" w:eastAsia="en-GB"/>
        </w:rPr>
        <w:t xml:space="preserve"> with the inspectorate </w:t>
      </w:r>
      <w:r w:rsidR="00447E8C" w:rsidRPr="00607598">
        <w:rPr>
          <w:lang w:val="en-US" w:eastAsia="en-GB"/>
        </w:rPr>
        <w:t xml:space="preserve">who operate according to ‘a positivist agenda set at national level,’ which fails to take account of the particularities of each school context (MacRuairc and </w:t>
      </w:r>
      <w:r w:rsidR="002D3A81" w:rsidRPr="00607598">
        <w:rPr>
          <w:lang w:val="en-US" w:eastAsia="en-GB"/>
        </w:rPr>
        <w:t>Harford</w:t>
      </w:r>
      <w:r w:rsidR="00B71E63" w:rsidRPr="00607598">
        <w:rPr>
          <w:lang w:val="en-US" w:eastAsia="en-GB"/>
        </w:rPr>
        <w:t>, 2008</w:t>
      </w:r>
      <w:r w:rsidR="00447E8C" w:rsidRPr="00607598">
        <w:rPr>
          <w:lang w:val="en-US" w:eastAsia="en-GB"/>
        </w:rPr>
        <w:t xml:space="preserve">) </w:t>
      </w:r>
      <w:r w:rsidR="00937CE6" w:rsidRPr="00607598">
        <w:rPr>
          <w:lang w:val="en-US" w:eastAsia="en-GB"/>
        </w:rPr>
        <w:t xml:space="preserve">and, in that regard, DEIS schools experience greater demands than others </w:t>
      </w:r>
      <w:r w:rsidR="00937CE6" w:rsidRPr="00607598">
        <w:rPr>
          <w:lang w:val="en-US" w:eastAsia="en-GB"/>
        </w:rPr>
        <w:fldChar w:fldCharType="begin" w:fldLock="1"/>
      </w:r>
      <w:r w:rsidR="00A02E7C" w:rsidRPr="00607598">
        <w:rPr>
          <w:lang w:val="en-US" w:eastAsia="en-GB"/>
        </w:rPr>
        <w:instrText>ADDIN CSL_CITATION {"citationItems":[{"id":"ITEM-1","itemData":{"author":[{"dropping-particle":"","family":"Skerritt","given":"Craig","non-dropping-particle":"","parse-names":false,"suffix":""}],"container-title":"Improving Schools","id":"ITEM-1","issue":"3","issued":{"date-parts":[["2019"]]},"page":"267–287","title":"I think Irish schpools need to keep doing what they're doing: Irish teachers' views on school autonomy after working in English academies","type":"article-journal","volume":"22"},"uris":["http://www.mendeley.com/documents/?uuid=57b8c9bb-f706-4f2e-86d6-a182871014a3"]},{"id":"ITEM-2","itemData":{"DOI":"10.1007/s11092-012-9143-9","ISSN":"18748597","abstract":"This paper attempts to provide an overview of the key assumptions underpinning the Whole SchoolEvaluation (WSE) inspection policy developed in Ireland since 2003. Beginning with a documentary analysis the paper argues that the capacity to generate useful self evaluative data in schools was seen as being at the heart of the model of school evaluation proposed by the Department of Education and Science. It further suggests that while the rhetoric of self evaluative capacity building has been key to the emerging system the lack of a meaningful structural response within schools means that this has remained aspirational. The latter part of the paper seeks to test this contention, examining the research base in the area of school evaluation and inspection in Ireland and conducting a number of targeted focus groups with school leaders. For the most part the initial contention is confirmed although there is a sense that there may be significant new pressures emerging in the near future that could cause the whole system to be revisited and perhaps be radically overhauled. An initial indicator of these potential changes can be seen in the emergence of a refined WSE Management, Leadership and Learning inspection policy which has yet to be widely implemented. © 2012 Springer Science + Business Media, LLC.","author":[{"dropping-particle":"","family":"McNamara","given":"Gerry","non-dropping-particle":"","parse-names":false,"suffix":""},{"dropping-particle":"","family":"O'Hara","given":"Joe","non-dropping-particle":"","parse-names":false,"suffix":""}],"container-title":"Educational Assessment, Evaluation and Accountability","id":"ITEM-2","issue":"2","issued":{"date-parts":[["2012"]]},"page":"79–97","title":"From looking at our schools (LAOS) to whole school evaluation -management, leadership and learning (WSE-MLL): The evolution of inspection in irish schools over the past decade","type":"article-journal","volume":"24"},"uris":["http://www.mendeley.com/documents/?uuid=57f5c502-32f5-495d-82e5-3ee909ced9b9"]}],"mendeley":{"formattedCitation":"(McNamara &amp; O’Hara, 2012; Skerritt, 2019)","manualFormatting":"(McNamara &amp; O’Hara, 2012;  Skerritt, 2019)","plainTextFormattedCitation":"(McNamara &amp; O’Hara, 2012; Skerritt, 2019)","previouslyFormattedCitation":"(McNamara &amp; O’Hara, 2012; Skerritt, 2019)"},"properties":{"noteIndex":0},"schema":"https://github.com/citation-style-language/schema/raw/master/csl-citation.json"}</w:instrText>
      </w:r>
      <w:r w:rsidR="00937CE6" w:rsidRPr="00607598">
        <w:rPr>
          <w:lang w:val="en-US" w:eastAsia="en-GB"/>
        </w:rPr>
        <w:fldChar w:fldCharType="separate"/>
      </w:r>
      <w:r w:rsidR="00937CE6" w:rsidRPr="00607598">
        <w:rPr>
          <w:noProof/>
          <w:lang w:val="en-US" w:eastAsia="en-GB"/>
        </w:rPr>
        <w:t xml:space="preserve">(McNamara </w:t>
      </w:r>
      <w:r w:rsidR="00C2734B" w:rsidRPr="00607598">
        <w:rPr>
          <w:noProof/>
          <w:lang w:val="en-US" w:eastAsia="en-GB"/>
        </w:rPr>
        <w:t>and</w:t>
      </w:r>
      <w:r w:rsidR="00937CE6" w:rsidRPr="00607598">
        <w:rPr>
          <w:noProof/>
          <w:lang w:val="en-US" w:eastAsia="en-GB"/>
        </w:rPr>
        <w:t xml:space="preserve"> O’Hara, 2012;  Skerritt, 2019)</w:t>
      </w:r>
      <w:r w:rsidR="00937CE6" w:rsidRPr="00607598">
        <w:rPr>
          <w:lang w:val="en-US" w:eastAsia="en-GB"/>
        </w:rPr>
        <w:fldChar w:fldCharType="end"/>
      </w:r>
      <w:r w:rsidR="00937CE6" w:rsidRPr="00607598">
        <w:rPr>
          <w:lang w:val="en-US" w:eastAsia="en-GB"/>
        </w:rPr>
        <w:t>.</w:t>
      </w:r>
    </w:p>
    <w:p w14:paraId="47294511" w14:textId="157EB38F" w:rsidR="00A35C46" w:rsidRPr="00607598" w:rsidRDefault="00B70059" w:rsidP="00CD2ADA">
      <w:pPr>
        <w:spacing w:before="0" w:after="0" w:line="480" w:lineRule="auto"/>
        <w:ind w:left="0" w:firstLine="720"/>
        <w:rPr>
          <w:lang w:val="en-US" w:eastAsia="en-GB"/>
        </w:rPr>
      </w:pPr>
      <w:r w:rsidRPr="00607598">
        <w:rPr>
          <w:lang w:val="en-US" w:eastAsia="en-GB"/>
        </w:rPr>
        <w:t xml:space="preserve">In assessing the particular demands placed on schools in the organisational and pastoral area it was deemed important to get the perspective from those who had leadership experience in both DEIS and more mainstream schools. </w:t>
      </w:r>
      <w:r w:rsidR="00A35C46" w:rsidRPr="00607598">
        <w:rPr>
          <w:lang w:val="en-US" w:eastAsia="en-GB"/>
        </w:rPr>
        <w:t>As it happens none of the principals in the s</w:t>
      </w:r>
      <w:r w:rsidR="000D021A" w:rsidRPr="00607598">
        <w:rPr>
          <w:lang w:val="en-US" w:eastAsia="en-GB"/>
        </w:rPr>
        <w:t xml:space="preserve">ix </w:t>
      </w:r>
      <w:r w:rsidR="00544FF9" w:rsidRPr="00607598">
        <w:rPr>
          <w:lang w:val="en-US" w:eastAsia="en-GB"/>
        </w:rPr>
        <w:t xml:space="preserve">case-study </w:t>
      </w:r>
      <w:r w:rsidR="000D021A" w:rsidRPr="00607598">
        <w:rPr>
          <w:lang w:val="en-US" w:eastAsia="en-GB"/>
        </w:rPr>
        <w:t xml:space="preserve">schools had filled the same </w:t>
      </w:r>
      <w:r w:rsidR="00A35C46" w:rsidRPr="00607598">
        <w:rPr>
          <w:lang w:val="en-US" w:eastAsia="en-GB"/>
        </w:rPr>
        <w:t>role in another school. So, the clearest evidence on the</w:t>
      </w:r>
      <w:r w:rsidR="002E47C0" w:rsidRPr="00607598">
        <w:rPr>
          <w:lang w:val="en-US" w:eastAsia="en-GB"/>
        </w:rPr>
        <w:t xml:space="preserve"> differing </w:t>
      </w:r>
      <w:r w:rsidR="00B20FE4" w:rsidRPr="00607598">
        <w:rPr>
          <w:lang w:val="en-US" w:eastAsia="en-GB"/>
        </w:rPr>
        <w:t xml:space="preserve">leadership challenges </w:t>
      </w:r>
      <w:r w:rsidR="00D97D03" w:rsidRPr="00607598">
        <w:rPr>
          <w:lang w:val="en-US" w:eastAsia="en-GB"/>
        </w:rPr>
        <w:t>faced</w:t>
      </w:r>
      <w:r w:rsidR="0080073F" w:rsidRPr="00607598">
        <w:rPr>
          <w:lang w:val="en-US" w:eastAsia="en-GB"/>
        </w:rPr>
        <w:t xml:space="preserve"> by principals and their colleagues</w:t>
      </w:r>
      <w:r w:rsidR="00D97D03" w:rsidRPr="00607598">
        <w:rPr>
          <w:lang w:val="en-US" w:eastAsia="en-GB"/>
        </w:rPr>
        <w:t xml:space="preserve">, </w:t>
      </w:r>
      <w:r w:rsidR="00B20FE4" w:rsidRPr="00607598">
        <w:rPr>
          <w:lang w:val="en-US" w:eastAsia="en-GB"/>
        </w:rPr>
        <w:t xml:space="preserve">depending on the </w:t>
      </w:r>
      <w:r w:rsidR="002E47C0" w:rsidRPr="00607598">
        <w:rPr>
          <w:lang w:val="en-US" w:eastAsia="en-GB"/>
        </w:rPr>
        <w:t>nature of</w:t>
      </w:r>
      <w:r w:rsidR="00B20FE4" w:rsidRPr="00607598">
        <w:rPr>
          <w:lang w:val="en-US" w:eastAsia="en-GB"/>
        </w:rPr>
        <w:t xml:space="preserve"> school</w:t>
      </w:r>
      <w:r w:rsidR="00D97D03" w:rsidRPr="00607598">
        <w:rPr>
          <w:lang w:val="en-US" w:eastAsia="en-GB"/>
        </w:rPr>
        <w:t>,</w:t>
      </w:r>
      <w:r w:rsidR="002E47C0" w:rsidRPr="00607598">
        <w:rPr>
          <w:lang w:val="en-US" w:eastAsia="en-GB"/>
        </w:rPr>
        <w:t xml:space="preserve"> </w:t>
      </w:r>
      <w:r w:rsidR="00D97D03" w:rsidRPr="00607598">
        <w:rPr>
          <w:lang w:val="en-US" w:eastAsia="en-GB"/>
        </w:rPr>
        <w:t xml:space="preserve">came from some of the other </w:t>
      </w:r>
      <w:r w:rsidR="00C71378" w:rsidRPr="00607598">
        <w:rPr>
          <w:lang w:val="en-US" w:eastAsia="en-GB"/>
        </w:rPr>
        <w:t xml:space="preserve">participants </w:t>
      </w:r>
      <w:r w:rsidR="00544FF9" w:rsidRPr="00607598">
        <w:rPr>
          <w:lang w:val="en-US" w:eastAsia="en-GB"/>
        </w:rPr>
        <w:t>interviewed during the research</w:t>
      </w:r>
      <w:r w:rsidR="00A35C46" w:rsidRPr="00607598">
        <w:rPr>
          <w:lang w:val="en-US" w:eastAsia="en-GB"/>
        </w:rPr>
        <w:t xml:space="preserve">. </w:t>
      </w:r>
      <w:r w:rsidR="0031545C" w:rsidRPr="00607598">
        <w:rPr>
          <w:lang w:val="en-US" w:eastAsia="en-GB"/>
        </w:rPr>
        <w:t>‘</w:t>
      </w:r>
      <w:r w:rsidR="00A35C46" w:rsidRPr="00607598">
        <w:rPr>
          <w:lang w:val="en-US" w:eastAsia="en-GB"/>
        </w:rPr>
        <w:t>Frank</w:t>
      </w:r>
      <w:r w:rsidR="0031545C" w:rsidRPr="00607598">
        <w:rPr>
          <w:lang w:val="en-US" w:eastAsia="en-GB"/>
        </w:rPr>
        <w:t>’</w:t>
      </w:r>
      <w:r w:rsidR="00A35C46" w:rsidRPr="00607598">
        <w:rPr>
          <w:lang w:val="en-US" w:eastAsia="en-GB"/>
        </w:rPr>
        <w:t xml:space="preserve"> </w:t>
      </w:r>
      <w:r w:rsidR="00080408" w:rsidRPr="00607598">
        <w:rPr>
          <w:lang w:val="en-US" w:eastAsia="en-GB"/>
        </w:rPr>
        <w:t xml:space="preserve">had </w:t>
      </w:r>
      <w:r w:rsidR="00A35C46" w:rsidRPr="00607598">
        <w:rPr>
          <w:lang w:val="en-US" w:eastAsia="en-GB"/>
        </w:rPr>
        <w:t>served as principal in two locations. School J was located in an extremely disadvantaged area</w:t>
      </w:r>
      <w:r w:rsidR="00CE6850" w:rsidRPr="00607598">
        <w:rPr>
          <w:lang w:val="en-US" w:eastAsia="en-GB"/>
        </w:rPr>
        <w:t xml:space="preserve">. Subsequently, </w:t>
      </w:r>
      <w:r w:rsidR="0080073F" w:rsidRPr="00607598">
        <w:rPr>
          <w:lang w:val="en-US" w:eastAsia="en-GB"/>
        </w:rPr>
        <w:t>‘Frank’</w:t>
      </w:r>
      <w:r w:rsidR="00A35C46" w:rsidRPr="00607598">
        <w:rPr>
          <w:lang w:val="en-US" w:eastAsia="en-GB"/>
        </w:rPr>
        <w:t xml:space="preserve"> moved to School K</w:t>
      </w:r>
      <w:r w:rsidR="000D021A" w:rsidRPr="00607598">
        <w:rPr>
          <w:lang w:val="en-US" w:eastAsia="en-GB"/>
        </w:rPr>
        <w:t xml:space="preserve"> (non-DEIS)</w:t>
      </w:r>
      <w:r w:rsidR="00A35C46" w:rsidRPr="00607598">
        <w:rPr>
          <w:lang w:val="en-US" w:eastAsia="en-GB"/>
        </w:rPr>
        <w:t xml:space="preserve"> which was located in </w:t>
      </w:r>
      <w:r w:rsidR="00AC4ACE" w:rsidRPr="00607598">
        <w:rPr>
          <w:lang w:val="en-US" w:eastAsia="en-GB"/>
        </w:rPr>
        <w:t>a more affluent area</w:t>
      </w:r>
      <w:r w:rsidR="00CE6850" w:rsidRPr="00607598">
        <w:rPr>
          <w:lang w:val="en-US" w:eastAsia="en-GB"/>
        </w:rPr>
        <w:t>:</w:t>
      </w:r>
    </w:p>
    <w:p w14:paraId="154B7F1C" w14:textId="217747E6" w:rsidR="00046519" w:rsidRPr="00607598" w:rsidRDefault="00046519" w:rsidP="0068037A">
      <w:pPr>
        <w:pStyle w:val="NoSpacing"/>
      </w:pPr>
      <w:r w:rsidRPr="00607598">
        <w:t>The pupils [in school J] were similar to those attending a DEIS school today–high number of special needs, appear undernourished, lower attainment levels in primary</w:t>
      </w:r>
      <w:r w:rsidR="00CD2ADA" w:rsidRPr="00607598">
        <w:t xml:space="preserve"> </w:t>
      </w:r>
      <w:r w:rsidRPr="00607598">
        <w:t xml:space="preserve">school, lower reading age category, low expectations, manifesting a lot of behavioural problems, attention deficit in class and few capable of taking higher level papers…there were exceptions and several pupils did make strident efforts and their achievements were a joy to observe…The pupils </w:t>
      </w:r>
      <w:r w:rsidR="00AE0067" w:rsidRPr="00607598">
        <w:t>[</w:t>
      </w:r>
      <w:r w:rsidRPr="00607598">
        <w:t>in</w:t>
      </w:r>
      <w:r w:rsidR="00AE0067" w:rsidRPr="00607598">
        <w:t xml:space="preserve"> </w:t>
      </w:r>
      <w:r w:rsidRPr="00607598">
        <w:t>school K</w:t>
      </w:r>
      <w:r w:rsidR="00AE0067" w:rsidRPr="00607598">
        <w:t>] cam</w:t>
      </w:r>
      <w:r w:rsidRPr="00607598">
        <w:t>e from more secure homes. They had to have a head start. They were involved in sport or some other activities</w:t>
      </w:r>
      <w:r w:rsidR="00AE0067" w:rsidRPr="00607598">
        <w:t xml:space="preserve">, music lessons, dance classes from an early age, more role models, higher aspirations and </w:t>
      </w:r>
      <w:r w:rsidR="00C2734B" w:rsidRPr="00607598">
        <w:t>a</w:t>
      </w:r>
      <w:r w:rsidR="00AE0067" w:rsidRPr="00607598">
        <w:t xml:space="preserve"> much higher standard in terms of reading ages, better vocabulary, were more motivated, socially more comfortable and parents were more supportive. </w:t>
      </w:r>
    </w:p>
    <w:p w14:paraId="0E91E916" w14:textId="77777777" w:rsidR="00291A0D" w:rsidRPr="00607598" w:rsidRDefault="00291A0D" w:rsidP="00C71378">
      <w:pPr>
        <w:pStyle w:val="Quote"/>
      </w:pPr>
    </w:p>
    <w:p w14:paraId="0C581829" w14:textId="30BA315F" w:rsidR="00AE0067" w:rsidRPr="00607598" w:rsidRDefault="00AE0067" w:rsidP="00291A0D">
      <w:pPr>
        <w:spacing w:before="0" w:after="0" w:line="480" w:lineRule="auto"/>
        <w:ind w:left="0"/>
      </w:pPr>
      <w:r w:rsidRPr="00607598">
        <w:t>These circumstances impacted greatly on</w:t>
      </w:r>
      <w:r w:rsidR="0080073F" w:rsidRPr="00607598">
        <w:t xml:space="preserve"> his</w:t>
      </w:r>
      <w:r w:rsidRPr="00607598">
        <w:t xml:space="preserve"> experience </w:t>
      </w:r>
      <w:r w:rsidR="00CD2ADA" w:rsidRPr="00607598">
        <w:t xml:space="preserve">as he endeavoured to </w:t>
      </w:r>
      <w:r w:rsidR="00CC69D1" w:rsidRPr="00607598">
        <w:t>fulfil</w:t>
      </w:r>
      <w:r w:rsidR="00CD2ADA" w:rsidRPr="00607598">
        <w:t xml:space="preserve"> the requirements of his</w:t>
      </w:r>
      <w:r w:rsidR="00CC69D1" w:rsidRPr="00607598">
        <w:t xml:space="preserve"> leadership role:</w:t>
      </w:r>
    </w:p>
    <w:p w14:paraId="2AA39F35" w14:textId="0185A41C" w:rsidR="00CE6850" w:rsidRPr="00607598" w:rsidRDefault="00CE6850" w:rsidP="0068037A">
      <w:pPr>
        <w:pStyle w:val="NoSpacing"/>
      </w:pPr>
      <w:r w:rsidRPr="00607598">
        <w:t>In some sense the role of school leader was similar, the objectives were the same but you’re working in a different environment and with a different calibre of student. The big difference was in the proportion of time which had to be allocated to dealing with issues, particularly behavio</w:t>
      </w:r>
      <w:r w:rsidR="002A19CA" w:rsidRPr="00607598">
        <w:t>u</w:t>
      </w:r>
      <w:r w:rsidRPr="00607598">
        <w:t xml:space="preserve">ral issues, during the day, or at staff meetings [in school J]. </w:t>
      </w:r>
      <w:r w:rsidRPr="00607598">
        <w:lastRenderedPageBreak/>
        <w:t xml:space="preserve">There was much more time to ‘think’, prepare policies, meet with teachers/teacher groups, one could focus more [in school K] on the area of education and teaching. </w:t>
      </w:r>
    </w:p>
    <w:p w14:paraId="7EF583C1" w14:textId="77777777" w:rsidR="00CD2ADA" w:rsidRPr="00607598" w:rsidRDefault="00CD2ADA" w:rsidP="00C71378">
      <w:pPr>
        <w:pStyle w:val="Quote"/>
      </w:pPr>
    </w:p>
    <w:p w14:paraId="621F8493" w14:textId="471B0832" w:rsidR="00FE1BE4" w:rsidRPr="00607598" w:rsidRDefault="00FE1BE4" w:rsidP="00CD2ADA">
      <w:pPr>
        <w:spacing w:before="0" w:after="0" w:line="480" w:lineRule="auto"/>
        <w:ind w:left="0"/>
      </w:pPr>
      <w:r w:rsidRPr="00607598">
        <w:t>The c</w:t>
      </w:r>
      <w:r w:rsidR="003F409E" w:rsidRPr="00607598">
        <w:t>ontrast</w:t>
      </w:r>
      <w:r w:rsidRPr="00607598">
        <w:t xml:space="preserve"> </w:t>
      </w:r>
      <w:r w:rsidR="0080073F" w:rsidRPr="00607598">
        <w:t>‘Frank’</w:t>
      </w:r>
      <w:r w:rsidRPr="00607598">
        <w:t xml:space="preserve"> </w:t>
      </w:r>
      <w:r w:rsidR="003F409E" w:rsidRPr="00607598">
        <w:t>experienced</w:t>
      </w:r>
      <w:r w:rsidRPr="00607598">
        <w:t xml:space="preserve"> in providing leadership to the different schools was illustrated clearly and succinctly when he described </w:t>
      </w:r>
      <w:r w:rsidR="004C7C59" w:rsidRPr="00607598">
        <w:t xml:space="preserve">the topics </w:t>
      </w:r>
      <w:r w:rsidRPr="00607598">
        <w:t>that dominated weekly meetings with his management team:</w:t>
      </w:r>
    </w:p>
    <w:p w14:paraId="5394F10D" w14:textId="77777777" w:rsidR="003F409E" w:rsidRPr="00607598" w:rsidRDefault="00FE1BE4" w:rsidP="0068037A">
      <w:pPr>
        <w:pStyle w:val="NoSpacing"/>
      </w:pPr>
      <w:r w:rsidRPr="00607598">
        <w:t>In [school J] behavioural issues…in [school K] education, policies, how to raise standards and teaching methodologies</w:t>
      </w:r>
      <w:r w:rsidR="00CD2ADA" w:rsidRPr="00607598">
        <w:t>.</w:t>
      </w:r>
    </w:p>
    <w:p w14:paraId="6E2DF0D0" w14:textId="2F8D1CC1" w:rsidR="00FE1BE4" w:rsidRPr="00607598" w:rsidRDefault="00FE1BE4" w:rsidP="0068037A">
      <w:pPr>
        <w:pStyle w:val="NoSpacing"/>
      </w:pPr>
      <w:r w:rsidRPr="00607598">
        <w:t xml:space="preserve"> </w:t>
      </w:r>
    </w:p>
    <w:p w14:paraId="737C4D9A" w14:textId="317169A5" w:rsidR="006E5CD8" w:rsidRPr="00607598" w:rsidRDefault="006E5CD8" w:rsidP="00CD2ADA">
      <w:pPr>
        <w:spacing w:before="0" w:after="0" w:line="480" w:lineRule="auto"/>
        <w:ind w:left="0"/>
      </w:pPr>
      <w:r w:rsidRPr="00607598">
        <w:t>‘Martin’ filled the role of deputy principal in a school A (DEIS) before moving to school B (non-DEIS). He found that he had to play a far bigger</w:t>
      </w:r>
      <w:r w:rsidR="000D021A" w:rsidRPr="00607598">
        <w:t xml:space="preserve"> disciplinary</w:t>
      </w:r>
      <w:r w:rsidRPr="00607598">
        <w:t xml:space="preserve"> role in </w:t>
      </w:r>
      <w:r w:rsidR="00CD2ADA" w:rsidRPr="00607598">
        <w:t>the</w:t>
      </w:r>
      <w:r w:rsidRPr="00607598">
        <w:t xml:space="preserve"> former:</w:t>
      </w:r>
    </w:p>
    <w:p w14:paraId="02B9F879" w14:textId="2C700514" w:rsidR="006E5CD8" w:rsidRPr="00607598" w:rsidRDefault="006E5CD8" w:rsidP="0068037A">
      <w:pPr>
        <w:pStyle w:val="NoSpacing"/>
      </w:pPr>
      <w:r w:rsidRPr="00607598">
        <w:t xml:space="preserve">In [school A] by 9.30/9.45 I would have six or seven students outside my door waiting to be dealt with [for disciplinary reasons]. Today in [school B, interviewed at lunchtime] I haven’t been approached by either a student or teacher on a disciplinary issue. </w:t>
      </w:r>
    </w:p>
    <w:p w14:paraId="4E159132" w14:textId="77777777" w:rsidR="00291A0D" w:rsidRPr="00607598" w:rsidRDefault="00291A0D" w:rsidP="00C71378">
      <w:pPr>
        <w:pStyle w:val="Quote"/>
      </w:pPr>
    </w:p>
    <w:p w14:paraId="337DE03F" w14:textId="73B905B1" w:rsidR="00D754B1" w:rsidRPr="00607598" w:rsidRDefault="00D754B1" w:rsidP="00291A0D">
      <w:pPr>
        <w:spacing w:before="0" w:after="0" w:line="480" w:lineRule="auto"/>
        <w:ind w:left="0"/>
      </w:pPr>
      <w:r w:rsidRPr="00607598">
        <w:t>‘</w:t>
      </w:r>
      <w:r w:rsidR="00CC69D1" w:rsidRPr="00607598">
        <w:t xml:space="preserve">Tony’ </w:t>
      </w:r>
      <w:r w:rsidR="00A43240" w:rsidRPr="00607598">
        <w:t xml:space="preserve">moved from school E </w:t>
      </w:r>
      <w:r w:rsidR="00CC69D1" w:rsidRPr="00607598">
        <w:t>(DEIS)</w:t>
      </w:r>
      <w:r w:rsidRPr="00607598">
        <w:t xml:space="preserve"> to </w:t>
      </w:r>
      <w:r w:rsidR="00A43240" w:rsidRPr="00607598">
        <w:t xml:space="preserve">school G </w:t>
      </w:r>
      <w:r w:rsidR="00CC69D1" w:rsidRPr="00607598">
        <w:t>(</w:t>
      </w:r>
      <w:r w:rsidRPr="00607598">
        <w:t>non-DEIS</w:t>
      </w:r>
      <w:r w:rsidR="00CC69D1" w:rsidRPr="00607598">
        <w:t>)</w:t>
      </w:r>
      <w:r w:rsidRPr="00607598">
        <w:t xml:space="preserve"> and </w:t>
      </w:r>
      <w:r w:rsidR="00291A0D" w:rsidRPr="00607598">
        <w:t xml:space="preserve">compared his experience in the two schools as follows: </w:t>
      </w:r>
    </w:p>
    <w:p w14:paraId="7F10A3C2" w14:textId="053B926A" w:rsidR="00D754B1" w:rsidRPr="00607598" w:rsidRDefault="00D754B1" w:rsidP="0068037A">
      <w:pPr>
        <w:pStyle w:val="NoSpacing"/>
      </w:pPr>
      <w:r w:rsidRPr="00607598">
        <w:t>The minute the students walked in the door</w:t>
      </w:r>
      <w:r w:rsidR="00A43240" w:rsidRPr="00607598">
        <w:t xml:space="preserve"> [school E</w:t>
      </w:r>
      <w:r w:rsidR="00CC69D1" w:rsidRPr="00607598">
        <w:t>]</w:t>
      </w:r>
      <w:r w:rsidRPr="00607598">
        <w:t xml:space="preserve"> you were firefighting, and I would describe it as firefighting. Teaching and learning weren’t the priority…keeping the show on the road was…</w:t>
      </w:r>
      <w:r w:rsidR="00A43240" w:rsidRPr="00607598">
        <w:t>In [school G</w:t>
      </w:r>
      <w:r w:rsidR="00CC69D1" w:rsidRPr="00607598">
        <w:t xml:space="preserve">] </w:t>
      </w:r>
      <w:r w:rsidRPr="00607598">
        <w:t>I actually couldn’t believe that within the Irish education system there is such a difference between one school and another.</w:t>
      </w:r>
    </w:p>
    <w:p w14:paraId="676E157F" w14:textId="77777777" w:rsidR="00291A0D" w:rsidRPr="00607598" w:rsidRDefault="00291A0D" w:rsidP="00C71378">
      <w:pPr>
        <w:pStyle w:val="Quote"/>
      </w:pPr>
    </w:p>
    <w:p w14:paraId="3C673646" w14:textId="77777777" w:rsidR="00CE6850" w:rsidRPr="00607598" w:rsidRDefault="00AE0067" w:rsidP="00291A0D">
      <w:pPr>
        <w:spacing w:before="0" w:after="0" w:line="480" w:lineRule="auto"/>
        <w:ind w:left="0"/>
      </w:pPr>
      <w:r w:rsidRPr="00607598">
        <w:t>‘Mary’</w:t>
      </w:r>
      <w:r w:rsidR="00DF63C7" w:rsidRPr="00607598">
        <w:t xml:space="preserve"> </w:t>
      </w:r>
      <w:r w:rsidR="000B7397" w:rsidRPr="00607598">
        <w:t xml:space="preserve">and ‘Margaret’ </w:t>
      </w:r>
      <w:r w:rsidR="00DF63C7" w:rsidRPr="00607598">
        <w:t>contrasted</w:t>
      </w:r>
      <w:r w:rsidRPr="00607598">
        <w:t xml:space="preserve"> </w:t>
      </w:r>
      <w:r w:rsidR="00B20FE4" w:rsidRPr="00607598">
        <w:t>t</w:t>
      </w:r>
      <w:r w:rsidRPr="00607598">
        <w:t>he</w:t>
      </w:r>
      <w:r w:rsidR="00B20FE4" w:rsidRPr="00607598">
        <w:t>i</w:t>
      </w:r>
      <w:r w:rsidRPr="00607598">
        <w:t>r experiences, firstly as principal</w:t>
      </w:r>
      <w:r w:rsidR="000B7397" w:rsidRPr="00607598">
        <w:t>s</w:t>
      </w:r>
      <w:r w:rsidR="00A43240" w:rsidRPr="00607598">
        <w:t xml:space="preserve"> in </w:t>
      </w:r>
      <w:r w:rsidRPr="00607598">
        <w:t>non-DEIS school</w:t>
      </w:r>
      <w:r w:rsidR="00A43240" w:rsidRPr="00607598">
        <w:t>s</w:t>
      </w:r>
      <w:r w:rsidRPr="00607598">
        <w:t xml:space="preserve"> </w:t>
      </w:r>
      <w:r w:rsidR="006724F3" w:rsidRPr="00607598">
        <w:t xml:space="preserve">and then </w:t>
      </w:r>
      <w:r w:rsidR="00DF63C7" w:rsidRPr="00607598">
        <w:t>fulfilling the same role</w:t>
      </w:r>
      <w:r w:rsidR="00A43240" w:rsidRPr="00607598">
        <w:t xml:space="preserve"> in </w:t>
      </w:r>
      <w:r w:rsidRPr="00607598">
        <w:t>DEIS school</w:t>
      </w:r>
      <w:r w:rsidR="00A43240" w:rsidRPr="00607598">
        <w:t>s</w:t>
      </w:r>
      <w:r w:rsidR="00DF63C7" w:rsidRPr="00607598">
        <w:t>:</w:t>
      </w:r>
    </w:p>
    <w:p w14:paraId="5E99EB60" w14:textId="596CA7DA" w:rsidR="00DF63C7" w:rsidRPr="00607598" w:rsidRDefault="00DF63C7" w:rsidP="0068037A">
      <w:pPr>
        <w:pStyle w:val="NoSpacing"/>
      </w:pPr>
      <w:r w:rsidRPr="00607598">
        <w:t>Because of the complexity of the problems we have to deal with I think we have a far tougher job. The load for us, the emotional load is greater, I think…I don’t think you realise that until you see another school…it’s not only the students we have to get through the system we have to bring the families along as well…Families here have to face a lot of issues that they might not have to face elsewhere…they don’t have the resources…yet I never met a parent who didn’t want the best for their child, but they may not have the capacity to give the best. (‘Mary’)</w:t>
      </w:r>
    </w:p>
    <w:p w14:paraId="51E7BACF" w14:textId="77777777" w:rsidR="000B7397" w:rsidRPr="00607598" w:rsidRDefault="000B7397" w:rsidP="0068037A">
      <w:pPr>
        <w:pStyle w:val="NoSpacing"/>
      </w:pPr>
    </w:p>
    <w:p w14:paraId="41F6777B" w14:textId="23D86731" w:rsidR="000B7397" w:rsidRPr="00607598" w:rsidRDefault="000B7397" w:rsidP="0068037A">
      <w:pPr>
        <w:pStyle w:val="NoSpacing"/>
      </w:pPr>
      <w:r w:rsidRPr="00607598">
        <w:t>Yeah, completely different…it’s a huge amount of extra work. The committee work is just huge. Because if you’re involved in different programmes you have to go to more meetings and it’s that that takes up loads of your time. You are going to your school completion programme meetings, access programme meetings and then you probably have a local one and you have one in school and you have a lot more meetings of you</w:t>
      </w:r>
      <w:r w:rsidR="005B59C1" w:rsidRPr="00607598">
        <w:t xml:space="preserve">r </w:t>
      </w:r>
      <w:r w:rsidR="005B59C1" w:rsidRPr="00607598">
        <w:lastRenderedPageBreak/>
        <w:t>care team, your pastoral team</w:t>
      </w:r>
      <w:r w:rsidRPr="00607598">
        <w:t>, than you might have in a school where you didn’t have the same issues. (‘Margaret’)</w:t>
      </w:r>
    </w:p>
    <w:p w14:paraId="2E6C12B7" w14:textId="77777777" w:rsidR="00BF4A15" w:rsidRPr="00607598" w:rsidRDefault="00BF4A15" w:rsidP="00C71378">
      <w:pPr>
        <w:pStyle w:val="Quote"/>
      </w:pPr>
    </w:p>
    <w:p w14:paraId="3EF8103D" w14:textId="69875433" w:rsidR="00AC583B" w:rsidRPr="00607598" w:rsidRDefault="00BF4A15" w:rsidP="00C71378">
      <w:pPr>
        <w:pStyle w:val="Quote"/>
      </w:pPr>
      <w:r w:rsidRPr="00607598">
        <w:t xml:space="preserve">The research in the case study schools points very clearly to the fact that DEIS schools are substantially different from those in more mainstream settings. Under various headings, staff face serious challenges in an effort to provide an education equivalent to that </w:t>
      </w:r>
      <w:r w:rsidR="00C71378" w:rsidRPr="00607598">
        <w:t xml:space="preserve">being offered in non-DEIS contexts. </w:t>
      </w:r>
      <w:r w:rsidR="00AC583B" w:rsidRPr="00607598">
        <w:t>Lupton summarised the situation that she observed</w:t>
      </w:r>
      <w:r w:rsidR="00B167E8" w:rsidRPr="00607598">
        <w:t xml:space="preserve"> in the UK</w:t>
      </w:r>
      <w:r w:rsidR="00AC583B" w:rsidRPr="00607598">
        <w:t>:</w:t>
      </w:r>
    </w:p>
    <w:p w14:paraId="535C25FC" w14:textId="7FF305CB" w:rsidR="00AC583B" w:rsidRPr="00607598" w:rsidRDefault="00AC583B" w:rsidP="00AC583B">
      <w:pPr>
        <w:pStyle w:val="NoSpacing"/>
      </w:pPr>
      <w:r w:rsidRPr="00607598">
        <w:t>What emerges from the study is not the impossibility of delivering a high-quality education in these settings, but the difficulty of doing so, and the fragility of the situation. Managers and staff describe themselves as running to stand still, constantly under pressure and constantly trading competing objectives. High levels of energy, commitment and resilience were needed in addition to high levels of expertise…Quality could be achieved, but not consistently assured (2005, p. 602).</w:t>
      </w:r>
    </w:p>
    <w:p w14:paraId="112A265E" w14:textId="7E16DBD8" w:rsidR="00AC583B" w:rsidRPr="00607598" w:rsidRDefault="00AC583B" w:rsidP="00C71378">
      <w:pPr>
        <w:pStyle w:val="Quote"/>
      </w:pPr>
    </w:p>
    <w:p w14:paraId="3FFB8F9A" w14:textId="031C8288" w:rsidR="00291A0D" w:rsidRPr="00607598" w:rsidRDefault="003107C3" w:rsidP="00C71378">
      <w:pPr>
        <w:pStyle w:val="Quote"/>
      </w:pPr>
      <w:r w:rsidRPr="00607598">
        <w:t xml:space="preserve">This description is equally applicable in Irish post-primary schools serving disadvantaged areas.  </w:t>
      </w:r>
      <w:r w:rsidR="00BF4A15" w:rsidRPr="00607598">
        <w:t>A radically different approach to resource provision is necessary to realise the objective outlined in the Education Act (1998) of ‘equality of access to and participation in education’ (section 6</w:t>
      </w:r>
      <w:r w:rsidR="00437EA9" w:rsidRPr="00607598">
        <w:t>. c</w:t>
      </w:r>
      <w:r w:rsidR="00BF4A15" w:rsidRPr="00607598">
        <w:t>).</w:t>
      </w:r>
      <w:r w:rsidR="00437EA9" w:rsidRPr="00607598">
        <w:t xml:space="preserve"> </w:t>
      </w:r>
    </w:p>
    <w:p w14:paraId="2752932F" w14:textId="0A564C91" w:rsidR="00CB12EC" w:rsidRPr="00607598" w:rsidRDefault="00291A0D" w:rsidP="00F0703B">
      <w:pPr>
        <w:pStyle w:val="Heading3"/>
        <w:ind w:left="0"/>
      </w:pPr>
      <w:r w:rsidRPr="00607598">
        <w:t>Resourcing</w:t>
      </w:r>
      <w:r w:rsidR="00447E8C" w:rsidRPr="00607598">
        <w:t xml:space="preserve">: </w:t>
      </w:r>
      <w:r w:rsidRPr="00607598">
        <w:t>Well-Being</w:t>
      </w:r>
    </w:p>
    <w:p w14:paraId="2D3A3772" w14:textId="59E52D5D" w:rsidR="00775051" w:rsidRPr="00607598" w:rsidRDefault="007A1689" w:rsidP="00291A0D">
      <w:pPr>
        <w:spacing w:before="0" w:after="0" w:line="480" w:lineRule="auto"/>
        <w:ind w:left="0"/>
        <w:rPr>
          <w:lang w:eastAsia="en-GB"/>
        </w:rPr>
      </w:pPr>
      <w:r w:rsidRPr="00607598">
        <w:rPr>
          <w:lang w:eastAsia="en-GB"/>
        </w:rPr>
        <w:t xml:space="preserve">The </w:t>
      </w:r>
      <w:r w:rsidR="00E52C81" w:rsidRPr="00607598">
        <w:rPr>
          <w:lang w:eastAsia="en-GB"/>
        </w:rPr>
        <w:t>‘</w:t>
      </w:r>
      <w:r w:rsidRPr="00607598">
        <w:rPr>
          <w:lang w:eastAsia="en-GB"/>
        </w:rPr>
        <w:t>charged emotional atmosphere</w:t>
      </w:r>
      <w:r w:rsidR="00E52C81" w:rsidRPr="00607598">
        <w:rPr>
          <w:lang w:eastAsia="en-GB"/>
        </w:rPr>
        <w:t>’</w:t>
      </w:r>
      <w:r w:rsidR="00F8763F" w:rsidRPr="00607598">
        <w:rPr>
          <w:lang w:eastAsia="en-GB"/>
        </w:rPr>
        <w:t xml:space="preserve"> and </w:t>
      </w:r>
      <w:r w:rsidR="00E52C81" w:rsidRPr="00607598">
        <w:rPr>
          <w:lang w:eastAsia="en-GB"/>
        </w:rPr>
        <w:t>‘</w:t>
      </w:r>
      <w:r w:rsidR="00C16592" w:rsidRPr="00607598">
        <w:rPr>
          <w:lang w:eastAsia="en-GB"/>
        </w:rPr>
        <w:t>unpredictability</w:t>
      </w:r>
      <w:r w:rsidR="00E52C81" w:rsidRPr="00607598">
        <w:rPr>
          <w:lang w:eastAsia="en-GB"/>
        </w:rPr>
        <w:t>’</w:t>
      </w:r>
      <w:r w:rsidR="00C16592" w:rsidRPr="00607598">
        <w:rPr>
          <w:lang w:eastAsia="en-GB"/>
        </w:rPr>
        <w:t xml:space="preserve"> </w:t>
      </w:r>
      <w:r w:rsidRPr="00607598">
        <w:rPr>
          <w:lang w:eastAsia="en-GB"/>
        </w:rPr>
        <w:t>(Lupton</w:t>
      </w:r>
      <w:r w:rsidR="00544FF9" w:rsidRPr="00607598">
        <w:rPr>
          <w:lang w:eastAsia="en-GB"/>
        </w:rPr>
        <w:t>, 2005</w:t>
      </w:r>
      <w:r w:rsidRPr="00607598">
        <w:rPr>
          <w:lang w:eastAsia="en-GB"/>
        </w:rPr>
        <w:t xml:space="preserve">) in schools serving disadvantaged areas can lead to an extremely disruptive episode occurring </w:t>
      </w:r>
      <w:r w:rsidR="001A6EAF" w:rsidRPr="00607598">
        <w:rPr>
          <w:lang w:eastAsia="en-GB"/>
        </w:rPr>
        <w:t>during a class without warning</w:t>
      </w:r>
      <w:r w:rsidRPr="00607598">
        <w:rPr>
          <w:lang w:eastAsia="en-GB"/>
        </w:rPr>
        <w:t xml:space="preserve">. The school needs to have a mechanism for dealing with such situations in order to allow the teacher </w:t>
      </w:r>
      <w:r w:rsidR="00CA6930" w:rsidRPr="00607598">
        <w:rPr>
          <w:lang w:eastAsia="en-GB"/>
        </w:rPr>
        <w:t xml:space="preserve">to </w:t>
      </w:r>
      <w:r w:rsidRPr="00607598">
        <w:rPr>
          <w:lang w:eastAsia="en-GB"/>
        </w:rPr>
        <w:t xml:space="preserve">continue </w:t>
      </w:r>
      <w:r w:rsidR="00CA6930" w:rsidRPr="00607598">
        <w:rPr>
          <w:lang w:eastAsia="en-GB"/>
        </w:rPr>
        <w:t xml:space="preserve">to </w:t>
      </w:r>
      <w:r w:rsidRPr="00607598">
        <w:rPr>
          <w:lang w:eastAsia="en-GB"/>
        </w:rPr>
        <w:t xml:space="preserve">work with the class as a whole. Usually this involves the </w:t>
      </w:r>
      <w:r w:rsidR="00E2724E" w:rsidRPr="00607598">
        <w:rPr>
          <w:lang w:eastAsia="en-GB"/>
        </w:rPr>
        <w:t xml:space="preserve">year heads </w:t>
      </w:r>
      <w:r w:rsidRPr="00607598">
        <w:rPr>
          <w:lang w:eastAsia="en-GB"/>
        </w:rPr>
        <w:t xml:space="preserve">as </w:t>
      </w:r>
      <w:r w:rsidR="00E2724E" w:rsidRPr="00607598">
        <w:rPr>
          <w:lang w:eastAsia="en-GB"/>
        </w:rPr>
        <w:t>a</w:t>
      </w:r>
      <w:r w:rsidR="002E47C0" w:rsidRPr="00607598">
        <w:rPr>
          <w:lang w:eastAsia="en-GB"/>
        </w:rPr>
        <w:t xml:space="preserve"> school</w:t>
      </w:r>
      <w:r w:rsidR="00E2724E" w:rsidRPr="00607598">
        <w:rPr>
          <w:lang w:eastAsia="en-GB"/>
        </w:rPr>
        <w:t>’</w:t>
      </w:r>
      <w:r w:rsidR="002E47C0" w:rsidRPr="00607598">
        <w:rPr>
          <w:lang w:eastAsia="en-GB"/>
        </w:rPr>
        <w:t xml:space="preserve">s first responders. </w:t>
      </w:r>
      <w:r w:rsidR="000D021A" w:rsidRPr="00607598">
        <w:rPr>
          <w:lang w:eastAsia="en-GB"/>
        </w:rPr>
        <w:t>Y</w:t>
      </w:r>
      <w:r w:rsidR="00CB12EC" w:rsidRPr="00607598">
        <w:rPr>
          <w:lang w:eastAsia="en-GB"/>
        </w:rPr>
        <w:t xml:space="preserve">ear heads </w:t>
      </w:r>
      <w:r w:rsidR="00291A0D" w:rsidRPr="00607598">
        <w:rPr>
          <w:lang w:eastAsia="en-GB"/>
        </w:rPr>
        <w:t>in this study recounted</w:t>
      </w:r>
      <w:r w:rsidR="00CB12EC" w:rsidRPr="00607598">
        <w:rPr>
          <w:lang w:eastAsia="en-GB"/>
        </w:rPr>
        <w:t xml:space="preserve"> the difficulty in striking the balance between the teaching role and fulfilling the pastoral and leadership duties of a year head. In DEIS schools, an issue can arise at any time without notice and some will require immediate attention. Responding to such events and</w:t>
      </w:r>
      <w:r w:rsidR="006724F3" w:rsidRPr="00607598">
        <w:rPr>
          <w:lang w:eastAsia="en-GB"/>
        </w:rPr>
        <w:t>,</w:t>
      </w:r>
      <w:r w:rsidR="00CB12EC" w:rsidRPr="00607598">
        <w:rPr>
          <w:lang w:eastAsia="en-GB"/>
        </w:rPr>
        <w:t xml:space="preserve"> at the same time</w:t>
      </w:r>
      <w:r w:rsidR="006724F3" w:rsidRPr="00607598">
        <w:rPr>
          <w:lang w:eastAsia="en-GB"/>
        </w:rPr>
        <w:t>,</w:t>
      </w:r>
      <w:r w:rsidR="00CB12EC" w:rsidRPr="00607598">
        <w:rPr>
          <w:lang w:eastAsia="en-GB"/>
        </w:rPr>
        <w:t xml:space="preserve"> ensuring that </w:t>
      </w:r>
      <w:r w:rsidR="002E47C0" w:rsidRPr="00607598">
        <w:rPr>
          <w:lang w:eastAsia="en-GB"/>
        </w:rPr>
        <w:t xml:space="preserve">one’s </w:t>
      </w:r>
      <w:r w:rsidR="00CB12EC" w:rsidRPr="00607598">
        <w:rPr>
          <w:lang w:eastAsia="en-GB"/>
        </w:rPr>
        <w:t xml:space="preserve">classroom responsibilities are </w:t>
      </w:r>
      <w:r w:rsidR="002E47C0" w:rsidRPr="00607598">
        <w:rPr>
          <w:lang w:eastAsia="en-GB"/>
        </w:rPr>
        <w:t xml:space="preserve">attended to properly is </w:t>
      </w:r>
      <w:r w:rsidR="00291A0D" w:rsidRPr="00607598">
        <w:rPr>
          <w:lang w:eastAsia="en-GB"/>
        </w:rPr>
        <w:t>challenging</w:t>
      </w:r>
      <w:r w:rsidR="00CB12EC" w:rsidRPr="00607598">
        <w:rPr>
          <w:lang w:eastAsia="en-GB"/>
        </w:rPr>
        <w:t>. There is also the question of the energy levels, both physical and emotional, which the year head position</w:t>
      </w:r>
      <w:r w:rsidR="006724F3" w:rsidRPr="00607598">
        <w:rPr>
          <w:lang w:eastAsia="en-GB"/>
        </w:rPr>
        <w:t xml:space="preserve"> </w:t>
      </w:r>
      <w:r w:rsidR="006724F3" w:rsidRPr="00607598">
        <w:rPr>
          <w:lang w:eastAsia="en-GB"/>
        </w:rPr>
        <w:lastRenderedPageBreak/>
        <w:t>demands</w:t>
      </w:r>
      <w:r w:rsidR="000D021A" w:rsidRPr="00607598">
        <w:rPr>
          <w:lang w:eastAsia="en-GB"/>
        </w:rPr>
        <w:t>,</w:t>
      </w:r>
      <w:r w:rsidR="006724F3" w:rsidRPr="00607598">
        <w:rPr>
          <w:lang w:eastAsia="en-GB"/>
        </w:rPr>
        <w:t xml:space="preserve"> while </w:t>
      </w:r>
      <w:r w:rsidR="00CB12EC" w:rsidRPr="00607598">
        <w:rPr>
          <w:lang w:eastAsia="en-GB"/>
        </w:rPr>
        <w:t>keeping up with the changing ro</w:t>
      </w:r>
      <w:r w:rsidR="004C7C59" w:rsidRPr="00607598">
        <w:rPr>
          <w:lang w:eastAsia="en-GB"/>
        </w:rPr>
        <w:t>le of the teacher</w:t>
      </w:r>
      <w:r w:rsidR="00B20FE4" w:rsidRPr="00607598">
        <w:rPr>
          <w:lang w:eastAsia="en-GB"/>
        </w:rPr>
        <w:t xml:space="preserve"> and developments</w:t>
      </w:r>
      <w:r w:rsidR="00CB12EC" w:rsidRPr="00607598">
        <w:rPr>
          <w:lang w:eastAsia="en-GB"/>
        </w:rPr>
        <w:t xml:space="preserve"> in curriculum and pedagogy. One </w:t>
      </w:r>
      <w:r w:rsidR="00080408" w:rsidRPr="00607598">
        <w:rPr>
          <w:lang w:eastAsia="en-GB"/>
        </w:rPr>
        <w:t xml:space="preserve">interviewee </w:t>
      </w:r>
      <w:r w:rsidR="00CB12EC" w:rsidRPr="00607598">
        <w:rPr>
          <w:lang w:eastAsia="en-GB"/>
        </w:rPr>
        <w:t>described her year group of approximately 100 students. Four had suicidal ideation</w:t>
      </w:r>
      <w:r w:rsidR="00580B68" w:rsidRPr="00607598">
        <w:rPr>
          <w:lang w:eastAsia="en-GB"/>
        </w:rPr>
        <w:t>; two had been groomed online</w:t>
      </w:r>
      <w:r w:rsidR="00291A0D" w:rsidRPr="00607598">
        <w:rPr>
          <w:lang w:eastAsia="en-GB"/>
        </w:rPr>
        <w:t xml:space="preserve">, </w:t>
      </w:r>
      <w:r w:rsidR="00080408" w:rsidRPr="00607598">
        <w:rPr>
          <w:lang w:eastAsia="en-GB"/>
        </w:rPr>
        <w:t xml:space="preserve">(an issue </w:t>
      </w:r>
      <w:r w:rsidR="00291A0D" w:rsidRPr="00607598">
        <w:rPr>
          <w:lang w:eastAsia="en-GB"/>
        </w:rPr>
        <w:t xml:space="preserve">which </w:t>
      </w:r>
      <w:r w:rsidR="00580B68" w:rsidRPr="00607598">
        <w:rPr>
          <w:lang w:eastAsia="en-GB"/>
        </w:rPr>
        <w:t>had been referred to the Gardaí</w:t>
      </w:r>
      <w:r w:rsidR="00080408" w:rsidRPr="00607598">
        <w:rPr>
          <w:lang w:eastAsia="en-GB"/>
        </w:rPr>
        <w:t>)</w:t>
      </w:r>
      <w:r w:rsidR="00580B68" w:rsidRPr="00607598">
        <w:rPr>
          <w:lang w:eastAsia="en-GB"/>
        </w:rPr>
        <w:t>; one child was in care</w:t>
      </w:r>
      <w:r w:rsidR="002E47C0" w:rsidRPr="00607598">
        <w:rPr>
          <w:lang w:eastAsia="en-GB"/>
        </w:rPr>
        <w:t>;</w:t>
      </w:r>
      <w:r w:rsidR="00580B68" w:rsidRPr="00607598">
        <w:rPr>
          <w:lang w:eastAsia="en-GB"/>
        </w:rPr>
        <w:t xml:space="preserve"> and a number of pupils were homeless. In addition</w:t>
      </w:r>
      <w:r w:rsidR="005B59C1" w:rsidRPr="00607598">
        <w:rPr>
          <w:lang w:eastAsia="en-GB"/>
        </w:rPr>
        <w:t>,</w:t>
      </w:r>
      <w:r w:rsidR="00580B68" w:rsidRPr="00607598">
        <w:rPr>
          <w:lang w:eastAsia="en-GB"/>
        </w:rPr>
        <w:t xml:space="preserve"> one child was ‘acting out’. In that case the year head had made seven unsuccessful attempts to contact a parent and the HSCL had called to the house four times, to no avail. Yet</w:t>
      </w:r>
    </w:p>
    <w:p w14:paraId="25E54253" w14:textId="24663799" w:rsidR="00CB12EC" w:rsidRPr="00607598" w:rsidRDefault="00382B26" w:rsidP="00291A0D">
      <w:pPr>
        <w:spacing w:before="0" w:after="0" w:line="480" w:lineRule="auto"/>
        <w:ind w:left="0"/>
        <w:rPr>
          <w:lang w:eastAsia="en-GB"/>
        </w:rPr>
      </w:pPr>
      <w:r w:rsidRPr="00607598">
        <w:rPr>
          <w:lang w:eastAsia="en-GB"/>
        </w:rPr>
        <w:t>s</w:t>
      </w:r>
      <w:r w:rsidR="00775051" w:rsidRPr="00607598">
        <w:rPr>
          <w:lang w:eastAsia="en-GB"/>
        </w:rPr>
        <w:t>h</w:t>
      </w:r>
      <w:r w:rsidRPr="00607598">
        <w:rPr>
          <w:lang w:eastAsia="en-GB"/>
        </w:rPr>
        <w:t xml:space="preserve">e </w:t>
      </w:r>
      <w:r w:rsidR="00580B68" w:rsidRPr="00607598">
        <w:rPr>
          <w:lang w:eastAsia="en-GB"/>
        </w:rPr>
        <w:t>maintained a positive outlook:</w:t>
      </w:r>
    </w:p>
    <w:p w14:paraId="672E323B" w14:textId="7B84D393" w:rsidR="00580B68" w:rsidRPr="00607598" w:rsidRDefault="00580B68" w:rsidP="008D403F">
      <w:pPr>
        <w:pStyle w:val="NoSpacing"/>
      </w:pPr>
      <w:r w:rsidRPr="00607598">
        <w:t xml:space="preserve">I am doing the job I love, minding kids, trying to get the best out of them and helping them get the best out of their lives and helping teachers get the best out of their kids. </w:t>
      </w:r>
      <w:r w:rsidR="00775051" w:rsidRPr="00607598">
        <w:t>(YH5)</w:t>
      </w:r>
    </w:p>
    <w:p w14:paraId="21FB64A9" w14:textId="77777777" w:rsidR="00291A0D" w:rsidRPr="00607598" w:rsidRDefault="00291A0D" w:rsidP="00291A0D">
      <w:pPr>
        <w:spacing w:before="0" w:after="0"/>
        <w:ind w:left="0"/>
      </w:pPr>
    </w:p>
    <w:p w14:paraId="7249F798" w14:textId="2D39EB0F" w:rsidR="00580B68" w:rsidRPr="00607598" w:rsidRDefault="00291A0D" w:rsidP="00291A0D">
      <w:pPr>
        <w:spacing w:before="0" w:after="0" w:line="480" w:lineRule="auto"/>
        <w:ind w:left="0"/>
      </w:pPr>
      <w:r w:rsidRPr="00607598">
        <w:t xml:space="preserve">Other </w:t>
      </w:r>
      <w:r w:rsidR="00580B68" w:rsidRPr="00607598">
        <w:t xml:space="preserve">year heads </w:t>
      </w:r>
      <w:r w:rsidRPr="00607598">
        <w:t xml:space="preserve">interviewed spoke </w:t>
      </w:r>
      <w:r w:rsidR="00580B68" w:rsidRPr="00607598">
        <w:t>about being seriously worried about the welfare of students in their care</w:t>
      </w:r>
      <w:r w:rsidRPr="00607598">
        <w:t xml:space="preserve"> and </w:t>
      </w:r>
      <w:r w:rsidR="00580B68" w:rsidRPr="00607598">
        <w:t xml:space="preserve">about being on the constant lookout for students self-harming: </w:t>
      </w:r>
    </w:p>
    <w:p w14:paraId="1AAC6D38" w14:textId="77777777" w:rsidR="006E7D47" w:rsidRPr="00607598" w:rsidRDefault="00580B68" w:rsidP="00C71378">
      <w:pPr>
        <w:pStyle w:val="Quote"/>
      </w:pPr>
      <w:r w:rsidRPr="00607598">
        <w:t>Some we know about, some we don’t</w:t>
      </w:r>
      <w:r w:rsidR="005B59C1" w:rsidRPr="00607598">
        <w:t>. Some are coming from p</w:t>
      </w:r>
      <w:r w:rsidR="003024EE" w:rsidRPr="00607598">
        <w:t>rimary with big issues. (YH, 3)</w:t>
      </w:r>
    </w:p>
    <w:p w14:paraId="63E6BF81" w14:textId="77777777" w:rsidR="003024EE" w:rsidRPr="00607598" w:rsidRDefault="003024EE" w:rsidP="00C71378">
      <w:pPr>
        <w:pStyle w:val="Quote"/>
      </w:pPr>
    </w:p>
    <w:p w14:paraId="264DA09D" w14:textId="3080751C" w:rsidR="003024EE" w:rsidRPr="00607598" w:rsidRDefault="003024EE" w:rsidP="0068037A">
      <w:pPr>
        <w:pStyle w:val="NoSpacing"/>
      </w:pPr>
      <w:r w:rsidRPr="00607598">
        <w:t>An awful lot of our children are bold, but they don’t know why they’re bold. Something has happened to them. (YH, 5)</w:t>
      </w:r>
    </w:p>
    <w:p w14:paraId="4B1990C2" w14:textId="77777777" w:rsidR="00BF004B" w:rsidRPr="00607598" w:rsidRDefault="00BF004B" w:rsidP="00C71378">
      <w:pPr>
        <w:pStyle w:val="Quote"/>
      </w:pPr>
    </w:p>
    <w:p w14:paraId="710CE77C" w14:textId="4AA57ED2" w:rsidR="00080408" w:rsidRPr="00607598" w:rsidRDefault="00AA54A9" w:rsidP="00BF004B">
      <w:pPr>
        <w:spacing w:before="0" w:after="0" w:line="480" w:lineRule="auto"/>
        <w:ind w:left="0"/>
      </w:pPr>
      <w:r w:rsidRPr="00607598">
        <w:t xml:space="preserve">Another spoke </w:t>
      </w:r>
      <w:r w:rsidR="00BF004B" w:rsidRPr="00607598">
        <w:t>of</w:t>
      </w:r>
      <w:r w:rsidRPr="00607598">
        <w:t xml:space="preserve"> an ‘epidemic’ of self-harm among her group of first-year pupils </w:t>
      </w:r>
      <w:r w:rsidR="00291A0D" w:rsidRPr="00607598">
        <w:t xml:space="preserve">impacting about one in five pupils. </w:t>
      </w:r>
      <w:r w:rsidRPr="00607598">
        <w:t>Whilst this was unusual</w:t>
      </w:r>
      <w:r w:rsidR="006724F3" w:rsidRPr="00607598">
        <w:t>,</w:t>
      </w:r>
      <w:r w:rsidRPr="00607598">
        <w:t xml:space="preserve"> a huge amount of her time </w:t>
      </w:r>
      <w:r w:rsidR="00291A0D" w:rsidRPr="00607598">
        <w:t xml:space="preserve">was spent </w:t>
      </w:r>
      <w:r w:rsidRPr="00607598">
        <w:t>dealing with this issue</w:t>
      </w:r>
      <w:r w:rsidR="003528CF" w:rsidRPr="00607598">
        <w:t>,</w:t>
      </w:r>
      <w:r w:rsidRPr="00607598">
        <w:t xml:space="preserve"> with the support of her principal and colleagues.</w:t>
      </w:r>
      <w:r w:rsidR="00262B72" w:rsidRPr="00607598">
        <w:t xml:space="preserve"> </w:t>
      </w:r>
      <w:r w:rsidRPr="00607598">
        <w:t>At senior cyc</w:t>
      </w:r>
      <w:r w:rsidR="00291A0D" w:rsidRPr="00607598">
        <w:t xml:space="preserve">le, it emerged that year heads </w:t>
      </w:r>
      <w:r w:rsidR="00447E8C" w:rsidRPr="00607598">
        <w:t xml:space="preserve">and guidance counsellors </w:t>
      </w:r>
      <w:r w:rsidRPr="00607598">
        <w:t>spent a lot of time supporting students as they dealt with the pressure of the Leaving Certificate examination. Helping student</w:t>
      </w:r>
      <w:r w:rsidR="00291A0D" w:rsidRPr="00607598">
        <w:t>s</w:t>
      </w:r>
      <w:r w:rsidRPr="00607598">
        <w:t xml:space="preserve"> gather the necessary information in relation to exam entry fee exemption, participation in college awareness and open days and stress as th</w:t>
      </w:r>
      <w:r w:rsidR="004C7C59" w:rsidRPr="00607598">
        <w:t xml:space="preserve">e examination </w:t>
      </w:r>
      <w:r w:rsidR="00080408" w:rsidRPr="00607598">
        <w:t>approached</w:t>
      </w:r>
      <w:r w:rsidR="00A43240" w:rsidRPr="00607598">
        <w:t>,</w:t>
      </w:r>
      <w:r w:rsidRPr="00607598">
        <w:t xml:space="preserve"> all involve</w:t>
      </w:r>
      <w:r w:rsidR="00BF004B" w:rsidRPr="00607598">
        <w:t>d</w:t>
      </w:r>
      <w:r w:rsidRPr="00607598">
        <w:t xml:space="preserve"> considerable time.</w:t>
      </w:r>
      <w:r w:rsidR="00BF004B" w:rsidRPr="00607598">
        <w:t xml:space="preserve"> </w:t>
      </w:r>
    </w:p>
    <w:p w14:paraId="233E6922" w14:textId="169D5E9B" w:rsidR="00447E8C" w:rsidRPr="00607598" w:rsidRDefault="00E24F9A" w:rsidP="00080408">
      <w:pPr>
        <w:spacing w:before="0" w:after="0" w:line="480" w:lineRule="auto"/>
        <w:ind w:left="0" w:firstLine="720"/>
      </w:pPr>
      <w:r w:rsidRPr="00607598">
        <w:t xml:space="preserve">Pupils and parents in DEIS schools rely far more on school-based guidance for information on post-school pathways to </w:t>
      </w:r>
      <w:r w:rsidR="00666ABD" w:rsidRPr="00607598">
        <w:t xml:space="preserve">further and </w:t>
      </w:r>
      <w:r w:rsidRPr="00607598">
        <w:t xml:space="preserve">higher education than in more advantaged schools. The reduction of guidance allocation in the 2012 budget, therefore, had a </w:t>
      </w:r>
      <w:r w:rsidRPr="00607598">
        <w:lastRenderedPageBreak/>
        <w:t>disproportionate effect on disadvantaged students (McCoy et al, 2014). When the resources are not properly in place to provide career guidance, pupils in DEIS schools typically have ‘nowhere else to turn,’ unlike middle-class families who have access to family, social networks, and the private education market</w:t>
      </w:r>
      <w:r w:rsidR="00080408" w:rsidRPr="00607598">
        <w:t>’</w:t>
      </w:r>
      <w:r w:rsidRPr="00607598">
        <w:t xml:space="preserve"> (Lynch and O’Riordan, 1998</w:t>
      </w:r>
      <w:r w:rsidR="00055368" w:rsidRPr="00607598">
        <w:t>,</w:t>
      </w:r>
      <w:r w:rsidRPr="00607598">
        <w:t xml:space="preserve"> p. 471). </w:t>
      </w:r>
    </w:p>
    <w:p w14:paraId="32CF1915" w14:textId="62DE5D8A" w:rsidR="00262B72" w:rsidRPr="00607598" w:rsidRDefault="00BF004B" w:rsidP="00055368">
      <w:pPr>
        <w:spacing w:before="0" w:after="0" w:line="480" w:lineRule="auto"/>
        <w:ind w:left="0" w:firstLine="720"/>
        <w:jc w:val="left"/>
      </w:pPr>
      <w:r w:rsidRPr="00607598">
        <w:t>Other</w:t>
      </w:r>
      <w:r w:rsidR="00055368" w:rsidRPr="00607598">
        <w:t xml:space="preserve"> year heads</w:t>
      </w:r>
      <w:r w:rsidRPr="00607598">
        <w:t xml:space="preserve"> commented on the unpredictability of events in DEIS schools: </w:t>
      </w:r>
      <w:r w:rsidR="00055368" w:rsidRPr="00607598">
        <w:t>‘</w:t>
      </w:r>
      <w:r w:rsidR="00262B72" w:rsidRPr="00607598">
        <w:t>Your plan for the day can be totally disrupted</w:t>
      </w:r>
      <w:r w:rsidR="00055368" w:rsidRPr="00607598">
        <w:t>’</w:t>
      </w:r>
      <w:r w:rsidR="00262B72" w:rsidRPr="00607598">
        <w:t xml:space="preserve"> (YH, 5)</w:t>
      </w:r>
      <w:r w:rsidR="00055368" w:rsidRPr="00607598">
        <w:t xml:space="preserve">, </w:t>
      </w:r>
      <w:r w:rsidRPr="00607598">
        <w:t>with some questioning the magnitude of the expectations placed by society on schools:</w:t>
      </w:r>
    </w:p>
    <w:p w14:paraId="4E020B07" w14:textId="5FDD0A9B" w:rsidR="00262B72" w:rsidRPr="00607598" w:rsidRDefault="00262B72" w:rsidP="0068037A">
      <w:pPr>
        <w:pStyle w:val="NoSpacing"/>
      </w:pPr>
      <w:r w:rsidRPr="00607598">
        <w:t>I don’t know if there’s much more a school can do. What I mean by that is…there are so many external factors outside these four walls that influence the pupil’s engagement with school, their family circumstances and all that sort of stuff…there’s only so many hours in a day and if we’re talking about doing more here that means we have to stop doing something we’re doing but I don’t know what I’d stop doing. (YH, 4)</w:t>
      </w:r>
    </w:p>
    <w:p w14:paraId="3DECBBEB" w14:textId="77777777" w:rsidR="00BF004B" w:rsidRPr="00607598" w:rsidRDefault="00BF004B" w:rsidP="0068037A">
      <w:pPr>
        <w:pStyle w:val="NoSpacing"/>
      </w:pPr>
    </w:p>
    <w:p w14:paraId="3F6DE190" w14:textId="58FD5160" w:rsidR="008F6A55" w:rsidRPr="00607598" w:rsidRDefault="008F6A55" w:rsidP="00BF004B">
      <w:pPr>
        <w:spacing w:before="0" w:after="0" w:line="480" w:lineRule="auto"/>
        <w:ind w:left="0"/>
      </w:pPr>
      <w:r w:rsidRPr="00607598">
        <w:t xml:space="preserve">The behavioural issues </w:t>
      </w:r>
      <w:r w:rsidR="00055368" w:rsidRPr="00607598">
        <w:t>observed in this study</w:t>
      </w:r>
      <w:r w:rsidRPr="00607598">
        <w:t xml:space="preserve"> reflect deep-seated wellbeing and mental health issues in the case of many studen</w:t>
      </w:r>
      <w:r w:rsidR="00F11C91" w:rsidRPr="00607598">
        <w:t xml:space="preserve">ts. While the year head was </w:t>
      </w:r>
      <w:r w:rsidRPr="00607598">
        <w:t xml:space="preserve">the first port of call in dealing with these matters eventually, </w:t>
      </w:r>
      <w:r w:rsidR="00080408" w:rsidRPr="00607598">
        <w:t xml:space="preserve">serious cases </w:t>
      </w:r>
      <w:r w:rsidR="00F11C91" w:rsidRPr="00607598">
        <w:t xml:space="preserve">were </w:t>
      </w:r>
      <w:r w:rsidRPr="00607598">
        <w:t xml:space="preserve">referred to the wider student care team including the principal and the counselling department. Many interviewees spoke about what they </w:t>
      </w:r>
      <w:r w:rsidR="00055368" w:rsidRPr="00607598">
        <w:t>viewed</w:t>
      </w:r>
      <w:r w:rsidRPr="00607598">
        <w:t xml:space="preserve"> as a </w:t>
      </w:r>
      <w:r w:rsidR="00055368" w:rsidRPr="00607598">
        <w:t xml:space="preserve">rapidly deteriorating </w:t>
      </w:r>
      <w:r w:rsidRPr="00607598">
        <w:t xml:space="preserve">problem of student wellbeing. </w:t>
      </w:r>
      <w:r w:rsidRPr="00607598">
        <w:rPr>
          <w:lang w:eastAsia="en-GB"/>
        </w:rPr>
        <w:t>The six schools all report</w:t>
      </w:r>
      <w:r w:rsidR="00AC4ACE" w:rsidRPr="00607598">
        <w:rPr>
          <w:lang w:eastAsia="en-GB"/>
        </w:rPr>
        <w:t>ed</w:t>
      </w:r>
      <w:r w:rsidRPr="00607598">
        <w:rPr>
          <w:lang w:eastAsia="en-GB"/>
        </w:rPr>
        <w:t xml:space="preserve"> that the resources they ha</w:t>
      </w:r>
      <w:r w:rsidR="00AC4ACE" w:rsidRPr="00607598">
        <w:rPr>
          <w:lang w:eastAsia="en-GB"/>
        </w:rPr>
        <w:t>d</w:t>
      </w:r>
      <w:r w:rsidRPr="00607598">
        <w:rPr>
          <w:lang w:eastAsia="en-GB"/>
        </w:rPr>
        <w:t xml:space="preserve"> to deal with mental health issues </w:t>
      </w:r>
      <w:r w:rsidR="00AC4ACE" w:rsidRPr="00607598">
        <w:rPr>
          <w:lang w:eastAsia="en-GB"/>
        </w:rPr>
        <w:t>we</w:t>
      </w:r>
      <w:r w:rsidRPr="00607598">
        <w:rPr>
          <w:lang w:eastAsia="en-GB"/>
        </w:rPr>
        <w:t>re totally inadequate:</w:t>
      </w:r>
    </w:p>
    <w:p w14:paraId="757318DE" w14:textId="3DF1F785" w:rsidR="008F6A55" w:rsidRPr="00607598" w:rsidRDefault="008F6A55" w:rsidP="0068037A">
      <w:pPr>
        <w:pStyle w:val="NoSpacing"/>
      </w:pPr>
      <w:r w:rsidRPr="00607598">
        <w:t xml:space="preserve">We see it here, so much difficulty around mental health with children…but so much is beyond what we can meaningfully address in school. We can do the preliminary and the brief intervention but then we have to refer for more specialised [expertise]. (CG, 2) </w:t>
      </w:r>
    </w:p>
    <w:p w14:paraId="06B1784B" w14:textId="77777777" w:rsidR="00BF004B" w:rsidRPr="00607598" w:rsidRDefault="00BF004B" w:rsidP="0068037A">
      <w:pPr>
        <w:pStyle w:val="NoSpacing"/>
      </w:pPr>
    </w:p>
    <w:p w14:paraId="5B8DE865" w14:textId="2AC2FB6F" w:rsidR="008F6A55" w:rsidRPr="00607598" w:rsidRDefault="008F6A55" w:rsidP="00BF004B">
      <w:pPr>
        <w:spacing w:before="0" w:after="0" w:line="480" w:lineRule="auto"/>
        <w:ind w:left="0"/>
        <w:rPr>
          <w:lang w:eastAsia="en-GB"/>
        </w:rPr>
      </w:pPr>
      <w:r w:rsidRPr="00607598">
        <w:rPr>
          <w:lang w:eastAsia="en-GB"/>
        </w:rPr>
        <w:t>In each one</w:t>
      </w:r>
      <w:r w:rsidR="00AC4ACE" w:rsidRPr="00607598">
        <w:rPr>
          <w:lang w:eastAsia="en-GB"/>
        </w:rPr>
        <w:t>,</w:t>
      </w:r>
      <w:r w:rsidRPr="00607598">
        <w:rPr>
          <w:lang w:eastAsia="en-GB"/>
        </w:rPr>
        <w:t xml:space="preserve"> the need for an agency to which some more serious cases could be referred in a speedy manner was articulated. The Martin reports of 1997 and 2006 were quite explicit on this issue. </w:t>
      </w:r>
      <w:r w:rsidR="00055368" w:rsidRPr="00607598">
        <w:rPr>
          <w:lang w:eastAsia="en-GB"/>
        </w:rPr>
        <w:t>T</w:t>
      </w:r>
      <w:r w:rsidR="00A43240" w:rsidRPr="00607598">
        <w:rPr>
          <w:lang w:eastAsia="en-GB"/>
        </w:rPr>
        <w:t xml:space="preserve">he 2006 report </w:t>
      </w:r>
      <w:r w:rsidRPr="00607598">
        <w:rPr>
          <w:lang w:eastAsia="en-GB"/>
        </w:rPr>
        <w:t>recommended the establishment of support teams for schools to ‘assist with the curricular and behavioural dimensions of catering for an increasingly diverse student population’ (</w:t>
      </w:r>
      <w:r w:rsidRPr="00607598">
        <w:rPr>
          <w:i/>
          <w:lang w:eastAsia="en-GB"/>
        </w:rPr>
        <w:t>Ibid</w:t>
      </w:r>
      <w:r w:rsidRPr="00607598">
        <w:rPr>
          <w:lang w:eastAsia="en-GB"/>
        </w:rPr>
        <w:t xml:space="preserve">., p. 117). These teams were to have the necessary range of expertise available to them as needed. The Martin reports have not been implemented. The evidence </w:t>
      </w:r>
      <w:r w:rsidRPr="00607598">
        <w:rPr>
          <w:lang w:eastAsia="en-GB"/>
        </w:rPr>
        <w:lastRenderedPageBreak/>
        <w:t>forthcoming in the case-study schools is that the problem of student wellbeing is now much more acute than it was even a decade ago:</w:t>
      </w:r>
    </w:p>
    <w:p w14:paraId="6E194C52" w14:textId="77777777" w:rsidR="008F6A55" w:rsidRPr="00607598" w:rsidRDefault="008F6A55" w:rsidP="0068037A">
      <w:pPr>
        <w:pStyle w:val="NoSpacing"/>
      </w:pPr>
      <w:r w:rsidRPr="00607598">
        <w:t>I would be concerned, and I know concern is a vague term, I would be concerned about 30 to 40% of pupils in this school. (CG, 6)</w:t>
      </w:r>
    </w:p>
    <w:p w14:paraId="5B91D9A0" w14:textId="77777777" w:rsidR="008F6A55" w:rsidRPr="00607598" w:rsidRDefault="008F6A55" w:rsidP="0068037A">
      <w:pPr>
        <w:pStyle w:val="NoSpacing"/>
      </w:pPr>
    </w:p>
    <w:p w14:paraId="0556C870" w14:textId="35696B6E" w:rsidR="008F6A55" w:rsidRPr="00607598" w:rsidRDefault="008F6A55" w:rsidP="0068037A">
      <w:pPr>
        <w:pStyle w:val="NoSpacing"/>
      </w:pPr>
      <w:r w:rsidRPr="00607598">
        <w:t>It’s huge…it’s something that consumes our counsellors. We are all dealing with it. (Principal, 2)</w:t>
      </w:r>
    </w:p>
    <w:p w14:paraId="284B316E" w14:textId="77777777" w:rsidR="00BF004B" w:rsidRPr="00607598" w:rsidRDefault="00BF004B" w:rsidP="00C71378">
      <w:pPr>
        <w:pStyle w:val="Quote"/>
      </w:pPr>
    </w:p>
    <w:p w14:paraId="308B7112" w14:textId="7DC18BEE" w:rsidR="00FB21E3" w:rsidRPr="00607598" w:rsidRDefault="00055368" w:rsidP="00055368">
      <w:pPr>
        <w:spacing w:before="0" w:after="0" w:line="480" w:lineRule="auto"/>
        <w:ind w:left="0"/>
        <w:rPr>
          <w:lang w:eastAsia="en-GB"/>
        </w:rPr>
      </w:pPr>
      <w:r w:rsidRPr="00607598">
        <w:rPr>
          <w:lang w:eastAsia="en-GB"/>
        </w:rPr>
        <w:t>T</w:t>
      </w:r>
      <w:r w:rsidR="008F6A55" w:rsidRPr="00607598">
        <w:rPr>
          <w:lang w:eastAsia="en-GB"/>
        </w:rPr>
        <w:t xml:space="preserve">he DES has responded to concerns </w:t>
      </w:r>
      <w:r w:rsidR="00775051" w:rsidRPr="00607598">
        <w:rPr>
          <w:lang w:eastAsia="en-GB"/>
        </w:rPr>
        <w:t xml:space="preserve">by introducing the Wellbeing in Education </w:t>
      </w:r>
      <w:r w:rsidR="008F6A55" w:rsidRPr="00607598">
        <w:rPr>
          <w:lang w:eastAsia="en-GB"/>
        </w:rPr>
        <w:t>initiative</w:t>
      </w:r>
      <w:r w:rsidR="00382B26" w:rsidRPr="00607598">
        <w:rPr>
          <w:lang w:eastAsia="en-GB"/>
        </w:rPr>
        <w:t xml:space="preserve"> </w:t>
      </w:r>
      <w:r w:rsidR="008F6A55" w:rsidRPr="00607598">
        <w:rPr>
          <w:lang w:eastAsia="en-GB"/>
        </w:rPr>
        <w:t xml:space="preserve">which has been welcomed in schools. However, the extremely limited availability of professional expertise to deal with the more serious individual cases </w:t>
      </w:r>
      <w:r w:rsidR="00BF004B" w:rsidRPr="00607598">
        <w:rPr>
          <w:lang w:eastAsia="en-GB"/>
        </w:rPr>
        <w:t>wa</w:t>
      </w:r>
      <w:r w:rsidR="008F6A55" w:rsidRPr="00607598">
        <w:rPr>
          <w:lang w:eastAsia="en-GB"/>
        </w:rPr>
        <w:t>s a cause of widespread concern among those interviewed, particularly guidance counsellors a</w:t>
      </w:r>
      <w:r w:rsidR="00A43240" w:rsidRPr="00607598">
        <w:rPr>
          <w:lang w:eastAsia="en-GB"/>
        </w:rPr>
        <w:t>nd principals. All six schools we</w:t>
      </w:r>
      <w:r w:rsidR="008F6A55" w:rsidRPr="00607598">
        <w:rPr>
          <w:lang w:eastAsia="en-GB"/>
        </w:rPr>
        <w:t>re supplementing these resour</w:t>
      </w:r>
      <w:r w:rsidR="00A43240" w:rsidRPr="00607598">
        <w:rPr>
          <w:lang w:eastAsia="en-GB"/>
        </w:rPr>
        <w:t>ces in an effort to cope. Some we</w:t>
      </w:r>
      <w:r w:rsidR="008F6A55" w:rsidRPr="00607598">
        <w:rPr>
          <w:lang w:eastAsia="en-GB"/>
        </w:rPr>
        <w:t>re doing so with the assistance of local philanthropic and charitable organisations and o</w:t>
      </w:r>
      <w:r w:rsidR="00A43240" w:rsidRPr="00607598">
        <w:rPr>
          <w:lang w:eastAsia="en-GB"/>
        </w:rPr>
        <w:t>thers we</w:t>
      </w:r>
      <w:r w:rsidR="00DA4386" w:rsidRPr="00607598">
        <w:rPr>
          <w:lang w:eastAsia="en-GB"/>
        </w:rPr>
        <w:t xml:space="preserve">re re-directing teaching </w:t>
      </w:r>
      <w:r w:rsidR="008F6A55" w:rsidRPr="00607598">
        <w:rPr>
          <w:lang w:eastAsia="en-GB"/>
        </w:rPr>
        <w:t>resources</w:t>
      </w:r>
      <w:r w:rsidR="00DA4386" w:rsidRPr="00607598">
        <w:rPr>
          <w:lang w:eastAsia="en-GB"/>
        </w:rPr>
        <w:t xml:space="preserve">, which </w:t>
      </w:r>
      <w:r w:rsidR="00BF004B" w:rsidRPr="00607598">
        <w:rPr>
          <w:lang w:eastAsia="en-GB"/>
        </w:rPr>
        <w:t>we</w:t>
      </w:r>
      <w:r w:rsidR="00DA4386" w:rsidRPr="00607598">
        <w:rPr>
          <w:lang w:eastAsia="en-GB"/>
        </w:rPr>
        <w:t>re needed elsewhere,</w:t>
      </w:r>
      <w:r w:rsidR="008F6A55" w:rsidRPr="00607598">
        <w:rPr>
          <w:lang w:eastAsia="en-GB"/>
        </w:rPr>
        <w:t xml:space="preserve"> to the role.</w:t>
      </w:r>
    </w:p>
    <w:p w14:paraId="052224DF" w14:textId="77777777" w:rsidR="00F45930" w:rsidRPr="00607598" w:rsidRDefault="00F45930" w:rsidP="00F45930">
      <w:pPr>
        <w:spacing w:before="0" w:after="0"/>
        <w:ind w:left="0"/>
        <w:rPr>
          <w:lang w:eastAsia="en-GB"/>
        </w:rPr>
      </w:pPr>
    </w:p>
    <w:p w14:paraId="1C49CAD4" w14:textId="5FE5D24E" w:rsidR="00FB21E3" w:rsidRPr="00607598" w:rsidRDefault="00FB21E3" w:rsidP="00080408">
      <w:pPr>
        <w:keepNext/>
        <w:spacing w:before="0" w:after="0" w:line="480" w:lineRule="auto"/>
        <w:ind w:left="0"/>
        <w:outlineLvl w:val="0"/>
        <w:rPr>
          <w:rFonts w:eastAsia="Times New Roman" w:cs="Arial"/>
          <w:b/>
          <w:bCs/>
          <w:kern w:val="32"/>
          <w:szCs w:val="32"/>
          <w:lang w:eastAsia="en-GB"/>
        </w:rPr>
      </w:pPr>
      <w:r w:rsidRPr="00607598">
        <w:rPr>
          <w:rFonts w:eastAsia="Times New Roman" w:cs="Arial"/>
          <w:b/>
          <w:bCs/>
          <w:kern w:val="32"/>
          <w:szCs w:val="32"/>
          <w:lang w:eastAsia="en-GB"/>
        </w:rPr>
        <w:t>Conclu</w:t>
      </w:r>
      <w:r w:rsidR="00F45930" w:rsidRPr="00607598">
        <w:rPr>
          <w:rFonts w:eastAsia="Times New Roman" w:cs="Arial"/>
          <w:b/>
          <w:bCs/>
          <w:kern w:val="32"/>
          <w:szCs w:val="32"/>
          <w:lang w:eastAsia="en-GB"/>
        </w:rPr>
        <w:t>ding Thoughts</w:t>
      </w:r>
    </w:p>
    <w:p w14:paraId="0E787247" w14:textId="77777777" w:rsidR="00944D58" w:rsidRPr="00607598" w:rsidRDefault="00944D58" w:rsidP="00944D58">
      <w:pPr>
        <w:spacing w:before="0" w:after="0" w:line="480" w:lineRule="auto"/>
        <w:ind w:left="0"/>
        <w:rPr>
          <w:lang w:val="en-US"/>
        </w:rPr>
      </w:pPr>
      <w:r w:rsidRPr="00607598">
        <w:rPr>
          <w:lang w:val="en-US"/>
        </w:rPr>
        <w:t xml:space="preserve">Educational disadvantage is a deep-seated and multi-faceted problem which is not amenable to easy and in-expensive solutions. </w:t>
      </w:r>
      <w:r w:rsidRPr="00607598">
        <w:rPr>
          <w:rFonts w:cs="Times New Roman"/>
          <w:szCs w:val="24"/>
          <w:shd w:val="clear" w:color="auto" w:fill="FFFFFF"/>
        </w:rPr>
        <w:t xml:space="preserve">While marginal progress has been made since the introduction of the DEIS scheme in 2005, educational disadvantage continues to be viewed as a school-based issue, with a lack of recognition and response at a policy level of its fundamental, deep-seated relationship with wider economic inequalities across Irish society. </w:t>
      </w:r>
    </w:p>
    <w:p w14:paraId="3DC4B881" w14:textId="3EE6F4DF" w:rsidR="00944D58" w:rsidRPr="00607598" w:rsidRDefault="00944D58" w:rsidP="00944D58">
      <w:pPr>
        <w:spacing w:before="0" w:after="0" w:line="480" w:lineRule="auto"/>
        <w:ind w:left="0"/>
        <w:rPr>
          <w:rFonts w:cs="Times New Roman"/>
          <w:szCs w:val="24"/>
          <w:shd w:val="clear" w:color="auto" w:fill="FFFFFF"/>
        </w:rPr>
      </w:pPr>
      <w:r w:rsidRPr="00607598">
        <w:rPr>
          <w:rFonts w:cs="Times New Roman"/>
          <w:szCs w:val="24"/>
          <w:shd w:val="clear" w:color="auto" w:fill="FFFFFF"/>
        </w:rPr>
        <w:t>Foregrounding the voices of those working in the six case study DEIS schools in this research, we have endeavoured to give voice to those on the margins, and offer their insights as a counterpoint to the policy discourse which operates on the basis of euphemistic generalisability. Their lived experience of educational disadvantage testifies overwhelmingly that linear, narrow, segregationist approaches to tacking educational inequality which fail to acknowledge the systemic, pervasive and engrained nature of the issue can only fail.</w:t>
      </w:r>
    </w:p>
    <w:p w14:paraId="4CA894B2" w14:textId="77777777" w:rsidR="00402DA1" w:rsidRPr="00607598" w:rsidRDefault="00402DA1" w:rsidP="00402DA1">
      <w:pPr>
        <w:pStyle w:val="Heading1"/>
      </w:pPr>
      <w:r w:rsidRPr="00607598">
        <w:lastRenderedPageBreak/>
        <w:t>References</w:t>
      </w:r>
    </w:p>
    <w:p w14:paraId="5ADC647D" w14:textId="6A86B3B2" w:rsidR="00402DA1" w:rsidRPr="00607598" w:rsidRDefault="00402DA1" w:rsidP="00402DA1">
      <w:pPr>
        <w:pStyle w:val="Heading1"/>
        <w:jc w:val="both"/>
      </w:pPr>
      <w:r w:rsidRPr="00607598">
        <w:rPr>
          <w:b w:val="0"/>
          <w:bCs w:val="0"/>
        </w:rPr>
        <w:t xml:space="preserve">Archer, P. and Weir, S. 2005. </w:t>
      </w:r>
      <w:r w:rsidRPr="00607598">
        <w:rPr>
          <w:b w:val="0"/>
          <w:bCs w:val="0"/>
          <w:i/>
          <w:iCs/>
        </w:rPr>
        <w:t>Addressing Disadvantage: A Review of the International Literature and of Strategy in Ireland</w:t>
      </w:r>
      <w:r w:rsidRPr="00607598">
        <w:rPr>
          <w:b w:val="0"/>
          <w:bCs w:val="0"/>
        </w:rPr>
        <w:t>. Educational Disadvantage Committee, Dublin: DES</w:t>
      </w:r>
      <w:r w:rsidRPr="00607598">
        <w:t>.</w:t>
      </w:r>
      <w:r w:rsidRPr="00607598">
        <w:fldChar w:fldCharType="begin" w:fldLock="1"/>
      </w:r>
      <w:r w:rsidRPr="00607598">
        <w:instrText xml:space="preserve">ADDIN Mendeley Bibliography CSL_BIBLIOGRAPHY </w:instrText>
      </w:r>
      <w:r w:rsidRPr="00607598">
        <w:fldChar w:fldCharType="separate"/>
      </w:r>
    </w:p>
    <w:p w14:paraId="5407ED38" w14:textId="77777777" w:rsidR="00402DA1" w:rsidRPr="00607598" w:rsidRDefault="00402DA1" w:rsidP="00402DA1">
      <w:pPr>
        <w:widowControl w:val="0"/>
        <w:autoSpaceDE w:val="0"/>
        <w:autoSpaceDN w:val="0"/>
        <w:adjustRightInd w:val="0"/>
        <w:ind w:left="0"/>
        <w:jc w:val="left"/>
        <w:rPr>
          <w:rFonts w:cs="Times New Roman"/>
          <w:noProof/>
          <w:szCs w:val="24"/>
        </w:rPr>
      </w:pPr>
      <w:r w:rsidRPr="00607598">
        <w:rPr>
          <w:rFonts w:cs="Times New Roman"/>
          <w:noProof/>
          <w:szCs w:val="24"/>
        </w:rPr>
        <w:t xml:space="preserve">Auld, Euan, Rappleye, Jeremy and Morris, Paul. 2019. 'PISA for Development: How the OECD and the World Bank Shaped Education Governance Post-2015,' </w:t>
      </w:r>
      <w:r w:rsidRPr="00607598">
        <w:rPr>
          <w:rFonts w:cs="Times New Roman"/>
          <w:i/>
          <w:iCs/>
          <w:noProof/>
          <w:szCs w:val="24"/>
        </w:rPr>
        <w:t>Comparative Education</w:t>
      </w:r>
      <w:r w:rsidRPr="00607598">
        <w:rPr>
          <w:rFonts w:cs="Times New Roman"/>
          <w:noProof/>
          <w:szCs w:val="24"/>
        </w:rPr>
        <w:t xml:space="preserve">, </w:t>
      </w:r>
      <w:r w:rsidRPr="00607598">
        <w:rPr>
          <w:rFonts w:cs="Times New Roman"/>
          <w:i/>
          <w:iCs/>
          <w:noProof/>
          <w:szCs w:val="24"/>
        </w:rPr>
        <w:t>55</w:t>
      </w:r>
      <w:r w:rsidRPr="00607598">
        <w:rPr>
          <w:rFonts w:cs="Times New Roman"/>
          <w:noProof/>
          <w:szCs w:val="24"/>
        </w:rPr>
        <w:t>(2): 197–219.</w:t>
      </w:r>
    </w:p>
    <w:p w14:paraId="4F246711" w14:textId="77777777" w:rsidR="00402DA1" w:rsidRPr="00607598" w:rsidRDefault="00402DA1" w:rsidP="00402DA1">
      <w:pPr>
        <w:widowControl w:val="0"/>
        <w:autoSpaceDE w:val="0"/>
        <w:autoSpaceDN w:val="0"/>
        <w:adjustRightInd w:val="0"/>
        <w:ind w:left="0"/>
        <w:jc w:val="left"/>
        <w:rPr>
          <w:rFonts w:cs="Times New Roman"/>
          <w:noProof/>
          <w:szCs w:val="24"/>
        </w:rPr>
      </w:pPr>
      <w:r w:rsidRPr="00607598">
        <w:rPr>
          <w:rFonts w:cs="Times New Roman"/>
          <w:noProof/>
          <w:szCs w:val="24"/>
        </w:rPr>
        <w:t xml:space="preserve">Auld, Euan and Morris, Paul. 2014. 'Comparative Education, the “New Paradigm” and Policy Borrowing: Constructing Knowledge for Educational Reform. </w:t>
      </w:r>
      <w:r w:rsidRPr="00607598">
        <w:rPr>
          <w:rFonts w:cs="Times New Roman"/>
          <w:i/>
          <w:iCs/>
          <w:noProof/>
          <w:szCs w:val="24"/>
        </w:rPr>
        <w:t>Comparative Education</w:t>
      </w:r>
      <w:r w:rsidRPr="00607598">
        <w:rPr>
          <w:rFonts w:cs="Times New Roman"/>
          <w:noProof/>
          <w:szCs w:val="24"/>
        </w:rPr>
        <w:t xml:space="preserve">, </w:t>
      </w:r>
      <w:r w:rsidRPr="00607598">
        <w:rPr>
          <w:rFonts w:cs="Times New Roman"/>
          <w:i/>
          <w:iCs/>
          <w:noProof/>
          <w:szCs w:val="24"/>
        </w:rPr>
        <w:t xml:space="preserve">50 </w:t>
      </w:r>
      <w:r w:rsidRPr="00607598">
        <w:rPr>
          <w:rFonts w:cs="Times New Roman"/>
          <w:noProof/>
          <w:szCs w:val="24"/>
        </w:rPr>
        <w:t>(2): 129–155.</w:t>
      </w:r>
    </w:p>
    <w:p w14:paraId="4292DC54" w14:textId="77777777" w:rsidR="00402DA1" w:rsidRPr="00607598" w:rsidRDefault="00402DA1" w:rsidP="00402DA1">
      <w:pPr>
        <w:widowControl w:val="0"/>
        <w:autoSpaceDE w:val="0"/>
        <w:autoSpaceDN w:val="0"/>
        <w:adjustRightInd w:val="0"/>
        <w:ind w:left="0"/>
        <w:jc w:val="left"/>
        <w:rPr>
          <w:rFonts w:cs="Times New Roman"/>
          <w:noProof/>
          <w:szCs w:val="24"/>
        </w:rPr>
      </w:pPr>
      <w:r w:rsidRPr="00607598">
        <w:rPr>
          <w:rFonts w:cs="Times New Roman"/>
          <w:noProof/>
          <w:szCs w:val="24"/>
        </w:rPr>
        <w:t xml:space="preserve">Baker, John Lynch, Kathleen, Cantillon, Sara and Walsh, Judy. 2004 </w:t>
      </w:r>
      <w:r w:rsidRPr="00607598">
        <w:rPr>
          <w:rFonts w:cs="Times New Roman"/>
          <w:i/>
          <w:iCs/>
          <w:noProof/>
          <w:szCs w:val="24"/>
        </w:rPr>
        <w:t xml:space="preserve">Equality. From Theory to Action. </w:t>
      </w:r>
      <w:r w:rsidRPr="00607598">
        <w:rPr>
          <w:rFonts w:cs="Times New Roman"/>
          <w:noProof/>
          <w:szCs w:val="24"/>
        </w:rPr>
        <w:t>London: Palgrave Macmillan.</w:t>
      </w:r>
    </w:p>
    <w:p w14:paraId="171B6499" w14:textId="77777777" w:rsidR="00402DA1" w:rsidRPr="00607598" w:rsidRDefault="00402DA1" w:rsidP="00402DA1">
      <w:pPr>
        <w:widowControl w:val="0"/>
        <w:autoSpaceDE w:val="0"/>
        <w:autoSpaceDN w:val="0"/>
        <w:adjustRightInd w:val="0"/>
        <w:ind w:left="0"/>
        <w:jc w:val="left"/>
        <w:rPr>
          <w:rFonts w:cs="Times New Roman"/>
          <w:noProof/>
          <w:szCs w:val="24"/>
        </w:rPr>
      </w:pPr>
      <w:r w:rsidRPr="00607598">
        <w:rPr>
          <w:rFonts w:cs="Times New Roman"/>
          <w:noProof/>
          <w:szCs w:val="24"/>
        </w:rPr>
        <w:t xml:space="preserve">Ball, Stephen. 2003. 'The Teacher’s Soul and the Terrors of Performativity,' </w:t>
      </w:r>
      <w:r w:rsidRPr="00607598">
        <w:rPr>
          <w:rFonts w:cs="Times New Roman"/>
          <w:i/>
          <w:iCs/>
          <w:noProof/>
          <w:szCs w:val="24"/>
        </w:rPr>
        <w:t>Journal of Education Policy</w:t>
      </w:r>
      <w:r w:rsidRPr="00607598">
        <w:rPr>
          <w:rFonts w:cs="Times New Roman"/>
          <w:noProof/>
          <w:szCs w:val="24"/>
        </w:rPr>
        <w:t xml:space="preserve">, 18 (2): 215–228. </w:t>
      </w:r>
    </w:p>
    <w:p w14:paraId="10EF1282" w14:textId="77777777" w:rsidR="00402DA1" w:rsidRPr="00607598" w:rsidRDefault="00402DA1" w:rsidP="00402DA1">
      <w:pPr>
        <w:widowControl w:val="0"/>
        <w:autoSpaceDE w:val="0"/>
        <w:autoSpaceDN w:val="0"/>
        <w:adjustRightInd w:val="0"/>
        <w:ind w:left="0"/>
        <w:jc w:val="left"/>
        <w:rPr>
          <w:rFonts w:cs="Times New Roman"/>
          <w:noProof/>
          <w:szCs w:val="24"/>
        </w:rPr>
      </w:pPr>
      <w:r w:rsidRPr="00607598">
        <w:rPr>
          <w:rFonts w:cs="Times New Roman"/>
          <w:noProof/>
          <w:szCs w:val="24"/>
        </w:rPr>
        <w:t xml:space="preserve">Ball, Stephen. 2015. 'Education, Governance and the Tyranny of Numbers,' </w:t>
      </w:r>
      <w:r w:rsidRPr="00607598">
        <w:rPr>
          <w:rFonts w:cs="Times New Roman"/>
          <w:i/>
          <w:iCs/>
          <w:noProof/>
          <w:szCs w:val="24"/>
        </w:rPr>
        <w:t>Journal of Education Policy</w:t>
      </w:r>
      <w:r w:rsidRPr="00607598">
        <w:rPr>
          <w:rFonts w:cs="Times New Roman"/>
          <w:noProof/>
          <w:szCs w:val="24"/>
        </w:rPr>
        <w:t xml:space="preserve">, 30 (3): 299–301. </w:t>
      </w:r>
    </w:p>
    <w:p w14:paraId="3EA5BF4C" w14:textId="77777777" w:rsidR="00402DA1" w:rsidRPr="00607598" w:rsidRDefault="00402DA1" w:rsidP="00402DA1">
      <w:pPr>
        <w:widowControl w:val="0"/>
        <w:autoSpaceDE w:val="0"/>
        <w:autoSpaceDN w:val="0"/>
        <w:adjustRightInd w:val="0"/>
        <w:ind w:left="0"/>
        <w:jc w:val="left"/>
        <w:rPr>
          <w:rFonts w:cs="Times New Roman"/>
          <w:noProof/>
          <w:szCs w:val="24"/>
        </w:rPr>
      </w:pPr>
      <w:r w:rsidRPr="00607598">
        <w:rPr>
          <w:rFonts w:cs="Times New Roman"/>
          <w:noProof/>
          <w:szCs w:val="24"/>
        </w:rPr>
        <w:t xml:space="preserve">Biesta, Gert. 2016. 'Resisting the Seduction of the Global Education Measurement Industry: Notes on the Social Psychology of PISA. </w:t>
      </w:r>
      <w:r w:rsidRPr="00607598">
        <w:rPr>
          <w:rFonts w:cs="Times New Roman"/>
          <w:i/>
          <w:iCs/>
          <w:noProof/>
          <w:szCs w:val="24"/>
        </w:rPr>
        <w:t>Ethics and Education</w:t>
      </w:r>
      <w:r w:rsidRPr="00607598">
        <w:rPr>
          <w:rFonts w:cs="Times New Roman"/>
          <w:noProof/>
          <w:szCs w:val="24"/>
        </w:rPr>
        <w:t xml:space="preserve">, </w:t>
      </w:r>
      <w:r w:rsidRPr="00607598">
        <w:rPr>
          <w:rFonts w:cs="Times New Roman"/>
          <w:iCs/>
          <w:noProof/>
          <w:szCs w:val="24"/>
        </w:rPr>
        <w:t>10</w:t>
      </w:r>
      <w:r w:rsidRPr="00607598">
        <w:rPr>
          <w:rFonts w:cs="Times New Roman"/>
          <w:noProof/>
          <w:szCs w:val="24"/>
        </w:rPr>
        <w:t>(3): 348–360.</w:t>
      </w:r>
    </w:p>
    <w:p w14:paraId="77A897AE" w14:textId="77777777" w:rsidR="00402DA1" w:rsidRPr="00607598" w:rsidRDefault="00402DA1" w:rsidP="00402DA1">
      <w:pPr>
        <w:widowControl w:val="0"/>
        <w:autoSpaceDE w:val="0"/>
        <w:autoSpaceDN w:val="0"/>
        <w:adjustRightInd w:val="0"/>
        <w:ind w:left="0"/>
        <w:jc w:val="left"/>
        <w:rPr>
          <w:rFonts w:cs="Times New Roman"/>
          <w:i/>
          <w:iCs/>
          <w:noProof/>
          <w:szCs w:val="24"/>
        </w:rPr>
      </w:pPr>
      <w:r w:rsidRPr="00607598">
        <w:rPr>
          <w:rFonts w:cs="Times New Roman"/>
          <w:noProof/>
          <w:szCs w:val="24"/>
        </w:rPr>
        <w:t xml:space="preserve">Blackstock, E. J. 1999. </w:t>
      </w:r>
      <w:r w:rsidRPr="00607598">
        <w:rPr>
          <w:rFonts w:cs="Times New Roman"/>
          <w:i/>
          <w:iCs/>
          <w:noProof/>
          <w:szCs w:val="24"/>
        </w:rPr>
        <w:t>The Report of the Steering Committee on the Funding of Second-Level Schools.</w:t>
      </w:r>
    </w:p>
    <w:p w14:paraId="19CFDC95" w14:textId="77777777" w:rsidR="00402DA1" w:rsidRPr="00607598" w:rsidRDefault="00402DA1" w:rsidP="00402DA1">
      <w:pPr>
        <w:spacing w:before="0" w:after="0"/>
        <w:ind w:left="0"/>
        <w:rPr>
          <w:rFonts w:cs="Times New Roman"/>
        </w:rPr>
      </w:pPr>
      <w:r w:rsidRPr="00607598">
        <w:rPr>
          <w:rFonts w:cs="Times New Roman"/>
        </w:rPr>
        <w:t xml:space="preserve">Bourdieu, P.  and Passeron, J-C.  1990. </w:t>
      </w:r>
      <w:r w:rsidRPr="00607598">
        <w:rPr>
          <w:rFonts w:cs="Times New Roman"/>
          <w:i/>
        </w:rPr>
        <w:t xml:space="preserve">Reproduction in Education, Society and Culture </w:t>
      </w:r>
      <w:r w:rsidRPr="00607598">
        <w:rPr>
          <w:rFonts w:cs="Times New Roman"/>
        </w:rPr>
        <w:t>(2</w:t>
      </w:r>
      <w:r w:rsidRPr="00607598">
        <w:rPr>
          <w:rFonts w:cs="Times New Roman"/>
          <w:vertAlign w:val="superscript"/>
        </w:rPr>
        <w:t>nd</w:t>
      </w:r>
      <w:r w:rsidRPr="00607598">
        <w:rPr>
          <w:rFonts w:cs="Times New Roman"/>
        </w:rPr>
        <w:t xml:space="preserve"> ed). London, UK: Sage</w:t>
      </w:r>
    </w:p>
    <w:p w14:paraId="564E0908" w14:textId="77777777" w:rsidR="00402DA1" w:rsidRPr="00607598" w:rsidRDefault="00402DA1" w:rsidP="00402DA1">
      <w:pPr>
        <w:spacing w:before="0" w:after="0"/>
        <w:ind w:left="0"/>
        <w:rPr>
          <w:rFonts w:cs="Times New Roman"/>
        </w:rPr>
      </w:pPr>
    </w:p>
    <w:p w14:paraId="0ABD6DFF" w14:textId="77777777" w:rsidR="00402DA1" w:rsidRPr="00607598" w:rsidRDefault="00402DA1" w:rsidP="00402DA1">
      <w:pPr>
        <w:spacing w:before="0" w:after="0" w:line="480" w:lineRule="auto"/>
        <w:ind w:left="0"/>
        <w:rPr>
          <w:rFonts w:cs="Times New Roman"/>
        </w:rPr>
      </w:pPr>
      <w:r w:rsidRPr="00607598">
        <w:rPr>
          <w:rFonts w:cs="Times New Roman"/>
        </w:rPr>
        <w:t xml:space="preserve">Bourdieu, P. 1996. </w:t>
      </w:r>
      <w:r w:rsidRPr="00607598">
        <w:rPr>
          <w:rFonts w:cs="Times New Roman"/>
          <w:i/>
        </w:rPr>
        <w:t xml:space="preserve">The Rules of Art. </w:t>
      </w:r>
      <w:r w:rsidRPr="00607598">
        <w:rPr>
          <w:rFonts w:cs="Times New Roman"/>
        </w:rPr>
        <w:t>Cambridge: Polity Press</w:t>
      </w:r>
    </w:p>
    <w:p w14:paraId="20318D4E" w14:textId="77777777" w:rsidR="00402DA1" w:rsidRPr="00607598" w:rsidRDefault="00402DA1" w:rsidP="00402DA1">
      <w:pPr>
        <w:widowControl w:val="0"/>
        <w:autoSpaceDE w:val="0"/>
        <w:autoSpaceDN w:val="0"/>
        <w:adjustRightInd w:val="0"/>
        <w:spacing w:before="0" w:after="0"/>
        <w:ind w:left="0"/>
        <w:jc w:val="left"/>
        <w:rPr>
          <w:rFonts w:cs="Times New Roman"/>
          <w:noProof/>
          <w:szCs w:val="24"/>
        </w:rPr>
      </w:pPr>
      <w:r w:rsidRPr="00607598">
        <w:rPr>
          <w:rFonts w:cs="Times New Roman"/>
          <w:noProof/>
          <w:szCs w:val="24"/>
        </w:rPr>
        <w:t xml:space="preserve">Brady, Alison. 2016. 'The Regime of Self-Evaluation: Self-Conception for Teachers and Schools,' </w:t>
      </w:r>
      <w:r w:rsidRPr="00607598">
        <w:rPr>
          <w:rFonts w:cs="Times New Roman"/>
          <w:i/>
          <w:iCs/>
          <w:noProof/>
          <w:szCs w:val="24"/>
        </w:rPr>
        <w:t>British Journal of Educational Studies</w:t>
      </w:r>
      <w:r w:rsidRPr="00607598">
        <w:rPr>
          <w:rFonts w:cs="Times New Roman"/>
          <w:noProof/>
          <w:szCs w:val="24"/>
        </w:rPr>
        <w:t xml:space="preserve">, </w:t>
      </w:r>
      <w:r w:rsidRPr="00607598">
        <w:rPr>
          <w:rFonts w:cs="Times New Roman"/>
          <w:i/>
          <w:iCs/>
          <w:noProof/>
          <w:szCs w:val="24"/>
        </w:rPr>
        <w:t xml:space="preserve">64 </w:t>
      </w:r>
      <w:r w:rsidRPr="00607598">
        <w:rPr>
          <w:rFonts w:cs="Times New Roman"/>
          <w:noProof/>
          <w:szCs w:val="24"/>
        </w:rPr>
        <w:t xml:space="preserve">(4): 523–541. </w:t>
      </w:r>
    </w:p>
    <w:p w14:paraId="2806AF9F" w14:textId="77777777" w:rsidR="00402DA1" w:rsidRPr="00607598" w:rsidRDefault="00402DA1" w:rsidP="00402DA1">
      <w:pPr>
        <w:widowControl w:val="0"/>
        <w:autoSpaceDE w:val="0"/>
        <w:autoSpaceDN w:val="0"/>
        <w:adjustRightInd w:val="0"/>
        <w:ind w:left="0"/>
        <w:jc w:val="left"/>
        <w:rPr>
          <w:rFonts w:cs="Times New Roman"/>
          <w:noProof/>
          <w:szCs w:val="24"/>
        </w:rPr>
      </w:pPr>
      <w:r w:rsidRPr="00607598">
        <w:rPr>
          <w:rFonts w:cs="Times New Roman"/>
          <w:noProof/>
          <w:szCs w:val="24"/>
        </w:rPr>
        <w:t xml:space="preserve">Braun, A., Ball, S. J., Maguire, M., &amp; Hoskins, K. 2011. 'Taking Context Seriously: Towards Explaining Policy Enactments in the Secondary School. </w:t>
      </w:r>
      <w:r w:rsidRPr="00607598">
        <w:rPr>
          <w:rFonts w:cs="Times New Roman"/>
          <w:i/>
          <w:iCs/>
          <w:noProof/>
          <w:szCs w:val="24"/>
        </w:rPr>
        <w:t>Discourse</w:t>
      </w:r>
      <w:r w:rsidRPr="00607598">
        <w:rPr>
          <w:rFonts w:cs="Times New Roman"/>
          <w:noProof/>
          <w:szCs w:val="24"/>
        </w:rPr>
        <w:t xml:space="preserve">, </w:t>
      </w:r>
      <w:r w:rsidRPr="00607598">
        <w:rPr>
          <w:rFonts w:cs="Times New Roman"/>
          <w:i/>
          <w:iCs/>
          <w:noProof/>
          <w:szCs w:val="24"/>
        </w:rPr>
        <w:t xml:space="preserve">32 </w:t>
      </w:r>
      <w:r w:rsidRPr="00607598">
        <w:rPr>
          <w:rFonts w:cs="Times New Roman"/>
          <w:noProof/>
          <w:szCs w:val="24"/>
        </w:rPr>
        <w:t xml:space="preserve">(4): 585–596. </w:t>
      </w:r>
    </w:p>
    <w:p w14:paraId="238C28C7" w14:textId="77777777" w:rsidR="00402DA1" w:rsidRPr="00607598" w:rsidRDefault="00402DA1" w:rsidP="00402DA1">
      <w:pPr>
        <w:widowControl w:val="0"/>
        <w:autoSpaceDE w:val="0"/>
        <w:autoSpaceDN w:val="0"/>
        <w:adjustRightInd w:val="0"/>
        <w:ind w:left="0"/>
        <w:jc w:val="left"/>
        <w:rPr>
          <w:rFonts w:cs="Times New Roman"/>
          <w:noProof/>
          <w:szCs w:val="24"/>
        </w:rPr>
      </w:pPr>
      <w:r w:rsidRPr="00607598">
        <w:rPr>
          <w:rFonts w:cs="Times New Roman"/>
          <w:noProof/>
          <w:szCs w:val="24"/>
        </w:rPr>
        <w:t xml:space="preserve">Braun, Annette and Maguire, Meg. 2020. Doing without Believing–Enacting Policy in the English Primary school. </w:t>
      </w:r>
      <w:r w:rsidRPr="00607598">
        <w:rPr>
          <w:rFonts w:cs="Times New Roman"/>
          <w:i/>
          <w:iCs/>
          <w:noProof/>
          <w:szCs w:val="24"/>
        </w:rPr>
        <w:t>Critical Studies in Education</w:t>
      </w:r>
      <w:r w:rsidRPr="00607598">
        <w:rPr>
          <w:rFonts w:cs="Times New Roman"/>
          <w:noProof/>
          <w:szCs w:val="24"/>
        </w:rPr>
        <w:t xml:space="preserve">, </w:t>
      </w:r>
      <w:r w:rsidRPr="00607598">
        <w:rPr>
          <w:rFonts w:cs="Times New Roman"/>
          <w:i/>
          <w:iCs/>
          <w:noProof/>
          <w:szCs w:val="24"/>
        </w:rPr>
        <w:t>61</w:t>
      </w:r>
      <w:r w:rsidRPr="00607598">
        <w:rPr>
          <w:rFonts w:cs="Times New Roman"/>
          <w:noProof/>
          <w:szCs w:val="24"/>
        </w:rPr>
        <w:t xml:space="preserve">(4): 433–447. </w:t>
      </w:r>
    </w:p>
    <w:p w14:paraId="1CEDA430" w14:textId="77777777" w:rsidR="00402DA1" w:rsidRPr="00607598" w:rsidRDefault="00402DA1" w:rsidP="00402DA1">
      <w:pPr>
        <w:widowControl w:val="0"/>
        <w:autoSpaceDE w:val="0"/>
        <w:autoSpaceDN w:val="0"/>
        <w:adjustRightInd w:val="0"/>
        <w:ind w:left="0"/>
        <w:jc w:val="left"/>
        <w:rPr>
          <w:rFonts w:cs="Times New Roman"/>
          <w:szCs w:val="24"/>
          <w:shd w:val="clear" w:color="auto" w:fill="F6F6F6"/>
        </w:rPr>
      </w:pPr>
      <w:r w:rsidRPr="00607598">
        <w:rPr>
          <w:rFonts w:cs="Times New Roman"/>
          <w:szCs w:val="24"/>
          <w:shd w:val="clear" w:color="auto" w:fill="F6F6F6"/>
        </w:rPr>
        <w:t xml:space="preserve">Byrne, Delma and McCoy, Selina 2017. ‘Effectively Maintained Inequality in Educational Transitions in the Republic of Ireland’, </w:t>
      </w:r>
      <w:r w:rsidRPr="00607598">
        <w:rPr>
          <w:rFonts w:cs="Times New Roman"/>
          <w:i/>
          <w:iCs/>
          <w:szCs w:val="24"/>
          <w:shd w:val="clear" w:color="auto" w:fill="F6F6F6"/>
        </w:rPr>
        <w:t>American Behavioural Scientist</w:t>
      </w:r>
      <w:r w:rsidRPr="00607598">
        <w:rPr>
          <w:rFonts w:cs="Times New Roman"/>
          <w:szCs w:val="24"/>
          <w:shd w:val="clear" w:color="auto" w:fill="F6F6F6"/>
        </w:rPr>
        <w:t xml:space="preserve"> 61(1): 49-73.</w:t>
      </w:r>
    </w:p>
    <w:p w14:paraId="04136E90" w14:textId="7AB21572" w:rsidR="00402DA1" w:rsidRPr="00607598" w:rsidRDefault="00402DA1" w:rsidP="00402DA1">
      <w:pPr>
        <w:widowControl w:val="0"/>
        <w:autoSpaceDE w:val="0"/>
        <w:autoSpaceDN w:val="0"/>
        <w:adjustRightInd w:val="0"/>
        <w:ind w:left="0"/>
        <w:jc w:val="left"/>
        <w:rPr>
          <w:rFonts w:cs="Times New Roman"/>
          <w:szCs w:val="24"/>
          <w:shd w:val="clear" w:color="auto" w:fill="F6F6F6"/>
        </w:rPr>
      </w:pPr>
      <w:r w:rsidRPr="00607598">
        <w:rPr>
          <w:rFonts w:eastAsia="Times New Roman" w:cs="Times New Roman"/>
          <w:szCs w:val="24"/>
          <w:lang w:val="en-US"/>
        </w:rPr>
        <w:t xml:space="preserve">Cahill, K., &amp; Hall, K. (2014). ‘Choosing schools: Explorations in post-primary school choice in an urban Irish working class community,’ </w:t>
      </w:r>
      <w:r w:rsidRPr="00607598">
        <w:rPr>
          <w:rFonts w:eastAsia="Times New Roman" w:cs="Times New Roman"/>
          <w:i/>
          <w:iCs/>
          <w:szCs w:val="24"/>
          <w:lang w:val="en-US"/>
        </w:rPr>
        <w:t>Irish Educational Studies</w:t>
      </w:r>
      <w:r w:rsidRPr="00607598">
        <w:rPr>
          <w:rFonts w:eastAsia="Times New Roman" w:cs="Times New Roman"/>
          <w:szCs w:val="24"/>
          <w:lang w:val="en-US"/>
        </w:rPr>
        <w:t>, 33(4), 383-397.</w:t>
      </w:r>
    </w:p>
    <w:p w14:paraId="78852E20"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eastAsia="Times New Roman" w:cs="Times New Roman"/>
          <w:szCs w:val="24"/>
          <w:lang w:val="en-US"/>
        </w:rPr>
        <w:lastRenderedPageBreak/>
        <w:t xml:space="preserve">Cahill, K. (2015). ‘Seeing the wood from the trees: A critical policy analysis of intersections between social class inequality and education in twenty-first century Ireland,’ </w:t>
      </w:r>
      <w:r w:rsidRPr="00607598">
        <w:rPr>
          <w:rFonts w:eastAsia="Times New Roman" w:cs="Times New Roman"/>
          <w:i/>
          <w:iCs/>
          <w:szCs w:val="24"/>
          <w:lang w:val="en-US"/>
        </w:rPr>
        <w:t>International Electronic Journal of Elementary Education</w:t>
      </w:r>
      <w:r w:rsidRPr="00607598">
        <w:rPr>
          <w:rFonts w:eastAsia="Times New Roman" w:cs="Times New Roman"/>
          <w:szCs w:val="24"/>
          <w:lang w:val="en-US"/>
        </w:rPr>
        <w:t>, 8 (2), 301-316.</w:t>
      </w:r>
    </w:p>
    <w:p w14:paraId="28477B16"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Clarke, Simon and O’Donoghue, Tom. 2017. 'Educational Leadership and Context: A Rendering of an Inseparable Relationship,' </w:t>
      </w:r>
      <w:r w:rsidRPr="00607598">
        <w:rPr>
          <w:rFonts w:cs="Times New Roman"/>
          <w:i/>
          <w:iCs/>
          <w:noProof/>
          <w:szCs w:val="24"/>
        </w:rPr>
        <w:t>British Journal of Educational Studies</w:t>
      </w:r>
      <w:r w:rsidRPr="00607598">
        <w:rPr>
          <w:rFonts w:cs="Times New Roman"/>
          <w:noProof/>
          <w:szCs w:val="24"/>
        </w:rPr>
        <w:t>, 65</w:t>
      </w:r>
      <w:r w:rsidRPr="00607598">
        <w:rPr>
          <w:rFonts w:cs="Times New Roman"/>
          <w:i/>
          <w:iCs/>
          <w:noProof/>
          <w:szCs w:val="24"/>
        </w:rPr>
        <w:t xml:space="preserve"> </w:t>
      </w:r>
      <w:r w:rsidRPr="00607598">
        <w:rPr>
          <w:rFonts w:cs="Times New Roman"/>
          <w:noProof/>
          <w:szCs w:val="24"/>
        </w:rPr>
        <w:t xml:space="preserve">(2): 167–182. </w:t>
      </w:r>
    </w:p>
    <w:p w14:paraId="5949BF67"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szCs w:val="24"/>
          <w:shd w:val="clear" w:color="auto" w:fill="FFFFFF"/>
          <w:lang w:val="en-IE"/>
        </w:rPr>
        <w:t xml:space="preserve">Cohen, L., Manion, L., &amp; Morrison, K. 2011. </w:t>
      </w:r>
      <w:r w:rsidRPr="00607598">
        <w:rPr>
          <w:rFonts w:cs="Times New Roman"/>
          <w:i/>
          <w:iCs/>
          <w:szCs w:val="24"/>
          <w:shd w:val="clear" w:color="auto" w:fill="FFFFFF"/>
          <w:lang w:val="en-IE"/>
        </w:rPr>
        <w:t xml:space="preserve">Research Methods in Education: </w:t>
      </w:r>
      <w:r w:rsidRPr="00607598">
        <w:rPr>
          <w:rFonts w:cs="Times New Roman"/>
          <w:szCs w:val="24"/>
          <w:shd w:val="clear" w:color="auto" w:fill="FFFFFF"/>
          <w:lang w:val="en-IE"/>
        </w:rPr>
        <w:t>London: Routledge.</w:t>
      </w:r>
    </w:p>
    <w:p w14:paraId="7D40A609"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Coolahan, John, Drudy, Sheelagh, Hogan, Padraig, Hyland, Áine &amp; McGuiness, Seamus. 2017. </w:t>
      </w:r>
      <w:r w:rsidRPr="00607598">
        <w:rPr>
          <w:rFonts w:cs="Times New Roman"/>
          <w:i/>
          <w:iCs/>
          <w:noProof/>
          <w:szCs w:val="24"/>
        </w:rPr>
        <w:t>Towards a Better Future</w:t>
      </w:r>
      <w:r w:rsidRPr="00607598">
        <w:rPr>
          <w:rFonts w:cs="Times New Roman"/>
          <w:noProof/>
          <w:szCs w:val="24"/>
        </w:rPr>
        <w:t>. IPPN &amp; NAPD.</w:t>
      </w:r>
    </w:p>
    <w:p w14:paraId="342E9C62"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Darmody, Merika and Smyth, Emer. 2013. </w:t>
      </w:r>
      <w:r w:rsidRPr="00607598">
        <w:rPr>
          <w:rFonts w:cs="Times New Roman"/>
          <w:i/>
          <w:noProof/>
          <w:szCs w:val="24"/>
        </w:rPr>
        <w:t>Governance and Funding of Voluntary Secondary Schools in Ireland</w:t>
      </w:r>
      <w:r w:rsidRPr="00607598">
        <w:rPr>
          <w:rFonts w:cs="Times New Roman"/>
          <w:noProof/>
          <w:szCs w:val="24"/>
        </w:rPr>
        <w:t xml:space="preserve">. Dublin: </w:t>
      </w:r>
      <w:r w:rsidRPr="00607598">
        <w:rPr>
          <w:rFonts w:cs="Times New Roman"/>
          <w:iCs/>
          <w:noProof/>
          <w:szCs w:val="24"/>
        </w:rPr>
        <w:t>ESRI</w:t>
      </w:r>
      <w:r w:rsidRPr="00607598">
        <w:rPr>
          <w:rFonts w:cs="Times New Roman"/>
          <w:noProof/>
          <w:szCs w:val="24"/>
        </w:rPr>
        <w:t xml:space="preserve">. </w:t>
      </w:r>
    </w:p>
    <w:p w14:paraId="7B3231D7" w14:textId="77777777" w:rsidR="00402DA1" w:rsidRPr="00607598" w:rsidRDefault="00402DA1" w:rsidP="00402DA1">
      <w:pPr>
        <w:shd w:val="clear" w:color="auto" w:fill="FFFFFF"/>
        <w:spacing w:before="0" w:after="255" w:line="360" w:lineRule="atLeast"/>
        <w:ind w:left="-450"/>
        <w:jc w:val="left"/>
        <w:rPr>
          <w:rFonts w:cs="Times New Roman"/>
          <w:noProof/>
          <w:szCs w:val="24"/>
        </w:rPr>
      </w:pPr>
      <w:r w:rsidRPr="00607598">
        <w:rPr>
          <w:rFonts w:cs="Times New Roman"/>
          <w:noProof/>
          <w:szCs w:val="24"/>
        </w:rPr>
        <w:t xml:space="preserve">Day, Christopher and Hong, Ji. 2016. 'Influences on the Capacities for Emotional Resilience of Teachers in Schools Serving Disadvantaged Urban Communities: Challenges of Living on the Edge. </w:t>
      </w:r>
      <w:r w:rsidRPr="00607598">
        <w:rPr>
          <w:rFonts w:cs="Times New Roman"/>
          <w:i/>
          <w:iCs/>
          <w:noProof/>
          <w:szCs w:val="24"/>
        </w:rPr>
        <w:t>Teaching and Teacher Education</w:t>
      </w:r>
      <w:r w:rsidRPr="00607598">
        <w:rPr>
          <w:rFonts w:cs="Times New Roman"/>
          <w:noProof/>
          <w:szCs w:val="24"/>
        </w:rPr>
        <w:t xml:space="preserve">, 59: 115–125. </w:t>
      </w:r>
    </w:p>
    <w:p w14:paraId="6E908AB8" w14:textId="1E998B4A" w:rsidR="00D0411E" w:rsidRPr="00607598" w:rsidRDefault="00D0411E" w:rsidP="00402DA1">
      <w:pPr>
        <w:shd w:val="clear" w:color="auto" w:fill="FFFFFF"/>
        <w:spacing w:before="0" w:after="255" w:line="360" w:lineRule="atLeast"/>
        <w:ind w:left="-450"/>
        <w:jc w:val="left"/>
        <w:rPr>
          <w:rFonts w:cs="Times New Roman"/>
          <w:noProof/>
          <w:szCs w:val="24"/>
        </w:rPr>
      </w:pPr>
      <w:r w:rsidRPr="00607598">
        <w:rPr>
          <w:rFonts w:cs="Times New Roman"/>
          <w:noProof/>
          <w:szCs w:val="24"/>
        </w:rPr>
        <w:t xml:space="preserve">DES (2005). </w:t>
      </w:r>
      <w:r w:rsidRPr="00607598">
        <w:rPr>
          <w:rFonts w:cs="Times New Roman"/>
          <w:i/>
          <w:noProof/>
          <w:szCs w:val="24"/>
        </w:rPr>
        <w:t>DEIS (Delivering Equality of Opportunity in Schools): An action plan for educational inclusion</w:t>
      </w:r>
      <w:r w:rsidRPr="00607598">
        <w:rPr>
          <w:rFonts w:cs="Times New Roman"/>
          <w:noProof/>
          <w:szCs w:val="24"/>
        </w:rPr>
        <w:t>. Dublin: DES.</w:t>
      </w:r>
    </w:p>
    <w:p w14:paraId="4C9DA1F3" w14:textId="7F65A655" w:rsidR="00EB18B0" w:rsidRPr="00607598" w:rsidRDefault="00EB18B0"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DEIS (2017). </w:t>
      </w:r>
      <w:r w:rsidRPr="00607598">
        <w:rPr>
          <w:rFonts w:cs="Times New Roman"/>
          <w:i/>
          <w:noProof/>
          <w:szCs w:val="24"/>
        </w:rPr>
        <w:t>DEIS Plan, 2017: Delivering Equality of Opportunity in School</w:t>
      </w:r>
      <w:r w:rsidRPr="00607598">
        <w:rPr>
          <w:rFonts w:cs="Times New Roman"/>
          <w:noProof/>
          <w:szCs w:val="24"/>
        </w:rPr>
        <w:t>s. Dublin:DES.</w:t>
      </w:r>
    </w:p>
    <w:p w14:paraId="4FAF07EE"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Devine, Dympna and McGillicuddy, Deirdre. 2016. Positioning Pedagogy. A Matter of Children’s Rights. </w:t>
      </w:r>
      <w:r w:rsidRPr="00607598">
        <w:rPr>
          <w:rFonts w:cs="Times New Roman"/>
          <w:i/>
          <w:iCs/>
          <w:noProof/>
          <w:szCs w:val="24"/>
        </w:rPr>
        <w:t>Oxford Review of Education</w:t>
      </w:r>
      <w:r w:rsidRPr="00607598">
        <w:rPr>
          <w:rFonts w:cs="Times New Roman"/>
          <w:noProof/>
          <w:szCs w:val="24"/>
        </w:rPr>
        <w:t xml:space="preserve">, </w:t>
      </w:r>
      <w:r w:rsidRPr="00607598">
        <w:rPr>
          <w:rFonts w:cs="Times New Roman"/>
          <w:i/>
          <w:iCs/>
          <w:noProof/>
          <w:szCs w:val="24"/>
        </w:rPr>
        <w:t>42</w:t>
      </w:r>
      <w:r w:rsidRPr="00607598">
        <w:rPr>
          <w:rFonts w:cs="Times New Roman"/>
          <w:noProof/>
          <w:szCs w:val="24"/>
        </w:rPr>
        <w:t xml:space="preserve">(4): 424–443. </w:t>
      </w:r>
    </w:p>
    <w:p w14:paraId="08D01500" w14:textId="1EFCFE18" w:rsidR="00402DA1" w:rsidRPr="00607598" w:rsidRDefault="002D3A81" w:rsidP="00402DA1">
      <w:pPr>
        <w:shd w:val="clear" w:color="auto" w:fill="FFFFFF"/>
        <w:spacing w:before="0" w:after="255" w:line="360" w:lineRule="atLeast"/>
        <w:ind w:left="-450"/>
        <w:jc w:val="left"/>
        <w:rPr>
          <w:rFonts w:cs="Times New Roman"/>
          <w:noProof/>
          <w:szCs w:val="24"/>
        </w:rPr>
      </w:pPr>
      <w:r w:rsidRPr="00607598">
        <w:rPr>
          <w:rFonts w:cs="Times New Roman"/>
          <w:noProof/>
          <w:szCs w:val="24"/>
        </w:rPr>
        <w:t>Fleming, Brian</w:t>
      </w:r>
      <w:r w:rsidR="00402DA1" w:rsidRPr="00607598">
        <w:rPr>
          <w:rFonts w:cs="Times New Roman"/>
          <w:noProof/>
          <w:szCs w:val="24"/>
        </w:rPr>
        <w:t xml:space="preserve">. 2016. </w:t>
      </w:r>
      <w:r w:rsidR="00402DA1" w:rsidRPr="00607598">
        <w:rPr>
          <w:rFonts w:cs="Times New Roman"/>
          <w:i/>
          <w:iCs/>
          <w:noProof/>
          <w:szCs w:val="24"/>
        </w:rPr>
        <w:t>Irish Education, 1922-2007: Cherising All the Children?</w:t>
      </w:r>
      <w:r w:rsidR="00402DA1" w:rsidRPr="00607598">
        <w:rPr>
          <w:rFonts w:cs="Times New Roman"/>
          <w:noProof/>
          <w:szCs w:val="24"/>
        </w:rPr>
        <w:t xml:space="preserve"> Dublin: Mynchen’s Field Press.</w:t>
      </w:r>
    </w:p>
    <w:p w14:paraId="1646B242" w14:textId="758C5FED" w:rsidR="00E405E5" w:rsidRPr="00607598" w:rsidRDefault="002D3A8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Fleming, Brian</w:t>
      </w:r>
      <w:r w:rsidR="00E405E5" w:rsidRPr="00607598">
        <w:rPr>
          <w:rFonts w:cs="Times New Roman"/>
          <w:noProof/>
          <w:szCs w:val="24"/>
        </w:rPr>
        <w:t xml:space="preserve">. </w:t>
      </w:r>
      <w:r w:rsidR="00E405E5" w:rsidRPr="00607598">
        <w:rPr>
          <w:rFonts w:cs="Times New Roman"/>
          <w:i/>
          <w:noProof/>
          <w:szCs w:val="24"/>
        </w:rPr>
        <w:t>The Lived Reality of Educational Disadvantage: The need for an equitable policy response.</w:t>
      </w:r>
      <w:r w:rsidR="00E405E5" w:rsidRPr="00607598">
        <w:rPr>
          <w:rFonts w:cs="Times New Roman"/>
          <w:noProof/>
          <w:szCs w:val="24"/>
        </w:rPr>
        <w:t xml:space="preserve"> Dublin.</w:t>
      </w:r>
    </w:p>
    <w:p w14:paraId="31C244D1"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szCs w:val="24"/>
          <w:shd w:val="clear" w:color="auto" w:fill="FFFFFF"/>
        </w:rPr>
        <w:t>Flynn, S., 2020. 'Ecosystems of Educational Disadvantage: Supporting Children and Young People receiving Child Protection and Welfare Services in Ireland</w:t>
      </w:r>
      <w:r w:rsidRPr="00607598">
        <w:rPr>
          <w:rFonts w:cs="Times New Roman"/>
          <w:i/>
          <w:iCs/>
          <w:szCs w:val="24"/>
          <w:shd w:val="clear" w:color="auto" w:fill="FFFFFF"/>
        </w:rPr>
        <w:t>,</w:t>
      </w:r>
      <w:r w:rsidRPr="00607598">
        <w:rPr>
          <w:rFonts w:cs="Times New Roman"/>
          <w:szCs w:val="24"/>
          <w:shd w:val="clear" w:color="auto" w:fill="FFFFFF"/>
        </w:rPr>
        <w:t>'</w:t>
      </w:r>
      <w:r w:rsidRPr="00607598">
        <w:rPr>
          <w:rFonts w:cs="Times New Roman"/>
          <w:i/>
          <w:iCs/>
          <w:szCs w:val="24"/>
          <w:shd w:val="clear" w:color="auto" w:fill="FFFFFF"/>
        </w:rPr>
        <w:t xml:space="preserve"> Social Work and Social Sciences Review, </w:t>
      </w:r>
      <w:r w:rsidRPr="00607598">
        <w:rPr>
          <w:rFonts w:cs="Times New Roman"/>
          <w:szCs w:val="24"/>
          <w:shd w:val="clear" w:color="auto" w:fill="FFFFFF"/>
        </w:rPr>
        <w:t>21, 3.</w:t>
      </w:r>
    </w:p>
    <w:p w14:paraId="04D6D906"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szCs w:val="24"/>
          <w:shd w:val="clear" w:color="auto" w:fill="FFFFFF"/>
        </w:rPr>
        <w:t>Foucault, M. 1</w:t>
      </w:r>
      <w:r w:rsidRPr="00607598">
        <w:rPr>
          <w:sz w:val="25"/>
          <w:szCs w:val="25"/>
          <w:shd w:val="clear" w:color="auto" w:fill="FFFFFF"/>
        </w:rPr>
        <w:t>975, </w:t>
      </w:r>
      <w:r w:rsidRPr="00607598">
        <w:rPr>
          <w:rStyle w:val="Emphasis"/>
          <w:sz w:val="25"/>
          <w:szCs w:val="25"/>
          <w:shd w:val="clear" w:color="auto" w:fill="FFFFFF"/>
        </w:rPr>
        <w:t>Surveiller et Punir</w:t>
      </w:r>
      <w:r w:rsidRPr="00607598">
        <w:rPr>
          <w:sz w:val="25"/>
          <w:szCs w:val="25"/>
          <w:shd w:val="clear" w:color="auto" w:fill="FFFFFF"/>
        </w:rPr>
        <w:t>, Paris: Gallimard. Translated as </w:t>
      </w:r>
      <w:r w:rsidRPr="00607598">
        <w:rPr>
          <w:rStyle w:val="Emphasis"/>
          <w:sz w:val="25"/>
          <w:szCs w:val="25"/>
          <w:shd w:val="clear" w:color="auto" w:fill="FFFFFF"/>
        </w:rPr>
        <w:t>Discipline and Punish</w:t>
      </w:r>
      <w:r w:rsidRPr="00607598">
        <w:rPr>
          <w:sz w:val="25"/>
          <w:szCs w:val="25"/>
          <w:shd w:val="clear" w:color="auto" w:fill="FFFFFF"/>
        </w:rPr>
        <w:t>, Alan Sheridan (trans.), New York: Pantheon, 1977.</w:t>
      </w:r>
    </w:p>
    <w:p w14:paraId="41507F84"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lastRenderedPageBreak/>
        <w:t xml:space="preserve">Frawley, D. 2014. 'Combating Educational Disadvantage through Early Years and Primary School Investment,' </w:t>
      </w:r>
      <w:r w:rsidRPr="00607598">
        <w:rPr>
          <w:i/>
          <w:iCs/>
        </w:rPr>
        <w:t>Irish Educational Studies</w:t>
      </w:r>
      <w:r w:rsidRPr="00607598">
        <w:t>, 33:2, 155-171.</w:t>
      </w:r>
    </w:p>
    <w:p w14:paraId="19A49890" w14:textId="77777777" w:rsidR="00C71378" w:rsidRPr="00607598" w:rsidRDefault="00402DA1" w:rsidP="00C71378">
      <w:pPr>
        <w:shd w:val="clear" w:color="auto" w:fill="FFFFFF"/>
        <w:spacing w:before="0" w:after="255" w:line="360" w:lineRule="atLeast"/>
        <w:ind w:left="-450"/>
        <w:jc w:val="left"/>
        <w:rPr>
          <w:rFonts w:cs="Times New Roman"/>
          <w:noProof/>
          <w:szCs w:val="24"/>
        </w:rPr>
      </w:pPr>
      <w:r w:rsidRPr="00607598">
        <w:rPr>
          <w:rFonts w:cs="Times New Roman"/>
          <w:noProof/>
          <w:szCs w:val="24"/>
        </w:rPr>
        <w:t xml:space="preserve">Gee, J. P. (2011). </w:t>
      </w:r>
      <w:r w:rsidRPr="00607598">
        <w:rPr>
          <w:rFonts w:cs="Times New Roman"/>
          <w:i/>
          <w:iCs/>
          <w:noProof/>
          <w:szCs w:val="24"/>
        </w:rPr>
        <w:t>How to do Discourse Analysis</w:t>
      </w:r>
      <w:r w:rsidRPr="00607598">
        <w:rPr>
          <w:rFonts w:cs="Times New Roman"/>
          <w:noProof/>
          <w:szCs w:val="24"/>
        </w:rPr>
        <w:t>. Oxon: Routledge</w:t>
      </w:r>
    </w:p>
    <w:p w14:paraId="6175A520" w14:textId="41D814D9" w:rsidR="00C71378" w:rsidRPr="00607598" w:rsidRDefault="00C71378" w:rsidP="00C71378">
      <w:pPr>
        <w:shd w:val="clear" w:color="auto" w:fill="FFFFFF"/>
        <w:spacing w:before="0" w:after="255" w:line="360" w:lineRule="atLeast"/>
        <w:ind w:left="-450"/>
        <w:jc w:val="left"/>
        <w:rPr>
          <w:rFonts w:cs="Times New Roman"/>
          <w:noProof/>
          <w:szCs w:val="24"/>
        </w:rPr>
      </w:pPr>
      <w:r w:rsidRPr="00607598">
        <w:t xml:space="preserve">Gilleece, L., Nelis, S. M., Fitzgerald, C., and Cosgrove, J. (2020). </w:t>
      </w:r>
      <w:r w:rsidRPr="00607598">
        <w:rPr>
          <w:i/>
        </w:rPr>
        <w:t xml:space="preserve">Reading, mathematics and science achievement in DEIS schools: Evidence from PISA, 2018. </w:t>
      </w:r>
      <w:r w:rsidRPr="00607598">
        <w:t>Dublin: ERC.</w:t>
      </w:r>
    </w:p>
    <w:p w14:paraId="42E8882E"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Grek, Sotiria. 2009. Governing by Numbers: The PISA effect in Europe. </w:t>
      </w:r>
      <w:r w:rsidRPr="00607598">
        <w:rPr>
          <w:rFonts w:cs="Times New Roman"/>
          <w:i/>
          <w:iCs/>
          <w:noProof/>
          <w:szCs w:val="24"/>
        </w:rPr>
        <w:t>Journal of Education Policy</w:t>
      </w:r>
      <w:r w:rsidRPr="00607598">
        <w:rPr>
          <w:rFonts w:cs="Times New Roman"/>
          <w:noProof/>
          <w:szCs w:val="24"/>
        </w:rPr>
        <w:t xml:space="preserve">, </w:t>
      </w:r>
      <w:r w:rsidRPr="00607598">
        <w:rPr>
          <w:rFonts w:cs="Times New Roman"/>
          <w:i/>
          <w:iCs/>
          <w:noProof/>
          <w:szCs w:val="24"/>
        </w:rPr>
        <w:t xml:space="preserve">24 </w:t>
      </w:r>
      <w:r w:rsidRPr="00607598">
        <w:rPr>
          <w:rFonts w:cs="Times New Roman"/>
          <w:noProof/>
          <w:szCs w:val="24"/>
        </w:rPr>
        <w:t>(10): 23–37.</w:t>
      </w:r>
    </w:p>
    <w:p w14:paraId="6DBD2280"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Grey, J. (2001). 'Building for Improvement and Sustaining Change in Schools Serving Disadvanatged Communities,' In M. Maden (Ed.), </w:t>
      </w:r>
      <w:r w:rsidRPr="00607598">
        <w:rPr>
          <w:rFonts w:cs="Times New Roman"/>
          <w:i/>
          <w:iCs/>
          <w:noProof/>
          <w:szCs w:val="24"/>
        </w:rPr>
        <w:t xml:space="preserve">Success Against the Odds:Five Years On. </w:t>
      </w:r>
      <w:r w:rsidRPr="00607598">
        <w:rPr>
          <w:rFonts w:cs="Times New Roman"/>
          <w:noProof/>
          <w:szCs w:val="24"/>
        </w:rPr>
        <w:t>London: Routledge:1-39.</w:t>
      </w:r>
    </w:p>
    <w:p w14:paraId="0BE187E2"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Groundwater-Smith, Susan and Sachs, Judyth. 2002. The Activist Professional and the Reinstatement of Trust. </w:t>
      </w:r>
      <w:r w:rsidRPr="00607598">
        <w:rPr>
          <w:rFonts w:cs="Times New Roman"/>
          <w:i/>
          <w:iCs/>
          <w:noProof/>
          <w:szCs w:val="24"/>
        </w:rPr>
        <w:t>Cambridge Journal of Education</w:t>
      </w:r>
      <w:r w:rsidRPr="00607598">
        <w:rPr>
          <w:rFonts w:cs="Times New Roman"/>
          <w:noProof/>
          <w:szCs w:val="24"/>
        </w:rPr>
        <w:t xml:space="preserve">, </w:t>
      </w:r>
      <w:r w:rsidRPr="00607598">
        <w:rPr>
          <w:rFonts w:cs="Times New Roman"/>
          <w:i/>
          <w:iCs/>
          <w:noProof/>
          <w:szCs w:val="24"/>
        </w:rPr>
        <w:t>32</w:t>
      </w:r>
      <w:r w:rsidRPr="00607598">
        <w:rPr>
          <w:rFonts w:cs="Times New Roman"/>
          <w:noProof/>
          <w:szCs w:val="24"/>
        </w:rPr>
        <w:t xml:space="preserve">(3): 341–358. </w:t>
      </w:r>
    </w:p>
    <w:p w14:paraId="6626947C" w14:textId="25C4CD09" w:rsidR="00402DA1" w:rsidRPr="00607598" w:rsidRDefault="002D3A81" w:rsidP="00402DA1">
      <w:pPr>
        <w:shd w:val="clear" w:color="auto" w:fill="FFFFFF"/>
        <w:spacing w:before="0" w:after="255" w:line="360" w:lineRule="atLeast"/>
        <w:ind w:left="-450"/>
        <w:jc w:val="left"/>
        <w:rPr>
          <w:rFonts w:eastAsia="Times New Roman" w:cs="Times New Roman"/>
          <w:szCs w:val="24"/>
          <w:lang w:val="en-US"/>
        </w:rPr>
      </w:pPr>
      <w:r w:rsidRPr="00607598">
        <w:t>Harford, Judith</w:t>
      </w:r>
      <w:r w:rsidR="00402DA1" w:rsidRPr="00607598">
        <w:t>. 2018. (Ed.) </w:t>
      </w:r>
      <w:r w:rsidR="00402DA1" w:rsidRPr="00607598">
        <w:rPr>
          <w:i/>
          <w:iCs/>
        </w:rPr>
        <w:t>Education for All? The Legacy of Free Post-Primary Education in Ireland</w:t>
      </w:r>
      <w:r w:rsidR="00402DA1" w:rsidRPr="00607598">
        <w:t>. Oxford: Peter Lang.</w:t>
      </w:r>
    </w:p>
    <w:p w14:paraId="711B3967" w14:textId="2A786E07" w:rsidR="00402DA1" w:rsidRPr="00607598" w:rsidRDefault="002D3A81" w:rsidP="00402DA1">
      <w:pPr>
        <w:shd w:val="clear" w:color="auto" w:fill="FFFFFF"/>
        <w:spacing w:before="0" w:after="255" w:line="360" w:lineRule="atLeast"/>
        <w:ind w:left="-450"/>
        <w:jc w:val="left"/>
        <w:rPr>
          <w:rFonts w:eastAsia="Times New Roman" w:cs="Times New Roman"/>
          <w:szCs w:val="24"/>
          <w:lang w:val="en-US"/>
        </w:rPr>
      </w:pPr>
      <w:r w:rsidRPr="00607598">
        <w:t>Harford, Judith</w:t>
      </w:r>
      <w:r w:rsidR="00402DA1" w:rsidRPr="00607598">
        <w:t>. 2021. ''All Changed: Changed Utterly': Covid 19 and Education' </w:t>
      </w:r>
      <w:r w:rsidR="00402DA1" w:rsidRPr="00607598">
        <w:rPr>
          <w:i/>
          <w:iCs/>
        </w:rPr>
        <w:t>International Journal for the Historiography of Education</w:t>
      </w:r>
      <w:r w:rsidR="00402DA1" w:rsidRPr="00607598">
        <w:t>, (11).</w:t>
      </w:r>
    </w:p>
    <w:p w14:paraId="3C7614E3" w14:textId="0CA8FCD9" w:rsidR="00402DA1" w:rsidRPr="00607598" w:rsidRDefault="002D3A81" w:rsidP="00402DA1">
      <w:pPr>
        <w:shd w:val="clear" w:color="auto" w:fill="FFFFFF"/>
        <w:spacing w:before="0" w:after="255" w:line="360" w:lineRule="atLeast"/>
        <w:ind w:left="-450"/>
        <w:jc w:val="left"/>
        <w:rPr>
          <w:rFonts w:eastAsia="Times New Roman" w:cs="Times New Roman"/>
          <w:szCs w:val="24"/>
          <w:lang w:val="en-US"/>
        </w:rPr>
      </w:pPr>
      <w:r w:rsidRPr="00607598">
        <w:t>Harford, Judith and Fleming, Brian</w:t>
      </w:r>
      <w:r w:rsidR="00402DA1" w:rsidRPr="00607598">
        <w:rPr>
          <w:rFonts w:cs="Times New Roman"/>
          <w:noProof/>
          <w:szCs w:val="24"/>
        </w:rPr>
        <w:t>. 2020.</w:t>
      </w:r>
      <w:r w:rsidR="00402DA1" w:rsidRPr="00607598">
        <w:t xml:space="preserve"> </w:t>
      </w:r>
      <w:r w:rsidR="00402DA1" w:rsidRPr="00607598">
        <w:rPr>
          <w:rFonts w:cs="Times New Roman"/>
          <w:noProof/>
          <w:szCs w:val="24"/>
        </w:rPr>
        <w:t>https://www.irishtimes.com/news/education/tackling-class-gap-in-higher-education-must-start-much-earlier-than-third-level-1.4431786</w:t>
      </w:r>
    </w:p>
    <w:p w14:paraId="190C14AB"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Harris, Alma and Chapman, Christopher. 2004. 'Improving Schools in Difficult contexts: Towards a Differentiated Approach,' </w:t>
      </w:r>
      <w:r w:rsidRPr="00607598">
        <w:rPr>
          <w:rFonts w:cs="Times New Roman"/>
          <w:i/>
          <w:iCs/>
          <w:noProof/>
          <w:szCs w:val="24"/>
        </w:rPr>
        <w:t>British Journal of Educational Studies</w:t>
      </w:r>
      <w:r w:rsidRPr="00607598">
        <w:rPr>
          <w:rFonts w:cs="Times New Roman"/>
          <w:noProof/>
          <w:szCs w:val="24"/>
        </w:rPr>
        <w:t xml:space="preserve">, </w:t>
      </w:r>
      <w:r w:rsidRPr="00607598">
        <w:rPr>
          <w:rFonts w:cs="Times New Roman"/>
          <w:i/>
          <w:iCs/>
          <w:noProof/>
          <w:szCs w:val="24"/>
        </w:rPr>
        <w:t>52</w:t>
      </w:r>
      <w:r w:rsidRPr="00607598">
        <w:rPr>
          <w:rFonts w:cs="Times New Roman"/>
          <w:noProof/>
          <w:szCs w:val="24"/>
        </w:rPr>
        <w:t xml:space="preserve">(4): 417–431. </w:t>
      </w:r>
    </w:p>
    <w:p w14:paraId="7F81B38B"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Haslett, D. (2005). </w:t>
      </w:r>
      <w:r w:rsidRPr="00607598">
        <w:rPr>
          <w:rFonts w:cs="Times New Roman"/>
          <w:i/>
          <w:iCs/>
          <w:noProof/>
          <w:szCs w:val="24"/>
        </w:rPr>
        <w:t>Room for Reading: The JCSP Demonstration Library Project</w:t>
      </w:r>
      <w:r w:rsidRPr="00607598">
        <w:rPr>
          <w:rFonts w:cs="Times New Roman"/>
          <w:noProof/>
          <w:szCs w:val="24"/>
        </w:rPr>
        <w:t>. JCSP Support Services.</w:t>
      </w:r>
    </w:p>
    <w:p w14:paraId="2DD1CA04"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Hopkins, David. 2001. </w:t>
      </w:r>
      <w:r w:rsidRPr="00607598">
        <w:rPr>
          <w:rFonts w:cs="Times New Roman"/>
          <w:i/>
          <w:iCs/>
          <w:noProof/>
          <w:szCs w:val="24"/>
        </w:rPr>
        <w:t>School Improvement for Real</w:t>
      </w:r>
      <w:r w:rsidRPr="00607598">
        <w:rPr>
          <w:rFonts w:cs="Times New Roman"/>
          <w:noProof/>
          <w:szCs w:val="24"/>
        </w:rPr>
        <w:t>. London: Routledge.</w:t>
      </w:r>
    </w:p>
    <w:p w14:paraId="643FD24B"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Hyland, Áine. 2005. </w:t>
      </w:r>
      <w:r w:rsidRPr="00607598">
        <w:rPr>
          <w:rFonts w:cs="Times New Roman"/>
          <w:i/>
          <w:iCs/>
          <w:noProof/>
          <w:szCs w:val="24"/>
        </w:rPr>
        <w:t>Moving Beyond Educational Disadvantage: Report of the Educational Disadvantage Committee</w:t>
      </w:r>
      <w:r w:rsidRPr="00607598">
        <w:rPr>
          <w:rFonts w:cs="Times New Roman"/>
          <w:noProof/>
          <w:szCs w:val="24"/>
        </w:rPr>
        <w:t>. Educational Disadvantage Committee.</w:t>
      </w:r>
    </w:p>
    <w:p w14:paraId="7F737516"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Johns, G. (2006). 'The Essential Impact of Context on Organisational Behaviour,' </w:t>
      </w:r>
      <w:r w:rsidRPr="00607598">
        <w:rPr>
          <w:rFonts w:cs="Times New Roman"/>
          <w:i/>
          <w:iCs/>
          <w:noProof/>
          <w:szCs w:val="24"/>
        </w:rPr>
        <w:t>Acadamy of Management Review</w:t>
      </w:r>
      <w:r w:rsidRPr="00607598">
        <w:rPr>
          <w:rFonts w:cs="Times New Roman"/>
          <w:noProof/>
          <w:szCs w:val="24"/>
        </w:rPr>
        <w:t xml:space="preserve">, </w:t>
      </w:r>
      <w:r w:rsidRPr="00607598">
        <w:rPr>
          <w:rFonts w:cs="Times New Roman"/>
          <w:i/>
          <w:iCs/>
          <w:noProof/>
          <w:szCs w:val="24"/>
        </w:rPr>
        <w:t xml:space="preserve">42 </w:t>
      </w:r>
      <w:r w:rsidRPr="00607598">
        <w:rPr>
          <w:rFonts w:cs="Times New Roman"/>
          <w:noProof/>
          <w:szCs w:val="24"/>
        </w:rPr>
        <w:t>(4): 386–408.</w:t>
      </w:r>
    </w:p>
    <w:p w14:paraId="0B5FD823"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lastRenderedPageBreak/>
        <w:t>Kavanagh, L. and Weir, S. 2018. The Evaluation of DEIS: The Lives and Learning of Urban Primary School Pupils, 2007-2016. Dublin: Educational Research Centre</w:t>
      </w:r>
    </w:p>
    <w:p w14:paraId="76F37607"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Leithwood, Kenneth, Harris, Alma, and Hopkins, David. 2020. 'Seven Strong Claims about Successful School Leadership Revisited,' </w:t>
      </w:r>
      <w:r w:rsidRPr="00607598">
        <w:rPr>
          <w:rFonts w:cs="Times New Roman"/>
          <w:i/>
          <w:iCs/>
          <w:noProof/>
          <w:szCs w:val="24"/>
        </w:rPr>
        <w:t>School Leadership and Management</w:t>
      </w:r>
      <w:r w:rsidRPr="00607598">
        <w:rPr>
          <w:rFonts w:cs="Times New Roman"/>
          <w:noProof/>
          <w:szCs w:val="24"/>
        </w:rPr>
        <w:t>, 40</w:t>
      </w:r>
      <w:r w:rsidRPr="00607598">
        <w:rPr>
          <w:rFonts w:cs="Times New Roman"/>
          <w:i/>
          <w:iCs/>
          <w:noProof/>
          <w:szCs w:val="24"/>
        </w:rPr>
        <w:t xml:space="preserve"> </w:t>
      </w:r>
      <w:r w:rsidRPr="00607598">
        <w:rPr>
          <w:rFonts w:cs="Times New Roman"/>
          <w:noProof/>
          <w:szCs w:val="24"/>
        </w:rPr>
        <w:t xml:space="preserve">(1): 5–22. </w:t>
      </w:r>
    </w:p>
    <w:p w14:paraId="7503D709"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Lewis, Stephen and Holloway, Jessica. 2019. 'Datafying the Teaching ‘Profession’: Remaking the Professional Teacher in the Image of Data,' </w:t>
      </w:r>
      <w:r w:rsidRPr="00607598">
        <w:rPr>
          <w:rFonts w:cs="Times New Roman"/>
          <w:i/>
          <w:iCs/>
          <w:noProof/>
          <w:szCs w:val="24"/>
        </w:rPr>
        <w:t>Cambridge Journal of Education</w:t>
      </w:r>
      <w:r w:rsidRPr="00607598">
        <w:rPr>
          <w:rFonts w:cs="Times New Roman"/>
          <w:noProof/>
          <w:szCs w:val="24"/>
        </w:rPr>
        <w:t xml:space="preserve">, </w:t>
      </w:r>
      <w:r w:rsidRPr="00607598">
        <w:rPr>
          <w:rFonts w:cs="Times New Roman"/>
          <w:i/>
          <w:iCs/>
          <w:noProof/>
          <w:szCs w:val="24"/>
        </w:rPr>
        <w:t xml:space="preserve">49 </w:t>
      </w:r>
      <w:r w:rsidRPr="00607598">
        <w:rPr>
          <w:rFonts w:cs="Times New Roman"/>
          <w:noProof/>
          <w:szCs w:val="24"/>
        </w:rPr>
        <w:t xml:space="preserve">(1): 35–51. </w:t>
      </w:r>
    </w:p>
    <w:p w14:paraId="2F5D7513"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Lupton, Ruth. 2005. 'Social Justice and School Improvement: Improving the Quality of Schooling in the Poorest Neighbourhoods,' </w:t>
      </w:r>
      <w:r w:rsidRPr="00607598">
        <w:rPr>
          <w:rFonts w:cs="Times New Roman"/>
          <w:i/>
          <w:iCs/>
          <w:noProof/>
          <w:szCs w:val="24"/>
        </w:rPr>
        <w:t>British Educational Research Journal</w:t>
      </w:r>
      <w:r w:rsidRPr="00607598">
        <w:rPr>
          <w:rFonts w:cs="Times New Roman"/>
          <w:noProof/>
          <w:szCs w:val="24"/>
        </w:rPr>
        <w:t xml:space="preserve">, </w:t>
      </w:r>
      <w:r w:rsidRPr="00607598">
        <w:rPr>
          <w:rFonts w:cs="Times New Roman"/>
          <w:i/>
          <w:iCs/>
          <w:noProof/>
          <w:szCs w:val="24"/>
        </w:rPr>
        <w:t xml:space="preserve">31 </w:t>
      </w:r>
      <w:r w:rsidRPr="00607598">
        <w:rPr>
          <w:rFonts w:cs="Times New Roman"/>
          <w:noProof/>
          <w:szCs w:val="24"/>
        </w:rPr>
        <w:t xml:space="preserve">(5): 589–604. </w:t>
      </w:r>
    </w:p>
    <w:p w14:paraId="2F6116AC"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Lupton, Ruth and Hempel-Jorgensen, Amelia. 2012. 'The Importance of Teaching: Pedagogical Constraints and Possibilities in Working-Class Schools,' </w:t>
      </w:r>
      <w:r w:rsidRPr="00607598">
        <w:rPr>
          <w:rFonts w:cs="Times New Roman"/>
          <w:i/>
          <w:iCs/>
          <w:noProof/>
          <w:szCs w:val="24"/>
        </w:rPr>
        <w:t>Journal of Education Policy</w:t>
      </w:r>
      <w:r w:rsidRPr="00607598">
        <w:rPr>
          <w:rFonts w:cs="Times New Roman"/>
          <w:noProof/>
          <w:szCs w:val="24"/>
        </w:rPr>
        <w:t xml:space="preserve">, </w:t>
      </w:r>
      <w:r w:rsidRPr="00607598">
        <w:rPr>
          <w:rFonts w:cs="Times New Roman"/>
          <w:i/>
          <w:iCs/>
          <w:noProof/>
          <w:szCs w:val="24"/>
        </w:rPr>
        <w:t xml:space="preserve">27 </w:t>
      </w:r>
      <w:r w:rsidRPr="00607598">
        <w:rPr>
          <w:rFonts w:cs="Times New Roman"/>
          <w:noProof/>
          <w:szCs w:val="24"/>
        </w:rPr>
        <w:t xml:space="preserve">(5): 601–620. </w:t>
      </w:r>
    </w:p>
    <w:p w14:paraId="3AAF83E0"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Lynch, Kathleen and O' Riordan, Claire (1998) 'Inequality in Higher Education: A Study of Class Barriers,' </w:t>
      </w:r>
      <w:r w:rsidRPr="00607598">
        <w:rPr>
          <w:rFonts w:cs="Times New Roman"/>
          <w:i/>
          <w:iCs/>
          <w:noProof/>
          <w:szCs w:val="24"/>
        </w:rPr>
        <w:t>British Journal of Sociology of Education</w:t>
      </w:r>
      <w:r w:rsidRPr="00607598">
        <w:rPr>
          <w:rFonts w:cs="Times New Roman"/>
          <w:noProof/>
          <w:szCs w:val="24"/>
        </w:rPr>
        <w:t>, 19 (4):  445-478.</w:t>
      </w:r>
    </w:p>
    <w:p w14:paraId="7A62F579"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Lynch, Kathleen and Moran, Marie (2006) 'Markets, Schools and the Convertibility of Economic Capital: The Complex Dynamics of Class Choice,' </w:t>
      </w:r>
      <w:r w:rsidRPr="00607598">
        <w:rPr>
          <w:rFonts w:cs="Times New Roman"/>
          <w:i/>
          <w:iCs/>
          <w:noProof/>
          <w:szCs w:val="24"/>
        </w:rPr>
        <w:t>British Journal of Sociology of Education</w:t>
      </w:r>
      <w:r w:rsidRPr="00607598">
        <w:rPr>
          <w:rFonts w:cs="Times New Roman"/>
          <w:noProof/>
          <w:szCs w:val="24"/>
        </w:rPr>
        <w:t>, 27, (2):  221-235.</w:t>
      </w:r>
    </w:p>
    <w:p w14:paraId="41701FA3" w14:textId="26E8939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Lynch, Kathleen and Crean, Margaret (2018) 'Economic Inequality and Class Privilege in Education: Why Equality of Economic Condition is Essential for Equality of Opportunity' in </w:t>
      </w:r>
      <w:r w:rsidR="002D3A81" w:rsidRPr="00607598">
        <w:t>Harford</w:t>
      </w:r>
      <w:r w:rsidRPr="00607598">
        <w:rPr>
          <w:rFonts w:cs="Times New Roman"/>
          <w:noProof/>
          <w:szCs w:val="24"/>
        </w:rPr>
        <w:t xml:space="preserve">, </w:t>
      </w:r>
      <w:r w:rsidRPr="00607598">
        <w:rPr>
          <w:rFonts w:cs="Times New Roman"/>
          <w:i/>
          <w:iCs/>
          <w:noProof/>
          <w:szCs w:val="24"/>
        </w:rPr>
        <w:t xml:space="preserve">Education for All?: </w:t>
      </w:r>
      <w:r w:rsidRPr="00607598">
        <w:rPr>
          <w:rFonts w:cs="Times New Roman"/>
          <w:noProof/>
          <w:szCs w:val="24"/>
        </w:rPr>
        <w:t>139-160.</w:t>
      </w:r>
    </w:p>
    <w:p w14:paraId="057A93A6"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Macmillan, Lindsey, Gregg, Paul, Jerrim, John and Shure, Nikki. 2018. 'Children in Jobless Households across Europe: Evidence on the Association with Medium-and Long-Term Outcomes,' </w:t>
      </w:r>
      <w:r w:rsidRPr="00607598">
        <w:rPr>
          <w:rFonts w:cs="Times New Roman"/>
          <w:i/>
          <w:iCs/>
          <w:noProof/>
          <w:szCs w:val="24"/>
        </w:rPr>
        <w:t>Journal of Poverty and Social Justice</w:t>
      </w:r>
      <w:r w:rsidRPr="00607598">
        <w:rPr>
          <w:rFonts w:cs="Times New Roman"/>
          <w:noProof/>
          <w:szCs w:val="24"/>
        </w:rPr>
        <w:t xml:space="preserve">, </w:t>
      </w:r>
      <w:r w:rsidRPr="00607598">
        <w:rPr>
          <w:rFonts w:cs="Times New Roman"/>
          <w:i/>
          <w:iCs/>
          <w:noProof/>
          <w:szCs w:val="24"/>
        </w:rPr>
        <w:t>26</w:t>
      </w:r>
      <w:r w:rsidRPr="00607598">
        <w:rPr>
          <w:rFonts w:cs="Times New Roman"/>
          <w:noProof/>
          <w:szCs w:val="24"/>
        </w:rPr>
        <w:t>(3): 335–358.</w:t>
      </w:r>
    </w:p>
    <w:p w14:paraId="4A7EFC34"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MacRuairc, Gerry. 2013. 'The PISA Girls and Ticking the Boxes. An Examination of Students’ Perspectives on PISA Testing. </w:t>
      </w:r>
      <w:r w:rsidRPr="00607598">
        <w:rPr>
          <w:rFonts w:cs="Times New Roman"/>
          <w:i/>
          <w:iCs/>
          <w:noProof/>
          <w:szCs w:val="24"/>
        </w:rPr>
        <w:t>Profesorado</w:t>
      </w:r>
      <w:r w:rsidRPr="00607598">
        <w:rPr>
          <w:rFonts w:cs="Times New Roman"/>
          <w:noProof/>
          <w:szCs w:val="24"/>
        </w:rPr>
        <w:t>, Vol. 17: 77–91.</w:t>
      </w:r>
    </w:p>
    <w:p w14:paraId="049E39E0" w14:textId="3F8417D1"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eastAsia="Times New Roman" w:cs="Times New Roman"/>
          <w:szCs w:val="24"/>
          <w:lang w:val="en-IE" w:eastAsia="en-IE"/>
        </w:rPr>
        <w:t xml:space="preserve">MacRuairc, Gerry and </w:t>
      </w:r>
      <w:r w:rsidR="002D3A81" w:rsidRPr="00607598">
        <w:t>Harford, Judith</w:t>
      </w:r>
      <w:r w:rsidRPr="00607598">
        <w:t xml:space="preserve">. </w:t>
      </w:r>
      <w:r w:rsidRPr="00607598">
        <w:rPr>
          <w:rFonts w:eastAsia="Times New Roman" w:cs="Times New Roman"/>
          <w:szCs w:val="24"/>
          <w:lang w:val="en-IE" w:eastAsia="en-IE"/>
        </w:rPr>
        <w:t xml:space="preserve">2008. ‘Researching the Contested Place of Reflective Practice in the Emerging Culture of Performativity in Schools: Views from the Republic of Ireland,’ </w:t>
      </w:r>
      <w:r w:rsidRPr="00607598">
        <w:rPr>
          <w:rFonts w:eastAsia="Times New Roman" w:cs="Times New Roman"/>
          <w:i/>
          <w:iCs/>
          <w:szCs w:val="24"/>
          <w:lang w:val="en-IE" w:eastAsia="en-IE"/>
        </w:rPr>
        <w:t>European Educational Research Journal</w:t>
      </w:r>
      <w:r w:rsidRPr="00607598">
        <w:rPr>
          <w:rFonts w:eastAsia="Times New Roman" w:cs="Times New Roman"/>
          <w:szCs w:val="24"/>
          <w:lang w:val="en-IE" w:eastAsia="en-IE"/>
        </w:rPr>
        <w:t>, 7 (4): 501</w:t>
      </w:r>
      <w:r w:rsidRPr="00607598">
        <w:rPr>
          <w:rFonts w:eastAsia="Times New Roman" w:cs="Times New Roman"/>
          <w:szCs w:val="20"/>
        </w:rPr>
        <w:t>–</w:t>
      </w:r>
      <w:r w:rsidRPr="00607598">
        <w:rPr>
          <w:rFonts w:eastAsia="Times New Roman" w:cs="Times New Roman"/>
          <w:szCs w:val="24"/>
          <w:lang w:val="en-IE" w:eastAsia="en-IE"/>
        </w:rPr>
        <w:t>511.</w:t>
      </w:r>
    </w:p>
    <w:p w14:paraId="451EF7D4"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Maden, Margaret. 2001. </w:t>
      </w:r>
      <w:r w:rsidRPr="00607598">
        <w:rPr>
          <w:rFonts w:cs="Times New Roman"/>
          <w:i/>
          <w:iCs/>
          <w:noProof/>
          <w:szCs w:val="24"/>
        </w:rPr>
        <w:t>Success Against the Odds: Five Years On</w:t>
      </w:r>
      <w:r w:rsidRPr="00607598">
        <w:rPr>
          <w:rFonts w:cs="Times New Roman"/>
          <w:noProof/>
          <w:szCs w:val="24"/>
        </w:rPr>
        <w:t>. London: Routledge.</w:t>
      </w:r>
    </w:p>
    <w:p w14:paraId="5016555C"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Martin, M. (1997). </w:t>
      </w:r>
      <w:r w:rsidRPr="00607598">
        <w:rPr>
          <w:rFonts w:cs="Times New Roman"/>
          <w:i/>
          <w:noProof/>
          <w:szCs w:val="24"/>
        </w:rPr>
        <w:t>Discipline in Schools</w:t>
      </w:r>
      <w:r w:rsidRPr="00607598">
        <w:rPr>
          <w:rFonts w:cs="Times New Roman"/>
          <w:noProof/>
          <w:szCs w:val="24"/>
        </w:rPr>
        <w:t>. Dublin: DES.</w:t>
      </w:r>
    </w:p>
    <w:p w14:paraId="03D57FFE"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lastRenderedPageBreak/>
        <w:t xml:space="preserve">Martin, M. (2006). </w:t>
      </w:r>
      <w:r w:rsidRPr="00607598">
        <w:rPr>
          <w:rFonts w:cs="Times New Roman"/>
          <w:i/>
          <w:iCs/>
          <w:noProof/>
          <w:szCs w:val="24"/>
        </w:rPr>
        <w:t>School Matters</w:t>
      </w:r>
      <w:r w:rsidRPr="00607598">
        <w:rPr>
          <w:rFonts w:cs="Times New Roman"/>
          <w:noProof/>
          <w:szCs w:val="24"/>
        </w:rPr>
        <w:t>. Dublin: DES.</w:t>
      </w:r>
    </w:p>
    <w:p w14:paraId="309BF762"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t>McAvinue, L., &amp; Weir, S. 2015. The evaluation of DEIS at post-primary level: An update on trends over time in achievement and retention. Report to the Department of Education and Skills. Dublin: Educational Research Centre</w:t>
      </w:r>
    </w:p>
    <w:p w14:paraId="6A6E48B6"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McCoy, Selina, Banks, Joanne and Shevlin, Michael. 2016. Insights into the Prevalence of Special Educational Needs. In Williams, James, Nixon, Elizabeth, Smyth, Emer and Watson, Dorothy (Eds.), </w:t>
      </w:r>
      <w:r w:rsidRPr="00607598">
        <w:rPr>
          <w:rFonts w:cs="Times New Roman"/>
          <w:i/>
          <w:iCs/>
          <w:noProof/>
          <w:szCs w:val="24"/>
        </w:rPr>
        <w:t>Cherishing All the Children Equally? Ireland 100 Years on from the Easter Rising</w:t>
      </w:r>
      <w:r w:rsidRPr="00607598">
        <w:rPr>
          <w:rFonts w:cs="Times New Roman"/>
          <w:noProof/>
          <w:szCs w:val="24"/>
        </w:rPr>
        <w:t>. Cork and Dublin: Oak Tree Press &amp; ESRI: 153-171.</w:t>
      </w:r>
    </w:p>
    <w:p w14:paraId="23E84D5A"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McGuiness, Seamus. 2001. </w:t>
      </w:r>
      <w:r w:rsidRPr="00607598">
        <w:rPr>
          <w:rFonts w:cs="Times New Roman"/>
          <w:i/>
          <w:iCs/>
          <w:noProof/>
          <w:szCs w:val="24"/>
        </w:rPr>
        <w:t>Report of the Expert Group on the Allocation of Teachers to Second Level Schools.</w:t>
      </w:r>
      <w:r w:rsidRPr="00607598">
        <w:rPr>
          <w:rFonts w:cs="Times New Roman"/>
          <w:noProof/>
          <w:szCs w:val="24"/>
        </w:rPr>
        <w:t xml:space="preserve"> Dublin: DES.</w:t>
      </w:r>
    </w:p>
    <w:p w14:paraId="21EC4A5E"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McNamara, Gerry and O’Hara, Joe. 2012. 'From Looking at our Schools (LAOS) to Whole School Evaluation -Management, Leadership and Learning (WSE-MLL): The Evolution of Inspection in Irish Schools over the Past Decade,' </w:t>
      </w:r>
      <w:r w:rsidRPr="00607598">
        <w:rPr>
          <w:rFonts w:cs="Times New Roman"/>
          <w:i/>
          <w:iCs/>
          <w:noProof/>
          <w:szCs w:val="24"/>
        </w:rPr>
        <w:t>Educational Assessment, Evaluation and Accountability</w:t>
      </w:r>
      <w:r w:rsidRPr="00607598">
        <w:rPr>
          <w:rFonts w:cs="Times New Roman"/>
          <w:noProof/>
          <w:szCs w:val="24"/>
        </w:rPr>
        <w:t xml:space="preserve">, 24 (2): 79–97. </w:t>
      </w:r>
    </w:p>
    <w:p w14:paraId="00EDB55E"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Mortimore, Peter and Whitty, Geoff. 1997. </w:t>
      </w:r>
      <w:r w:rsidRPr="00607598">
        <w:rPr>
          <w:rFonts w:cs="Times New Roman"/>
          <w:i/>
          <w:iCs/>
          <w:noProof/>
          <w:szCs w:val="24"/>
        </w:rPr>
        <w:t>Can School Improvement Overcome the Effects of Disadvantage?</w:t>
      </w:r>
      <w:r w:rsidRPr="00607598">
        <w:rPr>
          <w:rFonts w:cs="Times New Roman"/>
          <w:noProof/>
          <w:szCs w:val="24"/>
        </w:rPr>
        <w:t xml:space="preserve"> London: Institute of Education.</w:t>
      </w:r>
    </w:p>
    <w:p w14:paraId="3A5399FC"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eastAsia="Times New Roman" w:cs="Times New Roman"/>
          <w:szCs w:val="24"/>
          <w:lang w:val="en-IE" w:eastAsia="en-IE"/>
        </w:rPr>
        <w:t>O’ Donoghue, T. 2018 (2</w:t>
      </w:r>
      <w:r w:rsidRPr="00607598">
        <w:rPr>
          <w:rFonts w:eastAsia="Times New Roman" w:cs="Times New Roman"/>
          <w:szCs w:val="24"/>
          <w:vertAlign w:val="superscript"/>
          <w:lang w:val="en-IE" w:eastAsia="en-IE"/>
        </w:rPr>
        <w:t>nd</w:t>
      </w:r>
      <w:r w:rsidRPr="00607598">
        <w:rPr>
          <w:rFonts w:eastAsia="Times New Roman" w:cs="Times New Roman"/>
          <w:szCs w:val="24"/>
          <w:lang w:val="en-IE" w:eastAsia="en-IE"/>
        </w:rPr>
        <w:t xml:space="preserve"> ed.) </w:t>
      </w:r>
      <w:r w:rsidRPr="00607598">
        <w:rPr>
          <w:rFonts w:eastAsia="Times New Roman" w:cs="Times New Roman"/>
          <w:i/>
          <w:iCs/>
          <w:szCs w:val="24"/>
          <w:lang w:val="en-IE" w:eastAsia="en-IE"/>
        </w:rPr>
        <w:t>Planning Your Qualitative Research Thesis and Project: An Introduction to Interpretivist Research in Education and the Social Sciences</w:t>
      </w:r>
      <w:r w:rsidRPr="00607598">
        <w:rPr>
          <w:rFonts w:eastAsia="Times New Roman" w:cs="Times New Roman"/>
          <w:szCs w:val="24"/>
          <w:lang w:val="en-IE" w:eastAsia="en-IE"/>
        </w:rPr>
        <w:t>. London: Routledge.</w:t>
      </w:r>
    </w:p>
    <w:p w14:paraId="3447334A"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Osborn, Richard, Hunt, J. G., &amp; Jauch, L. R. 2002. 'Toward a Contextual Theory of Leadership,' </w:t>
      </w:r>
      <w:r w:rsidRPr="00607598">
        <w:rPr>
          <w:rFonts w:cs="Times New Roman"/>
          <w:i/>
          <w:iCs/>
          <w:noProof/>
          <w:szCs w:val="24"/>
        </w:rPr>
        <w:t>Leadership Quarterly</w:t>
      </w:r>
      <w:r w:rsidRPr="00607598">
        <w:rPr>
          <w:rFonts w:cs="Times New Roman"/>
          <w:noProof/>
          <w:szCs w:val="24"/>
        </w:rPr>
        <w:t xml:space="preserve">, </w:t>
      </w:r>
      <w:r w:rsidRPr="00607598">
        <w:rPr>
          <w:rFonts w:cs="Times New Roman"/>
          <w:i/>
          <w:iCs/>
          <w:noProof/>
          <w:szCs w:val="24"/>
        </w:rPr>
        <w:t xml:space="preserve">13 </w:t>
      </w:r>
      <w:r w:rsidRPr="00607598">
        <w:rPr>
          <w:rFonts w:cs="Times New Roman"/>
          <w:noProof/>
          <w:szCs w:val="24"/>
        </w:rPr>
        <w:t xml:space="preserve">(6): 797–837. </w:t>
      </w:r>
    </w:p>
    <w:p w14:paraId="2A875B8D"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Ozga, Jenny. 2009. 'Governing Education through Data in England: From Regulation to Self-Evaluation,' </w:t>
      </w:r>
      <w:r w:rsidRPr="00607598">
        <w:rPr>
          <w:rFonts w:cs="Times New Roman"/>
          <w:i/>
          <w:iCs/>
          <w:noProof/>
          <w:szCs w:val="24"/>
        </w:rPr>
        <w:t>Journal of Education Policy</w:t>
      </w:r>
      <w:r w:rsidRPr="00607598">
        <w:rPr>
          <w:rFonts w:cs="Times New Roman"/>
          <w:noProof/>
          <w:szCs w:val="24"/>
        </w:rPr>
        <w:t xml:space="preserve">, </w:t>
      </w:r>
      <w:r w:rsidRPr="00607598">
        <w:rPr>
          <w:rFonts w:cs="Times New Roman"/>
          <w:i/>
          <w:iCs/>
          <w:noProof/>
          <w:szCs w:val="24"/>
        </w:rPr>
        <w:t>24</w:t>
      </w:r>
      <w:r w:rsidRPr="00607598">
        <w:rPr>
          <w:rFonts w:cs="Times New Roman"/>
          <w:noProof/>
          <w:szCs w:val="24"/>
        </w:rPr>
        <w:t xml:space="preserve">(2): 149–162. </w:t>
      </w:r>
    </w:p>
    <w:p w14:paraId="25CFF682"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szCs w:val="24"/>
        </w:rPr>
        <w:t>Rapley, T. 2004. Interviews, in C. Seale, G. Gobo, J.F. Gubrium &amp; D. Silverman (</w:t>
      </w:r>
      <w:r w:rsidRPr="00607598">
        <w:rPr>
          <w:rFonts w:cs="Times New Roman"/>
          <w:i/>
          <w:iCs/>
          <w:szCs w:val="24"/>
        </w:rPr>
        <w:t>eds) Qualitative Research Practice</w:t>
      </w:r>
      <w:r w:rsidRPr="00607598">
        <w:rPr>
          <w:rFonts w:cs="Times New Roman"/>
          <w:szCs w:val="24"/>
        </w:rPr>
        <w:t>, 15-33. London: Sage.</w:t>
      </w:r>
    </w:p>
    <w:p w14:paraId="36309B3D"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Reay, Diane. 2006. 'The Zombie Stalking English Schools : Social Class and Educational Inequality,' </w:t>
      </w:r>
      <w:r w:rsidRPr="00607598">
        <w:rPr>
          <w:rFonts w:cs="Times New Roman"/>
          <w:i/>
          <w:iCs/>
          <w:noProof/>
          <w:szCs w:val="24"/>
        </w:rPr>
        <w:t>British Journal of Educational Studies</w:t>
      </w:r>
      <w:r w:rsidRPr="00607598">
        <w:rPr>
          <w:rFonts w:cs="Times New Roman"/>
          <w:noProof/>
          <w:szCs w:val="24"/>
        </w:rPr>
        <w:t xml:space="preserve">, </w:t>
      </w:r>
      <w:r w:rsidRPr="00607598">
        <w:rPr>
          <w:rFonts w:cs="Times New Roman"/>
          <w:i/>
          <w:iCs/>
          <w:noProof/>
          <w:szCs w:val="24"/>
        </w:rPr>
        <w:t>54</w:t>
      </w:r>
      <w:r w:rsidRPr="00607598">
        <w:rPr>
          <w:rFonts w:cs="Times New Roman"/>
          <w:noProof/>
          <w:szCs w:val="24"/>
        </w:rPr>
        <w:t>(3): 288–307.</w:t>
      </w:r>
    </w:p>
    <w:p w14:paraId="01C04DFA"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rPr>
        <w:t xml:space="preserve">Reay, D. 2011. “Schooling for Democracy”. </w:t>
      </w:r>
      <w:r w:rsidRPr="00607598">
        <w:rPr>
          <w:rFonts w:cs="Times New Roman"/>
          <w:i/>
        </w:rPr>
        <w:t xml:space="preserve">Democracy and Education, </w:t>
      </w:r>
      <w:r w:rsidRPr="00607598">
        <w:rPr>
          <w:rFonts w:cs="Times New Roman"/>
        </w:rPr>
        <w:t>19 (1), Article 6.</w:t>
      </w:r>
    </w:p>
    <w:p w14:paraId="497C28FE"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Rousseau, Denise and Fried, Yitzhak. 2001. 'Location, Location, Location: Contextualising Organisational Research,' </w:t>
      </w:r>
      <w:r w:rsidRPr="00607598">
        <w:rPr>
          <w:rFonts w:cs="Times New Roman"/>
          <w:i/>
          <w:iCs/>
          <w:noProof/>
          <w:szCs w:val="24"/>
        </w:rPr>
        <w:t>Journal of Organisational Behaviour</w:t>
      </w:r>
      <w:r w:rsidRPr="00607598">
        <w:rPr>
          <w:rFonts w:cs="Times New Roman"/>
          <w:noProof/>
          <w:szCs w:val="24"/>
        </w:rPr>
        <w:t xml:space="preserve">, 22: </w:t>
      </w:r>
      <w:r w:rsidRPr="00607598">
        <w:rPr>
          <w:rFonts w:cs="Times New Roman"/>
          <w:i/>
          <w:iCs/>
          <w:noProof/>
          <w:szCs w:val="24"/>
        </w:rPr>
        <w:t>1</w:t>
      </w:r>
      <w:r w:rsidRPr="00607598">
        <w:rPr>
          <w:rFonts w:cs="Times New Roman"/>
          <w:noProof/>
          <w:szCs w:val="24"/>
        </w:rPr>
        <w:t>–</w:t>
      </w:r>
      <w:r w:rsidRPr="00607598">
        <w:rPr>
          <w:rFonts w:cs="Times New Roman"/>
          <w:i/>
          <w:iCs/>
          <w:noProof/>
          <w:szCs w:val="24"/>
        </w:rPr>
        <w:t>13</w:t>
      </w:r>
      <w:r w:rsidRPr="00607598">
        <w:rPr>
          <w:rFonts w:cs="Times New Roman"/>
          <w:noProof/>
          <w:szCs w:val="24"/>
        </w:rPr>
        <w:t>.</w:t>
      </w:r>
    </w:p>
    <w:p w14:paraId="3B3D6275"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lastRenderedPageBreak/>
        <w:t xml:space="preserve">Sahlberg, P. 2011. </w:t>
      </w:r>
      <w:r w:rsidRPr="00607598">
        <w:rPr>
          <w:rFonts w:cs="Times New Roman"/>
          <w:i/>
          <w:iCs/>
          <w:noProof/>
          <w:szCs w:val="24"/>
        </w:rPr>
        <w:t>Finnish Lessons: What Can the World Learn from Educational Change in Finland?</w:t>
      </w:r>
      <w:r w:rsidRPr="00607598">
        <w:rPr>
          <w:rFonts w:cs="Times New Roman"/>
          <w:noProof/>
          <w:szCs w:val="24"/>
        </w:rPr>
        <w:t xml:space="preserve"> Teachers College Press.</w:t>
      </w:r>
    </w:p>
    <w:p w14:paraId="3CF6E63D"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Sellar, Sam and Lingard, Bob. 2013. '</w:t>
      </w:r>
      <w:r w:rsidRPr="00607598">
        <w:rPr>
          <w:rFonts w:cs="Times New Roman"/>
          <w:i/>
          <w:iCs/>
          <w:noProof/>
          <w:szCs w:val="24"/>
        </w:rPr>
        <w:t>Looking East: Shanghai, Pisa, 2009 and the Reconstitution of Reference Societies in the Global Education Policy Fields</w:t>
      </w:r>
      <w:r w:rsidRPr="00607598">
        <w:rPr>
          <w:rFonts w:cs="Times New Roman"/>
          <w:noProof/>
          <w:szCs w:val="24"/>
        </w:rPr>
        <w:t>,' Comparative Education, 49(4): 464–485.</w:t>
      </w:r>
    </w:p>
    <w:p w14:paraId="66EB93CA"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Skerritt, Craig. 2020. 'Pressure, Bureaucracy, Accountability, and all for Show: Irish Perspectives on Life inside English Schools,' </w:t>
      </w:r>
      <w:r w:rsidRPr="00607598">
        <w:rPr>
          <w:rFonts w:cs="Times New Roman"/>
          <w:i/>
          <w:noProof/>
          <w:szCs w:val="24"/>
        </w:rPr>
        <w:t xml:space="preserve">British Journal of Educational Studies, </w:t>
      </w:r>
      <w:r w:rsidRPr="00607598">
        <w:rPr>
          <w:rFonts w:cs="Times New Roman"/>
          <w:szCs w:val="24"/>
          <w:shd w:val="clear" w:color="auto" w:fill="FFFFFF"/>
        </w:rPr>
        <w:t>68 (1): 3-23.</w:t>
      </w:r>
    </w:p>
    <w:p w14:paraId="7691A038"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Skerritt, Craig. 2019. 'I think Irish Schoools Need to Keep Doing What They’re Doing: Irish Teachers’ Views on School Autonomy after Working in English Academies,' </w:t>
      </w:r>
      <w:r w:rsidRPr="00607598">
        <w:rPr>
          <w:rFonts w:cs="Times New Roman"/>
          <w:i/>
          <w:iCs/>
          <w:noProof/>
          <w:szCs w:val="24"/>
        </w:rPr>
        <w:t>Improving Schools</w:t>
      </w:r>
      <w:r w:rsidRPr="00607598">
        <w:rPr>
          <w:rFonts w:cs="Times New Roman"/>
          <w:noProof/>
          <w:szCs w:val="24"/>
        </w:rPr>
        <w:t xml:space="preserve">, </w:t>
      </w:r>
      <w:r w:rsidRPr="00607598">
        <w:rPr>
          <w:rFonts w:cs="Times New Roman"/>
          <w:i/>
          <w:iCs/>
          <w:noProof/>
          <w:szCs w:val="24"/>
        </w:rPr>
        <w:t>22</w:t>
      </w:r>
      <w:r w:rsidRPr="00607598">
        <w:rPr>
          <w:rFonts w:cs="Times New Roman"/>
          <w:noProof/>
          <w:szCs w:val="24"/>
        </w:rPr>
        <w:t>(3): 267–287.</w:t>
      </w:r>
    </w:p>
    <w:p w14:paraId="4BBC7D81"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t xml:space="preserve">Smyth, Emer and McCoy, Selina (2009). </w:t>
      </w:r>
      <w:r w:rsidRPr="00607598">
        <w:rPr>
          <w:i/>
          <w:iCs/>
        </w:rPr>
        <w:t>Investing in Education: Combating Educational Disadvantage</w:t>
      </w:r>
      <w:r w:rsidRPr="00607598">
        <w:t>, Dublin: ESRI/Barnardos.</w:t>
      </w:r>
    </w:p>
    <w:p w14:paraId="19278CC4"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Smyth, Emer, McCoy, Selina and Kingston, Gillian. 2015. </w:t>
      </w:r>
      <w:r w:rsidRPr="00607598">
        <w:rPr>
          <w:rFonts w:cs="Times New Roman"/>
          <w:i/>
          <w:iCs/>
          <w:noProof/>
          <w:szCs w:val="24"/>
        </w:rPr>
        <w:t>Learning from the Evaluation of DEIS</w:t>
      </w:r>
      <w:r w:rsidRPr="00607598">
        <w:rPr>
          <w:rFonts w:cs="Times New Roman"/>
          <w:noProof/>
          <w:szCs w:val="24"/>
        </w:rPr>
        <w:t>. Dublin: ESRI.</w:t>
      </w:r>
    </w:p>
    <w:p w14:paraId="1D4FF8F2" w14:textId="7DE2AC6F"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Smyth, Emer. 2018. 'Educational Inequality: Is 'Free Education' Enough?' in </w:t>
      </w:r>
      <w:r w:rsidR="002D3A81" w:rsidRPr="00607598">
        <w:t>Harford</w:t>
      </w:r>
      <w:r w:rsidRPr="00607598">
        <w:rPr>
          <w:rFonts w:cs="Times New Roman"/>
          <w:noProof/>
          <w:szCs w:val="24"/>
        </w:rPr>
        <w:t xml:space="preserve">, </w:t>
      </w:r>
      <w:r w:rsidRPr="00607598">
        <w:rPr>
          <w:rFonts w:cs="Times New Roman"/>
          <w:i/>
          <w:iCs/>
          <w:noProof/>
          <w:szCs w:val="24"/>
        </w:rPr>
        <w:t>Education for All</w:t>
      </w:r>
      <w:r w:rsidRPr="00607598">
        <w:rPr>
          <w:rFonts w:cs="Times New Roman"/>
          <w:noProof/>
          <w:szCs w:val="24"/>
        </w:rPr>
        <w:t>?: 117-138.</w:t>
      </w:r>
    </w:p>
    <w:p w14:paraId="200E292B"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Spring, N. 2007. 'Tracing the Language of Educational Disadvantage' in Downes, P. and Gilligan, A.L. (eds.) 2005. Beyond Educational Disadvantage. Dublin: Institute of Public Administration: 3-9.</w:t>
      </w:r>
    </w:p>
    <w:p w14:paraId="5A4E1483"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szCs w:val="24"/>
          <w:shd w:val="clear" w:color="auto" w:fill="FFFFFF"/>
        </w:rPr>
        <w:t xml:space="preserve">Strauss, A., Corbin, J. </w:t>
      </w:r>
      <w:r w:rsidRPr="00607598">
        <w:rPr>
          <w:rStyle w:val="nlmyear"/>
          <w:rFonts w:cs="Times New Roman"/>
          <w:szCs w:val="24"/>
          <w:shd w:val="clear" w:color="auto" w:fill="FFFFFF"/>
        </w:rPr>
        <w:t>1994</w:t>
      </w:r>
      <w:r w:rsidRPr="00607598">
        <w:rPr>
          <w:rFonts w:cs="Times New Roman"/>
          <w:szCs w:val="24"/>
          <w:shd w:val="clear" w:color="auto" w:fill="FFFFFF"/>
        </w:rPr>
        <w:t>. </w:t>
      </w:r>
      <w:r w:rsidRPr="00607598">
        <w:rPr>
          <w:rStyle w:val="nlmarticle-title"/>
          <w:rFonts w:cs="Times New Roman"/>
          <w:szCs w:val="24"/>
          <w:shd w:val="clear" w:color="auto" w:fill="FFFFFF"/>
        </w:rPr>
        <w:t>Grounded theory methodology: An overview</w:t>
      </w:r>
      <w:r w:rsidRPr="00607598">
        <w:rPr>
          <w:rFonts w:cs="Times New Roman"/>
          <w:szCs w:val="24"/>
          <w:shd w:val="clear" w:color="auto" w:fill="FFFFFF"/>
        </w:rPr>
        <w:t xml:space="preserve">. In Denzin, N., Lincoln, Y. (Eds.), </w:t>
      </w:r>
      <w:r w:rsidRPr="00607598">
        <w:rPr>
          <w:rFonts w:cs="Times New Roman"/>
          <w:i/>
          <w:iCs/>
          <w:szCs w:val="24"/>
          <w:shd w:val="clear" w:color="auto" w:fill="FFFFFF"/>
        </w:rPr>
        <w:t>Handbook of qualitative research</w:t>
      </w:r>
      <w:r w:rsidRPr="00607598">
        <w:rPr>
          <w:rFonts w:cs="Times New Roman"/>
          <w:szCs w:val="24"/>
          <w:shd w:val="clear" w:color="auto" w:fill="FFFFFF"/>
        </w:rPr>
        <w:t xml:space="preserve"> (pp. </w:t>
      </w:r>
      <w:r w:rsidRPr="00607598">
        <w:rPr>
          <w:rStyle w:val="nlmfpage"/>
          <w:rFonts w:cs="Times New Roman"/>
          <w:szCs w:val="24"/>
          <w:shd w:val="clear" w:color="auto" w:fill="FFFFFF"/>
        </w:rPr>
        <w:t>273</w:t>
      </w:r>
      <w:r w:rsidRPr="00607598">
        <w:rPr>
          <w:rFonts w:cs="Times New Roman"/>
          <w:szCs w:val="24"/>
          <w:shd w:val="clear" w:color="auto" w:fill="FFFFFF"/>
        </w:rPr>
        <w:t>–</w:t>
      </w:r>
      <w:r w:rsidRPr="00607598">
        <w:rPr>
          <w:rStyle w:val="nlmlpage"/>
          <w:rFonts w:cs="Times New Roman"/>
          <w:szCs w:val="24"/>
          <w:shd w:val="clear" w:color="auto" w:fill="FFFFFF"/>
        </w:rPr>
        <w:t>285</w:t>
      </w:r>
      <w:r w:rsidRPr="00607598">
        <w:rPr>
          <w:rFonts w:cs="Times New Roman"/>
          <w:szCs w:val="24"/>
          <w:shd w:val="clear" w:color="auto" w:fill="FFFFFF"/>
        </w:rPr>
        <w:t>). </w:t>
      </w:r>
      <w:r w:rsidRPr="00607598">
        <w:rPr>
          <w:rStyle w:val="nlmpublisher-loc"/>
          <w:rFonts w:cs="Times New Roman"/>
          <w:szCs w:val="24"/>
          <w:shd w:val="clear" w:color="auto" w:fill="FFFFFF"/>
        </w:rPr>
        <w:t>Thousand Oaks, CA</w:t>
      </w:r>
      <w:r w:rsidRPr="00607598">
        <w:rPr>
          <w:rFonts w:cs="Times New Roman"/>
          <w:szCs w:val="24"/>
          <w:shd w:val="clear" w:color="auto" w:fill="FFFFFF"/>
        </w:rPr>
        <w:t>: </w:t>
      </w:r>
      <w:r w:rsidRPr="00607598">
        <w:rPr>
          <w:rStyle w:val="nlmpublisher-name"/>
          <w:rFonts w:cs="Times New Roman"/>
          <w:szCs w:val="24"/>
          <w:shd w:val="clear" w:color="auto" w:fill="FFFFFF"/>
        </w:rPr>
        <w:t>Sage</w:t>
      </w:r>
      <w:r w:rsidRPr="00607598">
        <w:rPr>
          <w:rFonts w:cs="Times New Roman"/>
          <w:szCs w:val="24"/>
          <w:shd w:val="clear" w:color="auto" w:fill="FFFFFF"/>
        </w:rPr>
        <w:t>.</w:t>
      </w:r>
    </w:p>
    <w:p w14:paraId="0075C0C8" w14:textId="7B801D72"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Sugrue, Ciaran. 2018. 'Changing the Educational Landscape: Transforming Teacher Professionalism,' in </w:t>
      </w:r>
      <w:r w:rsidR="002D3A81" w:rsidRPr="00607598">
        <w:t>Harford</w:t>
      </w:r>
      <w:r w:rsidRPr="00607598">
        <w:rPr>
          <w:rFonts w:cs="Times New Roman"/>
          <w:noProof/>
          <w:szCs w:val="24"/>
        </w:rPr>
        <w:t xml:space="preserve">, </w:t>
      </w:r>
      <w:r w:rsidRPr="00607598">
        <w:rPr>
          <w:rFonts w:cs="Times New Roman"/>
          <w:i/>
          <w:iCs/>
          <w:noProof/>
          <w:szCs w:val="24"/>
        </w:rPr>
        <w:t>Education for All?</w:t>
      </w:r>
      <w:r w:rsidRPr="00607598">
        <w:rPr>
          <w:rFonts w:cs="Times New Roman"/>
          <w:noProof/>
          <w:szCs w:val="24"/>
        </w:rPr>
        <w:t>: 203–230.</w:t>
      </w:r>
    </w:p>
    <w:p w14:paraId="40716E4E"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Thrupp, Martin. 1998. 'The Art of the Possible: Organizing and Managing High and Low Socioeconomic Schools,' </w:t>
      </w:r>
      <w:r w:rsidRPr="00607598">
        <w:rPr>
          <w:rFonts w:cs="Times New Roman"/>
          <w:i/>
          <w:iCs/>
          <w:noProof/>
          <w:szCs w:val="24"/>
        </w:rPr>
        <w:t>Journal of Education Policy</w:t>
      </w:r>
      <w:r w:rsidRPr="00607598">
        <w:rPr>
          <w:rFonts w:cs="Times New Roman"/>
          <w:noProof/>
          <w:szCs w:val="24"/>
        </w:rPr>
        <w:t xml:space="preserve">, </w:t>
      </w:r>
      <w:r w:rsidRPr="00607598">
        <w:rPr>
          <w:rFonts w:cs="Times New Roman"/>
          <w:i/>
          <w:iCs/>
          <w:noProof/>
          <w:szCs w:val="24"/>
        </w:rPr>
        <w:t>1 3</w:t>
      </w:r>
      <w:r w:rsidRPr="00607598">
        <w:rPr>
          <w:rFonts w:cs="Times New Roman"/>
          <w:noProof/>
          <w:szCs w:val="24"/>
        </w:rPr>
        <w:t xml:space="preserve">(2): 197–219. </w:t>
      </w:r>
    </w:p>
    <w:p w14:paraId="5AA18246"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Thrupp, Martin. 2018. 'A Socially Contextualised Approach to Professional Learning for School Leaders,' </w:t>
      </w:r>
      <w:r w:rsidRPr="00607598">
        <w:rPr>
          <w:rFonts w:cs="Times New Roman"/>
          <w:i/>
          <w:iCs/>
          <w:noProof/>
          <w:szCs w:val="24"/>
        </w:rPr>
        <w:t>Leading and Managing</w:t>
      </w:r>
      <w:r w:rsidRPr="00607598">
        <w:rPr>
          <w:rFonts w:cs="Times New Roman"/>
          <w:noProof/>
          <w:szCs w:val="24"/>
        </w:rPr>
        <w:t xml:space="preserve">, </w:t>
      </w:r>
      <w:r w:rsidRPr="00607598">
        <w:rPr>
          <w:rFonts w:cs="Times New Roman"/>
          <w:i/>
          <w:iCs/>
          <w:noProof/>
          <w:szCs w:val="24"/>
        </w:rPr>
        <w:t>24</w:t>
      </w:r>
      <w:r w:rsidRPr="00607598">
        <w:rPr>
          <w:rFonts w:cs="Times New Roman"/>
          <w:noProof/>
          <w:szCs w:val="24"/>
        </w:rPr>
        <w:t>(2): 92–100.</w:t>
      </w:r>
    </w:p>
    <w:p w14:paraId="010F97DE"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t>Weir, S., McAvinue, L., Moran, E., &amp; O'Flaherty, A. 2014. A report on the evaluation of DEIS at second level. Dublin: Educational Research Centre.</w:t>
      </w:r>
    </w:p>
    <w:p w14:paraId="4E41CA5B"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eastAsiaTheme="minorEastAsia" w:cs="Times New Roman"/>
          <w:kern w:val="24"/>
          <w:szCs w:val="24"/>
          <w:lang w:val="en-IE"/>
        </w:rPr>
        <w:lastRenderedPageBreak/>
        <w:t>Weir, S. 2016. Raising achievement in schools in disadvantaged areas. Cidree Yearbook 2016, 76- 89</w:t>
      </w:r>
    </w:p>
    <w:p w14:paraId="4CFCF36E"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t xml:space="preserve">Weir, S., and Kavanagh, L. (2018). </w:t>
      </w:r>
      <w:r w:rsidRPr="00607598">
        <w:rPr>
          <w:i/>
        </w:rPr>
        <w:t>The Evaluation of DEIS at post-primary level: Closing the achievement and attainment gaps.</w:t>
      </w:r>
      <w:r w:rsidRPr="00607598">
        <w:t xml:space="preserve"> Dublin: ERC.</w:t>
      </w:r>
    </w:p>
    <w:p w14:paraId="1F139742"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Wilkinson, Richard and Pickett, Kate. 2009. </w:t>
      </w:r>
      <w:r w:rsidRPr="00607598">
        <w:rPr>
          <w:rFonts w:cs="Times New Roman"/>
          <w:i/>
          <w:iCs/>
          <w:noProof/>
          <w:szCs w:val="24"/>
        </w:rPr>
        <w:t>The Spirit Level: Why More Equal Societies almost always do Better</w:t>
      </w:r>
      <w:r w:rsidRPr="00607598">
        <w:rPr>
          <w:rFonts w:cs="Times New Roman"/>
          <w:noProof/>
          <w:szCs w:val="24"/>
        </w:rPr>
        <w:t>. London: Penguin Books.</w:t>
      </w:r>
    </w:p>
    <w:p w14:paraId="4D9E7FB7"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Wilkinson, Richard and Pickett, Kate. 2018. </w:t>
      </w:r>
      <w:r w:rsidRPr="00607598">
        <w:rPr>
          <w:rFonts w:cs="Times New Roman"/>
          <w:i/>
          <w:iCs/>
          <w:noProof/>
          <w:szCs w:val="24"/>
        </w:rPr>
        <w:t>The Inner Level</w:t>
      </w:r>
      <w:r w:rsidRPr="00607598">
        <w:rPr>
          <w:rFonts w:cs="Times New Roman"/>
          <w:noProof/>
          <w:szCs w:val="24"/>
        </w:rPr>
        <w:t>. London: Penguin.</w:t>
      </w:r>
    </w:p>
    <w:p w14:paraId="549666EC" w14:textId="77777777" w:rsidR="00402DA1" w:rsidRPr="00607598" w:rsidRDefault="00402DA1" w:rsidP="00402DA1">
      <w:pPr>
        <w:shd w:val="clear" w:color="auto" w:fill="FFFFFF"/>
        <w:spacing w:before="0" w:after="255" w:line="360" w:lineRule="atLeast"/>
        <w:ind w:left="-450"/>
        <w:jc w:val="left"/>
        <w:rPr>
          <w:rFonts w:eastAsia="Times New Roman" w:cs="Times New Roman"/>
          <w:szCs w:val="24"/>
          <w:lang w:val="en-US"/>
        </w:rPr>
      </w:pPr>
      <w:r w:rsidRPr="00607598">
        <w:rPr>
          <w:rFonts w:cs="Times New Roman"/>
          <w:noProof/>
          <w:szCs w:val="24"/>
        </w:rPr>
        <w:t xml:space="preserve">Zhao, Y. 2020. Two Decades of Havoc: A Synthesis of Criticism against PISA. </w:t>
      </w:r>
      <w:r w:rsidRPr="00607598">
        <w:rPr>
          <w:rFonts w:cs="Times New Roman"/>
          <w:i/>
          <w:iCs/>
          <w:noProof/>
          <w:szCs w:val="24"/>
        </w:rPr>
        <w:t>Journal of Educational Change</w:t>
      </w:r>
      <w:r w:rsidRPr="00607598">
        <w:rPr>
          <w:rFonts w:cs="Times New Roman"/>
          <w:noProof/>
          <w:szCs w:val="24"/>
        </w:rPr>
        <w:t xml:space="preserve">, </w:t>
      </w:r>
      <w:r w:rsidRPr="00607598">
        <w:rPr>
          <w:rFonts w:cs="Times New Roman"/>
          <w:i/>
          <w:iCs/>
          <w:noProof/>
          <w:szCs w:val="24"/>
        </w:rPr>
        <w:t>21</w:t>
      </w:r>
      <w:r w:rsidRPr="00607598">
        <w:rPr>
          <w:rFonts w:cs="Times New Roman"/>
          <w:noProof/>
          <w:szCs w:val="24"/>
        </w:rPr>
        <w:t xml:space="preserve">(2): 245–266. </w:t>
      </w:r>
    </w:p>
    <w:p w14:paraId="3D4CD7D8" w14:textId="28F7449A" w:rsidR="00944D58" w:rsidRPr="00607598" w:rsidRDefault="00402DA1" w:rsidP="00402DA1">
      <w:pPr>
        <w:spacing w:before="0" w:after="0" w:line="480" w:lineRule="auto"/>
        <w:ind w:left="0"/>
      </w:pPr>
      <w:r w:rsidRPr="00607598">
        <w:fldChar w:fldCharType="end"/>
      </w:r>
    </w:p>
    <w:p w14:paraId="35D0F621" w14:textId="77777777" w:rsidR="00474DD0" w:rsidRPr="00607598" w:rsidRDefault="00474DD0" w:rsidP="00402DA1">
      <w:pPr>
        <w:spacing w:before="0" w:after="0" w:line="480" w:lineRule="auto"/>
        <w:ind w:left="0"/>
        <w:rPr>
          <w:rFonts w:cs="Times New Roman"/>
          <w:szCs w:val="24"/>
          <w:shd w:val="clear" w:color="auto" w:fill="FFFFFF"/>
        </w:rPr>
      </w:pPr>
    </w:p>
    <w:sectPr w:rsidR="00474DD0" w:rsidRPr="0060759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0F7A2D" w14:textId="77777777" w:rsidR="00D44C96" w:rsidRDefault="00D44C96" w:rsidP="00D30000">
      <w:pPr>
        <w:spacing w:before="0" w:after="0"/>
      </w:pPr>
      <w:r>
        <w:separator/>
      </w:r>
    </w:p>
  </w:endnote>
  <w:endnote w:type="continuationSeparator" w:id="0">
    <w:p w14:paraId="05BBC7F5" w14:textId="77777777" w:rsidR="00D44C96" w:rsidRDefault="00D44C96" w:rsidP="00D30000">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7274220"/>
      <w:docPartObj>
        <w:docPartGallery w:val="Page Numbers (Bottom of Page)"/>
        <w:docPartUnique/>
      </w:docPartObj>
    </w:sdtPr>
    <w:sdtEndPr>
      <w:rPr>
        <w:noProof/>
      </w:rPr>
    </w:sdtEndPr>
    <w:sdtContent>
      <w:p w14:paraId="38F580E6" w14:textId="794364FB" w:rsidR="00AC583B" w:rsidRDefault="00AC583B">
        <w:pPr>
          <w:pStyle w:val="Footer"/>
          <w:jc w:val="center"/>
        </w:pPr>
        <w:r>
          <w:fldChar w:fldCharType="begin"/>
        </w:r>
        <w:r>
          <w:instrText xml:space="preserve"> PAGE   \* MERGEFORMAT </w:instrText>
        </w:r>
        <w:r>
          <w:fldChar w:fldCharType="separate"/>
        </w:r>
        <w:r w:rsidR="00B167E8">
          <w:rPr>
            <w:noProof/>
          </w:rPr>
          <w:t>24</w:t>
        </w:r>
        <w:r>
          <w:rPr>
            <w:noProof/>
          </w:rPr>
          <w:fldChar w:fldCharType="end"/>
        </w:r>
      </w:p>
    </w:sdtContent>
  </w:sdt>
  <w:p w14:paraId="795CD3F8" w14:textId="77777777" w:rsidR="00AC583B" w:rsidRDefault="00AC58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D57AB3" w14:textId="77777777" w:rsidR="00D44C96" w:rsidRDefault="00D44C96" w:rsidP="00D30000">
      <w:pPr>
        <w:spacing w:before="0" w:after="0"/>
      </w:pPr>
      <w:r>
        <w:separator/>
      </w:r>
    </w:p>
  </w:footnote>
  <w:footnote w:type="continuationSeparator" w:id="0">
    <w:p w14:paraId="0627A3D3" w14:textId="77777777" w:rsidR="00D44C96" w:rsidRDefault="00D44C96" w:rsidP="00D30000">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C4586"/>
    <w:multiLevelType w:val="multilevel"/>
    <w:tmpl w:val="B2C6D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4313AE"/>
    <w:multiLevelType w:val="multilevel"/>
    <w:tmpl w:val="7040A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3F61B4"/>
    <w:multiLevelType w:val="hybridMultilevel"/>
    <w:tmpl w:val="1EFCF264"/>
    <w:lvl w:ilvl="0" w:tplc="9984EA36">
      <w:start w:val="1"/>
      <w:numFmt w:val="bullet"/>
      <w:lvlText w:val=""/>
      <w:lvlJc w:val="left"/>
      <w:pPr>
        <w:tabs>
          <w:tab w:val="num" w:pos="720"/>
        </w:tabs>
        <w:ind w:left="720" w:hanging="360"/>
      </w:pPr>
      <w:rPr>
        <w:rFonts w:ascii="Wingdings 3" w:hAnsi="Wingdings 3" w:hint="default"/>
      </w:rPr>
    </w:lvl>
    <w:lvl w:ilvl="1" w:tplc="B890195E" w:tentative="1">
      <w:start w:val="1"/>
      <w:numFmt w:val="bullet"/>
      <w:lvlText w:val=""/>
      <w:lvlJc w:val="left"/>
      <w:pPr>
        <w:tabs>
          <w:tab w:val="num" w:pos="1440"/>
        </w:tabs>
        <w:ind w:left="1440" w:hanging="360"/>
      </w:pPr>
      <w:rPr>
        <w:rFonts w:ascii="Wingdings 3" w:hAnsi="Wingdings 3" w:hint="default"/>
      </w:rPr>
    </w:lvl>
    <w:lvl w:ilvl="2" w:tplc="7100A348" w:tentative="1">
      <w:start w:val="1"/>
      <w:numFmt w:val="bullet"/>
      <w:lvlText w:val=""/>
      <w:lvlJc w:val="left"/>
      <w:pPr>
        <w:tabs>
          <w:tab w:val="num" w:pos="2160"/>
        </w:tabs>
        <w:ind w:left="2160" w:hanging="360"/>
      </w:pPr>
      <w:rPr>
        <w:rFonts w:ascii="Wingdings 3" w:hAnsi="Wingdings 3" w:hint="default"/>
      </w:rPr>
    </w:lvl>
    <w:lvl w:ilvl="3" w:tplc="A7D89418" w:tentative="1">
      <w:start w:val="1"/>
      <w:numFmt w:val="bullet"/>
      <w:lvlText w:val=""/>
      <w:lvlJc w:val="left"/>
      <w:pPr>
        <w:tabs>
          <w:tab w:val="num" w:pos="2880"/>
        </w:tabs>
        <w:ind w:left="2880" w:hanging="360"/>
      </w:pPr>
      <w:rPr>
        <w:rFonts w:ascii="Wingdings 3" w:hAnsi="Wingdings 3" w:hint="default"/>
      </w:rPr>
    </w:lvl>
    <w:lvl w:ilvl="4" w:tplc="CDBAEE20" w:tentative="1">
      <w:start w:val="1"/>
      <w:numFmt w:val="bullet"/>
      <w:lvlText w:val=""/>
      <w:lvlJc w:val="left"/>
      <w:pPr>
        <w:tabs>
          <w:tab w:val="num" w:pos="3600"/>
        </w:tabs>
        <w:ind w:left="3600" w:hanging="360"/>
      </w:pPr>
      <w:rPr>
        <w:rFonts w:ascii="Wingdings 3" w:hAnsi="Wingdings 3" w:hint="default"/>
      </w:rPr>
    </w:lvl>
    <w:lvl w:ilvl="5" w:tplc="F160B8EA" w:tentative="1">
      <w:start w:val="1"/>
      <w:numFmt w:val="bullet"/>
      <w:lvlText w:val=""/>
      <w:lvlJc w:val="left"/>
      <w:pPr>
        <w:tabs>
          <w:tab w:val="num" w:pos="4320"/>
        </w:tabs>
        <w:ind w:left="4320" w:hanging="360"/>
      </w:pPr>
      <w:rPr>
        <w:rFonts w:ascii="Wingdings 3" w:hAnsi="Wingdings 3" w:hint="default"/>
      </w:rPr>
    </w:lvl>
    <w:lvl w:ilvl="6" w:tplc="A23C659E" w:tentative="1">
      <w:start w:val="1"/>
      <w:numFmt w:val="bullet"/>
      <w:lvlText w:val=""/>
      <w:lvlJc w:val="left"/>
      <w:pPr>
        <w:tabs>
          <w:tab w:val="num" w:pos="5040"/>
        </w:tabs>
        <w:ind w:left="5040" w:hanging="360"/>
      </w:pPr>
      <w:rPr>
        <w:rFonts w:ascii="Wingdings 3" w:hAnsi="Wingdings 3" w:hint="default"/>
      </w:rPr>
    </w:lvl>
    <w:lvl w:ilvl="7" w:tplc="E3D4E37C" w:tentative="1">
      <w:start w:val="1"/>
      <w:numFmt w:val="bullet"/>
      <w:lvlText w:val=""/>
      <w:lvlJc w:val="left"/>
      <w:pPr>
        <w:tabs>
          <w:tab w:val="num" w:pos="5760"/>
        </w:tabs>
        <w:ind w:left="5760" w:hanging="360"/>
      </w:pPr>
      <w:rPr>
        <w:rFonts w:ascii="Wingdings 3" w:hAnsi="Wingdings 3" w:hint="default"/>
      </w:rPr>
    </w:lvl>
    <w:lvl w:ilvl="8" w:tplc="B986C3A0"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19F50C5C"/>
    <w:multiLevelType w:val="multilevel"/>
    <w:tmpl w:val="B3B25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7A277D"/>
    <w:multiLevelType w:val="multilevel"/>
    <w:tmpl w:val="5C3E2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90E09C4"/>
    <w:multiLevelType w:val="multilevel"/>
    <w:tmpl w:val="8496E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9C464B2"/>
    <w:multiLevelType w:val="hybridMultilevel"/>
    <w:tmpl w:val="086ED6FC"/>
    <w:lvl w:ilvl="0" w:tplc="3C0E72A0">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7" w15:restartNumberingAfterBreak="0">
    <w:nsid w:val="3AF03B3A"/>
    <w:multiLevelType w:val="multilevel"/>
    <w:tmpl w:val="ABBE0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6590301"/>
    <w:multiLevelType w:val="hybridMultilevel"/>
    <w:tmpl w:val="D00E6060"/>
    <w:lvl w:ilvl="0" w:tplc="D174FA84">
      <w:start w:val="1"/>
      <w:numFmt w:val="bullet"/>
      <w:lvlText w:val=""/>
      <w:lvlJc w:val="left"/>
      <w:pPr>
        <w:tabs>
          <w:tab w:val="num" w:pos="720"/>
        </w:tabs>
        <w:ind w:left="720" w:hanging="360"/>
      </w:pPr>
      <w:rPr>
        <w:rFonts w:ascii="Wingdings 3" w:hAnsi="Wingdings 3" w:hint="default"/>
      </w:rPr>
    </w:lvl>
    <w:lvl w:ilvl="1" w:tplc="52AE3A56" w:tentative="1">
      <w:start w:val="1"/>
      <w:numFmt w:val="bullet"/>
      <w:lvlText w:val=""/>
      <w:lvlJc w:val="left"/>
      <w:pPr>
        <w:tabs>
          <w:tab w:val="num" w:pos="1440"/>
        </w:tabs>
        <w:ind w:left="1440" w:hanging="360"/>
      </w:pPr>
      <w:rPr>
        <w:rFonts w:ascii="Wingdings 3" w:hAnsi="Wingdings 3" w:hint="default"/>
      </w:rPr>
    </w:lvl>
    <w:lvl w:ilvl="2" w:tplc="4F44634E" w:tentative="1">
      <w:start w:val="1"/>
      <w:numFmt w:val="bullet"/>
      <w:lvlText w:val=""/>
      <w:lvlJc w:val="left"/>
      <w:pPr>
        <w:tabs>
          <w:tab w:val="num" w:pos="2160"/>
        </w:tabs>
        <w:ind w:left="2160" w:hanging="360"/>
      </w:pPr>
      <w:rPr>
        <w:rFonts w:ascii="Wingdings 3" w:hAnsi="Wingdings 3" w:hint="default"/>
      </w:rPr>
    </w:lvl>
    <w:lvl w:ilvl="3" w:tplc="26ECB210" w:tentative="1">
      <w:start w:val="1"/>
      <w:numFmt w:val="bullet"/>
      <w:lvlText w:val=""/>
      <w:lvlJc w:val="left"/>
      <w:pPr>
        <w:tabs>
          <w:tab w:val="num" w:pos="2880"/>
        </w:tabs>
        <w:ind w:left="2880" w:hanging="360"/>
      </w:pPr>
      <w:rPr>
        <w:rFonts w:ascii="Wingdings 3" w:hAnsi="Wingdings 3" w:hint="default"/>
      </w:rPr>
    </w:lvl>
    <w:lvl w:ilvl="4" w:tplc="906A9D9E" w:tentative="1">
      <w:start w:val="1"/>
      <w:numFmt w:val="bullet"/>
      <w:lvlText w:val=""/>
      <w:lvlJc w:val="left"/>
      <w:pPr>
        <w:tabs>
          <w:tab w:val="num" w:pos="3600"/>
        </w:tabs>
        <w:ind w:left="3600" w:hanging="360"/>
      </w:pPr>
      <w:rPr>
        <w:rFonts w:ascii="Wingdings 3" w:hAnsi="Wingdings 3" w:hint="default"/>
      </w:rPr>
    </w:lvl>
    <w:lvl w:ilvl="5" w:tplc="35B01758" w:tentative="1">
      <w:start w:val="1"/>
      <w:numFmt w:val="bullet"/>
      <w:lvlText w:val=""/>
      <w:lvlJc w:val="left"/>
      <w:pPr>
        <w:tabs>
          <w:tab w:val="num" w:pos="4320"/>
        </w:tabs>
        <w:ind w:left="4320" w:hanging="360"/>
      </w:pPr>
      <w:rPr>
        <w:rFonts w:ascii="Wingdings 3" w:hAnsi="Wingdings 3" w:hint="default"/>
      </w:rPr>
    </w:lvl>
    <w:lvl w:ilvl="6" w:tplc="E110DD4A" w:tentative="1">
      <w:start w:val="1"/>
      <w:numFmt w:val="bullet"/>
      <w:lvlText w:val=""/>
      <w:lvlJc w:val="left"/>
      <w:pPr>
        <w:tabs>
          <w:tab w:val="num" w:pos="5040"/>
        </w:tabs>
        <w:ind w:left="5040" w:hanging="360"/>
      </w:pPr>
      <w:rPr>
        <w:rFonts w:ascii="Wingdings 3" w:hAnsi="Wingdings 3" w:hint="default"/>
      </w:rPr>
    </w:lvl>
    <w:lvl w:ilvl="7" w:tplc="20C6A692" w:tentative="1">
      <w:start w:val="1"/>
      <w:numFmt w:val="bullet"/>
      <w:lvlText w:val=""/>
      <w:lvlJc w:val="left"/>
      <w:pPr>
        <w:tabs>
          <w:tab w:val="num" w:pos="5760"/>
        </w:tabs>
        <w:ind w:left="5760" w:hanging="360"/>
      </w:pPr>
      <w:rPr>
        <w:rFonts w:ascii="Wingdings 3" w:hAnsi="Wingdings 3" w:hint="default"/>
      </w:rPr>
    </w:lvl>
    <w:lvl w:ilvl="8" w:tplc="C3D43238" w:tentative="1">
      <w:start w:val="1"/>
      <w:numFmt w:val="bullet"/>
      <w:lvlText w:val=""/>
      <w:lvlJc w:val="left"/>
      <w:pPr>
        <w:tabs>
          <w:tab w:val="num" w:pos="6480"/>
        </w:tabs>
        <w:ind w:left="6480" w:hanging="360"/>
      </w:pPr>
      <w:rPr>
        <w:rFonts w:ascii="Wingdings 3" w:hAnsi="Wingdings 3" w:hint="default"/>
      </w:rPr>
    </w:lvl>
  </w:abstractNum>
  <w:abstractNum w:abstractNumId="9" w15:restartNumberingAfterBreak="0">
    <w:nsid w:val="64445C55"/>
    <w:multiLevelType w:val="hybridMultilevel"/>
    <w:tmpl w:val="D04EE95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0" w15:restartNumberingAfterBreak="0">
    <w:nsid w:val="738C23B3"/>
    <w:multiLevelType w:val="multilevel"/>
    <w:tmpl w:val="85EE9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D3D538C"/>
    <w:multiLevelType w:val="multilevel"/>
    <w:tmpl w:val="E9BED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190344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15441076">
    <w:abstractNumId w:val="6"/>
  </w:num>
  <w:num w:numId="3" w16cid:durableId="605386122">
    <w:abstractNumId w:val="9"/>
  </w:num>
  <w:num w:numId="4" w16cid:durableId="1152254450">
    <w:abstractNumId w:val="8"/>
  </w:num>
  <w:num w:numId="5" w16cid:durableId="22290625">
    <w:abstractNumId w:val="2"/>
  </w:num>
  <w:num w:numId="6" w16cid:durableId="570166295">
    <w:abstractNumId w:val="1"/>
  </w:num>
  <w:num w:numId="7" w16cid:durableId="968164039">
    <w:abstractNumId w:val="10"/>
  </w:num>
  <w:num w:numId="8" w16cid:durableId="1601059633">
    <w:abstractNumId w:val="3"/>
  </w:num>
  <w:num w:numId="9" w16cid:durableId="562254796">
    <w:abstractNumId w:val="4"/>
  </w:num>
  <w:num w:numId="10" w16cid:durableId="1016737866">
    <w:abstractNumId w:val="7"/>
  </w:num>
  <w:num w:numId="11" w16cid:durableId="1466116393">
    <w:abstractNumId w:val="5"/>
  </w:num>
  <w:num w:numId="12" w16cid:durableId="875504477">
    <w:abstractNumId w:val="0"/>
  </w:num>
  <w:num w:numId="13" w16cid:durableId="14976475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3B50"/>
    <w:rsid w:val="000014E6"/>
    <w:rsid w:val="000029D0"/>
    <w:rsid w:val="000037E2"/>
    <w:rsid w:val="000059A2"/>
    <w:rsid w:val="00012FA2"/>
    <w:rsid w:val="000165B5"/>
    <w:rsid w:val="0002079F"/>
    <w:rsid w:val="00025C20"/>
    <w:rsid w:val="00043D10"/>
    <w:rsid w:val="00046519"/>
    <w:rsid w:val="00047376"/>
    <w:rsid w:val="000523A3"/>
    <w:rsid w:val="00053C24"/>
    <w:rsid w:val="00055368"/>
    <w:rsid w:val="00056DCF"/>
    <w:rsid w:val="00060A6C"/>
    <w:rsid w:val="0006321D"/>
    <w:rsid w:val="00065B7E"/>
    <w:rsid w:val="000669DC"/>
    <w:rsid w:val="00067D04"/>
    <w:rsid w:val="000725CD"/>
    <w:rsid w:val="00073BF1"/>
    <w:rsid w:val="00074E49"/>
    <w:rsid w:val="00076EAC"/>
    <w:rsid w:val="00080408"/>
    <w:rsid w:val="000848E9"/>
    <w:rsid w:val="00085872"/>
    <w:rsid w:val="00086E1A"/>
    <w:rsid w:val="0008703D"/>
    <w:rsid w:val="00094A66"/>
    <w:rsid w:val="0009644F"/>
    <w:rsid w:val="000A493F"/>
    <w:rsid w:val="000B7397"/>
    <w:rsid w:val="000B7FAF"/>
    <w:rsid w:val="000C15FA"/>
    <w:rsid w:val="000C3492"/>
    <w:rsid w:val="000C3D09"/>
    <w:rsid w:val="000C43D6"/>
    <w:rsid w:val="000C5D36"/>
    <w:rsid w:val="000C727C"/>
    <w:rsid w:val="000C7F33"/>
    <w:rsid w:val="000D021A"/>
    <w:rsid w:val="000D6D5F"/>
    <w:rsid w:val="000E13B9"/>
    <w:rsid w:val="000E15E8"/>
    <w:rsid w:val="000E18E8"/>
    <w:rsid w:val="000E36EA"/>
    <w:rsid w:val="000E49A1"/>
    <w:rsid w:val="000E5875"/>
    <w:rsid w:val="000E6805"/>
    <w:rsid w:val="000E75F4"/>
    <w:rsid w:val="000F223C"/>
    <w:rsid w:val="000F5250"/>
    <w:rsid w:val="000F5CCB"/>
    <w:rsid w:val="00100578"/>
    <w:rsid w:val="00101428"/>
    <w:rsid w:val="00102A1C"/>
    <w:rsid w:val="00104D02"/>
    <w:rsid w:val="00112D23"/>
    <w:rsid w:val="001162E7"/>
    <w:rsid w:val="00116694"/>
    <w:rsid w:val="00121472"/>
    <w:rsid w:val="00121690"/>
    <w:rsid w:val="00124926"/>
    <w:rsid w:val="00125B77"/>
    <w:rsid w:val="0013113A"/>
    <w:rsid w:val="001319EB"/>
    <w:rsid w:val="001340CF"/>
    <w:rsid w:val="001400A3"/>
    <w:rsid w:val="00142003"/>
    <w:rsid w:val="00153F52"/>
    <w:rsid w:val="001542A7"/>
    <w:rsid w:val="001563C1"/>
    <w:rsid w:val="00157BEC"/>
    <w:rsid w:val="00162A78"/>
    <w:rsid w:val="00171C0F"/>
    <w:rsid w:val="00172923"/>
    <w:rsid w:val="001812B6"/>
    <w:rsid w:val="00182589"/>
    <w:rsid w:val="00183576"/>
    <w:rsid w:val="001840DE"/>
    <w:rsid w:val="00184851"/>
    <w:rsid w:val="00184F45"/>
    <w:rsid w:val="00185407"/>
    <w:rsid w:val="00191495"/>
    <w:rsid w:val="001958A2"/>
    <w:rsid w:val="00195C55"/>
    <w:rsid w:val="00196F1E"/>
    <w:rsid w:val="00197964"/>
    <w:rsid w:val="001A02C7"/>
    <w:rsid w:val="001A06E5"/>
    <w:rsid w:val="001A433B"/>
    <w:rsid w:val="001A6EAF"/>
    <w:rsid w:val="001A730F"/>
    <w:rsid w:val="001B3062"/>
    <w:rsid w:val="001B486A"/>
    <w:rsid w:val="001B5987"/>
    <w:rsid w:val="001B7B8C"/>
    <w:rsid w:val="001C147A"/>
    <w:rsid w:val="001C16A2"/>
    <w:rsid w:val="001C545C"/>
    <w:rsid w:val="001C7A70"/>
    <w:rsid w:val="001C7C8A"/>
    <w:rsid w:val="001D4947"/>
    <w:rsid w:val="001D5372"/>
    <w:rsid w:val="001E38CD"/>
    <w:rsid w:val="001F7A63"/>
    <w:rsid w:val="00206D41"/>
    <w:rsid w:val="00211ECB"/>
    <w:rsid w:val="002123C2"/>
    <w:rsid w:val="0022033A"/>
    <w:rsid w:val="00221B2F"/>
    <w:rsid w:val="00241B37"/>
    <w:rsid w:val="00242836"/>
    <w:rsid w:val="00262B72"/>
    <w:rsid w:val="00265A86"/>
    <w:rsid w:val="00272D11"/>
    <w:rsid w:val="0027546E"/>
    <w:rsid w:val="00276A66"/>
    <w:rsid w:val="00290927"/>
    <w:rsid w:val="00291A0D"/>
    <w:rsid w:val="00291D08"/>
    <w:rsid w:val="00291F00"/>
    <w:rsid w:val="00292F9D"/>
    <w:rsid w:val="002A19CA"/>
    <w:rsid w:val="002B00A1"/>
    <w:rsid w:val="002B03D4"/>
    <w:rsid w:val="002B4578"/>
    <w:rsid w:val="002B4624"/>
    <w:rsid w:val="002B47EE"/>
    <w:rsid w:val="002B7C9E"/>
    <w:rsid w:val="002C119C"/>
    <w:rsid w:val="002C2DC0"/>
    <w:rsid w:val="002D0D6D"/>
    <w:rsid w:val="002D3A81"/>
    <w:rsid w:val="002E2580"/>
    <w:rsid w:val="002E2869"/>
    <w:rsid w:val="002E47C0"/>
    <w:rsid w:val="002E5DB9"/>
    <w:rsid w:val="002E76B8"/>
    <w:rsid w:val="002F2976"/>
    <w:rsid w:val="002F3104"/>
    <w:rsid w:val="002F4B74"/>
    <w:rsid w:val="003024EE"/>
    <w:rsid w:val="0030373E"/>
    <w:rsid w:val="003107C3"/>
    <w:rsid w:val="0031545C"/>
    <w:rsid w:val="003202C2"/>
    <w:rsid w:val="003229EA"/>
    <w:rsid w:val="00322CC2"/>
    <w:rsid w:val="00323E20"/>
    <w:rsid w:val="00324CE0"/>
    <w:rsid w:val="00331013"/>
    <w:rsid w:val="003411E6"/>
    <w:rsid w:val="00350AA5"/>
    <w:rsid w:val="003528CF"/>
    <w:rsid w:val="0036146F"/>
    <w:rsid w:val="00367F9D"/>
    <w:rsid w:val="003706B6"/>
    <w:rsid w:val="00371099"/>
    <w:rsid w:val="003717CC"/>
    <w:rsid w:val="003736A6"/>
    <w:rsid w:val="00374C59"/>
    <w:rsid w:val="00377857"/>
    <w:rsid w:val="00377AB6"/>
    <w:rsid w:val="00382B26"/>
    <w:rsid w:val="00383A54"/>
    <w:rsid w:val="003845FD"/>
    <w:rsid w:val="003863E2"/>
    <w:rsid w:val="0038762F"/>
    <w:rsid w:val="00395594"/>
    <w:rsid w:val="00395666"/>
    <w:rsid w:val="003A5233"/>
    <w:rsid w:val="003C0213"/>
    <w:rsid w:val="003C1649"/>
    <w:rsid w:val="003C249E"/>
    <w:rsid w:val="003D500A"/>
    <w:rsid w:val="003E5F9A"/>
    <w:rsid w:val="003E7302"/>
    <w:rsid w:val="003E7D51"/>
    <w:rsid w:val="003F0DD5"/>
    <w:rsid w:val="003F2B2C"/>
    <w:rsid w:val="003F409E"/>
    <w:rsid w:val="003F5246"/>
    <w:rsid w:val="003F5B9A"/>
    <w:rsid w:val="003F72E7"/>
    <w:rsid w:val="003F7484"/>
    <w:rsid w:val="00402DA1"/>
    <w:rsid w:val="004060ED"/>
    <w:rsid w:val="004069A1"/>
    <w:rsid w:val="00426183"/>
    <w:rsid w:val="0043115F"/>
    <w:rsid w:val="004321C3"/>
    <w:rsid w:val="00437B58"/>
    <w:rsid w:val="00437EA9"/>
    <w:rsid w:val="00445650"/>
    <w:rsid w:val="00445D63"/>
    <w:rsid w:val="00446E2A"/>
    <w:rsid w:val="00447E8C"/>
    <w:rsid w:val="00451836"/>
    <w:rsid w:val="0045636D"/>
    <w:rsid w:val="00460071"/>
    <w:rsid w:val="00462748"/>
    <w:rsid w:val="0046697C"/>
    <w:rsid w:val="00466B8D"/>
    <w:rsid w:val="004678FE"/>
    <w:rsid w:val="00467D96"/>
    <w:rsid w:val="004715F8"/>
    <w:rsid w:val="00472397"/>
    <w:rsid w:val="004745C6"/>
    <w:rsid w:val="00474DD0"/>
    <w:rsid w:val="00476950"/>
    <w:rsid w:val="0047721D"/>
    <w:rsid w:val="00491FE6"/>
    <w:rsid w:val="004925F3"/>
    <w:rsid w:val="004A625B"/>
    <w:rsid w:val="004C17E2"/>
    <w:rsid w:val="004C4BA1"/>
    <w:rsid w:val="004C4F1E"/>
    <w:rsid w:val="004C7BEF"/>
    <w:rsid w:val="004C7C59"/>
    <w:rsid w:val="004D1A40"/>
    <w:rsid w:val="004D4310"/>
    <w:rsid w:val="004D4A24"/>
    <w:rsid w:val="004D4DCB"/>
    <w:rsid w:val="004D59DE"/>
    <w:rsid w:val="004D6300"/>
    <w:rsid w:val="004E3161"/>
    <w:rsid w:val="004F17CD"/>
    <w:rsid w:val="004F2CFE"/>
    <w:rsid w:val="004F3691"/>
    <w:rsid w:val="005004A4"/>
    <w:rsid w:val="0050222B"/>
    <w:rsid w:val="005033EB"/>
    <w:rsid w:val="00504831"/>
    <w:rsid w:val="005056D9"/>
    <w:rsid w:val="00507AE6"/>
    <w:rsid w:val="005154FA"/>
    <w:rsid w:val="0052069A"/>
    <w:rsid w:val="00521E1C"/>
    <w:rsid w:val="005247DA"/>
    <w:rsid w:val="005267D5"/>
    <w:rsid w:val="00527552"/>
    <w:rsid w:val="00534C52"/>
    <w:rsid w:val="00535E04"/>
    <w:rsid w:val="00537A0D"/>
    <w:rsid w:val="005402E8"/>
    <w:rsid w:val="00541198"/>
    <w:rsid w:val="00543C3E"/>
    <w:rsid w:val="00544FF9"/>
    <w:rsid w:val="00550252"/>
    <w:rsid w:val="00554CB6"/>
    <w:rsid w:val="00555962"/>
    <w:rsid w:val="005639E3"/>
    <w:rsid w:val="00564495"/>
    <w:rsid w:val="00565D74"/>
    <w:rsid w:val="0057397D"/>
    <w:rsid w:val="0057572B"/>
    <w:rsid w:val="005765E5"/>
    <w:rsid w:val="00580B68"/>
    <w:rsid w:val="005833BF"/>
    <w:rsid w:val="00592403"/>
    <w:rsid w:val="00597B3E"/>
    <w:rsid w:val="005A3D6F"/>
    <w:rsid w:val="005A480C"/>
    <w:rsid w:val="005A4E6D"/>
    <w:rsid w:val="005A5688"/>
    <w:rsid w:val="005A6D5D"/>
    <w:rsid w:val="005B59C1"/>
    <w:rsid w:val="005B67AE"/>
    <w:rsid w:val="005C0599"/>
    <w:rsid w:val="005C144B"/>
    <w:rsid w:val="005C3C32"/>
    <w:rsid w:val="005C6B81"/>
    <w:rsid w:val="005D076C"/>
    <w:rsid w:val="005D1965"/>
    <w:rsid w:val="005D7A49"/>
    <w:rsid w:val="005E179A"/>
    <w:rsid w:val="005F2424"/>
    <w:rsid w:val="005F65B4"/>
    <w:rsid w:val="00605C02"/>
    <w:rsid w:val="00606D45"/>
    <w:rsid w:val="00607598"/>
    <w:rsid w:val="00611B68"/>
    <w:rsid w:val="00612F7C"/>
    <w:rsid w:val="00613949"/>
    <w:rsid w:val="00613CA4"/>
    <w:rsid w:val="00614040"/>
    <w:rsid w:val="00641521"/>
    <w:rsid w:val="006459AD"/>
    <w:rsid w:val="00646B8A"/>
    <w:rsid w:val="0065174F"/>
    <w:rsid w:val="00653EB0"/>
    <w:rsid w:val="00657AD5"/>
    <w:rsid w:val="00657D38"/>
    <w:rsid w:val="006614A0"/>
    <w:rsid w:val="00662E8B"/>
    <w:rsid w:val="006638FA"/>
    <w:rsid w:val="00666ABD"/>
    <w:rsid w:val="00667909"/>
    <w:rsid w:val="00667A0C"/>
    <w:rsid w:val="006717FD"/>
    <w:rsid w:val="006724F3"/>
    <w:rsid w:val="00672DA5"/>
    <w:rsid w:val="00677D11"/>
    <w:rsid w:val="0068037A"/>
    <w:rsid w:val="0068406A"/>
    <w:rsid w:val="0068613F"/>
    <w:rsid w:val="006905A7"/>
    <w:rsid w:val="00691684"/>
    <w:rsid w:val="00693F78"/>
    <w:rsid w:val="006949D3"/>
    <w:rsid w:val="006A0E4A"/>
    <w:rsid w:val="006A6B16"/>
    <w:rsid w:val="006A6DDC"/>
    <w:rsid w:val="006B0174"/>
    <w:rsid w:val="006B1738"/>
    <w:rsid w:val="006B2787"/>
    <w:rsid w:val="006B562E"/>
    <w:rsid w:val="006C01C2"/>
    <w:rsid w:val="006C02C8"/>
    <w:rsid w:val="006C11A2"/>
    <w:rsid w:val="006C20F4"/>
    <w:rsid w:val="006D30E1"/>
    <w:rsid w:val="006E16A4"/>
    <w:rsid w:val="006E2574"/>
    <w:rsid w:val="006E36A7"/>
    <w:rsid w:val="006E4A4C"/>
    <w:rsid w:val="006E5034"/>
    <w:rsid w:val="006E5CD8"/>
    <w:rsid w:val="006E7D47"/>
    <w:rsid w:val="006F3415"/>
    <w:rsid w:val="006F56B8"/>
    <w:rsid w:val="007004A4"/>
    <w:rsid w:val="007044E2"/>
    <w:rsid w:val="00705B30"/>
    <w:rsid w:val="00707FAC"/>
    <w:rsid w:val="00710DF3"/>
    <w:rsid w:val="00712AC8"/>
    <w:rsid w:val="00715517"/>
    <w:rsid w:val="00716491"/>
    <w:rsid w:val="00721761"/>
    <w:rsid w:val="00723359"/>
    <w:rsid w:val="00724D42"/>
    <w:rsid w:val="0073682E"/>
    <w:rsid w:val="007468C6"/>
    <w:rsid w:val="00755AA0"/>
    <w:rsid w:val="00756F1C"/>
    <w:rsid w:val="007630F9"/>
    <w:rsid w:val="00765714"/>
    <w:rsid w:val="007705C6"/>
    <w:rsid w:val="0077140B"/>
    <w:rsid w:val="00773DD9"/>
    <w:rsid w:val="0077417D"/>
    <w:rsid w:val="007741C2"/>
    <w:rsid w:val="00775051"/>
    <w:rsid w:val="00775E0C"/>
    <w:rsid w:val="00783589"/>
    <w:rsid w:val="00785DF9"/>
    <w:rsid w:val="00785FF2"/>
    <w:rsid w:val="007877C0"/>
    <w:rsid w:val="00791D70"/>
    <w:rsid w:val="007922D9"/>
    <w:rsid w:val="007A1689"/>
    <w:rsid w:val="007A2726"/>
    <w:rsid w:val="007A3D3F"/>
    <w:rsid w:val="007B071E"/>
    <w:rsid w:val="007B1E69"/>
    <w:rsid w:val="007B2499"/>
    <w:rsid w:val="007B3286"/>
    <w:rsid w:val="007B3BE8"/>
    <w:rsid w:val="007B6128"/>
    <w:rsid w:val="007D29EE"/>
    <w:rsid w:val="007D2B22"/>
    <w:rsid w:val="007D2D4F"/>
    <w:rsid w:val="007D57DA"/>
    <w:rsid w:val="007E40EC"/>
    <w:rsid w:val="007E4452"/>
    <w:rsid w:val="007E52C5"/>
    <w:rsid w:val="007E5488"/>
    <w:rsid w:val="007F0ED1"/>
    <w:rsid w:val="007F4F45"/>
    <w:rsid w:val="007F73CD"/>
    <w:rsid w:val="0080073F"/>
    <w:rsid w:val="00804BEB"/>
    <w:rsid w:val="008112D4"/>
    <w:rsid w:val="008120B8"/>
    <w:rsid w:val="00812F7C"/>
    <w:rsid w:val="0081402D"/>
    <w:rsid w:val="0081647E"/>
    <w:rsid w:val="008230AD"/>
    <w:rsid w:val="00827579"/>
    <w:rsid w:val="008278FE"/>
    <w:rsid w:val="00830E70"/>
    <w:rsid w:val="0083202B"/>
    <w:rsid w:val="008437EF"/>
    <w:rsid w:val="00844465"/>
    <w:rsid w:val="008472DA"/>
    <w:rsid w:val="00850431"/>
    <w:rsid w:val="00850765"/>
    <w:rsid w:val="00850991"/>
    <w:rsid w:val="00851706"/>
    <w:rsid w:val="00854E23"/>
    <w:rsid w:val="00857F5D"/>
    <w:rsid w:val="00861711"/>
    <w:rsid w:val="00865E15"/>
    <w:rsid w:val="00872E48"/>
    <w:rsid w:val="00874479"/>
    <w:rsid w:val="00880291"/>
    <w:rsid w:val="008814A3"/>
    <w:rsid w:val="00887EFE"/>
    <w:rsid w:val="00890FFD"/>
    <w:rsid w:val="0089116B"/>
    <w:rsid w:val="00892B97"/>
    <w:rsid w:val="00896019"/>
    <w:rsid w:val="008A0CDC"/>
    <w:rsid w:val="008A1C2A"/>
    <w:rsid w:val="008A2CB1"/>
    <w:rsid w:val="008B2573"/>
    <w:rsid w:val="008B3B50"/>
    <w:rsid w:val="008B4E1B"/>
    <w:rsid w:val="008B6585"/>
    <w:rsid w:val="008B7BE9"/>
    <w:rsid w:val="008C2633"/>
    <w:rsid w:val="008C59B8"/>
    <w:rsid w:val="008C72D4"/>
    <w:rsid w:val="008D403F"/>
    <w:rsid w:val="008E0DCF"/>
    <w:rsid w:val="008F1FCE"/>
    <w:rsid w:val="008F464E"/>
    <w:rsid w:val="008F50C5"/>
    <w:rsid w:val="008F6A55"/>
    <w:rsid w:val="0090032C"/>
    <w:rsid w:val="009138B0"/>
    <w:rsid w:val="00916516"/>
    <w:rsid w:val="00924789"/>
    <w:rsid w:val="009253BB"/>
    <w:rsid w:val="0092682F"/>
    <w:rsid w:val="00933479"/>
    <w:rsid w:val="00934795"/>
    <w:rsid w:val="009354BE"/>
    <w:rsid w:val="00937CE6"/>
    <w:rsid w:val="009412D4"/>
    <w:rsid w:val="0094296D"/>
    <w:rsid w:val="00944B1D"/>
    <w:rsid w:val="00944D58"/>
    <w:rsid w:val="0094625C"/>
    <w:rsid w:val="00950606"/>
    <w:rsid w:val="009537A5"/>
    <w:rsid w:val="0096014E"/>
    <w:rsid w:val="00961801"/>
    <w:rsid w:val="009660F1"/>
    <w:rsid w:val="00970EB7"/>
    <w:rsid w:val="00981B32"/>
    <w:rsid w:val="00982792"/>
    <w:rsid w:val="00997FDF"/>
    <w:rsid w:val="009A555A"/>
    <w:rsid w:val="009B0E25"/>
    <w:rsid w:val="009B2632"/>
    <w:rsid w:val="009B2756"/>
    <w:rsid w:val="009C5411"/>
    <w:rsid w:val="009D1368"/>
    <w:rsid w:val="009E7BCA"/>
    <w:rsid w:val="009F7467"/>
    <w:rsid w:val="00A02E7C"/>
    <w:rsid w:val="00A05581"/>
    <w:rsid w:val="00A07D1C"/>
    <w:rsid w:val="00A17939"/>
    <w:rsid w:val="00A30444"/>
    <w:rsid w:val="00A30D1D"/>
    <w:rsid w:val="00A31067"/>
    <w:rsid w:val="00A35C46"/>
    <w:rsid w:val="00A37744"/>
    <w:rsid w:val="00A43240"/>
    <w:rsid w:val="00A51B1C"/>
    <w:rsid w:val="00A51B7C"/>
    <w:rsid w:val="00A54072"/>
    <w:rsid w:val="00A66751"/>
    <w:rsid w:val="00A725CF"/>
    <w:rsid w:val="00A743F3"/>
    <w:rsid w:val="00A74C58"/>
    <w:rsid w:val="00A83BD7"/>
    <w:rsid w:val="00A8400A"/>
    <w:rsid w:val="00A908CE"/>
    <w:rsid w:val="00A93E0D"/>
    <w:rsid w:val="00AA0533"/>
    <w:rsid w:val="00AA16CF"/>
    <w:rsid w:val="00AA2F6F"/>
    <w:rsid w:val="00AA451E"/>
    <w:rsid w:val="00AA4A4E"/>
    <w:rsid w:val="00AA54A9"/>
    <w:rsid w:val="00AB0274"/>
    <w:rsid w:val="00AC02F5"/>
    <w:rsid w:val="00AC4ACE"/>
    <w:rsid w:val="00AC583B"/>
    <w:rsid w:val="00AD1387"/>
    <w:rsid w:val="00AD4CE1"/>
    <w:rsid w:val="00AD71B6"/>
    <w:rsid w:val="00AE0067"/>
    <w:rsid w:val="00AE5ED2"/>
    <w:rsid w:val="00AE7E64"/>
    <w:rsid w:val="00AF3E27"/>
    <w:rsid w:val="00AF5619"/>
    <w:rsid w:val="00AF6750"/>
    <w:rsid w:val="00AF70B1"/>
    <w:rsid w:val="00AF7F6A"/>
    <w:rsid w:val="00B00BE7"/>
    <w:rsid w:val="00B072F2"/>
    <w:rsid w:val="00B10FD9"/>
    <w:rsid w:val="00B167E8"/>
    <w:rsid w:val="00B16A84"/>
    <w:rsid w:val="00B173CB"/>
    <w:rsid w:val="00B20BD2"/>
    <w:rsid w:val="00B20FE4"/>
    <w:rsid w:val="00B231E2"/>
    <w:rsid w:val="00B24F74"/>
    <w:rsid w:val="00B3271B"/>
    <w:rsid w:val="00B35B74"/>
    <w:rsid w:val="00B36E63"/>
    <w:rsid w:val="00B40409"/>
    <w:rsid w:val="00B44058"/>
    <w:rsid w:val="00B50289"/>
    <w:rsid w:val="00B533E0"/>
    <w:rsid w:val="00B535CA"/>
    <w:rsid w:val="00B669B6"/>
    <w:rsid w:val="00B6702B"/>
    <w:rsid w:val="00B676E1"/>
    <w:rsid w:val="00B67805"/>
    <w:rsid w:val="00B67B42"/>
    <w:rsid w:val="00B70059"/>
    <w:rsid w:val="00B71E63"/>
    <w:rsid w:val="00B720B1"/>
    <w:rsid w:val="00B733E5"/>
    <w:rsid w:val="00B80485"/>
    <w:rsid w:val="00B82BE2"/>
    <w:rsid w:val="00B9039D"/>
    <w:rsid w:val="00B94291"/>
    <w:rsid w:val="00B97966"/>
    <w:rsid w:val="00BA0FF1"/>
    <w:rsid w:val="00BA2946"/>
    <w:rsid w:val="00BA3B8C"/>
    <w:rsid w:val="00BA4F8B"/>
    <w:rsid w:val="00BA6C7B"/>
    <w:rsid w:val="00BB09BA"/>
    <w:rsid w:val="00BB2CD8"/>
    <w:rsid w:val="00BB7C7F"/>
    <w:rsid w:val="00BC062A"/>
    <w:rsid w:val="00BC2B62"/>
    <w:rsid w:val="00BD02F6"/>
    <w:rsid w:val="00BD78A7"/>
    <w:rsid w:val="00BE10A4"/>
    <w:rsid w:val="00BE2F5F"/>
    <w:rsid w:val="00BF004B"/>
    <w:rsid w:val="00BF0E6F"/>
    <w:rsid w:val="00BF1175"/>
    <w:rsid w:val="00BF3539"/>
    <w:rsid w:val="00BF4A15"/>
    <w:rsid w:val="00C04AD9"/>
    <w:rsid w:val="00C05AE8"/>
    <w:rsid w:val="00C12151"/>
    <w:rsid w:val="00C14462"/>
    <w:rsid w:val="00C1450C"/>
    <w:rsid w:val="00C14AD0"/>
    <w:rsid w:val="00C16592"/>
    <w:rsid w:val="00C17D31"/>
    <w:rsid w:val="00C2020C"/>
    <w:rsid w:val="00C22361"/>
    <w:rsid w:val="00C250C0"/>
    <w:rsid w:val="00C2734B"/>
    <w:rsid w:val="00C35A33"/>
    <w:rsid w:val="00C37E1F"/>
    <w:rsid w:val="00C40822"/>
    <w:rsid w:val="00C41A6D"/>
    <w:rsid w:val="00C429C1"/>
    <w:rsid w:val="00C45BF1"/>
    <w:rsid w:val="00C51E4C"/>
    <w:rsid w:val="00C52651"/>
    <w:rsid w:val="00C57856"/>
    <w:rsid w:val="00C57D9B"/>
    <w:rsid w:val="00C63D6A"/>
    <w:rsid w:val="00C658AA"/>
    <w:rsid w:val="00C66143"/>
    <w:rsid w:val="00C66A36"/>
    <w:rsid w:val="00C711A3"/>
    <w:rsid w:val="00C71378"/>
    <w:rsid w:val="00C74A2F"/>
    <w:rsid w:val="00C84391"/>
    <w:rsid w:val="00C844EA"/>
    <w:rsid w:val="00C84E7C"/>
    <w:rsid w:val="00C936E7"/>
    <w:rsid w:val="00CA6930"/>
    <w:rsid w:val="00CB070B"/>
    <w:rsid w:val="00CB12EC"/>
    <w:rsid w:val="00CB4B29"/>
    <w:rsid w:val="00CC69D1"/>
    <w:rsid w:val="00CD05B3"/>
    <w:rsid w:val="00CD2ADA"/>
    <w:rsid w:val="00CD3FED"/>
    <w:rsid w:val="00CD67D1"/>
    <w:rsid w:val="00CE12CA"/>
    <w:rsid w:val="00CE34CD"/>
    <w:rsid w:val="00CE6850"/>
    <w:rsid w:val="00D038A9"/>
    <w:rsid w:val="00D0411E"/>
    <w:rsid w:val="00D04A1A"/>
    <w:rsid w:val="00D07B02"/>
    <w:rsid w:val="00D12990"/>
    <w:rsid w:val="00D227A0"/>
    <w:rsid w:val="00D30000"/>
    <w:rsid w:val="00D30334"/>
    <w:rsid w:val="00D366EA"/>
    <w:rsid w:val="00D42FD5"/>
    <w:rsid w:val="00D449A1"/>
    <w:rsid w:val="00D44C96"/>
    <w:rsid w:val="00D45073"/>
    <w:rsid w:val="00D47071"/>
    <w:rsid w:val="00D47910"/>
    <w:rsid w:val="00D50FAD"/>
    <w:rsid w:val="00D51D99"/>
    <w:rsid w:val="00D5614B"/>
    <w:rsid w:val="00D6484F"/>
    <w:rsid w:val="00D66ED2"/>
    <w:rsid w:val="00D724D2"/>
    <w:rsid w:val="00D754B1"/>
    <w:rsid w:val="00D82BDF"/>
    <w:rsid w:val="00D917A5"/>
    <w:rsid w:val="00D97D03"/>
    <w:rsid w:val="00DA2955"/>
    <w:rsid w:val="00DA2D24"/>
    <w:rsid w:val="00DA4386"/>
    <w:rsid w:val="00DA78A6"/>
    <w:rsid w:val="00DB2640"/>
    <w:rsid w:val="00DC0F90"/>
    <w:rsid w:val="00DC15CB"/>
    <w:rsid w:val="00DD0D44"/>
    <w:rsid w:val="00DD2523"/>
    <w:rsid w:val="00DD79FD"/>
    <w:rsid w:val="00DE18A2"/>
    <w:rsid w:val="00DE3A21"/>
    <w:rsid w:val="00DE3C8F"/>
    <w:rsid w:val="00DE4D91"/>
    <w:rsid w:val="00DF152B"/>
    <w:rsid w:val="00DF1BFD"/>
    <w:rsid w:val="00DF63C7"/>
    <w:rsid w:val="00E00572"/>
    <w:rsid w:val="00E0657C"/>
    <w:rsid w:val="00E0759F"/>
    <w:rsid w:val="00E07A02"/>
    <w:rsid w:val="00E12192"/>
    <w:rsid w:val="00E12E9E"/>
    <w:rsid w:val="00E1593A"/>
    <w:rsid w:val="00E2109F"/>
    <w:rsid w:val="00E22E00"/>
    <w:rsid w:val="00E24F9A"/>
    <w:rsid w:val="00E25F25"/>
    <w:rsid w:val="00E2724E"/>
    <w:rsid w:val="00E30526"/>
    <w:rsid w:val="00E30E44"/>
    <w:rsid w:val="00E31B78"/>
    <w:rsid w:val="00E328DB"/>
    <w:rsid w:val="00E32FCE"/>
    <w:rsid w:val="00E405E5"/>
    <w:rsid w:val="00E40C33"/>
    <w:rsid w:val="00E4733B"/>
    <w:rsid w:val="00E52C81"/>
    <w:rsid w:val="00E56E06"/>
    <w:rsid w:val="00E610DF"/>
    <w:rsid w:val="00E678A9"/>
    <w:rsid w:val="00E71FDE"/>
    <w:rsid w:val="00E72A3E"/>
    <w:rsid w:val="00E72C79"/>
    <w:rsid w:val="00E734B4"/>
    <w:rsid w:val="00E84E67"/>
    <w:rsid w:val="00E86DEC"/>
    <w:rsid w:val="00E875F7"/>
    <w:rsid w:val="00E91FE8"/>
    <w:rsid w:val="00E954F3"/>
    <w:rsid w:val="00EA40D6"/>
    <w:rsid w:val="00EB1431"/>
    <w:rsid w:val="00EB18B0"/>
    <w:rsid w:val="00EB33CF"/>
    <w:rsid w:val="00EB68B0"/>
    <w:rsid w:val="00EC1D97"/>
    <w:rsid w:val="00EC685C"/>
    <w:rsid w:val="00ED2FE8"/>
    <w:rsid w:val="00EE5306"/>
    <w:rsid w:val="00EF3722"/>
    <w:rsid w:val="00EF4732"/>
    <w:rsid w:val="00F024C5"/>
    <w:rsid w:val="00F0565F"/>
    <w:rsid w:val="00F0703B"/>
    <w:rsid w:val="00F102E6"/>
    <w:rsid w:val="00F11C91"/>
    <w:rsid w:val="00F15A02"/>
    <w:rsid w:val="00F211F9"/>
    <w:rsid w:val="00F216C4"/>
    <w:rsid w:val="00F251A2"/>
    <w:rsid w:val="00F34397"/>
    <w:rsid w:val="00F351E5"/>
    <w:rsid w:val="00F403E4"/>
    <w:rsid w:val="00F436D8"/>
    <w:rsid w:val="00F45930"/>
    <w:rsid w:val="00F53408"/>
    <w:rsid w:val="00F54DE7"/>
    <w:rsid w:val="00F5658E"/>
    <w:rsid w:val="00F60D15"/>
    <w:rsid w:val="00F63607"/>
    <w:rsid w:val="00F6569A"/>
    <w:rsid w:val="00F74AD6"/>
    <w:rsid w:val="00F75A6D"/>
    <w:rsid w:val="00F77124"/>
    <w:rsid w:val="00F80ABE"/>
    <w:rsid w:val="00F83EE4"/>
    <w:rsid w:val="00F8763F"/>
    <w:rsid w:val="00F93003"/>
    <w:rsid w:val="00F97440"/>
    <w:rsid w:val="00FA02C8"/>
    <w:rsid w:val="00FA1118"/>
    <w:rsid w:val="00FA27F3"/>
    <w:rsid w:val="00FA3B91"/>
    <w:rsid w:val="00FB1031"/>
    <w:rsid w:val="00FB18DE"/>
    <w:rsid w:val="00FB21E3"/>
    <w:rsid w:val="00FB4945"/>
    <w:rsid w:val="00FB5D35"/>
    <w:rsid w:val="00FB63ED"/>
    <w:rsid w:val="00FB6ACE"/>
    <w:rsid w:val="00FB7CF6"/>
    <w:rsid w:val="00FC0F84"/>
    <w:rsid w:val="00FC1443"/>
    <w:rsid w:val="00FC3B77"/>
    <w:rsid w:val="00FC722E"/>
    <w:rsid w:val="00FD241F"/>
    <w:rsid w:val="00FE02C5"/>
    <w:rsid w:val="00FE1BE4"/>
    <w:rsid w:val="00FF7B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81BDB68"/>
  <w15:docId w15:val="{1A8439FF-4568-4033-9421-8D9231AD7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GB" w:eastAsia="en-US" w:bidi="ar-SA"/>
      </w:rPr>
    </w:rPrDefault>
    <w:pPrDefault>
      <w:pPr>
        <w:spacing w:before="240" w:after="240"/>
        <w:ind w:left="720"/>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3B50"/>
  </w:style>
  <w:style w:type="paragraph" w:styleId="Heading1">
    <w:name w:val="heading 1"/>
    <w:basedOn w:val="Normal"/>
    <w:next w:val="Normal"/>
    <w:link w:val="Heading1Char"/>
    <w:autoRedefine/>
    <w:qFormat/>
    <w:rsid w:val="00C66A36"/>
    <w:pPr>
      <w:keepNext/>
      <w:spacing w:after="60" w:line="360" w:lineRule="auto"/>
      <w:ind w:left="0"/>
      <w:jc w:val="center"/>
      <w:outlineLvl w:val="0"/>
    </w:pPr>
    <w:rPr>
      <w:rFonts w:eastAsia="Times New Roman" w:cs="Arial"/>
      <w:b/>
      <w:bCs/>
      <w:kern w:val="32"/>
      <w:szCs w:val="32"/>
      <w:lang w:val="en-US" w:eastAsia="en-GB"/>
    </w:rPr>
  </w:style>
  <w:style w:type="paragraph" w:styleId="Heading2">
    <w:name w:val="heading 2"/>
    <w:basedOn w:val="Normal"/>
    <w:next w:val="Normal"/>
    <w:link w:val="Heading2Char"/>
    <w:unhideWhenUsed/>
    <w:qFormat/>
    <w:rsid w:val="00C66A36"/>
    <w:pPr>
      <w:keepNext/>
      <w:spacing w:after="60" w:line="480" w:lineRule="auto"/>
      <w:jc w:val="left"/>
      <w:outlineLvl w:val="1"/>
    </w:pPr>
    <w:rPr>
      <w:rFonts w:eastAsia="Times New Roman" w:cs="Arial"/>
      <w:b/>
      <w:bCs/>
      <w:iCs/>
      <w:szCs w:val="28"/>
      <w:lang w:eastAsia="en-GB"/>
    </w:rPr>
  </w:style>
  <w:style w:type="paragraph" w:styleId="Heading3">
    <w:name w:val="heading 3"/>
    <w:basedOn w:val="Normal"/>
    <w:next w:val="Normal"/>
    <w:link w:val="Heading3Char"/>
    <w:unhideWhenUsed/>
    <w:qFormat/>
    <w:rsid w:val="002E2869"/>
    <w:pPr>
      <w:keepNext/>
      <w:spacing w:after="60" w:line="360" w:lineRule="auto"/>
      <w:outlineLvl w:val="2"/>
    </w:pPr>
    <w:rPr>
      <w:rFonts w:eastAsia="Times New Roman" w:cs="Arial"/>
      <w:b/>
      <w:bCs/>
      <w:i/>
      <w:szCs w:val="26"/>
      <w:lang w:eastAsia="en-GB"/>
    </w:rPr>
  </w:style>
  <w:style w:type="paragraph" w:styleId="Heading5">
    <w:name w:val="heading 5"/>
    <w:basedOn w:val="Normal"/>
    <w:next w:val="Normal"/>
    <w:link w:val="Heading5Char"/>
    <w:uiPriority w:val="9"/>
    <w:semiHidden/>
    <w:unhideWhenUsed/>
    <w:qFormat/>
    <w:rsid w:val="00F77124"/>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66A36"/>
    <w:rPr>
      <w:rFonts w:eastAsia="Times New Roman" w:cs="Arial"/>
      <w:b/>
      <w:bCs/>
      <w:kern w:val="32"/>
      <w:szCs w:val="32"/>
      <w:lang w:val="en-US" w:eastAsia="en-GB"/>
    </w:rPr>
  </w:style>
  <w:style w:type="character" w:customStyle="1" w:styleId="Heading2Char">
    <w:name w:val="Heading 2 Char"/>
    <w:basedOn w:val="DefaultParagraphFont"/>
    <w:link w:val="Heading2"/>
    <w:rsid w:val="00C66A36"/>
    <w:rPr>
      <w:rFonts w:eastAsia="Times New Roman" w:cs="Arial"/>
      <w:b/>
      <w:bCs/>
      <w:iCs/>
      <w:szCs w:val="28"/>
      <w:lang w:eastAsia="en-GB"/>
    </w:rPr>
  </w:style>
  <w:style w:type="character" w:customStyle="1" w:styleId="Heading3Char">
    <w:name w:val="Heading 3 Char"/>
    <w:basedOn w:val="DefaultParagraphFont"/>
    <w:link w:val="Heading3"/>
    <w:rsid w:val="002E2869"/>
    <w:rPr>
      <w:rFonts w:eastAsia="Times New Roman" w:cs="Arial"/>
      <w:b/>
      <w:bCs/>
      <w:i/>
      <w:szCs w:val="26"/>
      <w:lang w:eastAsia="en-GB"/>
    </w:rPr>
  </w:style>
  <w:style w:type="paragraph" w:styleId="Quote">
    <w:name w:val="Quote"/>
    <w:basedOn w:val="ListParagraph"/>
    <w:link w:val="QuoteChar"/>
    <w:autoRedefine/>
    <w:qFormat/>
    <w:rsid w:val="00C71378"/>
    <w:pPr>
      <w:spacing w:before="0" w:after="0" w:line="480" w:lineRule="auto"/>
      <w:ind w:left="0"/>
    </w:pPr>
    <w:rPr>
      <w:rFonts w:eastAsia="Times New Roman" w:cs="Times New Roman"/>
      <w:szCs w:val="20"/>
      <w:lang w:val="en-US" w:eastAsia="en-GB"/>
    </w:rPr>
  </w:style>
  <w:style w:type="character" w:customStyle="1" w:styleId="QuoteChar">
    <w:name w:val="Quote Char"/>
    <w:basedOn w:val="DefaultParagraphFont"/>
    <w:link w:val="Quote"/>
    <w:rsid w:val="00C71378"/>
    <w:rPr>
      <w:rFonts w:eastAsia="Times New Roman" w:cs="Times New Roman"/>
      <w:szCs w:val="20"/>
      <w:lang w:val="en-US" w:eastAsia="en-GB"/>
    </w:rPr>
  </w:style>
  <w:style w:type="paragraph" w:customStyle="1" w:styleId="Newparagrap">
    <w:name w:val="New paragrap"/>
    <w:basedOn w:val="Normal"/>
    <w:link w:val="NewparagrapChar"/>
    <w:autoRedefine/>
    <w:qFormat/>
    <w:rsid w:val="00F45930"/>
    <w:pPr>
      <w:spacing w:before="0" w:after="0" w:line="480" w:lineRule="auto"/>
      <w:ind w:left="0" w:firstLine="720"/>
    </w:pPr>
    <w:rPr>
      <w:rFonts w:eastAsia="Times New Roman" w:cs="Times New Roman"/>
      <w:szCs w:val="24"/>
      <w:lang w:val="en-US" w:eastAsia="en-GB"/>
    </w:rPr>
  </w:style>
  <w:style w:type="character" w:customStyle="1" w:styleId="NewparagrapChar">
    <w:name w:val="New paragrap Char"/>
    <w:basedOn w:val="DefaultParagraphFont"/>
    <w:link w:val="Newparagrap"/>
    <w:rsid w:val="00F45930"/>
    <w:rPr>
      <w:rFonts w:eastAsia="Times New Roman" w:cs="Times New Roman"/>
      <w:szCs w:val="24"/>
      <w:lang w:val="en-US" w:eastAsia="en-GB"/>
    </w:rPr>
  </w:style>
  <w:style w:type="paragraph" w:styleId="ListParagraph">
    <w:name w:val="List Paragraph"/>
    <w:basedOn w:val="Normal"/>
    <w:uiPriority w:val="34"/>
    <w:qFormat/>
    <w:rsid w:val="008B3B50"/>
    <w:pPr>
      <w:contextualSpacing/>
    </w:pPr>
  </w:style>
  <w:style w:type="paragraph" w:styleId="BodyText">
    <w:name w:val="Body Text"/>
    <w:basedOn w:val="Normal"/>
    <w:link w:val="BodyTextChar"/>
    <w:uiPriority w:val="99"/>
    <w:semiHidden/>
    <w:unhideWhenUsed/>
    <w:rsid w:val="005F2424"/>
    <w:pPr>
      <w:spacing w:after="120"/>
    </w:pPr>
  </w:style>
  <w:style w:type="character" w:customStyle="1" w:styleId="BodyTextChar">
    <w:name w:val="Body Text Char"/>
    <w:basedOn w:val="DefaultParagraphFont"/>
    <w:link w:val="BodyText"/>
    <w:uiPriority w:val="99"/>
    <w:semiHidden/>
    <w:rsid w:val="005F2424"/>
  </w:style>
  <w:style w:type="paragraph" w:styleId="BodyTextFirstIndent">
    <w:name w:val="Body Text First Indent"/>
    <w:basedOn w:val="BodyText"/>
    <w:link w:val="BodyTextFirstIndentChar"/>
    <w:uiPriority w:val="99"/>
    <w:semiHidden/>
    <w:unhideWhenUsed/>
    <w:rsid w:val="005F2424"/>
    <w:pPr>
      <w:spacing w:after="240"/>
      <w:ind w:firstLine="360"/>
    </w:pPr>
  </w:style>
  <w:style w:type="character" w:customStyle="1" w:styleId="BodyTextFirstIndentChar">
    <w:name w:val="Body Text First Indent Char"/>
    <w:basedOn w:val="BodyTextChar"/>
    <w:link w:val="BodyTextFirstIndent"/>
    <w:uiPriority w:val="99"/>
    <w:semiHidden/>
    <w:rsid w:val="005F2424"/>
  </w:style>
  <w:style w:type="paragraph" w:styleId="BodyTextIndent">
    <w:name w:val="Body Text Indent"/>
    <w:basedOn w:val="Normal"/>
    <w:link w:val="BodyTextIndentChar"/>
    <w:uiPriority w:val="99"/>
    <w:semiHidden/>
    <w:unhideWhenUsed/>
    <w:rsid w:val="005F2424"/>
    <w:pPr>
      <w:spacing w:after="120"/>
      <w:ind w:left="283"/>
    </w:pPr>
  </w:style>
  <w:style w:type="character" w:customStyle="1" w:styleId="BodyTextIndentChar">
    <w:name w:val="Body Text Indent Char"/>
    <w:basedOn w:val="DefaultParagraphFont"/>
    <w:link w:val="BodyTextIndent"/>
    <w:uiPriority w:val="99"/>
    <w:semiHidden/>
    <w:rsid w:val="005F2424"/>
  </w:style>
  <w:style w:type="paragraph" w:styleId="NoSpacing">
    <w:name w:val="No Spacing"/>
    <w:uiPriority w:val="1"/>
    <w:qFormat/>
    <w:rsid w:val="00262B72"/>
    <w:pPr>
      <w:spacing w:before="0" w:after="0"/>
    </w:pPr>
  </w:style>
  <w:style w:type="paragraph" w:styleId="Header">
    <w:name w:val="header"/>
    <w:basedOn w:val="Normal"/>
    <w:link w:val="HeaderChar"/>
    <w:uiPriority w:val="99"/>
    <w:unhideWhenUsed/>
    <w:rsid w:val="00D30000"/>
    <w:pPr>
      <w:tabs>
        <w:tab w:val="center" w:pos="4513"/>
        <w:tab w:val="right" w:pos="9026"/>
      </w:tabs>
      <w:spacing w:before="0" w:after="0"/>
    </w:pPr>
  </w:style>
  <w:style w:type="character" w:customStyle="1" w:styleId="HeaderChar">
    <w:name w:val="Header Char"/>
    <w:basedOn w:val="DefaultParagraphFont"/>
    <w:link w:val="Header"/>
    <w:uiPriority w:val="99"/>
    <w:rsid w:val="00D30000"/>
  </w:style>
  <w:style w:type="paragraph" w:styleId="Footer">
    <w:name w:val="footer"/>
    <w:basedOn w:val="Normal"/>
    <w:link w:val="FooterChar"/>
    <w:uiPriority w:val="99"/>
    <w:unhideWhenUsed/>
    <w:rsid w:val="00D30000"/>
    <w:pPr>
      <w:tabs>
        <w:tab w:val="center" w:pos="4513"/>
        <w:tab w:val="right" w:pos="9026"/>
      </w:tabs>
      <w:spacing w:before="0" w:after="0"/>
    </w:pPr>
  </w:style>
  <w:style w:type="character" w:customStyle="1" w:styleId="FooterChar">
    <w:name w:val="Footer Char"/>
    <w:basedOn w:val="DefaultParagraphFont"/>
    <w:link w:val="Footer"/>
    <w:uiPriority w:val="99"/>
    <w:rsid w:val="00D30000"/>
  </w:style>
  <w:style w:type="paragraph" w:customStyle="1" w:styleId="letter">
    <w:name w:val="letter"/>
    <w:basedOn w:val="Normal"/>
    <w:rsid w:val="00D12990"/>
    <w:pPr>
      <w:spacing w:before="100" w:beforeAutospacing="1" w:after="100" w:afterAutospacing="1"/>
      <w:ind w:left="0"/>
      <w:jc w:val="left"/>
    </w:pPr>
    <w:rPr>
      <w:rFonts w:eastAsia="Times New Roman" w:cs="Times New Roman"/>
      <w:szCs w:val="24"/>
      <w:lang w:val="en-US"/>
    </w:rPr>
  </w:style>
  <w:style w:type="character" w:styleId="CommentReference">
    <w:name w:val="annotation reference"/>
    <w:basedOn w:val="DefaultParagraphFont"/>
    <w:uiPriority w:val="99"/>
    <w:semiHidden/>
    <w:unhideWhenUsed/>
    <w:rsid w:val="000E15E8"/>
    <w:rPr>
      <w:sz w:val="16"/>
      <w:szCs w:val="16"/>
    </w:rPr>
  </w:style>
  <w:style w:type="paragraph" w:styleId="CommentText">
    <w:name w:val="annotation text"/>
    <w:basedOn w:val="Normal"/>
    <w:link w:val="CommentTextChar"/>
    <w:uiPriority w:val="99"/>
    <w:semiHidden/>
    <w:unhideWhenUsed/>
    <w:rsid w:val="000E15E8"/>
    <w:pPr>
      <w:spacing w:before="0" w:after="0"/>
      <w:ind w:left="0"/>
      <w:jc w:val="left"/>
    </w:pPr>
    <w:rPr>
      <w:rFonts w:asciiTheme="minorHAnsi" w:hAnsiTheme="minorHAnsi"/>
      <w:sz w:val="20"/>
      <w:szCs w:val="20"/>
    </w:rPr>
  </w:style>
  <w:style w:type="character" w:customStyle="1" w:styleId="CommentTextChar">
    <w:name w:val="Comment Text Char"/>
    <w:basedOn w:val="DefaultParagraphFont"/>
    <w:link w:val="CommentText"/>
    <w:uiPriority w:val="99"/>
    <w:semiHidden/>
    <w:rsid w:val="000E15E8"/>
    <w:rPr>
      <w:rFonts w:asciiTheme="minorHAnsi" w:hAnsiTheme="minorHAnsi"/>
      <w:sz w:val="20"/>
      <w:szCs w:val="20"/>
    </w:rPr>
  </w:style>
  <w:style w:type="paragraph" w:customStyle="1" w:styleId="Normalindent">
    <w:name w:val="Normal + indent"/>
    <w:basedOn w:val="Normal"/>
    <w:next w:val="Normal"/>
    <w:link w:val="NormalindentChar"/>
    <w:autoRedefine/>
    <w:qFormat/>
    <w:rsid w:val="00641521"/>
    <w:pPr>
      <w:spacing w:before="0" w:after="0" w:line="360" w:lineRule="auto"/>
      <w:ind w:left="0"/>
      <w:jc w:val="center"/>
    </w:pPr>
    <w:rPr>
      <w:rFonts w:eastAsia="Times New Roman" w:cs="Times New Roman"/>
      <w:iCs/>
      <w:szCs w:val="24"/>
      <w:lang w:val="en-US" w:eastAsia="en-GB"/>
    </w:rPr>
  </w:style>
  <w:style w:type="character" w:customStyle="1" w:styleId="NormalindentChar">
    <w:name w:val="Normal + indent Char"/>
    <w:basedOn w:val="DefaultParagraphFont"/>
    <w:link w:val="Normalindent"/>
    <w:rsid w:val="00641521"/>
    <w:rPr>
      <w:rFonts w:eastAsia="Times New Roman" w:cs="Times New Roman"/>
      <w:iCs/>
      <w:szCs w:val="24"/>
      <w:lang w:val="en-US" w:eastAsia="en-GB"/>
    </w:rPr>
  </w:style>
  <w:style w:type="paragraph" w:styleId="BalloonText">
    <w:name w:val="Balloon Text"/>
    <w:basedOn w:val="Normal"/>
    <w:link w:val="BalloonTextChar"/>
    <w:uiPriority w:val="99"/>
    <w:semiHidden/>
    <w:unhideWhenUsed/>
    <w:rsid w:val="006C20F4"/>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20F4"/>
    <w:rPr>
      <w:rFonts w:ascii="Segoe UI" w:hAnsi="Segoe UI" w:cs="Segoe UI"/>
      <w:sz w:val="18"/>
      <w:szCs w:val="18"/>
    </w:rPr>
  </w:style>
  <w:style w:type="character" w:styleId="Hyperlink">
    <w:name w:val="Hyperlink"/>
    <w:basedOn w:val="DefaultParagraphFont"/>
    <w:uiPriority w:val="99"/>
    <w:semiHidden/>
    <w:unhideWhenUsed/>
    <w:rsid w:val="008F464E"/>
    <w:rPr>
      <w:color w:val="0000FF"/>
      <w:u w:val="single"/>
    </w:rPr>
  </w:style>
  <w:style w:type="character" w:styleId="Emphasis">
    <w:name w:val="Emphasis"/>
    <w:basedOn w:val="DefaultParagraphFont"/>
    <w:uiPriority w:val="20"/>
    <w:qFormat/>
    <w:rsid w:val="008F464E"/>
    <w:rPr>
      <w:i/>
      <w:iCs/>
    </w:rPr>
  </w:style>
  <w:style w:type="paragraph" w:styleId="CommentSubject">
    <w:name w:val="annotation subject"/>
    <w:basedOn w:val="CommentText"/>
    <w:next w:val="CommentText"/>
    <w:link w:val="CommentSubjectChar"/>
    <w:uiPriority w:val="99"/>
    <w:semiHidden/>
    <w:unhideWhenUsed/>
    <w:rsid w:val="008120B8"/>
    <w:pPr>
      <w:spacing w:before="240" w:after="240"/>
      <w:ind w:left="720"/>
      <w:jc w:val="both"/>
    </w:pPr>
    <w:rPr>
      <w:rFonts w:ascii="Times New Roman" w:hAnsi="Times New Roman"/>
      <w:b/>
      <w:bCs/>
    </w:rPr>
  </w:style>
  <w:style w:type="character" w:customStyle="1" w:styleId="CommentSubjectChar">
    <w:name w:val="Comment Subject Char"/>
    <w:basedOn w:val="CommentTextChar"/>
    <w:link w:val="CommentSubject"/>
    <w:uiPriority w:val="99"/>
    <w:semiHidden/>
    <w:rsid w:val="008120B8"/>
    <w:rPr>
      <w:rFonts w:asciiTheme="minorHAnsi" w:hAnsiTheme="minorHAnsi"/>
      <w:b/>
      <w:bCs/>
      <w:sz w:val="20"/>
      <w:szCs w:val="20"/>
    </w:rPr>
  </w:style>
  <w:style w:type="paragraph" w:styleId="NormalWeb">
    <w:name w:val="Normal (Web)"/>
    <w:basedOn w:val="Normal"/>
    <w:uiPriority w:val="99"/>
    <w:semiHidden/>
    <w:unhideWhenUsed/>
    <w:rsid w:val="00F77124"/>
    <w:pPr>
      <w:spacing w:before="100" w:beforeAutospacing="1" w:after="100" w:afterAutospacing="1"/>
      <w:ind w:left="0"/>
      <w:jc w:val="left"/>
    </w:pPr>
    <w:rPr>
      <w:rFonts w:eastAsia="Times New Roman" w:cs="Times New Roman"/>
      <w:szCs w:val="24"/>
      <w:lang w:val="en-US"/>
    </w:rPr>
  </w:style>
  <w:style w:type="character" w:customStyle="1" w:styleId="Heading5Char">
    <w:name w:val="Heading 5 Char"/>
    <w:basedOn w:val="DefaultParagraphFont"/>
    <w:link w:val="Heading5"/>
    <w:uiPriority w:val="9"/>
    <w:semiHidden/>
    <w:rsid w:val="00F77124"/>
    <w:rPr>
      <w:rFonts w:asciiTheme="majorHAnsi" w:eastAsiaTheme="majorEastAsia" w:hAnsiTheme="majorHAnsi" w:cstheme="majorBidi"/>
      <w:color w:val="2F5496" w:themeColor="accent1" w:themeShade="BF"/>
    </w:rPr>
  </w:style>
  <w:style w:type="character" w:customStyle="1" w:styleId="nlmyear">
    <w:name w:val="nlm_year"/>
    <w:basedOn w:val="DefaultParagraphFont"/>
    <w:rsid w:val="00850991"/>
  </w:style>
  <w:style w:type="character" w:customStyle="1" w:styleId="nlmarticle-title">
    <w:name w:val="nlm_article-title"/>
    <w:basedOn w:val="DefaultParagraphFont"/>
    <w:rsid w:val="00850991"/>
  </w:style>
  <w:style w:type="character" w:customStyle="1" w:styleId="nlmfpage">
    <w:name w:val="nlm_fpage"/>
    <w:basedOn w:val="DefaultParagraphFont"/>
    <w:rsid w:val="00850991"/>
  </w:style>
  <w:style w:type="character" w:customStyle="1" w:styleId="nlmlpage">
    <w:name w:val="nlm_lpage"/>
    <w:basedOn w:val="DefaultParagraphFont"/>
    <w:rsid w:val="00850991"/>
  </w:style>
  <w:style w:type="character" w:customStyle="1" w:styleId="nlmpublisher-loc">
    <w:name w:val="nlm_publisher-loc"/>
    <w:basedOn w:val="DefaultParagraphFont"/>
    <w:rsid w:val="00850991"/>
  </w:style>
  <w:style w:type="character" w:customStyle="1" w:styleId="nlmpublisher-name">
    <w:name w:val="nlm_publisher-name"/>
    <w:basedOn w:val="DefaultParagraphFont"/>
    <w:rsid w:val="00850991"/>
  </w:style>
  <w:style w:type="paragraph" w:styleId="Revision">
    <w:name w:val="Revision"/>
    <w:hidden/>
    <w:uiPriority w:val="99"/>
    <w:semiHidden/>
    <w:rsid w:val="00721761"/>
    <w:pPr>
      <w:spacing w:before="0" w:after="0"/>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894263">
      <w:bodyDiv w:val="1"/>
      <w:marLeft w:val="0"/>
      <w:marRight w:val="0"/>
      <w:marTop w:val="0"/>
      <w:marBottom w:val="0"/>
      <w:divBdr>
        <w:top w:val="none" w:sz="0" w:space="0" w:color="auto"/>
        <w:left w:val="none" w:sz="0" w:space="0" w:color="auto"/>
        <w:bottom w:val="none" w:sz="0" w:space="0" w:color="auto"/>
        <w:right w:val="none" w:sz="0" w:space="0" w:color="auto"/>
      </w:divBdr>
      <w:divsChild>
        <w:div w:id="846822556">
          <w:marLeft w:val="0"/>
          <w:marRight w:val="0"/>
          <w:marTop w:val="0"/>
          <w:marBottom w:val="0"/>
          <w:divBdr>
            <w:top w:val="none" w:sz="0" w:space="0" w:color="auto"/>
            <w:left w:val="none" w:sz="0" w:space="0" w:color="auto"/>
            <w:bottom w:val="none" w:sz="0" w:space="0" w:color="auto"/>
            <w:right w:val="none" w:sz="0" w:space="0" w:color="auto"/>
          </w:divBdr>
          <w:divsChild>
            <w:div w:id="1095783464">
              <w:marLeft w:val="120"/>
              <w:marRight w:val="0"/>
              <w:marTop w:val="0"/>
              <w:marBottom w:val="120"/>
              <w:divBdr>
                <w:top w:val="single" w:sz="6" w:space="3" w:color="CCCCCC"/>
                <w:left w:val="single" w:sz="6" w:space="3" w:color="CCCCCC"/>
                <w:bottom w:val="single" w:sz="6" w:space="3" w:color="CCCCCC"/>
                <w:right w:val="single" w:sz="6" w:space="3" w:color="CCCCCC"/>
              </w:divBdr>
              <w:divsChild>
                <w:div w:id="58742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6263533">
      <w:bodyDiv w:val="1"/>
      <w:marLeft w:val="0"/>
      <w:marRight w:val="0"/>
      <w:marTop w:val="0"/>
      <w:marBottom w:val="0"/>
      <w:divBdr>
        <w:top w:val="none" w:sz="0" w:space="0" w:color="auto"/>
        <w:left w:val="none" w:sz="0" w:space="0" w:color="auto"/>
        <w:bottom w:val="none" w:sz="0" w:space="0" w:color="auto"/>
        <w:right w:val="none" w:sz="0" w:space="0" w:color="auto"/>
      </w:divBdr>
      <w:divsChild>
        <w:div w:id="109785796">
          <w:marLeft w:val="0"/>
          <w:marRight w:val="0"/>
          <w:marTop w:val="0"/>
          <w:marBottom w:val="0"/>
          <w:divBdr>
            <w:top w:val="none" w:sz="0" w:space="0" w:color="auto"/>
            <w:left w:val="none" w:sz="0" w:space="0" w:color="auto"/>
            <w:bottom w:val="none" w:sz="0" w:space="0" w:color="auto"/>
            <w:right w:val="none" w:sz="0" w:space="0" w:color="auto"/>
          </w:divBdr>
        </w:div>
      </w:divsChild>
    </w:div>
    <w:div w:id="715659118">
      <w:bodyDiv w:val="1"/>
      <w:marLeft w:val="0"/>
      <w:marRight w:val="0"/>
      <w:marTop w:val="0"/>
      <w:marBottom w:val="0"/>
      <w:divBdr>
        <w:top w:val="none" w:sz="0" w:space="0" w:color="auto"/>
        <w:left w:val="none" w:sz="0" w:space="0" w:color="auto"/>
        <w:bottom w:val="none" w:sz="0" w:space="0" w:color="auto"/>
        <w:right w:val="none" w:sz="0" w:space="0" w:color="auto"/>
      </w:divBdr>
      <w:divsChild>
        <w:div w:id="422335588">
          <w:marLeft w:val="547"/>
          <w:marRight w:val="0"/>
          <w:marTop w:val="200"/>
          <w:marBottom w:val="0"/>
          <w:divBdr>
            <w:top w:val="none" w:sz="0" w:space="0" w:color="auto"/>
            <w:left w:val="none" w:sz="0" w:space="0" w:color="auto"/>
            <w:bottom w:val="none" w:sz="0" w:space="0" w:color="auto"/>
            <w:right w:val="none" w:sz="0" w:space="0" w:color="auto"/>
          </w:divBdr>
        </w:div>
        <w:div w:id="498276715">
          <w:marLeft w:val="547"/>
          <w:marRight w:val="0"/>
          <w:marTop w:val="200"/>
          <w:marBottom w:val="0"/>
          <w:divBdr>
            <w:top w:val="none" w:sz="0" w:space="0" w:color="auto"/>
            <w:left w:val="none" w:sz="0" w:space="0" w:color="auto"/>
            <w:bottom w:val="none" w:sz="0" w:space="0" w:color="auto"/>
            <w:right w:val="none" w:sz="0" w:space="0" w:color="auto"/>
          </w:divBdr>
        </w:div>
        <w:div w:id="762065881">
          <w:marLeft w:val="547"/>
          <w:marRight w:val="0"/>
          <w:marTop w:val="200"/>
          <w:marBottom w:val="0"/>
          <w:divBdr>
            <w:top w:val="none" w:sz="0" w:space="0" w:color="auto"/>
            <w:left w:val="none" w:sz="0" w:space="0" w:color="auto"/>
            <w:bottom w:val="none" w:sz="0" w:space="0" w:color="auto"/>
            <w:right w:val="none" w:sz="0" w:space="0" w:color="auto"/>
          </w:divBdr>
        </w:div>
        <w:div w:id="965161364">
          <w:marLeft w:val="547"/>
          <w:marRight w:val="0"/>
          <w:marTop w:val="200"/>
          <w:marBottom w:val="0"/>
          <w:divBdr>
            <w:top w:val="none" w:sz="0" w:space="0" w:color="auto"/>
            <w:left w:val="none" w:sz="0" w:space="0" w:color="auto"/>
            <w:bottom w:val="none" w:sz="0" w:space="0" w:color="auto"/>
            <w:right w:val="none" w:sz="0" w:space="0" w:color="auto"/>
          </w:divBdr>
        </w:div>
        <w:div w:id="1071342384">
          <w:marLeft w:val="547"/>
          <w:marRight w:val="0"/>
          <w:marTop w:val="200"/>
          <w:marBottom w:val="0"/>
          <w:divBdr>
            <w:top w:val="none" w:sz="0" w:space="0" w:color="auto"/>
            <w:left w:val="none" w:sz="0" w:space="0" w:color="auto"/>
            <w:bottom w:val="none" w:sz="0" w:space="0" w:color="auto"/>
            <w:right w:val="none" w:sz="0" w:space="0" w:color="auto"/>
          </w:divBdr>
        </w:div>
        <w:div w:id="1275213309">
          <w:marLeft w:val="547"/>
          <w:marRight w:val="0"/>
          <w:marTop w:val="200"/>
          <w:marBottom w:val="0"/>
          <w:divBdr>
            <w:top w:val="none" w:sz="0" w:space="0" w:color="auto"/>
            <w:left w:val="none" w:sz="0" w:space="0" w:color="auto"/>
            <w:bottom w:val="none" w:sz="0" w:space="0" w:color="auto"/>
            <w:right w:val="none" w:sz="0" w:space="0" w:color="auto"/>
          </w:divBdr>
        </w:div>
        <w:div w:id="1732072166">
          <w:marLeft w:val="547"/>
          <w:marRight w:val="0"/>
          <w:marTop w:val="200"/>
          <w:marBottom w:val="0"/>
          <w:divBdr>
            <w:top w:val="none" w:sz="0" w:space="0" w:color="auto"/>
            <w:left w:val="none" w:sz="0" w:space="0" w:color="auto"/>
            <w:bottom w:val="none" w:sz="0" w:space="0" w:color="auto"/>
            <w:right w:val="none" w:sz="0" w:space="0" w:color="auto"/>
          </w:divBdr>
        </w:div>
        <w:div w:id="1840846051">
          <w:marLeft w:val="547"/>
          <w:marRight w:val="0"/>
          <w:marTop w:val="200"/>
          <w:marBottom w:val="0"/>
          <w:divBdr>
            <w:top w:val="none" w:sz="0" w:space="0" w:color="auto"/>
            <w:left w:val="none" w:sz="0" w:space="0" w:color="auto"/>
            <w:bottom w:val="none" w:sz="0" w:space="0" w:color="auto"/>
            <w:right w:val="none" w:sz="0" w:space="0" w:color="auto"/>
          </w:divBdr>
        </w:div>
        <w:div w:id="1907255531">
          <w:marLeft w:val="547"/>
          <w:marRight w:val="0"/>
          <w:marTop w:val="200"/>
          <w:marBottom w:val="0"/>
          <w:divBdr>
            <w:top w:val="none" w:sz="0" w:space="0" w:color="auto"/>
            <w:left w:val="none" w:sz="0" w:space="0" w:color="auto"/>
            <w:bottom w:val="none" w:sz="0" w:space="0" w:color="auto"/>
            <w:right w:val="none" w:sz="0" w:space="0" w:color="auto"/>
          </w:divBdr>
        </w:div>
        <w:div w:id="2119787756">
          <w:marLeft w:val="547"/>
          <w:marRight w:val="0"/>
          <w:marTop w:val="200"/>
          <w:marBottom w:val="0"/>
          <w:divBdr>
            <w:top w:val="none" w:sz="0" w:space="0" w:color="auto"/>
            <w:left w:val="none" w:sz="0" w:space="0" w:color="auto"/>
            <w:bottom w:val="none" w:sz="0" w:space="0" w:color="auto"/>
            <w:right w:val="none" w:sz="0" w:space="0" w:color="auto"/>
          </w:divBdr>
        </w:div>
      </w:divsChild>
    </w:div>
    <w:div w:id="768043703">
      <w:bodyDiv w:val="1"/>
      <w:marLeft w:val="0"/>
      <w:marRight w:val="0"/>
      <w:marTop w:val="0"/>
      <w:marBottom w:val="0"/>
      <w:divBdr>
        <w:top w:val="none" w:sz="0" w:space="0" w:color="auto"/>
        <w:left w:val="none" w:sz="0" w:space="0" w:color="auto"/>
        <w:bottom w:val="none" w:sz="0" w:space="0" w:color="auto"/>
        <w:right w:val="none" w:sz="0" w:space="0" w:color="auto"/>
      </w:divBdr>
    </w:div>
    <w:div w:id="882711972">
      <w:bodyDiv w:val="1"/>
      <w:marLeft w:val="0"/>
      <w:marRight w:val="0"/>
      <w:marTop w:val="0"/>
      <w:marBottom w:val="0"/>
      <w:divBdr>
        <w:top w:val="none" w:sz="0" w:space="0" w:color="auto"/>
        <w:left w:val="none" w:sz="0" w:space="0" w:color="auto"/>
        <w:bottom w:val="none" w:sz="0" w:space="0" w:color="auto"/>
        <w:right w:val="none" w:sz="0" w:space="0" w:color="auto"/>
      </w:divBdr>
    </w:div>
    <w:div w:id="1142310294">
      <w:bodyDiv w:val="1"/>
      <w:marLeft w:val="0"/>
      <w:marRight w:val="0"/>
      <w:marTop w:val="0"/>
      <w:marBottom w:val="0"/>
      <w:divBdr>
        <w:top w:val="none" w:sz="0" w:space="0" w:color="auto"/>
        <w:left w:val="none" w:sz="0" w:space="0" w:color="auto"/>
        <w:bottom w:val="none" w:sz="0" w:space="0" w:color="auto"/>
        <w:right w:val="none" w:sz="0" w:space="0" w:color="auto"/>
      </w:divBdr>
      <w:divsChild>
        <w:div w:id="49620519">
          <w:marLeft w:val="0"/>
          <w:marRight w:val="0"/>
          <w:marTop w:val="0"/>
          <w:marBottom w:val="0"/>
          <w:divBdr>
            <w:top w:val="none" w:sz="0" w:space="0" w:color="auto"/>
            <w:left w:val="none" w:sz="0" w:space="0" w:color="auto"/>
            <w:bottom w:val="none" w:sz="0" w:space="0" w:color="auto"/>
            <w:right w:val="none" w:sz="0" w:space="0" w:color="auto"/>
          </w:divBdr>
          <w:divsChild>
            <w:div w:id="365957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3326466">
      <w:bodyDiv w:val="1"/>
      <w:marLeft w:val="0"/>
      <w:marRight w:val="0"/>
      <w:marTop w:val="0"/>
      <w:marBottom w:val="0"/>
      <w:divBdr>
        <w:top w:val="none" w:sz="0" w:space="0" w:color="auto"/>
        <w:left w:val="none" w:sz="0" w:space="0" w:color="auto"/>
        <w:bottom w:val="none" w:sz="0" w:space="0" w:color="auto"/>
        <w:right w:val="none" w:sz="0" w:space="0" w:color="auto"/>
      </w:divBdr>
    </w:div>
    <w:div w:id="1327901894">
      <w:bodyDiv w:val="1"/>
      <w:marLeft w:val="0"/>
      <w:marRight w:val="0"/>
      <w:marTop w:val="0"/>
      <w:marBottom w:val="0"/>
      <w:divBdr>
        <w:top w:val="none" w:sz="0" w:space="0" w:color="auto"/>
        <w:left w:val="none" w:sz="0" w:space="0" w:color="auto"/>
        <w:bottom w:val="none" w:sz="0" w:space="0" w:color="auto"/>
        <w:right w:val="none" w:sz="0" w:space="0" w:color="auto"/>
      </w:divBdr>
      <w:divsChild>
        <w:div w:id="1073746110">
          <w:marLeft w:val="0"/>
          <w:marRight w:val="0"/>
          <w:marTop w:val="0"/>
          <w:marBottom w:val="0"/>
          <w:divBdr>
            <w:top w:val="none" w:sz="0" w:space="0" w:color="auto"/>
            <w:left w:val="none" w:sz="0" w:space="0" w:color="auto"/>
            <w:bottom w:val="none" w:sz="0" w:space="0" w:color="auto"/>
            <w:right w:val="none" w:sz="0" w:space="0" w:color="auto"/>
          </w:divBdr>
          <w:divsChild>
            <w:div w:id="1749381103">
              <w:marLeft w:val="0"/>
              <w:marRight w:val="0"/>
              <w:marTop w:val="0"/>
              <w:marBottom w:val="0"/>
              <w:divBdr>
                <w:top w:val="none" w:sz="0" w:space="0" w:color="auto"/>
                <w:left w:val="none" w:sz="0" w:space="0" w:color="auto"/>
                <w:bottom w:val="none" w:sz="0" w:space="0" w:color="auto"/>
                <w:right w:val="none" w:sz="0" w:space="0" w:color="auto"/>
              </w:divBdr>
              <w:divsChild>
                <w:div w:id="92475282">
                  <w:marLeft w:val="0"/>
                  <w:marRight w:val="0"/>
                  <w:marTop w:val="0"/>
                  <w:marBottom w:val="0"/>
                  <w:divBdr>
                    <w:top w:val="none" w:sz="0" w:space="0" w:color="auto"/>
                    <w:left w:val="none" w:sz="0" w:space="0" w:color="auto"/>
                    <w:bottom w:val="none" w:sz="0" w:space="0" w:color="auto"/>
                    <w:right w:val="none" w:sz="0" w:space="0" w:color="auto"/>
                  </w:divBdr>
                  <w:divsChild>
                    <w:div w:id="1800300975">
                      <w:marLeft w:val="-225"/>
                      <w:marRight w:val="-225"/>
                      <w:marTop w:val="100"/>
                      <w:marBottom w:val="0"/>
                      <w:divBdr>
                        <w:top w:val="none" w:sz="0" w:space="0" w:color="auto"/>
                        <w:left w:val="none" w:sz="0" w:space="0" w:color="auto"/>
                        <w:bottom w:val="none" w:sz="0" w:space="0" w:color="auto"/>
                        <w:right w:val="none" w:sz="0" w:space="0" w:color="auto"/>
                      </w:divBdr>
                      <w:divsChild>
                        <w:div w:id="1643998592">
                          <w:marLeft w:val="0"/>
                          <w:marRight w:val="0"/>
                          <w:marTop w:val="0"/>
                          <w:marBottom w:val="0"/>
                          <w:divBdr>
                            <w:top w:val="none" w:sz="0" w:space="0" w:color="auto"/>
                            <w:left w:val="none" w:sz="0" w:space="0" w:color="auto"/>
                            <w:bottom w:val="none" w:sz="0" w:space="0" w:color="auto"/>
                            <w:right w:val="none" w:sz="0" w:space="0" w:color="auto"/>
                          </w:divBdr>
                          <w:divsChild>
                            <w:div w:id="913199192">
                              <w:marLeft w:val="-225"/>
                              <w:marRight w:val="-225"/>
                              <w:marTop w:val="0"/>
                              <w:marBottom w:val="0"/>
                              <w:divBdr>
                                <w:top w:val="none" w:sz="0" w:space="0" w:color="auto"/>
                                <w:left w:val="none" w:sz="0" w:space="0" w:color="auto"/>
                                <w:bottom w:val="none" w:sz="0" w:space="0" w:color="auto"/>
                                <w:right w:val="none" w:sz="0" w:space="0" w:color="auto"/>
                              </w:divBdr>
                              <w:divsChild>
                                <w:div w:id="1573732392">
                                  <w:marLeft w:val="0"/>
                                  <w:marRight w:val="0"/>
                                  <w:marTop w:val="0"/>
                                  <w:marBottom w:val="0"/>
                                  <w:divBdr>
                                    <w:top w:val="none" w:sz="0" w:space="0" w:color="auto"/>
                                    <w:left w:val="none" w:sz="0" w:space="0" w:color="auto"/>
                                    <w:bottom w:val="none" w:sz="0" w:space="0" w:color="auto"/>
                                    <w:right w:val="none" w:sz="0" w:space="0" w:color="auto"/>
                                  </w:divBdr>
                                  <w:divsChild>
                                    <w:div w:id="1851676187">
                                      <w:marLeft w:val="0"/>
                                      <w:marRight w:val="0"/>
                                      <w:marTop w:val="0"/>
                                      <w:marBottom w:val="0"/>
                                      <w:divBdr>
                                        <w:top w:val="none" w:sz="0" w:space="0" w:color="auto"/>
                                        <w:left w:val="none" w:sz="0" w:space="0" w:color="auto"/>
                                        <w:bottom w:val="none" w:sz="0" w:space="0" w:color="auto"/>
                                        <w:right w:val="none" w:sz="0" w:space="0" w:color="auto"/>
                                      </w:divBdr>
                                      <w:divsChild>
                                        <w:div w:id="381445984">
                                          <w:marLeft w:val="0"/>
                                          <w:marRight w:val="0"/>
                                          <w:marTop w:val="0"/>
                                          <w:marBottom w:val="300"/>
                                          <w:divBdr>
                                            <w:top w:val="single" w:sz="6" w:space="11" w:color="E7E7E7"/>
                                            <w:left w:val="single" w:sz="6" w:space="11" w:color="E7E7E7"/>
                                            <w:bottom w:val="single" w:sz="6" w:space="11" w:color="E7E7E7"/>
                                            <w:right w:val="single" w:sz="6" w:space="11" w:color="E7E7E7"/>
                                          </w:divBdr>
                                          <w:divsChild>
                                            <w:div w:id="733773373">
                                              <w:marLeft w:val="0"/>
                                              <w:marRight w:val="0"/>
                                              <w:marTop w:val="0"/>
                                              <w:marBottom w:val="0"/>
                                              <w:divBdr>
                                                <w:top w:val="none" w:sz="0" w:space="0" w:color="auto"/>
                                                <w:left w:val="none" w:sz="0" w:space="0" w:color="auto"/>
                                                <w:bottom w:val="none" w:sz="0" w:space="0" w:color="auto"/>
                                                <w:right w:val="none" w:sz="0" w:space="0" w:color="auto"/>
                                              </w:divBdr>
                                              <w:divsChild>
                                                <w:div w:id="1120878818">
                                                  <w:marLeft w:val="0"/>
                                                  <w:marRight w:val="0"/>
                                                  <w:marTop w:val="0"/>
                                                  <w:marBottom w:val="0"/>
                                                  <w:divBdr>
                                                    <w:top w:val="none" w:sz="0" w:space="0" w:color="auto"/>
                                                    <w:left w:val="none" w:sz="0" w:space="0" w:color="auto"/>
                                                    <w:bottom w:val="none" w:sz="0" w:space="0" w:color="auto"/>
                                                    <w:right w:val="none" w:sz="0" w:space="0" w:color="auto"/>
                                                  </w:divBdr>
                                                  <w:divsChild>
                                                    <w:div w:id="402677271">
                                                      <w:marLeft w:val="0"/>
                                                      <w:marRight w:val="0"/>
                                                      <w:marTop w:val="0"/>
                                                      <w:marBottom w:val="0"/>
                                                      <w:divBdr>
                                                        <w:top w:val="none" w:sz="0" w:space="0" w:color="auto"/>
                                                        <w:left w:val="none" w:sz="0" w:space="0" w:color="auto"/>
                                                        <w:bottom w:val="none" w:sz="0" w:space="0" w:color="auto"/>
                                                        <w:right w:val="none" w:sz="0" w:space="0" w:color="auto"/>
                                                      </w:divBdr>
                                                      <w:divsChild>
                                                        <w:div w:id="1637292998">
                                                          <w:marLeft w:val="0"/>
                                                          <w:marRight w:val="0"/>
                                                          <w:marTop w:val="0"/>
                                                          <w:marBottom w:val="0"/>
                                                          <w:divBdr>
                                                            <w:top w:val="none" w:sz="0" w:space="0" w:color="auto"/>
                                                            <w:left w:val="none" w:sz="0" w:space="0" w:color="auto"/>
                                                            <w:bottom w:val="none" w:sz="0" w:space="0" w:color="auto"/>
                                                            <w:right w:val="none" w:sz="0" w:space="0" w:color="auto"/>
                                                          </w:divBdr>
                                                          <w:divsChild>
                                                            <w:div w:id="1661958882">
                                                              <w:marLeft w:val="0"/>
                                                              <w:marRight w:val="0"/>
                                                              <w:marTop w:val="75"/>
                                                              <w:marBottom w:val="0"/>
                                                              <w:divBdr>
                                                                <w:top w:val="none" w:sz="0" w:space="0" w:color="auto"/>
                                                                <w:left w:val="none" w:sz="0" w:space="0" w:color="auto"/>
                                                                <w:bottom w:val="none" w:sz="0" w:space="0" w:color="auto"/>
                                                                <w:right w:val="none" w:sz="0" w:space="0" w:color="auto"/>
                                                              </w:divBdr>
                                                              <w:divsChild>
                                                                <w:div w:id="567961966">
                                                                  <w:marLeft w:val="0"/>
                                                                  <w:marRight w:val="0"/>
                                                                  <w:marTop w:val="0"/>
                                                                  <w:marBottom w:val="0"/>
                                                                  <w:divBdr>
                                                                    <w:top w:val="none" w:sz="0" w:space="0" w:color="auto"/>
                                                                    <w:left w:val="none" w:sz="0" w:space="0" w:color="auto"/>
                                                                    <w:bottom w:val="none" w:sz="0" w:space="0" w:color="auto"/>
                                                                    <w:right w:val="none" w:sz="0" w:space="0" w:color="auto"/>
                                                                  </w:divBdr>
                                                                  <w:divsChild>
                                                                    <w:div w:id="1949266286">
                                                                      <w:marLeft w:val="0"/>
                                                                      <w:marRight w:val="0"/>
                                                                      <w:marTop w:val="0"/>
                                                                      <w:marBottom w:val="0"/>
                                                                      <w:divBdr>
                                                                        <w:top w:val="none" w:sz="0" w:space="0" w:color="auto"/>
                                                                        <w:left w:val="none" w:sz="0" w:space="0" w:color="auto"/>
                                                                        <w:bottom w:val="none" w:sz="0" w:space="0" w:color="auto"/>
                                                                        <w:right w:val="none" w:sz="0" w:space="0" w:color="auto"/>
                                                                      </w:divBdr>
                                                                      <w:divsChild>
                                                                        <w:div w:id="322587118">
                                                                          <w:marLeft w:val="0"/>
                                                                          <w:marRight w:val="0"/>
                                                                          <w:marTop w:val="0"/>
                                                                          <w:marBottom w:val="0"/>
                                                                          <w:divBdr>
                                                                            <w:top w:val="none" w:sz="0" w:space="0" w:color="auto"/>
                                                                            <w:left w:val="none" w:sz="0" w:space="0" w:color="auto"/>
                                                                            <w:bottom w:val="none" w:sz="0" w:space="0" w:color="auto"/>
                                                                            <w:right w:val="none" w:sz="0" w:space="0" w:color="auto"/>
                                                                          </w:divBdr>
                                                                          <w:divsChild>
                                                                            <w:div w:id="1288388370">
                                                                              <w:marLeft w:val="0"/>
                                                                              <w:marRight w:val="0"/>
                                                                              <w:marTop w:val="0"/>
                                                                              <w:marBottom w:val="0"/>
                                                                              <w:divBdr>
                                                                                <w:top w:val="none" w:sz="0" w:space="0" w:color="auto"/>
                                                                                <w:left w:val="none" w:sz="0" w:space="0" w:color="auto"/>
                                                                                <w:bottom w:val="none" w:sz="0" w:space="0" w:color="auto"/>
                                                                                <w:right w:val="none" w:sz="0" w:space="0" w:color="auto"/>
                                                                              </w:divBdr>
                                                                            </w:div>
                                                                            <w:div w:id="333149149">
                                                                              <w:marLeft w:val="0"/>
                                                                              <w:marRight w:val="0"/>
                                                                              <w:marTop w:val="0"/>
                                                                              <w:marBottom w:val="0"/>
                                                                              <w:divBdr>
                                                                                <w:top w:val="none" w:sz="0" w:space="0" w:color="auto"/>
                                                                                <w:left w:val="none" w:sz="0" w:space="0" w:color="auto"/>
                                                                                <w:bottom w:val="none" w:sz="0" w:space="0" w:color="auto"/>
                                                                                <w:right w:val="none" w:sz="0" w:space="0" w:color="auto"/>
                                                                              </w:divBdr>
                                                                              <w:divsChild>
                                                                                <w:div w:id="72668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606462">
                                                                          <w:marLeft w:val="0"/>
                                                                          <w:marRight w:val="0"/>
                                                                          <w:marTop w:val="0"/>
                                                                          <w:marBottom w:val="0"/>
                                                                          <w:divBdr>
                                                                            <w:top w:val="none" w:sz="0" w:space="0" w:color="auto"/>
                                                                            <w:left w:val="none" w:sz="0" w:space="0" w:color="auto"/>
                                                                            <w:bottom w:val="none" w:sz="0" w:space="0" w:color="auto"/>
                                                                            <w:right w:val="none" w:sz="0" w:space="0" w:color="auto"/>
                                                                          </w:divBdr>
                                                                          <w:divsChild>
                                                                            <w:div w:id="1361782970">
                                                                              <w:marLeft w:val="0"/>
                                                                              <w:marRight w:val="0"/>
                                                                              <w:marTop w:val="0"/>
                                                                              <w:marBottom w:val="0"/>
                                                                              <w:divBdr>
                                                                                <w:top w:val="none" w:sz="0" w:space="0" w:color="auto"/>
                                                                                <w:left w:val="none" w:sz="0" w:space="0" w:color="auto"/>
                                                                                <w:bottom w:val="none" w:sz="0" w:space="0" w:color="auto"/>
                                                                                <w:right w:val="none" w:sz="0" w:space="0" w:color="auto"/>
                                                                              </w:divBdr>
                                                                            </w:div>
                                                                            <w:div w:id="1741252299">
                                                                              <w:marLeft w:val="0"/>
                                                                              <w:marRight w:val="0"/>
                                                                              <w:marTop w:val="0"/>
                                                                              <w:marBottom w:val="0"/>
                                                                              <w:divBdr>
                                                                                <w:top w:val="none" w:sz="0" w:space="0" w:color="auto"/>
                                                                                <w:left w:val="none" w:sz="0" w:space="0" w:color="auto"/>
                                                                                <w:bottom w:val="none" w:sz="0" w:space="0" w:color="auto"/>
                                                                                <w:right w:val="none" w:sz="0" w:space="0" w:color="auto"/>
                                                                              </w:divBdr>
                                                                              <w:divsChild>
                                                                                <w:div w:id="59914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553677">
                                                                          <w:marLeft w:val="0"/>
                                                                          <w:marRight w:val="0"/>
                                                                          <w:marTop w:val="0"/>
                                                                          <w:marBottom w:val="0"/>
                                                                          <w:divBdr>
                                                                            <w:top w:val="none" w:sz="0" w:space="0" w:color="auto"/>
                                                                            <w:left w:val="none" w:sz="0" w:space="0" w:color="auto"/>
                                                                            <w:bottom w:val="none" w:sz="0" w:space="0" w:color="auto"/>
                                                                            <w:right w:val="none" w:sz="0" w:space="0" w:color="auto"/>
                                                                          </w:divBdr>
                                                                          <w:divsChild>
                                                                            <w:div w:id="925114667">
                                                                              <w:marLeft w:val="0"/>
                                                                              <w:marRight w:val="0"/>
                                                                              <w:marTop w:val="0"/>
                                                                              <w:marBottom w:val="0"/>
                                                                              <w:divBdr>
                                                                                <w:top w:val="none" w:sz="0" w:space="0" w:color="auto"/>
                                                                                <w:left w:val="none" w:sz="0" w:space="0" w:color="auto"/>
                                                                                <w:bottom w:val="none" w:sz="0" w:space="0" w:color="auto"/>
                                                                                <w:right w:val="none" w:sz="0" w:space="0" w:color="auto"/>
                                                                              </w:divBdr>
                                                                            </w:div>
                                                                            <w:div w:id="536771796">
                                                                              <w:marLeft w:val="0"/>
                                                                              <w:marRight w:val="0"/>
                                                                              <w:marTop w:val="0"/>
                                                                              <w:marBottom w:val="0"/>
                                                                              <w:divBdr>
                                                                                <w:top w:val="none" w:sz="0" w:space="0" w:color="auto"/>
                                                                                <w:left w:val="none" w:sz="0" w:space="0" w:color="auto"/>
                                                                                <w:bottom w:val="none" w:sz="0" w:space="0" w:color="auto"/>
                                                                                <w:right w:val="none" w:sz="0" w:space="0" w:color="auto"/>
                                                                              </w:divBdr>
                                                                              <w:divsChild>
                                                                                <w:div w:id="1834711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7390167">
                                                                          <w:marLeft w:val="0"/>
                                                                          <w:marRight w:val="0"/>
                                                                          <w:marTop w:val="0"/>
                                                                          <w:marBottom w:val="0"/>
                                                                          <w:divBdr>
                                                                            <w:top w:val="none" w:sz="0" w:space="0" w:color="auto"/>
                                                                            <w:left w:val="none" w:sz="0" w:space="0" w:color="auto"/>
                                                                            <w:bottom w:val="none" w:sz="0" w:space="0" w:color="auto"/>
                                                                            <w:right w:val="none" w:sz="0" w:space="0" w:color="auto"/>
                                                                          </w:divBdr>
                                                                          <w:divsChild>
                                                                            <w:div w:id="31183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45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4984439">
                                  <w:marLeft w:val="0"/>
                                  <w:marRight w:val="0"/>
                                  <w:marTop w:val="0"/>
                                  <w:marBottom w:val="0"/>
                                  <w:divBdr>
                                    <w:top w:val="none" w:sz="0" w:space="0" w:color="auto"/>
                                    <w:left w:val="none" w:sz="0" w:space="0" w:color="auto"/>
                                    <w:bottom w:val="none" w:sz="0" w:space="0" w:color="auto"/>
                                    <w:right w:val="none" w:sz="0" w:space="0" w:color="auto"/>
                                  </w:divBdr>
                                  <w:divsChild>
                                    <w:div w:id="299313722">
                                      <w:marLeft w:val="0"/>
                                      <w:marRight w:val="0"/>
                                      <w:marTop w:val="0"/>
                                      <w:marBottom w:val="0"/>
                                      <w:divBdr>
                                        <w:top w:val="none" w:sz="0" w:space="0" w:color="auto"/>
                                        <w:left w:val="none" w:sz="0" w:space="0" w:color="auto"/>
                                        <w:bottom w:val="none" w:sz="0" w:space="0" w:color="auto"/>
                                        <w:right w:val="none" w:sz="0" w:space="0" w:color="auto"/>
                                      </w:divBdr>
                                      <w:divsChild>
                                        <w:div w:id="631982426">
                                          <w:marLeft w:val="0"/>
                                          <w:marRight w:val="0"/>
                                          <w:marTop w:val="0"/>
                                          <w:marBottom w:val="0"/>
                                          <w:divBdr>
                                            <w:top w:val="none" w:sz="0" w:space="0" w:color="auto"/>
                                            <w:left w:val="none" w:sz="0" w:space="0" w:color="auto"/>
                                            <w:bottom w:val="none" w:sz="0" w:space="0" w:color="auto"/>
                                            <w:right w:val="none" w:sz="0" w:space="0" w:color="auto"/>
                                          </w:divBdr>
                                          <w:divsChild>
                                            <w:div w:id="2020081671">
                                              <w:marLeft w:val="0"/>
                                              <w:marRight w:val="0"/>
                                              <w:marTop w:val="0"/>
                                              <w:marBottom w:val="0"/>
                                              <w:divBdr>
                                                <w:top w:val="none" w:sz="0" w:space="0" w:color="auto"/>
                                                <w:left w:val="none" w:sz="0" w:space="0" w:color="auto"/>
                                                <w:bottom w:val="none" w:sz="0" w:space="0" w:color="auto"/>
                                                <w:right w:val="none" w:sz="0" w:space="0" w:color="auto"/>
                                              </w:divBdr>
                                              <w:divsChild>
                                                <w:div w:id="954992657">
                                                  <w:marLeft w:val="0"/>
                                                  <w:marRight w:val="0"/>
                                                  <w:marTop w:val="0"/>
                                                  <w:marBottom w:val="0"/>
                                                  <w:divBdr>
                                                    <w:top w:val="none" w:sz="0" w:space="0" w:color="auto"/>
                                                    <w:left w:val="none" w:sz="0" w:space="0" w:color="auto"/>
                                                    <w:bottom w:val="none" w:sz="0" w:space="0" w:color="auto"/>
                                                    <w:right w:val="none" w:sz="0" w:space="0" w:color="auto"/>
                                                  </w:divBdr>
                                                  <w:divsChild>
                                                    <w:div w:id="1588618061">
                                                      <w:marLeft w:val="0"/>
                                                      <w:marRight w:val="0"/>
                                                      <w:marTop w:val="0"/>
                                                      <w:marBottom w:val="0"/>
                                                      <w:divBdr>
                                                        <w:top w:val="none" w:sz="0" w:space="0" w:color="auto"/>
                                                        <w:left w:val="none" w:sz="0" w:space="0" w:color="auto"/>
                                                        <w:bottom w:val="none" w:sz="0" w:space="0" w:color="auto"/>
                                                        <w:right w:val="none" w:sz="0" w:space="0" w:color="auto"/>
                                                      </w:divBdr>
                                                    </w:div>
                                                  </w:divsChild>
                                                </w:div>
                                                <w:div w:id="1460490029">
                                                  <w:marLeft w:val="0"/>
                                                  <w:marRight w:val="0"/>
                                                  <w:marTop w:val="0"/>
                                                  <w:marBottom w:val="0"/>
                                                  <w:divBdr>
                                                    <w:top w:val="none" w:sz="0" w:space="0" w:color="auto"/>
                                                    <w:left w:val="none" w:sz="0" w:space="0" w:color="auto"/>
                                                    <w:bottom w:val="none" w:sz="0" w:space="0" w:color="auto"/>
                                                    <w:right w:val="none" w:sz="0" w:space="0" w:color="auto"/>
                                                  </w:divBdr>
                                                  <w:divsChild>
                                                    <w:div w:id="1157961355">
                                                      <w:marLeft w:val="0"/>
                                                      <w:marRight w:val="0"/>
                                                      <w:marTop w:val="0"/>
                                                      <w:marBottom w:val="0"/>
                                                      <w:divBdr>
                                                        <w:top w:val="none" w:sz="0" w:space="0" w:color="auto"/>
                                                        <w:left w:val="none" w:sz="0" w:space="0" w:color="auto"/>
                                                        <w:bottom w:val="none" w:sz="0" w:space="0" w:color="auto"/>
                                                        <w:right w:val="none" w:sz="0" w:space="0" w:color="auto"/>
                                                      </w:divBdr>
                                                      <w:divsChild>
                                                        <w:div w:id="23123817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412239247">
                                                  <w:marLeft w:val="0"/>
                                                  <w:marRight w:val="0"/>
                                                  <w:marTop w:val="0"/>
                                                  <w:marBottom w:val="300"/>
                                                  <w:divBdr>
                                                    <w:top w:val="single" w:sz="6" w:space="0" w:color="E7E7E7"/>
                                                    <w:left w:val="single" w:sz="6" w:space="0" w:color="E7E7E7"/>
                                                    <w:bottom w:val="single" w:sz="6" w:space="0" w:color="E7E7E7"/>
                                                    <w:right w:val="single" w:sz="6" w:space="0" w:color="E7E7E7"/>
                                                  </w:divBdr>
                                                  <w:divsChild>
                                                    <w:div w:id="154683618">
                                                      <w:marLeft w:val="0"/>
                                                      <w:marRight w:val="0"/>
                                                      <w:marTop w:val="0"/>
                                                      <w:marBottom w:val="0"/>
                                                      <w:divBdr>
                                                        <w:top w:val="none" w:sz="0" w:space="0" w:color="auto"/>
                                                        <w:left w:val="none" w:sz="0" w:space="0" w:color="auto"/>
                                                        <w:bottom w:val="none" w:sz="0" w:space="0" w:color="auto"/>
                                                        <w:right w:val="none" w:sz="0" w:space="0" w:color="auto"/>
                                                      </w:divBdr>
                                                      <w:divsChild>
                                                        <w:div w:id="1072891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212568">
                                                  <w:marLeft w:val="0"/>
                                                  <w:marRight w:val="0"/>
                                                  <w:marTop w:val="0"/>
                                                  <w:marBottom w:val="300"/>
                                                  <w:divBdr>
                                                    <w:top w:val="single" w:sz="6" w:space="0" w:color="E7E7E7"/>
                                                    <w:left w:val="single" w:sz="6" w:space="0" w:color="E7E7E7"/>
                                                    <w:bottom w:val="single" w:sz="6" w:space="0" w:color="E7E7E7"/>
                                                    <w:right w:val="single" w:sz="6" w:space="0" w:color="E7E7E7"/>
                                                  </w:divBdr>
                                                  <w:divsChild>
                                                    <w:div w:id="662199098">
                                                      <w:marLeft w:val="0"/>
                                                      <w:marRight w:val="0"/>
                                                      <w:marTop w:val="0"/>
                                                      <w:marBottom w:val="0"/>
                                                      <w:divBdr>
                                                        <w:top w:val="none" w:sz="0" w:space="0" w:color="auto"/>
                                                        <w:left w:val="none" w:sz="0" w:space="0" w:color="auto"/>
                                                        <w:bottom w:val="none" w:sz="0" w:space="0" w:color="auto"/>
                                                        <w:right w:val="none" w:sz="0" w:space="0" w:color="auto"/>
                                                      </w:divBdr>
                                                      <w:divsChild>
                                                        <w:div w:id="171461004">
                                                          <w:marLeft w:val="0"/>
                                                          <w:marRight w:val="0"/>
                                                          <w:marTop w:val="0"/>
                                                          <w:marBottom w:val="0"/>
                                                          <w:divBdr>
                                                            <w:top w:val="none" w:sz="0" w:space="0" w:color="auto"/>
                                                            <w:left w:val="none" w:sz="0" w:space="0" w:color="auto"/>
                                                            <w:bottom w:val="none" w:sz="0" w:space="0" w:color="auto"/>
                                                            <w:right w:val="none" w:sz="0" w:space="0" w:color="auto"/>
                                                          </w:divBdr>
                                                        </w:div>
                                                      </w:divsChild>
                                                    </w:div>
                                                    <w:div w:id="1569684350">
                                                      <w:marLeft w:val="0"/>
                                                      <w:marRight w:val="0"/>
                                                      <w:marTop w:val="0"/>
                                                      <w:marBottom w:val="0"/>
                                                      <w:divBdr>
                                                        <w:top w:val="none" w:sz="0" w:space="0" w:color="auto"/>
                                                        <w:left w:val="none" w:sz="0" w:space="0" w:color="auto"/>
                                                        <w:bottom w:val="none" w:sz="0" w:space="0" w:color="auto"/>
                                                        <w:right w:val="none" w:sz="0" w:space="0" w:color="auto"/>
                                                      </w:divBdr>
                                                      <w:divsChild>
                                                        <w:div w:id="1979604250">
                                                          <w:marLeft w:val="0"/>
                                                          <w:marRight w:val="0"/>
                                                          <w:marTop w:val="0"/>
                                                          <w:marBottom w:val="0"/>
                                                          <w:divBdr>
                                                            <w:top w:val="none" w:sz="0" w:space="0" w:color="auto"/>
                                                            <w:left w:val="none" w:sz="0" w:space="0" w:color="auto"/>
                                                            <w:bottom w:val="none" w:sz="0" w:space="0" w:color="auto"/>
                                                            <w:right w:val="none" w:sz="0" w:space="0" w:color="auto"/>
                                                          </w:divBdr>
                                                          <w:divsChild>
                                                            <w:div w:id="107429051">
                                                              <w:marLeft w:val="0"/>
                                                              <w:marRight w:val="0"/>
                                                              <w:marTop w:val="0"/>
                                                              <w:marBottom w:val="0"/>
                                                              <w:divBdr>
                                                                <w:top w:val="none" w:sz="0" w:space="0" w:color="auto"/>
                                                                <w:left w:val="none" w:sz="0" w:space="0" w:color="auto"/>
                                                                <w:bottom w:val="none" w:sz="0" w:space="0" w:color="auto"/>
                                                                <w:right w:val="none" w:sz="0" w:space="0" w:color="auto"/>
                                                              </w:divBdr>
                                                              <w:divsChild>
                                                                <w:div w:id="1964849636">
                                                                  <w:marLeft w:val="0"/>
                                                                  <w:marRight w:val="0"/>
                                                                  <w:marTop w:val="0"/>
                                                                  <w:marBottom w:val="0"/>
                                                                  <w:divBdr>
                                                                    <w:top w:val="none" w:sz="0" w:space="0" w:color="auto"/>
                                                                    <w:left w:val="none" w:sz="0" w:space="0" w:color="auto"/>
                                                                    <w:bottom w:val="none" w:sz="0" w:space="0" w:color="auto"/>
                                                                    <w:right w:val="none" w:sz="0" w:space="0" w:color="auto"/>
                                                                  </w:divBdr>
                                                                  <w:divsChild>
                                                                    <w:div w:id="1066415959">
                                                                      <w:marLeft w:val="0"/>
                                                                      <w:marRight w:val="0"/>
                                                                      <w:marTop w:val="0"/>
                                                                      <w:marBottom w:val="0"/>
                                                                      <w:divBdr>
                                                                        <w:top w:val="none" w:sz="0" w:space="0" w:color="auto"/>
                                                                        <w:left w:val="none" w:sz="0" w:space="0" w:color="auto"/>
                                                                        <w:bottom w:val="none" w:sz="0" w:space="0" w:color="auto"/>
                                                                        <w:right w:val="none" w:sz="0" w:space="0" w:color="auto"/>
                                                                      </w:divBdr>
                                                                      <w:divsChild>
                                                                        <w:div w:id="267857207">
                                                                          <w:marLeft w:val="0"/>
                                                                          <w:marRight w:val="-240"/>
                                                                          <w:marTop w:val="0"/>
                                                                          <w:marBottom w:val="0"/>
                                                                          <w:divBdr>
                                                                            <w:top w:val="none" w:sz="0" w:space="0" w:color="auto"/>
                                                                            <w:left w:val="none" w:sz="0" w:space="0" w:color="auto"/>
                                                                            <w:bottom w:val="none" w:sz="0" w:space="0" w:color="auto"/>
                                                                            <w:right w:val="none" w:sz="0" w:space="0" w:color="auto"/>
                                                                          </w:divBdr>
                                                                        </w:div>
                                                                      </w:divsChild>
                                                                    </w:div>
                                                                    <w:div w:id="118838963">
                                                                      <w:marLeft w:val="0"/>
                                                                      <w:marRight w:val="0"/>
                                                                      <w:marTop w:val="0"/>
                                                                      <w:marBottom w:val="0"/>
                                                                      <w:divBdr>
                                                                        <w:top w:val="none" w:sz="0" w:space="0" w:color="auto"/>
                                                                        <w:left w:val="none" w:sz="0" w:space="0" w:color="auto"/>
                                                                        <w:bottom w:val="none" w:sz="0" w:space="0" w:color="auto"/>
                                                                        <w:right w:val="none" w:sz="0" w:space="0" w:color="auto"/>
                                                                      </w:divBdr>
                                                                      <w:divsChild>
                                                                        <w:div w:id="1891459032">
                                                                          <w:marLeft w:val="0"/>
                                                                          <w:marRight w:val="-240"/>
                                                                          <w:marTop w:val="0"/>
                                                                          <w:marBottom w:val="0"/>
                                                                          <w:divBdr>
                                                                            <w:top w:val="none" w:sz="0" w:space="0" w:color="auto"/>
                                                                            <w:left w:val="none" w:sz="0" w:space="0" w:color="auto"/>
                                                                            <w:bottom w:val="none" w:sz="0" w:space="0" w:color="auto"/>
                                                                            <w:right w:val="none" w:sz="0" w:space="0" w:color="auto"/>
                                                                          </w:divBdr>
                                                                        </w:div>
                                                                      </w:divsChild>
                                                                    </w:div>
                                                                    <w:div w:id="108743396">
                                                                      <w:marLeft w:val="0"/>
                                                                      <w:marRight w:val="0"/>
                                                                      <w:marTop w:val="0"/>
                                                                      <w:marBottom w:val="0"/>
                                                                      <w:divBdr>
                                                                        <w:top w:val="none" w:sz="0" w:space="0" w:color="auto"/>
                                                                        <w:left w:val="none" w:sz="0" w:space="0" w:color="auto"/>
                                                                        <w:bottom w:val="none" w:sz="0" w:space="0" w:color="auto"/>
                                                                        <w:right w:val="none" w:sz="0" w:space="0" w:color="auto"/>
                                                                      </w:divBdr>
                                                                      <w:divsChild>
                                                                        <w:div w:id="1117869162">
                                                                          <w:marLeft w:val="0"/>
                                                                          <w:marRight w:val="-240"/>
                                                                          <w:marTop w:val="0"/>
                                                                          <w:marBottom w:val="0"/>
                                                                          <w:divBdr>
                                                                            <w:top w:val="none" w:sz="0" w:space="0" w:color="auto"/>
                                                                            <w:left w:val="none" w:sz="0" w:space="0" w:color="auto"/>
                                                                            <w:bottom w:val="none" w:sz="0" w:space="0" w:color="auto"/>
                                                                            <w:right w:val="none" w:sz="0" w:space="0" w:color="auto"/>
                                                                          </w:divBdr>
                                                                        </w:div>
                                                                      </w:divsChild>
                                                                    </w:div>
                                                                    <w:div w:id="1824350196">
                                                                      <w:marLeft w:val="0"/>
                                                                      <w:marRight w:val="0"/>
                                                                      <w:marTop w:val="0"/>
                                                                      <w:marBottom w:val="0"/>
                                                                      <w:divBdr>
                                                                        <w:top w:val="none" w:sz="0" w:space="0" w:color="auto"/>
                                                                        <w:left w:val="none" w:sz="0" w:space="0" w:color="auto"/>
                                                                        <w:bottom w:val="none" w:sz="0" w:space="0" w:color="auto"/>
                                                                        <w:right w:val="none" w:sz="0" w:space="0" w:color="auto"/>
                                                                      </w:divBdr>
                                                                      <w:divsChild>
                                                                        <w:div w:id="934091260">
                                                                          <w:marLeft w:val="0"/>
                                                                          <w:marRight w:val="-240"/>
                                                                          <w:marTop w:val="0"/>
                                                                          <w:marBottom w:val="0"/>
                                                                          <w:divBdr>
                                                                            <w:top w:val="none" w:sz="0" w:space="0" w:color="auto"/>
                                                                            <w:left w:val="none" w:sz="0" w:space="0" w:color="auto"/>
                                                                            <w:bottom w:val="none" w:sz="0" w:space="0" w:color="auto"/>
                                                                            <w:right w:val="none" w:sz="0" w:space="0" w:color="auto"/>
                                                                          </w:divBdr>
                                                                        </w:div>
                                                                      </w:divsChild>
                                                                    </w:div>
                                                                    <w:div w:id="2133091018">
                                                                      <w:marLeft w:val="0"/>
                                                                      <w:marRight w:val="0"/>
                                                                      <w:marTop w:val="0"/>
                                                                      <w:marBottom w:val="0"/>
                                                                      <w:divBdr>
                                                                        <w:top w:val="none" w:sz="0" w:space="0" w:color="auto"/>
                                                                        <w:left w:val="none" w:sz="0" w:space="0" w:color="auto"/>
                                                                        <w:bottom w:val="none" w:sz="0" w:space="0" w:color="auto"/>
                                                                        <w:right w:val="none" w:sz="0" w:space="0" w:color="auto"/>
                                                                      </w:divBdr>
                                                                      <w:divsChild>
                                                                        <w:div w:id="1513178190">
                                                                          <w:marLeft w:val="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2452468">
                                                  <w:marLeft w:val="0"/>
                                                  <w:marRight w:val="0"/>
                                                  <w:marTop w:val="0"/>
                                                  <w:marBottom w:val="300"/>
                                                  <w:divBdr>
                                                    <w:top w:val="single" w:sz="6" w:space="0" w:color="E7E7E7"/>
                                                    <w:left w:val="single" w:sz="6" w:space="0" w:color="E7E7E7"/>
                                                    <w:bottom w:val="single" w:sz="6" w:space="0" w:color="E7E7E7"/>
                                                    <w:right w:val="single" w:sz="6" w:space="0" w:color="E7E7E7"/>
                                                  </w:divBdr>
                                                  <w:divsChild>
                                                    <w:div w:id="1410731236">
                                                      <w:marLeft w:val="0"/>
                                                      <w:marRight w:val="0"/>
                                                      <w:marTop w:val="0"/>
                                                      <w:marBottom w:val="0"/>
                                                      <w:divBdr>
                                                        <w:top w:val="none" w:sz="0" w:space="0" w:color="auto"/>
                                                        <w:left w:val="none" w:sz="0" w:space="0" w:color="auto"/>
                                                        <w:bottom w:val="none" w:sz="0" w:space="0" w:color="auto"/>
                                                        <w:right w:val="none" w:sz="0" w:space="0" w:color="auto"/>
                                                      </w:divBdr>
                                                    </w:div>
                                                    <w:div w:id="1740445896">
                                                      <w:marLeft w:val="0"/>
                                                      <w:marRight w:val="0"/>
                                                      <w:marTop w:val="0"/>
                                                      <w:marBottom w:val="0"/>
                                                      <w:divBdr>
                                                        <w:top w:val="none" w:sz="0" w:space="0" w:color="auto"/>
                                                        <w:left w:val="none" w:sz="0" w:space="0" w:color="auto"/>
                                                        <w:bottom w:val="none" w:sz="0" w:space="0" w:color="auto"/>
                                                        <w:right w:val="none" w:sz="0" w:space="0" w:color="auto"/>
                                                      </w:divBdr>
                                                      <w:divsChild>
                                                        <w:div w:id="840388976">
                                                          <w:marLeft w:val="0"/>
                                                          <w:marRight w:val="0"/>
                                                          <w:marTop w:val="0"/>
                                                          <w:marBottom w:val="0"/>
                                                          <w:divBdr>
                                                            <w:top w:val="none" w:sz="0" w:space="0" w:color="auto"/>
                                                            <w:left w:val="none" w:sz="0" w:space="0" w:color="auto"/>
                                                            <w:bottom w:val="none" w:sz="0" w:space="0" w:color="auto"/>
                                                            <w:right w:val="none" w:sz="0" w:space="0" w:color="auto"/>
                                                          </w:divBdr>
                                                          <w:divsChild>
                                                            <w:div w:id="2016689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08707432">
          <w:marLeft w:val="0"/>
          <w:marRight w:val="0"/>
          <w:marTop w:val="0"/>
          <w:marBottom w:val="0"/>
          <w:divBdr>
            <w:top w:val="none" w:sz="0" w:space="0" w:color="auto"/>
            <w:left w:val="none" w:sz="0" w:space="0" w:color="auto"/>
            <w:bottom w:val="none" w:sz="0" w:space="0" w:color="auto"/>
            <w:right w:val="none" w:sz="0" w:space="0" w:color="auto"/>
          </w:divBdr>
          <w:divsChild>
            <w:div w:id="16858502">
              <w:marLeft w:val="0"/>
              <w:marRight w:val="0"/>
              <w:marTop w:val="0"/>
              <w:marBottom w:val="0"/>
              <w:divBdr>
                <w:top w:val="none" w:sz="0" w:space="0" w:color="auto"/>
                <w:left w:val="none" w:sz="0" w:space="0" w:color="auto"/>
                <w:bottom w:val="none" w:sz="0" w:space="0" w:color="auto"/>
                <w:right w:val="none" w:sz="0" w:space="0" w:color="auto"/>
              </w:divBdr>
              <w:divsChild>
                <w:div w:id="619453845">
                  <w:marLeft w:val="0"/>
                  <w:marRight w:val="0"/>
                  <w:marTop w:val="0"/>
                  <w:marBottom w:val="0"/>
                  <w:divBdr>
                    <w:top w:val="none" w:sz="0" w:space="0" w:color="auto"/>
                    <w:left w:val="none" w:sz="0" w:space="0" w:color="auto"/>
                    <w:bottom w:val="none" w:sz="0" w:space="0" w:color="auto"/>
                    <w:right w:val="none" w:sz="0" w:space="0" w:color="auto"/>
                  </w:divBdr>
                  <w:divsChild>
                    <w:div w:id="104190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286306">
      <w:bodyDiv w:val="1"/>
      <w:marLeft w:val="0"/>
      <w:marRight w:val="0"/>
      <w:marTop w:val="0"/>
      <w:marBottom w:val="0"/>
      <w:divBdr>
        <w:top w:val="none" w:sz="0" w:space="0" w:color="auto"/>
        <w:left w:val="none" w:sz="0" w:space="0" w:color="auto"/>
        <w:bottom w:val="none" w:sz="0" w:space="0" w:color="auto"/>
        <w:right w:val="none" w:sz="0" w:space="0" w:color="auto"/>
      </w:divBdr>
    </w:div>
    <w:div w:id="1365207594">
      <w:bodyDiv w:val="1"/>
      <w:marLeft w:val="0"/>
      <w:marRight w:val="0"/>
      <w:marTop w:val="0"/>
      <w:marBottom w:val="0"/>
      <w:divBdr>
        <w:top w:val="none" w:sz="0" w:space="0" w:color="auto"/>
        <w:left w:val="none" w:sz="0" w:space="0" w:color="auto"/>
        <w:bottom w:val="none" w:sz="0" w:space="0" w:color="auto"/>
        <w:right w:val="none" w:sz="0" w:space="0" w:color="auto"/>
      </w:divBdr>
      <w:divsChild>
        <w:div w:id="110436223">
          <w:marLeft w:val="0"/>
          <w:marRight w:val="0"/>
          <w:marTop w:val="0"/>
          <w:marBottom w:val="0"/>
          <w:divBdr>
            <w:top w:val="none" w:sz="0" w:space="0" w:color="auto"/>
            <w:left w:val="none" w:sz="0" w:space="0" w:color="auto"/>
            <w:bottom w:val="none" w:sz="0" w:space="0" w:color="auto"/>
            <w:right w:val="none" w:sz="0" w:space="0" w:color="auto"/>
          </w:divBdr>
        </w:div>
        <w:div w:id="614797642">
          <w:marLeft w:val="0"/>
          <w:marRight w:val="0"/>
          <w:marTop w:val="0"/>
          <w:marBottom w:val="0"/>
          <w:divBdr>
            <w:top w:val="none" w:sz="0" w:space="0" w:color="auto"/>
            <w:left w:val="none" w:sz="0" w:space="0" w:color="auto"/>
            <w:bottom w:val="none" w:sz="0" w:space="0" w:color="auto"/>
            <w:right w:val="none" w:sz="0" w:space="0" w:color="auto"/>
          </w:divBdr>
        </w:div>
        <w:div w:id="1360542345">
          <w:marLeft w:val="0"/>
          <w:marRight w:val="0"/>
          <w:marTop w:val="0"/>
          <w:marBottom w:val="0"/>
          <w:divBdr>
            <w:top w:val="none" w:sz="0" w:space="0" w:color="auto"/>
            <w:left w:val="none" w:sz="0" w:space="0" w:color="auto"/>
            <w:bottom w:val="none" w:sz="0" w:space="0" w:color="auto"/>
            <w:right w:val="none" w:sz="0" w:space="0" w:color="auto"/>
          </w:divBdr>
        </w:div>
      </w:divsChild>
    </w:div>
    <w:div w:id="1480226157">
      <w:bodyDiv w:val="1"/>
      <w:marLeft w:val="0"/>
      <w:marRight w:val="0"/>
      <w:marTop w:val="0"/>
      <w:marBottom w:val="0"/>
      <w:divBdr>
        <w:top w:val="none" w:sz="0" w:space="0" w:color="auto"/>
        <w:left w:val="none" w:sz="0" w:space="0" w:color="auto"/>
        <w:bottom w:val="none" w:sz="0" w:space="0" w:color="auto"/>
        <w:right w:val="none" w:sz="0" w:space="0" w:color="auto"/>
      </w:divBdr>
    </w:div>
    <w:div w:id="1532379225">
      <w:bodyDiv w:val="1"/>
      <w:marLeft w:val="0"/>
      <w:marRight w:val="0"/>
      <w:marTop w:val="0"/>
      <w:marBottom w:val="0"/>
      <w:divBdr>
        <w:top w:val="none" w:sz="0" w:space="0" w:color="auto"/>
        <w:left w:val="none" w:sz="0" w:space="0" w:color="auto"/>
        <w:bottom w:val="none" w:sz="0" w:space="0" w:color="auto"/>
        <w:right w:val="none" w:sz="0" w:space="0" w:color="auto"/>
      </w:divBdr>
    </w:div>
    <w:div w:id="1775513509">
      <w:bodyDiv w:val="1"/>
      <w:marLeft w:val="0"/>
      <w:marRight w:val="0"/>
      <w:marTop w:val="0"/>
      <w:marBottom w:val="0"/>
      <w:divBdr>
        <w:top w:val="none" w:sz="0" w:space="0" w:color="auto"/>
        <w:left w:val="none" w:sz="0" w:space="0" w:color="auto"/>
        <w:bottom w:val="none" w:sz="0" w:space="0" w:color="auto"/>
        <w:right w:val="none" w:sz="0" w:space="0" w:color="auto"/>
      </w:divBdr>
      <w:divsChild>
        <w:div w:id="30306899">
          <w:marLeft w:val="0"/>
          <w:marRight w:val="0"/>
          <w:marTop w:val="0"/>
          <w:marBottom w:val="0"/>
          <w:divBdr>
            <w:top w:val="none" w:sz="0" w:space="0" w:color="auto"/>
            <w:left w:val="none" w:sz="0" w:space="0" w:color="auto"/>
            <w:bottom w:val="none" w:sz="0" w:space="0" w:color="auto"/>
            <w:right w:val="none" w:sz="0" w:space="0" w:color="auto"/>
          </w:divBdr>
        </w:div>
        <w:div w:id="7022454">
          <w:marLeft w:val="0"/>
          <w:marRight w:val="0"/>
          <w:marTop w:val="0"/>
          <w:marBottom w:val="0"/>
          <w:divBdr>
            <w:top w:val="none" w:sz="0" w:space="0" w:color="auto"/>
            <w:left w:val="none" w:sz="0" w:space="0" w:color="auto"/>
            <w:bottom w:val="none" w:sz="0" w:space="0" w:color="auto"/>
            <w:right w:val="none" w:sz="0" w:space="0" w:color="auto"/>
          </w:divBdr>
        </w:div>
      </w:divsChild>
    </w:div>
    <w:div w:id="2092122270">
      <w:bodyDiv w:val="1"/>
      <w:marLeft w:val="0"/>
      <w:marRight w:val="0"/>
      <w:marTop w:val="0"/>
      <w:marBottom w:val="0"/>
      <w:divBdr>
        <w:top w:val="none" w:sz="0" w:space="0" w:color="auto"/>
        <w:left w:val="none" w:sz="0" w:space="0" w:color="auto"/>
        <w:bottom w:val="none" w:sz="0" w:space="0" w:color="auto"/>
        <w:right w:val="none" w:sz="0" w:space="0" w:color="auto"/>
      </w:divBdr>
      <w:divsChild>
        <w:div w:id="1982268997">
          <w:marLeft w:val="547"/>
          <w:marRight w:val="0"/>
          <w:marTop w:val="20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ucd.idm.oclc.org/science/article/pii/S0742051X19312892"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6164B9-7A62-4D3B-80C4-48B04B998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30</Pages>
  <Words>20116</Words>
  <Characters>114667</Characters>
  <Application>Microsoft Office Word</Application>
  <DocSecurity>0</DocSecurity>
  <Lines>955</Lines>
  <Paragraphs>269</Paragraphs>
  <ScaleCrop>false</ScaleCrop>
  <HeadingPairs>
    <vt:vector size="2" baseType="variant">
      <vt:variant>
        <vt:lpstr>Title</vt:lpstr>
      </vt:variant>
      <vt:variant>
        <vt:i4>1</vt:i4>
      </vt:variant>
    </vt:vector>
  </HeadingPairs>
  <TitlesOfParts>
    <vt:vector size="1" baseType="lpstr">
      <vt:lpstr/>
    </vt:vector>
  </TitlesOfParts>
  <Company>UCD</Company>
  <LinksUpToDate>false</LinksUpToDate>
  <CharactersWithSpaces>134514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dc:creator>
  <cp:keywords/>
  <dc:description/>
  <cp:lastModifiedBy>Judith Harford</cp:lastModifiedBy>
  <cp:revision>2</cp:revision>
  <dcterms:created xsi:type="dcterms:W3CDTF">2023-05-10T08:58:00Z</dcterms:created>
  <dcterms:modified xsi:type="dcterms:W3CDTF">2023-05-10T08:58:00Z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3bb79ea2-ebfd-3146-b431-f95d65d8cf99</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