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DF97F2" w14:textId="2F986D6F" w:rsidR="00DF2659" w:rsidRPr="00AC7C0D" w:rsidRDefault="00194D26">
      <w:pPr>
        <w:rPr>
          <w:rFonts w:ascii="Calibri" w:hAnsi="Calibri" w:cs="Calibri"/>
          <w:lang w:val="en-US"/>
        </w:rPr>
      </w:pPr>
      <w:bookmarkStart w:id="0" w:name="_Hlk163555762"/>
      <w:r w:rsidRPr="00AC7C0D">
        <w:rPr>
          <w:rFonts w:ascii="Calibri" w:hAnsi="Calibri" w:cs="Calibri"/>
          <w:lang w:val="en-US"/>
        </w:rPr>
        <w:t>Dear editor,</w:t>
      </w:r>
    </w:p>
    <w:p w14:paraId="25405A6D" w14:textId="5527C0B1" w:rsidR="00194D26" w:rsidRPr="00AC7C0D" w:rsidRDefault="00194D26">
      <w:pPr>
        <w:rPr>
          <w:rFonts w:ascii="Calibri" w:hAnsi="Calibri" w:cs="Calibri"/>
          <w:lang w:val="en-US"/>
        </w:rPr>
      </w:pPr>
      <w:r w:rsidRPr="00AC7C0D">
        <w:rPr>
          <w:rFonts w:ascii="Calibri" w:hAnsi="Calibri" w:cs="Calibri"/>
          <w:lang w:val="en-US"/>
        </w:rPr>
        <w:t xml:space="preserve">Many thanks for bringing the response to our paper to our attention, we thank Lia </w:t>
      </w:r>
      <w:proofErr w:type="spellStart"/>
      <w:r w:rsidRPr="00AC7C0D">
        <w:rPr>
          <w:rFonts w:ascii="Calibri" w:hAnsi="Calibri" w:cs="Calibri"/>
          <w:lang w:val="en-US"/>
        </w:rPr>
        <w:t>Ginaldi</w:t>
      </w:r>
      <w:proofErr w:type="spellEnd"/>
      <w:r w:rsidRPr="00AC7C0D">
        <w:rPr>
          <w:rFonts w:ascii="Calibri" w:hAnsi="Calibri" w:cs="Calibri"/>
          <w:lang w:val="en-US"/>
        </w:rPr>
        <w:t xml:space="preserve"> and colleagues for their thoughtful consideration of the points made in our paper on enhancing care for Transgender patients in ICU (Gilmore et al. 2024</w:t>
      </w:r>
      <w:r w:rsidR="00252D7D">
        <w:rPr>
          <w:rFonts w:ascii="Calibri" w:hAnsi="Calibri" w:cs="Calibri"/>
          <w:lang w:val="en-US"/>
        </w:rPr>
        <w:t>a</w:t>
      </w:r>
      <w:r w:rsidRPr="00AC7C0D">
        <w:rPr>
          <w:rFonts w:ascii="Calibri" w:hAnsi="Calibri" w:cs="Calibri"/>
          <w:lang w:val="en-US"/>
        </w:rPr>
        <w:t>).</w:t>
      </w:r>
    </w:p>
    <w:p w14:paraId="15543F1A" w14:textId="3DC56B4A" w:rsidR="00194D26" w:rsidRDefault="00194D26">
      <w:pPr>
        <w:rPr>
          <w:rFonts w:ascii="Calibri" w:hAnsi="Calibri" w:cs="Calibri"/>
          <w:lang w:val="en-US"/>
        </w:rPr>
      </w:pPr>
      <w:proofErr w:type="spellStart"/>
      <w:r w:rsidRPr="00AC7C0D">
        <w:rPr>
          <w:rFonts w:ascii="Calibri" w:hAnsi="Calibri" w:cs="Calibri"/>
          <w:lang w:val="en-US"/>
        </w:rPr>
        <w:t>Ginaldi</w:t>
      </w:r>
      <w:proofErr w:type="spellEnd"/>
      <w:r w:rsidRPr="00AC7C0D">
        <w:rPr>
          <w:rFonts w:ascii="Calibri" w:hAnsi="Calibri" w:cs="Calibri"/>
          <w:lang w:val="en-US"/>
        </w:rPr>
        <w:t xml:space="preserve"> et al. (2024) aptly focus on the necessity of</w:t>
      </w:r>
      <w:r w:rsidR="00FF7A5A" w:rsidRPr="00AC7C0D">
        <w:rPr>
          <w:rFonts w:ascii="Calibri" w:hAnsi="Calibri" w:cs="Calibri"/>
          <w:lang w:val="en-US"/>
        </w:rPr>
        <w:t xml:space="preserve"> building</w:t>
      </w:r>
      <w:r w:rsidRPr="00AC7C0D">
        <w:rPr>
          <w:rFonts w:ascii="Calibri" w:hAnsi="Calibri" w:cs="Calibri"/>
          <w:lang w:val="en-US"/>
        </w:rPr>
        <w:t xml:space="preserve"> authentic and affirmative health record systems as a core strategy to enhance the care of sexual and gender minorities. Where electronic health records fail to accurately capture the </w:t>
      </w:r>
      <w:r w:rsidR="007E010D" w:rsidRPr="00AC7C0D">
        <w:rPr>
          <w:rFonts w:ascii="Calibri" w:hAnsi="Calibri" w:cs="Calibri"/>
          <w:lang w:val="en-US"/>
        </w:rPr>
        <w:t>nuances of identity and expression</w:t>
      </w:r>
      <w:r w:rsidR="00252D7D">
        <w:rPr>
          <w:rFonts w:ascii="Calibri" w:hAnsi="Calibri" w:cs="Calibri"/>
          <w:lang w:val="en-US"/>
        </w:rPr>
        <w:t>,</w:t>
      </w:r>
      <w:r w:rsidR="007E010D" w:rsidRPr="00AC7C0D">
        <w:rPr>
          <w:rFonts w:ascii="Calibri" w:hAnsi="Calibri" w:cs="Calibri"/>
          <w:lang w:val="en-US"/>
        </w:rPr>
        <w:t xml:space="preserve"> there becomes a risk of misgendering, or inappropriate questioning or </w:t>
      </w:r>
      <w:r w:rsidR="00252D7D">
        <w:rPr>
          <w:rFonts w:ascii="Calibri" w:hAnsi="Calibri" w:cs="Calibri"/>
          <w:lang w:val="en-US"/>
        </w:rPr>
        <w:t xml:space="preserve">indeed inappropriate medical </w:t>
      </w:r>
      <w:r w:rsidR="007E010D" w:rsidRPr="00AC7C0D">
        <w:rPr>
          <w:rFonts w:ascii="Calibri" w:hAnsi="Calibri" w:cs="Calibri"/>
          <w:lang w:val="en-US"/>
        </w:rPr>
        <w:t xml:space="preserve">interventions. </w:t>
      </w:r>
      <w:r w:rsidR="00252D7D">
        <w:rPr>
          <w:rFonts w:ascii="Calibri" w:hAnsi="Calibri" w:cs="Calibri"/>
          <w:lang w:val="en-US"/>
        </w:rPr>
        <w:t xml:space="preserve">In our paper published earlier this year on the ethical considerations for the nursing care of Transgender patients in the ICU (Gilmore et al 2024b), we provide more discussion on how electronic health record adaptation form part of a systems-based approach to promoting justice for gender minorities. </w:t>
      </w:r>
    </w:p>
    <w:p w14:paraId="05561E31" w14:textId="053E7A6B" w:rsidR="000B6A7D" w:rsidRDefault="00252D7D">
      <w:pPr>
        <w:rPr>
          <w:rFonts w:ascii="Calibri" w:hAnsi="Calibri" w:cs="Calibri"/>
          <w:lang w:val="en-US"/>
        </w:rPr>
      </w:pPr>
      <w:r>
        <w:rPr>
          <w:rFonts w:ascii="Calibri" w:hAnsi="Calibri" w:cs="Calibri"/>
          <w:lang w:val="en-US"/>
        </w:rPr>
        <w:t xml:space="preserve">It is important however to strongly assert that any systems change should also include adequate educational and training support. In their paper on </w:t>
      </w:r>
      <w:proofErr w:type="gramStart"/>
      <w:r>
        <w:rPr>
          <w:rFonts w:ascii="Calibri" w:hAnsi="Calibri" w:cs="Calibri"/>
          <w:lang w:val="en-US"/>
        </w:rPr>
        <w:t>nurses</w:t>
      </w:r>
      <w:proofErr w:type="gramEnd"/>
      <w:r>
        <w:rPr>
          <w:rFonts w:ascii="Calibri" w:hAnsi="Calibri" w:cs="Calibri"/>
          <w:lang w:val="en-US"/>
        </w:rPr>
        <w:t xml:space="preserve"> attitudes towards Transgender patients, Derbyshire and Keay (2023) clearly align positive attitudinal approaches to Trans-affirming care with strong educational foundations. By explaining why accurate sexual orientation and gender identity data is important, nurses will be empowered to see this as a core aspect to person-</w:t>
      </w:r>
      <w:proofErr w:type="spellStart"/>
      <w:r>
        <w:rPr>
          <w:rFonts w:ascii="Calibri" w:hAnsi="Calibri" w:cs="Calibri"/>
          <w:lang w:val="en-US"/>
        </w:rPr>
        <w:t>centred</w:t>
      </w:r>
      <w:proofErr w:type="spellEnd"/>
      <w:r>
        <w:rPr>
          <w:rFonts w:ascii="Calibri" w:hAnsi="Calibri" w:cs="Calibri"/>
          <w:lang w:val="en-US"/>
        </w:rPr>
        <w:t xml:space="preserve"> and safety-critical care. </w:t>
      </w:r>
    </w:p>
    <w:p w14:paraId="69F74372" w14:textId="77777777" w:rsidR="001A26AF" w:rsidRDefault="00252D7D">
      <w:pPr>
        <w:rPr>
          <w:rFonts w:ascii="Calibri" w:hAnsi="Calibri" w:cs="Calibri"/>
          <w:lang w:val="en-US"/>
        </w:rPr>
      </w:pPr>
      <w:r>
        <w:rPr>
          <w:rFonts w:ascii="Calibri" w:hAnsi="Calibri" w:cs="Calibri"/>
          <w:lang w:val="en-US"/>
        </w:rPr>
        <w:t>While</w:t>
      </w:r>
      <w:r w:rsidR="000E1C09">
        <w:rPr>
          <w:rFonts w:ascii="Calibri" w:hAnsi="Calibri" w:cs="Calibri"/>
          <w:lang w:val="en-US"/>
        </w:rPr>
        <w:t xml:space="preserve"> accurate sexual orientation and gender identity data will of course be useful in direct patient care, ensuring accurate interventions and gender-affirming practice; it is also essential for the further development of research and evidence on the health needs of sexual and gender minorities. As we highlighted in our article (Gilmore et al. 2024b) there is a dearth of evidence in the healthcare needs of sexual and gender minorities, the evidence we do have often is limited to focus specifically on care needs related to medical or surgical transition treatment, mental health, and sexual health. </w:t>
      </w:r>
    </w:p>
    <w:p w14:paraId="7FAA4D87" w14:textId="0A1B2A10" w:rsidR="000E1C09" w:rsidRDefault="000E1C09">
      <w:pPr>
        <w:rPr>
          <w:rFonts w:ascii="Calibri" w:hAnsi="Calibri" w:cs="Calibri"/>
          <w:lang w:val="en-US"/>
        </w:rPr>
      </w:pPr>
      <w:r>
        <w:rPr>
          <w:rFonts w:ascii="Calibri" w:hAnsi="Calibri" w:cs="Calibri"/>
          <w:lang w:val="en-US"/>
        </w:rPr>
        <w:t>Not only does a lack of evidence create a difficulty in providing high quality care, but also provides a vacuum where misinformation and disinformation may flourish.</w:t>
      </w:r>
      <w:r w:rsidR="001A26AF">
        <w:rPr>
          <w:rFonts w:ascii="Calibri" w:hAnsi="Calibri" w:cs="Calibri"/>
          <w:lang w:val="en-US"/>
        </w:rPr>
        <w:t xml:space="preserve"> </w:t>
      </w:r>
      <w:r>
        <w:rPr>
          <w:rFonts w:ascii="Calibri" w:hAnsi="Calibri" w:cs="Calibri"/>
          <w:lang w:val="en-US"/>
        </w:rPr>
        <w:t xml:space="preserve">In their article </w:t>
      </w:r>
      <w:r w:rsidR="001A26AF">
        <w:rPr>
          <w:rFonts w:ascii="Calibri" w:hAnsi="Calibri" w:cs="Calibri"/>
          <w:lang w:val="en-US"/>
        </w:rPr>
        <w:t xml:space="preserve">scrutinizing the ‘expertise’ presented by those opposing health interventions for Transgender minors, Wuest and Last (2024) meticulously demonstrate how evidence might be misconstrued, or simply ignored by ideological driven actors who oppose Transgender rights in a healthcare context. As nurses our practice must be evidence-based, but we must further ensure that practice is adapted to ensure we capture the accurate data to generate this evidence. </w:t>
      </w:r>
    </w:p>
    <w:p w14:paraId="07F223EA" w14:textId="064EC56B" w:rsidR="00D66884" w:rsidRDefault="00D66884">
      <w:pPr>
        <w:rPr>
          <w:rFonts w:ascii="Calibri" w:hAnsi="Calibri" w:cs="Calibri"/>
          <w:lang w:val="en-US"/>
        </w:rPr>
      </w:pPr>
      <w:r>
        <w:rPr>
          <w:rFonts w:ascii="Calibri" w:hAnsi="Calibri" w:cs="Calibri"/>
          <w:lang w:val="en-US"/>
        </w:rPr>
        <w:t xml:space="preserve">While nurses play a key role in health systems reform, it is important for us to acknowledge that systems change cannot occur through nursing input alone. Collaboration across professional groups, leadership, administrative and service support as well as patients themselves is required. As a group of authors who represent both cisgender and Transgender </w:t>
      </w:r>
      <w:proofErr w:type="gramStart"/>
      <w:r>
        <w:rPr>
          <w:rFonts w:ascii="Calibri" w:hAnsi="Calibri" w:cs="Calibri"/>
          <w:lang w:val="en-US"/>
        </w:rPr>
        <w:t>individuals</w:t>
      </w:r>
      <w:proofErr w:type="gramEnd"/>
      <w:r>
        <w:rPr>
          <w:rFonts w:ascii="Calibri" w:hAnsi="Calibri" w:cs="Calibri"/>
          <w:lang w:val="en-US"/>
        </w:rPr>
        <w:t xml:space="preserve"> we stress the necessity of authentic collaboration with Transgender communities to enhance their care, and the equity of our system overall</w:t>
      </w:r>
    </w:p>
    <w:bookmarkEnd w:id="0"/>
    <w:p w14:paraId="28CF6B5D" w14:textId="77777777" w:rsidR="000E1C09" w:rsidRDefault="000E1C09">
      <w:pPr>
        <w:rPr>
          <w:rFonts w:ascii="Calibri" w:hAnsi="Calibri" w:cs="Calibri"/>
          <w:lang w:val="en-US"/>
        </w:rPr>
      </w:pPr>
    </w:p>
    <w:p w14:paraId="35AE7363" w14:textId="475B6184" w:rsidR="00252D7D" w:rsidRDefault="00252D7D">
      <w:pPr>
        <w:rPr>
          <w:rFonts w:ascii="Calibri" w:hAnsi="Calibri" w:cs="Calibri"/>
          <w:lang w:val="en-US"/>
        </w:rPr>
      </w:pPr>
      <w:bookmarkStart w:id="1" w:name="_Hlk163555790"/>
      <w:r w:rsidRPr="00252D7D">
        <w:rPr>
          <w:rFonts w:ascii="Calibri" w:hAnsi="Calibri" w:cs="Calibri"/>
          <w:lang w:val="en-US"/>
        </w:rPr>
        <w:t xml:space="preserve">Derbyshire DW, Keay T. Nurses' implicit and explicit attitudes towards transgender people and the need for trans-affirming care. </w:t>
      </w:r>
      <w:proofErr w:type="spellStart"/>
      <w:r w:rsidRPr="00252D7D">
        <w:rPr>
          <w:rFonts w:ascii="Calibri" w:hAnsi="Calibri" w:cs="Calibri"/>
          <w:lang w:val="en-US"/>
        </w:rPr>
        <w:t>Heliyon</w:t>
      </w:r>
      <w:proofErr w:type="spellEnd"/>
      <w:r w:rsidRPr="00252D7D">
        <w:rPr>
          <w:rFonts w:ascii="Calibri" w:hAnsi="Calibri" w:cs="Calibri"/>
          <w:lang w:val="en-US"/>
        </w:rPr>
        <w:t>. 2023 Nov 2;9(11</w:t>
      </w:r>
      <w:proofErr w:type="gramStart"/>
      <w:r w:rsidRPr="00252D7D">
        <w:rPr>
          <w:rFonts w:ascii="Calibri" w:hAnsi="Calibri" w:cs="Calibri"/>
          <w:lang w:val="en-US"/>
        </w:rPr>
        <w:t>):e</w:t>
      </w:r>
      <w:proofErr w:type="gramEnd"/>
      <w:r w:rsidRPr="00252D7D">
        <w:rPr>
          <w:rFonts w:ascii="Calibri" w:hAnsi="Calibri" w:cs="Calibri"/>
          <w:lang w:val="en-US"/>
        </w:rPr>
        <w:t xml:space="preserve">20762. </w:t>
      </w:r>
      <w:proofErr w:type="spellStart"/>
      <w:r w:rsidRPr="00252D7D">
        <w:rPr>
          <w:rFonts w:ascii="Calibri" w:hAnsi="Calibri" w:cs="Calibri"/>
          <w:lang w:val="en-US"/>
        </w:rPr>
        <w:t>doi</w:t>
      </w:r>
      <w:proofErr w:type="spellEnd"/>
      <w:r w:rsidRPr="00252D7D">
        <w:rPr>
          <w:rFonts w:ascii="Calibri" w:hAnsi="Calibri" w:cs="Calibri"/>
          <w:lang w:val="en-US"/>
        </w:rPr>
        <w:t xml:space="preserve">: </w:t>
      </w:r>
      <w:proofErr w:type="gramStart"/>
      <w:r w:rsidRPr="00252D7D">
        <w:rPr>
          <w:rFonts w:ascii="Calibri" w:hAnsi="Calibri" w:cs="Calibri"/>
          <w:lang w:val="en-US"/>
        </w:rPr>
        <w:t>10.1016/j.heliyon.2023.e</w:t>
      </w:r>
      <w:proofErr w:type="gramEnd"/>
      <w:r w:rsidRPr="00252D7D">
        <w:rPr>
          <w:rFonts w:ascii="Calibri" w:hAnsi="Calibri" w:cs="Calibri"/>
          <w:lang w:val="en-US"/>
        </w:rPr>
        <w:t>20762. PMID: 38106668; PMCID: PMC10722320.</w:t>
      </w:r>
    </w:p>
    <w:p w14:paraId="3FA84696" w14:textId="61D9D20B" w:rsidR="00252D7D" w:rsidRDefault="00252D7D">
      <w:pPr>
        <w:rPr>
          <w:rFonts w:ascii="Calibri" w:hAnsi="Calibri" w:cs="Calibri"/>
          <w:lang w:val="en-US"/>
        </w:rPr>
      </w:pPr>
      <w:r w:rsidRPr="00252D7D">
        <w:rPr>
          <w:rFonts w:ascii="Calibri" w:hAnsi="Calibri" w:cs="Calibri"/>
          <w:lang w:val="en-US"/>
        </w:rPr>
        <w:t>Gilmore, J. P., Dainton, M., &amp; McEvoy, N. L. (2024</w:t>
      </w:r>
      <w:r>
        <w:rPr>
          <w:rFonts w:ascii="Calibri" w:hAnsi="Calibri" w:cs="Calibri"/>
          <w:lang w:val="en-US"/>
        </w:rPr>
        <w:t>a</w:t>
      </w:r>
      <w:r w:rsidRPr="00252D7D">
        <w:rPr>
          <w:rFonts w:ascii="Calibri" w:hAnsi="Calibri" w:cs="Calibri"/>
          <w:lang w:val="en-US"/>
        </w:rPr>
        <w:t xml:space="preserve">). Caring for Transgender patients in the ICU: Current insights for equitable care. Intensive &amp; critical care nursing, 82, 103657. </w:t>
      </w:r>
      <w:hyperlink r:id="rId4" w:history="1">
        <w:r w:rsidRPr="00D22CC6">
          <w:rPr>
            <w:rStyle w:val="Hyperlink"/>
            <w:rFonts w:ascii="Calibri" w:hAnsi="Calibri" w:cs="Calibri"/>
            <w:lang w:val="en-US"/>
          </w:rPr>
          <w:t>https://doi.org/10.1016/j.iccn.2024.103657</w:t>
        </w:r>
      </w:hyperlink>
    </w:p>
    <w:p w14:paraId="6155CE26" w14:textId="20CF7E7E" w:rsidR="00252D7D" w:rsidRDefault="00252D7D">
      <w:pPr>
        <w:rPr>
          <w:rFonts w:ascii="Calibri" w:hAnsi="Calibri" w:cs="Calibri"/>
          <w:lang w:val="en-US"/>
        </w:rPr>
      </w:pPr>
      <w:r w:rsidRPr="00252D7D">
        <w:rPr>
          <w:rFonts w:ascii="Calibri" w:hAnsi="Calibri" w:cs="Calibri"/>
          <w:lang w:val="en-US"/>
        </w:rPr>
        <w:lastRenderedPageBreak/>
        <w:t>Gilmore, J. P., Dainton, M., &amp; McEvoy, N. L. (2024</w:t>
      </w:r>
      <w:r>
        <w:rPr>
          <w:rFonts w:ascii="Calibri" w:hAnsi="Calibri" w:cs="Calibri"/>
          <w:lang w:val="en-US"/>
        </w:rPr>
        <w:t>b</w:t>
      </w:r>
      <w:r w:rsidRPr="00252D7D">
        <w:rPr>
          <w:rFonts w:ascii="Calibri" w:hAnsi="Calibri" w:cs="Calibri"/>
          <w:lang w:val="en-US"/>
        </w:rPr>
        <w:t xml:space="preserve">). Ethical considerations for the nursing care of Transgender patients in the Intensive Care Unit. Nursing in critical care, 10.1111/nicc.13048. Advance online publication. </w:t>
      </w:r>
      <w:hyperlink r:id="rId5" w:history="1">
        <w:r w:rsidRPr="00D22CC6">
          <w:rPr>
            <w:rStyle w:val="Hyperlink"/>
            <w:rFonts w:ascii="Calibri" w:hAnsi="Calibri" w:cs="Calibri"/>
            <w:lang w:val="en-US"/>
          </w:rPr>
          <w:t>https://doi.org/10.1111/nicc.13048</w:t>
        </w:r>
      </w:hyperlink>
    </w:p>
    <w:p w14:paraId="118A1FA0" w14:textId="6ECD459A" w:rsidR="000E1C09" w:rsidRDefault="000E1C09">
      <w:pPr>
        <w:rPr>
          <w:rFonts w:ascii="Calibri" w:hAnsi="Calibri" w:cs="Calibri"/>
          <w:lang w:val="en-US"/>
        </w:rPr>
      </w:pPr>
      <w:proofErr w:type="spellStart"/>
      <w:r w:rsidRPr="000E1C09">
        <w:rPr>
          <w:rFonts w:ascii="Calibri" w:hAnsi="Calibri" w:cs="Calibri"/>
          <w:lang w:val="en-US"/>
        </w:rPr>
        <w:t>Ginaldi</w:t>
      </w:r>
      <w:proofErr w:type="spellEnd"/>
      <w:r w:rsidRPr="000E1C09">
        <w:rPr>
          <w:rFonts w:ascii="Calibri" w:hAnsi="Calibri" w:cs="Calibri"/>
          <w:lang w:val="en-US"/>
        </w:rPr>
        <w:t xml:space="preserve">, L., </w:t>
      </w:r>
      <w:proofErr w:type="spellStart"/>
      <w:r w:rsidRPr="000E1C09">
        <w:rPr>
          <w:rFonts w:ascii="Calibri" w:hAnsi="Calibri" w:cs="Calibri"/>
          <w:lang w:val="en-US"/>
        </w:rPr>
        <w:t>Lelii</w:t>
      </w:r>
      <w:proofErr w:type="spellEnd"/>
      <w:r w:rsidRPr="000E1C09">
        <w:rPr>
          <w:rFonts w:ascii="Calibri" w:hAnsi="Calibri" w:cs="Calibri"/>
          <w:lang w:val="en-US"/>
        </w:rPr>
        <w:t xml:space="preserve">, S., Pinto, M. E., Trovato, G., &amp; De Martinis, M. (2024). Sexual orientation and gender identity (SOGI) and electronic health record data collection by national health systems to overcome disparities in healthcare. Intensive &amp; critical care nursing, 103699. Advance online publication. </w:t>
      </w:r>
      <w:hyperlink r:id="rId6" w:history="1">
        <w:r w:rsidRPr="00D22CC6">
          <w:rPr>
            <w:rStyle w:val="Hyperlink"/>
            <w:rFonts w:ascii="Calibri" w:hAnsi="Calibri" w:cs="Calibri"/>
            <w:lang w:val="en-US"/>
          </w:rPr>
          <w:t>https://doi.org/10.1016/j.iccn.2024.103699</w:t>
        </w:r>
      </w:hyperlink>
    </w:p>
    <w:p w14:paraId="4E59970C" w14:textId="0320E312" w:rsidR="001A26AF" w:rsidRDefault="001A26AF">
      <w:pPr>
        <w:rPr>
          <w:rFonts w:ascii="Calibri" w:hAnsi="Calibri" w:cs="Calibri"/>
          <w:lang w:val="en-US"/>
        </w:rPr>
      </w:pPr>
      <w:r w:rsidRPr="001A26AF">
        <w:rPr>
          <w:rFonts w:ascii="Calibri" w:hAnsi="Calibri" w:cs="Calibri"/>
          <w:lang w:val="en-US"/>
        </w:rPr>
        <w:t>Wuest, J., &amp; Last, B. S. (2024). Agents of scientific uncertainty: Conflicts over evidence and expertise in gender-affirming care bans for minors. Social science &amp; medicine (1982), 344, 116533. https://doi.org/10.1016/j.socscimed.2023.116533</w:t>
      </w:r>
    </w:p>
    <w:p w14:paraId="1F19C15D" w14:textId="77777777" w:rsidR="000E1C09" w:rsidRDefault="000E1C09">
      <w:pPr>
        <w:rPr>
          <w:rFonts w:ascii="Calibri" w:hAnsi="Calibri" w:cs="Calibri"/>
          <w:lang w:val="en-US"/>
        </w:rPr>
      </w:pPr>
    </w:p>
    <w:p w14:paraId="6E7201E9" w14:textId="77777777" w:rsidR="000E1C09" w:rsidRDefault="000E1C09">
      <w:pPr>
        <w:rPr>
          <w:rFonts w:ascii="Calibri" w:hAnsi="Calibri" w:cs="Calibri"/>
          <w:lang w:val="en-US"/>
        </w:rPr>
      </w:pPr>
    </w:p>
    <w:bookmarkEnd w:id="1"/>
    <w:p w14:paraId="09C7248E" w14:textId="77777777" w:rsidR="000E1C09" w:rsidRDefault="000E1C09">
      <w:pPr>
        <w:rPr>
          <w:rFonts w:ascii="Calibri" w:hAnsi="Calibri" w:cs="Calibri"/>
          <w:lang w:val="en-US"/>
        </w:rPr>
      </w:pPr>
    </w:p>
    <w:p w14:paraId="6E8D1F6F" w14:textId="77777777" w:rsidR="000E1C09" w:rsidRDefault="000E1C09">
      <w:pPr>
        <w:rPr>
          <w:rFonts w:ascii="Calibri" w:hAnsi="Calibri" w:cs="Calibri"/>
          <w:lang w:val="en-US"/>
        </w:rPr>
      </w:pPr>
    </w:p>
    <w:p w14:paraId="48C05BC0" w14:textId="77777777" w:rsidR="00252D7D" w:rsidRPr="00252D7D" w:rsidRDefault="00252D7D">
      <w:pPr>
        <w:rPr>
          <w:rFonts w:ascii="Calibri" w:hAnsi="Calibri" w:cs="Calibri"/>
          <w:lang w:val="en-US"/>
        </w:rPr>
      </w:pPr>
    </w:p>
    <w:sectPr w:rsidR="00252D7D" w:rsidRPr="00252D7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4D26"/>
    <w:rsid w:val="000B6A7D"/>
    <w:rsid w:val="000E1C09"/>
    <w:rsid w:val="00194D26"/>
    <w:rsid w:val="001A26AF"/>
    <w:rsid w:val="00252D7D"/>
    <w:rsid w:val="00265A68"/>
    <w:rsid w:val="00326512"/>
    <w:rsid w:val="007E010D"/>
    <w:rsid w:val="008D4EE6"/>
    <w:rsid w:val="00AC7C0D"/>
    <w:rsid w:val="00D66884"/>
    <w:rsid w:val="00DF2659"/>
    <w:rsid w:val="00FF7A5A"/>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07685"/>
  <w15:chartTrackingRefBased/>
  <w15:docId w15:val="{C60819F4-D837-4838-889E-80BB1F7AC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94D2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94D2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94D2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94D2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94D2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94D2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94D2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94D2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94D2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94D2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94D2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94D2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94D2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94D2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94D2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94D2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94D2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94D26"/>
    <w:rPr>
      <w:rFonts w:eastAsiaTheme="majorEastAsia" w:cstheme="majorBidi"/>
      <w:color w:val="272727" w:themeColor="text1" w:themeTint="D8"/>
    </w:rPr>
  </w:style>
  <w:style w:type="paragraph" w:styleId="Title">
    <w:name w:val="Title"/>
    <w:basedOn w:val="Normal"/>
    <w:next w:val="Normal"/>
    <w:link w:val="TitleChar"/>
    <w:uiPriority w:val="10"/>
    <w:qFormat/>
    <w:rsid w:val="00194D2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94D2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94D2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94D2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94D26"/>
    <w:pPr>
      <w:spacing w:before="160"/>
      <w:jc w:val="center"/>
    </w:pPr>
    <w:rPr>
      <w:i/>
      <w:iCs/>
      <w:color w:val="404040" w:themeColor="text1" w:themeTint="BF"/>
    </w:rPr>
  </w:style>
  <w:style w:type="character" w:customStyle="1" w:styleId="QuoteChar">
    <w:name w:val="Quote Char"/>
    <w:basedOn w:val="DefaultParagraphFont"/>
    <w:link w:val="Quote"/>
    <w:uiPriority w:val="29"/>
    <w:rsid w:val="00194D26"/>
    <w:rPr>
      <w:i/>
      <w:iCs/>
      <w:color w:val="404040" w:themeColor="text1" w:themeTint="BF"/>
    </w:rPr>
  </w:style>
  <w:style w:type="paragraph" w:styleId="ListParagraph">
    <w:name w:val="List Paragraph"/>
    <w:basedOn w:val="Normal"/>
    <w:uiPriority w:val="34"/>
    <w:qFormat/>
    <w:rsid w:val="00194D26"/>
    <w:pPr>
      <w:ind w:left="720"/>
      <w:contextualSpacing/>
    </w:pPr>
  </w:style>
  <w:style w:type="character" w:styleId="IntenseEmphasis">
    <w:name w:val="Intense Emphasis"/>
    <w:basedOn w:val="DefaultParagraphFont"/>
    <w:uiPriority w:val="21"/>
    <w:qFormat/>
    <w:rsid w:val="00194D26"/>
    <w:rPr>
      <w:i/>
      <w:iCs/>
      <w:color w:val="0F4761" w:themeColor="accent1" w:themeShade="BF"/>
    </w:rPr>
  </w:style>
  <w:style w:type="paragraph" w:styleId="IntenseQuote">
    <w:name w:val="Intense Quote"/>
    <w:basedOn w:val="Normal"/>
    <w:next w:val="Normal"/>
    <w:link w:val="IntenseQuoteChar"/>
    <w:uiPriority w:val="30"/>
    <w:qFormat/>
    <w:rsid w:val="00194D2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94D26"/>
    <w:rPr>
      <w:i/>
      <w:iCs/>
      <w:color w:val="0F4761" w:themeColor="accent1" w:themeShade="BF"/>
    </w:rPr>
  </w:style>
  <w:style w:type="character" w:styleId="IntenseReference">
    <w:name w:val="Intense Reference"/>
    <w:basedOn w:val="DefaultParagraphFont"/>
    <w:uiPriority w:val="32"/>
    <w:qFormat/>
    <w:rsid w:val="00194D26"/>
    <w:rPr>
      <w:b/>
      <w:bCs/>
      <w:smallCaps/>
      <w:color w:val="0F4761" w:themeColor="accent1" w:themeShade="BF"/>
      <w:spacing w:val="5"/>
    </w:rPr>
  </w:style>
  <w:style w:type="character" w:styleId="Hyperlink">
    <w:name w:val="Hyperlink"/>
    <w:basedOn w:val="DefaultParagraphFont"/>
    <w:uiPriority w:val="99"/>
    <w:unhideWhenUsed/>
    <w:rsid w:val="00252D7D"/>
    <w:rPr>
      <w:color w:val="467886" w:themeColor="hyperlink"/>
      <w:u w:val="single"/>
    </w:rPr>
  </w:style>
  <w:style w:type="character" w:styleId="UnresolvedMention">
    <w:name w:val="Unresolved Mention"/>
    <w:basedOn w:val="DefaultParagraphFont"/>
    <w:uiPriority w:val="99"/>
    <w:semiHidden/>
    <w:unhideWhenUsed/>
    <w:rsid w:val="00252D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16/j.iccn.2024.103699" TargetMode="External"/><Relationship Id="rId5" Type="http://schemas.openxmlformats.org/officeDocument/2006/relationships/hyperlink" Target="https://doi.org/10.1111/nicc.13048" TargetMode="External"/><Relationship Id="rId4" Type="http://schemas.openxmlformats.org/officeDocument/2006/relationships/hyperlink" Target="https://doi.org/10.1016/j.iccn.2024.10365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398</TotalTime>
  <Pages>2</Pages>
  <Words>701</Words>
  <Characters>3997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Gilmore</dc:creator>
  <cp:keywords/>
  <dc:description/>
  <cp:lastModifiedBy>John Gilmore</cp:lastModifiedBy>
  <cp:revision>5</cp:revision>
  <dcterms:created xsi:type="dcterms:W3CDTF">2024-04-03T13:17:00Z</dcterms:created>
  <dcterms:modified xsi:type="dcterms:W3CDTF">2024-04-09T10:52:00Z</dcterms:modified>
</cp:coreProperties>
</file>