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111875" w14:textId="7EDA1F16" w:rsidR="00AF75EB" w:rsidRDefault="002E10A6" w:rsidP="00AF75EB">
      <w:pPr>
        <w:spacing w:line="360" w:lineRule="auto"/>
        <w:jc w:val="center"/>
        <w:rPr>
          <w:b/>
          <w:sz w:val="24"/>
          <w:szCs w:val="24"/>
        </w:rPr>
      </w:pPr>
      <w:r w:rsidRPr="009374C2">
        <w:rPr>
          <w:b/>
          <w:sz w:val="24"/>
          <w:szCs w:val="24"/>
        </w:rPr>
        <w:t>PRIVATE CAUSES, PUBLIC CONSEQUENCES AND POST-CRISIS FINANCIALIZATION: CRITICALLY EXPLORING THE IMPACT OF IRELAND’S PRIVATE HOUSING BOOM AND BUST ON PUBLIC HOUSING PROVISION.</w:t>
      </w:r>
    </w:p>
    <w:p w14:paraId="7DFEBC29" w14:textId="77777777" w:rsidR="00946665" w:rsidRDefault="00946665" w:rsidP="00AF75EB">
      <w:pPr>
        <w:spacing w:line="360" w:lineRule="auto"/>
        <w:jc w:val="center"/>
        <w:rPr>
          <w:b/>
          <w:sz w:val="24"/>
          <w:szCs w:val="24"/>
        </w:rPr>
      </w:pPr>
    </w:p>
    <w:p w14:paraId="20CDC46F" w14:textId="77777777" w:rsidR="00191D30" w:rsidRDefault="00191D30" w:rsidP="00191D30">
      <w:pPr>
        <w:rPr>
          <w:lang w:eastAsia="en-IE"/>
        </w:rPr>
      </w:pPr>
      <w:r>
        <w:rPr>
          <w:lang w:eastAsia="en-IE"/>
        </w:rPr>
        <w:t>Michael Byrne</w:t>
      </w:r>
    </w:p>
    <w:p w14:paraId="10F5A97F" w14:textId="77777777" w:rsidR="00191D30" w:rsidRDefault="00191D30" w:rsidP="00191D30">
      <w:pPr>
        <w:rPr>
          <w:lang w:eastAsia="en-IE"/>
        </w:rPr>
      </w:pPr>
      <w:r>
        <w:rPr>
          <w:lang w:eastAsia="en-IE"/>
        </w:rPr>
        <w:t>School of Social Policy, Social Work and Social Justice</w:t>
      </w:r>
    </w:p>
    <w:p w14:paraId="3B743871" w14:textId="77777777" w:rsidR="00191D30" w:rsidRDefault="00191D30" w:rsidP="00191D30">
      <w:pPr>
        <w:rPr>
          <w:lang w:eastAsia="en-IE"/>
        </w:rPr>
      </w:pPr>
      <w:r>
        <w:rPr>
          <w:lang w:eastAsia="en-IE"/>
        </w:rPr>
        <w:t>Hanna Sheehy Skeffington Building</w:t>
      </w:r>
    </w:p>
    <w:p w14:paraId="74A60F94" w14:textId="77777777" w:rsidR="00191D30" w:rsidRDefault="00191D30" w:rsidP="00191D30">
      <w:pPr>
        <w:rPr>
          <w:lang w:eastAsia="en-IE"/>
        </w:rPr>
      </w:pPr>
      <w:r>
        <w:rPr>
          <w:lang w:eastAsia="en-IE"/>
        </w:rPr>
        <w:t>University College Dublin, Ireland</w:t>
      </w:r>
    </w:p>
    <w:p w14:paraId="21B09A60" w14:textId="449C9425" w:rsidR="00191D30" w:rsidRDefault="00191D30" w:rsidP="00191D30">
      <w:pPr>
        <w:rPr>
          <w:lang w:eastAsia="en-IE"/>
        </w:rPr>
      </w:pPr>
      <w:r>
        <w:rPr>
          <w:lang w:eastAsia="en-IE"/>
        </w:rPr>
        <w:t xml:space="preserve">E: </w:t>
      </w:r>
      <w:hyperlink r:id="rId8" w:history="1">
        <w:r w:rsidRPr="00492266">
          <w:rPr>
            <w:rStyle w:val="Hyperlink"/>
            <w:lang w:eastAsia="en-IE"/>
          </w:rPr>
          <w:t>Michael.byrne@ucd.ie</w:t>
        </w:r>
      </w:hyperlink>
    </w:p>
    <w:p w14:paraId="00CB38AD" w14:textId="77777777" w:rsidR="00191D30" w:rsidRDefault="00191D30" w:rsidP="00191D30">
      <w:pPr>
        <w:rPr>
          <w:lang w:eastAsia="en-IE"/>
        </w:rPr>
      </w:pPr>
    </w:p>
    <w:p w14:paraId="11CD0BC0" w14:textId="77777777" w:rsidR="00191D30" w:rsidRDefault="00191D30" w:rsidP="00191D30">
      <w:pPr>
        <w:rPr>
          <w:lang w:eastAsia="en-IE"/>
        </w:rPr>
      </w:pPr>
      <w:r>
        <w:rPr>
          <w:lang w:eastAsia="en-IE"/>
        </w:rPr>
        <w:t xml:space="preserve">Michelle Norris </w:t>
      </w:r>
    </w:p>
    <w:p w14:paraId="02488A96" w14:textId="77777777" w:rsidR="00191D30" w:rsidRDefault="00191D30" w:rsidP="00191D30">
      <w:pPr>
        <w:rPr>
          <w:lang w:eastAsia="en-IE"/>
        </w:rPr>
      </w:pPr>
      <w:r>
        <w:rPr>
          <w:lang w:eastAsia="en-IE"/>
        </w:rPr>
        <w:t>School of Social Policy, Social Work and Social Justice</w:t>
      </w:r>
    </w:p>
    <w:p w14:paraId="33F95B0F" w14:textId="77777777" w:rsidR="00191D30" w:rsidRDefault="00191D30" w:rsidP="00191D30">
      <w:pPr>
        <w:rPr>
          <w:lang w:eastAsia="en-IE"/>
        </w:rPr>
      </w:pPr>
      <w:r>
        <w:rPr>
          <w:lang w:eastAsia="en-IE"/>
        </w:rPr>
        <w:t>Hanna Sheehy Skeffington Building</w:t>
      </w:r>
    </w:p>
    <w:p w14:paraId="00271BA2" w14:textId="77777777" w:rsidR="00191D30" w:rsidRDefault="00191D30" w:rsidP="00191D30">
      <w:pPr>
        <w:rPr>
          <w:lang w:eastAsia="en-IE"/>
        </w:rPr>
      </w:pPr>
      <w:r>
        <w:rPr>
          <w:lang w:eastAsia="en-IE"/>
        </w:rPr>
        <w:t>University College Dublin, Ireland</w:t>
      </w:r>
    </w:p>
    <w:p w14:paraId="775BBD69" w14:textId="77777777" w:rsidR="00191D30" w:rsidRDefault="00191D30" w:rsidP="00191D30">
      <w:pPr>
        <w:rPr>
          <w:lang w:eastAsia="en-IE"/>
        </w:rPr>
      </w:pPr>
      <w:r>
        <w:rPr>
          <w:lang w:eastAsia="en-IE"/>
        </w:rPr>
        <w:t xml:space="preserve">E: </w:t>
      </w:r>
      <w:hyperlink r:id="rId9" w:history="1">
        <w:r w:rsidRPr="00575582">
          <w:rPr>
            <w:rStyle w:val="Hyperlink"/>
            <w:lang w:eastAsia="en-IE"/>
          </w:rPr>
          <w:t>michelle.norris@ucd.ie</w:t>
        </w:r>
      </w:hyperlink>
    </w:p>
    <w:p w14:paraId="157E61C1" w14:textId="77777777" w:rsidR="00191D30" w:rsidRDefault="00191D30" w:rsidP="00191D30">
      <w:pPr>
        <w:rPr>
          <w:lang w:eastAsia="en-IE"/>
        </w:rPr>
      </w:pPr>
    </w:p>
    <w:p w14:paraId="45EC357E" w14:textId="77777777" w:rsidR="00191D30" w:rsidRDefault="00191D30" w:rsidP="00191D30"/>
    <w:p w14:paraId="3085737F" w14:textId="77777777" w:rsidR="00946665" w:rsidRPr="009374C2" w:rsidRDefault="00946665" w:rsidP="00AF75EB">
      <w:pPr>
        <w:spacing w:line="360" w:lineRule="auto"/>
        <w:jc w:val="center"/>
        <w:rPr>
          <w:b/>
          <w:sz w:val="24"/>
          <w:szCs w:val="24"/>
        </w:rPr>
      </w:pPr>
    </w:p>
    <w:p w14:paraId="6EB3505F" w14:textId="77777777" w:rsidR="00191D30" w:rsidRDefault="00191D30">
      <w:pPr>
        <w:rPr>
          <w:b/>
          <w:sz w:val="24"/>
          <w:szCs w:val="24"/>
        </w:rPr>
      </w:pPr>
      <w:r>
        <w:rPr>
          <w:b/>
          <w:sz w:val="24"/>
          <w:szCs w:val="24"/>
        </w:rPr>
        <w:br w:type="page"/>
      </w:r>
    </w:p>
    <w:p w14:paraId="1CE404FE" w14:textId="5D67B5B9" w:rsidR="00AF75EB" w:rsidRPr="009374C2" w:rsidRDefault="00191D30" w:rsidP="00AF75EB">
      <w:pPr>
        <w:spacing w:line="360" w:lineRule="auto"/>
        <w:jc w:val="both"/>
        <w:rPr>
          <w:b/>
          <w:lang w:val="en-GB"/>
        </w:rPr>
      </w:pPr>
      <w:r w:rsidRPr="009374C2">
        <w:rPr>
          <w:b/>
          <w:sz w:val="24"/>
          <w:szCs w:val="24"/>
        </w:rPr>
        <w:lastRenderedPageBreak/>
        <w:t>PRIVATE CAUSES, PUBLIC CONSEQUENCES AND POST-CRISIS FINANCIALIZATION: CRITICALLY EXPLORING THE IMPACT OF IRELAND’S PRIVATE HOUSING BOOM AND BUST ON PUBLIC HOUSING PROVISION</w:t>
      </w:r>
    </w:p>
    <w:p w14:paraId="72A0387F" w14:textId="77777777" w:rsidR="00AF75EB" w:rsidRPr="009374C2" w:rsidRDefault="00AF75EB" w:rsidP="00AF75EB">
      <w:pPr>
        <w:spacing w:line="360" w:lineRule="auto"/>
        <w:jc w:val="center"/>
        <w:rPr>
          <w:b/>
          <w:lang w:val="en-GB"/>
        </w:rPr>
      </w:pPr>
      <w:r w:rsidRPr="009374C2">
        <w:rPr>
          <w:b/>
          <w:lang w:val="en-GB"/>
        </w:rPr>
        <w:t>Abstract</w:t>
      </w:r>
    </w:p>
    <w:p w14:paraId="07A45122" w14:textId="657602CB" w:rsidR="00AF75EB" w:rsidRPr="009374C2" w:rsidRDefault="00AF75EB" w:rsidP="00FD6F7C">
      <w:pPr>
        <w:spacing w:line="276" w:lineRule="auto"/>
        <w:ind w:left="1008" w:right="1008"/>
        <w:jc w:val="both"/>
      </w:pPr>
      <w:r w:rsidRPr="009374C2">
        <w:t>This article explores the interaction between housing policy</w:t>
      </w:r>
      <w:r w:rsidR="00FD6F7C" w:rsidRPr="009374C2">
        <w:t xml:space="preserve">, public housing, the property market and </w:t>
      </w:r>
      <w:r w:rsidRPr="009374C2">
        <w:t xml:space="preserve">the financial system in the context of Ireland’s property boom and bust. The boom commenced in the mid-1990s and was driven by a debt bubble. Since the bust the financialized model of housing provision has collapsed. Mortgage arrears have increased radically, while credit availability and housing output have contracted. Despite its private causes, the crisis has had very negative consequences for public housing. We analyse the various transmission mechanisms through which public housing became embedded in the dynamics of the property and financial markets. Public housing provision became particularly ‘pro-cyclical’; it ceased to act as a ‘buffer’ to the market and instead acted as an ‘echo chamber’. </w:t>
      </w:r>
    </w:p>
    <w:p w14:paraId="45C93588" w14:textId="77777777" w:rsidR="00AF75EB" w:rsidRPr="009374C2" w:rsidRDefault="00AF75EB" w:rsidP="00E16E5C">
      <w:pPr>
        <w:jc w:val="center"/>
      </w:pPr>
      <w:r w:rsidRPr="009374C2">
        <w:t>Key words: financialization, public housing, Ireland, crisis</w:t>
      </w:r>
    </w:p>
    <w:p w14:paraId="53177461" w14:textId="042C6C5C" w:rsidR="00AF75EB" w:rsidRPr="009374C2" w:rsidRDefault="00AF75EB" w:rsidP="00AF75EB">
      <w:pPr>
        <w:spacing w:line="276" w:lineRule="auto"/>
        <w:jc w:val="both"/>
        <w:rPr>
          <w:b/>
          <w:lang w:val="en-GB"/>
        </w:rPr>
      </w:pPr>
    </w:p>
    <w:p w14:paraId="45D87C23" w14:textId="20CC1FE0" w:rsidR="00AF75EB" w:rsidRPr="009374C2" w:rsidRDefault="002E10A6" w:rsidP="002E10A6">
      <w:pPr>
        <w:spacing w:line="360" w:lineRule="auto"/>
        <w:jc w:val="center"/>
        <w:rPr>
          <w:b/>
          <w:sz w:val="24"/>
          <w:szCs w:val="24"/>
          <w:lang w:val="en-GB"/>
        </w:rPr>
      </w:pPr>
      <w:r w:rsidRPr="009374C2">
        <w:rPr>
          <w:b/>
          <w:sz w:val="24"/>
          <w:szCs w:val="24"/>
          <w:lang w:val="en-GB"/>
        </w:rPr>
        <w:t>Introduction</w:t>
      </w:r>
    </w:p>
    <w:p w14:paraId="71EF3763" w14:textId="77777777" w:rsidR="00F017F5" w:rsidRPr="009374C2" w:rsidRDefault="00F017F5" w:rsidP="00AF75EB">
      <w:pPr>
        <w:spacing w:line="360" w:lineRule="auto"/>
        <w:jc w:val="both"/>
        <w:rPr>
          <w:b/>
          <w:sz w:val="24"/>
          <w:szCs w:val="24"/>
          <w:lang w:val="en-GB"/>
        </w:rPr>
      </w:pPr>
    </w:p>
    <w:p w14:paraId="59DAC65B" w14:textId="3FE228DF" w:rsidR="002D2F8C" w:rsidRPr="009374C2" w:rsidRDefault="00517D44" w:rsidP="00747CE4">
      <w:pPr>
        <w:spacing w:after="0" w:line="480" w:lineRule="auto"/>
        <w:ind w:firstLine="284"/>
        <w:rPr>
          <w:sz w:val="24"/>
          <w:szCs w:val="24"/>
        </w:rPr>
      </w:pPr>
      <w:r w:rsidRPr="009374C2">
        <w:rPr>
          <w:sz w:val="24"/>
          <w:szCs w:val="24"/>
        </w:rPr>
        <w:t>For most of the 20</w:t>
      </w:r>
      <w:r w:rsidRPr="009374C2">
        <w:rPr>
          <w:sz w:val="24"/>
          <w:szCs w:val="24"/>
          <w:vertAlign w:val="superscript"/>
        </w:rPr>
        <w:t>th</w:t>
      </w:r>
      <w:r w:rsidRPr="009374C2">
        <w:rPr>
          <w:sz w:val="24"/>
          <w:szCs w:val="24"/>
        </w:rPr>
        <w:t xml:space="preserve"> </w:t>
      </w:r>
      <w:r w:rsidR="002D2F8C" w:rsidRPr="009374C2">
        <w:rPr>
          <w:sz w:val="24"/>
          <w:szCs w:val="24"/>
        </w:rPr>
        <w:t>Century public housing</w:t>
      </w:r>
      <w:r w:rsidR="003D3903" w:rsidRPr="009374C2">
        <w:rPr>
          <w:sz w:val="24"/>
          <w:szCs w:val="24"/>
        </w:rPr>
        <w:t xml:space="preserve"> provision</w:t>
      </w:r>
      <w:r w:rsidR="002D2F8C" w:rsidRPr="009374C2">
        <w:rPr>
          <w:sz w:val="24"/>
          <w:szCs w:val="24"/>
        </w:rPr>
        <w:t xml:space="preserve"> in the Republic of Ireland </w:t>
      </w:r>
      <w:r w:rsidR="003D3903" w:rsidRPr="009374C2">
        <w:rPr>
          <w:sz w:val="24"/>
          <w:szCs w:val="24"/>
        </w:rPr>
        <w:t xml:space="preserve">played a key role in achieving both </w:t>
      </w:r>
      <w:r w:rsidR="002D2F8C" w:rsidRPr="009374C2">
        <w:rPr>
          <w:sz w:val="24"/>
          <w:szCs w:val="24"/>
        </w:rPr>
        <w:t>social and economic policy</w:t>
      </w:r>
      <w:r w:rsidR="003D3903" w:rsidRPr="009374C2">
        <w:rPr>
          <w:sz w:val="24"/>
          <w:szCs w:val="24"/>
        </w:rPr>
        <w:t xml:space="preserve"> objectives</w:t>
      </w:r>
      <w:r w:rsidR="002D2F8C" w:rsidRPr="009374C2">
        <w:rPr>
          <w:sz w:val="24"/>
          <w:szCs w:val="24"/>
        </w:rPr>
        <w:t xml:space="preserve">.  Dwellings of this type, which were provided mainly by local government and rented at sub market rates to low income families, accounted for </w:t>
      </w:r>
      <w:r w:rsidR="002370F3" w:rsidRPr="009374C2">
        <w:rPr>
          <w:sz w:val="24"/>
          <w:szCs w:val="24"/>
        </w:rPr>
        <w:t xml:space="preserve">between 52 </w:t>
      </w:r>
      <w:r w:rsidR="002D2F8C" w:rsidRPr="009374C2">
        <w:rPr>
          <w:sz w:val="24"/>
          <w:szCs w:val="24"/>
        </w:rPr>
        <w:t>and 65</w:t>
      </w:r>
      <w:r w:rsidR="002370F3" w:rsidRPr="009374C2">
        <w:rPr>
          <w:sz w:val="24"/>
          <w:szCs w:val="24"/>
        </w:rPr>
        <w:t xml:space="preserve">.2 </w:t>
      </w:r>
      <w:r w:rsidR="002E10A6" w:rsidRPr="009374C2">
        <w:rPr>
          <w:sz w:val="24"/>
          <w:szCs w:val="24"/>
        </w:rPr>
        <w:t>%</w:t>
      </w:r>
      <w:r w:rsidR="002D2F8C" w:rsidRPr="009374C2">
        <w:rPr>
          <w:sz w:val="24"/>
          <w:szCs w:val="24"/>
        </w:rPr>
        <w:t xml:space="preserve"> of total Irish housing output</w:t>
      </w:r>
      <w:r w:rsidR="00570B06" w:rsidRPr="009374C2">
        <w:rPr>
          <w:sz w:val="24"/>
          <w:szCs w:val="24"/>
        </w:rPr>
        <w:t xml:space="preserve"> in </w:t>
      </w:r>
      <w:r w:rsidR="002370F3" w:rsidRPr="009374C2">
        <w:rPr>
          <w:sz w:val="24"/>
          <w:szCs w:val="24"/>
        </w:rPr>
        <w:t>the 1930s, 1940s and 1950s</w:t>
      </w:r>
      <w:r w:rsidR="002D2F8C" w:rsidRPr="009374C2">
        <w:rPr>
          <w:sz w:val="24"/>
          <w:szCs w:val="24"/>
        </w:rPr>
        <w:t xml:space="preserve"> and </w:t>
      </w:r>
      <w:r w:rsidR="00D7493C" w:rsidRPr="009374C2">
        <w:rPr>
          <w:sz w:val="24"/>
          <w:szCs w:val="24"/>
        </w:rPr>
        <w:t xml:space="preserve">18.4 </w:t>
      </w:r>
      <w:r w:rsidR="002E10A6" w:rsidRPr="009374C2">
        <w:rPr>
          <w:sz w:val="24"/>
          <w:szCs w:val="24"/>
        </w:rPr>
        <w:t>%</w:t>
      </w:r>
      <w:r w:rsidR="002D2F8C" w:rsidRPr="009374C2">
        <w:rPr>
          <w:sz w:val="24"/>
          <w:szCs w:val="24"/>
        </w:rPr>
        <w:t xml:space="preserve"> of the Irish population was accommodated in this sector in 1961</w:t>
      </w:r>
      <w:r w:rsidR="00570B06" w:rsidRPr="009374C2">
        <w:rPr>
          <w:sz w:val="24"/>
          <w:szCs w:val="24"/>
        </w:rPr>
        <w:t xml:space="preserve"> (Norris and Fahey, </w:t>
      </w:r>
      <w:r w:rsidR="00C210D1" w:rsidRPr="009374C2">
        <w:rPr>
          <w:sz w:val="24"/>
          <w:szCs w:val="24"/>
        </w:rPr>
        <w:t>2011</w:t>
      </w:r>
      <w:r w:rsidR="00570B06" w:rsidRPr="009374C2">
        <w:rPr>
          <w:sz w:val="24"/>
          <w:szCs w:val="24"/>
        </w:rPr>
        <w:t>)</w:t>
      </w:r>
      <w:r w:rsidR="002D2F8C" w:rsidRPr="009374C2">
        <w:rPr>
          <w:sz w:val="24"/>
          <w:szCs w:val="24"/>
        </w:rPr>
        <w:t xml:space="preserve">.  </w:t>
      </w:r>
      <w:r w:rsidR="00D7493C" w:rsidRPr="009374C2">
        <w:rPr>
          <w:sz w:val="24"/>
          <w:szCs w:val="24"/>
        </w:rPr>
        <w:t xml:space="preserve">Public housing </w:t>
      </w:r>
      <w:r w:rsidR="00570B06" w:rsidRPr="009374C2">
        <w:rPr>
          <w:sz w:val="24"/>
          <w:szCs w:val="24"/>
        </w:rPr>
        <w:t>helped to further important social objectives such as clearing the private rented slums which blighted many Irish cities and improving the housing conditions and housing affordability of low</w:t>
      </w:r>
      <w:r w:rsidR="00C210D1" w:rsidRPr="009374C2">
        <w:rPr>
          <w:sz w:val="24"/>
          <w:szCs w:val="24"/>
        </w:rPr>
        <w:t>-</w:t>
      </w:r>
      <w:r w:rsidR="00570B06" w:rsidRPr="009374C2">
        <w:rPr>
          <w:sz w:val="24"/>
          <w:szCs w:val="24"/>
        </w:rPr>
        <w:t xml:space="preserve">income households.  In the context of </w:t>
      </w:r>
      <w:r w:rsidR="002370F3" w:rsidRPr="009374C2">
        <w:rPr>
          <w:sz w:val="24"/>
          <w:szCs w:val="24"/>
        </w:rPr>
        <w:t xml:space="preserve">the </w:t>
      </w:r>
      <w:r w:rsidR="00570B06" w:rsidRPr="009374C2">
        <w:rPr>
          <w:sz w:val="24"/>
          <w:szCs w:val="24"/>
        </w:rPr>
        <w:t xml:space="preserve">low economic growth </w:t>
      </w:r>
      <w:r w:rsidR="002370F3" w:rsidRPr="009374C2">
        <w:rPr>
          <w:sz w:val="24"/>
          <w:szCs w:val="24"/>
        </w:rPr>
        <w:t xml:space="preserve">pattern </w:t>
      </w:r>
      <w:r w:rsidR="00570B06" w:rsidRPr="009374C2">
        <w:rPr>
          <w:sz w:val="24"/>
          <w:szCs w:val="24"/>
        </w:rPr>
        <w:t xml:space="preserve">which this country experienced during the </w:t>
      </w:r>
      <w:r w:rsidRPr="009374C2">
        <w:rPr>
          <w:sz w:val="24"/>
          <w:szCs w:val="24"/>
        </w:rPr>
        <w:t>20</w:t>
      </w:r>
      <w:r w:rsidRPr="009374C2">
        <w:rPr>
          <w:sz w:val="24"/>
          <w:szCs w:val="24"/>
          <w:vertAlign w:val="superscript"/>
        </w:rPr>
        <w:t>th</w:t>
      </w:r>
      <w:r w:rsidRPr="009374C2">
        <w:rPr>
          <w:sz w:val="24"/>
          <w:szCs w:val="24"/>
        </w:rPr>
        <w:t xml:space="preserve"> </w:t>
      </w:r>
      <w:r w:rsidR="00570B06" w:rsidRPr="009374C2">
        <w:rPr>
          <w:sz w:val="24"/>
          <w:szCs w:val="24"/>
        </w:rPr>
        <w:t>Century</w:t>
      </w:r>
      <w:r w:rsidR="00E30C91" w:rsidRPr="009374C2">
        <w:rPr>
          <w:sz w:val="24"/>
          <w:szCs w:val="24"/>
        </w:rPr>
        <w:t>, interspersed by a number of severe recessions,</w:t>
      </w:r>
      <w:r w:rsidR="00570B06" w:rsidRPr="009374C2">
        <w:rPr>
          <w:sz w:val="24"/>
          <w:szCs w:val="24"/>
        </w:rPr>
        <w:t xml:space="preserve"> public housing provision </w:t>
      </w:r>
      <w:r w:rsidR="00177BA0" w:rsidRPr="009374C2">
        <w:rPr>
          <w:sz w:val="24"/>
          <w:szCs w:val="24"/>
        </w:rPr>
        <w:t xml:space="preserve">also played an important economic role as an economic stimulus and source of employment when labour was </w:t>
      </w:r>
      <w:r w:rsidR="002C170B" w:rsidRPr="009374C2">
        <w:rPr>
          <w:sz w:val="24"/>
          <w:szCs w:val="24"/>
        </w:rPr>
        <w:t xml:space="preserve">in </w:t>
      </w:r>
      <w:r w:rsidR="00177BA0" w:rsidRPr="009374C2">
        <w:rPr>
          <w:sz w:val="24"/>
          <w:szCs w:val="24"/>
        </w:rPr>
        <w:t>over-supply</w:t>
      </w:r>
      <w:r w:rsidR="00C741A9" w:rsidRPr="009374C2">
        <w:rPr>
          <w:sz w:val="24"/>
          <w:szCs w:val="24"/>
        </w:rPr>
        <w:t xml:space="preserve"> (O’Connell, 2007).</w:t>
      </w:r>
    </w:p>
    <w:p w14:paraId="1851527D" w14:textId="029DE932" w:rsidR="004432DA" w:rsidRPr="009374C2" w:rsidRDefault="00160964" w:rsidP="00C741A9">
      <w:pPr>
        <w:spacing w:after="0" w:line="480" w:lineRule="auto"/>
        <w:ind w:firstLine="288"/>
        <w:rPr>
          <w:sz w:val="24"/>
          <w:szCs w:val="24"/>
        </w:rPr>
      </w:pPr>
      <w:r w:rsidRPr="009374C2">
        <w:rPr>
          <w:sz w:val="24"/>
          <w:szCs w:val="24"/>
        </w:rPr>
        <w:t>However</w:t>
      </w:r>
      <w:r w:rsidR="00950706" w:rsidRPr="009374C2">
        <w:rPr>
          <w:sz w:val="24"/>
          <w:szCs w:val="24"/>
        </w:rPr>
        <w:t xml:space="preserve">, public housing has not </w:t>
      </w:r>
      <w:r w:rsidR="002C170B" w:rsidRPr="009374C2">
        <w:rPr>
          <w:sz w:val="24"/>
          <w:szCs w:val="24"/>
        </w:rPr>
        <w:t xml:space="preserve">fulfilled its </w:t>
      </w:r>
      <w:r w:rsidR="00950706" w:rsidRPr="009374C2">
        <w:rPr>
          <w:sz w:val="24"/>
          <w:szCs w:val="24"/>
        </w:rPr>
        <w:t>traditional role as a social and economic buffer</w:t>
      </w:r>
      <w:r w:rsidRPr="009374C2">
        <w:rPr>
          <w:sz w:val="24"/>
          <w:szCs w:val="24"/>
        </w:rPr>
        <w:t xml:space="preserve"> during </w:t>
      </w:r>
      <w:r w:rsidR="00AF75EB" w:rsidRPr="009374C2">
        <w:rPr>
          <w:sz w:val="24"/>
          <w:szCs w:val="24"/>
        </w:rPr>
        <w:t>Ireland</w:t>
      </w:r>
      <w:r w:rsidRPr="009374C2">
        <w:rPr>
          <w:sz w:val="24"/>
          <w:szCs w:val="24"/>
        </w:rPr>
        <w:t>’s latest economic crisis</w:t>
      </w:r>
      <w:r w:rsidR="002C170B" w:rsidRPr="009374C2">
        <w:rPr>
          <w:sz w:val="24"/>
          <w:szCs w:val="24"/>
        </w:rPr>
        <w:t>.  This crisis</w:t>
      </w:r>
      <w:r w:rsidRPr="009374C2">
        <w:rPr>
          <w:sz w:val="24"/>
          <w:szCs w:val="24"/>
        </w:rPr>
        <w:t xml:space="preserve"> </w:t>
      </w:r>
      <w:r w:rsidR="00FD5202" w:rsidRPr="009374C2">
        <w:rPr>
          <w:sz w:val="24"/>
          <w:szCs w:val="24"/>
        </w:rPr>
        <w:t>commenced following the bursting of a property bubble in 2007 but worsen</w:t>
      </w:r>
      <w:r w:rsidR="00B254EB" w:rsidRPr="009374C2">
        <w:rPr>
          <w:sz w:val="24"/>
          <w:szCs w:val="24"/>
        </w:rPr>
        <w:t>ed</w:t>
      </w:r>
      <w:r w:rsidR="00FD5202" w:rsidRPr="009374C2">
        <w:rPr>
          <w:sz w:val="24"/>
          <w:szCs w:val="24"/>
        </w:rPr>
        <w:t xml:space="preserve"> </w:t>
      </w:r>
      <w:r w:rsidR="00950706" w:rsidRPr="009374C2">
        <w:rPr>
          <w:sz w:val="24"/>
          <w:szCs w:val="24"/>
        </w:rPr>
        <w:t xml:space="preserve">considerably following the emergence of the Global Financial Crisis </w:t>
      </w:r>
      <w:r w:rsidR="001751C3" w:rsidRPr="009374C2">
        <w:rPr>
          <w:sz w:val="24"/>
          <w:szCs w:val="24"/>
        </w:rPr>
        <w:t>the following</w:t>
      </w:r>
      <w:r w:rsidR="00C210D1" w:rsidRPr="009374C2">
        <w:rPr>
          <w:sz w:val="24"/>
          <w:szCs w:val="24"/>
        </w:rPr>
        <w:t xml:space="preserve"> </w:t>
      </w:r>
      <w:r w:rsidR="00E30C91" w:rsidRPr="009374C2">
        <w:rPr>
          <w:sz w:val="24"/>
          <w:szCs w:val="24"/>
        </w:rPr>
        <w:t xml:space="preserve">year </w:t>
      </w:r>
      <w:r w:rsidR="002C170B" w:rsidRPr="009374C2">
        <w:rPr>
          <w:sz w:val="24"/>
          <w:szCs w:val="24"/>
        </w:rPr>
        <w:t xml:space="preserve">and resulted in the Irish government nationalising almost the entire banking system in 2009 and negotiating an emergency </w:t>
      </w:r>
      <w:r w:rsidR="001751C3" w:rsidRPr="009374C2">
        <w:rPr>
          <w:sz w:val="24"/>
          <w:szCs w:val="24"/>
        </w:rPr>
        <w:t xml:space="preserve">loan from the European Union and the IMF to fund </w:t>
      </w:r>
      <w:r w:rsidR="0090099F" w:rsidRPr="009374C2">
        <w:rPr>
          <w:sz w:val="24"/>
          <w:szCs w:val="24"/>
        </w:rPr>
        <w:t xml:space="preserve">public spending </w:t>
      </w:r>
      <w:r w:rsidR="001751C3" w:rsidRPr="009374C2">
        <w:rPr>
          <w:sz w:val="24"/>
          <w:szCs w:val="24"/>
        </w:rPr>
        <w:t xml:space="preserve">and the bank bailout in 2010 </w:t>
      </w:r>
      <w:r w:rsidR="00C210D1" w:rsidRPr="009374C2">
        <w:rPr>
          <w:sz w:val="24"/>
          <w:szCs w:val="24"/>
        </w:rPr>
        <w:t xml:space="preserve">(Norris and Coates, </w:t>
      </w:r>
      <w:r w:rsidR="002C170B" w:rsidRPr="009374C2">
        <w:rPr>
          <w:sz w:val="24"/>
          <w:szCs w:val="24"/>
        </w:rPr>
        <w:t>2014)</w:t>
      </w:r>
      <w:r w:rsidR="00950706" w:rsidRPr="009374C2">
        <w:rPr>
          <w:sz w:val="24"/>
          <w:szCs w:val="24"/>
        </w:rPr>
        <w:t xml:space="preserve">.  </w:t>
      </w:r>
      <w:r w:rsidR="001751C3" w:rsidRPr="009374C2">
        <w:rPr>
          <w:sz w:val="24"/>
          <w:szCs w:val="24"/>
        </w:rPr>
        <w:t>Government funding for new public housing provision fell by 88</w:t>
      </w:r>
      <w:r w:rsidR="00AC3856" w:rsidRPr="009374C2">
        <w:rPr>
          <w:sz w:val="24"/>
          <w:szCs w:val="24"/>
        </w:rPr>
        <w:t>.</w:t>
      </w:r>
      <w:r w:rsidR="001751C3" w:rsidRPr="009374C2">
        <w:rPr>
          <w:sz w:val="24"/>
          <w:szCs w:val="24"/>
        </w:rPr>
        <w:t xml:space="preserve">4 </w:t>
      </w:r>
      <w:r w:rsidR="002E10A6" w:rsidRPr="009374C2">
        <w:rPr>
          <w:sz w:val="24"/>
          <w:szCs w:val="24"/>
        </w:rPr>
        <w:t>%</w:t>
      </w:r>
      <w:r w:rsidR="001751C3" w:rsidRPr="009374C2">
        <w:rPr>
          <w:sz w:val="24"/>
          <w:szCs w:val="24"/>
        </w:rPr>
        <w:t xml:space="preserve"> between 2008 and 2014 and as a result output of dwellings in this tenure declined by 91.5</w:t>
      </w:r>
      <w:r w:rsidR="002E10A6" w:rsidRPr="009374C2">
        <w:rPr>
          <w:sz w:val="24"/>
          <w:szCs w:val="24"/>
        </w:rPr>
        <w:t>%</w:t>
      </w:r>
      <w:r w:rsidR="001751C3" w:rsidRPr="009374C2">
        <w:rPr>
          <w:sz w:val="24"/>
          <w:szCs w:val="24"/>
        </w:rPr>
        <w:t xml:space="preserve"> concurrently</w:t>
      </w:r>
      <w:r w:rsidR="00954EE0" w:rsidRPr="009374C2">
        <w:rPr>
          <w:sz w:val="24"/>
          <w:szCs w:val="24"/>
        </w:rPr>
        <w:t xml:space="preserve"> (Department of Public Expenditure and Reform, various years</w:t>
      </w:r>
      <w:r w:rsidR="00B254EB" w:rsidRPr="009374C2">
        <w:rPr>
          <w:sz w:val="24"/>
          <w:szCs w:val="24"/>
        </w:rPr>
        <w:t>; Department of Housing, Planning and Local Government, various years</w:t>
      </w:r>
      <w:r w:rsidR="00954EE0" w:rsidRPr="009374C2">
        <w:rPr>
          <w:sz w:val="24"/>
          <w:szCs w:val="24"/>
        </w:rPr>
        <w:t>)</w:t>
      </w:r>
      <w:r w:rsidR="001751C3" w:rsidRPr="009374C2">
        <w:rPr>
          <w:sz w:val="24"/>
          <w:szCs w:val="24"/>
        </w:rPr>
        <w:t xml:space="preserve">.  </w:t>
      </w:r>
      <w:r w:rsidR="00AF75EB" w:rsidRPr="009374C2">
        <w:rPr>
          <w:sz w:val="24"/>
          <w:szCs w:val="24"/>
        </w:rPr>
        <w:t xml:space="preserve">The demise of the public housing </w:t>
      </w:r>
      <w:r w:rsidR="001751C3" w:rsidRPr="009374C2">
        <w:rPr>
          <w:sz w:val="24"/>
          <w:szCs w:val="24"/>
        </w:rPr>
        <w:t xml:space="preserve">provision in Ireland has </w:t>
      </w:r>
      <w:r w:rsidR="00AF75EB" w:rsidRPr="009374C2">
        <w:rPr>
          <w:sz w:val="24"/>
          <w:szCs w:val="24"/>
        </w:rPr>
        <w:t xml:space="preserve">occurred at the same time as the collapse of the private housing market. </w:t>
      </w:r>
      <w:r w:rsidR="001751C3" w:rsidRPr="009374C2">
        <w:rPr>
          <w:sz w:val="24"/>
          <w:szCs w:val="24"/>
        </w:rPr>
        <w:t xml:space="preserve"> </w:t>
      </w:r>
      <w:r w:rsidR="004432DA" w:rsidRPr="009374C2">
        <w:rPr>
          <w:sz w:val="24"/>
          <w:szCs w:val="24"/>
        </w:rPr>
        <w:t>House prices fell by a remarkable 50</w:t>
      </w:r>
      <w:r w:rsidR="002E10A6" w:rsidRPr="009374C2">
        <w:rPr>
          <w:sz w:val="24"/>
          <w:szCs w:val="24"/>
        </w:rPr>
        <w:t>%</w:t>
      </w:r>
      <w:r w:rsidR="004432DA" w:rsidRPr="009374C2">
        <w:rPr>
          <w:sz w:val="24"/>
          <w:szCs w:val="24"/>
        </w:rPr>
        <w:t xml:space="preserve"> from their peak in 2006 to trough in 2012 and </w:t>
      </w:r>
      <w:r w:rsidR="001751C3" w:rsidRPr="009374C2">
        <w:rPr>
          <w:sz w:val="24"/>
          <w:szCs w:val="24"/>
        </w:rPr>
        <w:t xml:space="preserve">private sector house building </w:t>
      </w:r>
      <w:r w:rsidR="004432DA" w:rsidRPr="009374C2">
        <w:rPr>
          <w:sz w:val="24"/>
          <w:szCs w:val="24"/>
        </w:rPr>
        <w:t>declined</w:t>
      </w:r>
      <w:r w:rsidR="001751C3" w:rsidRPr="009374C2">
        <w:rPr>
          <w:sz w:val="24"/>
          <w:szCs w:val="24"/>
        </w:rPr>
        <w:t xml:space="preserve"> from a high of 88,211 dwellings in 2006 to just 10,501 units in 2014</w:t>
      </w:r>
      <w:r w:rsidR="00954EE0" w:rsidRPr="009374C2">
        <w:rPr>
          <w:sz w:val="24"/>
          <w:szCs w:val="24"/>
        </w:rPr>
        <w:t xml:space="preserve"> (Department of Housing, Planning and Local Government, various years)</w:t>
      </w:r>
      <w:r w:rsidR="004432DA" w:rsidRPr="009374C2">
        <w:rPr>
          <w:sz w:val="24"/>
          <w:szCs w:val="24"/>
        </w:rPr>
        <w:t>.  However</w:t>
      </w:r>
      <w:r w:rsidR="007F47A4" w:rsidRPr="009374C2">
        <w:rPr>
          <w:sz w:val="24"/>
          <w:szCs w:val="24"/>
        </w:rPr>
        <w:t>,</w:t>
      </w:r>
      <w:r w:rsidR="004432DA" w:rsidRPr="009374C2">
        <w:rPr>
          <w:sz w:val="24"/>
          <w:szCs w:val="24"/>
        </w:rPr>
        <w:t xml:space="preserve"> as the economy has recovered and the population has started to grow, particularly in cities, a chronic housing shortage has emerged which has resulted in rising house prices and private sector rents and</w:t>
      </w:r>
      <w:r w:rsidR="00E30C91" w:rsidRPr="009374C2">
        <w:rPr>
          <w:sz w:val="24"/>
          <w:szCs w:val="24"/>
        </w:rPr>
        <w:t>,</w:t>
      </w:r>
      <w:r w:rsidR="004432DA" w:rsidRPr="009374C2">
        <w:rPr>
          <w:sz w:val="24"/>
          <w:szCs w:val="24"/>
        </w:rPr>
        <w:t xml:space="preserve"> most seriously</w:t>
      </w:r>
      <w:r w:rsidR="00E30C91" w:rsidRPr="009374C2">
        <w:rPr>
          <w:sz w:val="24"/>
          <w:szCs w:val="24"/>
        </w:rPr>
        <w:t>,</w:t>
      </w:r>
      <w:r w:rsidR="004432DA" w:rsidRPr="009374C2">
        <w:rPr>
          <w:sz w:val="24"/>
          <w:szCs w:val="24"/>
        </w:rPr>
        <w:t xml:space="preserve"> in unprecedented rates of homelessness (</w:t>
      </w:r>
      <w:r w:rsidR="00954EE0" w:rsidRPr="009374C2">
        <w:rPr>
          <w:sz w:val="24"/>
          <w:szCs w:val="24"/>
        </w:rPr>
        <w:t>Waldron and Redmond, 2014)</w:t>
      </w:r>
      <w:r w:rsidR="00C741A9" w:rsidRPr="009374C2">
        <w:rPr>
          <w:sz w:val="24"/>
          <w:szCs w:val="24"/>
        </w:rPr>
        <w:t>.</w:t>
      </w:r>
    </w:p>
    <w:p w14:paraId="4C33ABD2" w14:textId="7BE154C0" w:rsidR="0051177C" w:rsidRPr="009374C2" w:rsidRDefault="00A671B5" w:rsidP="000E1A6A">
      <w:pPr>
        <w:spacing w:after="0" w:line="480" w:lineRule="auto"/>
        <w:ind w:firstLine="288"/>
        <w:rPr>
          <w:sz w:val="24"/>
          <w:szCs w:val="24"/>
        </w:rPr>
      </w:pPr>
      <w:r w:rsidRPr="009374C2">
        <w:rPr>
          <w:sz w:val="24"/>
          <w:szCs w:val="24"/>
        </w:rPr>
        <w:t>Thus</w:t>
      </w:r>
      <w:r w:rsidR="0090099F" w:rsidRPr="009374C2">
        <w:rPr>
          <w:sz w:val="24"/>
          <w:szCs w:val="24"/>
        </w:rPr>
        <w:t>,</w:t>
      </w:r>
      <w:r w:rsidRPr="009374C2">
        <w:rPr>
          <w:sz w:val="24"/>
          <w:szCs w:val="24"/>
        </w:rPr>
        <w:t xml:space="preserve"> in contrast to </w:t>
      </w:r>
      <w:r w:rsidR="00AF75EB" w:rsidRPr="009374C2">
        <w:rPr>
          <w:sz w:val="24"/>
          <w:szCs w:val="24"/>
        </w:rPr>
        <w:t>the historical experience in Ireland</w:t>
      </w:r>
      <w:r w:rsidR="0090099F" w:rsidRPr="009374C2">
        <w:rPr>
          <w:sz w:val="24"/>
          <w:szCs w:val="24"/>
        </w:rPr>
        <w:t>,</w:t>
      </w:r>
      <w:r w:rsidR="00AF75EB" w:rsidRPr="009374C2">
        <w:rPr>
          <w:sz w:val="24"/>
          <w:szCs w:val="24"/>
        </w:rPr>
        <w:t xml:space="preserve"> public housing </w:t>
      </w:r>
      <w:r w:rsidRPr="009374C2">
        <w:rPr>
          <w:sz w:val="24"/>
          <w:szCs w:val="24"/>
        </w:rPr>
        <w:t xml:space="preserve">appears to have recently </w:t>
      </w:r>
      <w:r w:rsidR="00954EE0" w:rsidRPr="009374C2">
        <w:rPr>
          <w:sz w:val="24"/>
          <w:szCs w:val="24"/>
        </w:rPr>
        <w:t xml:space="preserve">failed to fulfil its </w:t>
      </w:r>
      <w:r w:rsidRPr="009374C2">
        <w:rPr>
          <w:sz w:val="24"/>
          <w:szCs w:val="24"/>
        </w:rPr>
        <w:t xml:space="preserve">potential </w:t>
      </w:r>
      <w:r w:rsidR="00AF75EB" w:rsidRPr="009374C2">
        <w:rPr>
          <w:sz w:val="24"/>
          <w:szCs w:val="24"/>
        </w:rPr>
        <w:t xml:space="preserve">counter-balance to the market and </w:t>
      </w:r>
      <w:r w:rsidRPr="009374C2">
        <w:rPr>
          <w:sz w:val="24"/>
          <w:szCs w:val="24"/>
        </w:rPr>
        <w:t xml:space="preserve">correct </w:t>
      </w:r>
      <w:r w:rsidR="00E30C91" w:rsidRPr="009374C2">
        <w:rPr>
          <w:sz w:val="24"/>
          <w:szCs w:val="24"/>
        </w:rPr>
        <w:t>ma</w:t>
      </w:r>
      <w:r w:rsidR="00AF75EB" w:rsidRPr="009374C2">
        <w:rPr>
          <w:sz w:val="24"/>
          <w:szCs w:val="24"/>
        </w:rPr>
        <w:t xml:space="preserve">rket failure. On the contrary, public housing has mirrored and reinforced the boom/bust dynamics of the </w:t>
      </w:r>
      <w:r w:rsidR="00E30C91" w:rsidRPr="009374C2">
        <w:rPr>
          <w:sz w:val="24"/>
          <w:szCs w:val="24"/>
        </w:rPr>
        <w:t>private</w:t>
      </w:r>
      <w:r w:rsidR="00AF75EB" w:rsidRPr="009374C2">
        <w:rPr>
          <w:sz w:val="24"/>
          <w:szCs w:val="24"/>
        </w:rPr>
        <w:t xml:space="preserve"> housing system. </w:t>
      </w:r>
      <w:r w:rsidR="0090099F" w:rsidRPr="009374C2">
        <w:rPr>
          <w:sz w:val="24"/>
          <w:szCs w:val="24"/>
        </w:rPr>
        <w:t xml:space="preserve"> </w:t>
      </w:r>
      <w:r w:rsidR="00124CE9" w:rsidRPr="009374C2">
        <w:rPr>
          <w:sz w:val="24"/>
          <w:szCs w:val="24"/>
        </w:rPr>
        <w:t xml:space="preserve">The </w:t>
      </w:r>
      <w:r w:rsidR="00377DCD" w:rsidRPr="009374C2">
        <w:rPr>
          <w:sz w:val="24"/>
          <w:szCs w:val="24"/>
        </w:rPr>
        <w:t>obvious</w:t>
      </w:r>
      <w:r w:rsidR="00124CE9" w:rsidRPr="009374C2">
        <w:rPr>
          <w:sz w:val="24"/>
          <w:szCs w:val="24"/>
        </w:rPr>
        <w:t xml:space="preserve"> interpretation of this problem</w:t>
      </w:r>
      <w:r w:rsidR="00377DCD" w:rsidRPr="009374C2">
        <w:rPr>
          <w:sz w:val="24"/>
          <w:szCs w:val="24"/>
        </w:rPr>
        <w:t xml:space="preserve"> and the dominant one</w:t>
      </w:r>
      <w:r w:rsidR="00124CE9" w:rsidRPr="009374C2">
        <w:rPr>
          <w:sz w:val="24"/>
          <w:szCs w:val="24"/>
        </w:rPr>
        <w:t xml:space="preserve"> among Irish policy commentators is that </w:t>
      </w:r>
      <w:r w:rsidR="00377DCD" w:rsidRPr="009374C2">
        <w:rPr>
          <w:sz w:val="24"/>
          <w:szCs w:val="24"/>
        </w:rPr>
        <w:t xml:space="preserve">it is rooted in Irelands latest economic crisis - </w:t>
      </w:r>
      <w:r w:rsidR="00124CE9" w:rsidRPr="009374C2">
        <w:rPr>
          <w:sz w:val="24"/>
          <w:szCs w:val="24"/>
        </w:rPr>
        <w:t xml:space="preserve">the scale of the bust Ireland experienced during the Global Financial Crisis, coupled with the requirements </w:t>
      </w:r>
      <w:r w:rsidR="00377DCD" w:rsidRPr="009374C2">
        <w:rPr>
          <w:sz w:val="24"/>
          <w:szCs w:val="24"/>
        </w:rPr>
        <w:t>of the EU/IMF emergency loan and the impact of n</w:t>
      </w:r>
      <w:r w:rsidR="009F45C4" w:rsidRPr="009374C2">
        <w:rPr>
          <w:sz w:val="24"/>
          <w:szCs w:val="24"/>
        </w:rPr>
        <w:t xml:space="preserve">eo-liberal ideology impeded the potential for government spending on public housing and led to a collapse in supply.  </w:t>
      </w:r>
      <w:r w:rsidR="008F2B50" w:rsidRPr="009374C2">
        <w:rPr>
          <w:sz w:val="24"/>
          <w:szCs w:val="24"/>
        </w:rPr>
        <w:t xml:space="preserve">This article </w:t>
      </w:r>
      <w:r w:rsidR="009F45C4" w:rsidRPr="009374C2">
        <w:rPr>
          <w:sz w:val="24"/>
          <w:szCs w:val="24"/>
        </w:rPr>
        <w:t>contradicts this consensus and suggests that the roots of Ireland</w:t>
      </w:r>
      <w:r w:rsidR="008F2B50" w:rsidRPr="009374C2">
        <w:rPr>
          <w:sz w:val="24"/>
          <w:szCs w:val="24"/>
        </w:rPr>
        <w:t>’s</w:t>
      </w:r>
      <w:r w:rsidR="009F45C4" w:rsidRPr="009374C2">
        <w:rPr>
          <w:sz w:val="24"/>
          <w:szCs w:val="24"/>
        </w:rPr>
        <w:t xml:space="preserve"> dual public/ private housing crisis are both older and more complex.  </w:t>
      </w:r>
      <w:r w:rsidR="008F2B50" w:rsidRPr="009374C2">
        <w:rPr>
          <w:sz w:val="24"/>
          <w:szCs w:val="24"/>
        </w:rPr>
        <w:t xml:space="preserve">The argument presented here is that </w:t>
      </w:r>
      <w:r w:rsidR="005B7212" w:rsidRPr="009374C2">
        <w:rPr>
          <w:sz w:val="24"/>
          <w:szCs w:val="24"/>
        </w:rPr>
        <w:t xml:space="preserve">Ireland’s latest serious recession </w:t>
      </w:r>
      <w:r w:rsidR="00D7493C" w:rsidRPr="009374C2">
        <w:rPr>
          <w:sz w:val="24"/>
          <w:szCs w:val="24"/>
        </w:rPr>
        <w:t xml:space="preserve">is just the proximate cause of Ireland’s public housing crisis, its fundamental cause can be traced to the last serious recession experienced by this country which </w:t>
      </w:r>
      <w:r w:rsidR="005B7212" w:rsidRPr="009374C2">
        <w:rPr>
          <w:sz w:val="24"/>
          <w:szCs w:val="24"/>
        </w:rPr>
        <w:t xml:space="preserve">commenced in the late 1970s and lasted until the closing years of the 1980s.  </w:t>
      </w:r>
      <w:r w:rsidR="000E1A6A" w:rsidRPr="009374C2">
        <w:rPr>
          <w:sz w:val="24"/>
          <w:szCs w:val="24"/>
        </w:rPr>
        <w:t xml:space="preserve">During this period a series of </w:t>
      </w:r>
      <w:r w:rsidR="00AF75EB" w:rsidRPr="009374C2">
        <w:rPr>
          <w:sz w:val="24"/>
          <w:szCs w:val="24"/>
        </w:rPr>
        <w:t xml:space="preserve">policy </w:t>
      </w:r>
      <w:r w:rsidR="000E1A6A" w:rsidRPr="009374C2">
        <w:rPr>
          <w:sz w:val="24"/>
          <w:szCs w:val="24"/>
        </w:rPr>
        <w:t xml:space="preserve">reforms were initiated, many of which </w:t>
      </w:r>
      <w:r w:rsidR="00804907" w:rsidRPr="009374C2">
        <w:rPr>
          <w:sz w:val="24"/>
          <w:szCs w:val="24"/>
        </w:rPr>
        <w:t xml:space="preserve">do not appear </w:t>
      </w:r>
      <w:r w:rsidR="000E1A6A" w:rsidRPr="009374C2">
        <w:rPr>
          <w:sz w:val="24"/>
          <w:szCs w:val="24"/>
        </w:rPr>
        <w:t>individually significant, but they amounted collectively to</w:t>
      </w:r>
      <w:r w:rsidR="00AF75EB" w:rsidRPr="009374C2">
        <w:rPr>
          <w:sz w:val="24"/>
          <w:szCs w:val="24"/>
        </w:rPr>
        <w:t xml:space="preserve"> profound transformation of the way the </w:t>
      </w:r>
      <w:r w:rsidR="00B254EB" w:rsidRPr="009374C2">
        <w:rPr>
          <w:sz w:val="24"/>
          <w:szCs w:val="24"/>
        </w:rPr>
        <w:t>public</w:t>
      </w:r>
      <w:r w:rsidR="00AF75EB" w:rsidRPr="009374C2">
        <w:rPr>
          <w:sz w:val="24"/>
          <w:szCs w:val="24"/>
        </w:rPr>
        <w:t xml:space="preserve"> housing system and the private housing market interact</w:t>
      </w:r>
      <w:r w:rsidR="000E1A6A" w:rsidRPr="009374C2">
        <w:rPr>
          <w:sz w:val="24"/>
          <w:szCs w:val="24"/>
        </w:rPr>
        <w:t>ed</w:t>
      </w:r>
      <w:r w:rsidR="00AF75EB" w:rsidRPr="009374C2">
        <w:rPr>
          <w:sz w:val="24"/>
          <w:szCs w:val="24"/>
        </w:rPr>
        <w:t xml:space="preserve">. </w:t>
      </w:r>
      <w:r w:rsidR="000E1A6A" w:rsidRPr="009374C2">
        <w:rPr>
          <w:sz w:val="24"/>
          <w:szCs w:val="24"/>
        </w:rPr>
        <w:t xml:space="preserve"> As a result of these measures t</w:t>
      </w:r>
      <w:r w:rsidR="00AF75EB" w:rsidRPr="009374C2">
        <w:rPr>
          <w:sz w:val="24"/>
          <w:szCs w:val="24"/>
        </w:rPr>
        <w:t xml:space="preserve">he </w:t>
      </w:r>
      <w:r w:rsidR="000E1A6A" w:rsidRPr="009374C2">
        <w:rPr>
          <w:sz w:val="24"/>
          <w:szCs w:val="24"/>
        </w:rPr>
        <w:t xml:space="preserve">traditional </w:t>
      </w:r>
      <w:r w:rsidR="00AF75EB" w:rsidRPr="009374C2">
        <w:rPr>
          <w:sz w:val="24"/>
          <w:szCs w:val="24"/>
        </w:rPr>
        <w:t xml:space="preserve">counter-cyclical role of </w:t>
      </w:r>
      <w:r w:rsidR="0090099F" w:rsidRPr="009374C2">
        <w:rPr>
          <w:sz w:val="24"/>
          <w:szCs w:val="24"/>
        </w:rPr>
        <w:t>public</w:t>
      </w:r>
      <w:r w:rsidR="00AF75EB" w:rsidRPr="009374C2">
        <w:rPr>
          <w:sz w:val="24"/>
          <w:szCs w:val="24"/>
        </w:rPr>
        <w:t xml:space="preserve"> housing </w:t>
      </w:r>
      <w:r w:rsidR="00A440EF" w:rsidRPr="009374C2">
        <w:rPr>
          <w:sz w:val="24"/>
          <w:szCs w:val="24"/>
        </w:rPr>
        <w:t>was</w:t>
      </w:r>
      <w:r w:rsidR="00AF75EB" w:rsidRPr="009374C2">
        <w:rPr>
          <w:sz w:val="24"/>
          <w:szCs w:val="24"/>
        </w:rPr>
        <w:t xml:space="preserve"> replaced by a new set of dynamics in which th</w:t>
      </w:r>
      <w:r w:rsidR="0090099F" w:rsidRPr="009374C2">
        <w:rPr>
          <w:sz w:val="24"/>
          <w:szCs w:val="24"/>
        </w:rPr>
        <w:t xml:space="preserve">is tenure </w:t>
      </w:r>
      <w:r w:rsidR="00D7493C" w:rsidRPr="009374C2">
        <w:rPr>
          <w:sz w:val="24"/>
          <w:szCs w:val="24"/>
        </w:rPr>
        <w:t>became</w:t>
      </w:r>
      <w:r w:rsidR="00AF75EB" w:rsidRPr="009374C2">
        <w:rPr>
          <w:sz w:val="24"/>
          <w:szCs w:val="24"/>
        </w:rPr>
        <w:t xml:space="preserve"> </w:t>
      </w:r>
      <w:r w:rsidR="0051177C" w:rsidRPr="009374C2">
        <w:rPr>
          <w:sz w:val="24"/>
          <w:szCs w:val="24"/>
        </w:rPr>
        <w:t xml:space="preserve">strongly </w:t>
      </w:r>
      <w:r w:rsidR="00AF75EB" w:rsidRPr="009374C2">
        <w:rPr>
          <w:sz w:val="24"/>
          <w:szCs w:val="24"/>
        </w:rPr>
        <w:t>pro-cyclical</w:t>
      </w:r>
      <w:r w:rsidR="0090099F" w:rsidRPr="009374C2">
        <w:rPr>
          <w:sz w:val="24"/>
          <w:szCs w:val="24"/>
        </w:rPr>
        <w:t xml:space="preserve"> and </w:t>
      </w:r>
      <w:r w:rsidR="00AF75EB" w:rsidRPr="009374C2">
        <w:rPr>
          <w:sz w:val="24"/>
          <w:szCs w:val="24"/>
        </w:rPr>
        <w:t>enhance</w:t>
      </w:r>
      <w:r w:rsidR="0090099F" w:rsidRPr="009374C2">
        <w:rPr>
          <w:sz w:val="24"/>
          <w:szCs w:val="24"/>
        </w:rPr>
        <w:t>d</w:t>
      </w:r>
      <w:r w:rsidR="00AF75EB" w:rsidRPr="009374C2">
        <w:rPr>
          <w:sz w:val="24"/>
          <w:szCs w:val="24"/>
        </w:rPr>
        <w:t xml:space="preserve"> rather than </w:t>
      </w:r>
      <w:r w:rsidR="007F47A4" w:rsidRPr="009374C2">
        <w:rPr>
          <w:sz w:val="24"/>
          <w:szCs w:val="24"/>
        </w:rPr>
        <w:t xml:space="preserve">alleviated </w:t>
      </w:r>
      <w:r w:rsidR="00AF75EB" w:rsidRPr="009374C2">
        <w:rPr>
          <w:sz w:val="24"/>
          <w:szCs w:val="24"/>
        </w:rPr>
        <w:t xml:space="preserve">the </w:t>
      </w:r>
      <w:r w:rsidR="000E1A6A" w:rsidRPr="009374C2">
        <w:rPr>
          <w:sz w:val="24"/>
          <w:szCs w:val="24"/>
        </w:rPr>
        <w:t xml:space="preserve">private housing market </w:t>
      </w:r>
      <w:r w:rsidR="00AF75EB" w:rsidRPr="009374C2">
        <w:rPr>
          <w:sz w:val="24"/>
          <w:szCs w:val="24"/>
        </w:rPr>
        <w:t xml:space="preserve">bubble and </w:t>
      </w:r>
      <w:r w:rsidR="007F47A4" w:rsidRPr="009374C2">
        <w:rPr>
          <w:sz w:val="24"/>
          <w:szCs w:val="24"/>
        </w:rPr>
        <w:t xml:space="preserve">accentuated rather mitigated </w:t>
      </w:r>
      <w:r w:rsidR="00A440EF" w:rsidRPr="009374C2">
        <w:rPr>
          <w:sz w:val="24"/>
          <w:szCs w:val="24"/>
        </w:rPr>
        <w:t xml:space="preserve">the social effects of </w:t>
      </w:r>
      <w:r w:rsidR="007F47A4" w:rsidRPr="009374C2">
        <w:rPr>
          <w:sz w:val="24"/>
          <w:szCs w:val="24"/>
        </w:rPr>
        <w:t xml:space="preserve">the </w:t>
      </w:r>
      <w:r w:rsidR="00AF75EB" w:rsidRPr="009374C2">
        <w:rPr>
          <w:sz w:val="24"/>
          <w:szCs w:val="24"/>
        </w:rPr>
        <w:t>cras</w:t>
      </w:r>
      <w:r w:rsidR="0051177C" w:rsidRPr="009374C2">
        <w:rPr>
          <w:sz w:val="24"/>
          <w:szCs w:val="24"/>
        </w:rPr>
        <w:t>h which followed the bursting of this bubble</w:t>
      </w:r>
      <w:r w:rsidR="00D7493C" w:rsidRPr="009374C2">
        <w:rPr>
          <w:sz w:val="24"/>
          <w:szCs w:val="24"/>
        </w:rPr>
        <w:t>.</w:t>
      </w:r>
    </w:p>
    <w:p w14:paraId="5053FB8A" w14:textId="0480D68F" w:rsidR="00AF75EB" w:rsidRPr="009374C2" w:rsidRDefault="0051177C" w:rsidP="000E1A6A">
      <w:pPr>
        <w:spacing w:after="0" w:line="480" w:lineRule="auto"/>
        <w:ind w:firstLine="288"/>
        <w:rPr>
          <w:sz w:val="24"/>
          <w:szCs w:val="24"/>
        </w:rPr>
      </w:pPr>
      <w:r w:rsidRPr="009374C2">
        <w:rPr>
          <w:sz w:val="24"/>
          <w:szCs w:val="24"/>
        </w:rPr>
        <w:t xml:space="preserve">Thus this analysis of the shifting relationship between the </w:t>
      </w:r>
      <w:r w:rsidR="008D69B6" w:rsidRPr="009374C2">
        <w:rPr>
          <w:sz w:val="24"/>
          <w:szCs w:val="24"/>
        </w:rPr>
        <w:t xml:space="preserve">Irish </w:t>
      </w:r>
      <w:r w:rsidRPr="009374C2">
        <w:rPr>
          <w:sz w:val="24"/>
          <w:szCs w:val="24"/>
        </w:rPr>
        <w:t xml:space="preserve">public and </w:t>
      </w:r>
      <w:r w:rsidR="00AF75EB" w:rsidRPr="009374C2">
        <w:rPr>
          <w:sz w:val="24"/>
          <w:szCs w:val="24"/>
        </w:rPr>
        <w:t xml:space="preserve">private housing systems </w:t>
      </w:r>
      <w:r w:rsidR="008D69B6" w:rsidRPr="009374C2">
        <w:rPr>
          <w:sz w:val="24"/>
          <w:szCs w:val="24"/>
        </w:rPr>
        <w:t xml:space="preserve">sheds light on an aspect of the global financial crisis and the associated housing market booms and busts which has been neglected in the literature.  Analysis of the housing market bubbles which emerged in the 1990s and early 2000s in </w:t>
      </w:r>
      <w:r w:rsidR="00AF75EB" w:rsidRPr="009374C2">
        <w:rPr>
          <w:sz w:val="24"/>
          <w:szCs w:val="24"/>
        </w:rPr>
        <w:t>Spain, the US</w:t>
      </w:r>
      <w:r w:rsidR="008D69B6" w:rsidRPr="009374C2">
        <w:rPr>
          <w:sz w:val="24"/>
          <w:szCs w:val="24"/>
        </w:rPr>
        <w:t>A</w:t>
      </w:r>
      <w:r w:rsidR="00AF75EB" w:rsidRPr="009374C2">
        <w:rPr>
          <w:sz w:val="24"/>
          <w:szCs w:val="24"/>
        </w:rPr>
        <w:t xml:space="preserve"> an</w:t>
      </w:r>
      <w:r w:rsidR="00A97687" w:rsidRPr="009374C2">
        <w:rPr>
          <w:sz w:val="24"/>
          <w:szCs w:val="24"/>
        </w:rPr>
        <w:t xml:space="preserve">d the UK </w:t>
      </w:r>
      <w:r w:rsidR="008D69B6" w:rsidRPr="009374C2">
        <w:rPr>
          <w:sz w:val="24"/>
          <w:szCs w:val="24"/>
        </w:rPr>
        <w:t xml:space="preserve">among other countries has focussed overwhelmingly on </w:t>
      </w:r>
      <w:r w:rsidR="00AF75EB" w:rsidRPr="009374C2">
        <w:rPr>
          <w:sz w:val="24"/>
          <w:szCs w:val="24"/>
        </w:rPr>
        <w:t xml:space="preserve">the role of mortgage markets and </w:t>
      </w:r>
      <w:r w:rsidR="00A440EF" w:rsidRPr="009374C2">
        <w:rPr>
          <w:sz w:val="24"/>
          <w:szCs w:val="24"/>
        </w:rPr>
        <w:t xml:space="preserve">home ownership </w:t>
      </w:r>
      <w:r w:rsidR="00AF75EB" w:rsidRPr="009374C2">
        <w:rPr>
          <w:sz w:val="24"/>
          <w:szCs w:val="24"/>
        </w:rPr>
        <w:t xml:space="preserve">in driving house price increases and property and credit bubbles. </w:t>
      </w:r>
      <w:r w:rsidR="008D69B6" w:rsidRPr="009374C2">
        <w:rPr>
          <w:sz w:val="24"/>
          <w:szCs w:val="24"/>
        </w:rPr>
        <w:t xml:space="preserve"> </w:t>
      </w:r>
      <w:r w:rsidR="00AF75EB" w:rsidRPr="009374C2">
        <w:rPr>
          <w:sz w:val="24"/>
          <w:szCs w:val="24"/>
        </w:rPr>
        <w:t xml:space="preserve">What remains unexamined is the role of </w:t>
      </w:r>
      <w:r w:rsidR="008D69B6" w:rsidRPr="009374C2">
        <w:rPr>
          <w:sz w:val="24"/>
          <w:szCs w:val="24"/>
        </w:rPr>
        <w:t>public</w:t>
      </w:r>
      <w:r w:rsidR="00AF75EB" w:rsidRPr="009374C2">
        <w:rPr>
          <w:sz w:val="24"/>
          <w:szCs w:val="24"/>
        </w:rPr>
        <w:t xml:space="preserve"> housing in </w:t>
      </w:r>
      <w:r w:rsidR="00DF389A" w:rsidRPr="009374C2">
        <w:rPr>
          <w:sz w:val="24"/>
          <w:szCs w:val="24"/>
        </w:rPr>
        <w:t xml:space="preserve">these developments and </w:t>
      </w:r>
      <w:r w:rsidR="00AF75EB" w:rsidRPr="009374C2">
        <w:rPr>
          <w:sz w:val="24"/>
          <w:szCs w:val="24"/>
        </w:rPr>
        <w:t xml:space="preserve">particularly </w:t>
      </w:r>
      <w:r w:rsidR="00DF389A" w:rsidRPr="009374C2">
        <w:rPr>
          <w:sz w:val="24"/>
          <w:szCs w:val="24"/>
        </w:rPr>
        <w:t>of how public</w:t>
      </w:r>
      <w:r w:rsidR="00AF75EB" w:rsidRPr="009374C2">
        <w:rPr>
          <w:sz w:val="24"/>
          <w:szCs w:val="24"/>
        </w:rPr>
        <w:t xml:space="preserve"> housing systems and private housing markets interact at a systemic level. </w:t>
      </w:r>
      <w:r w:rsidR="00DF389A" w:rsidRPr="009374C2">
        <w:rPr>
          <w:sz w:val="24"/>
          <w:szCs w:val="24"/>
        </w:rPr>
        <w:t xml:space="preserve"> </w:t>
      </w:r>
      <w:r w:rsidR="00AF75EB" w:rsidRPr="009374C2">
        <w:rPr>
          <w:sz w:val="24"/>
          <w:szCs w:val="24"/>
        </w:rPr>
        <w:t>Approaching the Irish property boom and bust in terms of the in</w:t>
      </w:r>
      <w:r w:rsidR="00A97687" w:rsidRPr="009374C2">
        <w:rPr>
          <w:sz w:val="24"/>
          <w:szCs w:val="24"/>
        </w:rPr>
        <w:t>teraction of these two systems</w:t>
      </w:r>
      <w:r w:rsidR="00AF75EB" w:rsidRPr="009374C2">
        <w:rPr>
          <w:sz w:val="24"/>
          <w:szCs w:val="24"/>
        </w:rPr>
        <w:t xml:space="preserve"> provides important insights into the structural role played by the interaction of different sectors of the housing system, as well as enabling us to understand the </w:t>
      </w:r>
      <w:r w:rsidR="00DF389A" w:rsidRPr="009374C2">
        <w:rPr>
          <w:sz w:val="24"/>
          <w:szCs w:val="24"/>
        </w:rPr>
        <w:t xml:space="preserve">nature of the current crisis in public </w:t>
      </w:r>
      <w:r w:rsidR="00AF75EB" w:rsidRPr="009374C2">
        <w:rPr>
          <w:sz w:val="24"/>
          <w:szCs w:val="24"/>
        </w:rPr>
        <w:t>housing</w:t>
      </w:r>
      <w:r w:rsidR="00DF389A" w:rsidRPr="009374C2">
        <w:rPr>
          <w:sz w:val="24"/>
          <w:szCs w:val="24"/>
        </w:rPr>
        <w:t xml:space="preserve"> provision</w:t>
      </w:r>
      <w:r w:rsidR="00AF75EB" w:rsidRPr="009374C2">
        <w:rPr>
          <w:sz w:val="24"/>
          <w:szCs w:val="24"/>
        </w:rPr>
        <w:t>.</w:t>
      </w:r>
    </w:p>
    <w:p w14:paraId="40E5C163" w14:textId="75F1300A" w:rsidR="00AF75EB" w:rsidRPr="009374C2" w:rsidRDefault="00AF75EB" w:rsidP="002D2F8C">
      <w:pPr>
        <w:spacing w:line="480" w:lineRule="auto"/>
        <w:jc w:val="both"/>
        <w:rPr>
          <w:b/>
          <w:sz w:val="24"/>
          <w:szCs w:val="24"/>
          <w:lang w:val="en-GB"/>
        </w:rPr>
      </w:pPr>
    </w:p>
    <w:p w14:paraId="49C04730" w14:textId="77777777" w:rsidR="00F017F5" w:rsidRPr="009374C2" w:rsidRDefault="00F017F5" w:rsidP="002D2F8C">
      <w:pPr>
        <w:spacing w:line="480" w:lineRule="auto"/>
        <w:jc w:val="both"/>
        <w:rPr>
          <w:b/>
          <w:sz w:val="24"/>
          <w:szCs w:val="24"/>
          <w:lang w:val="en-GB"/>
        </w:rPr>
      </w:pPr>
    </w:p>
    <w:p w14:paraId="637215CF" w14:textId="75C1DBDF" w:rsidR="00946AAA" w:rsidRPr="009374C2" w:rsidRDefault="00946AAA" w:rsidP="002E10A6">
      <w:pPr>
        <w:spacing w:line="480" w:lineRule="auto"/>
        <w:jc w:val="center"/>
        <w:rPr>
          <w:b/>
          <w:sz w:val="24"/>
          <w:szCs w:val="24"/>
        </w:rPr>
      </w:pPr>
      <w:r w:rsidRPr="009374C2">
        <w:rPr>
          <w:b/>
          <w:sz w:val="24"/>
          <w:szCs w:val="24"/>
        </w:rPr>
        <w:t xml:space="preserve">Housing </w:t>
      </w:r>
      <w:r w:rsidR="002E10A6" w:rsidRPr="009374C2">
        <w:rPr>
          <w:b/>
          <w:sz w:val="24"/>
          <w:szCs w:val="24"/>
        </w:rPr>
        <w:t xml:space="preserve">Policy and </w:t>
      </w:r>
      <w:r w:rsidR="00B254EB" w:rsidRPr="009374C2">
        <w:rPr>
          <w:b/>
          <w:sz w:val="24"/>
          <w:szCs w:val="24"/>
        </w:rPr>
        <w:t>t</w:t>
      </w:r>
      <w:r w:rsidR="002E10A6" w:rsidRPr="009374C2">
        <w:rPr>
          <w:b/>
          <w:sz w:val="24"/>
          <w:szCs w:val="24"/>
        </w:rPr>
        <w:t>he Global Financial Crisis</w:t>
      </w:r>
    </w:p>
    <w:p w14:paraId="30C34A0A" w14:textId="77777777" w:rsidR="00F017F5" w:rsidRPr="009374C2" w:rsidRDefault="00F017F5" w:rsidP="002D2F8C">
      <w:pPr>
        <w:spacing w:line="480" w:lineRule="auto"/>
        <w:jc w:val="both"/>
        <w:rPr>
          <w:sz w:val="24"/>
          <w:szCs w:val="24"/>
          <w:u w:val="single"/>
        </w:rPr>
      </w:pPr>
    </w:p>
    <w:p w14:paraId="76DE0949" w14:textId="3DB10B18" w:rsidR="00946AAA" w:rsidRPr="009374C2" w:rsidRDefault="00B70769" w:rsidP="005920EF">
      <w:pPr>
        <w:spacing w:after="0" w:line="480" w:lineRule="auto"/>
        <w:ind w:firstLine="284"/>
        <w:rPr>
          <w:sz w:val="24"/>
          <w:szCs w:val="24"/>
        </w:rPr>
      </w:pPr>
      <w:r w:rsidRPr="009374C2">
        <w:rPr>
          <w:sz w:val="24"/>
          <w:szCs w:val="24"/>
        </w:rPr>
        <w:t xml:space="preserve">There is a </w:t>
      </w:r>
      <w:r w:rsidR="00A440EF" w:rsidRPr="009374C2">
        <w:rPr>
          <w:sz w:val="24"/>
          <w:szCs w:val="24"/>
        </w:rPr>
        <w:t xml:space="preserve">strong </w:t>
      </w:r>
      <w:r w:rsidRPr="009374C2">
        <w:rPr>
          <w:sz w:val="24"/>
          <w:szCs w:val="24"/>
        </w:rPr>
        <w:t>consensus in the literature that h</w:t>
      </w:r>
      <w:r w:rsidR="00946AAA" w:rsidRPr="009374C2">
        <w:rPr>
          <w:sz w:val="24"/>
          <w:szCs w:val="24"/>
        </w:rPr>
        <w:t xml:space="preserve">ousing </w:t>
      </w:r>
      <w:r w:rsidR="00687047" w:rsidRPr="009374C2">
        <w:rPr>
          <w:sz w:val="24"/>
          <w:szCs w:val="24"/>
        </w:rPr>
        <w:t xml:space="preserve">policy </w:t>
      </w:r>
      <w:r w:rsidR="009F06F1" w:rsidRPr="009374C2">
        <w:rPr>
          <w:sz w:val="24"/>
          <w:szCs w:val="24"/>
        </w:rPr>
        <w:t xml:space="preserve">and government intervention </w:t>
      </w:r>
      <w:r w:rsidR="00687047" w:rsidRPr="009374C2">
        <w:rPr>
          <w:sz w:val="24"/>
          <w:szCs w:val="24"/>
        </w:rPr>
        <w:t>more broadly</w:t>
      </w:r>
      <w:r w:rsidR="00946AAA" w:rsidRPr="009374C2">
        <w:rPr>
          <w:sz w:val="24"/>
          <w:szCs w:val="24"/>
        </w:rPr>
        <w:t xml:space="preserve"> </w:t>
      </w:r>
      <w:r w:rsidR="00FC6F94" w:rsidRPr="009374C2">
        <w:rPr>
          <w:sz w:val="24"/>
          <w:szCs w:val="24"/>
        </w:rPr>
        <w:t xml:space="preserve">has played </w:t>
      </w:r>
      <w:r w:rsidR="00946AAA" w:rsidRPr="009374C2">
        <w:rPr>
          <w:sz w:val="24"/>
          <w:szCs w:val="24"/>
        </w:rPr>
        <w:t>a central role in driving and shaping property bubbles and the process of financialization</w:t>
      </w:r>
      <w:r w:rsidR="00A440EF" w:rsidRPr="009374C2">
        <w:rPr>
          <w:sz w:val="24"/>
          <w:szCs w:val="24"/>
        </w:rPr>
        <w:t xml:space="preserve"> </w:t>
      </w:r>
      <w:r w:rsidR="00C5129F" w:rsidRPr="009374C2">
        <w:rPr>
          <w:sz w:val="24"/>
          <w:szCs w:val="24"/>
        </w:rPr>
        <w:t xml:space="preserve">and, </w:t>
      </w:r>
      <w:r w:rsidR="00BB02DD" w:rsidRPr="009374C2">
        <w:rPr>
          <w:sz w:val="24"/>
          <w:szCs w:val="24"/>
        </w:rPr>
        <w:t>as mentioned above</w:t>
      </w:r>
      <w:r w:rsidR="00A440EF" w:rsidRPr="009374C2">
        <w:rPr>
          <w:sz w:val="24"/>
          <w:szCs w:val="24"/>
        </w:rPr>
        <w:t>,</w:t>
      </w:r>
      <w:r w:rsidR="00BB02DD" w:rsidRPr="009374C2">
        <w:rPr>
          <w:sz w:val="24"/>
          <w:szCs w:val="24"/>
        </w:rPr>
        <w:t xml:space="preserve"> </w:t>
      </w:r>
      <w:r w:rsidRPr="009374C2">
        <w:rPr>
          <w:sz w:val="24"/>
          <w:szCs w:val="24"/>
        </w:rPr>
        <w:t xml:space="preserve">analysis of these issues has focussed strongly on the owner occupied tenure and government’s role in </w:t>
      </w:r>
      <w:r w:rsidR="00A440EF" w:rsidRPr="009374C2">
        <w:rPr>
          <w:sz w:val="24"/>
          <w:szCs w:val="24"/>
        </w:rPr>
        <w:t>prom</w:t>
      </w:r>
      <w:r w:rsidR="00687047" w:rsidRPr="009374C2">
        <w:rPr>
          <w:sz w:val="24"/>
          <w:szCs w:val="24"/>
        </w:rPr>
        <w:t xml:space="preserve">oting the growth of this tenure by </w:t>
      </w:r>
      <w:r w:rsidRPr="009374C2">
        <w:rPr>
          <w:sz w:val="24"/>
          <w:szCs w:val="24"/>
        </w:rPr>
        <w:t xml:space="preserve">facilitating increased </w:t>
      </w:r>
      <w:r w:rsidR="00FC6F94" w:rsidRPr="009374C2">
        <w:rPr>
          <w:sz w:val="24"/>
          <w:szCs w:val="24"/>
        </w:rPr>
        <w:t xml:space="preserve">lending </w:t>
      </w:r>
      <w:r w:rsidR="00A440EF" w:rsidRPr="009374C2">
        <w:rPr>
          <w:sz w:val="24"/>
          <w:szCs w:val="24"/>
        </w:rPr>
        <w:t>for home purchase</w:t>
      </w:r>
      <w:r w:rsidR="00946AAA" w:rsidRPr="009374C2">
        <w:rPr>
          <w:sz w:val="24"/>
          <w:szCs w:val="24"/>
        </w:rPr>
        <w:t xml:space="preserve">. </w:t>
      </w:r>
      <w:r w:rsidRPr="009374C2">
        <w:rPr>
          <w:sz w:val="24"/>
          <w:szCs w:val="24"/>
        </w:rPr>
        <w:t xml:space="preserve"> </w:t>
      </w:r>
      <w:r w:rsidR="00687047" w:rsidRPr="009374C2">
        <w:rPr>
          <w:sz w:val="24"/>
          <w:szCs w:val="24"/>
        </w:rPr>
        <w:t xml:space="preserve">This thesis is </w:t>
      </w:r>
      <w:r w:rsidR="000A6BD1" w:rsidRPr="009374C2">
        <w:rPr>
          <w:sz w:val="24"/>
          <w:szCs w:val="24"/>
        </w:rPr>
        <w:t xml:space="preserve">supported by Rolkin’s (2013) global review of the drivers of financhialization and is </w:t>
      </w:r>
      <w:r w:rsidR="00687047" w:rsidRPr="009374C2">
        <w:rPr>
          <w:sz w:val="24"/>
          <w:szCs w:val="24"/>
        </w:rPr>
        <w:t xml:space="preserve">evident in </w:t>
      </w:r>
      <w:r w:rsidR="000A6BD1" w:rsidRPr="009374C2">
        <w:rPr>
          <w:sz w:val="24"/>
          <w:szCs w:val="24"/>
        </w:rPr>
        <w:t>analyses of t</w:t>
      </w:r>
      <w:r w:rsidR="009F06F1" w:rsidRPr="009374C2">
        <w:rPr>
          <w:sz w:val="24"/>
          <w:szCs w:val="24"/>
        </w:rPr>
        <w:t xml:space="preserve">he impact of the global financial crisis </w:t>
      </w:r>
      <w:r w:rsidR="000A6BD1" w:rsidRPr="009374C2">
        <w:rPr>
          <w:sz w:val="24"/>
          <w:szCs w:val="24"/>
        </w:rPr>
        <w:t>o</w:t>
      </w:r>
      <w:r w:rsidR="009F06F1" w:rsidRPr="009374C2">
        <w:rPr>
          <w:sz w:val="24"/>
          <w:szCs w:val="24"/>
        </w:rPr>
        <w:t xml:space="preserve">n </w:t>
      </w:r>
      <w:r w:rsidR="00687047" w:rsidRPr="009374C2">
        <w:rPr>
          <w:sz w:val="24"/>
          <w:szCs w:val="24"/>
        </w:rPr>
        <w:t xml:space="preserve">countries as diverse as the </w:t>
      </w:r>
      <w:r w:rsidR="00CD6732" w:rsidRPr="009374C2">
        <w:rPr>
          <w:sz w:val="24"/>
          <w:szCs w:val="24"/>
        </w:rPr>
        <w:t>USA (Immergluck</w:t>
      </w:r>
      <w:r w:rsidR="00DF389A" w:rsidRPr="009374C2">
        <w:rPr>
          <w:sz w:val="24"/>
          <w:szCs w:val="24"/>
        </w:rPr>
        <w:t>, 2015</w:t>
      </w:r>
      <w:r w:rsidR="00CD6732" w:rsidRPr="009374C2">
        <w:rPr>
          <w:sz w:val="24"/>
          <w:szCs w:val="24"/>
        </w:rPr>
        <w:t>; Brenner</w:t>
      </w:r>
      <w:r w:rsidR="00DF389A" w:rsidRPr="009374C2">
        <w:rPr>
          <w:sz w:val="24"/>
          <w:szCs w:val="24"/>
        </w:rPr>
        <w:t>, 2006</w:t>
      </w:r>
      <w:r w:rsidR="00946AAA" w:rsidRPr="009374C2">
        <w:rPr>
          <w:sz w:val="24"/>
          <w:szCs w:val="24"/>
        </w:rPr>
        <w:t>), Spain (Lopez and Rodriguez</w:t>
      </w:r>
      <w:r w:rsidR="00DF389A" w:rsidRPr="009374C2">
        <w:rPr>
          <w:sz w:val="24"/>
          <w:szCs w:val="24"/>
        </w:rPr>
        <w:t>, 2010</w:t>
      </w:r>
      <w:r w:rsidR="00946AAA" w:rsidRPr="009374C2">
        <w:rPr>
          <w:sz w:val="24"/>
          <w:szCs w:val="24"/>
        </w:rPr>
        <w:t xml:space="preserve">; </w:t>
      </w:r>
      <w:r w:rsidR="00CD6732" w:rsidRPr="009374C2">
        <w:rPr>
          <w:sz w:val="24"/>
          <w:szCs w:val="24"/>
        </w:rPr>
        <w:t>Fernandez de Lis and Garcia Herrero, 2008)</w:t>
      </w:r>
      <w:r w:rsidR="00946AAA" w:rsidRPr="009374C2">
        <w:rPr>
          <w:sz w:val="24"/>
          <w:szCs w:val="24"/>
        </w:rPr>
        <w:t xml:space="preserve"> and the UK (</w:t>
      </w:r>
      <w:r w:rsidR="00CD6732" w:rsidRPr="009374C2">
        <w:rPr>
          <w:sz w:val="24"/>
          <w:szCs w:val="24"/>
        </w:rPr>
        <w:t>Crouch, 2009</w:t>
      </w:r>
      <w:r w:rsidR="003316B0" w:rsidRPr="009374C2">
        <w:rPr>
          <w:sz w:val="24"/>
          <w:szCs w:val="24"/>
        </w:rPr>
        <w:t>; Whitehead and Williams, 2011</w:t>
      </w:r>
      <w:r w:rsidR="00946AAA" w:rsidRPr="009374C2">
        <w:rPr>
          <w:sz w:val="24"/>
          <w:szCs w:val="24"/>
        </w:rPr>
        <w:t xml:space="preserve">). </w:t>
      </w:r>
      <w:r w:rsidR="000B3684" w:rsidRPr="009374C2">
        <w:rPr>
          <w:sz w:val="24"/>
          <w:szCs w:val="24"/>
        </w:rPr>
        <w:t xml:space="preserve"> </w:t>
      </w:r>
      <w:r w:rsidR="00946AAA" w:rsidRPr="009374C2">
        <w:rPr>
          <w:sz w:val="24"/>
          <w:szCs w:val="24"/>
        </w:rPr>
        <w:t>In the U</w:t>
      </w:r>
      <w:r w:rsidR="00687047" w:rsidRPr="009374C2">
        <w:rPr>
          <w:sz w:val="24"/>
          <w:szCs w:val="24"/>
        </w:rPr>
        <w:t xml:space="preserve">nited </w:t>
      </w:r>
      <w:r w:rsidR="00946AAA" w:rsidRPr="009374C2">
        <w:rPr>
          <w:sz w:val="24"/>
          <w:szCs w:val="24"/>
        </w:rPr>
        <w:t>S</w:t>
      </w:r>
      <w:r w:rsidR="00687047" w:rsidRPr="009374C2">
        <w:rPr>
          <w:sz w:val="24"/>
          <w:szCs w:val="24"/>
        </w:rPr>
        <w:t>tates</w:t>
      </w:r>
      <w:r w:rsidR="00946AAA" w:rsidRPr="009374C2">
        <w:rPr>
          <w:sz w:val="24"/>
          <w:szCs w:val="24"/>
        </w:rPr>
        <w:t xml:space="preserve"> the expansion of home ownership and the mortgage market is most commonly attributed to financial innovations, in particular securitisation of mortgage loans and subprime loans and the ‘originate and distribute’ model these develo</w:t>
      </w:r>
      <w:r w:rsidR="009F06F1" w:rsidRPr="009374C2">
        <w:rPr>
          <w:sz w:val="24"/>
          <w:szCs w:val="24"/>
        </w:rPr>
        <w:t xml:space="preserve">pments gave rise to.  </w:t>
      </w:r>
      <w:r w:rsidR="00C5129F" w:rsidRPr="009374C2">
        <w:rPr>
          <w:sz w:val="24"/>
          <w:szCs w:val="24"/>
        </w:rPr>
        <w:t xml:space="preserve">These developments have been linked to government efforts to increase the </w:t>
      </w:r>
      <w:r w:rsidR="009F06F1" w:rsidRPr="009374C2">
        <w:rPr>
          <w:sz w:val="24"/>
          <w:szCs w:val="24"/>
        </w:rPr>
        <w:t xml:space="preserve">supply of capital for mortgage lending through the established of federal mortgage securitisation agencies such as </w:t>
      </w:r>
      <w:r w:rsidR="00C5129F" w:rsidRPr="009374C2">
        <w:rPr>
          <w:sz w:val="24"/>
          <w:szCs w:val="24"/>
        </w:rPr>
        <w:t>Fannie Mae and Freddie Mac</w:t>
      </w:r>
      <w:r w:rsidR="009F06F1" w:rsidRPr="009374C2">
        <w:rPr>
          <w:sz w:val="24"/>
          <w:szCs w:val="24"/>
        </w:rPr>
        <w:t xml:space="preserve"> (Immergluck, 2015; Aalbers, 2009).  </w:t>
      </w:r>
      <w:r w:rsidR="00946AAA" w:rsidRPr="009374C2">
        <w:rPr>
          <w:sz w:val="24"/>
          <w:szCs w:val="24"/>
        </w:rPr>
        <w:t xml:space="preserve">Financial deregulation and the creation of a wide variety of </w:t>
      </w:r>
      <w:r w:rsidR="000B3684" w:rsidRPr="009374C2">
        <w:rPr>
          <w:sz w:val="24"/>
          <w:szCs w:val="24"/>
        </w:rPr>
        <w:t xml:space="preserve">new </w:t>
      </w:r>
      <w:r w:rsidR="00946AAA" w:rsidRPr="009374C2">
        <w:rPr>
          <w:sz w:val="24"/>
          <w:szCs w:val="24"/>
        </w:rPr>
        <w:t xml:space="preserve">mortgage products certainly played a role </w:t>
      </w:r>
      <w:r w:rsidR="00FC6F94" w:rsidRPr="009374C2">
        <w:rPr>
          <w:sz w:val="24"/>
          <w:szCs w:val="24"/>
        </w:rPr>
        <w:t>in driving credit bubbles in</w:t>
      </w:r>
      <w:r w:rsidR="00946AAA" w:rsidRPr="009374C2">
        <w:rPr>
          <w:sz w:val="24"/>
          <w:szCs w:val="24"/>
        </w:rPr>
        <w:t xml:space="preserve"> European countries, and the former was tied to the deregulation of capital markets and the reduction of </w:t>
      </w:r>
      <w:r w:rsidR="000B3684" w:rsidRPr="009374C2">
        <w:rPr>
          <w:sz w:val="24"/>
          <w:szCs w:val="24"/>
        </w:rPr>
        <w:t>currency</w:t>
      </w:r>
      <w:r w:rsidR="00946AAA" w:rsidRPr="009374C2">
        <w:rPr>
          <w:sz w:val="24"/>
          <w:szCs w:val="24"/>
        </w:rPr>
        <w:t xml:space="preserve"> risk </w:t>
      </w:r>
      <w:r w:rsidR="000B3684" w:rsidRPr="009374C2">
        <w:rPr>
          <w:sz w:val="24"/>
          <w:szCs w:val="24"/>
        </w:rPr>
        <w:t xml:space="preserve">and the decline in interest rates </w:t>
      </w:r>
      <w:r w:rsidR="00804907" w:rsidRPr="009374C2">
        <w:rPr>
          <w:sz w:val="24"/>
          <w:szCs w:val="24"/>
        </w:rPr>
        <w:t>associated with</w:t>
      </w:r>
      <w:r w:rsidR="000B3684" w:rsidRPr="009374C2">
        <w:rPr>
          <w:sz w:val="24"/>
          <w:szCs w:val="24"/>
        </w:rPr>
        <w:t xml:space="preserve"> </w:t>
      </w:r>
      <w:r w:rsidR="00804907" w:rsidRPr="009374C2">
        <w:rPr>
          <w:sz w:val="24"/>
          <w:szCs w:val="24"/>
        </w:rPr>
        <w:t>European Economic and Monetary Union (</w:t>
      </w:r>
      <w:r w:rsidR="00192771" w:rsidRPr="009374C2">
        <w:rPr>
          <w:sz w:val="24"/>
          <w:szCs w:val="24"/>
        </w:rPr>
        <w:t>E</w:t>
      </w:r>
      <w:r w:rsidR="003E5346" w:rsidRPr="009374C2">
        <w:rPr>
          <w:sz w:val="24"/>
          <w:szCs w:val="24"/>
        </w:rPr>
        <w:t>MU</w:t>
      </w:r>
      <w:r w:rsidR="00804907" w:rsidRPr="009374C2">
        <w:rPr>
          <w:sz w:val="24"/>
          <w:szCs w:val="24"/>
        </w:rPr>
        <w:t xml:space="preserve">), i.e. the process of removing barriers to free movement of commercial finance between EU members which culminated in the establishment of the Euro in 1999 </w:t>
      </w:r>
      <w:r w:rsidR="003E5346" w:rsidRPr="009374C2">
        <w:rPr>
          <w:sz w:val="24"/>
          <w:szCs w:val="24"/>
        </w:rPr>
        <w:t>(European Central Bank, 2009)</w:t>
      </w:r>
      <w:r w:rsidR="00946AAA" w:rsidRPr="009374C2">
        <w:rPr>
          <w:sz w:val="24"/>
          <w:szCs w:val="24"/>
        </w:rPr>
        <w:t xml:space="preserve">. </w:t>
      </w:r>
      <w:r w:rsidR="000B3684" w:rsidRPr="009374C2">
        <w:rPr>
          <w:sz w:val="24"/>
          <w:szCs w:val="24"/>
        </w:rPr>
        <w:t xml:space="preserve"> These developments </w:t>
      </w:r>
      <w:r w:rsidR="00FC1D57" w:rsidRPr="009374C2">
        <w:rPr>
          <w:sz w:val="24"/>
          <w:szCs w:val="24"/>
        </w:rPr>
        <w:t xml:space="preserve">enabled increased lending by </w:t>
      </w:r>
      <w:r w:rsidR="001F6F56" w:rsidRPr="009374C2">
        <w:rPr>
          <w:sz w:val="24"/>
          <w:szCs w:val="24"/>
        </w:rPr>
        <w:t>easing</w:t>
      </w:r>
      <w:r w:rsidR="00FC1D57" w:rsidRPr="009374C2">
        <w:rPr>
          <w:sz w:val="24"/>
          <w:szCs w:val="24"/>
        </w:rPr>
        <w:t xml:space="preserve"> cross border flows of the capital required to fund </w:t>
      </w:r>
      <w:r w:rsidR="001F6F56" w:rsidRPr="009374C2">
        <w:rPr>
          <w:sz w:val="24"/>
          <w:szCs w:val="24"/>
        </w:rPr>
        <w:t>these loans</w:t>
      </w:r>
      <w:r w:rsidR="00FC1D57" w:rsidRPr="009374C2">
        <w:rPr>
          <w:sz w:val="24"/>
          <w:szCs w:val="24"/>
        </w:rPr>
        <w:t xml:space="preserve"> and reducing borrowers’ loan servicing costs</w:t>
      </w:r>
      <w:r w:rsidR="001F6F56" w:rsidRPr="009374C2">
        <w:rPr>
          <w:sz w:val="24"/>
          <w:szCs w:val="24"/>
        </w:rPr>
        <w:t xml:space="preserve"> thereby enabling greater indebtedness</w:t>
      </w:r>
      <w:r w:rsidR="00FC1D57" w:rsidRPr="009374C2">
        <w:rPr>
          <w:sz w:val="24"/>
          <w:szCs w:val="24"/>
        </w:rPr>
        <w:t xml:space="preserve">.  </w:t>
      </w:r>
      <w:r w:rsidR="00946AAA" w:rsidRPr="009374C2">
        <w:rPr>
          <w:sz w:val="24"/>
          <w:szCs w:val="24"/>
        </w:rPr>
        <w:t xml:space="preserve">The emergence of strongly ‘pro-growth’ planning policies and the wider shift towards entrepreneurial urbanism also contributed to </w:t>
      </w:r>
      <w:r w:rsidR="00BB02DD" w:rsidRPr="009374C2">
        <w:rPr>
          <w:sz w:val="24"/>
          <w:szCs w:val="24"/>
        </w:rPr>
        <w:t>a house building bubble which emerged in tandem with the credit bubble in some countries su</w:t>
      </w:r>
      <w:r w:rsidR="00946AAA" w:rsidRPr="009374C2">
        <w:rPr>
          <w:sz w:val="24"/>
          <w:szCs w:val="24"/>
        </w:rPr>
        <w:t>ch as Spain where housing supply increased dramatically in the late 1990s and early 2000s (Lopez and Rodriguez</w:t>
      </w:r>
      <w:r w:rsidR="00FC1D57" w:rsidRPr="009374C2">
        <w:rPr>
          <w:sz w:val="24"/>
          <w:szCs w:val="24"/>
        </w:rPr>
        <w:t>, 2011</w:t>
      </w:r>
      <w:r w:rsidR="00946AAA" w:rsidRPr="009374C2">
        <w:rPr>
          <w:sz w:val="24"/>
          <w:szCs w:val="24"/>
        </w:rPr>
        <w:t>;</w:t>
      </w:r>
      <w:r w:rsidR="00CD6732" w:rsidRPr="009374C2">
        <w:rPr>
          <w:sz w:val="24"/>
          <w:szCs w:val="24"/>
        </w:rPr>
        <w:t xml:space="preserve"> Burriel, 2009</w:t>
      </w:r>
      <w:r w:rsidR="00FC1D57" w:rsidRPr="009374C2">
        <w:rPr>
          <w:sz w:val="24"/>
          <w:szCs w:val="24"/>
        </w:rPr>
        <w:t xml:space="preserve">). </w:t>
      </w:r>
      <w:r w:rsidR="00946AAA" w:rsidRPr="009374C2">
        <w:rPr>
          <w:sz w:val="24"/>
          <w:szCs w:val="24"/>
        </w:rPr>
        <w:t xml:space="preserve">Of course these asset-price bubbles were linked to </w:t>
      </w:r>
      <w:r w:rsidR="00A94B91" w:rsidRPr="009374C2">
        <w:rPr>
          <w:sz w:val="24"/>
          <w:szCs w:val="24"/>
        </w:rPr>
        <w:t xml:space="preserve">a </w:t>
      </w:r>
      <w:r w:rsidR="00946AAA" w:rsidRPr="009374C2">
        <w:rPr>
          <w:sz w:val="24"/>
          <w:szCs w:val="24"/>
        </w:rPr>
        <w:t>credit bubble</w:t>
      </w:r>
      <w:r w:rsidR="00804907" w:rsidRPr="009374C2">
        <w:rPr>
          <w:sz w:val="24"/>
          <w:szCs w:val="24"/>
        </w:rPr>
        <w:t>s</w:t>
      </w:r>
      <w:r w:rsidR="00946AAA" w:rsidRPr="009374C2">
        <w:rPr>
          <w:sz w:val="24"/>
          <w:szCs w:val="24"/>
        </w:rPr>
        <w:t xml:space="preserve"> and the general proliferation of risk throughout the global financial system, ultimately leading to the credit crunch and chaos of 2008 and subsequent years.</w:t>
      </w:r>
    </w:p>
    <w:p w14:paraId="48F7857C" w14:textId="7F6FBDCD" w:rsidR="001F6F56" w:rsidRPr="009374C2" w:rsidRDefault="001F6F56" w:rsidP="00BB02DD">
      <w:pPr>
        <w:spacing w:after="0" w:line="480" w:lineRule="auto"/>
        <w:ind w:firstLine="284"/>
        <w:jc w:val="both"/>
        <w:rPr>
          <w:sz w:val="24"/>
          <w:szCs w:val="24"/>
        </w:rPr>
      </w:pPr>
      <w:r w:rsidRPr="009374C2">
        <w:rPr>
          <w:sz w:val="24"/>
          <w:szCs w:val="24"/>
        </w:rPr>
        <w:t xml:space="preserve">In addition to contributing to the property and financial bubbles, </w:t>
      </w:r>
      <w:r w:rsidR="000A6BD1" w:rsidRPr="009374C2">
        <w:rPr>
          <w:sz w:val="24"/>
          <w:szCs w:val="24"/>
        </w:rPr>
        <w:t xml:space="preserve">many scholars argue that </w:t>
      </w:r>
      <w:r w:rsidRPr="009374C2">
        <w:rPr>
          <w:sz w:val="24"/>
          <w:szCs w:val="24"/>
        </w:rPr>
        <w:t xml:space="preserve">the expansion of mortgage-backed home ownership played a wider political economic role at numerous levels. </w:t>
      </w:r>
      <w:r w:rsidR="00BB02DD" w:rsidRPr="009374C2">
        <w:rPr>
          <w:sz w:val="24"/>
          <w:szCs w:val="24"/>
        </w:rPr>
        <w:t xml:space="preserve"> </w:t>
      </w:r>
      <w:r w:rsidRPr="009374C2">
        <w:rPr>
          <w:sz w:val="24"/>
          <w:szCs w:val="24"/>
        </w:rPr>
        <w:t>Most important, home</w:t>
      </w:r>
      <w:r w:rsidR="00BB02DD" w:rsidRPr="009374C2">
        <w:rPr>
          <w:sz w:val="24"/>
          <w:szCs w:val="24"/>
        </w:rPr>
        <w:t xml:space="preserve"> </w:t>
      </w:r>
      <w:r w:rsidRPr="009374C2">
        <w:rPr>
          <w:sz w:val="24"/>
          <w:szCs w:val="24"/>
        </w:rPr>
        <w:t xml:space="preserve">ownership and </w:t>
      </w:r>
      <w:r w:rsidR="00804907" w:rsidRPr="009374C2">
        <w:rPr>
          <w:sz w:val="24"/>
          <w:szCs w:val="24"/>
        </w:rPr>
        <w:t xml:space="preserve">the expansion </w:t>
      </w:r>
      <w:r w:rsidRPr="009374C2">
        <w:rPr>
          <w:sz w:val="24"/>
          <w:szCs w:val="24"/>
        </w:rPr>
        <w:t xml:space="preserve">credit related to home ownership subsidised aggregate demand </w:t>
      </w:r>
      <w:r w:rsidR="00BB02DD" w:rsidRPr="009374C2">
        <w:rPr>
          <w:sz w:val="24"/>
          <w:szCs w:val="24"/>
        </w:rPr>
        <w:t xml:space="preserve">which played a vital role in supporting economic growth </w:t>
      </w:r>
      <w:r w:rsidRPr="009374C2">
        <w:rPr>
          <w:sz w:val="24"/>
          <w:szCs w:val="24"/>
        </w:rPr>
        <w:t xml:space="preserve">in the absence of wage growth </w:t>
      </w:r>
      <w:r w:rsidR="00BB02DD" w:rsidRPr="009374C2">
        <w:rPr>
          <w:sz w:val="24"/>
          <w:szCs w:val="24"/>
        </w:rPr>
        <w:t>and in the context of deindustrialisation</w:t>
      </w:r>
      <w:r w:rsidR="00804907" w:rsidRPr="009374C2">
        <w:rPr>
          <w:sz w:val="24"/>
          <w:szCs w:val="24"/>
        </w:rPr>
        <w:t xml:space="preserve">, in a process which Robert </w:t>
      </w:r>
      <w:r w:rsidRPr="009374C2">
        <w:rPr>
          <w:sz w:val="24"/>
          <w:szCs w:val="24"/>
        </w:rPr>
        <w:t>Brenner</w:t>
      </w:r>
      <w:r w:rsidR="00BB02DD" w:rsidRPr="009374C2">
        <w:rPr>
          <w:sz w:val="24"/>
          <w:szCs w:val="24"/>
        </w:rPr>
        <w:t xml:space="preserve"> (2006) </w:t>
      </w:r>
      <w:r w:rsidR="00804907" w:rsidRPr="009374C2">
        <w:rPr>
          <w:sz w:val="24"/>
          <w:szCs w:val="24"/>
        </w:rPr>
        <w:t xml:space="preserve">calls “asset-price Keynesianism” (his analysis focuses on the US but </w:t>
      </w:r>
      <w:r w:rsidRPr="009374C2">
        <w:rPr>
          <w:sz w:val="24"/>
          <w:szCs w:val="24"/>
        </w:rPr>
        <w:t>Lopez and Rodriguez</w:t>
      </w:r>
      <w:r w:rsidR="00BB02DD" w:rsidRPr="009374C2">
        <w:rPr>
          <w:sz w:val="24"/>
          <w:szCs w:val="24"/>
        </w:rPr>
        <w:t xml:space="preserve"> (2011) </w:t>
      </w:r>
      <w:r w:rsidR="003E5346" w:rsidRPr="009374C2">
        <w:rPr>
          <w:sz w:val="24"/>
          <w:szCs w:val="24"/>
        </w:rPr>
        <w:t xml:space="preserve">and </w:t>
      </w:r>
      <w:r w:rsidRPr="009374C2">
        <w:rPr>
          <w:sz w:val="24"/>
          <w:szCs w:val="24"/>
        </w:rPr>
        <w:t>Downey</w:t>
      </w:r>
      <w:r w:rsidR="003E5346" w:rsidRPr="009374C2">
        <w:rPr>
          <w:sz w:val="24"/>
          <w:szCs w:val="24"/>
        </w:rPr>
        <w:t xml:space="preserve"> (</w:t>
      </w:r>
      <w:r w:rsidR="00BB02DD" w:rsidRPr="009374C2">
        <w:rPr>
          <w:sz w:val="24"/>
          <w:szCs w:val="24"/>
        </w:rPr>
        <w:t>2014</w:t>
      </w:r>
      <w:r w:rsidRPr="009374C2">
        <w:rPr>
          <w:sz w:val="24"/>
          <w:szCs w:val="24"/>
        </w:rPr>
        <w:t>)</w:t>
      </w:r>
      <w:r w:rsidR="003E5346" w:rsidRPr="009374C2">
        <w:rPr>
          <w:sz w:val="24"/>
          <w:szCs w:val="24"/>
        </w:rPr>
        <w:t xml:space="preserve"> </w:t>
      </w:r>
      <w:r w:rsidR="00804907" w:rsidRPr="009374C2">
        <w:rPr>
          <w:sz w:val="24"/>
          <w:szCs w:val="24"/>
        </w:rPr>
        <w:t xml:space="preserve">offer similar analyses of Spain and </w:t>
      </w:r>
      <w:r w:rsidR="003E5346" w:rsidRPr="009374C2">
        <w:rPr>
          <w:sz w:val="24"/>
          <w:szCs w:val="24"/>
        </w:rPr>
        <w:t>Ireland</w:t>
      </w:r>
      <w:r w:rsidR="00804907" w:rsidRPr="009374C2">
        <w:rPr>
          <w:sz w:val="24"/>
          <w:szCs w:val="24"/>
        </w:rPr>
        <w:t xml:space="preserve"> respectively</w:t>
      </w:r>
      <w:r w:rsidR="003E5346" w:rsidRPr="009374C2">
        <w:rPr>
          <w:sz w:val="24"/>
          <w:szCs w:val="24"/>
        </w:rPr>
        <w:t>)</w:t>
      </w:r>
      <w:r w:rsidRPr="009374C2">
        <w:rPr>
          <w:sz w:val="24"/>
          <w:szCs w:val="24"/>
        </w:rPr>
        <w:t xml:space="preserve">. </w:t>
      </w:r>
      <w:r w:rsidR="00BB02DD" w:rsidRPr="009374C2">
        <w:rPr>
          <w:sz w:val="24"/>
          <w:szCs w:val="24"/>
        </w:rPr>
        <w:t xml:space="preserve"> </w:t>
      </w:r>
      <w:r w:rsidRPr="009374C2">
        <w:rPr>
          <w:sz w:val="24"/>
          <w:szCs w:val="24"/>
        </w:rPr>
        <w:t>As Watson’s (2010) analysis of the UK suggests, as well as supporting consumer demand</w:t>
      </w:r>
      <w:r w:rsidR="00804907" w:rsidRPr="009374C2">
        <w:rPr>
          <w:sz w:val="24"/>
          <w:szCs w:val="24"/>
        </w:rPr>
        <w:t>,</w:t>
      </w:r>
      <w:r w:rsidRPr="009374C2">
        <w:rPr>
          <w:sz w:val="24"/>
          <w:szCs w:val="24"/>
        </w:rPr>
        <w:t xml:space="preserve"> this approach had a social function - it was intended to support the acquisition of </w:t>
      </w:r>
      <w:r w:rsidR="003E5346" w:rsidRPr="009374C2">
        <w:rPr>
          <w:sz w:val="24"/>
          <w:szCs w:val="24"/>
        </w:rPr>
        <w:t>assets</w:t>
      </w:r>
      <w:r w:rsidRPr="009374C2">
        <w:rPr>
          <w:sz w:val="24"/>
          <w:szCs w:val="24"/>
        </w:rPr>
        <w:t xml:space="preserve"> such as dwellings which could be liquidated if required to meet costs such as eldercare and therefore would in part replace the mainstream welfare state. Homeownership has also played a role as a form of ‘asset based welfare’ in many other countries (</w:t>
      </w:r>
      <w:r w:rsidR="00A57687" w:rsidRPr="009374C2">
        <w:rPr>
          <w:sz w:val="24"/>
          <w:szCs w:val="24"/>
        </w:rPr>
        <w:t>Doling and Roland, 2010</w:t>
      </w:r>
      <w:r w:rsidRPr="009374C2">
        <w:rPr>
          <w:sz w:val="24"/>
          <w:szCs w:val="24"/>
        </w:rPr>
        <w:t>).</w:t>
      </w:r>
    </w:p>
    <w:p w14:paraId="3F171BF2" w14:textId="5529C183" w:rsidR="00946AAA" w:rsidRPr="009374C2" w:rsidRDefault="003E5346" w:rsidP="00E66293">
      <w:pPr>
        <w:spacing w:after="0" w:line="480" w:lineRule="auto"/>
        <w:ind w:firstLine="284"/>
        <w:rPr>
          <w:sz w:val="24"/>
          <w:szCs w:val="24"/>
        </w:rPr>
      </w:pPr>
      <w:r w:rsidRPr="009374C2">
        <w:rPr>
          <w:sz w:val="24"/>
          <w:szCs w:val="24"/>
        </w:rPr>
        <w:t xml:space="preserve">In European countries the funding and, in many cases, provision of </w:t>
      </w:r>
      <w:r w:rsidR="00D7493C" w:rsidRPr="009374C2">
        <w:rPr>
          <w:sz w:val="24"/>
          <w:szCs w:val="24"/>
        </w:rPr>
        <w:t>public housing</w:t>
      </w:r>
      <w:r w:rsidRPr="009374C2">
        <w:rPr>
          <w:sz w:val="24"/>
          <w:szCs w:val="24"/>
        </w:rPr>
        <w:t xml:space="preserve"> was traditionally one of the primary ways in which the </w:t>
      </w:r>
      <w:r w:rsidR="00946AAA" w:rsidRPr="009374C2">
        <w:rPr>
          <w:sz w:val="24"/>
          <w:szCs w:val="24"/>
        </w:rPr>
        <w:t>state play</w:t>
      </w:r>
      <w:r w:rsidRPr="009374C2">
        <w:rPr>
          <w:sz w:val="24"/>
          <w:szCs w:val="24"/>
        </w:rPr>
        <w:t>ed</w:t>
      </w:r>
      <w:r w:rsidR="00946AAA" w:rsidRPr="009374C2">
        <w:rPr>
          <w:sz w:val="24"/>
          <w:szCs w:val="24"/>
        </w:rPr>
        <w:t xml:space="preserve"> a role in the housing system and in urban development more widely</w:t>
      </w:r>
      <w:r w:rsidRPr="009374C2">
        <w:rPr>
          <w:sz w:val="24"/>
          <w:szCs w:val="24"/>
        </w:rPr>
        <w:t xml:space="preserve">.  Although </w:t>
      </w:r>
      <w:r w:rsidR="00D7493C" w:rsidRPr="009374C2">
        <w:rPr>
          <w:sz w:val="24"/>
          <w:szCs w:val="24"/>
        </w:rPr>
        <w:t>public housing</w:t>
      </w:r>
      <w:r w:rsidRPr="009374C2">
        <w:rPr>
          <w:sz w:val="24"/>
          <w:szCs w:val="24"/>
        </w:rPr>
        <w:t xml:space="preserve"> has received limited attention from scholars </w:t>
      </w:r>
      <w:r w:rsidR="00E66293" w:rsidRPr="009374C2">
        <w:rPr>
          <w:sz w:val="24"/>
          <w:szCs w:val="24"/>
        </w:rPr>
        <w:t xml:space="preserve">of the global financial crisis </w:t>
      </w:r>
      <w:r w:rsidR="00F017F5" w:rsidRPr="009374C2">
        <w:rPr>
          <w:sz w:val="24"/>
          <w:szCs w:val="24"/>
        </w:rPr>
        <w:t xml:space="preserve">(Rolkin (2013) </w:t>
      </w:r>
      <w:r w:rsidR="008421A6" w:rsidRPr="009374C2">
        <w:rPr>
          <w:sz w:val="24"/>
          <w:szCs w:val="24"/>
        </w:rPr>
        <w:t xml:space="preserve">is an exception) </w:t>
      </w:r>
      <w:r w:rsidR="00E66293" w:rsidRPr="009374C2">
        <w:rPr>
          <w:sz w:val="24"/>
          <w:szCs w:val="24"/>
        </w:rPr>
        <w:t>there is some evidence that</w:t>
      </w:r>
      <w:r w:rsidR="00946AAA" w:rsidRPr="009374C2">
        <w:rPr>
          <w:sz w:val="24"/>
          <w:szCs w:val="24"/>
        </w:rPr>
        <w:t xml:space="preserve"> transformation </w:t>
      </w:r>
      <w:r w:rsidR="0006430B" w:rsidRPr="009374C2">
        <w:rPr>
          <w:sz w:val="24"/>
          <w:szCs w:val="24"/>
        </w:rPr>
        <w:t>of this tenure was an i</w:t>
      </w:r>
      <w:r w:rsidR="00946AAA" w:rsidRPr="009374C2">
        <w:rPr>
          <w:sz w:val="24"/>
          <w:szCs w:val="24"/>
        </w:rPr>
        <w:t xml:space="preserve">mportant factor in the expansion of home ownership and there for in asset price bubbles. </w:t>
      </w:r>
      <w:r w:rsidR="000A6BD1" w:rsidRPr="009374C2">
        <w:rPr>
          <w:sz w:val="24"/>
          <w:szCs w:val="24"/>
        </w:rPr>
        <w:t xml:space="preserve"> Rolkin’s (2013) argues that the reduction</w:t>
      </w:r>
      <w:r w:rsidR="00946AAA" w:rsidRPr="009374C2">
        <w:rPr>
          <w:sz w:val="24"/>
          <w:szCs w:val="24"/>
        </w:rPr>
        <w:t xml:space="preserve"> in the </w:t>
      </w:r>
      <w:r w:rsidR="00E66293" w:rsidRPr="009374C2">
        <w:rPr>
          <w:sz w:val="24"/>
          <w:szCs w:val="24"/>
        </w:rPr>
        <w:t>public</w:t>
      </w:r>
      <w:r w:rsidR="00946AAA" w:rsidRPr="009374C2">
        <w:rPr>
          <w:sz w:val="24"/>
          <w:szCs w:val="24"/>
        </w:rPr>
        <w:t xml:space="preserve"> housing stock</w:t>
      </w:r>
      <w:r w:rsidR="00E66293" w:rsidRPr="009374C2">
        <w:rPr>
          <w:sz w:val="24"/>
          <w:szCs w:val="24"/>
        </w:rPr>
        <w:t xml:space="preserve">, due to </w:t>
      </w:r>
      <w:r w:rsidR="00946AAA" w:rsidRPr="009374C2">
        <w:rPr>
          <w:sz w:val="24"/>
          <w:szCs w:val="24"/>
        </w:rPr>
        <w:t xml:space="preserve">privatisation </w:t>
      </w:r>
      <w:r w:rsidR="00E66293" w:rsidRPr="009374C2">
        <w:rPr>
          <w:sz w:val="24"/>
          <w:szCs w:val="24"/>
        </w:rPr>
        <w:t xml:space="preserve">and reduced government subsidies for new building and the consequent residualization of the sector </w:t>
      </w:r>
      <w:r w:rsidR="000A6BD1" w:rsidRPr="009374C2">
        <w:rPr>
          <w:sz w:val="24"/>
          <w:szCs w:val="24"/>
        </w:rPr>
        <w:t>(</w:t>
      </w:r>
      <w:r w:rsidR="00E66293" w:rsidRPr="009374C2">
        <w:rPr>
          <w:sz w:val="24"/>
          <w:szCs w:val="24"/>
        </w:rPr>
        <w:t>which has become increasingly dominated by benefit dependant households</w:t>
      </w:r>
      <w:r w:rsidR="000A6BD1" w:rsidRPr="009374C2">
        <w:rPr>
          <w:sz w:val="24"/>
          <w:szCs w:val="24"/>
        </w:rPr>
        <w:t>)</w:t>
      </w:r>
      <w:r w:rsidR="00E66293" w:rsidRPr="009374C2">
        <w:rPr>
          <w:sz w:val="24"/>
          <w:szCs w:val="24"/>
        </w:rPr>
        <w:t xml:space="preserve"> have played </w:t>
      </w:r>
      <w:r w:rsidR="00CD6732" w:rsidRPr="009374C2">
        <w:rPr>
          <w:sz w:val="24"/>
          <w:szCs w:val="24"/>
        </w:rPr>
        <w:t xml:space="preserve">important roles </w:t>
      </w:r>
      <w:r w:rsidR="00E66293" w:rsidRPr="009374C2">
        <w:rPr>
          <w:sz w:val="24"/>
          <w:szCs w:val="24"/>
        </w:rPr>
        <w:t xml:space="preserve">in pushing </w:t>
      </w:r>
      <w:r w:rsidR="00D8131B" w:rsidRPr="009374C2">
        <w:rPr>
          <w:sz w:val="24"/>
          <w:szCs w:val="24"/>
        </w:rPr>
        <w:t xml:space="preserve">low income </w:t>
      </w:r>
      <w:r w:rsidR="00E66293" w:rsidRPr="009374C2">
        <w:rPr>
          <w:sz w:val="24"/>
          <w:szCs w:val="24"/>
        </w:rPr>
        <w:t xml:space="preserve">households into </w:t>
      </w:r>
      <w:r w:rsidR="00D8131B" w:rsidRPr="009374C2">
        <w:rPr>
          <w:sz w:val="24"/>
          <w:szCs w:val="24"/>
        </w:rPr>
        <w:t>home ownership and therefore laying the foundation for the financhialization of housing</w:t>
      </w:r>
      <w:r w:rsidR="000A6BD1" w:rsidRPr="009374C2">
        <w:rPr>
          <w:sz w:val="24"/>
          <w:szCs w:val="24"/>
        </w:rPr>
        <w:t>.  This analysis is supported by research on a wide variety of countries</w:t>
      </w:r>
      <w:r w:rsidR="00946AAA" w:rsidRPr="009374C2">
        <w:rPr>
          <w:sz w:val="24"/>
          <w:szCs w:val="24"/>
        </w:rPr>
        <w:t xml:space="preserve">. </w:t>
      </w:r>
      <w:r w:rsidR="00F017F5" w:rsidRPr="009374C2">
        <w:rPr>
          <w:sz w:val="24"/>
          <w:szCs w:val="24"/>
        </w:rPr>
        <w:t xml:space="preserve"> F</w:t>
      </w:r>
      <w:r w:rsidR="00946AAA" w:rsidRPr="009374C2">
        <w:rPr>
          <w:sz w:val="24"/>
          <w:szCs w:val="24"/>
        </w:rPr>
        <w:t xml:space="preserve">or example, </w:t>
      </w:r>
      <w:r w:rsidR="00E36956" w:rsidRPr="009374C2">
        <w:rPr>
          <w:sz w:val="24"/>
          <w:szCs w:val="24"/>
        </w:rPr>
        <w:t xml:space="preserve">Rodríguez and López (2011, p. 47) report that </w:t>
      </w:r>
      <w:r w:rsidR="00F017F5" w:rsidRPr="009374C2">
        <w:rPr>
          <w:sz w:val="24"/>
          <w:szCs w:val="24"/>
        </w:rPr>
        <w:t xml:space="preserve">in Spain </w:t>
      </w:r>
      <w:r w:rsidR="00E36956" w:rsidRPr="009374C2">
        <w:rPr>
          <w:sz w:val="24"/>
          <w:szCs w:val="24"/>
        </w:rPr>
        <w:t xml:space="preserve">‘from 1993 cut backs in the construction of </w:t>
      </w:r>
      <w:r w:rsidR="00D7493C" w:rsidRPr="009374C2">
        <w:rPr>
          <w:sz w:val="24"/>
          <w:szCs w:val="24"/>
        </w:rPr>
        <w:t>public housing</w:t>
      </w:r>
      <w:r w:rsidR="00E36956" w:rsidRPr="009374C2">
        <w:rPr>
          <w:sz w:val="24"/>
          <w:szCs w:val="24"/>
        </w:rPr>
        <w:t xml:space="preserve"> added to the already dramatic decrease in the construction of </w:t>
      </w:r>
      <w:r w:rsidR="00D7493C" w:rsidRPr="009374C2">
        <w:rPr>
          <w:sz w:val="24"/>
          <w:szCs w:val="24"/>
        </w:rPr>
        <w:t>public housing</w:t>
      </w:r>
      <w:r w:rsidR="00E36956" w:rsidRPr="009374C2">
        <w:rPr>
          <w:sz w:val="24"/>
          <w:szCs w:val="24"/>
        </w:rPr>
        <w:t xml:space="preserve"> which had taken place between 1984 and 1989’ and this shortage of supply was augmented by the Boyer Decree (1985) which sanctioned the privatization of </w:t>
      </w:r>
      <w:r w:rsidR="00D7493C" w:rsidRPr="009374C2">
        <w:rPr>
          <w:sz w:val="24"/>
          <w:szCs w:val="24"/>
        </w:rPr>
        <w:t>public housing</w:t>
      </w:r>
      <w:r w:rsidR="00E36956" w:rsidRPr="009374C2">
        <w:rPr>
          <w:sz w:val="24"/>
          <w:szCs w:val="24"/>
        </w:rPr>
        <w:t xml:space="preserve"> stock (Lopez and Rodriguez, 2010)</w:t>
      </w:r>
      <w:r w:rsidR="00946AAA" w:rsidRPr="009374C2">
        <w:rPr>
          <w:sz w:val="24"/>
          <w:szCs w:val="24"/>
        </w:rPr>
        <w:t xml:space="preserve">. </w:t>
      </w:r>
      <w:r w:rsidR="00F017F5" w:rsidRPr="009374C2">
        <w:rPr>
          <w:sz w:val="24"/>
          <w:szCs w:val="24"/>
        </w:rPr>
        <w:t xml:space="preserve"> </w:t>
      </w:r>
      <w:r w:rsidR="00946AAA" w:rsidRPr="009374C2">
        <w:rPr>
          <w:sz w:val="24"/>
          <w:szCs w:val="24"/>
        </w:rPr>
        <w:t xml:space="preserve">Similarly, in the UK the shift towards a ‘homeownership’ society is widely associated with the introduction of the </w:t>
      </w:r>
      <w:r w:rsidR="008421A6" w:rsidRPr="009374C2">
        <w:rPr>
          <w:sz w:val="24"/>
          <w:szCs w:val="24"/>
        </w:rPr>
        <w:t>‘</w:t>
      </w:r>
      <w:r w:rsidR="00946AAA" w:rsidRPr="009374C2">
        <w:rPr>
          <w:sz w:val="24"/>
          <w:szCs w:val="24"/>
        </w:rPr>
        <w:t>right to buy scheme</w:t>
      </w:r>
      <w:r w:rsidR="008421A6" w:rsidRPr="009374C2">
        <w:rPr>
          <w:sz w:val="24"/>
          <w:szCs w:val="24"/>
        </w:rPr>
        <w:t>’ for public housing tenants</w:t>
      </w:r>
      <w:r w:rsidR="00946AAA" w:rsidRPr="009374C2">
        <w:rPr>
          <w:sz w:val="24"/>
          <w:szCs w:val="24"/>
        </w:rPr>
        <w:t xml:space="preserve"> in the 1980s and the subsequent privatization of large po</w:t>
      </w:r>
      <w:r w:rsidR="008421A6" w:rsidRPr="009374C2">
        <w:rPr>
          <w:sz w:val="24"/>
          <w:szCs w:val="24"/>
        </w:rPr>
        <w:t>rtions of this</w:t>
      </w:r>
      <w:r w:rsidR="00946AAA" w:rsidRPr="009374C2">
        <w:rPr>
          <w:sz w:val="24"/>
          <w:szCs w:val="24"/>
        </w:rPr>
        <w:t xml:space="preserve"> stock</w:t>
      </w:r>
      <w:r w:rsidR="0006430B" w:rsidRPr="009374C2">
        <w:rPr>
          <w:sz w:val="24"/>
          <w:szCs w:val="24"/>
        </w:rPr>
        <w:t xml:space="preserve"> (Forrest and Murie, 1988)</w:t>
      </w:r>
      <w:r w:rsidR="00946AAA" w:rsidRPr="009374C2">
        <w:rPr>
          <w:sz w:val="24"/>
          <w:szCs w:val="24"/>
        </w:rPr>
        <w:t xml:space="preserve">. </w:t>
      </w:r>
      <w:r w:rsidR="0006430B" w:rsidRPr="009374C2">
        <w:rPr>
          <w:sz w:val="24"/>
          <w:szCs w:val="24"/>
        </w:rPr>
        <w:t xml:space="preserve"> </w:t>
      </w:r>
      <w:r w:rsidR="00F017F5" w:rsidRPr="009374C2">
        <w:rPr>
          <w:sz w:val="24"/>
          <w:szCs w:val="24"/>
        </w:rPr>
        <w:t xml:space="preserve">Furthermore, mass privatisation of the former state owned dwellings which housed the majority of </w:t>
      </w:r>
      <w:r w:rsidR="000A6BD1" w:rsidRPr="009374C2">
        <w:rPr>
          <w:sz w:val="24"/>
          <w:szCs w:val="24"/>
        </w:rPr>
        <w:t>Central and European Households</w:t>
      </w:r>
      <w:r w:rsidR="00F017F5" w:rsidRPr="009374C2">
        <w:rPr>
          <w:sz w:val="24"/>
          <w:szCs w:val="24"/>
        </w:rPr>
        <w:t xml:space="preserve"> during the communist period</w:t>
      </w:r>
      <w:r w:rsidR="000A6BD1" w:rsidRPr="009374C2">
        <w:rPr>
          <w:sz w:val="24"/>
          <w:szCs w:val="24"/>
        </w:rPr>
        <w:t xml:space="preserve"> </w:t>
      </w:r>
      <w:r w:rsidR="00F017F5" w:rsidRPr="009374C2">
        <w:rPr>
          <w:sz w:val="24"/>
          <w:szCs w:val="24"/>
        </w:rPr>
        <w:t xml:space="preserve">has forced </w:t>
      </w:r>
      <w:r w:rsidR="000A6BD1" w:rsidRPr="009374C2">
        <w:rPr>
          <w:sz w:val="24"/>
          <w:szCs w:val="24"/>
        </w:rPr>
        <w:t xml:space="preserve">young people </w:t>
      </w:r>
      <w:r w:rsidR="00F017F5" w:rsidRPr="009374C2">
        <w:rPr>
          <w:sz w:val="24"/>
          <w:szCs w:val="24"/>
        </w:rPr>
        <w:t xml:space="preserve">to rely on the market for accommodation or, in the absence of a developed market, on family support (Stephens, Lux and Sunega, 2015).  </w:t>
      </w:r>
      <w:r w:rsidR="00946AAA" w:rsidRPr="009374C2">
        <w:rPr>
          <w:sz w:val="24"/>
          <w:szCs w:val="24"/>
        </w:rPr>
        <w:t xml:space="preserve">More subtle </w:t>
      </w:r>
      <w:r w:rsidR="0006430B" w:rsidRPr="009374C2">
        <w:rPr>
          <w:sz w:val="24"/>
          <w:szCs w:val="24"/>
        </w:rPr>
        <w:t>transformations of public housing finance and provision arrangements have also been identified as drivers of financhialisation.  T</w:t>
      </w:r>
      <w:r w:rsidR="00554628" w:rsidRPr="009374C2">
        <w:rPr>
          <w:sz w:val="24"/>
          <w:szCs w:val="24"/>
        </w:rPr>
        <w:t xml:space="preserve">he </w:t>
      </w:r>
      <w:r w:rsidR="0006430B" w:rsidRPr="009374C2">
        <w:rPr>
          <w:sz w:val="24"/>
          <w:szCs w:val="24"/>
        </w:rPr>
        <w:t xml:space="preserve">use of private finance to fund </w:t>
      </w:r>
      <w:r w:rsidR="00D7493C" w:rsidRPr="009374C2">
        <w:rPr>
          <w:sz w:val="24"/>
          <w:szCs w:val="24"/>
        </w:rPr>
        <w:t>public housing</w:t>
      </w:r>
      <w:r w:rsidR="00554628" w:rsidRPr="009374C2">
        <w:rPr>
          <w:sz w:val="24"/>
          <w:szCs w:val="24"/>
        </w:rPr>
        <w:t xml:space="preserve"> regeneration in the UK, for example, has been conceptualised as a mechanism to open up </w:t>
      </w:r>
      <w:r w:rsidR="00D7493C" w:rsidRPr="009374C2">
        <w:rPr>
          <w:sz w:val="24"/>
          <w:szCs w:val="24"/>
        </w:rPr>
        <w:t>public housing</w:t>
      </w:r>
      <w:r w:rsidR="00554628" w:rsidRPr="009374C2">
        <w:rPr>
          <w:sz w:val="24"/>
          <w:szCs w:val="24"/>
        </w:rPr>
        <w:t xml:space="preserve"> provision to the finance capital and to embed marketization pressures (Hodgkinson, 2011; for a similar analysis in the Irish context see Hearne</w:t>
      </w:r>
      <w:r w:rsidR="00EF4AAD" w:rsidRPr="009374C2">
        <w:rPr>
          <w:sz w:val="24"/>
          <w:szCs w:val="24"/>
        </w:rPr>
        <w:t>, 2011</w:t>
      </w:r>
      <w:r w:rsidR="00554628" w:rsidRPr="009374C2">
        <w:rPr>
          <w:sz w:val="24"/>
          <w:szCs w:val="24"/>
        </w:rPr>
        <w:t>; Bisset</w:t>
      </w:r>
      <w:r w:rsidR="00EF4AAD" w:rsidRPr="009374C2">
        <w:rPr>
          <w:sz w:val="24"/>
          <w:szCs w:val="24"/>
        </w:rPr>
        <w:t>, 2008</w:t>
      </w:r>
      <w:r w:rsidR="00554628" w:rsidRPr="009374C2">
        <w:rPr>
          <w:sz w:val="24"/>
          <w:szCs w:val="24"/>
        </w:rPr>
        <w:t>)</w:t>
      </w:r>
      <w:r w:rsidR="00946AAA" w:rsidRPr="009374C2">
        <w:rPr>
          <w:sz w:val="24"/>
          <w:szCs w:val="24"/>
        </w:rPr>
        <w:t xml:space="preserve">. </w:t>
      </w:r>
      <w:r w:rsidR="0006430B" w:rsidRPr="009374C2">
        <w:rPr>
          <w:sz w:val="24"/>
          <w:szCs w:val="24"/>
        </w:rPr>
        <w:t xml:space="preserve"> R</w:t>
      </w:r>
      <w:r w:rsidR="00946AAA" w:rsidRPr="009374C2">
        <w:rPr>
          <w:sz w:val="24"/>
          <w:szCs w:val="24"/>
        </w:rPr>
        <w:t xml:space="preserve">egeneration of </w:t>
      </w:r>
      <w:r w:rsidR="00D7493C" w:rsidRPr="009374C2">
        <w:rPr>
          <w:sz w:val="24"/>
          <w:szCs w:val="24"/>
        </w:rPr>
        <w:t>public housing</w:t>
      </w:r>
      <w:r w:rsidR="00946AAA" w:rsidRPr="009374C2">
        <w:rPr>
          <w:sz w:val="24"/>
          <w:szCs w:val="24"/>
        </w:rPr>
        <w:t xml:space="preserve"> or former </w:t>
      </w:r>
      <w:r w:rsidR="00D7493C" w:rsidRPr="009374C2">
        <w:rPr>
          <w:sz w:val="24"/>
          <w:szCs w:val="24"/>
        </w:rPr>
        <w:t>public housing</w:t>
      </w:r>
      <w:r w:rsidR="00946AAA" w:rsidRPr="009374C2">
        <w:rPr>
          <w:sz w:val="24"/>
          <w:szCs w:val="24"/>
        </w:rPr>
        <w:t xml:space="preserve"> projects has been part of a wider urban entrepreneurial agenda in many countries, </w:t>
      </w:r>
      <w:r w:rsidR="00554628" w:rsidRPr="009374C2">
        <w:rPr>
          <w:sz w:val="24"/>
          <w:szCs w:val="24"/>
        </w:rPr>
        <w:t>thus</w:t>
      </w:r>
      <w:r w:rsidR="00946AAA" w:rsidRPr="009374C2">
        <w:rPr>
          <w:sz w:val="24"/>
          <w:szCs w:val="24"/>
        </w:rPr>
        <w:t xml:space="preserve"> </w:t>
      </w:r>
      <w:r w:rsidR="003B63B8" w:rsidRPr="009374C2">
        <w:rPr>
          <w:sz w:val="24"/>
          <w:szCs w:val="24"/>
        </w:rPr>
        <w:t>feeding into the over-heating housing markets (Byrne, 2016</w:t>
      </w:r>
      <w:r w:rsidR="00946AAA" w:rsidRPr="009374C2">
        <w:rPr>
          <w:sz w:val="24"/>
          <w:szCs w:val="24"/>
        </w:rPr>
        <w:t>).</w:t>
      </w:r>
    </w:p>
    <w:p w14:paraId="39352439" w14:textId="1E043542" w:rsidR="00EF4AAD" w:rsidRPr="009374C2" w:rsidRDefault="00EF4AAD" w:rsidP="00FC1D57">
      <w:pPr>
        <w:spacing w:after="0" w:line="480" w:lineRule="auto"/>
        <w:jc w:val="both"/>
        <w:rPr>
          <w:sz w:val="24"/>
          <w:szCs w:val="24"/>
          <w:u w:val="single"/>
        </w:rPr>
      </w:pPr>
    </w:p>
    <w:p w14:paraId="227BE737" w14:textId="65A281F4" w:rsidR="00D8131B" w:rsidRPr="009374C2" w:rsidRDefault="00D8131B" w:rsidP="00FC1D57">
      <w:pPr>
        <w:spacing w:after="0" w:line="480" w:lineRule="auto"/>
        <w:jc w:val="both"/>
        <w:rPr>
          <w:sz w:val="24"/>
          <w:szCs w:val="24"/>
          <w:u w:val="single"/>
        </w:rPr>
      </w:pPr>
    </w:p>
    <w:p w14:paraId="26CF7481" w14:textId="581C7D46" w:rsidR="00946AAA" w:rsidRPr="009374C2" w:rsidRDefault="00946AAA" w:rsidP="002E10A6">
      <w:pPr>
        <w:spacing w:after="0" w:line="480" w:lineRule="auto"/>
        <w:jc w:val="center"/>
        <w:rPr>
          <w:b/>
          <w:sz w:val="24"/>
          <w:szCs w:val="24"/>
        </w:rPr>
      </w:pPr>
      <w:r w:rsidRPr="009374C2">
        <w:rPr>
          <w:b/>
          <w:sz w:val="24"/>
          <w:szCs w:val="24"/>
        </w:rPr>
        <w:t xml:space="preserve">Irish </w:t>
      </w:r>
      <w:r w:rsidR="002E10A6" w:rsidRPr="009374C2">
        <w:rPr>
          <w:b/>
          <w:sz w:val="24"/>
          <w:szCs w:val="24"/>
        </w:rPr>
        <w:t xml:space="preserve">Housing Policy and </w:t>
      </w:r>
      <w:r w:rsidR="00B254EB" w:rsidRPr="009374C2">
        <w:rPr>
          <w:b/>
          <w:sz w:val="24"/>
          <w:szCs w:val="24"/>
        </w:rPr>
        <w:t>t</w:t>
      </w:r>
      <w:r w:rsidR="002E10A6" w:rsidRPr="009374C2">
        <w:rPr>
          <w:b/>
          <w:sz w:val="24"/>
          <w:szCs w:val="24"/>
        </w:rPr>
        <w:t>he Property Bubble</w:t>
      </w:r>
    </w:p>
    <w:p w14:paraId="43CB2B65" w14:textId="77777777" w:rsidR="00D8131B" w:rsidRPr="009374C2" w:rsidRDefault="00D8131B" w:rsidP="00EF4AAD">
      <w:pPr>
        <w:spacing w:after="0" w:line="480" w:lineRule="auto"/>
        <w:rPr>
          <w:sz w:val="24"/>
          <w:szCs w:val="24"/>
          <w:lang w:val="en-GB"/>
        </w:rPr>
      </w:pPr>
    </w:p>
    <w:p w14:paraId="0DDE5787" w14:textId="437422C2" w:rsidR="0043517C" w:rsidRPr="009374C2" w:rsidRDefault="00946AAA" w:rsidP="00D8131B">
      <w:pPr>
        <w:spacing w:after="0" w:line="480" w:lineRule="auto"/>
        <w:ind w:firstLine="284"/>
        <w:rPr>
          <w:sz w:val="24"/>
          <w:szCs w:val="24"/>
          <w:lang w:val="en-GB"/>
        </w:rPr>
      </w:pPr>
      <w:r w:rsidRPr="009374C2">
        <w:rPr>
          <w:sz w:val="24"/>
          <w:szCs w:val="24"/>
          <w:lang w:val="en-GB"/>
        </w:rPr>
        <w:t xml:space="preserve">Researchers have shown that many of </w:t>
      </w:r>
      <w:r w:rsidR="00D8131B" w:rsidRPr="009374C2">
        <w:rPr>
          <w:sz w:val="24"/>
          <w:szCs w:val="24"/>
          <w:lang w:val="en-GB"/>
        </w:rPr>
        <w:t>factors which</w:t>
      </w:r>
      <w:r w:rsidRPr="009374C2">
        <w:rPr>
          <w:sz w:val="24"/>
          <w:szCs w:val="24"/>
          <w:lang w:val="en-GB"/>
        </w:rPr>
        <w:t xml:space="preserve"> played a role in </w:t>
      </w:r>
      <w:r w:rsidR="00EF4AAD" w:rsidRPr="009374C2">
        <w:rPr>
          <w:sz w:val="24"/>
          <w:szCs w:val="24"/>
          <w:lang w:val="en-GB"/>
        </w:rPr>
        <w:t xml:space="preserve">inflating </w:t>
      </w:r>
      <w:r w:rsidR="00D8131B" w:rsidRPr="009374C2">
        <w:rPr>
          <w:sz w:val="24"/>
          <w:szCs w:val="24"/>
          <w:lang w:val="en-GB"/>
        </w:rPr>
        <w:t xml:space="preserve">property markets in other developed countries were also drivers of </w:t>
      </w:r>
      <w:r w:rsidRPr="009374C2">
        <w:rPr>
          <w:sz w:val="24"/>
          <w:szCs w:val="24"/>
          <w:lang w:val="en-GB"/>
        </w:rPr>
        <w:t>Ireland’</w:t>
      </w:r>
      <w:r w:rsidR="00A94B91" w:rsidRPr="009374C2">
        <w:rPr>
          <w:sz w:val="24"/>
          <w:szCs w:val="24"/>
          <w:lang w:val="en-GB"/>
        </w:rPr>
        <w:t>s</w:t>
      </w:r>
      <w:r w:rsidRPr="009374C2">
        <w:rPr>
          <w:sz w:val="24"/>
          <w:szCs w:val="24"/>
          <w:lang w:val="en-GB"/>
        </w:rPr>
        <w:t xml:space="preserve"> property and financial bubble. </w:t>
      </w:r>
      <w:r w:rsidR="00EF4AAD" w:rsidRPr="009374C2">
        <w:rPr>
          <w:sz w:val="24"/>
          <w:szCs w:val="24"/>
          <w:lang w:val="en-GB"/>
        </w:rPr>
        <w:t xml:space="preserve"> </w:t>
      </w:r>
      <w:r w:rsidRPr="009374C2">
        <w:rPr>
          <w:sz w:val="24"/>
          <w:szCs w:val="24"/>
          <w:lang w:val="en-GB"/>
        </w:rPr>
        <w:t xml:space="preserve">Financial markets </w:t>
      </w:r>
      <w:r w:rsidR="00A57687" w:rsidRPr="009374C2">
        <w:rPr>
          <w:sz w:val="24"/>
          <w:szCs w:val="24"/>
          <w:lang w:val="en-GB"/>
        </w:rPr>
        <w:t>in this country</w:t>
      </w:r>
      <w:r w:rsidR="00EF4AAD" w:rsidRPr="009374C2">
        <w:rPr>
          <w:sz w:val="24"/>
          <w:szCs w:val="24"/>
          <w:lang w:val="en-GB"/>
        </w:rPr>
        <w:t xml:space="preserve"> </w:t>
      </w:r>
      <w:r w:rsidRPr="009374C2">
        <w:rPr>
          <w:sz w:val="24"/>
          <w:szCs w:val="24"/>
          <w:lang w:val="en-GB"/>
        </w:rPr>
        <w:t>were deregulated from the 1980s as part of which restrictions on credit growth were abolished; banks’ reserve requirement ratios lowered; capital controls dismantled and restrictions on interest rates withdrawn (Kelly, 2014).  The</w:t>
      </w:r>
      <w:r w:rsidR="00EF4AAD" w:rsidRPr="009374C2">
        <w:rPr>
          <w:sz w:val="24"/>
          <w:szCs w:val="24"/>
          <w:lang w:val="en-GB"/>
        </w:rPr>
        <w:t xml:space="preserve"> s</w:t>
      </w:r>
      <w:r w:rsidRPr="009374C2">
        <w:rPr>
          <w:sz w:val="24"/>
          <w:szCs w:val="24"/>
          <w:lang w:val="en-GB"/>
        </w:rPr>
        <w:t xml:space="preserve">imilarities </w:t>
      </w:r>
      <w:r w:rsidR="00EF4AAD" w:rsidRPr="009374C2">
        <w:rPr>
          <w:sz w:val="24"/>
          <w:szCs w:val="24"/>
          <w:lang w:val="en-GB"/>
        </w:rPr>
        <w:t xml:space="preserve">between </w:t>
      </w:r>
      <w:r w:rsidR="004D6FB5" w:rsidRPr="009374C2">
        <w:rPr>
          <w:sz w:val="24"/>
          <w:szCs w:val="24"/>
          <w:lang w:val="en-GB"/>
        </w:rPr>
        <w:t xml:space="preserve">regulatory changes </w:t>
      </w:r>
      <w:r w:rsidR="00EF4AAD" w:rsidRPr="009374C2">
        <w:rPr>
          <w:sz w:val="24"/>
          <w:szCs w:val="24"/>
          <w:lang w:val="en-GB"/>
        </w:rPr>
        <w:t xml:space="preserve">in Ireland and </w:t>
      </w:r>
      <w:r w:rsidR="004D6FB5" w:rsidRPr="009374C2">
        <w:rPr>
          <w:sz w:val="24"/>
          <w:szCs w:val="24"/>
          <w:lang w:val="en-GB"/>
        </w:rPr>
        <w:t xml:space="preserve">other </w:t>
      </w:r>
      <w:r w:rsidR="00EF4AAD" w:rsidRPr="009374C2">
        <w:rPr>
          <w:sz w:val="24"/>
          <w:szCs w:val="24"/>
          <w:lang w:val="en-GB"/>
        </w:rPr>
        <w:t xml:space="preserve">developed countries </w:t>
      </w:r>
      <w:r w:rsidRPr="009374C2">
        <w:rPr>
          <w:sz w:val="24"/>
          <w:szCs w:val="24"/>
          <w:lang w:val="en-GB"/>
        </w:rPr>
        <w:t>reflect</w:t>
      </w:r>
      <w:r w:rsidR="00EF4AAD" w:rsidRPr="009374C2">
        <w:rPr>
          <w:sz w:val="24"/>
          <w:szCs w:val="24"/>
          <w:lang w:val="en-GB"/>
        </w:rPr>
        <w:t>s</w:t>
      </w:r>
      <w:r w:rsidRPr="009374C2">
        <w:rPr>
          <w:sz w:val="24"/>
          <w:szCs w:val="24"/>
          <w:lang w:val="en-GB"/>
        </w:rPr>
        <w:t xml:space="preserve"> the fact that the Irish reforms were inspired by similar reforms in other Anglophone countries and also by the requirements of E</w:t>
      </w:r>
      <w:r w:rsidR="004D6FB5" w:rsidRPr="009374C2">
        <w:rPr>
          <w:sz w:val="24"/>
          <w:szCs w:val="24"/>
          <w:lang w:val="en-GB"/>
        </w:rPr>
        <w:t>MU</w:t>
      </w:r>
      <w:r w:rsidRPr="009374C2">
        <w:rPr>
          <w:sz w:val="24"/>
          <w:szCs w:val="24"/>
          <w:lang w:val="en-GB"/>
        </w:rPr>
        <w:t xml:space="preserve"> (European Central Bank, 2009; McCabe, 2011).  However, financial deregulation in Ireland was inspired by local concerns too</w:t>
      </w:r>
      <w:r w:rsidR="0043517C" w:rsidRPr="009374C2">
        <w:rPr>
          <w:sz w:val="24"/>
          <w:szCs w:val="24"/>
          <w:lang w:val="en-GB"/>
        </w:rPr>
        <w:t xml:space="preserve">.  These included practical concerns such as </w:t>
      </w:r>
      <w:r w:rsidRPr="009374C2">
        <w:rPr>
          <w:sz w:val="24"/>
          <w:szCs w:val="24"/>
          <w:lang w:val="en-GB"/>
        </w:rPr>
        <w:t>reducing the very high proportion of mortgages provided by government (which accounted</w:t>
      </w:r>
      <w:r w:rsidR="00A94B91" w:rsidRPr="009374C2">
        <w:rPr>
          <w:sz w:val="24"/>
          <w:szCs w:val="24"/>
          <w:lang w:val="en-GB"/>
        </w:rPr>
        <w:t xml:space="preserve"> for</w:t>
      </w:r>
      <w:r w:rsidRPr="009374C2">
        <w:rPr>
          <w:sz w:val="24"/>
          <w:szCs w:val="24"/>
          <w:lang w:val="en-GB"/>
        </w:rPr>
        <w:t xml:space="preserve"> 25</w:t>
      </w:r>
      <w:r w:rsidR="002E10A6" w:rsidRPr="009374C2">
        <w:rPr>
          <w:sz w:val="24"/>
          <w:szCs w:val="24"/>
          <w:lang w:val="en-GB"/>
        </w:rPr>
        <w:t>%</w:t>
      </w:r>
      <w:r w:rsidRPr="009374C2">
        <w:rPr>
          <w:sz w:val="24"/>
          <w:szCs w:val="24"/>
          <w:lang w:val="en-GB"/>
        </w:rPr>
        <w:t xml:space="preserve"> of all loans drawn down in the early 1980s) which were classified as part of a national debt considered unsustainably high by the 1980s</w:t>
      </w:r>
      <w:r w:rsidR="004D6FB5" w:rsidRPr="009374C2">
        <w:rPr>
          <w:sz w:val="24"/>
          <w:szCs w:val="24"/>
          <w:lang w:val="en-GB"/>
        </w:rPr>
        <w:t xml:space="preserve"> </w:t>
      </w:r>
      <w:r w:rsidRPr="009374C2">
        <w:rPr>
          <w:sz w:val="24"/>
          <w:szCs w:val="24"/>
          <w:lang w:val="en-GB"/>
        </w:rPr>
        <w:t xml:space="preserve">(Norris, 2015). </w:t>
      </w:r>
      <w:r w:rsidR="00D8131B" w:rsidRPr="009374C2">
        <w:rPr>
          <w:sz w:val="24"/>
          <w:szCs w:val="24"/>
          <w:lang w:val="en-GB"/>
        </w:rPr>
        <w:t xml:space="preserve"> </w:t>
      </w:r>
      <w:r w:rsidR="0043517C" w:rsidRPr="009374C2">
        <w:rPr>
          <w:sz w:val="24"/>
          <w:szCs w:val="24"/>
          <w:lang w:val="en-GB"/>
        </w:rPr>
        <w:t xml:space="preserve">Although Irish politicians rarely cite explicitly ideological rationales for their actions and no large scale neo liberal political movement emerged in Ireland during the 1980s of </w:t>
      </w:r>
      <w:r w:rsidR="00C74738" w:rsidRPr="009374C2">
        <w:rPr>
          <w:sz w:val="24"/>
          <w:szCs w:val="24"/>
          <w:lang w:val="en-GB"/>
        </w:rPr>
        <w:t xml:space="preserve">a </w:t>
      </w:r>
      <w:r w:rsidR="0043517C" w:rsidRPr="009374C2">
        <w:rPr>
          <w:sz w:val="24"/>
          <w:szCs w:val="24"/>
          <w:lang w:val="en-GB"/>
        </w:rPr>
        <w:t>similar scale to Thatcherism or Reganism, there is no doubt that liberalising instincts motivated policy reforms in some fields and banking policy is one of these (Murphy, 2016</w:t>
      </w:r>
      <w:r w:rsidR="00C74738" w:rsidRPr="009374C2">
        <w:rPr>
          <w:sz w:val="24"/>
          <w:szCs w:val="24"/>
          <w:lang w:val="en-GB"/>
        </w:rPr>
        <w:t>; Kelly, 2014</w:t>
      </w:r>
      <w:r w:rsidR="0043517C" w:rsidRPr="009374C2">
        <w:rPr>
          <w:sz w:val="24"/>
          <w:szCs w:val="24"/>
          <w:lang w:val="en-GB"/>
        </w:rPr>
        <w:t xml:space="preserve">).  </w:t>
      </w:r>
      <w:r w:rsidR="00C74738" w:rsidRPr="009374C2">
        <w:rPr>
          <w:sz w:val="24"/>
          <w:szCs w:val="24"/>
          <w:lang w:val="en-GB"/>
        </w:rPr>
        <w:t xml:space="preserve">Policy debates at this time indicate that </w:t>
      </w:r>
      <w:r w:rsidR="00B254EB" w:rsidRPr="009374C2">
        <w:rPr>
          <w:sz w:val="24"/>
          <w:szCs w:val="24"/>
          <w:lang w:val="en-GB"/>
        </w:rPr>
        <w:t>the rolling back o</w:t>
      </w:r>
      <w:r w:rsidR="00C74738" w:rsidRPr="009374C2">
        <w:rPr>
          <w:sz w:val="24"/>
          <w:szCs w:val="24"/>
          <w:lang w:val="en-GB"/>
        </w:rPr>
        <w:t>f banking regulation was motivated in part by longstanding concerns about lack of competition in the mortgage sector and consequent poor customer value (see Kelleher, 1994).</w:t>
      </w:r>
    </w:p>
    <w:p w14:paraId="5F4D25D9" w14:textId="61C40ABE" w:rsidR="007566AD" w:rsidRPr="009374C2" w:rsidRDefault="00C74738" w:rsidP="007566AD">
      <w:pPr>
        <w:spacing w:after="0" w:line="480" w:lineRule="auto"/>
        <w:ind w:firstLine="284"/>
        <w:rPr>
          <w:sz w:val="24"/>
          <w:szCs w:val="24"/>
          <w:lang w:val="en-GB"/>
        </w:rPr>
      </w:pPr>
      <w:r w:rsidRPr="009374C2">
        <w:rPr>
          <w:sz w:val="24"/>
          <w:szCs w:val="24"/>
          <w:lang w:val="en-GB"/>
        </w:rPr>
        <w:t xml:space="preserve">In contrast to most other Western European countries, </w:t>
      </w:r>
      <w:r w:rsidR="00D8131B" w:rsidRPr="009374C2">
        <w:rPr>
          <w:sz w:val="24"/>
          <w:szCs w:val="24"/>
          <w:lang w:val="en-GB"/>
        </w:rPr>
        <w:t>Ireland has always had a liberal pro-development planning system</w:t>
      </w:r>
      <w:r w:rsidRPr="009374C2">
        <w:rPr>
          <w:sz w:val="24"/>
          <w:szCs w:val="24"/>
          <w:lang w:val="en-GB"/>
        </w:rPr>
        <w:t xml:space="preserve">.  For </w:t>
      </w:r>
      <w:r w:rsidR="00517D44" w:rsidRPr="009374C2">
        <w:rPr>
          <w:sz w:val="24"/>
          <w:szCs w:val="24"/>
          <w:lang w:val="en-GB"/>
        </w:rPr>
        <w:t>most of the 20</w:t>
      </w:r>
      <w:r w:rsidR="00517D44" w:rsidRPr="009374C2">
        <w:rPr>
          <w:sz w:val="24"/>
          <w:szCs w:val="24"/>
          <w:vertAlign w:val="superscript"/>
          <w:lang w:val="en-GB"/>
        </w:rPr>
        <w:t>th</w:t>
      </w:r>
      <w:r w:rsidR="00517D44" w:rsidRPr="009374C2">
        <w:rPr>
          <w:sz w:val="24"/>
          <w:szCs w:val="24"/>
          <w:lang w:val="en-GB"/>
        </w:rPr>
        <w:t xml:space="preserve"> </w:t>
      </w:r>
      <w:r w:rsidR="007566AD" w:rsidRPr="009374C2">
        <w:rPr>
          <w:sz w:val="24"/>
          <w:szCs w:val="24"/>
          <w:lang w:val="en-GB"/>
        </w:rPr>
        <w:t xml:space="preserve">Century shortage of development finance and mortgage credit constrained construction but the credit boom changed this situation and new building was further incentivised by a </w:t>
      </w:r>
      <w:r w:rsidR="00946AAA" w:rsidRPr="009374C2">
        <w:rPr>
          <w:sz w:val="24"/>
          <w:szCs w:val="24"/>
          <w:lang w:val="en-GB"/>
        </w:rPr>
        <w:t xml:space="preserve">series of tax </w:t>
      </w:r>
      <w:r w:rsidR="007566AD" w:rsidRPr="009374C2">
        <w:rPr>
          <w:sz w:val="24"/>
          <w:szCs w:val="24"/>
          <w:lang w:val="en-GB"/>
        </w:rPr>
        <w:t xml:space="preserve">breaks which </w:t>
      </w:r>
      <w:r w:rsidR="00946AAA" w:rsidRPr="009374C2">
        <w:rPr>
          <w:sz w:val="24"/>
          <w:szCs w:val="24"/>
          <w:lang w:val="en-GB"/>
        </w:rPr>
        <w:t xml:space="preserve">were introduced from the </w:t>
      </w:r>
      <w:r w:rsidR="007566AD" w:rsidRPr="009374C2">
        <w:rPr>
          <w:sz w:val="24"/>
          <w:szCs w:val="24"/>
          <w:lang w:val="en-GB"/>
        </w:rPr>
        <w:t>mid-</w:t>
      </w:r>
      <w:r w:rsidR="00946AAA" w:rsidRPr="009374C2">
        <w:rPr>
          <w:sz w:val="24"/>
          <w:szCs w:val="24"/>
          <w:lang w:val="en-GB"/>
        </w:rPr>
        <w:t>1980s</w:t>
      </w:r>
      <w:r w:rsidR="007566AD" w:rsidRPr="009374C2">
        <w:rPr>
          <w:sz w:val="24"/>
          <w:szCs w:val="24"/>
          <w:lang w:val="en-GB"/>
        </w:rPr>
        <w:t xml:space="preserve"> and promoted </w:t>
      </w:r>
      <w:r w:rsidR="00946AAA" w:rsidRPr="009374C2">
        <w:rPr>
          <w:sz w:val="24"/>
          <w:szCs w:val="24"/>
          <w:lang w:val="en-GB"/>
        </w:rPr>
        <w:t xml:space="preserve">investment in </w:t>
      </w:r>
      <w:r w:rsidR="00A36756" w:rsidRPr="009374C2">
        <w:rPr>
          <w:sz w:val="24"/>
          <w:szCs w:val="24"/>
          <w:lang w:val="en-GB"/>
        </w:rPr>
        <w:t xml:space="preserve">provision and refurbishment of dwellings in selected run down urban neighbourhoods and </w:t>
      </w:r>
      <w:r w:rsidR="007566AD" w:rsidRPr="009374C2">
        <w:rPr>
          <w:sz w:val="24"/>
          <w:szCs w:val="24"/>
          <w:lang w:val="en-GB"/>
        </w:rPr>
        <w:t>later in tourist and private health care facilities (Norris, Gkartzios and Coates. 2013).</w:t>
      </w:r>
    </w:p>
    <w:p w14:paraId="70F74590" w14:textId="6125713D" w:rsidR="00946AAA" w:rsidRPr="009374C2" w:rsidRDefault="004D6FB5" w:rsidP="007566AD">
      <w:pPr>
        <w:spacing w:after="0" w:line="480" w:lineRule="auto"/>
        <w:ind w:firstLine="284"/>
        <w:rPr>
          <w:sz w:val="24"/>
          <w:szCs w:val="24"/>
          <w:lang w:val="en-GB"/>
        </w:rPr>
      </w:pPr>
      <w:r w:rsidRPr="009374C2">
        <w:rPr>
          <w:sz w:val="24"/>
          <w:szCs w:val="24"/>
          <w:lang w:val="en-GB"/>
        </w:rPr>
        <w:t>I</w:t>
      </w:r>
      <w:r w:rsidR="00946AAA" w:rsidRPr="009374C2">
        <w:rPr>
          <w:sz w:val="24"/>
          <w:szCs w:val="24"/>
          <w:lang w:val="en-GB"/>
        </w:rPr>
        <w:t xml:space="preserve">n the context of a growing economy and </w:t>
      </w:r>
      <w:r w:rsidRPr="009374C2">
        <w:rPr>
          <w:sz w:val="24"/>
          <w:szCs w:val="24"/>
          <w:lang w:val="en-GB"/>
        </w:rPr>
        <w:t xml:space="preserve">increases in </w:t>
      </w:r>
      <w:r w:rsidR="007566AD" w:rsidRPr="009374C2">
        <w:rPr>
          <w:sz w:val="24"/>
          <w:szCs w:val="24"/>
          <w:lang w:val="en-GB"/>
        </w:rPr>
        <w:t xml:space="preserve">credit and </w:t>
      </w:r>
      <w:r w:rsidRPr="009374C2">
        <w:rPr>
          <w:sz w:val="24"/>
          <w:szCs w:val="24"/>
          <w:lang w:val="en-GB"/>
        </w:rPr>
        <w:t>population</w:t>
      </w:r>
      <w:r w:rsidR="00946AAA" w:rsidRPr="009374C2">
        <w:rPr>
          <w:sz w:val="24"/>
          <w:szCs w:val="24"/>
          <w:lang w:val="en-GB"/>
        </w:rPr>
        <w:t xml:space="preserve">, </w:t>
      </w:r>
      <w:r w:rsidRPr="009374C2">
        <w:rPr>
          <w:sz w:val="24"/>
          <w:szCs w:val="24"/>
          <w:lang w:val="en-GB"/>
        </w:rPr>
        <w:t xml:space="preserve">these policies </w:t>
      </w:r>
      <w:r w:rsidR="00946AAA" w:rsidRPr="009374C2">
        <w:rPr>
          <w:sz w:val="24"/>
          <w:szCs w:val="24"/>
          <w:lang w:val="en-GB"/>
        </w:rPr>
        <w:t xml:space="preserve">produced a property bubble of unprecedented proportions. The intensity of the </w:t>
      </w:r>
      <w:r w:rsidR="007566AD" w:rsidRPr="009374C2">
        <w:rPr>
          <w:sz w:val="24"/>
          <w:szCs w:val="24"/>
          <w:lang w:val="en-GB"/>
        </w:rPr>
        <w:t xml:space="preserve">Irish </w:t>
      </w:r>
      <w:r w:rsidR="00946AAA" w:rsidRPr="009374C2">
        <w:rPr>
          <w:sz w:val="24"/>
          <w:szCs w:val="24"/>
          <w:lang w:val="en-GB"/>
        </w:rPr>
        <w:t xml:space="preserve">housing boom far surpassed all of the country’s European neighbours, with the exception of Spain which experienced a similar set of dynamics both terms of the scale of the boom </w:t>
      </w:r>
      <w:r w:rsidR="00D8131B" w:rsidRPr="009374C2">
        <w:rPr>
          <w:sz w:val="24"/>
          <w:szCs w:val="24"/>
          <w:lang w:val="en-GB"/>
        </w:rPr>
        <w:t xml:space="preserve">and its </w:t>
      </w:r>
      <w:r w:rsidR="008076D5" w:rsidRPr="009374C2">
        <w:rPr>
          <w:sz w:val="24"/>
          <w:szCs w:val="24"/>
          <w:lang w:val="en-GB"/>
        </w:rPr>
        <w:t xml:space="preserve">unusual </w:t>
      </w:r>
      <w:r w:rsidR="00D8131B" w:rsidRPr="009374C2">
        <w:rPr>
          <w:sz w:val="24"/>
          <w:szCs w:val="24"/>
          <w:lang w:val="en-GB"/>
        </w:rPr>
        <w:t xml:space="preserve">dual </w:t>
      </w:r>
      <w:r w:rsidR="007566AD" w:rsidRPr="009374C2">
        <w:rPr>
          <w:sz w:val="24"/>
          <w:szCs w:val="24"/>
          <w:lang w:val="en-GB"/>
        </w:rPr>
        <w:t xml:space="preserve">character whereby a </w:t>
      </w:r>
      <w:r w:rsidR="008076D5" w:rsidRPr="009374C2">
        <w:rPr>
          <w:sz w:val="24"/>
          <w:szCs w:val="24"/>
          <w:lang w:val="en-GB"/>
        </w:rPr>
        <w:t xml:space="preserve">credit </w:t>
      </w:r>
      <w:r w:rsidR="007566AD" w:rsidRPr="009374C2">
        <w:rPr>
          <w:sz w:val="24"/>
          <w:szCs w:val="24"/>
          <w:lang w:val="en-GB"/>
        </w:rPr>
        <w:t xml:space="preserve">boom was accompanied by a </w:t>
      </w:r>
      <w:r w:rsidR="008076D5" w:rsidRPr="009374C2">
        <w:rPr>
          <w:sz w:val="24"/>
          <w:szCs w:val="24"/>
          <w:lang w:val="en-GB"/>
        </w:rPr>
        <w:t xml:space="preserve">building boom </w:t>
      </w:r>
      <w:r w:rsidR="00946AAA" w:rsidRPr="009374C2">
        <w:rPr>
          <w:sz w:val="24"/>
          <w:szCs w:val="24"/>
          <w:lang w:val="en-GB"/>
        </w:rPr>
        <w:t xml:space="preserve">(Norris &amp; Byrne, 2015; Conefrey &amp; Fitz Gerald, 2010).  </w:t>
      </w:r>
      <w:r w:rsidR="00946AAA" w:rsidRPr="009374C2">
        <w:rPr>
          <w:sz w:val="24"/>
          <w:szCs w:val="24"/>
        </w:rPr>
        <w:t>From 1996 until the peak of the boom in 2006 Irish house prices increased by 292</w:t>
      </w:r>
      <w:r w:rsidR="002E10A6" w:rsidRPr="009374C2">
        <w:rPr>
          <w:sz w:val="24"/>
          <w:szCs w:val="24"/>
        </w:rPr>
        <w:t>%</w:t>
      </w:r>
      <w:r w:rsidR="00946AAA" w:rsidRPr="009374C2">
        <w:rPr>
          <w:sz w:val="24"/>
          <w:szCs w:val="24"/>
        </w:rPr>
        <w:t xml:space="preserve"> in nominal terms.  Rapidly increasing prices were accompanied by soaring housing output, which grew by 87.5</w:t>
      </w:r>
      <w:r w:rsidR="002E10A6" w:rsidRPr="009374C2">
        <w:rPr>
          <w:sz w:val="24"/>
          <w:szCs w:val="24"/>
        </w:rPr>
        <w:t>%</w:t>
      </w:r>
      <w:r w:rsidR="00946AAA" w:rsidRPr="009374C2">
        <w:rPr>
          <w:sz w:val="24"/>
          <w:szCs w:val="24"/>
        </w:rPr>
        <w:t xml:space="preserve"> between 2000 and 2006 (Norris &amp; Coates, 2014). To give a sense of perspective, in 2006 the UK built just over twice the number of dwellings Ireland did (209,000 units) for a population 15 times greater (Norris &amp; Byrne, 2015).  While initially stimulated by growing employment, population and wages in the mid-1990s, during its later stages the boom was fuelled primarily by the rapid expansion of mortgage credit, with outstanding residential loans rising by 281</w:t>
      </w:r>
      <w:r w:rsidR="002E10A6" w:rsidRPr="009374C2">
        <w:rPr>
          <w:sz w:val="24"/>
          <w:szCs w:val="24"/>
        </w:rPr>
        <w:t>%</w:t>
      </w:r>
      <w:r w:rsidR="00946AAA" w:rsidRPr="009374C2">
        <w:rPr>
          <w:sz w:val="24"/>
          <w:szCs w:val="24"/>
        </w:rPr>
        <w:t xml:space="preserve"> (from 31.6 to 69.8 </w:t>
      </w:r>
      <w:r w:rsidR="002E10A6" w:rsidRPr="009374C2">
        <w:rPr>
          <w:sz w:val="24"/>
          <w:szCs w:val="24"/>
        </w:rPr>
        <w:t>%</w:t>
      </w:r>
      <w:r w:rsidR="00946AAA" w:rsidRPr="009374C2">
        <w:rPr>
          <w:sz w:val="24"/>
          <w:szCs w:val="24"/>
        </w:rPr>
        <w:t xml:space="preserve"> of GDP) between 2000 and 2006 (Ó Riain, 2014).</w:t>
      </w:r>
      <w:r w:rsidR="00236AD1" w:rsidRPr="009374C2">
        <w:rPr>
          <w:sz w:val="24"/>
          <w:szCs w:val="24"/>
        </w:rPr>
        <w:t xml:space="preserve">  </w:t>
      </w:r>
      <w:r w:rsidR="00F0306A" w:rsidRPr="009374C2">
        <w:rPr>
          <w:sz w:val="24"/>
          <w:szCs w:val="24"/>
        </w:rPr>
        <w:t>Although,</w:t>
      </w:r>
      <w:r w:rsidR="0001112F" w:rsidRPr="009374C2">
        <w:rPr>
          <w:sz w:val="24"/>
          <w:szCs w:val="24"/>
        </w:rPr>
        <w:t xml:space="preserve"> like</w:t>
      </w:r>
      <w:r w:rsidR="00F0306A" w:rsidRPr="009374C2">
        <w:rPr>
          <w:sz w:val="24"/>
          <w:szCs w:val="24"/>
        </w:rPr>
        <w:t xml:space="preserve"> in other </w:t>
      </w:r>
      <w:r w:rsidR="0001112F" w:rsidRPr="009374C2">
        <w:rPr>
          <w:sz w:val="24"/>
          <w:szCs w:val="24"/>
        </w:rPr>
        <w:t xml:space="preserve">countries, </w:t>
      </w:r>
      <w:r w:rsidR="00F0306A" w:rsidRPr="009374C2">
        <w:rPr>
          <w:sz w:val="24"/>
          <w:szCs w:val="24"/>
        </w:rPr>
        <w:t>commentary on the Irish credit boom has focussed on the increased size of loans taken out by home owners who were desperate to climb on the property ladder</w:t>
      </w:r>
      <w:r w:rsidR="0001112F" w:rsidRPr="009374C2">
        <w:rPr>
          <w:sz w:val="24"/>
          <w:szCs w:val="24"/>
        </w:rPr>
        <w:t>,</w:t>
      </w:r>
      <w:r w:rsidR="00F0306A" w:rsidRPr="009374C2">
        <w:rPr>
          <w:sz w:val="24"/>
          <w:szCs w:val="24"/>
        </w:rPr>
        <w:t xml:space="preserve"> more careful analysis indicates that </w:t>
      </w:r>
      <w:r w:rsidR="0001112F" w:rsidRPr="009374C2">
        <w:rPr>
          <w:sz w:val="24"/>
          <w:szCs w:val="24"/>
        </w:rPr>
        <w:t xml:space="preserve">increased </w:t>
      </w:r>
      <w:r w:rsidR="00F0306A" w:rsidRPr="009374C2">
        <w:rPr>
          <w:sz w:val="24"/>
          <w:szCs w:val="24"/>
        </w:rPr>
        <w:t xml:space="preserve">lending to </w:t>
      </w:r>
      <w:r w:rsidR="0001112F" w:rsidRPr="009374C2">
        <w:rPr>
          <w:sz w:val="24"/>
          <w:szCs w:val="24"/>
        </w:rPr>
        <w:t>private landlords was the primary driver of the Irish credit boom.  The proportion of outstanding mortgages held by residential landlords increased from 18.8 to 26.9</w:t>
      </w:r>
      <w:r w:rsidR="002E10A6" w:rsidRPr="009374C2">
        <w:rPr>
          <w:sz w:val="24"/>
          <w:szCs w:val="24"/>
        </w:rPr>
        <w:t>%</w:t>
      </w:r>
      <w:r w:rsidR="0001112F" w:rsidRPr="009374C2">
        <w:rPr>
          <w:sz w:val="24"/>
          <w:szCs w:val="24"/>
        </w:rPr>
        <w:t xml:space="preserve"> between 2004 and 2008, while the proportion held by home owners fell from 80.0 to 71.9</w:t>
      </w:r>
      <w:r w:rsidR="002E10A6" w:rsidRPr="009374C2">
        <w:rPr>
          <w:sz w:val="24"/>
          <w:szCs w:val="24"/>
        </w:rPr>
        <w:t>%</w:t>
      </w:r>
      <w:r w:rsidR="0001112F" w:rsidRPr="009374C2">
        <w:rPr>
          <w:sz w:val="24"/>
          <w:szCs w:val="24"/>
        </w:rPr>
        <w:t xml:space="preserve"> concurrently (Norris and Coates, 2014).  This developmen</w:t>
      </w:r>
      <w:r w:rsidR="00143513" w:rsidRPr="009374C2">
        <w:rPr>
          <w:sz w:val="24"/>
          <w:szCs w:val="24"/>
        </w:rPr>
        <w:t xml:space="preserve">t was a direct result of the banking and housing policy reforms outlined above because prior to deregulation of mortgage lending was dominated by local government and building societies (savings and loans institutions) which were mandated to lend for home purchase </w:t>
      </w:r>
      <w:r w:rsidR="00A57687" w:rsidRPr="009374C2">
        <w:rPr>
          <w:sz w:val="24"/>
          <w:szCs w:val="24"/>
        </w:rPr>
        <w:t>therefore</w:t>
      </w:r>
      <w:r w:rsidR="00517D44" w:rsidRPr="009374C2">
        <w:rPr>
          <w:sz w:val="24"/>
          <w:szCs w:val="24"/>
        </w:rPr>
        <w:t xml:space="preserve"> </w:t>
      </w:r>
      <w:r w:rsidR="00143513" w:rsidRPr="009374C2">
        <w:rPr>
          <w:sz w:val="24"/>
          <w:szCs w:val="24"/>
        </w:rPr>
        <w:t>credit was not easily available to buy to let landlords.  Furthermore, the tax breaks for residential property development and refurbishment referred to above were much more lucrative for landlords and they encouraged expansion of the private rented sector (Norris, Gkartzios and Coates. 2013)</w:t>
      </w:r>
      <w:r w:rsidR="00A57687" w:rsidRPr="009374C2">
        <w:rPr>
          <w:sz w:val="24"/>
          <w:szCs w:val="24"/>
        </w:rPr>
        <w:t>.</w:t>
      </w:r>
    </w:p>
    <w:p w14:paraId="59349DCC" w14:textId="4E3EB8D9" w:rsidR="00946AAA" w:rsidRPr="009374C2" w:rsidRDefault="007566AD" w:rsidP="00D06A20">
      <w:pPr>
        <w:spacing w:after="0" w:line="480" w:lineRule="auto"/>
        <w:ind w:firstLine="284"/>
        <w:rPr>
          <w:sz w:val="24"/>
          <w:szCs w:val="24"/>
          <w:lang w:val="en-GB"/>
        </w:rPr>
      </w:pPr>
      <w:r w:rsidRPr="009374C2">
        <w:rPr>
          <w:sz w:val="24"/>
          <w:szCs w:val="24"/>
          <w:lang w:val="en-GB"/>
        </w:rPr>
        <w:t xml:space="preserve">Rather than just a sectoral phenomenon, the </w:t>
      </w:r>
      <w:r w:rsidR="00946AAA" w:rsidRPr="009374C2">
        <w:rPr>
          <w:sz w:val="24"/>
          <w:szCs w:val="24"/>
          <w:lang w:val="en-GB"/>
        </w:rPr>
        <w:t xml:space="preserve">bubble </w:t>
      </w:r>
      <w:r w:rsidRPr="009374C2">
        <w:rPr>
          <w:sz w:val="24"/>
          <w:szCs w:val="24"/>
          <w:lang w:val="en-GB"/>
        </w:rPr>
        <w:t>ultimately became o</w:t>
      </w:r>
      <w:r w:rsidR="00946AAA" w:rsidRPr="009374C2">
        <w:rPr>
          <w:sz w:val="24"/>
          <w:szCs w:val="24"/>
          <w:lang w:val="en-GB"/>
        </w:rPr>
        <w:t>f systemic impor</w:t>
      </w:r>
      <w:r w:rsidR="00A94B91" w:rsidRPr="009374C2">
        <w:rPr>
          <w:sz w:val="24"/>
          <w:szCs w:val="24"/>
          <w:lang w:val="en-GB"/>
        </w:rPr>
        <w:t>tance to the Irish economy as w</w:t>
      </w:r>
      <w:r w:rsidR="00946AAA" w:rsidRPr="009374C2">
        <w:rPr>
          <w:sz w:val="24"/>
          <w:szCs w:val="24"/>
          <w:lang w:val="en-GB"/>
        </w:rPr>
        <w:t xml:space="preserve">hole. </w:t>
      </w:r>
      <w:r w:rsidRPr="009374C2">
        <w:rPr>
          <w:sz w:val="24"/>
          <w:szCs w:val="24"/>
          <w:lang w:val="en-GB"/>
        </w:rPr>
        <w:t xml:space="preserve"> </w:t>
      </w:r>
      <w:r w:rsidR="00946AAA" w:rsidRPr="009374C2">
        <w:rPr>
          <w:sz w:val="24"/>
          <w:szCs w:val="24"/>
          <w:lang w:val="en-GB"/>
        </w:rPr>
        <w:t xml:space="preserve">In the decade 1996 </w:t>
      </w:r>
      <w:r w:rsidRPr="009374C2">
        <w:rPr>
          <w:sz w:val="24"/>
          <w:szCs w:val="24"/>
          <w:lang w:val="en-GB"/>
        </w:rPr>
        <w:t xml:space="preserve">to 2006 </w:t>
      </w:r>
      <w:r w:rsidR="00946AAA" w:rsidRPr="009374C2">
        <w:rPr>
          <w:sz w:val="24"/>
          <w:szCs w:val="24"/>
          <w:lang w:val="en-GB"/>
        </w:rPr>
        <w:t xml:space="preserve">construction as a </w:t>
      </w:r>
      <w:r w:rsidR="002E10A6" w:rsidRPr="009374C2">
        <w:rPr>
          <w:sz w:val="24"/>
          <w:szCs w:val="24"/>
          <w:lang w:val="en-GB"/>
        </w:rPr>
        <w:t>percentage of GDP rose from 5.5% to 10.3%</w:t>
      </w:r>
      <w:r w:rsidR="00946AAA" w:rsidRPr="009374C2">
        <w:rPr>
          <w:sz w:val="24"/>
          <w:szCs w:val="24"/>
          <w:lang w:val="en-GB"/>
        </w:rPr>
        <w:t>.  By 2006 the sector also</w:t>
      </w:r>
      <w:r w:rsidR="00517D44" w:rsidRPr="009374C2">
        <w:rPr>
          <w:sz w:val="24"/>
          <w:szCs w:val="24"/>
          <w:lang w:val="en-GB"/>
        </w:rPr>
        <w:t xml:space="preserve"> accounted directly for over 12</w:t>
      </w:r>
      <w:r w:rsidR="002E10A6" w:rsidRPr="009374C2">
        <w:rPr>
          <w:sz w:val="24"/>
          <w:szCs w:val="24"/>
          <w:lang w:val="en-GB"/>
        </w:rPr>
        <w:t>%</w:t>
      </w:r>
      <w:r w:rsidR="00946AAA" w:rsidRPr="009374C2">
        <w:rPr>
          <w:sz w:val="24"/>
          <w:szCs w:val="24"/>
          <w:lang w:val="en-GB"/>
        </w:rPr>
        <w:t xml:space="preserve"> of </w:t>
      </w:r>
      <w:r w:rsidR="00517D44" w:rsidRPr="009374C2">
        <w:rPr>
          <w:sz w:val="24"/>
          <w:szCs w:val="24"/>
          <w:lang w:val="en-GB"/>
        </w:rPr>
        <w:t>employment as well as another 5</w:t>
      </w:r>
      <w:r w:rsidR="002E10A6" w:rsidRPr="009374C2">
        <w:rPr>
          <w:sz w:val="24"/>
          <w:szCs w:val="24"/>
          <w:lang w:val="en-GB"/>
        </w:rPr>
        <w:t>%</w:t>
      </w:r>
      <w:r w:rsidR="00946AAA" w:rsidRPr="009374C2">
        <w:rPr>
          <w:sz w:val="24"/>
          <w:szCs w:val="24"/>
          <w:lang w:val="en-GB"/>
        </w:rPr>
        <w:t xml:space="preserve"> in terms of indirect employment in allied services such as home furnishings (Norris &amp; Byrne, 2015).  Property prices also boost</w:t>
      </w:r>
      <w:r w:rsidRPr="009374C2">
        <w:rPr>
          <w:sz w:val="24"/>
          <w:szCs w:val="24"/>
          <w:lang w:val="en-GB"/>
        </w:rPr>
        <w:t>ed</w:t>
      </w:r>
      <w:r w:rsidR="00946AAA" w:rsidRPr="009374C2">
        <w:rPr>
          <w:sz w:val="24"/>
          <w:szCs w:val="24"/>
          <w:lang w:val="en-GB"/>
        </w:rPr>
        <w:t xml:space="preserve"> aggregate demand in the domestic economy. </w:t>
      </w:r>
      <w:r w:rsidR="00154950" w:rsidRPr="009374C2">
        <w:rPr>
          <w:sz w:val="24"/>
          <w:szCs w:val="24"/>
          <w:lang w:val="en-GB"/>
        </w:rPr>
        <w:t xml:space="preserve"> </w:t>
      </w:r>
      <w:r w:rsidR="00946AAA" w:rsidRPr="009374C2">
        <w:rPr>
          <w:sz w:val="24"/>
          <w:szCs w:val="24"/>
          <w:lang w:val="en-GB"/>
        </w:rPr>
        <w:t>Between 2005 and 2007, the peak boom years, more than one-third of all loans were housing equity withdrawals, amounting to €5.5 billion per year</w:t>
      </w:r>
      <w:r w:rsidR="00154950" w:rsidRPr="009374C2">
        <w:rPr>
          <w:sz w:val="24"/>
          <w:szCs w:val="24"/>
          <w:lang w:val="en-GB"/>
        </w:rPr>
        <w:t xml:space="preserve"> (Downey, 2014)</w:t>
      </w:r>
      <w:r w:rsidR="00946AAA" w:rsidRPr="009374C2">
        <w:rPr>
          <w:sz w:val="24"/>
          <w:szCs w:val="24"/>
          <w:lang w:val="en-GB"/>
        </w:rPr>
        <w:t xml:space="preserve">.  The systemic importance of the private property market to Irish society and the economy is further evidenced by fiscal dependence on property-related taxes. </w:t>
      </w:r>
      <w:r w:rsidR="00946AAA" w:rsidRPr="009374C2">
        <w:rPr>
          <w:sz w:val="24"/>
          <w:szCs w:val="24"/>
        </w:rPr>
        <w:t>Receipts from residential property-market related taxes (stamp duties on house purchases, consumption tax on the construction of new houses, tax on the profits from house sales and property taxes) rose from €2.75 billion in 2002, to a peak of €8.1 billion in 2006.  During this period this windfall revenue facilitated a marked increase in public spending and also cuts in income taxes, which in turn further increased exchequer reliance on property-related taxes</w:t>
      </w:r>
      <w:r w:rsidR="00DD6E57" w:rsidRPr="009374C2">
        <w:rPr>
          <w:sz w:val="24"/>
          <w:szCs w:val="24"/>
        </w:rPr>
        <w:t xml:space="preserve"> (Addison-Smyth &amp; McQuinn, 2009)</w:t>
      </w:r>
      <w:r w:rsidR="00946AAA" w:rsidRPr="009374C2">
        <w:rPr>
          <w:sz w:val="24"/>
          <w:szCs w:val="24"/>
        </w:rPr>
        <w:t>.  Property related taxes accounted for 8% of total tax revenue in Ireland 2002 but this has grown to over 15% by 2006 (Norris &amp; Coates, 2014).</w:t>
      </w:r>
    </w:p>
    <w:p w14:paraId="529677F2" w14:textId="4DC89BD1" w:rsidR="00946AAA" w:rsidRPr="009374C2" w:rsidRDefault="00946AAA" w:rsidP="00D06A20">
      <w:pPr>
        <w:spacing w:after="0" w:line="480" w:lineRule="auto"/>
        <w:ind w:firstLine="284"/>
        <w:rPr>
          <w:sz w:val="24"/>
          <w:szCs w:val="24"/>
        </w:rPr>
      </w:pPr>
      <w:r w:rsidRPr="009374C2">
        <w:rPr>
          <w:sz w:val="24"/>
          <w:szCs w:val="24"/>
          <w:lang w:val="en-GB"/>
        </w:rPr>
        <w:t xml:space="preserve">The Irish property market began to stall in 2006 and the international credit crunch which commenced in 2008 hastened its decline.  By 2012 </w:t>
      </w:r>
      <w:r w:rsidRPr="009374C2">
        <w:rPr>
          <w:sz w:val="24"/>
          <w:szCs w:val="24"/>
        </w:rPr>
        <w:t xml:space="preserve">house prices had declined by 41.6 </w:t>
      </w:r>
      <w:r w:rsidR="002E10A6" w:rsidRPr="009374C2">
        <w:rPr>
          <w:sz w:val="24"/>
          <w:szCs w:val="24"/>
        </w:rPr>
        <w:t>%</w:t>
      </w:r>
      <w:r w:rsidRPr="009374C2">
        <w:rPr>
          <w:sz w:val="24"/>
          <w:szCs w:val="24"/>
        </w:rPr>
        <w:t xml:space="preserve"> and house building declined by 90.9 </w:t>
      </w:r>
      <w:r w:rsidR="002E10A6" w:rsidRPr="009374C2">
        <w:rPr>
          <w:sz w:val="24"/>
          <w:szCs w:val="24"/>
        </w:rPr>
        <w:t>%</w:t>
      </w:r>
      <w:r w:rsidRPr="009374C2">
        <w:rPr>
          <w:sz w:val="24"/>
          <w:szCs w:val="24"/>
        </w:rPr>
        <w:t xml:space="preserve"> (Norris &amp; Byrne, 2015). The banking sector entered into a period of freefall, as deposits contracted, mortgage lending collapsed, bad loans increased and banks faced rising difficulties in borrowing on international markets.  In response to this unprecedented collapse of the banking system, the government guaranteed the deposits and liabilities of all major Irish headquartered banks in September 2008 and incrementally nationalised virtually the entire banking system over the course of the following year.  This interlinking of sovereign and banking debt, coupled with collapsing tax revenue as unemployment rose and property related tax revenues declined, undermined the creditworthiness of the Irish state.  By 2010 the government found itself unable to borrow</w:t>
      </w:r>
      <w:r w:rsidR="00154950" w:rsidRPr="009374C2">
        <w:rPr>
          <w:sz w:val="24"/>
          <w:szCs w:val="24"/>
        </w:rPr>
        <w:t xml:space="preserve"> and due to this fiscal and sovereign debt crisis</w:t>
      </w:r>
      <w:r w:rsidRPr="009374C2">
        <w:rPr>
          <w:sz w:val="24"/>
          <w:szCs w:val="24"/>
        </w:rPr>
        <w:t xml:space="preserve"> was forced to seek an emergency </w:t>
      </w:r>
      <w:r w:rsidR="00154950" w:rsidRPr="009374C2">
        <w:rPr>
          <w:sz w:val="24"/>
          <w:szCs w:val="24"/>
        </w:rPr>
        <w:t>loan from the EU and IMF to fund the state and bank recapitalisations</w:t>
      </w:r>
      <w:r w:rsidRPr="009374C2">
        <w:rPr>
          <w:sz w:val="24"/>
          <w:szCs w:val="24"/>
        </w:rPr>
        <w:t xml:space="preserve"> (Norris &amp; Coates, 2014).</w:t>
      </w:r>
    </w:p>
    <w:p w14:paraId="71845AC6" w14:textId="479F9AE0" w:rsidR="00946AAA" w:rsidRPr="009374C2" w:rsidRDefault="00946AAA" w:rsidP="00D06A20">
      <w:pPr>
        <w:spacing w:after="0" w:line="480" w:lineRule="auto"/>
        <w:ind w:firstLine="284"/>
        <w:rPr>
          <w:color w:val="000000" w:themeColor="text1"/>
          <w:sz w:val="24"/>
          <w:szCs w:val="24"/>
          <w:lang w:val="en-GB"/>
        </w:rPr>
      </w:pPr>
      <w:r w:rsidRPr="009374C2">
        <w:rPr>
          <w:sz w:val="24"/>
          <w:szCs w:val="24"/>
          <w:lang w:val="en-GB"/>
        </w:rPr>
        <w:t xml:space="preserve">Apart from its disastrous consequences for Irish society and the macro economy, the property bust obviously created severe problems across the housing system.  14% of home owner mortgages were in arrears in March 2015 and arrears on private landlords’ buy-to-let mortgages are even higher at 24% (Central Bank, various years).  As mentioned above lending for mortgages and also for property development has declined radically 2008 and, together with widespread bankruptcies among construction firms, this has precipitated a marked decline in new house building from 71,356 units in 2007 to 10,501 in 2014 (Department of the </w:t>
      </w:r>
      <w:r w:rsidR="00517D44" w:rsidRPr="009374C2">
        <w:rPr>
          <w:sz w:val="24"/>
          <w:szCs w:val="24"/>
          <w:lang w:val="en-GB"/>
        </w:rPr>
        <w:t>Housing, Planning</w:t>
      </w:r>
      <w:r w:rsidRPr="009374C2">
        <w:rPr>
          <w:sz w:val="24"/>
          <w:szCs w:val="24"/>
          <w:lang w:val="en-GB"/>
        </w:rPr>
        <w:t xml:space="preserve"> and Local Government, various years).  This has created serious housing shortages in cities, particularly Dublin, where the economic recovery is </w:t>
      </w:r>
      <w:r w:rsidR="00D06A20" w:rsidRPr="009374C2">
        <w:rPr>
          <w:sz w:val="24"/>
          <w:szCs w:val="24"/>
          <w:lang w:val="en-GB"/>
        </w:rPr>
        <w:t>most pronounced</w:t>
      </w:r>
      <w:r w:rsidRPr="009374C2">
        <w:rPr>
          <w:sz w:val="24"/>
          <w:szCs w:val="24"/>
          <w:lang w:val="en-GB"/>
        </w:rPr>
        <w:t xml:space="preserve"> </w:t>
      </w:r>
      <w:r w:rsidRPr="009374C2">
        <w:rPr>
          <w:color w:val="000000" w:themeColor="text1"/>
          <w:sz w:val="24"/>
          <w:szCs w:val="24"/>
          <w:lang w:val="en-GB"/>
        </w:rPr>
        <w:t xml:space="preserve">and the population is growing.  </w:t>
      </w:r>
      <w:r w:rsidR="00D06A20" w:rsidRPr="009374C2">
        <w:rPr>
          <w:color w:val="000000" w:themeColor="text1"/>
          <w:sz w:val="24"/>
          <w:szCs w:val="24"/>
          <w:lang w:val="en-GB"/>
        </w:rPr>
        <w:t xml:space="preserve">These strains are most clearly evident in rising homelessness -  </w:t>
      </w:r>
      <w:r w:rsidR="00143513" w:rsidRPr="009374C2">
        <w:rPr>
          <w:color w:val="000000" w:themeColor="text1"/>
          <w:sz w:val="24"/>
          <w:szCs w:val="24"/>
          <w:lang w:val="en-GB"/>
        </w:rPr>
        <w:t xml:space="preserve">the number of homeless adults in the City increased from 2,306 to 3,777 between the start of 2014 and the start of 2016 and </w:t>
      </w:r>
      <w:r w:rsidR="00D06A20" w:rsidRPr="009374C2">
        <w:rPr>
          <w:color w:val="000000" w:themeColor="text1"/>
          <w:sz w:val="24"/>
          <w:szCs w:val="24"/>
          <w:lang w:val="en-GB"/>
        </w:rPr>
        <w:t>homeless</w:t>
      </w:r>
      <w:r w:rsidR="00143513" w:rsidRPr="009374C2">
        <w:rPr>
          <w:color w:val="000000" w:themeColor="text1"/>
          <w:sz w:val="24"/>
          <w:szCs w:val="24"/>
          <w:lang w:val="en-GB"/>
        </w:rPr>
        <w:t xml:space="preserve"> children increased from </w:t>
      </w:r>
      <w:r w:rsidR="0088106C" w:rsidRPr="009374C2">
        <w:rPr>
          <w:color w:val="000000" w:themeColor="text1"/>
          <w:sz w:val="24"/>
          <w:szCs w:val="24"/>
          <w:lang w:val="en-GB"/>
        </w:rPr>
        <w:t>970 to 1,847 concurrently</w:t>
      </w:r>
      <w:r w:rsidRPr="009374C2">
        <w:rPr>
          <w:color w:val="000000" w:themeColor="text1"/>
          <w:sz w:val="24"/>
          <w:szCs w:val="24"/>
          <w:lang w:val="en-GB"/>
        </w:rPr>
        <w:t xml:space="preserve"> (Department of the </w:t>
      </w:r>
      <w:r w:rsidR="00154950" w:rsidRPr="009374C2">
        <w:rPr>
          <w:color w:val="000000" w:themeColor="text1"/>
          <w:sz w:val="24"/>
          <w:szCs w:val="24"/>
          <w:lang w:val="en-GB"/>
        </w:rPr>
        <w:t xml:space="preserve">Housing, Planning </w:t>
      </w:r>
      <w:r w:rsidRPr="009374C2">
        <w:rPr>
          <w:color w:val="000000" w:themeColor="text1"/>
          <w:sz w:val="24"/>
          <w:szCs w:val="24"/>
          <w:lang w:val="en-GB"/>
        </w:rPr>
        <w:t xml:space="preserve">and Local Government, various years). </w:t>
      </w:r>
    </w:p>
    <w:p w14:paraId="19E8D238" w14:textId="6B8E0D7C" w:rsidR="00AF75EB" w:rsidRPr="009374C2" w:rsidRDefault="00AF75EB" w:rsidP="00AC6756">
      <w:pPr>
        <w:spacing w:after="0" w:line="480" w:lineRule="auto"/>
        <w:jc w:val="both"/>
        <w:rPr>
          <w:b/>
          <w:sz w:val="24"/>
          <w:szCs w:val="24"/>
          <w:lang w:val="en-GB"/>
        </w:rPr>
      </w:pPr>
    </w:p>
    <w:p w14:paraId="0BB8DCB0" w14:textId="77777777" w:rsidR="00A57687" w:rsidRPr="009374C2" w:rsidRDefault="00A57687">
      <w:pPr>
        <w:rPr>
          <w:b/>
          <w:sz w:val="24"/>
          <w:szCs w:val="24"/>
        </w:rPr>
      </w:pPr>
      <w:r w:rsidRPr="009374C2">
        <w:rPr>
          <w:b/>
          <w:sz w:val="24"/>
          <w:szCs w:val="24"/>
        </w:rPr>
        <w:br w:type="page"/>
      </w:r>
    </w:p>
    <w:p w14:paraId="13D57A06" w14:textId="47952C91" w:rsidR="00AF75EB" w:rsidRPr="009374C2" w:rsidRDefault="002E10A6" w:rsidP="002E10A6">
      <w:pPr>
        <w:spacing w:after="0" w:line="480" w:lineRule="auto"/>
        <w:jc w:val="center"/>
        <w:rPr>
          <w:b/>
          <w:sz w:val="24"/>
          <w:szCs w:val="24"/>
        </w:rPr>
      </w:pPr>
      <w:r w:rsidRPr="009374C2">
        <w:rPr>
          <w:b/>
          <w:sz w:val="24"/>
          <w:szCs w:val="24"/>
        </w:rPr>
        <w:t>Public Housing Transformation and Irish Property Market</w:t>
      </w:r>
    </w:p>
    <w:p w14:paraId="1120D457" w14:textId="41A71FCA" w:rsidR="00747CE4" w:rsidRPr="009374C2" w:rsidRDefault="00747CE4" w:rsidP="00AC6756">
      <w:pPr>
        <w:spacing w:after="0" w:line="480" w:lineRule="auto"/>
        <w:jc w:val="both"/>
        <w:rPr>
          <w:b/>
          <w:sz w:val="24"/>
          <w:szCs w:val="24"/>
        </w:rPr>
      </w:pPr>
    </w:p>
    <w:p w14:paraId="437B6AC4" w14:textId="4C3AEC68" w:rsidR="00560523" w:rsidRPr="009374C2" w:rsidRDefault="009A52AC" w:rsidP="00AC6756">
      <w:pPr>
        <w:spacing w:after="0" w:line="480" w:lineRule="auto"/>
        <w:jc w:val="both"/>
        <w:rPr>
          <w:b/>
          <w:i/>
          <w:sz w:val="24"/>
          <w:szCs w:val="24"/>
        </w:rPr>
      </w:pPr>
      <w:r w:rsidRPr="009374C2">
        <w:rPr>
          <w:b/>
          <w:i/>
          <w:sz w:val="24"/>
          <w:szCs w:val="24"/>
        </w:rPr>
        <w:t>Counter Cyclical P</w:t>
      </w:r>
      <w:r w:rsidR="00560523" w:rsidRPr="009374C2">
        <w:rPr>
          <w:b/>
          <w:i/>
          <w:sz w:val="24"/>
          <w:szCs w:val="24"/>
        </w:rPr>
        <w:t>ublic Housing</w:t>
      </w:r>
    </w:p>
    <w:p w14:paraId="56BB6716" w14:textId="204C96E6" w:rsidR="00B7142B" w:rsidRPr="009374C2" w:rsidRDefault="001E3E60" w:rsidP="00560523">
      <w:pPr>
        <w:spacing w:after="0" w:line="480" w:lineRule="auto"/>
        <w:ind w:firstLine="284"/>
        <w:rPr>
          <w:sz w:val="24"/>
          <w:szCs w:val="24"/>
        </w:rPr>
      </w:pPr>
      <w:r w:rsidRPr="009374C2">
        <w:rPr>
          <w:sz w:val="24"/>
          <w:szCs w:val="24"/>
        </w:rPr>
        <w:t>Public housing in Ireland was first provided in the late 19</w:t>
      </w:r>
      <w:r w:rsidRPr="009374C2">
        <w:rPr>
          <w:sz w:val="24"/>
          <w:szCs w:val="24"/>
          <w:vertAlign w:val="superscript"/>
        </w:rPr>
        <w:t>th</w:t>
      </w:r>
      <w:r w:rsidRPr="009374C2">
        <w:rPr>
          <w:sz w:val="24"/>
          <w:szCs w:val="24"/>
        </w:rPr>
        <w:t xml:space="preserve"> Century initially by philanthropic and private sector providers</w:t>
      </w:r>
      <w:r w:rsidR="00233837" w:rsidRPr="009374C2">
        <w:rPr>
          <w:sz w:val="24"/>
          <w:szCs w:val="24"/>
        </w:rPr>
        <w:t xml:space="preserve">, but local government soon </w:t>
      </w:r>
      <w:r w:rsidR="00560523" w:rsidRPr="009374C2">
        <w:rPr>
          <w:sz w:val="24"/>
          <w:szCs w:val="24"/>
        </w:rPr>
        <w:t xml:space="preserve">took over as its main provider </w:t>
      </w:r>
      <w:r w:rsidR="00233837" w:rsidRPr="009374C2">
        <w:rPr>
          <w:sz w:val="24"/>
          <w:szCs w:val="24"/>
        </w:rPr>
        <w:t xml:space="preserve">and between the foundation of the independent Irish state in </w:t>
      </w:r>
      <w:r w:rsidR="00B7142B" w:rsidRPr="009374C2">
        <w:rPr>
          <w:sz w:val="24"/>
          <w:szCs w:val="24"/>
        </w:rPr>
        <w:t>1922 and</w:t>
      </w:r>
      <w:r w:rsidR="00233837" w:rsidRPr="009374C2">
        <w:rPr>
          <w:sz w:val="24"/>
          <w:szCs w:val="24"/>
        </w:rPr>
        <w:t xml:space="preserve"> the </w:t>
      </w:r>
      <w:r w:rsidR="0088106C" w:rsidRPr="009374C2">
        <w:rPr>
          <w:sz w:val="24"/>
          <w:szCs w:val="24"/>
        </w:rPr>
        <w:t>late 1950</w:t>
      </w:r>
      <w:r w:rsidR="00233837" w:rsidRPr="009374C2">
        <w:rPr>
          <w:sz w:val="24"/>
          <w:szCs w:val="24"/>
        </w:rPr>
        <w:t>s this sector provided the majority of new dwelli</w:t>
      </w:r>
      <w:r w:rsidR="004E2BBA" w:rsidRPr="009374C2">
        <w:rPr>
          <w:sz w:val="24"/>
          <w:szCs w:val="24"/>
        </w:rPr>
        <w:t xml:space="preserve">ngs constructed in this country.  </w:t>
      </w:r>
      <w:r w:rsidR="00B7142B" w:rsidRPr="009374C2">
        <w:rPr>
          <w:sz w:val="24"/>
          <w:szCs w:val="24"/>
        </w:rPr>
        <w:t xml:space="preserve">As a result, </w:t>
      </w:r>
      <w:r w:rsidR="00560523" w:rsidRPr="009374C2">
        <w:rPr>
          <w:sz w:val="24"/>
          <w:szCs w:val="24"/>
        </w:rPr>
        <w:t xml:space="preserve">in 1961 </w:t>
      </w:r>
      <w:r w:rsidR="00517D44" w:rsidRPr="009374C2">
        <w:rPr>
          <w:sz w:val="24"/>
          <w:szCs w:val="24"/>
        </w:rPr>
        <w:t xml:space="preserve">18.4% </w:t>
      </w:r>
      <w:r w:rsidR="00560523" w:rsidRPr="009374C2">
        <w:rPr>
          <w:sz w:val="24"/>
          <w:szCs w:val="24"/>
        </w:rPr>
        <w:t>of Irish households were public housing</w:t>
      </w:r>
      <w:r w:rsidR="00B7142B" w:rsidRPr="009374C2">
        <w:rPr>
          <w:sz w:val="24"/>
          <w:szCs w:val="24"/>
        </w:rPr>
        <w:t xml:space="preserve"> </w:t>
      </w:r>
      <w:r w:rsidR="00B160AD" w:rsidRPr="009374C2">
        <w:rPr>
          <w:sz w:val="24"/>
          <w:szCs w:val="24"/>
        </w:rPr>
        <w:t xml:space="preserve">tenants </w:t>
      </w:r>
      <w:r w:rsidR="00B7142B" w:rsidRPr="009374C2">
        <w:rPr>
          <w:sz w:val="24"/>
          <w:szCs w:val="24"/>
        </w:rPr>
        <w:t xml:space="preserve">and, </w:t>
      </w:r>
      <w:r w:rsidR="008949D7" w:rsidRPr="009374C2">
        <w:rPr>
          <w:sz w:val="24"/>
          <w:szCs w:val="24"/>
        </w:rPr>
        <w:t xml:space="preserve">although the introduction of the nationwide programme of sales of public housing to tenants </w:t>
      </w:r>
      <w:r w:rsidR="004E2BBA" w:rsidRPr="009374C2">
        <w:rPr>
          <w:sz w:val="24"/>
          <w:szCs w:val="24"/>
        </w:rPr>
        <w:t>in the mid-1960s</w:t>
      </w:r>
      <w:r w:rsidR="008949D7" w:rsidRPr="009374C2">
        <w:rPr>
          <w:sz w:val="24"/>
          <w:szCs w:val="24"/>
        </w:rPr>
        <w:t xml:space="preserve"> would reduce that </w:t>
      </w:r>
      <w:r w:rsidR="004E2BBA" w:rsidRPr="009374C2">
        <w:rPr>
          <w:sz w:val="24"/>
          <w:szCs w:val="24"/>
        </w:rPr>
        <w:t xml:space="preserve">proportion, </w:t>
      </w:r>
      <w:r w:rsidR="008949D7" w:rsidRPr="009374C2">
        <w:rPr>
          <w:sz w:val="24"/>
          <w:szCs w:val="24"/>
        </w:rPr>
        <w:t xml:space="preserve">rates </w:t>
      </w:r>
      <w:r w:rsidR="004E2BBA" w:rsidRPr="009374C2">
        <w:rPr>
          <w:sz w:val="24"/>
          <w:szCs w:val="24"/>
        </w:rPr>
        <w:t xml:space="preserve">of new public house building </w:t>
      </w:r>
      <w:r w:rsidR="008949D7" w:rsidRPr="009374C2">
        <w:rPr>
          <w:sz w:val="24"/>
          <w:szCs w:val="24"/>
        </w:rPr>
        <w:t>remained high until the 1980s</w:t>
      </w:r>
      <w:r w:rsidR="004E2BBA" w:rsidRPr="009374C2">
        <w:rPr>
          <w:sz w:val="24"/>
          <w:szCs w:val="24"/>
        </w:rPr>
        <w:t xml:space="preserve"> (see Figure</w:t>
      </w:r>
      <w:r w:rsidR="001E5378" w:rsidRPr="009374C2">
        <w:rPr>
          <w:sz w:val="24"/>
          <w:szCs w:val="24"/>
        </w:rPr>
        <w:t>s</w:t>
      </w:r>
      <w:r w:rsidR="004E2BBA" w:rsidRPr="009374C2">
        <w:rPr>
          <w:sz w:val="24"/>
          <w:szCs w:val="24"/>
        </w:rPr>
        <w:t xml:space="preserve"> 1</w:t>
      </w:r>
      <w:r w:rsidR="00D06A20" w:rsidRPr="009374C2">
        <w:rPr>
          <w:sz w:val="24"/>
          <w:szCs w:val="24"/>
        </w:rPr>
        <w:t xml:space="preserve"> and </w:t>
      </w:r>
      <w:r w:rsidR="001E5378" w:rsidRPr="009374C2">
        <w:rPr>
          <w:sz w:val="24"/>
          <w:szCs w:val="24"/>
        </w:rPr>
        <w:t>2</w:t>
      </w:r>
      <w:r w:rsidR="004E2BBA" w:rsidRPr="009374C2">
        <w:rPr>
          <w:sz w:val="24"/>
          <w:szCs w:val="24"/>
        </w:rPr>
        <w:t>)</w:t>
      </w:r>
      <w:r w:rsidR="005F0B2D" w:rsidRPr="009374C2">
        <w:rPr>
          <w:sz w:val="24"/>
          <w:szCs w:val="24"/>
        </w:rPr>
        <w:t>.</w:t>
      </w:r>
    </w:p>
    <w:p w14:paraId="6E2A3606" w14:textId="77777777" w:rsidR="00191D30" w:rsidRDefault="004E2BBA" w:rsidP="00560523">
      <w:pPr>
        <w:spacing w:after="0" w:line="480" w:lineRule="auto"/>
        <w:ind w:firstLine="284"/>
        <w:rPr>
          <w:sz w:val="24"/>
          <w:szCs w:val="24"/>
        </w:rPr>
      </w:pPr>
      <w:r w:rsidRPr="009374C2">
        <w:rPr>
          <w:sz w:val="24"/>
          <w:szCs w:val="24"/>
        </w:rPr>
        <w:t xml:space="preserve">From its emergence until the 1970s public housing acted an effective counterweight to the market in a number of fundamental respects.  </w:t>
      </w:r>
      <w:r w:rsidR="0086334D" w:rsidRPr="009374C2">
        <w:rPr>
          <w:sz w:val="24"/>
          <w:szCs w:val="24"/>
        </w:rPr>
        <w:t>A</w:t>
      </w:r>
      <w:r w:rsidRPr="009374C2">
        <w:rPr>
          <w:sz w:val="24"/>
          <w:szCs w:val="24"/>
        </w:rPr>
        <w:t xml:space="preserve">s revealed by Figure 1 </w:t>
      </w:r>
      <w:r w:rsidR="00B7142B" w:rsidRPr="009374C2">
        <w:rPr>
          <w:sz w:val="24"/>
          <w:szCs w:val="24"/>
        </w:rPr>
        <w:t xml:space="preserve">the public </w:t>
      </w:r>
      <w:r w:rsidR="005A699E" w:rsidRPr="009374C2">
        <w:rPr>
          <w:sz w:val="24"/>
          <w:szCs w:val="24"/>
        </w:rPr>
        <w:t xml:space="preserve">housing sector was effective in providing additional housing during periods of market undersupply.  </w:t>
      </w:r>
      <w:r w:rsidR="0086334D" w:rsidRPr="009374C2">
        <w:rPr>
          <w:sz w:val="24"/>
          <w:szCs w:val="24"/>
        </w:rPr>
        <w:t xml:space="preserve">Its role in this regard was particularly important in the period post World Wars I and II because private house building almost entirely ceased during war time and the industry took a lengthy period to re-establish itself afterwards.  </w:t>
      </w:r>
      <w:r w:rsidR="005A699E" w:rsidRPr="009374C2">
        <w:rPr>
          <w:sz w:val="24"/>
          <w:szCs w:val="24"/>
        </w:rPr>
        <w:t xml:space="preserve">Crucially </w:t>
      </w:r>
      <w:r w:rsidR="00C741A9" w:rsidRPr="009374C2">
        <w:rPr>
          <w:sz w:val="24"/>
          <w:szCs w:val="24"/>
        </w:rPr>
        <w:t>until the 1970s almost</w:t>
      </w:r>
      <w:r w:rsidR="005A699E" w:rsidRPr="009374C2">
        <w:rPr>
          <w:sz w:val="24"/>
          <w:szCs w:val="24"/>
        </w:rPr>
        <w:t xml:space="preserve"> public housing was </w:t>
      </w:r>
      <w:r w:rsidR="0086334D" w:rsidRPr="009374C2">
        <w:rPr>
          <w:i/>
          <w:sz w:val="24"/>
          <w:szCs w:val="24"/>
        </w:rPr>
        <w:t xml:space="preserve">additional </w:t>
      </w:r>
      <w:r w:rsidR="005A699E" w:rsidRPr="009374C2">
        <w:rPr>
          <w:sz w:val="24"/>
          <w:szCs w:val="24"/>
        </w:rPr>
        <w:t xml:space="preserve">to that provided by the market because it was built from scratch by </w:t>
      </w:r>
      <w:r w:rsidR="000931F9" w:rsidRPr="009374C2">
        <w:rPr>
          <w:sz w:val="24"/>
          <w:szCs w:val="24"/>
        </w:rPr>
        <w:t>directly by local government</w:t>
      </w:r>
      <w:r w:rsidR="00517D44" w:rsidRPr="009374C2">
        <w:rPr>
          <w:sz w:val="24"/>
          <w:szCs w:val="24"/>
        </w:rPr>
        <w:t xml:space="preserve"> and</w:t>
      </w:r>
      <w:r w:rsidR="000931F9" w:rsidRPr="009374C2">
        <w:rPr>
          <w:sz w:val="24"/>
          <w:szCs w:val="24"/>
        </w:rPr>
        <w:t xml:space="preserve"> by </w:t>
      </w:r>
      <w:r w:rsidR="005A699E" w:rsidRPr="009374C2">
        <w:rPr>
          <w:sz w:val="24"/>
          <w:szCs w:val="24"/>
        </w:rPr>
        <w:t>tradespeople who were in many cases direct</w:t>
      </w:r>
      <w:r w:rsidR="000931F9" w:rsidRPr="009374C2">
        <w:rPr>
          <w:sz w:val="24"/>
          <w:szCs w:val="24"/>
        </w:rPr>
        <w:t xml:space="preserve"> public sector employees</w:t>
      </w:r>
      <w:r w:rsidR="005A699E" w:rsidRPr="009374C2">
        <w:rPr>
          <w:sz w:val="24"/>
          <w:szCs w:val="24"/>
        </w:rPr>
        <w:t xml:space="preserve"> (O’Connell, </w:t>
      </w:r>
      <w:r w:rsidR="000931F9" w:rsidRPr="009374C2">
        <w:rPr>
          <w:sz w:val="24"/>
          <w:szCs w:val="24"/>
        </w:rPr>
        <w:t xml:space="preserve">2007).  </w:t>
      </w:r>
      <w:r w:rsidR="00B41672" w:rsidRPr="009374C2">
        <w:rPr>
          <w:sz w:val="24"/>
          <w:szCs w:val="24"/>
        </w:rPr>
        <w:t>Public housing’s role in providing good</w:t>
      </w:r>
      <w:r w:rsidR="00F7781A" w:rsidRPr="009374C2">
        <w:rPr>
          <w:sz w:val="24"/>
          <w:szCs w:val="24"/>
        </w:rPr>
        <w:t xml:space="preserve"> quality, affordable rental housing was particularly important because of the failure of the private rented sector to do so.  Rigid private rent control introduced during World War I and </w:t>
      </w:r>
    </w:p>
    <w:p w14:paraId="1476399F" w14:textId="77777777" w:rsidR="00191D30" w:rsidRDefault="00191D30">
      <w:pPr>
        <w:rPr>
          <w:i/>
        </w:rPr>
      </w:pPr>
      <w:r>
        <w:rPr>
          <w:i/>
        </w:rPr>
        <w:br w:type="page"/>
      </w:r>
    </w:p>
    <w:p w14:paraId="4F6B1485" w14:textId="78168EEE" w:rsidR="00191D30" w:rsidRPr="006542B4" w:rsidRDefault="00191D30" w:rsidP="00191D30">
      <w:pPr>
        <w:rPr>
          <w:i/>
        </w:rPr>
      </w:pPr>
      <w:r w:rsidRPr="006542B4">
        <w:rPr>
          <w:i/>
        </w:rPr>
        <w:t>Figure 1</w:t>
      </w:r>
      <w:r w:rsidRPr="006542B4">
        <w:rPr>
          <w:i/>
        </w:rPr>
        <w:tab/>
      </w:r>
      <w:r w:rsidRPr="006542B4">
        <w:rPr>
          <w:i/>
        </w:rPr>
        <w:tab/>
        <w:t>Public and Private Sector Housing Output in Ireland and Public Housing Sold to Tenants , 1920s-2014.</w:t>
      </w:r>
    </w:p>
    <w:p w14:paraId="59FF10F3" w14:textId="77777777" w:rsidR="00191D30" w:rsidRDefault="00191D30" w:rsidP="00191D30">
      <w:r>
        <w:rPr>
          <w:noProof/>
          <w:lang w:val="en-US"/>
        </w:rPr>
        <w:drawing>
          <wp:inline distT="0" distB="0" distL="0" distR="0" wp14:anchorId="0F4C5437" wp14:editId="7E4777ED">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93A23EE" w14:textId="77777777" w:rsidR="00191D30" w:rsidRPr="00191D30" w:rsidRDefault="00191D30" w:rsidP="00191D30">
      <w:pPr>
        <w:spacing w:after="0"/>
        <w:rPr>
          <w:rFonts w:ascii="Times New Roman" w:hAnsi="Times New Roman" w:cs="Times New Roman"/>
          <w:sz w:val="16"/>
          <w:szCs w:val="16"/>
        </w:rPr>
      </w:pPr>
      <w:r w:rsidRPr="0024286C">
        <w:rPr>
          <w:rFonts w:ascii="Times New Roman" w:hAnsi="Times New Roman" w:cs="Times New Roman"/>
          <w:sz w:val="20"/>
          <w:szCs w:val="20"/>
        </w:rPr>
        <w:t xml:space="preserve">Note: The 1920s refer to 1923–1929 only; private sector building figures from the 1920s to the 1950s only </w:t>
      </w:r>
      <w:r w:rsidRPr="00191D30">
        <w:rPr>
          <w:rFonts w:ascii="Times New Roman" w:hAnsi="Times New Roman" w:cs="Times New Roman"/>
          <w:sz w:val="16"/>
          <w:szCs w:val="16"/>
        </w:rPr>
        <w:t xml:space="preserve">include dwellings built with state aid, but the available evidence indicates that this includes the vast majority of all private sector dwellings built. Annual data on sales of public housing to tenants between the 1930s and 1960s are not available, but as the available evidence indicates that the vast majority of these sales took place after 1951, these figures are included in the data for the 1960s. </w:t>
      </w:r>
    </w:p>
    <w:p w14:paraId="36811949" w14:textId="77777777" w:rsidR="00191D30" w:rsidRPr="00191D30" w:rsidRDefault="00191D30" w:rsidP="00191D30">
      <w:pPr>
        <w:rPr>
          <w:rFonts w:ascii="Times New Roman" w:hAnsi="Times New Roman" w:cs="Times New Roman"/>
          <w:sz w:val="16"/>
          <w:szCs w:val="16"/>
        </w:rPr>
      </w:pPr>
      <w:r w:rsidRPr="00191D30">
        <w:rPr>
          <w:rFonts w:ascii="Times New Roman" w:hAnsi="Times New Roman" w:cs="Times New Roman"/>
          <w:sz w:val="16"/>
          <w:szCs w:val="16"/>
        </w:rPr>
        <w:t>Source: Minister for Local Government (1964); Department of Local Government (various years); Department of Housing, Planning and Local Government</w:t>
      </w:r>
    </w:p>
    <w:p w14:paraId="0028500D" w14:textId="77777777" w:rsidR="00191D30" w:rsidRDefault="00191D30" w:rsidP="00191D30">
      <w:r>
        <w:t>Figure 2</w:t>
      </w:r>
      <w:r>
        <w:tab/>
      </w:r>
      <w:r>
        <w:tab/>
        <w:t>% of Households Living in Owner Occupied, Private Rented and Public Rented Housing in Ireland, 1946-2011.</w:t>
      </w:r>
    </w:p>
    <w:p w14:paraId="2593C20A" w14:textId="77777777" w:rsidR="00191D30" w:rsidRDefault="00191D30" w:rsidP="00191D30">
      <w:pPr>
        <w:spacing w:after="0" w:line="240" w:lineRule="auto"/>
      </w:pPr>
      <w:r>
        <w:rPr>
          <w:noProof/>
          <w:lang w:val="en-US"/>
        </w:rPr>
        <w:drawing>
          <wp:inline distT="0" distB="0" distL="0" distR="0" wp14:anchorId="16D0B6E9" wp14:editId="7D062B43">
            <wp:extent cx="5716988" cy="3387255"/>
            <wp:effectExtent l="0" t="0" r="17145" b="228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87BFC5" w14:textId="77777777" w:rsidR="00191D30" w:rsidRPr="00191D30" w:rsidRDefault="00191D30" w:rsidP="00191D30">
      <w:pPr>
        <w:spacing w:after="0"/>
        <w:rPr>
          <w:rFonts w:ascii="Times New Roman" w:hAnsi="Times New Roman" w:cs="Times New Roman"/>
          <w:sz w:val="18"/>
          <w:szCs w:val="18"/>
        </w:rPr>
      </w:pPr>
      <w:r w:rsidRPr="00191D30">
        <w:rPr>
          <w:rFonts w:ascii="Times New Roman" w:hAnsi="Times New Roman" w:cs="Times New Roman"/>
          <w:sz w:val="18"/>
          <w:szCs w:val="18"/>
        </w:rPr>
        <w:t>Note:  the figures are adjusted to exclude “not available”.</w:t>
      </w:r>
    </w:p>
    <w:p w14:paraId="371C3006" w14:textId="0D093B84" w:rsidR="00191D30" w:rsidRDefault="00191D30" w:rsidP="00191D30">
      <w:pPr>
        <w:spacing w:after="0"/>
        <w:rPr>
          <w:sz w:val="24"/>
          <w:szCs w:val="24"/>
        </w:rPr>
      </w:pPr>
      <w:r w:rsidRPr="00191D30">
        <w:rPr>
          <w:rFonts w:ascii="Times New Roman" w:hAnsi="Times New Roman" w:cs="Times New Roman"/>
          <w:sz w:val="18"/>
          <w:szCs w:val="18"/>
        </w:rPr>
        <w:t>Source: Central Statistics Office (various years).</w:t>
      </w:r>
      <w:r>
        <w:rPr>
          <w:sz w:val="24"/>
          <w:szCs w:val="24"/>
        </w:rPr>
        <w:br w:type="page"/>
      </w:r>
    </w:p>
    <w:p w14:paraId="73C4665D" w14:textId="241E3D23" w:rsidR="00F7781A" w:rsidRPr="009374C2" w:rsidRDefault="00F7781A" w:rsidP="00191D30">
      <w:pPr>
        <w:spacing w:after="0" w:line="480" w:lineRule="auto"/>
        <w:rPr>
          <w:sz w:val="24"/>
          <w:szCs w:val="24"/>
        </w:rPr>
      </w:pPr>
      <w:r w:rsidRPr="009374C2">
        <w:rPr>
          <w:sz w:val="24"/>
          <w:szCs w:val="24"/>
        </w:rPr>
        <w:t xml:space="preserve">extended repeatedly afterwards </w:t>
      </w:r>
      <w:r w:rsidR="00C741A9" w:rsidRPr="009374C2">
        <w:rPr>
          <w:sz w:val="24"/>
          <w:szCs w:val="24"/>
        </w:rPr>
        <w:t>discouraged</w:t>
      </w:r>
      <w:r w:rsidRPr="009374C2">
        <w:rPr>
          <w:sz w:val="24"/>
          <w:szCs w:val="24"/>
        </w:rPr>
        <w:t xml:space="preserve"> </w:t>
      </w:r>
      <w:r w:rsidR="0036036B" w:rsidRPr="009374C2">
        <w:rPr>
          <w:sz w:val="24"/>
          <w:szCs w:val="24"/>
        </w:rPr>
        <w:t xml:space="preserve">landlords from </w:t>
      </w:r>
      <w:r w:rsidR="00C741A9" w:rsidRPr="009374C2">
        <w:rPr>
          <w:sz w:val="24"/>
          <w:szCs w:val="24"/>
        </w:rPr>
        <w:t xml:space="preserve">investing in </w:t>
      </w:r>
      <w:r w:rsidRPr="009374C2">
        <w:rPr>
          <w:sz w:val="24"/>
          <w:szCs w:val="24"/>
        </w:rPr>
        <w:t>maint</w:t>
      </w:r>
      <w:r w:rsidR="00C741A9" w:rsidRPr="009374C2">
        <w:rPr>
          <w:sz w:val="24"/>
          <w:szCs w:val="24"/>
        </w:rPr>
        <w:t>enance and encouraged many to sell their dwellings</w:t>
      </w:r>
      <w:r w:rsidR="0036036B" w:rsidRPr="009374C2">
        <w:rPr>
          <w:sz w:val="24"/>
          <w:szCs w:val="24"/>
        </w:rPr>
        <w:t xml:space="preserve"> consequently this sector contracted by half between the 1940s and the 1970s (Threshold, 1981).</w:t>
      </w:r>
      <w:r w:rsidR="00295974" w:rsidRPr="009374C2">
        <w:rPr>
          <w:sz w:val="24"/>
          <w:szCs w:val="24"/>
        </w:rPr>
        <w:t xml:space="preserve">  </w:t>
      </w:r>
      <w:r w:rsidR="00C741A9" w:rsidRPr="009374C2">
        <w:rPr>
          <w:sz w:val="24"/>
          <w:szCs w:val="24"/>
        </w:rPr>
        <w:t xml:space="preserve">High rates of public house building during periods of low market supply also provided an economic stimulus and source of employment which was important in a country which suffered weak economic growth and chronic labour over-supply for most of the </w:t>
      </w:r>
      <w:r w:rsidR="00517D44" w:rsidRPr="009374C2">
        <w:rPr>
          <w:sz w:val="24"/>
          <w:szCs w:val="24"/>
        </w:rPr>
        <w:t>20</w:t>
      </w:r>
      <w:r w:rsidR="00517D44" w:rsidRPr="009374C2">
        <w:rPr>
          <w:sz w:val="24"/>
          <w:szCs w:val="24"/>
          <w:vertAlign w:val="superscript"/>
        </w:rPr>
        <w:t>th</w:t>
      </w:r>
      <w:r w:rsidR="00C741A9" w:rsidRPr="009374C2">
        <w:rPr>
          <w:sz w:val="24"/>
          <w:szCs w:val="24"/>
        </w:rPr>
        <w:t xml:space="preserve"> Century (O’Connell, 2007).  For this reason, government increased investment in public house building during the particularly severe recession </w:t>
      </w:r>
      <w:r w:rsidR="001E0E3D" w:rsidRPr="009374C2">
        <w:rPr>
          <w:sz w:val="24"/>
          <w:szCs w:val="24"/>
        </w:rPr>
        <w:t xml:space="preserve">and fiscal crisis </w:t>
      </w:r>
      <w:r w:rsidR="00C741A9" w:rsidRPr="009374C2">
        <w:rPr>
          <w:sz w:val="24"/>
          <w:szCs w:val="24"/>
        </w:rPr>
        <w:t>Ireland suffered during the 1950s to 2.5 times the rate of output achieved during the preceding decade (Daly, 1997)</w:t>
      </w:r>
      <w:r w:rsidR="001E0E3D" w:rsidRPr="009374C2">
        <w:rPr>
          <w:sz w:val="24"/>
          <w:szCs w:val="24"/>
        </w:rPr>
        <w:t xml:space="preserve"> (see Figure 1)</w:t>
      </w:r>
      <w:r w:rsidR="00C741A9" w:rsidRPr="009374C2">
        <w:rPr>
          <w:sz w:val="24"/>
          <w:szCs w:val="24"/>
        </w:rPr>
        <w:t>.</w:t>
      </w:r>
    </w:p>
    <w:p w14:paraId="392816E5" w14:textId="6E8F70E0" w:rsidR="00D3373A" w:rsidRPr="009374C2" w:rsidRDefault="00F7781A" w:rsidP="00B33AC5">
      <w:pPr>
        <w:spacing w:after="0" w:line="480" w:lineRule="auto"/>
        <w:ind w:firstLine="284"/>
        <w:rPr>
          <w:sz w:val="24"/>
          <w:szCs w:val="24"/>
        </w:rPr>
      </w:pPr>
      <w:r w:rsidRPr="009374C2">
        <w:rPr>
          <w:sz w:val="24"/>
          <w:szCs w:val="24"/>
        </w:rPr>
        <w:t xml:space="preserve">As well as counterbalancing the </w:t>
      </w:r>
      <w:r w:rsidR="000F5484" w:rsidRPr="009374C2">
        <w:rPr>
          <w:sz w:val="24"/>
          <w:szCs w:val="24"/>
        </w:rPr>
        <w:t xml:space="preserve">market </w:t>
      </w:r>
      <w:r w:rsidR="001E0E3D" w:rsidRPr="009374C2">
        <w:rPr>
          <w:sz w:val="24"/>
          <w:szCs w:val="24"/>
        </w:rPr>
        <w:t xml:space="preserve">therefore, </w:t>
      </w:r>
      <w:r w:rsidR="0094103E" w:rsidRPr="009374C2">
        <w:rPr>
          <w:sz w:val="24"/>
          <w:szCs w:val="24"/>
        </w:rPr>
        <w:t xml:space="preserve">for much of the </w:t>
      </w:r>
      <w:r w:rsidR="00517D44" w:rsidRPr="009374C2">
        <w:rPr>
          <w:sz w:val="24"/>
          <w:szCs w:val="24"/>
        </w:rPr>
        <w:t>20</w:t>
      </w:r>
      <w:r w:rsidR="00517D44" w:rsidRPr="009374C2">
        <w:rPr>
          <w:sz w:val="24"/>
          <w:szCs w:val="24"/>
          <w:vertAlign w:val="superscript"/>
        </w:rPr>
        <w:t>th</w:t>
      </w:r>
      <w:r w:rsidR="00517D44" w:rsidRPr="009374C2">
        <w:rPr>
          <w:sz w:val="24"/>
          <w:szCs w:val="24"/>
        </w:rPr>
        <w:t xml:space="preserve"> </w:t>
      </w:r>
      <w:r w:rsidR="0094103E" w:rsidRPr="009374C2">
        <w:rPr>
          <w:sz w:val="24"/>
          <w:szCs w:val="24"/>
        </w:rPr>
        <w:t xml:space="preserve">Century the public housing sector proved effective at </w:t>
      </w:r>
      <w:r w:rsidR="001E0E3D" w:rsidRPr="009374C2">
        <w:rPr>
          <w:sz w:val="24"/>
          <w:szCs w:val="24"/>
        </w:rPr>
        <w:t xml:space="preserve">withstanding </w:t>
      </w:r>
      <w:r w:rsidR="001E5378" w:rsidRPr="009374C2">
        <w:rPr>
          <w:sz w:val="24"/>
          <w:szCs w:val="24"/>
        </w:rPr>
        <w:t xml:space="preserve">the regular fiscal crises generated by </w:t>
      </w:r>
      <w:r w:rsidR="00C0726B" w:rsidRPr="009374C2">
        <w:rPr>
          <w:sz w:val="24"/>
          <w:szCs w:val="24"/>
        </w:rPr>
        <w:t xml:space="preserve">Ireland’s </w:t>
      </w:r>
      <w:r w:rsidR="00B33AC5" w:rsidRPr="009374C2">
        <w:rPr>
          <w:sz w:val="24"/>
          <w:szCs w:val="24"/>
        </w:rPr>
        <w:t xml:space="preserve">sustained record of </w:t>
      </w:r>
      <w:r w:rsidR="00C0726B" w:rsidRPr="009374C2">
        <w:rPr>
          <w:sz w:val="24"/>
          <w:szCs w:val="24"/>
        </w:rPr>
        <w:t xml:space="preserve">the economic </w:t>
      </w:r>
      <w:r w:rsidR="00B160AD" w:rsidRPr="009374C2">
        <w:rPr>
          <w:sz w:val="24"/>
          <w:szCs w:val="24"/>
        </w:rPr>
        <w:t>underperformance</w:t>
      </w:r>
      <w:r w:rsidR="00C0726B" w:rsidRPr="009374C2">
        <w:rPr>
          <w:sz w:val="24"/>
          <w:szCs w:val="24"/>
        </w:rPr>
        <w:t xml:space="preserve"> (</w:t>
      </w:r>
      <w:r w:rsidR="00025633" w:rsidRPr="009374C2">
        <w:rPr>
          <w:sz w:val="24"/>
          <w:szCs w:val="24"/>
        </w:rPr>
        <w:t>Kennedy, Giblin and McHugh, 1988</w:t>
      </w:r>
      <w:r w:rsidR="00C0726B" w:rsidRPr="009374C2">
        <w:rPr>
          <w:sz w:val="24"/>
          <w:szCs w:val="24"/>
        </w:rPr>
        <w:t xml:space="preserve">).  Notably the other </w:t>
      </w:r>
      <w:r w:rsidR="001E0E3D" w:rsidRPr="009374C2">
        <w:rPr>
          <w:sz w:val="24"/>
          <w:szCs w:val="24"/>
        </w:rPr>
        <w:t xml:space="preserve">elements of the Irish welfare state </w:t>
      </w:r>
      <w:r w:rsidR="00C0726B" w:rsidRPr="009374C2">
        <w:rPr>
          <w:sz w:val="24"/>
          <w:szCs w:val="24"/>
        </w:rPr>
        <w:t xml:space="preserve">did not display similar resilience, as evidenced by the fact that this country did not </w:t>
      </w:r>
      <w:r w:rsidR="001E0E3D" w:rsidRPr="009374C2">
        <w:rPr>
          <w:sz w:val="24"/>
          <w:szCs w:val="24"/>
        </w:rPr>
        <w:t>enjoy the “</w:t>
      </w:r>
      <w:r w:rsidR="00C0726B" w:rsidRPr="009374C2">
        <w:rPr>
          <w:sz w:val="24"/>
          <w:szCs w:val="24"/>
        </w:rPr>
        <w:t>gol</w:t>
      </w:r>
      <w:r w:rsidR="001E0E3D" w:rsidRPr="009374C2">
        <w:rPr>
          <w:sz w:val="24"/>
          <w:szCs w:val="24"/>
        </w:rPr>
        <w:t xml:space="preserve">den age” of </w:t>
      </w:r>
      <w:r w:rsidR="00C0726B" w:rsidRPr="009374C2">
        <w:rPr>
          <w:sz w:val="24"/>
          <w:szCs w:val="24"/>
        </w:rPr>
        <w:t xml:space="preserve">welfare state </w:t>
      </w:r>
      <w:r w:rsidR="001E0E3D" w:rsidRPr="009374C2">
        <w:rPr>
          <w:sz w:val="24"/>
          <w:szCs w:val="24"/>
        </w:rPr>
        <w:t xml:space="preserve">expansion which occurred in other Western European countries in the three decades after World War II </w:t>
      </w:r>
      <w:r w:rsidR="00FA4DAC" w:rsidRPr="009374C2">
        <w:rPr>
          <w:sz w:val="24"/>
          <w:szCs w:val="24"/>
        </w:rPr>
        <w:t xml:space="preserve">and </w:t>
      </w:r>
      <w:r w:rsidR="00C0726B" w:rsidRPr="009374C2">
        <w:rPr>
          <w:sz w:val="24"/>
          <w:szCs w:val="24"/>
        </w:rPr>
        <w:t xml:space="preserve">Irish health and social services in particular remained </w:t>
      </w:r>
      <w:r w:rsidR="00FA4DAC" w:rsidRPr="009374C2">
        <w:rPr>
          <w:sz w:val="24"/>
          <w:szCs w:val="24"/>
        </w:rPr>
        <w:t>very underdeveloped by the standards of neighbo</w:t>
      </w:r>
      <w:r w:rsidR="00C840D2" w:rsidRPr="009374C2">
        <w:rPr>
          <w:sz w:val="24"/>
          <w:szCs w:val="24"/>
        </w:rPr>
        <w:t>uring countries until the 1970s</w:t>
      </w:r>
      <w:r w:rsidR="001E0E3D" w:rsidRPr="009374C2">
        <w:rPr>
          <w:sz w:val="24"/>
          <w:szCs w:val="24"/>
        </w:rPr>
        <w:t xml:space="preserve">.  </w:t>
      </w:r>
      <w:r w:rsidR="00D3373A" w:rsidRPr="009374C2">
        <w:rPr>
          <w:sz w:val="24"/>
          <w:szCs w:val="24"/>
        </w:rPr>
        <w:t>T</w:t>
      </w:r>
      <w:r w:rsidR="00FA4DAC" w:rsidRPr="009374C2">
        <w:rPr>
          <w:sz w:val="24"/>
          <w:szCs w:val="24"/>
        </w:rPr>
        <w:t>he ability of</w:t>
      </w:r>
      <w:r w:rsidR="00B160AD" w:rsidRPr="009374C2">
        <w:rPr>
          <w:sz w:val="24"/>
          <w:szCs w:val="24"/>
        </w:rPr>
        <w:t xml:space="preserve"> public housing to thrive in this</w:t>
      </w:r>
      <w:r w:rsidR="00FA4DAC" w:rsidRPr="009374C2">
        <w:rPr>
          <w:sz w:val="24"/>
          <w:szCs w:val="24"/>
        </w:rPr>
        <w:t xml:space="preserve"> </w:t>
      </w:r>
      <w:r w:rsidR="00C0726B" w:rsidRPr="009374C2">
        <w:rPr>
          <w:sz w:val="24"/>
          <w:szCs w:val="24"/>
        </w:rPr>
        <w:t>inhospitable fiscal</w:t>
      </w:r>
      <w:r w:rsidR="00B33AC5" w:rsidRPr="009374C2">
        <w:rPr>
          <w:sz w:val="24"/>
          <w:szCs w:val="24"/>
        </w:rPr>
        <w:t xml:space="preserve"> and ideological environment (the powerful Catholic Church</w:t>
      </w:r>
      <w:r w:rsidR="00D3373A" w:rsidRPr="009374C2">
        <w:rPr>
          <w:sz w:val="24"/>
          <w:szCs w:val="24"/>
        </w:rPr>
        <w:t>, senior civil servants</w:t>
      </w:r>
      <w:r w:rsidR="00B33AC5" w:rsidRPr="009374C2">
        <w:rPr>
          <w:sz w:val="24"/>
          <w:szCs w:val="24"/>
        </w:rPr>
        <w:t xml:space="preserve"> and a significant proportion of Irish politicians were ideologically opposed to large scale government service provision and the Irish social democratic movement was weak) </w:t>
      </w:r>
      <w:r w:rsidR="00D3373A" w:rsidRPr="009374C2">
        <w:rPr>
          <w:sz w:val="24"/>
          <w:szCs w:val="24"/>
        </w:rPr>
        <w:t xml:space="preserve">as </w:t>
      </w:r>
      <w:r w:rsidR="00B33AC5" w:rsidRPr="009374C2">
        <w:rPr>
          <w:sz w:val="24"/>
          <w:szCs w:val="24"/>
        </w:rPr>
        <w:t xml:space="preserve">related to </w:t>
      </w:r>
      <w:r w:rsidR="00D3373A" w:rsidRPr="009374C2">
        <w:rPr>
          <w:sz w:val="24"/>
          <w:szCs w:val="24"/>
        </w:rPr>
        <w:t xml:space="preserve">its </w:t>
      </w:r>
      <w:r w:rsidR="00B160AD" w:rsidRPr="009374C2">
        <w:rPr>
          <w:sz w:val="24"/>
          <w:szCs w:val="24"/>
        </w:rPr>
        <w:t xml:space="preserve">useful </w:t>
      </w:r>
      <w:r w:rsidR="00D3373A" w:rsidRPr="009374C2">
        <w:rPr>
          <w:sz w:val="24"/>
          <w:szCs w:val="24"/>
        </w:rPr>
        <w:t xml:space="preserve">economic role as described above but also </w:t>
      </w:r>
      <w:r w:rsidR="00B33AC5" w:rsidRPr="009374C2">
        <w:rPr>
          <w:sz w:val="24"/>
          <w:szCs w:val="24"/>
        </w:rPr>
        <w:t>the distinctive arrangements for its supply and funding</w:t>
      </w:r>
      <w:r w:rsidR="00C840D2" w:rsidRPr="009374C2">
        <w:rPr>
          <w:sz w:val="24"/>
          <w:szCs w:val="24"/>
        </w:rPr>
        <w:t xml:space="preserve"> (Powell, 1992)</w:t>
      </w:r>
      <w:r w:rsidR="00B33AC5" w:rsidRPr="009374C2">
        <w:rPr>
          <w:sz w:val="24"/>
          <w:szCs w:val="24"/>
        </w:rPr>
        <w:t>.  From the birth</w:t>
      </w:r>
      <w:r w:rsidR="00D3373A" w:rsidRPr="009374C2">
        <w:rPr>
          <w:sz w:val="24"/>
          <w:szCs w:val="24"/>
        </w:rPr>
        <w:t xml:space="preserve"> </w:t>
      </w:r>
      <w:r w:rsidR="00B33AC5" w:rsidRPr="009374C2">
        <w:rPr>
          <w:sz w:val="24"/>
          <w:szCs w:val="24"/>
        </w:rPr>
        <w:t xml:space="preserve">of the public housing sector until 1960s </w:t>
      </w:r>
      <w:r w:rsidR="00D3373A" w:rsidRPr="009374C2">
        <w:rPr>
          <w:sz w:val="24"/>
          <w:szCs w:val="24"/>
        </w:rPr>
        <w:t xml:space="preserve">this sector was funded by loans raised small local authorities from banks and from </w:t>
      </w:r>
      <w:r w:rsidR="00F809DE" w:rsidRPr="009374C2">
        <w:rPr>
          <w:sz w:val="24"/>
          <w:szCs w:val="24"/>
        </w:rPr>
        <w:t xml:space="preserve">municipal </w:t>
      </w:r>
      <w:r w:rsidR="00D3373A" w:rsidRPr="009374C2">
        <w:rPr>
          <w:sz w:val="24"/>
          <w:szCs w:val="24"/>
        </w:rPr>
        <w:t xml:space="preserve">bonds issued by their larger counterparts, which were repaid by tenants rents which (reflected the cost of housing provision) and also from the proceeds of local property and business taxes called rates.  </w:t>
      </w:r>
      <w:r w:rsidR="00AF75EB" w:rsidRPr="009374C2">
        <w:rPr>
          <w:sz w:val="24"/>
          <w:szCs w:val="24"/>
        </w:rPr>
        <w:t>Th</w:t>
      </w:r>
      <w:r w:rsidR="00D3373A" w:rsidRPr="009374C2">
        <w:rPr>
          <w:sz w:val="24"/>
          <w:szCs w:val="24"/>
        </w:rPr>
        <w:t xml:space="preserve">is </w:t>
      </w:r>
      <w:r w:rsidR="00A57687" w:rsidRPr="009374C2">
        <w:rPr>
          <w:sz w:val="24"/>
          <w:szCs w:val="24"/>
        </w:rPr>
        <w:t>decentralised and partially financhiali</w:t>
      </w:r>
      <w:r w:rsidR="00C840D2" w:rsidRPr="009374C2">
        <w:rPr>
          <w:sz w:val="24"/>
          <w:szCs w:val="24"/>
        </w:rPr>
        <w:t>z</w:t>
      </w:r>
      <w:r w:rsidR="00A57687" w:rsidRPr="009374C2">
        <w:rPr>
          <w:sz w:val="24"/>
          <w:szCs w:val="24"/>
        </w:rPr>
        <w:t xml:space="preserve">ed </w:t>
      </w:r>
      <w:r w:rsidR="00D3373A" w:rsidRPr="009374C2">
        <w:rPr>
          <w:sz w:val="24"/>
          <w:szCs w:val="24"/>
        </w:rPr>
        <w:t xml:space="preserve">funding model placed public outside the direct control of the senior civil servants who were at this time strongly ideologically wedded to a deflationist economic model and fiscal rectitude (Fanning, 1978).  It also meant that high spending on public housing not a major concern for </w:t>
      </w:r>
      <w:r w:rsidR="00B160AD" w:rsidRPr="009374C2">
        <w:rPr>
          <w:sz w:val="24"/>
          <w:szCs w:val="24"/>
        </w:rPr>
        <w:t>conservative</w:t>
      </w:r>
      <w:r w:rsidR="00D3373A" w:rsidRPr="009374C2">
        <w:rPr>
          <w:sz w:val="24"/>
          <w:szCs w:val="24"/>
        </w:rPr>
        <w:t xml:space="preserve"> </w:t>
      </w:r>
      <w:r w:rsidR="00F809DE" w:rsidRPr="009374C2">
        <w:rPr>
          <w:sz w:val="24"/>
          <w:szCs w:val="24"/>
        </w:rPr>
        <w:t xml:space="preserve">politicians and civil servants since, prior to the standardisation of national accounting systems in the late </w:t>
      </w:r>
      <w:r w:rsidR="00517D44" w:rsidRPr="009374C2">
        <w:rPr>
          <w:sz w:val="24"/>
          <w:szCs w:val="24"/>
        </w:rPr>
        <w:t>20</w:t>
      </w:r>
      <w:r w:rsidR="00517D44" w:rsidRPr="009374C2">
        <w:rPr>
          <w:sz w:val="24"/>
          <w:szCs w:val="24"/>
          <w:vertAlign w:val="superscript"/>
        </w:rPr>
        <w:t>th</w:t>
      </w:r>
      <w:r w:rsidR="00517D44" w:rsidRPr="009374C2">
        <w:rPr>
          <w:sz w:val="24"/>
          <w:szCs w:val="24"/>
        </w:rPr>
        <w:t xml:space="preserve"> </w:t>
      </w:r>
      <w:r w:rsidR="00F809DE" w:rsidRPr="009374C2">
        <w:rPr>
          <w:sz w:val="24"/>
          <w:szCs w:val="24"/>
        </w:rPr>
        <w:t xml:space="preserve">Century, local government borrowings were not </w:t>
      </w:r>
      <w:r w:rsidR="00025633" w:rsidRPr="009374C2">
        <w:rPr>
          <w:sz w:val="24"/>
          <w:szCs w:val="24"/>
        </w:rPr>
        <w:t>formally defined as part of the national debt and the public housing system could largely fund itself from the proceeds of rents and rates with minimal recourse to central government funds.  Although this should not be taken to imply that these arrangements were always unproblematic and Daly’s (1997) history of Irish central/local government relations reveals regular conflict betwee</w:t>
      </w:r>
      <w:r w:rsidR="00B160AD" w:rsidRPr="009374C2">
        <w:rPr>
          <w:sz w:val="24"/>
          <w:szCs w:val="24"/>
        </w:rPr>
        <w:t>n</w:t>
      </w:r>
      <w:r w:rsidR="00025633" w:rsidRPr="009374C2">
        <w:rPr>
          <w:sz w:val="24"/>
          <w:szCs w:val="24"/>
        </w:rPr>
        <w:t xml:space="preserve"> the housing ministry and the municipality responsible for Dublin (Ireland’s largest city where slum housing was most widespread) </w:t>
      </w:r>
      <w:r w:rsidR="00B160AD" w:rsidRPr="009374C2">
        <w:rPr>
          <w:sz w:val="24"/>
          <w:szCs w:val="24"/>
        </w:rPr>
        <w:t>over borrowing for house building which reached such high rates that the municipality’s solvency at times open to question and it regularly failed to attract buyers for its bond issues.</w:t>
      </w:r>
    </w:p>
    <w:p w14:paraId="0A3AD71C" w14:textId="77777777" w:rsidR="00D3373A" w:rsidRPr="009374C2" w:rsidRDefault="00D3373A" w:rsidP="00B160AD">
      <w:pPr>
        <w:spacing w:after="0" w:line="480" w:lineRule="auto"/>
        <w:ind w:firstLine="284"/>
        <w:rPr>
          <w:sz w:val="24"/>
          <w:szCs w:val="24"/>
        </w:rPr>
      </w:pPr>
    </w:p>
    <w:p w14:paraId="7072CF51" w14:textId="00D1CB76" w:rsidR="00E92106" w:rsidRPr="009374C2" w:rsidRDefault="00E92106" w:rsidP="00B160AD">
      <w:pPr>
        <w:spacing w:after="0" w:line="480" w:lineRule="auto"/>
        <w:rPr>
          <w:b/>
          <w:i/>
          <w:sz w:val="24"/>
          <w:szCs w:val="24"/>
        </w:rPr>
      </w:pPr>
      <w:r w:rsidRPr="009374C2">
        <w:rPr>
          <w:b/>
          <w:i/>
          <w:sz w:val="24"/>
          <w:szCs w:val="24"/>
        </w:rPr>
        <w:t>Transforming the Relationship Between Public Housing and the Housing Market</w:t>
      </w:r>
    </w:p>
    <w:p w14:paraId="4112BB3E" w14:textId="033140D0" w:rsidR="00B160AD" w:rsidRPr="009374C2" w:rsidRDefault="00B160AD" w:rsidP="002F1004">
      <w:pPr>
        <w:spacing w:after="0" w:line="480" w:lineRule="auto"/>
        <w:ind w:firstLine="567"/>
        <w:rPr>
          <w:sz w:val="24"/>
          <w:szCs w:val="24"/>
        </w:rPr>
      </w:pPr>
      <w:r w:rsidRPr="009374C2">
        <w:rPr>
          <w:sz w:val="24"/>
          <w:szCs w:val="24"/>
        </w:rPr>
        <w:t xml:space="preserve">From the late 1950s these arrangements for financing public housing </w:t>
      </w:r>
      <w:r w:rsidR="002A715C" w:rsidRPr="009374C2">
        <w:rPr>
          <w:sz w:val="24"/>
          <w:szCs w:val="24"/>
        </w:rPr>
        <w:t>come under growing strain</w:t>
      </w:r>
      <w:r w:rsidR="00D85747" w:rsidRPr="009374C2">
        <w:rPr>
          <w:sz w:val="24"/>
          <w:szCs w:val="24"/>
        </w:rPr>
        <w:t xml:space="preserve"> </w:t>
      </w:r>
      <w:r w:rsidR="00274B7C" w:rsidRPr="009374C2">
        <w:rPr>
          <w:sz w:val="24"/>
          <w:szCs w:val="24"/>
        </w:rPr>
        <w:t>which</w:t>
      </w:r>
      <w:r w:rsidR="00D85747" w:rsidRPr="009374C2">
        <w:rPr>
          <w:sz w:val="24"/>
          <w:szCs w:val="24"/>
        </w:rPr>
        <w:t xml:space="preserve"> resulted in a slow </w:t>
      </w:r>
      <w:r w:rsidR="000F5E46" w:rsidRPr="009374C2">
        <w:rPr>
          <w:sz w:val="24"/>
          <w:szCs w:val="24"/>
        </w:rPr>
        <w:t xml:space="preserve">process </w:t>
      </w:r>
      <w:r w:rsidR="00D85747" w:rsidRPr="009374C2">
        <w:rPr>
          <w:sz w:val="24"/>
          <w:szCs w:val="24"/>
        </w:rPr>
        <w:t xml:space="preserve">of centralisation and also nationalisation </w:t>
      </w:r>
      <w:r w:rsidR="00517D44" w:rsidRPr="009374C2">
        <w:rPr>
          <w:sz w:val="24"/>
          <w:szCs w:val="24"/>
        </w:rPr>
        <w:t>or of</w:t>
      </w:r>
      <w:r w:rsidR="00D85747" w:rsidRPr="009374C2">
        <w:rPr>
          <w:sz w:val="24"/>
          <w:szCs w:val="24"/>
        </w:rPr>
        <w:t xml:space="preserve"> funding for this service.  At the heart of this process was the erosion of </w:t>
      </w:r>
      <w:r w:rsidR="009A52AC" w:rsidRPr="009374C2">
        <w:rPr>
          <w:sz w:val="24"/>
          <w:szCs w:val="24"/>
        </w:rPr>
        <w:t>the</w:t>
      </w:r>
      <w:r w:rsidR="00D85747" w:rsidRPr="009374C2">
        <w:rPr>
          <w:sz w:val="24"/>
          <w:szCs w:val="24"/>
        </w:rPr>
        <w:t xml:space="preserve"> local government revenues used to finance the loans </w:t>
      </w:r>
      <w:r w:rsidR="002F1004" w:rsidRPr="009374C2">
        <w:rPr>
          <w:sz w:val="24"/>
          <w:szCs w:val="24"/>
        </w:rPr>
        <w:t xml:space="preserve">which paid for </w:t>
      </w:r>
      <w:r w:rsidR="00D85747" w:rsidRPr="009374C2">
        <w:rPr>
          <w:sz w:val="24"/>
          <w:szCs w:val="24"/>
        </w:rPr>
        <w:t>new public housing developments.  This was initially evident in rent setting, when the municipality responsible for Ireland’s second city of Cork decoupled rents from the cost of debt servicing in the 1930s and</w:t>
      </w:r>
      <w:r w:rsidR="002F1004" w:rsidRPr="009374C2">
        <w:rPr>
          <w:sz w:val="24"/>
          <w:szCs w:val="24"/>
        </w:rPr>
        <w:t>,</w:t>
      </w:r>
      <w:r w:rsidR="00D85747" w:rsidRPr="009374C2">
        <w:rPr>
          <w:sz w:val="24"/>
          <w:szCs w:val="24"/>
        </w:rPr>
        <w:t xml:space="preserve"> in an effort to combat poverty</w:t>
      </w:r>
      <w:r w:rsidR="009A52AC" w:rsidRPr="009374C2">
        <w:rPr>
          <w:sz w:val="24"/>
          <w:szCs w:val="24"/>
        </w:rPr>
        <w:t>,</w:t>
      </w:r>
      <w:r w:rsidR="00D85747" w:rsidRPr="009374C2">
        <w:rPr>
          <w:sz w:val="24"/>
          <w:szCs w:val="24"/>
        </w:rPr>
        <w:t xml:space="preserve"> linked them instead to tenants incomes.  </w:t>
      </w:r>
      <w:r w:rsidR="002A715C" w:rsidRPr="009374C2">
        <w:rPr>
          <w:sz w:val="24"/>
          <w:szCs w:val="24"/>
        </w:rPr>
        <w:t>This system</w:t>
      </w:r>
      <w:r w:rsidR="00D85747" w:rsidRPr="009374C2">
        <w:rPr>
          <w:sz w:val="24"/>
          <w:szCs w:val="24"/>
        </w:rPr>
        <w:t xml:space="preserve"> slowly spread nationwide (propelled by campaigns and rent strikes organised by tenants</w:t>
      </w:r>
      <w:r w:rsidR="002F1004" w:rsidRPr="009374C2">
        <w:rPr>
          <w:sz w:val="24"/>
          <w:szCs w:val="24"/>
        </w:rPr>
        <w:t>’ representatives</w:t>
      </w:r>
      <w:r w:rsidR="00D85747" w:rsidRPr="009374C2">
        <w:rPr>
          <w:sz w:val="24"/>
          <w:szCs w:val="24"/>
        </w:rPr>
        <w:t xml:space="preserve">) and </w:t>
      </w:r>
      <w:r w:rsidR="00274B7C" w:rsidRPr="009374C2">
        <w:rPr>
          <w:sz w:val="24"/>
          <w:szCs w:val="24"/>
        </w:rPr>
        <w:t>legislation introduced in the mid-</w:t>
      </w:r>
      <w:r w:rsidR="00D85747" w:rsidRPr="009374C2">
        <w:rPr>
          <w:sz w:val="24"/>
          <w:szCs w:val="24"/>
        </w:rPr>
        <w:t xml:space="preserve">1960s </w:t>
      </w:r>
      <w:r w:rsidR="00274B7C" w:rsidRPr="009374C2">
        <w:rPr>
          <w:sz w:val="24"/>
          <w:szCs w:val="24"/>
        </w:rPr>
        <w:t>forced all local authorities to link rents to tenants’ incomes</w:t>
      </w:r>
      <w:r w:rsidR="009A52AC" w:rsidRPr="009374C2">
        <w:rPr>
          <w:sz w:val="24"/>
          <w:szCs w:val="24"/>
        </w:rPr>
        <w:t xml:space="preserve"> (O’Connell, 2007)</w:t>
      </w:r>
      <w:r w:rsidR="00274B7C" w:rsidRPr="009374C2">
        <w:rPr>
          <w:sz w:val="24"/>
          <w:szCs w:val="24"/>
        </w:rPr>
        <w:t>.  Local a</w:t>
      </w:r>
      <w:r w:rsidR="00A57687" w:rsidRPr="009374C2">
        <w:rPr>
          <w:sz w:val="24"/>
          <w:szCs w:val="24"/>
        </w:rPr>
        <w:t>uthorities’ income was further reduced</w:t>
      </w:r>
      <w:r w:rsidR="00274B7C" w:rsidRPr="009374C2">
        <w:rPr>
          <w:sz w:val="24"/>
          <w:szCs w:val="24"/>
        </w:rPr>
        <w:t xml:space="preserve"> by campaigns against rates which resulted in exemptions for certain categories of the population (notabl</w:t>
      </w:r>
      <w:r w:rsidR="002F1004" w:rsidRPr="009374C2">
        <w:rPr>
          <w:sz w:val="24"/>
          <w:szCs w:val="24"/>
        </w:rPr>
        <w:t>y</w:t>
      </w:r>
      <w:r w:rsidR="00274B7C" w:rsidRPr="009374C2">
        <w:rPr>
          <w:sz w:val="24"/>
          <w:szCs w:val="24"/>
        </w:rPr>
        <w:t xml:space="preserve"> farmers and recent home buyers).  </w:t>
      </w:r>
      <w:r w:rsidR="002F1004" w:rsidRPr="009374C2">
        <w:rPr>
          <w:sz w:val="24"/>
          <w:szCs w:val="24"/>
        </w:rPr>
        <w:t>Th</w:t>
      </w:r>
      <w:r w:rsidR="002A715C" w:rsidRPr="009374C2">
        <w:rPr>
          <w:sz w:val="24"/>
          <w:szCs w:val="24"/>
        </w:rPr>
        <w:t xml:space="preserve">is </w:t>
      </w:r>
      <w:r w:rsidR="002F1004" w:rsidRPr="009374C2">
        <w:rPr>
          <w:sz w:val="24"/>
          <w:szCs w:val="24"/>
        </w:rPr>
        <w:t xml:space="preserve">undermined </w:t>
      </w:r>
      <w:r w:rsidR="002A715C" w:rsidRPr="009374C2">
        <w:rPr>
          <w:sz w:val="24"/>
          <w:szCs w:val="24"/>
        </w:rPr>
        <w:t xml:space="preserve">local authorities’ </w:t>
      </w:r>
      <w:r w:rsidR="002F1004" w:rsidRPr="009374C2">
        <w:rPr>
          <w:sz w:val="24"/>
          <w:szCs w:val="24"/>
        </w:rPr>
        <w:t xml:space="preserve">credit worthiness </w:t>
      </w:r>
      <w:r w:rsidR="002A715C" w:rsidRPr="009374C2">
        <w:rPr>
          <w:sz w:val="24"/>
          <w:szCs w:val="24"/>
        </w:rPr>
        <w:t xml:space="preserve">which </w:t>
      </w:r>
      <w:r w:rsidR="002F1004" w:rsidRPr="009374C2">
        <w:rPr>
          <w:sz w:val="24"/>
          <w:szCs w:val="24"/>
        </w:rPr>
        <w:t>faced difficulties raising loans  and central government was forced to take over responsibility for borrowing for public housing on behalf of small local authorities in the late 1930s and on behalf of large local authorities in the late 1950s</w:t>
      </w:r>
      <w:r w:rsidR="009A52AC" w:rsidRPr="009374C2">
        <w:rPr>
          <w:sz w:val="24"/>
          <w:szCs w:val="24"/>
        </w:rPr>
        <w:t xml:space="preserve"> (Daly, 1997)</w:t>
      </w:r>
      <w:r w:rsidR="002F1004" w:rsidRPr="009374C2">
        <w:rPr>
          <w:sz w:val="24"/>
          <w:szCs w:val="24"/>
        </w:rPr>
        <w:t>.  In addition</w:t>
      </w:r>
      <w:r w:rsidR="00517D44" w:rsidRPr="009374C2">
        <w:rPr>
          <w:sz w:val="24"/>
          <w:szCs w:val="24"/>
        </w:rPr>
        <w:t>,</w:t>
      </w:r>
      <w:r w:rsidR="002F1004" w:rsidRPr="009374C2">
        <w:rPr>
          <w:sz w:val="24"/>
          <w:szCs w:val="24"/>
        </w:rPr>
        <w:t xml:space="preserve"> central government </w:t>
      </w:r>
      <w:r w:rsidR="00C840D2" w:rsidRPr="009374C2">
        <w:rPr>
          <w:sz w:val="24"/>
          <w:szCs w:val="24"/>
        </w:rPr>
        <w:t xml:space="preserve">was forced to </w:t>
      </w:r>
      <w:r w:rsidR="002A715C" w:rsidRPr="009374C2">
        <w:rPr>
          <w:sz w:val="24"/>
          <w:szCs w:val="24"/>
        </w:rPr>
        <w:t xml:space="preserve">incrementally increased its subsidies for </w:t>
      </w:r>
      <w:r w:rsidR="00C840D2" w:rsidRPr="009374C2">
        <w:rPr>
          <w:sz w:val="24"/>
          <w:szCs w:val="24"/>
        </w:rPr>
        <w:t xml:space="preserve">the interest payable on </w:t>
      </w:r>
      <w:r w:rsidR="002A715C" w:rsidRPr="009374C2">
        <w:rPr>
          <w:sz w:val="24"/>
          <w:szCs w:val="24"/>
        </w:rPr>
        <w:t xml:space="preserve">public housing </w:t>
      </w:r>
      <w:r w:rsidR="00C840D2" w:rsidRPr="009374C2">
        <w:rPr>
          <w:sz w:val="24"/>
          <w:szCs w:val="24"/>
        </w:rPr>
        <w:t xml:space="preserve">developments until it </w:t>
      </w:r>
      <w:r w:rsidR="002E10A6" w:rsidRPr="009374C2">
        <w:rPr>
          <w:sz w:val="24"/>
          <w:szCs w:val="24"/>
        </w:rPr>
        <w:t xml:space="preserve">covered 100% </w:t>
      </w:r>
      <w:r w:rsidR="002A715C" w:rsidRPr="009374C2">
        <w:rPr>
          <w:sz w:val="24"/>
          <w:szCs w:val="24"/>
        </w:rPr>
        <w:t>of interest payments</w:t>
      </w:r>
      <w:r w:rsidR="00C840D2" w:rsidRPr="009374C2">
        <w:rPr>
          <w:sz w:val="24"/>
          <w:szCs w:val="24"/>
        </w:rPr>
        <w:t xml:space="preserve"> (O’Connell, 2007)</w:t>
      </w:r>
      <w:r w:rsidR="002A715C" w:rsidRPr="009374C2">
        <w:rPr>
          <w:sz w:val="24"/>
          <w:szCs w:val="24"/>
        </w:rPr>
        <w:t>.</w:t>
      </w:r>
    </w:p>
    <w:p w14:paraId="4232E398" w14:textId="77777777" w:rsidR="00614DE0" w:rsidRPr="009374C2" w:rsidRDefault="009D62EF" w:rsidP="002F1004">
      <w:pPr>
        <w:spacing w:after="0" w:line="480" w:lineRule="auto"/>
        <w:ind w:firstLine="567"/>
        <w:rPr>
          <w:sz w:val="24"/>
          <w:szCs w:val="24"/>
        </w:rPr>
      </w:pPr>
      <w:r w:rsidRPr="009374C2">
        <w:rPr>
          <w:sz w:val="24"/>
          <w:szCs w:val="24"/>
        </w:rPr>
        <w:t xml:space="preserve">This slowly escalating </w:t>
      </w:r>
      <w:r w:rsidR="00997C11" w:rsidRPr="009374C2">
        <w:rPr>
          <w:sz w:val="24"/>
          <w:szCs w:val="24"/>
        </w:rPr>
        <w:t xml:space="preserve">funding </w:t>
      </w:r>
      <w:r w:rsidRPr="009374C2">
        <w:rPr>
          <w:sz w:val="24"/>
          <w:szCs w:val="24"/>
        </w:rPr>
        <w:t xml:space="preserve">crisis </w:t>
      </w:r>
      <w:r w:rsidR="00997C11" w:rsidRPr="009374C2">
        <w:rPr>
          <w:sz w:val="24"/>
          <w:szCs w:val="24"/>
        </w:rPr>
        <w:t>came to</w:t>
      </w:r>
      <w:r w:rsidRPr="009374C2">
        <w:rPr>
          <w:sz w:val="24"/>
          <w:szCs w:val="24"/>
        </w:rPr>
        <w:t xml:space="preserve"> a head in the late 1970s</w:t>
      </w:r>
      <w:r w:rsidR="008E4E24" w:rsidRPr="009374C2">
        <w:rPr>
          <w:sz w:val="24"/>
          <w:szCs w:val="24"/>
        </w:rPr>
        <w:t xml:space="preserve"> as a result of the d</w:t>
      </w:r>
      <w:r w:rsidRPr="009374C2">
        <w:rPr>
          <w:sz w:val="24"/>
          <w:szCs w:val="24"/>
        </w:rPr>
        <w:t>ecision to abolish rates on foot of promises made in the 1977 general election</w:t>
      </w:r>
      <w:r w:rsidR="008E4E24" w:rsidRPr="009374C2">
        <w:rPr>
          <w:sz w:val="24"/>
          <w:szCs w:val="24"/>
        </w:rPr>
        <w:t xml:space="preserve"> and the lengthy recession Ireland entered in the late 1970s and </w:t>
      </w:r>
      <w:r w:rsidR="00614DE0" w:rsidRPr="009374C2">
        <w:rPr>
          <w:sz w:val="24"/>
          <w:szCs w:val="24"/>
        </w:rPr>
        <w:t>from which it had still not recovered</w:t>
      </w:r>
      <w:r w:rsidR="008E4E24" w:rsidRPr="009374C2">
        <w:rPr>
          <w:sz w:val="24"/>
          <w:szCs w:val="24"/>
        </w:rPr>
        <w:t xml:space="preserve"> by the mid-1980s.  The former </w:t>
      </w:r>
      <w:r w:rsidR="0024311E" w:rsidRPr="009374C2">
        <w:rPr>
          <w:sz w:val="24"/>
          <w:szCs w:val="24"/>
        </w:rPr>
        <w:t>development</w:t>
      </w:r>
      <w:r w:rsidR="008E4E24" w:rsidRPr="009374C2">
        <w:rPr>
          <w:sz w:val="24"/>
          <w:szCs w:val="24"/>
        </w:rPr>
        <w:t xml:space="preserve"> </w:t>
      </w:r>
      <w:r w:rsidR="00997C11" w:rsidRPr="009374C2">
        <w:rPr>
          <w:sz w:val="24"/>
          <w:szCs w:val="24"/>
        </w:rPr>
        <w:t xml:space="preserve">removed </w:t>
      </w:r>
      <w:r w:rsidRPr="009374C2">
        <w:rPr>
          <w:sz w:val="24"/>
          <w:szCs w:val="24"/>
        </w:rPr>
        <w:t xml:space="preserve">the last source of local finance for </w:t>
      </w:r>
      <w:r w:rsidR="00997C11" w:rsidRPr="009374C2">
        <w:rPr>
          <w:sz w:val="24"/>
          <w:szCs w:val="24"/>
        </w:rPr>
        <w:t xml:space="preserve">public </w:t>
      </w:r>
      <w:r w:rsidRPr="009374C2">
        <w:rPr>
          <w:sz w:val="24"/>
          <w:szCs w:val="24"/>
        </w:rPr>
        <w:t xml:space="preserve">housing and meant that central government </w:t>
      </w:r>
      <w:r w:rsidR="00997C11" w:rsidRPr="009374C2">
        <w:rPr>
          <w:sz w:val="24"/>
          <w:szCs w:val="24"/>
        </w:rPr>
        <w:t>had to take responsibility for providing all funding for the sector</w:t>
      </w:r>
      <w:r w:rsidR="0024311E" w:rsidRPr="009374C2">
        <w:rPr>
          <w:sz w:val="24"/>
          <w:szCs w:val="24"/>
        </w:rPr>
        <w:t>; the latter created marked difficulties for sustaining this spending</w:t>
      </w:r>
      <w:r w:rsidR="00997C11" w:rsidRPr="009374C2">
        <w:rPr>
          <w:sz w:val="24"/>
          <w:szCs w:val="24"/>
        </w:rPr>
        <w:t xml:space="preserve">. </w:t>
      </w:r>
      <w:r w:rsidR="0024311E" w:rsidRPr="009374C2">
        <w:rPr>
          <w:sz w:val="24"/>
          <w:szCs w:val="24"/>
        </w:rPr>
        <w:t>I</w:t>
      </w:r>
      <w:r w:rsidR="00603363" w:rsidRPr="009374C2">
        <w:rPr>
          <w:sz w:val="24"/>
          <w:szCs w:val="24"/>
        </w:rPr>
        <w:t xml:space="preserve">n 1987 the government announced that the system of borrowing for public house building would be abolished and in future the sector would be funded </w:t>
      </w:r>
      <w:r w:rsidR="002C6AF3" w:rsidRPr="009374C2">
        <w:rPr>
          <w:sz w:val="24"/>
          <w:szCs w:val="24"/>
        </w:rPr>
        <w:t>by</w:t>
      </w:r>
      <w:r w:rsidR="00603363" w:rsidRPr="009374C2">
        <w:rPr>
          <w:sz w:val="24"/>
          <w:szCs w:val="24"/>
        </w:rPr>
        <w:t xml:space="preserve"> central </w:t>
      </w:r>
      <w:r w:rsidR="002C6AF3" w:rsidRPr="009374C2">
        <w:rPr>
          <w:sz w:val="24"/>
          <w:szCs w:val="24"/>
        </w:rPr>
        <w:t>grants (Norris, 2014).</w:t>
      </w:r>
      <w:r w:rsidR="00603363" w:rsidRPr="009374C2">
        <w:rPr>
          <w:sz w:val="24"/>
          <w:szCs w:val="24"/>
        </w:rPr>
        <w:t xml:space="preserve">  </w:t>
      </w:r>
    </w:p>
    <w:p w14:paraId="45D43349" w14:textId="1413CB8B" w:rsidR="00CB7AFD" w:rsidRPr="009374C2" w:rsidRDefault="002C6AF3" w:rsidP="00614DE0">
      <w:pPr>
        <w:spacing w:after="0" w:line="480" w:lineRule="auto"/>
        <w:ind w:firstLine="720"/>
        <w:rPr>
          <w:sz w:val="24"/>
          <w:szCs w:val="24"/>
        </w:rPr>
      </w:pPr>
      <w:r w:rsidRPr="009374C2">
        <w:rPr>
          <w:sz w:val="24"/>
          <w:szCs w:val="24"/>
        </w:rPr>
        <w:t xml:space="preserve">Although as mentioned above there is evidence the deregulation of the Irish banking sector was driven by neo liberalising instincts, </w:t>
      </w:r>
      <w:r w:rsidR="00CB7AFD" w:rsidRPr="009374C2">
        <w:rPr>
          <w:color w:val="000000" w:themeColor="text1"/>
          <w:sz w:val="24"/>
          <w:szCs w:val="24"/>
        </w:rPr>
        <w:t xml:space="preserve">public housing </w:t>
      </w:r>
      <w:r w:rsidRPr="009374C2">
        <w:rPr>
          <w:color w:val="000000" w:themeColor="text1"/>
          <w:sz w:val="24"/>
          <w:szCs w:val="24"/>
        </w:rPr>
        <w:t xml:space="preserve">in this country </w:t>
      </w:r>
      <w:r w:rsidR="00CB7AFD" w:rsidRPr="009374C2">
        <w:rPr>
          <w:color w:val="000000" w:themeColor="text1"/>
          <w:sz w:val="24"/>
          <w:szCs w:val="24"/>
        </w:rPr>
        <w:t>did not suffer a strong ideological backlash, certainly in comparison with that led by Margaret Thatcher’s governments in the UK at this time</w:t>
      </w:r>
      <w:r w:rsidR="00614DE0" w:rsidRPr="009374C2">
        <w:rPr>
          <w:color w:val="000000" w:themeColor="text1"/>
          <w:sz w:val="24"/>
          <w:szCs w:val="24"/>
        </w:rPr>
        <w:t>.  I</w:t>
      </w:r>
      <w:r w:rsidR="00F20CED" w:rsidRPr="009374C2">
        <w:rPr>
          <w:color w:val="000000" w:themeColor="text1"/>
          <w:sz w:val="24"/>
          <w:szCs w:val="24"/>
        </w:rPr>
        <w:t>ndeed</w:t>
      </w:r>
      <w:r w:rsidR="004154D2" w:rsidRPr="009374C2">
        <w:rPr>
          <w:color w:val="000000" w:themeColor="text1"/>
          <w:sz w:val="24"/>
          <w:szCs w:val="24"/>
        </w:rPr>
        <w:t>,</w:t>
      </w:r>
      <w:r w:rsidR="00F20CED" w:rsidRPr="009374C2">
        <w:rPr>
          <w:color w:val="000000" w:themeColor="text1"/>
          <w:sz w:val="24"/>
          <w:szCs w:val="24"/>
        </w:rPr>
        <w:t xml:space="preserve"> it retained at least the ostensive support of politicians</w:t>
      </w:r>
      <w:r w:rsidR="004154D2" w:rsidRPr="009374C2">
        <w:rPr>
          <w:color w:val="000000" w:themeColor="text1"/>
          <w:sz w:val="24"/>
          <w:szCs w:val="24"/>
        </w:rPr>
        <w:t xml:space="preserve">.  Rather than ideological drivers the spending </w:t>
      </w:r>
      <w:r w:rsidR="00F20CED" w:rsidRPr="009374C2">
        <w:rPr>
          <w:color w:val="000000" w:themeColor="text1"/>
          <w:sz w:val="24"/>
          <w:szCs w:val="24"/>
        </w:rPr>
        <w:t xml:space="preserve">reforms were driven </w:t>
      </w:r>
      <w:r w:rsidR="00CB7AFD" w:rsidRPr="009374C2">
        <w:rPr>
          <w:color w:val="000000" w:themeColor="text1"/>
          <w:sz w:val="24"/>
          <w:szCs w:val="24"/>
        </w:rPr>
        <w:t>a consensus among most Irish political parties that public spending needed to be cut</w:t>
      </w:r>
      <w:r w:rsidR="00F20CED" w:rsidRPr="009374C2">
        <w:rPr>
          <w:color w:val="000000" w:themeColor="text1"/>
          <w:sz w:val="24"/>
          <w:szCs w:val="24"/>
        </w:rPr>
        <w:t xml:space="preserve"> which was inspired by evidence that the country would otherwise soon unable to borrow; a feeling that taxes could be raised no further which was inspired by mass tax justice marches </w:t>
      </w:r>
      <w:r w:rsidR="00DB2E87" w:rsidRPr="009374C2">
        <w:rPr>
          <w:color w:val="000000" w:themeColor="text1"/>
          <w:sz w:val="24"/>
          <w:szCs w:val="24"/>
        </w:rPr>
        <w:t xml:space="preserve">in the late 1970s </w:t>
      </w:r>
      <w:r w:rsidR="00F20CED" w:rsidRPr="009374C2">
        <w:rPr>
          <w:color w:val="000000" w:themeColor="text1"/>
          <w:sz w:val="24"/>
          <w:szCs w:val="24"/>
        </w:rPr>
        <w:t>and the prioritisation of o</w:t>
      </w:r>
      <w:r w:rsidR="00CB7AFD" w:rsidRPr="009374C2">
        <w:rPr>
          <w:color w:val="000000" w:themeColor="text1"/>
          <w:sz w:val="24"/>
          <w:szCs w:val="24"/>
        </w:rPr>
        <w:t xml:space="preserve">ther areas of </w:t>
      </w:r>
      <w:r w:rsidR="00DB2E87" w:rsidRPr="009374C2">
        <w:rPr>
          <w:color w:val="000000" w:themeColor="text1"/>
          <w:sz w:val="24"/>
          <w:szCs w:val="24"/>
        </w:rPr>
        <w:t xml:space="preserve">public </w:t>
      </w:r>
      <w:r w:rsidR="00CB7AFD" w:rsidRPr="009374C2">
        <w:rPr>
          <w:color w:val="000000" w:themeColor="text1"/>
          <w:sz w:val="24"/>
          <w:szCs w:val="24"/>
        </w:rPr>
        <w:t xml:space="preserve">spending such as </w:t>
      </w:r>
      <w:r w:rsidR="00CB7AFD" w:rsidRPr="009374C2">
        <w:rPr>
          <w:sz w:val="24"/>
          <w:szCs w:val="24"/>
        </w:rPr>
        <w:t>social security</w:t>
      </w:r>
      <w:r w:rsidR="00F20CED" w:rsidRPr="009374C2">
        <w:rPr>
          <w:sz w:val="24"/>
          <w:szCs w:val="24"/>
        </w:rPr>
        <w:t xml:space="preserve"> and education </w:t>
      </w:r>
      <w:r w:rsidR="00CB7AFD" w:rsidRPr="009374C2">
        <w:rPr>
          <w:sz w:val="24"/>
          <w:szCs w:val="24"/>
        </w:rPr>
        <w:t>by politici</w:t>
      </w:r>
      <w:r w:rsidR="00F20CED" w:rsidRPr="009374C2">
        <w:rPr>
          <w:sz w:val="24"/>
          <w:szCs w:val="24"/>
        </w:rPr>
        <w:t>ans and voters (Honohan, 1992).</w:t>
      </w:r>
    </w:p>
    <w:p w14:paraId="5E4EBFE4" w14:textId="2AFECC9A" w:rsidR="00F20CED" w:rsidRPr="009374C2" w:rsidRDefault="00DB2E87" w:rsidP="00DB2BA1">
      <w:pPr>
        <w:spacing w:after="240" w:line="480" w:lineRule="auto"/>
        <w:ind w:firstLine="288"/>
        <w:rPr>
          <w:sz w:val="24"/>
          <w:szCs w:val="24"/>
        </w:rPr>
      </w:pPr>
      <w:r w:rsidRPr="009374C2">
        <w:rPr>
          <w:sz w:val="24"/>
          <w:szCs w:val="24"/>
        </w:rPr>
        <w:t>Two other concurrent changes in the regulation and funding of private rented housing</w:t>
      </w:r>
      <w:r w:rsidR="00614DE0" w:rsidRPr="009374C2">
        <w:rPr>
          <w:sz w:val="24"/>
          <w:szCs w:val="24"/>
        </w:rPr>
        <w:t xml:space="preserve"> introduced at this time </w:t>
      </w:r>
      <w:r w:rsidRPr="009374C2">
        <w:rPr>
          <w:sz w:val="24"/>
          <w:szCs w:val="24"/>
        </w:rPr>
        <w:t xml:space="preserve">would have a strong impact on the </w:t>
      </w:r>
      <w:r w:rsidR="00B760C5" w:rsidRPr="009374C2">
        <w:rPr>
          <w:sz w:val="24"/>
          <w:szCs w:val="24"/>
        </w:rPr>
        <w:t xml:space="preserve">future of public housing in Ireland.  The first was the </w:t>
      </w:r>
      <w:r w:rsidR="006662EA" w:rsidRPr="009374C2">
        <w:rPr>
          <w:sz w:val="24"/>
          <w:szCs w:val="24"/>
        </w:rPr>
        <w:t>introduction of public subsidy</w:t>
      </w:r>
      <w:r w:rsidR="00B760C5" w:rsidRPr="009374C2">
        <w:rPr>
          <w:sz w:val="24"/>
          <w:szCs w:val="24"/>
        </w:rPr>
        <w:t xml:space="preserve"> towards the rents of unemployed private tenants in 1978.  Called Rent </w:t>
      </w:r>
      <w:r w:rsidR="006662EA" w:rsidRPr="009374C2">
        <w:rPr>
          <w:sz w:val="24"/>
          <w:szCs w:val="24"/>
        </w:rPr>
        <w:t>Supplement this</w:t>
      </w:r>
      <w:r w:rsidR="00B760C5" w:rsidRPr="009374C2">
        <w:rPr>
          <w:sz w:val="24"/>
          <w:szCs w:val="24"/>
        </w:rPr>
        <w:t xml:space="preserve"> were introduced as part of a wider programme of modernising the social security system </w:t>
      </w:r>
      <w:r w:rsidR="00C61430" w:rsidRPr="009374C2">
        <w:rPr>
          <w:sz w:val="24"/>
          <w:szCs w:val="24"/>
        </w:rPr>
        <w:t>rather than any considered attempt to reform supports for the private rented tenure</w:t>
      </w:r>
      <w:r w:rsidR="006E4CD8" w:rsidRPr="009374C2">
        <w:rPr>
          <w:sz w:val="24"/>
          <w:szCs w:val="24"/>
        </w:rPr>
        <w:t xml:space="preserve">.  Eligibility was limited to benefit dependant private renting households and </w:t>
      </w:r>
      <w:r w:rsidR="00C61430" w:rsidRPr="009374C2">
        <w:rPr>
          <w:sz w:val="24"/>
          <w:szCs w:val="24"/>
        </w:rPr>
        <w:t>take</w:t>
      </w:r>
      <w:r w:rsidR="00614DE0" w:rsidRPr="009374C2">
        <w:rPr>
          <w:sz w:val="24"/>
          <w:szCs w:val="24"/>
        </w:rPr>
        <w:t>-</w:t>
      </w:r>
      <w:r w:rsidR="00C61430" w:rsidRPr="009374C2">
        <w:rPr>
          <w:sz w:val="24"/>
          <w:szCs w:val="24"/>
        </w:rPr>
        <w:t xml:space="preserve">up of was initially very low.  Also in 1982 </w:t>
      </w:r>
      <w:r w:rsidR="004154D2" w:rsidRPr="009374C2">
        <w:rPr>
          <w:sz w:val="24"/>
          <w:szCs w:val="24"/>
        </w:rPr>
        <w:t xml:space="preserve">the longstanding </w:t>
      </w:r>
      <w:r w:rsidR="00613A2E" w:rsidRPr="009374C2">
        <w:rPr>
          <w:sz w:val="24"/>
          <w:szCs w:val="24"/>
        </w:rPr>
        <w:t>private rent controls were abolished again not as part of a planned series of housing policy reforms but rather as a result of a court judgement which found rent control incompatible with the private property protections in the Irish constitution (</w:t>
      </w:r>
      <w:r w:rsidR="00614DE0" w:rsidRPr="009374C2">
        <w:rPr>
          <w:sz w:val="24"/>
          <w:szCs w:val="24"/>
        </w:rPr>
        <w:t>Kenna, 2011</w:t>
      </w:r>
      <w:r w:rsidR="00613A2E" w:rsidRPr="009374C2">
        <w:rPr>
          <w:sz w:val="24"/>
          <w:szCs w:val="24"/>
        </w:rPr>
        <w:t>).</w:t>
      </w:r>
    </w:p>
    <w:p w14:paraId="22C14864" w14:textId="77777777" w:rsidR="00C51BFF" w:rsidRDefault="00C51BFF">
      <w:pPr>
        <w:rPr>
          <w:b/>
          <w:i/>
          <w:sz w:val="24"/>
          <w:szCs w:val="24"/>
        </w:rPr>
      </w:pPr>
      <w:r>
        <w:rPr>
          <w:b/>
          <w:i/>
          <w:sz w:val="24"/>
          <w:szCs w:val="24"/>
        </w:rPr>
        <w:br w:type="page"/>
      </w:r>
    </w:p>
    <w:p w14:paraId="02B994C8" w14:textId="33DC3A9C" w:rsidR="00F20CED" w:rsidRPr="009374C2" w:rsidRDefault="00F20CED" w:rsidP="00F20CED">
      <w:pPr>
        <w:spacing w:after="0" w:line="480" w:lineRule="auto"/>
        <w:rPr>
          <w:b/>
          <w:i/>
          <w:sz w:val="24"/>
          <w:szCs w:val="24"/>
        </w:rPr>
      </w:pPr>
      <w:r w:rsidRPr="009374C2">
        <w:rPr>
          <w:b/>
          <w:i/>
          <w:sz w:val="24"/>
          <w:szCs w:val="24"/>
        </w:rPr>
        <w:t>Pro Cyclical Public Housing</w:t>
      </w:r>
    </w:p>
    <w:p w14:paraId="6E9648A1" w14:textId="7C1F067F" w:rsidR="00FD2559" w:rsidRPr="009374C2" w:rsidRDefault="00764EE0" w:rsidP="005D672B">
      <w:pPr>
        <w:spacing w:after="0" w:line="480" w:lineRule="auto"/>
        <w:ind w:firstLine="284"/>
        <w:rPr>
          <w:sz w:val="24"/>
          <w:szCs w:val="24"/>
        </w:rPr>
      </w:pPr>
      <w:r w:rsidRPr="009374C2">
        <w:rPr>
          <w:sz w:val="24"/>
          <w:szCs w:val="24"/>
        </w:rPr>
        <w:t xml:space="preserve">The reforms to public housing finance and supply arrangements initiated in the </w:t>
      </w:r>
      <w:r w:rsidR="00B34879" w:rsidRPr="009374C2">
        <w:rPr>
          <w:sz w:val="24"/>
          <w:szCs w:val="24"/>
        </w:rPr>
        <w:t xml:space="preserve">late </w:t>
      </w:r>
      <w:r w:rsidRPr="009374C2">
        <w:rPr>
          <w:sz w:val="24"/>
          <w:szCs w:val="24"/>
        </w:rPr>
        <w:t>1980s</w:t>
      </w:r>
      <w:r w:rsidR="00B34879" w:rsidRPr="009374C2">
        <w:rPr>
          <w:sz w:val="24"/>
          <w:szCs w:val="24"/>
        </w:rPr>
        <w:t xml:space="preserve"> effected a profound change in the relationship between public housing and the housing market.  </w:t>
      </w:r>
      <w:r w:rsidR="00FD2559" w:rsidRPr="009374C2">
        <w:rPr>
          <w:sz w:val="24"/>
          <w:szCs w:val="24"/>
        </w:rPr>
        <w:t>Rather than providing a counterweight to market trends from then</w:t>
      </w:r>
      <w:r w:rsidR="00B34879" w:rsidRPr="009374C2">
        <w:rPr>
          <w:sz w:val="24"/>
          <w:szCs w:val="24"/>
        </w:rPr>
        <w:t xml:space="preserve"> </w:t>
      </w:r>
      <w:r w:rsidR="00576844" w:rsidRPr="009374C2">
        <w:rPr>
          <w:sz w:val="24"/>
          <w:szCs w:val="24"/>
        </w:rPr>
        <w:t xml:space="preserve">on </w:t>
      </w:r>
      <w:r w:rsidR="00B34879" w:rsidRPr="009374C2">
        <w:rPr>
          <w:sz w:val="24"/>
          <w:szCs w:val="24"/>
        </w:rPr>
        <w:t xml:space="preserve">public housing </w:t>
      </w:r>
      <w:r w:rsidR="00FD2559" w:rsidRPr="009374C2">
        <w:rPr>
          <w:sz w:val="24"/>
          <w:szCs w:val="24"/>
        </w:rPr>
        <w:t>operated in a pro cyclical fashion and this tendency was reinforced by other reforms to arrangements for the delivery of public housing initiated during the 1990s and early 2000s.</w:t>
      </w:r>
    </w:p>
    <w:p w14:paraId="3A90E8CE" w14:textId="77B0CC50" w:rsidR="00D67B85" w:rsidRPr="009374C2" w:rsidRDefault="00576844" w:rsidP="005D672B">
      <w:pPr>
        <w:spacing w:after="0" w:line="480" w:lineRule="auto"/>
        <w:ind w:firstLine="284"/>
        <w:rPr>
          <w:sz w:val="24"/>
          <w:szCs w:val="24"/>
          <w:lang w:val="en-GB"/>
        </w:rPr>
      </w:pPr>
      <w:r w:rsidRPr="009374C2">
        <w:rPr>
          <w:sz w:val="24"/>
          <w:szCs w:val="24"/>
        </w:rPr>
        <w:t xml:space="preserve">The </w:t>
      </w:r>
      <w:r w:rsidR="000C07B3" w:rsidRPr="009374C2">
        <w:rPr>
          <w:sz w:val="24"/>
          <w:szCs w:val="24"/>
        </w:rPr>
        <w:t>primary</w:t>
      </w:r>
      <w:r w:rsidRPr="009374C2">
        <w:rPr>
          <w:sz w:val="24"/>
          <w:szCs w:val="24"/>
        </w:rPr>
        <w:t xml:space="preserve"> reason for the pro cyclicality of public housing system </w:t>
      </w:r>
      <w:r w:rsidR="00D67B85" w:rsidRPr="009374C2">
        <w:rPr>
          <w:sz w:val="24"/>
          <w:szCs w:val="24"/>
        </w:rPr>
        <w:t>relates to the</w:t>
      </w:r>
      <w:r w:rsidRPr="009374C2">
        <w:rPr>
          <w:sz w:val="24"/>
          <w:szCs w:val="24"/>
        </w:rPr>
        <w:t xml:space="preserve"> replacement of local government loan finance with central government capital grants which covered the full costs of public housing provision</w:t>
      </w:r>
      <w:r w:rsidR="00AF75EB" w:rsidRPr="009374C2">
        <w:rPr>
          <w:sz w:val="24"/>
          <w:szCs w:val="24"/>
        </w:rPr>
        <w:t xml:space="preserve"> (Norris, 2014). </w:t>
      </w:r>
      <w:r w:rsidR="00281A2A" w:rsidRPr="009374C2">
        <w:rPr>
          <w:sz w:val="24"/>
          <w:szCs w:val="24"/>
        </w:rPr>
        <w:t xml:space="preserve"> </w:t>
      </w:r>
      <w:r w:rsidR="00AF75EB" w:rsidRPr="009374C2">
        <w:rPr>
          <w:sz w:val="24"/>
          <w:szCs w:val="24"/>
        </w:rPr>
        <w:t xml:space="preserve">Housing is of course a ‘lumpy’ good which requires large scale, up-front investment </w:t>
      </w:r>
      <w:r w:rsidR="00AF75EB" w:rsidRPr="009374C2">
        <w:rPr>
          <w:sz w:val="24"/>
          <w:szCs w:val="24"/>
          <w:lang w:val="en-GB"/>
        </w:rPr>
        <w:t xml:space="preserve">(Weber, 2002). </w:t>
      </w:r>
      <w:r w:rsidRPr="009374C2">
        <w:rPr>
          <w:sz w:val="24"/>
          <w:szCs w:val="24"/>
          <w:lang w:val="en-GB"/>
        </w:rPr>
        <w:t xml:space="preserve"> </w:t>
      </w:r>
      <w:r w:rsidR="00AF75EB" w:rsidRPr="009374C2">
        <w:rPr>
          <w:sz w:val="24"/>
          <w:szCs w:val="24"/>
          <w:lang w:val="en-GB"/>
        </w:rPr>
        <w:t>Loan finance spreads the costs of housing over an extended period and thereby renders it more affordable for the exchequer</w:t>
      </w:r>
      <w:r w:rsidRPr="009374C2">
        <w:rPr>
          <w:sz w:val="24"/>
          <w:szCs w:val="24"/>
          <w:lang w:val="en-GB"/>
        </w:rPr>
        <w:t xml:space="preserve"> which is why in almost every country which has a public housing system the sector is funded using loan finance</w:t>
      </w:r>
      <w:r w:rsidR="00D67B85" w:rsidRPr="009374C2">
        <w:rPr>
          <w:sz w:val="24"/>
          <w:szCs w:val="24"/>
          <w:lang w:val="en-GB"/>
        </w:rPr>
        <w:t xml:space="preserve"> (Whitehead</w:t>
      </w:r>
      <w:r w:rsidR="00D34B67" w:rsidRPr="009374C2">
        <w:rPr>
          <w:sz w:val="24"/>
          <w:szCs w:val="24"/>
          <w:lang w:val="en-GB"/>
        </w:rPr>
        <w:t>,</w:t>
      </w:r>
      <w:r w:rsidR="00D67B85" w:rsidRPr="009374C2">
        <w:rPr>
          <w:sz w:val="24"/>
          <w:szCs w:val="24"/>
          <w:lang w:val="en-GB"/>
        </w:rPr>
        <w:t xml:space="preserve"> </w:t>
      </w:r>
      <w:r w:rsidR="00D34B67" w:rsidRPr="009374C2">
        <w:rPr>
          <w:sz w:val="24"/>
          <w:szCs w:val="24"/>
          <w:lang w:val="en-GB"/>
        </w:rPr>
        <w:t>2014</w:t>
      </w:r>
      <w:r w:rsidR="00D67B85" w:rsidRPr="009374C2">
        <w:rPr>
          <w:sz w:val="24"/>
          <w:szCs w:val="24"/>
          <w:lang w:val="en-GB"/>
        </w:rPr>
        <w:t>)</w:t>
      </w:r>
      <w:r w:rsidR="00AF75EB" w:rsidRPr="009374C2">
        <w:rPr>
          <w:sz w:val="24"/>
          <w:szCs w:val="24"/>
          <w:lang w:val="en-GB"/>
        </w:rPr>
        <w:t>.</w:t>
      </w:r>
      <w:r w:rsidR="00D67B85" w:rsidRPr="009374C2">
        <w:rPr>
          <w:sz w:val="24"/>
          <w:szCs w:val="24"/>
          <w:lang w:val="en-GB"/>
        </w:rPr>
        <w:t xml:space="preserve"> </w:t>
      </w:r>
      <w:r w:rsidR="00AF75EB" w:rsidRPr="009374C2">
        <w:rPr>
          <w:sz w:val="24"/>
          <w:szCs w:val="24"/>
          <w:lang w:val="en-GB"/>
        </w:rPr>
        <w:t xml:space="preserve"> In contrast, using capital grant funding for public housing concentrated almost all of the substantial costs of public housing provision in the procurement phase</w:t>
      </w:r>
      <w:r w:rsidR="008435A3" w:rsidRPr="009374C2">
        <w:rPr>
          <w:sz w:val="24"/>
          <w:szCs w:val="24"/>
          <w:lang w:val="en-GB"/>
        </w:rPr>
        <w:t xml:space="preserve">.  </w:t>
      </w:r>
      <w:r w:rsidR="00D67B85" w:rsidRPr="009374C2">
        <w:rPr>
          <w:sz w:val="24"/>
          <w:szCs w:val="24"/>
          <w:lang w:val="en-GB"/>
        </w:rPr>
        <w:t>Th</w:t>
      </w:r>
      <w:r w:rsidR="00D34B67" w:rsidRPr="009374C2">
        <w:rPr>
          <w:sz w:val="24"/>
          <w:szCs w:val="24"/>
          <w:lang w:val="en-GB"/>
        </w:rPr>
        <w:t xml:space="preserve">is reform also </w:t>
      </w:r>
      <w:r w:rsidR="00D67B85" w:rsidRPr="009374C2">
        <w:rPr>
          <w:sz w:val="24"/>
          <w:szCs w:val="24"/>
          <w:lang w:val="en-GB"/>
        </w:rPr>
        <w:t>centralis</w:t>
      </w:r>
      <w:r w:rsidR="00D34B67" w:rsidRPr="009374C2">
        <w:rPr>
          <w:sz w:val="24"/>
          <w:szCs w:val="24"/>
          <w:lang w:val="en-GB"/>
        </w:rPr>
        <w:t>ed</w:t>
      </w:r>
      <w:r w:rsidR="00D67B85" w:rsidRPr="009374C2">
        <w:rPr>
          <w:sz w:val="24"/>
          <w:szCs w:val="24"/>
          <w:lang w:val="en-GB"/>
        </w:rPr>
        <w:t xml:space="preserve"> and nationalis</w:t>
      </w:r>
      <w:r w:rsidR="00D34B67" w:rsidRPr="009374C2">
        <w:rPr>
          <w:sz w:val="24"/>
          <w:szCs w:val="24"/>
          <w:lang w:val="en-GB"/>
        </w:rPr>
        <w:t>ed</w:t>
      </w:r>
      <w:r w:rsidR="00D67B85" w:rsidRPr="009374C2">
        <w:rPr>
          <w:sz w:val="24"/>
          <w:szCs w:val="24"/>
          <w:lang w:val="en-GB"/>
        </w:rPr>
        <w:t xml:space="preserve"> finance for public housing </w:t>
      </w:r>
      <w:r w:rsidR="00D34B67" w:rsidRPr="009374C2">
        <w:rPr>
          <w:sz w:val="24"/>
          <w:szCs w:val="24"/>
          <w:lang w:val="en-GB"/>
        </w:rPr>
        <w:t xml:space="preserve">which </w:t>
      </w:r>
      <w:r w:rsidR="000C07B3" w:rsidRPr="009374C2">
        <w:rPr>
          <w:sz w:val="24"/>
          <w:szCs w:val="24"/>
          <w:lang w:val="en-GB"/>
        </w:rPr>
        <w:t xml:space="preserve">rendered </w:t>
      </w:r>
      <w:r w:rsidR="00D34B67" w:rsidRPr="009374C2">
        <w:rPr>
          <w:sz w:val="24"/>
          <w:szCs w:val="24"/>
          <w:lang w:val="en-GB"/>
        </w:rPr>
        <w:t>the sector</w:t>
      </w:r>
      <w:r w:rsidR="00D67B85" w:rsidRPr="009374C2">
        <w:rPr>
          <w:sz w:val="24"/>
          <w:szCs w:val="24"/>
          <w:lang w:val="en-GB"/>
        </w:rPr>
        <w:t xml:space="preserve"> </w:t>
      </w:r>
      <w:r w:rsidR="007222A5" w:rsidRPr="009374C2">
        <w:rPr>
          <w:sz w:val="24"/>
          <w:szCs w:val="24"/>
          <w:lang w:val="en-GB"/>
        </w:rPr>
        <w:t xml:space="preserve">much more </w:t>
      </w:r>
      <w:r w:rsidR="00D67B85" w:rsidRPr="009374C2">
        <w:rPr>
          <w:sz w:val="24"/>
          <w:szCs w:val="24"/>
          <w:lang w:val="en-GB"/>
        </w:rPr>
        <w:t xml:space="preserve">exposed to fluctuations in the strength of central government finances and also </w:t>
      </w:r>
      <w:r w:rsidR="007222A5" w:rsidRPr="009374C2">
        <w:rPr>
          <w:sz w:val="24"/>
          <w:szCs w:val="24"/>
          <w:lang w:val="en-GB"/>
        </w:rPr>
        <w:t xml:space="preserve">to </w:t>
      </w:r>
      <w:r w:rsidR="00D34B67" w:rsidRPr="009374C2">
        <w:rPr>
          <w:sz w:val="24"/>
          <w:szCs w:val="24"/>
          <w:lang w:val="en-GB"/>
        </w:rPr>
        <w:t xml:space="preserve">changes in central policy makers’ spending priorities than was the case when the sector financed by both central government and a multitude of local authorities and </w:t>
      </w:r>
      <w:r w:rsidR="00C840D2" w:rsidRPr="009374C2">
        <w:rPr>
          <w:sz w:val="24"/>
          <w:szCs w:val="24"/>
          <w:lang w:val="en-GB"/>
        </w:rPr>
        <w:t xml:space="preserve">by a </w:t>
      </w:r>
      <w:r w:rsidR="00D34B67" w:rsidRPr="009374C2">
        <w:rPr>
          <w:sz w:val="24"/>
          <w:szCs w:val="24"/>
          <w:lang w:val="en-GB"/>
        </w:rPr>
        <w:t>mix of central and local tax revenues, private finance and tenants</w:t>
      </w:r>
      <w:r w:rsidR="004154D2" w:rsidRPr="009374C2">
        <w:rPr>
          <w:sz w:val="24"/>
          <w:szCs w:val="24"/>
          <w:lang w:val="en-GB"/>
        </w:rPr>
        <w:t>’</w:t>
      </w:r>
      <w:r w:rsidR="00D34B67" w:rsidRPr="009374C2">
        <w:rPr>
          <w:sz w:val="24"/>
          <w:szCs w:val="24"/>
          <w:lang w:val="en-GB"/>
        </w:rPr>
        <w:t xml:space="preserve"> rents.</w:t>
      </w:r>
    </w:p>
    <w:p w14:paraId="087EE2ED" w14:textId="5AC0D2EC" w:rsidR="00EA3A41" w:rsidRPr="009374C2" w:rsidRDefault="004154D2" w:rsidP="0065403D">
      <w:pPr>
        <w:spacing w:after="0" w:line="480" w:lineRule="auto"/>
        <w:ind w:firstLine="284"/>
        <w:rPr>
          <w:color w:val="000000" w:themeColor="text1"/>
          <w:sz w:val="24"/>
          <w:szCs w:val="24"/>
        </w:rPr>
      </w:pPr>
      <w:r w:rsidRPr="009374C2">
        <w:rPr>
          <w:sz w:val="24"/>
          <w:szCs w:val="24"/>
          <w:lang w:val="en-GB"/>
        </w:rPr>
        <w:t>T</w:t>
      </w:r>
      <w:r w:rsidR="00D67B85" w:rsidRPr="009374C2">
        <w:rPr>
          <w:sz w:val="24"/>
          <w:szCs w:val="24"/>
          <w:lang w:val="en-GB"/>
        </w:rPr>
        <w:t>h</w:t>
      </w:r>
      <w:r w:rsidR="00AA2F90" w:rsidRPr="009374C2">
        <w:rPr>
          <w:sz w:val="24"/>
          <w:szCs w:val="24"/>
          <w:lang w:val="en-GB"/>
        </w:rPr>
        <w:t>ese developments</w:t>
      </w:r>
      <w:r w:rsidR="00AF75EB" w:rsidRPr="009374C2">
        <w:rPr>
          <w:sz w:val="24"/>
          <w:szCs w:val="24"/>
          <w:lang w:val="en-GB"/>
        </w:rPr>
        <w:t xml:space="preserve"> meant that</w:t>
      </w:r>
      <w:r w:rsidR="0065403D" w:rsidRPr="009374C2">
        <w:rPr>
          <w:sz w:val="24"/>
          <w:szCs w:val="24"/>
          <w:lang w:val="en-GB"/>
        </w:rPr>
        <w:t xml:space="preserve"> public house building was very low in the years immediately following the reforms to financing methods.  Just </w:t>
      </w:r>
      <w:r w:rsidR="00AF75EB" w:rsidRPr="009374C2">
        <w:rPr>
          <w:sz w:val="24"/>
          <w:szCs w:val="24"/>
        </w:rPr>
        <w:t xml:space="preserve">768 </w:t>
      </w:r>
      <w:r w:rsidR="0065403D" w:rsidRPr="009374C2">
        <w:rPr>
          <w:sz w:val="24"/>
          <w:szCs w:val="24"/>
        </w:rPr>
        <w:t xml:space="preserve">additional public rented dwellings were built in </w:t>
      </w:r>
      <w:r w:rsidR="00AF75EB" w:rsidRPr="009374C2">
        <w:rPr>
          <w:sz w:val="24"/>
          <w:szCs w:val="24"/>
        </w:rPr>
        <w:t xml:space="preserve">1989, whereas 7,002 dwellings were provided in 1984, immediately before the reforms were introduced.  </w:t>
      </w:r>
      <w:r w:rsidR="0065403D" w:rsidRPr="009374C2">
        <w:rPr>
          <w:sz w:val="24"/>
          <w:szCs w:val="24"/>
        </w:rPr>
        <w:t xml:space="preserve">This reflected the weakness of the public finances at this time </w:t>
      </w:r>
      <w:r w:rsidR="00C82B6F" w:rsidRPr="009374C2">
        <w:rPr>
          <w:sz w:val="24"/>
          <w:szCs w:val="24"/>
        </w:rPr>
        <w:t xml:space="preserve">and particularly the growth in </w:t>
      </w:r>
      <w:r w:rsidR="000C07B3" w:rsidRPr="009374C2">
        <w:rPr>
          <w:sz w:val="24"/>
          <w:szCs w:val="24"/>
        </w:rPr>
        <w:t xml:space="preserve">national </w:t>
      </w:r>
      <w:r w:rsidR="00C82B6F" w:rsidRPr="009374C2">
        <w:rPr>
          <w:sz w:val="24"/>
          <w:szCs w:val="24"/>
        </w:rPr>
        <w:t xml:space="preserve">debt servicing </w:t>
      </w:r>
      <w:r w:rsidR="000C07B3" w:rsidRPr="009374C2">
        <w:rPr>
          <w:sz w:val="24"/>
          <w:szCs w:val="24"/>
        </w:rPr>
        <w:t xml:space="preserve">obligations </w:t>
      </w:r>
      <w:r w:rsidR="00C82B6F" w:rsidRPr="009374C2">
        <w:rPr>
          <w:sz w:val="24"/>
          <w:szCs w:val="24"/>
        </w:rPr>
        <w:t xml:space="preserve">but </w:t>
      </w:r>
      <w:r w:rsidR="000C07B3" w:rsidRPr="009374C2">
        <w:rPr>
          <w:sz w:val="24"/>
          <w:szCs w:val="24"/>
        </w:rPr>
        <w:t xml:space="preserve">it </w:t>
      </w:r>
      <w:r w:rsidR="00C82B6F" w:rsidRPr="009374C2">
        <w:rPr>
          <w:sz w:val="24"/>
          <w:szCs w:val="24"/>
        </w:rPr>
        <w:t xml:space="preserve">also meant, in contrast to the previous economic crisis </w:t>
      </w:r>
      <w:r w:rsidR="00E00C08" w:rsidRPr="009374C2">
        <w:rPr>
          <w:sz w:val="24"/>
          <w:szCs w:val="24"/>
        </w:rPr>
        <w:t>of</w:t>
      </w:r>
      <w:r w:rsidR="00C82B6F" w:rsidRPr="009374C2">
        <w:rPr>
          <w:sz w:val="24"/>
          <w:szCs w:val="24"/>
        </w:rPr>
        <w:t xml:space="preserve"> the 1950s, that the public housing investment was not available to stimulate the building industry at a time when the economy was weak</w:t>
      </w:r>
      <w:r w:rsidR="009F0D9B" w:rsidRPr="009374C2">
        <w:rPr>
          <w:sz w:val="24"/>
          <w:szCs w:val="24"/>
        </w:rPr>
        <w:t xml:space="preserve">, so a stimulant was badly </w:t>
      </w:r>
      <w:r w:rsidR="00C82B6F" w:rsidRPr="009374C2">
        <w:rPr>
          <w:sz w:val="24"/>
          <w:szCs w:val="24"/>
        </w:rPr>
        <w:t xml:space="preserve">needed and also might have achieved good value-for-money because house prices were low.  </w:t>
      </w:r>
      <w:r w:rsidR="00AF75EB" w:rsidRPr="009374C2">
        <w:rPr>
          <w:sz w:val="24"/>
          <w:szCs w:val="24"/>
        </w:rPr>
        <w:t>Public housing output did rise again in absolute terms during the late 1990s (4,853 additional public rented dwelling were provided in 1995) and increased further in the early 2000s (to 6,477 dwellings in 2005</w:t>
      </w:r>
      <w:r w:rsidR="00AF75EB" w:rsidRPr="009374C2">
        <w:rPr>
          <w:color w:val="000000" w:themeColor="text1"/>
          <w:sz w:val="24"/>
          <w:szCs w:val="24"/>
        </w:rPr>
        <w:t>)</w:t>
      </w:r>
      <w:r w:rsidR="004E0525" w:rsidRPr="009374C2">
        <w:rPr>
          <w:color w:val="000000" w:themeColor="text1"/>
          <w:sz w:val="24"/>
          <w:szCs w:val="24"/>
        </w:rPr>
        <w:t xml:space="preserve"> (see Figure 1)</w:t>
      </w:r>
      <w:r w:rsidR="00AF75EB" w:rsidRPr="009374C2">
        <w:rPr>
          <w:color w:val="000000" w:themeColor="text1"/>
          <w:sz w:val="24"/>
          <w:szCs w:val="24"/>
        </w:rPr>
        <w:t xml:space="preserve">.  </w:t>
      </w:r>
      <w:r w:rsidR="009F0D9B" w:rsidRPr="009374C2">
        <w:rPr>
          <w:color w:val="000000" w:themeColor="text1"/>
          <w:sz w:val="24"/>
          <w:szCs w:val="24"/>
        </w:rPr>
        <w:t>T</w:t>
      </w:r>
      <w:r w:rsidR="00AF75EB" w:rsidRPr="009374C2">
        <w:rPr>
          <w:color w:val="000000" w:themeColor="text1"/>
          <w:sz w:val="24"/>
          <w:szCs w:val="24"/>
        </w:rPr>
        <w:t xml:space="preserve">his development was driven by a significant increase in public spending on this area which rose from €232 million in 1995 to just below €1 billion in 2005 </w:t>
      </w:r>
      <w:r w:rsidR="009F0D9B" w:rsidRPr="009374C2">
        <w:rPr>
          <w:color w:val="000000" w:themeColor="text1"/>
          <w:sz w:val="24"/>
          <w:szCs w:val="24"/>
        </w:rPr>
        <w:t xml:space="preserve">and was enabled in part by the additional tax revenue generate by the property boom </w:t>
      </w:r>
      <w:r w:rsidR="00AF75EB" w:rsidRPr="009374C2">
        <w:rPr>
          <w:color w:val="000000" w:themeColor="text1"/>
          <w:sz w:val="24"/>
          <w:szCs w:val="24"/>
        </w:rPr>
        <w:t xml:space="preserve">(see </w:t>
      </w:r>
      <w:r w:rsidR="009F0D9B" w:rsidRPr="009374C2">
        <w:rPr>
          <w:color w:val="000000" w:themeColor="text1"/>
          <w:sz w:val="24"/>
          <w:szCs w:val="24"/>
        </w:rPr>
        <w:t xml:space="preserve">Figure </w:t>
      </w:r>
      <w:r w:rsidR="00C840D2" w:rsidRPr="009374C2">
        <w:rPr>
          <w:color w:val="000000" w:themeColor="text1"/>
          <w:sz w:val="24"/>
          <w:szCs w:val="24"/>
        </w:rPr>
        <w:t>3</w:t>
      </w:r>
      <w:r w:rsidR="00AF75EB" w:rsidRPr="009374C2">
        <w:rPr>
          <w:color w:val="000000" w:themeColor="text1"/>
          <w:sz w:val="24"/>
          <w:szCs w:val="24"/>
        </w:rPr>
        <w:t>).  However</w:t>
      </w:r>
      <w:r w:rsidR="006662EA" w:rsidRPr="009374C2">
        <w:rPr>
          <w:color w:val="000000" w:themeColor="text1"/>
          <w:sz w:val="24"/>
          <w:szCs w:val="24"/>
        </w:rPr>
        <w:t>,</w:t>
      </w:r>
      <w:r w:rsidR="00AF75EB" w:rsidRPr="009374C2">
        <w:rPr>
          <w:color w:val="000000" w:themeColor="text1"/>
          <w:sz w:val="24"/>
          <w:szCs w:val="24"/>
        </w:rPr>
        <w:t xml:space="preserve"> </w:t>
      </w:r>
      <w:r w:rsidR="009F0D9B" w:rsidRPr="009374C2">
        <w:rPr>
          <w:color w:val="000000" w:themeColor="text1"/>
          <w:sz w:val="24"/>
          <w:szCs w:val="24"/>
        </w:rPr>
        <w:t>the coincidence between increased public housing expenditure and the property boom helped to further stimulate a construction sector which was arguably already over stimulated</w:t>
      </w:r>
      <w:r w:rsidR="00EA3A41" w:rsidRPr="009374C2">
        <w:rPr>
          <w:color w:val="000000" w:themeColor="text1"/>
          <w:sz w:val="24"/>
          <w:szCs w:val="24"/>
        </w:rPr>
        <w:t>.  In addition</w:t>
      </w:r>
      <w:r w:rsidR="006662EA" w:rsidRPr="009374C2">
        <w:rPr>
          <w:color w:val="000000" w:themeColor="text1"/>
          <w:sz w:val="24"/>
          <w:szCs w:val="24"/>
        </w:rPr>
        <w:t>,</w:t>
      </w:r>
      <w:r w:rsidR="00EA3A41" w:rsidRPr="009374C2">
        <w:rPr>
          <w:color w:val="000000" w:themeColor="text1"/>
          <w:sz w:val="24"/>
          <w:szCs w:val="24"/>
        </w:rPr>
        <w:t xml:space="preserve"> investing in public housing when </w:t>
      </w:r>
      <w:r w:rsidR="009F0D9B" w:rsidRPr="009374C2">
        <w:rPr>
          <w:color w:val="000000" w:themeColor="text1"/>
          <w:sz w:val="24"/>
          <w:szCs w:val="24"/>
        </w:rPr>
        <w:t>land and house prices which were at historic highs</w:t>
      </w:r>
      <w:r w:rsidR="00EA3A41" w:rsidRPr="009374C2">
        <w:rPr>
          <w:color w:val="000000" w:themeColor="text1"/>
          <w:sz w:val="24"/>
          <w:szCs w:val="24"/>
        </w:rPr>
        <w:t xml:space="preserve"> </w:t>
      </w:r>
      <w:r w:rsidRPr="009374C2">
        <w:rPr>
          <w:color w:val="000000" w:themeColor="text1"/>
          <w:sz w:val="24"/>
          <w:szCs w:val="24"/>
        </w:rPr>
        <w:t>was unlikely to provide</w:t>
      </w:r>
      <w:r w:rsidR="00EA3A41" w:rsidRPr="009374C2">
        <w:rPr>
          <w:color w:val="000000" w:themeColor="text1"/>
          <w:sz w:val="24"/>
          <w:szCs w:val="24"/>
        </w:rPr>
        <w:t xml:space="preserve"> value for-money</w:t>
      </w:r>
      <w:r w:rsidR="009F0D9B" w:rsidRPr="009374C2">
        <w:rPr>
          <w:color w:val="000000" w:themeColor="text1"/>
          <w:sz w:val="24"/>
          <w:szCs w:val="24"/>
        </w:rPr>
        <w:t xml:space="preserve">. </w:t>
      </w:r>
    </w:p>
    <w:p w14:paraId="484A1046" w14:textId="436282B2" w:rsidR="00191D30" w:rsidRDefault="00EA3A41" w:rsidP="0065403D">
      <w:pPr>
        <w:spacing w:after="0" w:line="480" w:lineRule="auto"/>
        <w:ind w:firstLine="284"/>
        <w:rPr>
          <w:color w:val="000000" w:themeColor="text1"/>
          <w:sz w:val="24"/>
          <w:szCs w:val="24"/>
        </w:rPr>
      </w:pPr>
      <w:r w:rsidRPr="009374C2">
        <w:rPr>
          <w:color w:val="000000" w:themeColor="text1"/>
          <w:sz w:val="24"/>
          <w:szCs w:val="24"/>
        </w:rPr>
        <w:t>Furthermore</w:t>
      </w:r>
      <w:r w:rsidR="007A1B7C" w:rsidRPr="009374C2">
        <w:rPr>
          <w:color w:val="000000" w:themeColor="text1"/>
          <w:sz w:val="24"/>
          <w:szCs w:val="24"/>
        </w:rPr>
        <w:t>,</w:t>
      </w:r>
      <w:r w:rsidRPr="009374C2">
        <w:rPr>
          <w:color w:val="000000" w:themeColor="text1"/>
          <w:sz w:val="24"/>
          <w:szCs w:val="24"/>
        </w:rPr>
        <w:t xml:space="preserve"> due in part to the lumpiness </w:t>
      </w:r>
      <w:r w:rsidR="004E0525" w:rsidRPr="009374C2">
        <w:rPr>
          <w:color w:val="000000" w:themeColor="text1"/>
          <w:sz w:val="24"/>
          <w:szCs w:val="24"/>
        </w:rPr>
        <w:t xml:space="preserve">of </w:t>
      </w:r>
      <w:r w:rsidRPr="009374C2">
        <w:rPr>
          <w:color w:val="000000" w:themeColor="text1"/>
          <w:sz w:val="24"/>
          <w:szCs w:val="24"/>
        </w:rPr>
        <w:t xml:space="preserve">capital grant finance and in part to the peaks and troughs in investment reflecting fluctuations in the health of the public finances, </w:t>
      </w:r>
      <w:r w:rsidR="00AF75EB" w:rsidRPr="009374C2">
        <w:rPr>
          <w:color w:val="000000" w:themeColor="text1"/>
          <w:sz w:val="24"/>
          <w:szCs w:val="24"/>
        </w:rPr>
        <w:t>public sector output failed to keep pace with private building (the former accounted for 29% of all housing output during the 1970s but just 10.9% in the 1990s) and population growth (which increased by 20% betwe</w:t>
      </w:r>
      <w:r w:rsidRPr="009374C2">
        <w:rPr>
          <w:color w:val="000000" w:themeColor="text1"/>
          <w:sz w:val="24"/>
          <w:szCs w:val="24"/>
        </w:rPr>
        <w:t>en 1991 and 2006)</w:t>
      </w:r>
      <w:r w:rsidR="00AF75EB" w:rsidRPr="009374C2">
        <w:rPr>
          <w:color w:val="000000" w:themeColor="text1"/>
          <w:sz w:val="24"/>
          <w:szCs w:val="24"/>
        </w:rPr>
        <w:t xml:space="preserve"> (Central Statistics Office, various years)</w:t>
      </w:r>
      <w:r w:rsidR="004E0525" w:rsidRPr="009374C2">
        <w:rPr>
          <w:color w:val="000000" w:themeColor="text1"/>
          <w:sz w:val="24"/>
          <w:szCs w:val="24"/>
        </w:rPr>
        <w:t xml:space="preserve"> (see Figure 1)</w:t>
      </w:r>
      <w:r w:rsidR="00AF75EB" w:rsidRPr="009374C2">
        <w:rPr>
          <w:color w:val="000000" w:themeColor="text1"/>
          <w:sz w:val="24"/>
          <w:szCs w:val="24"/>
        </w:rPr>
        <w:t xml:space="preserve">.  Therefore, in relative terms the public housing sector contracted during the 1990s and early 2000s – it accommodated 12.7% of households in 1981 but just 6.9% in 2002 (Central Statistics Office, various years). The reduction in the availability of </w:t>
      </w:r>
      <w:r w:rsidR="00D7493C" w:rsidRPr="009374C2">
        <w:rPr>
          <w:color w:val="000000" w:themeColor="text1"/>
          <w:sz w:val="24"/>
          <w:szCs w:val="24"/>
        </w:rPr>
        <w:t xml:space="preserve">public </w:t>
      </w:r>
    </w:p>
    <w:p w14:paraId="353CB796" w14:textId="77777777" w:rsidR="00191D30" w:rsidRDefault="00191D30">
      <w:pPr>
        <w:rPr>
          <w:color w:val="000000" w:themeColor="text1"/>
          <w:sz w:val="24"/>
          <w:szCs w:val="24"/>
        </w:rPr>
      </w:pPr>
      <w:r>
        <w:rPr>
          <w:color w:val="000000" w:themeColor="text1"/>
          <w:sz w:val="24"/>
          <w:szCs w:val="24"/>
        </w:rPr>
        <w:br w:type="page"/>
      </w:r>
    </w:p>
    <w:p w14:paraId="5F2AB62B" w14:textId="77777777" w:rsidR="00191D30" w:rsidRPr="0001775D" w:rsidRDefault="00191D30" w:rsidP="00191D30">
      <w:pPr>
        <w:rPr>
          <w:i/>
          <w:sz w:val="24"/>
          <w:szCs w:val="24"/>
        </w:rPr>
      </w:pPr>
      <w:r w:rsidRPr="0001775D">
        <w:rPr>
          <w:i/>
          <w:sz w:val="24"/>
          <w:szCs w:val="24"/>
        </w:rPr>
        <w:t xml:space="preserve">Figure </w:t>
      </w:r>
      <w:r>
        <w:rPr>
          <w:i/>
          <w:sz w:val="24"/>
          <w:szCs w:val="24"/>
        </w:rPr>
        <w:t>3</w:t>
      </w:r>
      <w:r w:rsidRPr="0001775D">
        <w:rPr>
          <w:i/>
          <w:sz w:val="24"/>
          <w:szCs w:val="24"/>
        </w:rPr>
        <w:t xml:space="preserve">  House Prices and Public Spending on New Public Housing Provision, 1990-2014.</w:t>
      </w:r>
    </w:p>
    <w:p w14:paraId="049B7DFF" w14:textId="77777777" w:rsidR="00191D30" w:rsidRDefault="00191D30" w:rsidP="00191D30">
      <w:r>
        <w:rPr>
          <w:noProof/>
          <w:lang w:val="en-US"/>
        </w:rPr>
        <w:drawing>
          <wp:inline distT="0" distB="0" distL="0" distR="0" wp14:anchorId="538A5276" wp14:editId="7C8A6523">
            <wp:extent cx="6115050" cy="36195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3D421A" w14:textId="77777777" w:rsidR="00191D30" w:rsidRPr="00EE3847" w:rsidRDefault="00191D30" w:rsidP="00191D30">
      <w:pPr>
        <w:rPr>
          <w:sz w:val="24"/>
          <w:szCs w:val="24"/>
        </w:rPr>
      </w:pPr>
      <w:r>
        <w:t>Source:   Department of Public Expenditure and Reform (various years) and Department of the Housing, Planning and Local Government (various years).</w:t>
      </w:r>
    </w:p>
    <w:p w14:paraId="351DCE91" w14:textId="77777777" w:rsidR="00191D30" w:rsidRDefault="00191D30" w:rsidP="00191D30">
      <w:pPr>
        <w:spacing w:after="0" w:line="480" w:lineRule="auto"/>
        <w:rPr>
          <w:sz w:val="24"/>
          <w:szCs w:val="24"/>
        </w:rPr>
      </w:pPr>
    </w:p>
    <w:p w14:paraId="5C146554" w14:textId="5C5F2B3D" w:rsidR="00AF75EB" w:rsidRPr="009374C2" w:rsidRDefault="00D7493C" w:rsidP="00191D30">
      <w:pPr>
        <w:spacing w:after="0" w:line="480" w:lineRule="auto"/>
        <w:rPr>
          <w:sz w:val="24"/>
          <w:szCs w:val="24"/>
        </w:rPr>
      </w:pPr>
      <w:r w:rsidRPr="009374C2">
        <w:rPr>
          <w:color w:val="000000" w:themeColor="text1"/>
          <w:sz w:val="24"/>
          <w:szCs w:val="24"/>
        </w:rPr>
        <w:t>housing</w:t>
      </w:r>
      <w:r w:rsidR="00AF75EB" w:rsidRPr="009374C2">
        <w:rPr>
          <w:color w:val="000000" w:themeColor="text1"/>
          <w:sz w:val="24"/>
          <w:szCs w:val="24"/>
        </w:rPr>
        <w:t xml:space="preserve"> was further compounded by </w:t>
      </w:r>
      <w:r w:rsidR="00EA3A41" w:rsidRPr="009374C2">
        <w:rPr>
          <w:color w:val="000000" w:themeColor="text1"/>
          <w:sz w:val="24"/>
          <w:szCs w:val="24"/>
        </w:rPr>
        <w:t xml:space="preserve">sales of public housing to tenants </w:t>
      </w:r>
      <w:r w:rsidR="004E0525" w:rsidRPr="009374C2">
        <w:rPr>
          <w:color w:val="000000" w:themeColor="text1"/>
          <w:sz w:val="24"/>
          <w:szCs w:val="24"/>
        </w:rPr>
        <w:t xml:space="preserve">which fell during the period of the property boom when comparted to the </w:t>
      </w:r>
      <w:r w:rsidR="004154D2" w:rsidRPr="009374C2">
        <w:rPr>
          <w:color w:val="000000" w:themeColor="text1"/>
          <w:sz w:val="24"/>
          <w:szCs w:val="24"/>
        </w:rPr>
        <w:t>norm previous decades but re</w:t>
      </w:r>
      <w:r w:rsidR="008A1273" w:rsidRPr="009374C2">
        <w:rPr>
          <w:color w:val="000000" w:themeColor="text1"/>
          <w:sz w:val="24"/>
          <w:szCs w:val="24"/>
        </w:rPr>
        <w:t xml:space="preserve">mained </w:t>
      </w:r>
      <w:r w:rsidR="004154D2" w:rsidRPr="009374C2">
        <w:rPr>
          <w:color w:val="000000" w:themeColor="text1"/>
          <w:sz w:val="24"/>
          <w:szCs w:val="24"/>
        </w:rPr>
        <w:t xml:space="preserve">substantial in absolute terms </w:t>
      </w:r>
      <w:r w:rsidR="00EA3A41" w:rsidRPr="009374C2">
        <w:rPr>
          <w:color w:val="000000" w:themeColor="text1"/>
          <w:sz w:val="24"/>
          <w:szCs w:val="24"/>
        </w:rPr>
        <w:t>(</w:t>
      </w:r>
      <w:r w:rsidR="004154D2" w:rsidRPr="009374C2">
        <w:rPr>
          <w:color w:val="000000" w:themeColor="text1"/>
          <w:sz w:val="24"/>
          <w:szCs w:val="24"/>
        </w:rPr>
        <w:t xml:space="preserve">see: </w:t>
      </w:r>
      <w:r w:rsidR="00EA3A41" w:rsidRPr="009374C2">
        <w:rPr>
          <w:color w:val="000000" w:themeColor="text1"/>
          <w:sz w:val="24"/>
          <w:szCs w:val="24"/>
        </w:rPr>
        <w:t>Figure 1)</w:t>
      </w:r>
      <w:r w:rsidR="00AF75EB" w:rsidRPr="009374C2">
        <w:rPr>
          <w:color w:val="000000" w:themeColor="text1"/>
          <w:sz w:val="24"/>
          <w:szCs w:val="24"/>
        </w:rPr>
        <w:t>.</w:t>
      </w:r>
    </w:p>
    <w:p w14:paraId="60BD32BA" w14:textId="27578907" w:rsidR="004E0525" w:rsidRPr="009374C2" w:rsidRDefault="00C82B6F" w:rsidP="002A60BD">
      <w:pPr>
        <w:spacing w:after="0" w:line="480" w:lineRule="auto"/>
        <w:ind w:firstLine="284"/>
        <w:rPr>
          <w:sz w:val="24"/>
          <w:szCs w:val="24"/>
        </w:rPr>
      </w:pPr>
      <w:r w:rsidRPr="009374C2">
        <w:rPr>
          <w:sz w:val="24"/>
          <w:szCs w:val="24"/>
        </w:rPr>
        <w:t>Th</w:t>
      </w:r>
      <w:r w:rsidR="00EA3A41" w:rsidRPr="009374C2">
        <w:rPr>
          <w:sz w:val="24"/>
          <w:szCs w:val="24"/>
        </w:rPr>
        <w:t>is</w:t>
      </w:r>
      <w:r w:rsidRPr="009374C2">
        <w:rPr>
          <w:sz w:val="24"/>
          <w:szCs w:val="24"/>
        </w:rPr>
        <w:t xml:space="preserve"> </w:t>
      </w:r>
      <w:r w:rsidR="00EA3A41" w:rsidRPr="009374C2">
        <w:rPr>
          <w:sz w:val="24"/>
          <w:szCs w:val="24"/>
        </w:rPr>
        <w:t xml:space="preserve">contraction and </w:t>
      </w:r>
      <w:r w:rsidRPr="009374C2">
        <w:rPr>
          <w:sz w:val="24"/>
          <w:szCs w:val="24"/>
        </w:rPr>
        <w:t xml:space="preserve">residualisation of </w:t>
      </w:r>
      <w:r w:rsidR="00EA3A41" w:rsidRPr="009374C2">
        <w:rPr>
          <w:sz w:val="24"/>
          <w:szCs w:val="24"/>
        </w:rPr>
        <w:t xml:space="preserve">the </w:t>
      </w:r>
      <w:r w:rsidRPr="009374C2">
        <w:rPr>
          <w:sz w:val="24"/>
          <w:szCs w:val="24"/>
        </w:rPr>
        <w:t>p</w:t>
      </w:r>
      <w:r w:rsidR="00D7493C" w:rsidRPr="009374C2">
        <w:rPr>
          <w:sz w:val="24"/>
          <w:szCs w:val="24"/>
        </w:rPr>
        <w:t>ublic housing</w:t>
      </w:r>
      <w:r w:rsidR="00AF75EB" w:rsidRPr="009374C2">
        <w:rPr>
          <w:sz w:val="24"/>
          <w:szCs w:val="24"/>
        </w:rPr>
        <w:t xml:space="preserve"> </w:t>
      </w:r>
      <w:r w:rsidR="00EA3A41" w:rsidRPr="009374C2">
        <w:rPr>
          <w:sz w:val="24"/>
          <w:szCs w:val="24"/>
        </w:rPr>
        <w:t xml:space="preserve">further </w:t>
      </w:r>
      <w:r w:rsidR="009F4F19" w:rsidRPr="009374C2">
        <w:rPr>
          <w:sz w:val="24"/>
          <w:szCs w:val="24"/>
        </w:rPr>
        <w:t xml:space="preserve">amplified these </w:t>
      </w:r>
      <w:r w:rsidR="00EA3A41" w:rsidRPr="009374C2">
        <w:rPr>
          <w:sz w:val="24"/>
          <w:szCs w:val="24"/>
        </w:rPr>
        <w:t>pro-cyclical effects because it forced more low-income households into the overheated property market to secure housin</w:t>
      </w:r>
      <w:r w:rsidR="00731A35" w:rsidRPr="009374C2">
        <w:rPr>
          <w:sz w:val="24"/>
          <w:szCs w:val="24"/>
        </w:rPr>
        <w:t>g</w:t>
      </w:r>
      <w:r w:rsidR="00AF75EB" w:rsidRPr="009374C2">
        <w:rPr>
          <w:sz w:val="24"/>
          <w:szCs w:val="24"/>
        </w:rPr>
        <w:t xml:space="preserve"> (McCabe, 2011). </w:t>
      </w:r>
      <w:r w:rsidR="00731A35" w:rsidRPr="009374C2">
        <w:rPr>
          <w:sz w:val="24"/>
          <w:szCs w:val="24"/>
        </w:rPr>
        <w:t xml:space="preserve"> </w:t>
      </w:r>
      <w:r w:rsidR="00F617E1" w:rsidRPr="009374C2">
        <w:rPr>
          <w:sz w:val="24"/>
          <w:szCs w:val="24"/>
        </w:rPr>
        <w:t>Despite the marked growth in house price inflation, i</w:t>
      </w:r>
      <w:r w:rsidR="002223D8" w:rsidRPr="009374C2">
        <w:rPr>
          <w:sz w:val="24"/>
          <w:szCs w:val="24"/>
        </w:rPr>
        <w:t>f these households were in employment</w:t>
      </w:r>
      <w:r w:rsidR="00145533" w:rsidRPr="009374C2">
        <w:rPr>
          <w:sz w:val="24"/>
          <w:szCs w:val="24"/>
        </w:rPr>
        <w:t>,</w:t>
      </w:r>
      <w:r w:rsidR="002223D8" w:rsidRPr="009374C2">
        <w:rPr>
          <w:sz w:val="24"/>
          <w:szCs w:val="24"/>
        </w:rPr>
        <w:t xml:space="preserve"> it is likely that </w:t>
      </w:r>
      <w:r w:rsidR="00704974" w:rsidRPr="009374C2">
        <w:rPr>
          <w:sz w:val="24"/>
          <w:szCs w:val="24"/>
        </w:rPr>
        <w:t>many</w:t>
      </w:r>
      <w:r w:rsidR="00F617E1" w:rsidRPr="009374C2">
        <w:rPr>
          <w:sz w:val="24"/>
          <w:szCs w:val="24"/>
        </w:rPr>
        <w:t xml:space="preserve"> </w:t>
      </w:r>
      <w:r w:rsidR="00704974" w:rsidRPr="009374C2">
        <w:rPr>
          <w:sz w:val="24"/>
          <w:szCs w:val="24"/>
        </w:rPr>
        <w:t xml:space="preserve">succeeded in purchasing </w:t>
      </w:r>
      <w:r w:rsidR="002223D8" w:rsidRPr="009374C2">
        <w:rPr>
          <w:sz w:val="24"/>
          <w:szCs w:val="24"/>
        </w:rPr>
        <w:t>a home</w:t>
      </w:r>
      <w:r w:rsidR="00F617E1" w:rsidRPr="009374C2">
        <w:rPr>
          <w:sz w:val="24"/>
          <w:szCs w:val="24"/>
        </w:rPr>
        <w:t xml:space="preserve"> with the help of the ever larger mortgages being provided by the banks at this time coupled with weakening lending standards as highlighted above. However</w:t>
      </w:r>
      <w:r w:rsidR="00145533" w:rsidRPr="009374C2">
        <w:rPr>
          <w:sz w:val="24"/>
          <w:szCs w:val="24"/>
        </w:rPr>
        <w:t>,</w:t>
      </w:r>
      <w:r w:rsidR="00F617E1" w:rsidRPr="009374C2">
        <w:rPr>
          <w:sz w:val="24"/>
          <w:szCs w:val="24"/>
        </w:rPr>
        <w:t xml:space="preserve"> a large proportion of low income households could not afford to buy during the property boom as evidenced by the fact </w:t>
      </w:r>
      <w:r w:rsidR="009F4F19" w:rsidRPr="009374C2">
        <w:rPr>
          <w:sz w:val="24"/>
          <w:szCs w:val="24"/>
        </w:rPr>
        <w:t xml:space="preserve">that proportion of Irish households living in private rented accommodation increased </w:t>
      </w:r>
      <w:r w:rsidR="004E0525" w:rsidRPr="009374C2">
        <w:rPr>
          <w:sz w:val="24"/>
          <w:szCs w:val="24"/>
        </w:rPr>
        <w:t xml:space="preserve">during the property boom </w:t>
      </w:r>
      <w:r w:rsidR="004154D2" w:rsidRPr="009374C2">
        <w:rPr>
          <w:sz w:val="24"/>
          <w:szCs w:val="24"/>
        </w:rPr>
        <w:t xml:space="preserve">(for the first time since records begin) </w:t>
      </w:r>
      <w:r w:rsidR="009F4F19" w:rsidRPr="009374C2">
        <w:rPr>
          <w:sz w:val="24"/>
          <w:szCs w:val="24"/>
        </w:rPr>
        <w:t xml:space="preserve">from </w:t>
      </w:r>
      <w:r w:rsidR="002E10A6" w:rsidRPr="009374C2">
        <w:rPr>
          <w:sz w:val="24"/>
          <w:szCs w:val="24"/>
        </w:rPr>
        <w:t>8.1% in 1991 to 11.4%</w:t>
      </w:r>
      <w:r w:rsidR="00B325E7" w:rsidRPr="009374C2">
        <w:rPr>
          <w:sz w:val="24"/>
          <w:szCs w:val="24"/>
        </w:rPr>
        <w:t xml:space="preserve"> in </w:t>
      </w:r>
      <w:r w:rsidR="00145533" w:rsidRPr="009374C2">
        <w:rPr>
          <w:sz w:val="24"/>
          <w:szCs w:val="24"/>
        </w:rPr>
        <w:t>2002 (</w:t>
      </w:r>
      <w:r w:rsidR="008A1273" w:rsidRPr="009374C2">
        <w:rPr>
          <w:sz w:val="24"/>
          <w:szCs w:val="24"/>
        </w:rPr>
        <w:t>see Figure 2</w:t>
      </w:r>
      <w:r w:rsidR="00145533" w:rsidRPr="009374C2">
        <w:rPr>
          <w:sz w:val="24"/>
          <w:szCs w:val="24"/>
        </w:rPr>
        <w:t>)</w:t>
      </w:r>
      <w:r w:rsidR="00B325E7" w:rsidRPr="009374C2">
        <w:rPr>
          <w:sz w:val="24"/>
          <w:szCs w:val="24"/>
        </w:rPr>
        <w:t xml:space="preserve">.  </w:t>
      </w:r>
    </w:p>
    <w:p w14:paraId="112FB888" w14:textId="19A24786" w:rsidR="006E4CD8" w:rsidRPr="009374C2" w:rsidRDefault="00B325E7" w:rsidP="002A60BD">
      <w:pPr>
        <w:spacing w:after="0" w:line="480" w:lineRule="auto"/>
        <w:ind w:firstLine="284"/>
        <w:rPr>
          <w:sz w:val="24"/>
          <w:szCs w:val="24"/>
          <w:lang w:val="en-GB"/>
        </w:rPr>
      </w:pPr>
      <w:r w:rsidRPr="009374C2">
        <w:rPr>
          <w:sz w:val="24"/>
          <w:szCs w:val="24"/>
        </w:rPr>
        <w:t>In contrast to the situation prior to the l</w:t>
      </w:r>
      <w:r w:rsidR="00DD1DE7" w:rsidRPr="009374C2">
        <w:rPr>
          <w:sz w:val="24"/>
          <w:szCs w:val="24"/>
        </w:rPr>
        <w:t>ate 1980s increasing numbers of</w:t>
      </w:r>
      <w:r w:rsidR="00145533" w:rsidRPr="009374C2">
        <w:rPr>
          <w:sz w:val="24"/>
          <w:szCs w:val="24"/>
        </w:rPr>
        <w:t xml:space="preserve"> </w:t>
      </w:r>
      <w:r w:rsidRPr="009374C2">
        <w:rPr>
          <w:sz w:val="24"/>
          <w:szCs w:val="24"/>
        </w:rPr>
        <w:t xml:space="preserve">private renters were supported by government subsidies in the form of Rent </w:t>
      </w:r>
      <w:r w:rsidR="006662EA" w:rsidRPr="009374C2">
        <w:rPr>
          <w:sz w:val="24"/>
          <w:szCs w:val="24"/>
        </w:rPr>
        <w:t>Supplement</w:t>
      </w:r>
      <w:r w:rsidRPr="009374C2">
        <w:rPr>
          <w:sz w:val="24"/>
          <w:szCs w:val="24"/>
        </w:rPr>
        <w:t xml:space="preserve">.  </w:t>
      </w:r>
      <w:r w:rsidR="00AF75EB" w:rsidRPr="009374C2">
        <w:rPr>
          <w:sz w:val="24"/>
          <w:szCs w:val="24"/>
          <w:lang w:val="en-GB"/>
        </w:rPr>
        <w:t>In the decade from 1994 Rent Supplement claimant numbers increased by 101</w:t>
      </w:r>
      <w:r w:rsidR="002E10A6" w:rsidRPr="009374C2">
        <w:rPr>
          <w:sz w:val="24"/>
          <w:szCs w:val="24"/>
          <w:lang w:val="en-GB"/>
        </w:rPr>
        <w:t>%</w:t>
      </w:r>
      <w:r w:rsidR="00AF75EB" w:rsidRPr="009374C2">
        <w:rPr>
          <w:sz w:val="24"/>
          <w:szCs w:val="24"/>
          <w:lang w:val="en-GB"/>
        </w:rPr>
        <w:t xml:space="preserve"> whereas the number of mainstream public housing tenants increased by just 15.2</w:t>
      </w:r>
      <w:r w:rsidR="00145533" w:rsidRPr="009374C2">
        <w:rPr>
          <w:sz w:val="24"/>
          <w:szCs w:val="24"/>
          <w:lang w:val="en-GB"/>
        </w:rPr>
        <w:t xml:space="preserve"> </w:t>
      </w:r>
      <w:r w:rsidR="002E10A6" w:rsidRPr="009374C2">
        <w:rPr>
          <w:sz w:val="24"/>
          <w:szCs w:val="24"/>
          <w:lang w:val="en-GB"/>
        </w:rPr>
        <w:t>%</w:t>
      </w:r>
      <w:r w:rsidR="00AF75EB" w:rsidRPr="009374C2">
        <w:rPr>
          <w:sz w:val="24"/>
          <w:szCs w:val="24"/>
          <w:lang w:val="en-GB"/>
        </w:rPr>
        <w:t xml:space="preserve">.  </w:t>
      </w:r>
      <w:r w:rsidR="00145533" w:rsidRPr="009374C2">
        <w:rPr>
          <w:sz w:val="24"/>
          <w:szCs w:val="24"/>
          <w:lang w:val="en-GB"/>
        </w:rPr>
        <w:t>As mentioned above Rent Supplement is only available to benefit dependent households which indicates that many claimants would have secured public housing in previous decades</w:t>
      </w:r>
      <w:r w:rsidR="004E0525" w:rsidRPr="009374C2">
        <w:rPr>
          <w:sz w:val="24"/>
          <w:szCs w:val="24"/>
          <w:lang w:val="en-GB"/>
        </w:rPr>
        <w:t xml:space="preserve"> when more of these dwellings were available</w:t>
      </w:r>
      <w:r w:rsidR="006E4CD8" w:rsidRPr="009374C2">
        <w:rPr>
          <w:sz w:val="24"/>
          <w:szCs w:val="24"/>
          <w:lang w:val="en-GB"/>
        </w:rPr>
        <w:t xml:space="preserve"> </w:t>
      </w:r>
      <w:r w:rsidR="00145533" w:rsidRPr="009374C2">
        <w:rPr>
          <w:sz w:val="24"/>
          <w:szCs w:val="24"/>
          <w:lang w:val="en-GB"/>
        </w:rPr>
        <w:t>and the contraction in the latter is directly related to the expansion in the former.</w:t>
      </w:r>
      <w:r w:rsidR="00704974" w:rsidRPr="009374C2">
        <w:rPr>
          <w:sz w:val="24"/>
          <w:szCs w:val="24"/>
          <w:lang w:val="en-GB"/>
        </w:rPr>
        <w:t xml:space="preserve">  The growth in Rent Supplement Claimants also made an important contribution to the increase in buy-to-let invest</w:t>
      </w:r>
      <w:r w:rsidR="008A1273" w:rsidRPr="009374C2">
        <w:rPr>
          <w:sz w:val="24"/>
          <w:szCs w:val="24"/>
          <w:lang w:val="en-GB"/>
        </w:rPr>
        <w:t>ors</w:t>
      </w:r>
      <w:r w:rsidR="00704974" w:rsidRPr="009374C2">
        <w:rPr>
          <w:sz w:val="24"/>
          <w:szCs w:val="24"/>
          <w:lang w:val="en-GB"/>
        </w:rPr>
        <w:t xml:space="preserve"> which was </w:t>
      </w:r>
      <w:r w:rsidR="004154D2" w:rsidRPr="009374C2">
        <w:rPr>
          <w:sz w:val="24"/>
          <w:szCs w:val="24"/>
          <w:lang w:val="en-GB"/>
        </w:rPr>
        <w:t>a central</w:t>
      </w:r>
      <w:r w:rsidR="00704974" w:rsidRPr="009374C2">
        <w:rPr>
          <w:sz w:val="24"/>
          <w:szCs w:val="24"/>
          <w:lang w:val="en-GB"/>
        </w:rPr>
        <w:t xml:space="preserve"> driver of the </w:t>
      </w:r>
      <w:r w:rsidR="004E0525" w:rsidRPr="009374C2">
        <w:rPr>
          <w:sz w:val="24"/>
          <w:szCs w:val="24"/>
          <w:lang w:val="en-GB"/>
        </w:rPr>
        <w:t xml:space="preserve">credit and house </w:t>
      </w:r>
      <w:r w:rsidR="004C532C" w:rsidRPr="009374C2">
        <w:rPr>
          <w:sz w:val="24"/>
          <w:szCs w:val="24"/>
          <w:lang w:val="en-GB"/>
        </w:rPr>
        <w:t>boom.  This is because</w:t>
      </w:r>
      <w:r w:rsidR="002A60BD" w:rsidRPr="009374C2">
        <w:rPr>
          <w:sz w:val="24"/>
          <w:szCs w:val="24"/>
          <w:lang w:val="en-GB"/>
        </w:rPr>
        <w:t>,</w:t>
      </w:r>
      <w:r w:rsidR="004C532C" w:rsidRPr="009374C2">
        <w:rPr>
          <w:sz w:val="24"/>
          <w:szCs w:val="24"/>
          <w:lang w:val="en-GB"/>
        </w:rPr>
        <w:t xml:space="preserve"> particularly in cities</w:t>
      </w:r>
      <w:r w:rsidR="002A60BD" w:rsidRPr="009374C2">
        <w:rPr>
          <w:sz w:val="24"/>
          <w:szCs w:val="24"/>
          <w:lang w:val="en-GB"/>
        </w:rPr>
        <w:t>,</w:t>
      </w:r>
      <w:r w:rsidR="004C532C" w:rsidRPr="009374C2">
        <w:rPr>
          <w:sz w:val="24"/>
          <w:szCs w:val="24"/>
          <w:lang w:val="en-GB"/>
        </w:rPr>
        <w:t xml:space="preserve"> the state </w:t>
      </w:r>
      <w:r w:rsidR="00681E1E" w:rsidRPr="009374C2">
        <w:rPr>
          <w:sz w:val="24"/>
          <w:szCs w:val="24"/>
          <w:lang w:val="en-GB"/>
        </w:rPr>
        <w:t xml:space="preserve">via Rent Supplement </w:t>
      </w:r>
      <w:r w:rsidR="004C532C" w:rsidRPr="009374C2">
        <w:rPr>
          <w:sz w:val="24"/>
          <w:szCs w:val="24"/>
          <w:lang w:val="en-GB"/>
        </w:rPr>
        <w:t>was by the largest procurer of private re</w:t>
      </w:r>
      <w:r w:rsidR="002A60BD" w:rsidRPr="009374C2">
        <w:rPr>
          <w:sz w:val="24"/>
          <w:szCs w:val="24"/>
          <w:lang w:val="en-GB"/>
        </w:rPr>
        <w:t xml:space="preserve">nted housing </w:t>
      </w:r>
      <w:r w:rsidR="00681E1E" w:rsidRPr="009374C2">
        <w:rPr>
          <w:sz w:val="24"/>
          <w:szCs w:val="24"/>
          <w:lang w:val="en-GB"/>
        </w:rPr>
        <w:t xml:space="preserve">(33.9 </w:t>
      </w:r>
      <w:r w:rsidR="002E10A6" w:rsidRPr="009374C2">
        <w:rPr>
          <w:sz w:val="24"/>
          <w:szCs w:val="24"/>
          <w:lang w:val="en-GB"/>
        </w:rPr>
        <w:t>%</w:t>
      </w:r>
      <w:r w:rsidR="00681E1E" w:rsidRPr="009374C2">
        <w:rPr>
          <w:sz w:val="24"/>
          <w:szCs w:val="24"/>
          <w:lang w:val="en-GB"/>
        </w:rPr>
        <w:t xml:space="preserve"> of private rented tenancies in Dublin were financed in this way in 2002)</w:t>
      </w:r>
      <w:r w:rsidR="004C532C" w:rsidRPr="009374C2">
        <w:rPr>
          <w:sz w:val="24"/>
          <w:szCs w:val="24"/>
          <w:lang w:val="en-GB"/>
        </w:rPr>
        <w:t xml:space="preserve"> therefore the benefit helped to maintaining th</w:t>
      </w:r>
      <w:r w:rsidR="00681E1E" w:rsidRPr="009374C2">
        <w:rPr>
          <w:sz w:val="24"/>
          <w:szCs w:val="24"/>
          <w:lang w:val="en-GB"/>
        </w:rPr>
        <w:t>e rental market and rent levels (Department of Social Protection, various years; Central Statistics Office, various years).</w:t>
      </w:r>
      <w:r w:rsidR="002A60BD" w:rsidRPr="009374C2">
        <w:rPr>
          <w:sz w:val="24"/>
          <w:szCs w:val="24"/>
          <w:lang w:val="en-GB"/>
        </w:rPr>
        <w:t xml:space="preserve">  Somewhat ironically concerns about the role of Rent Supplement in artificially maintaining private rent rates</w:t>
      </w:r>
      <w:r w:rsidR="006662EA" w:rsidRPr="009374C2">
        <w:rPr>
          <w:sz w:val="24"/>
          <w:szCs w:val="24"/>
          <w:lang w:val="en-GB"/>
        </w:rPr>
        <w:t xml:space="preserve"> inspired the government to </w:t>
      </w:r>
      <w:r w:rsidR="00AA2F90" w:rsidRPr="009374C2">
        <w:rPr>
          <w:sz w:val="24"/>
          <w:szCs w:val="24"/>
          <w:lang w:val="en-GB"/>
        </w:rPr>
        <w:t xml:space="preserve">lease dwellings from private landlords for re-letting as public housing in an effort to gain more influence over private rents.  This programme called the Rental Accommodation Scheme </w:t>
      </w:r>
      <w:r w:rsidR="00440303" w:rsidRPr="009374C2">
        <w:rPr>
          <w:sz w:val="24"/>
          <w:szCs w:val="24"/>
          <w:lang w:val="en-GB"/>
        </w:rPr>
        <w:t xml:space="preserve">(RAS) </w:t>
      </w:r>
      <w:r w:rsidR="00AA2F90" w:rsidRPr="009374C2">
        <w:rPr>
          <w:sz w:val="24"/>
          <w:szCs w:val="24"/>
          <w:lang w:val="en-GB"/>
        </w:rPr>
        <w:t>which was launched in 2004 further increased the role of government in supporting the private rental market</w:t>
      </w:r>
      <w:r w:rsidR="00440303" w:rsidRPr="009374C2">
        <w:rPr>
          <w:sz w:val="24"/>
          <w:szCs w:val="24"/>
          <w:lang w:val="en-GB"/>
        </w:rPr>
        <w:t xml:space="preserve"> (Norris &amp; Coates, 2010)</w:t>
      </w:r>
      <w:r w:rsidR="00AA2F90" w:rsidRPr="009374C2">
        <w:rPr>
          <w:sz w:val="24"/>
          <w:szCs w:val="24"/>
          <w:lang w:val="en-GB"/>
        </w:rPr>
        <w:t xml:space="preserve">.  By the peak of the property bubble in 2006 </w:t>
      </w:r>
      <w:r w:rsidR="00440303" w:rsidRPr="009374C2">
        <w:rPr>
          <w:sz w:val="24"/>
          <w:szCs w:val="24"/>
          <w:lang w:val="en-GB"/>
        </w:rPr>
        <w:t>the number of households living in government subsidised private rented housing via Rent Supplement and RAS had reached half the number living in mainstream public housing (60,694</w:t>
      </w:r>
      <w:r w:rsidR="00AA2F90" w:rsidRPr="009374C2">
        <w:rPr>
          <w:sz w:val="24"/>
          <w:szCs w:val="24"/>
          <w:lang w:val="en-GB"/>
        </w:rPr>
        <w:t xml:space="preserve"> </w:t>
      </w:r>
      <w:r w:rsidR="00440303" w:rsidRPr="009374C2">
        <w:rPr>
          <w:sz w:val="24"/>
          <w:szCs w:val="24"/>
          <w:lang w:val="en-GB"/>
        </w:rPr>
        <w:t>compared to 130,300)</w:t>
      </w:r>
      <w:r w:rsidR="004E0525" w:rsidRPr="009374C2">
        <w:rPr>
          <w:sz w:val="24"/>
          <w:szCs w:val="24"/>
          <w:lang w:val="en-GB"/>
        </w:rPr>
        <w:t xml:space="preserve"> (</w:t>
      </w:r>
      <w:r w:rsidR="00440303" w:rsidRPr="009374C2">
        <w:rPr>
          <w:sz w:val="24"/>
          <w:szCs w:val="24"/>
          <w:lang w:val="en-GB"/>
        </w:rPr>
        <w:t>Department of Housing, Planning and Local Government, various years; Department of Social Protection, various years).</w:t>
      </w:r>
      <w:r w:rsidR="00170398" w:rsidRPr="009374C2">
        <w:rPr>
          <w:sz w:val="24"/>
          <w:szCs w:val="24"/>
          <w:lang w:val="en-GB"/>
        </w:rPr>
        <w:t xml:space="preserve">  Many of these private renters received government subsidies for an extended period which indicates that the sector had begun to act as a form of marketised, quasi-public housing (albeit with</w:t>
      </w:r>
      <w:r w:rsidR="004154D2" w:rsidRPr="009374C2">
        <w:rPr>
          <w:sz w:val="24"/>
          <w:szCs w:val="24"/>
          <w:lang w:val="en-GB"/>
        </w:rPr>
        <w:t>out</w:t>
      </w:r>
      <w:r w:rsidR="00170398" w:rsidRPr="009374C2">
        <w:rPr>
          <w:sz w:val="24"/>
          <w:szCs w:val="24"/>
          <w:lang w:val="en-GB"/>
        </w:rPr>
        <w:t xml:space="preserve"> the security of tenure rights enjoyed by mainstream public tenants).</w:t>
      </w:r>
    </w:p>
    <w:p w14:paraId="63DC085A" w14:textId="6A8F8724" w:rsidR="007A1B7C" w:rsidRPr="009374C2" w:rsidRDefault="0038636A" w:rsidP="00712A51">
      <w:pPr>
        <w:spacing w:after="240" w:line="480" w:lineRule="auto"/>
        <w:ind w:firstLine="288"/>
        <w:rPr>
          <w:sz w:val="24"/>
          <w:szCs w:val="24"/>
        </w:rPr>
      </w:pPr>
      <w:r w:rsidRPr="009374C2">
        <w:rPr>
          <w:sz w:val="24"/>
          <w:szCs w:val="24"/>
          <w:lang w:val="en-GB"/>
        </w:rPr>
        <w:t xml:space="preserve">The pro-cyclical role of public housing was further </w:t>
      </w:r>
      <w:r w:rsidR="00170398" w:rsidRPr="009374C2">
        <w:rPr>
          <w:sz w:val="24"/>
          <w:szCs w:val="24"/>
          <w:lang w:val="en-GB"/>
        </w:rPr>
        <w:t xml:space="preserve">amplified </w:t>
      </w:r>
      <w:r w:rsidRPr="009374C2">
        <w:rPr>
          <w:sz w:val="24"/>
          <w:szCs w:val="24"/>
          <w:lang w:val="en-GB"/>
        </w:rPr>
        <w:t xml:space="preserve">by a number of changes made to arrangements for procuring these dwellings which were initiated during the 1990s and early </w:t>
      </w:r>
      <w:r w:rsidR="00DF788D" w:rsidRPr="009374C2">
        <w:rPr>
          <w:sz w:val="24"/>
          <w:szCs w:val="24"/>
          <w:lang w:val="en-GB"/>
        </w:rPr>
        <w:t>2000s</w:t>
      </w:r>
      <w:r w:rsidRPr="009374C2">
        <w:rPr>
          <w:sz w:val="24"/>
          <w:szCs w:val="24"/>
          <w:lang w:val="en-GB"/>
        </w:rPr>
        <w:t xml:space="preserve">.  </w:t>
      </w:r>
      <w:r w:rsidR="00170398" w:rsidRPr="009374C2">
        <w:rPr>
          <w:sz w:val="24"/>
          <w:szCs w:val="24"/>
          <w:lang w:val="en-GB"/>
        </w:rPr>
        <w:t>The first of these relates to the increasing</w:t>
      </w:r>
      <w:r w:rsidR="004154D2" w:rsidRPr="009374C2">
        <w:rPr>
          <w:sz w:val="24"/>
          <w:szCs w:val="24"/>
          <w:lang w:val="en-GB"/>
        </w:rPr>
        <w:t>ly widespread</w:t>
      </w:r>
      <w:r w:rsidR="00170398" w:rsidRPr="009374C2">
        <w:rPr>
          <w:sz w:val="24"/>
          <w:szCs w:val="24"/>
          <w:lang w:val="en-GB"/>
        </w:rPr>
        <w:t xml:space="preserve"> purchase of existing dwellings for inclusion in the public sector stock, as opposed to building dwellings especially for this purpose.  As mentioned above prior to the late 1980s virtually all the public sector housing</w:t>
      </w:r>
      <w:r w:rsidR="004A2B06" w:rsidRPr="009374C2">
        <w:rPr>
          <w:sz w:val="24"/>
          <w:szCs w:val="24"/>
          <w:lang w:val="en-GB"/>
        </w:rPr>
        <w:t xml:space="preserve"> stock was purpose built, but f</w:t>
      </w:r>
      <w:r w:rsidR="00170398" w:rsidRPr="009374C2">
        <w:rPr>
          <w:sz w:val="24"/>
          <w:szCs w:val="24"/>
          <w:lang w:val="en-GB"/>
        </w:rPr>
        <w:t>r</w:t>
      </w:r>
      <w:r w:rsidR="004A2B06" w:rsidRPr="009374C2">
        <w:rPr>
          <w:sz w:val="24"/>
          <w:szCs w:val="24"/>
          <w:lang w:val="en-GB"/>
        </w:rPr>
        <w:t>o</w:t>
      </w:r>
      <w:r w:rsidR="00170398" w:rsidRPr="009374C2">
        <w:rPr>
          <w:sz w:val="24"/>
          <w:szCs w:val="24"/>
          <w:lang w:val="en-GB"/>
        </w:rPr>
        <w:t>m end of this decade public housing landlords began to rely increasingly on purchasing existing dwellings to the extent that 31.3</w:t>
      </w:r>
      <w:r w:rsidR="002E10A6" w:rsidRPr="009374C2">
        <w:rPr>
          <w:sz w:val="24"/>
          <w:szCs w:val="24"/>
          <w:lang w:val="en-GB"/>
        </w:rPr>
        <w:t>%</w:t>
      </w:r>
      <w:r w:rsidR="00170398" w:rsidRPr="009374C2">
        <w:rPr>
          <w:sz w:val="24"/>
          <w:szCs w:val="24"/>
          <w:lang w:val="en-GB"/>
        </w:rPr>
        <w:t xml:space="preserve"> of all new public housing stock was procured in this way in 2000 </w:t>
      </w:r>
      <w:r w:rsidR="004A2B06" w:rsidRPr="009374C2">
        <w:rPr>
          <w:sz w:val="24"/>
          <w:szCs w:val="24"/>
          <w:lang w:val="en-GB"/>
        </w:rPr>
        <w:t>(Depart</w:t>
      </w:r>
      <w:r w:rsidR="00170398" w:rsidRPr="009374C2">
        <w:rPr>
          <w:sz w:val="24"/>
          <w:szCs w:val="24"/>
          <w:lang w:val="en-GB"/>
        </w:rPr>
        <w:t xml:space="preserve">ment of Housing, Panning and Local Government, various years).  </w:t>
      </w:r>
      <w:r w:rsidR="000370AC" w:rsidRPr="009374C2">
        <w:rPr>
          <w:sz w:val="24"/>
          <w:szCs w:val="24"/>
          <w:lang w:val="en-GB"/>
        </w:rPr>
        <w:t xml:space="preserve">This policy shifty was partially inspired by concerns about socio-spatial segregation </w:t>
      </w:r>
      <w:r w:rsidR="0021089D" w:rsidRPr="009374C2">
        <w:rPr>
          <w:sz w:val="24"/>
          <w:szCs w:val="24"/>
          <w:lang w:val="en-GB"/>
        </w:rPr>
        <w:t>generated by</w:t>
      </w:r>
      <w:r w:rsidR="000370AC" w:rsidRPr="009374C2">
        <w:rPr>
          <w:sz w:val="24"/>
          <w:szCs w:val="24"/>
          <w:lang w:val="en-GB"/>
        </w:rPr>
        <w:t xml:space="preserve"> large </w:t>
      </w:r>
      <w:r w:rsidR="0021089D" w:rsidRPr="009374C2">
        <w:rPr>
          <w:sz w:val="24"/>
          <w:szCs w:val="24"/>
          <w:lang w:val="en-GB"/>
        </w:rPr>
        <w:t xml:space="preserve">mono-tenure </w:t>
      </w:r>
      <w:r w:rsidR="000370AC" w:rsidRPr="009374C2">
        <w:rPr>
          <w:sz w:val="24"/>
          <w:szCs w:val="24"/>
          <w:lang w:val="en-GB"/>
        </w:rPr>
        <w:t>public housing estates and this concern also partially motivated the introduction of</w:t>
      </w:r>
      <w:r w:rsidR="00AF75EB" w:rsidRPr="009374C2">
        <w:rPr>
          <w:sz w:val="24"/>
          <w:szCs w:val="24"/>
          <w:lang w:val="en-GB"/>
        </w:rPr>
        <w:t xml:space="preserve"> </w:t>
      </w:r>
      <w:r w:rsidR="0021089D" w:rsidRPr="009374C2">
        <w:rPr>
          <w:sz w:val="24"/>
          <w:szCs w:val="24"/>
          <w:lang w:val="en-GB"/>
        </w:rPr>
        <w:t>“</w:t>
      </w:r>
      <w:r w:rsidR="00AF75EB" w:rsidRPr="009374C2">
        <w:rPr>
          <w:sz w:val="24"/>
          <w:szCs w:val="24"/>
          <w:lang w:val="en-GB"/>
        </w:rPr>
        <w:t>inclusionary zoning</w:t>
      </w:r>
      <w:r w:rsidR="0021089D" w:rsidRPr="009374C2">
        <w:rPr>
          <w:sz w:val="24"/>
          <w:szCs w:val="24"/>
          <w:lang w:val="en-GB"/>
        </w:rPr>
        <w:t>”</w:t>
      </w:r>
      <w:r w:rsidR="00AF75EB" w:rsidRPr="009374C2">
        <w:rPr>
          <w:sz w:val="24"/>
          <w:szCs w:val="24"/>
          <w:lang w:val="en-GB"/>
        </w:rPr>
        <w:t xml:space="preserve"> </w:t>
      </w:r>
      <w:r w:rsidR="00AF75EB" w:rsidRPr="009374C2">
        <w:rPr>
          <w:sz w:val="24"/>
          <w:szCs w:val="24"/>
        </w:rPr>
        <w:t>by the Planning and Development Act 2000</w:t>
      </w:r>
      <w:r w:rsidR="000370AC" w:rsidRPr="009374C2">
        <w:rPr>
          <w:sz w:val="24"/>
          <w:szCs w:val="24"/>
        </w:rPr>
        <w:t xml:space="preserve">.  This legislation enabled </w:t>
      </w:r>
      <w:r w:rsidR="00AF75EB" w:rsidRPr="009374C2">
        <w:rPr>
          <w:sz w:val="24"/>
          <w:szCs w:val="24"/>
        </w:rPr>
        <w:t>local government to req</w:t>
      </w:r>
      <w:r w:rsidR="0021089D" w:rsidRPr="009374C2">
        <w:rPr>
          <w:sz w:val="24"/>
          <w:szCs w:val="24"/>
        </w:rPr>
        <w:t xml:space="preserve">uire that up to approximately 20% </w:t>
      </w:r>
      <w:r w:rsidR="00AF75EB" w:rsidRPr="009374C2">
        <w:rPr>
          <w:sz w:val="24"/>
          <w:szCs w:val="24"/>
        </w:rPr>
        <w:t xml:space="preserve">of land zoned for housing </w:t>
      </w:r>
      <w:r w:rsidR="000370AC" w:rsidRPr="009374C2">
        <w:rPr>
          <w:sz w:val="24"/>
          <w:szCs w:val="24"/>
        </w:rPr>
        <w:t xml:space="preserve">could be </w:t>
      </w:r>
      <w:r w:rsidR="00AF75EB" w:rsidRPr="009374C2">
        <w:rPr>
          <w:sz w:val="24"/>
          <w:szCs w:val="24"/>
        </w:rPr>
        <w:t>employed to meet public housing need</w:t>
      </w:r>
      <w:r w:rsidR="000370AC" w:rsidRPr="009374C2">
        <w:rPr>
          <w:sz w:val="24"/>
          <w:szCs w:val="24"/>
        </w:rPr>
        <w:t xml:space="preserve"> or for sale at cost price to low income home buyers</w:t>
      </w:r>
      <w:r w:rsidR="00AF75EB" w:rsidRPr="009374C2">
        <w:rPr>
          <w:sz w:val="24"/>
          <w:szCs w:val="24"/>
        </w:rPr>
        <w:t xml:space="preserve">. </w:t>
      </w:r>
      <w:r w:rsidR="000370AC" w:rsidRPr="009374C2">
        <w:rPr>
          <w:sz w:val="24"/>
          <w:szCs w:val="24"/>
        </w:rPr>
        <w:t xml:space="preserve"> </w:t>
      </w:r>
      <w:r w:rsidR="00AF75EB" w:rsidRPr="009374C2">
        <w:rPr>
          <w:sz w:val="24"/>
          <w:szCs w:val="24"/>
        </w:rPr>
        <w:t xml:space="preserve">The 2000 legislation delivered </w:t>
      </w:r>
      <w:r w:rsidR="009500BC" w:rsidRPr="009374C2">
        <w:rPr>
          <w:sz w:val="24"/>
          <w:szCs w:val="24"/>
        </w:rPr>
        <w:t>13% of all</w:t>
      </w:r>
      <w:r w:rsidR="00AF75EB" w:rsidRPr="009374C2">
        <w:rPr>
          <w:sz w:val="24"/>
          <w:szCs w:val="24"/>
        </w:rPr>
        <w:t xml:space="preserve"> new public housing units</w:t>
      </w:r>
      <w:r w:rsidR="000370AC" w:rsidRPr="009374C2">
        <w:rPr>
          <w:sz w:val="24"/>
          <w:szCs w:val="24"/>
        </w:rPr>
        <w:t xml:space="preserve"> </w:t>
      </w:r>
      <w:r w:rsidR="009500BC" w:rsidRPr="009374C2">
        <w:rPr>
          <w:sz w:val="24"/>
          <w:szCs w:val="24"/>
        </w:rPr>
        <w:t xml:space="preserve">provided </w:t>
      </w:r>
      <w:r w:rsidR="000370AC" w:rsidRPr="009374C2">
        <w:rPr>
          <w:sz w:val="24"/>
          <w:szCs w:val="24"/>
        </w:rPr>
        <w:t>between 2002 and 2011</w:t>
      </w:r>
      <w:r w:rsidR="00AF75EB" w:rsidRPr="009374C2">
        <w:rPr>
          <w:sz w:val="24"/>
          <w:szCs w:val="24"/>
        </w:rPr>
        <w:t xml:space="preserve"> (DMK and Brady Shipman Martin, 2012). </w:t>
      </w:r>
      <w:r w:rsidR="000370AC" w:rsidRPr="009374C2">
        <w:rPr>
          <w:sz w:val="24"/>
          <w:szCs w:val="24"/>
        </w:rPr>
        <w:t xml:space="preserve"> </w:t>
      </w:r>
      <w:r w:rsidR="00AF75EB" w:rsidRPr="009374C2">
        <w:rPr>
          <w:sz w:val="24"/>
          <w:szCs w:val="24"/>
        </w:rPr>
        <w:t xml:space="preserve">Finally, in the mid-2000s proposals were formulated to transfer ownership of parts of seven large public housing neighbourhoods </w:t>
      </w:r>
      <w:r w:rsidR="004A2B06" w:rsidRPr="009374C2">
        <w:rPr>
          <w:sz w:val="24"/>
          <w:szCs w:val="24"/>
        </w:rPr>
        <w:t xml:space="preserve">in Dublin </w:t>
      </w:r>
      <w:r w:rsidR="00AF75EB" w:rsidRPr="009374C2">
        <w:rPr>
          <w:sz w:val="24"/>
          <w:szCs w:val="24"/>
        </w:rPr>
        <w:t xml:space="preserve">to private developers in return for which they would rebuild or refurbish the remaining public housing stock.  </w:t>
      </w:r>
      <w:r w:rsidR="004A2B06" w:rsidRPr="009374C2">
        <w:rPr>
          <w:sz w:val="24"/>
          <w:szCs w:val="24"/>
        </w:rPr>
        <w:t>Although only of these public private partnership (</w:t>
      </w:r>
      <w:r w:rsidR="00AF75EB" w:rsidRPr="009374C2">
        <w:rPr>
          <w:sz w:val="24"/>
          <w:szCs w:val="24"/>
        </w:rPr>
        <w:t>PPPs</w:t>
      </w:r>
      <w:r w:rsidR="004A2B06" w:rsidRPr="009374C2">
        <w:rPr>
          <w:sz w:val="24"/>
          <w:szCs w:val="24"/>
        </w:rPr>
        <w:t>) regeneration schemes ultimately came to fruition these programmes and</w:t>
      </w:r>
      <w:r w:rsidR="00AF75EB" w:rsidRPr="009374C2">
        <w:rPr>
          <w:sz w:val="24"/>
          <w:szCs w:val="24"/>
        </w:rPr>
        <w:t xml:space="preserve"> the 2000 Planning Act tied public housing output directly to private housing output and also to rising housing and land prices </w:t>
      </w:r>
      <w:r w:rsidR="004A2B06" w:rsidRPr="009374C2">
        <w:rPr>
          <w:sz w:val="24"/>
          <w:szCs w:val="24"/>
        </w:rPr>
        <w:t>(</w:t>
      </w:r>
      <w:r w:rsidR="00AF75EB" w:rsidRPr="009374C2">
        <w:rPr>
          <w:sz w:val="24"/>
          <w:szCs w:val="24"/>
        </w:rPr>
        <w:t xml:space="preserve">because these were key to ensuring the commercial viability of </w:t>
      </w:r>
      <w:r w:rsidR="004A2B06" w:rsidRPr="009374C2">
        <w:rPr>
          <w:sz w:val="24"/>
          <w:szCs w:val="24"/>
        </w:rPr>
        <w:t xml:space="preserve">private </w:t>
      </w:r>
      <w:r w:rsidR="00AF75EB" w:rsidRPr="009374C2">
        <w:rPr>
          <w:sz w:val="24"/>
          <w:szCs w:val="24"/>
        </w:rPr>
        <w:t>housing developments</w:t>
      </w:r>
      <w:r w:rsidR="004A2B06" w:rsidRPr="009374C2">
        <w:rPr>
          <w:sz w:val="24"/>
          <w:szCs w:val="24"/>
        </w:rPr>
        <w:t>)</w:t>
      </w:r>
      <w:r w:rsidR="00AF75EB" w:rsidRPr="009374C2">
        <w:rPr>
          <w:sz w:val="24"/>
          <w:szCs w:val="24"/>
        </w:rPr>
        <w:t xml:space="preserve">.  Thus these two policy measures </w:t>
      </w:r>
      <w:r w:rsidR="004A2B06" w:rsidRPr="009374C2">
        <w:rPr>
          <w:sz w:val="24"/>
          <w:szCs w:val="24"/>
        </w:rPr>
        <w:t xml:space="preserve">further contributed to </w:t>
      </w:r>
      <w:r w:rsidR="00AF75EB" w:rsidRPr="009374C2">
        <w:rPr>
          <w:sz w:val="24"/>
          <w:szCs w:val="24"/>
        </w:rPr>
        <w:t xml:space="preserve">the marketization </w:t>
      </w:r>
      <w:r w:rsidR="004A2B06" w:rsidRPr="009374C2">
        <w:rPr>
          <w:sz w:val="24"/>
          <w:szCs w:val="24"/>
        </w:rPr>
        <w:t xml:space="preserve">and pro-cyclicality of </w:t>
      </w:r>
      <w:r w:rsidR="00AF75EB" w:rsidRPr="009374C2">
        <w:rPr>
          <w:sz w:val="24"/>
          <w:szCs w:val="24"/>
        </w:rPr>
        <w:t>public housing delivery.</w:t>
      </w:r>
      <w:r w:rsidR="00B47871" w:rsidRPr="009374C2">
        <w:rPr>
          <w:sz w:val="24"/>
          <w:szCs w:val="24"/>
        </w:rPr>
        <w:t xml:space="preserve">  The growing reliance on the purchase rather than the construction of public housing reinforced </w:t>
      </w:r>
      <w:r w:rsidR="007A1B7C" w:rsidRPr="009374C2">
        <w:rPr>
          <w:sz w:val="24"/>
          <w:szCs w:val="24"/>
        </w:rPr>
        <w:t xml:space="preserve">this trend </w:t>
      </w:r>
      <w:r w:rsidR="00101890" w:rsidRPr="009374C2">
        <w:rPr>
          <w:sz w:val="24"/>
          <w:szCs w:val="24"/>
        </w:rPr>
        <w:t xml:space="preserve">while </w:t>
      </w:r>
      <w:r w:rsidR="007A1B7C" w:rsidRPr="009374C2">
        <w:rPr>
          <w:sz w:val="24"/>
          <w:szCs w:val="24"/>
        </w:rPr>
        <w:t>undermining public housing’s</w:t>
      </w:r>
      <w:r w:rsidR="00101890" w:rsidRPr="009374C2">
        <w:rPr>
          <w:sz w:val="24"/>
          <w:szCs w:val="24"/>
        </w:rPr>
        <w:t xml:space="preserve"> traditional </w:t>
      </w:r>
      <w:r w:rsidR="007A1B7C" w:rsidRPr="009374C2">
        <w:rPr>
          <w:sz w:val="24"/>
          <w:szCs w:val="24"/>
        </w:rPr>
        <w:t xml:space="preserve">economic role of providing </w:t>
      </w:r>
      <w:r w:rsidR="00101890" w:rsidRPr="009374C2">
        <w:rPr>
          <w:sz w:val="24"/>
          <w:szCs w:val="24"/>
        </w:rPr>
        <w:t xml:space="preserve">additional housing </w:t>
      </w:r>
      <w:r w:rsidR="007A1B7C" w:rsidRPr="009374C2">
        <w:rPr>
          <w:sz w:val="24"/>
          <w:szCs w:val="24"/>
        </w:rPr>
        <w:t>to counterbalance market undersupply.</w:t>
      </w:r>
    </w:p>
    <w:p w14:paraId="3C561662" w14:textId="41FDF47B" w:rsidR="00AF75EB" w:rsidRPr="009374C2" w:rsidRDefault="00AF75EB" w:rsidP="00AC6756">
      <w:pPr>
        <w:tabs>
          <w:tab w:val="left" w:pos="3132"/>
        </w:tabs>
        <w:spacing w:after="0" w:line="480" w:lineRule="auto"/>
        <w:jc w:val="both"/>
        <w:rPr>
          <w:b/>
          <w:i/>
          <w:sz w:val="24"/>
          <w:szCs w:val="24"/>
          <w:lang w:val="en-GB"/>
        </w:rPr>
      </w:pPr>
      <w:r w:rsidRPr="009374C2">
        <w:rPr>
          <w:b/>
          <w:i/>
          <w:sz w:val="24"/>
          <w:szCs w:val="24"/>
          <w:lang w:val="en-GB"/>
        </w:rPr>
        <w:t xml:space="preserve">The </w:t>
      </w:r>
      <w:r w:rsidR="008A1273" w:rsidRPr="009374C2">
        <w:rPr>
          <w:b/>
          <w:i/>
          <w:sz w:val="24"/>
          <w:szCs w:val="24"/>
          <w:lang w:val="en-GB"/>
        </w:rPr>
        <w:t>P</w:t>
      </w:r>
      <w:r w:rsidRPr="009374C2">
        <w:rPr>
          <w:b/>
          <w:i/>
          <w:sz w:val="24"/>
          <w:szCs w:val="24"/>
          <w:lang w:val="en-GB"/>
        </w:rPr>
        <w:t xml:space="preserve">roperty </w:t>
      </w:r>
      <w:r w:rsidR="008A1273" w:rsidRPr="009374C2">
        <w:rPr>
          <w:b/>
          <w:i/>
          <w:sz w:val="24"/>
          <w:szCs w:val="24"/>
          <w:lang w:val="en-GB"/>
        </w:rPr>
        <w:t>C</w:t>
      </w:r>
      <w:r w:rsidRPr="009374C2">
        <w:rPr>
          <w:b/>
          <w:i/>
          <w:sz w:val="24"/>
          <w:szCs w:val="24"/>
          <w:lang w:val="en-GB"/>
        </w:rPr>
        <w:t xml:space="preserve">rash and </w:t>
      </w:r>
      <w:r w:rsidR="008A1273" w:rsidRPr="009374C2">
        <w:rPr>
          <w:b/>
          <w:i/>
          <w:sz w:val="24"/>
          <w:szCs w:val="24"/>
          <w:lang w:val="en-GB"/>
        </w:rPr>
        <w:t>P</w:t>
      </w:r>
      <w:r w:rsidR="00D7493C" w:rsidRPr="009374C2">
        <w:rPr>
          <w:b/>
          <w:i/>
          <w:sz w:val="24"/>
          <w:szCs w:val="24"/>
          <w:lang w:val="en-GB"/>
        </w:rPr>
        <w:t xml:space="preserve">ublic </w:t>
      </w:r>
      <w:r w:rsidR="008A1273" w:rsidRPr="009374C2">
        <w:rPr>
          <w:b/>
          <w:i/>
          <w:sz w:val="24"/>
          <w:szCs w:val="24"/>
          <w:lang w:val="en-GB"/>
        </w:rPr>
        <w:t>H</w:t>
      </w:r>
      <w:r w:rsidR="00D7493C" w:rsidRPr="009374C2">
        <w:rPr>
          <w:b/>
          <w:i/>
          <w:sz w:val="24"/>
          <w:szCs w:val="24"/>
          <w:lang w:val="en-GB"/>
        </w:rPr>
        <w:t>ousing</w:t>
      </w:r>
      <w:r w:rsidR="00D039F6" w:rsidRPr="009374C2">
        <w:rPr>
          <w:b/>
          <w:i/>
          <w:sz w:val="24"/>
          <w:szCs w:val="24"/>
          <w:lang w:val="en-GB"/>
        </w:rPr>
        <w:t xml:space="preserve"> Crisis</w:t>
      </w:r>
    </w:p>
    <w:p w14:paraId="4DA5863E" w14:textId="18033D2F" w:rsidR="00AF75EB" w:rsidRPr="009374C2" w:rsidRDefault="00AF75EB" w:rsidP="00C978ED">
      <w:pPr>
        <w:spacing w:after="0" w:line="480" w:lineRule="auto"/>
        <w:ind w:firstLine="720"/>
        <w:jc w:val="both"/>
        <w:rPr>
          <w:sz w:val="24"/>
          <w:szCs w:val="24"/>
        </w:rPr>
      </w:pPr>
      <w:r w:rsidRPr="009374C2">
        <w:rPr>
          <w:sz w:val="24"/>
          <w:szCs w:val="24"/>
        </w:rPr>
        <w:t xml:space="preserve">As mentioned </w:t>
      </w:r>
      <w:r w:rsidR="009500BC" w:rsidRPr="009374C2">
        <w:rPr>
          <w:sz w:val="24"/>
          <w:szCs w:val="24"/>
        </w:rPr>
        <w:t>above</w:t>
      </w:r>
      <w:r w:rsidRPr="009374C2">
        <w:rPr>
          <w:sz w:val="24"/>
          <w:szCs w:val="24"/>
        </w:rPr>
        <w:t>, the aftermath of the global financial crisis witnessed significant cut backs in most aspects of public spending in Ireland and a prolonged period of austerity</w:t>
      </w:r>
      <w:r w:rsidR="00BE3CB1" w:rsidRPr="009374C2">
        <w:rPr>
          <w:sz w:val="24"/>
          <w:szCs w:val="24"/>
        </w:rPr>
        <w:t xml:space="preserve"> (</w:t>
      </w:r>
      <w:r w:rsidR="00C978ED" w:rsidRPr="009374C2">
        <w:rPr>
          <w:sz w:val="24"/>
          <w:szCs w:val="24"/>
        </w:rPr>
        <w:t>Mercille and Murphy, 2015</w:t>
      </w:r>
      <w:r w:rsidR="00BE3CB1" w:rsidRPr="009374C2">
        <w:rPr>
          <w:sz w:val="24"/>
          <w:szCs w:val="24"/>
        </w:rPr>
        <w:t>)</w:t>
      </w:r>
      <w:r w:rsidRPr="009374C2">
        <w:rPr>
          <w:sz w:val="24"/>
          <w:szCs w:val="24"/>
        </w:rPr>
        <w:t xml:space="preserve">. Because </w:t>
      </w:r>
      <w:r w:rsidR="00D7493C" w:rsidRPr="009374C2">
        <w:rPr>
          <w:sz w:val="24"/>
          <w:szCs w:val="24"/>
        </w:rPr>
        <w:t>public housing</w:t>
      </w:r>
      <w:r w:rsidRPr="009374C2">
        <w:rPr>
          <w:sz w:val="24"/>
          <w:szCs w:val="24"/>
        </w:rPr>
        <w:t xml:space="preserve"> was 100</w:t>
      </w:r>
      <w:r w:rsidR="002E10A6" w:rsidRPr="009374C2">
        <w:rPr>
          <w:sz w:val="24"/>
          <w:szCs w:val="24"/>
        </w:rPr>
        <w:t>%</w:t>
      </w:r>
      <w:r w:rsidR="00BE3CB1" w:rsidRPr="009374C2">
        <w:rPr>
          <w:sz w:val="24"/>
          <w:szCs w:val="24"/>
        </w:rPr>
        <w:t xml:space="preserve"> </w:t>
      </w:r>
      <w:r w:rsidRPr="009374C2">
        <w:rPr>
          <w:sz w:val="24"/>
          <w:szCs w:val="24"/>
        </w:rPr>
        <w:t xml:space="preserve">dependent on upfront capital funding from central government it was extremely </w:t>
      </w:r>
      <w:r w:rsidR="009500BC" w:rsidRPr="009374C2">
        <w:rPr>
          <w:sz w:val="24"/>
          <w:szCs w:val="24"/>
        </w:rPr>
        <w:t>vulnerable to austerity</w:t>
      </w:r>
      <w:r w:rsidRPr="009374C2">
        <w:rPr>
          <w:sz w:val="24"/>
          <w:szCs w:val="24"/>
        </w:rPr>
        <w:t xml:space="preserve">. Moreover, its reliance on market mechanisms for the delivery meant </w:t>
      </w:r>
      <w:r w:rsidR="009500BC" w:rsidRPr="009374C2">
        <w:rPr>
          <w:sz w:val="24"/>
          <w:szCs w:val="24"/>
        </w:rPr>
        <w:t xml:space="preserve">that </w:t>
      </w:r>
      <w:r w:rsidR="00D7493C" w:rsidRPr="009374C2">
        <w:rPr>
          <w:sz w:val="24"/>
          <w:szCs w:val="24"/>
        </w:rPr>
        <w:t>public housing</w:t>
      </w:r>
      <w:r w:rsidRPr="009374C2">
        <w:rPr>
          <w:sz w:val="24"/>
          <w:szCs w:val="24"/>
        </w:rPr>
        <w:t xml:space="preserve"> was also </w:t>
      </w:r>
      <w:r w:rsidR="00BE3CB1" w:rsidRPr="009374C2">
        <w:rPr>
          <w:sz w:val="24"/>
          <w:szCs w:val="24"/>
        </w:rPr>
        <w:t xml:space="preserve">impacted by </w:t>
      </w:r>
      <w:r w:rsidRPr="009374C2">
        <w:rPr>
          <w:sz w:val="24"/>
          <w:szCs w:val="24"/>
        </w:rPr>
        <w:t xml:space="preserve">to dramatic collapse in housing output from 2009. </w:t>
      </w:r>
      <w:r w:rsidR="00BE3CB1" w:rsidRPr="009374C2">
        <w:rPr>
          <w:sz w:val="24"/>
          <w:szCs w:val="24"/>
        </w:rPr>
        <w:t xml:space="preserve"> </w:t>
      </w:r>
      <w:r w:rsidRPr="009374C2">
        <w:rPr>
          <w:sz w:val="24"/>
          <w:szCs w:val="24"/>
        </w:rPr>
        <w:t xml:space="preserve">The pro-cyclical nature of </w:t>
      </w:r>
      <w:r w:rsidR="00D7493C" w:rsidRPr="009374C2">
        <w:rPr>
          <w:sz w:val="24"/>
          <w:szCs w:val="24"/>
        </w:rPr>
        <w:t>public housing</w:t>
      </w:r>
      <w:r w:rsidRPr="009374C2">
        <w:rPr>
          <w:sz w:val="24"/>
          <w:szCs w:val="24"/>
        </w:rPr>
        <w:t xml:space="preserve"> thus meant that just as the sector had fed into the housing boom of the 1990s and early 2000s, it would now</w:t>
      </w:r>
      <w:r w:rsidR="00BE3CB1" w:rsidRPr="009374C2">
        <w:rPr>
          <w:sz w:val="24"/>
          <w:szCs w:val="24"/>
        </w:rPr>
        <w:t xml:space="preserve"> be brought down in tandem with the housing </w:t>
      </w:r>
      <w:r w:rsidRPr="009374C2">
        <w:rPr>
          <w:sz w:val="24"/>
          <w:szCs w:val="24"/>
        </w:rPr>
        <w:t xml:space="preserve">crash. In this section we analyse the two key ‘transmission mechanisms’ through which the crisis in the private housing system became a crisis of the </w:t>
      </w:r>
      <w:r w:rsidR="00D7493C" w:rsidRPr="009374C2">
        <w:rPr>
          <w:sz w:val="24"/>
          <w:szCs w:val="24"/>
        </w:rPr>
        <w:t>public housing</w:t>
      </w:r>
      <w:r w:rsidRPr="009374C2">
        <w:rPr>
          <w:sz w:val="24"/>
          <w:szCs w:val="24"/>
        </w:rPr>
        <w:t xml:space="preserve"> system.</w:t>
      </w:r>
    </w:p>
    <w:p w14:paraId="621BCDCA" w14:textId="77777777" w:rsidR="00AF75EB" w:rsidRPr="009374C2" w:rsidRDefault="00AF75EB" w:rsidP="00AC6756">
      <w:pPr>
        <w:spacing w:after="0" w:line="480" w:lineRule="auto"/>
        <w:jc w:val="both"/>
        <w:rPr>
          <w:sz w:val="24"/>
          <w:szCs w:val="24"/>
        </w:rPr>
      </w:pPr>
    </w:p>
    <w:p w14:paraId="5FB2B358" w14:textId="1B752F14" w:rsidR="00AF75EB" w:rsidRPr="009374C2" w:rsidRDefault="00AF75EB" w:rsidP="00AC6756">
      <w:pPr>
        <w:pStyle w:val="ListParagraph"/>
        <w:numPr>
          <w:ilvl w:val="0"/>
          <w:numId w:val="5"/>
        </w:numPr>
        <w:spacing w:after="0" w:line="480" w:lineRule="auto"/>
        <w:jc w:val="both"/>
        <w:rPr>
          <w:i/>
          <w:sz w:val="24"/>
          <w:szCs w:val="24"/>
        </w:rPr>
      </w:pPr>
      <w:r w:rsidRPr="009374C2">
        <w:rPr>
          <w:i/>
          <w:sz w:val="24"/>
          <w:szCs w:val="24"/>
        </w:rPr>
        <w:t xml:space="preserve">Fiscal </w:t>
      </w:r>
      <w:r w:rsidR="00AD4D8C" w:rsidRPr="009374C2">
        <w:rPr>
          <w:i/>
          <w:sz w:val="24"/>
          <w:szCs w:val="24"/>
        </w:rPr>
        <w:t>T</w:t>
      </w:r>
      <w:r w:rsidRPr="009374C2">
        <w:rPr>
          <w:i/>
          <w:sz w:val="24"/>
          <w:szCs w:val="24"/>
        </w:rPr>
        <w:t xml:space="preserve">ransmission </w:t>
      </w:r>
      <w:r w:rsidR="00AD4D8C" w:rsidRPr="009374C2">
        <w:rPr>
          <w:i/>
          <w:sz w:val="24"/>
          <w:szCs w:val="24"/>
        </w:rPr>
        <w:t>M</w:t>
      </w:r>
      <w:r w:rsidRPr="009374C2">
        <w:rPr>
          <w:i/>
          <w:sz w:val="24"/>
          <w:szCs w:val="24"/>
        </w:rPr>
        <w:t>echanism</w:t>
      </w:r>
      <w:r w:rsidR="009500BC" w:rsidRPr="009374C2">
        <w:rPr>
          <w:i/>
          <w:sz w:val="24"/>
          <w:szCs w:val="24"/>
        </w:rPr>
        <w:t>s</w:t>
      </w:r>
    </w:p>
    <w:p w14:paraId="7288E30C" w14:textId="3FB286B7" w:rsidR="00AF75EB" w:rsidRPr="009374C2" w:rsidRDefault="00AF75EB" w:rsidP="00D34080">
      <w:pPr>
        <w:spacing w:after="0" w:line="480" w:lineRule="auto"/>
        <w:ind w:firstLine="284"/>
        <w:rPr>
          <w:sz w:val="24"/>
          <w:szCs w:val="24"/>
        </w:rPr>
      </w:pPr>
      <w:r w:rsidRPr="009374C2">
        <w:rPr>
          <w:sz w:val="24"/>
          <w:szCs w:val="24"/>
        </w:rPr>
        <w:t xml:space="preserve">As noted above, the bubble in the Irish </w:t>
      </w:r>
      <w:r w:rsidR="009500BC" w:rsidRPr="009374C2">
        <w:rPr>
          <w:sz w:val="24"/>
          <w:szCs w:val="24"/>
        </w:rPr>
        <w:t>property and financial sector in</w:t>
      </w:r>
      <w:r w:rsidRPr="009374C2">
        <w:rPr>
          <w:sz w:val="24"/>
          <w:szCs w:val="24"/>
        </w:rPr>
        <w:t xml:space="preserve"> the 1990s and 200</w:t>
      </w:r>
      <w:r w:rsidR="009500BC" w:rsidRPr="009374C2">
        <w:rPr>
          <w:sz w:val="24"/>
          <w:szCs w:val="24"/>
        </w:rPr>
        <w:t>0</w:t>
      </w:r>
      <w:r w:rsidRPr="009374C2">
        <w:rPr>
          <w:sz w:val="24"/>
          <w:szCs w:val="24"/>
        </w:rPr>
        <w:t>s</w:t>
      </w:r>
      <w:r w:rsidR="009500BC" w:rsidRPr="009374C2">
        <w:rPr>
          <w:sz w:val="24"/>
          <w:szCs w:val="24"/>
        </w:rPr>
        <w:t xml:space="preserve"> combined with an enormous increase in construction, particularly house building, to </w:t>
      </w:r>
      <w:r w:rsidRPr="009374C2">
        <w:rPr>
          <w:sz w:val="24"/>
          <w:szCs w:val="24"/>
        </w:rPr>
        <w:t>bec</w:t>
      </w:r>
      <w:r w:rsidR="009500BC" w:rsidRPr="009374C2">
        <w:rPr>
          <w:sz w:val="24"/>
          <w:szCs w:val="24"/>
        </w:rPr>
        <w:t>ome</w:t>
      </w:r>
      <w:r w:rsidRPr="009374C2">
        <w:rPr>
          <w:sz w:val="24"/>
          <w:szCs w:val="24"/>
        </w:rPr>
        <w:t xml:space="preserve"> the driving force of the Irish economy. </w:t>
      </w:r>
      <w:r w:rsidR="009500BC" w:rsidRPr="009374C2">
        <w:rPr>
          <w:sz w:val="24"/>
          <w:szCs w:val="24"/>
        </w:rPr>
        <w:t xml:space="preserve"> As Brenner (2006) and others</w:t>
      </w:r>
      <w:r w:rsidR="003B17A1" w:rsidRPr="009374C2">
        <w:rPr>
          <w:sz w:val="24"/>
          <w:szCs w:val="24"/>
        </w:rPr>
        <w:t>’</w:t>
      </w:r>
      <w:r w:rsidR="009500BC" w:rsidRPr="009374C2">
        <w:rPr>
          <w:sz w:val="24"/>
          <w:szCs w:val="24"/>
        </w:rPr>
        <w:t xml:space="preserve"> analyses predict the </w:t>
      </w:r>
      <w:r w:rsidRPr="009374C2">
        <w:rPr>
          <w:sz w:val="24"/>
          <w:szCs w:val="24"/>
        </w:rPr>
        <w:t xml:space="preserve">property industry </w:t>
      </w:r>
      <w:r w:rsidR="009500BC" w:rsidRPr="009374C2">
        <w:rPr>
          <w:sz w:val="24"/>
          <w:szCs w:val="24"/>
        </w:rPr>
        <w:t xml:space="preserve">underpinned </w:t>
      </w:r>
      <w:r w:rsidRPr="009374C2">
        <w:rPr>
          <w:sz w:val="24"/>
          <w:szCs w:val="24"/>
        </w:rPr>
        <w:t xml:space="preserve">consumer demand </w:t>
      </w:r>
      <w:r w:rsidR="009500BC" w:rsidRPr="009374C2">
        <w:rPr>
          <w:sz w:val="24"/>
          <w:szCs w:val="24"/>
        </w:rPr>
        <w:t xml:space="preserve">in Ireland but in this case it also underpinned employment and government revenues.  </w:t>
      </w:r>
      <w:r w:rsidR="003B17A1" w:rsidRPr="009374C2">
        <w:rPr>
          <w:sz w:val="24"/>
          <w:szCs w:val="24"/>
        </w:rPr>
        <w:t xml:space="preserve">Consequently, following the property market bust tax revenue fell </w:t>
      </w:r>
      <w:r w:rsidRPr="009374C2">
        <w:rPr>
          <w:sz w:val="24"/>
          <w:szCs w:val="24"/>
        </w:rPr>
        <w:t>dramatically in 2007 and 2008</w:t>
      </w:r>
      <w:r w:rsidR="003B17A1" w:rsidRPr="009374C2">
        <w:rPr>
          <w:sz w:val="24"/>
          <w:szCs w:val="24"/>
        </w:rPr>
        <w:t>.  Fa</w:t>
      </w:r>
      <w:r w:rsidRPr="009374C2">
        <w:rPr>
          <w:sz w:val="24"/>
          <w:szCs w:val="24"/>
        </w:rPr>
        <w:t xml:space="preserve">lling revenue from residential property market related taxes accounted </w:t>
      </w:r>
      <w:r w:rsidR="003B17A1" w:rsidRPr="009374C2">
        <w:rPr>
          <w:sz w:val="24"/>
          <w:szCs w:val="24"/>
        </w:rPr>
        <w:t xml:space="preserve">directly for some </w:t>
      </w:r>
      <w:r w:rsidRPr="009374C2">
        <w:rPr>
          <w:sz w:val="24"/>
          <w:szCs w:val="24"/>
        </w:rPr>
        <w:t>35</w:t>
      </w:r>
      <w:r w:rsidR="002E10A6" w:rsidRPr="009374C2">
        <w:rPr>
          <w:sz w:val="24"/>
          <w:szCs w:val="24"/>
        </w:rPr>
        <w:t>%</w:t>
      </w:r>
      <w:r w:rsidRPr="009374C2">
        <w:rPr>
          <w:sz w:val="24"/>
          <w:szCs w:val="24"/>
        </w:rPr>
        <w:t xml:space="preserve"> of this decline</w:t>
      </w:r>
      <w:r w:rsidR="003B17A1" w:rsidRPr="009374C2">
        <w:rPr>
          <w:sz w:val="24"/>
          <w:szCs w:val="24"/>
        </w:rPr>
        <w:t xml:space="preserve"> but in view of the </w:t>
      </w:r>
      <w:r w:rsidR="00342E81" w:rsidRPr="009374C2">
        <w:rPr>
          <w:sz w:val="24"/>
          <w:szCs w:val="24"/>
        </w:rPr>
        <w:t>central contribution which falling c</w:t>
      </w:r>
      <w:r w:rsidR="00C978ED" w:rsidRPr="009374C2">
        <w:rPr>
          <w:sz w:val="24"/>
          <w:szCs w:val="24"/>
        </w:rPr>
        <w:t>onstruction employment made to the collapse in</w:t>
      </w:r>
      <w:r w:rsidR="00342E81" w:rsidRPr="009374C2">
        <w:rPr>
          <w:sz w:val="24"/>
          <w:szCs w:val="24"/>
        </w:rPr>
        <w:t xml:space="preserve"> income tax revenue the real contribution of the property market bust to </w:t>
      </w:r>
      <w:r w:rsidR="00C978ED" w:rsidRPr="009374C2">
        <w:rPr>
          <w:sz w:val="24"/>
          <w:szCs w:val="24"/>
        </w:rPr>
        <w:t>the fiscal crisis</w:t>
      </w:r>
      <w:r w:rsidR="00342E81" w:rsidRPr="009374C2">
        <w:rPr>
          <w:sz w:val="24"/>
          <w:szCs w:val="24"/>
        </w:rPr>
        <w:t xml:space="preserve"> was certainly higher</w:t>
      </w:r>
      <w:r w:rsidRPr="009374C2">
        <w:rPr>
          <w:sz w:val="24"/>
          <w:szCs w:val="24"/>
        </w:rPr>
        <w:t xml:space="preserve"> (Norris and Coates, 2014; see also N</w:t>
      </w:r>
      <w:r w:rsidR="00342E81" w:rsidRPr="009374C2">
        <w:rPr>
          <w:sz w:val="24"/>
          <w:szCs w:val="24"/>
        </w:rPr>
        <w:t xml:space="preserve">ational </w:t>
      </w:r>
      <w:r w:rsidRPr="009374C2">
        <w:rPr>
          <w:sz w:val="24"/>
          <w:szCs w:val="24"/>
        </w:rPr>
        <w:t>E</w:t>
      </w:r>
      <w:r w:rsidR="00342E81" w:rsidRPr="009374C2">
        <w:rPr>
          <w:sz w:val="24"/>
          <w:szCs w:val="24"/>
        </w:rPr>
        <w:t xml:space="preserve">conomic and </w:t>
      </w:r>
      <w:r w:rsidRPr="009374C2">
        <w:rPr>
          <w:sz w:val="24"/>
          <w:szCs w:val="24"/>
        </w:rPr>
        <w:t>S</w:t>
      </w:r>
      <w:r w:rsidR="00342E81" w:rsidRPr="009374C2">
        <w:rPr>
          <w:sz w:val="24"/>
          <w:szCs w:val="24"/>
        </w:rPr>
        <w:t xml:space="preserve">ocial </w:t>
      </w:r>
      <w:r w:rsidRPr="009374C2">
        <w:rPr>
          <w:sz w:val="24"/>
          <w:szCs w:val="24"/>
        </w:rPr>
        <w:t>C</w:t>
      </w:r>
      <w:r w:rsidR="00342E81" w:rsidRPr="009374C2">
        <w:rPr>
          <w:sz w:val="24"/>
          <w:szCs w:val="24"/>
        </w:rPr>
        <w:t>ouncil</w:t>
      </w:r>
      <w:r w:rsidRPr="009374C2">
        <w:rPr>
          <w:sz w:val="24"/>
          <w:szCs w:val="24"/>
        </w:rPr>
        <w:t>,</w:t>
      </w:r>
      <w:r w:rsidR="00342E81" w:rsidRPr="009374C2">
        <w:rPr>
          <w:sz w:val="24"/>
          <w:szCs w:val="24"/>
        </w:rPr>
        <w:t>2014)</w:t>
      </w:r>
      <w:r w:rsidRPr="009374C2">
        <w:rPr>
          <w:sz w:val="24"/>
          <w:szCs w:val="24"/>
        </w:rPr>
        <w:t>.</w:t>
      </w:r>
      <w:r w:rsidR="00836833" w:rsidRPr="009374C2">
        <w:rPr>
          <w:sz w:val="24"/>
          <w:szCs w:val="24"/>
        </w:rPr>
        <w:t xml:space="preserve">  The property bust also contributed </w:t>
      </w:r>
      <w:r w:rsidR="00C978ED" w:rsidRPr="009374C2">
        <w:rPr>
          <w:sz w:val="24"/>
          <w:szCs w:val="24"/>
        </w:rPr>
        <w:t xml:space="preserve">indirectly </w:t>
      </w:r>
      <w:r w:rsidR="00836833" w:rsidRPr="009374C2">
        <w:rPr>
          <w:sz w:val="24"/>
          <w:szCs w:val="24"/>
        </w:rPr>
        <w:t>to Ireland’s fiscal crisis by undermining the solvency of the banking sector, which was almost completely nationalised in 2009 at enormous cost to the exchequer</w:t>
      </w:r>
      <w:r w:rsidR="000075A9" w:rsidRPr="009374C2">
        <w:rPr>
          <w:sz w:val="24"/>
          <w:szCs w:val="24"/>
        </w:rPr>
        <w:t xml:space="preserve"> (estimated at 40</w:t>
      </w:r>
      <w:r w:rsidR="00836833" w:rsidRPr="009374C2">
        <w:rPr>
          <w:sz w:val="24"/>
          <w:szCs w:val="24"/>
        </w:rPr>
        <w:t>% of GDP</w:t>
      </w:r>
      <w:r w:rsidR="000075A9" w:rsidRPr="009374C2">
        <w:rPr>
          <w:sz w:val="24"/>
          <w:szCs w:val="24"/>
        </w:rPr>
        <w:t>) (McCarthy, 2012)</w:t>
      </w:r>
      <w:r w:rsidR="00836833" w:rsidRPr="009374C2">
        <w:rPr>
          <w:sz w:val="24"/>
          <w:szCs w:val="24"/>
        </w:rPr>
        <w:t>.</w:t>
      </w:r>
      <w:r w:rsidR="00D34080" w:rsidRPr="009374C2">
        <w:rPr>
          <w:sz w:val="24"/>
          <w:szCs w:val="24"/>
        </w:rPr>
        <w:t xml:space="preserve">  As explained above these developments</w:t>
      </w:r>
      <w:r w:rsidRPr="009374C2">
        <w:rPr>
          <w:sz w:val="24"/>
          <w:szCs w:val="24"/>
        </w:rPr>
        <w:t xml:space="preserve"> had very significant and well documented adverse implications for the fiscal position of the Irish state and its capacity to borrow </w:t>
      </w:r>
      <w:r w:rsidR="00D34080" w:rsidRPr="009374C2">
        <w:rPr>
          <w:sz w:val="24"/>
          <w:szCs w:val="24"/>
        </w:rPr>
        <w:t xml:space="preserve">at sustainable interest rates and resulted ultimately in the state’s emergency into an </w:t>
      </w:r>
      <w:r w:rsidRPr="009374C2">
        <w:rPr>
          <w:sz w:val="24"/>
          <w:szCs w:val="24"/>
        </w:rPr>
        <w:t>EU and IMF</w:t>
      </w:r>
      <w:r w:rsidR="00D34080" w:rsidRPr="009374C2">
        <w:rPr>
          <w:sz w:val="24"/>
          <w:szCs w:val="24"/>
        </w:rPr>
        <w:t xml:space="preserve"> emergency stabilisation programme in 2010</w:t>
      </w:r>
      <w:r w:rsidRPr="009374C2">
        <w:rPr>
          <w:sz w:val="24"/>
          <w:szCs w:val="24"/>
        </w:rPr>
        <w:t xml:space="preserve"> (Government of Ireland, 2010). </w:t>
      </w:r>
    </w:p>
    <w:p w14:paraId="77720FF5" w14:textId="4EECDAE4" w:rsidR="00AF75EB" w:rsidRPr="009374C2" w:rsidRDefault="00AF75EB" w:rsidP="00D039F6">
      <w:pPr>
        <w:spacing w:after="0" w:line="480" w:lineRule="auto"/>
        <w:ind w:firstLine="284"/>
        <w:rPr>
          <w:sz w:val="24"/>
          <w:szCs w:val="24"/>
          <w:lang w:val="en-GB"/>
        </w:rPr>
      </w:pPr>
      <w:r w:rsidRPr="009374C2">
        <w:rPr>
          <w:sz w:val="24"/>
          <w:szCs w:val="24"/>
        </w:rPr>
        <w:t xml:space="preserve">The deterioration of the state finances, the EU/IMF agreement and the more general constraints placed on borrowing and deficit levels by EU institutions, have all led to significant retrenchment of </w:t>
      </w:r>
      <w:r w:rsidR="00D34080" w:rsidRPr="009374C2">
        <w:rPr>
          <w:sz w:val="24"/>
          <w:szCs w:val="24"/>
        </w:rPr>
        <w:t>public</w:t>
      </w:r>
      <w:r w:rsidRPr="009374C2">
        <w:rPr>
          <w:sz w:val="24"/>
          <w:szCs w:val="24"/>
        </w:rPr>
        <w:t xml:space="preserve"> spending. </w:t>
      </w:r>
      <w:r w:rsidR="00D34080" w:rsidRPr="009374C2">
        <w:rPr>
          <w:sz w:val="24"/>
          <w:szCs w:val="24"/>
        </w:rPr>
        <w:t xml:space="preserve"> </w:t>
      </w:r>
      <w:r w:rsidRPr="009374C2">
        <w:rPr>
          <w:sz w:val="24"/>
          <w:szCs w:val="24"/>
        </w:rPr>
        <w:t xml:space="preserve">Of all the sectors, central government capital spending has been subject to the most significant reductions. </w:t>
      </w:r>
      <w:r w:rsidRPr="009374C2">
        <w:rPr>
          <w:sz w:val="24"/>
          <w:szCs w:val="24"/>
          <w:lang w:val="en-GB"/>
        </w:rPr>
        <w:t xml:space="preserve">As detailed in </w:t>
      </w:r>
      <w:r w:rsidR="00D34080" w:rsidRPr="009374C2">
        <w:rPr>
          <w:sz w:val="24"/>
          <w:szCs w:val="24"/>
          <w:lang w:val="en-GB"/>
        </w:rPr>
        <w:t>Figure</w:t>
      </w:r>
      <w:r w:rsidR="00C978ED" w:rsidRPr="009374C2">
        <w:rPr>
          <w:sz w:val="24"/>
          <w:szCs w:val="24"/>
          <w:lang w:val="en-GB"/>
        </w:rPr>
        <w:t xml:space="preserve"> </w:t>
      </w:r>
      <w:r w:rsidR="00D039F6" w:rsidRPr="009374C2">
        <w:rPr>
          <w:sz w:val="24"/>
          <w:szCs w:val="24"/>
          <w:lang w:val="en-GB"/>
        </w:rPr>
        <w:t>3</w:t>
      </w:r>
      <w:r w:rsidRPr="009374C2">
        <w:rPr>
          <w:sz w:val="24"/>
          <w:szCs w:val="24"/>
          <w:lang w:val="en-GB"/>
        </w:rPr>
        <w:t xml:space="preserve"> exchequer capital grants</w:t>
      </w:r>
      <w:r w:rsidR="00D34080" w:rsidRPr="009374C2">
        <w:rPr>
          <w:sz w:val="24"/>
          <w:szCs w:val="24"/>
          <w:lang w:val="en-GB"/>
        </w:rPr>
        <w:t xml:space="preserve"> (which provide almost all </w:t>
      </w:r>
      <w:r w:rsidRPr="009374C2">
        <w:rPr>
          <w:sz w:val="24"/>
          <w:szCs w:val="24"/>
          <w:lang w:val="en-GB"/>
        </w:rPr>
        <w:t>funding for new public housing units</w:t>
      </w:r>
      <w:r w:rsidR="00D34080" w:rsidRPr="009374C2">
        <w:rPr>
          <w:sz w:val="24"/>
          <w:szCs w:val="24"/>
          <w:lang w:val="en-GB"/>
        </w:rPr>
        <w:t>)</w:t>
      </w:r>
      <w:r w:rsidRPr="009374C2">
        <w:rPr>
          <w:sz w:val="24"/>
          <w:szCs w:val="24"/>
          <w:lang w:val="en-GB"/>
        </w:rPr>
        <w:t xml:space="preserve"> fell by 88% </w:t>
      </w:r>
      <w:r w:rsidR="00D34080" w:rsidRPr="009374C2">
        <w:rPr>
          <w:sz w:val="24"/>
          <w:szCs w:val="24"/>
          <w:lang w:val="en-GB"/>
        </w:rPr>
        <w:t xml:space="preserve">between 2008 and 2014 </w:t>
      </w:r>
      <w:r w:rsidR="00C978ED" w:rsidRPr="009374C2">
        <w:rPr>
          <w:sz w:val="24"/>
          <w:szCs w:val="24"/>
          <w:lang w:val="en-GB"/>
        </w:rPr>
        <w:t>(</w:t>
      </w:r>
      <w:r w:rsidRPr="009374C2">
        <w:rPr>
          <w:sz w:val="24"/>
          <w:szCs w:val="24"/>
          <w:lang w:val="en-GB"/>
        </w:rPr>
        <w:t>from €1.4 billion to €</w:t>
      </w:r>
      <w:r w:rsidRPr="009374C2">
        <w:rPr>
          <w:sz w:val="24"/>
          <w:szCs w:val="24"/>
        </w:rPr>
        <w:t xml:space="preserve">167 </w:t>
      </w:r>
      <w:r w:rsidR="00D34080" w:rsidRPr="009374C2">
        <w:rPr>
          <w:sz w:val="24"/>
          <w:szCs w:val="24"/>
          <w:lang w:val="en-GB"/>
        </w:rPr>
        <w:t>million</w:t>
      </w:r>
      <w:r w:rsidR="00C978ED" w:rsidRPr="009374C2">
        <w:rPr>
          <w:sz w:val="24"/>
          <w:szCs w:val="24"/>
          <w:lang w:val="en-GB"/>
        </w:rPr>
        <w:t>)</w:t>
      </w:r>
      <w:r w:rsidRPr="009374C2">
        <w:rPr>
          <w:sz w:val="24"/>
          <w:szCs w:val="24"/>
          <w:lang w:val="en-GB"/>
        </w:rPr>
        <w:t>.  Indeed</w:t>
      </w:r>
      <w:r w:rsidR="00735A49" w:rsidRPr="009374C2">
        <w:rPr>
          <w:sz w:val="24"/>
          <w:szCs w:val="24"/>
          <w:lang w:val="en-GB"/>
        </w:rPr>
        <w:t>,</w:t>
      </w:r>
      <w:r w:rsidRPr="009374C2">
        <w:rPr>
          <w:sz w:val="24"/>
          <w:szCs w:val="24"/>
          <w:lang w:val="en-GB"/>
        </w:rPr>
        <w:t xml:space="preserve"> the Department of Environment – the ministry with responsibility for housing – suffered the second highest proportionate budget of any ministry between 2008 and 2012 and these reductions </w:t>
      </w:r>
      <w:r w:rsidR="00D34080" w:rsidRPr="009374C2">
        <w:rPr>
          <w:sz w:val="24"/>
          <w:szCs w:val="24"/>
          <w:lang w:val="en-GB"/>
        </w:rPr>
        <w:t>consisted mainly</w:t>
      </w:r>
      <w:r w:rsidRPr="009374C2">
        <w:rPr>
          <w:sz w:val="24"/>
          <w:szCs w:val="24"/>
          <w:lang w:val="en-GB"/>
        </w:rPr>
        <w:t xml:space="preserve"> cuts to capital spending (Hardiman &amp; MacCarthaigh, 2013).  Thus, like their predecessors </w:t>
      </w:r>
      <w:r w:rsidR="00D34080" w:rsidRPr="009374C2">
        <w:rPr>
          <w:sz w:val="24"/>
          <w:szCs w:val="24"/>
          <w:lang w:val="en-GB"/>
        </w:rPr>
        <w:t xml:space="preserve">did during </w:t>
      </w:r>
      <w:r w:rsidRPr="009374C2">
        <w:rPr>
          <w:sz w:val="24"/>
          <w:szCs w:val="24"/>
          <w:lang w:val="en-GB"/>
        </w:rPr>
        <w:t xml:space="preserve">the 1980s fiscal crisis, policy makers chose to focus their retrenchment efforts on capital rather than current spending.  This reflects the political and practical difficulties of reducing the latter – deferring capital investment is likely to be more politically palatable than laying off nurses for instance, while social security spending is </w:t>
      </w:r>
      <w:r w:rsidR="00D34080" w:rsidRPr="009374C2">
        <w:rPr>
          <w:sz w:val="24"/>
          <w:szCs w:val="24"/>
          <w:lang w:val="en-GB"/>
        </w:rPr>
        <w:t xml:space="preserve">obviously </w:t>
      </w:r>
      <w:r w:rsidRPr="009374C2">
        <w:rPr>
          <w:sz w:val="24"/>
          <w:szCs w:val="24"/>
          <w:lang w:val="en-GB"/>
        </w:rPr>
        <w:t xml:space="preserve">difficult to reduce when unemployment is rising, capital spending plans can be shelved or reduced at the stroke of a pen (Honohan, 1992).  Thus the </w:t>
      </w:r>
      <w:r w:rsidR="00735A49" w:rsidRPr="009374C2">
        <w:rPr>
          <w:sz w:val="24"/>
          <w:szCs w:val="24"/>
          <w:lang w:val="en-GB"/>
        </w:rPr>
        <w:t xml:space="preserve">centralisation and nationalisation of public housing finance in the 1980s rendered the </w:t>
      </w:r>
      <w:r w:rsidRPr="009374C2">
        <w:rPr>
          <w:sz w:val="24"/>
          <w:szCs w:val="24"/>
          <w:lang w:val="en-GB"/>
        </w:rPr>
        <w:t xml:space="preserve">sector more vulnerable to </w:t>
      </w:r>
      <w:r w:rsidR="00C978ED" w:rsidRPr="009374C2">
        <w:rPr>
          <w:sz w:val="24"/>
          <w:szCs w:val="24"/>
          <w:lang w:val="en-GB"/>
        </w:rPr>
        <w:t>the effects of a</w:t>
      </w:r>
      <w:r w:rsidRPr="009374C2">
        <w:rPr>
          <w:sz w:val="24"/>
          <w:szCs w:val="24"/>
          <w:lang w:val="en-GB"/>
        </w:rPr>
        <w:t xml:space="preserve"> fiscal crisis than it had been in previous decades.  Figure 1 demonstrates that these reductions in capital spending on public housing had a very significant impact on output.  Total new public output fell from 7,588 units in 2</w:t>
      </w:r>
      <w:r w:rsidR="00D039F6" w:rsidRPr="009374C2">
        <w:rPr>
          <w:sz w:val="24"/>
          <w:szCs w:val="24"/>
          <w:lang w:val="en-GB"/>
        </w:rPr>
        <w:t xml:space="preserve">008 to just 642 units in 2014. </w:t>
      </w:r>
    </w:p>
    <w:p w14:paraId="72FD499D" w14:textId="77777777" w:rsidR="00946AAA" w:rsidRPr="009374C2" w:rsidRDefault="00946AAA" w:rsidP="00AC6756">
      <w:pPr>
        <w:spacing w:after="0" w:line="480" w:lineRule="auto"/>
        <w:jc w:val="both"/>
        <w:rPr>
          <w:sz w:val="24"/>
          <w:szCs w:val="24"/>
          <w:lang w:val="en-GB"/>
        </w:rPr>
      </w:pPr>
    </w:p>
    <w:p w14:paraId="6DDB19A5" w14:textId="39521D1D" w:rsidR="00AF75EB" w:rsidRPr="009374C2" w:rsidRDefault="00AF75EB" w:rsidP="000A088C">
      <w:pPr>
        <w:pStyle w:val="ListParagraph"/>
        <w:numPr>
          <w:ilvl w:val="0"/>
          <w:numId w:val="5"/>
        </w:numPr>
        <w:spacing w:after="0" w:line="480" w:lineRule="auto"/>
        <w:jc w:val="both"/>
        <w:rPr>
          <w:i/>
          <w:sz w:val="24"/>
          <w:szCs w:val="24"/>
        </w:rPr>
      </w:pPr>
      <w:r w:rsidRPr="009374C2">
        <w:rPr>
          <w:i/>
          <w:sz w:val="24"/>
          <w:szCs w:val="24"/>
        </w:rPr>
        <w:t xml:space="preserve">Direct </w:t>
      </w:r>
      <w:r w:rsidR="00AD4D8C" w:rsidRPr="009374C2">
        <w:rPr>
          <w:i/>
          <w:sz w:val="24"/>
          <w:szCs w:val="24"/>
        </w:rPr>
        <w:t>P</w:t>
      </w:r>
      <w:r w:rsidRPr="009374C2">
        <w:rPr>
          <w:i/>
          <w:sz w:val="24"/>
          <w:szCs w:val="24"/>
        </w:rPr>
        <w:t xml:space="preserve">roperty </w:t>
      </w:r>
      <w:r w:rsidR="00AD4D8C" w:rsidRPr="009374C2">
        <w:rPr>
          <w:i/>
          <w:sz w:val="24"/>
          <w:szCs w:val="24"/>
        </w:rPr>
        <w:t>M</w:t>
      </w:r>
      <w:r w:rsidR="000A088C" w:rsidRPr="009374C2">
        <w:rPr>
          <w:i/>
          <w:sz w:val="24"/>
          <w:szCs w:val="24"/>
        </w:rPr>
        <w:t xml:space="preserve">arket </w:t>
      </w:r>
      <w:r w:rsidR="00AD4D8C" w:rsidRPr="009374C2">
        <w:rPr>
          <w:i/>
          <w:sz w:val="24"/>
          <w:szCs w:val="24"/>
        </w:rPr>
        <w:t>T</w:t>
      </w:r>
      <w:r w:rsidR="000A088C" w:rsidRPr="009374C2">
        <w:rPr>
          <w:i/>
          <w:sz w:val="24"/>
          <w:szCs w:val="24"/>
        </w:rPr>
        <w:t xml:space="preserve">ransmission </w:t>
      </w:r>
      <w:r w:rsidR="00AD4D8C" w:rsidRPr="009374C2">
        <w:rPr>
          <w:i/>
          <w:sz w:val="24"/>
          <w:szCs w:val="24"/>
        </w:rPr>
        <w:t>M</w:t>
      </w:r>
      <w:r w:rsidR="000A088C" w:rsidRPr="009374C2">
        <w:rPr>
          <w:i/>
          <w:sz w:val="24"/>
          <w:szCs w:val="24"/>
        </w:rPr>
        <w:t>echanisms</w:t>
      </w:r>
    </w:p>
    <w:p w14:paraId="6F9642A7" w14:textId="77777777" w:rsidR="00D039F6" w:rsidRPr="009374C2" w:rsidRDefault="00AF75EB" w:rsidP="000A088C">
      <w:pPr>
        <w:spacing w:after="0" w:line="480" w:lineRule="auto"/>
        <w:ind w:firstLine="284"/>
        <w:rPr>
          <w:sz w:val="24"/>
          <w:szCs w:val="24"/>
          <w:lang w:val="en-GB"/>
        </w:rPr>
      </w:pPr>
      <w:r w:rsidRPr="009374C2">
        <w:rPr>
          <w:sz w:val="24"/>
          <w:szCs w:val="24"/>
          <w:lang w:val="en-GB"/>
        </w:rPr>
        <w:t xml:space="preserve">The precipitous decline in private house building and housing and land prices from 2007 also helped to depress public housing output since, as explained above, the latter was heavily dependent on the former.  4,518 public housing units were acquired under the auspices of the 2000 Planning Act in 2008, for instance, but </w:t>
      </w:r>
      <w:r w:rsidR="002265F1" w:rsidRPr="009374C2">
        <w:rPr>
          <w:sz w:val="24"/>
          <w:szCs w:val="24"/>
          <w:lang w:val="en-GB"/>
        </w:rPr>
        <w:t xml:space="preserve">due to the fall in private house building </w:t>
      </w:r>
      <w:r w:rsidRPr="009374C2">
        <w:rPr>
          <w:sz w:val="24"/>
          <w:szCs w:val="24"/>
          <w:lang w:val="en-GB"/>
        </w:rPr>
        <w:t xml:space="preserve">this mechanism facilitated the acquisition of just 67 public housing units in 2014 (Department of the Environment, Community and Local Government, various years; DKM and Brady Shipman and Martin, 2012). In 2008 all but one of the seven PPP projects for the regeneration of public housing complexes collapsed amid considerable controversy when the developer pulled out claiming the projects were no longer commercially viable and subsequently declared bankruptcy (Hearne, 2011). </w:t>
      </w:r>
      <w:r w:rsidR="000A088C" w:rsidRPr="009374C2">
        <w:rPr>
          <w:sz w:val="24"/>
          <w:szCs w:val="24"/>
          <w:lang w:val="en-GB"/>
        </w:rPr>
        <w:t xml:space="preserve"> </w:t>
      </w:r>
    </w:p>
    <w:p w14:paraId="0BFFDC0D" w14:textId="7222BF51" w:rsidR="00873615" w:rsidRPr="009374C2" w:rsidRDefault="00AF75EB" w:rsidP="00712A51">
      <w:pPr>
        <w:spacing w:after="0" w:line="480" w:lineRule="auto"/>
        <w:ind w:firstLine="284"/>
        <w:rPr>
          <w:b/>
          <w:sz w:val="24"/>
          <w:szCs w:val="24"/>
        </w:rPr>
      </w:pPr>
      <w:r w:rsidRPr="009374C2">
        <w:rPr>
          <w:sz w:val="24"/>
          <w:szCs w:val="24"/>
          <w:lang w:val="en-GB"/>
        </w:rPr>
        <w:t xml:space="preserve">Moreover, as </w:t>
      </w:r>
      <w:r w:rsidR="000A088C" w:rsidRPr="009374C2">
        <w:rPr>
          <w:sz w:val="24"/>
          <w:szCs w:val="24"/>
          <w:lang w:val="en-GB"/>
        </w:rPr>
        <w:t xml:space="preserve">new housing output in the public and private sector contracted radically from 2009, significant </w:t>
      </w:r>
      <w:r w:rsidRPr="009374C2">
        <w:rPr>
          <w:sz w:val="24"/>
          <w:szCs w:val="24"/>
          <w:lang w:val="en-GB"/>
        </w:rPr>
        <w:t xml:space="preserve">pressure </w:t>
      </w:r>
      <w:r w:rsidR="000A088C" w:rsidRPr="009374C2">
        <w:rPr>
          <w:sz w:val="24"/>
          <w:szCs w:val="24"/>
          <w:lang w:val="en-GB"/>
        </w:rPr>
        <w:t xml:space="preserve">was </w:t>
      </w:r>
      <w:r w:rsidRPr="009374C2">
        <w:rPr>
          <w:sz w:val="24"/>
          <w:szCs w:val="24"/>
          <w:lang w:val="en-GB"/>
        </w:rPr>
        <w:t>placed on the private rented sector</w:t>
      </w:r>
      <w:r w:rsidR="000A088C" w:rsidRPr="009374C2">
        <w:rPr>
          <w:sz w:val="24"/>
          <w:szCs w:val="24"/>
          <w:lang w:val="en-GB"/>
        </w:rPr>
        <w:t xml:space="preserve"> particularly as the economy started to recover from 2012 out housing output failed to </w:t>
      </w:r>
      <w:r w:rsidR="00585830" w:rsidRPr="009374C2">
        <w:rPr>
          <w:sz w:val="24"/>
          <w:szCs w:val="24"/>
          <w:lang w:val="en-GB"/>
        </w:rPr>
        <w:t>recover concurrently</w:t>
      </w:r>
      <w:r w:rsidRPr="009374C2">
        <w:rPr>
          <w:sz w:val="24"/>
          <w:szCs w:val="24"/>
          <w:lang w:val="en-GB"/>
        </w:rPr>
        <w:t xml:space="preserve">. </w:t>
      </w:r>
      <w:r w:rsidR="00585830" w:rsidRPr="009374C2">
        <w:rPr>
          <w:sz w:val="24"/>
          <w:szCs w:val="24"/>
          <w:lang w:val="en-GB"/>
        </w:rPr>
        <w:t xml:space="preserve"> As noted above, Rent Supplement subsidized private rented housing </w:t>
      </w:r>
      <w:r w:rsidR="002265F1" w:rsidRPr="009374C2">
        <w:rPr>
          <w:sz w:val="24"/>
          <w:szCs w:val="24"/>
          <w:lang w:val="en-GB"/>
        </w:rPr>
        <w:t xml:space="preserve">and also schemes to lease private rented housing for letting to benefits claimants such as RAS </w:t>
      </w:r>
      <w:r w:rsidR="00585830" w:rsidRPr="009374C2">
        <w:rPr>
          <w:sz w:val="24"/>
          <w:szCs w:val="24"/>
          <w:lang w:val="en-GB"/>
        </w:rPr>
        <w:t>became crucial substitute</w:t>
      </w:r>
      <w:r w:rsidR="002265F1" w:rsidRPr="009374C2">
        <w:rPr>
          <w:sz w:val="24"/>
          <w:szCs w:val="24"/>
          <w:lang w:val="en-GB"/>
        </w:rPr>
        <w:t>s</w:t>
      </w:r>
      <w:r w:rsidR="00585830" w:rsidRPr="009374C2">
        <w:rPr>
          <w:sz w:val="24"/>
          <w:szCs w:val="24"/>
          <w:lang w:val="en-GB"/>
        </w:rPr>
        <w:t xml:space="preserve"> for public housing in the </w:t>
      </w:r>
      <w:r w:rsidRPr="009374C2">
        <w:rPr>
          <w:sz w:val="24"/>
          <w:szCs w:val="24"/>
          <w:lang w:val="en-GB"/>
        </w:rPr>
        <w:t>1990s and 2000s</w:t>
      </w:r>
      <w:r w:rsidR="002265F1" w:rsidRPr="009374C2">
        <w:rPr>
          <w:sz w:val="24"/>
          <w:szCs w:val="24"/>
          <w:lang w:val="en-GB"/>
        </w:rPr>
        <w:t xml:space="preserve">.  In the context of the marked decline in public housing finance and output </w:t>
      </w:r>
      <w:r w:rsidR="001A4BBF" w:rsidRPr="009374C2">
        <w:rPr>
          <w:sz w:val="24"/>
          <w:szCs w:val="24"/>
          <w:lang w:val="en-GB"/>
        </w:rPr>
        <w:t>and</w:t>
      </w:r>
      <w:r w:rsidR="002265F1" w:rsidRPr="009374C2">
        <w:rPr>
          <w:sz w:val="24"/>
          <w:szCs w:val="24"/>
          <w:lang w:val="en-GB"/>
        </w:rPr>
        <w:t xml:space="preserve"> building</w:t>
      </w:r>
      <w:r w:rsidR="001A4BBF" w:rsidRPr="009374C2">
        <w:rPr>
          <w:sz w:val="24"/>
          <w:szCs w:val="24"/>
          <w:lang w:val="en-GB"/>
        </w:rPr>
        <w:t xml:space="preserve"> during the economic crisis, reliance on private rented “quasi public housing” increased even further</w:t>
      </w:r>
      <w:r w:rsidR="00585830" w:rsidRPr="009374C2">
        <w:rPr>
          <w:sz w:val="24"/>
          <w:szCs w:val="24"/>
          <w:lang w:val="en-GB"/>
        </w:rPr>
        <w:t xml:space="preserve">.  </w:t>
      </w:r>
      <w:r w:rsidRPr="009374C2">
        <w:rPr>
          <w:sz w:val="24"/>
          <w:szCs w:val="24"/>
          <w:lang w:val="en-GB"/>
        </w:rPr>
        <w:t xml:space="preserve"> Total claimants of </w:t>
      </w:r>
      <w:r w:rsidR="00AD4D8C" w:rsidRPr="009374C2">
        <w:rPr>
          <w:sz w:val="24"/>
          <w:szCs w:val="24"/>
          <w:lang w:val="en-GB"/>
        </w:rPr>
        <w:t xml:space="preserve">these supports </w:t>
      </w:r>
      <w:r w:rsidRPr="009374C2">
        <w:rPr>
          <w:sz w:val="24"/>
          <w:szCs w:val="24"/>
          <w:lang w:val="en-GB"/>
        </w:rPr>
        <w:t xml:space="preserve">increased from 79,960 </w:t>
      </w:r>
      <w:r w:rsidR="00AD4D8C" w:rsidRPr="009374C2">
        <w:rPr>
          <w:sz w:val="24"/>
          <w:szCs w:val="24"/>
          <w:lang w:val="en-GB"/>
        </w:rPr>
        <w:t xml:space="preserve">at the start of the crisis </w:t>
      </w:r>
      <w:r w:rsidRPr="009374C2">
        <w:rPr>
          <w:sz w:val="24"/>
          <w:szCs w:val="24"/>
          <w:lang w:val="en-GB"/>
        </w:rPr>
        <w:t xml:space="preserve">in 2008 to a peak of </w:t>
      </w:r>
      <w:r w:rsidR="00AD4D8C" w:rsidRPr="009374C2">
        <w:rPr>
          <w:sz w:val="24"/>
          <w:szCs w:val="24"/>
          <w:lang w:val="en-GB"/>
        </w:rPr>
        <w:t xml:space="preserve">132,287 </w:t>
      </w:r>
      <w:r w:rsidRPr="009374C2">
        <w:rPr>
          <w:sz w:val="24"/>
          <w:szCs w:val="24"/>
          <w:lang w:val="en-GB"/>
        </w:rPr>
        <w:t>in 2011</w:t>
      </w:r>
      <w:r w:rsidR="00AD4D8C" w:rsidRPr="009374C2">
        <w:rPr>
          <w:sz w:val="24"/>
          <w:szCs w:val="24"/>
          <w:lang w:val="en-GB"/>
        </w:rPr>
        <w:t xml:space="preserve"> (Department of Social Protection, various years; Department of Housing, Planning and Local Government, various years)</w:t>
      </w:r>
      <w:r w:rsidRPr="009374C2">
        <w:rPr>
          <w:sz w:val="24"/>
          <w:szCs w:val="24"/>
          <w:lang w:val="en-GB"/>
        </w:rPr>
        <w:t xml:space="preserve">. </w:t>
      </w:r>
      <w:r w:rsidR="00AD4D8C" w:rsidRPr="009374C2">
        <w:rPr>
          <w:sz w:val="24"/>
          <w:szCs w:val="24"/>
          <w:lang w:val="en-GB"/>
        </w:rPr>
        <w:t xml:space="preserve"> Claimant numbers fell back slightly after the latter date as the economy improved, but rising employment generated increased housing demand and as </w:t>
      </w:r>
      <w:r w:rsidRPr="009374C2">
        <w:rPr>
          <w:sz w:val="24"/>
          <w:szCs w:val="24"/>
          <w:lang w:val="en-GB"/>
        </w:rPr>
        <w:t xml:space="preserve">private sector housing output did not increase to reflect </w:t>
      </w:r>
      <w:r w:rsidR="00093FA1" w:rsidRPr="009374C2">
        <w:rPr>
          <w:sz w:val="24"/>
          <w:szCs w:val="24"/>
          <w:lang w:val="en-GB"/>
        </w:rPr>
        <w:t xml:space="preserve">this </w:t>
      </w:r>
      <w:r w:rsidRPr="009374C2">
        <w:rPr>
          <w:sz w:val="24"/>
          <w:szCs w:val="24"/>
          <w:lang w:val="en-GB"/>
        </w:rPr>
        <w:t xml:space="preserve">rents began </w:t>
      </w:r>
      <w:r w:rsidR="00093FA1" w:rsidRPr="009374C2">
        <w:rPr>
          <w:sz w:val="24"/>
          <w:szCs w:val="24"/>
          <w:lang w:val="en-GB"/>
        </w:rPr>
        <w:t>to inflate</w:t>
      </w:r>
      <w:r w:rsidRPr="009374C2">
        <w:rPr>
          <w:sz w:val="24"/>
          <w:szCs w:val="24"/>
          <w:lang w:val="en-GB"/>
        </w:rPr>
        <w:t xml:space="preserve"> rapidly</w:t>
      </w:r>
      <w:r w:rsidR="00AD4D8C" w:rsidRPr="009374C2">
        <w:rPr>
          <w:sz w:val="24"/>
          <w:szCs w:val="24"/>
          <w:lang w:val="en-GB"/>
        </w:rPr>
        <w:t xml:space="preserve">.  </w:t>
      </w:r>
      <w:r w:rsidR="0051797C" w:rsidRPr="009374C2">
        <w:rPr>
          <w:sz w:val="24"/>
          <w:szCs w:val="24"/>
          <w:lang w:val="en-GB"/>
        </w:rPr>
        <w:t xml:space="preserve">Private rents fell sharply during the economic crisis – by 25% nationally between 2007 and 2012 – but between the latter date and 2015 average rents in Dublin had regained almost all of this decline and were just 2.3% below peak (Private Residential Tenancies Board, 2015).  </w:t>
      </w:r>
      <w:r w:rsidR="00727532" w:rsidRPr="009374C2">
        <w:rPr>
          <w:sz w:val="24"/>
          <w:szCs w:val="24"/>
          <w:lang w:val="en-GB"/>
        </w:rPr>
        <w:t>Th</w:t>
      </w:r>
      <w:r w:rsidR="00093FA1" w:rsidRPr="009374C2">
        <w:rPr>
          <w:sz w:val="24"/>
          <w:szCs w:val="24"/>
          <w:lang w:val="en-GB"/>
        </w:rPr>
        <w:t>is inflated market</w:t>
      </w:r>
      <w:r w:rsidR="007C2BBD" w:rsidRPr="009374C2">
        <w:rPr>
          <w:sz w:val="24"/>
          <w:szCs w:val="24"/>
          <w:lang w:val="en-GB"/>
        </w:rPr>
        <w:t xml:space="preserve"> has created</w:t>
      </w:r>
      <w:r w:rsidR="00093FA1" w:rsidRPr="009374C2">
        <w:rPr>
          <w:sz w:val="24"/>
          <w:szCs w:val="24"/>
          <w:lang w:val="en-GB"/>
        </w:rPr>
        <w:t xml:space="preserve"> severe difficulties for operating the RAS scheme as landlords were willing to enter long term leases with local authorities and for Rent Supplement claimants whose subsidy is subject to threshold related to household size and location.  In the context of rapid rent inflation these thresholds no longer reflected market rents particularly in cities </w:t>
      </w:r>
      <w:r w:rsidR="00432D10" w:rsidRPr="009374C2">
        <w:rPr>
          <w:sz w:val="24"/>
          <w:szCs w:val="24"/>
          <w:lang w:val="en-GB"/>
        </w:rPr>
        <w:t>– for instance only nine of the 254 properties available for rent in Dublin city centre in June 2015 were within these subsidy limits (Simon Communities of Ireland, 2015).  How</w:t>
      </w:r>
      <w:r w:rsidR="00093FA1" w:rsidRPr="009374C2">
        <w:rPr>
          <w:sz w:val="24"/>
          <w:szCs w:val="24"/>
          <w:lang w:val="en-GB"/>
        </w:rPr>
        <w:t xml:space="preserve"> policy makers </w:t>
      </w:r>
      <w:r w:rsidR="007C2BBD" w:rsidRPr="009374C2">
        <w:rPr>
          <w:sz w:val="24"/>
          <w:szCs w:val="24"/>
          <w:lang w:val="en-GB"/>
        </w:rPr>
        <w:t xml:space="preserve">were loath to increase the thresholds </w:t>
      </w:r>
      <w:r w:rsidR="00873615" w:rsidRPr="009374C2">
        <w:rPr>
          <w:sz w:val="24"/>
          <w:szCs w:val="24"/>
          <w:lang w:val="en-GB"/>
        </w:rPr>
        <w:t xml:space="preserve">because of constraints on spending and also </w:t>
      </w:r>
      <w:r w:rsidR="007C2BBD" w:rsidRPr="009374C2">
        <w:rPr>
          <w:sz w:val="24"/>
          <w:szCs w:val="24"/>
          <w:lang w:val="en-GB"/>
        </w:rPr>
        <w:t>fear of feeding further rent inflation (</w:t>
      </w:r>
      <w:r w:rsidR="00873615" w:rsidRPr="009374C2">
        <w:rPr>
          <w:sz w:val="24"/>
          <w:szCs w:val="24"/>
          <w:lang w:val="en-GB"/>
        </w:rPr>
        <w:t>Department of Social Protection, 2015</w:t>
      </w:r>
      <w:r w:rsidRPr="009374C2">
        <w:rPr>
          <w:sz w:val="24"/>
          <w:szCs w:val="24"/>
          <w:lang w:val="en-GB"/>
        </w:rPr>
        <w:t xml:space="preserve">). </w:t>
      </w:r>
      <w:r w:rsidR="00873615" w:rsidRPr="009374C2">
        <w:rPr>
          <w:sz w:val="24"/>
          <w:szCs w:val="24"/>
          <w:lang w:val="en-GB"/>
        </w:rPr>
        <w:t xml:space="preserve"> </w:t>
      </w:r>
      <w:r w:rsidR="00432D10" w:rsidRPr="009374C2">
        <w:rPr>
          <w:sz w:val="24"/>
          <w:szCs w:val="24"/>
          <w:lang w:val="en-GB"/>
        </w:rPr>
        <w:t>Thus the problems in the quasi public housing sector has been identified as one of the primary drivers of the marked increase in homelessness referred to earlier in this article.</w:t>
      </w:r>
      <w:r w:rsidR="00873615" w:rsidRPr="009374C2">
        <w:rPr>
          <w:b/>
          <w:sz w:val="24"/>
          <w:szCs w:val="24"/>
        </w:rPr>
        <w:br w:type="page"/>
      </w:r>
    </w:p>
    <w:p w14:paraId="398D30C4" w14:textId="47791AA4" w:rsidR="00AF75EB" w:rsidRPr="009374C2" w:rsidRDefault="002265F1" w:rsidP="00AC6756">
      <w:pPr>
        <w:spacing w:after="0" w:line="480" w:lineRule="auto"/>
        <w:jc w:val="both"/>
        <w:rPr>
          <w:b/>
          <w:sz w:val="24"/>
          <w:szCs w:val="24"/>
        </w:rPr>
      </w:pPr>
      <w:r w:rsidRPr="009374C2">
        <w:rPr>
          <w:b/>
          <w:sz w:val="24"/>
          <w:szCs w:val="24"/>
        </w:rPr>
        <w:t>C</w:t>
      </w:r>
      <w:r w:rsidR="00A26A2D" w:rsidRPr="009374C2">
        <w:rPr>
          <w:b/>
          <w:sz w:val="24"/>
          <w:szCs w:val="24"/>
        </w:rPr>
        <w:t>onclusions</w:t>
      </w:r>
    </w:p>
    <w:p w14:paraId="066D9E7E" w14:textId="3838FC8A" w:rsidR="003758D8" w:rsidRPr="009374C2" w:rsidRDefault="000A1770" w:rsidP="00FD6F7C">
      <w:pPr>
        <w:spacing w:after="0" w:line="480" w:lineRule="auto"/>
        <w:ind w:firstLine="720"/>
        <w:jc w:val="both"/>
        <w:rPr>
          <w:sz w:val="24"/>
          <w:szCs w:val="24"/>
        </w:rPr>
      </w:pPr>
      <w:r w:rsidRPr="009374C2">
        <w:rPr>
          <w:sz w:val="24"/>
          <w:szCs w:val="24"/>
        </w:rPr>
        <w:t xml:space="preserve">As noted at the outset, </w:t>
      </w:r>
      <w:r w:rsidR="00FD6F7C" w:rsidRPr="009374C2">
        <w:rPr>
          <w:sz w:val="24"/>
          <w:szCs w:val="24"/>
        </w:rPr>
        <w:t xml:space="preserve">like its international counterparts, </w:t>
      </w:r>
      <w:r w:rsidRPr="009374C2">
        <w:rPr>
          <w:sz w:val="24"/>
          <w:szCs w:val="24"/>
        </w:rPr>
        <w:t>Ireland’s property bubble</w:t>
      </w:r>
      <w:r w:rsidR="00FD6F7C" w:rsidRPr="009374C2">
        <w:rPr>
          <w:sz w:val="24"/>
          <w:szCs w:val="24"/>
        </w:rPr>
        <w:t xml:space="preserve"> which inflated in the 1990s and subsequently busted in 2007-08</w:t>
      </w:r>
      <w:r w:rsidRPr="009374C2">
        <w:rPr>
          <w:sz w:val="24"/>
          <w:szCs w:val="24"/>
        </w:rPr>
        <w:t xml:space="preserve">, </w:t>
      </w:r>
      <w:r w:rsidR="00FD6F7C" w:rsidRPr="009374C2">
        <w:rPr>
          <w:sz w:val="24"/>
          <w:szCs w:val="24"/>
        </w:rPr>
        <w:t>has been</w:t>
      </w:r>
      <w:r w:rsidRPr="009374C2">
        <w:rPr>
          <w:sz w:val="24"/>
          <w:szCs w:val="24"/>
        </w:rPr>
        <w:t xml:space="preserve"> primarily been </w:t>
      </w:r>
      <w:r w:rsidR="00FD6F7C" w:rsidRPr="009374C2">
        <w:rPr>
          <w:sz w:val="24"/>
          <w:szCs w:val="24"/>
        </w:rPr>
        <w:t xml:space="preserve">examined </w:t>
      </w:r>
      <w:r w:rsidRPr="009374C2">
        <w:rPr>
          <w:sz w:val="24"/>
          <w:szCs w:val="24"/>
        </w:rPr>
        <w:t xml:space="preserve">through the lens of </w:t>
      </w:r>
      <w:r w:rsidR="00FD6F7C" w:rsidRPr="009374C2">
        <w:rPr>
          <w:sz w:val="24"/>
          <w:szCs w:val="24"/>
        </w:rPr>
        <w:t xml:space="preserve">home ownership, </w:t>
      </w:r>
      <w:r w:rsidRPr="009374C2">
        <w:rPr>
          <w:sz w:val="24"/>
          <w:szCs w:val="24"/>
        </w:rPr>
        <w:t xml:space="preserve">mortgage markets and </w:t>
      </w:r>
      <w:r w:rsidR="00FD6F7C" w:rsidRPr="009374C2">
        <w:rPr>
          <w:sz w:val="24"/>
          <w:szCs w:val="24"/>
        </w:rPr>
        <w:t>the related commercial credit bubble</w:t>
      </w:r>
      <w:r w:rsidRPr="009374C2">
        <w:rPr>
          <w:sz w:val="24"/>
          <w:szCs w:val="24"/>
        </w:rPr>
        <w:t xml:space="preserve">. To the extent that </w:t>
      </w:r>
      <w:r w:rsidR="00D7493C" w:rsidRPr="009374C2">
        <w:rPr>
          <w:sz w:val="24"/>
          <w:szCs w:val="24"/>
        </w:rPr>
        <w:t>public housing</w:t>
      </w:r>
      <w:r w:rsidRPr="009374C2">
        <w:rPr>
          <w:sz w:val="24"/>
          <w:szCs w:val="24"/>
        </w:rPr>
        <w:t xml:space="preserve"> has featured in attempts to understand the Irish </w:t>
      </w:r>
      <w:r w:rsidR="003758D8" w:rsidRPr="009374C2">
        <w:rPr>
          <w:sz w:val="24"/>
          <w:szCs w:val="24"/>
        </w:rPr>
        <w:t>crisis</w:t>
      </w:r>
      <w:r w:rsidRPr="009374C2">
        <w:rPr>
          <w:sz w:val="24"/>
          <w:szCs w:val="24"/>
        </w:rPr>
        <w:t xml:space="preserve">, the focus has been on its </w:t>
      </w:r>
      <w:r w:rsidR="00432D10" w:rsidRPr="009374C2">
        <w:rPr>
          <w:sz w:val="24"/>
          <w:szCs w:val="24"/>
        </w:rPr>
        <w:t xml:space="preserve">contraction and the role this has played in </w:t>
      </w:r>
      <w:r w:rsidR="00B254EB" w:rsidRPr="009374C2">
        <w:rPr>
          <w:sz w:val="24"/>
          <w:szCs w:val="24"/>
        </w:rPr>
        <w:t>forcing households to look to the market for accommodation</w:t>
      </w:r>
      <w:r w:rsidRPr="009374C2">
        <w:rPr>
          <w:sz w:val="24"/>
          <w:szCs w:val="24"/>
        </w:rPr>
        <w:t xml:space="preserve">. </w:t>
      </w:r>
      <w:r w:rsidR="003758D8" w:rsidRPr="009374C2">
        <w:rPr>
          <w:sz w:val="24"/>
          <w:szCs w:val="24"/>
        </w:rPr>
        <w:t xml:space="preserve">  In addition the negative impact of the </w:t>
      </w:r>
      <w:r w:rsidR="002209E6" w:rsidRPr="009374C2">
        <w:rPr>
          <w:sz w:val="24"/>
          <w:szCs w:val="24"/>
        </w:rPr>
        <w:t>crisis on the provision of public housing has been widely commented on.</w:t>
      </w:r>
    </w:p>
    <w:p w14:paraId="07A3EB62" w14:textId="366608AA" w:rsidR="002E5738" w:rsidRPr="009374C2" w:rsidRDefault="002E5738" w:rsidP="00FD6F7C">
      <w:pPr>
        <w:spacing w:after="0" w:line="480" w:lineRule="auto"/>
        <w:ind w:firstLine="720"/>
        <w:jc w:val="both"/>
        <w:rPr>
          <w:sz w:val="24"/>
          <w:szCs w:val="24"/>
        </w:rPr>
      </w:pPr>
      <w:r w:rsidRPr="009374C2">
        <w:rPr>
          <w:sz w:val="24"/>
          <w:szCs w:val="24"/>
        </w:rPr>
        <w:t xml:space="preserve">The decline of </w:t>
      </w:r>
      <w:r w:rsidR="00D7493C" w:rsidRPr="009374C2">
        <w:rPr>
          <w:sz w:val="24"/>
          <w:szCs w:val="24"/>
        </w:rPr>
        <w:t>public housing</w:t>
      </w:r>
      <w:r w:rsidRPr="009374C2">
        <w:rPr>
          <w:sz w:val="24"/>
          <w:szCs w:val="24"/>
        </w:rPr>
        <w:t xml:space="preserve"> and the expansion of owner occupancy are no doubt crucial phenomenon in understanding the boom and the bust. However, a broader transformation occurred in the nature of the </w:t>
      </w:r>
      <w:r w:rsidR="00D7493C" w:rsidRPr="009374C2">
        <w:rPr>
          <w:sz w:val="24"/>
          <w:szCs w:val="24"/>
        </w:rPr>
        <w:t>public housing</w:t>
      </w:r>
      <w:r w:rsidRPr="009374C2">
        <w:rPr>
          <w:sz w:val="24"/>
          <w:szCs w:val="24"/>
        </w:rPr>
        <w:t xml:space="preserve"> system and in its relationship with the private housing market. At the heart of this transformation is the shift towards a </w:t>
      </w:r>
      <w:r w:rsidR="00D7493C" w:rsidRPr="009374C2">
        <w:rPr>
          <w:sz w:val="24"/>
          <w:szCs w:val="24"/>
        </w:rPr>
        <w:t>public housing</w:t>
      </w:r>
      <w:r w:rsidRPr="009374C2">
        <w:rPr>
          <w:sz w:val="24"/>
          <w:szCs w:val="24"/>
        </w:rPr>
        <w:t xml:space="preserve"> system which is pro-cyclical, operating in important respects through the market in terms of meeting housing need. Importantly, this meant that </w:t>
      </w:r>
      <w:r w:rsidR="00D7493C" w:rsidRPr="009374C2">
        <w:rPr>
          <w:sz w:val="24"/>
          <w:szCs w:val="24"/>
        </w:rPr>
        <w:t>public housing</w:t>
      </w:r>
      <w:r w:rsidRPr="009374C2">
        <w:rPr>
          <w:sz w:val="24"/>
          <w:szCs w:val="24"/>
        </w:rPr>
        <w:t xml:space="preserve"> provision fed into demand for private housing, in terms of the acquisition of housing from private developers, the subsidisation of rent levels, the rolling out of public-private partnerships and so on.</w:t>
      </w:r>
      <w:r w:rsidR="00C0749C" w:rsidRPr="009374C2">
        <w:rPr>
          <w:sz w:val="24"/>
          <w:szCs w:val="24"/>
        </w:rPr>
        <w:t xml:space="preserve"> </w:t>
      </w:r>
      <w:r w:rsidRPr="009374C2">
        <w:rPr>
          <w:sz w:val="24"/>
          <w:szCs w:val="24"/>
        </w:rPr>
        <w:t xml:space="preserve">This shift in the </w:t>
      </w:r>
      <w:r w:rsidRPr="009374C2">
        <w:rPr>
          <w:i/>
          <w:sz w:val="24"/>
          <w:szCs w:val="24"/>
        </w:rPr>
        <w:t>nature</w:t>
      </w:r>
      <w:r w:rsidRPr="009374C2">
        <w:rPr>
          <w:sz w:val="24"/>
          <w:szCs w:val="24"/>
        </w:rPr>
        <w:t xml:space="preserve"> of the </w:t>
      </w:r>
      <w:r w:rsidR="00D7493C" w:rsidRPr="009374C2">
        <w:rPr>
          <w:sz w:val="24"/>
          <w:szCs w:val="24"/>
        </w:rPr>
        <w:t>public housing</w:t>
      </w:r>
      <w:r w:rsidRPr="009374C2">
        <w:rPr>
          <w:sz w:val="24"/>
          <w:szCs w:val="24"/>
        </w:rPr>
        <w:t xml:space="preserve"> system meant that the provision of </w:t>
      </w:r>
      <w:r w:rsidR="00D7493C" w:rsidRPr="009374C2">
        <w:rPr>
          <w:sz w:val="24"/>
          <w:szCs w:val="24"/>
        </w:rPr>
        <w:t>public housing</w:t>
      </w:r>
      <w:r w:rsidRPr="009374C2">
        <w:rPr>
          <w:sz w:val="24"/>
          <w:szCs w:val="24"/>
        </w:rPr>
        <w:t xml:space="preserve"> no longer acted as a balance to the dynamics of the market. It did not provide an alternative form of housing to the vast majority of households nor did it ensure a form of housing supply which dampened the private market. </w:t>
      </w:r>
      <w:r w:rsidR="0094642B" w:rsidRPr="009374C2">
        <w:rPr>
          <w:sz w:val="24"/>
          <w:szCs w:val="24"/>
        </w:rPr>
        <w:t xml:space="preserve">As demonstrated, this has meant that the crisis in the private housing system has become a crisis of the </w:t>
      </w:r>
      <w:r w:rsidR="00D7493C" w:rsidRPr="009374C2">
        <w:rPr>
          <w:sz w:val="24"/>
          <w:szCs w:val="24"/>
        </w:rPr>
        <w:t>public housing</w:t>
      </w:r>
      <w:r w:rsidR="0094642B" w:rsidRPr="009374C2">
        <w:rPr>
          <w:sz w:val="24"/>
          <w:szCs w:val="24"/>
        </w:rPr>
        <w:t xml:space="preserve"> sector as well, and thus of the housing system as a whole, leading to an acute housing crisis in Ireland.</w:t>
      </w:r>
    </w:p>
    <w:p w14:paraId="09EC7246" w14:textId="7574B527" w:rsidR="0094642B" w:rsidRPr="009374C2" w:rsidRDefault="0094642B" w:rsidP="00AC6756">
      <w:pPr>
        <w:spacing w:after="0" w:line="480" w:lineRule="auto"/>
        <w:jc w:val="both"/>
        <w:rPr>
          <w:sz w:val="24"/>
          <w:szCs w:val="24"/>
        </w:rPr>
      </w:pPr>
      <w:r w:rsidRPr="009374C2">
        <w:rPr>
          <w:sz w:val="24"/>
          <w:szCs w:val="24"/>
        </w:rPr>
        <w:t xml:space="preserve">The analysis of the transformation of the </w:t>
      </w:r>
      <w:r w:rsidR="00D7493C" w:rsidRPr="009374C2">
        <w:rPr>
          <w:sz w:val="24"/>
          <w:szCs w:val="24"/>
        </w:rPr>
        <w:t>public housing</w:t>
      </w:r>
      <w:r w:rsidRPr="009374C2">
        <w:rPr>
          <w:sz w:val="24"/>
          <w:szCs w:val="24"/>
        </w:rPr>
        <w:t xml:space="preserve"> systems suggest the importance of examining the interaction between different components of housing systems in understanding the global financial crisis and its aftermath. In relation to </w:t>
      </w:r>
      <w:r w:rsidR="00D7493C" w:rsidRPr="009374C2">
        <w:rPr>
          <w:sz w:val="24"/>
          <w:szCs w:val="24"/>
        </w:rPr>
        <w:t>public housing</w:t>
      </w:r>
      <w:r w:rsidRPr="009374C2">
        <w:rPr>
          <w:sz w:val="24"/>
          <w:szCs w:val="24"/>
        </w:rPr>
        <w:t>, the issue is not just its size and availability as a form of affordable housing, but also the mechanisms through which it is provided and thus its relationship to and impact ion the private housing market, housing demand and so forth.</w:t>
      </w:r>
      <w:r w:rsidR="00023D93" w:rsidRPr="009374C2">
        <w:rPr>
          <w:sz w:val="24"/>
          <w:szCs w:val="24"/>
        </w:rPr>
        <w:t xml:space="preserve"> </w:t>
      </w:r>
    </w:p>
    <w:p w14:paraId="7612DA42" w14:textId="24E64EF4" w:rsidR="00023D93" w:rsidRPr="00EE3847" w:rsidRDefault="00023D93" w:rsidP="00AC6756">
      <w:pPr>
        <w:spacing w:after="0" w:line="480" w:lineRule="auto"/>
        <w:jc w:val="both"/>
        <w:rPr>
          <w:sz w:val="24"/>
          <w:szCs w:val="24"/>
        </w:rPr>
      </w:pPr>
      <w:r w:rsidRPr="009374C2">
        <w:rPr>
          <w:sz w:val="24"/>
          <w:szCs w:val="24"/>
        </w:rPr>
        <w:t xml:space="preserve">This analysis, as well as eth extent of the current crisis, strongly suggests that uncoupling </w:t>
      </w:r>
      <w:r w:rsidR="00D7493C" w:rsidRPr="009374C2">
        <w:rPr>
          <w:sz w:val="24"/>
          <w:szCs w:val="24"/>
        </w:rPr>
        <w:t>public housing</w:t>
      </w:r>
      <w:r w:rsidRPr="009374C2">
        <w:rPr>
          <w:sz w:val="24"/>
          <w:szCs w:val="24"/>
        </w:rPr>
        <w:t xml:space="preserve"> from the dynamics of the market should b</w:t>
      </w:r>
      <w:r w:rsidRPr="00EE3847">
        <w:rPr>
          <w:sz w:val="24"/>
          <w:szCs w:val="24"/>
        </w:rPr>
        <w:t xml:space="preserve">e a priority of policy makers. This might occur through the development of a financing regime which is more diversified, is not exclusively reliant on capital funding and hence more resilient. It should also reduce reliance on the market for provision of housing by reducing the role of rent supplement and the private rented sector and the role of acquisitions and other mechanisms through which </w:t>
      </w:r>
      <w:r w:rsidR="00D7493C">
        <w:rPr>
          <w:sz w:val="24"/>
          <w:szCs w:val="24"/>
        </w:rPr>
        <w:t>public housing</w:t>
      </w:r>
      <w:r w:rsidRPr="00EE3847">
        <w:rPr>
          <w:sz w:val="24"/>
          <w:szCs w:val="24"/>
        </w:rPr>
        <w:t xml:space="preserve"> stimulates demand for private housing development. The </w:t>
      </w:r>
      <w:r w:rsidR="00D7493C">
        <w:rPr>
          <w:sz w:val="24"/>
          <w:szCs w:val="24"/>
        </w:rPr>
        <w:t>public housing</w:t>
      </w:r>
      <w:r w:rsidRPr="00EE3847">
        <w:rPr>
          <w:sz w:val="24"/>
          <w:szCs w:val="24"/>
        </w:rPr>
        <w:t xml:space="preserve"> system must guarantee an alternative supply pipeline of affordable housing if it is not to become dominated by the cyclicality of the market and thus lose its role as a counter-balance and as an alternative.</w:t>
      </w:r>
    </w:p>
    <w:p w14:paraId="0A6C2542" w14:textId="5BC3541B" w:rsidR="004D1118" w:rsidRPr="00EE3847" w:rsidRDefault="00023D93" w:rsidP="00AC6756">
      <w:pPr>
        <w:spacing w:after="0" w:line="480" w:lineRule="auto"/>
        <w:jc w:val="both"/>
        <w:rPr>
          <w:sz w:val="24"/>
          <w:szCs w:val="24"/>
        </w:rPr>
      </w:pPr>
      <w:r w:rsidRPr="00EE3847">
        <w:rPr>
          <w:sz w:val="24"/>
          <w:szCs w:val="24"/>
        </w:rPr>
        <w:t xml:space="preserve">The inter-weaving of the social and private housing systems urges us to reflect on the question of neoliberalism and Irish housing. Critical </w:t>
      </w:r>
      <w:r w:rsidR="00CE5C87" w:rsidRPr="00EE3847">
        <w:rPr>
          <w:sz w:val="24"/>
          <w:szCs w:val="24"/>
        </w:rPr>
        <w:t>geographers (Kelly and Maclaran</w:t>
      </w:r>
      <w:r w:rsidRPr="00EE3847">
        <w:rPr>
          <w:sz w:val="24"/>
          <w:szCs w:val="24"/>
        </w:rPr>
        <w:t xml:space="preserve">) and others </w:t>
      </w:r>
      <w:r w:rsidR="007B1E57" w:rsidRPr="00EE3847">
        <w:rPr>
          <w:sz w:val="24"/>
          <w:szCs w:val="24"/>
        </w:rPr>
        <w:t>have argued that urban development in general and the housing boom in particular can be conceptualised as part of the Irish experience of neoliberalism</w:t>
      </w:r>
      <w:r w:rsidR="00CE5C87" w:rsidRPr="00EE3847">
        <w:rPr>
          <w:sz w:val="24"/>
          <w:szCs w:val="24"/>
        </w:rPr>
        <w:t xml:space="preserve">, although it should be noted that Ireland has not witnessed a strongly articulated neoliberal ideological project (Kitchin et al). Nevertheless, the developments described here with regard to the transformation of the </w:t>
      </w:r>
      <w:r w:rsidR="00D7493C">
        <w:rPr>
          <w:sz w:val="24"/>
          <w:szCs w:val="24"/>
        </w:rPr>
        <w:t>public housing</w:t>
      </w:r>
      <w:r w:rsidR="00CE5C87" w:rsidRPr="00EE3847">
        <w:rPr>
          <w:sz w:val="24"/>
          <w:szCs w:val="24"/>
        </w:rPr>
        <w:t xml:space="preserve"> system can be conceptualised in terms of neoliberalism in two senses. First of all, housing policy increasingly operated to deliver housing by stimulating and shaping the private market. Second of all, greater reliance on the market was used to reduce government spending.</w:t>
      </w:r>
      <w:r w:rsidR="00CE11D8" w:rsidRPr="00EE3847">
        <w:rPr>
          <w:sz w:val="24"/>
          <w:szCs w:val="24"/>
        </w:rPr>
        <w:t xml:space="preserve"> Given the way the transformation of </w:t>
      </w:r>
      <w:r w:rsidR="00D7493C">
        <w:rPr>
          <w:sz w:val="24"/>
          <w:szCs w:val="24"/>
        </w:rPr>
        <w:t>public housing</w:t>
      </w:r>
      <w:r w:rsidR="00CE11D8" w:rsidRPr="00EE3847">
        <w:rPr>
          <w:sz w:val="24"/>
          <w:szCs w:val="24"/>
        </w:rPr>
        <w:t xml:space="preserve"> fed into the property bubble, the</w:t>
      </w:r>
      <w:r w:rsidR="00CE5C87" w:rsidRPr="00EE3847">
        <w:rPr>
          <w:sz w:val="24"/>
          <w:szCs w:val="24"/>
        </w:rPr>
        <w:t xml:space="preserve"> neoliberalisation of Irish </w:t>
      </w:r>
      <w:r w:rsidR="00D7493C">
        <w:rPr>
          <w:sz w:val="24"/>
          <w:szCs w:val="24"/>
        </w:rPr>
        <w:t>public housing</w:t>
      </w:r>
      <w:r w:rsidR="00CE5C87" w:rsidRPr="00EE3847">
        <w:rPr>
          <w:sz w:val="24"/>
          <w:szCs w:val="24"/>
        </w:rPr>
        <w:t xml:space="preserve"> policy can be </w:t>
      </w:r>
      <w:r w:rsidR="00CE11D8" w:rsidRPr="00EE3847">
        <w:rPr>
          <w:sz w:val="24"/>
          <w:szCs w:val="24"/>
        </w:rPr>
        <w:t>understood as working in tandem with the</w:t>
      </w:r>
      <w:r w:rsidR="00CE5C87" w:rsidRPr="00EE3847">
        <w:rPr>
          <w:sz w:val="24"/>
          <w:szCs w:val="24"/>
        </w:rPr>
        <w:t xml:space="preserve"> property and financial crisis and the wider question of the financialization of housing.</w:t>
      </w:r>
      <w:r w:rsidR="00CE11D8" w:rsidRPr="00EE3847">
        <w:rPr>
          <w:sz w:val="24"/>
          <w:szCs w:val="24"/>
        </w:rPr>
        <w:t xml:space="preserve"> As a recent edited volume on Dublin demonstrates, neoliberal urbanism, in empowering the market and entrepreneurial forms of governance and state intervention, has played an important role in facilitating the formation, and ultimate explosion, of the credit and property bubbles.</w:t>
      </w:r>
    </w:p>
    <w:p w14:paraId="6F86A9D5" w14:textId="6092F4DC" w:rsidR="004D1118" w:rsidRPr="00EE3847" w:rsidRDefault="004D1118" w:rsidP="00AC6756">
      <w:pPr>
        <w:spacing w:after="0" w:line="480" w:lineRule="auto"/>
        <w:jc w:val="both"/>
        <w:rPr>
          <w:sz w:val="24"/>
          <w:szCs w:val="24"/>
        </w:rPr>
      </w:pPr>
      <w:r w:rsidRPr="00EE3847">
        <w:rPr>
          <w:sz w:val="24"/>
          <w:szCs w:val="24"/>
        </w:rPr>
        <w:t xml:space="preserve">Examining the interaction of </w:t>
      </w:r>
      <w:r w:rsidR="00D7493C">
        <w:rPr>
          <w:sz w:val="24"/>
          <w:szCs w:val="24"/>
        </w:rPr>
        <w:t>public housing</w:t>
      </w:r>
      <w:r w:rsidRPr="00EE3847">
        <w:rPr>
          <w:sz w:val="24"/>
          <w:szCs w:val="24"/>
        </w:rPr>
        <w:t xml:space="preserve"> systems and the private housing market thus represents an important talks in analysing how the neoliberlsiation of housing policy and the process of financialization have interacted to shape the financial crisis, as well as understanding the origins and nature of the current crisis of </w:t>
      </w:r>
      <w:r w:rsidR="00D7493C">
        <w:rPr>
          <w:sz w:val="24"/>
          <w:szCs w:val="24"/>
        </w:rPr>
        <w:t>public housing</w:t>
      </w:r>
      <w:r w:rsidRPr="00EE3847">
        <w:rPr>
          <w:sz w:val="24"/>
          <w:szCs w:val="24"/>
        </w:rPr>
        <w:t xml:space="preserve"> I Ireland and perhaps elsewhere.</w:t>
      </w:r>
    </w:p>
    <w:p w14:paraId="189114C0" w14:textId="77777777" w:rsidR="007B1E57" w:rsidRPr="00EE3847" w:rsidRDefault="007B1E57" w:rsidP="00AC6756">
      <w:pPr>
        <w:spacing w:after="0" w:line="480" w:lineRule="auto"/>
        <w:jc w:val="both"/>
        <w:rPr>
          <w:sz w:val="24"/>
          <w:szCs w:val="24"/>
        </w:rPr>
      </w:pPr>
    </w:p>
    <w:p w14:paraId="5D9FC1DA" w14:textId="77777777" w:rsidR="00011361" w:rsidRPr="00EE3847" w:rsidRDefault="00011361">
      <w:pPr>
        <w:rPr>
          <w:b/>
          <w:sz w:val="24"/>
          <w:szCs w:val="24"/>
        </w:rPr>
      </w:pPr>
      <w:r w:rsidRPr="00EE3847">
        <w:rPr>
          <w:b/>
          <w:sz w:val="24"/>
          <w:szCs w:val="24"/>
        </w:rPr>
        <w:br w:type="page"/>
      </w:r>
    </w:p>
    <w:p w14:paraId="2EC53318" w14:textId="2E53BDA9" w:rsidR="00AF75EB" w:rsidRPr="00EE3847" w:rsidRDefault="00AF75EB" w:rsidP="00AF75EB">
      <w:pPr>
        <w:spacing w:line="360" w:lineRule="auto"/>
        <w:jc w:val="both"/>
        <w:rPr>
          <w:b/>
          <w:sz w:val="24"/>
          <w:szCs w:val="24"/>
        </w:rPr>
      </w:pPr>
      <w:r w:rsidRPr="00EE3847">
        <w:rPr>
          <w:b/>
          <w:sz w:val="24"/>
          <w:szCs w:val="24"/>
        </w:rPr>
        <w:t>References</w:t>
      </w:r>
    </w:p>
    <w:p w14:paraId="5E45DEE2" w14:textId="77777777" w:rsidR="00AF75EB" w:rsidRPr="00EE3847" w:rsidRDefault="00AF75EB" w:rsidP="00AF75EB">
      <w:pPr>
        <w:spacing w:line="360" w:lineRule="auto"/>
        <w:jc w:val="both"/>
        <w:rPr>
          <w:sz w:val="24"/>
          <w:szCs w:val="24"/>
        </w:rPr>
      </w:pPr>
      <w:r w:rsidRPr="00EE3847">
        <w:rPr>
          <w:sz w:val="24"/>
          <w:szCs w:val="24"/>
        </w:rPr>
        <w:t xml:space="preserve">Aalbers, M. B. (2015). The Great Moderation, the Great Excess and the global housing crisis. </w:t>
      </w:r>
      <w:r w:rsidRPr="00EE3847">
        <w:rPr>
          <w:i/>
          <w:sz w:val="24"/>
          <w:szCs w:val="24"/>
        </w:rPr>
        <w:t>International Journal of Housing Policy</w:t>
      </w:r>
      <w:r w:rsidRPr="00EE3847">
        <w:rPr>
          <w:sz w:val="24"/>
          <w:szCs w:val="24"/>
        </w:rPr>
        <w:t>, 15(1), 43-60.</w:t>
      </w:r>
    </w:p>
    <w:p w14:paraId="398462A9" w14:textId="77777777" w:rsidR="00AF75EB" w:rsidRPr="00EE3847" w:rsidRDefault="00AF75EB" w:rsidP="00AF75EB">
      <w:pPr>
        <w:spacing w:line="360" w:lineRule="auto"/>
        <w:jc w:val="both"/>
        <w:rPr>
          <w:sz w:val="24"/>
          <w:szCs w:val="24"/>
        </w:rPr>
      </w:pPr>
      <w:r w:rsidRPr="00EE3847">
        <w:rPr>
          <w:sz w:val="24"/>
          <w:szCs w:val="24"/>
        </w:rPr>
        <w:t xml:space="preserve">Aalbers, M. B. (2009). The sociology and geography of mortgage markets: Reflections on the financial crisis. </w:t>
      </w:r>
      <w:r w:rsidRPr="00EE3847">
        <w:rPr>
          <w:i/>
          <w:sz w:val="24"/>
          <w:szCs w:val="24"/>
        </w:rPr>
        <w:t>International Journal of Urban and Regional Research</w:t>
      </w:r>
      <w:r w:rsidRPr="00EE3847">
        <w:rPr>
          <w:sz w:val="24"/>
          <w:szCs w:val="24"/>
        </w:rPr>
        <w:t>, 33(2), 281-290.</w:t>
      </w:r>
    </w:p>
    <w:p w14:paraId="26C9D014" w14:textId="77777777" w:rsidR="00AF75EB" w:rsidRPr="00EE3847" w:rsidRDefault="00AF75EB" w:rsidP="00AF75EB">
      <w:pPr>
        <w:spacing w:line="360" w:lineRule="auto"/>
        <w:jc w:val="both"/>
        <w:rPr>
          <w:sz w:val="24"/>
          <w:szCs w:val="24"/>
        </w:rPr>
      </w:pPr>
      <w:r w:rsidRPr="00EE3847">
        <w:rPr>
          <w:sz w:val="24"/>
          <w:szCs w:val="24"/>
        </w:rPr>
        <w:t xml:space="preserve">Aalbers, M. B., &amp; Christophers, B. (2014). The Housing Question under Capitalist Political Economies. </w:t>
      </w:r>
      <w:r w:rsidRPr="00EE3847">
        <w:rPr>
          <w:i/>
          <w:sz w:val="24"/>
          <w:szCs w:val="24"/>
        </w:rPr>
        <w:t>Housing, Theory and Society</w:t>
      </w:r>
      <w:r w:rsidRPr="00EE3847">
        <w:rPr>
          <w:sz w:val="24"/>
          <w:szCs w:val="24"/>
        </w:rPr>
        <w:t>, 31(4), 422-428.</w:t>
      </w:r>
    </w:p>
    <w:p w14:paraId="27404B36" w14:textId="77777777" w:rsidR="00AF75EB" w:rsidRPr="00EE3847" w:rsidRDefault="00AF75EB" w:rsidP="00AF75EB">
      <w:pPr>
        <w:spacing w:line="360" w:lineRule="auto"/>
        <w:jc w:val="both"/>
        <w:rPr>
          <w:sz w:val="24"/>
          <w:szCs w:val="24"/>
        </w:rPr>
      </w:pPr>
      <w:r w:rsidRPr="00EE3847">
        <w:rPr>
          <w:sz w:val="24"/>
          <w:szCs w:val="24"/>
        </w:rPr>
        <w:t xml:space="preserve">Aalbers, M., van Loon, J. &amp; Fernandez, R. (2015). The financialization of a social housing provider. </w:t>
      </w:r>
      <w:r w:rsidRPr="00EE3847">
        <w:rPr>
          <w:i/>
          <w:sz w:val="24"/>
          <w:szCs w:val="24"/>
        </w:rPr>
        <w:t>International Journal of Urban and Regional Research</w:t>
      </w:r>
      <w:r w:rsidRPr="00EE3847">
        <w:rPr>
          <w:sz w:val="24"/>
          <w:szCs w:val="24"/>
        </w:rPr>
        <w:t>, in press.</w:t>
      </w:r>
    </w:p>
    <w:p w14:paraId="68921614" w14:textId="77777777" w:rsidR="00AF75EB" w:rsidRPr="00EE3847" w:rsidRDefault="00AF75EB" w:rsidP="00AF75EB">
      <w:pPr>
        <w:spacing w:line="360" w:lineRule="auto"/>
        <w:jc w:val="both"/>
        <w:rPr>
          <w:sz w:val="24"/>
          <w:szCs w:val="24"/>
        </w:rPr>
      </w:pPr>
      <w:r w:rsidRPr="00EE3847">
        <w:rPr>
          <w:sz w:val="24"/>
          <w:szCs w:val="24"/>
        </w:rPr>
        <w:t xml:space="preserve">Amann, W., Lawson, J. and Mundt, A. (2009). Structured financing allows for affordable rental housing in Austria. </w:t>
      </w:r>
      <w:r w:rsidRPr="00EE3847">
        <w:rPr>
          <w:i/>
          <w:sz w:val="24"/>
          <w:szCs w:val="24"/>
        </w:rPr>
        <w:t>Housing Finance International</w:t>
      </w:r>
      <w:r w:rsidRPr="00EE3847">
        <w:rPr>
          <w:sz w:val="24"/>
          <w:szCs w:val="24"/>
        </w:rPr>
        <w:t>, June.</w:t>
      </w:r>
    </w:p>
    <w:p w14:paraId="4765F7B3" w14:textId="77777777" w:rsidR="00AF75EB" w:rsidRPr="00EE3847" w:rsidRDefault="00AF75EB" w:rsidP="00AF75EB">
      <w:pPr>
        <w:spacing w:line="360" w:lineRule="auto"/>
        <w:jc w:val="both"/>
        <w:rPr>
          <w:sz w:val="24"/>
          <w:szCs w:val="24"/>
        </w:rPr>
      </w:pPr>
      <w:r w:rsidRPr="00EE3847">
        <w:rPr>
          <w:sz w:val="24"/>
          <w:szCs w:val="24"/>
        </w:rPr>
        <w:t xml:space="preserve">Arrighi, G. (2010). The long twentieth century: Money, power, and the origins of our times. London: Verso. </w:t>
      </w:r>
    </w:p>
    <w:p w14:paraId="2DDC603A" w14:textId="77777777" w:rsidR="00AF75EB" w:rsidRPr="00EE3847" w:rsidRDefault="00AF75EB" w:rsidP="00AF75EB">
      <w:pPr>
        <w:spacing w:line="360" w:lineRule="auto"/>
        <w:jc w:val="both"/>
        <w:rPr>
          <w:sz w:val="24"/>
          <w:szCs w:val="24"/>
        </w:rPr>
      </w:pPr>
      <w:r w:rsidRPr="00EE3847">
        <w:rPr>
          <w:sz w:val="24"/>
          <w:szCs w:val="24"/>
        </w:rPr>
        <w:t xml:space="preserve">Ashton, P., Doussard, M., &amp; Weber, R. (2014). Reconstituting the state: City powers and exposures in Chicago’s infrastructure leases. </w:t>
      </w:r>
      <w:r w:rsidRPr="00EE3847">
        <w:rPr>
          <w:i/>
          <w:sz w:val="24"/>
          <w:szCs w:val="24"/>
        </w:rPr>
        <w:t>Urban Studies</w:t>
      </w:r>
      <w:r w:rsidRPr="00EE3847">
        <w:rPr>
          <w:sz w:val="24"/>
          <w:szCs w:val="24"/>
        </w:rPr>
        <w:t>, early online publication.</w:t>
      </w:r>
    </w:p>
    <w:p w14:paraId="7A644E82" w14:textId="77777777" w:rsidR="00AF75EB" w:rsidRPr="00EE3847" w:rsidRDefault="00AF75EB" w:rsidP="00AF75EB">
      <w:pPr>
        <w:spacing w:line="360" w:lineRule="auto"/>
        <w:jc w:val="both"/>
        <w:rPr>
          <w:sz w:val="24"/>
          <w:szCs w:val="24"/>
        </w:rPr>
      </w:pPr>
      <w:r w:rsidRPr="00EE3847">
        <w:rPr>
          <w:sz w:val="24"/>
          <w:szCs w:val="24"/>
        </w:rPr>
        <w:t xml:space="preserve">Beswick, J., Alexandri, G., Byrne, M., Vives-Miró, S. Fields, D., Hodkinson, S. &amp; Janoschka, M. (Forthcoming). Speculating on London’s housing future: Salutary lessons from today’s post-crisis urban landscapes. </w:t>
      </w:r>
      <w:r w:rsidRPr="00EE3847">
        <w:rPr>
          <w:i/>
          <w:sz w:val="24"/>
          <w:szCs w:val="24"/>
        </w:rPr>
        <w:t>City</w:t>
      </w:r>
      <w:r w:rsidRPr="00EE3847">
        <w:rPr>
          <w:sz w:val="24"/>
          <w:szCs w:val="24"/>
        </w:rPr>
        <w:t>, in press.</w:t>
      </w:r>
    </w:p>
    <w:p w14:paraId="7524CF54" w14:textId="77777777" w:rsidR="00AF75EB" w:rsidRPr="00EE3847" w:rsidRDefault="00AF75EB" w:rsidP="00AF75EB">
      <w:pPr>
        <w:spacing w:line="360" w:lineRule="auto"/>
        <w:jc w:val="both"/>
        <w:rPr>
          <w:sz w:val="24"/>
          <w:szCs w:val="24"/>
        </w:rPr>
      </w:pPr>
      <w:r w:rsidRPr="00EE3847">
        <w:rPr>
          <w:sz w:val="24"/>
          <w:szCs w:val="24"/>
        </w:rPr>
        <w:t xml:space="preserve">Bisset, J. (2008). </w:t>
      </w:r>
      <w:r w:rsidRPr="00EE3847">
        <w:rPr>
          <w:i/>
          <w:sz w:val="24"/>
          <w:szCs w:val="24"/>
        </w:rPr>
        <w:t>Regeneration: Public good or private profit?</w:t>
      </w:r>
      <w:r w:rsidRPr="00EE3847">
        <w:rPr>
          <w:sz w:val="24"/>
          <w:szCs w:val="24"/>
        </w:rPr>
        <w:t xml:space="preserve"> Dublin: TASC.</w:t>
      </w:r>
    </w:p>
    <w:p w14:paraId="2032BE55" w14:textId="77777777" w:rsidR="00AF75EB" w:rsidRPr="00EE3847" w:rsidRDefault="00AF75EB" w:rsidP="00AF75EB">
      <w:pPr>
        <w:spacing w:line="360" w:lineRule="auto"/>
        <w:jc w:val="both"/>
        <w:rPr>
          <w:sz w:val="24"/>
          <w:szCs w:val="24"/>
        </w:rPr>
      </w:pPr>
      <w:r w:rsidRPr="00EE3847">
        <w:rPr>
          <w:sz w:val="24"/>
          <w:szCs w:val="24"/>
        </w:rPr>
        <w:t xml:space="preserve">Blackburn, R. (2011). Crisis 2.0. </w:t>
      </w:r>
      <w:r w:rsidRPr="00EE3847">
        <w:rPr>
          <w:i/>
          <w:sz w:val="24"/>
          <w:szCs w:val="24"/>
        </w:rPr>
        <w:t>New Left Review</w:t>
      </w:r>
      <w:r w:rsidRPr="00EE3847">
        <w:rPr>
          <w:sz w:val="24"/>
          <w:szCs w:val="24"/>
        </w:rPr>
        <w:t>, 72: 32-62.</w:t>
      </w:r>
    </w:p>
    <w:p w14:paraId="55BC7D3F" w14:textId="77777777" w:rsidR="00AF75EB" w:rsidRPr="00EE3847" w:rsidRDefault="00AF75EB" w:rsidP="00AF75EB">
      <w:pPr>
        <w:spacing w:line="360" w:lineRule="auto"/>
        <w:jc w:val="both"/>
        <w:rPr>
          <w:sz w:val="24"/>
          <w:szCs w:val="24"/>
        </w:rPr>
      </w:pPr>
      <w:r w:rsidRPr="00EE3847">
        <w:rPr>
          <w:sz w:val="24"/>
          <w:szCs w:val="24"/>
        </w:rPr>
        <w:t xml:space="preserve">Blackburn, R. (2006). Finance and the fourth dimension. </w:t>
      </w:r>
      <w:r w:rsidRPr="00EE3847">
        <w:rPr>
          <w:i/>
          <w:sz w:val="24"/>
          <w:szCs w:val="24"/>
        </w:rPr>
        <w:t>New Left Review</w:t>
      </w:r>
      <w:r w:rsidRPr="00EE3847">
        <w:rPr>
          <w:sz w:val="24"/>
          <w:szCs w:val="24"/>
        </w:rPr>
        <w:t xml:space="preserve"> 39: 39-70.</w:t>
      </w:r>
    </w:p>
    <w:p w14:paraId="3B1DC6D5" w14:textId="77777777" w:rsidR="00AF75EB" w:rsidRPr="00EE3847" w:rsidRDefault="00AF75EB" w:rsidP="00AF75EB">
      <w:pPr>
        <w:spacing w:line="360" w:lineRule="auto"/>
        <w:jc w:val="both"/>
        <w:rPr>
          <w:sz w:val="24"/>
          <w:szCs w:val="24"/>
        </w:rPr>
      </w:pPr>
      <w:r w:rsidRPr="00EE3847">
        <w:rPr>
          <w:sz w:val="24"/>
          <w:szCs w:val="24"/>
        </w:rPr>
        <w:t xml:space="preserve">Braudel, F. (1984). </w:t>
      </w:r>
      <w:r w:rsidRPr="00EE3847">
        <w:rPr>
          <w:i/>
          <w:sz w:val="24"/>
          <w:szCs w:val="24"/>
        </w:rPr>
        <w:t>Civilization and capitalism, 15th-18th century: The wheels of commerce</w:t>
      </w:r>
      <w:r w:rsidRPr="00EE3847">
        <w:rPr>
          <w:sz w:val="24"/>
          <w:szCs w:val="24"/>
        </w:rPr>
        <w:t>. New York: Harper &amp; Row</w:t>
      </w:r>
    </w:p>
    <w:p w14:paraId="0061B745" w14:textId="450AED07" w:rsidR="00AF75EB" w:rsidRDefault="00AF75EB" w:rsidP="00AF75EB">
      <w:pPr>
        <w:spacing w:line="360" w:lineRule="auto"/>
        <w:jc w:val="both"/>
        <w:rPr>
          <w:sz w:val="24"/>
          <w:szCs w:val="24"/>
        </w:rPr>
      </w:pPr>
      <w:r w:rsidRPr="00EE3847">
        <w:rPr>
          <w:sz w:val="24"/>
          <w:szCs w:val="24"/>
        </w:rPr>
        <w:t xml:space="preserve">Brenner, R. (2006). </w:t>
      </w:r>
      <w:r w:rsidRPr="00EE3847">
        <w:rPr>
          <w:i/>
          <w:sz w:val="24"/>
          <w:szCs w:val="24"/>
        </w:rPr>
        <w:t>The economics of global turbulence</w:t>
      </w:r>
      <w:r w:rsidRPr="00EE3847">
        <w:rPr>
          <w:sz w:val="24"/>
          <w:szCs w:val="24"/>
        </w:rPr>
        <w:t>. London, Verso.</w:t>
      </w:r>
    </w:p>
    <w:p w14:paraId="4F340A79" w14:textId="45EC6520" w:rsidR="00E66293" w:rsidRPr="00EE3847" w:rsidRDefault="00E66293" w:rsidP="00AF75EB">
      <w:pPr>
        <w:spacing w:line="360" w:lineRule="auto"/>
        <w:jc w:val="both"/>
        <w:rPr>
          <w:sz w:val="24"/>
          <w:szCs w:val="24"/>
        </w:rPr>
      </w:pPr>
      <w:r w:rsidRPr="00E66293">
        <w:rPr>
          <w:sz w:val="24"/>
          <w:szCs w:val="24"/>
        </w:rPr>
        <w:t xml:space="preserve">Bone, J. and O'Reilly, K. (2010), No place called home: the causes and social consequences of the UK housing ‘bubble’. </w:t>
      </w:r>
      <w:r w:rsidRPr="00E66293">
        <w:rPr>
          <w:i/>
          <w:sz w:val="24"/>
          <w:szCs w:val="24"/>
        </w:rPr>
        <w:t>British Journal of Sociology</w:t>
      </w:r>
      <w:r w:rsidRPr="00E66293">
        <w:rPr>
          <w:sz w:val="24"/>
          <w:szCs w:val="24"/>
        </w:rPr>
        <w:t>, 61</w:t>
      </w:r>
      <w:r>
        <w:rPr>
          <w:sz w:val="24"/>
          <w:szCs w:val="24"/>
        </w:rPr>
        <w:t>(2)</w:t>
      </w:r>
      <w:r w:rsidRPr="00E66293">
        <w:rPr>
          <w:sz w:val="24"/>
          <w:szCs w:val="24"/>
        </w:rPr>
        <w:t>: 231–255</w:t>
      </w:r>
    </w:p>
    <w:p w14:paraId="3FC07608" w14:textId="77777777" w:rsidR="00AF75EB" w:rsidRPr="00EE3847" w:rsidRDefault="00AF75EB" w:rsidP="00AF75EB">
      <w:pPr>
        <w:spacing w:line="360" w:lineRule="auto"/>
        <w:jc w:val="both"/>
        <w:rPr>
          <w:sz w:val="24"/>
          <w:szCs w:val="24"/>
        </w:rPr>
      </w:pPr>
      <w:r w:rsidRPr="00EE3847">
        <w:rPr>
          <w:sz w:val="24"/>
          <w:szCs w:val="24"/>
        </w:rPr>
        <w:t xml:space="preserve">Brooke, S. (2001). </w:t>
      </w:r>
      <w:r w:rsidRPr="00EE3847">
        <w:rPr>
          <w:i/>
          <w:sz w:val="24"/>
          <w:szCs w:val="24"/>
        </w:rPr>
        <w:t>Social housing for the future: can housing associations meet the challenge?</w:t>
      </w:r>
      <w:r w:rsidRPr="00EE3847">
        <w:rPr>
          <w:sz w:val="24"/>
          <w:szCs w:val="24"/>
        </w:rPr>
        <w:t xml:space="preserve"> Dublin: the Policy Institute.</w:t>
      </w:r>
    </w:p>
    <w:p w14:paraId="557CF1F0" w14:textId="77777777" w:rsidR="00AF75EB" w:rsidRPr="00EE3847" w:rsidRDefault="00AF75EB" w:rsidP="00AF75EB">
      <w:pPr>
        <w:spacing w:line="360" w:lineRule="auto"/>
        <w:jc w:val="both"/>
        <w:rPr>
          <w:sz w:val="24"/>
          <w:szCs w:val="24"/>
        </w:rPr>
      </w:pPr>
      <w:r w:rsidRPr="00EE3847">
        <w:rPr>
          <w:sz w:val="24"/>
          <w:szCs w:val="24"/>
        </w:rPr>
        <w:t xml:space="preserve">Byrne, M. (2015). 'Asset price urbanism: NAMA and the politics of financialization'. </w:t>
      </w:r>
      <w:r w:rsidRPr="00EE3847">
        <w:rPr>
          <w:i/>
          <w:sz w:val="24"/>
          <w:szCs w:val="24"/>
        </w:rPr>
        <w:t>International Journal of Urban and Regional Research</w:t>
      </w:r>
      <w:r w:rsidRPr="00EE3847">
        <w:rPr>
          <w:sz w:val="24"/>
          <w:szCs w:val="24"/>
        </w:rPr>
        <w:t>.</w:t>
      </w:r>
    </w:p>
    <w:p w14:paraId="355A7508" w14:textId="77777777" w:rsidR="00AF75EB" w:rsidRPr="00EE3847" w:rsidRDefault="00AF75EB" w:rsidP="00AF75EB">
      <w:pPr>
        <w:spacing w:line="360" w:lineRule="auto"/>
        <w:jc w:val="both"/>
        <w:rPr>
          <w:sz w:val="24"/>
          <w:szCs w:val="24"/>
        </w:rPr>
      </w:pPr>
      <w:r w:rsidRPr="00EE3847">
        <w:rPr>
          <w:sz w:val="24"/>
          <w:szCs w:val="24"/>
        </w:rPr>
        <w:t xml:space="preserve">Byrne, M. (Forthcoming). Entrepreneurial urbanism after the crisis: Ireland's "bad bank" and the redevelopment of Dublin's Docklands. </w:t>
      </w:r>
      <w:r w:rsidRPr="00EE3847">
        <w:rPr>
          <w:i/>
          <w:sz w:val="24"/>
          <w:szCs w:val="24"/>
        </w:rPr>
        <w:t>Antipode</w:t>
      </w:r>
      <w:r w:rsidRPr="00EE3847">
        <w:rPr>
          <w:sz w:val="24"/>
          <w:szCs w:val="24"/>
        </w:rPr>
        <w:t>.</w:t>
      </w:r>
    </w:p>
    <w:p w14:paraId="6A487C82" w14:textId="77777777" w:rsidR="00AF75EB" w:rsidRPr="00EE3847" w:rsidRDefault="00AF75EB" w:rsidP="00AF75EB">
      <w:pPr>
        <w:spacing w:line="360" w:lineRule="auto"/>
        <w:jc w:val="both"/>
        <w:rPr>
          <w:sz w:val="24"/>
          <w:szCs w:val="24"/>
        </w:rPr>
      </w:pPr>
      <w:r w:rsidRPr="00EE3847">
        <w:rPr>
          <w:sz w:val="24"/>
          <w:szCs w:val="24"/>
        </w:rPr>
        <w:t>Byrne, M</w:t>
      </w:r>
      <w:bookmarkStart w:id="0" w:name="_GoBack"/>
      <w:bookmarkEnd w:id="0"/>
      <w:r w:rsidRPr="00EE3847">
        <w:rPr>
          <w:sz w:val="24"/>
          <w:szCs w:val="24"/>
        </w:rPr>
        <w:t>. 2015. Ireland’s new transnational landlords. Irelandafternama. URL: https://irelandafternama.wordpress.com/2015/09/09/irelands-new-transnational-landlords/</w:t>
      </w:r>
    </w:p>
    <w:p w14:paraId="79DD87CD" w14:textId="77777777" w:rsidR="00AF75EB" w:rsidRPr="00EE3847" w:rsidRDefault="00AF75EB" w:rsidP="00AF75EB">
      <w:pPr>
        <w:spacing w:line="360" w:lineRule="auto"/>
        <w:jc w:val="both"/>
        <w:rPr>
          <w:sz w:val="24"/>
          <w:szCs w:val="24"/>
        </w:rPr>
      </w:pPr>
      <w:r w:rsidRPr="00EE3847">
        <w:rPr>
          <w:sz w:val="24"/>
          <w:szCs w:val="24"/>
        </w:rPr>
        <w:t xml:space="preserve">Castree, N. &amp; Christophers, B. (2015). Banking spatially on the future: Capital switching, infrastructure, and the ecological fix. </w:t>
      </w:r>
      <w:r w:rsidRPr="00EE3847">
        <w:rPr>
          <w:i/>
          <w:sz w:val="24"/>
          <w:szCs w:val="24"/>
        </w:rPr>
        <w:t>Annals of the Association of American Geographers</w:t>
      </w:r>
      <w:r w:rsidRPr="00EE3847">
        <w:rPr>
          <w:sz w:val="24"/>
          <w:szCs w:val="24"/>
        </w:rPr>
        <w:t>, 105(2), 378-386.</w:t>
      </w:r>
    </w:p>
    <w:p w14:paraId="42AFB7FC" w14:textId="77777777" w:rsidR="00AF75EB" w:rsidRPr="00EE3847" w:rsidRDefault="00AF75EB" w:rsidP="00AF75EB">
      <w:pPr>
        <w:spacing w:line="360" w:lineRule="auto"/>
        <w:jc w:val="both"/>
        <w:rPr>
          <w:sz w:val="24"/>
          <w:szCs w:val="24"/>
        </w:rPr>
      </w:pPr>
      <w:r w:rsidRPr="00EE3847">
        <w:rPr>
          <w:sz w:val="24"/>
          <w:szCs w:val="24"/>
        </w:rPr>
        <w:t>CECODHAS. 2013. Study on financing of social housing in six European countries.</w:t>
      </w:r>
    </w:p>
    <w:p w14:paraId="6A3229C4"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Central Bank. (various years). </w:t>
      </w:r>
      <w:r w:rsidRPr="00EE3847">
        <w:rPr>
          <w:i/>
          <w:sz w:val="24"/>
          <w:szCs w:val="24"/>
          <w:lang w:val="en-GB"/>
        </w:rPr>
        <w:t>Residential Mortgage Arrears and Repossessions Statistics</w:t>
      </w:r>
      <w:r w:rsidRPr="00EE3847">
        <w:rPr>
          <w:sz w:val="24"/>
          <w:szCs w:val="24"/>
          <w:lang w:val="en-GB"/>
        </w:rPr>
        <w:t>. Dublin: Central Bank.</w:t>
      </w:r>
    </w:p>
    <w:p w14:paraId="217941A3" w14:textId="77777777" w:rsidR="00AF75EB" w:rsidRPr="00EE3847" w:rsidRDefault="00AF75EB" w:rsidP="00AF75EB">
      <w:pPr>
        <w:spacing w:line="360" w:lineRule="auto"/>
        <w:jc w:val="both"/>
        <w:rPr>
          <w:sz w:val="24"/>
          <w:szCs w:val="24"/>
        </w:rPr>
      </w:pPr>
      <w:r w:rsidRPr="00EE3847">
        <w:rPr>
          <w:sz w:val="24"/>
          <w:szCs w:val="24"/>
        </w:rPr>
        <w:t xml:space="preserve">Christophers, B. (2010). On voodoo economics: Theorizing relations of property, value and contemporary capitalism. </w:t>
      </w:r>
      <w:r w:rsidRPr="00EE3847">
        <w:rPr>
          <w:i/>
          <w:sz w:val="24"/>
          <w:szCs w:val="24"/>
        </w:rPr>
        <w:t>Transactions of the Institute of British Geographers</w:t>
      </w:r>
      <w:r w:rsidRPr="00EE3847">
        <w:rPr>
          <w:sz w:val="24"/>
          <w:szCs w:val="24"/>
        </w:rPr>
        <w:t>, 35(1): 94-108.</w:t>
      </w:r>
    </w:p>
    <w:p w14:paraId="43D7C03D" w14:textId="77777777" w:rsidR="00AF75EB" w:rsidRPr="00EE3847" w:rsidRDefault="00AF75EB" w:rsidP="00AF75EB">
      <w:pPr>
        <w:spacing w:line="360" w:lineRule="auto"/>
        <w:jc w:val="both"/>
        <w:rPr>
          <w:sz w:val="24"/>
          <w:szCs w:val="24"/>
        </w:rPr>
      </w:pPr>
      <w:r w:rsidRPr="00EE3847">
        <w:rPr>
          <w:sz w:val="24"/>
          <w:szCs w:val="24"/>
        </w:rPr>
        <w:t xml:space="preserve">Coakley, J. (1994). The Integration of Property and Financial Markets. </w:t>
      </w:r>
      <w:r w:rsidRPr="00EE3847">
        <w:rPr>
          <w:i/>
          <w:sz w:val="24"/>
          <w:szCs w:val="24"/>
        </w:rPr>
        <w:t>Environment and Planning A</w:t>
      </w:r>
      <w:r w:rsidRPr="00EE3847">
        <w:rPr>
          <w:sz w:val="24"/>
          <w:szCs w:val="24"/>
        </w:rPr>
        <w:t>, 26 (5): 697–713.</w:t>
      </w:r>
    </w:p>
    <w:p w14:paraId="46F6BC93"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Conefrey, T. &amp; Fitz Gerald, J. (2010) Managing housing bubbles in regional economies under EMU: Ireland and Spain. </w:t>
      </w:r>
      <w:r w:rsidRPr="00EE3847">
        <w:rPr>
          <w:i/>
          <w:sz w:val="24"/>
          <w:szCs w:val="24"/>
          <w:lang w:val="en-GB"/>
        </w:rPr>
        <w:t>National Institute Economic Review</w:t>
      </w:r>
      <w:r w:rsidRPr="00EE3847">
        <w:rPr>
          <w:sz w:val="24"/>
          <w:szCs w:val="24"/>
          <w:lang w:val="en-GB"/>
        </w:rPr>
        <w:t>, 211: 91–108.</w:t>
      </w:r>
    </w:p>
    <w:p w14:paraId="02AD3A22"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Crouch, C (2009), ‘Privatised Keynesianism: an acknowledged policy regime’, </w:t>
      </w:r>
      <w:r w:rsidRPr="00EE3847">
        <w:rPr>
          <w:i/>
          <w:sz w:val="24"/>
          <w:szCs w:val="24"/>
          <w:lang w:val="en-GB"/>
        </w:rPr>
        <w:t>British Journal of Politics and International Studies</w:t>
      </w:r>
      <w:r w:rsidRPr="00EE3847">
        <w:rPr>
          <w:sz w:val="24"/>
          <w:szCs w:val="24"/>
          <w:lang w:val="en-GB"/>
        </w:rPr>
        <w:t>, 11(3): 328-399.</w:t>
      </w:r>
    </w:p>
    <w:p w14:paraId="4A9BDEF3"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Daly, M (1997), </w:t>
      </w:r>
      <w:r w:rsidRPr="00EE3847">
        <w:rPr>
          <w:i/>
          <w:sz w:val="24"/>
          <w:szCs w:val="24"/>
          <w:lang w:val="en-GB"/>
        </w:rPr>
        <w:t>The Buffer State: the historical roots of the Department of the Environment</w:t>
      </w:r>
      <w:r w:rsidRPr="00EE3847">
        <w:rPr>
          <w:sz w:val="24"/>
          <w:szCs w:val="24"/>
          <w:lang w:val="en-GB"/>
        </w:rPr>
        <w:t>, Dublin: Institute of Public Administration.</w:t>
      </w:r>
    </w:p>
    <w:p w14:paraId="58C4FDC0"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Department of Local Government (various years), </w:t>
      </w:r>
      <w:r w:rsidRPr="00EE3847">
        <w:rPr>
          <w:i/>
          <w:sz w:val="24"/>
          <w:szCs w:val="24"/>
          <w:lang w:val="en-GB"/>
        </w:rPr>
        <w:t xml:space="preserve">Report. </w:t>
      </w:r>
      <w:r w:rsidRPr="00EE3847">
        <w:rPr>
          <w:sz w:val="24"/>
          <w:szCs w:val="24"/>
          <w:lang w:val="en-GB"/>
        </w:rPr>
        <w:t>Dublin: Stationery Office.</w:t>
      </w:r>
    </w:p>
    <w:p w14:paraId="184787B1"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Department of Public Expenditure and Reform (various years), </w:t>
      </w:r>
      <w:r w:rsidRPr="00EE3847">
        <w:rPr>
          <w:i/>
          <w:sz w:val="24"/>
          <w:szCs w:val="24"/>
          <w:lang w:val="en-GB"/>
        </w:rPr>
        <w:t xml:space="preserve">Revised Estimates for Public Services, </w:t>
      </w:r>
      <w:r w:rsidRPr="00EE3847">
        <w:rPr>
          <w:sz w:val="24"/>
          <w:szCs w:val="24"/>
          <w:lang w:val="en-GB"/>
        </w:rPr>
        <w:t>Dublin: Stationery Office.</w:t>
      </w:r>
    </w:p>
    <w:p w14:paraId="0B2D5C15"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Department of Social Protection (2015), </w:t>
      </w:r>
      <w:r w:rsidRPr="00EE3847">
        <w:rPr>
          <w:i/>
          <w:sz w:val="24"/>
          <w:szCs w:val="24"/>
          <w:lang w:val="en-GB"/>
        </w:rPr>
        <w:t xml:space="preserve">Maximum Rent Limit Analysis and Findings Report, February 2015, </w:t>
      </w:r>
      <w:r w:rsidRPr="00EE3847">
        <w:rPr>
          <w:sz w:val="24"/>
          <w:szCs w:val="24"/>
          <w:lang w:val="en-GB"/>
        </w:rPr>
        <w:t>Dublin: Department of Social Protection.</w:t>
      </w:r>
    </w:p>
    <w:p w14:paraId="66324FBE" w14:textId="20FA67AA" w:rsidR="00AF75EB" w:rsidRPr="00EE3847" w:rsidRDefault="00AF75EB" w:rsidP="00AF75EB">
      <w:pPr>
        <w:spacing w:line="360" w:lineRule="auto"/>
        <w:jc w:val="both"/>
        <w:rPr>
          <w:sz w:val="24"/>
          <w:szCs w:val="24"/>
          <w:lang w:val="en-GB"/>
        </w:rPr>
      </w:pPr>
      <w:r w:rsidRPr="00EE3847">
        <w:rPr>
          <w:sz w:val="24"/>
          <w:szCs w:val="24"/>
          <w:lang w:val="en-GB"/>
        </w:rPr>
        <w:t xml:space="preserve">Department of the </w:t>
      </w:r>
      <w:r w:rsidR="00954EE0" w:rsidRPr="00EE3847">
        <w:rPr>
          <w:sz w:val="24"/>
          <w:szCs w:val="24"/>
          <w:lang w:val="en-GB"/>
        </w:rPr>
        <w:t xml:space="preserve">Housing, Planning and </w:t>
      </w:r>
      <w:r w:rsidRPr="00EE3847">
        <w:rPr>
          <w:sz w:val="24"/>
          <w:szCs w:val="24"/>
          <w:lang w:val="en-GB"/>
        </w:rPr>
        <w:t xml:space="preserve">Local Government (various years), </w:t>
      </w:r>
      <w:r w:rsidRPr="00EE3847">
        <w:rPr>
          <w:i/>
          <w:sz w:val="24"/>
          <w:szCs w:val="24"/>
          <w:lang w:val="en-GB"/>
        </w:rPr>
        <w:t>Annual Housing Statistics Bulletin</w:t>
      </w:r>
      <w:r w:rsidRPr="00EE3847">
        <w:rPr>
          <w:sz w:val="24"/>
          <w:szCs w:val="24"/>
          <w:lang w:val="en-GB"/>
        </w:rPr>
        <w:t>, Dublin: D</w:t>
      </w:r>
      <w:r w:rsidR="00954EE0" w:rsidRPr="00EE3847">
        <w:rPr>
          <w:sz w:val="24"/>
          <w:szCs w:val="24"/>
          <w:lang w:val="en-GB"/>
        </w:rPr>
        <w:t>HPLG</w:t>
      </w:r>
      <w:r w:rsidRPr="00EE3847">
        <w:rPr>
          <w:sz w:val="24"/>
          <w:szCs w:val="24"/>
          <w:lang w:val="en-GB"/>
        </w:rPr>
        <w:t>.</w:t>
      </w:r>
    </w:p>
    <w:p w14:paraId="332A1C1E" w14:textId="10C2161E" w:rsidR="00AF75EB" w:rsidRPr="00EE3847" w:rsidRDefault="00AF75EB" w:rsidP="00AF75EB">
      <w:pPr>
        <w:spacing w:line="360" w:lineRule="auto"/>
        <w:jc w:val="both"/>
        <w:rPr>
          <w:sz w:val="24"/>
          <w:szCs w:val="24"/>
        </w:rPr>
      </w:pPr>
      <w:r w:rsidRPr="00EE3847">
        <w:rPr>
          <w:sz w:val="24"/>
          <w:szCs w:val="24"/>
        </w:rPr>
        <w:t xml:space="preserve">Department of the Environment, Community and Local Government. (2014). </w:t>
      </w:r>
      <w:r w:rsidRPr="00EE3847">
        <w:rPr>
          <w:i/>
          <w:sz w:val="24"/>
          <w:szCs w:val="24"/>
        </w:rPr>
        <w:t xml:space="preserve">Social Housing Strategy 2020: support, supply and reform. </w:t>
      </w:r>
      <w:r w:rsidRPr="00EE3847">
        <w:rPr>
          <w:sz w:val="24"/>
          <w:szCs w:val="24"/>
        </w:rPr>
        <w:t xml:space="preserve">Dublin: </w:t>
      </w:r>
      <w:r w:rsidR="00954EE0" w:rsidRPr="00EE3847">
        <w:rPr>
          <w:sz w:val="24"/>
          <w:szCs w:val="24"/>
        </w:rPr>
        <w:t>DECLG</w:t>
      </w:r>
      <w:r w:rsidRPr="00EE3847">
        <w:rPr>
          <w:sz w:val="24"/>
          <w:szCs w:val="24"/>
        </w:rPr>
        <w:t>.</w:t>
      </w:r>
    </w:p>
    <w:p w14:paraId="71857A8B" w14:textId="77777777" w:rsidR="00AF75EB" w:rsidRPr="00EE3847" w:rsidRDefault="00AF75EB" w:rsidP="00AF75EB">
      <w:pPr>
        <w:spacing w:line="360" w:lineRule="auto"/>
        <w:jc w:val="both"/>
        <w:rPr>
          <w:sz w:val="24"/>
          <w:szCs w:val="24"/>
        </w:rPr>
      </w:pPr>
      <w:r w:rsidRPr="00EE3847">
        <w:rPr>
          <w:sz w:val="24"/>
          <w:szCs w:val="24"/>
        </w:rPr>
        <w:t>DKM Economic Consultants and Brady Shipman and Martin. (2012). Review of Part V of the Planning and Development Act 2000. Dublin: The Housing Agency.</w:t>
      </w:r>
    </w:p>
    <w:p w14:paraId="710CDDE9" w14:textId="22F8696C" w:rsidR="00A57687" w:rsidRPr="00A57687" w:rsidRDefault="00A57687" w:rsidP="00A57687">
      <w:pPr>
        <w:spacing w:line="360" w:lineRule="auto"/>
        <w:jc w:val="both"/>
        <w:rPr>
          <w:sz w:val="24"/>
          <w:szCs w:val="24"/>
        </w:rPr>
      </w:pPr>
      <w:r w:rsidRPr="00A57687">
        <w:rPr>
          <w:sz w:val="24"/>
          <w:szCs w:val="24"/>
        </w:rPr>
        <w:t xml:space="preserve">Doling, J </w:t>
      </w:r>
      <w:r>
        <w:rPr>
          <w:sz w:val="24"/>
          <w:szCs w:val="24"/>
        </w:rPr>
        <w:t xml:space="preserve">and Roland, (2010) </w:t>
      </w:r>
      <w:r w:rsidRPr="00A57687">
        <w:rPr>
          <w:sz w:val="24"/>
          <w:szCs w:val="24"/>
        </w:rPr>
        <w:t>Home ownership and asset-based welfare</w:t>
      </w:r>
      <w:r>
        <w:rPr>
          <w:sz w:val="24"/>
          <w:szCs w:val="24"/>
        </w:rPr>
        <w:t xml:space="preserve">, </w:t>
      </w:r>
      <w:r w:rsidRPr="00A57687">
        <w:rPr>
          <w:i/>
          <w:sz w:val="24"/>
          <w:szCs w:val="24"/>
        </w:rPr>
        <w:t>Journal of Housing and the Built Environment</w:t>
      </w:r>
      <w:r>
        <w:rPr>
          <w:sz w:val="24"/>
          <w:szCs w:val="24"/>
        </w:rPr>
        <w:t xml:space="preserve">, </w:t>
      </w:r>
      <w:r w:rsidRPr="00A57687">
        <w:rPr>
          <w:sz w:val="24"/>
          <w:szCs w:val="24"/>
        </w:rPr>
        <w:t>25</w:t>
      </w:r>
      <w:r>
        <w:rPr>
          <w:sz w:val="24"/>
          <w:szCs w:val="24"/>
        </w:rPr>
        <w:t>(2)</w:t>
      </w:r>
      <w:r w:rsidRPr="00A57687">
        <w:rPr>
          <w:sz w:val="24"/>
          <w:szCs w:val="24"/>
        </w:rPr>
        <w:t>: 165–173</w:t>
      </w:r>
      <w:r>
        <w:rPr>
          <w:sz w:val="24"/>
          <w:szCs w:val="24"/>
        </w:rPr>
        <w:t>.</w:t>
      </w:r>
    </w:p>
    <w:p w14:paraId="28BB29EC" w14:textId="48AFFD9E" w:rsidR="00AF75EB" w:rsidRPr="00EE3847" w:rsidRDefault="00AF75EB" w:rsidP="00AF75EB">
      <w:pPr>
        <w:spacing w:line="360" w:lineRule="auto"/>
        <w:jc w:val="both"/>
        <w:rPr>
          <w:sz w:val="24"/>
          <w:szCs w:val="24"/>
        </w:rPr>
      </w:pPr>
      <w:r w:rsidRPr="00EE3847">
        <w:rPr>
          <w:sz w:val="24"/>
          <w:szCs w:val="24"/>
        </w:rPr>
        <w:t xml:space="preserve">Downey, D. (2014) The financialization of Irish home ownership and the impact of the global financial crisis. In A. MacLaran and S. Kelly (Eds.), </w:t>
      </w:r>
      <w:r w:rsidRPr="00EE3847">
        <w:rPr>
          <w:i/>
          <w:sz w:val="24"/>
          <w:szCs w:val="24"/>
        </w:rPr>
        <w:t>Neoliberal urban policy and the transformation of the city: Reshaping Dublin</w:t>
      </w:r>
      <w:r w:rsidRPr="00EE3847">
        <w:rPr>
          <w:sz w:val="24"/>
          <w:szCs w:val="24"/>
        </w:rPr>
        <w:t>. Basingstoke, Palgrave.</w:t>
      </w:r>
    </w:p>
    <w:p w14:paraId="2F440D4A" w14:textId="77777777" w:rsidR="00AF75EB" w:rsidRPr="00EE3847" w:rsidRDefault="00AF75EB" w:rsidP="00AF75EB">
      <w:pPr>
        <w:spacing w:line="360" w:lineRule="auto"/>
        <w:jc w:val="both"/>
        <w:rPr>
          <w:sz w:val="24"/>
          <w:szCs w:val="24"/>
        </w:rPr>
      </w:pPr>
      <w:r w:rsidRPr="00EE3847">
        <w:rPr>
          <w:sz w:val="24"/>
          <w:szCs w:val="24"/>
        </w:rPr>
        <w:t xml:space="preserve">Elsinga, M. &amp; Lind, H. (2013). The effect of EU-legislation on rental systems in Sweden and the Netherlands. </w:t>
      </w:r>
      <w:r w:rsidRPr="00EE3847">
        <w:rPr>
          <w:i/>
          <w:sz w:val="24"/>
          <w:szCs w:val="24"/>
        </w:rPr>
        <w:t>Housing Studies</w:t>
      </w:r>
      <w:r w:rsidRPr="00EE3847">
        <w:rPr>
          <w:sz w:val="24"/>
          <w:szCs w:val="24"/>
        </w:rPr>
        <w:t>, 28(7), 960-970.</w:t>
      </w:r>
    </w:p>
    <w:p w14:paraId="60BE9F74" w14:textId="4FF526C0" w:rsidR="00AF75EB" w:rsidRDefault="00AF75EB" w:rsidP="00AF75EB">
      <w:pPr>
        <w:spacing w:line="360" w:lineRule="auto"/>
        <w:jc w:val="both"/>
        <w:rPr>
          <w:sz w:val="24"/>
          <w:szCs w:val="24"/>
          <w:lang w:val="en-GB"/>
        </w:rPr>
      </w:pPr>
      <w:r w:rsidRPr="00EE3847">
        <w:rPr>
          <w:sz w:val="24"/>
          <w:szCs w:val="24"/>
          <w:lang w:val="en-GB"/>
        </w:rPr>
        <w:t xml:space="preserve">European Central Bank. (2009). </w:t>
      </w:r>
      <w:r w:rsidRPr="00EE3847">
        <w:rPr>
          <w:i/>
          <w:sz w:val="24"/>
          <w:szCs w:val="24"/>
          <w:lang w:val="en-GB"/>
        </w:rPr>
        <w:t>Housing finance in the Euro area</w:t>
      </w:r>
      <w:r w:rsidRPr="00EE3847">
        <w:rPr>
          <w:sz w:val="24"/>
          <w:szCs w:val="24"/>
          <w:lang w:val="en-GB"/>
        </w:rPr>
        <w:t>. Frankfurt: European Central Bank.</w:t>
      </w:r>
    </w:p>
    <w:p w14:paraId="0ADC704A" w14:textId="2B801BFD" w:rsidR="00D3373A" w:rsidRPr="00EE3847" w:rsidRDefault="00F809DE" w:rsidP="00AF75EB">
      <w:pPr>
        <w:spacing w:line="360" w:lineRule="auto"/>
        <w:jc w:val="both"/>
        <w:rPr>
          <w:sz w:val="24"/>
          <w:szCs w:val="24"/>
          <w:lang w:val="en-GB"/>
        </w:rPr>
      </w:pPr>
      <w:r w:rsidRPr="00F809DE">
        <w:rPr>
          <w:sz w:val="24"/>
          <w:szCs w:val="24"/>
          <w:lang w:val="en-GB"/>
        </w:rPr>
        <w:t xml:space="preserve">Fanning, R (1978), </w:t>
      </w:r>
      <w:r w:rsidRPr="00F809DE">
        <w:rPr>
          <w:i/>
          <w:sz w:val="24"/>
          <w:szCs w:val="24"/>
          <w:lang w:val="en-GB"/>
        </w:rPr>
        <w:t>The Irish Department of Finance, 1922-58,</w:t>
      </w:r>
      <w:r w:rsidRPr="00F809DE">
        <w:rPr>
          <w:sz w:val="24"/>
          <w:szCs w:val="24"/>
          <w:lang w:val="en-GB"/>
        </w:rPr>
        <w:t xml:space="preserve"> Dublin: Institute of Public Administration.</w:t>
      </w:r>
    </w:p>
    <w:p w14:paraId="0BF8219A"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Fraser, M. (1996) </w:t>
      </w:r>
      <w:r w:rsidRPr="00EE3847">
        <w:rPr>
          <w:i/>
          <w:sz w:val="24"/>
          <w:szCs w:val="24"/>
          <w:lang w:val="en-GB"/>
        </w:rPr>
        <w:t>John Bull’s Other Homes: State Housing and British Policy in Ireland</w:t>
      </w:r>
      <w:r w:rsidRPr="00EE3847">
        <w:rPr>
          <w:sz w:val="24"/>
          <w:szCs w:val="24"/>
          <w:lang w:val="en-GB"/>
        </w:rPr>
        <w:t xml:space="preserve">, </w:t>
      </w:r>
      <w:r w:rsidRPr="00EE3847">
        <w:rPr>
          <w:i/>
          <w:sz w:val="24"/>
          <w:szCs w:val="24"/>
          <w:lang w:val="en-GB"/>
        </w:rPr>
        <w:t>1883–1922</w:t>
      </w:r>
      <w:r w:rsidRPr="00EE3847">
        <w:rPr>
          <w:sz w:val="24"/>
          <w:szCs w:val="24"/>
          <w:lang w:val="en-GB"/>
        </w:rPr>
        <w:t xml:space="preserve"> Liverpool: Liverpool University Press.</w:t>
      </w:r>
    </w:p>
    <w:p w14:paraId="492DB91B" w14:textId="4BBE732E" w:rsidR="00AF75EB" w:rsidRDefault="00AF75EB" w:rsidP="00AF75EB">
      <w:pPr>
        <w:spacing w:line="360" w:lineRule="auto"/>
        <w:jc w:val="both"/>
        <w:rPr>
          <w:sz w:val="24"/>
          <w:szCs w:val="24"/>
          <w:lang w:val="en-GB"/>
        </w:rPr>
      </w:pPr>
      <w:r w:rsidRPr="00EE3847">
        <w:rPr>
          <w:sz w:val="24"/>
          <w:szCs w:val="24"/>
          <w:lang w:val="en-GB"/>
        </w:rPr>
        <w:t xml:space="preserve">Focus Ireland (2012), </w:t>
      </w:r>
      <w:r w:rsidRPr="00EE3847">
        <w:rPr>
          <w:i/>
          <w:sz w:val="24"/>
          <w:szCs w:val="24"/>
          <w:lang w:val="en-GB"/>
        </w:rPr>
        <w:t xml:space="preserve">Out of Reach: The impact of Changes in Rent Supplement, </w:t>
      </w:r>
      <w:r w:rsidRPr="00EE3847">
        <w:rPr>
          <w:sz w:val="24"/>
          <w:szCs w:val="24"/>
          <w:lang w:val="en-GB"/>
        </w:rPr>
        <w:t>Dublin: Focus Ireland.</w:t>
      </w:r>
    </w:p>
    <w:p w14:paraId="0D0BFC67" w14:textId="18D5601A" w:rsidR="0006430B" w:rsidRPr="0006430B" w:rsidRDefault="0006430B" w:rsidP="0006430B">
      <w:pPr>
        <w:spacing w:line="360" w:lineRule="auto"/>
        <w:jc w:val="both"/>
        <w:rPr>
          <w:sz w:val="24"/>
          <w:szCs w:val="24"/>
          <w:lang w:val="en-GB"/>
        </w:rPr>
      </w:pPr>
      <w:r w:rsidRPr="0006430B">
        <w:rPr>
          <w:sz w:val="24"/>
          <w:szCs w:val="24"/>
          <w:lang w:val="en-GB"/>
        </w:rPr>
        <w:t xml:space="preserve">Forrest, </w:t>
      </w:r>
      <w:r>
        <w:rPr>
          <w:sz w:val="24"/>
          <w:szCs w:val="24"/>
          <w:lang w:val="en-GB"/>
        </w:rPr>
        <w:t xml:space="preserve">R and </w:t>
      </w:r>
      <w:r w:rsidRPr="0006430B">
        <w:rPr>
          <w:sz w:val="24"/>
          <w:szCs w:val="24"/>
          <w:lang w:val="en-GB"/>
        </w:rPr>
        <w:t>Murie</w:t>
      </w:r>
      <w:r>
        <w:rPr>
          <w:sz w:val="24"/>
          <w:szCs w:val="24"/>
          <w:lang w:val="en-GB"/>
        </w:rPr>
        <w:t>, A (1988),</w:t>
      </w:r>
      <w:r w:rsidRPr="0006430B">
        <w:rPr>
          <w:sz w:val="24"/>
          <w:szCs w:val="24"/>
          <w:lang w:val="en-GB"/>
        </w:rPr>
        <w:t xml:space="preserve"> </w:t>
      </w:r>
      <w:r w:rsidRPr="0006430B">
        <w:rPr>
          <w:i/>
          <w:sz w:val="24"/>
          <w:szCs w:val="24"/>
          <w:lang w:val="en-GB"/>
        </w:rPr>
        <w:t>Selling the Welfare State: The Privatisation of Public Housing</w:t>
      </w:r>
      <w:r>
        <w:rPr>
          <w:sz w:val="24"/>
          <w:szCs w:val="24"/>
          <w:lang w:val="en-GB"/>
        </w:rPr>
        <w:t>, London: Routedge.</w:t>
      </w:r>
    </w:p>
    <w:p w14:paraId="7A23286E" w14:textId="77777777" w:rsidR="00AF75EB" w:rsidRPr="00EE3847" w:rsidRDefault="00AF75EB" w:rsidP="00AF75EB">
      <w:pPr>
        <w:spacing w:line="360" w:lineRule="auto"/>
        <w:jc w:val="both"/>
        <w:rPr>
          <w:sz w:val="24"/>
          <w:szCs w:val="24"/>
        </w:rPr>
      </w:pPr>
      <w:r w:rsidRPr="00EE3847">
        <w:rPr>
          <w:sz w:val="24"/>
          <w:szCs w:val="24"/>
        </w:rPr>
        <w:t xml:space="preserve">Fields, D. (2014). Contesting the financialization of urban space: community organizations and the struggle to preserve affordable rental housing in New York City. </w:t>
      </w:r>
      <w:r w:rsidRPr="00EE3847">
        <w:rPr>
          <w:i/>
          <w:sz w:val="24"/>
          <w:szCs w:val="24"/>
        </w:rPr>
        <w:t>Journal of Urban Affairs</w:t>
      </w:r>
      <w:r w:rsidRPr="00EE3847">
        <w:rPr>
          <w:sz w:val="24"/>
          <w:szCs w:val="24"/>
        </w:rPr>
        <w:t>, 37(2), 144-165.</w:t>
      </w:r>
    </w:p>
    <w:p w14:paraId="31D30C2F" w14:textId="77777777" w:rsidR="00AF75EB" w:rsidRPr="00EE3847" w:rsidRDefault="00AF75EB" w:rsidP="00AF75EB">
      <w:pPr>
        <w:spacing w:line="360" w:lineRule="auto"/>
        <w:jc w:val="both"/>
        <w:rPr>
          <w:sz w:val="24"/>
          <w:szCs w:val="24"/>
        </w:rPr>
      </w:pPr>
      <w:r w:rsidRPr="00EE3847">
        <w:rPr>
          <w:sz w:val="24"/>
          <w:szCs w:val="24"/>
        </w:rPr>
        <w:t xml:space="preserve">Fields, D. &amp; Uffer, S. (2014). The financialisation of rental housing: A comparative analysis of New York City and Berlin. </w:t>
      </w:r>
      <w:r w:rsidRPr="00EE3847">
        <w:rPr>
          <w:i/>
          <w:sz w:val="24"/>
          <w:szCs w:val="24"/>
        </w:rPr>
        <w:t>Urban Studies</w:t>
      </w:r>
      <w:r w:rsidRPr="00EE3847">
        <w:rPr>
          <w:sz w:val="24"/>
          <w:szCs w:val="24"/>
        </w:rPr>
        <w:t>, early online publication.</w:t>
      </w:r>
    </w:p>
    <w:p w14:paraId="0887233F" w14:textId="77777777" w:rsidR="00AF75EB" w:rsidRPr="00EE3847" w:rsidRDefault="00AF75EB" w:rsidP="00AF75EB">
      <w:pPr>
        <w:spacing w:line="360" w:lineRule="auto"/>
        <w:jc w:val="both"/>
        <w:rPr>
          <w:sz w:val="24"/>
          <w:szCs w:val="24"/>
        </w:rPr>
      </w:pPr>
      <w:r w:rsidRPr="00EE3847">
        <w:rPr>
          <w:sz w:val="24"/>
          <w:szCs w:val="24"/>
        </w:rPr>
        <w:t xml:space="preserve">French, S., Leyshon, A., &amp; Wainwright, T. (2011). Financializing space, spacing financialization. </w:t>
      </w:r>
      <w:r w:rsidRPr="00EE3847">
        <w:rPr>
          <w:i/>
          <w:sz w:val="24"/>
          <w:szCs w:val="24"/>
        </w:rPr>
        <w:t>Progress in human geography</w:t>
      </w:r>
      <w:r w:rsidRPr="00EE3847">
        <w:rPr>
          <w:sz w:val="24"/>
          <w:szCs w:val="24"/>
        </w:rPr>
        <w:t>, 35(6), 798-819.</w:t>
      </w:r>
    </w:p>
    <w:p w14:paraId="435FD5E5" w14:textId="77777777" w:rsidR="00AF75EB" w:rsidRPr="00EE3847" w:rsidRDefault="00AF75EB" w:rsidP="00AF75EB">
      <w:pPr>
        <w:spacing w:line="360" w:lineRule="auto"/>
        <w:jc w:val="both"/>
        <w:rPr>
          <w:sz w:val="24"/>
          <w:szCs w:val="24"/>
        </w:rPr>
      </w:pPr>
      <w:r w:rsidRPr="00EE3847">
        <w:rPr>
          <w:sz w:val="24"/>
          <w:szCs w:val="24"/>
        </w:rPr>
        <w:t xml:space="preserve">Gibb, K. (2002). Trends and change in social housing finance and provision within the European Union. </w:t>
      </w:r>
      <w:r w:rsidRPr="00EE3847">
        <w:rPr>
          <w:i/>
          <w:sz w:val="24"/>
          <w:szCs w:val="24"/>
        </w:rPr>
        <w:t>Housing studies</w:t>
      </w:r>
      <w:r w:rsidRPr="00EE3847">
        <w:rPr>
          <w:sz w:val="24"/>
          <w:szCs w:val="24"/>
        </w:rPr>
        <w:t>, 17(2), 325-336.</w:t>
      </w:r>
    </w:p>
    <w:p w14:paraId="4E9D79E6" w14:textId="77777777" w:rsidR="00AF75EB" w:rsidRPr="00EE3847" w:rsidRDefault="00AF75EB" w:rsidP="00AF75EB">
      <w:pPr>
        <w:spacing w:line="360" w:lineRule="auto"/>
        <w:jc w:val="both"/>
        <w:rPr>
          <w:sz w:val="24"/>
          <w:szCs w:val="24"/>
        </w:rPr>
      </w:pPr>
      <w:r w:rsidRPr="00EE3847">
        <w:rPr>
          <w:sz w:val="24"/>
          <w:szCs w:val="24"/>
        </w:rPr>
        <w:t xml:space="preserve">Gotham, K. F. (2006). The secondary circuit of capital reconsidered: Globalization and the U.S. real estate sector. </w:t>
      </w:r>
      <w:r w:rsidRPr="00EE3847">
        <w:rPr>
          <w:i/>
          <w:sz w:val="24"/>
          <w:szCs w:val="24"/>
        </w:rPr>
        <w:t>American Journal of Sociology</w:t>
      </w:r>
      <w:r w:rsidRPr="00EE3847">
        <w:rPr>
          <w:sz w:val="24"/>
          <w:szCs w:val="24"/>
        </w:rPr>
        <w:t>, 112(1), 231-75.</w:t>
      </w:r>
    </w:p>
    <w:p w14:paraId="0A5A3FE1" w14:textId="77777777" w:rsidR="00AF75EB" w:rsidRPr="00EE3847" w:rsidRDefault="00AF75EB" w:rsidP="00AF75EB">
      <w:pPr>
        <w:spacing w:line="360" w:lineRule="auto"/>
        <w:jc w:val="both"/>
        <w:rPr>
          <w:sz w:val="24"/>
          <w:szCs w:val="24"/>
        </w:rPr>
      </w:pPr>
      <w:r w:rsidRPr="00EE3847">
        <w:rPr>
          <w:sz w:val="24"/>
          <w:szCs w:val="24"/>
        </w:rPr>
        <w:t xml:space="preserve">Gotham, K.F.  (2009). Creating Liquidity out of spatial fixity: the secondary circuit of capital and the subprime mortgage crisis. </w:t>
      </w:r>
      <w:r w:rsidRPr="00EE3847">
        <w:rPr>
          <w:i/>
          <w:sz w:val="24"/>
          <w:szCs w:val="24"/>
        </w:rPr>
        <w:t>International Journal of Urban and Regional Research</w:t>
      </w:r>
      <w:r w:rsidRPr="00EE3847">
        <w:rPr>
          <w:sz w:val="24"/>
          <w:szCs w:val="24"/>
        </w:rPr>
        <w:t xml:space="preserve"> 33(2), 355-71.</w:t>
      </w:r>
    </w:p>
    <w:p w14:paraId="43514D9D" w14:textId="77777777" w:rsidR="00AF75EB" w:rsidRPr="00EE3847" w:rsidRDefault="00AF75EB" w:rsidP="00AF75EB">
      <w:pPr>
        <w:spacing w:line="360" w:lineRule="auto"/>
        <w:jc w:val="both"/>
        <w:rPr>
          <w:sz w:val="24"/>
          <w:szCs w:val="24"/>
        </w:rPr>
      </w:pPr>
      <w:r w:rsidRPr="00EE3847">
        <w:rPr>
          <w:sz w:val="24"/>
          <w:szCs w:val="24"/>
        </w:rPr>
        <w:t>Guironnet, A. &amp; Halbert, L. (2014). The financialization of urban development projects: concepts, processes, and implications. Working Paper n14-04 URL: https://hal.archives-ouvertes.fr/hal- 01097192/document</w:t>
      </w:r>
    </w:p>
    <w:p w14:paraId="211B66B0" w14:textId="77777777" w:rsidR="00AF75EB" w:rsidRPr="00EE3847" w:rsidRDefault="00AF75EB" w:rsidP="00AF75EB">
      <w:pPr>
        <w:spacing w:line="360" w:lineRule="auto"/>
        <w:jc w:val="both"/>
        <w:rPr>
          <w:sz w:val="24"/>
          <w:szCs w:val="24"/>
        </w:rPr>
      </w:pPr>
      <w:r w:rsidRPr="00EE3847">
        <w:rPr>
          <w:sz w:val="24"/>
          <w:szCs w:val="24"/>
        </w:rPr>
        <w:t xml:space="preserve">Hardiman, N. &amp; Dellepiane, S. (2015). The politics of fiscal effort in Ireland and Spain: market credibility versus political legitimacy. In: N. Hardiman and S. Dellepiane (Eds.), </w:t>
      </w:r>
      <w:r w:rsidRPr="00EE3847">
        <w:rPr>
          <w:i/>
          <w:sz w:val="24"/>
          <w:szCs w:val="24"/>
        </w:rPr>
        <w:t>Greece beyond the crisis: The politics of extreme austerity</w:t>
      </w:r>
      <w:r w:rsidRPr="00EE3847">
        <w:rPr>
          <w:sz w:val="24"/>
          <w:szCs w:val="24"/>
        </w:rPr>
        <w:t>. Basingstoke: Palgrave Macmillan, pp.198-221.</w:t>
      </w:r>
    </w:p>
    <w:p w14:paraId="333F41EF"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Hardiman, N and MacCarthaigh, M (2013) </w:t>
      </w:r>
      <w:r w:rsidRPr="00EE3847">
        <w:rPr>
          <w:i/>
          <w:sz w:val="24"/>
          <w:szCs w:val="24"/>
          <w:lang w:val="en-GB"/>
        </w:rPr>
        <w:t>How Governments Retrench in Crisis: the case of Ireland</w:t>
      </w:r>
      <w:r w:rsidRPr="00EE3847">
        <w:rPr>
          <w:sz w:val="24"/>
          <w:szCs w:val="24"/>
          <w:lang w:val="en-GB"/>
        </w:rPr>
        <w:t>. Dublin: University College Dublin, Geary Institute for Public Policy Working Paper</w:t>
      </w:r>
    </w:p>
    <w:p w14:paraId="1CD1390E"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Honohan, P (1992), ‘Fiscal Adjustment in Ireland in the 1980s’, </w:t>
      </w:r>
      <w:r w:rsidRPr="00EE3847">
        <w:rPr>
          <w:i/>
          <w:sz w:val="24"/>
          <w:szCs w:val="24"/>
          <w:lang w:val="en-GB"/>
        </w:rPr>
        <w:t>Economic and Social Review</w:t>
      </w:r>
      <w:r w:rsidRPr="00EE3847">
        <w:rPr>
          <w:sz w:val="24"/>
          <w:szCs w:val="24"/>
          <w:lang w:val="en-GB"/>
        </w:rPr>
        <w:t>, 23(3), pp. 258-314.</w:t>
      </w:r>
    </w:p>
    <w:p w14:paraId="21868FA6" w14:textId="77777777" w:rsidR="00AF75EB" w:rsidRPr="00EE3847" w:rsidRDefault="00AF75EB" w:rsidP="00AF75EB">
      <w:pPr>
        <w:spacing w:line="360" w:lineRule="auto"/>
        <w:jc w:val="both"/>
        <w:rPr>
          <w:sz w:val="24"/>
          <w:szCs w:val="24"/>
        </w:rPr>
      </w:pPr>
      <w:r w:rsidRPr="00EE3847">
        <w:rPr>
          <w:sz w:val="24"/>
          <w:szCs w:val="24"/>
        </w:rPr>
        <w:t xml:space="preserve">Harvey, D. (2006). </w:t>
      </w:r>
      <w:r w:rsidRPr="00EE3847">
        <w:rPr>
          <w:i/>
          <w:sz w:val="24"/>
          <w:szCs w:val="24"/>
        </w:rPr>
        <w:t>Limits to Capital</w:t>
      </w:r>
      <w:r w:rsidRPr="00EE3847">
        <w:rPr>
          <w:sz w:val="24"/>
          <w:szCs w:val="24"/>
        </w:rPr>
        <w:t>. London: Verso.</w:t>
      </w:r>
    </w:p>
    <w:p w14:paraId="4241AAAC" w14:textId="77777777" w:rsidR="00AF75EB" w:rsidRPr="00EE3847" w:rsidRDefault="00AF75EB" w:rsidP="00AF75EB">
      <w:pPr>
        <w:spacing w:line="360" w:lineRule="auto"/>
        <w:jc w:val="both"/>
        <w:rPr>
          <w:sz w:val="24"/>
          <w:szCs w:val="24"/>
        </w:rPr>
      </w:pPr>
      <w:r w:rsidRPr="00EE3847">
        <w:rPr>
          <w:sz w:val="24"/>
          <w:szCs w:val="24"/>
        </w:rPr>
        <w:t xml:space="preserve">Hearne, R. (2011). </w:t>
      </w:r>
      <w:r w:rsidRPr="00EE3847">
        <w:rPr>
          <w:i/>
          <w:sz w:val="24"/>
          <w:szCs w:val="24"/>
        </w:rPr>
        <w:t>Public Private Partnerships in Ireland: Failed Experiment or the Way Forward for the State</w:t>
      </w:r>
      <w:r w:rsidRPr="00EE3847">
        <w:rPr>
          <w:sz w:val="24"/>
          <w:szCs w:val="24"/>
        </w:rPr>
        <w:t>. Manchester University Press.</w:t>
      </w:r>
    </w:p>
    <w:p w14:paraId="6C3D5A61" w14:textId="77777777" w:rsidR="00AF75EB" w:rsidRPr="00EE3847" w:rsidRDefault="00AF75EB" w:rsidP="00AF75EB">
      <w:pPr>
        <w:spacing w:line="360" w:lineRule="auto"/>
        <w:jc w:val="both"/>
        <w:rPr>
          <w:sz w:val="24"/>
          <w:szCs w:val="24"/>
        </w:rPr>
      </w:pPr>
      <w:r w:rsidRPr="00EE3847">
        <w:rPr>
          <w:sz w:val="24"/>
          <w:szCs w:val="24"/>
        </w:rPr>
        <w:t xml:space="preserve">Immergluck, D. (2015). A look back: what we now know about the causes of the US mortgage crisis. </w:t>
      </w:r>
      <w:r w:rsidRPr="00EE3847">
        <w:rPr>
          <w:i/>
          <w:sz w:val="24"/>
          <w:szCs w:val="24"/>
        </w:rPr>
        <w:t>International Journal of Urban Sciences</w:t>
      </w:r>
      <w:r w:rsidRPr="00EE3847">
        <w:rPr>
          <w:sz w:val="24"/>
          <w:szCs w:val="24"/>
        </w:rPr>
        <w:t>, 19(3), 269-285.</w:t>
      </w:r>
    </w:p>
    <w:p w14:paraId="08C12989" w14:textId="7D63691A" w:rsidR="00AF75EB" w:rsidRDefault="00AF75EB" w:rsidP="00AF75EB">
      <w:pPr>
        <w:spacing w:line="360" w:lineRule="auto"/>
        <w:jc w:val="both"/>
        <w:rPr>
          <w:sz w:val="24"/>
          <w:szCs w:val="24"/>
        </w:rPr>
      </w:pPr>
      <w:r w:rsidRPr="00EE3847">
        <w:rPr>
          <w:sz w:val="24"/>
          <w:szCs w:val="24"/>
        </w:rPr>
        <w:t xml:space="preserve">Immergluck, D. (2004). </w:t>
      </w:r>
      <w:r w:rsidRPr="00EE3847">
        <w:rPr>
          <w:i/>
          <w:sz w:val="24"/>
          <w:szCs w:val="24"/>
        </w:rPr>
        <w:t>Credit to the community: Community reinvestment and fair lending policy in the United States</w:t>
      </w:r>
      <w:r w:rsidRPr="00EE3847">
        <w:rPr>
          <w:sz w:val="24"/>
          <w:szCs w:val="24"/>
        </w:rPr>
        <w:t>. New York: ME Sharpe.</w:t>
      </w:r>
    </w:p>
    <w:p w14:paraId="69C4101D" w14:textId="71BF7BC7" w:rsidR="00C74738" w:rsidRPr="00EE3847" w:rsidRDefault="00C74738" w:rsidP="00C74738">
      <w:pPr>
        <w:spacing w:line="360" w:lineRule="auto"/>
        <w:jc w:val="both"/>
        <w:rPr>
          <w:sz w:val="24"/>
          <w:szCs w:val="24"/>
        </w:rPr>
      </w:pPr>
      <w:r w:rsidRPr="00C74738">
        <w:rPr>
          <w:sz w:val="24"/>
          <w:szCs w:val="24"/>
        </w:rPr>
        <w:t>Kelleher, R (1984) “The Case for Less Regulation o</w:t>
      </w:r>
      <w:r>
        <w:rPr>
          <w:sz w:val="24"/>
          <w:szCs w:val="24"/>
        </w:rPr>
        <w:t xml:space="preserve">f the Building Society Sector”, </w:t>
      </w:r>
      <w:r w:rsidRPr="00C74738">
        <w:rPr>
          <w:sz w:val="24"/>
          <w:szCs w:val="24"/>
        </w:rPr>
        <w:t xml:space="preserve">paper presented to the </w:t>
      </w:r>
      <w:r>
        <w:rPr>
          <w:sz w:val="24"/>
          <w:szCs w:val="24"/>
        </w:rPr>
        <w:t xml:space="preserve">Dublin Economics Workshop </w:t>
      </w:r>
      <w:r w:rsidRPr="00C74738">
        <w:rPr>
          <w:sz w:val="24"/>
          <w:szCs w:val="24"/>
        </w:rPr>
        <w:t>seventh annual policy conference, Kenmare</w:t>
      </w:r>
    </w:p>
    <w:p w14:paraId="75632EA1" w14:textId="77777777" w:rsidR="00AF75EB" w:rsidRDefault="00AF75EB" w:rsidP="00AF75EB">
      <w:pPr>
        <w:spacing w:line="360" w:lineRule="auto"/>
        <w:jc w:val="both"/>
        <w:rPr>
          <w:sz w:val="24"/>
          <w:szCs w:val="24"/>
        </w:rPr>
      </w:pPr>
      <w:r w:rsidRPr="00EE3847">
        <w:rPr>
          <w:sz w:val="24"/>
          <w:szCs w:val="24"/>
        </w:rPr>
        <w:t xml:space="preserve">Kelly, S. (2014). Light-touch regulation: the rise and fall of the Irish banking sector. In A. MacLaran and S. Kelly (Eds.), </w:t>
      </w:r>
      <w:r w:rsidRPr="00EE3847">
        <w:rPr>
          <w:i/>
          <w:sz w:val="24"/>
          <w:szCs w:val="24"/>
        </w:rPr>
        <w:t>Neoliberal urban policy and the transformation of the city: Reshaping Dublin</w:t>
      </w:r>
      <w:r w:rsidRPr="00EE3847">
        <w:rPr>
          <w:sz w:val="24"/>
          <w:szCs w:val="24"/>
        </w:rPr>
        <w:t>. Basingstoke, Palgrave.</w:t>
      </w:r>
    </w:p>
    <w:p w14:paraId="028E795C" w14:textId="1C991937" w:rsidR="00614DE0" w:rsidRPr="00614DE0" w:rsidRDefault="00614DE0" w:rsidP="00614DE0">
      <w:pPr>
        <w:spacing w:line="360" w:lineRule="auto"/>
        <w:jc w:val="both"/>
        <w:rPr>
          <w:sz w:val="24"/>
          <w:szCs w:val="24"/>
        </w:rPr>
      </w:pPr>
      <w:r w:rsidRPr="00614DE0">
        <w:rPr>
          <w:sz w:val="24"/>
          <w:szCs w:val="24"/>
        </w:rPr>
        <w:t>Kenna</w:t>
      </w:r>
      <w:r>
        <w:rPr>
          <w:sz w:val="24"/>
          <w:szCs w:val="24"/>
        </w:rPr>
        <w:t>, P (2011),</w:t>
      </w:r>
      <w:r w:rsidRPr="00614DE0">
        <w:rPr>
          <w:sz w:val="24"/>
          <w:szCs w:val="24"/>
        </w:rPr>
        <w:t xml:space="preserve"> </w:t>
      </w:r>
      <w:r w:rsidRPr="00614DE0">
        <w:rPr>
          <w:i/>
          <w:sz w:val="24"/>
          <w:szCs w:val="24"/>
        </w:rPr>
        <w:t>Housing Law, Rights, and Policy</w:t>
      </w:r>
      <w:r>
        <w:rPr>
          <w:sz w:val="24"/>
          <w:szCs w:val="24"/>
        </w:rPr>
        <w:t>, Dublin: Clarus Press.</w:t>
      </w:r>
    </w:p>
    <w:p w14:paraId="5628B9E0" w14:textId="77777777" w:rsidR="00025633" w:rsidRDefault="00025633" w:rsidP="00AF75EB">
      <w:pPr>
        <w:spacing w:line="360" w:lineRule="auto"/>
        <w:jc w:val="both"/>
        <w:rPr>
          <w:sz w:val="24"/>
          <w:szCs w:val="24"/>
        </w:rPr>
      </w:pPr>
      <w:r w:rsidRPr="00025633">
        <w:rPr>
          <w:sz w:val="24"/>
          <w:szCs w:val="24"/>
        </w:rPr>
        <w:t xml:space="preserve">Kennedy, K, Giblin, T and McHugh D (1988), </w:t>
      </w:r>
      <w:r w:rsidRPr="00025633">
        <w:rPr>
          <w:i/>
          <w:sz w:val="24"/>
          <w:szCs w:val="24"/>
        </w:rPr>
        <w:t>The Economic Development of Ireland in the Twentieth Century</w:t>
      </w:r>
      <w:r w:rsidRPr="00025633">
        <w:rPr>
          <w:sz w:val="24"/>
          <w:szCs w:val="24"/>
        </w:rPr>
        <w:t>, London: Routledge.</w:t>
      </w:r>
    </w:p>
    <w:p w14:paraId="7900C9BA" w14:textId="580515F8" w:rsidR="00AF75EB" w:rsidRPr="00EE3847" w:rsidRDefault="00AF75EB" w:rsidP="00AF75EB">
      <w:pPr>
        <w:spacing w:line="360" w:lineRule="auto"/>
        <w:jc w:val="both"/>
        <w:rPr>
          <w:sz w:val="24"/>
          <w:szCs w:val="24"/>
        </w:rPr>
      </w:pPr>
      <w:r w:rsidRPr="00EE3847">
        <w:rPr>
          <w:sz w:val="24"/>
          <w:szCs w:val="24"/>
        </w:rPr>
        <w:t xml:space="preserve">Kitchin, R., O'Callaghan, C., Boyle, M., Gleeson, J. &amp; Keaveney, K. (2012). Placing neoliberalism: The rise and fall of Ireland's Celtic Tiger. </w:t>
      </w:r>
      <w:r w:rsidRPr="00EE3847">
        <w:rPr>
          <w:i/>
          <w:sz w:val="24"/>
          <w:szCs w:val="24"/>
        </w:rPr>
        <w:t>Environment and Planning A</w:t>
      </w:r>
      <w:r w:rsidRPr="00EE3847">
        <w:rPr>
          <w:sz w:val="24"/>
          <w:szCs w:val="24"/>
        </w:rPr>
        <w:t xml:space="preserve">, 44(6), 1302–26. </w:t>
      </w:r>
    </w:p>
    <w:p w14:paraId="2E47CC7F" w14:textId="77777777" w:rsidR="00AF75EB" w:rsidRPr="00EE3847" w:rsidRDefault="00AF75EB" w:rsidP="00AF75EB">
      <w:pPr>
        <w:spacing w:line="360" w:lineRule="auto"/>
        <w:jc w:val="both"/>
        <w:rPr>
          <w:sz w:val="24"/>
          <w:szCs w:val="24"/>
        </w:rPr>
      </w:pPr>
      <w:r w:rsidRPr="00EE3847">
        <w:rPr>
          <w:sz w:val="24"/>
          <w:szCs w:val="24"/>
        </w:rPr>
        <w:t xml:space="preserve">Krippner, G.R. (2005). The financialization of the American economy. </w:t>
      </w:r>
      <w:r w:rsidRPr="00EE3847">
        <w:rPr>
          <w:i/>
          <w:sz w:val="24"/>
          <w:szCs w:val="24"/>
        </w:rPr>
        <w:t>Socio-Economic Review</w:t>
      </w:r>
      <w:r w:rsidRPr="00EE3847">
        <w:rPr>
          <w:sz w:val="24"/>
          <w:szCs w:val="24"/>
        </w:rPr>
        <w:t>, 3, 173–208.</w:t>
      </w:r>
    </w:p>
    <w:p w14:paraId="137CFB95" w14:textId="77777777" w:rsidR="00AF75EB" w:rsidRPr="00EE3847" w:rsidRDefault="00AF75EB" w:rsidP="00AF75EB">
      <w:pPr>
        <w:spacing w:line="360" w:lineRule="auto"/>
        <w:jc w:val="both"/>
        <w:rPr>
          <w:sz w:val="24"/>
          <w:szCs w:val="24"/>
        </w:rPr>
      </w:pPr>
      <w:r w:rsidRPr="00EE3847">
        <w:rPr>
          <w:sz w:val="24"/>
          <w:szCs w:val="24"/>
        </w:rPr>
        <w:t>Lane, P. (2011). The Irish Crisis. IIIS Working Paper Series. Dublin: IIIS.</w:t>
      </w:r>
    </w:p>
    <w:p w14:paraId="3CCC35A2" w14:textId="77777777" w:rsidR="00AF75EB" w:rsidRPr="00EE3847" w:rsidRDefault="00AF75EB" w:rsidP="00AF75EB">
      <w:pPr>
        <w:spacing w:line="360" w:lineRule="auto"/>
        <w:jc w:val="both"/>
        <w:rPr>
          <w:sz w:val="24"/>
          <w:szCs w:val="24"/>
        </w:rPr>
      </w:pPr>
      <w:r w:rsidRPr="00EE3847">
        <w:rPr>
          <w:sz w:val="24"/>
          <w:szCs w:val="24"/>
        </w:rPr>
        <w:t xml:space="preserve">Lavapistas, C. (2013). The financialization of capitalism: ‘Profiting without producing’. </w:t>
      </w:r>
      <w:r w:rsidRPr="00EE3847">
        <w:rPr>
          <w:i/>
          <w:sz w:val="24"/>
          <w:szCs w:val="24"/>
        </w:rPr>
        <w:t>City</w:t>
      </w:r>
      <w:r w:rsidRPr="00EE3847">
        <w:rPr>
          <w:sz w:val="24"/>
          <w:szCs w:val="24"/>
        </w:rPr>
        <w:t>: Analysis of urban trends, culture, theory, policy, action, 17(6): 792-805.</w:t>
      </w:r>
    </w:p>
    <w:p w14:paraId="01324BAA" w14:textId="77777777" w:rsidR="00AF75EB" w:rsidRPr="00EE3847" w:rsidRDefault="00AF75EB" w:rsidP="00AF75EB">
      <w:pPr>
        <w:spacing w:line="360" w:lineRule="auto"/>
        <w:jc w:val="both"/>
        <w:rPr>
          <w:sz w:val="24"/>
          <w:szCs w:val="24"/>
        </w:rPr>
      </w:pPr>
      <w:r w:rsidRPr="00EE3847">
        <w:rPr>
          <w:sz w:val="24"/>
          <w:szCs w:val="24"/>
        </w:rPr>
        <w:t xml:space="preserve">López, I. &amp; Rodríguez, E. (2011). The Spanish model. </w:t>
      </w:r>
      <w:r w:rsidRPr="00EE3847">
        <w:rPr>
          <w:i/>
          <w:sz w:val="24"/>
          <w:szCs w:val="24"/>
        </w:rPr>
        <w:t>New Left Review</w:t>
      </w:r>
      <w:r w:rsidRPr="00EE3847">
        <w:rPr>
          <w:sz w:val="24"/>
          <w:szCs w:val="24"/>
        </w:rPr>
        <w:t xml:space="preserve"> 69: 5-29. </w:t>
      </w:r>
    </w:p>
    <w:p w14:paraId="018D7B00" w14:textId="77777777" w:rsidR="00AF75EB" w:rsidRPr="00EE3847" w:rsidRDefault="00AF75EB" w:rsidP="00AF75EB">
      <w:pPr>
        <w:spacing w:line="360" w:lineRule="auto"/>
        <w:jc w:val="both"/>
        <w:rPr>
          <w:sz w:val="24"/>
          <w:szCs w:val="24"/>
        </w:rPr>
      </w:pPr>
      <w:r w:rsidRPr="00EE3847">
        <w:rPr>
          <w:sz w:val="24"/>
          <w:szCs w:val="24"/>
        </w:rPr>
        <w:t xml:space="preserve">López, I. &amp; Rodríguez, E. (2010). </w:t>
      </w:r>
      <w:r w:rsidRPr="00EE3847">
        <w:rPr>
          <w:i/>
          <w:sz w:val="24"/>
          <w:szCs w:val="24"/>
        </w:rPr>
        <w:t>Fin de ciclo: financiarización, territorio y socieded de propeitarios en la onda large del capitalismo hispano</w:t>
      </w:r>
      <w:r w:rsidRPr="00EE3847">
        <w:rPr>
          <w:sz w:val="24"/>
          <w:szCs w:val="24"/>
        </w:rPr>
        <w:t>. Madrid: Traficantes de Sueños.</w:t>
      </w:r>
    </w:p>
    <w:p w14:paraId="2BB451FF" w14:textId="77777777" w:rsidR="00AF75EB" w:rsidRPr="00EE3847" w:rsidRDefault="00AF75EB" w:rsidP="00AF75EB">
      <w:pPr>
        <w:spacing w:line="360" w:lineRule="auto"/>
        <w:jc w:val="both"/>
        <w:rPr>
          <w:sz w:val="24"/>
          <w:szCs w:val="24"/>
        </w:rPr>
      </w:pPr>
      <w:r w:rsidRPr="00EE3847">
        <w:rPr>
          <w:sz w:val="24"/>
          <w:szCs w:val="24"/>
        </w:rPr>
        <w:t xml:space="preserve">Malpass, P. (1999). </w:t>
      </w:r>
      <w:r w:rsidRPr="00EE3847">
        <w:rPr>
          <w:i/>
          <w:sz w:val="24"/>
          <w:szCs w:val="24"/>
        </w:rPr>
        <w:t>Housing associations and housing policy in Britain since 1989</w:t>
      </w:r>
      <w:r w:rsidRPr="00EE3847">
        <w:rPr>
          <w:sz w:val="24"/>
          <w:szCs w:val="24"/>
        </w:rPr>
        <w:t>. Housing studies, 14(6), 881-893.</w:t>
      </w:r>
    </w:p>
    <w:p w14:paraId="68F64385" w14:textId="77777777" w:rsidR="000075A9" w:rsidRPr="00EE3847" w:rsidRDefault="000075A9" w:rsidP="000075A9">
      <w:pPr>
        <w:spacing w:line="360" w:lineRule="auto"/>
        <w:jc w:val="both"/>
        <w:rPr>
          <w:sz w:val="24"/>
          <w:szCs w:val="24"/>
        </w:rPr>
      </w:pPr>
      <w:r w:rsidRPr="00EE3847">
        <w:rPr>
          <w:sz w:val="24"/>
          <w:szCs w:val="24"/>
        </w:rPr>
        <w:t xml:space="preserve">MacLeod, G. (2002). From urban entrepreneurialism to the revanchist city: on the spatial injustices to Glasgow’s renaissance. </w:t>
      </w:r>
      <w:r w:rsidRPr="00EE3847">
        <w:rPr>
          <w:i/>
          <w:sz w:val="24"/>
          <w:szCs w:val="24"/>
        </w:rPr>
        <w:t>Antipode</w:t>
      </w:r>
      <w:r w:rsidRPr="00EE3847">
        <w:rPr>
          <w:sz w:val="24"/>
          <w:szCs w:val="24"/>
        </w:rPr>
        <w:t xml:space="preserve"> 34, 602-624,</w:t>
      </w:r>
    </w:p>
    <w:p w14:paraId="3FBA5BF1" w14:textId="49CEEA7F" w:rsidR="00AF75EB" w:rsidRPr="00EE3847" w:rsidRDefault="00AF75EB" w:rsidP="00AF75EB">
      <w:pPr>
        <w:spacing w:line="360" w:lineRule="auto"/>
        <w:jc w:val="both"/>
        <w:rPr>
          <w:sz w:val="24"/>
          <w:szCs w:val="24"/>
        </w:rPr>
      </w:pPr>
      <w:r w:rsidRPr="00EE3847">
        <w:rPr>
          <w:sz w:val="24"/>
          <w:szCs w:val="24"/>
        </w:rPr>
        <w:t xml:space="preserve">McCabe, C. (2011). </w:t>
      </w:r>
      <w:r w:rsidRPr="00EE3847">
        <w:rPr>
          <w:i/>
          <w:sz w:val="24"/>
          <w:szCs w:val="24"/>
        </w:rPr>
        <w:t>Sins of the Father: tracing the decisions that shaped the Irish economy</w:t>
      </w:r>
      <w:r w:rsidRPr="00EE3847">
        <w:rPr>
          <w:sz w:val="24"/>
          <w:szCs w:val="24"/>
        </w:rPr>
        <w:t>. Dublin: The History Press Ireland.</w:t>
      </w:r>
    </w:p>
    <w:p w14:paraId="6242FC19" w14:textId="1F4747E4" w:rsidR="000075A9" w:rsidRDefault="000075A9" w:rsidP="000075A9">
      <w:pPr>
        <w:spacing w:line="360" w:lineRule="auto"/>
        <w:jc w:val="both"/>
        <w:rPr>
          <w:sz w:val="24"/>
          <w:szCs w:val="24"/>
        </w:rPr>
      </w:pPr>
      <w:r>
        <w:rPr>
          <w:sz w:val="24"/>
          <w:szCs w:val="24"/>
        </w:rPr>
        <w:t xml:space="preserve">McCarthy, C (2012), </w:t>
      </w:r>
      <w:r w:rsidRPr="00E30DE4">
        <w:rPr>
          <w:i/>
          <w:sz w:val="24"/>
          <w:szCs w:val="24"/>
        </w:rPr>
        <w:t>Ireland’s European Crisis:  Staying Solvent in the Eurozone</w:t>
      </w:r>
      <w:r w:rsidR="00E30DE4">
        <w:rPr>
          <w:sz w:val="24"/>
          <w:szCs w:val="24"/>
        </w:rPr>
        <w:t xml:space="preserve">, University College Dublin School of Economics, unpublished working paper </w:t>
      </w:r>
      <w:r w:rsidRPr="000075A9">
        <w:rPr>
          <w:sz w:val="24"/>
          <w:szCs w:val="24"/>
        </w:rPr>
        <w:t>12/02</w:t>
      </w:r>
      <w:r w:rsidR="00E30DE4">
        <w:rPr>
          <w:sz w:val="24"/>
          <w:szCs w:val="24"/>
        </w:rPr>
        <w:t>.</w:t>
      </w:r>
    </w:p>
    <w:p w14:paraId="1F46E464" w14:textId="65C1B51E" w:rsidR="00C978ED" w:rsidRDefault="00C978ED" w:rsidP="00AF75EB">
      <w:pPr>
        <w:spacing w:line="360" w:lineRule="auto"/>
        <w:jc w:val="both"/>
        <w:rPr>
          <w:sz w:val="24"/>
          <w:szCs w:val="24"/>
        </w:rPr>
      </w:pPr>
      <w:r w:rsidRPr="00C978ED">
        <w:rPr>
          <w:sz w:val="24"/>
          <w:szCs w:val="24"/>
        </w:rPr>
        <w:t>Mercille</w:t>
      </w:r>
      <w:r>
        <w:rPr>
          <w:sz w:val="24"/>
          <w:szCs w:val="24"/>
        </w:rPr>
        <w:t>, J</w:t>
      </w:r>
      <w:r w:rsidRPr="00C978ED">
        <w:rPr>
          <w:sz w:val="24"/>
          <w:szCs w:val="24"/>
        </w:rPr>
        <w:t xml:space="preserve"> and Murphy, </w:t>
      </w:r>
      <w:r>
        <w:rPr>
          <w:sz w:val="24"/>
          <w:szCs w:val="24"/>
        </w:rPr>
        <w:t>E (</w:t>
      </w:r>
      <w:r w:rsidRPr="00C978ED">
        <w:rPr>
          <w:sz w:val="24"/>
          <w:szCs w:val="24"/>
        </w:rPr>
        <w:t>2015</w:t>
      </w:r>
      <w:r>
        <w:rPr>
          <w:sz w:val="24"/>
          <w:szCs w:val="24"/>
        </w:rPr>
        <w:t xml:space="preserve">), </w:t>
      </w:r>
      <w:r>
        <w:rPr>
          <w:i/>
          <w:sz w:val="24"/>
          <w:szCs w:val="24"/>
        </w:rPr>
        <w:t xml:space="preserve">Deepening Neoliberalism, Austerity and the Crisis: Europe’s treasure Ireland, </w:t>
      </w:r>
      <w:r>
        <w:rPr>
          <w:sz w:val="24"/>
          <w:szCs w:val="24"/>
        </w:rPr>
        <w:t xml:space="preserve">Oxford: Palgrave Macmillan. </w:t>
      </w:r>
    </w:p>
    <w:p w14:paraId="46619142" w14:textId="63EEFBE9" w:rsidR="00AF75EB" w:rsidRPr="00EE3847" w:rsidRDefault="00AF75EB" w:rsidP="00AF75EB">
      <w:pPr>
        <w:spacing w:line="360" w:lineRule="auto"/>
        <w:jc w:val="both"/>
        <w:rPr>
          <w:sz w:val="24"/>
          <w:szCs w:val="24"/>
        </w:rPr>
      </w:pPr>
      <w:r w:rsidRPr="00EE3847">
        <w:rPr>
          <w:sz w:val="24"/>
          <w:szCs w:val="24"/>
        </w:rPr>
        <w:t xml:space="preserve">Meek, J. (2014). </w:t>
      </w:r>
      <w:r w:rsidRPr="00EE3847">
        <w:rPr>
          <w:i/>
          <w:sz w:val="24"/>
          <w:szCs w:val="24"/>
        </w:rPr>
        <w:t>Private island: Why Britain now belongs to someone else</w:t>
      </w:r>
      <w:r w:rsidRPr="00EE3847">
        <w:rPr>
          <w:sz w:val="24"/>
          <w:szCs w:val="24"/>
        </w:rPr>
        <w:t>. Verso Books.</w:t>
      </w:r>
    </w:p>
    <w:p w14:paraId="280E6007" w14:textId="18FB22B1" w:rsidR="00AF75EB" w:rsidRDefault="00AF75EB" w:rsidP="00AF75EB">
      <w:pPr>
        <w:spacing w:line="360" w:lineRule="auto"/>
        <w:jc w:val="both"/>
        <w:rPr>
          <w:sz w:val="24"/>
          <w:szCs w:val="24"/>
        </w:rPr>
      </w:pPr>
      <w:r w:rsidRPr="00EE3847">
        <w:rPr>
          <w:sz w:val="24"/>
          <w:szCs w:val="24"/>
        </w:rPr>
        <w:t xml:space="preserve">Moreno, L. (2014). The urban process under financialized capitalism. </w:t>
      </w:r>
      <w:r w:rsidRPr="00EE3847">
        <w:rPr>
          <w:i/>
          <w:sz w:val="24"/>
          <w:szCs w:val="24"/>
        </w:rPr>
        <w:t>City: analysis of urban trends, culture, theory, policy, action</w:t>
      </w:r>
      <w:r w:rsidRPr="00EE3847">
        <w:rPr>
          <w:sz w:val="24"/>
          <w:szCs w:val="24"/>
        </w:rPr>
        <w:t>, 18(3): 244-268.</w:t>
      </w:r>
    </w:p>
    <w:p w14:paraId="756EB14C" w14:textId="6FE3DB13" w:rsidR="00C74738" w:rsidRPr="00EE3847" w:rsidRDefault="00C74738" w:rsidP="00AF75EB">
      <w:pPr>
        <w:spacing w:line="360" w:lineRule="auto"/>
        <w:jc w:val="both"/>
        <w:rPr>
          <w:sz w:val="24"/>
          <w:szCs w:val="24"/>
        </w:rPr>
      </w:pPr>
      <w:r w:rsidRPr="00C74738">
        <w:rPr>
          <w:sz w:val="24"/>
          <w:szCs w:val="24"/>
        </w:rPr>
        <w:t xml:space="preserve">Murphy, G (2016) </w:t>
      </w:r>
      <w:r w:rsidRPr="00C74738">
        <w:rPr>
          <w:i/>
          <w:sz w:val="24"/>
          <w:szCs w:val="24"/>
        </w:rPr>
        <w:t>Electoral Competition in Ireland Since 1987: the politics of triumph and despair</w:t>
      </w:r>
      <w:r w:rsidRPr="00C74738">
        <w:rPr>
          <w:sz w:val="24"/>
          <w:szCs w:val="24"/>
        </w:rPr>
        <w:t>, Manchester: Manchester University Press.</w:t>
      </w:r>
    </w:p>
    <w:p w14:paraId="4A86B838" w14:textId="520739DA" w:rsidR="00AF75EB" w:rsidRPr="00EE3847" w:rsidRDefault="00AF75EB" w:rsidP="00AF75EB">
      <w:pPr>
        <w:spacing w:line="360" w:lineRule="auto"/>
        <w:jc w:val="both"/>
        <w:rPr>
          <w:sz w:val="24"/>
          <w:szCs w:val="24"/>
        </w:rPr>
      </w:pPr>
      <w:r w:rsidRPr="00EE3847">
        <w:rPr>
          <w:sz w:val="24"/>
          <w:szCs w:val="24"/>
        </w:rPr>
        <w:t xml:space="preserve">NESC, National Economic and Social Council. (2014). </w:t>
      </w:r>
      <w:r w:rsidRPr="00C74738">
        <w:rPr>
          <w:i/>
          <w:sz w:val="24"/>
          <w:szCs w:val="24"/>
        </w:rPr>
        <w:t>Review of Irish social and affordable housing provision. NESC Secretariat Papers No.10</w:t>
      </w:r>
      <w:r w:rsidRPr="00EE3847">
        <w:rPr>
          <w:sz w:val="24"/>
          <w:szCs w:val="24"/>
        </w:rPr>
        <w:t xml:space="preserve">. Dublin: </w:t>
      </w:r>
      <w:r w:rsidR="00C74738">
        <w:rPr>
          <w:sz w:val="24"/>
          <w:szCs w:val="24"/>
        </w:rPr>
        <w:t>NESC.</w:t>
      </w:r>
    </w:p>
    <w:p w14:paraId="2D5627B8" w14:textId="39267AB7" w:rsidR="00AF75EB" w:rsidRPr="00EE3847" w:rsidRDefault="00AF75EB" w:rsidP="00AF75EB">
      <w:pPr>
        <w:spacing w:line="360" w:lineRule="auto"/>
        <w:jc w:val="both"/>
        <w:rPr>
          <w:sz w:val="24"/>
          <w:szCs w:val="24"/>
        </w:rPr>
      </w:pPr>
      <w:r w:rsidRPr="00EE3847">
        <w:rPr>
          <w:sz w:val="24"/>
          <w:szCs w:val="24"/>
        </w:rPr>
        <w:t>NESC, National Economic and Social Council. (2009). Ireland’s five-part crisis: an integrated n</w:t>
      </w:r>
      <w:r w:rsidR="00C74738">
        <w:rPr>
          <w:sz w:val="24"/>
          <w:szCs w:val="24"/>
        </w:rPr>
        <w:t>ational response. Dublin: NESC</w:t>
      </w:r>
      <w:r w:rsidRPr="00EE3847">
        <w:rPr>
          <w:sz w:val="24"/>
          <w:szCs w:val="24"/>
        </w:rPr>
        <w:t>.</w:t>
      </w:r>
    </w:p>
    <w:p w14:paraId="5D3E7C7B" w14:textId="541B7CC9" w:rsidR="00AF75EB" w:rsidRPr="00EE3847" w:rsidRDefault="00AF75EB" w:rsidP="00AF75EB">
      <w:pPr>
        <w:spacing w:line="360" w:lineRule="auto"/>
        <w:jc w:val="both"/>
        <w:rPr>
          <w:sz w:val="24"/>
          <w:szCs w:val="24"/>
          <w:lang w:val="en-GB"/>
        </w:rPr>
      </w:pPr>
      <w:r w:rsidRPr="00EE3847">
        <w:rPr>
          <w:sz w:val="24"/>
          <w:szCs w:val="24"/>
          <w:lang w:val="en-GB"/>
        </w:rPr>
        <w:t xml:space="preserve">Norris, M (2015) 'Varieties of Home Ownership: Ireland's Transition from a Socialised to a Marketised Policy Regime'. </w:t>
      </w:r>
      <w:r w:rsidRPr="00EE3847">
        <w:rPr>
          <w:i/>
          <w:sz w:val="24"/>
          <w:szCs w:val="24"/>
          <w:lang w:val="en-GB"/>
        </w:rPr>
        <w:t xml:space="preserve">Housing Studies, </w:t>
      </w:r>
      <w:r w:rsidR="00C74738" w:rsidRPr="00C74738">
        <w:rPr>
          <w:i/>
          <w:sz w:val="24"/>
          <w:szCs w:val="24"/>
          <w:highlight w:val="green"/>
          <w:lang w:val="en-GB"/>
        </w:rPr>
        <w:t>XXXX</w:t>
      </w:r>
    </w:p>
    <w:p w14:paraId="413A7531"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Norris, M (2014) 'Path Dependence and Critical Junctures in Irish Rental Policy: From Dualist to Unitary Rental Markets?'. </w:t>
      </w:r>
      <w:r w:rsidRPr="00EE3847">
        <w:rPr>
          <w:i/>
          <w:sz w:val="24"/>
          <w:szCs w:val="24"/>
          <w:lang w:val="en-GB"/>
        </w:rPr>
        <w:t>Housing Studies</w:t>
      </w:r>
      <w:r w:rsidRPr="00EE3847">
        <w:rPr>
          <w:sz w:val="24"/>
          <w:szCs w:val="24"/>
          <w:lang w:val="en-GB"/>
        </w:rPr>
        <w:t>, 29 (5):616-6</w:t>
      </w:r>
    </w:p>
    <w:p w14:paraId="7AAEB1F6"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Norris. M, Gkartzios, M and Coates C (2013) 'Property-Led Urban, Town and Rural Regeneration in Ireland: Positive and Perverse Outcomes in Different Spatial and Socio-Economic Contexts'. </w:t>
      </w:r>
      <w:r w:rsidRPr="00EE3847">
        <w:rPr>
          <w:i/>
          <w:sz w:val="24"/>
          <w:szCs w:val="24"/>
          <w:lang w:val="en-GB"/>
        </w:rPr>
        <w:t>European Planning Studies</w:t>
      </w:r>
      <w:r w:rsidRPr="00EE3847">
        <w:rPr>
          <w:sz w:val="24"/>
          <w:szCs w:val="24"/>
          <w:lang w:val="en-GB"/>
        </w:rPr>
        <w:t>,</w:t>
      </w:r>
      <w:r w:rsidRPr="00EE3847">
        <w:rPr>
          <w:sz w:val="24"/>
          <w:szCs w:val="24"/>
        </w:rPr>
        <w:t xml:space="preserve"> 22(9): </w:t>
      </w:r>
      <w:r w:rsidRPr="00EE3847">
        <w:rPr>
          <w:sz w:val="24"/>
          <w:szCs w:val="24"/>
          <w:lang w:val="en-GB"/>
        </w:rPr>
        <w:t xml:space="preserve">1841-1861 </w:t>
      </w:r>
    </w:p>
    <w:p w14:paraId="1AEE306B" w14:textId="37083415" w:rsidR="00AF75EB" w:rsidRPr="00EE3847" w:rsidRDefault="00AF75EB" w:rsidP="00AF75EB">
      <w:pPr>
        <w:spacing w:line="360" w:lineRule="auto"/>
        <w:jc w:val="both"/>
        <w:rPr>
          <w:sz w:val="24"/>
          <w:szCs w:val="24"/>
        </w:rPr>
      </w:pPr>
      <w:r w:rsidRPr="00EE3847">
        <w:rPr>
          <w:sz w:val="24"/>
          <w:szCs w:val="24"/>
        </w:rPr>
        <w:t xml:space="preserve">Norris, M. &amp; Byrne, M. (2015). ‘Asset price urbanism in the Irish and Spanish housing crises’, </w:t>
      </w:r>
      <w:r w:rsidRPr="00EE3847">
        <w:rPr>
          <w:i/>
          <w:sz w:val="24"/>
          <w:szCs w:val="24"/>
        </w:rPr>
        <w:t>Built Environment,</w:t>
      </w:r>
      <w:r w:rsidRPr="00EE3847">
        <w:rPr>
          <w:sz w:val="24"/>
          <w:szCs w:val="24"/>
        </w:rPr>
        <w:t xml:space="preserve"> 41(3)</w:t>
      </w:r>
      <w:r w:rsidR="00440303">
        <w:rPr>
          <w:sz w:val="24"/>
          <w:szCs w:val="24"/>
        </w:rPr>
        <w:t>:</w:t>
      </w:r>
      <w:r w:rsidR="00C74738">
        <w:rPr>
          <w:sz w:val="24"/>
          <w:szCs w:val="24"/>
        </w:rPr>
        <w:t xml:space="preserve"> </w:t>
      </w:r>
      <w:r w:rsidR="00C74738" w:rsidRPr="00C74738">
        <w:rPr>
          <w:sz w:val="24"/>
          <w:szCs w:val="24"/>
          <w:highlight w:val="green"/>
        </w:rPr>
        <w:t>XX</w:t>
      </w:r>
    </w:p>
    <w:p w14:paraId="3EC42AB3" w14:textId="4BE81151" w:rsidR="00AF75EB" w:rsidRPr="00EE3847" w:rsidRDefault="00AF75EB" w:rsidP="00AF75EB">
      <w:pPr>
        <w:spacing w:line="360" w:lineRule="auto"/>
        <w:jc w:val="both"/>
        <w:rPr>
          <w:sz w:val="24"/>
          <w:szCs w:val="24"/>
        </w:rPr>
      </w:pPr>
      <w:r w:rsidRPr="00EE3847">
        <w:rPr>
          <w:sz w:val="24"/>
          <w:szCs w:val="24"/>
        </w:rPr>
        <w:t xml:space="preserve">Norris, M. &amp; Coates, D. (2014). How housing killed the Celtic tiger: Anatomy and consequences of Ireland’s housing boom and bust. </w:t>
      </w:r>
      <w:r w:rsidRPr="00EE3847">
        <w:rPr>
          <w:i/>
          <w:sz w:val="24"/>
          <w:szCs w:val="24"/>
        </w:rPr>
        <w:t>Journal of Housing and the Built Environment</w:t>
      </w:r>
      <w:r w:rsidRPr="00EE3847">
        <w:rPr>
          <w:sz w:val="24"/>
          <w:szCs w:val="24"/>
        </w:rPr>
        <w:t>, 29(2)</w:t>
      </w:r>
      <w:r w:rsidR="00440303">
        <w:rPr>
          <w:sz w:val="24"/>
          <w:szCs w:val="24"/>
        </w:rPr>
        <w:t>:</w:t>
      </w:r>
      <w:r w:rsidRPr="00EE3847">
        <w:rPr>
          <w:sz w:val="24"/>
          <w:szCs w:val="24"/>
        </w:rPr>
        <w:t xml:space="preserve"> 299-315.</w:t>
      </w:r>
    </w:p>
    <w:p w14:paraId="05D4DBF3" w14:textId="373D2FC2" w:rsidR="002403F9" w:rsidRDefault="002403F9" w:rsidP="002403F9">
      <w:pPr>
        <w:spacing w:line="360" w:lineRule="auto"/>
        <w:jc w:val="both"/>
        <w:rPr>
          <w:sz w:val="24"/>
          <w:szCs w:val="24"/>
        </w:rPr>
      </w:pPr>
      <w:r w:rsidRPr="002403F9">
        <w:rPr>
          <w:sz w:val="24"/>
          <w:szCs w:val="24"/>
        </w:rPr>
        <w:t>Norris</w:t>
      </w:r>
      <w:r w:rsidR="00440303">
        <w:rPr>
          <w:sz w:val="24"/>
          <w:szCs w:val="24"/>
        </w:rPr>
        <w:t>, M</w:t>
      </w:r>
      <w:r w:rsidRPr="002403F9">
        <w:rPr>
          <w:sz w:val="24"/>
          <w:szCs w:val="24"/>
        </w:rPr>
        <w:t xml:space="preserve"> &amp; Coates</w:t>
      </w:r>
      <w:r w:rsidR="00440303">
        <w:rPr>
          <w:sz w:val="24"/>
          <w:szCs w:val="24"/>
        </w:rPr>
        <w:t>,</w:t>
      </w:r>
      <w:r w:rsidRPr="002403F9">
        <w:rPr>
          <w:sz w:val="24"/>
          <w:szCs w:val="24"/>
        </w:rPr>
        <w:t xml:space="preserve"> (2010) Private sector provision of social housing: an assessment of</w:t>
      </w:r>
      <w:r>
        <w:rPr>
          <w:sz w:val="24"/>
          <w:szCs w:val="24"/>
        </w:rPr>
        <w:t xml:space="preserve"> </w:t>
      </w:r>
      <w:r w:rsidRPr="002403F9">
        <w:rPr>
          <w:sz w:val="24"/>
          <w:szCs w:val="24"/>
        </w:rPr>
        <w:t xml:space="preserve">recent Irish experiments, </w:t>
      </w:r>
      <w:r w:rsidRPr="002403F9">
        <w:rPr>
          <w:i/>
          <w:sz w:val="24"/>
          <w:szCs w:val="24"/>
        </w:rPr>
        <w:t>Public Money &amp; Management</w:t>
      </w:r>
      <w:r w:rsidRPr="002403F9">
        <w:rPr>
          <w:sz w:val="24"/>
          <w:szCs w:val="24"/>
        </w:rPr>
        <w:t>, 30</w:t>
      </w:r>
      <w:r>
        <w:rPr>
          <w:sz w:val="24"/>
          <w:szCs w:val="24"/>
        </w:rPr>
        <w:t>(</w:t>
      </w:r>
      <w:r w:rsidRPr="002403F9">
        <w:rPr>
          <w:sz w:val="24"/>
          <w:szCs w:val="24"/>
        </w:rPr>
        <w:t>1</w:t>
      </w:r>
      <w:r>
        <w:rPr>
          <w:sz w:val="24"/>
          <w:szCs w:val="24"/>
        </w:rPr>
        <w:t>):</w:t>
      </w:r>
      <w:r w:rsidR="00440303">
        <w:rPr>
          <w:sz w:val="24"/>
          <w:szCs w:val="24"/>
        </w:rPr>
        <w:t xml:space="preserve"> </w:t>
      </w:r>
      <w:r w:rsidRPr="002403F9">
        <w:rPr>
          <w:sz w:val="24"/>
          <w:szCs w:val="24"/>
        </w:rPr>
        <w:t>19-26</w:t>
      </w:r>
      <w:r w:rsidR="00440303">
        <w:rPr>
          <w:sz w:val="24"/>
          <w:szCs w:val="24"/>
        </w:rPr>
        <w:t>.</w:t>
      </w:r>
    </w:p>
    <w:p w14:paraId="06A6E6DA" w14:textId="77777777" w:rsidR="00AF75EB" w:rsidRPr="00EE3847" w:rsidRDefault="00AF75EB" w:rsidP="00AF75EB">
      <w:pPr>
        <w:spacing w:line="360" w:lineRule="auto"/>
        <w:jc w:val="both"/>
        <w:rPr>
          <w:sz w:val="24"/>
          <w:szCs w:val="24"/>
        </w:rPr>
      </w:pPr>
      <w:r w:rsidRPr="00EE3847">
        <w:rPr>
          <w:sz w:val="24"/>
          <w:szCs w:val="24"/>
        </w:rPr>
        <w:t xml:space="preserve">Norris, M. &amp; Fahey, T. (2011). From asset based welfare to welfare housing? The changing function of social housing in Ireland. </w:t>
      </w:r>
      <w:r w:rsidRPr="00EE3847">
        <w:rPr>
          <w:i/>
          <w:sz w:val="24"/>
          <w:szCs w:val="24"/>
        </w:rPr>
        <w:t>Housing Studies</w:t>
      </w:r>
      <w:r w:rsidRPr="00EE3847">
        <w:rPr>
          <w:sz w:val="24"/>
          <w:szCs w:val="24"/>
        </w:rPr>
        <w:t xml:space="preserve"> 26 (3), 459-469.</w:t>
      </w:r>
    </w:p>
    <w:p w14:paraId="49E498F6" w14:textId="4700DF69" w:rsidR="000931F9" w:rsidRDefault="000931F9" w:rsidP="00AF75EB">
      <w:pPr>
        <w:spacing w:line="360" w:lineRule="auto"/>
        <w:jc w:val="both"/>
        <w:rPr>
          <w:sz w:val="24"/>
          <w:szCs w:val="24"/>
        </w:rPr>
      </w:pPr>
      <w:r w:rsidRPr="000931F9">
        <w:rPr>
          <w:sz w:val="24"/>
          <w:szCs w:val="24"/>
        </w:rPr>
        <w:t xml:space="preserve">O’Connell, C (2007), </w:t>
      </w:r>
      <w:r w:rsidRPr="000931F9">
        <w:rPr>
          <w:i/>
          <w:sz w:val="24"/>
          <w:szCs w:val="24"/>
        </w:rPr>
        <w:t>The State and Housing in Ireland: Ideology, Policy and Practice</w:t>
      </w:r>
      <w:r w:rsidRPr="000931F9">
        <w:rPr>
          <w:sz w:val="24"/>
          <w:szCs w:val="24"/>
        </w:rPr>
        <w:t>, London: Nova Science.</w:t>
      </w:r>
    </w:p>
    <w:p w14:paraId="4BF2FA28" w14:textId="45BEF5B2" w:rsidR="00AF75EB" w:rsidRPr="00EE3847" w:rsidRDefault="00AF75EB" w:rsidP="00AF75EB">
      <w:pPr>
        <w:spacing w:line="360" w:lineRule="auto"/>
        <w:jc w:val="both"/>
        <w:rPr>
          <w:sz w:val="24"/>
          <w:szCs w:val="24"/>
        </w:rPr>
      </w:pPr>
      <w:r w:rsidRPr="00EE3847">
        <w:rPr>
          <w:sz w:val="24"/>
          <w:szCs w:val="24"/>
        </w:rPr>
        <w:t>O’Brien, P. &amp; Pike, A. (2015). The financialisation and governance of infrastructure. iBUILD Working Paper 8.</w:t>
      </w:r>
    </w:p>
    <w:p w14:paraId="4373BCE1" w14:textId="77777777" w:rsidR="00AF75EB" w:rsidRPr="00EE3847" w:rsidRDefault="00AF75EB" w:rsidP="00AF75EB">
      <w:pPr>
        <w:spacing w:line="360" w:lineRule="auto"/>
        <w:jc w:val="both"/>
        <w:rPr>
          <w:sz w:val="24"/>
          <w:szCs w:val="24"/>
        </w:rPr>
      </w:pPr>
      <w:r w:rsidRPr="00EE3847">
        <w:rPr>
          <w:sz w:val="24"/>
          <w:szCs w:val="24"/>
        </w:rPr>
        <w:t xml:space="preserve">Ó Riain, S. (2014) </w:t>
      </w:r>
      <w:r w:rsidRPr="00EE3847">
        <w:rPr>
          <w:i/>
          <w:sz w:val="24"/>
          <w:szCs w:val="24"/>
        </w:rPr>
        <w:t>The rise and fall of Ireland’s Celtic Tiger: Liberalism, boom and bust</w:t>
      </w:r>
      <w:r w:rsidRPr="00EE3847">
        <w:rPr>
          <w:sz w:val="24"/>
          <w:szCs w:val="24"/>
        </w:rPr>
        <w:t>. Cambridge, Cambridge University Press.</w:t>
      </w:r>
    </w:p>
    <w:p w14:paraId="4FB4A005" w14:textId="3A62BF7B" w:rsidR="001E0E3D" w:rsidRDefault="001E0E3D" w:rsidP="00AF75EB">
      <w:pPr>
        <w:spacing w:line="360" w:lineRule="auto"/>
        <w:jc w:val="both"/>
        <w:rPr>
          <w:sz w:val="24"/>
          <w:szCs w:val="24"/>
          <w:lang w:val="en-GB"/>
        </w:rPr>
      </w:pPr>
      <w:r w:rsidRPr="001E0E3D">
        <w:rPr>
          <w:sz w:val="24"/>
          <w:szCs w:val="24"/>
          <w:lang w:val="en-GB"/>
        </w:rPr>
        <w:t xml:space="preserve">Powell, F. (1992), </w:t>
      </w:r>
      <w:r w:rsidRPr="001E0E3D">
        <w:rPr>
          <w:i/>
          <w:sz w:val="24"/>
          <w:szCs w:val="24"/>
          <w:lang w:val="en-GB"/>
        </w:rPr>
        <w:t>The Politics of Irish Social Policy: 1600-1995</w:t>
      </w:r>
      <w:r w:rsidRPr="001E0E3D">
        <w:rPr>
          <w:sz w:val="24"/>
          <w:szCs w:val="24"/>
          <w:lang w:val="en-GB"/>
        </w:rPr>
        <w:t>, New York: Edwin Mellen Press.</w:t>
      </w:r>
    </w:p>
    <w:p w14:paraId="4F173686" w14:textId="27062026" w:rsidR="00727532" w:rsidRDefault="00727532" w:rsidP="00AF75EB">
      <w:pPr>
        <w:spacing w:line="360" w:lineRule="auto"/>
        <w:jc w:val="both"/>
        <w:rPr>
          <w:sz w:val="24"/>
          <w:szCs w:val="24"/>
          <w:lang w:val="en-GB"/>
        </w:rPr>
      </w:pPr>
      <w:r w:rsidRPr="00727532">
        <w:rPr>
          <w:sz w:val="24"/>
          <w:szCs w:val="24"/>
          <w:lang w:val="en-GB"/>
        </w:rPr>
        <w:t>Private Residential Tenancies Board</w:t>
      </w:r>
      <w:r>
        <w:rPr>
          <w:sz w:val="24"/>
          <w:szCs w:val="24"/>
          <w:lang w:val="en-GB"/>
        </w:rPr>
        <w:t xml:space="preserve"> (2015), </w:t>
      </w:r>
      <w:r w:rsidRPr="00727532">
        <w:rPr>
          <w:i/>
          <w:sz w:val="24"/>
          <w:szCs w:val="24"/>
          <w:lang w:val="en-GB"/>
        </w:rPr>
        <w:t>PRTB Rent Index</w:t>
      </w:r>
      <w:r>
        <w:rPr>
          <w:sz w:val="24"/>
          <w:szCs w:val="24"/>
          <w:lang w:val="en-GB"/>
        </w:rPr>
        <w:t>, Dublin: ESRI.</w:t>
      </w:r>
    </w:p>
    <w:p w14:paraId="4A21D03D" w14:textId="5000F49A" w:rsidR="00AF75EB" w:rsidRPr="00EE3847" w:rsidRDefault="00AF75EB" w:rsidP="00AF75EB">
      <w:pPr>
        <w:spacing w:line="360" w:lineRule="auto"/>
        <w:jc w:val="both"/>
        <w:rPr>
          <w:sz w:val="24"/>
          <w:szCs w:val="24"/>
          <w:lang w:val="en-GB"/>
        </w:rPr>
      </w:pPr>
      <w:r w:rsidRPr="00EE3847">
        <w:rPr>
          <w:sz w:val="24"/>
          <w:szCs w:val="24"/>
          <w:lang w:val="en-GB"/>
        </w:rPr>
        <w:t>Regling, K., and Watson, M. (2010).</w:t>
      </w:r>
      <w:r w:rsidRPr="00EE3847">
        <w:rPr>
          <w:i/>
          <w:sz w:val="24"/>
          <w:szCs w:val="24"/>
          <w:lang w:val="en-GB"/>
        </w:rPr>
        <w:t>A Preliminary Report on the Sources of Ireland’s Banking Crisis</w:t>
      </w:r>
      <w:r w:rsidRPr="00EE3847">
        <w:rPr>
          <w:sz w:val="24"/>
          <w:szCs w:val="24"/>
          <w:lang w:val="en-GB"/>
        </w:rPr>
        <w:t>. Dublin: Stationery Office.</w:t>
      </w:r>
    </w:p>
    <w:p w14:paraId="0E3E9F76" w14:textId="77777777" w:rsidR="00AF75EB" w:rsidRPr="00EE3847" w:rsidRDefault="00AF75EB" w:rsidP="00AF75EB">
      <w:pPr>
        <w:spacing w:line="360" w:lineRule="auto"/>
        <w:jc w:val="both"/>
        <w:rPr>
          <w:sz w:val="24"/>
          <w:szCs w:val="24"/>
        </w:rPr>
      </w:pPr>
      <w:r w:rsidRPr="00EE3847">
        <w:rPr>
          <w:sz w:val="24"/>
          <w:szCs w:val="24"/>
        </w:rPr>
        <w:t xml:space="preserve">Rolnik, R. (2013). Late neoliberalism: the financialization of homeownership and housing rights. </w:t>
      </w:r>
      <w:r w:rsidRPr="00EE3847">
        <w:rPr>
          <w:i/>
          <w:sz w:val="24"/>
          <w:szCs w:val="24"/>
        </w:rPr>
        <w:t>International Journal of Urban and Regional Research</w:t>
      </w:r>
      <w:r w:rsidRPr="00EE3847">
        <w:rPr>
          <w:sz w:val="24"/>
          <w:szCs w:val="24"/>
        </w:rPr>
        <w:t>, 37(3), 1058-1066.</w:t>
      </w:r>
    </w:p>
    <w:p w14:paraId="25FBB02A" w14:textId="38D4DAEC" w:rsidR="00432D10" w:rsidRPr="00432D10" w:rsidRDefault="00432D10" w:rsidP="00432D10">
      <w:pPr>
        <w:spacing w:line="360" w:lineRule="auto"/>
        <w:jc w:val="both"/>
        <w:rPr>
          <w:sz w:val="24"/>
          <w:szCs w:val="24"/>
        </w:rPr>
      </w:pPr>
      <w:r>
        <w:rPr>
          <w:sz w:val="24"/>
          <w:szCs w:val="24"/>
        </w:rPr>
        <w:t>Simon Communities of Ireland (2015), Locked Out of the Market II, Dublin: Simon Communities of Ireland.</w:t>
      </w:r>
    </w:p>
    <w:p w14:paraId="39142462" w14:textId="43A1FCE5" w:rsidR="00432D10" w:rsidRDefault="00432D10" w:rsidP="00432D10">
      <w:pPr>
        <w:spacing w:line="360" w:lineRule="auto"/>
        <w:jc w:val="both"/>
        <w:rPr>
          <w:sz w:val="24"/>
          <w:szCs w:val="24"/>
        </w:rPr>
      </w:pPr>
      <w:r w:rsidRPr="00432D10">
        <w:rPr>
          <w:sz w:val="24"/>
          <w:szCs w:val="24"/>
        </w:rPr>
        <w:t>The Gap between Rent Supplement/HAP Limits and Market Rents</w:t>
      </w:r>
    </w:p>
    <w:p w14:paraId="1378298B" w14:textId="77777777" w:rsidR="00AF75EB" w:rsidRPr="00EE3847" w:rsidRDefault="00AF75EB" w:rsidP="00AF75EB">
      <w:pPr>
        <w:spacing w:line="360" w:lineRule="auto"/>
        <w:jc w:val="both"/>
        <w:rPr>
          <w:sz w:val="24"/>
          <w:szCs w:val="24"/>
        </w:rPr>
      </w:pPr>
      <w:r w:rsidRPr="00EE3847">
        <w:rPr>
          <w:sz w:val="24"/>
          <w:szCs w:val="24"/>
        </w:rPr>
        <w:t xml:space="preserve">Sirr, L. (Ed.). 2014. </w:t>
      </w:r>
      <w:r w:rsidRPr="00EE3847">
        <w:rPr>
          <w:i/>
          <w:sz w:val="24"/>
          <w:szCs w:val="24"/>
        </w:rPr>
        <w:t>Renting in Ireland</w:t>
      </w:r>
      <w:r w:rsidRPr="00EE3847">
        <w:rPr>
          <w:sz w:val="24"/>
          <w:szCs w:val="24"/>
        </w:rPr>
        <w:t>. Dublin: Institute of Public Administration.</w:t>
      </w:r>
    </w:p>
    <w:p w14:paraId="2DA06143" w14:textId="248DFB08" w:rsidR="00F017F5" w:rsidRDefault="00F017F5" w:rsidP="00F017F5">
      <w:pPr>
        <w:spacing w:line="360" w:lineRule="auto"/>
        <w:jc w:val="both"/>
        <w:rPr>
          <w:sz w:val="24"/>
          <w:szCs w:val="24"/>
          <w:lang w:val="en-GB"/>
        </w:rPr>
      </w:pPr>
      <w:r>
        <w:rPr>
          <w:sz w:val="24"/>
          <w:szCs w:val="24"/>
          <w:lang w:val="en-GB"/>
        </w:rPr>
        <w:t xml:space="preserve">Stephens, M, Lux, M and Sunega, P (2015), </w:t>
      </w:r>
      <w:r w:rsidRPr="00F017F5">
        <w:rPr>
          <w:sz w:val="24"/>
          <w:szCs w:val="24"/>
          <w:lang w:val="en-GB"/>
        </w:rPr>
        <w:t>Post-Socialist Housing Systems in Europe: Housi</w:t>
      </w:r>
      <w:r>
        <w:rPr>
          <w:sz w:val="24"/>
          <w:szCs w:val="24"/>
          <w:lang w:val="en-GB"/>
        </w:rPr>
        <w:t xml:space="preserve">ng Welfare Regimes by Default?, </w:t>
      </w:r>
      <w:r w:rsidRPr="00F017F5">
        <w:rPr>
          <w:i/>
          <w:sz w:val="24"/>
          <w:szCs w:val="24"/>
          <w:lang w:val="en-GB"/>
        </w:rPr>
        <w:t>Housing Studies</w:t>
      </w:r>
      <w:r>
        <w:rPr>
          <w:sz w:val="24"/>
          <w:szCs w:val="24"/>
          <w:lang w:val="en-GB"/>
        </w:rPr>
        <w:t xml:space="preserve">, </w:t>
      </w:r>
      <w:r w:rsidRPr="00F017F5">
        <w:rPr>
          <w:sz w:val="24"/>
          <w:szCs w:val="24"/>
          <w:lang w:val="en-GB"/>
        </w:rPr>
        <w:t>30</w:t>
      </w:r>
      <w:r>
        <w:rPr>
          <w:sz w:val="24"/>
          <w:szCs w:val="24"/>
          <w:lang w:val="en-GB"/>
        </w:rPr>
        <w:t xml:space="preserve">(8): </w:t>
      </w:r>
      <w:r w:rsidRPr="00F017F5">
        <w:rPr>
          <w:sz w:val="24"/>
          <w:szCs w:val="24"/>
          <w:lang w:val="en-GB"/>
        </w:rPr>
        <w:t>1210-1234</w:t>
      </w:r>
      <w:r>
        <w:rPr>
          <w:sz w:val="24"/>
          <w:szCs w:val="24"/>
          <w:lang w:val="en-GB"/>
        </w:rPr>
        <w:t>.</w:t>
      </w:r>
    </w:p>
    <w:p w14:paraId="03DE6B67" w14:textId="198C2E51" w:rsidR="00AF75EB" w:rsidRPr="00EE3847" w:rsidRDefault="00AF75EB" w:rsidP="00AF75EB">
      <w:pPr>
        <w:spacing w:line="360" w:lineRule="auto"/>
        <w:jc w:val="both"/>
        <w:rPr>
          <w:sz w:val="24"/>
          <w:szCs w:val="24"/>
          <w:lang w:val="en-GB"/>
        </w:rPr>
      </w:pPr>
      <w:r w:rsidRPr="00EE3847">
        <w:rPr>
          <w:sz w:val="24"/>
          <w:szCs w:val="24"/>
          <w:lang w:val="en-GB"/>
        </w:rPr>
        <w:t xml:space="preserve">Threshold (2016), </w:t>
      </w:r>
      <w:r w:rsidRPr="00EE3847">
        <w:rPr>
          <w:i/>
          <w:sz w:val="24"/>
          <w:szCs w:val="24"/>
          <w:lang w:val="en-GB"/>
        </w:rPr>
        <w:t>Immediate Policy Priorities for The Private Rented Sector</w:t>
      </w:r>
      <w:r w:rsidRPr="00EE3847">
        <w:rPr>
          <w:sz w:val="24"/>
          <w:szCs w:val="24"/>
          <w:lang w:val="en-GB"/>
        </w:rPr>
        <w:t>, Dublin: Threshold.</w:t>
      </w:r>
    </w:p>
    <w:p w14:paraId="12994498" w14:textId="77777777" w:rsidR="0036036B" w:rsidRDefault="0036036B" w:rsidP="0036036B">
      <w:pPr>
        <w:spacing w:line="360" w:lineRule="auto"/>
        <w:jc w:val="both"/>
        <w:rPr>
          <w:sz w:val="24"/>
          <w:szCs w:val="24"/>
          <w:lang w:val="en-GB"/>
        </w:rPr>
      </w:pPr>
      <w:r w:rsidRPr="0036036B">
        <w:rPr>
          <w:sz w:val="24"/>
          <w:szCs w:val="24"/>
          <w:lang w:val="en-GB"/>
        </w:rPr>
        <w:t xml:space="preserve">Threshold (1981), </w:t>
      </w:r>
      <w:r w:rsidRPr="0036036B">
        <w:rPr>
          <w:i/>
          <w:sz w:val="24"/>
          <w:szCs w:val="24"/>
          <w:lang w:val="en-GB"/>
        </w:rPr>
        <w:t>Private Rented: The Forgotten Sector</w:t>
      </w:r>
      <w:r w:rsidRPr="0036036B">
        <w:rPr>
          <w:sz w:val="24"/>
          <w:szCs w:val="24"/>
          <w:lang w:val="en-GB"/>
        </w:rPr>
        <w:t>, Dublin: Threshold.</w:t>
      </w:r>
    </w:p>
    <w:p w14:paraId="06CB00D9" w14:textId="7DA4A1B3" w:rsidR="00AF75EB" w:rsidRPr="00EE3847" w:rsidRDefault="00AF75EB" w:rsidP="00AF75EB">
      <w:pPr>
        <w:spacing w:line="360" w:lineRule="auto"/>
        <w:jc w:val="both"/>
        <w:rPr>
          <w:sz w:val="24"/>
          <w:szCs w:val="24"/>
        </w:rPr>
      </w:pPr>
      <w:r w:rsidRPr="00EE3847">
        <w:rPr>
          <w:sz w:val="24"/>
          <w:szCs w:val="24"/>
        </w:rPr>
        <w:t xml:space="preserve">Torrance, M. I. (2008). Forging glocal governance? Urban infrastructures as networked financial products. </w:t>
      </w:r>
      <w:r w:rsidRPr="00EE3847">
        <w:rPr>
          <w:i/>
          <w:sz w:val="24"/>
          <w:szCs w:val="24"/>
        </w:rPr>
        <w:t>International Journal of Urban and Regional Research</w:t>
      </w:r>
      <w:r w:rsidRPr="00EE3847">
        <w:rPr>
          <w:sz w:val="24"/>
          <w:szCs w:val="24"/>
        </w:rPr>
        <w:t>, 32(1), 1-21.</w:t>
      </w:r>
    </w:p>
    <w:p w14:paraId="34EC41AD" w14:textId="77777777" w:rsidR="00AF75EB" w:rsidRPr="00EE3847" w:rsidRDefault="00AF75EB" w:rsidP="00AF75EB">
      <w:pPr>
        <w:spacing w:line="360" w:lineRule="auto"/>
        <w:jc w:val="both"/>
        <w:rPr>
          <w:sz w:val="24"/>
          <w:szCs w:val="24"/>
        </w:rPr>
      </w:pPr>
      <w:r w:rsidRPr="00EE3847">
        <w:rPr>
          <w:sz w:val="24"/>
          <w:szCs w:val="24"/>
        </w:rPr>
        <w:t xml:space="preserve">van der Zwan, N. (2012). State of the art: making sense of financialization. </w:t>
      </w:r>
      <w:r w:rsidRPr="00EE3847">
        <w:rPr>
          <w:i/>
          <w:sz w:val="24"/>
          <w:szCs w:val="24"/>
        </w:rPr>
        <w:t>Socio-Economic Review</w:t>
      </w:r>
      <w:r w:rsidRPr="00EE3847">
        <w:rPr>
          <w:sz w:val="24"/>
          <w:szCs w:val="24"/>
        </w:rPr>
        <w:t xml:space="preserve"> 12(1), 99-129.</w:t>
      </w:r>
    </w:p>
    <w:p w14:paraId="66A05034" w14:textId="3BF78325" w:rsidR="00AF75EB" w:rsidRPr="00EE3847" w:rsidRDefault="00AF75EB" w:rsidP="00AF75EB">
      <w:pPr>
        <w:spacing w:line="360" w:lineRule="auto"/>
        <w:jc w:val="both"/>
        <w:rPr>
          <w:sz w:val="24"/>
          <w:szCs w:val="24"/>
        </w:rPr>
      </w:pPr>
      <w:r w:rsidRPr="00EE3847">
        <w:rPr>
          <w:sz w:val="24"/>
          <w:szCs w:val="24"/>
        </w:rPr>
        <w:t xml:space="preserve">Waldron, R. &amp; Redmond, D. (2014). The extent of the mortgage crisis in Ireland and policy responses. </w:t>
      </w:r>
      <w:r w:rsidRPr="00EE3847">
        <w:rPr>
          <w:i/>
          <w:sz w:val="24"/>
          <w:szCs w:val="24"/>
        </w:rPr>
        <w:t>Housing Studies</w:t>
      </w:r>
      <w:r w:rsidRPr="00EE3847">
        <w:rPr>
          <w:sz w:val="24"/>
          <w:szCs w:val="24"/>
        </w:rPr>
        <w:t>, 29(1), 149-165.</w:t>
      </w:r>
    </w:p>
    <w:p w14:paraId="2F31CA3C" w14:textId="77777777" w:rsidR="00AF75EB" w:rsidRPr="00EE3847" w:rsidRDefault="00AF75EB" w:rsidP="00AF75EB">
      <w:pPr>
        <w:spacing w:line="360" w:lineRule="auto"/>
        <w:jc w:val="both"/>
        <w:rPr>
          <w:sz w:val="24"/>
          <w:szCs w:val="24"/>
        </w:rPr>
      </w:pPr>
      <w:r w:rsidRPr="00EE3847">
        <w:rPr>
          <w:sz w:val="24"/>
          <w:szCs w:val="24"/>
        </w:rPr>
        <w:t>Wainright, T. &amp; Manville, G. (2015). Financialization and the third sector: innovation in social housing bond markets. Working Paper.</w:t>
      </w:r>
    </w:p>
    <w:p w14:paraId="2428367E" w14:textId="77777777" w:rsidR="00AF75EB" w:rsidRPr="00EE3847" w:rsidRDefault="00AF75EB" w:rsidP="00AF75EB">
      <w:pPr>
        <w:spacing w:line="360" w:lineRule="auto"/>
        <w:jc w:val="both"/>
        <w:rPr>
          <w:sz w:val="24"/>
          <w:szCs w:val="24"/>
          <w:lang w:val="en-GB"/>
        </w:rPr>
      </w:pPr>
      <w:r w:rsidRPr="00EE3847">
        <w:rPr>
          <w:sz w:val="24"/>
          <w:szCs w:val="24"/>
          <w:lang w:val="en-GB"/>
        </w:rPr>
        <w:t xml:space="preserve">Watson, M (2010) ‘House Price Keynesianism and the Contradictions of the Modern Investor Subject’, </w:t>
      </w:r>
      <w:r w:rsidRPr="00EE3847">
        <w:rPr>
          <w:i/>
          <w:sz w:val="24"/>
          <w:szCs w:val="24"/>
          <w:lang w:val="en-GB"/>
        </w:rPr>
        <w:t>Housing Studie</w:t>
      </w:r>
      <w:r w:rsidRPr="00EE3847">
        <w:rPr>
          <w:sz w:val="24"/>
          <w:szCs w:val="24"/>
          <w:lang w:val="en-GB"/>
        </w:rPr>
        <w:t>s, 25(3): 413-426.</w:t>
      </w:r>
    </w:p>
    <w:p w14:paraId="35BF3952" w14:textId="7FCF03AC" w:rsidR="00AF75EB" w:rsidRPr="00EE3847" w:rsidRDefault="00AF75EB" w:rsidP="00AF75EB">
      <w:pPr>
        <w:spacing w:line="360" w:lineRule="auto"/>
        <w:jc w:val="both"/>
        <w:rPr>
          <w:sz w:val="24"/>
          <w:szCs w:val="24"/>
        </w:rPr>
      </w:pPr>
      <w:r w:rsidRPr="00EE3847">
        <w:rPr>
          <w:sz w:val="24"/>
          <w:szCs w:val="24"/>
        </w:rPr>
        <w:t xml:space="preserve">Weber, R. (2002). Extracting value from the city: neoliberalism and urban redevelopment. </w:t>
      </w:r>
      <w:r w:rsidRPr="00EE3847">
        <w:rPr>
          <w:i/>
          <w:sz w:val="24"/>
          <w:szCs w:val="24"/>
        </w:rPr>
        <w:t>Antipode</w:t>
      </w:r>
      <w:r w:rsidRPr="00EE3847">
        <w:rPr>
          <w:sz w:val="24"/>
          <w:szCs w:val="24"/>
        </w:rPr>
        <w:t xml:space="preserve"> 34(3), 519-40.</w:t>
      </w:r>
    </w:p>
    <w:p w14:paraId="6E4E610F" w14:textId="1F190BE5" w:rsidR="00D67B85" w:rsidRPr="00D67B85" w:rsidRDefault="00D67B85" w:rsidP="00AF75EB">
      <w:pPr>
        <w:spacing w:line="360" w:lineRule="auto"/>
        <w:jc w:val="both"/>
        <w:rPr>
          <w:sz w:val="24"/>
          <w:szCs w:val="24"/>
        </w:rPr>
      </w:pPr>
      <w:r w:rsidRPr="00D67B85">
        <w:rPr>
          <w:sz w:val="24"/>
          <w:szCs w:val="24"/>
        </w:rPr>
        <w:t>Whitehead</w:t>
      </w:r>
      <w:r>
        <w:rPr>
          <w:sz w:val="24"/>
          <w:szCs w:val="24"/>
        </w:rPr>
        <w:t>, C</w:t>
      </w:r>
      <w:r w:rsidRPr="00D67B85">
        <w:rPr>
          <w:sz w:val="24"/>
          <w:szCs w:val="24"/>
        </w:rPr>
        <w:t xml:space="preserve"> </w:t>
      </w:r>
      <w:r>
        <w:rPr>
          <w:sz w:val="24"/>
          <w:szCs w:val="24"/>
        </w:rPr>
        <w:t>(</w:t>
      </w:r>
      <w:r w:rsidRPr="00D67B85">
        <w:rPr>
          <w:sz w:val="24"/>
          <w:szCs w:val="24"/>
        </w:rPr>
        <w:t>20</w:t>
      </w:r>
      <w:r w:rsidR="00EA3A41">
        <w:rPr>
          <w:sz w:val="24"/>
          <w:szCs w:val="24"/>
        </w:rPr>
        <w:t>14</w:t>
      </w:r>
      <w:r>
        <w:rPr>
          <w:sz w:val="24"/>
          <w:szCs w:val="24"/>
        </w:rPr>
        <w:t xml:space="preserve">), </w:t>
      </w:r>
      <w:r w:rsidR="00EA3A41" w:rsidRPr="00EA3A41">
        <w:rPr>
          <w:sz w:val="24"/>
          <w:szCs w:val="24"/>
        </w:rPr>
        <w:t>“</w:t>
      </w:r>
      <w:r w:rsidR="00EA3A41">
        <w:rPr>
          <w:sz w:val="24"/>
          <w:szCs w:val="24"/>
        </w:rPr>
        <w:t xml:space="preserve">Financing Social Rented Housing in Europe”, in Scanlon, K, Whitehead C and Fernández Arrigoita, M (eds), </w:t>
      </w:r>
      <w:r w:rsidRPr="00EA3A41">
        <w:rPr>
          <w:i/>
          <w:sz w:val="24"/>
          <w:szCs w:val="24"/>
        </w:rPr>
        <w:t>Social Housing in Europe</w:t>
      </w:r>
      <w:r>
        <w:rPr>
          <w:i/>
          <w:sz w:val="24"/>
          <w:szCs w:val="24"/>
        </w:rPr>
        <w:t xml:space="preserve">, </w:t>
      </w:r>
      <w:r>
        <w:rPr>
          <w:sz w:val="24"/>
          <w:szCs w:val="24"/>
        </w:rPr>
        <w:t xml:space="preserve">London: </w:t>
      </w:r>
      <w:r w:rsidR="00EA3A41">
        <w:rPr>
          <w:sz w:val="24"/>
          <w:szCs w:val="24"/>
        </w:rPr>
        <w:t>Wiley Blackwell.</w:t>
      </w:r>
    </w:p>
    <w:p w14:paraId="43CCCCFA" w14:textId="5D3C0163" w:rsidR="00DF389A" w:rsidRPr="00EE3847" w:rsidRDefault="00DF389A" w:rsidP="00AF75EB">
      <w:pPr>
        <w:spacing w:line="360" w:lineRule="auto"/>
        <w:jc w:val="both"/>
        <w:rPr>
          <w:sz w:val="24"/>
          <w:szCs w:val="24"/>
        </w:rPr>
      </w:pPr>
      <w:r w:rsidRPr="00EE3847">
        <w:rPr>
          <w:sz w:val="24"/>
          <w:szCs w:val="24"/>
        </w:rPr>
        <w:t xml:space="preserve">Whitehead, C and Williams, P (2011), Causes and Consequences? Exploring the Shape and Direction of the Housing System in the UK Post the Financial Crisis, </w:t>
      </w:r>
      <w:r w:rsidRPr="00EE3847">
        <w:rPr>
          <w:i/>
          <w:sz w:val="24"/>
          <w:szCs w:val="24"/>
        </w:rPr>
        <w:t xml:space="preserve">Housing Studies, </w:t>
      </w:r>
      <w:r w:rsidR="00EE3847" w:rsidRPr="00EE3847">
        <w:rPr>
          <w:sz w:val="24"/>
          <w:szCs w:val="24"/>
        </w:rPr>
        <w:t>26(7-8): 1157-1169.</w:t>
      </w:r>
    </w:p>
    <w:p w14:paraId="0406C573" w14:textId="77777777" w:rsidR="00AF75EB" w:rsidRPr="00EE3847" w:rsidRDefault="00AF75EB" w:rsidP="00AF75EB">
      <w:pPr>
        <w:spacing w:line="360" w:lineRule="auto"/>
        <w:jc w:val="both"/>
        <w:rPr>
          <w:sz w:val="24"/>
          <w:szCs w:val="24"/>
          <w:lang w:val="en-GB"/>
        </w:rPr>
      </w:pPr>
    </w:p>
    <w:sectPr w:rsidR="00AF75EB" w:rsidRPr="00EE3847" w:rsidSect="00AF75EB">
      <w:footerReference w:type="default" r:id="rId13"/>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944093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2EAC15" w14:textId="77777777" w:rsidR="00A4189A" w:rsidRDefault="00A4189A" w:rsidP="00AF75EB">
      <w:pPr>
        <w:spacing w:after="0" w:line="240" w:lineRule="auto"/>
      </w:pPr>
      <w:r>
        <w:separator/>
      </w:r>
    </w:p>
  </w:endnote>
  <w:endnote w:type="continuationSeparator" w:id="0">
    <w:p w14:paraId="57775916" w14:textId="77777777" w:rsidR="00A4189A" w:rsidRDefault="00A4189A" w:rsidP="00AF7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7244612"/>
      <w:docPartObj>
        <w:docPartGallery w:val="Page Numbers (Bottom of Page)"/>
        <w:docPartUnique/>
      </w:docPartObj>
    </w:sdtPr>
    <w:sdtEndPr>
      <w:rPr>
        <w:noProof/>
      </w:rPr>
    </w:sdtEndPr>
    <w:sdtContent>
      <w:p w14:paraId="1DEA077F" w14:textId="00687CF3" w:rsidR="00342E81" w:rsidRDefault="00342E81">
        <w:pPr>
          <w:pStyle w:val="Footer"/>
          <w:jc w:val="center"/>
        </w:pPr>
        <w:r>
          <w:fldChar w:fldCharType="begin"/>
        </w:r>
        <w:r>
          <w:instrText xml:space="preserve"> PAGE   \* MERGEFORMAT </w:instrText>
        </w:r>
        <w:r>
          <w:fldChar w:fldCharType="separate"/>
        </w:r>
        <w:r w:rsidR="00A4189A">
          <w:rPr>
            <w:noProof/>
          </w:rPr>
          <w:t>1</w:t>
        </w:r>
        <w:r>
          <w:rPr>
            <w:noProof/>
          </w:rPr>
          <w:fldChar w:fldCharType="end"/>
        </w:r>
      </w:p>
    </w:sdtContent>
  </w:sdt>
  <w:p w14:paraId="0302B5DA" w14:textId="77777777" w:rsidR="00342E81" w:rsidRDefault="00342E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3B3F0E" w14:textId="77777777" w:rsidR="00A4189A" w:rsidRDefault="00A4189A" w:rsidP="00AF75EB">
      <w:pPr>
        <w:spacing w:after="0" w:line="240" w:lineRule="auto"/>
      </w:pPr>
      <w:r>
        <w:separator/>
      </w:r>
    </w:p>
  </w:footnote>
  <w:footnote w:type="continuationSeparator" w:id="0">
    <w:p w14:paraId="0CCC9045" w14:textId="77777777" w:rsidR="00A4189A" w:rsidRDefault="00A4189A" w:rsidP="00AF75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647E3"/>
    <w:multiLevelType w:val="hybridMultilevel"/>
    <w:tmpl w:val="97F2AF04"/>
    <w:lvl w:ilvl="0" w:tplc="50565296">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
    <w:nsid w:val="16A8560F"/>
    <w:multiLevelType w:val="hybridMultilevel"/>
    <w:tmpl w:val="65EEB96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3A1A4222"/>
    <w:multiLevelType w:val="hybridMultilevel"/>
    <w:tmpl w:val="CD84E5A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540B7070"/>
    <w:multiLevelType w:val="hybridMultilevel"/>
    <w:tmpl w:val="904088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5B81296D"/>
    <w:multiLevelType w:val="hybridMultilevel"/>
    <w:tmpl w:val="6C0EC17E"/>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614A1A83"/>
    <w:multiLevelType w:val="hybridMultilevel"/>
    <w:tmpl w:val="A152623E"/>
    <w:lvl w:ilvl="0" w:tplc="C4D00462">
      <w:numFmt w:val="bullet"/>
      <w:lvlText w:val="-"/>
      <w:lvlJc w:val="left"/>
      <w:pPr>
        <w:ind w:left="720" w:hanging="360"/>
      </w:pPr>
      <w:rPr>
        <w:rFonts w:ascii="Calibri" w:eastAsiaTheme="minorHAnsi" w:hAnsi="Calibri" w:cstheme="minorBidi"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6">
    <w:nsid w:val="75005DC3"/>
    <w:multiLevelType w:val="hybridMultilevel"/>
    <w:tmpl w:val="38A20254"/>
    <w:lvl w:ilvl="0" w:tplc="6ECAB84E">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0"/>
  </w:num>
  <w:num w:numId="6">
    <w:abstractNumId w:val="2"/>
  </w:num>
  <w:num w:numId="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ael Byrne">
    <w15:presenceInfo w15:providerId="None" w15:userId="Michael Byr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5EB"/>
    <w:rsid w:val="000075A9"/>
    <w:rsid w:val="0001112F"/>
    <w:rsid w:val="00011361"/>
    <w:rsid w:val="00023D93"/>
    <w:rsid w:val="00025633"/>
    <w:rsid w:val="000349A3"/>
    <w:rsid w:val="000370AC"/>
    <w:rsid w:val="000377B2"/>
    <w:rsid w:val="0006430B"/>
    <w:rsid w:val="00081D0A"/>
    <w:rsid w:val="000931F9"/>
    <w:rsid w:val="00093FA1"/>
    <w:rsid w:val="000A088C"/>
    <w:rsid w:val="000A0B3C"/>
    <w:rsid w:val="000A1770"/>
    <w:rsid w:val="000A4651"/>
    <w:rsid w:val="000A6BD1"/>
    <w:rsid w:val="000B3684"/>
    <w:rsid w:val="000C07B3"/>
    <w:rsid w:val="000E1A6A"/>
    <w:rsid w:val="000F5484"/>
    <w:rsid w:val="000F5E46"/>
    <w:rsid w:val="00101890"/>
    <w:rsid w:val="001039C4"/>
    <w:rsid w:val="00117EA3"/>
    <w:rsid w:val="00124CE9"/>
    <w:rsid w:val="00143513"/>
    <w:rsid w:val="00145533"/>
    <w:rsid w:val="001505AF"/>
    <w:rsid w:val="00154950"/>
    <w:rsid w:val="00160964"/>
    <w:rsid w:val="00170398"/>
    <w:rsid w:val="001751C3"/>
    <w:rsid w:val="00177BA0"/>
    <w:rsid w:val="00191D30"/>
    <w:rsid w:val="00192643"/>
    <w:rsid w:val="00192771"/>
    <w:rsid w:val="001A4BBF"/>
    <w:rsid w:val="001E0E3D"/>
    <w:rsid w:val="001E3E60"/>
    <w:rsid w:val="001E5378"/>
    <w:rsid w:val="001F6F56"/>
    <w:rsid w:val="0021089D"/>
    <w:rsid w:val="002209E6"/>
    <w:rsid w:val="002223D8"/>
    <w:rsid w:val="002265F1"/>
    <w:rsid w:val="00233837"/>
    <w:rsid w:val="00236AD1"/>
    <w:rsid w:val="002370F3"/>
    <w:rsid w:val="002403F9"/>
    <w:rsid w:val="0024311E"/>
    <w:rsid w:val="0024379A"/>
    <w:rsid w:val="0024701A"/>
    <w:rsid w:val="00255CEB"/>
    <w:rsid w:val="00274B7C"/>
    <w:rsid w:val="00281A2A"/>
    <w:rsid w:val="00286AC4"/>
    <w:rsid w:val="00295974"/>
    <w:rsid w:val="002A60BD"/>
    <w:rsid w:val="002A715C"/>
    <w:rsid w:val="002C170B"/>
    <w:rsid w:val="002C6893"/>
    <w:rsid w:val="002C6AF3"/>
    <w:rsid w:val="002D2F8C"/>
    <w:rsid w:val="002E10A6"/>
    <w:rsid w:val="002E5738"/>
    <w:rsid w:val="002F1004"/>
    <w:rsid w:val="002F2702"/>
    <w:rsid w:val="00311AC6"/>
    <w:rsid w:val="00323792"/>
    <w:rsid w:val="003316B0"/>
    <w:rsid w:val="00342E81"/>
    <w:rsid w:val="00343998"/>
    <w:rsid w:val="0036036B"/>
    <w:rsid w:val="003758D8"/>
    <w:rsid w:val="0037770A"/>
    <w:rsid w:val="00377DCD"/>
    <w:rsid w:val="0038636A"/>
    <w:rsid w:val="00390879"/>
    <w:rsid w:val="003B17A1"/>
    <w:rsid w:val="003B63B8"/>
    <w:rsid w:val="003D3903"/>
    <w:rsid w:val="003E5346"/>
    <w:rsid w:val="004154D2"/>
    <w:rsid w:val="00432D10"/>
    <w:rsid w:val="0043517C"/>
    <w:rsid w:val="00440303"/>
    <w:rsid w:val="004432DA"/>
    <w:rsid w:val="004750DF"/>
    <w:rsid w:val="0049041D"/>
    <w:rsid w:val="004A0FFF"/>
    <w:rsid w:val="004A2B06"/>
    <w:rsid w:val="004C4979"/>
    <w:rsid w:val="004C532C"/>
    <w:rsid w:val="004D1118"/>
    <w:rsid w:val="004D6FB5"/>
    <w:rsid w:val="004E0525"/>
    <w:rsid w:val="004E2BBA"/>
    <w:rsid w:val="0051177C"/>
    <w:rsid w:val="0051797C"/>
    <w:rsid w:val="00517D44"/>
    <w:rsid w:val="00554628"/>
    <w:rsid w:val="00560523"/>
    <w:rsid w:val="00570009"/>
    <w:rsid w:val="00570B06"/>
    <w:rsid w:val="00576844"/>
    <w:rsid w:val="00585830"/>
    <w:rsid w:val="005920EF"/>
    <w:rsid w:val="005A699E"/>
    <w:rsid w:val="005B7212"/>
    <w:rsid w:val="005C25C7"/>
    <w:rsid w:val="005D3924"/>
    <w:rsid w:val="005D672B"/>
    <w:rsid w:val="005D6FB6"/>
    <w:rsid w:val="005D7312"/>
    <w:rsid w:val="005E6866"/>
    <w:rsid w:val="005F0B2D"/>
    <w:rsid w:val="00603363"/>
    <w:rsid w:val="00613A2E"/>
    <w:rsid w:val="00614DE0"/>
    <w:rsid w:val="0065403D"/>
    <w:rsid w:val="006662EA"/>
    <w:rsid w:val="00681E1E"/>
    <w:rsid w:val="00687047"/>
    <w:rsid w:val="006E4CD8"/>
    <w:rsid w:val="00704974"/>
    <w:rsid w:val="0071144B"/>
    <w:rsid w:val="00712A51"/>
    <w:rsid w:val="00713B22"/>
    <w:rsid w:val="007222A5"/>
    <w:rsid w:val="00727532"/>
    <w:rsid w:val="00731A35"/>
    <w:rsid w:val="00735A49"/>
    <w:rsid w:val="00746EC3"/>
    <w:rsid w:val="00747CE4"/>
    <w:rsid w:val="00752B06"/>
    <w:rsid w:val="007566AD"/>
    <w:rsid w:val="00764EE0"/>
    <w:rsid w:val="007849F6"/>
    <w:rsid w:val="007A1B7C"/>
    <w:rsid w:val="007A1C48"/>
    <w:rsid w:val="007B1E57"/>
    <w:rsid w:val="007B441F"/>
    <w:rsid w:val="007C2BBD"/>
    <w:rsid w:val="007D292E"/>
    <w:rsid w:val="007F47A4"/>
    <w:rsid w:val="00804907"/>
    <w:rsid w:val="008076D5"/>
    <w:rsid w:val="00814D4C"/>
    <w:rsid w:val="00836833"/>
    <w:rsid w:val="008421A6"/>
    <w:rsid w:val="008435A3"/>
    <w:rsid w:val="0086334D"/>
    <w:rsid w:val="00873615"/>
    <w:rsid w:val="0088106C"/>
    <w:rsid w:val="008940C5"/>
    <w:rsid w:val="008949D7"/>
    <w:rsid w:val="008A1273"/>
    <w:rsid w:val="008A13FE"/>
    <w:rsid w:val="008D2F94"/>
    <w:rsid w:val="008D69B6"/>
    <w:rsid w:val="008E17A0"/>
    <w:rsid w:val="008E4E24"/>
    <w:rsid w:val="008F2B50"/>
    <w:rsid w:val="0090099F"/>
    <w:rsid w:val="009374C2"/>
    <w:rsid w:val="0094103E"/>
    <w:rsid w:val="0094642B"/>
    <w:rsid w:val="00946665"/>
    <w:rsid w:val="00946AAA"/>
    <w:rsid w:val="009500BC"/>
    <w:rsid w:val="00950706"/>
    <w:rsid w:val="009536EE"/>
    <w:rsid w:val="00954EE0"/>
    <w:rsid w:val="009628C5"/>
    <w:rsid w:val="00990A42"/>
    <w:rsid w:val="00997C11"/>
    <w:rsid w:val="009A52AC"/>
    <w:rsid w:val="009A6F2A"/>
    <w:rsid w:val="009D62EF"/>
    <w:rsid w:val="009F06F1"/>
    <w:rsid w:val="009F0D9B"/>
    <w:rsid w:val="009F45C4"/>
    <w:rsid w:val="009F4F19"/>
    <w:rsid w:val="00A26A2D"/>
    <w:rsid w:val="00A36297"/>
    <w:rsid w:val="00A36756"/>
    <w:rsid w:val="00A37783"/>
    <w:rsid w:val="00A4189A"/>
    <w:rsid w:val="00A440EF"/>
    <w:rsid w:val="00A57687"/>
    <w:rsid w:val="00A671B5"/>
    <w:rsid w:val="00A75BB3"/>
    <w:rsid w:val="00A92FD0"/>
    <w:rsid w:val="00A94B91"/>
    <w:rsid w:val="00A97687"/>
    <w:rsid w:val="00AA2F90"/>
    <w:rsid w:val="00AC3856"/>
    <w:rsid w:val="00AC6756"/>
    <w:rsid w:val="00AD4D8C"/>
    <w:rsid w:val="00AF75EB"/>
    <w:rsid w:val="00B01A28"/>
    <w:rsid w:val="00B160AD"/>
    <w:rsid w:val="00B254EB"/>
    <w:rsid w:val="00B325E7"/>
    <w:rsid w:val="00B33AC5"/>
    <w:rsid w:val="00B34879"/>
    <w:rsid w:val="00B41672"/>
    <w:rsid w:val="00B43DF1"/>
    <w:rsid w:val="00B47871"/>
    <w:rsid w:val="00B70769"/>
    <w:rsid w:val="00B7142B"/>
    <w:rsid w:val="00B72487"/>
    <w:rsid w:val="00B760C5"/>
    <w:rsid w:val="00BB02DD"/>
    <w:rsid w:val="00BC76FF"/>
    <w:rsid w:val="00BE3CB1"/>
    <w:rsid w:val="00C0726B"/>
    <w:rsid w:val="00C0749C"/>
    <w:rsid w:val="00C10024"/>
    <w:rsid w:val="00C210D1"/>
    <w:rsid w:val="00C4055F"/>
    <w:rsid w:val="00C4443B"/>
    <w:rsid w:val="00C5129F"/>
    <w:rsid w:val="00C51BFF"/>
    <w:rsid w:val="00C61430"/>
    <w:rsid w:val="00C741A9"/>
    <w:rsid w:val="00C74738"/>
    <w:rsid w:val="00C82B6F"/>
    <w:rsid w:val="00C840D2"/>
    <w:rsid w:val="00C904BD"/>
    <w:rsid w:val="00C978ED"/>
    <w:rsid w:val="00CB7AFD"/>
    <w:rsid w:val="00CC7315"/>
    <w:rsid w:val="00CD6732"/>
    <w:rsid w:val="00CE013D"/>
    <w:rsid w:val="00CE11D8"/>
    <w:rsid w:val="00CE5C87"/>
    <w:rsid w:val="00D00684"/>
    <w:rsid w:val="00D039F6"/>
    <w:rsid w:val="00D06A20"/>
    <w:rsid w:val="00D1324D"/>
    <w:rsid w:val="00D3373A"/>
    <w:rsid w:val="00D34080"/>
    <w:rsid w:val="00D34B67"/>
    <w:rsid w:val="00D6507B"/>
    <w:rsid w:val="00D67B85"/>
    <w:rsid w:val="00D7493C"/>
    <w:rsid w:val="00D8131B"/>
    <w:rsid w:val="00D85747"/>
    <w:rsid w:val="00DB2BA1"/>
    <w:rsid w:val="00DB2E87"/>
    <w:rsid w:val="00DD1DE7"/>
    <w:rsid w:val="00DD6E57"/>
    <w:rsid w:val="00DF389A"/>
    <w:rsid w:val="00DF788D"/>
    <w:rsid w:val="00E00C08"/>
    <w:rsid w:val="00E16E5C"/>
    <w:rsid w:val="00E30C25"/>
    <w:rsid w:val="00E30C91"/>
    <w:rsid w:val="00E30DE4"/>
    <w:rsid w:val="00E36956"/>
    <w:rsid w:val="00E54608"/>
    <w:rsid w:val="00E66293"/>
    <w:rsid w:val="00E92106"/>
    <w:rsid w:val="00EA3A41"/>
    <w:rsid w:val="00EB3D84"/>
    <w:rsid w:val="00EC4CD6"/>
    <w:rsid w:val="00EE363B"/>
    <w:rsid w:val="00EE3847"/>
    <w:rsid w:val="00EF4AAD"/>
    <w:rsid w:val="00F017F5"/>
    <w:rsid w:val="00F0306A"/>
    <w:rsid w:val="00F0441B"/>
    <w:rsid w:val="00F20CED"/>
    <w:rsid w:val="00F617E1"/>
    <w:rsid w:val="00F7781A"/>
    <w:rsid w:val="00F809DE"/>
    <w:rsid w:val="00F90BD9"/>
    <w:rsid w:val="00FA4DAC"/>
    <w:rsid w:val="00FC1D57"/>
    <w:rsid w:val="00FC6F94"/>
    <w:rsid w:val="00FD2559"/>
    <w:rsid w:val="00FD5202"/>
    <w:rsid w:val="00FD6F7C"/>
    <w:rsid w:val="00FF3F5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C9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5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5EB"/>
    <w:pPr>
      <w:ind w:left="720"/>
      <w:contextualSpacing/>
    </w:pPr>
  </w:style>
  <w:style w:type="character" w:styleId="CommentReference">
    <w:name w:val="annotation reference"/>
    <w:basedOn w:val="DefaultParagraphFont"/>
    <w:uiPriority w:val="99"/>
    <w:semiHidden/>
    <w:unhideWhenUsed/>
    <w:rsid w:val="00AF75EB"/>
    <w:rPr>
      <w:sz w:val="16"/>
      <w:szCs w:val="16"/>
    </w:rPr>
  </w:style>
  <w:style w:type="paragraph" w:styleId="CommentText">
    <w:name w:val="annotation text"/>
    <w:basedOn w:val="Normal"/>
    <w:link w:val="CommentTextChar"/>
    <w:uiPriority w:val="99"/>
    <w:semiHidden/>
    <w:unhideWhenUsed/>
    <w:rsid w:val="00AF75EB"/>
    <w:pPr>
      <w:spacing w:line="240" w:lineRule="auto"/>
    </w:pPr>
    <w:rPr>
      <w:sz w:val="20"/>
      <w:szCs w:val="20"/>
    </w:rPr>
  </w:style>
  <w:style w:type="character" w:customStyle="1" w:styleId="CommentTextChar">
    <w:name w:val="Comment Text Char"/>
    <w:basedOn w:val="DefaultParagraphFont"/>
    <w:link w:val="CommentText"/>
    <w:uiPriority w:val="99"/>
    <w:semiHidden/>
    <w:rsid w:val="00AF75EB"/>
    <w:rPr>
      <w:sz w:val="20"/>
      <w:szCs w:val="20"/>
    </w:rPr>
  </w:style>
  <w:style w:type="paragraph" w:styleId="CommentSubject">
    <w:name w:val="annotation subject"/>
    <w:basedOn w:val="CommentText"/>
    <w:next w:val="CommentText"/>
    <w:link w:val="CommentSubjectChar"/>
    <w:uiPriority w:val="99"/>
    <w:semiHidden/>
    <w:unhideWhenUsed/>
    <w:rsid w:val="00AF75EB"/>
    <w:rPr>
      <w:b/>
      <w:bCs/>
    </w:rPr>
  </w:style>
  <w:style w:type="character" w:customStyle="1" w:styleId="CommentSubjectChar">
    <w:name w:val="Comment Subject Char"/>
    <w:basedOn w:val="CommentTextChar"/>
    <w:link w:val="CommentSubject"/>
    <w:uiPriority w:val="99"/>
    <w:semiHidden/>
    <w:rsid w:val="00AF75EB"/>
    <w:rPr>
      <w:b/>
      <w:bCs/>
      <w:sz w:val="20"/>
      <w:szCs w:val="20"/>
    </w:rPr>
  </w:style>
  <w:style w:type="paragraph" w:styleId="BalloonText">
    <w:name w:val="Balloon Text"/>
    <w:basedOn w:val="Normal"/>
    <w:link w:val="BalloonTextChar"/>
    <w:uiPriority w:val="99"/>
    <w:semiHidden/>
    <w:unhideWhenUsed/>
    <w:rsid w:val="00AF75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5EB"/>
    <w:rPr>
      <w:rFonts w:ascii="Segoe UI" w:hAnsi="Segoe UI" w:cs="Segoe UI"/>
      <w:sz w:val="18"/>
      <w:szCs w:val="18"/>
    </w:rPr>
  </w:style>
  <w:style w:type="paragraph" w:styleId="FootnoteText">
    <w:name w:val="footnote text"/>
    <w:basedOn w:val="Normal"/>
    <w:link w:val="FootnoteTextChar"/>
    <w:uiPriority w:val="99"/>
    <w:semiHidden/>
    <w:unhideWhenUsed/>
    <w:rsid w:val="00AF75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75EB"/>
    <w:rPr>
      <w:sz w:val="20"/>
      <w:szCs w:val="20"/>
    </w:rPr>
  </w:style>
  <w:style w:type="character" w:styleId="FootnoteReference">
    <w:name w:val="footnote reference"/>
    <w:basedOn w:val="DefaultParagraphFont"/>
    <w:uiPriority w:val="99"/>
    <w:semiHidden/>
    <w:unhideWhenUsed/>
    <w:rsid w:val="00AF75EB"/>
    <w:rPr>
      <w:vertAlign w:val="superscript"/>
    </w:rPr>
  </w:style>
  <w:style w:type="paragraph" w:styleId="Header">
    <w:name w:val="header"/>
    <w:basedOn w:val="Normal"/>
    <w:link w:val="HeaderChar"/>
    <w:uiPriority w:val="99"/>
    <w:unhideWhenUsed/>
    <w:rsid w:val="00AF7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5EB"/>
  </w:style>
  <w:style w:type="paragraph" w:styleId="Footer">
    <w:name w:val="footer"/>
    <w:basedOn w:val="Normal"/>
    <w:link w:val="FooterChar"/>
    <w:uiPriority w:val="99"/>
    <w:unhideWhenUsed/>
    <w:rsid w:val="00AF7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5EB"/>
  </w:style>
  <w:style w:type="character" w:styleId="Hyperlink">
    <w:name w:val="Hyperlink"/>
    <w:basedOn w:val="DefaultParagraphFont"/>
    <w:uiPriority w:val="99"/>
    <w:unhideWhenUsed/>
    <w:rsid w:val="00AF75EB"/>
    <w:rPr>
      <w:color w:val="0563C1" w:themeColor="hyperlink"/>
      <w:u w:val="single"/>
    </w:rPr>
  </w:style>
  <w:style w:type="paragraph" w:styleId="Caption">
    <w:name w:val="caption"/>
    <w:basedOn w:val="Normal"/>
    <w:next w:val="Normal"/>
    <w:uiPriority w:val="35"/>
    <w:unhideWhenUsed/>
    <w:qFormat/>
    <w:rsid w:val="002265F1"/>
    <w:pPr>
      <w:spacing w:after="200" w:line="240" w:lineRule="auto"/>
    </w:pPr>
    <w:rPr>
      <w:rFonts w:eastAsiaTheme="minorEastAsia"/>
      <w:i/>
      <w:iCs/>
      <w:color w:val="44546A" w:themeColor="text2"/>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5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5EB"/>
    <w:pPr>
      <w:ind w:left="720"/>
      <w:contextualSpacing/>
    </w:pPr>
  </w:style>
  <w:style w:type="character" w:styleId="CommentReference">
    <w:name w:val="annotation reference"/>
    <w:basedOn w:val="DefaultParagraphFont"/>
    <w:uiPriority w:val="99"/>
    <w:semiHidden/>
    <w:unhideWhenUsed/>
    <w:rsid w:val="00AF75EB"/>
    <w:rPr>
      <w:sz w:val="16"/>
      <w:szCs w:val="16"/>
    </w:rPr>
  </w:style>
  <w:style w:type="paragraph" w:styleId="CommentText">
    <w:name w:val="annotation text"/>
    <w:basedOn w:val="Normal"/>
    <w:link w:val="CommentTextChar"/>
    <w:uiPriority w:val="99"/>
    <w:semiHidden/>
    <w:unhideWhenUsed/>
    <w:rsid w:val="00AF75EB"/>
    <w:pPr>
      <w:spacing w:line="240" w:lineRule="auto"/>
    </w:pPr>
    <w:rPr>
      <w:sz w:val="20"/>
      <w:szCs w:val="20"/>
    </w:rPr>
  </w:style>
  <w:style w:type="character" w:customStyle="1" w:styleId="CommentTextChar">
    <w:name w:val="Comment Text Char"/>
    <w:basedOn w:val="DefaultParagraphFont"/>
    <w:link w:val="CommentText"/>
    <w:uiPriority w:val="99"/>
    <w:semiHidden/>
    <w:rsid w:val="00AF75EB"/>
    <w:rPr>
      <w:sz w:val="20"/>
      <w:szCs w:val="20"/>
    </w:rPr>
  </w:style>
  <w:style w:type="paragraph" w:styleId="CommentSubject">
    <w:name w:val="annotation subject"/>
    <w:basedOn w:val="CommentText"/>
    <w:next w:val="CommentText"/>
    <w:link w:val="CommentSubjectChar"/>
    <w:uiPriority w:val="99"/>
    <w:semiHidden/>
    <w:unhideWhenUsed/>
    <w:rsid w:val="00AF75EB"/>
    <w:rPr>
      <w:b/>
      <w:bCs/>
    </w:rPr>
  </w:style>
  <w:style w:type="character" w:customStyle="1" w:styleId="CommentSubjectChar">
    <w:name w:val="Comment Subject Char"/>
    <w:basedOn w:val="CommentTextChar"/>
    <w:link w:val="CommentSubject"/>
    <w:uiPriority w:val="99"/>
    <w:semiHidden/>
    <w:rsid w:val="00AF75EB"/>
    <w:rPr>
      <w:b/>
      <w:bCs/>
      <w:sz w:val="20"/>
      <w:szCs w:val="20"/>
    </w:rPr>
  </w:style>
  <w:style w:type="paragraph" w:styleId="BalloonText">
    <w:name w:val="Balloon Text"/>
    <w:basedOn w:val="Normal"/>
    <w:link w:val="BalloonTextChar"/>
    <w:uiPriority w:val="99"/>
    <w:semiHidden/>
    <w:unhideWhenUsed/>
    <w:rsid w:val="00AF75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5EB"/>
    <w:rPr>
      <w:rFonts w:ascii="Segoe UI" w:hAnsi="Segoe UI" w:cs="Segoe UI"/>
      <w:sz w:val="18"/>
      <w:szCs w:val="18"/>
    </w:rPr>
  </w:style>
  <w:style w:type="paragraph" w:styleId="FootnoteText">
    <w:name w:val="footnote text"/>
    <w:basedOn w:val="Normal"/>
    <w:link w:val="FootnoteTextChar"/>
    <w:uiPriority w:val="99"/>
    <w:semiHidden/>
    <w:unhideWhenUsed/>
    <w:rsid w:val="00AF75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75EB"/>
    <w:rPr>
      <w:sz w:val="20"/>
      <w:szCs w:val="20"/>
    </w:rPr>
  </w:style>
  <w:style w:type="character" w:styleId="FootnoteReference">
    <w:name w:val="footnote reference"/>
    <w:basedOn w:val="DefaultParagraphFont"/>
    <w:uiPriority w:val="99"/>
    <w:semiHidden/>
    <w:unhideWhenUsed/>
    <w:rsid w:val="00AF75EB"/>
    <w:rPr>
      <w:vertAlign w:val="superscript"/>
    </w:rPr>
  </w:style>
  <w:style w:type="paragraph" w:styleId="Header">
    <w:name w:val="header"/>
    <w:basedOn w:val="Normal"/>
    <w:link w:val="HeaderChar"/>
    <w:uiPriority w:val="99"/>
    <w:unhideWhenUsed/>
    <w:rsid w:val="00AF7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5EB"/>
  </w:style>
  <w:style w:type="paragraph" w:styleId="Footer">
    <w:name w:val="footer"/>
    <w:basedOn w:val="Normal"/>
    <w:link w:val="FooterChar"/>
    <w:uiPriority w:val="99"/>
    <w:unhideWhenUsed/>
    <w:rsid w:val="00AF7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5EB"/>
  </w:style>
  <w:style w:type="character" w:styleId="Hyperlink">
    <w:name w:val="Hyperlink"/>
    <w:basedOn w:val="DefaultParagraphFont"/>
    <w:uiPriority w:val="99"/>
    <w:unhideWhenUsed/>
    <w:rsid w:val="00AF75EB"/>
    <w:rPr>
      <w:color w:val="0563C1" w:themeColor="hyperlink"/>
      <w:u w:val="single"/>
    </w:rPr>
  </w:style>
  <w:style w:type="paragraph" w:styleId="Caption">
    <w:name w:val="caption"/>
    <w:basedOn w:val="Normal"/>
    <w:next w:val="Normal"/>
    <w:uiPriority w:val="35"/>
    <w:unhideWhenUsed/>
    <w:qFormat/>
    <w:rsid w:val="002265F1"/>
    <w:pPr>
      <w:spacing w:after="200" w:line="240" w:lineRule="auto"/>
    </w:pPr>
    <w:rPr>
      <w:rFonts w:eastAsiaTheme="minorEastAsia"/>
      <w:i/>
      <w:iCs/>
      <w:color w:val="44546A" w:themeColor="text2"/>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04761">
      <w:bodyDiv w:val="1"/>
      <w:marLeft w:val="0"/>
      <w:marRight w:val="0"/>
      <w:marTop w:val="0"/>
      <w:marBottom w:val="0"/>
      <w:divBdr>
        <w:top w:val="none" w:sz="0" w:space="0" w:color="auto"/>
        <w:left w:val="none" w:sz="0" w:space="0" w:color="auto"/>
        <w:bottom w:val="none" w:sz="0" w:space="0" w:color="auto"/>
        <w:right w:val="none" w:sz="0" w:space="0" w:color="auto"/>
      </w:divBdr>
    </w:div>
    <w:div w:id="145169896">
      <w:bodyDiv w:val="1"/>
      <w:marLeft w:val="0"/>
      <w:marRight w:val="0"/>
      <w:marTop w:val="0"/>
      <w:marBottom w:val="0"/>
      <w:divBdr>
        <w:top w:val="none" w:sz="0" w:space="0" w:color="auto"/>
        <w:left w:val="none" w:sz="0" w:space="0" w:color="auto"/>
        <w:bottom w:val="none" w:sz="0" w:space="0" w:color="auto"/>
        <w:right w:val="none" w:sz="0" w:space="0" w:color="auto"/>
      </w:divBdr>
    </w:div>
    <w:div w:id="73551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ael.byrne@ucd.ie"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3.xml"/><Relationship Id="rId17" Type="http://schemas.microsoft.com/office/2011/relationships/commentsExtended" Target="commentsExtended.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mailto:michelle.norris@ucd.ie"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stacked"/>
        <c:varyColors val="0"/>
        <c:ser>
          <c:idx val="0"/>
          <c:order val="0"/>
          <c:tx>
            <c:strRef>
              <c:f>Sheet1!$B$1</c:f>
              <c:strCache>
                <c:ptCount val="1"/>
                <c:pt idx="0">
                  <c:v>Public housing</c:v>
                </c:pt>
              </c:strCache>
            </c:strRef>
          </c:tx>
          <c:invertIfNegative val="0"/>
          <c:cat>
            <c:strRef>
              <c:f>Sheet1!$A$2:$A$11</c:f>
              <c:strCache>
                <c:ptCount val="10"/>
                <c:pt idx="0">
                  <c:v>1920s</c:v>
                </c:pt>
                <c:pt idx="1">
                  <c:v>1930s</c:v>
                </c:pt>
                <c:pt idx="2">
                  <c:v>1940s</c:v>
                </c:pt>
                <c:pt idx="3">
                  <c:v>1950s</c:v>
                </c:pt>
                <c:pt idx="4">
                  <c:v>1960s</c:v>
                </c:pt>
                <c:pt idx="5">
                  <c:v>1970s</c:v>
                </c:pt>
                <c:pt idx="6">
                  <c:v>1980s</c:v>
                </c:pt>
                <c:pt idx="7">
                  <c:v>1990s</c:v>
                </c:pt>
                <c:pt idx="8">
                  <c:v>2000-07</c:v>
                </c:pt>
                <c:pt idx="9">
                  <c:v>2008-14</c:v>
                </c:pt>
              </c:strCache>
            </c:strRef>
          </c:cat>
          <c:val>
            <c:numRef>
              <c:f>Sheet1!$B$2:$B$11</c:f>
              <c:numCache>
                <c:formatCode>General</c:formatCode>
                <c:ptCount val="10"/>
                <c:pt idx="0">
                  <c:v>6920</c:v>
                </c:pt>
                <c:pt idx="1">
                  <c:v>38446</c:v>
                </c:pt>
                <c:pt idx="2">
                  <c:v>20958</c:v>
                </c:pt>
                <c:pt idx="3">
                  <c:v>52740</c:v>
                </c:pt>
                <c:pt idx="4">
                  <c:v>29124</c:v>
                </c:pt>
                <c:pt idx="5">
                  <c:v>61953</c:v>
                </c:pt>
                <c:pt idx="6">
                  <c:v>47874</c:v>
                </c:pt>
                <c:pt idx="7">
                  <c:v>28549</c:v>
                </c:pt>
                <c:pt idx="8">
                  <c:v>48962</c:v>
                </c:pt>
                <c:pt idx="9">
                  <c:v>21706</c:v>
                </c:pt>
              </c:numCache>
            </c:numRef>
          </c:val>
          <c:extLst xmlns:c16r2="http://schemas.microsoft.com/office/drawing/2015/06/chart">
            <c:ext xmlns:c16="http://schemas.microsoft.com/office/drawing/2014/chart" uri="{C3380CC4-5D6E-409C-BE32-E72D297353CC}">
              <c16:uniqueId val="{00000000-50BE-495D-A32E-EB1BA4605959}"/>
            </c:ext>
          </c:extLst>
        </c:ser>
        <c:ser>
          <c:idx val="1"/>
          <c:order val="1"/>
          <c:tx>
            <c:strRef>
              <c:f>Sheet1!$C$1</c:f>
              <c:strCache>
                <c:ptCount val="1"/>
                <c:pt idx="0">
                  <c:v>Private housing</c:v>
                </c:pt>
              </c:strCache>
            </c:strRef>
          </c:tx>
          <c:invertIfNegative val="0"/>
          <c:cat>
            <c:strRef>
              <c:f>Sheet1!$A$2:$A$11</c:f>
              <c:strCache>
                <c:ptCount val="10"/>
                <c:pt idx="0">
                  <c:v>1920s</c:v>
                </c:pt>
                <c:pt idx="1">
                  <c:v>1930s</c:v>
                </c:pt>
                <c:pt idx="2">
                  <c:v>1940s</c:v>
                </c:pt>
                <c:pt idx="3">
                  <c:v>1950s</c:v>
                </c:pt>
                <c:pt idx="4">
                  <c:v>1960s</c:v>
                </c:pt>
                <c:pt idx="5">
                  <c:v>1970s</c:v>
                </c:pt>
                <c:pt idx="6">
                  <c:v>1980s</c:v>
                </c:pt>
                <c:pt idx="7">
                  <c:v>1990s</c:v>
                </c:pt>
                <c:pt idx="8">
                  <c:v>2000-07</c:v>
                </c:pt>
                <c:pt idx="9">
                  <c:v>2008-14</c:v>
                </c:pt>
              </c:strCache>
            </c:strRef>
          </c:cat>
          <c:val>
            <c:numRef>
              <c:f>Sheet1!$C$2:$C$11</c:f>
              <c:numCache>
                <c:formatCode>General</c:formatCode>
                <c:ptCount val="10"/>
                <c:pt idx="0">
                  <c:v>10910</c:v>
                </c:pt>
                <c:pt idx="1">
                  <c:v>31657</c:v>
                </c:pt>
                <c:pt idx="2">
                  <c:v>11164</c:v>
                </c:pt>
                <c:pt idx="3">
                  <c:v>49188</c:v>
                </c:pt>
                <c:pt idx="4">
                  <c:v>64835</c:v>
                </c:pt>
                <c:pt idx="5">
                  <c:v>167230</c:v>
                </c:pt>
                <c:pt idx="6">
                  <c:v>185508</c:v>
                </c:pt>
                <c:pt idx="7">
                  <c:v>232162</c:v>
                </c:pt>
                <c:pt idx="8">
                  <c:v>515775</c:v>
                </c:pt>
                <c:pt idx="9">
                  <c:v>101064</c:v>
                </c:pt>
              </c:numCache>
            </c:numRef>
          </c:val>
          <c:extLst xmlns:c16r2="http://schemas.microsoft.com/office/drawing/2015/06/chart">
            <c:ext xmlns:c16="http://schemas.microsoft.com/office/drawing/2014/chart" uri="{C3380CC4-5D6E-409C-BE32-E72D297353CC}">
              <c16:uniqueId val="{00000001-50BE-495D-A32E-EB1BA4605959}"/>
            </c:ext>
          </c:extLst>
        </c:ser>
        <c:ser>
          <c:idx val="2"/>
          <c:order val="2"/>
          <c:tx>
            <c:strRef>
              <c:f>Sheet1!$D$1</c:f>
              <c:strCache>
                <c:ptCount val="1"/>
                <c:pt idx="0">
                  <c:v>Public housing sold to tenants</c:v>
                </c:pt>
              </c:strCache>
            </c:strRef>
          </c:tx>
          <c:invertIfNegative val="0"/>
          <c:cat>
            <c:strRef>
              <c:f>Sheet1!$A$2:$A$11</c:f>
              <c:strCache>
                <c:ptCount val="10"/>
                <c:pt idx="0">
                  <c:v>1920s</c:v>
                </c:pt>
                <c:pt idx="1">
                  <c:v>1930s</c:v>
                </c:pt>
                <c:pt idx="2">
                  <c:v>1940s</c:v>
                </c:pt>
                <c:pt idx="3">
                  <c:v>1950s</c:v>
                </c:pt>
                <c:pt idx="4">
                  <c:v>1960s</c:v>
                </c:pt>
                <c:pt idx="5">
                  <c:v>1970s</c:v>
                </c:pt>
                <c:pt idx="6">
                  <c:v>1980s</c:v>
                </c:pt>
                <c:pt idx="7">
                  <c:v>1990s</c:v>
                </c:pt>
                <c:pt idx="8">
                  <c:v>2000-07</c:v>
                </c:pt>
                <c:pt idx="9">
                  <c:v>2008-14</c:v>
                </c:pt>
              </c:strCache>
            </c:strRef>
          </c:cat>
          <c:val>
            <c:numRef>
              <c:f>Sheet1!$D$2:$D$11</c:f>
              <c:numCache>
                <c:formatCode>General</c:formatCode>
                <c:ptCount val="10"/>
                <c:pt idx="4">
                  <c:v>-8546</c:v>
                </c:pt>
                <c:pt idx="5">
                  <c:v>-54917</c:v>
                </c:pt>
                <c:pt idx="6">
                  <c:v>-45253</c:v>
                </c:pt>
                <c:pt idx="7">
                  <c:v>-18524</c:v>
                </c:pt>
                <c:pt idx="8">
                  <c:v>-12027</c:v>
                </c:pt>
                <c:pt idx="9">
                  <c:v>-2990</c:v>
                </c:pt>
              </c:numCache>
            </c:numRef>
          </c:val>
          <c:extLst xmlns:c16r2="http://schemas.microsoft.com/office/drawing/2015/06/chart">
            <c:ext xmlns:c16="http://schemas.microsoft.com/office/drawing/2014/chart" uri="{C3380CC4-5D6E-409C-BE32-E72D297353CC}">
              <c16:uniqueId val="{00000002-50BE-495D-A32E-EB1BA4605959}"/>
            </c:ext>
          </c:extLst>
        </c:ser>
        <c:dLbls>
          <c:showLegendKey val="0"/>
          <c:showVal val="0"/>
          <c:showCatName val="0"/>
          <c:showSerName val="0"/>
          <c:showPercent val="0"/>
          <c:showBubbleSize val="0"/>
        </c:dLbls>
        <c:gapWidth val="150"/>
        <c:overlap val="100"/>
        <c:axId val="300381312"/>
        <c:axId val="300382848"/>
      </c:barChart>
      <c:catAx>
        <c:axId val="300381312"/>
        <c:scaling>
          <c:orientation val="minMax"/>
        </c:scaling>
        <c:delete val="0"/>
        <c:axPos val="b"/>
        <c:numFmt formatCode="General" sourceLinked="0"/>
        <c:majorTickMark val="out"/>
        <c:minorTickMark val="none"/>
        <c:tickLblPos val="low"/>
        <c:txPr>
          <a:bodyPr rot="0" vert="horz" anchor="b" anchorCtr="1"/>
          <a:lstStyle/>
          <a:p>
            <a:pPr>
              <a:defRPr/>
            </a:pPr>
            <a:endParaRPr lang="en-US"/>
          </a:p>
        </c:txPr>
        <c:crossAx val="300382848"/>
        <c:crosses val="autoZero"/>
        <c:auto val="1"/>
        <c:lblAlgn val="ctr"/>
        <c:lblOffset val="100"/>
        <c:noMultiLvlLbl val="0"/>
      </c:catAx>
      <c:valAx>
        <c:axId val="300382848"/>
        <c:scaling>
          <c:orientation val="minMax"/>
        </c:scaling>
        <c:delete val="0"/>
        <c:axPos val="l"/>
        <c:majorGridlines>
          <c:spPr>
            <a:ln>
              <a:noFill/>
            </a:ln>
          </c:spPr>
        </c:majorGridlines>
        <c:numFmt formatCode="General" sourceLinked="1"/>
        <c:majorTickMark val="out"/>
        <c:minorTickMark val="none"/>
        <c:tickLblPos val="nextTo"/>
        <c:crossAx val="300381312"/>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9"/>
    </mc:Choice>
    <mc:Fallback>
      <c:style val="9"/>
    </mc:Fallback>
  </mc:AlternateContent>
  <c:chart>
    <c:autoTitleDeleted val="0"/>
    <c:plotArea>
      <c:layout/>
      <c:areaChart>
        <c:grouping val="stacked"/>
        <c:varyColors val="0"/>
        <c:ser>
          <c:idx val="0"/>
          <c:order val="0"/>
          <c:tx>
            <c:strRef>
              <c:f>'Tenure summary'!$B$3</c:f>
              <c:strCache>
                <c:ptCount val="1"/>
                <c:pt idx="0">
                  <c:v>% Owner occupied</c:v>
                </c:pt>
              </c:strCache>
            </c:strRef>
          </c:tx>
          <c:spPr>
            <a:solidFill>
              <a:schemeClr val="tx1"/>
            </a:solidFill>
          </c:spPr>
          <c:cat>
            <c:numRef>
              <c:f>'Tenure summary'!$C$2:$J$2</c:f>
              <c:numCache>
                <c:formatCode>General</c:formatCode>
                <c:ptCount val="8"/>
                <c:pt idx="0">
                  <c:v>1946</c:v>
                </c:pt>
                <c:pt idx="1">
                  <c:v>1961</c:v>
                </c:pt>
                <c:pt idx="2">
                  <c:v>1971</c:v>
                </c:pt>
                <c:pt idx="3">
                  <c:v>1981</c:v>
                </c:pt>
                <c:pt idx="4">
                  <c:v>1991</c:v>
                </c:pt>
                <c:pt idx="5">
                  <c:v>2002</c:v>
                </c:pt>
                <c:pt idx="6">
                  <c:v>2006</c:v>
                </c:pt>
                <c:pt idx="7">
                  <c:v>2011</c:v>
                </c:pt>
              </c:numCache>
            </c:numRef>
          </c:cat>
          <c:val>
            <c:numRef>
              <c:f>'Tenure summary'!$C$3:$J$3</c:f>
              <c:numCache>
                <c:formatCode>0.0</c:formatCode>
                <c:ptCount val="8"/>
                <c:pt idx="0" formatCode="General">
                  <c:v>52.6</c:v>
                </c:pt>
                <c:pt idx="1">
                  <c:v>59.811768741074097</c:v>
                </c:pt>
                <c:pt idx="2">
                  <c:v>70.812983918999407</c:v>
                </c:pt>
                <c:pt idx="3">
                  <c:v>74.735207413856273</c:v>
                </c:pt>
                <c:pt idx="4">
                  <c:v>80.012213867391452</c:v>
                </c:pt>
                <c:pt idx="5">
                  <c:v>79.771697365751237</c:v>
                </c:pt>
                <c:pt idx="6">
                  <c:v>77.171875795079984</c:v>
                </c:pt>
                <c:pt idx="7">
                  <c:v>70.13211323852471</c:v>
                </c:pt>
              </c:numCache>
            </c:numRef>
          </c:val>
        </c:ser>
        <c:ser>
          <c:idx val="1"/>
          <c:order val="1"/>
          <c:tx>
            <c:strRef>
              <c:f>'Tenure summary'!$B$4</c:f>
              <c:strCache>
                <c:ptCount val="1"/>
                <c:pt idx="0">
                  <c:v>% Public rented</c:v>
                </c:pt>
              </c:strCache>
            </c:strRef>
          </c:tx>
          <c:spPr>
            <a:solidFill>
              <a:schemeClr val="bg1">
                <a:lumMod val="50000"/>
              </a:schemeClr>
            </a:solidFill>
          </c:spPr>
          <c:cat>
            <c:numRef>
              <c:f>'Tenure summary'!$C$2:$J$2</c:f>
              <c:numCache>
                <c:formatCode>General</c:formatCode>
                <c:ptCount val="8"/>
                <c:pt idx="0">
                  <c:v>1946</c:v>
                </c:pt>
                <c:pt idx="1">
                  <c:v>1961</c:v>
                </c:pt>
                <c:pt idx="2">
                  <c:v>1971</c:v>
                </c:pt>
                <c:pt idx="3">
                  <c:v>1981</c:v>
                </c:pt>
                <c:pt idx="4">
                  <c:v>1991</c:v>
                </c:pt>
                <c:pt idx="5">
                  <c:v>2002</c:v>
                </c:pt>
                <c:pt idx="6">
                  <c:v>2006</c:v>
                </c:pt>
                <c:pt idx="7">
                  <c:v>2011</c:v>
                </c:pt>
              </c:numCache>
            </c:numRef>
          </c:cat>
          <c:val>
            <c:numRef>
              <c:f>'Tenure summary'!$C$4:$J$4</c:f>
              <c:numCache>
                <c:formatCode>0.0</c:formatCode>
                <c:ptCount val="8"/>
                <c:pt idx="0" formatCode="General">
                  <c:v>16.5</c:v>
                </c:pt>
                <c:pt idx="1">
                  <c:v>18.418928388739239</c:v>
                </c:pt>
                <c:pt idx="2">
                  <c:v>15.927848208967923</c:v>
                </c:pt>
                <c:pt idx="3">
                  <c:v>12.519902161478379</c:v>
                </c:pt>
                <c:pt idx="4">
                  <c:v>9.7917802849968378</c:v>
                </c:pt>
                <c:pt idx="5">
                  <c:v>7.1022297229835711</c:v>
                </c:pt>
                <c:pt idx="6">
                  <c:v>11.024331567431263</c:v>
                </c:pt>
                <c:pt idx="7">
                  <c:v>9.6921057735351486</c:v>
                </c:pt>
              </c:numCache>
            </c:numRef>
          </c:val>
        </c:ser>
        <c:ser>
          <c:idx val="2"/>
          <c:order val="2"/>
          <c:tx>
            <c:strRef>
              <c:f>'Tenure summary'!$B$5</c:f>
              <c:strCache>
                <c:ptCount val="1"/>
                <c:pt idx="0">
                  <c:v> % Private rented </c:v>
                </c:pt>
              </c:strCache>
            </c:strRef>
          </c:tx>
          <c:spPr>
            <a:solidFill>
              <a:schemeClr val="bg1">
                <a:lumMod val="75000"/>
              </a:schemeClr>
            </a:solidFill>
          </c:spPr>
          <c:cat>
            <c:numRef>
              <c:f>'Tenure summary'!$C$2:$J$2</c:f>
              <c:numCache>
                <c:formatCode>General</c:formatCode>
                <c:ptCount val="8"/>
                <c:pt idx="0">
                  <c:v>1946</c:v>
                </c:pt>
                <c:pt idx="1">
                  <c:v>1961</c:v>
                </c:pt>
                <c:pt idx="2">
                  <c:v>1971</c:v>
                </c:pt>
                <c:pt idx="3">
                  <c:v>1981</c:v>
                </c:pt>
                <c:pt idx="4">
                  <c:v>1991</c:v>
                </c:pt>
                <c:pt idx="5">
                  <c:v>2002</c:v>
                </c:pt>
                <c:pt idx="6">
                  <c:v>2006</c:v>
                </c:pt>
                <c:pt idx="7">
                  <c:v>2011</c:v>
                </c:pt>
              </c:numCache>
            </c:numRef>
          </c:cat>
          <c:val>
            <c:numRef>
              <c:f>'Tenure summary'!$C$5:$J$5</c:f>
              <c:numCache>
                <c:formatCode>0.0</c:formatCode>
                <c:ptCount val="8"/>
                <c:pt idx="0" formatCode="General">
                  <c:v>26.1</c:v>
                </c:pt>
                <c:pt idx="1">
                  <c:v>17.194065067814702</c:v>
                </c:pt>
                <c:pt idx="2">
                  <c:v>10.86587821549108</c:v>
                </c:pt>
                <c:pt idx="3">
                  <c:v>10.119429775762445</c:v>
                </c:pt>
                <c:pt idx="4">
                  <c:v>8.0591729212423306</c:v>
                </c:pt>
                <c:pt idx="5">
                  <c:v>11.390090406361619</c:v>
                </c:pt>
                <c:pt idx="6">
                  <c:v>10.270101035229464</c:v>
                </c:pt>
                <c:pt idx="7">
                  <c:v>18.624478091109467</c:v>
                </c:pt>
              </c:numCache>
            </c:numRef>
          </c:val>
        </c:ser>
        <c:ser>
          <c:idx val="3"/>
          <c:order val="3"/>
          <c:tx>
            <c:strRef>
              <c:f>'Tenure summary'!$B$6</c:f>
              <c:strCache>
                <c:ptCount val="1"/>
                <c:pt idx="0">
                  <c:v>% Other</c:v>
                </c:pt>
              </c:strCache>
            </c:strRef>
          </c:tx>
          <c:spPr>
            <a:solidFill>
              <a:schemeClr val="bg1">
                <a:lumMod val="95000"/>
              </a:schemeClr>
            </a:solidFill>
          </c:spPr>
          <c:cat>
            <c:numRef>
              <c:f>'Tenure summary'!$C$2:$J$2</c:f>
              <c:numCache>
                <c:formatCode>General</c:formatCode>
                <c:ptCount val="8"/>
                <c:pt idx="0">
                  <c:v>1946</c:v>
                </c:pt>
                <c:pt idx="1">
                  <c:v>1961</c:v>
                </c:pt>
                <c:pt idx="2">
                  <c:v>1971</c:v>
                </c:pt>
                <c:pt idx="3">
                  <c:v>1981</c:v>
                </c:pt>
                <c:pt idx="4">
                  <c:v>1991</c:v>
                </c:pt>
                <c:pt idx="5">
                  <c:v>2002</c:v>
                </c:pt>
                <c:pt idx="6">
                  <c:v>2006</c:v>
                </c:pt>
                <c:pt idx="7">
                  <c:v>2011</c:v>
                </c:pt>
              </c:numCache>
            </c:numRef>
          </c:cat>
          <c:val>
            <c:numRef>
              <c:f>'Tenure summary'!$C$6:$J$6</c:f>
              <c:numCache>
                <c:formatCode>0.0</c:formatCode>
                <c:ptCount val="8"/>
                <c:pt idx="0" formatCode="General">
                  <c:v>4.7</c:v>
                </c:pt>
                <c:pt idx="1">
                  <c:v>4.5752378023719622</c:v>
                </c:pt>
                <c:pt idx="2">
                  <c:v>2.3932896565415924</c:v>
                </c:pt>
                <c:pt idx="3">
                  <c:v>2.625460648902902</c:v>
                </c:pt>
                <c:pt idx="4">
                  <c:v>2.1368329263693835</c:v>
                </c:pt>
                <c:pt idx="5">
                  <c:v>1.7359825049035869</c:v>
                </c:pt>
                <c:pt idx="6">
                  <c:v>1.5336916022592992</c:v>
                </c:pt>
                <c:pt idx="7">
                  <c:v>1.5513028968306728</c:v>
                </c:pt>
              </c:numCache>
            </c:numRef>
          </c:val>
        </c:ser>
        <c:dLbls>
          <c:showLegendKey val="0"/>
          <c:showVal val="0"/>
          <c:showCatName val="0"/>
          <c:showSerName val="0"/>
          <c:showPercent val="0"/>
          <c:showBubbleSize val="0"/>
        </c:dLbls>
        <c:axId val="300393216"/>
        <c:axId val="300394752"/>
      </c:areaChart>
      <c:catAx>
        <c:axId val="300393216"/>
        <c:scaling>
          <c:orientation val="minMax"/>
        </c:scaling>
        <c:delete val="0"/>
        <c:axPos val="b"/>
        <c:numFmt formatCode="General" sourceLinked="1"/>
        <c:majorTickMark val="out"/>
        <c:minorTickMark val="none"/>
        <c:tickLblPos val="nextTo"/>
        <c:crossAx val="300394752"/>
        <c:crosses val="autoZero"/>
        <c:auto val="1"/>
        <c:lblAlgn val="ctr"/>
        <c:lblOffset val="100"/>
        <c:noMultiLvlLbl val="0"/>
      </c:catAx>
      <c:valAx>
        <c:axId val="300394752"/>
        <c:scaling>
          <c:orientation val="minMax"/>
          <c:max val="100"/>
        </c:scaling>
        <c:delete val="0"/>
        <c:axPos val="l"/>
        <c:majorGridlines/>
        <c:numFmt formatCode="0" sourceLinked="0"/>
        <c:majorTickMark val="out"/>
        <c:minorTickMark val="none"/>
        <c:tickLblPos val="nextTo"/>
        <c:crossAx val="300393216"/>
        <c:crosses val="autoZero"/>
        <c:crossBetween val="midCat"/>
      </c:valAx>
    </c:plotArea>
    <c:legend>
      <c:legendPos val="b"/>
      <c:overlay val="0"/>
      <c:spPr>
        <a:ln>
          <a:solidFill>
            <a:schemeClr val="accent1"/>
          </a:solidFill>
        </a:ln>
      </c:spPr>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9.5941488622333426E-2"/>
          <c:y val="0.17579831468434867"/>
          <c:w val="0.82650755104210105"/>
          <c:h val="0.63048404475756314"/>
        </c:manualLayout>
      </c:layout>
      <c:lineChart>
        <c:grouping val="standard"/>
        <c:varyColors val="0"/>
        <c:ser>
          <c:idx val="1"/>
          <c:order val="1"/>
          <c:tx>
            <c:strRef>
              <c:f>Sheet1!$C$1</c:f>
              <c:strCache>
                <c:ptCount val="1"/>
                <c:pt idx="0">
                  <c:v>House Prices</c:v>
                </c:pt>
              </c:strCache>
            </c:strRef>
          </c:tx>
          <c:cat>
            <c:numRef>
              <c:f>Sheet1!$A$2:$A$26</c:f>
              <c:numCache>
                <c:formatCode>General</c:formatCode>
                <c:ptCount val="25"/>
                <c:pt idx="0">
                  <c:v>1990</c:v>
                </c:pt>
                <c:pt idx="1">
                  <c:v>1991</c:v>
                </c:pt>
                <c:pt idx="2">
                  <c:v>1992</c:v>
                </c:pt>
                <c:pt idx="3">
                  <c:v>1993</c:v>
                </c:pt>
                <c:pt idx="4">
                  <c:v>1993</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numCache>
            </c:numRef>
          </c:cat>
          <c:val>
            <c:numRef>
              <c:f>Sheet1!$C$2:$C$26</c:f>
              <c:numCache>
                <c:formatCode>General</c:formatCode>
                <c:ptCount val="25"/>
                <c:pt idx="0">
                  <c:v>127928.6508778969</c:v>
                </c:pt>
                <c:pt idx="1">
                  <c:v>65517.849977906553</c:v>
                </c:pt>
                <c:pt idx="2">
                  <c:v>67297.387894825049</c:v>
                </c:pt>
                <c:pt idx="3">
                  <c:v>68309.369143333111</c:v>
                </c:pt>
                <c:pt idx="4">
                  <c:v>71304.681270347559</c:v>
                </c:pt>
                <c:pt idx="5">
                  <c:v>76153.176122829376</c:v>
                </c:pt>
                <c:pt idx="6">
                  <c:v>86415.199272694023</c:v>
                </c:pt>
                <c:pt idx="7">
                  <c:v>102466.59319115651</c:v>
                </c:pt>
                <c:pt idx="8">
                  <c:v>129915.15610159936</c:v>
                </c:pt>
                <c:pt idx="9">
                  <c:v>155918.75707878979</c:v>
                </c:pt>
                <c:pt idx="10">
                  <c:v>179870.5</c:v>
                </c:pt>
                <c:pt idx="11">
                  <c:v>194490</c:v>
                </c:pt>
                <c:pt idx="12">
                  <c:v>212943</c:v>
                </c:pt>
                <c:pt idx="13">
                  <c:v>244732.5</c:v>
                </c:pt>
                <c:pt idx="14">
                  <c:v>271929</c:v>
                </c:pt>
                <c:pt idx="15">
                  <c:v>303310</c:v>
                </c:pt>
                <c:pt idx="16">
                  <c:v>338542</c:v>
                </c:pt>
                <c:pt idx="17">
                  <c:v>350242</c:v>
                </c:pt>
                <c:pt idx="18">
                  <c:v>327036.5</c:v>
                </c:pt>
                <c:pt idx="19">
                  <c:v>258641.5</c:v>
                </c:pt>
                <c:pt idx="20">
                  <c:v>251196.5</c:v>
                </c:pt>
                <c:pt idx="21">
                  <c:v>245345</c:v>
                </c:pt>
                <c:pt idx="22">
                  <c:v>234773.5</c:v>
                </c:pt>
                <c:pt idx="23">
                  <c:v>242064</c:v>
                </c:pt>
                <c:pt idx="24">
                  <c:v>254006</c:v>
                </c:pt>
              </c:numCache>
            </c:numRef>
          </c:val>
          <c:smooth val="0"/>
        </c:ser>
        <c:dLbls>
          <c:showLegendKey val="0"/>
          <c:showVal val="0"/>
          <c:showCatName val="0"/>
          <c:showSerName val="0"/>
          <c:showPercent val="0"/>
          <c:showBubbleSize val="0"/>
        </c:dLbls>
        <c:marker val="1"/>
        <c:smooth val="0"/>
        <c:axId val="310324608"/>
        <c:axId val="310342784"/>
      </c:lineChart>
      <c:lineChart>
        <c:grouping val="standard"/>
        <c:varyColors val="0"/>
        <c:ser>
          <c:idx val="0"/>
          <c:order val="0"/>
          <c:tx>
            <c:strRef>
              <c:f>Sheet1!$B$1</c:f>
              <c:strCache>
                <c:ptCount val="1"/>
                <c:pt idx="0">
                  <c:v>Spending on new public housing</c:v>
                </c:pt>
              </c:strCache>
            </c:strRef>
          </c:tx>
          <c:cat>
            <c:numRef>
              <c:f>Sheet1!$A$2:$A$26</c:f>
              <c:numCache>
                <c:formatCode>General</c:formatCode>
                <c:ptCount val="25"/>
                <c:pt idx="0">
                  <c:v>1990</c:v>
                </c:pt>
                <c:pt idx="1">
                  <c:v>1991</c:v>
                </c:pt>
                <c:pt idx="2">
                  <c:v>1992</c:v>
                </c:pt>
                <c:pt idx="3">
                  <c:v>1993</c:v>
                </c:pt>
                <c:pt idx="4">
                  <c:v>1993</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numCache>
            </c:numRef>
          </c:cat>
          <c:val>
            <c:numRef>
              <c:f>Sheet1!$B$2:$B$26</c:f>
              <c:numCache>
                <c:formatCode>General</c:formatCode>
                <c:ptCount val="25"/>
                <c:pt idx="0">
                  <c:v>139.06399999999999</c:v>
                </c:pt>
                <c:pt idx="1">
                  <c:v>54.02</c:v>
                </c:pt>
                <c:pt idx="2">
                  <c:v>64.742000000000004</c:v>
                </c:pt>
                <c:pt idx="3">
                  <c:v>104.85199999999999</c:v>
                </c:pt>
                <c:pt idx="4">
                  <c:v>186.202</c:v>
                </c:pt>
                <c:pt idx="5">
                  <c:v>232.036</c:v>
                </c:pt>
                <c:pt idx="6">
                  <c:v>241.19199999999998</c:v>
                </c:pt>
                <c:pt idx="7">
                  <c:v>261.04500000000002</c:v>
                </c:pt>
                <c:pt idx="8">
                  <c:v>296.84699999999998</c:v>
                </c:pt>
                <c:pt idx="9">
                  <c:v>348.048</c:v>
                </c:pt>
                <c:pt idx="10">
                  <c:v>517.46699999999998</c:v>
                </c:pt>
                <c:pt idx="11">
                  <c:v>823.96299999999997</c:v>
                </c:pt>
                <c:pt idx="12">
                  <c:v>961.95799999999997</c:v>
                </c:pt>
                <c:pt idx="13">
                  <c:v>890.39200000000005</c:v>
                </c:pt>
                <c:pt idx="14">
                  <c:v>913.18500000000006</c:v>
                </c:pt>
                <c:pt idx="15">
                  <c:v>999.45799999999997</c:v>
                </c:pt>
                <c:pt idx="16">
                  <c:v>1120.538</c:v>
                </c:pt>
                <c:pt idx="17">
                  <c:v>1055.039</c:v>
                </c:pt>
                <c:pt idx="18">
                  <c:v>1437.8009999999999</c:v>
                </c:pt>
                <c:pt idx="19">
                  <c:v>1057.992</c:v>
                </c:pt>
                <c:pt idx="20">
                  <c:v>685.72800000000007</c:v>
                </c:pt>
                <c:pt idx="21">
                  <c:v>315.24799999999999</c:v>
                </c:pt>
                <c:pt idx="22">
                  <c:v>280.07900000000001</c:v>
                </c:pt>
                <c:pt idx="23">
                  <c:v>189.25599999999997</c:v>
                </c:pt>
                <c:pt idx="24">
                  <c:v>177.02699999999999</c:v>
                </c:pt>
              </c:numCache>
            </c:numRef>
          </c:val>
          <c:smooth val="0"/>
        </c:ser>
        <c:dLbls>
          <c:showLegendKey val="0"/>
          <c:showVal val="0"/>
          <c:showCatName val="0"/>
          <c:showSerName val="0"/>
          <c:showPercent val="0"/>
          <c:showBubbleSize val="0"/>
        </c:dLbls>
        <c:marker val="1"/>
        <c:smooth val="0"/>
        <c:axId val="310346880"/>
        <c:axId val="310344704"/>
      </c:lineChart>
      <c:catAx>
        <c:axId val="310324608"/>
        <c:scaling>
          <c:orientation val="minMax"/>
        </c:scaling>
        <c:delete val="0"/>
        <c:axPos val="b"/>
        <c:numFmt formatCode="General" sourceLinked="1"/>
        <c:majorTickMark val="out"/>
        <c:minorTickMark val="none"/>
        <c:tickLblPos val="nextTo"/>
        <c:crossAx val="310342784"/>
        <c:crosses val="autoZero"/>
        <c:auto val="1"/>
        <c:lblAlgn val="ctr"/>
        <c:lblOffset val="100"/>
        <c:noMultiLvlLbl val="0"/>
      </c:catAx>
      <c:valAx>
        <c:axId val="310342784"/>
        <c:scaling>
          <c:orientation val="minMax"/>
        </c:scaling>
        <c:delete val="0"/>
        <c:axPos val="l"/>
        <c:majorGridlines>
          <c:spPr>
            <a:ln>
              <a:noFill/>
            </a:ln>
          </c:spPr>
        </c:majorGridlines>
        <c:title>
          <c:tx>
            <c:rich>
              <a:bodyPr rot="0" vert="horz"/>
              <a:lstStyle/>
              <a:p>
                <a:pPr>
                  <a:defRPr/>
                </a:pPr>
                <a:r>
                  <a:rPr lang="en-US"/>
                  <a:t>House prices (€)</a:t>
                </a:r>
              </a:p>
            </c:rich>
          </c:tx>
          <c:layout>
            <c:manualLayout>
              <c:xMode val="edge"/>
              <c:yMode val="edge"/>
              <c:x val="2.4922118380062305E-2"/>
              <c:y val="7.4891007045172001E-2"/>
            </c:manualLayout>
          </c:layout>
          <c:overlay val="0"/>
        </c:title>
        <c:numFmt formatCode="General" sourceLinked="1"/>
        <c:majorTickMark val="out"/>
        <c:minorTickMark val="none"/>
        <c:tickLblPos val="nextTo"/>
        <c:crossAx val="310324608"/>
        <c:crosses val="autoZero"/>
        <c:crossBetween val="between"/>
      </c:valAx>
      <c:valAx>
        <c:axId val="310344704"/>
        <c:scaling>
          <c:orientation val="minMax"/>
        </c:scaling>
        <c:delete val="0"/>
        <c:axPos val="r"/>
        <c:title>
          <c:tx>
            <c:rich>
              <a:bodyPr rot="0" vert="horz"/>
              <a:lstStyle/>
              <a:p>
                <a:pPr>
                  <a:defRPr/>
                </a:pPr>
                <a:r>
                  <a:rPr lang="en-US"/>
                  <a:t>Public Housing Spending (€m)</a:t>
                </a:r>
              </a:p>
            </c:rich>
          </c:tx>
          <c:layout>
            <c:manualLayout>
              <c:xMode val="edge"/>
              <c:yMode val="edge"/>
              <c:x val="0.85195231437191843"/>
              <c:y val="2.891753004558641E-2"/>
            </c:manualLayout>
          </c:layout>
          <c:overlay val="0"/>
        </c:title>
        <c:numFmt formatCode="General" sourceLinked="1"/>
        <c:majorTickMark val="out"/>
        <c:minorTickMark val="none"/>
        <c:tickLblPos val="nextTo"/>
        <c:crossAx val="310346880"/>
        <c:crosses val="max"/>
        <c:crossBetween val="between"/>
      </c:valAx>
      <c:catAx>
        <c:axId val="310346880"/>
        <c:scaling>
          <c:orientation val="minMax"/>
        </c:scaling>
        <c:delete val="1"/>
        <c:axPos val="b"/>
        <c:numFmt formatCode="General" sourceLinked="1"/>
        <c:majorTickMark val="out"/>
        <c:minorTickMark val="none"/>
        <c:tickLblPos val="nextTo"/>
        <c:crossAx val="31034470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10265</Words>
  <Characters>58513</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UCD Staff ONLY!</Company>
  <LinksUpToDate>false</LinksUpToDate>
  <CharactersWithSpaces>68641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Byrne</dc:creator>
  <cp:lastModifiedBy>michelle</cp:lastModifiedBy>
  <cp:revision>2</cp:revision>
  <cp:lastPrinted>2016-07-04T16:20:00Z</cp:lastPrinted>
  <dcterms:created xsi:type="dcterms:W3CDTF">2018-01-05T12:01:00Z</dcterms:created>
  <dcterms:modified xsi:type="dcterms:W3CDTF">2018-01-05T12:01:00Z</dcterms:modified>
</cp:coreProperties>
</file>