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03123" w14:textId="77777777" w:rsidR="001F3B9D" w:rsidRDefault="001F3B9D" w:rsidP="00773968">
      <w:pPr>
        <w:spacing w:line="480" w:lineRule="auto"/>
        <w:jc w:val="center"/>
        <w:rPr>
          <w:i/>
        </w:rPr>
      </w:pPr>
      <w:bookmarkStart w:id="0" w:name="_GoBack"/>
      <w:bookmarkEnd w:id="0"/>
    </w:p>
    <w:p w14:paraId="31942F7B" w14:textId="77777777" w:rsidR="00925557" w:rsidRDefault="00925557" w:rsidP="00773968">
      <w:pPr>
        <w:spacing w:line="480" w:lineRule="auto"/>
        <w:jc w:val="center"/>
        <w:rPr>
          <w:i/>
        </w:rPr>
      </w:pPr>
    </w:p>
    <w:p w14:paraId="4179C290" w14:textId="77777777" w:rsidR="001F3B9D" w:rsidRDefault="001F3B9D" w:rsidP="00773968">
      <w:pPr>
        <w:spacing w:line="480" w:lineRule="auto"/>
        <w:jc w:val="center"/>
        <w:rPr>
          <w:i/>
        </w:rPr>
      </w:pPr>
    </w:p>
    <w:p w14:paraId="7BAAD8CD" w14:textId="77777777" w:rsidR="00925557" w:rsidRDefault="00925557" w:rsidP="00773968">
      <w:pPr>
        <w:spacing w:line="480" w:lineRule="auto"/>
        <w:jc w:val="center"/>
        <w:rPr>
          <w:i/>
        </w:rPr>
      </w:pPr>
    </w:p>
    <w:p w14:paraId="5C49F82A" w14:textId="71A70675" w:rsidR="00315103" w:rsidRPr="009F6B3F" w:rsidRDefault="00315103" w:rsidP="00B5229A">
      <w:pPr>
        <w:spacing w:line="480" w:lineRule="auto"/>
        <w:jc w:val="center"/>
        <w:outlineLvl w:val="0"/>
      </w:pPr>
      <w:r w:rsidRPr="009F6B3F">
        <w:t>False Memories for Fake News during Ireland’s Abortion Referendum</w:t>
      </w:r>
    </w:p>
    <w:p w14:paraId="1A086798" w14:textId="77777777" w:rsidR="001F3B9D" w:rsidRPr="009F6B3F" w:rsidRDefault="0044454A" w:rsidP="00773968">
      <w:pPr>
        <w:spacing w:line="480" w:lineRule="auto"/>
        <w:jc w:val="center"/>
        <w:rPr>
          <w:vertAlign w:val="superscript"/>
        </w:rPr>
      </w:pPr>
      <w:r w:rsidRPr="009F6B3F">
        <w:t>Gillian Murphy</w:t>
      </w:r>
      <w:r w:rsidRPr="009F6B3F">
        <w:rPr>
          <w:vertAlign w:val="superscript"/>
        </w:rPr>
        <w:t>1</w:t>
      </w:r>
    </w:p>
    <w:p w14:paraId="6ECAFCD0" w14:textId="00406E5A" w:rsidR="001F3B9D" w:rsidRPr="009F6B3F" w:rsidRDefault="0044454A" w:rsidP="00773968">
      <w:pPr>
        <w:spacing w:line="480" w:lineRule="auto"/>
        <w:jc w:val="center"/>
        <w:rPr>
          <w:vertAlign w:val="superscript"/>
        </w:rPr>
      </w:pPr>
      <w:r w:rsidRPr="009F6B3F">
        <w:t>Elizabeth Loftus</w:t>
      </w:r>
      <w:r w:rsidRPr="009F6B3F">
        <w:rPr>
          <w:vertAlign w:val="superscript"/>
        </w:rPr>
        <w:t>2</w:t>
      </w:r>
    </w:p>
    <w:p w14:paraId="0CABCFD0" w14:textId="0CC0A6FC" w:rsidR="001F3B9D" w:rsidRPr="009F6B3F" w:rsidRDefault="0044454A" w:rsidP="00B5229A">
      <w:pPr>
        <w:spacing w:line="480" w:lineRule="auto"/>
        <w:jc w:val="center"/>
        <w:outlineLvl w:val="0"/>
        <w:rPr>
          <w:vertAlign w:val="superscript"/>
        </w:rPr>
      </w:pPr>
      <w:r w:rsidRPr="009F6B3F">
        <w:t>Rebecca Hofstein Grady</w:t>
      </w:r>
      <w:r w:rsidRPr="009F6B3F">
        <w:rPr>
          <w:vertAlign w:val="superscript"/>
        </w:rPr>
        <w:t>2</w:t>
      </w:r>
    </w:p>
    <w:p w14:paraId="5080CD89" w14:textId="61608AFE" w:rsidR="001F3B9D" w:rsidRPr="009F6B3F" w:rsidRDefault="0044454A" w:rsidP="00B5229A">
      <w:pPr>
        <w:spacing w:line="480" w:lineRule="auto"/>
        <w:jc w:val="center"/>
        <w:outlineLvl w:val="0"/>
      </w:pPr>
      <w:r w:rsidRPr="009F6B3F">
        <w:t>Linda J. Levine</w:t>
      </w:r>
      <w:r w:rsidRPr="009F6B3F">
        <w:rPr>
          <w:vertAlign w:val="superscript"/>
        </w:rPr>
        <w:t>2</w:t>
      </w:r>
    </w:p>
    <w:p w14:paraId="7F4E545A" w14:textId="7C3C7E6D" w:rsidR="0044454A" w:rsidRPr="009F6B3F" w:rsidRDefault="0044454A" w:rsidP="00B5229A">
      <w:pPr>
        <w:spacing w:line="480" w:lineRule="auto"/>
        <w:jc w:val="center"/>
        <w:outlineLvl w:val="0"/>
      </w:pPr>
      <w:r w:rsidRPr="009F6B3F">
        <w:t>Ciara M. Greene</w:t>
      </w:r>
      <w:r w:rsidRPr="009F6B3F">
        <w:rPr>
          <w:vertAlign w:val="superscript"/>
        </w:rPr>
        <w:t>3</w:t>
      </w:r>
      <w:r w:rsidRPr="009F6B3F">
        <w:t>.</w:t>
      </w:r>
    </w:p>
    <w:p w14:paraId="55169C2F" w14:textId="77777777" w:rsidR="0044454A" w:rsidRPr="009F6B3F" w:rsidRDefault="0044454A" w:rsidP="00773968">
      <w:pPr>
        <w:spacing w:line="480" w:lineRule="auto"/>
      </w:pPr>
    </w:p>
    <w:p w14:paraId="644C262F" w14:textId="77777777" w:rsidR="00925557" w:rsidRPr="009F6B3F" w:rsidRDefault="00925557" w:rsidP="00773968">
      <w:pPr>
        <w:spacing w:line="480" w:lineRule="auto"/>
      </w:pPr>
    </w:p>
    <w:p w14:paraId="5861C0B3" w14:textId="77777777" w:rsidR="00925557" w:rsidRPr="009F6B3F" w:rsidRDefault="00925557" w:rsidP="00773968">
      <w:pPr>
        <w:spacing w:line="480" w:lineRule="auto"/>
      </w:pPr>
    </w:p>
    <w:p w14:paraId="2CD2E47C" w14:textId="77777777" w:rsidR="00925557" w:rsidRPr="00773968" w:rsidRDefault="00925557" w:rsidP="00773968">
      <w:pPr>
        <w:spacing w:line="480" w:lineRule="auto"/>
      </w:pPr>
    </w:p>
    <w:p w14:paraId="48597C40" w14:textId="2DD3DAFA" w:rsidR="0044454A" w:rsidRPr="00773968" w:rsidRDefault="0044454A" w:rsidP="00773968">
      <w:pPr>
        <w:spacing w:line="480" w:lineRule="auto"/>
      </w:pPr>
      <w:r w:rsidRPr="00773968">
        <w:rPr>
          <w:vertAlign w:val="superscript"/>
        </w:rPr>
        <w:t>1</w:t>
      </w:r>
      <w:r w:rsidRPr="00773968">
        <w:t>School of Applied Psychology, University College Cork, Ireland.</w:t>
      </w:r>
    </w:p>
    <w:p w14:paraId="5D201BAD" w14:textId="74B55C84" w:rsidR="0044454A" w:rsidRPr="00773968" w:rsidRDefault="0044454A" w:rsidP="00773968">
      <w:pPr>
        <w:spacing w:line="480" w:lineRule="auto"/>
      </w:pPr>
      <w:r w:rsidRPr="00773968">
        <w:rPr>
          <w:vertAlign w:val="superscript"/>
        </w:rPr>
        <w:t>2</w:t>
      </w:r>
      <w:r w:rsidRPr="00773968">
        <w:t>Department of Psycholog</w:t>
      </w:r>
      <w:r w:rsidR="00AD7150" w:rsidRPr="00773968">
        <w:t>ical Science</w:t>
      </w:r>
      <w:r w:rsidRPr="00773968">
        <w:t>, University of California, Irvine, CA, USA.</w:t>
      </w:r>
    </w:p>
    <w:p w14:paraId="594F6F51" w14:textId="77777777" w:rsidR="00C2646A" w:rsidRPr="00773968" w:rsidRDefault="0044454A" w:rsidP="00773968">
      <w:pPr>
        <w:spacing w:line="480" w:lineRule="auto"/>
      </w:pPr>
      <w:r w:rsidRPr="00773968">
        <w:rPr>
          <w:vertAlign w:val="superscript"/>
        </w:rPr>
        <w:t>3</w:t>
      </w:r>
      <w:r w:rsidRPr="00773968">
        <w:t>School of Psychology, University College Dublin, Ireland.</w:t>
      </w:r>
    </w:p>
    <w:p w14:paraId="3ED91E0C" w14:textId="77777777" w:rsidR="00622C48" w:rsidRDefault="00622C48" w:rsidP="00622C48">
      <w:pPr>
        <w:spacing w:line="480" w:lineRule="auto"/>
      </w:pPr>
    </w:p>
    <w:p w14:paraId="3E9F8BA7" w14:textId="1953CC81" w:rsidR="00C2646A" w:rsidRPr="00773968" w:rsidRDefault="00925557" w:rsidP="00622C48">
      <w:pPr>
        <w:spacing w:line="480" w:lineRule="auto"/>
      </w:pPr>
      <w:r w:rsidRPr="00E6524F">
        <w:t>Correspond</w:t>
      </w:r>
      <w:r>
        <w:t>ence</w:t>
      </w:r>
      <w:r w:rsidR="001F3B9D">
        <w:t xml:space="preserve"> may be sent to </w:t>
      </w:r>
      <w:r w:rsidR="00141702" w:rsidRPr="00773968">
        <w:t>Gillian Murphy</w:t>
      </w:r>
      <w:r w:rsidR="001F3B9D">
        <w:t xml:space="preserve">, Ph.D., </w:t>
      </w:r>
      <w:r w:rsidR="00141702" w:rsidRPr="00773968">
        <w:t>School of Applied Psychology</w:t>
      </w:r>
      <w:r w:rsidR="001F3B9D">
        <w:t xml:space="preserve">, </w:t>
      </w:r>
      <w:r w:rsidR="00141702" w:rsidRPr="00773968">
        <w:t>University College Cork</w:t>
      </w:r>
      <w:r w:rsidR="001F3B9D">
        <w:t xml:space="preserve">, </w:t>
      </w:r>
      <w:r w:rsidR="00141702" w:rsidRPr="00773968">
        <w:t>Cork,</w:t>
      </w:r>
      <w:r w:rsidR="001F3B9D">
        <w:t xml:space="preserve"> </w:t>
      </w:r>
      <w:r w:rsidR="00141702" w:rsidRPr="00773968">
        <w:t>Ireland</w:t>
      </w:r>
      <w:r w:rsidR="001F3B9D">
        <w:t xml:space="preserve">. </w:t>
      </w:r>
      <w:hyperlink r:id="rId8" w:history="1">
        <w:r w:rsidR="00141702" w:rsidRPr="00773968">
          <w:rPr>
            <w:rStyle w:val="Hyperlink"/>
          </w:rPr>
          <w:t>gillian.murphy@ucc.ie</w:t>
        </w:r>
      </w:hyperlink>
      <w:r w:rsidR="001F3B9D">
        <w:rPr>
          <w:rStyle w:val="Hyperlink"/>
        </w:rPr>
        <w:t xml:space="preserve">. </w:t>
      </w:r>
      <w:r w:rsidR="000C5586" w:rsidRPr="00773968">
        <w:t>Tel: 00353 21 4890 4507</w:t>
      </w:r>
      <w:r w:rsidR="00C2646A" w:rsidRPr="00773968">
        <w:br w:type="page"/>
      </w:r>
    </w:p>
    <w:p w14:paraId="09BD4895" w14:textId="77777777" w:rsidR="00C2646A" w:rsidRPr="00773968" w:rsidRDefault="00C2646A" w:rsidP="00B5229A">
      <w:pPr>
        <w:jc w:val="center"/>
        <w:outlineLvl w:val="0"/>
        <w:rPr>
          <w:b/>
        </w:rPr>
      </w:pPr>
      <w:r w:rsidRPr="00773968">
        <w:rPr>
          <w:b/>
        </w:rPr>
        <w:lastRenderedPageBreak/>
        <w:t>Abstract</w:t>
      </w:r>
    </w:p>
    <w:p w14:paraId="46DAF167" w14:textId="77777777" w:rsidR="00C2646A" w:rsidRPr="00773968" w:rsidRDefault="00C2646A">
      <w:pPr>
        <w:rPr>
          <w:b/>
        </w:rPr>
      </w:pPr>
    </w:p>
    <w:p w14:paraId="46201026" w14:textId="5C748867" w:rsidR="00B05408" w:rsidRPr="00835155" w:rsidRDefault="00B05408" w:rsidP="00CA5EAA">
      <w:pPr>
        <w:spacing w:line="480" w:lineRule="auto"/>
      </w:pPr>
      <w:r w:rsidRPr="00773968">
        <w:t>The current study examined false memories in the week preceding the 2018</w:t>
      </w:r>
      <w:r w:rsidR="00D3215B">
        <w:t xml:space="preserve"> Irish</w:t>
      </w:r>
      <w:r w:rsidRPr="00773968">
        <w:t xml:space="preserve"> </w:t>
      </w:r>
      <w:r w:rsidR="00257390" w:rsidRPr="00773968">
        <w:t xml:space="preserve">abortion </w:t>
      </w:r>
      <w:r w:rsidR="00D3215B">
        <w:t>referendum</w:t>
      </w:r>
      <w:r w:rsidRPr="00773968">
        <w:t xml:space="preserve">. </w:t>
      </w:r>
      <w:r w:rsidR="00A6414A">
        <w:t>P</w:t>
      </w:r>
      <w:r w:rsidRPr="00A171CF">
        <w:t>articipants</w:t>
      </w:r>
      <w:r w:rsidR="00D6648B">
        <w:t xml:space="preserve"> (</w:t>
      </w:r>
      <w:r w:rsidR="00A6414A" w:rsidRPr="009F6B3F">
        <w:rPr>
          <w:i/>
        </w:rPr>
        <w:t>N</w:t>
      </w:r>
      <w:r w:rsidR="00D3215B" w:rsidRPr="009F6B3F">
        <w:t xml:space="preserve"> = 3140) </w:t>
      </w:r>
      <w:r w:rsidRPr="009F6B3F">
        <w:t xml:space="preserve">viewed </w:t>
      </w:r>
      <w:r w:rsidR="00AD7150" w:rsidRPr="009F6B3F">
        <w:t xml:space="preserve">six </w:t>
      </w:r>
      <w:r w:rsidRPr="009F6B3F">
        <w:t>news</w:t>
      </w:r>
      <w:r w:rsidR="00357688" w:rsidRPr="009F6B3F">
        <w:t xml:space="preserve"> stories</w:t>
      </w:r>
      <w:r w:rsidRPr="009F6B3F">
        <w:t xml:space="preserve"> concerning </w:t>
      </w:r>
      <w:r w:rsidR="00190101" w:rsidRPr="009F6B3F">
        <w:t>campaign events</w:t>
      </w:r>
      <w:r w:rsidR="00357688" w:rsidRPr="009F6B3F">
        <w:t>, t</w:t>
      </w:r>
      <w:r w:rsidR="00275B42" w:rsidRPr="009F6B3F">
        <w:t xml:space="preserve">wo </w:t>
      </w:r>
      <w:r w:rsidR="00515871" w:rsidRPr="009F6B3F">
        <w:t>fabricate</w:t>
      </w:r>
      <w:r w:rsidR="00275B42" w:rsidRPr="009F6B3F">
        <w:t xml:space="preserve">d and four authentic. </w:t>
      </w:r>
      <w:r w:rsidR="00622C48" w:rsidRPr="009F6B3F">
        <w:t>A</w:t>
      </w:r>
      <w:r w:rsidR="00357688" w:rsidRPr="009F6B3F">
        <w:t>lmost half of the sample reported a</w:t>
      </w:r>
      <w:r w:rsidR="00622C48" w:rsidRPr="009F6B3F">
        <w:t xml:space="preserve"> false memory for</w:t>
      </w:r>
      <w:r w:rsidR="00D35C24" w:rsidRPr="009F6B3F">
        <w:t xml:space="preserve"> at least</w:t>
      </w:r>
      <w:r w:rsidR="00545886" w:rsidRPr="009F6B3F">
        <w:t xml:space="preserve"> one</w:t>
      </w:r>
      <w:r w:rsidRPr="009F6B3F">
        <w:t xml:space="preserve"> fabricated event</w:t>
      </w:r>
      <w:r w:rsidR="00622C48" w:rsidRPr="009F6B3F">
        <w:t xml:space="preserve">, with </w:t>
      </w:r>
      <w:r w:rsidR="00D35C24" w:rsidRPr="009F6B3F">
        <w:t>more than a third</w:t>
      </w:r>
      <w:r w:rsidR="00622C48" w:rsidRPr="009F6B3F">
        <w:t xml:space="preserve"> of participants</w:t>
      </w:r>
      <w:r w:rsidR="00545886" w:rsidRPr="009F6B3F">
        <w:t xml:space="preserve"> </w:t>
      </w:r>
      <w:r w:rsidR="00622C48" w:rsidRPr="009F6B3F">
        <w:t>reporting</w:t>
      </w:r>
      <w:r w:rsidR="00545886" w:rsidRPr="009F6B3F">
        <w:t xml:space="preserve"> a specific memory </w:t>
      </w:r>
      <w:r w:rsidR="00D3215B" w:rsidRPr="009F6B3F">
        <w:t>of</w:t>
      </w:r>
      <w:r w:rsidR="00357688" w:rsidRPr="009F6B3F">
        <w:t xml:space="preserve"> the</w:t>
      </w:r>
      <w:r w:rsidR="00B408F1" w:rsidRPr="009F6B3F">
        <w:t xml:space="preserve"> event. </w:t>
      </w:r>
      <w:r w:rsidR="00F952C8" w:rsidRPr="009F6B3F">
        <w:t>Yes</w:t>
      </w:r>
      <w:r w:rsidR="00803A4D" w:rsidRPr="009F6B3F">
        <w:t xml:space="preserve"> voters</w:t>
      </w:r>
      <w:r w:rsidR="00266EEA" w:rsidRPr="009F6B3F">
        <w:t xml:space="preserve"> (those in favor of legalizing abortion)</w:t>
      </w:r>
      <w:r w:rsidR="00D3215B" w:rsidRPr="009F6B3F">
        <w:t xml:space="preserve"> </w:t>
      </w:r>
      <w:r w:rsidR="00C97BDF" w:rsidRPr="009F6B3F">
        <w:t xml:space="preserve">were </w:t>
      </w:r>
      <w:r w:rsidR="00F952C8" w:rsidRPr="009F6B3F">
        <w:t xml:space="preserve">more likely to </w:t>
      </w:r>
      <w:r w:rsidR="00900A17" w:rsidRPr="009F6B3F">
        <w:t>‘</w:t>
      </w:r>
      <w:r w:rsidR="00F952C8" w:rsidRPr="009F6B3F">
        <w:t>remember</w:t>
      </w:r>
      <w:r w:rsidR="00900A17" w:rsidRPr="009F6B3F">
        <w:t>’</w:t>
      </w:r>
      <w:r w:rsidR="00F952C8" w:rsidRPr="009F6B3F">
        <w:t xml:space="preserve"> a</w:t>
      </w:r>
      <w:r w:rsidR="00B408F1" w:rsidRPr="009F6B3F">
        <w:t xml:space="preserve"> fabricated</w:t>
      </w:r>
      <w:r w:rsidR="00F952C8" w:rsidRPr="009F6B3F">
        <w:t xml:space="preserve"> No</w:t>
      </w:r>
      <w:r w:rsidR="00266EEA" w:rsidRPr="009F6B3F">
        <w:t xml:space="preserve"> campaign</w:t>
      </w:r>
      <w:r w:rsidR="00DF6C69" w:rsidRPr="009F6B3F">
        <w:t xml:space="preserve"> </w:t>
      </w:r>
      <w:r w:rsidR="00F952C8" w:rsidRPr="009F6B3F">
        <w:t>scanda</w:t>
      </w:r>
      <w:r w:rsidR="007A32EF" w:rsidRPr="009F6B3F">
        <w:t>l than No voters and vice-</w:t>
      </w:r>
      <w:r w:rsidR="00B408F1" w:rsidRPr="009F6B3F">
        <w:t>versa</w:t>
      </w:r>
      <w:r w:rsidR="00094646" w:rsidRPr="009F6B3F">
        <w:t xml:space="preserve">. This </w:t>
      </w:r>
      <w:r w:rsidR="009F6B3F" w:rsidRPr="009F6B3F">
        <w:t>difference</w:t>
      </w:r>
      <w:r w:rsidR="00094646" w:rsidRPr="009F6B3F">
        <w:t xml:space="preserve"> was particularly strong </w:t>
      </w:r>
      <w:r w:rsidR="003A1519" w:rsidRPr="009F6B3F">
        <w:t xml:space="preserve">for </w:t>
      </w:r>
      <w:r w:rsidR="00B408F1" w:rsidRPr="009F6B3F">
        <w:t>lower cognitive ability</w:t>
      </w:r>
      <w:r w:rsidR="003A1519" w:rsidRPr="009F6B3F">
        <w:t xml:space="preserve"> voters</w:t>
      </w:r>
      <w:r w:rsidR="00515871" w:rsidRPr="009F6B3F">
        <w:t xml:space="preserve">. </w:t>
      </w:r>
      <w:r w:rsidR="00803A4D" w:rsidRPr="009F6B3F">
        <w:t xml:space="preserve">A </w:t>
      </w:r>
      <w:r w:rsidR="00107794" w:rsidRPr="009F6B3F">
        <w:t xml:space="preserve">subsequent warning about possible </w:t>
      </w:r>
      <w:r w:rsidR="00FB5276" w:rsidRPr="009F6B3F">
        <w:t xml:space="preserve">misinformation </w:t>
      </w:r>
      <w:r w:rsidR="00842B4D" w:rsidRPr="009F6B3F">
        <w:t xml:space="preserve">slightly reduced </w:t>
      </w:r>
      <w:r w:rsidR="00981DB9" w:rsidRPr="009F6B3F">
        <w:t>rates of false memories</w:t>
      </w:r>
      <w:r w:rsidR="00842B4D" w:rsidRPr="009F6B3F">
        <w:t>, but did not eliminate these effects.</w:t>
      </w:r>
      <w:r w:rsidR="00842B4D" w:rsidRPr="000D4A10">
        <w:rPr>
          <w:color w:val="4F81BD" w:themeColor="accent1"/>
        </w:rPr>
        <w:t xml:space="preserve"> </w:t>
      </w:r>
      <w:r w:rsidR="00B408F1" w:rsidRPr="00835155">
        <w:t>This study suggests that</w:t>
      </w:r>
      <w:r w:rsidR="00835155">
        <w:t xml:space="preserve"> </w:t>
      </w:r>
      <w:r w:rsidR="006948DA">
        <w:t xml:space="preserve">voters in </w:t>
      </w:r>
      <w:r w:rsidR="00835155">
        <w:t>a real-world political campaign</w:t>
      </w:r>
      <w:r w:rsidR="006948DA">
        <w:t xml:space="preserve"> </w:t>
      </w:r>
      <w:r w:rsidR="00B408F1" w:rsidRPr="00835155">
        <w:t xml:space="preserve">are most </w:t>
      </w:r>
      <w:r w:rsidR="00803A4D" w:rsidRPr="00835155">
        <w:t>susceptible to</w:t>
      </w:r>
      <w:r w:rsidR="00B408F1" w:rsidRPr="00835155">
        <w:t xml:space="preserve"> </w:t>
      </w:r>
      <w:r w:rsidR="00D52DF0">
        <w:t xml:space="preserve">forming false memories for </w:t>
      </w:r>
      <w:r w:rsidR="00B408F1" w:rsidRPr="00835155">
        <w:t xml:space="preserve">fake news </w:t>
      </w:r>
      <w:r w:rsidR="00B35113" w:rsidRPr="00835155">
        <w:t xml:space="preserve">that </w:t>
      </w:r>
      <w:r w:rsidR="00C6125A" w:rsidRPr="00835155">
        <w:t xml:space="preserve">aligns </w:t>
      </w:r>
      <w:r w:rsidR="00B408F1" w:rsidRPr="00835155">
        <w:t xml:space="preserve">with their beliefs, in particular if they have lower cognitive ability. </w:t>
      </w:r>
    </w:p>
    <w:p w14:paraId="693AAD55" w14:textId="77777777" w:rsidR="00900A17" w:rsidRPr="00A171CF" w:rsidRDefault="00900A17" w:rsidP="00CA5EAA">
      <w:pPr>
        <w:spacing w:line="480" w:lineRule="auto"/>
      </w:pPr>
    </w:p>
    <w:p w14:paraId="7F779974" w14:textId="77777777" w:rsidR="00900A17" w:rsidRDefault="00C2646A" w:rsidP="00B5229A">
      <w:pPr>
        <w:ind w:firstLine="720"/>
        <w:outlineLvl w:val="0"/>
      </w:pPr>
      <w:r w:rsidRPr="00A171CF">
        <w:rPr>
          <w:i/>
        </w:rPr>
        <w:t>Keywords:</w:t>
      </w:r>
      <w:r w:rsidR="00615D0A" w:rsidRPr="00A171CF">
        <w:rPr>
          <w:i/>
        </w:rPr>
        <w:t xml:space="preserve"> </w:t>
      </w:r>
      <w:r w:rsidR="00615D0A" w:rsidRPr="00A171CF">
        <w:t>f</w:t>
      </w:r>
      <w:r w:rsidRPr="00A171CF">
        <w:t>alse memory, politics, fake news, misinformation, bias</w:t>
      </w:r>
    </w:p>
    <w:p w14:paraId="67BD55D8" w14:textId="77777777" w:rsidR="002557CA" w:rsidRDefault="002557CA" w:rsidP="00A171CF">
      <w:pPr>
        <w:ind w:firstLine="720"/>
        <w:rPr>
          <w:b/>
          <w:i/>
        </w:rPr>
      </w:pPr>
    </w:p>
    <w:p w14:paraId="2961C17E" w14:textId="5F76B2FC" w:rsidR="0044454A" w:rsidRPr="00A171CF" w:rsidRDefault="0044454A" w:rsidP="00A171CF">
      <w:pPr>
        <w:ind w:firstLine="720"/>
        <w:rPr>
          <w:b/>
          <w:i/>
        </w:rPr>
      </w:pPr>
      <w:r w:rsidRPr="00A171CF">
        <w:rPr>
          <w:b/>
          <w:i/>
        </w:rPr>
        <w:br w:type="page"/>
      </w:r>
    </w:p>
    <w:p w14:paraId="69EF28F1" w14:textId="77777777" w:rsidR="00996546" w:rsidRPr="006C6E3A" w:rsidRDefault="00996546" w:rsidP="00B5229A">
      <w:pPr>
        <w:spacing w:line="480" w:lineRule="auto"/>
        <w:jc w:val="center"/>
        <w:outlineLvl w:val="0"/>
        <w:rPr>
          <w:color w:val="4F81BD" w:themeColor="accent1"/>
        </w:rPr>
      </w:pPr>
      <w:r w:rsidRPr="006C6E3A">
        <w:rPr>
          <w:color w:val="4F81BD" w:themeColor="accent1"/>
        </w:rPr>
        <w:lastRenderedPageBreak/>
        <w:t>False Memories for Fake News during Ireland’s Abortion Referendum</w:t>
      </w:r>
    </w:p>
    <w:p w14:paraId="0D6A8D8D" w14:textId="44B77C98" w:rsidR="008A62AF" w:rsidRPr="00733A57" w:rsidRDefault="008A62AF" w:rsidP="00996546">
      <w:pPr>
        <w:spacing w:line="480" w:lineRule="auto"/>
        <w:ind w:firstLine="720"/>
      </w:pPr>
      <w:r w:rsidRPr="00733A57">
        <w:t>Political campaigns often produce memorable moments. A candidate misspeaks or a scandal is exposed</w:t>
      </w:r>
      <w:r w:rsidR="002646E4">
        <w:t>,</w:t>
      </w:r>
      <w:r w:rsidRPr="00733A57">
        <w:t xml:space="preserve"> and the</w:t>
      </w:r>
      <w:r w:rsidR="00F6579A">
        <w:t xml:space="preserve"> campaign momentum </w:t>
      </w:r>
      <w:r w:rsidRPr="00733A57">
        <w:t>swing</w:t>
      </w:r>
      <w:r w:rsidR="00D80795">
        <w:t>s</w:t>
      </w:r>
      <w:r w:rsidRPr="00733A57">
        <w:t xml:space="preserve"> rapidly. </w:t>
      </w:r>
      <w:r w:rsidR="009D4300">
        <w:t>People</w:t>
      </w:r>
      <w:r w:rsidR="009D4300" w:rsidRPr="00733A57">
        <w:t xml:space="preserve"> </w:t>
      </w:r>
      <w:r w:rsidRPr="00733A57">
        <w:t xml:space="preserve">tend to vote based on their recollection of candidates and </w:t>
      </w:r>
      <w:r w:rsidR="005A0368">
        <w:t xml:space="preserve">campaign events </w:t>
      </w:r>
      <w:r w:rsidR="00EC4A47">
        <w:t>(Lau &amp; Redl</w:t>
      </w:r>
      <w:r w:rsidRPr="00733A57">
        <w:t>awsk, 2006)</w:t>
      </w:r>
      <w:r w:rsidR="005A0368">
        <w:t xml:space="preserve">, </w:t>
      </w:r>
      <w:r w:rsidR="00701E37">
        <w:t xml:space="preserve">but </w:t>
      </w:r>
      <w:r w:rsidR="006D243F" w:rsidRPr="00733A57">
        <w:t xml:space="preserve">are these memories </w:t>
      </w:r>
      <w:r w:rsidR="00944593">
        <w:t xml:space="preserve">always </w:t>
      </w:r>
      <w:r w:rsidR="006D243F" w:rsidRPr="00733A57">
        <w:t xml:space="preserve">accurate? Can voters </w:t>
      </w:r>
      <w:r w:rsidR="009C0A60" w:rsidRPr="00733A57">
        <w:t xml:space="preserve">be influenced to </w:t>
      </w:r>
      <w:r w:rsidR="006D243F" w:rsidRPr="00733A57">
        <w:t xml:space="preserve">form false memories for fabricated </w:t>
      </w:r>
      <w:r w:rsidR="00DD71B2" w:rsidRPr="00733A57">
        <w:t>events during a</w:t>
      </w:r>
      <w:r w:rsidR="006D243F" w:rsidRPr="00733A57">
        <w:t xml:space="preserve"> </w:t>
      </w:r>
      <w:r w:rsidR="00DD71B2" w:rsidRPr="00733A57">
        <w:t>political</w:t>
      </w:r>
      <w:r w:rsidR="006D243F" w:rsidRPr="00733A57">
        <w:t xml:space="preserve"> campaign? </w:t>
      </w:r>
    </w:p>
    <w:p w14:paraId="3A03BC8D" w14:textId="3C654736" w:rsidR="00F80ECF" w:rsidRPr="00A171CF" w:rsidRDefault="00F80ECF" w:rsidP="00B5229A">
      <w:pPr>
        <w:spacing w:line="480" w:lineRule="auto"/>
        <w:outlineLvl w:val="0"/>
        <w:rPr>
          <w:b/>
        </w:rPr>
      </w:pPr>
      <w:r w:rsidRPr="00A171CF">
        <w:rPr>
          <w:b/>
        </w:rPr>
        <w:t>False Memories</w:t>
      </w:r>
    </w:p>
    <w:p w14:paraId="59C37FAD" w14:textId="15204C8B" w:rsidR="001F66BA" w:rsidRPr="00733A57" w:rsidRDefault="00981812" w:rsidP="00E25452">
      <w:pPr>
        <w:spacing w:line="480" w:lineRule="auto"/>
        <w:ind w:firstLine="720"/>
      </w:pPr>
      <w:r w:rsidRPr="00733A57">
        <w:t xml:space="preserve">Many studies have demonstrated </w:t>
      </w:r>
      <w:r w:rsidRPr="00413847">
        <w:t>the ease with which indiv</w:t>
      </w:r>
      <w:r w:rsidR="00FE6B99" w:rsidRPr="00413847">
        <w:t xml:space="preserve">iduals can form </w:t>
      </w:r>
      <w:r w:rsidR="00E2456F" w:rsidRPr="00413847">
        <w:t xml:space="preserve">rich </w:t>
      </w:r>
      <w:r w:rsidR="00FE6B99" w:rsidRPr="00413847">
        <w:t>false memories (</w:t>
      </w:r>
      <w:r w:rsidR="00E10CC8">
        <w:t>Loftus, 2005</w:t>
      </w:r>
      <w:r w:rsidR="00FE6B99" w:rsidRPr="00413847">
        <w:t xml:space="preserve">). The source-monitoring framework </w:t>
      </w:r>
      <w:r w:rsidR="000502CC" w:rsidRPr="00413847">
        <w:t>(</w:t>
      </w:r>
      <w:r w:rsidR="00413847" w:rsidRPr="00413847">
        <w:t>J</w:t>
      </w:r>
      <w:r w:rsidR="00413847" w:rsidRPr="00413847">
        <w:rPr>
          <w:rFonts w:cs="Arial"/>
          <w:color w:val="222222"/>
          <w:shd w:val="clear" w:color="auto" w:fill="FFFFFF"/>
        </w:rPr>
        <w:t>ohnson, Hashtroudi &amp; Lindsay, 1993</w:t>
      </w:r>
      <w:r w:rsidR="000502CC" w:rsidRPr="00413847">
        <w:t xml:space="preserve">) </w:t>
      </w:r>
      <w:r w:rsidR="00FE6B99" w:rsidRPr="00413847">
        <w:t xml:space="preserve">posits that </w:t>
      </w:r>
      <w:r w:rsidR="000502CC" w:rsidRPr="00413847">
        <w:t xml:space="preserve">memories </w:t>
      </w:r>
      <w:r w:rsidR="000F7A6B" w:rsidRPr="00733A57">
        <w:t>are not stored with tags that identify their source</w:t>
      </w:r>
      <w:r w:rsidR="000F7A6B">
        <w:t xml:space="preserve">. Instead, the source </w:t>
      </w:r>
      <w:r w:rsidR="000F7A6B" w:rsidRPr="00733A57">
        <w:t>is inferred t</w:t>
      </w:r>
      <w:r w:rsidR="000F7A6B">
        <w:t xml:space="preserve">hrough a rapid evaluation of the </w:t>
      </w:r>
      <w:r w:rsidR="00776D90">
        <w:t xml:space="preserve">memory </w:t>
      </w:r>
      <w:r w:rsidR="000F7A6B" w:rsidRPr="00733A57">
        <w:t xml:space="preserve">details, including heuristic judgments </w:t>
      </w:r>
      <w:r w:rsidR="000F7A6B">
        <w:t xml:space="preserve">(e.g. </w:t>
      </w:r>
      <w:r w:rsidR="000F7A6B" w:rsidRPr="00733A57">
        <w:t>temporal, spatial and affective qualities) and systematic judgments (e.g. comparing the memory to pre-existing beliefs and knowledge).</w:t>
      </w:r>
      <w:r w:rsidR="00301FD2">
        <w:t xml:space="preserve"> </w:t>
      </w:r>
      <w:r w:rsidR="00064EE7">
        <w:t>F</w:t>
      </w:r>
      <w:r w:rsidR="00301FD2">
        <w:t xml:space="preserve">or example, when asked </w:t>
      </w:r>
      <w:r w:rsidR="005E5CAE">
        <w:t>about</w:t>
      </w:r>
      <w:r w:rsidR="00301FD2">
        <w:t xml:space="preserve"> a</w:t>
      </w:r>
      <w:r w:rsidR="005402AC">
        <w:t xml:space="preserve"> </w:t>
      </w:r>
      <w:r w:rsidR="00D3215B">
        <w:t xml:space="preserve">political scandal, </w:t>
      </w:r>
      <w:r w:rsidR="00273CF0">
        <w:t xml:space="preserve">a voter </w:t>
      </w:r>
      <w:r w:rsidR="00301FD2">
        <w:t>makes a series of judgments, both heuristic (</w:t>
      </w:r>
      <w:r w:rsidR="005402AC">
        <w:t>‘</w:t>
      </w:r>
      <w:r w:rsidR="00301FD2">
        <w:t>is this recollection vivid and detailed?</w:t>
      </w:r>
      <w:r w:rsidR="005402AC">
        <w:t>’</w:t>
      </w:r>
      <w:r w:rsidR="00301FD2">
        <w:t>) and systematic (</w:t>
      </w:r>
      <w:r w:rsidR="005402AC">
        <w:t>‘</w:t>
      </w:r>
      <w:r w:rsidR="00301FD2">
        <w:t>is this in line with other information I have about this politician?</w:t>
      </w:r>
      <w:r w:rsidR="005402AC">
        <w:t>’</w:t>
      </w:r>
      <w:r w:rsidR="00301FD2">
        <w:t>)</w:t>
      </w:r>
      <w:r w:rsidR="00E25452">
        <w:t xml:space="preserve">. </w:t>
      </w:r>
      <w:r w:rsidR="002E7230">
        <w:t>False memories</w:t>
      </w:r>
      <w:r w:rsidR="0063711C" w:rsidRPr="00733A57">
        <w:t xml:space="preserve"> </w:t>
      </w:r>
      <w:r w:rsidR="00256302">
        <w:t xml:space="preserve">can </w:t>
      </w:r>
      <w:r w:rsidR="0063711C" w:rsidRPr="00733A57">
        <w:t>arise</w:t>
      </w:r>
      <w:r w:rsidR="00256302">
        <w:t xml:space="preserve"> </w:t>
      </w:r>
      <w:r w:rsidR="0063711C" w:rsidRPr="00733A57">
        <w:t xml:space="preserve">when </w:t>
      </w:r>
      <w:r w:rsidR="00256302">
        <w:t xml:space="preserve">these mechanisms lead </w:t>
      </w:r>
      <w:r w:rsidR="008E2E24">
        <w:t xml:space="preserve">individuals </w:t>
      </w:r>
      <w:r w:rsidR="00DF6C69">
        <w:t xml:space="preserve">to </w:t>
      </w:r>
      <w:r w:rsidR="005C2280">
        <w:t xml:space="preserve">unwittingly </w:t>
      </w:r>
      <w:r w:rsidR="005C2280" w:rsidRPr="00733A57">
        <w:t>manufacture</w:t>
      </w:r>
      <w:r w:rsidR="00256302" w:rsidRPr="00733A57">
        <w:t xml:space="preserve"> thoughts and images </w:t>
      </w:r>
      <w:r w:rsidR="00256302">
        <w:t xml:space="preserve">and </w:t>
      </w:r>
      <w:r w:rsidR="00A332CC" w:rsidRPr="00733A57">
        <w:t>mistak</w:t>
      </w:r>
      <w:r w:rsidR="00256302">
        <w:t>e</w:t>
      </w:r>
      <w:r w:rsidR="00A332CC" w:rsidRPr="00733A57">
        <w:t xml:space="preserve"> them for </w:t>
      </w:r>
      <w:r w:rsidR="00256302">
        <w:t>prior experience</w:t>
      </w:r>
      <w:r w:rsidR="00A332CC" w:rsidRPr="00733A57">
        <w:t xml:space="preserve"> </w:t>
      </w:r>
      <w:r w:rsidR="00031EB0" w:rsidRPr="00733A57">
        <w:t xml:space="preserve">(Strange, </w:t>
      </w:r>
      <w:r w:rsidR="00531061">
        <w:t>Garry, Bernstein &amp; Lindsay, 2011</w:t>
      </w:r>
      <w:r w:rsidR="00E33EC6">
        <w:t xml:space="preserve">; </w:t>
      </w:r>
      <w:r w:rsidR="00E33EC6" w:rsidRPr="00733A57">
        <w:t>Saachi, Agnoli &amp; Loftus</w:t>
      </w:r>
      <w:r w:rsidR="00E33EC6">
        <w:t xml:space="preserve">, </w:t>
      </w:r>
      <w:r w:rsidR="00E33EC6" w:rsidRPr="00733A57">
        <w:t>2007</w:t>
      </w:r>
      <w:r w:rsidR="00031EB0" w:rsidRPr="00733A57">
        <w:t xml:space="preserve">). </w:t>
      </w:r>
    </w:p>
    <w:p w14:paraId="1E7B8ED8" w14:textId="43FEF6D0" w:rsidR="000829B0" w:rsidRPr="00DF754F" w:rsidRDefault="00ED7095" w:rsidP="00180FC1">
      <w:pPr>
        <w:spacing w:line="480" w:lineRule="auto"/>
        <w:ind w:firstLine="720"/>
      </w:pPr>
      <w:r>
        <w:t>R</w:t>
      </w:r>
      <w:r w:rsidR="00AB65E1">
        <w:t>esearch</w:t>
      </w:r>
      <w:r w:rsidR="00A635B6">
        <w:t xml:space="preserve"> suggests</w:t>
      </w:r>
      <w:r w:rsidR="00AB65E1">
        <w:t xml:space="preserve"> that </w:t>
      </w:r>
      <w:r w:rsidR="00D3215B">
        <w:t>i</w:t>
      </w:r>
      <w:r w:rsidR="00F73587">
        <w:t>ndividuals</w:t>
      </w:r>
      <w:r w:rsidR="00A73459">
        <w:t xml:space="preserve"> may be </w:t>
      </w:r>
      <w:r>
        <w:t>particularly</w:t>
      </w:r>
      <w:r w:rsidR="00A73459">
        <w:t xml:space="preserve"> susceptible to forming false memories </w:t>
      </w:r>
      <w:r w:rsidR="00741809">
        <w:t>about</w:t>
      </w:r>
      <w:r w:rsidR="00A73459">
        <w:t xml:space="preserve"> events that are congruent with their </w:t>
      </w:r>
      <w:r w:rsidR="00741809">
        <w:t>beliefs</w:t>
      </w:r>
      <w:r w:rsidR="00426183" w:rsidRPr="0019580B">
        <w:t xml:space="preserve">. </w:t>
      </w:r>
      <w:r w:rsidR="004C2D3B" w:rsidRPr="0019580B">
        <w:t>Frenda</w:t>
      </w:r>
      <w:r w:rsidR="00117B78" w:rsidRPr="0019580B">
        <w:t>, Knowles, Saletan &amp; Loftus (2013) p</w:t>
      </w:r>
      <w:r w:rsidR="001A6875" w:rsidRPr="0019580B">
        <w:t>resented</w:t>
      </w:r>
      <w:r w:rsidR="001A6875" w:rsidRPr="00733A57">
        <w:t xml:space="preserve"> participants with true a</w:t>
      </w:r>
      <w:r w:rsidR="00DA69D3" w:rsidRPr="00733A57">
        <w:t>nd fabricated political events</w:t>
      </w:r>
      <w:r w:rsidR="00DD5B5D">
        <w:t xml:space="preserve"> </w:t>
      </w:r>
      <w:r w:rsidR="00A635B6">
        <w:t>and found</w:t>
      </w:r>
      <w:r w:rsidR="00DD5B5D">
        <w:t xml:space="preserve"> that l</w:t>
      </w:r>
      <w:r w:rsidR="009F13DF" w:rsidRPr="00733A57">
        <w:t xml:space="preserve">iberals were more likely to ‘remember’ President Bush </w:t>
      </w:r>
      <w:r w:rsidR="00727870">
        <w:t>vacationing with a famous baseball player</w:t>
      </w:r>
      <w:r w:rsidR="009F13DF" w:rsidRPr="00733A57">
        <w:t xml:space="preserve"> in the aftermath of hurricane Katrina, while conservatives were </w:t>
      </w:r>
      <w:r w:rsidR="009F13DF" w:rsidRPr="00AA020F">
        <w:t>more likely to ‘remember’ President Obama shaking hands wit</w:t>
      </w:r>
      <w:r w:rsidR="009C3791" w:rsidRPr="00AA020F">
        <w:t>h</w:t>
      </w:r>
      <w:r w:rsidR="00781F43" w:rsidRPr="00AA020F">
        <w:t xml:space="preserve"> Iranian President </w:t>
      </w:r>
      <w:r w:rsidR="00781F43" w:rsidRPr="00255E27">
        <w:t>Ahmadinejad</w:t>
      </w:r>
      <w:r w:rsidR="00781F43" w:rsidRPr="00255E27">
        <w:rPr>
          <w:color w:val="4F81BD" w:themeColor="accent1"/>
        </w:rPr>
        <w:t xml:space="preserve">. </w:t>
      </w:r>
      <w:r w:rsidR="00C3607B" w:rsidRPr="00733A57">
        <w:t xml:space="preserve">Cognitive </w:t>
      </w:r>
      <w:r w:rsidR="00A73459">
        <w:t>ability</w:t>
      </w:r>
      <w:r w:rsidR="00A73459" w:rsidRPr="00733A57">
        <w:t xml:space="preserve"> </w:t>
      </w:r>
      <w:r w:rsidR="00D93B5B">
        <w:t xml:space="preserve">may also </w:t>
      </w:r>
      <w:r w:rsidR="00C3607B" w:rsidRPr="00733A57">
        <w:t>predict s</w:t>
      </w:r>
      <w:r w:rsidR="00BC4A84">
        <w:t xml:space="preserve">usceptibility to false memories. Lower cognitive ability </w:t>
      </w:r>
      <w:r w:rsidR="00D93B5B">
        <w:t xml:space="preserve">has been </w:t>
      </w:r>
      <w:r w:rsidR="00BC4A84">
        <w:t xml:space="preserve">associated </w:t>
      </w:r>
      <w:r w:rsidR="00BC4A84" w:rsidRPr="00DF754F">
        <w:t xml:space="preserve">with an increased tendency to incorporate post-event information into eyewitness memories in both younger (Zhu et al., </w:t>
      </w:r>
      <w:r w:rsidR="008C0D9C" w:rsidRPr="00DF754F">
        <w:t>2010)</w:t>
      </w:r>
      <w:r w:rsidR="00BC4A84" w:rsidRPr="00DF754F">
        <w:t xml:space="preserve"> and older a</w:t>
      </w:r>
      <w:r w:rsidR="000373AE" w:rsidRPr="00DF754F">
        <w:t>dults (Roediger &amp; Geraci, 2007).</w:t>
      </w:r>
      <w:r w:rsidR="00BC4A84" w:rsidRPr="00DF754F">
        <w:t xml:space="preserve"> </w:t>
      </w:r>
      <w:r w:rsidR="0019580B" w:rsidRPr="00DF754F">
        <w:t xml:space="preserve"> </w:t>
      </w:r>
      <w:r w:rsidR="0067516E" w:rsidRPr="00DF754F">
        <w:t>I</w:t>
      </w:r>
      <w:r w:rsidR="0019580B" w:rsidRPr="00DF754F">
        <w:t xml:space="preserve">ndividuals with lower cognitive ability </w:t>
      </w:r>
      <w:r w:rsidR="00522DB4" w:rsidRPr="00DF754F">
        <w:t>are</w:t>
      </w:r>
      <w:r w:rsidR="0067516E" w:rsidRPr="00DF754F">
        <w:t xml:space="preserve"> also</w:t>
      </w:r>
      <w:r w:rsidR="00522DB4" w:rsidRPr="00DF754F">
        <w:t xml:space="preserve"> less likely to</w:t>
      </w:r>
      <w:r w:rsidR="00D05670" w:rsidRPr="00DF754F">
        <w:t xml:space="preserve"> update their attitudes when presented with evidence that the basis for their </w:t>
      </w:r>
      <w:r w:rsidR="0067516E" w:rsidRPr="00DF754F">
        <w:t>attitudes</w:t>
      </w:r>
      <w:r w:rsidR="00D05670" w:rsidRPr="00DF754F">
        <w:t xml:space="preserve"> </w:t>
      </w:r>
      <w:r w:rsidR="0067516E" w:rsidRPr="00DF754F">
        <w:t>is</w:t>
      </w:r>
      <w:r w:rsidR="00D05670" w:rsidRPr="00DF754F">
        <w:t xml:space="preserve"> inaccurate</w:t>
      </w:r>
      <w:r w:rsidR="0019580B" w:rsidRPr="00DF754F">
        <w:t xml:space="preserve"> </w:t>
      </w:r>
      <w:r w:rsidR="00BC4A84" w:rsidRPr="00DF754F">
        <w:t>(De keersmaecker &amp; Roets, 2017).</w:t>
      </w:r>
      <w:r w:rsidR="0019580B" w:rsidRPr="00DF754F">
        <w:t xml:space="preserve"> </w:t>
      </w:r>
      <w:r w:rsidR="00D302A7" w:rsidRPr="00DF754F">
        <w:t xml:space="preserve">These findings </w:t>
      </w:r>
      <w:r w:rsidR="002C138F" w:rsidRPr="00DF754F">
        <w:t xml:space="preserve">suggest </w:t>
      </w:r>
      <w:r w:rsidR="00D302A7" w:rsidRPr="00DF754F">
        <w:t xml:space="preserve">that </w:t>
      </w:r>
      <w:r w:rsidR="00C50E2E" w:rsidRPr="00DF754F">
        <w:t xml:space="preserve">individuals with </w:t>
      </w:r>
      <w:r w:rsidR="00D302A7" w:rsidRPr="00DF754F">
        <w:t xml:space="preserve">low cognitive ability </w:t>
      </w:r>
      <w:r w:rsidR="00710ACC" w:rsidRPr="00DF754F">
        <w:t>will</w:t>
      </w:r>
      <w:r w:rsidR="00D302A7" w:rsidRPr="00DF754F">
        <w:t xml:space="preserve"> </w:t>
      </w:r>
      <w:r w:rsidR="0067516E" w:rsidRPr="00DF754F">
        <w:t xml:space="preserve">be </w:t>
      </w:r>
      <w:r w:rsidR="00C50E2E" w:rsidRPr="00DF754F">
        <w:t xml:space="preserve">more susceptible to forming </w:t>
      </w:r>
      <w:r w:rsidR="00F876A8" w:rsidRPr="00DF754F">
        <w:t xml:space="preserve">false memories </w:t>
      </w:r>
      <w:r w:rsidR="00C50E2E" w:rsidRPr="00DF754F">
        <w:t xml:space="preserve">concerning </w:t>
      </w:r>
      <w:r w:rsidR="00B4182A" w:rsidRPr="00DF754F">
        <w:t>fabricated</w:t>
      </w:r>
      <w:r w:rsidR="00F876A8" w:rsidRPr="00DF754F">
        <w:t xml:space="preserve"> politi</w:t>
      </w:r>
      <w:r w:rsidR="00386855" w:rsidRPr="00DF754F">
        <w:t>cal events</w:t>
      </w:r>
      <w:r w:rsidR="00C50E2E" w:rsidRPr="00DF754F">
        <w:t xml:space="preserve">, </w:t>
      </w:r>
      <w:r w:rsidR="00DE6A11" w:rsidRPr="00DF754F">
        <w:t xml:space="preserve">and this may be especially true for ideologically-congruent stories. </w:t>
      </w:r>
      <w:r w:rsidR="009153FA" w:rsidRPr="00DF754F">
        <w:t xml:space="preserve">As this interaction has not yet been assessed, </w:t>
      </w:r>
      <w:r w:rsidR="00DE6A11" w:rsidRPr="00DF754F">
        <w:t>i</w:t>
      </w:r>
      <w:r w:rsidR="00D3215B" w:rsidRPr="00DF754F">
        <w:rPr>
          <w:rFonts w:ascii="Cambria" w:hAnsi="Cambria"/>
        </w:rPr>
        <w:t>t is unclear if the tendency to falsely remember ideologically-congruent events is a result of some insurmountable partisan bias that distorts the systematic source-monitoring judgment, or if it can be overcome by those with higher cognitive ability, who likely engage in more effective source-monitoring.</w:t>
      </w:r>
    </w:p>
    <w:p w14:paraId="55898A15" w14:textId="73B62CFB" w:rsidR="005A7E90" w:rsidRPr="00DF754F" w:rsidRDefault="0019444B" w:rsidP="00595956">
      <w:pPr>
        <w:spacing w:line="480" w:lineRule="auto"/>
        <w:ind w:firstLine="720"/>
      </w:pPr>
      <w:r w:rsidRPr="00DF754F">
        <w:t xml:space="preserve">While previous studies have recorded false memories for political events, none have done so </w:t>
      </w:r>
      <w:r w:rsidR="005A7E90" w:rsidRPr="00DF754F">
        <w:t>du</w:t>
      </w:r>
      <w:r w:rsidR="007A5243" w:rsidRPr="00DF754F">
        <w:t xml:space="preserve">ring a real-world </w:t>
      </w:r>
      <w:r w:rsidR="005A7E90" w:rsidRPr="00DF754F">
        <w:t>political campaign.</w:t>
      </w:r>
      <w:r w:rsidR="00255E27" w:rsidRPr="00DF754F">
        <w:t xml:space="preserve"> </w:t>
      </w:r>
      <w:r w:rsidR="00FE04AC" w:rsidRPr="00DF754F">
        <w:t>Research has</w:t>
      </w:r>
      <w:r w:rsidR="00141D54" w:rsidRPr="00DF754F">
        <w:t xml:space="preserve"> demonstrated that explicit warnings about the possibility of misinformation can </w:t>
      </w:r>
      <w:r w:rsidR="00B731F8">
        <w:t>sometimes modestly</w:t>
      </w:r>
      <w:r w:rsidR="00AD61EC" w:rsidRPr="00DF754F">
        <w:t xml:space="preserve"> </w:t>
      </w:r>
      <w:r w:rsidR="00141D54" w:rsidRPr="00DF754F">
        <w:t xml:space="preserve">reduce false memories </w:t>
      </w:r>
      <w:r w:rsidR="000E5792" w:rsidRPr="00DF754F">
        <w:t xml:space="preserve">and beliefs </w:t>
      </w:r>
      <w:r w:rsidR="00141D54" w:rsidRPr="00DF754F">
        <w:t xml:space="preserve">(e.g. Blank &amp; Launay, 2014; </w:t>
      </w:r>
      <w:r w:rsidR="000E5792" w:rsidRPr="00DF754F">
        <w:t xml:space="preserve">Pennycook, Cannon &amp; Rand, 2018; </w:t>
      </w:r>
      <w:r w:rsidR="00141D54" w:rsidRPr="00DF754F">
        <w:t>Qin, Ogle &amp; Goodman, 2008). In everyday life</w:t>
      </w:r>
      <w:r w:rsidR="00727870" w:rsidRPr="00DF754F">
        <w:t>, however,</w:t>
      </w:r>
      <w:r w:rsidR="001E1AC2" w:rsidRPr="00DF754F">
        <w:t xml:space="preserve"> </w:t>
      </w:r>
      <w:r w:rsidR="000E5792" w:rsidRPr="00DF754F">
        <w:t xml:space="preserve">people </w:t>
      </w:r>
      <w:r w:rsidR="00141D54" w:rsidRPr="00DF754F">
        <w:t>are unlikely to encounter news stories with explicit warning label</w:t>
      </w:r>
      <w:r w:rsidR="000E5792" w:rsidRPr="00DF754F">
        <w:t>s</w:t>
      </w:r>
      <w:r w:rsidR="00141D54" w:rsidRPr="00DF754F">
        <w:t xml:space="preserve">. </w:t>
      </w:r>
      <w:r w:rsidR="00727870" w:rsidRPr="00DF754F">
        <w:t xml:space="preserve">What </w:t>
      </w:r>
      <w:r w:rsidR="00E00811" w:rsidRPr="00DF754F">
        <w:t>are</w:t>
      </w:r>
      <w:r w:rsidR="000E5792" w:rsidRPr="00DF754F">
        <w:t xml:space="preserve"> </w:t>
      </w:r>
      <w:r w:rsidR="00727870" w:rsidRPr="00DF754F">
        <w:t xml:space="preserve">sometimes </w:t>
      </w:r>
      <w:r w:rsidR="000E5792" w:rsidRPr="00DF754F">
        <w:t xml:space="preserve">seen </w:t>
      </w:r>
      <w:r w:rsidR="00E00811" w:rsidRPr="00DF754F">
        <w:t>are</w:t>
      </w:r>
      <w:r w:rsidR="00141D54" w:rsidRPr="00DF754F">
        <w:t xml:space="preserve"> general warnings about unreliable news sources, with consumers urged to think critically. For example, during Ireland’s </w:t>
      </w:r>
      <w:r w:rsidR="00B700F8" w:rsidRPr="00DF754F">
        <w:t xml:space="preserve">2018 </w:t>
      </w:r>
      <w:r w:rsidR="00141D54" w:rsidRPr="00DF754F">
        <w:t xml:space="preserve">abortion referendum, all Irish Facebook users were presented with tips for detecting fake news and media reports urged voters to be vigilant against misleading information (Graham-Harrison, 2018; Ní Aodha, 2018). As no previous studies have examined false memories during an active campaign, it is unclear if voters in such an environment will be </w:t>
      </w:r>
      <w:r w:rsidR="00E00811" w:rsidRPr="00DF754F">
        <w:t>susceptible</w:t>
      </w:r>
      <w:r w:rsidR="00141D54" w:rsidRPr="00DF754F">
        <w:t xml:space="preserve"> to forming false </w:t>
      </w:r>
      <w:r w:rsidR="00D05670" w:rsidRPr="00DF754F">
        <w:t xml:space="preserve">political </w:t>
      </w:r>
      <w:r w:rsidR="00141D54" w:rsidRPr="00DF754F">
        <w:t xml:space="preserve">memories. </w:t>
      </w:r>
      <w:r w:rsidR="00727870" w:rsidRPr="00DF754F">
        <w:t>To explore this issue</w:t>
      </w:r>
      <w:r w:rsidR="00141D54" w:rsidRPr="00DF754F">
        <w:t xml:space="preserve">, </w:t>
      </w:r>
      <w:r w:rsidR="00BF0718" w:rsidRPr="00DF754F">
        <w:t>the current</w:t>
      </w:r>
      <w:r w:rsidR="00141D54" w:rsidRPr="00DF754F">
        <w:t xml:space="preserve"> study </w:t>
      </w:r>
      <w:r w:rsidR="000E5792" w:rsidRPr="00DF754F">
        <w:t xml:space="preserve">also </w:t>
      </w:r>
      <w:r w:rsidR="00141D54" w:rsidRPr="00DF754F">
        <w:t>examine</w:t>
      </w:r>
      <w:r w:rsidR="000E5792" w:rsidRPr="00DF754F">
        <w:t>d</w:t>
      </w:r>
      <w:r w:rsidR="00141D54" w:rsidRPr="00DF754F">
        <w:t xml:space="preserve"> the consequences of explicitly warning participants that they may have been exposed to fake news. This examination of false memories in a high-stakes, highly-emotional</w:t>
      </w:r>
      <w:r w:rsidR="00D93B5B" w:rsidRPr="00DF754F">
        <w:t>,</w:t>
      </w:r>
      <w:r w:rsidR="00141D54" w:rsidRPr="00DF754F">
        <w:t xml:space="preserve"> campaign has important applied implications (e.g. devising strategies to prevent voter false memories), but</w:t>
      </w:r>
      <w:r w:rsidR="000C45E3" w:rsidRPr="00DF754F">
        <w:t xml:space="preserve"> is</w:t>
      </w:r>
      <w:r w:rsidR="00141D54" w:rsidRPr="00DF754F">
        <w:t xml:space="preserve"> also </w:t>
      </w:r>
      <w:r w:rsidR="000C45E3" w:rsidRPr="00DF754F">
        <w:t>of</w:t>
      </w:r>
      <w:r w:rsidR="00141D54" w:rsidRPr="00DF754F">
        <w:t xml:space="preserve"> theoretical importance. It has been argued that</w:t>
      </w:r>
      <w:r w:rsidR="00D93B5B" w:rsidRPr="00DF754F">
        <w:t xml:space="preserve"> </w:t>
      </w:r>
      <w:r w:rsidR="00141D54" w:rsidRPr="00DF754F">
        <w:t>false memories form because individuals use lax criteria in source decisions (Qin, Ogle &amp; Goodman, 2008)</w:t>
      </w:r>
      <w:r w:rsidR="00D93B5B" w:rsidRPr="00DF754F">
        <w:t>, and that w</w:t>
      </w:r>
      <w:r w:rsidR="00141D54" w:rsidRPr="00DF754F">
        <w:t xml:space="preserve">arnings </w:t>
      </w:r>
      <w:r w:rsidR="00E0503B">
        <w:t xml:space="preserve">may </w:t>
      </w:r>
      <w:r w:rsidR="00141D54" w:rsidRPr="00DF754F">
        <w:t>encourage stricter source-monitoring (Echterhoff, Hirst &amp; Hussy, 2005)</w:t>
      </w:r>
      <w:r w:rsidR="00D93B5B" w:rsidRPr="00DF754F">
        <w:t xml:space="preserve">. If </w:t>
      </w:r>
      <w:r w:rsidR="00141D54" w:rsidRPr="00DF754F">
        <w:t>the in-gro</w:t>
      </w:r>
      <w:r w:rsidR="00BF0718" w:rsidRPr="00DF754F">
        <w:t>up political orientation effect</w:t>
      </w:r>
      <w:r w:rsidR="00141D54" w:rsidRPr="00DF754F">
        <w:t xml:space="preserve"> observed in Frenda et al. (2013) </w:t>
      </w:r>
      <w:r w:rsidR="00BF0718" w:rsidRPr="00DF754F">
        <w:t>is</w:t>
      </w:r>
      <w:r w:rsidR="00141D54" w:rsidRPr="00DF754F">
        <w:t xml:space="preserve"> due solely to </w:t>
      </w:r>
      <w:r w:rsidR="00BF0718" w:rsidRPr="00DF754F">
        <w:t>lax</w:t>
      </w:r>
      <w:r w:rsidR="00141D54" w:rsidRPr="00DF754F">
        <w:t xml:space="preserve"> monitoring, it </w:t>
      </w:r>
      <w:r w:rsidR="00E71205" w:rsidRPr="00DF754F">
        <w:t>may</w:t>
      </w:r>
      <w:r w:rsidR="00141D54" w:rsidRPr="00DF754F">
        <w:t xml:space="preserve"> be </w:t>
      </w:r>
      <w:r w:rsidR="00304F05" w:rsidRPr="00DF754F">
        <w:t>moderated</w:t>
      </w:r>
      <w:r w:rsidR="00141D54" w:rsidRPr="00DF754F">
        <w:t xml:space="preserve"> under conditions where voters </w:t>
      </w:r>
      <w:r w:rsidR="00D93B5B" w:rsidRPr="00DF754F">
        <w:t xml:space="preserve">receive warnings that make them </w:t>
      </w:r>
      <w:r w:rsidR="00141D54" w:rsidRPr="00DF754F">
        <w:t xml:space="preserve">suspicious. Likewise, it is unclear from previous research if the effect of cognitive ability on false memories is due to a reduced tendency to source-monitor effectively, or an inability to do so even when explicitly warned. </w:t>
      </w:r>
    </w:p>
    <w:p w14:paraId="7FD88D7A" w14:textId="77777777" w:rsidR="00255465" w:rsidRPr="00DF754F" w:rsidRDefault="00255465" w:rsidP="00733A57">
      <w:pPr>
        <w:spacing w:line="480" w:lineRule="auto"/>
        <w:rPr>
          <w:b/>
        </w:rPr>
      </w:pPr>
    </w:p>
    <w:p w14:paraId="095091F1" w14:textId="2906AAF0" w:rsidR="00B44C82" w:rsidRPr="00DF754F" w:rsidRDefault="00F80ECF" w:rsidP="00B5229A">
      <w:pPr>
        <w:spacing w:line="480" w:lineRule="auto"/>
        <w:outlineLvl w:val="0"/>
        <w:rPr>
          <w:b/>
        </w:rPr>
      </w:pPr>
      <w:r w:rsidRPr="00DF754F">
        <w:rPr>
          <w:b/>
        </w:rPr>
        <w:t>Ireland’s Abortion Referendum</w:t>
      </w:r>
    </w:p>
    <w:p w14:paraId="7C74BF51" w14:textId="755F6D86" w:rsidR="00F80ECF" w:rsidRPr="00DF754F" w:rsidRDefault="000C5586" w:rsidP="00A171CF">
      <w:pPr>
        <w:spacing w:line="480" w:lineRule="auto"/>
        <w:ind w:firstLine="720"/>
        <w:rPr>
          <w:rFonts w:cs="Times New Roman"/>
        </w:rPr>
      </w:pPr>
      <w:r w:rsidRPr="00DF754F">
        <w:t>On 25</w:t>
      </w:r>
      <w:r w:rsidRPr="00DF754F">
        <w:rPr>
          <w:vertAlign w:val="superscript"/>
        </w:rPr>
        <w:t>th</w:t>
      </w:r>
      <w:r w:rsidRPr="00DF754F">
        <w:t xml:space="preserve"> </w:t>
      </w:r>
      <w:r w:rsidR="004E6B31" w:rsidRPr="00DF754F">
        <w:t>May</w:t>
      </w:r>
      <w:r w:rsidRPr="00DF754F">
        <w:t xml:space="preserve"> 2018, a referendum was held in Ireland to repeal the </w:t>
      </w:r>
      <w:r w:rsidR="00AD36BC" w:rsidRPr="00DF754F">
        <w:t>eighth</w:t>
      </w:r>
      <w:r w:rsidRPr="00DF754F">
        <w:t xml:space="preserve"> amendment to the </w:t>
      </w:r>
      <w:r w:rsidR="000D69BA" w:rsidRPr="00DF754F">
        <w:t>C</w:t>
      </w:r>
      <w:r w:rsidRPr="00DF754F">
        <w:t xml:space="preserve">onstitution. </w:t>
      </w:r>
      <w:r w:rsidR="00AD36BC" w:rsidRPr="00DF754F">
        <w:t>The eighth</w:t>
      </w:r>
      <w:r w:rsidR="00A34069" w:rsidRPr="00DF754F">
        <w:t xml:space="preserve"> amendment guaranteed “the unborn” an equal right to life to that of a pregnant woman and, a</w:t>
      </w:r>
      <w:r w:rsidR="004808BF" w:rsidRPr="00DF754F">
        <w:t>s a consequence, Ireland had some of the most restrictive abortion laws in the world (</w:t>
      </w:r>
      <w:r w:rsidR="00FD6715" w:rsidRPr="00DF754F">
        <w:t xml:space="preserve">Taylor, 2015). </w:t>
      </w:r>
      <w:r w:rsidR="001B505E" w:rsidRPr="00DF754F">
        <w:t>A</w:t>
      </w:r>
      <w:r w:rsidR="00B465D8" w:rsidRPr="00DF754F">
        <w:t xml:space="preserve">bortion </w:t>
      </w:r>
      <w:r w:rsidR="00037FF2" w:rsidRPr="00DF754F">
        <w:t xml:space="preserve">has long been a deeply divisive issue in Ireland, prompting complex public discourse </w:t>
      </w:r>
      <w:r w:rsidR="002674B1" w:rsidRPr="00DF754F">
        <w:t>(</w:t>
      </w:r>
      <w:r w:rsidR="00B465D8" w:rsidRPr="00DF754F">
        <w:t xml:space="preserve">McCarthy, O’Donnell, Campbell &amp; Dooley, 2018). </w:t>
      </w:r>
      <w:r w:rsidR="00037FF2" w:rsidRPr="00DF754F">
        <w:t>The</w:t>
      </w:r>
      <w:r w:rsidR="00950AA1" w:rsidRPr="00DF754F">
        <w:t xml:space="preserve"> referendum thus </w:t>
      </w:r>
      <w:r w:rsidR="000A4740" w:rsidRPr="00DF754F">
        <w:t xml:space="preserve">provided </w:t>
      </w:r>
      <w:r w:rsidR="00950AA1" w:rsidRPr="00DF754F">
        <w:t xml:space="preserve">an ideal opportunity to study political false </w:t>
      </w:r>
      <w:r w:rsidR="00590948" w:rsidRPr="00DF754F">
        <w:t>memories,</w:t>
      </w:r>
      <w:r w:rsidR="00950AA1" w:rsidRPr="00DF754F">
        <w:t xml:space="preserve"> as it </w:t>
      </w:r>
      <w:r w:rsidR="00DA399B" w:rsidRPr="00DF754F">
        <w:t xml:space="preserve">involved </w:t>
      </w:r>
      <w:r w:rsidR="00950AA1" w:rsidRPr="00DF754F">
        <w:t>a</w:t>
      </w:r>
      <w:r w:rsidR="00A941E5" w:rsidRPr="00DF754F">
        <w:t>n</w:t>
      </w:r>
      <w:r w:rsidR="00950AA1" w:rsidRPr="00DF754F">
        <w:t xml:space="preserve"> emotional debate between two camps with </w:t>
      </w:r>
      <w:r w:rsidR="00F02911" w:rsidRPr="00DF754F">
        <w:t>deeply</w:t>
      </w:r>
      <w:r w:rsidR="00D7656D" w:rsidRPr="00DF754F">
        <w:t>-</w:t>
      </w:r>
      <w:r w:rsidR="00996B01" w:rsidRPr="00DF754F">
        <w:t>held</w:t>
      </w:r>
      <w:r w:rsidR="00950AA1" w:rsidRPr="00DF754F">
        <w:t xml:space="preserve"> convictions. </w:t>
      </w:r>
      <w:r w:rsidR="006F6EBF" w:rsidRPr="00DF754F">
        <w:t>Furthermore, a</w:t>
      </w:r>
      <w:r w:rsidR="006F6EBF" w:rsidRPr="00DF754F">
        <w:rPr>
          <w:rFonts w:cs="Times New Roman"/>
        </w:rPr>
        <w:t xml:space="preserve"> 1995 Supreme Court decision require</w:t>
      </w:r>
      <w:r w:rsidR="00185DE0" w:rsidRPr="00DF754F">
        <w:rPr>
          <w:rFonts w:cs="Times New Roman"/>
        </w:rPr>
        <w:t>s</w:t>
      </w:r>
      <w:r w:rsidR="006F6EBF" w:rsidRPr="00DF754F">
        <w:rPr>
          <w:rFonts w:cs="Times New Roman"/>
        </w:rPr>
        <w:t xml:space="preserve"> Irish state broadcasters to provide balanced coverage of both sides of a referendum (Reidy &amp; Suiter, 2015)</w:t>
      </w:r>
      <w:r w:rsidR="004157F3" w:rsidRPr="00DF754F">
        <w:rPr>
          <w:rFonts w:cs="Times New Roman"/>
        </w:rPr>
        <w:t xml:space="preserve">. </w:t>
      </w:r>
      <w:r w:rsidR="00B11179" w:rsidRPr="00DF754F">
        <w:rPr>
          <w:rFonts w:cs="Times New Roman"/>
        </w:rPr>
        <w:t xml:space="preserve">In contrast with studies conducted </w:t>
      </w:r>
      <w:r w:rsidR="00E0205B" w:rsidRPr="00DF754F">
        <w:rPr>
          <w:rFonts w:cs="Times New Roman"/>
        </w:rPr>
        <w:t>in</w:t>
      </w:r>
      <w:r w:rsidR="00B11179" w:rsidRPr="00DF754F">
        <w:rPr>
          <w:rFonts w:cs="Times New Roman"/>
        </w:rPr>
        <w:t xml:space="preserve"> the partisan environment of US politics</w:t>
      </w:r>
      <w:r w:rsidR="00EE58D5" w:rsidRPr="00DF754F">
        <w:rPr>
          <w:rFonts w:cs="Times New Roman"/>
        </w:rPr>
        <w:t>, in which consumers may choose news sources that align with their ideology</w:t>
      </w:r>
      <w:r w:rsidR="00B11179" w:rsidRPr="00DF754F">
        <w:rPr>
          <w:rFonts w:cs="Times New Roman"/>
        </w:rPr>
        <w:t>, t</w:t>
      </w:r>
      <w:r w:rsidR="004157F3" w:rsidRPr="00DF754F">
        <w:rPr>
          <w:rFonts w:cs="Times New Roman"/>
        </w:rPr>
        <w:t>his</w:t>
      </w:r>
      <w:r w:rsidR="006F6EBF" w:rsidRPr="00DF754F">
        <w:rPr>
          <w:rFonts w:cs="Times New Roman"/>
        </w:rPr>
        <w:t xml:space="preserve"> ensur</w:t>
      </w:r>
      <w:r w:rsidR="004157F3" w:rsidRPr="00DF754F">
        <w:rPr>
          <w:rFonts w:cs="Times New Roman"/>
        </w:rPr>
        <w:t>ed</w:t>
      </w:r>
      <w:r w:rsidR="006F6EBF" w:rsidRPr="00DF754F">
        <w:rPr>
          <w:rFonts w:cs="Times New Roman"/>
        </w:rPr>
        <w:t xml:space="preserve"> </w:t>
      </w:r>
      <w:r w:rsidR="004157F3" w:rsidRPr="00DF754F">
        <w:rPr>
          <w:rFonts w:cs="Times New Roman"/>
        </w:rPr>
        <w:t xml:space="preserve">that </w:t>
      </w:r>
      <w:r w:rsidR="006F6EBF" w:rsidRPr="00DF754F">
        <w:rPr>
          <w:rFonts w:cs="Times New Roman"/>
        </w:rPr>
        <w:t xml:space="preserve">voters </w:t>
      </w:r>
      <w:r w:rsidR="004157F3" w:rsidRPr="00DF754F">
        <w:rPr>
          <w:rFonts w:cs="Times New Roman"/>
        </w:rPr>
        <w:t>were</w:t>
      </w:r>
      <w:r w:rsidR="006F6EBF" w:rsidRPr="00DF754F">
        <w:rPr>
          <w:rFonts w:cs="Times New Roman"/>
        </w:rPr>
        <w:t xml:space="preserve"> relatively</w:t>
      </w:r>
      <w:r w:rsidR="002C0892" w:rsidRPr="00DF754F">
        <w:rPr>
          <w:rFonts w:cs="Times New Roman"/>
        </w:rPr>
        <w:t xml:space="preserve"> well-</w:t>
      </w:r>
      <w:r w:rsidR="006F6EBF" w:rsidRPr="00DF754F">
        <w:rPr>
          <w:rFonts w:cs="Times New Roman"/>
        </w:rPr>
        <w:t>informed about both campaigns and reduc</w:t>
      </w:r>
      <w:r w:rsidR="004157F3" w:rsidRPr="00DF754F">
        <w:rPr>
          <w:rFonts w:cs="Times New Roman"/>
        </w:rPr>
        <w:t>ed</w:t>
      </w:r>
      <w:r w:rsidR="006F6EBF" w:rsidRPr="00DF754F">
        <w:rPr>
          <w:rFonts w:cs="Times New Roman"/>
        </w:rPr>
        <w:t xml:space="preserve"> concerns </w:t>
      </w:r>
      <w:r w:rsidR="000262C2" w:rsidRPr="00DF754F">
        <w:rPr>
          <w:rFonts w:cs="Times New Roman"/>
        </w:rPr>
        <w:t xml:space="preserve">about differences in media consumption. </w:t>
      </w:r>
      <w:r w:rsidR="006F6EBF" w:rsidRPr="00DF754F">
        <w:t>Voter turnout for the referendum was high (64.5%)</w:t>
      </w:r>
      <w:r w:rsidR="00C15F8A" w:rsidRPr="00DF754F">
        <w:t>,</w:t>
      </w:r>
      <w:r w:rsidR="006F6EBF" w:rsidRPr="00DF754F">
        <w:t xml:space="preserve"> </w:t>
      </w:r>
      <w:r w:rsidR="00C15F8A" w:rsidRPr="00DF754F">
        <w:t xml:space="preserve">further confirming that this was an important issue </w:t>
      </w:r>
      <w:r w:rsidR="004157F3" w:rsidRPr="00DF754F">
        <w:t xml:space="preserve">for </w:t>
      </w:r>
      <w:r w:rsidR="00C15F8A" w:rsidRPr="00DF754F">
        <w:t>the electorate. T</w:t>
      </w:r>
      <w:r w:rsidR="006F6EBF" w:rsidRPr="00DF754F">
        <w:t xml:space="preserve">he landslide victory for Yes (with 66.4% of voters in </w:t>
      </w:r>
      <w:r w:rsidR="00CD61A9" w:rsidRPr="00DF754F">
        <w:t>favor</w:t>
      </w:r>
      <w:r w:rsidR="006F6EBF" w:rsidRPr="00DF754F">
        <w:t xml:space="preserve"> of </w:t>
      </w:r>
      <w:r w:rsidR="00B515A4" w:rsidRPr="00DF754F">
        <w:t>repeal</w:t>
      </w:r>
      <w:r w:rsidR="0097268F" w:rsidRPr="00DF754F">
        <w:t>ing the abortion ban</w:t>
      </w:r>
      <w:r w:rsidR="006F6EBF" w:rsidRPr="00DF754F">
        <w:t>) came as a surprise to most commentators</w:t>
      </w:r>
      <w:r w:rsidR="00657857" w:rsidRPr="00DF754F">
        <w:t>,</w:t>
      </w:r>
      <w:r w:rsidR="00C15F8A" w:rsidRPr="00DF754F">
        <w:t xml:space="preserve"> as </w:t>
      </w:r>
      <w:r w:rsidR="00E71437" w:rsidRPr="00DF754F">
        <w:t>the vote was expected to be close</w:t>
      </w:r>
      <w:r w:rsidR="006F6EBF" w:rsidRPr="00DF754F">
        <w:t xml:space="preserve"> (Bohan, 2018)</w:t>
      </w:r>
      <w:r w:rsidR="00C15F8A" w:rsidRPr="00DF754F">
        <w:t>.</w:t>
      </w:r>
    </w:p>
    <w:p w14:paraId="486C798F" w14:textId="6D2B9CB0" w:rsidR="000F31E2" w:rsidRPr="00DF754F" w:rsidRDefault="00056AD9" w:rsidP="00B5229A">
      <w:pPr>
        <w:spacing w:line="480" w:lineRule="auto"/>
        <w:outlineLvl w:val="0"/>
        <w:rPr>
          <w:rFonts w:cs="Times New Roman"/>
          <w:b/>
        </w:rPr>
      </w:pPr>
      <w:r w:rsidRPr="00DF754F">
        <w:rPr>
          <w:rFonts w:cs="Times New Roman"/>
          <w:b/>
        </w:rPr>
        <w:t xml:space="preserve">The </w:t>
      </w:r>
      <w:r w:rsidR="000F31E2" w:rsidRPr="00DF754F">
        <w:rPr>
          <w:rFonts w:cs="Times New Roman"/>
          <w:b/>
        </w:rPr>
        <w:t xml:space="preserve">Current </w:t>
      </w:r>
      <w:r w:rsidRPr="00DF754F">
        <w:rPr>
          <w:rFonts w:cs="Times New Roman"/>
          <w:b/>
        </w:rPr>
        <w:t>Investigation</w:t>
      </w:r>
    </w:p>
    <w:p w14:paraId="1508CAD6" w14:textId="54F5B55E" w:rsidR="00950AA1" w:rsidRPr="00DF754F" w:rsidRDefault="006374ED" w:rsidP="00733A57">
      <w:pPr>
        <w:spacing w:line="480" w:lineRule="auto"/>
        <w:ind w:firstLine="720"/>
        <w:rPr>
          <w:rFonts w:cs="Times New Roman"/>
        </w:rPr>
      </w:pPr>
      <w:r w:rsidRPr="00DF754F">
        <w:t>During the week p</w:t>
      </w:r>
      <w:r w:rsidR="008A4716" w:rsidRPr="00DF754F">
        <w:t>receding the referendum</w:t>
      </w:r>
      <w:r w:rsidRPr="00DF754F">
        <w:t>, p</w:t>
      </w:r>
      <w:r w:rsidR="008A4716" w:rsidRPr="00DF754F">
        <w:t>articipants complete</w:t>
      </w:r>
      <w:r w:rsidR="00D248E6" w:rsidRPr="00DF754F">
        <w:t>d</w:t>
      </w:r>
      <w:r w:rsidR="008A4716" w:rsidRPr="00DF754F">
        <w:t xml:space="preserve"> an online survey </w:t>
      </w:r>
      <w:r w:rsidR="008F4334" w:rsidRPr="00DF754F">
        <w:t>featuring</w:t>
      </w:r>
      <w:r w:rsidR="008A4716" w:rsidRPr="00DF754F">
        <w:t xml:space="preserve"> </w:t>
      </w:r>
      <w:r w:rsidR="005E6E49" w:rsidRPr="00DF754F">
        <w:t xml:space="preserve">true and fabricated </w:t>
      </w:r>
      <w:r w:rsidR="008A4716" w:rsidRPr="00DF754F">
        <w:t>campaign events</w:t>
      </w:r>
      <w:r w:rsidR="005E6E49" w:rsidRPr="00DF754F">
        <w:t>.</w:t>
      </w:r>
      <w:r w:rsidR="008A4716" w:rsidRPr="00DF754F">
        <w:t xml:space="preserve"> We</w:t>
      </w:r>
      <w:r w:rsidR="00E52941" w:rsidRPr="00DF754F">
        <w:t xml:space="preserve"> tested </w:t>
      </w:r>
      <w:r w:rsidR="006D5992" w:rsidRPr="00DF754F">
        <w:t>three</w:t>
      </w:r>
      <w:r w:rsidR="00E52941" w:rsidRPr="00DF754F">
        <w:t xml:space="preserve"> hypotheses. First, we expected voters</w:t>
      </w:r>
      <w:r w:rsidR="00E8707A" w:rsidRPr="00DF754F">
        <w:t xml:space="preserve"> to</w:t>
      </w:r>
      <w:r w:rsidR="00E52941" w:rsidRPr="00DF754F">
        <w:t xml:space="preserve"> </w:t>
      </w:r>
      <w:r w:rsidR="008A4716" w:rsidRPr="00DF754F">
        <w:t>report</w:t>
      </w:r>
      <w:r w:rsidR="00E8707A" w:rsidRPr="00DF754F">
        <w:t xml:space="preserve"> more false memories</w:t>
      </w:r>
      <w:r w:rsidR="008A4716" w:rsidRPr="00DF754F">
        <w:t xml:space="preserve"> for stories </w:t>
      </w:r>
      <w:r w:rsidR="00180408" w:rsidRPr="00DF754F">
        <w:t xml:space="preserve">consistent </w:t>
      </w:r>
      <w:r w:rsidR="008A4716" w:rsidRPr="00DF754F">
        <w:t>with their beliefs</w:t>
      </w:r>
      <w:r w:rsidR="000F31E2" w:rsidRPr="00DF754F">
        <w:t xml:space="preserve"> (i.e., Yes voters would remember </w:t>
      </w:r>
      <w:r w:rsidR="006F0A92" w:rsidRPr="00DF754F">
        <w:t>more scandals</w:t>
      </w:r>
      <w:r w:rsidR="000F31E2" w:rsidRPr="00DF754F">
        <w:t xml:space="preserve"> about the No camp</w:t>
      </w:r>
      <w:r w:rsidR="007A32EF" w:rsidRPr="00DF754F">
        <w:t>aign and vice-</w:t>
      </w:r>
      <w:r w:rsidR="000F31E2" w:rsidRPr="00DF754F">
        <w:t>versa).</w:t>
      </w:r>
      <w:r w:rsidR="007D375C" w:rsidRPr="00DF754F">
        <w:t xml:space="preserve"> Second, </w:t>
      </w:r>
      <w:r w:rsidR="00E52941" w:rsidRPr="00DF754F">
        <w:t>we expected l</w:t>
      </w:r>
      <w:r w:rsidR="008A4716" w:rsidRPr="00DF754F">
        <w:t>ower</w:t>
      </w:r>
      <w:r w:rsidR="00E52941" w:rsidRPr="00DF754F">
        <w:t xml:space="preserve"> </w:t>
      </w:r>
      <w:r w:rsidR="008A4716" w:rsidRPr="00DF754F">
        <w:t xml:space="preserve">cognitive ability </w:t>
      </w:r>
      <w:r w:rsidR="00E52941" w:rsidRPr="00DF754F">
        <w:t xml:space="preserve">to </w:t>
      </w:r>
      <w:r w:rsidR="008A4716" w:rsidRPr="00DF754F">
        <w:t>be associated with increased false memories, particularly for stories in line with participants’ beliefs</w:t>
      </w:r>
      <w:r w:rsidR="000F31E2" w:rsidRPr="00DF754F">
        <w:t>.</w:t>
      </w:r>
      <w:r w:rsidR="00E52941" w:rsidRPr="00DF754F">
        <w:t xml:space="preserve"> </w:t>
      </w:r>
      <w:r w:rsidR="00185DE0" w:rsidRPr="00DF754F">
        <w:t>Third</w:t>
      </w:r>
      <w:r w:rsidR="006D5992" w:rsidRPr="00DF754F">
        <w:t xml:space="preserve">, </w:t>
      </w:r>
      <w:r w:rsidR="007D375C" w:rsidRPr="00DF754F">
        <w:t xml:space="preserve">we </w:t>
      </w:r>
      <w:r w:rsidR="006D5992" w:rsidRPr="00DF754F">
        <w:t xml:space="preserve">expected political orientation and </w:t>
      </w:r>
      <w:r w:rsidR="00C47818" w:rsidRPr="00DF754F">
        <w:t>cognitive</w:t>
      </w:r>
      <w:r w:rsidR="007D375C" w:rsidRPr="00DF754F">
        <w:t xml:space="preserve"> ability</w:t>
      </w:r>
      <w:r w:rsidR="006D5992" w:rsidRPr="00DF754F">
        <w:t xml:space="preserve"> </w:t>
      </w:r>
      <w:r w:rsidR="007D375C" w:rsidRPr="00DF754F">
        <w:t xml:space="preserve">to predict participants’ ability to </w:t>
      </w:r>
      <w:r w:rsidR="00EA1FC9" w:rsidRPr="00DF754F">
        <w:t>identify</w:t>
      </w:r>
      <w:r w:rsidR="007D375C" w:rsidRPr="00DF754F">
        <w:t xml:space="preserve"> the fake news stories after they were </w:t>
      </w:r>
      <w:r w:rsidR="003F7D58" w:rsidRPr="00DF754F">
        <w:t>warned</w:t>
      </w:r>
      <w:r w:rsidR="007D375C" w:rsidRPr="00DF754F">
        <w:t xml:space="preserve"> about the </w:t>
      </w:r>
      <w:r w:rsidR="003F7D58" w:rsidRPr="00DF754F">
        <w:t>possible presence of misleading information</w:t>
      </w:r>
      <w:r w:rsidR="007D375C" w:rsidRPr="00DF754F">
        <w:t xml:space="preserve">. </w:t>
      </w:r>
    </w:p>
    <w:p w14:paraId="605D9F6D" w14:textId="77777777" w:rsidR="00A171CF" w:rsidRDefault="00A171CF" w:rsidP="00A171CF">
      <w:pPr>
        <w:spacing w:line="480" w:lineRule="auto"/>
        <w:jc w:val="center"/>
        <w:rPr>
          <w:b/>
        </w:rPr>
      </w:pPr>
    </w:p>
    <w:p w14:paraId="4DCE5423" w14:textId="59CE74A4" w:rsidR="00C05D8C" w:rsidRDefault="002505D9" w:rsidP="00B5229A">
      <w:pPr>
        <w:spacing w:line="480" w:lineRule="auto"/>
        <w:jc w:val="center"/>
        <w:outlineLvl w:val="0"/>
        <w:rPr>
          <w:b/>
        </w:rPr>
      </w:pPr>
      <w:r>
        <w:rPr>
          <w:b/>
        </w:rPr>
        <w:t>Method</w:t>
      </w:r>
    </w:p>
    <w:p w14:paraId="7B3774EA" w14:textId="14A0F3C5" w:rsidR="002B1529" w:rsidRPr="00DF754F" w:rsidRDefault="0031768D" w:rsidP="00B5229A">
      <w:pPr>
        <w:spacing w:line="480" w:lineRule="auto"/>
        <w:outlineLvl w:val="0"/>
        <w:rPr>
          <w:b/>
        </w:rPr>
      </w:pPr>
      <w:r w:rsidRPr="0031768D">
        <w:rPr>
          <w:b/>
        </w:rPr>
        <w:t>Participants</w:t>
      </w:r>
    </w:p>
    <w:p w14:paraId="10815918" w14:textId="5040508A" w:rsidR="0031768D" w:rsidRPr="00DF754F" w:rsidRDefault="007561B0" w:rsidP="00F465BA">
      <w:pPr>
        <w:spacing w:line="480" w:lineRule="auto"/>
        <w:ind w:firstLine="720"/>
      </w:pPr>
      <w:r w:rsidRPr="00DF754F">
        <w:t xml:space="preserve">Participants </w:t>
      </w:r>
      <w:r w:rsidR="00FB6053" w:rsidRPr="00DF754F">
        <w:t>(</w:t>
      </w:r>
      <w:r w:rsidR="00FB6053" w:rsidRPr="00DF754F">
        <w:rPr>
          <w:i/>
        </w:rPr>
        <w:t>N</w:t>
      </w:r>
      <w:r w:rsidR="00FB6053" w:rsidRPr="00DF754F">
        <w:t xml:space="preserve"> = 3140) </w:t>
      </w:r>
      <w:r w:rsidRPr="00DF754F">
        <w:t xml:space="preserve">were recruited via social media, university </w:t>
      </w:r>
      <w:r w:rsidR="0018772C" w:rsidRPr="00DF754F">
        <w:t>mailing</w:t>
      </w:r>
      <w:r w:rsidRPr="00DF754F">
        <w:t xml:space="preserve"> lists</w:t>
      </w:r>
      <w:r w:rsidR="000F31E2" w:rsidRPr="00DF754F">
        <w:t>,</w:t>
      </w:r>
      <w:r w:rsidRPr="00DF754F">
        <w:t xml:space="preserve"> and an article on </w:t>
      </w:r>
      <w:r w:rsidR="001E47B1" w:rsidRPr="00DF754F">
        <w:t>TheJournal.ie, an Irish online news outlet</w:t>
      </w:r>
      <w:r w:rsidR="00D27598" w:rsidRPr="00DF754F">
        <w:t xml:space="preserve"> (available in Supplementary Materials)</w:t>
      </w:r>
      <w:r w:rsidR="001E47B1" w:rsidRPr="00DF754F">
        <w:t>.</w:t>
      </w:r>
      <w:r w:rsidR="00491E72" w:rsidRPr="00DF754F">
        <w:t xml:space="preserve"> </w:t>
      </w:r>
      <w:r w:rsidR="001A46DA" w:rsidRPr="00DF754F">
        <w:t>The mean age was 32.02 (</w:t>
      </w:r>
      <w:r w:rsidR="001A46DA" w:rsidRPr="00DF754F">
        <w:rPr>
          <w:i/>
        </w:rPr>
        <w:t>SD</w:t>
      </w:r>
      <w:r w:rsidR="001A46DA" w:rsidRPr="00DF754F">
        <w:t xml:space="preserve"> = 13.11). </w:t>
      </w:r>
      <w:r w:rsidR="00FB6053" w:rsidRPr="00DF754F">
        <w:t>P</w:t>
      </w:r>
      <w:r w:rsidR="001A46DA" w:rsidRPr="00DF754F">
        <w:t>articipants reported their biological sex as female</w:t>
      </w:r>
      <w:r w:rsidR="00FB6053" w:rsidRPr="00DF754F">
        <w:t xml:space="preserve"> (2122)</w:t>
      </w:r>
      <w:r w:rsidR="001A46DA" w:rsidRPr="00DF754F">
        <w:t>, male</w:t>
      </w:r>
      <w:r w:rsidR="00FB6053" w:rsidRPr="00DF754F">
        <w:t xml:space="preserve"> (991)</w:t>
      </w:r>
      <w:r w:rsidR="001A46DA" w:rsidRPr="00DF754F">
        <w:t xml:space="preserve">, </w:t>
      </w:r>
      <w:r w:rsidR="00A60A79" w:rsidRPr="00DF754F">
        <w:t xml:space="preserve">and </w:t>
      </w:r>
      <w:r w:rsidR="001A46DA" w:rsidRPr="00DF754F">
        <w:t>other</w:t>
      </w:r>
      <w:r w:rsidR="00FB6053" w:rsidRPr="00DF754F">
        <w:t xml:space="preserve"> (3)</w:t>
      </w:r>
      <w:r w:rsidR="00A60A79" w:rsidRPr="00DF754F">
        <w:t>;</w:t>
      </w:r>
      <w:r w:rsidR="001A46DA" w:rsidRPr="00DF754F">
        <w:t xml:space="preserve"> 24 declined to answer. </w:t>
      </w:r>
      <w:r w:rsidR="00E04F83" w:rsidRPr="00DF754F">
        <w:t>The majority of the sample (</w:t>
      </w:r>
      <w:r w:rsidR="00F9657B" w:rsidRPr="00DF754F">
        <w:t>2342</w:t>
      </w:r>
      <w:r w:rsidR="00E04F83" w:rsidRPr="00DF754F">
        <w:t>)</w:t>
      </w:r>
      <w:r w:rsidR="00082FB1" w:rsidRPr="00DF754F">
        <w:t xml:space="preserve"> indicated </w:t>
      </w:r>
      <w:r w:rsidR="007204DF" w:rsidRPr="00DF754F">
        <w:t xml:space="preserve">that they would be voting Yes (to repeal the ban on abortion), </w:t>
      </w:r>
      <w:r w:rsidR="00F9657B" w:rsidRPr="00DF754F">
        <w:t>379</w:t>
      </w:r>
      <w:r w:rsidR="007204DF" w:rsidRPr="00DF754F">
        <w:t xml:space="preserve"> indicated they would be voting No (to retain the ban on abortion)</w:t>
      </w:r>
      <w:r w:rsidR="00822490" w:rsidRPr="00DF754F">
        <w:t xml:space="preserve">, </w:t>
      </w:r>
      <w:r w:rsidR="00F9657B" w:rsidRPr="00DF754F">
        <w:t xml:space="preserve">147 </w:t>
      </w:r>
      <w:r w:rsidR="007204DF" w:rsidRPr="00DF754F">
        <w:t>were unsure how they would vote</w:t>
      </w:r>
      <w:r w:rsidR="00822490" w:rsidRPr="00DF754F">
        <w:t xml:space="preserve">, </w:t>
      </w:r>
      <w:r w:rsidR="00F9657B" w:rsidRPr="00DF754F">
        <w:t>128</w:t>
      </w:r>
      <w:r w:rsidR="000D2CBB" w:rsidRPr="00DF754F">
        <w:t xml:space="preserve"> reported that t</w:t>
      </w:r>
      <w:r w:rsidR="003F1B8F" w:rsidRPr="00DF754F">
        <w:t>hey would not or could not vote</w:t>
      </w:r>
      <w:r w:rsidR="00822490" w:rsidRPr="00DF754F">
        <w:t xml:space="preserve">, and </w:t>
      </w:r>
      <w:r w:rsidR="00F9657B" w:rsidRPr="00DF754F">
        <w:t>144</w:t>
      </w:r>
      <w:r w:rsidR="003F1B8F" w:rsidRPr="00DF754F">
        <w:t xml:space="preserve"> declined to </w:t>
      </w:r>
      <w:r w:rsidR="000477D2" w:rsidRPr="00DF754F">
        <w:t>state their voting preference</w:t>
      </w:r>
      <w:r w:rsidR="003F1B8F" w:rsidRPr="00DF754F">
        <w:t>.</w:t>
      </w:r>
      <w:r w:rsidR="003E7C9F" w:rsidRPr="00DF754F">
        <w:t xml:space="preserve"> </w:t>
      </w:r>
      <w:r w:rsidR="005474B7" w:rsidRPr="00DF754F">
        <w:t xml:space="preserve">Though No voters were specifically targeted in recruitment efforts, the online data collection was perhaps more suited to Yes voters - exit polls showed that the only age cohort </w:t>
      </w:r>
      <w:r w:rsidR="006E35BE" w:rsidRPr="00DF754F">
        <w:t xml:space="preserve">with a majority of </w:t>
      </w:r>
      <w:r w:rsidR="005474B7" w:rsidRPr="00DF754F">
        <w:t xml:space="preserve">No </w:t>
      </w:r>
      <w:r w:rsidR="006E35BE" w:rsidRPr="00DF754F">
        <w:t xml:space="preserve">voters </w:t>
      </w:r>
      <w:r w:rsidR="005474B7" w:rsidRPr="00DF754F">
        <w:t xml:space="preserve">were over 65’s, with 87% of 18-24 year olds voting Yes (Leahy, 2018). </w:t>
      </w:r>
      <w:r w:rsidR="00F465BA" w:rsidRPr="00DF754F">
        <w:t>We calculated that a sample of 260 (130 per group</w:t>
      </w:r>
      <w:r w:rsidR="00274FEE" w:rsidRPr="00DF754F">
        <w:t>)</w:t>
      </w:r>
      <w:r w:rsidR="00F465BA" w:rsidRPr="00DF754F">
        <w:t xml:space="preserve"> was needed to detect the smallest effect size reported in similar studies (Frenda et al., 2013).</w:t>
      </w:r>
    </w:p>
    <w:p w14:paraId="7A13315E" w14:textId="77777777" w:rsidR="00F9657B" w:rsidRPr="00DF754F" w:rsidRDefault="00F9657B" w:rsidP="00733A57">
      <w:pPr>
        <w:spacing w:line="480" w:lineRule="auto"/>
        <w:rPr>
          <w:b/>
        </w:rPr>
      </w:pPr>
    </w:p>
    <w:p w14:paraId="52A339A3" w14:textId="77777777" w:rsidR="002505D9" w:rsidRPr="00DF754F" w:rsidRDefault="002505D9" w:rsidP="00B5229A">
      <w:pPr>
        <w:spacing w:line="480" w:lineRule="auto"/>
        <w:outlineLvl w:val="0"/>
        <w:rPr>
          <w:b/>
        </w:rPr>
      </w:pPr>
      <w:r w:rsidRPr="00DF754F">
        <w:rPr>
          <w:b/>
        </w:rPr>
        <w:t>Materials</w:t>
      </w:r>
    </w:p>
    <w:p w14:paraId="24A5FE8C" w14:textId="5AE5E01D" w:rsidR="001A63CE" w:rsidRPr="00DF754F" w:rsidRDefault="001B589C" w:rsidP="00A171CF">
      <w:pPr>
        <w:spacing w:line="480" w:lineRule="auto"/>
        <w:ind w:firstLine="720"/>
      </w:pPr>
      <w:r w:rsidRPr="00DF754F">
        <w:t>The news events presented in this study</w:t>
      </w:r>
      <w:r w:rsidR="00F132F3" w:rsidRPr="00DF754F">
        <w:t xml:space="preserve"> consisted</w:t>
      </w:r>
      <w:r w:rsidRPr="00DF754F">
        <w:t xml:space="preserve"> of an unaltered photograph accompanied by a short summary (</w:t>
      </w:r>
      <w:r w:rsidR="00F132F3" w:rsidRPr="00DF754F">
        <w:t xml:space="preserve">for similar methods, see </w:t>
      </w:r>
      <w:r w:rsidRPr="00DF754F">
        <w:t>Strange et al., 2011</w:t>
      </w:r>
      <w:r w:rsidR="006F4C30" w:rsidRPr="00DF754F">
        <w:t>;</w:t>
      </w:r>
      <w:r w:rsidRPr="00DF754F">
        <w:t xml:space="preserve"> O’Connell &amp; Greene, 2017). </w:t>
      </w:r>
      <w:r w:rsidR="00501079" w:rsidRPr="00DF754F">
        <w:t xml:space="preserve"> </w:t>
      </w:r>
      <w:r w:rsidR="005604D4" w:rsidRPr="00DF754F">
        <w:t xml:space="preserve">After reading the story, participants were asked if they remembered the event, to which they could respond ‘I remember seeing/hearing this’, ‘I don’t remember seeing/hearing this but I remember it happening’, ‘I don’t remember this but I believe it happened’, ‘I remember this differently’ or ‘I don’t remember this’. </w:t>
      </w:r>
      <w:r w:rsidR="00585053" w:rsidRPr="00DF754F">
        <w:t>Unlike previous studies in this area, participants were given the option of reporting a mere belief that an event had happened</w:t>
      </w:r>
      <w:r w:rsidR="0025414E" w:rsidRPr="00DF754F">
        <w:t xml:space="preserve">, allowing the </w:t>
      </w:r>
      <w:r w:rsidR="00FA4C6C" w:rsidRPr="00DF754F">
        <w:t xml:space="preserve">data to speak to </w:t>
      </w:r>
      <w:r w:rsidR="0025414E" w:rsidRPr="00DF754F">
        <w:t>the</w:t>
      </w:r>
      <w:r w:rsidR="00190269" w:rsidRPr="00DF754F">
        <w:t xml:space="preserve"> </w:t>
      </w:r>
      <w:r w:rsidR="00585053" w:rsidRPr="00DF754F">
        <w:t xml:space="preserve">recent debate </w:t>
      </w:r>
      <w:r w:rsidR="0025414E" w:rsidRPr="00DF754F">
        <w:t xml:space="preserve">concerning </w:t>
      </w:r>
      <w:r w:rsidR="00585053" w:rsidRPr="00DF754F">
        <w:t xml:space="preserve">the prevalence of false memories </w:t>
      </w:r>
      <w:r w:rsidR="00F132F3" w:rsidRPr="00DF754F">
        <w:t>versus</w:t>
      </w:r>
      <w:r w:rsidR="00585053" w:rsidRPr="00DF754F">
        <w:t xml:space="preserve"> false beliefs </w:t>
      </w:r>
      <w:r w:rsidR="001329E9" w:rsidRPr="00DF754F">
        <w:t xml:space="preserve">(Brewin &amp; Andrews, 2017; </w:t>
      </w:r>
      <w:r w:rsidR="0003110A" w:rsidRPr="00DF754F">
        <w:t xml:space="preserve">Wade, Garry &amp; Pezdek, 2018). </w:t>
      </w:r>
      <w:r w:rsidR="005604D4" w:rsidRPr="00DF754F">
        <w:t xml:space="preserve">Participants were also asked if they remembered where they had heard about the event </w:t>
      </w:r>
      <w:r w:rsidR="008167C6" w:rsidRPr="00DF754F">
        <w:t xml:space="preserve">and </w:t>
      </w:r>
      <w:r w:rsidR="00F132F3" w:rsidRPr="00DF754F">
        <w:t xml:space="preserve">they </w:t>
      </w:r>
      <w:r w:rsidR="008167C6" w:rsidRPr="00DF754F">
        <w:t xml:space="preserve">could select from a range of options </w:t>
      </w:r>
      <w:r w:rsidR="00F132F3" w:rsidRPr="00DF754F">
        <w:t xml:space="preserve">(e.g., </w:t>
      </w:r>
      <w:r w:rsidR="008167C6" w:rsidRPr="00DF754F">
        <w:t xml:space="preserve">TV, social media, a friend, other </w:t>
      </w:r>
      <w:r w:rsidR="00185DE0" w:rsidRPr="00DF754F">
        <w:t>source) or</w:t>
      </w:r>
      <w:r w:rsidR="008167C6" w:rsidRPr="00DF754F">
        <w:t xml:space="preserve"> could indicate that they didn’t remember where they had heard it. Finally, participants were asked </w:t>
      </w:r>
      <w:r w:rsidR="00082FB1" w:rsidRPr="00DF754F">
        <w:t>‘</w:t>
      </w:r>
      <w:r w:rsidR="008167C6" w:rsidRPr="00DF754F">
        <w:t xml:space="preserve">how </w:t>
      </w:r>
      <w:r w:rsidR="00082FB1" w:rsidRPr="00DF754F">
        <w:t>did you feel at the time?’ and</w:t>
      </w:r>
      <w:r w:rsidR="008167C6" w:rsidRPr="00DF754F">
        <w:t xml:space="preserve"> provided with a text box to write a</w:t>
      </w:r>
      <w:r w:rsidR="00185DE0" w:rsidRPr="00DF754F">
        <w:t>n</w:t>
      </w:r>
      <w:r w:rsidR="008167C6" w:rsidRPr="00DF754F">
        <w:t xml:space="preserve"> </w:t>
      </w:r>
      <w:r w:rsidR="00C14959" w:rsidRPr="00DF754F">
        <w:t xml:space="preserve">open-ended </w:t>
      </w:r>
      <w:r w:rsidR="00082FB1" w:rsidRPr="00DF754F">
        <w:t>response</w:t>
      </w:r>
      <w:r w:rsidR="008167C6" w:rsidRPr="00DF754F">
        <w:t xml:space="preserve">. </w:t>
      </w:r>
    </w:p>
    <w:p w14:paraId="3D5DFAC4" w14:textId="24349F8C" w:rsidR="001A63CE" w:rsidRPr="00DF754F" w:rsidRDefault="00502CA7" w:rsidP="00733A57">
      <w:pPr>
        <w:spacing w:line="480" w:lineRule="auto"/>
        <w:ind w:firstLine="720"/>
      </w:pPr>
      <w:r w:rsidRPr="00DF754F">
        <w:t xml:space="preserve">Each participant saw </w:t>
      </w:r>
      <w:r w:rsidR="00E174D5" w:rsidRPr="00DF754F">
        <w:t>four</w:t>
      </w:r>
      <w:r w:rsidRPr="00DF754F">
        <w:t xml:space="preserve"> true news stories, selected </w:t>
      </w:r>
      <w:r w:rsidR="00CC1606" w:rsidRPr="00DF754F">
        <w:t>from a potential pool of eight (see</w:t>
      </w:r>
      <w:r w:rsidR="00C16A5F" w:rsidRPr="00DF754F">
        <w:t xml:space="preserve"> Supplementary Materials. </w:t>
      </w:r>
      <w:r w:rsidR="008E566C" w:rsidRPr="00DF754F">
        <w:t xml:space="preserve"> </w:t>
      </w:r>
      <w:r w:rsidR="00A44999" w:rsidRPr="00DF754F">
        <w:t>To ensure that the study did not influence voting behavior so close to a referendum</w:t>
      </w:r>
      <w:r w:rsidR="00501079" w:rsidRPr="00DF754F">
        <w:t xml:space="preserve">, </w:t>
      </w:r>
      <w:r w:rsidR="009366F6" w:rsidRPr="00DF754F">
        <w:t xml:space="preserve">none of </w:t>
      </w:r>
      <w:r w:rsidR="007464F8" w:rsidRPr="00DF754F">
        <w:t>the</w:t>
      </w:r>
      <w:r w:rsidR="00F4496F" w:rsidRPr="00DF754F">
        <w:t xml:space="preserve"> stories</w:t>
      </w:r>
      <w:r w:rsidR="007464F8" w:rsidRPr="00DF754F">
        <w:t xml:space="preserve"> concerned information about the referendum itself or the proposed legislative changes. Instead, </w:t>
      </w:r>
      <w:r w:rsidR="009366F6" w:rsidRPr="00DF754F">
        <w:t xml:space="preserve">both the true and false </w:t>
      </w:r>
      <w:r w:rsidR="007464F8" w:rsidRPr="00DF754F">
        <w:t>stories focused on events from the campaigns (e.g. the actions of poli</w:t>
      </w:r>
      <w:r w:rsidR="00E64708" w:rsidRPr="00DF754F">
        <w:t xml:space="preserve">ticians or campaign leaders), with </w:t>
      </w:r>
      <w:r w:rsidR="00501079" w:rsidRPr="00DF754F">
        <w:t>a balance of positive and nega</w:t>
      </w:r>
      <w:r w:rsidR="007464F8" w:rsidRPr="00DF754F">
        <w:t xml:space="preserve">tive events </w:t>
      </w:r>
      <w:r w:rsidR="00F4496F" w:rsidRPr="00DF754F">
        <w:t>concerning</w:t>
      </w:r>
      <w:r w:rsidR="007464F8" w:rsidRPr="00DF754F">
        <w:t xml:space="preserve"> each side</w:t>
      </w:r>
      <w:r w:rsidR="00501079" w:rsidRPr="00DF754F">
        <w:t xml:space="preserve">. </w:t>
      </w:r>
    </w:p>
    <w:p w14:paraId="43652CBF" w14:textId="75EA0B10" w:rsidR="00A038CB" w:rsidRPr="00DF754F" w:rsidRDefault="004B7F7D" w:rsidP="00733A57">
      <w:pPr>
        <w:spacing w:line="480" w:lineRule="auto"/>
        <w:ind w:firstLine="720"/>
      </w:pPr>
      <w:r w:rsidRPr="00DF754F">
        <w:t xml:space="preserve">There were a total of </w:t>
      </w:r>
      <w:r w:rsidR="00C14959" w:rsidRPr="00DF754F">
        <w:t>four</w:t>
      </w:r>
      <w:r w:rsidRPr="00DF754F">
        <w:t xml:space="preserve"> fabricated news events (see F</w:t>
      </w:r>
      <w:r w:rsidR="00A038CB" w:rsidRPr="00DF754F">
        <w:t>igure 1). The first story concerned</w:t>
      </w:r>
      <w:r w:rsidR="00144B13" w:rsidRPr="00DF754F">
        <w:t xml:space="preserve"> </w:t>
      </w:r>
      <w:r w:rsidR="00F87ACE" w:rsidRPr="00DF754F">
        <w:t xml:space="preserve">either the Yes side or the No side having to destroy campaign posters purchased illegally using </w:t>
      </w:r>
      <w:r w:rsidR="00144B13" w:rsidRPr="00DF754F">
        <w:t>foreign funds</w:t>
      </w:r>
      <w:r w:rsidR="00F87ACE" w:rsidRPr="00DF754F">
        <w:t>.</w:t>
      </w:r>
      <w:r w:rsidR="00A038CB" w:rsidRPr="00DF754F">
        <w:t xml:space="preserve"> This story was plausible as </w:t>
      </w:r>
      <w:r w:rsidR="00CC2E07" w:rsidRPr="00DF754F">
        <w:t xml:space="preserve">speculation </w:t>
      </w:r>
      <w:r w:rsidR="00FC3ECC" w:rsidRPr="00DF754F">
        <w:t>about</w:t>
      </w:r>
      <w:r w:rsidR="00A038CB" w:rsidRPr="00DF754F">
        <w:t xml:space="preserve"> foreign interference in the referendum had dominated headlines in the preceding weeks</w:t>
      </w:r>
      <w:r w:rsidR="008C2428" w:rsidRPr="00DF754F">
        <w:t xml:space="preserve"> (Ní Aodha, 2018). </w:t>
      </w:r>
      <w:r w:rsidR="00A038CB" w:rsidRPr="00DF754F">
        <w:t>Facebook announced a ban on all ads from foreign sources just two weeks before the referendum, with Google going further and bann</w:t>
      </w:r>
      <w:r w:rsidR="008E566C" w:rsidRPr="00DF754F">
        <w:t xml:space="preserve">ing all referendum-related ads, </w:t>
      </w:r>
      <w:r w:rsidR="00A038CB" w:rsidRPr="00DF754F">
        <w:t xml:space="preserve">citing fears over election integrity. Crucially, neither group’s posters were found to be funded with foreign money and none were destroyed at any point. The second </w:t>
      </w:r>
      <w:r w:rsidR="008E566C" w:rsidRPr="00DF754F">
        <w:t xml:space="preserve">fabricated </w:t>
      </w:r>
      <w:r w:rsidR="00A038CB" w:rsidRPr="00DF754F">
        <w:t xml:space="preserve">story linked the referendum campaign to a high-profile sexual assault </w:t>
      </w:r>
      <w:r w:rsidR="00B656A4" w:rsidRPr="00DF754F">
        <w:t>trial that took place in Northern Ireland in 2018. The Yes and No versions of this story were designed to specifically tap into existing stere</w:t>
      </w:r>
      <w:r w:rsidR="00623FB0" w:rsidRPr="00DF754F">
        <w:t>otypes of each group of voters;</w:t>
      </w:r>
      <w:r w:rsidR="00B656A4" w:rsidRPr="00DF754F">
        <w:t xml:space="preserve"> that </w:t>
      </w:r>
      <w:r w:rsidR="009B1678" w:rsidRPr="00DF754F">
        <w:t>the Yes side were dramatic feminists</w:t>
      </w:r>
      <w:r w:rsidR="00F27DA9" w:rsidRPr="00DF754F">
        <w:t xml:space="preserve"> who were </w:t>
      </w:r>
      <w:r w:rsidR="009B1678" w:rsidRPr="00DF754F">
        <w:t xml:space="preserve">exaggerating the negative impact of the </w:t>
      </w:r>
      <w:r w:rsidR="00456DED" w:rsidRPr="00DF754F">
        <w:t>eighth</w:t>
      </w:r>
      <w:r w:rsidR="009B1678" w:rsidRPr="00DF754F">
        <w:t xml:space="preserve"> amendment</w:t>
      </w:r>
      <w:r w:rsidR="00F27DA9" w:rsidRPr="00DF754F">
        <w:t>,</w:t>
      </w:r>
      <w:r w:rsidR="009B1678" w:rsidRPr="00DF754F">
        <w:t xml:space="preserve"> </w:t>
      </w:r>
      <w:r w:rsidR="00B656A4" w:rsidRPr="00DF754F">
        <w:t>and that the No side were misogynist</w:t>
      </w:r>
      <w:r w:rsidR="00F27DA9" w:rsidRPr="00DF754F">
        <w:t>s</w:t>
      </w:r>
      <w:r w:rsidR="00B656A4" w:rsidRPr="00DF754F">
        <w:t xml:space="preserve"> </w:t>
      </w:r>
      <w:r w:rsidR="00F27DA9" w:rsidRPr="00DF754F">
        <w:t>who</w:t>
      </w:r>
      <w:r w:rsidR="00B656A4" w:rsidRPr="00DF754F">
        <w:t xml:space="preserve"> did not trust women to make their own decisions. </w:t>
      </w:r>
    </w:p>
    <w:p w14:paraId="47477AEC" w14:textId="33642129" w:rsidR="004B21EB" w:rsidRPr="00DF754F" w:rsidRDefault="001A6D53" w:rsidP="004B21EB">
      <w:pPr>
        <w:shd w:val="clear" w:color="auto" w:fill="FFFFFF"/>
        <w:spacing w:line="480" w:lineRule="auto"/>
        <w:ind w:firstLine="720"/>
      </w:pPr>
      <w:r w:rsidRPr="00DF754F">
        <w:rPr>
          <w:rFonts w:eastAsia="Times New Roman" w:cs="Times New Roman"/>
        </w:rPr>
        <w:t>To assess cognitive ability, a</w:t>
      </w:r>
      <w:r w:rsidR="00502CA7" w:rsidRPr="00DF754F">
        <w:rPr>
          <w:rFonts w:eastAsia="Times New Roman" w:cs="Times New Roman"/>
        </w:rPr>
        <w:t>ll p</w:t>
      </w:r>
      <w:r w:rsidR="004B21EB" w:rsidRPr="00DF754F">
        <w:rPr>
          <w:rFonts w:eastAsia="Times New Roman" w:cs="Times New Roman"/>
        </w:rPr>
        <w:t>articipants were invited to complete the Wordsum at the end of the study. Wordsum is a 10-item sub</w:t>
      </w:r>
      <w:r w:rsidR="00A60A79" w:rsidRPr="00DF754F">
        <w:rPr>
          <w:rFonts w:eastAsia="Times New Roman" w:cs="Times New Roman"/>
        </w:rPr>
        <w:t>test</w:t>
      </w:r>
      <w:r w:rsidR="004B21EB" w:rsidRPr="00DF754F">
        <w:rPr>
          <w:rFonts w:eastAsia="Times New Roman" w:cs="Times New Roman"/>
        </w:rPr>
        <w:t xml:space="preserve"> of the </w:t>
      </w:r>
      <w:r w:rsidR="006F4C30" w:rsidRPr="00DF754F">
        <w:rPr>
          <w:rFonts w:eastAsia="Times New Roman" w:cs="Times New Roman"/>
        </w:rPr>
        <w:t xml:space="preserve">Wechsler Adult Intelligence Scale </w:t>
      </w:r>
      <w:r w:rsidR="004B21EB" w:rsidRPr="00DF754F">
        <w:rPr>
          <w:rFonts w:eastAsia="Times New Roman" w:cs="Times New Roman"/>
        </w:rPr>
        <w:t>vocabulary test</w:t>
      </w:r>
      <w:r w:rsidRPr="00DF754F">
        <w:rPr>
          <w:rFonts w:eastAsia="Times New Roman" w:cs="Times New Roman"/>
        </w:rPr>
        <w:t>. P</w:t>
      </w:r>
      <w:r w:rsidR="004B21EB" w:rsidRPr="00DF754F">
        <w:rPr>
          <w:rFonts w:eastAsia="Times New Roman" w:cs="Times New Roman"/>
        </w:rPr>
        <w:t xml:space="preserve">articipants </w:t>
      </w:r>
      <w:r w:rsidRPr="00DF754F">
        <w:rPr>
          <w:rFonts w:eastAsia="Times New Roman" w:cs="Times New Roman"/>
        </w:rPr>
        <w:t xml:space="preserve">are presented </w:t>
      </w:r>
      <w:r w:rsidR="004B21EB" w:rsidRPr="00DF754F">
        <w:rPr>
          <w:rFonts w:eastAsia="Times New Roman" w:cs="Times New Roman"/>
        </w:rPr>
        <w:t xml:space="preserve">with a target word </w:t>
      </w:r>
      <w:r w:rsidR="004D4757" w:rsidRPr="00DF754F">
        <w:rPr>
          <w:rFonts w:eastAsia="Times New Roman" w:cs="Times New Roman"/>
        </w:rPr>
        <w:t>and ask</w:t>
      </w:r>
      <w:r w:rsidRPr="00DF754F">
        <w:rPr>
          <w:rFonts w:eastAsia="Times New Roman" w:cs="Times New Roman"/>
        </w:rPr>
        <w:t>ed</w:t>
      </w:r>
      <w:r w:rsidR="004D4757" w:rsidRPr="00DF754F">
        <w:rPr>
          <w:rFonts w:eastAsia="Times New Roman" w:cs="Times New Roman"/>
        </w:rPr>
        <w:t xml:space="preserve"> </w:t>
      </w:r>
      <w:r w:rsidR="004B21EB" w:rsidRPr="00DF754F">
        <w:rPr>
          <w:rFonts w:eastAsia="Times New Roman" w:cs="Times New Roman"/>
        </w:rPr>
        <w:t>to select the closest match from a list of 5 other words (</w:t>
      </w:r>
      <w:r w:rsidR="004B21EB" w:rsidRPr="00DF754F">
        <w:t>Thorndike &amp; Gallup, 1944). Wordsum has been used extensively in the General Social Survey in the US, where the average sc</w:t>
      </w:r>
      <w:r w:rsidR="004A5301" w:rsidRPr="00DF754F">
        <w:t xml:space="preserve">ore is 6/10 (Meisenberg, 2015) </w:t>
      </w:r>
      <w:r w:rsidR="004B21EB" w:rsidRPr="00DF754F">
        <w:t xml:space="preserve">and </w:t>
      </w:r>
      <w:r w:rsidR="004A5301" w:rsidRPr="00DF754F">
        <w:t xml:space="preserve">is </w:t>
      </w:r>
      <w:r w:rsidR="004B21EB" w:rsidRPr="00DF754F">
        <w:t xml:space="preserve">highly correlated with more extensive IQ tests (Miner, 1957). </w:t>
      </w:r>
    </w:p>
    <w:p w14:paraId="011A5A10" w14:textId="77777777" w:rsidR="00733A57" w:rsidRPr="008F0DA2" w:rsidRDefault="00733A57" w:rsidP="00B5229A">
      <w:pPr>
        <w:spacing w:line="480" w:lineRule="auto"/>
        <w:outlineLvl w:val="0"/>
        <w:rPr>
          <w:b/>
        </w:rPr>
      </w:pPr>
      <w:r w:rsidRPr="00DD4784">
        <w:rPr>
          <w:b/>
        </w:rPr>
        <w:t>Procedure</w:t>
      </w:r>
    </w:p>
    <w:p w14:paraId="6AFDC4B1" w14:textId="55B683A2" w:rsidR="00733A57" w:rsidRPr="006B1D1A" w:rsidRDefault="000F780C" w:rsidP="00A171CF">
      <w:pPr>
        <w:shd w:val="clear" w:color="auto" w:fill="FFFFFF"/>
        <w:spacing w:line="480" w:lineRule="auto"/>
        <w:ind w:firstLine="720"/>
      </w:pPr>
      <w:r w:rsidRPr="000F780C">
        <w:t xml:space="preserve">The study procedures were approved by the School of Applied Psychology Ethics Committee, University College Cork. </w:t>
      </w:r>
      <w:r w:rsidR="00733A57" w:rsidRPr="000F780C">
        <w:t xml:space="preserve">The </w:t>
      </w:r>
      <w:r w:rsidR="006F4C30" w:rsidRPr="000F780C">
        <w:t xml:space="preserve">survey </w:t>
      </w:r>
      <w:r w:rsidR="00A5715F" w:rsidRPr="000F780C">
        <w:t xml:space="preserve">was described </w:t>
      </w:r>
      <w:r>
        <w:t xml:space="preserve">to participants </w:t>
      </w:r>
      <w:r w:rsidR="00A5715F" w:rsidRPr="000F780C">
        <w:t xml:space="preserve">as </w:t>
      </w:r>
      <w:r>
        <w:t>‘</w:t>
      </w:r>
      <w:r w:rsidR="00A5715F" w:rsidRPr="000F780C">
        <w:t>investigating attitudes towards the referendum and the two campaigns</w:t>
      </w:r>
      <w:r>
        <w:t>’</w:t>
      </w:r>
      <w:r w:rsidR="00A5715F" w:rsidRPr="000F780C">
        <w:t>.</w:t>
      </w:r>
      <w:r w:rsidR="00733A57" w:rsidRPr="000F780C">
        <w:t xml:space="preserve"> After</w:t>
      </w:r>
      <w:r w:rsidR="00733A57" w:rsidRPr="008F0DA2">
        <w:t xml:space="preserve"> providing </w:t>
      </w:r>
      <w:r w:rsidR="00C2194A">
        <w:t>demographic information, h</w:t>
      </w:r>
      <w:r w:rsidR="00733A57" w:rsidRPr="008F0DA2">
        <w:t>alf of participants complete</w:t>
      </w:r>
      <w:r w:rsidR="00BE23A4">
        <w:t>d</w:t>
      </w:r>
      <w:r w:rsidR="00733A57" w:rsidRPr="008F0DA2">
        <w:t xml:space="preserve"> questions concerning the referendum including how they planned to vote, how important the referendum </w:t>
      </w:r>
      <w:r w:rsidR="00733A57" w:rsidRPr="006B1D1A">
        <w:t>was to them</w:t>
      </w:r>
      <w:r w:rsidR="00F6616E">
        <w:t>,</w:t>
      </w:r>
      <w:r w:rsidR="00733A57" w:rsidRPr="006B1D1A">
        <w:t xml:space="preserve"> and how much they approved of each campaign. </w:t>
      </w:r>
      <w:r w:rsidR="004D4757">
        <w:t xml:space="preserve">The remaining participants completed these questions at the end of the study. </w:t>
      </w:r>
      <w:r w:rsidR="00F27DA9">
        <w:t>P</w:t>
      </w:r>
      <w:r w:rsidR="00733A57" w:rsidRPr="006B1D1A">
        <w:t xml:space="preserve">articipants were </w:t>
      </w:r>
      <w:r w:rsidR="00F27DA9">
        <w:t xml:space="preserve">then </w:t>
      </w:r>
      <w:r w:rsidR="000A339B">
        <w:t>presented with six</w:t>
      </w:r>
      <w:r w:rsidR="00733A57" w:rsidRPr="006B1D1A">
        <w:t xml:space="preserve"> news stories </w:t>
      </w:r>
      <w:r w:rsidR="00731E2C">
        <w:t xml:space="preserve">(four true and two fabricated) </w:t>
      </w:r>
      <w:r w:rsidR="00733A57" w:rsidRPr="006B1D1A">
        <w:t>in random order</w:t>
      </w:r>
      <w:r w:rsidR="00F27DA9">
        <w:t xml:space="preserve">. The </w:t>
      </w:r>
      <w:r w:rsidR="006801F4">
        <w:t>fabricated</w:t>
      </w:r>
      <w:r w:rsidR="00F27DA9">
        <w:t xml:space="preserve"> stories consisted of </w:t>
      </w:r>
      <w:r w:rsidR="00733A57" w:rsidRPr="006B1D1A">
        <w:t xml:space="preserve">the illegal poster story (concerning </w:t>
      </w:r>
      <w:r w:rsidR="00BE23A4">
        <w:t xml:space="preserve">either </w:t>
      </w:r>
      <w:r w:rsidR="00733A57" w:rsidRPr="006B1D1A">
        <w:t>the Yes or No campaign), and the sexual assault trial comments story (concerning the other campaign)</w:t>
      </w:r>
      <w:r w:rsidR="00216AF9">
        <w:t xml:space="preserve">. </w:t>
      </w:r>
    </w:p>
    <w:p w14:paraId="5893A677" w14:textId="73CAE000" w:rsidR="00C65A23" w:rsidRPr="00DD4784" w:rsidRDefault="00733A57" w:rsidP="00DD4784">
      <w:pPr>
        <w:shd w:val="clear" w:color="auto" w:fill="FFFFFF"/>
        <w:spacing w:line="480" w:lineRule="auto"/>
        <w:ind w:firstLine="720"/>
        <w:rPr>
          <w:rFonts w:eastAsia="Times New Roman" w:cs="Times New Roman"/>
        </w:rPr>
      </w:pPr>
      <w:r w:rsidRPr="006B1D1A">
        <w:t xml:space="preserve">After viewing all </w:t>
      </w:r>
      <w:r w:rsidR="00657857">
        <w:t>six</w:t>
      </w:r>
      <w:r w:rsidR="00657857" w:rsidRPr="006B1D1A">
        <w:t xml:space="preserve"> </w:t>
      </w:r>
      <w:r w:rsidRPr="006B1D1A">
        <w:t>stories, participants were told</w:t>
      </w:r>
      <w:r w:rsidR="007A2A85">
        <w:t>: “</w:t>
      </w:r>
      <w:r w:rsidR="007A2A85">
        <w:rPr>
          <w:rFonts w:eastAsia="Times New Roman" w:cs="Times New Roman"/>
        </w:rPr>
        <w:t>S</w:t>
      </w:r>
      <w:r w:rsidRPr="006B1D1A">
        <w:rPr>
          <w:rFonts w:eastAsia="Times New Roman" w:cs="Times New Roman"/>
        </w:rPr>
        <w:t>ome participants who undertook this survey were shown fake news stories (stories concerning events that did not happen, entirely fabricated by the researchers). If you think you may have been shown any fake stories, </w:t>
      </w:r>
      <w:r w:rsidRPr="006B1D1A">
        <w:rPr>
          <w:rFonts w:eastAsia="Times New Roman" w:cs="Times New Roman"/>
          <w:bCs/>
        </w:rPr>
        <w:t>please select any story you believe to be fake</w:t>
      </w:r>
      <w:r w:rsidR="007A2A85">
        <w:rPr>
          <w:rFonts w:eastAsia="Times New Roman" w:cs="Times New Roman"/>
        </w:rPr>
        <w:t>.”</w:t>
      </w:r>
      <w:r w:rsidR="00DD4784">
        <w:rPr>
          <w:rFonts w:eastAsia="Times New Roman" w:cs="Times New Roman"/>
        </w:rPr>
        <w:t xml:space="preserve"> </w:t>
      </w:r>
      <w:r w:rsidR="00190269">
        <w:rPr>
          <w:rFonts w:eastAsia="Times New Roman" w:cs="Times New Roman"/>
        </w:rPr>
        <w:t>Finally, participants were</w:t>
      </w:r>
      <w:r w:rsidRPr="00D05551">
        <w:rPr>
          <w:rFonts w:eastAsia="Times New Roman" w:cs="Times New Roman"/>
        </w:rPr>
        <w:t xml:space="preserve"> debriefed </w:t>
      </w:r>
      <w:r w:rsidR="00C91D93">
        <w:rPr>
          <w:rFonts w:eastAsia="Times New Roman" w:cs="Times New Roman"/>
        </w:rPr>
        <w:t xml:space="preserve">and </w:t>
      </w:r>
      <w:r w:rsidRPr="006B1D1A">
        <w:rPr>
          <w:rFonts w:eastAsia="Times New Roman" w:cs="Times New Roman"/>
        </w:rPr>
        <w:t xml:space="preserve">invited to </w:t>
      </w:r>
      <w:r w:rsidR="00123777">
        <w:rPr>
          <w:rFonts w:eastAsia="Times New Roman" w:cs="Times New Roman"/>
        </w:rPr>
        <w:t>complete the Wordsum</w:t>
      </w:r>
      <w:r w:rsidRPr="006B1D1A">
        <w:rPr>
          <w:rFonts w:eastAsia="Times New Roman" w:cs="Times New Roman"/>
        </w:rPr>
        <w:t xml:space="preserve">. </w:t>
      </w:r>
      <w:r w:rsidR="0036502C">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94"/>
        <w:gridCol w:w="4425"/>
      </w:tblGrid>
      <w:tr w:rsidR="00CF5AA1" w14:paraId="0DC17896" w14:textId="77777777" w:rsidTr="00F96D01">
        <w:tc>
          <w:tcPr>
            <w:tcW w:w="4788" w:type="dxa"/>
          </w:tcPr>
          <w:p w14:paraId="1C4F9704" w14:textId="77777777" w:rsidR="00CF5AA1" w:rsidRPr="00462EEE" w:rsidRDefault="00CF5AA1" w:rsidP="00F96D01">
            <w:pPr>
              <w:rPr>
                <w:rFonts w:ascii="Helvetica" w:hAnsi="Helvetica"/>
                <w:noProof/>
              </w:rPr>
            </w:pPr>
          </w:p>
        </w:tc>
        <w:tc>
          <w:tcPr>
            <w:tcW w:w="4788" w:type="dxa"/>
          </w:tcPr>
          <w:p w14:paraId="3461247C" w14:textId="77777777" w:rsidR="00CF5AA1" w:rsidRPr="00432CAA" w:rsidRDefault="00CF5AA1" w:rsidP="00F96D01">
            <w:pPr>
              <w:tabs>
                <w:tab w:val="left" w:pos="0"/>
              </w:tabs>
              <w:rPr>
                <w:rFonts w:ascii="Helvetica" w:hAnsi="Helvetica"/>
                <w:noProof/>
              </w:rPr>
            </w:pPr>
          </w:p>
        </w:tc>
      </w:tr>
      <w:tr w:rsidR="00CF5AA1" w14:paraId="48D20E31" w14:textId="77777777" w:rsidTr="00F96D01">
        <w:tc>
          <w:tcPr>
            <w:tcW w:w="4788" w:type="dxa"/>
          </w:tcPr>
          <w:p w14:paraId="523BD1EB" w14:textId="77777777" w:rsidR="00CF5AA1" w:rsidRDefault="00CF5AA1" w:rsidP="00F41188">
            <w:pPr>
              <w:ind w:left="90"/>
            </w:pPr>
            <w:r w:rsidRPr="00462EEE">
              <w:rPr>
                <w:rFonts w:ascii="Helvetica" w:hAnsi="Helvetica"/>
                <w:noProof/>
              </w:rPr>
              <w:drawing>
                <wp:anchor distT="0" distB="0" distL="114300" distR="114300" simplePos="0" relativeHeight="251666944" behindDoc="0" locked="0" layoutInCell="1" allowOverlap="1" wp14:anchorId="3F31D670" wp14:editId="0FFCC1DB">
                  <wp:simplePos x="0" y="0"/>
                  <wp:positionH relativeFrom="margin">
                    <wp:posOffset>91440</wp:posOffset>
                  </wp:positionH>
                  <wp:positionV relativeFrom="margin">
                    <wp:align>top</wp:align>
                  </wp:positionV>
                  <wp:extent cx="2340864" cy="2752344"/>
                  <wp:effectExtent l="0" t="0" r="2540" b="0"/>
                  <wp:wrapSquare wrapText="bothSides"/>
                  <wp:docPr id="2" name="Picture 3" descr="C:\Users\gillianmurphy\Desktop\IMG_2263.jpg"/>
                  <wp:cNvGraphicFramePr/>
                  <a:graphic xmlns:a="http://schemas.openxmlformats.org/drawingml/2006/main">
                    <a:graphicData uri="http://schemas.openxmlformats.org/drawingml/2006/picture">
                      <pic:pic xmlns:pic="http://schemas.openxmlformats.org/drawingml/2006/picture">
                        <pic:nvPicPr>
                          <pic:cNvPr id="4" name="Picture 3" descr="C:\Users\gillianmurphy\Desktop\IMG_2263.jpg"/>
                          <pic:cNvPicPr/>
                        </pic:nvPicPr>
                        <pic:blipFill rotWithShape="1">
                          <a:blip r:embed="rId9" cstate="print">
                            <a:extLst>
                              <a:ext uri="{28A0092B-C50C-407E-A947-70E740481C1C}">
                                <a14:useLocalDpi xmlns:a14="http://schemas.microsoft.com/office/drawing/2010/main" val="0"/>
                              </a:ext>
                            </a:extLst>
                          </a:blip>
                          <a:srcRect l="19483" t="42299" r="27065" b="17455"/>
                          <a:stretch/>
                        </pic:blipFill>
                        <pic:spPr bwMode="auto">
                          <a:xfrm>
                            <a:off x="0" y="0"/>
                            <a:ext cx="2340864" cy="27523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tc>
        <w:tc>
          <w:tcPr>
            <w:tcW w:w="4788" w:type="dxa"/>
          </w:tcPr>
          <w:p w14:paraId="5BF10823" w14:textId="77777777" w:rsidR="00CF5AA1" w:rsidRDefault="00CF5AA1" w:rsidP="00F96D01">
            <w:pPr>
              <w:tabs>
                <w:tab w:val="left" w:pos="0"/>
              </w:tabs>
            </w:pPr>
            <w:r w:rsidRPr="00432CAA">
              <w:rPr>
                <w:rFonts w:ascii="Helvetica" w:hAnsi="Helvetica"/>
                <w:noProof/>
              </w:rPr>
              <w:drawing>
                <wp:anchor distT="0" distB="0" distL="114300" distR="114300" simplePos="0" relativeHeight="251667968" behindDoc="0" locked="0" layoutInCell="1" allowOverlap="1" wp14:anchorId="6F8E3B83" wp14:editId="3E8E0567">
                  <wp:simplePos x="0" y="0"/>
                  <wp:positionH relativeFrom="margin">
                    <wp:align>center</wp:align>
                  </wp:positionH>
                  <wp:positionV relativeFrom="margin">
                    <wp:align>top</wp:align>
                  </wp:positionV>
                  <wp:extent cx="2752725" cy="2487295"/>
                  <wp:effectExtent l="0" t="635" r="8890" b="8890"/>
                  <wp:wrapSquare wrapText="bothSides"/>
                  <wp:docPr id="5" name="Picture 5" descr="C:\Users\gillianmurphy\Downloads\IMG_2182.JPG"/>
                  <wp:cNvGraphicFramePr/>
                  <a:graphic xmlns:a="http://schemas.openxmlformats.org/drawingml/2006/main">
                    <a:graphicData uri="http://schemas.openxmlformats.org/drawingml/2006/picture">
                      <pic:pic xmlns:pic="http://schemas.openxmlformats.org/drawingml/2006/picture">
                        <pic:nvPicPr>
                          <pic:cNvPr id="6" name="Picture 5" descr="C:\Users\gillianmurphy\Downloads\IMG_2182.JPG"/>
                          <pic:cNvPicPr/>
                        </pic:nvPicPr>
                        <pic:blipFill rotWithShape="1">
                          <a:blip r:embed="rId10" cstate="print">
                            <a:extLst>
                              <a:ext uri="{28A0092B-C50C-407E-A947-70E740481C1C}">
                                <a14:useLocalDpi xmlns:a14="http://schemas.microsoft.com/office/drawing/2010/main" val="0"/>
                              </a:ext>
                            </a:extLst>
                          </a:blip>
                          <a:srcRect l="3861" r="23772"/>
                          <a:stretch/>
                        </pic:blipFill>
                        <pic:spPr bwMode="auto">
                          <a:xfrm rot="5400000">
                            <a:off x="0" y="0"/>
                            <a:ext cx="2752725" cy="24872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tc>
      </w:tr>
      <w:tr w:rsidR="00CF5AA1" w14:paraId="48013347" w14:textId="77777777" w:rsidTr="00F96D01">
        <w:tc>
          <w:tcPr>
            <w:tcW w:w="4788" w:type="dxa"/>
          </w:tcPr>
          <w:p w14:paraId="3D7741B9" w14:textId="77777777" w:rsidR="00CF5AA1" w:rsidRDefault="00CF5AA1" w:rsidP="00F41188">
            <w:pPr>
              <w:ind w:left="90"/>
            </w:pPr>
            <w:r w:rsidRPr="00462EEE">
              <w:rPr>
                <w:rFonts w:ascii="Helvetica" w:hAnsi="Helvetica"/>
                <w:lang w:val="en-GB"/>
              </w:rPr>
              <w:t>The Together for Yes campaign was forced to destroy 25,000 campaign posters after evidence emerged that the posters were bought using funding received fro</w:t>
            </w:r>
            <w:r>
              <w:rPr>
                <w:rFonts w:ascii="Helvetica" w:hAnsi="Helvetica"/>
                <w:lang w:val="en-GB"/>
              </w:rPr>
              <w:t>m American pro-choice lobbyists.</w:t>
            </w:r>
          </w:p>
        </w:tc>
        <w:tc>
          <w:tcPr>
            <w:tcW w:w="4788" w:type="dxa"/>
          </w:tcPr>
          <w:p w14:paraId="23211A78" w14:textId="13173993" w:rsidR="00CF5AA1" w:rsidRDefault="00CF5AA1" w:rsidP="00F41188">
            <w:pPr>
              <w:ind w:left="188"/>
            </w:pPr>
            <w:r w:rsidRPr="00462EEE">
              <w:rPr>
                <w:rFonts w:ascii="Helvetica" w:hAnsi="Helvetica"/>
                <w:lang w:val="en-GB"/>
              </w:rPr>
              <w:t xml:space="preserve">The Save the 8th campaign was </w:t>
            </w:r>
            <w:r w:rsidR="007E6E46">
              <w:rPr>
                <w:rFonts w:ascii="Helvetica" w:hAnsi="Helvetica"/>
                <w:lang w:val="en-GB"/>
              </w:rPr>
              <w:t xml:space="preserve"> </w:t>
            </w:r>
            <w:r w:rsidRPr="00462EEE">
              <w:rPr>
                <w:rFonts w:ascii="Helvetica" w:hAnsi="Helvetica"/>
                <w:lang w:val="en-GB"/>
              </w:rPr>
              <w:t>forced to destroy 25,000 campaign posters after evidence emerged that the posters were bought using funding received from American pro-life lobbyists</w:t>
            </w:r>
            <w:r>
              <w:rPr>
                <w:rFonts w:ascii="Helvetica" w:hAnsi="Helvetica"/>
                <w:lang w:val="en-GB"/>
              </w:rPr>
              <w:t>.</w:t>
            </w:r>
          </w:p>
        </w:tc>
      </w:tr>
      <w:tr w:rsidR="00CF5AA1" w14:paraId="5B4F1239" w14:textId="77777777" w:rsidTr="00F96D01">
        <w:tc>
          <w:tcPr>
            <w:tcW w:w="4788" w:type="dxa"/>
          </w:tcPr>
          <w:p w14:paraId="711901C8" w14:textId="77777777" w:rsidR="00CF5AA1" w:rsidRDefault="00CF5AA1" w:rsidP="00F96D01"/>
        </w:tc>
        <w:tc>
          <w:tcPr>
            <w:tcW w:w="4788" w:type="dxa"/>
          </w:tcPr>
          <w:p w14:paraId="67665170" w14:textId="77777777" w:rsidR="00CF5AA1" w:rsidRDefault="00CF5AA1" w:rsidP="00F96D01"/>
        </w:tc>
      </w:tr>
      <w:tr w:rsidR="00CF5AA1" w14:paraId="79DA4889" w14:textId="77777777" w:rsidTr="00F96D01">
        <w:trPr>
          <w:trHeight w:val="2943"/>
        </w:trPr>
        <w:tc>
          <w:tcPr>
            <w:tcW w:w="4788" w:type="dxa"/>
          </w:tcPr>
          <w:p w14:paraId="037AFB10" w14:textId="77777777" w:rsidR="00CF5AA1" w:rsidRDefault="00CF5AA1" w:rsidP="00F96D01">
            <w:r>
              <w:rPr>
                <w:noProof/>
              </w:rPr>
              <w:drawing>
                <wp:anchor distT="0" distB="0" distL="114300" distR="114300" simplePos="0" relativeHeight="251668992" behindDoc="0" locked="0" layoutInCell="1" allowOverlap="1" wp14:anchorId="69722126" wp14:editId="5A6E9BC0">
                  <wp:simplePos x="914400" y="5109210"/>
                  <wp:positionH relativeFrom="margin">
                    <wp:align>center</wp:align>
                  </wp:positionH>
                  <wp:positionV relativeFrom="margin">
                    <wp:align>top</wp:align>
                  </wp:positionV>
                  <wp:extent cx="2705100" cy="18415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841500"/>
                          </a:xfrm>
                          <a:prstGeom prst="rect">
                            <a:avLst/>
                          </a:prstGeom>
                          <a:noFill/>
                        </pic:spPr>
                      </pic:pic>
                    </a:graphicData>
                  </a:graphic>
                </wp:anchor>
              </w:drawing>
            </w:r>
          </w:p>
        </w:tc>
        <w:tc>
          <w:tcPr>
            <w:tcW w:w="4788" w:type="dxa"/>
          </w:tcPr>
          <w:p w14:paraId="1FFE4CF0" w14:textId="77777777" w:rsidR="00CF5AA1" w:rsidRDefault="00CF5AA1" w:rsidP="00F96D01">
            <w:r w:rsidRPr="00432CAA">
              <w:rPr>
                <w:rFonts w:ascii="Helvetica" w:hAnsi="Helvetica"/>
                <w:noProof/>
              </w:rPr>
              <w:drawing>
                <wp:anchor distT="0" distB="0" distL="114300" distR="114300" simplePos="0" relativeHeight="251670016" behindDoc="0" locked="0" layoutInCell="1" allowOverlap="1" wp14:anchorId="6059F2A2" wp14:editId="75BE218A">
                  <wp:simplePos x="3959225" y="5109210"/>
                  <wp:positionH relativeFrom="margin">
                    <wp:align>center</wp:align>
                  </wp:positionH>
                  <wp:positionV relativeFrom="margin">
                    <wp:align>top</wp:align>
                  </wp:positionV>
                  <wp:extent cx="2531745" cy="1828800"/>
                  <wp:effectExtent l="0" t="0" r="1905" b="0"/>
                  <wp:wrapSquare wrapText="bothSides"/>
                  <wp:docPr id="12" name="Picture 6"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mage.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31745" cy="1828800"/>
                          </a:xfrm>
                          <a:prstGeom prst="rect">
                            <a:avLst/>
                          </a:prstGeom>
                        </pic:spPr>
                      </pic:pic>
                    </a:graphicData>
                  </a:graphic>
                </wp:anchor>
              </w:drawing>
            </w:r>
          </w:p>
        </w:tc>
      </w:tr>
      <w:tr w:rsidR="00CF5AA1" w14:paraId="1C31D79B" w14:textId="77777777" w:rsidTr="00F96D01">
        <w:tc>
          <w:tcPr>
            <w:tcW w:w="4788" w:type="dxa"/>
          </w:tcPr>
          <w:p w14:paraId="461D9632" w14:textId="77777777" w:rsidR="00CF5AA1" w:rsidRDefault="00CF5AA1" w:rsidP="00F41188">
            <w:pPr>
              <w:ind w:left="90"/>
            </w:pPr>
            <w:r w:rsidRPr="00462EEE">
              <w:rPr>
                <w:rFonts w:ascii="Helvetica" w:hAnsi="Helvetica"/>
              </w:rPr>
              <w:t>Speaking after former Ulster rugby players were found not guilty of sexual assault, a pro-choice campaigner made headlines when they said ‘we identify with victims of rape, as all women in this country have been raped by the 8th amendment and the patriarchy that supports it’</w:t>
            </w:r>
            <w:r>
              <w:rPr>
                <w:rFonts w:ascii="Helvetica" w:hAnsi="Helvetica"/>
              </w:rPr>
              <w:t>.</w:t>
            </w:r>
          </w:p>
        </w:tc>
        <w:tc>
          <w:tcPr>
            <w:tcW w:w="4788" w:type="dxa"/>
          </w:tcPr>
          <w:p w14:paraId="7817E1B0" w14:textId="77777777" w:rsidR="00CF5AA1" w:rsidRPr="00462EEE" w:rsidRDefault="00CF5AA1" w:rsidP="00F41188">
            <w:pPr>
              <w:ind w:left="188"/>
              <w:rPr>
                <w:rFonts w:ascii="Helvetica" w:hAnsi="Helvetica"/>
              </w:rPr>
            </w:pPr>
            <w:r w:rsidRPr="00462EEE">
              <w:rPr>
                <w:rFonts w:ascii="Helvetica" w:hAnsi="Helvetica"/>
                <w:lang w:val="en-GB"/>
              </w:rPr>
              <w:t>Speaking after former Ulster rugby players were found not guilty of sexual assault, a pro-life campaigner made headlines when they said ‘this verdict is another blow to the pro-abortion mantra of “trust women” – clearly not all women can be trusted’.</w:t>
            </w:r>
          </w:p>
          <w:p w14:paraId="473A21DC" w14:textId="77777777" w:rsidR="00CF5AA1" w:rsidRDefault="00CF5AA1" w:rsidP="00F96D01"/>
        </w:tc>
      </w:tr>
      <w:tr w:rsidR="00CF5AA1" w14:paraId="60949555" w14:textId="77777777" w:rsidTr="00F96D01">
        <w:tc>
          <w:tcPr>
            <w:tcW w:w="4788" w:type="dxa"/>
          </w:tcPr>
          <w:p w14:paraId="3F291140" w14:textId="77777777" w:rsidR="00CF5AA1" w:rsidRPr="00462EEE" w:rsidRDefault="00CF5AA1" w:rsidP="00F96D01">
            <w:pPr>
              <w:rPr>
                <w:rFonts w:ascii="Helvetica" w:hAnsi="Helvetica"/>
              </w:rPr>
            </w:pPr>
          </w:p>
        </w:tc>
        <w:tc>
          <w:tcPr>
            <w:tcW w:w="4788" w:type="dxa"/>
          </w:tcPr>
          <w:p w14:paraId="2587AA14" w14:textId="77777777" w:rsidR="00CF5AA1" w:rsidRPr="00462EEE" w:rsidRDefault="00CF5AA1" w:rsidP="00F96D01">
            <w:pPr>
              <w:rPr>
                <w:rFonts w:ascii="Helvetica" w:hAnsi="Helvetica"/>
                <w:lang w:val="en-GB"/>
              </w:rPr>
            </w:pPr>
          </w:p>
        </w:tc>
      </w:tr>
    </w:tbl>
    <w:p w14:paraId="1013B13E" w14:textId="77777777" w:rsidR="00CF5AA1" w:rsidRPr="000D4A10" w:rsidRDefault="00CF5AA1" w:rsidP="00CF5AA1">
      <w:pPr>
        <w:rPr>
          <w:b/>
          <w:sz w:val="8"/>
        </w:rPr>
      </w:pPr>
    </w:p>
    <w:p w14:paraId="66E2C792" w14:textId="77777777" w:rsidR="00CF5AA1" w:rsidRDefault="00CF5AA1" w:rsidP="00CF5AA1">
      <w:r w:rsidRPr="00A171CF">
        <w:rPr>
          <w:i/>
        </w:rPr>
        <w:t>Figure 1.</w:t>
      </w:r>
      <w:r w:rsidRPr="007F489B">
        <w:rPr>
          <w:b/>
        </w:rPr>
        <w:t xml:space="preserve"> </w:t>
      </w:r>
      <w:r w:rsidRPr="00A171CF">
        <w:t xml:space="preserve">The </w:t>
      </w:r>
      <w:r>
        <w:t>four</w:t>
      </w:r>
      <w:r w:rsidRPr="00A171CF">
        <w:t xml:space="preserve"> fabricated news events used in the study. Each participant saw one story about the Yes campaign and one story about the No campaign (one from the top row concerning illegal posters and one from the bottom row concerning a high-profile sexual assault trial).</w:t>
      </w:r>
    </w:p>
    <w:p w14:paraId="5FAFDCF4" w14:textId="683FCFF0" w:rsidR="001232B5" w:rsidRDefault="001232B5" w:rsidP="00B5229A">
      <w:pPr>
        <w:jc w:val="center"/>
        <w:outlineLvl w:val="0"/>
        <w:rPr>
          <w:b/>
        </w:rPr>
      </w:pPr>
      <w:r w:rsidRPr="00733A57">
        <w:rPr>
          <w:b/>
        </w:rPr>
        <w:t>Results</w:t>
      </w:r>
    </w:p>
    <w:p w14:paraId="5222A503" w14:textId="77777777" w:rsidR="00EB0FA0" w:rsidRPr="00733A57" w:rsidRDefault="00EB0FA0" w:rsidP="000E38A6"/>
    <w:p w14:paraId="6EF03181" w14:textId="1E643B1E" w:rsidR="00491072" w:rsidRPr="00DF754F" w:rsidRDefault="005F2D68" w:rsidP="00A171CF">
      <w:pPr>
        <w:spacing w:line="480" w:lineRule="auto"/>
        <w:ind w:firstLine="720"/>
      </w:pPr>
      <w:r>
        <w:t>W</w:t>
      </w:r>
      <w:r w:rsidR="00D20561">
        <w:t xml:space="preserve">e first </w:t>
      </w:r>
      <w:r w:rsidR="001232B5" w:rsidRPr="00733A57">
        <w:t>dichotomized</w:t>
      </w:r>
      <w:r w:rsidR="00D20561">
        <w:t xml:space="preserve"> participants’ responses</w:t>
      </w:r>
      <w:r w:rsidR="001232B5" w:rsidRPr="00733A57">
        <w:t xml:space="preserve"> into remembering </w:t>
      </w:r>
      <w:r w:rsidR="001232B5" w:rsidRPr="00ED59BE">
        <w:t xml:space="preserve">the event (those who selected </w:t>
      </w:r>
      <w:r w:rsidR="001232B5" w:rsidRPr="00DF754F">
        <w:t xml:space="preserve">the </w:t>
      </w:r>
      <w:r w:rsidR="00BE658B" w:rsidRPr="00DF754F">
        <w:t xml:space="preserve">options </w:t>
      </w:r>
      <w:r w:rsidR="001232B5" w:rsidRPr="00DF754F">
        <w:t xml:space="preserve">‘specific memory’ or ‘remember it happening’) </w:t>
      </w:r>
      <w:r w:rsidR="00D20561" w:rsidRPr="00DF754F">
        <w:t xml:space="preserve">versus </w:t>
      </w:r>
      <w:r w:rsidR="001232B5" w:rsidRPr="00DF754F">
        <w:t xml:space="preserve">not remembering the event (those who selected the </w:t>
      </w:r>
      <w:r w:rsidR="00BE658B" w:rsidRPr="00DF754F">
        <w:t xml:space="preserve">options </w:t>
      </w:r>
      <w:r w:rsidR="001232B5" w:rsidRPr="00DF754F">
        <w:t>‘remember it differently’ or ‘don’t remember this’).</w:t>
      </w:r>
      <w:r w:rsidR="00DD4784" w:rsidRPr="00DF754F">
        <w:t xml:space="preserve"> </w:t>
      </w:r>
      <w:r w:rsidR="00863477" w:rsidRPr="00DF754F">
        <w:t>Unless otherwise stated,</w:t>
      </w:r>
      <w:r w:rsidR="00BE658B" w:rsidRPr="00DF754F">
        <w:t xml:space="preserve"> participants who selected ‘I believe this happened’ were removed from analyses</w:t>
      </w:r>
      <w:r w:rsidR="00863477" w:rsidRPr="00DF754F">
        <w:t xml:space="preserve"> </w:t>
      </w:r>
      <w:r w:rsidR="005C6AA9" w:rsidRPr="00DF754F">
        <w:t>comparing</w:t>
      </w:r>
      <w:r w:rsidR="00863477" w:rsidRPr="00DF754F">
        <w:t xml:space="preserve"> those who ‘remembered’ an event </w:t>
      </w:r>
      <w:r w:rsidR="005C6AA9" w:rsidRPr="00DF754F">
        <w:t xml:space="preserve">with </w:t>
      </w:r>
      <w:r w:rsidR="00863477" w:rsidRPr="00DF754F">
        <w:t>those who did not.</w:t>
      </w:r>
      <w:r w:rsidR="000624AD" w:rsidRPr="00DF754F">
        <w:t xml:space="preserve"> </w:t>
      </w:r>
    </w:p>
    <w:p w14:paraId="4CE913A3" w14:textId="187A1158" w:rsidR="007A254B" w:rsidRPr="00DF754F" w:rsidRDefault="001232B5" w:rsidP="005140AE">
      <w:pPr>
        <w:spacing w:line="480" w:lineRule="auto"/>
        <w:ind w:firstLine="720"/>
      </w:pPr>
      <w:r w:rsidRPr="00DF754F">
        <w:t>On avera</w:t>
      </w:r>
      <w:r w:rsidR="002B79AD" w:rsidRPr="00DF754F">
        <w:t xml:space="preserve">ge, participants had a hit rate of 56% for the </w:t>
      </w:r>
      <w:r w:rsidR="005C6AA9" w:rsidRPr="00DF754F">
        <w:t xml:space="preserve">four </w:t>
      </w:r>
      <w:r w:rsidR="002B79AD" w:rsidRPr="00DF754F">
        <w:t xml:space="preserve">true stories and a false alarm rate of 32% for the </w:t>
      </w:r>
      <w:r w:rsidR="005C6AA9" w:rsidRPr="00DF754F">
        <w:t xml:space="preserve">two </w:t>
      </w:r>
      <w:r w:rsidR="00DD4784" w:rsidRPr="00DF754F">
        <w:t>fabricated</w:t>
      </w:r>
      <w:r w:rsidR="002B79AD" w:rsidRPr="00DF754F">
        <w:t xml:space="preserve"> stories</w:t>
      </w:r>
      <w:r w:rsidRPr="00DF754F">
        <w:t xml:space="preserve">. </w:t>
      </w:r>
      <w:r w:rsidR="008977D9" w:rsidRPr="00DF754F">
        <w:t xml:space="preserve">Almost half (48%) </w:t>
      </w:r>
      <w:r w:rsidRPr="00DF754F">
        <w:t xml:space="preserve">of participants reported </w:t>
      </w:r>
      <w:r w:rsidR="00216AF9" w:rsidRPr="00DF754F">
        <w:t xml:space="preserve">remembering </w:t>
      </w:r>
      <w:r w:rsidRPr="00DF754F">
        <w:t>at least one of the two fabricated events they were shown</w:t>
      </w:r>
      <w:r w:rsidR="00A42F0F" w:rsidRPr="00DF754F">
        <w:t xml:space="preserve"> (37% </w:t>
      </w:r>
      <w:r w:rsidR="00545886" w:rsidRPr="00DF754F">
        <w:t xml:space="preserve">reported a </w:t>
      </w:r>
      <w:r w:rsidR="00545886" w:rsidRPr="00DF754F">
        <w:rPr>
          <w:i/>
        </w:rPr>
        <w:t>specific</w:t>
      </w:r>
      <w:r w:rsidR="00545886" w:rsidRPr="00DF754F">
        <w:t xml:space="preserve"> memory of hearing or seeing one of the events</w:t>
      </w:r>
      <w:r w:rsidR="008977D9" w:rsidRPr="00DF754F">
        <w:t>, 11</w:t>
      </w:r>
      <w:r w:rsidR="00A42F0F" w:rsidRPr="00DF754F">
        <w:t>% reported a more general memory that the event had happened</w:t>
      </w:r>
      <w:r w:rsidR="00545886" w:rsidRPr="00DF754F">
        <w:t>)</w:t>
      </w:r>
      <w:r w:rsidR="00D273FF" w:rsidRPr="00DF754F">
        <w:t xml:space="preserve">. When the “believe” option was included, </w:t>
      </w:r>
      <w:r w:rsidRPr="00DF754F">
        <w:t xml:space="preserve">63% reported </w:t>
      </w:r>
      <w:r w:rsidR="00216AF9" w:rsidRPr="00DF754F">
        <w:t xml:space="preserve">either </w:t>
      </w:r>
      <w:r w:rsidRPr="00DF754F">
        <w:t xml:space="preserve">a memory or </w:t>
      </w:r>
      <w:r w:rsidR="00D20561" w:rsidRPr="00DF754F">
        <w:t xml:space="preserve">a </w:t>
      </w:r>
      <w:r w:rsidRPr="00DF754F">
        <w:t>belief in at leas</w:t>
      </w:r>
      <w:r w:rsidR="005140AE" w:rsidRPr="00DF754F">
        <w:t xml:space="preserve">t one of the fabricated events. </w:t>
      </w:r>
      <w:r w:rsidR="009C4B8D" w:rsidRPr="00DF754F">
        <w:t>T</w:t>
      </w:r>
      <w:r w:rsidR="007A254B" w:rsidRPr="00DF754F">
        <w:t>hose who indicated that they remember</w:t>
      </w:r>
      <w:r w:rsidR="009C4B8D" w:rsidRPr="00DF754F">
        <w:t>ed</w:t>
      </w:r>
      <w:r w:rsidR="007A254B" w:rsidRPr="00DF754F">
        <w:t xml:space="preserve"> an event were more likely to select </w:t>
      </w:r>
      <w:r w:rsidR="009C4B8D" w:rsidRPr="00DF754F">
        <w:t>a</w:t>
      </w:r>
      <w:r w:rsidR="007A254B" w:rsidRPr="00DF754F">
        <w:t xml:space="preserve"> specific source where they first heard about </w:t>
      </w:r>
      <w:r w:rsidR="009C4B8D" w:rsidRPr="00DF754F">
        <w:t>it</w:t>
      </w:r>
      <w:r w:rsidR="007A254B" w:rsidRPr="00DF754F">
        <w:t xml:space="preserve"> (e.g. television, radio, social media) for true stories (</w:t>
      </w:r>
      <w:r w:rsidR="00666345" w:rsidRPr="00DF754F">
        <w:rPr>
          <w:i/>
        </w:rPr>
        <w:t xml:space="preserve">M </w:t>
      </w:r>
      <w:r w:rsidR="00666345" w:rsidRPr="00DF754F">
        <w:t>=</w:t>
      </w:r>
      <w:r w:rsidR="00666345" w:rsidRPr="00DF754F">
        <w:rPr>
          <w:i/>
        </w:rPr>
        <w:t xml:space="preserve"> </w:t>
      </w:r>
      <w:r w:rsidR="007A254B" w:rsidRPr="00DF754F">
        <w:t xml:space="preserve">93.85% </w:t>
      </w:r>
      <w:r w:rsidR="00972229" w:rsidRPr="00DF754F">
        <w:t>on average across all true stories</w:t>
      </w:r>
      <w:r w:rsidR="007A254B" w:rsidRPr="00DF754F">
        <w:t xml:space="preserve">, 95% CI = [92.23, 95.47]), </w:t>
      </w:r>
      <w:r w:rsidR="00BE658B" w:rsidRPr="00DF754F">
        <w:t xml:space="preserve">than for false </w:t>
      </w:r>
      <w:r w:rsidR="007A254B" w:rsidRPr="00DF754F">
        <w:t>stories (</w:t>
      </w:r>
      <w:r w:rsidR="00666345" w:rsidRPr="00DF754F">
        <w:rPr>
          <w:i/>
        </w:rPr>
        <w:t xml:space="preserve">M </w:t>
      </w:r>
      <w:r w:rsidR="00666345" w:rsidRPr="00DF754F">
        <w:t>=</w:t>
      </w:r>
      <w:r w:rsidR="00666345" w:rsidRPr="00DF754F">
        <w:rPr>
          <w:i/>
        </w:rPr>
        <w:t xml:space="preserve"> </w:t>
      </w:r>
      <w:r w:rsidR="007A254B" w:rsidRPr="00DF754F">
        <w:t xml:space="preserve">84.73% </w:t>
      </w:r>
      <w:r w:rsidR="00972229" w:rsidRPr="00DF754F">
        <w:t xml:space="preserve">on average across all </w:t>
      </w:r>
      <w:r w:rsidR="00BE658B" w:rsidRPr="00DF754F">
        <w:t>false</w:t>
      </w:r>
      <w:r w:rsidR="00972229" w:rsidRPr="00DF754F">
        <w:t xml:space="preserve"> stories</w:t>
      </w:r>
      <w:r w:rsidR="007A254B" w:rsidRPr="00DF754F">
        <w:t xml:space="preserve">, 95% CI = [81.82, 87.64]), </w:t>
      </w:r>
      <w:r w:rsidR="007A254B" w:rsidRPr="00DF754F">
        <w:rPr>
          <w:i/>
        </w:rPr>
        <w:t>t</w:t>
      </w:r>
      <w:r w:rsidR="007A254B" w:rsidRPr="00DF754F">
        <w:t xml:space="preserve">(487) = 5.73, </w:t>
      </w:r>
      <w:r w:rsidR="007A254B" w:rsidRPr="00DF754F">
        <w:rPr>
          <w:i/>
        </w:rPr>
        <w:t>p</w:t>
      </w:r>
      <w:r w:rsidR="007A254B" w:rsidRPr="00DF754F">
        <w:t xml:space="preserve"> &lt;</w:t>
      </w:r>
      <w:r w:rsidR="00BE23A4" w:rsidRPr="00DF754F">
        <w:t xml:space="preserve"> </w:t>
      </w:r>
      <w:r w:rsidR="007A254B" w:rsidRPr="00DF754F">
        <w:t xml:space="preserve">.001, </w:t>
      </w:r>
      <w:r w:rsidR="007A254B" w:rsidRPr="00DF754F">
        <w:rPr>
          <w:i/>
        </w:rPr>
        <w:t>d</w:t>
      </w:r>
      <w:r w:rsidR="007A254B" w:rsidRPr="00DF754F">
        <w:t xml:space="preserve"> = 0.34. </w:t>
      </w:r>
    </w:p>
    <w:p w14:paraId="289453B7" w14:textId="77777777" w:rsidR="00104DDF" w:rsidRPr="00DF754F" w:rsidRDefault="00104DDF" w:rsidP="005140AE">
      <w:pPr>
        <w:spacing w:line="480" w:lineRule="auto"/>
        <w:ind w:firstLine="720"/>
      </w:pPr>
    </w:p>
    <w:p w14:paraId="3C60F631" w14:textId="07BC960A" w:rsidR="007A254B" w:rsidRPr="00DF754F" w:rsidRDefault="00B81E6C" w:rsidP="00B5229A">
      <w:pPr>
        <w:spacing w:line="480" w:lineRule="auto"/>
        <w:outlineLvl w:val="0"/>
        <w:rPr>
          <w:i/>
        </w:rPr>
      </w:pPr>
      <w:r w:rsidRPr="00DF754F">
        <w:rPr>
          <w:i/>
        </w:rPr>
        <w:t xml:space="preserve">H1: Political orientation </w:t>
      </w:r>
    </w:p>
    <w:p w14:paraId="5494DD53" w14:textId="04A10E09" w:rsidR="00BF2FCB" w:rsidRPr="00DF754F" w:rsidRDefault="006F6AC8" w:rsidP="00D00C6E">
      <w:pPr>
        <w:spacing w:line="480" w:lineRule="auto"/>
        <w:ind w:firstLine="720"/>
      </w:pPr>
      <w:r w:rsidRPr="00DF754F">
        <w:t xml:space="preserve">The </w:t>
      </w:r>
      <w:r w:rsidR="00E97E9A" w:rsidRPr="00DF754F">
        <w:t>percentage</w:t>
      </w:r>
      <w:r w:rsidR="00423DC5" w:rsidRPr="00DF754F">
        <w:t xml:space="preserve"> </w:t>
      </w:r>
      <w:r w:rsidRPr="00DF754F">
        <w:t xml:space="preserve">of true stories </w:t>
      </w:r>
      <w:r w:rsidR="00657857" w:rsidRPr="00DF754F">
        <w:t xml:space="preserve">remembered </w:t>
      </w:r>
      <w:r w:rsidRPr="00DF754F">
        <w:t xml:space="preserve">by Yes voters </w:t>
      </w:r>
      <w:r w:rsidR="002B79AD" w:rsidRPr="00DF754F">
        <w:t>(57%)</w:t>
      </w:r>
      <w:r w:rsidRPr="00DF754F">
        <w:t xml:space="preserve"> and No voters </w:t>
      </w:r>
      <w:r w:rsidR="002B79AD" w:rsidRPr="00DF754F">
        <w:t>(58%)</w:t>
      </w:r>
      <w:r w:rsidR="00E97E9A" w:rsidRPr="00DF754F">
        <w:t xml:space="preserve"> did not differ significantly</w:t>
      </w:r>
      <w:r w:rsidRPr="00DF754F">
        <w:t xml:space="preserve">, </w:t>
      </w:r>
      <w:r w:rsidRPr="00DF754F">
        <w:rPr>
          <w:i/>
        </w:rPr>
        <w:t>t</w:t>
      </w:r>
      <w:r w:rsidR="00D12DB5" w:rsidRPr="00DF754F">
        <w:t xml:space="preserve">(2719) = </w:t>
      </w:r>
      <w:r w:rsidR="008F1D30" w:rsidRPr="00DF754F">
        <w:t>0</w:t>
      </w:r>
      <w:r w:rsidR="00D12DB5" w:rsidRPr="00DF754F">
        <w:t>.53</w:t>
      </w:r>
      <w:r w:rsidRPr="00DF754F">
        <w:t xml:space="preserve">, </w:t>
      </w:r>
      <w:r w:rsidRPr="00DF754F">
        <w:rPr>
          <w:i/>
        </w:rPr>
        <w:t>p</w:t>
      </w:r>
      <w:r w:rsidR="00843C81" w:rsidRPr="00DF754F">
        <w:t xml:space="preserve"> = .60</w:t>
      </w:r>
      <w:r w:rsidR="0086158C" w:rsidRPr="00DF754F">
        <w:t xml:space="preserve">, see </w:t>
      </w:r>
      <w:r w:rsidRPr="00DF754F">
        <w:t>Supplementary Materials</w:t>
      </w:r>
      <w:r w:rsidR="0086158C" w:rsidRPr="00DF754F">
        <w:t xml:space="preserve"> for responses to each </w:t>
      </w:r>
      <w:r w:rsidR="00D00C6E" w:rsidRPr="00DF754F">
        <w:t xml:space="preserve">true </w:t>
      </w:r>
      <w:r w:rsidR="0086158C" w:rsidRPr="00DF754F">
        <w:t>story</w:t>
      </w:r>
      <w:r w:rsidRPr="00DF754F">
        <w:t xml:space="preserve">.  </w:t>
      </w:r>
      <w:r w:rsidR="003E3529" w:rsidRPr="00DF754F">
        <w:t xml:space="preserve">As shown in Figure 2, </w:t>
      </w:r>
      <w:r w:rsidRPr="00DF754F">
        <w:t>Yes voters were more likely</w:t>
      </w:r>
      <w:r w:rsidR="00983151" w:rsidRPr="00DF754F">
        <w:t xml:space="preserve"> to </w:t>
      </w:r>
      <w:r w:rsidRPr="00DF754F">
        <w:t>remember</w:t>
      </w:r>
      <w:r w:rsidR="00983151" w:rsidRPr="00DF754F">
        <w:t xml:space="preserve"> or believe</w:t>
      </w:r>
      <w:r w:rsidRPr="00DF754F">
        <w:t xml:space="preserve"> the fabricated No poster story (</w:t>
      </w:r>
      <w:r w:rsidR="004120E6" w:rsidRPr="00DF754F">
        <w:t>54</w:t>
      </w:r>
      <w:r w:rsidRPr="00DF754F">
        <w:t>% remembered</w:t>
      </w:r>
      <w:r w:rsidR="004120E6" w:rsidRPr="00DF754F">
        <w:t xml:space="preserve"> or believed</w:t>
      </w:r>
      <w:r w:rsidRPr="00DF754F">
        <w:t>) than No voters (</w:t>
      </w:r>
      <w:r w:rsidR="004120E6" w:rsidRPr="00DF754F">
        <w:t>38</w:t>
      </w:r>
      <w:r w:rsidRPr="00DF754F">
        <w:t>% remembered</w:t>
      </w:r>
      <w:r w:rsidR="004120E6" w:rsidRPr="00DF754F">
        <w:t xml:space="preserve"> or believed</w:t>
      </w:r>
      <w:r w:rsidRPr="00DF754F">
        <w:t xml:space="preserve">), </w:t>
      </w:r>
      <w:r w:rsidRPr="00DF754F">
        <w:rPr>
          <w:i/>
        </w:rPr>
        <w:t>X</w:t>
      </w:r>
      <w:r w:rsidRPr="00DF754F">
        <w:rPr>
          <w:i/>
          <w:vertAlign w:val="superscript"/>
        </w:rPr>
        <w:t>2</w:t>
      </w:r>
      <w:r w:rsidRPr="00DF754F">
        <w:t xml:space="preserve">(1, </w:t>
      </w:r>
      <w:r w:rsidRPr="00DF754F">
        <w:rPr>
          <w:i/>
        </w:rPr>
        <w:t>N</w:t>
      </w:r>
      <w:r w:rsidRPr="00DF754F">
        <w:t xml:space="preserve"> = 1</w:t>
      </w:r>
      <w:r w:rsidR="004120E6" w:rsidRPr="00DF754F">
        <w:t>312</w:t>
      </w:r>
      <w:r w:rsidRPr="00DF754F">
        <w:t xml:space="preserve">) = </w:t>
      </w:r>
      <w:r w:rsidR="004120E6" w:rsidRPr="00DF754F">
        <w:t>16.11</w:t>
      </w:r>
      <w:r w:rsidRPr="00DF754F">
        <w:t xml:space="preserve">, </w:t>
      </w:r>
      <w:r w:rsidRPr="00DF754F">
        <w:rPr>
          <w:i/>
        </w:rPr>
        <w:t>p</w:t>
      </w:r>
      <w:r w:rsidRPr="00DF754F">
        <w:t xml:space="preserve"> &lt; .001, </w:t>
      </w:r>
      <w:r w:rsidRPr="00DF754F">
        <w:rPr>
          <w:i/>
        </w:rPr>
        <w:t>V</w:t>
      </w:r>
      <w:r w:rsidR="004120E6" w:rsidRPr="00DF754F">
        <w:t xml:space="preserve"> = .11</w:t>
      </w:r>
      <w:r w:rsidR="00983151" w:rsidRPr="00DF754F">
        <w:t>.</w:t>
      </w:r>
      <w:r w:rsidR="00950B9F" w:rsidRPr="00DF754F">
        <w:t xml:space="preserve"> </w:t>
      </w:r>
      <w:r w:rsidRPr="00DF754F">
        <w:t>Similarly,</w:t>
      </w:r>
      <w:r w:rsidR="00983151" w:rsidRPr="00DF754F">
        <w:t xml:space="preserve"> No voters were more likely to </w:t>
      </w:r>
      <w:r w:rsidRPr="00DF754F">
        <w:t xml:space="preserve">remember </w:t>
      </w:r>
      <w:r w:rsidR="00983151" w:rsidRPr="00DF754F">
        <w:t xml:space="preserve">or believe </w:t>
      </w:r>
      <w:r w:rsidRPr="00DF754F">
        <w:t>the</w:t>
      </w:r>
      <w:r w:rsidR="004120E6" w:rsidRPr="00DF754F">
        <w:t xml:space="preserve"> fabricated Yes poster story (40</w:t>
      </w:r>
      <w:r w:rsidRPr="00DF754F">
        <w:t>% remembered</w:t>
      </w:r>
      <w:r w:rsidR="004120E6" w:rsidRPr="00DF754F">
        <w:t xml:space="preserve"> or believed) than Yes voters (30</w:t>
      </w:r>
      <w:r w:rsidRPr="00DF754F">
        <w:t>% remembered</w:t>
      </w:r>
      <w:r w:rsidR="004120E6" w:rsidRPr="00DF754F">
        <w:t xml:space="preserve"> or believed</w:t>
      </w:r>
      <w:r w:rsidRPr="00DF754F">
        <w:t xml:space="preserve">), </w:t>
      </w:r>
      <w:r w:rsidRPr="00DF754F">
        <w:rPr>
          <w:i/>
        </w:rPr>
        <w:t>X</w:t>
      </w:r>
      <w:r w:rsidRPr="00DF754F">
        <w:rPr>
          <w:i/>
          <w:vertAlign w:val="superscript"/>
        </w:rPr>
        <w:t>2</w:t>
      </w:r>
      <w:r w:rsidRPr="00DF754F">
        <w:t xml:space="preserve">(1, </w:t>
      </w:r>
      <w:r w:rsidRPr="00DF754F">
        <w:rPr>
          <w:i/>
        </w:rPr>
        <w:t xml:space="preserve">N </w:t>
      </w:r>
      <w:r w:rsidRPr="00DF754F">
        <w:t xml:space="preserve">= </w:t>
      </w:r>
      <w:r w:rsidR="004120E6" w:rsidRPr="00DF754F">
        <w:t>1409</w:t>
      </w:r>
      <w:r w:rsidRPr="00DF754F">
        <w:t xml:space="preserve">) = </w:t>
      </w:r>
      <w:r w:rsidR="004120E6" w:rsidRPr="00DF754F">
        <w:t>8.48</w:t>
      </w:r>
      <w:r w:rsidRPr="00DF754F">
        <w:t xml:space="preserve">, </w:t>
      </w:r>
      <w:r w:rsidRPr="00DF754F">
        <w:rPr>
          <w:i/>
        </w:rPr>
        <w:t>p</w:t>
      </w:r>
      <w:r w:rsidR="004120E6" w:rsidRPr="00DF754F">
        <w:t xml:space="preserve"> =</w:t>
      </w:r>
      <w:r w:rsidRPr="00DF754F">
        <w:t xml:space="preserve"> </w:t>
      </w:r>
      <w:r w:rsidR="004120E6" w:rsidRPr="00DF754F">
        <w:t>.004</w:t>
      </w:r>
      <w:r w:rsidRPr="00DF754F">
        <w:t xml:space="preserve">, </w:t>
      </w:r>
      <w:r w:rsidRPr="00DF754F">
        <w:rPr>
          <w:i/>
        </w:rPr>
        <w:t>V</w:t>
      </w:r>
      <w:r w:rsidR="004120E6" w:rsidRPr="00DF754F">
        <w:t xml:space="preserve"> = .08</w:t>
      </w:r>
      <w:r w:rsidRPr="00DF754F">
        <w:t xml:space="preserve">. </w:t>
      </w:r>
      <w:r w:rsidR="004D0D00" w:rsidRPr="00DF754F">
        <w:t>Importantly, t</w:t>
      </w:r>
      <w:r w:rsidR="0074200D" w:rsidRPr="00DF754F">
        <w:t xml:space="preserve">hese </w:t>
      </w:r>
      <w:r w:rsidR="008841B1" w:rsidRPr="00DF754F">
        <w:t xml:space="preserve">group </w:t>
      </w:r>
      <w:r w:rsidRPr="00DF754F">
        <w:t>difference</w:t>
      </w:r>
      <w:r w:rsidR="0074200D" w:rsidRPr="00DF754F">
        <w:t>s</w:t>
      </w:r>
      <w:r w:rsidRPr="00DF754F">
        <w:t xml:space="preserve"> </w:t>
      </w:r>
      <w:r w:rsidR="0074200D" w:rsidRPr="00DF754F">
        <w:t xml:space="preserve">were </w:t>
      </w:r>
      <w:r w:rsidR="00983151" w:rsidRPr="00DF754F">
        <w:t>evident</w:t>
      </w:r>
      <w:r w:rsidRPr="00DF754F">
        <w:t xml:space="preserve"> </w:t>
      </w:r>
      <w:r w:rsidR="00983151" w:rsidRPr="00DF754F">
        <w:t xml:space="preserve">no matter how memories were classified; </w:t>
      </w:r>
      <w:r w:rsidRPr="00DF754F">
        <w:t xml:space="preserve">when </w:t>
      </w:r>
      <w:r w:rsidR="00983151" w:rsidRPr="00DF754F">
        <w:t>comparing only those who reported a specific memory of the event</w:t>
      </w:r>
      <w:r w:rsidR="00BB19EE" w:rsidRPr="00DF754F">
        <w:t xml:space="preserve"> (No Poster </w:t>
      </w:r>
      <w:r w:rsidR="00BB19EE" w:rsidRPr="00DF754F">
        <w:rPr>
          <w:i/>
        </w:rPr>
        <w:t>X</w:t>
      </w:r>
      <w:r w:rsidR="00BB19EE" w:rsidRPr="00DF754F">
        <w:rPr>
          <w:i/>
          <w:vertAlign w:val="superscript"/>
        </w:rPr>
        <w:t>2</w:t>
      </w:r>
      <w:r w:rsidR="00BB19EE" w:rsidRPr="00DF754F">
        <w:t xml:space="preserve">(1, </w:t>
      </w:r>
      <w:r w:rsidR="00BB19EE" w:rsidRPr="00DF754F">
        <w:rPr>
          <w:i/>
        </w:rPr>
        <w:t>N</w:t>
      </w:r>
      <w:r w:rsidR="00BB19EE" w:rsidRPr="00DF754F">
        <w:t xml:space="preserve"> = 1312) = </w:t>
      </w:r>
      <w:r w:rsidR="00A03DDD" w:rsidRPr="00DF754F">
        <w:t>6.41</w:t>
      </w:r>
      <w:r w:rsidR="00BB19EE" w:rsidRPr="00DF754F">
        <w:t xml:space="preserve">, </w:t>
      </w:r>
      <w:r w:rsidR="00BB19EE" w:rsidRPr="00DF754F">
        <w:rPr>
          <w:i/>
        </w:rPr>
        <w:t>p</w:t>
      </w:r>
      <w:r w:rsidR="00A03DDD" w:rsidRPr="00DF754F">
        <w:t xml:space="preserve"> = .01</w:t>
      </w:r>
      <w:r w:rsidR="00BB19EE" w:rsidRPr="00DF754F">
        <w:t xml:space="preserve">1, </w:t>
      </w:r>
      <w:r w:rsidR="00BB19EE" w:rsidRPr="00DF754F">
        <w:rPr>
          <w:i/>
        </w:rPr>
        <w:t>V</w:t>
      </w:r>
      <w:r w:rsidR="00A03DDD" w:rsidRPr="00DF754F">
        <w:t xml:space="preserve"> = .07</w:t>
      </w:r>
      <w:r w:rsidR="00BB19EE" w:rsidRPr="00DF754F">
        <w:t xml:space="preserve">; Yes Poster </w:t>
      </w:r>
      <w:r w:rsidR="00BB19EE" w:rsidRPr="00DF754F">
        <w:rPr>
          <w:i/>
        </w:rPr>
        <w:t>X</w:t>
      </w:r>
      <w:r w:rsidR="00BB19EE" w:rsidRPr="00DF754F">
        <w:rPr>
          <w:i/>
          <w:vertAlign w:val="superscript"/>
        </w:rPr>
        <w:t>2</w:t>
      </w:r>
      <w:r w:rsidR="00BB19EE" w:rsidRPr="00DF754F">
        <w:t xml:space="preserve">(1, </w:t>
      </w:r>
      <w:r w:rsidR="00BB19EE" w:rsidRPr="00DF754F">
        <w:rPr>
          <w:i/>
        </w:rPr>
        <w:t>N</w:t>
      </w:r>
      <w:r w:rsidR="00BB19EE" w:rsidRPr="00DF754F">
        <w:t xml:space="preserve"> = </w:t>
      </w:r>
      <w:r w:rsidR="00A03DDD" w:rsidRPr="00DF754F">
        <w:t>1409</w:t>
      </w:r>
      <w:r w:rsidR="00BB19EE" w:rsidRPr="00DF754F">
        <w:t xml:space="preserve">) = </w:t>
      </w:r>
      <w:r w:rsidR="00A03DDD" w:rsidRPr="00DF754F">
        <w:t>15.01</w:t>
      </w:r>
      <w:r w:rsidR="00BB19EE" w:rsidRPr="00DF754F">
        <w:t xml:space="preserve">, </w:t>
      </w:r>
      <w:r w:rsidR="00BB19EE" w:rsidRPr="00DF754F">
        <w:rPr>
          <w:i/>
        </w:rPr>
        <w:t>p</w:t>
      </w:r>
      <w:r w:rsidR="00BB19EE" w:rsidRPr="00DF754F">
        <w:t xml:space="preserve"> &lt; .001, </w:t>
      </w:r>
      <w:r w:rsidR="00BB19EE" w:rsidRPr="00DF754F">
        <w:rPr>
          <w:i/>
        </w:rPr>
        <w:t>V</w:t>
      </w:r>
      <w:r w:rsidR="00A03DDD" w:rsidRPr="00DF754F">
        <w:t xml:space="preserve"> = .10</w:t>
      </w:r>
      <w:r w:rsidR="00BB19EE" w:rsidRPr="00DF754F">
        <w:t>)</w:t>
      </w:r>
      <w:r w:rsidR="00983151" w:rsidRPr="00DF754F">
        <w:t xml:space="preserve"> </w:t>
      </w:r>
      <w:r w:rsidR="00051709" w:rsidRPr="00DF754F">
        <w:t>or</w:t>
      </w:r>
      <w:r w:rsidR="00983151" w:rsidRPr="00DF754F">
        <w:t xml:space="preserve"> when comparing those who reported a specific or general memory of the event, but excluding those who merely believed it had occurred</w:t>
      </w:r>
      <w:r w:rsidR="00BB19EE" w:rsidRPr="00DF754F">
        <w:t xml:space="preserve"> (No Poster </w:t>
      </w:r>
      <w:r w:rsidR="00BB19EE" w:rsidRPr="00DF754F">
        <w:rPr>
          <w:i/>
        </w:rPr>
        <w:t>X</w:t>
      </w:r>
      <w:r w:rsidR="00BB19EE" w:rsidRPr="00DF754F">
        <w:rPr>
          <w:i/>
          <w:vertAlign w:val="superscript"/>
        </w:rPr>
        <w:t>2</w:t>
      </w:r>
      <w:r w:rsidR="00BB19EE" w:rsidRPr="00DF754F">
        <w:t xml:space="preserve">(1, </w:t>
      </w:r>
      <w:r w:rsidR="00BB19EE" w:rsidRPr="00DF754F">
        <w:rPr>
          <w:i/>
        </w:rPr>
        <w:t>N</w:t>
      </w:r>
      <w:r w:rsidR="00BB19EE" w:rsidRPr="00DF754F">
        <w:t xml:space="preserve"> = 1126) = 13.10, </w:t>
      </w:r>
      <w:r w:rsidR="00BB19EE" w:rsidRPr="00DF754F">
        <w:rPr>
          <w:i/>
        </w:rPr>
        <w:t>p</w:t>
      </w:r>
      <w:r w:rsidR="00BB19EE" w:rsidRPr="00DF754F">
        <w:t xml:space="preserve"> &lt; .001, </w:t>
      </w:r>
      <w:r w:rsidR="00BB19EE" w:rsidRPr="00DF754F">
        <w:rPr>
          <w:i/>
        </w:rPr>
        <w:t>V</w:t>
      </w:r>
      <w:r w:rsidR="00BB19EE" w:rsidRPr="00DF754F">
        <w:t xml:space="preserve"> = .11; Yes Poster </w:t>
      </w:r>
      <w:r w:rsidR="00BB19EE" w:rsidRPr="00DF754F">
        <w:rPr>
          <w:i/>
        </w:rPr>
        <w:t>X</w:t>
      </w:r>
      <w:r w:rsidR="00BB19EE" w:rsidRPr="00DF754F">
        <w:rPr>
          <w:i/>
          <w:vertAlign w:val="superscript"/>
        </w:rPr>
        <w:t>2</w:t>
      </w:r>
      <w:r w:rsidR="00BB19EE" w:rsidRPr="00DF754F">
        <w:t xml:space="preserve">(1, </w:t>
      </w:r>
      <w:r w:rsidR="00BB19EE" w:rsidRPr="00DF754F">
        <w:rPr>
          <w:i/>
        </w:rPr>
        <w:t>N</w:t>
      </w:r>
      <w:r w:rsidR="00BB19EE" w:rsidRPr="00DF754F">
        <w:t xml:space="preserve"> = 1</w:t>
      </w:r>
      <w:r w:rsidR="007E1343" w:rsidRPr="00DF754F">
        <w:t>274</w:t>
      </w:r>
      <w:r w:rsidR="00BB19EE" w:rsidRPr="00DF754F">
        <w:t xml:space="preserve">) = </w:t>
      </w:r>
      <w:r w:rsidR="007E1343" w:rsidRPr="00DF754F">
        <w:t>12.44</w:t>
      </w:r>
      <w:r w:rsidR="00BB19EE" w:rsidRPr="00DF754F">
        <w:t xml:space="preserve">, </w:t>
      </w:r>
      <w:r w:rsidR="00BB19EE" w:rsidRPr="00DF754F">
        <w:rPr>
          <w:i/>
        </w:rPr>
        <w:t>p</w:t>
      </w:r>
      <w:r w:rsidR="00BB19EE" w:rsidRPr="00DF754F">
        <w:t xml:space="preserve"> &lt; .001, </w:t>
      </w:r>
      <w:r w:rsidR="00BB19EE" w:rsidRPr="00DF754F">
        <w:rPr>
          <w:i/>
        </w:rPr>
        <w:t>V</w:t>
      </w:r>
      <w:r w:rsidR="007E1343" w:rsidRPr="00DF754F">
        <w:t xml:space="preserve"> = .10</w:t>
      </w:r>
      <w:r w:rsidR="00BB19EE" w:rsidRPr="00DF754F">
        <w:t>)</w:t>
      </w:r>
      <w:r w:rsidR="008841B1" w:rsidRPr="00DF754F">
        <w:t>. It is worth noting that t</w:t>
      </w:r>
      <w:r w:rsidR="003E3529" w:rsidRPr="00DF754F">
        <w:t xml:space="preserve">he No poster story may have been more believable than the Yes story overall; amongst participants who indicated that they would not be voting, the No story (35% remembered) was recalled at over twice the rate of the Yes story (16% remembered), </w:t>
      </w:r>
      <w:r w:rsidR="003E3529" w:rsidRPr="00DF754F">
        <w:rPr>
          <w:i/>
        </w:rPr>
        <w:t>X</w:t>
      </w:r>
      <w:r w:rsidR="003E3529" w:rsidRPr="00DF754F">
        <w:rPr>
          <w:i/>
          <w:vertAlign w:val="superscript"/>
        </w:rPr>
        <w:t>2</w:t>
      </w:r>
      <w:r w:rsidR="003E3529" w:rsidRPr="00DF754F">
        <w:t xml:space="preserve">(1, </w:t>
      </w:r>
      <w:r w:rsidR="003E3529" w:rsidRPr="00DF754F">
        <w:rPr>
          <w:i/>
        </w:rPr>
        <w:t>N</w:t>
      </w:r>
      <w:r w:rsidR="003E3529" w:rsidRPr="00DF754F">
        <w:t xml:space="preserve"> = 113) = 5.35, </w:t>
      </w:r>
      <w:r w:rsidR="003E3529" w:rsidRPr="00DF754F">
        <w:rPr>
          <w:i/>
        </w:rPr>
        <w:t>p</w:t>
      </w:r>
      <w:r w:rsidR="003E3529" w:rsidRPr="00DF754F">
        <w:t xml:space="preserve"> = .02, </w:t>
      </w:r>
      <w:r w:rsidR="003E3529" w:rsidRPr="00DF754F">
        <w:rPr>
          <w:i/>
        </w:rPr>
        <w:t>V</w:t>
      </w:r>
      <w:r w:rsidR="003E3529" w:rsidRPr="00DF754F">
        <w:t xml:space="preserve"> = .22</w:t>
      </w:r>
    </w:p>
    <w:p w14:paraId="3FFEBE48" w14:textId="77777777" w:rsidR="00BF2FCB" w:rsidRPr="00DF754F" w:rsidRDefault="00BF2FCB">
      <w:r w:rsidRPr="00DF754F">
        <w:br w:type="page"/>
      </w:r>
    </w:p>
    <w:p w14:paraId="04B700B8" w14:textId="77777777" w:rsidR="003E3529" w:rsidRPr="00733A57" w:rsidRDefault="003E3529" w:rsidP="003E3529">
      <w:pPr>
        <w:spacing w:line="480" w:lineRule="auto"/>
        <w:ind w:firstLine="720"/>
      </w:pPr>
    </w:p>
    <w:p w14:paraId="2902E830" w14:textId="62290591" w:rsidR="006F6AC8" w:rsidRDefault="00A42F0F" w:rsidP="006F6AC8">
      <w:r>
        <w:rPr>
          <w:noProof/>
        </w:rPr>
        <w:drawing>
          <wp:anchor distT="0" distB="0" distL="114300" distR="114300" simplePos="0" relativeHeight="251663872" behindDoc="0" locked="0" layoutInCell="1" allowOverlap="1" wp14:anchorId="0D0150F1" wp14:editId="3F460E09">
            <wp:simplePos x="0" y="0"/>
            <wp:positionH relativeFrom="column">
              <wp:posOffset>2248535</wp:posOffset>
            </wp:positionH>
            <wp:positionV relativeFrom="paragraph">
              <wp:posOffset>166370</wp:posOffset>
            </wp:positionV>
            <wp:extent cx="123190" cy="572135"/>
            <wp:effectExtent l="0" t="0" r="0" b="0"/>
            <wp:wrapNone/>
            <wp:docPr id="3" name="Picture 2" descr="Pink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kLege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90" cy="572135"/>
                    </a:xfrm>
                    <a:prstGeom prst="rect">
                      <a:avLst/>
                    </a:prstGeom>
                    <a:noFill/>
                  </pic:spPr>
                </pic:pic>
              </a:graphicData>
            </a:graphic>
            <wp14:sizeRelH relativeFrom="page">
              <wp14:pctWidth>0</wp14:pctWidth>
            </wp14:sizeRelH>
            <wp14:sizeRelV relativeFrom="page">
              <wp14:pctHeight>0</wp14:pctHeight>
            </wp14:sizeRelV>
          </wp:anchor>
        </w:drawing>
      </w:r>
      <w:r w:rsidR="006F6AC8">
        <w:t xml:space="preserve"> </w:t>
      </w:r>
      <w:r w:rsidR="006F6AC8">
        <w:rPr>
          <w:noProof/>
        </w:rPr>
        <w:drawing>
          <wp:inline distT="0" distB="0" distL="0" distR="0" wp14:anchorId="2A8D6486" wp14:editId="09C010E8">
            <wp:extent cx="5270500" cy="3225165"/>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924197" w14:textId="77777777" w:rsidR="006F6AC8" w:rsidRDefault="006F6AC8" w:rsidP="00456DED">
      <w:pPr>
        <w:keepNext/>
      </w:pPr>
    </w:p>
    <w:p w14:paraId="58EB3AFC" w14:textId="347B9B62" w:rsidR="006F6AC8" w:rsidRPr="00B30253" w:rsidRDefault="006F6AC8" w:rsidP="00456DED">
      <w:pPr>
        <w:pStyle w:val="Caption"/>
        <w:rPr>
          <w:i w:val="0"/>
          <w:color w:val="auto"/>
          <w:sz w:val="24"/>
          <w:szCs w:val="24"/>
        </w:rPr>
      </w:pPr>
      <w:r w:rsidRPr="00B30253">
        <w:rPr>
          <w:color w:val="auto"/>
          <w:sz w:val="24"/>
          <w:szCs w:val="24"/>
        </w:rPr>
        <w:t>Figure 2</w:t>
      </w:r>
      <w:r w:rsidRPr="00B57BA8">
        <w:rPr>
          <w:color w:val="auto"/>
          <w:sz w:val="24"/>
          <w:szCs w:val="24"/>
        </w:rPr>
        <w:t>.</w:t>
      </w:r>
      <w:r w:rsidRPr="00B30253">
        <w:rPr>
          <w:i w:val="0"/>
          <w:color w:val="auto"/>
          <w:sz w:val="24"/>
          <w:szCs w:val="24"/>
        </w:rPr>
        <w:t xml:space="preserve"> Responses by Yes </w:t>
      </w:r>
      <w:r w:rsidR="0074512F">
        <w:rPr>
          <w:i w:val="0"/>
          <w:color w:val="auto"/>
          <w:sz w:val="24"/>
          <w:szCs w:val="24"/>
        </w:rPr>
        <w:t>and</w:t>
      </w:r>
      <w:r w:rsidRPr="00B30253">
        <w:rPr>
          <w:i w:val="0"/>
          <w:color w:val="auto"/>
          <w:sz w:val="24"/>
          <w:szCs w:val="24"/>
        </w:rPr>
        <w:t xml:space="preserve"> No voters to the fabricated story concerning the destruction of Yes/No posters purc</w:t>
      </w:r>
      <w:r w:rsidR="00504905">
        <w:rPr>
          <w:i w:val="0"/>
          <w:color w:val="auto"/>
          <w:sz w:val="24"/>
          <w:szCs w:val="24"/>
        </w:rPr>
        <w:t>hased illegally with US funding (note no error bars are included here as this is count data reported as proportions).</w:t>
      </w:r>
    </w:p>
    <w:p w14:paraId="229069BB" w14:textId="77777777" w:rsidR="00531061" w:rsidRDefault="00531061" w:rsidP="006F6AC8">
      <w:pPr>
        <w:spacing w:line="480" w:lineRule="auto"/>
        <w:ind w:firstLine="720"/>
      </w:pPr>
    </w:p>
    <w:p w14:paraId="424923E0" w14:textId="7EFA81A0" w:rsidR="006F6AC8" w:rsidRPr="00733A57" w:rsidRDefault="00392E1D" w:rsidP="006F6AC8">
      <w:pPr>
        <w:spacing w:line="480" w:lineRule="auto"/>
        <w:ind w:firstLine="720"/>
        <w:rPr>
          <w:sz w:val="22"/>
          <w:szCs w:val="22"/>
        </w:rPr>
      </w:pPr>
      <w:r>
        <w:t>Q</w:t>
      </w:r>
      <w:r w:rsidR="006F6AC8" w:rsidRPr="00733A57">
        <w:t>ualitative responses to both versions of the story suggest</w:t>
      </w:r>
      <w:r w:rsidR="006F6AC8">
        <w:t>ed</w:t>
      </w:r>
      <w:r w:rsidR="006F6AC8" w:rsidRPr="00733A57">
        <w:t xml:space="preserve"> </w:t>
      </w:r>
      <w:r w:rsidR="006F6AC8">
        <w:t xml:space="preserve">that some participants </w:t>
      </w:r>
      <w:r w:rsidR="00C639FE">
        <w:t xml:space="preserve">formed </w:t>
      </w:r>
      <w:r w:rsidR="006F6AC8" w:rsidRPr="00733A57">
        <w:t>rich and detailed false memories. Responses to the No poster story included</w:t>
      </w:r>
      <w:r w:rsidR="004A3D51">
        <w:t>,</w:t>
      </w:r>
      <w:r w:rsidR="006F6AC8" w:rsidRPr="00733A57">
        <w:t xml:space="preserve"> ‘</w:t>
      </w:r>
      <w:r w:rsidR="006F6AC8" w:rsidRPr="00733A57">
        <w:rPr>
          <w:i/>
        </w:rPr>
        <w:t>I had my mind made up prior to these posters, however, after this story I was disinterested in the No campaign as I didn’t agree with the involvement of other countries in our countries decisions’</w:t>
      </w:r>
      <w:r w:rsidR="006F6AC8" w:rsidRPr="00733A57">
        <w:t xml:space="preserve"> (Female, 24, voting Yes)</w:t>
      </w:r>
      <w:r w:rsidR="004A3D51">
        <w:t xml:space="preserve">, </w:t>
      </w:r>
      <w:r w:rsidR="00C40EC0">
        <w:t xml:space="preserve">and </w:t>
      </w:r>
      <w:r w:rsidR="00C40EC0" w:rsidRPr="00733A57">
        <w:t>‘</w:t>
      </w:r>
      <w:r w:rsidR="006F6AC8" w:rsidRPr="00733A57">
        <w:rPr>
          <w:i/>
        </w:rPr>
        <w:t>I don't think anything wrong happened and the posters shouldn't have been burned’</w:t>
      </w:r>
      <w:r w:rsidR="006F6AC8" w:rsidRPr="00733A57">
        <w:t xml:space="preserve"> (Male, 19, voting No). Responses to the Yes poster story included</w:t>
      </w:r>
      <w:r w:rsidR="004A3D51">
        <w:t>,</w:t>
      </w:r>
      <w:r w:rsidR="006F6AC8" w:rsidRPr="00733A57">
        <w:t xml:space="preserve"> ‘</w:t>
      </w:r>
      <w:r w:rsidR="006F6AC8" w:rsidRPr="00733A57">
        <w:rPr>
          <w:i/>
        </w:rPr>
        <w:t>Thought it was hilarious!’</w:t>
      </w:r>
      <w:r w:rsidR="006F6AC8" w:rsidRPr="00733A57">
        <w:t xml:space="preserve"> (Male, 71, voting No) </w:t>
      </w:r>
      <w:r w:rsidR="004A3D51">
        <w:t>and</w:t>
      </w:r>
      <w:r w:rsidR="006F6AC8" w:rsidRPr="00733A57">
        <w:t xml:space="preserve"> </w:t>
      </w:r>
      <w:r w:rsidR="00727F19">
        <w:t>‘</w:t>
      </w:r>
      <w:r w:rsidR="00727F19" w:rsidRPr="00727F19">
        <w:rPr>
          <w:rFonts w:eastAsia="Times New Roman" w:cs="Times New Roman"/>
          <w:i/>
          <w:color w:val="000000"/>
        </w:rPr>
        <w:t>I didn’t see why it mattered’</w:t>
      </w:r>
      <w:r w:rsidR="00727F19">
        <w:rPr>
          <w:rFonts w:eastAsia="Times New Roman" w:cs="Times New Roman"/>
          <w:color w:val="000000"/>
        </w:rPr>
        <w:t xml:space="preserve"> (Female, 19, voting Yes). </w:t>
      </w:r>
    </w:p>
    <w:p w14:paraId="0AF2255D" w14:textId="77777777" w:rsidR="006F6AC8" w:rsidRPr="00733A57" w:rsidRDefault="006F6AC8" w:rsidP="006F6AC8">
      <w:pPr>
        <w:ind w:left="720"/>
        <w:rPr>
          <w:sz w:val="22"/>
          <w:szCs w:val="22"/>
        </w:rPr>
      </w:pPr>
    </w:p>
    <w:p w14:paraId="06902439" w14:textId="4CB22886" w:rsidR="006F6AC8" w:rsidRPr="00110535" w:rsidRDefault="006F6AC8" w:rsidP="006F6AC8">
      <w:pPr>
        <w:ind w:firstLine="720"/>
        <w:rPr>
          <w:sz w:val="22"/>
        </w:rPr>
      </w:pPr>
    </w:p>
    <w:p w14:paraId="62CA6477" w14:textId="20CBB52F" w:rsidR="006F6AC8" w:rsidRDefault="006F6AC8" w:rsidP="006F6AC8">
      <w:pPr>
        <w:keepNext/>
      </w:pPr>
    </w:p>
    <w:p w14:paraId="7788DA24" w14:textId="0EF0BB64" w:rsidR="00D76222" w:rsidRPr="002417E6" w:rsidRDefault="00D76222" w:rsidP="006F6AC8">
      <w:pPr>
        <w:pStyle w:val="Caption"/>
        <w:spacing w:before="240" w:after="0" w:line="480" w:lineRule="auto"/>
        <w:rPr>
          <w:rFonts w:ascii="Helvetica" w:hAnsi="Helvetica"/>
          <w:color w:val="auto"/>
          <w:sz w:val="24"/>
          <w:szCs w:val="24"/>
        </w:rPr>
      </w:pPr>
      <w:r w:rsidRPr="002417E6">
        <w:rPr>
          <w:rFonts w:ascii="Helvetica" w:hAnsi="Helvetica"/>
          <w:noProof/>
        </w:rPr>
        <w:drawing>
          <wp:anchor distT="0" distB="0" distL="114300" distR="114300" simplePos="0" relativeHeight="251664896" behindDoc="0" locked="0" layoutInCell="1" allowOverlap="1" wp14:anchorId="0D0150F1" wp14:editId="0E4034A5">
            <wp:simplePos x="0" y="0"/>
            <wp:positionH relativeFrom="column">
              <wp:posOffset>2800350</wp:posOffset>
            </wp:positionH>
            <wp:positionV relativeFrom="paragraph">
              <wp:posOffset>520065</wp:posOffset>
            </wp:positionV>
            <wp:extent cx="123190" cy="572135"/>
            <wp:effectExtent l="0" t="0" r="3810" b="12065"/>
            <wp:wrapNone/>
            <wp:docPr id="10" name="Picture 10" descr="C:\Users\gillianmurphy\AppData\Local\Microsoft\Windows\INetCache\Content.Word\Pink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ianmurphy\AppData\Local\Microsoft\Windows\INetCache\Content.Word\PinkLegen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9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EC0" w:rsidRPr="00C40EC0">
        <w:rPr>
          <w:noProof/>
          <w:lang w:val="en-GB" w:eastAsia="en-GB"/>
        </w:rPr>
        <w:t xml:space="preserve"> </w:t>
      </w:r>
      <w:r w:rsidR="00C40EC0">
        <w:rPr>
          <w:noProof/>
        </w:rPr>
        <w:drawing>
          <wp:inline distT="0" distB="0" distL="0" distR="0" wp14:anchorId="4663949C" wp14:editId="5EF3280D">
            <wp:extent cx="5733415" cy="3486150"/>
            <wp:effectExtent l="0" t="0" r="698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7D0732" w14:textId="428D37E7" w:rsidR="006F6AC8" w:rsidRPr="00B30253" w:rsidRDefault="006F6AC8" w:rsidP="00456DED">
      <w:pPr>
        <w:pStyle w:val="Caption"/>
        <w:spacing w:after="0"/>
        <w:rPr>
          <w:i w:val="0"/>
          <w:color w:val="auto"/>
          <w:sz w:val="24"/>
          <w:szCs w:val="24"/>
        </w:rPr>
      </w:pPr>
      <w:r w:rsidRPr="00B30253">
        <w:rPr>
          <w:color w:val="auto"/>
          <w:sz w:val="24"/>
          <w:szCs w:val="24"/>
        </w:rPr>
        <w:t>Figure 3</w:t>
      </w:r>
      <w:r w:rsidRPr="00B30253">
        <w:rPr>
          <w:i w:val="0"/>
          <w:color w:val="auto"/>
          <w:sz w:val="24"/>
          <w:szCs w:val="24"/>
        </w:rPr>
        <w:t xml:space="preserve">. Responses by Yes </w:t>
      </w:r>
      <w:r w:rsidR="004A3D51">
        <w:rPr>
          <w:i w:val="0"/>
          <w:color w:val="auto"/>
          <w:sz w:val="24"/>
          <w:szCs w:val="24"/>
        </w:rPr>
        <w:t>and</w:t>
      </w:r>
      <w:r w:rsidRPr="00B30253">
        <w:rPr>
          <w:i w:val="0"/>
          <w:color w:val="auto"/>
          <w:sz w:val="24"/>
          <w:szCs w:val="24"/>
        </w:rPr>
        <w:t xml:space="preserve"> No voters to the fabricated story concerning inflammatory comments made by the Yes/No campaign, linking the referendum to a hi</w:t>
      </w:r>
      <w:r w:rsidR="00504905">
        <w:rPr>
          <w:i w:val="0"/>
          <w:color w:val="auto"/>
          <w:sz w:val="24"/>
          <w:szCs w:val="24"/>
        </w:rPr>
        <w:t>gh-profile sexual assault trial (note no error bars are included here as this is count data reported as proportions).</w:t>
      </w:r>
    </w:p>
    <w:p w14:paraId="7EA88C31" w14:textId="77777777" w:rsidR="00531061" w:rsidRDefault="00531061" w:rsidP="00312374">
      <w:pPr>
        <w:spacing w:line="480" w:lineRule="auto"/>
        <w:ind w:firstLine="720"/>
      </w:pPr>
    </w:p>
    <w:p w14:paraId="4287B91D" w14:textId="33D05BAA" w:rsidR="009F71A7" w:rsidRPr="00DF754F" w:rsidRDefault="006F6AC8" w:rsidP="00A83EAD">
      <w:pPr>
        <w:spacing w:line="480" w:lineRule="auto"/>
        <w:ind w:firstLine="720"/>
      </w:pPr>
      <w:r>
        <w:t>F</w:t>
      </w:r>
      <w:r w:rsidRPr="00733A57">
        <w:t xml:space="preserve">abricated </w:t>
      </w:r>
      <w:r w:rsidRPr="00DF754F">
        <w:t xml:space="preserve">stories about inflammatory comments linking the referendum to a high-profile sexual assault </w:t>
      </w:r>
      <w:r w:rsidR="00E75C6D" w:rsidRPr="00DF754F">
        <w:t xml:space="preserve">did not result in a similar </w:t>
      </w:r>
      <w:r w:rsidR="007455C2" w:rsidRPr="00DF754F">
        <w:t xml:space="preserve">effect. </w:t>
      </w:r>
      <w:r w:rsidRPr="00DF754F">
        <w:t>As Figure 3</w:t>
      </w:r>
      <w:r w:rsidR="004F14D5" w:rsidRPr="00DF754F">
        <w:t xml:space="preserve"> shows</w:t>
      </w:r>
      <w:r w:rsidRPr="00DF754F">
        <w:t xml:space="preserve">, there was no </w:t>
      </w:r>
      <w:r w:rsidR="00772353" w:rsidRPr="00DF754F">
        <w:t>difference between voting groups in rates of false memories</w:t>
      </w:r>
      <w:r w:rsidRPr="00DF754F">
        <w:t xml:space="preserve"> for either version of the inflammatory comments story. </w:t>
      </w:r>
      <w:r w:rsidR="004F14D5" w:rsidRPr="00DF754F">
        <w:t xml:space="preserve">For </w:t>
      </w:r>
      <w:r w:rsidR="008308F5" w:rsidRPr="00DF754F">
        <w:t xml:space="preserve">the </w:t>
      </w:r>
      <w:r w:rsidR="004F14D5" w:rsidRPr="00DF754F">
        <w:t>No campaign story,</w:t>
      </w:r>
      <w:r w:rsidR="00051DE0" w:rsidRPr="00DF754F">
        <w:t xml:space="preserve"> </w:t>
      </w:r>
      <w:r w:rsidRPr="00DF754F">
        <w:t>Yes vot</w:t>
      </w:r>
      <w:r w:rsidR="00BF2FCB" w:rsidRPr="00DF754F">
        <w:t>ers were as likely to remember or believe</w:t>
      </w:r>
      <w:r w:rsidRPr="00DF754F">
        <w:t xml:space="preserve"> the </w:t>
      </w:r>
      <w:r w:rsidR="008308F5" w:rsidRPr="00DF754F">
        <w:t>inflammatory</w:t>
      </w:r>
      <w:r w:rsidR="008308F5" w:rsidRPr="00DF754F" w:rsidDel="008308F5">
        <w:t xml:space="preserve"> </w:t>
      </w:r>
      <w:r w:rsidR="000612E5" w:rsidRPr="00DF754F">
        <w:t>comments (49</w:t>
      </w:r>
      <w:r w:rsidRPr="00DF754F">
        <w:t>% remembered</w:t>
      </w:r>
      <w:r w:rsidR="00BF2FCB" w:rsidRPr="00DF754F">
        <w:t xml:space="preserve"> or believed</w:t>
      </w:r>
      <w:r w:rsidR="000612E5" w:rsidRPr="00DF754F">
        <w:t>) as No voters (42</w:t>
      </w:r>
      <w:r w:rsidRPr="00DF754F">
        <w:t>% remembered</w:t>
      </w:r>
      <w:r w:rsidR="00BF2FCB" w:rsidRPr="00DF754F">
        <w:t xml:space="preserve"> or believed</w:t>
      </w:r>
      <w:r w:rsidRPr="00DF754F">
        <w:t xml:space="preserve">), </w:t>
      </w:r>
      <w:r w:rsidRPr="00DF754F">
        <w:rPr>
          <w:i/>
        </w:rPr>
        <w:t>X</w:t>
      </w:r>
      <w:r w:rsidRPr="00DF754F">
        <w:rPr>
          <w:i/>
          <w:vertAlign w:val="superscript"/>
        </w:rPr>
        <w:t>2</w:t>
      </w:r>
      <w:r w:rsidRPr="00DF754F">
        <w:t xml:space="preserve"> (1, </w:t>
      </w:r>
      <w:r w:rsidRPr="00DF754F">
        <w:rPr>
          <w:i/>
        </w:rPr>
        <w:t>N</w:t>
      </w:r>
      <w:r w:rsidRPr="00DF754F">
        <w:t xml:space="preserve"> = 1</w:t>
      </w:r>
      <w:r w:rsidR="000612E5" w:rsidRPr="00DF754F">
        <w:t>409</w:t>
      </w:r>
      <w:r w:rsidRPr="00DF754F">
        <w:t xml:space="preserve">) = </w:t>
      </w:r>
      <w:r w:rsidR="000612E5" w:rsidRPr="00DF754F">
        <w:t>3.08</w:t>
      </w:r>
      <w:r w:rsidRPr="00DF754F">
        <w:t xml:space="preserve">, </w:t>
      </w:r>
      <w:r w:rsidRPr="00DF754F">
        <w:rPr>
          <w:i/>
        </w:rPr>
        <w:t>p</w:t>
      </w:r>
      <w:r w:rsidR="000612E5" w:rsidRPr="00DF754F">
        <w:t xml:space="preserve"> = .08</w:t>
      </w:r>
      <w:r w:rsidRPr="00DF754F">
        <w:t xml:space="preserve">. Similarly, </w:t>
      </w:r>
      <w:r w:rsidR="004F14D5" w:rsidRPr="00DF754F">
        <w:t xml:space="preserve">for the Yes campaign story, </w:t>
      </w:r>
      <w:r w:rsidRPr="00DF754F">
        <w:t>No vot</w:t>
      </w:r>
      <w:r w:rsidR="00BF2FCB" w:rsidRPr="00DF754F">
        <w:t>ers were as likely to remember or believe</w:t>
      </w:r>
      <w:r w:rsidRPr="00DF754F">
        <w:t xml:space="preserve"> the </w:t>
      </w:r>
      <w:r w:rsidR="008308F5" w:rsidRPr="00DF754F">
        <w:t>inflammatory</w:t>
      </w:r>
      <w:r w:rsidR="00FA6648" w:rsidRPr="00DF754F">
        <w:t xml:space="preserve"> comments (47</w:t>
      </w:r>
      <w:r w:rsidRPr="00DF754F">
        <w:t>% remembered</w:t>
      </w:r>
      <w:r w:rsidR="00BF2FCB" w:rsidRPr="00DF754F">
        <w:t xml:space="preserve"> or believed</w:t>
      </w:r>
      <w:r w:rsidR="00FA6648" w:rsidRPr="00DF754F">
        <w:t>) as Yes voters (48</w:t>
      </w:r>
      <w:r w:rsidRPr="00DF754F">
        <w:t>% remembered</w:t>
      </w:r>
      <w:r w:rsidR="00BF2FCB" w:rsidRPr="00DF754F">
        <w:t xml:space="preserve"> or believed</w:t>
      </w:r>
      <w:r w:rsidRPr="00DF754F">
        <w:t xml:space="preserve">), </w:t>
      </w:r>
      <w:r w:rsidRPr="00DF754F">
        <w:rPr>
          <w:i/>
        </w:rPr>
        <w:t>X</w:t>
      </w:r>
      <w:r w:rsidRPr="00DF754F">
        <w:rPr>
          <w:i/>
          <w:vertAlign w:val="superscript"/>
        </w:rPr>
        <w:t>2</w:t>
      </w:r>
      <w:r w:rsidRPr="00DF754F">
        <w:t xml:space="preserve">(1, </w:t>
      </w:r>
      <w:r w:rsidRPr="00DF754F">
        <w:rPr>
          <w:i/>
        </w:rPr>
        <w:t>N</w:t>
      </w:r>
      <w:r w:rsidR="00FA6648" w:rsidRPr="00DF754F">
        <w:t xml:space="preserve"> = 1312</w:t>
      </w:r>
      <w:r w:rsidRPr="00DF754F">
        <w:t xml:space="preserve">) = </w:t>
      </w:r>
      <w:r w:rsidR="00FA6648" w:rsidRPr="00DF754F">
        <w:t>0.10</w:t>
      </w:r>
      <w:r w:rsidRPr="00DF754F">
        <w:t xml:space="preserve">, </w:t>
      </w:r>
      <w:r w:rsidRPr="00DF754F">
        <w:rPr>
          <w:i/>
        </w:rPr>
        <w:t>p</w:t>
      </w:r>
      <w:r w:rsidR="00FA6648" w:rsidRPr="00DF754F">
        <w:t xml:space="preserve"> = .76</w:t>
      </w:r>
      <w:r w:rsidR="00BF2FCB" w:rsidRPr="00DF754F">
        <w:t xml:space="preserve">. </w:t>
      </w:r>
      <w:r w:rsidR="00E11D55" w:rsidRPr="00DF754F">
        <w:t xml:space="preserve"> </w:t>
      </w:r>
    </w:p>
    <w:p w14:paraId="57C8441A" w14:textId="77777777" w:rsidR="00BF2FCB" w:rsidRPr="00DF754F" w:rsidRDefault="00BF2FCB" w:rsidP="00312374">
      <w:pPr>
        <w:spacing w:line="480" w:lineRule="auto"/>
        <w:ind w:firstLine="720"/>
      </w:pPr>
    </w:p>
    <w:p w14:paraId="10248D2D" w14:textId="7A7B5C30" w:rsidR="00E70F34" w:rsidRPr="00BF4F40" w:rsidRDefault="00D462F4" w:rsidP="00BF4F40">
      <w:pPr>
        <w:spacing w:line="480" w:lineRule="auto"/>
        <w:ind w:firstLine="720"/>
      </w:pPr>
      <w:r>
        <w:t xml:space="preserve">Examination of </w:t>
      </w:r>
      <w:r w:rsidR="006F6AC8" w:rsidRPr="00733A57">
        <w:t>qualitative responses to th</w:t>
      </w:r>
      <w:r w:rsidR="00EA3A56">
        <w:t xml:space="preserve">e inflammatory comments </w:t>
      </w:r>
      <w:r w:rsidR="006F6AC8" w:rsidRPr="00733A57">
        <w:t>stor</w:t>
      </w:r>
      <w:r w:rsidR="008308F5">
        <w:t>ies</w:t>
      </w:r>
      <w:r w:rsidR="006F6AC8" w:rsidRPr="00733A57">
        <w:t xml:space="preserve"> suggest a possible explanation for this null finding</w:t>
      </w:r>
      <w:r>
        <w:t xml:space="preserve"> and led </w:t>
      </w:r>
      <w:r w:rsidR="00EA3A56">
        <w:t xml:space="preserve">us to focus on the poster </w:t>
      </w:r>
      <w:r w:rsidR="008308F5">
        <w:t>stories</w:t>
      </w:r>
      <w:r w:rsidR="00EA3A56">
        <w:t xml:space="preserve"> in subsequent analyses. Specifically, </w:t>
      </w:r>
      <w:r w:rsidR="006F6AC8" w:rsidRPr="00733A57">
        <w:t>some participants</w:t>
      </w:r>
      <w:r w:rsidR="00312374">
        <w:t>’ responses</w:t>
      </w:r>
      <w:r w:rsidR="006F6AC8" w:rsidRPr="00733A57">
        <w:t xml:space="preserve"> </w:t>
      </w:r>
      <w:r w:rsidR="00EA3A56">
        <w:t xml:space="preserve">focused on </w:t>
      </w:r>
      <w:r w:rsidR="006F6AC8" w:rsidRPr="00733A57">
        <w:t xml:space="preserve">the </w:t>
      </w:r>
      <w:r w:rsidR="00EA3A56">
        <w:t>sexual assault</w:t>
      </w:r>
      <w:r w:rsidR="006F6AC8" w:rsidRPr="00733A57">
        <w:t xml:space="preserve"> trial itself</w:t>
      </w:r>
      <w:r w:rsidR="00EA3A56">
        <w:t xml:space="preserve"> rather than</w:t>
      </w:r>
      <w:r w:rsidR="006F6AC8">
        <w:t xml:space="preserve"> </w:t>
      </w:r>
      <w:r w:rsidR="00917E12">
        <w:t xml:space="preserve">on </w:t>
      </w:r>
      <w:r w:rsidR="006F6AC8" w:rsidRPr="00733A57">
        <w:t xml:space="preserve">the </w:t>
      </w:r>
      <w:r w:rsidR="00666345">
        <w:t xml:space="preserve">fabricated </w:t>
      </w:r>
      <w:r w:rsidR="004F14D5">
        <w:t xml:space="preserve">inflammatory </w:t>
      </w:r>
      <w:r w:rsidR="006F6AC8" w:rsidRPr="00733A57">
        <w:t xml:space="preserve">comments </w:t>
      </w:r>
      <w:r w:rsidR="004F14D5">
        <w:t>of</w:t>
      </w:r>
      <w:r w:rsidR="006F6AC8" w:rsidRPr="00733A57">
        <w:t xml:space="preserve"> campaigners after the verdict (e.g. ‘</w:t>
      </w:r>
      <w:r w:rsidR="006F6AC8" w:rsidRPr="00733A57">
        <w:rPr>
          <w:i/>
        </w:rPr>
        <w:t>Angry that the men were innocent and were accused and their careers and lives have been extremely negatively influenced due to it</w:t>
      </w:r>
      <w:r w:rsidR="006F6AC8" w:rsidRPr="00733A57">
        <w:t>’</w:t>
      </w:r>
      <w:r w:rsidR="00312374">
        <w:t xml:space="preserve">, and </w:t>
      </w:r>
      <w:r w:rsidR="006F6AC8" w:rsidRPr="00733A57">
        <w:t>‘</w:t>
      </w:r>
      <w:r w:rsidR="006F6AC8" w:rsidRPr="00733A57">
        <w:rPr>
          <w:i/>
        </w:rPr>
        <w:t>Don't think they were as innocent as they made out to be’</w:t>
      </w:r>
      <w:r w:rsidR="006F6AC8" w:rsidRPr="00733A57">
        <w:t xml:space="preserve">). </w:t>
      </w:r>
      <w:r w:rsidR="007E173E">
        <w:t xml:space="preserve">Because </w:t>
      </w:r>
      <w:r w:rsidR="004F14D5">
        <w:t>some</w:t>
      </w:r>
      <w:r w:rsidR="007E173E">
        <w:t xml:space="preserve"> </w:t>
      </w:r>
      <w:r w:rsidR="004F14D5">
        <w:t>participants focused on the trial (which did occur)</w:t>
      </w:r>
      <w:r w:rsidR="007E173E">
        <w:t>,</w:t>
      </w:r>
      <w:r w:rsidR="004F14D5">
        <w:t xml:space="preserve"> whereas others focused on </w:t>
      </w:r>
      <w:r w:rsidR="007E173E">
        <w:t xml:space="preserve">the </w:t>
      </w:r>
      <w:r w:rsidR="004F14D5">
        <w:t>inflammatory comments (which were fabricated), it was unclear</w:t>
      </w:r>
      <w:r w:rsidR="00292B6E">
        <w:t xml:space="preserve"> </w:t>
      </w:r>
      <w:r w:rsidR="008308F5">
        <w:t xml:space="preserve">which feature of the comments stories participants’ </w:t>
      </w:r>
      <w:r w:rsidR="00487FDE">
        <w:t xml:space="preserve">memory </w:t>
      </w:r>
      <w:r w:rsidR="008308F5">
        <w:t xml:space="preserve">ratings </w:t>
      </w:r>
      <w:r w:rsidR="003040A8">
        <w:t>refer</w:t>
      </w:r>
      <w:r w:rsidR="004F14D5">
        <w:t>red</w:t>
      </w:r>
      <w:r w:rsidR="003040A8">
        <w:t xml:space="preserve"> to</w:t>
      </w:r>
      <w:r w:rsidR="004F14D5">
        <w:t>. Ther</w:t>
      </w:r>
      <w:r w:rsidR="007E173E">
        <w:t>e</w:t>
      </w:r>
      <w:r w:rsidR="004F14D5">
        <w:t xml:space="preserve">fore, </w:t>
      </w:r>
      <w:r w:rsidR="00292B6E">
        <w:t xml:space="preserve">the remaining analyses </w:t>
      </w:r>
      <w:r w:rsidR="00775601">
        <w:t>refer</w:t>
      </w:r>
      <w:r w:rsidR="004F14D5">
        <w:t xml:space="preserve"> </w:t>
      </w:r>
      <w:r w:rsidR="00292B6E">
        <w:t xml:space="preserve">only </w:t>
      </w:r>
      <w:r w:rsidR="00775601">
        <w:t xml:space="preserve">to </w:t>
      </w:r>
      <w:r w:rsidR="00292B6E">
        <w:t xml:space="preserve">the poster stories. </w:t>
      </w:r>
      <w:r w:rsidR="003040A8">
        <w:t>All our data (including further responses related to the comments stories) has been made available online</w:t>
      </w:r>
      <w:r w:rsidR="00DD4784">
        <w:t xml:space="preserve"> (https://osf.io/7CZYN).</w:t>
      </w:r>
    </w:p>
    <w:p w14:paraId="18F5A56B" w14:textId="77777777" w:rsidR="00E70F34" w:rsidRDefault="00E70F34" w:rsidP="006F6AC8">
      <w:pPr>
        <w:spacing w:line="480" w:lineRule="auto"/>
        <w:rPr>
          <w:i/>
        </w:rPr>
      </w:pPr>
    </w:p>
    <w:p w14:paraId="5A55EA68" w14:textId="68D49FCC" w:rsidR="00B81E6C" w:rsidRDefault="006D5992" w:rsidP="00B5229A">
      <w:pPr>
        <w:spacing w:line="480" w:lineRule="auto"/>
        <w:outlineLvl w:val="0"/>
        <w:rPr>
          <w:i/>
        </w:rPr>
      </w:pPr>
      <w:r>
        <w:rPr>
          <w:i/>
        </w:rPr>
        <w:t>H2</w:t>
      </w:r>
      <w:r w:rsidR="00B81E6C">
        <w:rPr>
          <w:i/>
        </w:rPr>
        <w:t xml:space="preserve">: </w:t>
      </w:r>
      <w:r w:rsidR="00275E6D">
        <w:rPr>
          <w:i/>
        </w:rPr>
        <w:t>Cognitive</w:t>
      </w:r>
      <w:r w:rsidR="00B81E6C">
        <w:rPr>
          <w:i/>
        </w:rPr>
        <w:t xml:space="preserve"> ability </w:t>
      </w:r>
    </w:p>
    <w:p w14:paraId="44D544C8" w14:textId="77777777" w:rsidR="00D467E4" w:rsidRPr="00DF754F" w:rsidRDefault="008F3691" w:rsidP="002E307A">
      <w:pPr>
        <w:spacing w:line="480" w:lineRule="auto"/>
        <w:ind w:firstLine="720"/>
      </w:pPr>
      <w:r>
        <w:t xml:space="preserve">A total of </w:t>
      </w:r>
      <w:r w:rsidR="008539CB">
        <w:t>2181</w:t>
      </w:r>
      <w:r w:rsidR="001243CF" w:rsidRPr="00733A57">
        <w:t xml:space="preserve"> participants (69% of the sample</w:t>
      </w:r>
      <w:r w:rsidR="001243CF">
        <w:t>:</w:t>
      </w:r>
      <w:r w:rsidR="001243CF" w:rsidRPr="00733A57">
        <w:t xml:space="preserve"> 73% of Yes voters</w:t>
      </w:r>
      <w:r w:rsidR="001243CF">
        <w:t xml:space="preserve">, </w:t>
      </w:r>
      <w:r w:rsidR="001243CF" w:rsidRPr="00733A57">
        <w:t xml:space="preserve">71% of No voters) completed the cognitive ability </w:t>
      </w:r>
      <w:r w:rsidR="008539CB">
        <w:t>test</w:t>
      </w:r>
      <w:r w:rsidR="00775601">
        <w:t xml:space="preserve"> (see Supplementary Materials for a comparison of participants who completed the Wordsum </w:t>
      </w:r>
      <w:r w:rsidR="00090BE5">
        <w:t>and</w:t>
      </w:r>
      <w:r w:rsidR="00775601">
        <w:t xml:space="preserve"> those who did not)</w:t>
      </w:r>
      <w:r w:rsidR="008539CB">
        <w:t xml:space="preserve">. The </w:t>
      </w:r>
      <w:r w:rsidR="00C47818">
        <w:t>mean</w:t>
      </w:r>
      <w:r w:rsidR="008539CB">
        <w:t xml:space="preserve"> score was 7.61/10 (95% CI = [7.54</w:t>
      </w:r>
      <w:r w:rsidR="001243CF" w:rsidRPr="00733A57">
        <w:t>, 7.68]</w:t>
      </w:r>
      <w:r w:rsidR="00DD4784">
        <w:t>; median = 8</w:t>
      </w:r>
      <w:r w:rsidR="001243CF" w:rsidRPr="00733A57">
        <w:t>).</w:t>
      </w:r>
      <w:r w:rsidR="00F0538B">
        <w:t xml:space="preserve"> </w:t>
      </w:r>
      <w:r w:rsidR="00A2057A">
        <w:t xml:space="preserve">There was no difference in </w:t>
      </w:r>
      <w:r w:rsidR="00C47818">
        <w:t>cognitive</w:t>
      </w:r>
      <w:r w:rsidR="00A2057A">
        <w:t xml:space="preserve"> ability between Yes (</w:t>
      </w:r>
      <w:r w:rsidR="00666345" w:rsidRPr="00666345">
        <w:rPr>
          <w:i/>
        </w:rPr>
        <w:t xml:space="preserve">M </w:t>
      </w:r>
      <w:r w:rsidR="00666345" w:rsidRPr="00666345">
        <w:t>=</w:t>
      </w:r>
      <w:r w:rsidR="00666345" w:rsidRPr="00666345">
        <w:rPr>
          <w:i/>
        </w:rPr>
        <w:t xml:space="preserve"> </w:t>
      </w:r>
      <w:r w:rsidR="00A2057A">
        <w:t>7</w:t>
      </w:r>
      <w:r w:rsidR="00A2057A" w:rsidRPr="00DF754F">
        <w:t>.61, 95% CI = [7.54. 7.69]) and No voters (</w:t>
      </w:r>
      <w:r w:rsidR="00666345" w:rsidRPr="00DF754F">
        <w:rPr>
          <w:i/>
        </w:rPr>
        <w:t xml:space="preserve">M </w:t>
      </w:r>
      <w:r w:rsidR="00666345" w:rsidRPr="00DF754F">
        <w:t>=</w:t>
      </w:r>
      <w:r w:rsidR="00666345" w:rsidRPr="00DF754F">
        <w:rPr>
          <w:i/>
        </w:rPr>
        <w:t xml:space="preserve"> </w:t>
      </w:r>
      <w:r w:rsidR="00A2057A" w:rsidRPr="00DF754F">
        <w:t>7.6</w:t>
      </w:r>
      <w:r w:rsidR="00456DED" w:rsidRPr="00DF754F">
        <w:t>0</w:t>
      </w:r>
      <w:r w:rsidR="00A2057A" w:rsidRPr="00DF754F">
        <w:t>, 95% CI = [7.4</w:t>
      </w:r>
      <w:r w:rsidR="00456DED" w:rsidRPr="00DF754F">
        <w:t>0</w:t>
      </w:r>
      <w:r w:rsidR="00A2057A" w:rsidRPr="00DF754F">
        <w:t>. 7.81])</w:t>
      </w:r>
      <w:r w:rsidR="007455C2" w:rsidRPr="00DF754F">
        <w:t xml:space="preserve">, </w:t>
      </w:r>
      <w:r w:rsidR="007455C2" w:rsidRPr="00DF754F">
        <w:rPr>
          <w:i/>
        </w:rPr>
        <w:t>t</w:t>
      </w:r>
      <w:r w:rsidR="00A2057A" w:rsidRPr="00DF754F">
        <w:t xml:space="preserve">(1977) = 0.09, </w:t>
      </w:r>
      <w:r w:rsidR="00A2057A" w:rsidRPr="00DF754F">
        <w:rPr>
          <w:i/>
        </w:rPr>
        <w:t>p</w:t>
      </w:r>
      <w:r w:rsidR="00A2057A" w:rsidRPr="00DF754F">
        <w:t xml:space="preserve"> = .93. </w:t>
      </w:r>
      <w:r w:rsidR="00AF7854" w:rsidRPr="00DF754F">
        <w:t xml:space="preserve">A </w:t>
      </w:r>
      <w:r w:rsidR="00D467E4" w:rsidRPr="00DF754F">
        <w:t xml:space="preserve">hierarchical </w:t>
      </w:r>
      <w:r w:rsidR="00AF7854" w:rsidRPr="00DF754F">
        <w:t xml:space="preserve">binary logistic regression was conducted to assess </w:t>
      </w:r>
      <w:r w:rsidR="00487FDE" w:rsidRPr="00DF754F">
        <w:t>how false memor</w:t>
      </w:r>
      <w:r w:rsidR="00DD4784" w:rsidRPr="00DF754F">
        <w:t>ies</w:t>
      </w:r>
      <w:r w:rsidR="00487FDE" w:rsidRPr="00DF754F">
        <w:t xml:space="preserve"> for the illegal poster story </w:t>
      </w:r>
      <w:r w:rsidR="00DD4784" w:rsidRPr="00DF754F">
        <w:t>were predicted by</w:t>
      </w:r>
      <w:r w:rsidR="00487FDE" w:rsidRPr="00DF754F">
        <w:t xml:space="preserve"> </w:t>
      </w:r>
      <w:r w:rsidR="004B1EAC" w:rsidRPr="00DF754F">
        <w:t>ideological congruency (i.e., whethe</w:t>
      </w:r>
      <w:r w:rsidR="0005226B" w:rsidRPr="00DF754F">
        <w:t>r</w:t>
      </w:r>
      <w:r w:rsidR="004B1EAC" w:rsidRPr="00DF754F">
        <w:t xml:space="preserve"> </w:t>
      </w:r>
      <w:r w:rsidR="004A236B" w:rsidRPr="00DF754F">
        <w:t xml:space="preserve">participants </w:t>
      </w:r>
      <w:r w:rsidR="004B1EAC" w:rsidRPr="00DF754F">
        <w:t xml:space="preserve">viewed </w:t>
      </w:r>
      <w:r w:rsidR="00B43D65" w:rsidRPr="00DF754F">
        <w:t>the</w:t>
      </w:r>
      <w:r w:rsidR="004B1EAC" w:rsidRPr="00DF754F">
        <w:t xml:space="preserve"> story that concerned the campaign they supported [0] or the opposing campaign [1])</w:t>
      </w:r>
      <w:r w:rsidR="006D5992" w:rsidRPr="00DF754F">
        <w:t xml:space="preserve"> and</w:t>
      </w:r>
      <w:r w:rsidR="00CE7D35" w:rsidRPr="00DF754F">
        <w:t xml:space="preserve"> cognitive ability</w:t>
      </w:r>
      <w:r w:rsidR="00AF7854" w:rsidRPr="00DF754F">
        <w:t xml:space="preserve">. </w:t>
      </w:r>
      <w:r w:rsidR="006B100E" w:rsidRPr="00DF754F">
        <w:t xml:space="preserve">This analysis </w:t>
      </w:r>
      <w:r w:rsidR="00010D47" w:rsidRPr="00DF754F">
        <w:t xml:space="preserve">included </w:t>
      </w:r>
      <w:r w:rsidR="00606886" w:rsidRPr="00DF754F">
        <w:t xml:space="preserve">the </w:t>
      </w:r>
      <w:r w:rsidR="006B100E" w:rsidRPr="00DF754F">
        <w:t>1756 participants</w:t>
      </w:r>
      <w:r w:rsidR="00606886" w:rsidRPr="00DF754F">
        <w:t xml:space="preserve"> who “remembered” or did not remember the fabricated poster story; </w:t>
      </w:r>
      <w:r w:rsidR="006B100E" w:rsidRPr="00DF754F">
        <w:t xml:space="preserve">those who selected ‘I believe this happened’ were excluded. </w:t>
      </w:r>
    </w:p>
    <w:p w14:paraId="334218BC" w14:textId="6DF604E0" w:rsidR="00C71857" w:rsidRPr="00DF754F" w:rsidRDefault="00D467E4" w:rsidP="00C71857">
      <w:pPr>
        <w:spacing w:line="480" w:lineRule="auto"/>
      </w:pPr>
      <w:r w:rsidRPr="00DF754F">
        <w:t xml:space="preserve">Ideological congruency and cognitive ability were entered in the first block, followed by the interaction term in the second block. The first model was significant, χ2(2, </w:t>
      </w:r>
      <w:r w:rsidRPr="00DF754F">
        <w:rPr>
          <w:i/>
        </w:rPr>
        <w:t>N</w:t>
      </w:r>
      <w:r w:rsidRPr="00DF754F">
        <w:t xml:space="preserve"> = 1756) = 98.81, </w:t>
      </w:r>
      <w:r w:rsidRPr="00DF754F">
        <w:rPr>
          <w:i/>
        </w:rPr>
        <w:t>p</w:t>
      </w:r>
      <w:r w:rsidRPr="00DF754F">
        <w:t xml:space="preserve"> &lt; .001, R</w:t>
      </w:r>
      <w:r w:rsidRPr="00DF754F">
        <w:rPr>
          <w:vertAlign w:val="superscript"/>
        </w:rPr>
        <w:t>2</w:t>
      </w:r>
      <w:r w:rsidRPr="00DF754F">
        <w:t xml:space="preserve"> (Cox &amp; Snell) = .06, R</w:t>
      </w:r>
      <w:r w:rsidRPr="00DF754F">
        <w:rPr>
          <w:vertAlign w:val="superscript"/>
        </w:rPr>
        <w:t>2</w:t>
      </w:r>
      <w:r w:rsidRPr="00DF754F">
        <w:t xml:space="preserve"> (Nagelkerke) = .08, and correctly classified 69.8% of cases.</w:t>
      </w:r>
      <w:r w:rsidR="00345337" w:rsidRPr="00DF754F">
        <w:t xml:space="preserve"> </w:t>
      </w:r>
      <w:r w:rsidR="00A61195" w:rsidRPr="00DF754F">
        <w:t>As shown in Table 1, t</w:t>
      </w:r>
      <w:r w:rsidR="00345337" w:rsidRPr="00DF754F">
        <w:t>here was a main effect of ideological congruency, where participants were more likely to report remembering the false story if it was in line with their beliefs. There was also a main effect of cognitive ability, where participants were 11% less likely to report a false memory for every one-point increase in their Wordsum score.</w:t>
      </w:r>
      <w:r w:rsidR="00C25916" w:rsidRPr="00DF754F">
        <w:t xml:space="preserve"> The addition of the interaction term in the second block improved the model fit </w:t>
      </w:r>
      <w:r w:rsidR="00A61195" w:rsidRPr="00DF754F">
        <w:t xml:space="preserve">(p = .001; model; </w:t>
      </w:r>
      <w:r w:rsidR="00861BB4" w:rsidRPr="00DF754F">
        <w:t>χ2(3</w:t>
      </w:r>
      <w:r w:rsidR="00AF7854" w:rsidRPr="00DF754F">
        <w:t xml:space="preserve">, </w:t>
      </w:r>
      <w:r w:rsidR="00AF7854" w:rsidRPr="00DF754F">
        <w:rPr>
          <w:i/>
        </w:rPr>
        <w:t>N</w:t>
      </w:r>
      <w:r w:rsidR="00500735" w:rsidRPr="00DF754F">
        <w:t xml:space="preserve"> = 1756) = </w:t>
      </w:r>
      <w:r w:rsidR="00861BB4" w:rsidRPr="00DF754F">
        <w:t>110.33,</w:t>
      </w:r>
      <w:r w:rsidR="00AF7854" w:rsidRPr="00DF754F">
        <w:t xml:space="preserve"> </w:t>
      </w:r>
      <w:r w:rsidR="00AF7854" w:rsidRPr="00DF754F">
        <w:rPr>
          <w:i/>
        </w:rPr>
        <w:t>p</w:t>
      </w:r>
      <w:r w:rsidR="00AF7854" w:rsidRPr="00DF754F">
        <w:t xml:space="preserve"> &lt; .001, R</w:t>
      </w:r>
      <w:r w:rsidR="00AF7854" w:rsidRPr="00DF754F">
        <w:rPr>
          <w:vertAlign w:val="superscript"/>
        </w:rPr>
        <w:t>2</w:t>
      </w:r>
      <w:r w:rsidR="00861BB4" w:rsidRPr="00DF754F">
        <w:t xml:space="preserve"> (Cox &amp; Snell) = .06</w:t>
      </w:r>
      <w:r w:rsidR="00AF7854" w:rsidRPr="00DF754F">
        <w:t>, R</w:t>
      </w:r>
      <w:r w:rsidR="00AF7854" w:rsidRPr="00DF754F">
        <w:rPr>
          <w:vertAlign w:val="superscript"/>
        </w:rPr>
        <w:t>2</w:t>
      </w:r>
      <w:r w:rsidR="00AF7854" w:rsidRPr="00DF754F">
        <w:t xml:space="preserve"> (Nagelke</w:t>
      </w:r>
      <w:r w:rsidR="00861BB4" w:rsidRPr="00DF754F">
        <w:t>rke) = .09</w:t>
      </w:r>
      <w:r w:rsidR="00500735" w:rsidRPr="00DF754F">
        <w:t>, and correctly classified</w:t>
      </w:r>
      <w:r w:rsidR="00861BB4" w:rsidRPr="00DF754F">
        <w:t xml:space="preserve"> 70.4</w:t>
      </w:r>
      <w:r w:rsidR="00AF7854" w:rsidRPr="00DF754F">
        <w:t xml:space="preserve">% of cases. </w:t>
      </w:r>
      <w:r w:rsidR="00C71857" w:rsidRPr="00DF754F">
        <w:t xml:space="preserve">When all other variables were controlled for, participants were 14 times more likely to report remembering the false story if it was in line with their beliefs (though note the wide confidence interval on this estimate). The main effect of cognitive ability was rendered non-significant, but there was a significant interaction </w:t>
      </w:r>
      <w:r w:rsidR="009D081B" w:rsidRPr="00DF754F">
        <w:t>effect</w:t>
      </w:r>
      <w:r w:rsidR="00C71857" w:rsidRPr="00DF754F">
        <w:t>, whereby those with higher cognitive ability showed a reduced ideological congruency effect.</w:t>
      </w:r>
    </w:p>
    <w:p w14:paraId="1AC93A6E" w14:textId="77777777" w:rsidR="002E307A" w:rsidRPr="00DF754F" w:rsidRDefault="002E307A" w:rsidP="004F2C6B">
      <w:pPr>
        <w:spacing w:line="480" w:lineRule="auto"/>
        <w:ind w:firstLine="720"/>
      </w:pPr>
    </w:p>
    <w:p w14:paraId="1018EDF9" w14:textId="77777777" w:rsidR="006644B6" w:rsidRPr="00DF754F" w:rsidRDefault="006644B6">
      <w:r w:rsidRPr="00DF754F">
        <w:br w:type="page"/>
      </w:r>
    </w:p>
    <w:p w14:paraId="72EFFD03" w14:textId="5A191A75" w:rsidR="00A8014A" w:rsidRPr="00DF754F" w:rsidRDefault="00A8014A" w:rsidP="00A8014A">
      <w:pPr>
        <w:spacing w:line="480" w:lineRule="auto"/>
      </w:pPr>
      <w:r w:rsidRPr="00DF754F">
        <w:t xml:space="preserve">Table 1: Results </w:t>
      </w:r>
      <w:r w:rsidR="00606886" w:rsidRPr="00DF754F">
        <w:t xml:space="preserve">of a </w:t>
      </w:r>
      <w:r w:rsidRPr="00DF754F">
        <w:t>logistic regression analysis</w:t>
      </w:r>
      <w:r w:rsidR="00606886" w:rsidRPr="00DF754F">
        <w:t xml:space="preserve"> predicting </w:t>
      </w:r>
      <w:r w:rsidRPr="00DF754F">
        <w:t>false memories for the illegal poster story (</w:t>
      </w:r>
      <w:r w:rsidRPr="00DF754F">
        <w:rPr>
          <w:i/>
        </w:rPr>
        <w:t>n</w:t>
      </w:r>
      <w:r w:rsidR="00606F57" w:rsidRPr="00DF754F">
        <w:t xml:space="preserve"> = 1756</w:t>
      </w:r>
      <w:r w:rsidRPr="00DF754F">
        <w:t>).</w:t>
      </w:r>
    </w:p>
    <w:p w14:paraId="25E57A94" w14:textId="77777777" w:rsidR="00893D5B" w:rsidRPr="00DF754F" w:rsidRDefault="00893D5B" w:rsidP="00A8014A">
      <w:pPr>
        <w:spacing w:line="480" w:lineRule="auto"/>
      </w:pPr>
    </w:p>
    <w:tbl>
      <w:tblPr>
        <w:tblW w:w="10787" w:type="dxa"/>
        <w:tblInd w:w="-709" w:type="dxa"/>
        <w:tblLayout w:type="fixed"/>
        <w:tblCellMar>
          <w:left w:w="0" w:type="dxa"/>
          <w:right w:w="0" w:type="dxa"/>
        </w:tblCellMar>
        <w:tblLook w:val="0000" w:firstRow="0" w:lastRow="0" w:firstColumn="0" w:lastColumn="0" w:noHBand="0" w:noVBand="0"/>
      </w:tblPr>
      <w:tblGrid>
        <w:gridCol w:w="1289"/>
        <w:gridCol w:w="2667"/>
        <w:gridCol w:w="829"/>
        <w:gridCol w:w="829"/>
        <w:gridCol w:w="829"/>
        <w:gridCol w:w="829"/>
        <w:gridCol w:w="829"/>
        <w:gridCol w:w="830"/>
        <w:gridCol w:w="1856"/>
      </w:tblGrid>
      <w:tr w:rsidR="006644B6" w:rsidRPr="00893D5B" w14:paraId="1D987B98" w14:textId="77777777" w:rsidTr="00BE7D17">
        <w:trPr>
          <w:cantSplit/>
          <w:trHeight w:hRule="exact" w:val="964"/>
        </w:trPr>
        <w:tc>
          <w:tcPr>
            <w:tcW w:w="1289" w:type="dxa"/>
            <w:tcBorders>
              <w:top w:val="single" w:sz="4" w:space="0" w:color="auto"/>
              <w:bottom w:val="single" w:sz="4" w:space="0" w:color="auto"/>
            </w:tcBorders>
            <w:shd w:val="clear" w:color="auto" w:fill="FFFFFF"/>
          </w:tcPr>
          <w:p w14:paraId="446A09B1" w14:textId="77777777" w:rsidR="006644B6" w:rsidRPr="00893D5B" w:rsidRDefault="006644B6" w:rsidP="00702460">
            <w:pPr>
              <w:spacing w:before="240" w:after="360" w:line="320" w:lineRule="atLeast"/>
              <w:ind w:left="-709" w:firstLine="709"/>
              <w:rPr>
                <w:rFonts w:cs="Arial"/>
              </w:rPr>
            </w:pPr>
          </w:p>
        </w:tc>
        <w:tc>
          <w:tcPr>
            <w:tcW w:w="2667" w:type="dxa"/>
            <w:tcBorders>
              <w:top w:val="single" w:sz="4" w:space="0" w:color="auto"/>
              <w:bottom w:val="single" w:sz="4" w:space="0" w:color="auto"/>
            </w:tcBorders>
            <w:shd w:val="clear" w:color="auto" w:fill="FFFFFF"/>
          </w:tcPr>
          <w:p w14:paraId="1F59912F" w14:textId="291276F3" w:rsidR="006644B6" w:rsidRPr="00893D5B" w:rsidRDefault="006644B6" w:rsidP="002D4D88">
            <w:pPr>
              <w:spacing w:before="240" w:after="360" w:line="320" w:lineRule="atLeast"/>
              <w:rPr>
                <w:rFonts w:cs="Arial"/>
              </w:rPr>
            </w:pPr>
            <w:r w:rsidRPr="00893D5B">
              <w:rPr>
                <w:rFonts w:cs="Arial"/>
              </w:rPr>
              <w:t>Predictors</w:t>
            </w:r>
          </w:p>
        </w:tc>
        <w:tc>
          <w:tcPr>
            <w:tcW w:w="829" w:type="dxa"/>
            <w:tcBorders>
              <w:top w:val="single" w:sz="4" w:space="0" w:color="auto"/>
              <w:bottom w:val="single" w:sz="4" w:space="0" w:color="auto"/>
            </w:tcBorders>
            <w:shd w:val="clear" w:color="auto" w:fill="FFFFFF"/>
            <w:vAlign w:val="center"/>
          </w:tcPr>
          <w:p w14:paraId="4A2376A4" w14:textId="77777777" w:rsidR="006644B6" w:rsidRPr="00893D5B" w:rsidRDefault="006644B6" w:rsidP="002D4D88">
            <w:pPr>
              <w:spacing w:before="240" w:after="360" w:line="320" w:lineRule="atLeast"/>
              <w:ind w:right="60"/>
              <w:jc w:val="center"/>
              <w:rPr>
                <w:rFonts w:cs="Arial"/>
                <w:i/>
              </w:rPr>
            </w:pPr>
            <w:r w:rsidRPr="00893D5B">
              <w:rPr>
                <w:rFonts w:cs="Arial"/>
                <w:i/>
              </w:rPr>
              <w:t>b</w:t>
            </w:r>
          </w:p>
        </w:tc>
        <w:tc>
          <w:tcPr>
            <w:tcW w:w="829" w:type="dxa"/>
            <w:tcBorders>
              <w:top w:val="single" w:sz="4" w:space="0" w:color="auto"/>
              <w:bottom w:val="single" w:sz="4" w:space="0" w:color="auto"/>
            </w:tcBorders>
            <w:shd w:val="clear" w:color="auto" w:fill="FFFFFF"/>
            <w:vAlign w:val="center"/>
          </w:tcPr>
          <w:p w14:paraId="4D8B3EC1" w14:textId="77777777" w:rsidR="006644B6" w:rsidRPr="00893D5B" w:rsidRDefault="006644B6" w:rsidP="002D4D88">
            <w:pPr>
              <w:spacing w:before="240" w:after="360" w:line="320" w:lineRule="atLeast"/>
              <w:ind w:right="60"/>
              <w:jc w:val="center"/>
              <w:rPr>
                <w:rFonts w:cs="Arial"/>
                <w:i/>
              </w:rPr>
            </w:pPr>
            <w:r w:rsidRPr="00893D5B">
              <w:rPr>
                <w:rFonts w:cs="Arial"/>
                <w:i/>
              </w:rPr>
              <w:t>SE b</w:t>
            </w:r>
          </w:p>
        </w:tc>
        <w:tc>
          <w:tcPr>
            <w:tcW w:w="829" w:type="dxa"/>
            <w:tcBorders>
              <w:top w:val="single" w:sz="4" w:space="0" w:color="auto"/>
              <w:bottom w:val="single" w:sz="4" w:space="0" w:color="auto"/>
            </w:tcBorders>
            <w:shd w:val="clear" w:color="auto" w:fill="FFFFFF"/>
            <w:vAlign w:val="center"/>
          </w:tcPr>
          <w:p w14:paraId="71F34F65" w14:textId="77777777" w:rsidR="006644B6" w:rsidRPr="00893D5B" w:rsidRDefault="006644B6" w:rsidP="002D4D88">
            <w:pPr>
              <w:spacing w:before="240" w:after="360" w:line="320" w:lineRule="atLeast"/>
              <w:ind w:right="60"/>
              <w:jc w:val="center"/>
              <w:rPr>
                <w:rFonts w:cs="Arial"/>
              </w:rPr>
            </w:pPr>
            <w:r w:rsidRPr="00893D5B">
              <w:rPr>
                <w:rFonts w:cs="Arial"/>
              </w:rPr>
              <w:t>Wald</w:t>
            </w:r>
          </w:p>
        </w:tc>
        <w:tc>
          <w:tcPr>
            <w:tcW w:w="829" w:type="dxa"/>
            <w:tcBorders>
              <w:top w:val="single" w:sz="4" w:space="0" w:color="auto"/>
              <w:bottom w:val="single" w:sz="4" w:space="0" w:color="auto"/>
            </w:tcBorders>
            <w:shd w:val="clear" w:color="auto" w:fill="FFFFFF"/>
          </w:tcPr>
          <w:p w14:paraId="1E39DB5E" w14:textId="77777777" w:rsidR="006644B6" w:rsidRPr="00893D5B" w:rsidRDefault="006644B6" w:rsidP="002D4D88">
            <w:pPr>
              <w:spacing w:before="240" w:after="360" w:line="320" w:lineRule="atLeast"/>
              <w:ind w:right="60"/>
              <w:jc w:val="center"/>
              <w:rPr>
                <w:rFonts w:cs="Arial"/>
                <w:i/>
              </w:rPr>
            </w:pPr>
            <w:r w:rsidRPr="00893D5B">
              <w:rPr>
                <w:rFonts w:cs="Arial"/>
                <w:i/>
              </w:rPr>
              <w:t>df</w:t>
            </w:r>
          </w:p>
        </w:tc>
        <w:tc>
          <w:tcPr>
            <w:tcW w:w="829" w:type="dxa"/>
            <w:tcBorders>
              <w:top w:val="single" w:sz="4" w:space="0" w:color="auto"/>
              <w:bottom w:val="single" w:sz="4" w:space="0" w:color="auto"/>
            </w:tcBorders>
            <w:shd w:val="clear" w:color="auto" w:fill="FFFFFF"/>
            <w:vAlign w:val="center"/>
          </w:tcPr>
          <w:p w14:paraId="2CA15A6D" w14:textId="77777777" w:rsidR="006644B6" w:rsidRPr="00893D5B" w:rsidRDefault="006644B6" w:rsidP="002D4D88">
            <w:pPr>
              <w:spacing w:before="240" w:after="360" w:line="320" w:lineRule="atLeast"/>
              <w:ind w:right="60"/>
              <w:jc w:val="center"/>
              <w:rPr>
                <w:rFonts w:cs="Arial"/>
                <w:i/>
              </w:rPr>
            </w:pPr>
            <w:r w:rsidRPr="00893D5B">
              <w:rPr>
                <w:rFonts w:cs="Arial"/>
                <w:i/>
              </w:rPr>
              <w:t>p</w:t>
            </w:r>
          </w:p>
        </w:tc>
        <w:tc>
          <w:tcPr>
            <w:tcW w:w="830" w:type="dxa"/>
            <w:tcBorders>
              <w:top w:val="single" w:sz="4" w:space="0" w:color="auto"/>
              <w:bottom w:val="single" w:sz="4" w:space="0" w:color="auto"/>
            </w:tcBorders>
            <w:shd w:val="clear" w:color="auto" w:fill="FFFFFF"/>
            <w:vAlign w:val="center"/>
          </w:tcPr>
          <w:p w14:paraId="4516C0B1" w14:textId="77777777" w:rsidR="006644B6" w:rsidRPr="00893D5B" w:rsidRDefault="006644B6" w:rsidP="002D4D88">
            <w:pPr>
              <w:spacing w:before="240" w:after="360" w:line="320" w:lineRule="atLeast"/>
              <w:ind w:right="60"/>
              <w:jc w:val="center"/>
              <w:rPr>
                <w:rFonts w:cs="Arial"/>
                <w:b/>
                <w:i/>
              </w:rPr>
            </w:pPr>
            <w:r w:rsidRPr="00893D5B">
              <w:rPr>
                <w:rFonts w:cs="Arial"/>
                <w:i/>
              </w:rPr>
              <w:t>Exp(b)</w:t>
            </w:r>
          </w:p>
        </w:tc>
        <w:tc>
          <w:tcPr>
            <w:tcW w:w="1856" w:type="dxa"/>
            <w:tcBorders>
              <w:top w:val="single" w:sz="4" w:space="0" w:color="auto"/>
              <w:bottom w:val="single" w:sz="4" w:space="0" w:color="auto"/>
            </w:tcBorders>
            <w:shd w:val="clear" w:color="auto" w:fill="FFFFFF"/>
            <w:vAlign w:val="center"/>
          </w:tcPr>
          <w:p w14:paraId="14EB2FE1" w14:textId="77777777" w:rsidR="006644B6" w:rsidRPr="00893D5B" w:rsidRDefault="006644B6" w:rsidP="002D4D88">
            <w:pPr>
              <w:spacing w:before="240" w:after="360" w:line="320" w:lineRule="atLeast"/>
              <w:ind w:right="60"/>
              <w:jc w:val="center"/>
              <w:rPr>
                <w:rFonts w:cs="Arial"/>
              </w:rPr>
            </w:pPr>
            <w:r w:rsidRPr="00893D5B">
              <w:rPr>
                <w:rFonts w:cs="Arial"/>
              </w:rPr>
              <w:t>95% C.I.</w:t>
            </w:r>
          </w:p>
        </w:tc>
      </w:tr>
      <w:tr w:rsidR="00702460" w:rsidRPr="00893D5B" w14:paraId="501B7181" w14:textId="77777777" w:rsidTr="00BE7D17">
        <w:trPr>
          <w:cantSplit/>
          <w:trHeight w:hRule="exact" w:val="964"/>
        </w:trPr>
        <w:tc>
          <w:tcPr>
            <w:tcW w:w="1289" w:type="dxa"/>
            <w:tcBorders>
              <w:top w:val="single" w:sz="4" w:space="0" w:color="auto"/>
            </w:tcBorders>
            <w:shd w:val="clear" w:color="auto" w:fill="FFFFFF"/>
            <w:vAlign w:val="center"/>
          </w:tcPr>
          <w:p w14:paraId="0510A414" w14:textId="05D78E00" w:rsidR="00702460" w:rsidRPr="00893D5B" w:rsidRDefault="00702460" w:rsidP="00BE7D17">
            <w:pPr>
              <w:spacing w:before="240" w:after="360" w:line="320" w:lineRule="atLeast"/>
              <w:rPr>
                <w:rFonts w:cs="Arial"/>
              </w:rPr>
            </w:pPr>
            <w:r>
              <w:rPr>
                <w:rFonts w:cs="Arial"/>
              </w:rPr>
              <w:t>Model One</w:t>
            </w:r>
          </w:p>
        </w:tc>
        <w:tc>
          <w:tcPr>
            <w:tcW w:w="2667" w:type="dxa"/>
            <w:tcBorders>
              <w:top w:val="single" w:sz="4" w:space="0" w:color="auto"/>
            </w:tcBorders>
            <w:shd w:val="clear" w:color="auto" w:fill="FFFFFF"/>
            <w:vAlign w:val="center"/>
          </w:tcPr>
          <w:p w14:paraId="4E132D5C" w14:textId="6FA6EF39" w:rsidR="00702460" w:rsidRPr="00893D5B" w:rsidRDefault="00702460" w:rsidP="00BE7D17">
            <w:pPr>
              <w:spacing w:before="240" w:after="360" w:line="320" w:lineRule="atLeast"/>
              <w:rPr>
                <w:rFonts w:cs="Arial"/>
              </w:rPr>
            </w:pPr>
            <w:r w:rsidRPr="00893D5B">
              <w:rPr>
                <w:rFonts w:cs="Arial"/>
              </w:rPr>
              <w:t>Ideological Congruency</w:t>
            </w:r>
          </w:p>
        </w:tc>
        <w:tc>
          <w:tcPr>
            <w:tcW w:w="829" w:type="dxa"/>
            <w:tcBorders>
              <w:top w:val="single" w:sz="4" w:space="0" w:color="auto"/>
            </w:tcBorders>
            <w:shd w:val="clear" w:color="auto" w:fill="FFFFFF"/>
            <w:vAlign w:val="center"/>
          </w:tcPr>
          <w:p w14:paraId="50C00DB8" w14:textId="06D44EF6" w:rsidR="00702460" w:rsidRDefault="001B1402" w:rsidP="002D4D88">
            <w:pPr>
              <w:spacing w:before="240" w:after="360" w:line="320" w:lineRule="atLeast"/>
              <w:ind w:right="60"/>
              <w:jc w:val="center"/>
              <w:rPr>
                <w:rFonts w:cs="Arial"/>
              </w:rPr>
            </w:pPr>
            <w:r>
              <w:rPr>
                <w:rFonts w:cs="Arial"/>
              </w:rPr>
              <w:t>0.99</w:t>
            </w:r>
          </w:p>
        </w:tc>
        <w:tc>
          <w:tcPr>
            <w:tcW w:w="829" w:type="dxa"/>
            <w:tcBorders>
              <w:top w:val="single" w:sz="4" w:space="0" w:color="auto"/>
            </w:tcBorders>
            <w:shd w:val="clear" w:color="auto" w:fill="FFFFFF"/>
            <w:vAlign w:val="center"/>
          </w:tcPr>
          <w:p w14:paraId="72DB29E0" w14:textId="636EB8C9" w:rsidR="00702460" w:rsidRDefault="001B1402" w:rsidP="002D4D88">
            <w:pPr>
              <w:spacing w:before="240" w:after="360" w:line="320" w:lineRule="atLeast"/>
              <w:ind w:right="60"/>
              <w:jc w:val="center"/>
              <w:rPr>
                <w:rFonts w:cs="Arial"/>
              </w:rPr>
            </w:pPr>
            <w:r>
              <w:rPr>
                <w:rFonts w:cs="Arial"/>
              </w:rPr>
              <w:t>0.11</w:t>
            </w:r>
          </w:p>
        </w:tc>
        <w:tc>
          <w:tcPr>
            <w:tcW w:w="829" w:type="dxa"/>
            <w:tcBorders>
              <w:top w:val="single" w:sz="4" w:space="0" w:color="auto"/>
            </w:tcBorders>
            <w:shd w:val="clear" w:color="auto" w:fill="FFFFFF"/>
            <w:vAlign w:val="center"/>
          </w:tcPr>
          <w:p w14:paraId="5CE27501" w14:textId="53705622" w:rsidR="00702460" w:rsidRDefault="001B1402" w:rsidP="002D4D88">
            <w:pPr>
              <w:spacing w:before="240" w:after="360" w:line="320" w:lineRule="atLeast"/>
              <w:ind w:right="60"/>
              <w:jc w:val="center"/>
              <w:rPr>
                <w:rFonts w:cs="Arial"/>
              </w:rPr>
            </w:pPr>
            <w:r>
              <w:rPr>
                <w:rFonts w:cs="Arial"/>
              </w:rPr>
              <w:t>83.72</w:t>
            </w:r>
          </w:p>
        </w:tc>
        <w:tc>
          <w:tcPr>
            <w:tcW w:w="829" w:type="dxa"/>
            <w:tcBorders>
              <w:top w:val="single" w:sz="4" w:space="0" w:color="auto"/>
            </w:tcBorders>
            <w:shd w:val="clear" w:color="auto" w:fill="FFFFFF"/>
          </w:tcPr>
          <w:p w14:paraId="76AF804D" w14:textId="195D99A9" w:rsidR="00702460" w:rsidRPr="00893D5B" w:rsidRDefault="001B1402" w:rsidP="002D4D88">
            <w:pPr>
              <w:spacing w:before="240" w:after="360" w:line="320" w:lineRule="atLeast"/>
              <w:ind w:right="60"/>
              <w:jc w:val="center"/>
              <w:rPr>
                <w:rFonts w:cs="Arial"/>
              </w:rPr>
            </w:pPr>
            <w:r>
              <w:rPr>
                <w:rFonts w:cs="Arial"/>
              </w:rPr>
              <w:t>1</w:t>
            </w:r>
          </w:p>
        </w:tc>
        <w:tc>
          <w:tcPr>
            <w:tcW w:w="829" w:type="dxa"/>
            <w:tcBorders>
              <w:top w:val="single" w:sz="4" w:space="0" w:color="auto"/>
            </w:tcBorders>
            <w:shd w:val="clear" w:color="auto" w:fill="FFFFFF"/>
            <w:vAlign w:val="center"/>
          </w:tcPr>
          <w:p w14:paraId="45D9FB1D" w14:textId="5E306B7D" w:rsidR="00702460" w:rsidRPr="00893D5B" w:rsidRDefault="001B1402" w:rsidP="002D4D88">
            <w:pPr>
              <w:spacing w:before="240" w:after="360" w:line="320" w:lineRule="atLeast"/>
              <w:ind w:right="60"/>
              <w:jc w:val="center"/>
              <w:rPr>
                <w:rFonts w:cs="Arial"/>
                <w:b/>
              </w:rPr>
            </w:pPr>
            <w:r>
              <w:rPr>
                <w:rFonts w:cs="Arial"/>
                <w:b/>
              </w:rPr>
              <w:t>&lt;.001</w:t>
            </w:r>
          </w:p>
        </w:tc>
        <w:tc>
          <w:tcPr>
            <w:tcW w:w="830" w:type="dxa"/>
            <w:tcBorders>
              <w:top w:val="single" w:sz="4" w:space="0" w:color="auto"/>
            </w:tcBorders>
            <w:shd w:val="clear" w:color="auto" w:fill="FFFFFF"/>
            <w:vAlign w:val="center"/>
          </w:tcPr>
          <w:p w14:paraId="56836C2A" w14:textId="3945A5AB" w:rsidR="00702460" w:rsidRDefault="001B1402" w:rsidP="002D4D88">
            <w:pPr>
              <w:spacing w:before="240" w:after="360" w:line="320" w:lineRule="atLeast"/>
              <w:ind w:right="60"/>
              <w:jc w:val="center"/>
              <w:rPr>
                <w:rFonts w:cs="Arial"/>
                <w:b/>
              </w:rPr>
            </w:pPr>
            <w:r>
              <w:rPr>
                <w:rFonts w:cs="Arial"/>
                <w:b/>
              </w:rPr>
              <w:t>2.69</w:t>
            </w:r>
          </w:p>
        </w:tc>
        <w:tc>
          <w:tcPr>
            <w:tcW w:w="1856" w:type="dxa"/>
            <w:tcBorders>
              <w:top w:val="single" w:sz="4" w:space="0" w:color="auto"/>
            </w:tcBorders>
            <w:shd w:val="clear" w:color="auto" w:fill="FFFFFF"/>
            <w:vAlign w:val="center"/>
          </w:tcPr>
          <w:p w14:paraId="0AD95EED" w14:textId="359FA79F" w:rsidR="00702460" w:rsidRDefault="001B1402" w:rsidP="001B1402">
            <w:pPr>
              <w:spacing w:before="240" w:after="360" w:line="320" w:lineRule="atLeast"/>
              <w:ind w:right="60"/>
              <w:jc w:val="center"/>
              <w:rPr>
                <w:rFonts w:cs="Arial"/>
              </w:rPr>
            </w:pPr>
            <w:r>
              <w:rPr>
                <w:rFonts w:cs="Arial"/>
              </w:rPr>
              <w:t>[2.17</w:t>
            </w:r>
            <w:r w:rsidRPr="00893D5B">
              <w:rPr>
                <w:rFonts w:cs="Arial"/>
              </w:rPr>
              <w:t xml:space="preserve">, </w:t>
            </w:r>
            <w:r>
              <w:rPr>
                <w:rFonts w:cs="Arial"/>
              </w:rPr>
              <w:t>3.32</w:t>
            </w:r>
            <w:r w:rsidRPr="00893D5B">
              <w:rPr>
                <w:rFonts w:cs="Arial"/>
              </w:rPr>
              <w:t>]</w:t>
            </w:r>
          </w:p>
        </w:tc>
      </w:tr>
      <w:tr w:rsidR="00702460" w:rsidRPr="00893D5B" w14:paraId="5152E14D" w14:textId="77777777" w:rsidTr="00BE7D17">
        <w:trPr>
          <w:cantSplit/>
          <w:trHeight w:hRule="exact" w:val="964"/>
        </w:trPr>
        <w:tc>
          <w:tcPr>
            <w:tcW w:w="1289" w:type="dxa"/>
            <w:shd w:val="clear" w:color="auto" w:fill="FFFFFF"/>
            <w:vAlign w:val="center"/>
          </w:tcPr>
          <w:p w14:paraId="60A1F8E5" w14:textId="77777777" w:rsidR="00702460" w:rsidRPr="00893D5B" w:rsidRDefault="00702460" w:rsidP="00BE7D17">
            <w:pPr>
              <w:spacing w:before="240" w:after="360" w:line="320" w:lineRule="atLeast"/>
              <w:rPr>
                <w:rFonts w:cs="Arial"/>
              </w:rPr>
            </w:pPr>
          </w:p>
        </w:tc>
        <w:tc>
          <w:tcPr>
            <w:tcW w:w="2667" w:type="dxa"/>
            <w:shd w:val="clear" w:color="auto" w:fill="FFFFFF"/>
            <w:vAlign w:val="center"/>
          </w:tcPr>
          <w:p w14:paraId="64A7F1C3" w14:textId="72344C86" w:rsidR="00702460" w:rsidRPr="00893D5B" w:rsidRDefault="00702460" w:rsidP="00BE7D17">
            <w:pPr>
              <w:spacing w:before="240" w:after="360" w:line="320" w:lineRule="atLeast"/>
              <w:rPr>
                <w:rFonts w:cs="Arial"/>
              </w:rPr>
            </w:pPr>
            <w:r w:rsidRPr="00893D5B">
              <w:rPr>
                <w:rFonts w:cs="Arial"/>
              </w:rPr>
              <w:t>Cognitive Ability</w:t>
            </w:r>
          </w:p>
        </w:tc>
        <w:tc>
          <w:tcPr>
            <w:tcW w:w="829" w:type="dxa"/>
            <w:shd w:val="clear" w:color="auto" w:fill="FFFFFF"/>
            <w:vAlign w:val="center"/>
          </w:tcPr>
          <w:p w14:paraId="19F2B868" w14:textId="19E5F455" w:rsidR="00702460" w:rsidRDefault="001B1402" w:rsidP="002D4D88">
            <w:pPr>
              <w:spacing w:before="240" w:after="360" w:line="320" w:lineRule="atLeast"/>
              <w:ind w:right="60"/>
              <w:jc w:val="center"/>
              <w:rPr>
                <w:rFonts w:cs="Arial"/>
              </w:rPr>
            </w:pPr>
            <w:r>
              <w:rPr>
                <w:rFonts w:cs="Arial"/>
              </w:rPr>
              <w:t>-0.12</w:t>
            </w:r>
          </w:p>
        </w:tc>
        <w:tc>
          <w:tcPr>
            <w:tcW w:w="829" w:type="dxa"/>
            <w:shd w:val="clear" w:color="auto" w:fill="FFFFFF"/>
            <w:vAlign w:val="center"/>
          </w:tcPr>
          <w:p w14:paraId="0F993D35" w14:textId="29B3E252" w:rsidR="00702460" w:rsidRDefault="001B1402" w:rsidP="002D4D88">
            <w:pPr>
              <w:spacing w:before="240" w:after="360" w:line="320" w:lineRule="atLeast"/>
              <w:ind w:right="60"/>
              <w:jc w:val="center"/>
              <w:rPr>
                <w:rFonts w:cs="Arial"/>
              </w:rPr>
            </w:pPr>
            <w:r>
              <w:rPr>
                <w:rFonts w:cs="Arial"/>
              </w:rPr>
              <w:t>0.03</w:t>
            </w:r>
          </w:p>
        </w:tc>
        <w:tc>
          <w:tcPr>
            <w:tcW w:w="829" w:type="dxa"/>
            <w:shd w:val="clear" w:color="auto" w:fill="FFFFFF"/>
            <w:vAlign w:val="center"/>
          </w:tcPr>
          <w:p w14:paraId="04CDE26A" w14:textId="17A52F4B" w:rsidR="00702460" w:rsidRDefault="001B1402" w:rsidP="002D4D88">
            <w:pPr>
              <w:spacing w:before="240" w:after="360" w:line="320" w:lineRule="atLeast"/>
              <w:ind w:right="60"/>
              <w:jc w:val="center"/>
              <w:rPr>
                <w:rFonts w:cs="Arial"/>
              </w:rPr>
            </w:pPr>
            <w:r>
              <w:rPr>
                <w:rFonts w:cs="Arial"/>
              </w:rPr>
              <w:t>13.97</w:t>
            </w:r>
          </w:p>
        </w:tc>
        <w:tc>
          <w:tcPr>
            <w:tcW w:w="829" w:type="dxa"/>
            <w:shd w:val="clear" w:color="auto" w:fill="FFFFFF"/>
          </w:tcPr>
          <w:p w14:paraId="6973ACE9" w14:textId="36DCB220" w:rsidR="00702460" w:rsidRPr="00893D5B" w:rsidRDefault="001B1402" w:rsidP="002D4D88">
            <w:pPr>
              <w:spacing w:before="240" w:after="360" w:line="320" w:lineRule="atLeast"/>
              <w:ind w:right="60"/>
              <w:jc w:val="center"/>
              <w:rPr>
                <w:rFonts w:cs="Arial"/>
              </w:rPr>
            </w:pPr>
            <w:r>
              <w:rPr>
                <w:rFonts w:cs="Arial"/>
              </w:rPr>
              <w:t>1</w:t>
            </w:r>
          </w:p>
        </w:tc>
        <w:tc>
          <w:tcPr>
            <w:tcW w:w="829" w:type="dxa"/>
            <w:shd w:val="clear" w:color="auto" w:fill="FFFFFF"/>
            <w:vAlign w:val="center"/>
          </w:tcPr>
          <w:p w14:paraId="15BD4D86" w14:textId="02988B2E" w:rsidR="00702460" w:rsidRPr="00893D5B" w:rsidRDefault="001B1402" w:rsidP="002D4D88">
            <w:pPr>
              <w:spacing w:before="240" w:after="360" w:line="320" w:lineRule="atLeast"/>
              <w:ind w:right="60"/>
              <w:jc w:val="center"/>
              <w:rPr>
                <w:rFonts w:cs="Arial"/>
                <w:b/>
              </w:rPr>
            </w:pPr>
            <w:r>
              <w:rPr>
                <w:rFonts w:cs="Arial"/>
                <w:b/>
              </w:rPr>
              <w:t>&lt;.001</w:t>
            </w:r>
          </w:p>
        </w:tc>
        <w:tc>
          <w:tcPr>
            <w:tcW w:w="830" w:type="dxa"/>
            <w:shd w:val="clear" w:color="auto" w:fill="FFFFFF"/>
            <w:vAlign w:val="center"/>
          </w:tcPr>
          <w:p w14:paraId="1A53D038" w14:textId="3FF175E6" w:rsidR="00702460" w:rsidRDefault="001B1402" w:rsidP="002D4D88">
            <w:pPr>
              <w:spacing w:before="240" w:after="360" w:line="320" w:lineRule="atLeast"/>
              <w:ind w:right="60"/>
              <w:jc w:val="center"/>
              <w:rPr>
                <w:rFonts w:cs="Arial"/>
                <w:b/>
              </w:rPr>
            </w:pPr>
            <w:r>
              <w:rPr>
                <w:rFonts w:cs="Arial"/>
                <w:b/>
              </w:rPr>
              <w:t>0.89</w:t>
            </w:r>
          </w:p>
        </w:tc>
        <w:tc>
          <w:tcPr>
            <w:tcW w:w="1856" w:type="dxa"/>
            <w:shd w:val="clear" w:color="auto" w:fill="FFFFFF"/>
            <w:vAlign w:val="center"/>
          </w:tcPr>
          <w:p w14:paraId="1C67B336" w14:textId="10B78165" w:rsidR="00702460" w:rsidRDefault="001B1402" w:rsidP="001B1402">
            <w:pPr>
              <w:spacing w:before="240" w:after="360" w:line="320" w:lineRule="atLeast"/>
              <w:ind w:right="60"/>
              <w:jc w:val="center"/>
              <w:rPr>
                <w:rFonts w:cs="Arial"/>
              </w:rPr>
            </w:pPr>
            <w:r>
              <w:rPr>
                <w:rFonts w:cs="Arial"/>
              </w:rPr>
              <w:t>[0.83, 0.95</w:t>
            </w:r>
            <w:r w:rsidRPr="00893D5B">
              <w:rPr>
                <w:rFonts w:cs="Arial"/>
              </w:rPr>
              <w:t>]</w:t>
            </w:r>
          </w:p>
        </w:tc>
      </w:tr>
      <w:tr w:rsidR="00702460" w:rsidRPr="00893D5B" w14:paraId="0D42C8AC" w14:textId="77777777" w:rsidTr="00BE7D17">
        <w:trPr>
          <w:cantSplit/>
          <w:trHeight w:hRule="exact" w:val="964"/>
        </w:trPr>
        <w:tc>
          <w:tcPr>
            <w:tcW w:w="1289" w:type="dxa"/>
            <w:shd w:val="clear" w:color="auto" w:fill="FFFFFF"/>
            <w:vAlign w:val="center"/>
          </w:tcPr>
          <w:p w14:paraId="7B120AD2" w14:textId="77777777" w:rsidR="00702460" w:rsidRPr="00893D5B" w:rsidRDefault="00702460" w:rsidP="00BE7D17">
            <w:pPr>
              <w:spacing w:before="240" w:after="360" w:line="320" w:lineRule="atLeast"/>
              <w:rPr>
                <w:rFonts w:cs="Arial"/>
              </w:rPr>
            </w:pPr>
          </w:p>
        </w:tc>
        <w:tc>
          <w:tcPr>
            <w:tcW w:w="2667" w:type="dxa"/>
            <w:shd w:val="clear" w:color="auto" w:fill="FFFFFF"/>
            <w:vAlign w:val="center"/>
          </w:tcPr>
          <w:p w14:paraId="2623DF46" w14:textId="44BB13EE" w:rsidR="00702460" w:rsidRPr="00893D5B" w:rsidRDefault="00702460" w:rsidP="00BE7D17">
            <w:pPr>
              <w:spacing w:before="240" w:after="360" w:line="320" w:lineRule="atLeast"/>
              <w:rPr>
                <w:rFonts w:cs="Arial"/>
              </w:rPr>
            </w:pPr>
            <w:r w:rsidRPr="00893D5B">
              <w:rPr>
                <w:rFonts w:cs="Arial"/>
              </w:rPr>
              <w:t>Constant</w:t>
            </w:r>
          </w:p>
        </w:tc>
        <w:tc>
          <w:tcPr>
            <w:tcW w:w="829" w:type="dxa"/>
            <w:shd w:val="clear" w:color="auto" w:fill="FFFFFF"/>
            <w:vAlign w:val="center"/>
          </w:tcPr>
          <w:p w14:paraId="493934A8" w14:textId="25DB26DD" w:rsidR="00702460" w:rsidRDefault="001B1402" w:rsidP="002D4D88">
            <w:pPr>
              <w:spacing w:before="240" w:after="360" w:line="320" w:lineRule="atLeast"/>
              <w:ind w:right="60"/>
              <w:jc w:val="center"/>
              <w:rPr>
                <w:rFonts w:cs="Arial"/>
              </w:rPr>
            </w:pPr>
            <w:r>
              <w:rPr>
                <w:rFonts w:cs="Arial"/>
              </w:rPr>
              <w:t>-0.44</w:t>
            </w:r>
          </w:p>
        </w:tc>
        <w:tc>
          <w:tcPr>
            <w:tcW w:w="829" w:type="dxa"/>
            <w:shd w:val="clear" w:color="auto" w:fill="FFFFFF"/>
            <w:vAlign w:val="center"/>
          </w:tcPr>
          <w:p w14:paraId="32A5DBA9" w14:textId="74FE1B75" w:rsidR="00702460" w:rsidRDefault="001B1402" w:rsidP="002D4D88">
            <w:pPr>
              <w:spacing w:before="240" w:after="360" w:line="320" w:lineRule="atLeast"/>
              <w:ind w:right="60"/>
              <w:jc w:val="center"/>
              <w:rPr>
                <w:rFonts w:cs="Arial"/>
              </w:rPr>
            </w:pPr>
            <w:r>
              <w:rPr>
                <w:rFonts w:cs="Arial"/>
              </w:rPr>
              <w:t>0.25</w:t>
            </w:r>
          </w:p>
        </w:tc>
        <w:tc>
          <w:tcPr>
            <w:tcW w:w="829" w:type="dxa"/>
            <w:shd w:val="clear" w:color="auto" w:fill="FFFFFF"/>
            <w:vAlign w:val="center"/>
          </w:tcPr>
          <w:p w14:paraId="1FE8B8F0" w14:textId="37141B07" w:rsidR="00702460" w:rsidRDefault="001B1402" w:rsidP="002D4D88">
            <w:pPr>
              <w:spacing w:before="240" w:after="360" w:line="320" w:lineRule="atLeast"/>
              <w:ind w:right="60"/>
              <w:jc w:val="center"/>
              <w:rPr>
                <w:rFonts w:cs="Arial"/>
              </w:rPr>
            </w:pPr>
            <w:r>
              <w:rPr>
                <w:rFonts w:cs="Arial"/>
              </w:rPr>
              <w:t>3.01</w:t>
            </w:r>
          </w:p>
        </w:tc>
        <w:tc>
          <w:tcPr>
            <w:tcW w:w="829" w:type="dxa"/>
            <w:shd w:val="clear" w:color="auto" w:fill="FFFFFF"/>
          </w:tcPr>
          <w:p w14:paraId="3E0BA129" w14:textId="4BAA4546" w:rsidR="00702460" w:rsidRPr="00893D5B" w:rsidRDefault="001B1402" w:rsidP="002D4D88">
            <w:pPr>
              <w:spacing w:before="240" w:after="360" w:line="320" w:lineRule="atLeast"/>
              <w:ind w:right="60"/>
              <w:jc w:val="center"/>
              <w:rPr>
                <w:rFonts w:cs="Arial"/>
              </w:rPr>
            </w:pPr>
            <w:r>
              <w:rPr>
                <w:rFonts w:cs="Arial"/>
              </w:rPr>
              <w:t>1</w:t>
            </w:r>
          </w:p>
        </w:tc>
        <w:tc>
          <w:tcPr>
            <w:tcW w:w="829" w:type="dxa"/>
            <w:shd w:val="clear" w:color="auto" w:fill="FFFFFF"/>
            <w:vAlign w:val="center"/>
          </w:tcPr>
          <w:p w14:paraId="5F3270CB" w14:textId="31202559" w:rsidR="00702460" w:rsidRPr="001B1402" w:rsidRDefault="001B1402" w:rsidP="002D4D88">
            <w:pPr>
              <w:spacing w:before="240" w:after="360" w:line="320" w:lineRule="atLeast"/>
              <w:ind w:right="60"/>
              <w:jc w:val="center"/>
              <w:rPr>
                <w:rFonts w:cs="Arial"/>
              </w:rPr>
            </w:pPr>
            <w:r w:rsidRPr="001B1402">
              <w:rPr>
                <w:rFonts w:cs="Arial"/>
              </w:rPr>
              <w:t>.083</w:t>
            </w:r>
          </w:p>
        </w:tc>
        <w:tc>
          <w:tcPr>
            <w:tcW w:w="830" w:type="dxa"/>
            <w:shd w:val="clear" w:color="auto" w:fill="FFFFFF"/>
            <w:vAlign w:val="center"/>
          </w:tcPr>
          <w:p w14:paraId="2D1DFFDA" w14:textId="2D44DE29" w:rsidR="00702460" w:rsidRPr="001B1402" w:rsidRDefault="001B1402" w:rsidP="002D4D88">
            <w:pPr>
              <w:spacing w:before="240" w:after="360" w:line="320" w:lineRule="atLeast"/>
              <w:ind w:right="60"/>
              <w:jc w:val="center"/>
              <w:rPr>
                <w:rFonts w:cs="Arial"/>
              </w:rPr>
            </w:pPr>
            <w:r w:rsidRPr="001B1402">
              <w:rPr>
                <w:rFonts w:cs="Arial"/>
              </w:rPr>
              <w:t>0.65</w:t>
            </w:r>
          </w:p>
        </w:tc>
        <w:tc>
          <w:tcPr>
            <w:tcW w:w="1856" w:type="dxa"/>
            <w:shd w:val="clear" w:color="auto" w:fill="FFFFFF"/>
            <w:vAlign w:val="center"/>
          </w:tcPr>
          <w:p w14:paraId="72ED1B72" w14:textId="6AEBB9AF" w:rsidR="00702460" w:rsidRDefault="001B1402" w:rsidP="00385E30">
            <w:pPr>
              <w:spacing w:before="240" w:after="360" w:line="320" w:lineRule="atLeast"/>
              <w:ind w:right="60"/>
              <w:jc w:val="center"/>
              <w:rPr>
                <w:rFonts w:cs="Arial"/>
              </w:rPr>
            </w:pPr>
            <w:r>
              <w:rPr>
                <w:rFonts w:cs="Arial"/>
              </w:rPr>
              <w:t>-</w:t>
            </w:r>
          </w:p>
        </w:tc>
      </w:tr>
      <w:tr w:rsidR="00702460" w:rsidRPr="00893D5B" w14:paraId="25A01942" w14:textId="77777777" w:rsidTr="00BE7D17">
        <w:trPr>
          <w:cantSplit/>
          <w:trHeight w:hRule="exact" w:val="964"/>
        </w:trPr>
        <w:tc>
          <w:tcPr>
            <w:tcW w:w="1289" w:type="dxa"/>
            <w:shd w:val="clear" w:color="auto" w:fill="FFFFFF"/>
            <w:vAlign w:val="center"/>
          </w:tcPr>
          <w:p w14:paraId="11C294E7" w14:textId="326F1ABA" w:rsidR="00702460" w:rsidRPr="00893D5B" w:rsidRDefault="001B1402" w:rsidP="00BE7D17">
            <w:pPr>
              <w:spacing w:before="240" w:after="360" w:line="320" w:lineRule="atLeast"/>
              <w:rPr>
                <w:rFonts w:cs="Arial"/>
              </w:rPr>
            </w:pPr>
            <w:r>
              <w:rPr>
                <w:rFonts w:cs="Arial"/>
              </w:rPr>
              <w:t>Model Two</w:t>
            </w:r>
          </w:p>
        </w:tc>
        <w:tc>
          <w:tcPr>
            <w:tcW w:w="2667" w:type="dxa"/>
            <w:shd w:val="clear" w:color="auto" w:fill="FFFFFF"/>
            <w:vAlign w:val="center"/>
          </w:tcPr>
          <w:p w14:paraId="5226C6E2" w14:textId="3EA9C3A0" w:rsidR="00702460" w:rsidRPr="00893D5B" w:rsidRDefault="00702460" w:rsidP="00BE7D17">
            <w:pPr>
              <w:spacing w:before="240" w:after="360" w:line="320" w:lineRule="atLeast"/>
              <w:rPr>
                <w:rFonts w:cs="Arial"/>
              </w:rPr>
            </w:pPr>
            <w:r w:rsidRPr="00893D5B">
              <w:rPr>
                <w:rFonts w:cs="Arial"/>
              </w:rPr>
              <w:t>Ideological Congruency</w:t>
            </w:r>
          </w:p>
        </w:tc>
        <w:tc>
          <w:tcPr>
            <w:tcW w:w="829" w:type="dxa"/>
            <w:shd w:val="clear" w:color="auto" w:fill="FFFFFF"/>
            <w:vAlign w:val="center"/>
          </w:tcPr>
          <w:p w14:paraId="34A8B394" w14:textId="070B37FC" w:rsidR="00702460" w:rsidRPr="00893D5B" w:rsidRDefault="00702460" w:rsidP="002D4D88">
            <w:pPr>
              <w:spacing w:before="240" w:after="360" w:line="320" w:lineRule="atLeast"/>
              <w:ind w:right="60"/>
              <w:jc w:val="center"/>
              <w:rPr>
                <w:rFonts w:cs="Arial"/>
              </w:rPr>
            </w:pPr>
            <w:r>
              <w:rPr>
                <w:rFonts w:cs="Arial"/>
              </w:rPr>
              <w:t>2.66</w:t>
            </w:r>
          </w:p>
        </w:tc>
        <w:tc>
          <w:tcPr>
            <w:tcW w:w="829" w:type="dxa"/>
            <w:shd w:val="clear" w:color="auto" w:fill="FFFFFF"/>
            <w:vAlign w:val="center"/>
          </w:tcPr>
          <w:p w14:paraId="46FE08AF" w14:textId="03A0835F" w:rsidR="00702460" w:rsidRPr="00893D5B" w:rsidRDefault="00702460" w:rsidP="002D4D88">
            <w:pPr>
              <w:spacing w:before="240" w:after="360" w:line="320" w:lineRule="atLeast"/>
              <w:ind w:right="60"/>
              <w:jc w:val="center"/>
              <w:rPr>
                <w:rFonts w:cs="Arial"/>
              </w:rPr>
            </w:pPr>
            <w:r>
              <w:rPr>
                <w:rFonts w:cs="Arial"/>
              </w:rPr>
              <w:t>0.51</w:t>
            </w:r>
          </w:p>
        </w:tc>
        <w:tc>
          <w:tcPr>
            <w:tcW w:w="829" w:type="dxa"/>
            <w:shd w:val="clear" w:color="auto" w:fill="FFFFFF"/>
            <w:vAlign w:val="center"/>
          </w:tcPr>
          <w:p w14:paraId="1AA00C33" w14:textId="6DF9F63F" w:rsidR="00702460" w:rsidRPr="00893D5B" w:rsidRDefault="00702460" w:rsidP="002D4D88">
            <w:pPr>
              <w:spacing w:before="240" w:after="360" w:line="320" w:lineRule="atLeast"/>
              <w:ind w:right="60"/>
              <w:jc w:val="center"/>
              <w:rPr>
                <w:rFonts w:cs="Arial"/>
              </w:rPr>
            </w:pPr>
            <w:r>
              <w:rPr>
                <w:rFonts w:cs="Arial"/>
              </w:rPr>
              <w:t>27.19</w:t>
            </w:r>
          </w:p>
        </w:tc>
        <w:tc>
          <w:tcPr>
            <w:tcW w:w="829" w:type="dxa"/>
            <w:shd w:val="clear" w:color="auto" w:fill="FFFFFF"/>
          </w:tcPr>
          <w:p w14:paraId="0900C637" w14:textId="77777777" w:rsidR="00702460" w:rsidRPr="00893D5B" w:rsidRDefault="00702460" w:rsidP="002D4D88">
            <w:pPr>
              <w:spacing w:before="240" w:after="360" w:line="320" w:lineRule="atLeast"/>
              <w:ind w:right="60"/>
              <w:jc w:val="center"/>
              <w:rPr>
                <w:rFonts w:cs="Arial"/>
              </w:rPr>
            </w:pPr>
            <w:r w:rsidRPr="00893D5B">
              <w:rPr>
                <w:rFonts w:cs="Arial"/>
              </w:rPr>
              <w:t>1</w:t>
            </w:r>
          </w:p>
        </w:tc>
        <w:tc>
          <w:tcPr>
            <w:tcW w:w="829" w:type="dxa"/>
            <w:shd w:val="clear" w:color="auto" w:fill="FFFFFF"/>
            <w:vAlign w:val="center"/>
          </w:tcPr>
          <w:p w14:paraId="7DC0DC9B" w14:textId="77777777" w:rsidR="00702460" w:rsidRPr="00893D5B" w:rsidRDefault="00702460" w:rsidP="002D4D88">
            <w:pPr>
              <w:spacing w:before="240" w:after="360" w:line="320" w:lineRule="atLeast"/>
              <w:ind w:right="60"/>
              <w:jc w:val="center"/>
              <w:rPr>
                <w:rFonts w:cs="Arial"/>
                <w:b/>
              </w:rPr>
            </w:pPr>
            <w:r w:rsidRPr="00893D5B">
              <w:rPr>
                <w:rFonts w:cs="Arial"/>
                <w:b/>
              </w:rPr>
              <w:t>&lt;.001</w:t>
            </w:r>
          </w:p>
        </w:tc>
        <w:tc>
          <w:tcPr>
            <w:tcW w:w="830" w:type="dxa"/>
            <w:shd w:val="clear" w:color="auto" w:fill="FFFFFF"/>
            <w:vAlign w:val="center"/>
          </w:tcPr>
          <w:p w14:paraId="6ADC2216" w14:textId="24006493" w:rsidR="00702460" w:rsidRPr="00893D5B" w:rsidRDefault="00702460" w:rsidP="002D4D88">
            <w:pPr>
              <w:spacing w:before="240" w:after="360" w:line="320" w:lineRule="atLeast"/>
              <w:ind w:right="60"/>
              <w:jc w:val="center"/>
              <w:rPr>
                <w:rFonts w:cs="Arial"/>
                <w:b/>
              </w:rPr>
            </w:pPr>
            <w:r>
              <w:rPr>
                <w:rFonts w:cs="Arial"/>
                <w:b/>
              </w:rPr>
              <w:t>14.31</w:t>
            </w:r>
          </w:p>
        </w:tc>
        <w:tc>
          <w:tcPr>
            <w:tcW w:w="1856" w:type="dxa"/>
            <w:shd w:val="clear" w:color="auto" w:fill="FFFFFF"/>
            <w:vAlign w:val="center"/>
          </w:tcPr>
          <w:p w14:paraId="1A14A8E5" w14:textId="3B0469A3" w:rsidR="00702460" w:rsidRPr="00893D5B" w:rsidRDefault="00702460" w:rsidP="00385E30">
            <w:pPr>
              <w:spacing w:before="240" w:after="360" w:line="320" w:lineRule="atLeast"/>
              <w:ind w:right="60"/>
              <w:jc w:val="center"/>
              <w:rPr>
                <w:rFonts w:cs="Arial"/>
              </w:rPr>
            </w:pPr>
            <w:r>
              <w:rPr>
                <w:rFonts w:cs="Arial"/>
              </w:rPr>
              <w:t>[5.26</w:t>
            </w:r>
            <w:r w:rsidRPr="00893D5B">
              <w:rPr>
                <w:rFonts w:cs="Arial"/>
              </w:rPr>
              <w:t xml:space="preserve">, </w:t>
            </w:r>
            <w:r>
              <w:rPr>
                <w:rFonts w:cs="Arial"/>
              </w:rPr>
              <w:t>38.90</w:t>
            </w:r>
            <w:r w:rsidRPr="00893D5B">
              <w:rPr>
                <w:rFonts w:cs="Arial"/>
              </w:rPr>
              <w:t>]</w:t>
            </w:r>
          </w:p>
        </w:tc>
      </w:tr>
      <w:tr w:rsidR="00702460" w:rsidRPr="00893D5B" w14:paraId="35410338" w14:textId="77777777" w:rsidTr="00BE7D17">
        <w:trPr>
          <w:cantSplit/>
          <w:trHeight w:hRule="exact" w:val="964"/>
        </w:trPr>
        <w:tc>
          <w:tcPr>
            <w:tcW w:w="1289" w:type="dxa"/>
            <w:shd w:val="clear" w:color="auto" w:fill="FFFFFF"/>
            <w:vAlign w:val="center"/>
          </w:tcPr>
          <w:p w14:paraId="052EC2F2" w14:textId="77777777" w:rsidR="00702460" w:rsidRPr="00893D5B" w:rsidRDefault="00702460" w:rsidP="00BE7D17">
            <w:pPr>
              <w:spacing w:after="360" w:line="320" w:lineRule="atLeast"/>
              <w:ind w:right="60"/>
              <w:rPr>
                <w:rFonts w:cs="Arial"/>
              </w:rPr>
            </w:pPr>
          </w:p>
        </w:tc>
        <w:tc>
          <w:tcPr>
            <w:tcW w:w="2667" w:type="dxa"/>
            <w:shd w:val="clear" w:color="auto" w:fill="FFFFFF"/>
            <w:vAlign w:val="center"/>
          </w:tcPr>
          <w:p w14:paraId="32A33BC5" w14:textId="70D70D86" w:rsidR="00702460" w:rsidRPr="00893D5B" w:rsidRDefault="00702460" w:rsidP="00BE7D17">
            <w:pPr>
              <w:spacing w:after="360" w:line="320" w:lineRule="atLeast"/>
              <w:ind w:right="60"/>
              <w:rPr>
                <w:rFonts w:cs="Arial"/>
              </w:rPr>
            </w:pPr>
            <w:r w:rsidRPr="00893D5B">
              <w:rPr>
                <w:rFonts w:cs="Arial"/>
              </w:rPr>
              <w:t>Cognitive Ability</w:t>
            </w:r>
          </w:p>
        </w:tc>
        <w:tc>
          <w:tcPr>
            <w:tcW w:w="829" w:type="dxa"/>
            <w:shd w:val="clear" w:color="auto" w:fill="FFFFFF"/>
            <w:vAlign w:val="center"/>
          </w:tcPr>
          <w:p w14:paraId="3B38B501" w14:textId="72749631" w:rsidR="00702460" w:rsidRPr="00B5543D" w:rsidRDefault="00702460" w:rsidP="002D4D88">
            <w:pPr>
              <w:spacing w:after="360" w:line="320" w:lineRule="atLeast"/>
              <w:ind w:left="60" w:right="60"/>
              <w:jc w:val="center"/>
              <w:rPr>
                <w:rFonts w:cs="Arial"/>
              </w:rPr>
            </w:pPr>
            <w:r w:rsidRPr="00B5543D">
              <w:rPr>
                <w:rFonts w:cs="Arial"/>
              </w:rPr>
              <w:t>0.01</w:t>
            </w:r>
          </w:p>
        </w:tc>
        <w:tc>
          <w:tcPr>
            <w:tcW w:w="829" w:type="dxa"/>
            <w:shd w:val="clear" w:color="auto" w:fill="FFFFFF"/>
            <w:vAlign w:val="center"/>
          </w:tcPr>
          <w:p w14:paraId="0984C94C" w14:textId="6F9B0891" w:rsidR="00702460" w:rsidRPr="00B5543D" w:rsidRDefault="00702460" w:rsidP="002D4D88">
            <w:pPr>
              <w:spacing w:after="360" w:line="320" w:lineRule="atLeast"/>
              <w:ind w:left="60" w:right="60"/>
              <w:jc w:val="center"/>
              <w:rPr>
                <w:rFonts w:cs="Arial"/>
              </w:rPr>
            </w:pPr>
            <w:r w:rsidRPr="00B5543D">
              <w:rPr>
                <w:rFonts w:cs="Arial"/>
              </w:rPr>
              <w:t>0.05</w:t>
            </w:r>
          </w:p>
        </w:tc>
        <w:tc>
          <w:tcPr>
            <w:tcW w:w="829" w:type="dxa"/>
            <w:shd w:val="clear" w:color="auto" w:fill="FFFFFF"/>
            <w:vAlign w:val="center"/>
          </w:tcPr>
          <w:p w14:paraId="462B2B98" w14:textId="751F9D10" w:rsidR="00702460" w:rsidRPr="00B5543D" w:rsidRDefault="00702460" w:rsidP="002D4D88">
            <w:pPr>
              <w:spacing w:after="360" w:line="320" w:lineRule="atLeast"/>
              <w:ind w:left="60" w:right="60"/>
              <w:jc w:val="center"/>
              <w:rPr>
                <w:rFonts w:cs="Arial"/>
              </w:rPr>
            </w:pPr>
            <w:r w:rsidRPr="00B5543D">
              <w:rPr>
                <w:rFonts w:cs="Arial"/>
              </w:rPr>
              <w:t>0.03</w:t>
            </w:r>
          </w:p>
        </w:tc>
        <w:tc>
          <w:tcPr>
            <w:tcW w:w="829" w:type="dxa"/>
            <w:shd w:val="clear" w:color="auto" w:fill="FFFFFF"/>
          </w:tcPr>
          <w:p w14:paraId="01344EE6" w14:textId="77777777" w:rsidR="00702460" w:rsidRPr="00B5543D" w:rsidRDefault="00702460" w:rsidP="002D4D88">
            <w:pPr>
              <w:spacing w:after="360" w:line="320" w:lineRule="atLeast"/>
              <w:ind w:left="60" w:right="60"/>
              <w:jc w:val="center"/>
              <w:rPr>
                <w:rFonts w:cs="Arial"/>
              </w:rPr>
            </w:pPr>
            <w:r w:rsidRPr="00B5543D">
              <w:rPr>
                <w:rFonts w:cs="Arial"/>
              </w:rPr>
              <w:t>1</w:t>
            </w:r>
          </w:p>
        </w:tc>
        <w:tc>
          <w:tcPr>
            <w:tcW w:w="829" w:type="dxa"/>
            <w:shd w:val="clear" w:color="auto" w:fill="FFFFFF"/>
            <w:vAlign w:val="center"/>
          </w:tcPr>
          <w:p w14:paraId="4EC37784" w14:textId="6117FE37" w:rsidR="00702460" w:rsidRPr="00B5543D" w:rsidRDefault="00702460" w:rsidP="002D4D88">
            <w:pPr>
              <w:spacing w:after="360" w:line="320" w:lineRule="atLeast"/>
              <w:ind w:left="60" w:right="60"/>
              <w:jc w:val="center"/>
              <w:rPr>
                <w:rFonts w:cs="Arial"/>
              </w:rPr>
            </w:pPr>
            <w:r w:rsidRPr="00B5543D">
              <w:rPr>
                <w:rFonts w:cs="Arial"/>
              </w:rPr>
              <w:t>.870</w:t>
            </w:r>
          </w:p>
        </w:tc>
        <w:tc>
          <w:tcPr>
            <w:tcW w:w="830" w:type="dxa"/>
            <w:shd w:val="clear" w:color="auto" w:fill="FFFFFF"/>
            <w:vAlign w:val="center"/>
          </w:tcPr>
          <w:p w14:paraId="3BCCD201" w14:textId="7DBB211A" w:rsidR="00702460" w:rsidRPr="00B5543D" w:rsidRDefault="00702460" w:rsidP="002D4D88">
            <w:pPr>
              <w:spacing w:after="360" w:line="320" w:lineRule="atLeast"/>
              <w:ind w:left="60" w:right="60"/>
              <w:jc w:val="center"/>
              <w:rPr>
                <w:rFonts w:cs="Arial"/>
              </w:rPr>
            </w:pPr>
            <w:r w:rsidRPr="00B5543D">
              <w:rPr>
                <w:rFonts w:cs="Arial"/>
              </w:rPr>
              <w:t>1.01</w:t>
            </w:r>
          </w:p>
        </w:tc>
        <w:tc>
          <w:tcPr>
            <w:tcW w:w="1856" w:type="dxa"/>
            <w:shd w:val="clear" w:color="auto" w:fill="FFFFFF"/>
            <w:vAlign w:val="center"/>
          </w:tcPr>
          <w:p w14:paraId="3BA14781" w14:textId="5B1DCCD8" w:rsidR="00702460" w:rsidRPr="00B5543D" w:rsidRDefault="00702460" w:rsidP="00385E30">
            <w:pPr>
              <w:spacing w:after="360" w:line="320" w:lineRule="atLeast"/>
              <w:ind w:left="60" w:right="60"/>
              <w:jc w:val="center"/>
              <w:rPr>
                <w:rFonts w:cs="Arial"/>
              </w:rPr>
            </w:pPr>
            <w:r w:rsidRPr="00B5543D">
              <w:rPr>
                <w:rFonts w:cs="Arial"/>
              </w:rPr>
              <w:t>[0.92,</w:t>
            </w:r>
            <w:r>
              <w:rPr>
                <w:rFonts w:cs="Arial"/>
              </w:rPr>
              <w:t xml:space="preserve"> </w:t>
            </w:r>
            <w:r w:rsidRPr="00B5543D">
              <w:rPr>
                <w:rFonts w:cs="Arial"/>
              </w:rPr>
              <w:t xml:space="preserve">  1.11]</w:t>
            </w:r>
          </w:p>
        </w:tc>
      </w:tr>
      <w:tr w:rsidR="00702460" w:rsidRPr="00893D5B" w14:paraId="57AF75B6" w14:textId="77777777" w:rsidTr="00BE7D17">
        <w:trPr>
          <w:cantSplit/>
          <w:trHeight w:hRule="exact" w:val="886"/>
        </w:trPr>
        <w:tc>
          <w:tcPr>
            <w:tcW w:w="1289" w:type="dxa"/>
            <w:shd w:val="clear" w:color="auto" w:fill="FFFFFF"/>
            <w:vAlign w:val="center"/>
          </w:tcPr>
          <w:p w14:paraId="170C8928" w14:textId="77777777" w:rsidR="00702460" w:rsidRPr="00893D5B" w:rsidRDefault="00702460" w:rsidP="00BE7D17">
            <w:pPr>
              <w:spacing w:after="360" w:line="320" w:lineRule="atLeast"/>
              <w:ind w:right="60"/>
              <w:rPr>
                <w:rFonts w:cs="Arial"/>
              </w:rPr>
            </w:pPr>
          </w:p>
        </w:tc>
        <w:tc>
          <w:tcPr>
            <w:tcW w:w="2667" w:type="dxa"/>
            <w:shd w:val="clear" w:color="auto" w:fill="FFFFFF"/>
            <w:vAlign w:val="center"/>
          </w:tcPr>
          <w:p w14:paraId="4E966ED2" w14:textId="6DF97BBA" w:rsidR="00702460" w:rsidRPr="00893D5B" w:rsidRDefault="00702460" w:rsidP="00BE7D17">
            <w:pPr>
              <w:spacing w:after="360" w:line="320" w:lineRule="atLeast"/>
              <w:ind w:right="60"/>
              <w:rPr>
                <w:rFonts w:cs="Arial"/>
              </w:rPr>
            </w:pPr>
            <w:r w:rsidRPr="00893D5B">
              <w:rPr>
                <w:rFonts w:cs="Arial"/>
              </w:rPr>
              <w:t xml:space="preserve">Ideological Congruency x Cognitive Ability </w:t>
            </w:r>
          </w:p>
        </w:tc>
        <w:tc>
          <w:tcPr>
            <w:tcW w:w="829" w:type="dxa"/>
            <w:shd w:val="clear" w:color="auto" w:fill="FFFFFF"/>
            <w:vAlign w:val="center"/>
          </w:tcPr>
          <w:p w14:paraId="7C264773" w14:textId="0B6DD893" w:rsidR="00702460" w:rsidRPr="00893D5B" w:rsidRDefault="00702460" w:rsidP="002D4D88">
            <w:pPr>
              <w:spacing w:after="360" w:line="320" w:lineRule="atLeast"/>
              <w:ind w:left="60" w:right="60"/>
              <w:jc w:val="center"/>
              <w:rPr>
                <w:rFonts w:cs="Arial"/>
              </w:rPr>
            </w:pPr>
            <w:r>
              <w:rPr>
                <w:rFonts w:cs="Arial"/>
              </w:rPr>
              <w:t>-0.22</w:t>
            </w:r>
          </w:p>
        </w:tc>
        <w:tc>
          <w:tcPr>
            <w:tcW w:w="829" w:type="dxa"/>
            <w:shd w:val="clear" w:color="auto" w:fill="FFFFFF"/>
            <w:vAlign w:val="center"/>
          </w:tcPr>
          <w:p w14:paraId="63900CD2" w14:textId="7CA1CCCD" w:rsidR="00702460" w:rsidRPr="00893D5B" w:rsidRDefault="00702460" w:rsidP="002D4D88">
            <w:pPr>
              <w:spacing w:after="360" w:line="320" w:lineRule="atLeast"/>
              <w:ind w:left="60" w:right="60"/>
              <w:jc w:val="center"/>
              <w:rPr>
                <w:rFonts w:cs="Arial"/>
              </w:rPr>
            </w:pPr>
            <w:r>
              <w:rPr>
                <w:rFonts w:cs="Arial"/>
              </w:rPr>
              <w:t>0.67</w:t>
            </w:r>
          </w:p>
        </w:tc>
        <w:tc>
          <w:tcPr>
            <w:tcW w:w="829" w:type="dxa"/>
            <w:shd w:val="clear" w:color="auto" w:fill="FFFFFF"/>
            <w:vAlign w:val="center"/>
          </w:tcPr>
          <w:p w14:paraId="2848D2D8" w14:textId="7DAB6969" w:rsidR="00702460" w:rsidRPr="00893D5B" w:rsidRDefault="00702460" w:rsidP="002D4D88">
            <w:pPr>
              <w:spacing w:after="360" w:line="320" w:lineRule="atLeast"/>
              <w:ind w:left="60" w:right="60"/>
              <w:jc w:val="center"/>
              <w:rPr>
                <w:rFonts w:cs="Arial"/>
              </w:rPr>
            </w:pPr>
            <w:r>
              <w:rPr>
                <w:rFonts w:cs="Arial"/>
              </w:rPr>
              <w:t>11.40</w:t>
            </w:r>
          </w:p>
        </w:tc>
        <w:tc>
          <w:tcPr>
            <w:tcW w:w="829" w:type="dxa"/>
            <w:shd w:val="clear" w:color="auto" w:fill="FFFFFF"/>
          </w:tcPr>
          <w:p w14:paraId="0CCD7A4B" w14:textId="77777777" w:rsidR="00702460" w:rsidRPr="00893D5B" w:rsidRDefault="00702460" w:rsidP="002D4D88">
            <w:pPr>
              <w:spacing w:before="120" w:after="360" w:line="320" w:lineRule="atLeast"/>
              <w:ind w:left="60" w:right="60"/>
              <w:jc w:val="center"/>
              <w:rPr>
                <w:rFonts w:cs="Arial"/>
              </w:rPr>
            </w:pPr>
            <w:r w:rsidRPr="00893D5B">
              <w:rPr>
                <w:rFonts w:cs="Arial"/>
              </w:rPr>
              <w:t>1</w:t>
            </w:r>
          </w:p>
        </w:tc>
        <w:tc>
          <w:tcPr>
            <w:tcW w:w="829" w:type="dxa"/>
            <w:shd w:val="clear" w:color="auto" w:fill="FFFFFF"/>
            <w:vAlign w:val="center"/>
          </w:tcPr>
          <w:p w14:paraId="41D95036" w14:textId="5D6DDFFC" w:rsidR="00702460" w:rsidRPr="00893D5B" w:rsidRDefault="00702460" w:rsidP="002D4D88">
            <w:pPr>
              <w:spacing w:after="360" w:line="320" w:lineRule="atLeast"/>
              <w:ind w:left="60" w:right="60"/>
              <w:jc w:val="center"/>
              <w:rPr>
                <w:rFonts w:cs="Arial"/>
                <w:b/>
              </w:rPr>
            </w:pPr>
            <w:r w:rsidRPr="00893D5B">
              <w:rPr>
                <w:rFonts w:cs="Arial"/>
                <w:b/>
              </w:rPr>
              <w:t>.00</w:t>
            </w:r>
            <w:r>
              <w:rPr>
                <w:rFonts w:cs="Arial"/>
                <w:b/>
              </w:rPr>
              <w:t>1</w:t>
            </w:r>
          </w:p>
        </w:tc>
        <w:tc>
          <w:tcPr>
            <w:tcW w:w="830" w:type="dxa"/>
            <w:shd w:val="clear" w:color="auto" w:fill="FFFFFF"/>
            <w:vAlign w:val="center"/>
          </w:tcPr>
          <w:p w14:paraId="48E6ED9A" w14:textId="79FCFD17" w:rsidR="00702460" w:rsidRPr="00893D5B" w:rsidRDefault="00702460" w:rsidP="002D4D88">
            <w:pPr>
              <w:spacing w:after="360" w:line="320" w:lineRule="atLeast"/>
              <w:ind w:left="60" w:right="60"/>
              <w:jc w:val="center"/>
              <w:rPr>
                <w:rFonts w:cs="Arial"/>
                <w:b/>
              </w:rPr>
            </w:pPr>
            <w:r w:rsidRPr="00893D5B">
              <w:rPr>
                <w:rFonts w:cs="Arial"/>
                <w:b/>
              </w:rPr>
              <w:t>0.</w:t>
            </w:r>
            <w:r>
              <w:rPr>
                <w:rFonts w:cs="Arial"/>
                <w:b/>
              </w:rPr>
              <w:t>80</w:t>
            </w:r>
          </w:p>
        </w:tc>
        <w:tc>
          <w:tcPr>
            <w:tcW w:w="1856" w:type="dxa"/>
            <w:shd w:val="clear" w:color="auto" w:fill="FFFFFF"/>
            <w:vAlign w:val="center"/>
          </w:tcPr>
          <w:p w14:paraId="5E35F972" w14:textId="72F5E4C4" w:rsidR="00702460" w:rsidRPr="00893D5B" w:rsidRDefault="00702460" w:rsidP="000509E1">
            <w:pPr>
              <w:spacing w:after="360" w:line="320" w:lineRule="atLeast"/>
              <w:ind w:left="60" w:right="60"/>
              <w:jc w:val="center"/>
              <w:rPr>
                <w:rFonts w:cs="Arial"/>
              </w:rPr>
            </w:pPr>
            <w:r w:rsidRPr="00893D5B">
              <w:rPr>
                <w:rFonts w:cs="Arial"/>
              </w:rPr>
              <w:t>[0.</w:t>
            </w:r>
            <w:r>
              <w:rPr>
                <w:rFonts w:cs="Arial"/>
              </w:rPr>
              <w:t xml:space="preserve">70,   </w:t>
            </w:r>
            <w:r w:rsidRPr="00893D5B">
              <w:rPr>
                <w:rFonts w:cs="Arial"/>
              </w:rPr>
              <w:t>0.</w:t>
            </w:r>
            <w:r>
              <w:rPr>
                <w:rFonts w:cs="Arial"/>
              </w:rPr>
              <w:t>91</w:t>
            </w:r>
            <w:r w:rsidRPr="00893D5B">
              <w:rPr>
                <w:rFonts w:cs="Arial"/>
              </w:rPr>
              <w:t>]</w:t>
            </w:r>
          </w:p>
        </w:tc>
      </w:tr>
      <w:tr w:rsidR="00702460" w:rsidRPr="00893D5B" w14:paraId="7CF2CEB3" w14:textId="77777777" w:rsidTr="00BE7D17">
        <w:trPr>
          <w:cantSplit/>
          <w:trHeight w:hRule="exact" w:val="964"/>
        </w:trPr>
        <w:tc>
          <w:tcPr>
            <w:tcW w:w="1289" w:type="dxa"/>
            <w:tcBorders>
              <w:bottom w:val="single" w:sz="4" w:space="0" w:color="auto"/>
            </w:tcBorders>
            <w:shd w:val="clear" w:color="auto" w:fill="FFFFFF"/>
            <w:vAlign w:val="center"/>
          </w:tcPr>
          <w:p w14:paraId="4931CE89" w14:textId="77777777" w:rsidR="00702460" w:rsidRPr="00893D5B" w:rsidRDefault="00702460" w:rsidP="00BE7D17">
            <w:pPr>
              <w:spacing w:after="360" w:line="320" w:lineRule="atLeast"/>
              <w:ind w:right="60"/>
              <w:rPr>
                <w:rFonts w:cs="Arial"/>
              </w:rPr>
            </w:pPr>
          </w:p>
        </w:tc>
        <w:tc>
          <w:tcPr>
            <w:tcW w:w="2667" w:type="dxa"/>
            <w:tcBorders>
              <w:bottom w:val="single" w:sz="4" w:space="0" w:color="auto"/>
            </w:tcBorders>
            <w:shd w:val="clear" w:color="auto" w:fill="FFFFFF"/>
            <w:vAlign w:val="center"/>
          </w:tcPr>
          <w:p w14:paraId="1332C51B" w14:textId="56F67D4D" w:rsidR="00702460" w:rsidRPr="00893D5B" w:rsidRDefault="00702460" w:rsidP="00BE7D17">
            <w:pPr>
              <w:spacing w:after="360" w:line="320" w:lineRule="atLeast"/>
              <w:ind w:right="60"/>
              <w:rPr>
                <w:rFonts w:cs="Arial"/>
              </w:rPr>
            </w:pPr>
            <w:r w:rsidRPr="00893D5B">
              <w:rPr>
                <w:rFonts w:cs="Arial"/>
              </w:rPr>
              <w:t>Constant</w:t>
            </w:r>
          </w:p>
        </w:tc>
        <w:tc>
          <w:tcPr>
            <w:tcW w:w="829" w:type="dxa"/>
            <w:tcBorders>
              <w:bottom w:val="single" w:sz="4" w:space="0" w:color="auto"/>
            </w:tcBorders>
            <w:shd w:val="clear" w:color="auto" w:fill="FFFFFF"/>
            <w:vAlign w:val="center"/>
          </w:tcPr>
          <w:p w14:paraId="1DC04F03" w14:textId="56CECB8E" w:rsidR="00702460" w:rsidRPr="00893D5B" w:rsidRDefault="00702460" w:rsidP="00A402D3">
            <w:pPr>
              <w:spacing w:after="360" w:line="320" w:lineRule="atLeast"/>
              <w:ind w:left="60" w:right="60"/>
              <w:jc w:val="center"/>
              <w:rPr>
                <w:rFonts w:cs="Arial"/>
              </w:rPr>
            </w:pPr>
            <w:r>
              <w:rPr>
                <w:rFonts w:cs="Arial"/>
              </w:rPr>
              <w:t>-1.40</w:t>
            </w:r>
          </w:p>
        </w:tc>
        <w:tc>
          <w:tcPr>
            <w:tcW w:w="829" w:type="dxa"/>
            <w:tcBorders>
              <w:bottom w:val="single" w:sz="4" w:space="0" w:color="auto"/>
            </w:tcBorders>
            <w:shd w:val="clear" w:color="auto" w:fill="FFFFFF"/>
            <w:vAlign w:val="center"/>
          </w:tcPr>
          <w:p w14:paraId="75A3F463" w14:textId="26F8FE58" w:rsidR="00702460" w:rsidRPr="00893D5B" w:rsidRDefault="00702460" w:rsidP="002D4D88">
            <w:pPr>
              <w:spacing w:after="360" w:line="320" w:lineRule="atLeast"/>
              <w:ind w:left="60" w:right="60"/>
              <w:jc w:val="center"/>
              <w:rPr>
                <w:rFonts w:cs="Arial"/>
              </w:rPr>
            </w:pPr>
            <w:r>
              <w:rPr>
                <w:rFonts w:cs="Arial"/>
              </w:rPr>
              <w:t>0.39</w:t>
            </w:r>
          </w:p>
        </w:tc>
        <w:tc>
          <w:tcPr>
            <w:tcW w:w="829" w:type="dxa"/>
            <w:tcBorders>
              <w:bottom w:val="single" w:sz="4" w:space="0" w:color="auto"/>
            </w:tcBorders>
            <w:shd w:val="clear" w:color="auto" w:fill="FFFFFF"/>
            <w:vAlign w:val="center"/>
          </w:tcPr>
          <w:p w14:paraId="2DE3730D" w14:textId="502A0007" w:rsidR="00702460" w:rsidRPr="00893D5B" w:rsidRDefault="00702460" w:rsidP="002D4D88">
            <w:pPr>
              <w:spacing w:after="360" w:line="320" w:lineRule="atLeast"/>
              <w:ind w:left="60" w:right="60"/>
              <w:jc w:val="center"/>
              <w:rPr>
                <w:rFonts w:cs="Arial"/>
              </w:rPr>
            </w:pPr>
            <w:r>
              <w:rPr>
                <w:rFonts w:cs="Arial"/>
              </w:rPr>
              <w:t>13.02</w:t>
            </w:r>
          </w:p>
        </w:tc>
        <w:tc>
          <w:tcPr>
            <w:tcW w:w="829" w:type="dxa"/>
            <w:tcBorders>
              <w:bottom w:val="single" w:sz="4" w:space="0" w:color="auto"/>
            </w:tcBorders>
            <w:shd w:val="clear" w:color="auto" w:fill="FFFFFF"/>
          </w:tcPr>
          <w:p w14:paraId="09C18195" w14:textId="77777777" w:rsidR="00702460" w:rsidRPr="00893D5B" w:rsidRDefault="00702460" w:rsidP="002D4D88">
            <w:pPr>
              <w:spacing w:after="360" w:line="320" w:lineRule="atLeast"/>
              <w:ind w:left="60" w:right="60"/>
              <w:jc w:val="center"/>
              <w:rPr>
                <w:rFonts w:cs="Arial"/>
              </w:rPr>
            </w:pPr>
            <w:r w:rsidRPr="00893D5B">
              <w:rPr>
                <w:rFonts w:cs="Arial"/>
              </w:rPr>
              <w:t>1</w:t>
            </w:r>
          </w:p>
        </w:tc>
        <w:tc>
          <w:tcPr>
            <w:tcW w:w="829" w:type="dxa"/>
            <w:tcBorders>
              <w:bottom w:val="single" w:sz="4" w:space="0" w:color="auto"/>
            </w:tcBorders>
            <w:shd w:val="clear" w:color="auto" w:fill="FFFFFF"/>
            <w:vAlign w:val="center"/>
          </w:tcPr>
          <w:p w14:paraId="5F94EC05" w14:textId="77777777" w:rsidR="00702460" w:rsidRPr="00893D5B" w:rsidRDefault="00702460" w:rsidP="002D4D88">
            <w:pPr>
              <w:spacing w:after="360" w:line="320" w:lineRule="atLeast"/>
              <w:ind w:left="60" w:right="60"/>
              <w:jc w:val="center"/>
              <w:rPr>
                <w:rFonts w:cs="Arial"/>
              </w:rPr>
            </w:pPr>
            <w:r w:rsidRPr="00893D5B">
              <w:rPr>
                <w:rFonts w:cs="Arial"/>
              </w:rPr>
              <w:t>&lt;.001</w:t>
            </w:r>
          </w:p>
        </w:tc>
        <w:tc>
          <w:tcPr>
            <w:tcW w:w="830" w:type="dxa"/>
            <w:tcBorders>
              <w:bottom w:val="single" w:sz="4" w:space="0" w:color="auto"/>
            </w:tcBorders>
            <w:shd w:val="clear" w:color="auto" w:fill="FFFFFF"/>
            <w:vAlign w:val="center"/>
          </w:tcPr>
          <w:p w14:paraId="6F2F732D" w14:textId="6178D2C9" w:rsidR="00702460" w:rsidRPr="00893D5B" w:rsidRDefault="00702460" w:rsidP="002D4D88">
            <w:pPr>
              <w:spacing w:after="360" w:line="320" w:lineRule="atLeast"/>
              <w:ind w:left="60" w:right="60"/>
              <w:jc w:val="center"/>
              <w:rPr>
                <w:rFonts w:cs="Arial"/>
              </w:rPr>
            </w:pPr>
            <w:r>
              <w:rPr>
                <w:rFonts w:cs="Arial"/>
              </w:rPr>
              <w:t>0.25</w:t>
            </w:r>
          </w:p>
        </w:tc>
        <w:tc>
          <w:tcPr>
            <w:tcW w:w="1856" w:type="dxa"/>
            <w:tcBorders>
              <w:bottom w:val="single" w:sz="4" w:space="0" w:color="auto"/>
            </w:tcBorders>
            <w:shd w:val="clear" w:color="auto" w:fill="FFFFFF"/>
            <w:vAlign w:val="center"/>
          </w:tcPr>
          <w:p w14:paraId="0A626CC1" w14:textId="77777777" w:rsidR="00702460" w:rsidRPr="00893D5B" w:rsidRDefault="00702460" w:rsidP="002D4D88">
            <w:pPr>
              <w:spacing w:after="360" w:line="320" w:lineRule="atLeast"/>
              <w:ind w:left="60" w:right="60"/>
              <w:jc w:val="center"/>
              <w:rPr>
                <w:rFonts w:cs="Arial"/>
              </w:rPr>
            </w:pPr>
            <w:r w:rsidRPr="00893D5B">
              <w:rPr>
                <w:rFonts w:cs="Arial"/>
              </w:rPr>
              <w:t>-</w:t>
            </w:r>
          </w:p>
        </w:tc>
      </w:tr>
    </w:tbl>
    <w:p w14:paraId="4F975FCF" w14:textId="77777777" w:rsidR="00893D5B" w:rsidRPr="009112B2" w:rsidRDefault="00893D5B" w:rsidP="00A8014A">
      <w:pPr>
        <w:spacing w:line="480" w:lineRule="auto"/>
      </w:pPr>
    </w:p>
    <w:p w14:paraId="40D26BA3" w14:textId="77777777" w:rsidR="00A8014A" w:rsidRDefault="00A8014A" w:rsidP="00A8014A">
      <w:pPr>
        <w:rPr>
          <w:b/>
        </w:rPr>
      </w:pPr>
    </w:p>
    <w:p w14:paraId="66272D98" w14:textId="5A3012F5" w:rsidR="00F65D6A" w:rsidRDefault="00090BE5" w:rsidP="00451D0B">
      <w:pPr>
        <w:spacing w:line="480" w:lineRule="auto"/>
      </w:pPr>
      <w:r>
        <w:t xml:space="preserve">For illustrative purposes, </w:t>
      </w:r>
      <w:r w:rsidR="001733DD" w:rsidRPr="008559C2">
        <w:t xml:space="preserve">Figure 4 depicts </w:t>
      </w:r>
      <w:r w:rsidR="00606886">
        <w:t xml:space="preserve">the percentage of participants who “remembered” the fabricated </w:t>
      </w:r>
      <w:r w:rsidR="001733DD" w:rsidRPr="008559C2">
        <w:t xml:space="preserve">poster stories using a </w:t>
      </w:r>
      <w:r w:rsidR="00C47818">
        <w:t>cognitive</w:t>
      </w:r>
      <w:r w:rsidR="001733DD" w:rsidRPr="008559C2">
        <w:t xml:space="preserve"> ability median split.  Participants were categorized as high</w:t>
      </w:r>
      <w:r w:rsidR="001C146F">
        <w:t>er</w:t>
      </w:r>
      <w:r w:rsidR="001733DD" w:rsidRPr="008559C2">
        <w:t xml:space="preserve"> cognitive ability (8 or higher, </w:t>
      </w:r>
      <w:r w:rsidR="001733DD" w:rsidRPr="00F4579C">
        <w:rPr>
          <w:i/>
        </w:rPr>
        <w:t>n</w:t>
      </w:r>
      <w:r w:rsidR="001733DD" w:rsidRPr="008559C2">
        <w:t xml:space="preserve"> = 1150) or low</w:t>
      </w:r>
      <w:r w:rsidR="001C146F">
        <w:t>er</w:t>
      </w:r>
      <w:r w:rsidR="001733DD" w:rsidRPr="008559C2">
        <w:t xml:space="preserve"> cognitive ability (7 or lower, </w:t>
      </w:r>
      <w:r w:rsidR="001733DD" w:rsidRPr="00F4579C">
        <w:rPr>
          <w:i/>
        </w:rPr>
        <w:t>n</w:t>
      </w:r>
      <w:r w:rsidR="001733DD" w:rsidRPr="008559C2">
        <w:t xml:space="preserve"> =</w:t>
      </w:r>
      <w:r w:rsidR="00893D5B">
        <w:t xml:space="preserve"> </w:t>
      </w:r>
      <w:r w:rsidR="001733DD" w:rsidRPr="008559C2">
        <w:t>1031).</w:t>
      </w:r>
      <w:r w:rsidR="00BA6EFA">
        <w:t xml:space="preserve"> </w:t>
      </w:r>
    </w:p>
    <w:p w14:paraId="41C2C4A6" w14:textId="77777777" w:rsidR="00C87744" w:rsidRPr="008559C2" w:rsidRDefault="00C87744" w:rsidP="00451D0B">
      <w:pPr>
        <w:spacing w:line="480" w:lineRule="auto"/>
      </w:pPr>
    </w:p>
    <w:p w14:paraId="5ABA4B56" w14:textId="6ACE7109" w:rsidR="0088751E" w:rsidRDefault="000B03A3" w:rsidP="006F6AC8">
      <w:pPr>
        <w:spacing w:line="480" w:lineRule="auto"/>
      </w:pPr>
      <w:r>
        <w:rPr>
          <w:noProof/>
        </w:rPr>
        <w:drawing>
          <wp:inline distT="0" distB="0" distL="0" distR="0" wp14:anchorId="0CD35D56" wp14:editId="6D293AF6">
            <wp:extent cx="5600700" cy="33147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114B7E" w14:textId="0516426D" w:rsidR="001D4249" w:rsidRPr="00F4579C" w:rsidRDefault="001D4249" w:rsidP="00456DED">
      <w:pPr>
        <w:pStyle w:val="Caption"/>
        <w:spacing w:after="0"/>
        <w:rPr>
          <w:i w:val="0"/>
          <w:color w:val="auto"/>
          <w:sz w:val="24"/>
          <w:szCs w:val="24"/>
        </w:rPr>
      </w:pPr>
      <w:r w:rsidRPr="00F4579C">
        <w:rPr>
          <w:color w:val="auto"/>
          <w:sz w:val="24"/>
          <w:szCs w:val="24"/>
        </w:rPr>
        <w:t xml:space="preserve"> Figure 4.</w:t>
      </w:r>
      <w:r w:rsidRPr="00F4579C">
        <w:rPr>
          <w:i w:val="0"/>
          <w:color w:val="auto"/>
          <w:sz w:val="24"/>
          <w:szCs w:val="24"/>
        </w:rPr>
        <w:t xml:space="preserve"> </w:t>
      </w:r>
      <w:r w:rsidR="00A908FB">
        <w:rPr>
          <w:i w:val="0"/>
          <w:color w:val="auto"/>
          <w:sz w:val="24"/>
          <w:szCs w:val="24"/>
        </w:rPr>
        <w:t xml:space="preserve">Percentage of </w:t>
      </w:r>
      <w:r w:rsidR="00A908FB" w:rsidRPr="00F4579C">
        <w:rPr>
          <w:i w:val="0"/>
          <w:color w:val="auto"/>
          <w:sz w:val="24"/>
          <w:szCs w:val="24"/>
        </w:rPr>
        <w:t>Yes &amp; No voters</w:t>
      </w:r>
      <w:r w:rsidR="00A908FB">
        <w:rPr>
          <w:i w:val="0"/>
          <w:color w:val="auto"/>
          <w:sz w:val="24"/>
          <w:szCs w:val="24"/>
        </w:rPr>
        <w:t xml:space="preserve"> who “remembered” </w:t>
      </w:r>
      <w:r w:rsidRPr="00F4579C">
        <w:rPr>
          <w:i w:val="0"/>
          <w:color w:val="auto"/>
          <w:sz w:val="24"/>
          <w:szCs w:val="24"/>
        </w:rPr>
        <w:t>the fabricated story concerning illegally-funde</w:t>
      </w:r>
      <w:r w:rsidR="00504905">
        <w:rPr>
          <w:i w:val="0"/>
          <w:color w:val="auto"/>
          <w:sz w:val="24"/>
          <w:szCs w:val="24"/>
        </w:rPr>
        <w:t>d posters by cognitive ability (note no error bars are included here as this is count data reported as proportions).</w:t>
      </w:r>
    </w:p>
    <w:p w14:paraId="1F58B9EA" w14:textId="77777777" w:rsidR="009028A6" w:rsidRDefault="009028A6" w:rsidP="006F6AC8">
      <w:pPr>
        <w:spacing w:line="480" w:lineRule="auto"/>
      </w:pPr>
    </w:p>
    <w:p w14:paraId="6D38B0D9" w14:textId="6FDDC210" w:rsidR="00AF4556" w:rsidRPr="00B81E6C" w:rsidRDefault="002623A9" w:rsidP="00B5229A">
      <w:pPr>
        <w:spacing w:line="480" w:lineRule="auto"/>
        <w:outlineLvl w:val="0"/>
        <w:rPr>
          <w:i/>
        </w:rPr>
      </w:pPr>
      <w:r>
        <w:rPr>
          <w:i/>
        </w:rPr>
        <w:t>H</w:t>
      </w:r>
      <w:r w:rsidR="00D818BD">
        <w:rPr>
          <w:i/>
        </w:rPr>
        <w:t>3</w:t>
      </w:r>
      <w:r w:rsidR="003F5BE2">
        <w:rPr>
          <w:i/>
        </w:rPr>
        <w:t>: Identifying Fabricated Stories</w:t>
      </w:r>
      <w:r w:rsidR="00583451">
        <w:rPr>
          <w:i/>
        </w:rPr>
        <w:t xml:space="preserve"> After an Explicit Warning</w:t>
      </w:r>
    </w:p>
    <w:p w14:paraId="0C277787" w14:textId="63455430" w:rsidR="00233AAF" w:rsidRPr="00DF754F" w:rsidRDefault="00AF4556" w:rsidP="002623A9">
      <w:pPr>
        <w:spacing w:line="480" w:lineRule="auto"/>
        <w:ind w:firstLine="720"/>
      </w:pPr>
      <w:r>
        <w:t xml:space="preserve">After being </w:t>
      </w:r>
      <w:r w:rsidR="00187AE8">
        <w:t xml:space="preserve">warned </w:t>
      </w:r>
      <w:r>
        <w:t xml:space="preserve">that some of the stories they viewed might have been </w:t>
      </w:r>
      <w:r w:rsidR="009C7BAA">
        <w:t>fabricated</w:t>
      </w:r>
      <w:r>
        <w:t>, and asked to identify which ones, participants selected an average of 1.7</w:t>
      </w:r>
      <w:r w:rsidR="00E846A8">
        <w:t>0</w:t>
      </w:r>
      <w:r>
        <w:t xml:space="preserve"> of the six stories the</w:t>
      </w:r>
      <w:r w:rsidR="00326D4E">
        <w:t>y viewed as fake, 95% CI = [1.68, 1.76</w:t>
      </w:r>
      <w:r>
        <w:t xml:space="preserve">], with 81% of participants choosing between 1 and 3 stories and 15% failing to select any stories. There was no difference in the total number of </w:t>
      </w:r>
      <w:r w:rsidRPr="00DF754F">
        <w:t>s</w:t>
      </w:r>
      <w:r w:rsidR="00020657" w:rsidRPr="00DF754F">
        <w:t xml:space="preserve">tories selected as fake by Yes </w:t>
      </w:r>
      <w:r w:rsidR="00583451" w:rsidRPr="00DF754F">
        <w:t>(</w:t>
      </w:r>
      <w:r w:rsidR="00666345" w:rsidRPr="00DF754F">
        <w:rPr>
          <w:i/>
        </w:rPr>
        <w:t xml:space="preserve">M </w:t>
      </w:r>
      <w:r w:rsidR="00666345" w:rsidRPr="00DF754F">
        <w:t>=</w:t>
      </w:r>
      <w:r w:rsidR="00666345" w:rsidRPr="00DF754F">
        <w:rPr>
          <w:i/>
        </w:rPr>
        <w:t xml:space="preserve"> </w:t>
      </w:r>
      <w:r w:rsidR="00020657" w:rsidRPr="00DF754F">
        <w:t>1.72, 95% CI = [1.68, 1.77]</w:t>
      </w:r>
      <w:r w:rsidR="00583451" w:rsidRPr="00DF754F">
        <w:t>)</w:t>
      </w:r>
      <w:r w:rsidR="00020657" w:rsidRPr="00DF754F">
        <w:t xml:space="preserve"> and No voters</w:t>
      </w:r>
      <w:r w:rsidR="00404BE5" w:rsidRPr="00DF754F">
        <w:t>,</w:t>
      </w:r>
      <w:r w:rsidR="00020657" w:rsidRPr="00DF754F">
        <w:t xml:space="preserve"> </w:t>
      </w:r>
      <w:r w:rsidR="00583451" w:rsidRPr="00DF754F">
        <w:t>(</w:t>
      </w:r>
      <w:r w:rsidR="00666345" w:rsidRPr="00DF754F">
        <w:rPr>
          <w:i/>
        </w:rPr>
        <w:t xml:space="preserve">M </w:t>
      </w:r>
      <w:r w:rsidR="00666345" w:rsidRPr="00DF754F">
        <w:t>=</w:t>
      </w:r>
      <w:r w:rsidR="00666345" w:rsidRPr="00DF754F">
        <w:rPr>
          <w:i/>
        </w:rPr>
        <w:t xml:space="preserve"> </w:t>
      </w:r>
      <w:r w:rsidRPr="00DF754F">
        <w:t>1.74, 95% C</w:t>
      </w:r>
      <w:r w:rsidR="00020657" w:rsidRPr="00DF754F">
        <w:t>I = [1.62, 1.85]</w:t>
      </w:r>
      <w:r w:rsidR="00583451" w:rsidRPr="00DF754F">
        <w:t>)</w:t>
      </w:r>
      <w:r w:rsidRPr="00DF754F">
        <w:t xml:space="preserve">, </w:t>
      </w:r>
      <w:r w:rsidRPr="00DF754F">
        <w:rPr>
          <w:i/>
        </w:rPr>
        <w:t>t</w:t>
      </w:r>
      <w:r w:rsidR="00206CF8" w:rsidRPr="00DF754F">
        <w:t xml:space="preserve"> </w:t>
      </w:r>
      <w:r w:rsidRPr="00DF754F">
        <w:t xml:space="preserve">(2719) = </w:t>
      </w:r>
      <w:r w:rsidR="00DB3766" w:rsidRPr="00DF754F">
        <w:t>0</w:t>
      </w:r>
      <w:r w:rsidRPr="00DF754F">
        <w:t xml:space="preserve">.24, </w:t>
      </w:r>
      <w:r w:rsidRPr="00DF754F">
        <w:rPr>
          <w:i/>
        </w:rPr>
        <w:t>p</w:t>
      </w:r>
      <w:r w:rsidRPr="00DF754F">
        <w:t xml:space="preserve"> = .81. </w:t>
      </w:r>
      <w:r w:rsidR="00326D4E" w:rsidRPr="00DF754F">
        <w:t xml:space="preserve">The fabricated stories were </w:t>
      </w:r>
      <w:r w:rsidR="00A017A2" w:rsidRPr="00DF754F">
        <w:t>identified</w:t>
      </w:r>
      <w:r w:rsidR="00326D4E" w:rsidRPr="00DF754F">
        <w:t xml:space="preserve"> as fake </w:t>
      </w:r>
      <w:r w:rsidR="002623A9" w:rsidRPr="00DF754F">
        <w:t xml:space="preserve">(47%) </w:t>
      </w:r>
      <w:r w:rsidR="00326D4E" w:rsidRPr="00DF754F">
        <w:t>at over twice the rate of the true stories</w:t>
      </w:r>
      <w:r w:rsidR="002623A9" w:rsidRPr="00DF754F">
        <w:t xml:space="preserve"> (19%), with the poster stories selected as fake by </w:t>
      </w:r>
      <w:r w:rsidR="005138B1" w:rsidRPr="00DF754F">
        <w:t>52</w:t>
      </w:r>
      <w:r w:rsidR="00E32711" w:rsidRPr="00DF754F">
        <w:t>% of participants and the comments stories</w:t>
      </w:r>
      <w:r w:rsidR="002623A9" w:rsidRPr="00DF754F">
        <w:t xml:space="preserve"> selected</w:t>
      </w:r>
      <w:r w:rsidR="00E32711" w:rsidRPr="00DF754F">
        <w:t xml:space="preserve"> by </w:t>
      </w:r>
      <w:r w:rsidR="005138B1" w:rsidRPr="00DF754F">
        <w:t>43</w:t>
      </w:r>
      <w:r w:rsidR="00E32711" w:rsidRPr="00DF754F">
        <w:t xml:space="preserve">% of participants. </w:t>
      </w:r>
      <w:r w:rsidR="005138B1" w:rsidRPr="00DF754F">
        <w:t>Selection of the true stories</w:t>
      </w:r>
      <w:r w:rsidR="00A237D8" w:rsidRPr="00DF754F">
        <w:t xml:space="preserve"> as fake ranged from 9% to 31%. </w:t>
      </w:r>
    </w:p>
    <w:p w14:paraId="7B2449D0" w14:textId="748721EF" w:rsidR="00724856" w:rsidRPr="00DF754F" w:rsidRDefault="002B79AD" w:rsidP="008F245E">
      <w:pPr>
        <w:spacing w:line="480" w:lineRule="auto"/>
        <w:ind w:firstLine="720"/>
      </w:pPr>
      <w:r w:rsidRPr="00DF754F">
        <w:t xml:space="preserve">Due to the difficulties in assessing responses to the comments stories, only the poster story responses were </w:t>
      </w:r>
      <w:r w:rsidR="008E452B" w:rsidRPr="00DF754F">
        <w:t>analyzed</w:t>
      </w:r>
      <w:r w:rsidRPr="00DF754F">
        <w:t xml:space="preserve"> further. A</w:t>
      </w:r>
      <w:r w:rsidR="00190A17" w:rsidRPr="00DF754F">
        <w:t xml:space="preserve">s expected, those who initially </w:t>
      </w:r>
      <w:r w:rsidR="00EB5A55" w:rsidRPr="00DF754F">
        <w:t>reported remembering</w:t>
      </w:r>
      <w:r w:rsidR="00190A17" w:rsidRPr="00DF754F">
        <w:t xml:space="preserve"> the </w:t>
      </w:r>
      <w:r w:rsidRPr="00DF754F">
        <w:t>poster story</w:t>
      </w:r>
      <w:r w:rsidR="008E452B" w:rsidRPr="00DF754F">
        <w:t xml:space="preserve"> (excluding believers)</w:t>
      </w:r>
      <w:r w:rsidR="00190A17" w:rsidRPr="00DF754F">
        <w:t xml:space="preserve"> were significantly less likely to </w:t>
      </w:r>
      <w:r w:rsidRPr="00DF754F">
        <w:t xml:space="preserve">later </w:t>
      </w:r>
      <w:r w:rsidR="00190A17" w:rsidRPr="00DF754F">
        <w:t xml:space="preserve">select </w:t>
      </w:r>
      <w:r w:rsidRPr="00DF754F">
        <w:t>it</w:t>
      </w:r>
      <w:r w:rsidR="00D60564" w:rsidRPr="00DF754F">
        <w:t xml:space="preserve"> as fake, </w:t>
      </w:r>
      <w:r w:rsidR="00D60564" w:rsidRPr="00DF754F">
        <w:rPr>
          <w:i/>
        </w:rPr>
        <w:t>X</w:t>
      </w:r>
      <w:r w:rsidR="00D60564" w:rsidRPr="00DF754F">
        <w:rPr>
          <w:i/>
          <w:vertAlign w:val="superscript"/>
        </w:rPr>
        <w:t>2</w:t>
      </w:r>
      <w:r w:rsidR="00D60564" w:rsidRPr="00DF754F">
        <w:t xml:space="preserve">(1, </w:t>
      </w:r>
      <w:r w:rsidR="00D60564" w:rsidRPr="00DF754F">
        <w:rPr>
          <w:i/>
        </w:rPr>
        <w:t>N</w:t>
      </w:r>
      <w:r w:rsidR="00D60564" w:rsidRPr="00DF754F">
        <w:t xml:space="preserve"> = 2774) = 271.92, </w:t>
      </w:r>
      <w:r w:rsidR="00D60564" w:rsidRPr="00DF754F">
        <w:rPr>
          <w:i/>
        </w:rPr>
        <w:t>p</w:t>
      </w:r>
      <w:r w:rsidR="00D60564" w:rsidRPr="00DF754F">
        <w:t xml:space="preserve"> &lt; .001, </w:t>
      </w:r>
      <w:r w:rsidR="00D60564" w:rsidRPr="00DF754F">
        <w:rPr>
          <w:i/>
        </w:rPr>
        <w:t>V</w:t>
      </w:r>
      <w:r w:rsidR="00D60564" w:rsidRPr="00DF754F">
        <w:t xml:space="preserve"> = .31</w:t>
      </w:r>
      <w:r w:rsidR="00190A17" w:rsidRPr="00DF754F">
        <w:t xml:space="preserve">. </w:t>
      </w:r>
      <w:r w:rsidR="00B47D5F" w:rsidRPr="00DF754F">
        <w:t>Overall, 3</w:t>
      </w:r>
      <w:r w:rsidRPr="00DF754F">
        <w:t>1</w:t>
      </w:r>
      <w:r w:rsidR="00B47D5F" w:rsidRPr="00DF754F">
        <w:t xml:space="preserve">% of participants who </w:t>
      </w:r>
      <w:r w:rsidR="00187AE8" w:rsidRPr="00DF754F">
        <w:t xml:space="preserve">falsely </w:t>
      </w:r>
      <w:r w:rsidR="00583451" w:rsidRPr="00DF754F">
        <w:t>remembered</w:t>
      </w:r>
      <w:r w:rsidRPr="00DF754F">
        <w:t xml:space="preserve"> the poster story</w:t>
      </w:r>
      <w:r w:rsidR="00B47D5F" w:rsidRPr="00DF754F">
        <w:t xml:space="preserve"> in the first part of the study then went on to select that story as fabricated. This relatively low rate su</w:t>
      </w:r>
      <w:r w:rsidR="001E57A1" w:rsidRPr="00DF754F">
        <w:t xml:space="preserve">ggests </w:t>
      </w:r>
      <w:r w:rsidR="00DB3766" w:rsidRPr="00DF754F">
        <w:t>robust</w:t>
      </w:r>
      <w:r w:rsidR="00902845" w:rsidRPr="00DF754F">
        <w:t xml:space="preserve"> false memories for 69</w:t>
      </w:r>
      <w:r w:rsidR="001E57A1" w:rsidRPr="00DF754F">
        <w:t xml:space="preserve">% </w:t>
      </w:r>
      <w:r w:rsidR="006B5325" w:rsidRPr="00DF754F">
        <w:t>of</w:t>
      </w:r>
      <w:r w:rsidR="001E57A1" w:rsidRPr="00DF754F">
        <w:t xml:space="preserve"> participants, who failed to retract their memory even when alerted to the possible presence of misleading information.</w:t>
      </w:r>
    </w:p>
    <w:p w14:paraId="687804C7" w14:textId="78357D94" w:rsidR="00A0409E" w:rsidRPr="00DF754F" w:rsidRDefault="003D6B30" w:rsidP="00A0409E">
      <w:pPr>
        <w:spacing w:line="480" w:lineRule="auto"/>
        <w:ind w:firstLine="720"/>
      </w:pPr>
      <w:r w:rsidRPr="00DF754F">
        <w:t xml:space="preserve">To assess factors predicting success in selecting the fabricated poster story as </w:t>
      </w:r>
      <w:r w:rsidR="0020640E" w:rsidRPr="00DF754F">
        <w:t xml:space="preserve">fake, a </w:t>
      </w:r>
      <w:r w:rsidR="00724856" w:rsidRPr="00DF754F">
        <w:t xml:space="preserve">hierarchical </w:t>
      </w:r>
      <w:r w:rsidR="0020640E" w:rsidRPr="00DF754F">
        <w:t xml:space="preserve">binary logistic regression model was built using the same variables as </w:t>
      </w:r>
      <w:r w:rsidR="00DC1117" w:rsidRPr="00DF754F">
        <w:t>the earlier regression model</w:t>
      </w:r>
      <w:r w:rsidR="000F2E38" w:rsidRPr="00DF754F">
        <w:t xml:space="preserve"> (</w:t>
      </w:r>
      <w:r w:rsidR="004454C6" w:rsidRPr="00DF754F">
        <w:t>cognitive</w:t>
      </w:r>
      <w:r w:rsidR="000F2E38" w:rsidRPr="00DF754F">
        <w:t xml:space="preserve"> </w:t>
      </w:r>
      <w:r w:rsidR="004454C6" w:rsidRPr="00DF754F">
        <w:t>ability, ideological congruency</w:t>
      </w:r>
      <w:r w:rsidR="006753EF" w:rsidRPr="00DF754F">
        <w:t xml:space="preserve"> and the</w:t>
      </w:r>
      <w:r w:rsidR="002E307A" w:rsidRPr="00DF754F">
        <w:t>ir</w:t>
      </w:r>
      <w:r w:rsidR="006753EF" w:rsidRPr="00DF754F">
        <w:t xml:space="preserve"> interaction</w:t>
      </w:r>
      <w:r w:rsidR="000F2E38" w:rsidRPr="00DF754F">
        <w:t>)</w:t>
      </w:r>
      <w:r w:rsidR="00DC1117" w:rsidRPr="00DF754F">
        <w:t xml:space="preserve">.  </w:t>
      </w:r>
      <w:r w:rsidR="00822A92" w:rsidRPr="00DF754F">
        <w:t xml:space="preserve">Participants were excluded if they did not complete the cognitive ability assessment or did not indicate they would be voting Yes or No. </w:t>
      </w:r>
      <w:r w:rsidR="00724856" w:rsidRPr="00DF754F">
        <w:t xml:space="preserve">Ideological congruency and cognitive ability were entered in the first block, followed by the interaction term in the second block. The first model was significant, χ2(2, </w:t>
      </w:r>
      <w:r w:rsidR="00724856" w:rsidRPr="00DF754F">
        <w:rPr>
          <w:i/>
        </w:rPr>
        <w:t>N</w:t>
      </w:r>
      <w:r w:rsidR="00724856" w:rsidRPr="00DF754F">
        <w:t xml:space="preserve"> = 1756) = 96.26, </w:t>
      </w:r>
      <w:r w:rsidR="00724856" w:rsidRPr="00DF754F">
        <w:rPr>
          <w:i/>
        </w:rPr>
        <w:t>p</w:t>
      </w:r>
      <w:r w:rsidR="00724856" w:rsidRPr="00DF754F">
        <w:t xml:space="preserve"> &lt; .001, R</w:t>
      </w:r>
      <w:r w:rsidR="00724856" w:rsidRPr="00DF754F">
        <w:rPr>
          <w:vertAlign w:val="superscript"/>
        </w:rPr>
        <w:t>2</w:t>
      </w:r>
      <w:r w:rsidR="00724856" w:rsidRPr="00DF754F">
        <w:t xml:space="preserve"> (Cox &amp; Snell) = .05, R</w:t>
      </w:r>
      <w:r w:rsidR="00724856" w:rsidRPr="00DF754F">
        <w:rPr>
          <w:vertAlign w:val="superscript"/>
        </w:rPr>
        <w:t>2</w:t>
      </w:r>
      <w:r w:rsidR="00724856" w:rsidRPr="00DF754F">
        <w:t xml:space="preserve"> (Nagelkerke) = .06, and correctly classified 63% of cases. As shown in Table 2, there was a main effect of ideological congruency, such that participants were less likely to identify the story as fake when it was in line with their beliefs. There was also a main effect of cognitive ability, where for every one-point increase in their Words</w:t>
      </w:r>
      <w:r w:rsidR="005C5DCD" w:rsidRPr="00DF754F">
        <w:t>um score, participants were 13%</w:t>
      </w:r>
      <w:r w:rsidR="00724856" w:rsidRPr="00DF754F">
        <w:t xml:space="preserve"> more likely to identify the story as fake. The addition of the interaction term in the second block improved the model fit (p = .003; model; </w:t>
      </w:r>
      <w:r w:rsidR="00D818BD" w:rsidRPr="00DF754F">
        <w:t>χ2 (3</w:t>
      </w:r>
      <w:r w:rsidR="006000B2" w:rsidRPr="00DF754F">
        <w:t xml:space="preserve">, </w:t>
      </w:r>
      <w:r w:rsidR="006000B2" w:rsidRPr="00DF754F">
        <w:rPr>
          <w:i/>
        </w:rPr>
        <w:t>N</w:t>
      </w:r>
      <w:r w:rsidR="006000B2" w:rsidRPr="00DF754F">
        <w:t xml:space="preserve"> = 1979) = </w:t>
      </w:r>
      <w:r w:rsidR="00D818BD" w:rsidRPr="00DF754F">
        <w:t>105.33</w:t>
      </w:r>
      <w:r w:rsidR="00BB2735" w:rsidRPr="00DF754F">
        <w:t xml:space="preserve">, </w:t>
      </w:r>
      <w:r w:rsidR="00BB2735" w:rsidRPr="00DF754F">
        <w:rPr>
          <w:i/>
        </w:rPr>
        <w:t>p</w:t>
      </w:r>
      <w:r w:rsidR="00BB2735" w:rsidRPr="00DF754F">
        <w:t xml:space="preserve"> &lt; .001</w:t>
      </w:r>
      <w:r w:rsidR="008B7CEE" w:rsidRPr="00DF754F">
        <w:t>, R</w:t>
      </w:r>
      <w:r w:rsidR="008B7CEE" w:rsidRPr="00DF754F">
        <w:rPr>
          <w:vertAlign w:val="superscript"/>
        </w:rPr>
        <w:t>2</w:t>
      </w:r>
      <w:r w:rsidR="00702850" w:rsidRPr="00DF754F">
        <w:t xml:space="preserve"> (Cox</w:t>
      </w:r>
      <w:r w:rsidR="00D818BD" w:rsidRPr="00DF754F">
        <w:t xml:space="preserve"> &amp; Snell) = .05</w:t>
      </w:r>
      <w:r w:rsidR="008B7CEE" w:rsidRPr="00DF754F">
        <w:t>, R</w:t>
      </w:r>
      <w:r w:rsidR="008B7CEE" w:rsidRPr="00DF754F">
        <w:rPr>
          <w:vertAlign w:val="superscript"/>
        </w:rPr>
        <w:t>2</w:t>
      </w:r>
      <w:r w:rsidR="008B7CEE" w:rsidRPr="00DF754F">
        <w:t xml:space="preserve"> (Nagelkerke) = .</w:t>
      </w:r>
      <w:r w:rsidR="00D818BD" w:rsidRPr="00DF754F">
        <w:t>07</w:t>
      </w:r>
      <w:r w:rsidR="00BB2735" w:rsidRPr="00DF754F">
        <w:t>, and correctly classifi</w:t>
      </w:r>
      <w:r w:rsidR="00D818BD" w:rsidRPr="00DF754F">
        <w:t>ed 63</w:t>
      </w:r>
      <w:r w:rsidR="00BB2735" w:rsidRPr="00DF754F">
        <w:t xml:space="preserve">% of cases. </w:t>
      </w:r>
      <w:r w:rsidR="006E1565" w:rsidRPr="00DF754F">
        <w:t xml:space="preserve">There was a main effect of ideological congruency whereby participants were 88% less likely to identify the story as fake when it aligned with their beliefs. </w:t>
      </w:r>
      <w:r w:rsidR="00BB2735" w:rsidRPr="00DF754F">
        <w:t xml:space="preserve">As </w:t>
      </w:r>
      <w:r w:rsidR="00AC27F5" w:rsidRPr="00DF754F">
        <w:t xml:space="preserve">with </w:t>
      </w:r>
      <w:r w:rsidR="001E048C" w:rsidRPr="00DF754F">
        <w:t xml:space="preserve">the </w:t>
      </w:r>
      <w:r w:rsidR="00AC27F5" w:rsidRPr="00DF754F">
        <w:t>false memory findings,</w:t>
      </w:r>
      <w:r w:rsidR="00BB2735" w:rsidRPr="00DF754F">
        <w:t xml:space="preserve"> </w:t>
      </w:r>
      <w:r w:rsidR="00AC27F5" w:rsidRPr="00DF754F">
        <w:t xml:space="preserve">the main effect of cognitive ability was rendered non-significant </w:t>
      </w:r>
      <w:r w:rsidR="001E048C" w:rsidRPr="00DF754F">
        <w:t xml:space="preserve">in the second block, </w:t>
      </w:r>
      <w:r w:rsidR="00AC27F5" w:rsidRPr="00DF754F">
        <w:t xml:space="preserve">but there was an interaction </w:t>
      </w:r>
      <w:r w:rsidR="00197910" w:rsidRPr="00DF754F">
        <w:t xml:space="preserve">between </w:t>
      </w:r>
      <w:r w:rsidR="00C47818" w:rsidRPr="00DF754F">
        <w:t>cognitive</w:t>
      </w:r>
      <w:r w:rsidR="007C764F" w:rsidRPr="00DF754F">
        <w:t xml:space="preserve"> ability and ideological congruency, such that </w:t>
      </w:r>
      <w:r w:rsidR="00BB08D7" w:rsidRPr="00DF754F">
        <w:t xml:space="preserve">those who scored </w:t>
      </w:r>
      <w:r w:rsidR="00BA0FF0" w:rsidRPr="00DF754F">
        <w:t>higher</w:t>
      </w:r>
      <w:r w:rsidR="00BB08D7" w:rsidRPr="00DF754F">
        <w:t xml:space="preserve"> in cognitive ability were </w:t>
      </w:r>
      <w:r w:rsidR="00BA0FF0" w:rsidRPr="00DF754F">
        <w:t>more</w:t>
      </w:r>
      <w:r w:rsidR="00BB08D7" w:rsidRPr="00DF754F">
        <w:t xml:space="preserve"> likely to identify stories in line with their beliefs as fake.</w:t>
      </w:r>
      <w:r w:rsidR="00161EAA" w:rsidRPr="00DF754F">
        <w:t xml:space="preserve"> </w:t>
      </w:r>
    </w:p>
    <w:p w14:paraId="0D0AD815" w14:textId="77777777" w:rsidR="00A0409E" w:rsidRPr="00DF754F" w:rsidRDefault="00A0409E" w:rsidP="00A0409E">
      <w:pPr>
        <w:spacing w:line="480" w:lineRule="auto"/>
      </w:pPr>
    </w:p>
    <w:p w14:paraId="7A9B1403" w14:textId="5F5C363C" w:rsidR="00BF78F9" w:rsidRPr="00DF754F" w:rsidRDefault="00D5532F" w:rsidP="00A0409E">
      <w:pPr>
        <w:spacing w:line="480" w:lineRule="auto"/>
      </w:pPr>
      <w:r w:rsidRPr="00DF754F">
        <w:t xml:space="preserve">Table </w:t>
      </w:r>
      <w:r w:rsidR="004F2C6B" w:rsidRPr="00DF754F">
        <w:t>2:</w:t>
      </w:r>
      <w:r w:rsidR="00BF78F9" w:rsidRPr="00DF754F">
        <w:t xml:space="preserve"> Results from the logistic regression analysis: </w:t>
      </w:r>
      <w:r w:rsidR="00C47818" w:rsidRPr="00DF754F">
        <w:t>cognitive</w:t>
      </w:r>
      <w:r w:rsidR="00BF78F9" w:rsidRPr="00DF754F">
        <w:t xml:space="preserve"> ability, ideological congruency</w:t>
      </w:r>
      <w:r w:rsidR="00E375A3" w:rsidRPr="00DF754F">
        <w:t xml:space="preserve">, </w:t>
      </w:r>
      <w:r w:rsidR="00BF78F9" w:rsidRPr="00DF754F">
        <w:t>and the</w:t>
      </w:r>
      <w:r w:rsidR="00E375A3" w:rsidRPr="00DF754F">
        <w:t>ir</w:t>
      </w:r>
      <w:r w:rsidR="00BF78F9" w:rsidRPr="00DF754F">
        <w:t xml:space="preserve"> interaction as predictors of correctly identifying the illegal poster story as fabricated (</w:t>
      </w:r>
      <w:r w:rsidR="00BF78F9" w:rsidRPr="00DF754F">
        <w:rPr>
          <w:i/>
        </w:rPr>
        <w:t>n</w:t>
      </w:r>
      <w:r w:rsidR="00BF78F9" w:rsidRPr="00DF754F">
        <w:t xml:space="preserve"> = </w:t>
      </w:r>
      <w:r w:rsidR="00B0390A" w:rsidRPr="00DF754F">
        <w:t>1979</w:t>
      </w:r>
      <w:r w:rsidR="00BF78F9" w:rsidRPr="00DF754F">
        <w:t>).</w:t>
      </w:r>
    </w:p>
    <w:tbl>
      <w:tblPr>
        <w:tblW w:w="10787" w:type="dxa"/>
        <w:tblInd w:w="-709" w:type="dxa"/>
        <w:tblLayout w:type="fixed"/>
        <w:tblCellMar>
          <w:left w:w="0" w:type="dxa"/>
          <w:right w:w="0" w:type="dxa"/>
        </w:tblCellMar>
        <w:tblLook w:val="0000" w:firstRow="0" w:lastRow="0" w:firstColumn="0" w:lastColumn="0" w:noHBand="0" w:noVBand="0"/>
      </w:tblPr>
      <w:tblGrid>
        <w:gridCol w:w="1289"/>
        <w:gridCol w:w="2667"/>
        <w:gridCol w:w="829"/>
        <w:gridCol w:w="829"/>
        <w:gridCol w:w="829"/>
        <w:gridCol w:w="829"/>
        <w:gridCol w:w="829"/>
        <w:gridCol w:w="830"/>
        <w:gridCol w:w="1856"/>
      </w:tblGrid>
      <w:tr w:rsidR="00D14D69" w:rsidRPr="00893D5B" w14:paraId="05EB40DC" w14:textId="77777777" w:rsidTr="00BE7D17">
        <w:trPr>
          <w:cantSplit/>
          <w:trHeight w:val="616"/>
        </w:trPr>
        <w:tc>
          <w:tcPr>
            <w:tcW w:w="1289" w:type="dxa"/>
            <w:tcBorders>
              <w:top w:val="single" w:sz="4" w:space="0" w:color="auto"/>
              <w:bottom w:val="single" w:sz="4" w:space="0" w:color="auto"/>
            </w:tcBorders>
            <w:shd w:val="clear" w:color="auto" w:fill="FFFFFF"/>
            <w:vAlign w:val="center"/>
          </w:tcPr>
          <w:p w14:paraId="6FA9CFF2" w14:textId="77777777" w:rsidR="00D14D69" w:rsidRPr="00893D5B" w:rsidRDefault="00D14D69" w:rsidP="00BE7D17">
            <w:pPr>
              <w:spacing w:before="240" w:after="360" w:line="320" w:lineRule="atLeast"/>
              <w:ind w:left="-709" w:firstLine="709"/>
              <w:rPr>
                <w:rFonts w:cs="Arial"/>
              </w:rPr>
            </w:pPr>
            <w:bookmarkStart w:id="1" w:name="_Hlk4678054"/>
          </w:p>
        </w:tc>
        <w:tc>
          <w:tcPr>
            <w:tcW w:w="2667" w:type="dxa"/>
            <w:tcBorders>
              <w:top w:val="single" w:sz="4" w:space="0" w:color="auto"/>
              <w:bottom w:val="single" w:sz="4" w:space="0" w:color="auto"/>
            </w:tcBorders>
            <w:shd w:val="clear" w:color="auto" w:fill="FFFFFF"/>
            <w:vAlign w:val="center"/>
          </w:tcPr>
          <w:p w14:paraId="609B7863" w14:textId="77777777" w:rsidR="00D14D69" w:rsidRPr="00893D5B" w:rsidRDefault="00D14D69" w:rsidP="00BE7D17">
            <w:pPr>
              <w:spacing w:before="240" w:after="360" w:line="320" w:lineRule="atLeast"/>
              <w:rPr>
                <w:rFonts w:cs="Arial"/>
              </w:rPr>
            </w:pPr>
            <w:r w:rsidRPr="00893D5B">
              <w:rPr>
                <w:rFonts w:cs="Arial"/>
              </w:rPr>
              <w:t>Predictors</w:t>
            </w:r>
          </w:p>
        </w:tc>
        <w:tc>
          <w:tcPr>
            <w:tcW w:w="829" w:type="dxa"/>
            <w:tcBorders>
              <w:top w:val="single" w:sz="4" w:space="0" w:color="auto"/>
              <w:bottom w:val="single" w:sz="4" w:space="0" w:color="auto"/>
            </w:tcBorders>
            <w:shd w:val="clear" w:color="auto" w:fill="FFFFFF"/>
            <w:vAlign w:val="center"/>
          </w:tcPr>
          <w:p w14:paraId="4766695F" w14:textId="77777777" w:rsidR="00D14D69" w:rsidRPr="00893D5B" w:rsidRDefault="00D14D69" w:rsidP="00BE7D17">
            <w:pPr>
              <w:spacing w:before="240" w:after="360" w:line="320" w:lineRule="atLeast"/>
              <w:ind w:right="60"/>
              <w:rPr>
                <w:rFonts w:cs="Arial"/>
                <w:i/>
              </w:rPr>
            </w:pPr>
            <w:r w:rsidRPr="00893D5B">
              <w:rPr>
                <w:rFonts w:cs="Arial"/>
                <w:i/>
              </w:rPr>
              <w:t>b</w:t>
            </w:r>
          </w:p>
        </w:tc>
        <w:tc>
          <w:tcPr>
            <w:tcW w:w="829" w:type="dxa"/>
            <w:tcBorders>
              <w:top w:val="single" w:sz="4" w:space="0" w:color="auto"/>
              <w:bottom w:val="single" w:sz="4" w:space="0" w:color="auto"/>
            </w:tcBorders>
            <w:shd w:val="clear" w:color="auto" w:fill="FFFFFF"/>
            <w:vAlign w:val="center"/>
          </w:tcPr>
          <w:p w14:paraId="3EE54192" w14:textId="77777777" w:rsidR="00D14D69" w:rsidRPr="00893D5B" w:rsidRDefault="00D14D69" w:rsidP="00BE7D17">
            <w:pPr>
              <w:spacing w:before="240" w:after="360" w:line="320" w:lineRule="atLeast"/>
              <w:ind w:right="60"/>
              <w:rPr>
                <w:rFonts w:cs="Arial"/>
                <w:i/>
              </w:rPr>
            </w:pPr>
            <w:r w:rsidRPr="00893D5B">
              <w:rPr>
                <w:rFonts w:cs="Arial"/>
                <w:i/>
              </w:rPr>
              <w:t>SE b</w:t>
            </w:r>
          </w:p>
        </w:tc>
        <w:tc>
          <w:tcPr>
            <w:tcW w:w="829" w:type="dxa"/>
            <w:tcBorders>
              <w:top w:val="single" w:sz="4" w:space="0" w:color="auto"/>
              <w:bottom w:val="single" w:sz="4" w:space="0" w:color="auto"/>
            </w:tcBorders>
            <w:shd w:val="clear" w:color="auto" w:fill="FFFFFF"/>
            <w:vAlign w:val="center"/>
          </w:tcPr>
          <w:p w14:paraId="7C1152A1" w14:textId="77777777" w:rsidR="00D14D69" w:rsidRPr="00893D5B" w:rsidRDefault="00D14D69" w:rsidP="00BE7D17">
            <w:pPr>
              <w:spacing w:before="240" w:after="360" w:line="320" w:lineRule="atLeast"/>
              <w:ind w:right="60"/>
              <w:rPr>
                <w:rFonts w:cs="Arial"/>
              </w:rPr>
            </w:pPr>
            <w:r w:rsidRPr="00893D5B">
              <w:rPr>
                <w:rFonts w:cs="Arial"/>
              </w:rPr>
              <w:t>Wald</w:t>
            </w:r>
          </w:p>
        </w:tc>
        <w:tc>
          <w:tcPr>
            <w:tcW w:w="829" w:type="dxa"/>
            <w:tcBorders>
              <w:top w:val="single" w:sz="4" w:space="0" w:color="auto"/>
              <w:bottom w:val="single" w:sz="4" w:space="0" w:color="auto"/>
            </w:tcBorders>
            <w:shd w:val="clear" w:color="auto" w:fill="FFFFFF"/>
            <w:vAlign w:val="center"/>
          </w:tcPr>
          <w:p w14:paraId="3F9BED77" w14:textId="77777777" w:rsidR="00D14D69" w:rsidRPr="00893D5B" w:rsidRDefault="00D14D69" w:rsidP="00BE7D17">
            <w:pPr>
              <w:spacing w:before="240" w:after="360" w:line="320" w:lineRule="atLeast"/>
              <w:ind w:right="60"/>
              <w:rPr>
                <w:rFonts w:cs="Arial"/>
                <w:i/>
              </w:rPr>
            </w:pPr>
            <w:r w:rsidRPr="00893D5B">
              <w:rPr>
                <w:rFonts w:cs="Arial"/>
                <w:i/>
              </w:rPr>
              <w:t>df</w:t>
            </w:r>
          </w:p>
        </w:tc>
        <w:tc>
          <w:tcPr>
            <w:tcW w:w="829" w:type="dxa"/>
            <w:tcBorders>
              <w:top w:val="single" w:sz="4" w:space="0" w:color="auto"/>
              <w:bottom w:val="single" w:sz="4" w:space="0" w:color="auto"/>
            </w:tcBorders>
            <w:shd w:val="clear" w:color="auto" w:fill="FFFFFF"/>
            <w:vAlign w:val="center"/>
          </w:tcPr>
          <w:p w14:paraId="5BF1B530" w14:textId="77777777" w:rsidR="00D14D69" w:rsidRPr="00893D5B" w:rsidRDefault="00D14D69" w:rsidP="00BE7D17">
            <w:pPr>
              <w:spacing w:before="240" w:after="360" w:line="320" w:lineRule="atLeast"/>
              <w:ind w:right="60"/>
              <w:rPr>
                <w:rFonts w:cs="Arial"/>
                <w:i/>
              </w:rPr>
            </w:pPr>
            <w:r w:rsidRPr="00893D5B">
              <w:rPr>
                <w:rFonts w:cs="Arial"/>
                <w:i/>
              </w:rPr>
              <w:t>p</w:t>
            </w:r>
          </w:p>
        </w:tc>
        <w:tc>
          <w:tcPr>
            <w:tcW w:w="830" w:type="dxa"/>
            <w:tcBorders>
              <w:top w:val="single" w:sz="4" w:space="0" w:color="auto"/>
              <w:bottom w:val="single" w:sz="4" w:space="0" w:color="auto"/>
            </w:tcBorders>
            <w:shd w:val="clear" w:color="auto" w:fill="FFFFFF"/>
            <w:vAlign w:val="center"/>
          </w:tcPr>
          <w:p w14:paraId="62C0CCCD" w14:textId="77777777" w:rsidR="00D14D69" w:rsidRPr="00893D5B" w:rsidRDefault="00D14D69" w:rsidP="00BE7D17">
            <w:pPr>
              <w:spacing w:before="240" w:after="360" w:line="320" w:lineRule="atLeast"/>
              <w:ind w:right="60"/>
              <w:rPr>
                <w:rFonts w:cs="Arial"/>
                <w:b/>
                <w:i/>
              </w:rPr>
            </w:pPr>
            <w:r w:rsidRPr="00893D5B">
              <w:rPr>
                <w:rFonts w:cs="Arial"/>
                <w:i/>
              </w:rPr>
              <w:t>Exp(b)</w:t>
            </w:r>
          </w:p>
        </w:tc>
        <w:tc>
          <w:tcPr>
            <w:tcW w:w="1856" w:type="dxa"/>
            <w:tcBorders>
              <w:top w:val="single" w:sz="4" w:space="0" w:color="auto"/>
              <w:bottom w:val="single" w:sz="4" w:space="0" w:color="auto"/>
            </w:tcBorders>
            <w:shd w:val="clear" w:color="auto" w:fill="FFFFFF"/>
            <w:vAlign w:val="center"/>
          </w:tcPr>
          <w:p w14:paraId="197DB090" w14:textId="77777777" w:rsidR="00D14D69" w:rsidRPr="00893D5B" w:rsidRDefault="00D14D69" w:rsidP="00BE7D17">
            <w:pPr>
              <w:spacing w:before="240" w:after="360" w:line="320" w:lineRule="atLeast"/>
              <w:ind w:right="60"/>
              <w:rPr>
                <w:rFonts w:cs="Arial"/>
              </w:rPr>
            </w:pPr>
            <w:r w:rsidRPr="00893D5B">
              <w:rPr>
                <w:rFonts w:cs="Arial"/>
              </w:rPr>
              <w:t>95% C.I.</w:t>
            </w:r>
          </w:p>
        </w:tc>
      </w:tr>
      <w:tr w:rsidR="00D14D69" w:rsidRPr="00893D5B" w14:paraId="5BB7F903" w14:textId="77777777" w:rsidTr="00BE7D17">
        <w:trPr>
          <w:cantSplit/>
          <w:trHeight w:hRule="exact" w:val="907"/>
        </w:trPr>
        <w:tc>
          <w:tcPr>
            <w:tcW w:w="1289" w:type="dxa"/>
            <w:tcBorders>
              <w:top w:val="single" w:sz="4" w:space="0" w:color="auto"/>
            </w:tcBorders>
            <w:shd w:val="clear" w:color="auto" w:fill="FFFFFF"/>
            <w:vAlign w:val="center"/>
          </w:tcPr>
          <w:p w14:paraId="2D23E268" w14:textId="77777777" w:rsidR="00D14D69" w:rsidRPr="00893D5B" w:rsidRDefault="00D14D69" w:rsidP="00BE7D17">
            <w:pPr>
              <w:spacing w:before="240" w:after="360" w:line="320" w:lineRule="atLeast"/>
              <w:rPr>
                <w:rFonts w:cs="Arial"/>
              </w:rPr>
            </w:pPr>
            <w:r>
              <w:rPr>
                <w:rFonts w:cs="Arial"/>
              </w:rPr>
              <w:t>Model One</w:t>
            </w:r>
          </w:p>
        </w:tc>
        <w:tc>
          <w:tcPr>
            <w:tcW w:w="2667" w:type="dxa"/>
            <w:tcBorders>
              <w:top w:val="single" w:sz="4" w:space="0" w:color="auto"/>
            </w:tcBorders>
            <w:shd w:val="clear" w:color="auto" w:fill="FFFFFF"/>
            <w:vAlign w:val="center"/>
          </w:tcPr>
          <w:p w14:paraId="54B1893F" w14:textId="77777777" w:rsidR="00D14D69" w:rsidRPr="00893D5B" w:rsidRDefault="00D14D69" w:rsidP="00BE7D17">
            <w:pPr>
              <w:spacing w:before="240" w:after="360" w:line="320" w:lineRule="atLeast"/>
              <w:rPr>
                <w:rFonts w:cs="Arial"/>
              </w:rPr>
            </w:pPr>
            <w:r w:rsidRPr="00893D5B">
              <w:rPr>
                <w:rFonts w:cs="Arial"/>
              </w:rPr>
              <w:t>Ideological Congruency</w:t>
            </w:r>
          </w:p>
        </w:tc>
        <w:tc>
          <w:tcPr>
            <w:tcW w:w="829" w:type="dxa"/>
            <w:tcBorders>
              <w:top w:val="single" w:sz="4" w:space="0" w:color="auto"/>
            </w:tcBorders>
            <w:shd w:val="clear" w:color="auto" w:fill="FFFFFF"/>
            <w:vAlign w:val="center"/>
          </w:tcPr>
          <w:p w14:paraId="39EB0B15" w14:textId="435B9134" w:rsidR="00D14D69" w:rsidRDefault="00D14D69" w:rsidP="00BE7D17">
            <w:pPr>
              <w:spacing w:before="240" w:after="360" w:line="320" w:lineRule="atLeast"/>
              <w:ind w:right="60"/>
              <w:rPr>
                <w:rFonts w:cs="Arial"/>
              </w:rPr>
            </w:pPr>
            <w:r>
              <w:rPr>
                <w:rFonts w:cs="Arial"/>
              </w:rPr>
              <w:t>-0.82</w:t>
            </w:r>
          </w:p>
        </w:tc>
        <w:tc>
          <w:tcPr>
            <w:tcW w:w="829" w:type="dxa"/>
            <w:tcBorders>
              <w:top w:val="single" w:sz="4" w:space="0" w:color="auto"/>
            </w:tcBorders>
            <w:shd w:val="clear" w:color="auto" w:fill="FFFFFF"/>
            <w:vAlign w:val="center"/>
          </w:tcPr>
          <w:p w14:paraId="0914EC44" w14:textId="7D78CB50" w:rsidR="00D14D69" w:rsidRDefault="00D14D69" w:rsidP="00BE7D17">
            <w:pPr>
              <w:spacing w:before="240" w:after="360" w:line="320" w:lineRule="atLeast"/>
              <w:ind w:right="60"/>
              <w:rPr>
                <w:rFonts w:cs="Arial"/>
              </w:rPr>
            </w:pPr>
            <w:r>
              <w:rPr>
                <w:rFonts w:cs="Arial"/>
              </w:rPr>
              <w:t>0.09</w:t>
            </w:r>
          </w:p>
        </w:tc>
        <w:tc>
          <w:tcPr>
            <w:tcW w:w="829" w:type="dxa"/>
            <w:tcBorders>
              <w:top w:val="single" w:sz="4" w:space="0" w:color="auto"/>
            </w:tcBorders>
            <w:shd w:val="clear" w:color="auto" w:fill="FFFFFF"/>
            <w:vAlign w:val="center"/>
          </w:tcPr>
          <w:p w14:paraId="02B892B2" w14:textId="35EA0B27" w:rsidR="00D14D69" w:rsidRDefault="00D14D69" w:rsidP="00BE7D17">
            <w:pPr>
              <w:spacing w:before="240" w:after="360" w:line="320" w:lineRule="atLeast"/>
              <w:ind w:right="60"/>
              <w:rPr>
                <w:rFonts w:cs="Arial"/>
              </w:rPr>
            </w:pPr>
            <w:r>
              <w:rPr>
                <w:rFonts w:cs="Arial"/>
              </w:rPr>
              <w:t>77.04</w:t>
            </w:r>
          </w:p>
        </w:tc>
        <w:tc>
          <w:tcPr>
            <w:tcW w:w="829" w:type="dxa"/>
            <w:tcBorders>
              <w:top w:val="single" w:sz="4" w:space="0" w:color="auto"/>
            </w:tcBorders>
            <w:shd w:val="clear" w:color="auto" w:fill="FFFFFF"/>
            <w:vAlign w:val="center"/>
          </w:tcPr>
          <w:p w14:paraId="7DE06DA8" w14:textId="77777777" w:rsidR="00D14D69" w:rsidRPr="00893D5B" w:rsidRDefault="00D14D69" w:rsidP="00BE7D17">
            <w:pPr>
              <w:spacing w:before="240" w:after="360" w:line="320" w:lineRule="atLeast"/>
              <w:ind w:right="60"/>
              <w:rPr>
                <w:rFonts w:cs="Arial"/>
              </w:rPr>
            </w:pPr>
            <w:r>
              <w:rPr>
                <w:rFonts w:cs="Arial"/>
              </w:rPr>
              <w:t>1</w:t>
            </w:r>
          </w:p>
        </w:tc>
        <w:tc>
          <w:tcPr>
            <w:tcW w:w="829" w:type="dxa"/>
            <w:tcBorders>
              <w:top w:val="single" w:sz="4" w:space="0" w:color="auto"/>
            </w:tcBorders>
            <w:shd w:val="clear" w:color="auto" w:fill="FFFFFF"/>
            <w:vAlign w:val="center"/>
          </w:tcPr>
          <w:p w14:paraId="25DBD2AD" w14:textId="77777777" w:rsidR="00D14D69" w:rsidRPr="00893D5B" w:rsidRDefault="00D14D69" w:rsidP="00BE7D17">
            <w:pPr>
              <w:spacing w:before="240" w:after="360" w:line="320" w:lineRule="atLeast"/>
              <w:ind w:right="60"/>
              <w:rPr>
                <w:rFonts w:cs="Arial"/>
                <w:b/>
              </w:rPr>
            </w:pPr>
            <w:r>
              <w:rPr>
                <w:rFonts w:cs="Arial"/>
                <w:b/>
              </w:rPr>
              <w:t>&lt;.001</w:t>
            </w:r>
          </w:p>
        </w:tc>
        <w:tc>
          <w:tcPr>
            <w:tcW w:w="830" w:type="dxa"/>
            <w:tcBorders>
              <w:top w:val="single" w:sz="4" w:space="0" w:color="auto"/>
            </w:tcBorders>
            <w:shd w:val="clear" w:color="auto" w:fill="FFFFFF"/>
            <w:vAlign w:val="center"/>
          </w:tcPr>
          <w:p w14:paraId="7D2DFF00" w14:textId="218BC07B" w:rsidR="00D14D69" w:rsidRDefault="0016433D" w:rsidP="00BE7D17">
            <w:pPr>
              <w:spacing w:before="240" w:after="360" w:line="320" w:lineRule="atLeast"/>
              <w:ind w:right="60"/>
              <w:rPr>
                <w:rFonts w:cs="Arial"/>
                <w:b/>
              </w:rPr>
            </w:pPr>
            <w:r>
              <w:rPr>
                <w:rFonts w:cs="Arial"/>
                <w:b/>
              </w:rPr>
              <w:t>0.44</w:t>
            </w:r>
          </w:p>
        </w:tc>
        <w:tc>
          <w:tcPr>
            <w:tcW w:w="1856" w:type="dxa"/>
            <w:tcBorders>
              <w:top w:val="single" w:sz="4" w:space="0" w:color="auto"/>
            </w:tcBorders>
            <w:shd w:val="clear" w:color="auto" w:fill="FFFFFF"/>
            <w:vAlign w:val="center"/>
          </w:tcPr>
          <w:p w14:paraId="689CA021" w14:textId="3F8C6C3D" w:rsidR="00D14D69" w:rsidRDefault="00D14D69" w:rsidP="00BE7D17">
            <w:pPr>
              <w:spacing w:before="240" w:after="360" w:line="320" w:lineRule="atLeast"/>
              <w:ind w:right="60"/>
              <w:rPr>
                <w:rFonts w:cs="Arial"/>
              </w:rPr>
            </w:pPr>
            <w:r>
              <w:rPr>
                <w:rFonts w:cs="Arial"/>
              </w:rPr>
              <w:t>[</w:t>
            </w:r>
            <w:r w:rsidR="0016433D">
              <w:rPr>
                <w:rFonts w:cs="Arial"/>
              </w:rPr>
              <w:t>0.37</w:t>
            </w:r>
            <w:r w:rsidRPr="00893D5B">
              <w:rPr>
                <w:rFonts w:cs="Arial"/>
              </w:rPr>
              <w:t xml:space="preserve">, </w:t>
            </w:r>
            <w:r w:rsidR="0016433D">
              <w:rPr>
                <w:rFonts w:cs="Arial"/>
              </w:rPr>
              <w:t>0.53</w:t>
            </w:r>
            <w:r w:rsidRPr="00893D5B">
              <w:rPr>
                <w:rFonts w:cs="Arial"/>
              </w:rPr>
              <w:t>]</w:t>
            </w:r>
          </w:p>
        </w:tc>
      </w:tr>
      <w:tr w:rsidR="00D14D69" w:rsidRPr="00893D5B" w14:paraId="151A71E0" w14:textId="77777777" w:rsidTr="00BE7D17">
        <w:trPr>
          <w:cantSplit/>
          <w:trHeight w:hRule="exact" w:val="907"/>
        </w:trPr>
        <w:tc>
          <w:tcPr>
            <w:tcW w:w="1289" w:type="dxa"/>
            <w:shd w:val="clear" w:color="auto" w:fill="FFFFFF"/>
            <w:vAlign w:val="center"/>
          </w:tcPr>
          <w:p w14:paraId="3BD8DEED" w14:textId="77777777" w:rsidR="00D14D69" w:rsidRPr="00893D5B" w:rsidRDefault="00D14D69" w:rsidP="00BE7D17">
            <w:pPr>
              <w:spacing w:before="240" w:after="360" w:line="320" w:lineRule="atLeast"/>
              <w:rPr>
                <w:rFonts w:cs="Arial"/>
              </w:rPr>
            </w:pPr>
          </w:p>
        </w:tc>
        <w:tc>
          <w:tcPr>
            <w:tcW w:w="2667" w:type="dxa"/>
            <w:shd w:val="clear" w:color="auto" w:fill="FFFFFF"/>
            <w:vAlign w:val="center"/>
          </w:tcPr>
          <w:p w14:paraId="09ED0716" w14:textId="77777777" w:rsidR="00D14D69" w:rsidRPr="00893D5B" w:rsidRDefault="00D14D69" w:rsidP="00BE7D17">
            <w:pPr>
              <w:spacing w:before="240" w:after="360" w:line="320" w:lineRule="atLeast"/>
              <w:rPr>
                <w:rFonts w:cs="Arial"/>
              </w:rPr>
            </w:pPr>
            <w:r w:rsidRPr="00893D5B">
              <w:rPr>
                <w:rFonts w:cs="Arial"/>
              </w:rPr>
              <w:t>Cognitive Ability</w:t>
            </w:r>
          </w:p>
        </w:tc>
        <w:tc>
          <w:tcPr>
            <w:tcW w:w="829" w:type="dxa"/>
            <w:shd w:val="clear" w:color="auto" w:fill="FFFFFF"/>
            <w:vAlign w:val="center"/>
          </w:tcPr>
          <w:p w14:paraId="65359A6D" w14:textId="6B2865E4" w:rsidR="00D14D69" w:rsidRDefault="00D14D69" w:rsidP="00BE7D17">
            <w:pPr>
              <w:spacing w:before="240" w:after="360" w:line="320" w:lineRule="atLeast"/>
              <w:ind w:right="60"/>
              <w:rPr>
                <w:rFonts w:cs="Arial"/>
              </w:rPr>
            </w:pPr>
            <w:r>
              <w:rPr>
                <w:rFonts w:cs="Arial"/>
              </w:rPr>
              <w:t>0.13</w:t>
            </w:r>
          </w:p>
        </w:tc>
        <w:tc>
          <w:tcPr>
            <w:tcW w:w="829" w:type="dxa"/>
            <w:shd w:val="clear" w:color="auto" w:fill="FFFFFF"/>
            <w:vAlign w:val="center"/>
          </w:tcPr>
          <w:p w14:paraId="547233B8" w14:textId="77777777" w:rsidR="00D14D69" w:rsidRDefault="00D14D69" w:rsidP="00BE7D17">
            <w:pPr>
              <w:spacing w:before="240" w:after="360" w:line="320" w:lineRule="atLeast"/>
              <w:ind w:right="60"/>
              <w:rPr>
                <w:rFonts w:cs="Arial"/>
              </w:rPr>
            </w:pPr>
            <w:r>
              <w:rPr>
                <w:rFonts w:cs="Arial"/>
              </w:rPr>
              <w:t>0.03</w:t>
            </w:r>
          </w:p>
        </w:tc>
        <w:tc>
          <w:tcPr>
            <w:tcW w:w="829" w:type="dxa"/>
            <w:shd w:val="clear" w:color="auto" w:fill="FFFFFF"/>
            <w:vAlign w:val="center"/>
          </w:tcPr>
          <w:p w14:paraId="3C36F7CE" w14:textId="60D549C8" w:rsidR="00D14D69" w:rsidRDefault="00D14D69" w:rsidP="00BE7D17">
            <w:pPr>
              <w:spacing w:before="240" w:after="360" w:line="320" w:lineRule="atLeast"/>
              <w:ind w:right="60"/>
              <w:rPr>
                <w:rFonts w:cs="Arial"/>
              </w:rPr>
            </w:pPr>
            <w:r>
              <w:rPr>
                <w:rFonts w:cs="Arial"/>
              </w:rPr>
              <w:t>19.31</w:t>
            </w:r>
          </w:p>
        </w:tc>
        <w:tc>
          <w:tcPr>
            <w:tcW w:w="829" w:type="dxa"/>
            <w:shd w:val="clear" w:color="auto" w:fill="FFFFFF"/>
            <w:vAlign w:val="center"/>
          </w:tcPr>
          <w:p w14:paraId="23CD6B23" w14:textId="77777777" w:rsidR="00D14D69" w:rsidRPr="00893D5B" w:rsidRDefault="00D14D69" w:rsidP="00BE7D17">
            <w:pPr>
              <w:spacing w:before="240" w:after="360" w:line="320" w:lineRule="atLeast"/>
              <w:ind w:right="60"/>
              <w:rPr>
                <w:rFonts w:cs="Arial"/>
              </w:rPr>
            </w:pPr>
            <w:r>
              <w:rPr>
                <w:rFonts w:cs="Arial"/>
              </w:rPr>
              <w:t>1</w:t>
            </w:r>
          </w:p>
        </w:tc>
        <w:tc>
          <w:tcPr>
            <w:tcW w:w="829" w:type="dxa"/>
            <w:shd w:val="clear" w:color="auto" w:fill="FFFFFF"/>
            <w:vAlign w:val="center"/>
          </w:tcPr>
          <w:p w14:paraId="1A93D444" w14:textId="77777777" w:rsidR="00D14D69" w:rsidRPr="00893D5B" w:rsidRDefault="00D14D69" w:rsidP="00BE7D17">
            <w:pPr>
              <w:spacing w:before="240" w:after="360" w:line="320" w:lineRule="atLeast"/>
              <w:ind w:right="60"/>
              <w:rPr>
                <w:rFonts w:cs="Arial"/>
                <w:b/>
              </w:rPr>
            </w:pPr>
            <w:r>
              <w:rPr>
                <w:rFonts w:cs="Arial"/>
                <w:b/>
              </w:rPr>
              <w:t>&lt;.001</w:t>
            </w:r>
          </w:p>
        </w:tc>
        <w:tc>
          <w:tcPr>
            <w:tcW w:w="830" w:type="dxa"/>
            <w:shd w:val="clear" w:color="auto" w:fill="FFFFFF"/>
            <w:vAlign w:val="center"/>
          </w:tcPr>
          <w:p w14:paraId="3442F12C" w14:textId="5BC7C3F3" w:rsidR="00D14D69" w:rsidRDefault="0016433D" w:rsidP="00BE7D17">
            <w:pPr>
              <w:spacing w:before="240" w:after="360" w:line="320" w:lineRule="atLeast"/>
              <w:ind w:right="60"/>
              <w:rPr>
                <w:rFonts w:cs="Arial"/>
                <w:b/>
              </w:rPr>
            </w:pPr>
            <w:r>
              <w:rPr>
                <w:rFonts w:cs="Arial"/>
                <w:b/>
              </w:rPr>
              <w:t>1.13</w:t>
            </w:r>
          </w:p>
        </w:tc>
        <w:tc>
          <w:tcPr>
            <w:tcW w:w="1856" w:type="dxa"/>
            <w:shd w:val="clear" w:color="auto" w:fill="FFFFFF"/>
            <w:vAlign w:val="center"/>
          </w:tcPr>
          <w:p w14:paraId="072AEEDE" w14:textId="43ABD4BC" w:rsidR="00D14D69" w:rsidRDefault="00D14D69" w:rsidP="00BE7D17">
            <w:pPr>
              <w:spacing w:before="240" w:after="360" w:line="320" w:lineRule="atLeast"/>
              <w:ind w:right="60"/>
              <w:rPr>
                <w:rFonts w:cs="Arial"/>
              </w:rPr>
            </w:pPr>
            <w:r>
              <w:rPr>
                <w:rFonts w:cs="Arial"/>
              </w:rPr>
              <w:t>[</w:t>
            </w:r>
            <w:r w:rsidR="0016433D">
              <w:rPr>
                <w:rFonts w:cs="Arial"/>
              </w:rPr>
              <w:t>1.07</w:t>
            </w:r>
            <w:r>
              <w:rPr>
                <w:rFonts w:cs="Arial"/>
              </w:rPr>
              <w:t xml:space="preserve">, </w:t>
            </w:r>
            <w:r w:rsidR="0016433D">
              <w:rPr>
                <w:rFonts w:cs="Arial"/>
              </w:rPr>
              <w:t>1.20</w:t>
            </w:r>
            <w:r w:rsidRPr="00893D5B">
              <w:rPr>
                <w:rFonts w:cs="Arial"/>
              </w:rPr>
              <w:t>]</w:t>
            </w:r>
          </w:p>
        </w:tc>
      </w:tr>
      <w:tr w:rsidR="00D14D69" w:rsidRPr="00893D5B" w14:paraId="779CF282" w14:textId="77777777" w:rsidTr="00BE7D17">
        <w:trPr>
          <w:cantSplit/>
          <w:trHeight w:hRule="exact" w:val="907"/>
        </w:trPr>
        <w:tc>
          <w:tcPr>
            <w:tcW w:w="1289" w:type="dxa"/>
            <w:shd w:val="clear" w:color="auto" w:fill="FFFFFF"/>
            <w:vAlign w:val="center"/>
          </w:tcPr>
          <w:p w14:paraId="328F4CD5" w14:textId="77777777" w:rsidR="00D14D69" w:rsidRPr="00893D5B" w:rsidRDefault="00D14D69" w:rsidP="00BE7D17">
            <w:pPr>
              <w:spacing w:before="240" w:after="360" w:line="320" w:lineRule="atLeast"/>
              <w:rPr>
                <w:rFonts w:cs="Arial"/>
              </w:rPr>
            </w:pPr>
          </w:p>
        </w:tc>
        <w:tc>
          <w:tcPr>
            <w:tcW w:w="2667" w:type="dxa"/>
            <w:shd w:val="clear" w:color="auto" w:fill="FFFFFF"/>
            <w:vAlign w:val="center"/>
          </w:tcPr>
          <w:p w14:paraId="3E835288" w14:textId="77777777" w:rsidR="00D14D69" w:rsidRPr="00893D5B" w:rsidRDefault="00D14D69" w:rsidP="00BE7D17">
            <w:pPr>
              <w:spacing w:before="240" w:after="360" w:line="320" w:lineRule="atLeast"/>
              <w:rPr>
                <w:rFonts w:cs="Arial"/>
              </w:rPr>
            </w:pPr>
            <w:r w:rsidRPr="00893D5B">
              <w:rPr>
                <w:rFonts w:cs="Arial"/>
              </w:rPr>
              <w:t>Constant</w:t>
            </w:r>
          </w:p>
        </w:tc>
        <w:tc>
          <w:tcPr>
            <w:tcW w:w="829" w:type="dxa"/>
            <w:shd w:val="clear" w:color="auto" w:fill="FFFFFF"/>
            <w:vAlign w:val="center"/>
          </w:tcPr>
          <w:p w14:paraId="4F020C5D" w14:textId="1792A10C" w:rsidR="00D14D69" w:rsidRDefault="00D14D69" w:rsidP="00BE7D17">
            <w:pPr>
              <w:spacing w:before="240" w:after="360" w:line="320" w:lineRule="atLeast"/>
              <w:ind w:right="60"/>
              <w:rPr>
                <w:rFonts w:cs="Arial"/>
              </w:rPr>
            </w:pPr>
            <w:r>
              <w:rPr>
                <w:rFonts w:cs="Arial"/>
              </w:rPr>
              <w:t>-0.17</w:t>
            </w:r>
          </w:p>
        </w:tc>
        <w:tc>
          <w:tcPr>
            <w:tcW w:w="829" w:type="dxa"/>
            <w:shd w:val="clear" w:color="auto" w:fill="FFFFFF"/>
            <w:vAlign w:val="center"/>
          </w:tcPr>
          <w:p w14:paraId="1CA12746" w14:textId="50C83EEE" w:rsidR="00D14D69" w:rsidRDefault="00D14D69" w:rsidP="00BE7D17">
            <w:pPr>
              <w:spacing w:before="240" w:after="360" w:line="320" w:lineRule="atLeast"/>
              <w:ind w:right="60"/>
              <w:rPr>
                <w:rFonts w:cs="Arial"/>
              </w:rPr>
            </w:pPr>
            <w:r>
              <w:rPr>
                <w:rFonts w:cs="Arial"/>
              </w:rPr>
              <w:t>0.22</w:t>
            </w:r>
          </w:p>
        </w:tc>
        <w:tc>
          <w:tcPr>
            <w:tcW w:w="829" w:type="dxa"/>
            <w:shd w:val="clear" w:color="auto" w:fill="FFFFFF"/>
            <w:vAlign w:val="center"/>
          </w:tcPr>
          <w:p w14:paraId="6D6C79F3" w14:textId="161395F9" w:rsidR="00D14D69" w:rsidRDefault="00D14D69" w:rsidP="00BE7D17">
            <w:pPr>
              <w:spacing w:before="240" w:after="360" w:line="320" w:lineRule="atLeast"/>
              <w:ind w:right="60"/>
              <w:rPr>
                <w:rFonts w:cs="Arial"/>
              </w:rPr>
            </w:pPr>
            <w:r>
              <w:rPr>
                <w:rFonts w:cs="Arial"/>
              </w:rPr>
              <w:t>0.61</w:t>
            </w:r>
          </w:p>
        </w:tc>
        <w:tc>
          <w:tcPr>
            <w:tcW w:w="829" w:type="dxa"/>
            <w:shd w:val="clear" w:color="auto" w:fill="FFFFFF"/>
            <w:vAlign w:val="center"/>
          </w:tcPr>
          <w:p w14:paraId="758F5117" w14:textId="77777777" w:rsidR="00D14D69" w:rsidRPr="00893D5B" w:rsidRDefault="00D14D69" w:rsidP="00BE7D17">
            <w:pPr>
              <w:spacing w:before="240" w:after="360" w:line="320" w:lineRule="atLeast"/>
              <w:ind w:right="60"/>
              <w:rPr>
                <w:rFonts w:cs="Arial"/>
              </w:rPr>
            </w:pPr>
            <w:r>
              <w:rPr>
                <w:rFonts w:cs="Arial"/>
              </w:rPr>
              <w:t>1</w:t>
            </w:r>
          </w:p>
        </w:tc>
        <w:tc>
          <w:tcPr>
            <w:tcW w:w="829" w:type="dxa"/>
            <w:shd w:val="clear" w:color="auto" w:fill="FFFFFF"/>
            <w:vAlign w:val="center"/>
          </w:tcPr>
          <w:p w14:paraId="1626DC44" w14:textId="04FE2D24" w:rsidR="00D14D69" w:rsidRPr="001B1402" w:rsidRDefault="00D14D69" w:rsidP="00BE7D17">
            <w:pPr>
              <w:spacing w:before="240" w:after="360" w:line="320" w:lineRule="atLeast"/>
              <w:ind w:right="60"/>
              <w:rPr>
                <w:rFonts w:cs="Arial"/>
              </w:rPr>
            </w:pPr>
            <w:r>
              <w:rPr>
                <w:rFonts w:cs="Arial"/>
              </w:rPr>
              <w:t>.436</w:t>
            </w:r>
          </w:p>
        </w:tc>
        <w:tc>
          <w:tcPr>
            <w:tcW w:w="830" w:type="dxa"/>
            <w:shd w:val="clear" w:color="auto" w:fill="FFFFFF"/>
            <w:vAlign w:val="center"/>
          </w:tcPr>
          <w:p w14:paraId="6BDCC862" w14:textId="5373C45B" w:rsidR="00D14D69" w:rsidRPr="001B1402" w:rsidRDefault="00D14D69" w:rsidP="00BE7D17">
            <w:pPr>
              <w:spacing w:before="240" w:after="360" w:line="320" w:lineRule="atLeast"/>
              <w:ind w:right="60"/>
              <w:rPr>
                <w:rFonts w:cs="Arial"/>
              </w:rPr>
            </w:pPr>
            <w:r w:rsidRPr="001B1402">
              <w:rPr>
                <w:rFonts w:cs="Arial"/>
              </w:rPr>
              <w:t>0.</w:t>
            </w:r>
            <w:r w:rsidR="0016433D">
              <w:rPr>
                <w:rFonts w:cs="Arial"/>
              </w:rPr>
              <w:t>84</w:t>
            </w:r>
          </w:p>
        </w:tc>
        <w:tc>
          <w:tcPr>
            <w:tcW w:w="1856" w:type="dxa"/>
            <w:shd w:val="clear" w:color="auto" w:fill="FFFFFF"/>
            <w:vAlign w:val="center"/>
          </w:tcPr>
          <w:p w14:paraId="100053D6" w14:textId="24E1B11E" w:rsidR="00D14D69" w:rsidRDefault="009C1A7B" w:rsidP="009C1A7B">
            <w:pPr>
              <w:spacing w:before="240" w:after="360" w:line="320" w:lineRule="atLeast"/>
              <w:ind w:right="60"/>
              <w:rPr>
                <w:rFonts w:cs="Arial"/>
              </w:rPr>
            </w:pPr>
            <w:r>
              <w:rPr>
                <w:rFonts w:cs="Arial"/>
              </w:rPr>
              <w:t xml:space="preserve">         </w:t>
            </w:r>
            <w:r w:rsidR="00D14D69">
              <w:rPr>
                <w:rFonts w:cs="Arial"/>
              </w:rPr>
              <w:t>-</w:t>
            </w:r>
          </w:p>
        </w:tc>
      </w:tr>
      <w:tr w:rsidR="00D14D69" w:rsidRPr="00893D5B" w14:paraId="370C55EB" w14:textId="77777777" w:rsidTr="00BE7D17">
        <w:trPr>
          <w:cantSplit/>
          <w:trHeight w:hRule="exact" w:val="907"/>
        </w:trPr>
        <w:tc>
          <w:tcPr>
            <w:tcW w:w="1289" w:type="dxa"/>
            <w:shd w:val="clear" w:color="auto" w:fill="FFFFFF"/>
            <w:vAlign w:val="center"/>
          </w:tcPr>
          <w:p w14:paraId="5B106727" w14:textId="77777777" w:rsidR="00D14D69" w:rsidRPr="00893D5B" w:rsidRDefault="00D14D69" w:rsidP="00BE7D17">
            <w:pPr>
              <w:spacing w:before="240" w:after="360" w:line="320" w:lineRule="atLeast"/>
              <w:rPr>
                <w:rFonts w:cs="Arial"/>
              </w:rPr>
            </w:pPr>
            <w:r>
              <w:rPr>
                <w:rFonts w:cs="Arial"/>
              </w:rPr>
              <w:t>Model Two</w:t>
            </w:r>
          </w:p>
        </w:tc>
        <w:tc>
          <w:tcPr>
            <w:tcW w:w="2667" w:type="dxa"/>
            <w:shd w:val="clear" w:color="auto" w:fill="FFFFFF"/>
            <w:vAlign w:val="center"/>
          </w:tcPr>
          <w:p w14:paraId="1F521BCF" w14:textId="77777777" w:rsidR="00D14D69" w:rsidRPr="00893D5B" w:rsidRDefault="00D14D69" w:rsidP="00BE7D17">
            <w:pPr>
              <w:spacing w:before="240" w:after="360" w:line="320" w:lineRule="atLeast"/>
              <w:rPr>
                <w:rFonts w:cs="Arial"/>
              </w:rPr>
            </w:pPr>
            <w:r w:rsidRPr="00893D5B">
              <w:rPr>
                <w:rFonts w:cs="Arial"/>
              </w:rPr>
              <w:t>Ideological Congruency</w:t>
            </w:r>
          </w:p>
        </w:tc>
        <w:tc>
          <w:tcPr>
            <w:tcW w:w="829" w:type="dxa"/>
            <w:shd w:val="clear" w:color="auto" w:fill="FFFFFF"/>
            <w:vAlign w:val="center"/>
          </w:tcPr>
          <w:p w14:paraId="2C01A978" w14:textId="751048B0" w:rsidR="00D14D69" w:rsidRPr="00893D5B" w:rsidRDefault="00D14D69" w:rsidP="00BE7D17">
            <w:pPr>
              <w:spacing w:before="240" w:after="360" w:line="320" w:lineRule="atLeast"/>
              <w:ind w:right="60"/>
              <w:rPr>
                <w:rFonts w:cs="Arial"/>
              </w:rPr>
            </w:pPr>
            <w:r w:rsidRPr="00CD10CE">
              <w:rPr>
                <w:rFonts w:cs="Arial"/>
              </w:rPr>
              <w:t>-</w:t>
            </w:r>
            <w:r>
              <w:rPr>
                <w:rFonts w:cs="Arial"/>
              </w:rPr>
              <w:t>2.13</w:t>
            </w:r>
          </w:p>
        </w:tc>
        <w:tc>
          <w:tcPr>
            <w:tcW w:w="829" w:type="dxa"/>
            <w:shd w:val="clear" w:color="auto" w:fill="FFFFFF"/>
            <w:vAlign w:val="center"/>
          </w:tcPr>
          <w:p w14:paraId="56CF2F31" w14:textId="7551B8B0" w:rsidR="00D14D69" w:rsidRPr="00893D5B" w:rsidRDefault="00D14D69" w:rsidP="00BE7D17">
            <w:pPr>
              <w:spacing w:before="240" w:after="360" w:line="320" w:lineRule="atLeast"/>
              <w:ind w:right="60"/>
              <w:rPr>
                <w:rFonts w:cs="Arial"/>
              </w:rPr>
            </w:pPr>
            <w:r>
              <w:rPr>
                <w:rFonts w:cs="Arial"/>
              </w:rPr>
              <w:t>0.45</w:t>
            </w:r>
          </w:p>
        </w:tc>
        <w:tc>
          <w:tcPr>
            <w:tcW w:w="829" w:type="dxa"/>
            <w:shd w:val="clear" w:color="auto" w:fill="FFFFFF"/>
            <w:vAlign w:val="center"/>
          </w:tcPr>
          <w:p w14:paraId="65525965" w14:textId="08A4C5CB" w:rsidR="00D14D69" w:rsidRPr="00893D5B" w:rsidRDefault="00D14D69" w:rsidP="00BE7D17">
            <w:pPr>
              <w:spacing w:before="240" w:after="360" w:line="320" w:lineRule="atLeast"/>
              <w:ind w:right="60"/>
              <w:rPr>
                <w:rFonts w:cs="Arial"/>
              </w:rPr>
            </w:pPr>
            <w:r>
              <w:rPr>
                <w:rFonts w:cs="Arial"/>
              </w:rPr>
              <w:t>22.76</w:t>
            </w:r>
          </w:p>
        </w:tc>
        <w:tc>
          <w:tcPr>
            <w:tcW w:w="829" w:type="dxa"/>
            <w:shd w:val="clear" w:color="auto" w:fill="FFFFFF"/>
            <w:vAlign w:val="center"/>
          </w:tcPr>
          <w:p w14:paraId="233C556E" w14:textId="4C42D432" w:rsidR="00D14D69" w:rsidRPr="00893D5B" w:rsidRDefault="00D14D69" w:rsidP="00BE7D17">
            <w:pPr>
              <w:spacing w:before="240" w:after="360" w:line="320" w:lineRule="atLeast"/>
              <w:ind w:right="60"/>
              <w:rPr>
                <w:rFonts w:cs="Arial"/>
              </w:rPr>
            </w:pPr>
            <w:r w:rsidRPr="00CD10CE">
              <w:rPr>
                <w:rFonts w:cs="Arial"/>
              </w:rPr>
              <w:t>1</w:t>
            </w:r>
          </w:p>
        </w:tc>
        <w:tc>
          <w:tcPr>
            <w:tcW w:w="829" w:type="dxa"/>
            <w:shd w:val="clear" w:color="auto" w:fill="FFFFFF"/>
            <w:vAlign w:val="center"/>
          </w:tcPr>
          <w:p w14:paraId="5CA6195A" w14:textId="58EACAA1" w:rsidR="00D14D69" w:rsidRPr="00893D5B" w:rsidRDefault="00D14D69" w:rsidP="00BE7D17">
            <w:pPr>
              <w:spacing w:before="240" w:after="360" w:line="320" w:lineRule="atLeast"/>
              <w:ind w:right="60"/>
              <w:rPr>
                <w:rFonts w:cs="Arial"/>
                <w:b/>
              </w:rPr>
            </w:pPr>
            <w:r w:rsidRPr="00CD10CE">
              <w:rPr>
                <w:rFonts w:cs="Arial"/>
                <w:b/>
              </w:rPr>
              <w:t>&lt;.001</w:t>
            </w:r>
          </w:p>
        </w:tc>
        <w:tc>
          <w:tcPr>
            <w:tcW w:w="830" w:type="dxa"/>
            <w:shd w:val="clear" w:color="auto" w:fill="FFFFFF"/>
            <w:vAlign w:val="center"/>
          </w:tcPr>
          <w:p w14:paraId="6B277AF8" w14:textId="54CDD547" w:rsidR="00D14D69" w:rsidRPr="00893D5B" w:rsidRDefault="00D14D69" w:rsidP="00BE7D17">
            <w:pPr>
              <w:spacing w:before="240" w:after="360" w:line="320" w:lineRule="atLeast"/>
              <w:ind w:right="60"/>
              <w:rPr>
                <w:rFonts w:cs="Arial"/>
                <w:b/>
              </w:rPr>
            </w:pPr>
            <w:r w:rsidRPr="00CD10CE">
              <w:rPr>
                <w:rFonts w:cs="Arial"/>
                <w:b/>
              </w:rPr>
              <w:t>0.1</w:t>
            </w:r>
            <w:r>
              <w:rPr>
                <w:rFonts w:cs="Arial"/>
                <w:b/>
              </w:rPr>
              <w:t>2</w:t>
            </w:r>
          </w:p>
        </w:tc>
        <w:tc>
          <w:tcPr>
            <w:tcW w:w="1856" w:type="dxa"/>
            <w:shd w:val="clear" w:color="auto" w:fill="FFFFFF"/>
            <w:vAlign w:val="center"/>
          </w:tcPr>
          <w:p w14:paraId="64A55DCC" w14:textId="67E789B3" w:rsidR="00D14D69" w:rsidRPr="00893D5B" w:rsidRDefault="00D14D69" w:rsidP="00BE7D17">
            <w:pPr>
              <w:spacing w:before="240" w:after="360" w:line="320" w:lineRule="atLeast"/>
              <w:ind w:right="60"/>
              <w:rPr>
                <w:rFonts w:cs="Arial"/>
              </w:rPr>
            </w:pPr>
            <w:r>
              <w:rPr>
                <w:rFonts w:cs="Arial"/>
              </w:rPr>
              <w:t>[0.05, 0.29</w:t>
            </w:r>
            <w:r w:rsidRPr="00CD10CE">
              <w:rPr>
                <w:rFonts w:cs="Arial"/>
              </w:rPr>
              <w:t>]</w:t>
            </w:r>
          </w:p>
        </w:tc>
      </w:tr>
      <w:tr w:rsidR="00D14D69" w:rsidRPr="00893D5B" w14:paraId="57805321" w14:textId="77777777" w:rsidTr="00BE7D17">
        <w:trPr>
          <w:cantSplit/>
          <w:trHeight w:hRule="exact" w:val="907"/>
        </w:trPr>
        <w:tc>
          <w:tcPr>
            <w:tcW w:w="1289" w:type="dxa"/>
            <w:shd w:val="clear" w:color="auto" w:fill="FFFFFF"/>
            <w:vAlign w:val="center"/>
          </w:tcPr>
          <w:p w14:paraId="6F48E70B" w14:textId="77777777" w:rsidR="00D14D69" w:rsidRPr="00893D5B" w:rsidRDefault="00D14D69" w:rsidP="00BE7D17">
            <w:pPr>
              <w:spacing w:after="360" w:line="320" w:lineRule="atLeast"/>
              <w:ind w:right="60"/>
              <w:rPr>
                <w:rFonts w:cs="Arial"/>
              </w:rPr>
            </w:pPr>
          </w:p>
        </w:tc>
        <w:tc>
          <w:tcPr>
            <w:tcW w:w="2667" w:type="dxa"/>
            <w:shd w:val="clear" w:color="auto" w:fill="FFFFFF"/>
            <w:vAlign w:val="center"/>
          </w:tcPr>
          <w:p w14:paraId="5AD4868F" w14:textId="77777777" w:rsidR="00D14D69" w:rsidRPr="00893D5B" w:rsidRDefault="00D14D69" w:rsidP="00BE7D17">
            <w:pPr>
              <w:spacing w:after="360" w:line="320" w:lineRule="atLeast"/>
              <w:ind w:right="60"/>
              <w:rPr>
                <w:rFonts w:cs="Arial"/>
              </w:rPr>
            </w:pPr>
            <w:r w:rsidRPr="00893D5B">
              <w:rPr>
                <w:rFonts w:cs="Arial"/>
              </w:rPr>
              <w:t>Cognitive Ability</w:t>
            </w:r>
          </w:p>
        </w:tc>
        <w:tc>
          <w:tcPr>
            <w:tcW w:w="829" w:type="dxa"/>
            <w:shd w:val="clear" w:color="auto" w:fill="FFFFFF"/>
            <w:vAlign w:val="center"/>
          </w:tcPr>
          <w:p w14:paraId="263AF5A4" w14:textId="1C0E7548" w:rsidR="00D14D69" w:rsidRPr="00B5543D" w:rsidRDefault="00D14D69" w:rsidP="00BE7D17">
            <w:pPr>
              <w:spacing w:after="360" w:line="320" w:lineRule="atLeast"/>
              <w:ind w:left="60" w:right="60"/>
              <w:rPr>
                <w:rFonts w:cs="Arial"/>
              </w:rPr>
            </w:pPr>
            <w:r>
              <w:rPr>
                <w:rFonts w:cs="Arial"/>
              </w:rPr>
              <w:t>0.04</w:t>
            </w:r>
          </w:p>
        </w:tc>
        <w:tc>
          <w:tcPr>
            <w:tcW w:w="829" w:type="dxa"/>
            <w:shd w:val="clear" w:color="auto" w:fill="FFFFFF"/>
            <w:vAlign w:val="center"/>
          </w:tcPr>
          <w:p w14:paraId="3EEE5850" w14:textId="72406D1E" w:rsidR="00D14D69" w:rsidRPr="00B5543D" w:rsidRDefault="00D14D69" w:rsidP="00BE7D17">
            <w:pPr>
              <w:spacing w:after="360" w:line="320" w:lineRule="atLeast"/>
              <w:ind w:left="60" w:right="60"/>
              <w:rPr>
                <w:rFonts w:cs="Arial"/>
              </w:rPr>
            </w:pPr>
            <w:r>
              <w:rPr>
                <w:rFonts w:cs="Arial"/>
              </w:rPr>
              <w:t>0.04</w:t>
            </w:r>
          </w:p>
        </w:tc>
        <w:tc>
          <w:tcPr>
            <w:tcW w:w="829" w:type="dxa"/>
            <w:shd w:val="clear" w:color="auto" w:fill="FFFFFF"/>
            <w:vAlign w:val="center"/>
          </w:tcPr>
          <w:p w14:paraId="58BED6B1" w14:textId="210F724C" w:rsidR="00D14D69" w:rsidRPr="00B5543D" w:rsidRDefault="00D14D69" w:rsidP="00BE7D17">
            <w:pPr>
              <w:spacing w:after="360" w:line="320" w:lineRule="atLeast"/>
              <w:ind w:left="60" w:right="60"/>
              <w:rPr>
                <w:rFonts w:cs="Arial"/>
              </w:rPr>
            </w:pPr>
            <w:r w:rsidRPr="00CD10CE">
              <w:rPr>
                <w:rFonts w:cs="Arial"/>
              </w:rPr>
              <w:t xml:space="preserve"> </w:t>
            </w:r>
            <w:r>
              <w:rPr>
                <w:rFonts w:cs="Arial"/>
              </w:rPr>
              <w:t>0.69</w:t>
            </w:r>
          </w:p>
        </w:tc>
        <w:tc>
          <w:tcPr>
            <w:tcW w:w="829" w:type="dxa"/>
            <w:shd w:val="clear" w:color="auto" w:fill="FFFFFF"/>
            <w:vAlign w:val="center"/>
          </w:tcPr>
          <w:p w14:paraId="2C3F3824" w14:textId="74D1E921" w:rsidR="00D14D69" w:rsidRPr="00B5543D" w:rsidRDefault="00D14D69" w:rsidP="00BE7D17">
            <w:pPr>
              <w:spacing w:after="360" w:line="320" w:lineRule="atLeast"/>
              <w:ind w:left="60" w:right="60"/>
              <w:rPr>
                <w:rFonts w:cs="Arial"/>
              </w:rPr>
            </w:pPr>
            <w:r w:rsidRPr="00CD10CE">
              <w:rPr>
                <w:rFonts w:cs="Arial"/>
              </w:rPr>
              <w:t>1</w:t>
            </w:r>
          </w:p>
        </w:tc>
        <w:tc>
          <w:tcPr>
            <w:tcW w:w="829" w:type="dxa"/>
            <w:shd w:val="clear" w:color="auto" w:fill="FFFFFF"/>
            <w:vAlign w:val="center"/>
          </w:tcPr>
          <w:p w14:paraId="10598FE1" w14:textId="2276EEB1" w:rsidR="00D14D69" w:rsidRPr="00B5543D" w:rsidRDefault="00D14D69" w:rsidP="00BE7D17">
            <w:pPr>
              <w:spacing w:after="360" w:line="320" w:lineRule="atLeast"/>
              <w:ind w:left="60" w:right="60"/>
              <w:rPr>
                <w:rFonts w:cs="Arial"/>
              </w:rPr>
            </w:pPr>
            <w:r>
              <w:rPr>
                <w:rFonts w:cs="Arial"/>
              </w:rPr>
              <w:t>.408</w:t>
            </w:r>
          </w:p>
        </w:tc>
        <w:tc>
          <w:tcPr>
            <w:tcW w:w="830" w:type="dxa"/>
            <w:shd w:val="clear" w:color="auto" w:fill="FFFFFF"/>
            <w:vAlign w:val="center"/>
          </w:tcPr>
          <w:p w14:paraId="56F15333" w14:textId="3CB1B78A" w:rsidR="00D14D69" w:rsidRPr="00B5543D" w:rsidRDefault="00D14D69" w:rsidP="00BE7D17">
            <w:pPr>
              <w:spacing w:after="360" w:line="320" w:lineRule="atLeast"/>
              <w:ind w:left="60" w:right="60"/>
              <w:rPr>
                <w:rFonts w:cs="Arial"/>
              </w:rPr>
            </w:pPr>
            <w:r>
              <w:rPr>
                <w:rFonts w:cs="Arial"/>
              </w:rPr>
              <w:t>1.04</w:t>
            </w:r>
          </w:p>
        </w:tc>
        <w:tc>
          <w:tcPr>
            <w:tcW w:w="1856" w:type="dxa"/>
            <w:shd w:val="clear" w:color="auto" w:fill="FFFFFF"/>
            <w:vAlign w:val="center"/>
          </w:tcPr>
          <w:p w14:paraId="0311A8AB" w14:textId="546443C2" w:rsidR="00D14D69" w:rsidRPr="00B5543D" w:rsidRDefault="00D14D69" w:rsidP="00BE7D17">
            <w:pPr>
              <w:spacing w:after="360" w:line="320" w:lineRule="atLeast"/>
              <w:ind w:left="60" w:right="60"/>
              <w:rPr>
                <w:rFonts w:cs="Arial"/>
              </w:rPr>
            </w:pPr>
            <w:r>
              <w:rPr>
                <w:rFonts w:cs="Arial"/>
              </w:rPr>
              <w:t>[0.95, 1.12</w:t>
            </w:r>
            <w:r w:rsidRPr="00CD10CE">
              <w:rPr>
                <w:rFonts w:cs="Arial"/>
              </w:rPr>
              <w:t>]</w:t>
            </w:r>
          </w:p>
        </w:tc>
      </w:tr>
      <w:tr w:rsidR="00D14D69" w:rsidRPr="00893D5B" w14:paraId="08F4CEE9" w14:textId="77777777" w:rsidTr="00BE7D17">
        <w:trPr>
          <w:cantSplit/>
          <w:trHeight w:hRule="exact" w:val="782"/>
        </w:trPr>
        <w:tc>
          <w:tcPr>
            <w:tcW w:w="1289" w:type="dxa"/>
            <w:shd w:val="clear" w:color="auto" w:fill="FFFFFF"/>
            <w:vAlign w:val="center"/>
          </w:tcPr>
          <w:p w14:paraId="7101FCDE" w14:textId="77777777" w:rsidR="00D14D69" w:rsidRPr="00893D5B" w:rsidRDefault="00D14D69" w:rsidP="00BE7D17">
            <w:pPr>
              <w:spacing w:after="360" w:line="320" w:lineRule="atLeast"/>
              <w:ind w:right="60"/>
              <w:rPr>
                <w:rFonts w:cs="Arial"/>
              </w:rPr>
            </w:pPr>
          </w:p>
        </w:tc>
        <w:tc>
          <w:tcPr>
            <w:tcW w:w="2667" w:type="dxa"/>
            <w:shd w:val="clear" w:color="auto" w:fill="FFFFFF"/>
            <w:vAlign w:val="center"/>
          </w:tcPr>
          <w:p w14:paraId="744EC65C" w14:textId="5513C78A" w:rsidR="00D14D69" w:rsidRPr="00893D5B" w:rsidRDefault="00D14D69" w:rsidP="00BE7D17">
            <w:pPr>
              <w:spacing w:after="360" w:line="320" w:lineRule="atLeast"/>
              <w:ind w:right="60"/>
              <w:rPr>
                <w:rFonts w:cs="Arial"/>
              </w:rPr>
            </w:pPr>
            <w:r w:rsidRPr="00893D5B">
              <w:rPr>
                <w:rFonts w:cs="Arial"/>
              </w:rPr>
              <w:t>Ideological Congruency x Cognitive Ability</w:t>
            </w:r>
          </w:p>
        </w:tc>
        <w:tc>
          <w:tcPr>
            <w:tcW w:w="829" w:type="dxa"/>
            <w:shd w:val="clear" w:color="auto" w:fill="FFFFFF"/>
            <w:vAlign w:val="center"/>
          </w:tcPr>
          <w:p w14:paraId="0D1C9F0D" w14:textId="796B567F" w:rsidR="00D14D69" w:rsidRPr="00893D5B" w:rsidRDefault="00D14D69" w:rsidP="00BE7D17">
            <w:pPr>
              <w:spacing w:after="360" w:line="320" w:lineRule="atLeast"/>
              <w:ind w:left="60" w:right="60"/>
              <w:rPr>
                <w:rFonts w:cs="Arial"/>
              </w:rPr>
            </w:pPr>
            <w:r w:rsidRPr="00CD10CE">
              <w:rPr>
                <w:rFonts w:cs="Arial"/>
              </w:rPr>
              <w:t>0.1</w:t>
            </w:r>
            <w:r>
              <w:rPr>
                <w:rFonts w:cs="Arial"/>
              </w:rPr>
              <w:t>7</w:t>
            </w:r>
          </w:p>
        </w:tc>
        <w:tc>
          <w:tcPr>
            <w:tcW w:w="829" w:type="dxa"/>
            <w:shd w:val="clear" w:color="auto" w:fill="FFFFFF"/>
            <w:vAlign w:val="center"/>
          </w:tcPr>
          <w:p w14:paraId="1E0E714B" w14:textId="74F9260B" w:rsidR="00D14D69" w:rsidRPr="00893D5B" w:rsidRDefault="00D14D69" w:rsidP="00BE7D17">
            <w:pPr>
              <w:spacing w:after="360" w:line="320" w:lineRule="atLeast"/>
              <w:ind w:left="60" w:right="60"/>
              <w:rPr>
                <w:rFonts w:cs="Arial"/>
              </w:rPr>
            </w:pPr>
            <w:r w:rsidRPr="00CD10CE">
              <w:rPr>
                <w:rFonts w:cs="Arial"/>
              </w:rPr>
              <w:t>0.06</w:t>
            </w:r>
          </w:p>
        </w:tc>
        <w:tc>
          <w:tcPr>
            <w:tcW w:w="829" w:type="dxa"/>
            <w:shd w:val="clear" w:color="auto" w:fill="FFFFFF"/>
            <w:vAlign w:val="center"/>
          </w:tcPr>
          <w:p w14:paraId="2B1D0D3C" w14:textId="3AB56885" w:rsidR="00D14D69" w:rsidRPr="00893D5B" w:rsidRDefault="00D14D69" w:rsidP="00BE7D17">
            <w:pPr>
              <w:spacing w:after="360" w:line="320" w:lineRule="atLeast"/>
              <w:ind w:left="60" w:right="60"/>
              <w:rPr>
                <w:rFonts w:cs="Arial"/>
              </w:rPr>
            </w:pPr>
            <w:r>
              <w:rPr>
                <w:rFonts w:cs="Arial"/>
              </w:rPr>
              <w:t>9.01</w:t>
            </w:r>
          </w:p>
        </w:tc>
        <w:tc>
          <w:tcPr>
            <w:tcW w:w="829" w:type="dxa"/>
            <w:shd w:val="clear" w:color="auto" w:fill="FFFFFF"/>
            <w:vAlign w:val="center"/>
          </w:tcPr>
          <w:p w14:paraId="1491791D" w14:textId="702A53FD" w:rsidR="00D14D69" w:rsidRPr="00893D5B" w:rsidRDefault="00D14D69" w:rsidP="00BE7D17">
            <w:pPr>
              <w:spacing w:before="120" w:after="360" w:line="320" w:lineRule="atLeast"/>
              <w:ind w:left="60" w:right="60"/>
              <w:rPr>
                <w:rFonts w:cs="Arial"/>
              </w:rPr>
            </w:pPr>
            <w:r w:rsidRPr="00CD10CE">
              <w:rPr>
                <w:rFonts w:cs="Arial"/>
              </w:rPr>
              <w:t>1</w:t>
            </w:r>
          </w:p>
        </w:tc>
        <w:tc>
          <w:tcPr>
            <w:tcW w:w="829" w:type="dxa"/>
            <w:shd w:val="clear" w:color="auto" w:fill="FFFFFF"/>
            <w:vAlign w:val="center"/>
          </w:tcPr>
          <w:p w14:paraId="2BDFF77F" w14:textId="457E5D5C" w:rsidR="00D14D69" w:rsidRPr="00893D5B" w:rsidRDefault="00D14D69" w:rsidP="00BE7D17">
            <w:pPr>
              <w:spacing w:after="360" w:line="320" w:lineRule="atLeast"/>
              <w:ind w:left="60" w:right="60"/>
              <w:rPr>
                <w:rFonts w:cs="Arial"/>
                <w:b/>
              </w:rPr>
            </w:pPr>
            <w:r>
              <w:rPr>
                <w:rFonts w:cs="Arial"/>
                <w:b/>
              </w:rPr>
              <w:t>.003</w:t>
            </w:r>
          </w:p>
        </w:tc>
        <w:tc>
          <w:tcPr>
            <w:tcW w:w="830" w:type="dxa"/>
            <w:shd w:val="clear" w:color="auto" w:fill="FFFFFF"/>
            <w:vAlign w:val="center"/>
          </w:tcPr>
          <w:p w14:paraId="4A269230" w14:textId="23FBCD5A" w:rsidR="00D14D69" w:rsidRPr="00893D5B" w:rsidRDefault="00D14D69" w:rsidP="00BE7D17">
            <w:pPr>
              <w:spacing w:after="360" w:line="320" w:lineRule="atLeast"/>
              <w:ind w:left="60" w:right="60"/>
              <w:rPr>
                <w:rFonts w:cs="Arial"/>
                <w:b/>
              </w:rPr>
            </w:pPr>
            <w:r>
              <w:rPr>
                <w:rFonts w:cs="Arial"/>
                <w:b/>
              </w:rPr>
              <w:t>1.19</w:t>
            </w:r>
          </w:p>
        </w:tc>
        <w:tc>
          <w:tcPr>
            <w:tcW w:w="1856" w:type="dxa"/>
            <w:shd w:val="clear" w:color="auto" w:fill="FFFFFF"/>
            <w:vAlign w:val="center"/>
          </w:tcPr>
          <w:p w14:paraId="44C3071D" w14:textId="74DCFF73" w:rsidR="00D14D69" w:rsidRPr="00893D5B" w:rsidRDefault="00D14D69" w:rsidP="00BE7D17">
            <w:pPr>
              <w:spacing w:after="360" w:line="320" w:lineRule="atLeast"/>
              <w:ind w:left="60" w:right="60"/>
              <w:rPr>
                <w:rFonts w:cs="Arial"/>
              </w:rPr>
            </w:pPr>
            <w:r>
              <w:rPr>
                <w:rFonts w:cs="Arial"/>
              </w:rPr>
              <w:t>[1.06, 1.33</w:t>
            </w:r>
            <w:r w:rsidRPr="00CD10CE">
              <w:rPr>
                <w:rFonts w:cs="Arial"/>
              </w:rPr>
              <w:t>]</w:t>
            </w:r>
          </w:p>
        </w:tc>
      </w:tr>
      <w:tr w:rsidR="00D14D69" w:rsidRPr="00893D5B" w14:paraId="3EB672A6" w14:textId="77777777" w:rsidTr="00BE7D17">
        <w:trPr>
          <w:cantSplit/>
          <w:trHeight w:hRule="exact" w:val="907"/>
        </w:trPr>
        <w:tc>
          <w:tcPr>
            <w:tcW w:w="1289" w:type="dxa"/>
            <w:tcBorders>
              <w:bottom w:val="single" w:sz="4" w:space="0" w:color="auto"/>
            </w:tcBorders>
            <w:shd w:val="clear" w:color="auto" w:fill="FFFFFF"/>
            <w:vAlign w:val="center"/>
          </w:tcPr>
          <w:p w14:paraId="32B27F49" w14:textId="77777777" w:rsidR="00D14D69" w:rsidRPr="00893D5B" w:rsidRDefault="00D14D69" w:rsidP="00BE7D17">
            <w:pPr>
              <w:spacing w:after="360" w:line="320" w:lineRule="atLeast"/>
              <w:ind w:right="60"/>
              <w:rPr>
                <w:rFonts w:cs="Arial"/>
              </w:rPr>
            </w:pPr>
          </w:p>
        </w:tc>
        <w:tc>
          <w:tcPr>
            <w:tcW w:w="2667" w:type="dxa"/>
            <w:tcBorders>
              <w:bottom w:val="single" w:sz="4" w:space="0" w:color="auto"/>
            </w:tcBorders>
            <w:shd w:val="clear" w:color="auto" w:fill="FFFFFF"/>
            <w:vAlign w:val="center"/>
          </w:tcPr>
          <w:p w14:paraId="04C9E7AB" w14:textId="77777777" w:rsidR="00D14D69" w:rsidRPr="00893D5B" w:rsidRDefault="00D14D69" w:rsidP="00BE7D17">
            <w:pPr>
              <w:spacing w:after="360" w:line="320" w:lineRule="atLeast"/>
              <w:ind w:right="60"/>
              <w:rPr>
                <w:rFonts w:cs="Arial"/>
              </w:rPr>
            </w:pPr>
            <w:r w:rsidRPr="00893D5B">
              <w:rPr>
                <w:rFonts w:cs="Arial"/>
              </w:rPr>
              <w:t>Constant</w:t>
            </w:r>
          </w:p>
        </w:tc>
        <w:tc>
          <w:tcPr>
            <w:tcW w:w="829" w:type="dxa"/>
            <w:tcBorders>
              <w:bottom w:val="single" w:sz="4" w:space="0" w:color="auto"/>
            </w:tcBorders>
            <w:shd w:val="clear" w:color="auto" w:fill="FFFFFF"/>
            <w:vAlign w:val="center"/>
          </w:tcPr>
          <w:p w14:paraId="50C93DEC" w14:textId="1011B9B9" w:rsidR="00D14D69" w:rsidRPr="00893D5B" w:rsidRDefault="00D14D69" w:rsidP="00BE7D17">
            <w:pPr>
              <w:spacing w:after="360" w:line="320" w:lineRule="atLeast"/>
              <w:ind w:left="60" w:right="60"/>
              <w:rPr>
                <w:rFonts w:cs="Arial"/>
              </w:rPr>
            </w:pPr>
            <w:r>
              <w:rPr>
                <w:rFonts w:cs="Arial"/>
              </w:rPr>
              <w:t>0.51</w:t>
            </w:r>
          </w:p>
        </w:tc>
        <w:tc>
          <w:tcPr>
            <w:tcW w:w="829" w:type="dxa"/>
            <w:tcBorders>
              <w:bottom w:val="single" w:sz="4" w:space="0" w:color="auto"/>
            </w:tcBorders>
            <w:shd w:val="clear" w:color="auto" w:fill="FFFFFF"/>
            <w:vAlign w:val="center"/>
          </w:tcPr>
          <w:p w14:paraId="5359666B" w14:textId="36D0008B" w:rsidR="00D14D69" w:rsidRPr="00893D5B" w:rsidRDefault="00D14D69" w:rsidP="00BE7D17">
            <w:pPr>
              <w:spacing w:after="360" w:line="320" w:lineRule="atLeast"/>
              <w:ind w:left="60" w:right="60"/>
              <w:rPr>
                <w:rFonts w:cs="Arial"/>
              </w:rPr>
            </w:pPr>
            <w:r>
              <w:rPr>
                <w:rFonts w:cs="Arial"/>
              </w:rPr>
              <w:t>0.32</w:t>
            </w:r>
          </w:p>
        </w:tc>
        <w:tc>
          <w:tcPr>
            <w:tcW w:w="829" w:type="dxa"/>
            <w:tcBorders>
              <w:bottom w:val="single" w:sz="4" w:space="0" w:color="auto"/>
            </w:tcBorders>
            <w:shd w:val="clear" w:color="auto" w:fill="FFFFFF"/>
            <w:vAlign w:val="center"/>
          </w:tcPr>
          <w:p w14:paraId="27BAEEFD" w14:textId="0F884A45" w:rsidR="00D14D69" w:rsidRPr="00893D5B" w:rsidRDefault="00D14D69" w:rsidP="00BE7D17">
            <w:pPr>
              <w:spacing w:after="360" w:line="320" w:lineRule="atLeast"/>
              <w:ind w:left="60" w:right="60"/>
              <w:rPr>
                <w:rFonts w:cs="Arial"/>
              </w:rPr>
            </w:pPr>
            <w:r>
              <w:rPr>
                <w:rFonts w:cs="Arial"/>
              </w:rPr>
              <w:t>2.51</w:t>
            </w:r>
          </w:p>
        </w:tc>
        <w:tc>
          <w:tcPr>
            <w:tcW w:w="829" w:type="dxa"/>
            <w:tcBorders>
              <w:bottom w:val="single" w:sz="4" w:space="0" w:color="auto"/>
            </w:tcBorders>
            <w:shd w:val="clear" w:color="auto" w:fill="FFFFFF"/>
            <w:vAlign w:val="center"/>
          </w:tcPr>
          <w:p w14:paraId="496F2AC3" w14:textId="6738644B" w:rsidR="00D14D69" w:rsidRPr="00893D5B" w:rsidRDefault="00D14D69" w:rsidP="00BE7D17">
            <w:pPr>
              <w:spacing w:after="360" w:line="320" w:lineRule="atLeast"/>
              <w:ind w:left="60" w:right="60"/>
              <w:rPr>
                <w:rFonts w:cs="Arial"/>
              </w:rPr>
            </w:pPr>
            <w:r w:rsidRPr="00CD10CE">
              <w:rPr>
                <w:rFonts w:cs="Arial"/>
              </w:rPr>
              <w:t>1</w:t>
            </w:r>
          </w:p>
        </w:tc>
        <w:tc>
          <w:tcPr>
            <w:tcW w:w="829" w:type="dxa"/>
            <w:tcBorders>
              <w:bottom w:val="single" w:sz="4" w:space="0" w:color="auto"/>
            </w:tcBorders>
            <w:shd w:val="clear" w:color="auto" w:fill="FFFFFF"/>
            <w:vAlign w:val="center"/>
          </w:tcPr>
          <w:p w14:paraId="48C86649" w14:textId="5057B106" w:rsidR="00D14D69" w:rsidRPr="00893D5B" w:rsidRDefault="00D14D69" w:rsidP="00BE7D17">
            <w:pPr>
              <w:spacing w:after="360" w:line="320" w:lineRule="atLeast"/>
              <w:ind w:left="60" w:right="60"/>
              <w:rPr>
                <w:rFonts w:cs="Arial"/>
              </w:rPr>
            </w:pPr>
            <w:r>
              <w:rPr>
                <w:rFonts w:cs="Arial"/>
              </w:rPr>
              <w:t>.113</w:t>
            </w:r>
          </w:p>
        </w:tc>
        <w:tc>
          <w:tcPr>
            <w:tcW w:w="830" w:type="dxa"/>
            <w:tcBorders>
              <w:bottom w:val="single" w:sz="4" w:space="0" w:color="auto"/>
            </w:tcBorders>
            <w:shd w:val="clear" w:color="auto" w:fill="FFFFFF"/>
            <w:vAlign w:val="center"/>
          </w:tcPr>
          <w:p w14:paraId="4B08EA7E" w14:textId="5CEAB547" w:rsidR="00D14D69" w:rsidRPr="00893D5B" w:rsidRDefault="00D14D69" w:rsidP="00BE7D17">
            <w:pPr>
              <w:spacing w:after="360" w:line="320" w:lineRule="atLeast"/>
              <w:ind w:left="60" w:right="60"/>
              <w:rPr>
                <w:rFonts w:cs="Arial"/>
              </w:rPr>
            </w:pPr>
            <w:r>
              <w:rPr>
                <w:rFonts w:cs="Arial"/>
              </w:rPr>
              <w:t>1.66</w:t>
            </w:r>
          </w:p>
        </w:tc>
        <w:tc>
          <w:tcPr>
            <w:tcW w:w="1856" w:type="dxa"/>
            <w:tcBorders>
              <w:bottom w:val="single" w:sz="4" w:space="0" w:color="auto"/>
            </w:tcBorders>
            <w:shd w:val="clear" w:color="auto" w:fill="FFFFFF"/>
            <w:vAlign w:val="center"/>
          </w:tcPr>
          <w:p w14:paraId="3018B3CC" w14:textId="015496C2" w:rsidR="00D14D69" w:rsidRPr="00893D5B" w:rsidRDefault="009C1A7B" w:rsidP="009C1A7B">
            <w:pPr>
              <w:spacing w:after="360" w:line="320" w:lineRule="atLeast"/>
              <w:ind w:left="60" w:right="60"/>
              <w:rPr>
                <w:rFonts w:cs="Arial"/>
              </w:rPr>
            </w:pPr>
            <w:r>
              <w:rPr>
                <w:rFonts w:cs="Arial"/>
              </w:rPr>
              <w:t xml:space="preserve">        </w:t>
            </w:r>
            <w:r w:rsidR="00D14D69" w:rsidRPr="00CD10CE">
              <w:rPr>
                <w:rFonts w:cs="Arial"/>
              </w:rPr>
              <w:t>-</w:t>
            </w:r>
          </w:p>
        </w:tc>
      </w:tr>
    </w:tbl>
    <w:p w14:paraId="6A4F27C4" w14:textId="77777777" w:rsidR="002D4AD3" w:rsidRDefault="002D4AD3" w:rsidP="00F0538B">
      <w:pPr>
        <w:spacing w:line="480" w:lineRule="auto"/>
      </w:pPr>
    </w:p>
    <w:p w14:paraId="74106662" w14:textId="77777777" w:rsidR="00A0409E" w:rsidRPr="00EB3BAF" w:rsidRDefault="00A0409E" w:rsidP="00F0538B">
      <w:pPr>
        <w:spacing w:line="480" w:lineRule="auto"/>
      </w:pPr>
    </w:p>
    <w:bookmarkEnd w:id="1"/>
    <w:p w14:paraId="45FF60C6" w14:textId="6974FFF6" w:rsidR="008246C4" w:rsidRPr="00733A57" w:rsidRDefault="005528AD" w:rsidP="00B5229A">
      <w:pPr>
        <w:spacing w:line="480" w:lineRule="auto"/>
        <w:jc w:val="center"/>
        <w:outlineLvl w:val="0"/>
        <w:rPr>
          <w:b/>
        </w:rPr>
      </w:pPr>
      <w:r w:rsidRPr="00733A57">
        <w:rPr>
          <w:b/>
        </w:rPr>
        <w:t>Discussion</w:t>
      </w:r>
    </w:p>
    <w:p w14:paraId="0C5B1B6F" w14:textId="78DEE389" w:rsidR="00BC05FB" w:rsidRDefault="00625ADE" w:rsidP="00B30253">
      <w:pPr>
        <w:spacing w:line="480" w:lineRule="auto"/>
        <w:ind w:firstLine="720"/>
      </w:pPr>
      <w:r>
        <w:t xml:space="preserve">The current study is one of the largest false memory experiments to date, with a sample equating to one in every </w:t>
      </w:r>
      <w:r w:rsidR="00AA2A99">
        <w:t>thousand</w:t>
      </w:r>
      <w:r>
        <w:t xml:space="preserve"> registered voters in the Republic of Ireland. </w:t>
      </w:r>
      <w:r w:rsidR="006D4002">
        <w:t>The findings demonstrate</w:t>
      </w:r>
      <w:r w:rsidR="000A7C89">
        <w:t xml:space="preserve"> the ease with which memories </w:t>
      </w:r>
      <w:r w:rsidR="002E0592">
        <w:t xml:space="preserve">for </w:t>
      </w:r>
      <w:r w:rsidR="002E0592" w:rsidRPr="000373AE">
        <w:t xml:space="preserve">fabricated scandals </w:t>
      </w:r>
      <w:r w:rsidR="000A7C89" w:rsidRPr="000373AE">
        <w:t>can be created</w:t>
      </w:r>
      <w:r w:rsidR="002E0592" w:rsidRPr="000373AE">
        <w:t xml:space="preserve"> during</w:t>
      </w:r>
      <w:r w:rsidR="002A7F3B" w:rsidRPr="000373AE">
        <w:t xml:space="preserve"> emotional,</w:t>
      </w:r>
      <w:r w:rsidR="001C146F" w:rsidRPr="000373AE">
        <w:t xml:space="preserve"> highly-</w:t>
      </w:r>
      <w:r w:rsidR="00FB7478" w:rsidRPr="000373AE">
        <w:t xml:space="preserve">consequential political </w:t>
      </w:r>
      <w:r w:rsidR="002E0592" w:rsidRPr="000373AE">
        <w:t>campaign</w:t>
      </w:r>
      <w:r w:rsidR="00FB7478" w:rsidRPr="000373AE">
        <w:t>s</w:t>
      </w:r>
      <w:r w:rsidR="000A7C89" w:rsidRPr="000373AE">
        <w:t xml:space="preserve">, with almost half of participants reporting a </w:t>
      </w:r>
      <w:r w:rsidR="00662897" w:rsidRPr="000373AE">
        <w:t xml:space="preserve">false </w:t>
      </w:r>
      <w:r w:rsidR="000A7C89" w:rsidRPr="000373AE">
        <w:t>memory</w:t>
      </w:r>
      <w:r w:rsidR="00662897" w:rsidRPr="000373AE">
        <w:t xml:space="preserve">. </w:t>
      </w:r>
      <w:r w:rsidR="000A7C89" w:rsidRPr="000373AE">
        <w:t>The qualitative responses suggest</w:t>
      </w:r>
      <w:r w:rsidR="000A7C89">
        <w:t xml:space="preserve"> that some participants created rich false memories, reporting </w:t>
      </w:r>
      <w:r w:rsidR="00CE7E35">
        <w:t xml:space="preserve">novel </w:t>
      </w:r>
      <w:r w:rsidR="000A7C89">
        <w:t>details (e.g. that the illegal posters were ‘burned’). Participants were relatively poor at identifying the fake stories even after they had been aler</w:t>
      </w:r>
      <w:r w:rsidR="001A0DB8">
        <w:t xml:space="preserve">ted to the </w:t>
      </w:r>
      <w:r w:rsidR="00FB41DA">
        <w:t>study’s purpose,</w:t>
      </w:r>
      <w:r w:rsidR="001A0DB8">
        <w:t xml:space="preserve"> further underscoring the strength of these easily-created false memories.</w:t>
      </w:r>
    </w:p>
    <w:p w14:paraId="3F83AFF0" w14:textId="1B11E8ED" w:rsidR="000C0D3A" w:rsidRPr="00DF754F" w:rsidRDefault="00EA59A3" w:rsidP="008B054D">
      <w:pPr>
        <w:spacing w:line="480" w:lineRule="auto"/>
      </w:pPr>
      <w:r>
        <w:tab/>
      </w:r>
      <w:r w:rsidR="0064138F">
        <w:t xml:space="preserve">As hypothesized, political </w:t>
      </w:r>
      <w:r w:rsidR="0064138F" w:rsidRPr="00DF754F">
        <w:t xml:space="preserve">orientation impacted false memories, with Yes voters more likely to remember the No poster scandal than No voters, and vice-versa. The current study is the first to demonstrate this during a real campaign. </w:t>
      </w:r>
      <w:r w:rsidR="00512A40" w:rsidRPr="00DF754F">
        <w:t xml:space="preserve">A novel contribution of this study is the use of identical stories for both sides, reducing concerns </w:t>
      </w:r>
      <w:r w:rsidR="000C0D3A" w:rsidRPr="00DF754F">
        <w:t>about matching story complexity</w:t>
      </w:r>
      <w:r w:rsidR="00402BC9" w:rsidRPr="00DF754F">
        <w:t xml:space="preserve">. </w:t>
      </w:r>
      <w:r w:rsidR="00D760C1" w:rsidRPr="00DF754F">
        <w:t>However, the data suggests that Y</w:t>
      </w:r>
      <w:r w:rsidR="00A40907" w:rsidRPr="00DF754F">
        <w:t xml:space="preserve">es voters were especially likely to remember </w:t>
      </w:r>
      <w:r w:rsidR="00D760C1" w:rsidRPr="00DF754F">
        <w:t>the fabricated No poster story. W</w:t>
      </w:r>
      <w:r w:rsidR="00A40907" w:rsidRPr="00DF754F">
        <w:t xml:space="preserve">e don’t believe that this is indicative of any difference </w:t>
      </w:r>
      <w:r w:rsidR="000C0D3A" w:rsidRPr="00DF754F">
        <w:t xml:space="preserve">in gullibility </w:t>
      </w:r>
      <w:r w:rsidR="00A40907" w:rsidRPr="00DF754F">
        <w:t xml:space="preserve">between voting groups, </w:t>
      </w:r>
      <w:r w:rsidR="00070DF8" w:rsidRPr="00DF754F">
        <w:t xml:space="preserve">especially in light of the fact that no difference in cognitive ability was observed between Yes and No voters, </w:t>
      </w:r>
      <w:r w:rsidR="00A40907" w:rsidRPr="00DF754F">
        <w:t>but rather that the</w:t>
      </w:r>
      <w:r w:rsidR="002631D4" w:rsidRPr="00DF754F">
        <w:t xml:space="preserve"> pos</w:t>
      </w:r>
      <w:r w:rsidR="00613A5E" w:rsidRPr="00DF754F">
        <w:t xml:space="preserve">ter story </w:t>
      </w:r>
      <w:r w:rsidR="00A40907" w:rsidRPr="00DF754F">
        <w:t xml:space="preserve">was more </w:t>
      </w:r>
      <w:r w:rsidR="007F1F89" w:rsidRPr="00DF754F">
        <w:t>easily attributable to the No campaign</w:t>
      </w:r>
      <w:r w:rsidR="00A40907" w:rsidRPr="00DF754F">
        <w:t>. This is likely due to the fact that</w:t>
      </w:r>
      <w:r w:rsidR="008B73B2" w:rsidRPr="00DF754F">
        <w:t xml:space="preserve"> foreign-funding accusations were more </w:t>
      </w:r>
      <w:r w:rsidR="0033392E" w:rsidRPr="00DF754F">
        <w:t xml:space="preserve">common </w:t>
      </w:r>
      <w:r w:rsidR="008B73B2" w:rsidRPr="00DF754F">
        <w:t>for the No campaign</w:t>
      </w:r>
      <w:r w:rsidR="00FA333D" w:rsidRPr="00DF754F">
        <w:t xml:space="preserve"> </w:t>
      </w:r>
      <w:r w:rsidR="002631D4" w:rsidRPr="00DF754F">
        <w:t xml:space="preserve">(Graham-Harrison, 2018). </w:t>
      </w:r>
    </w:p>
    <w:p w14:paraId="52E4FDC6" w14:textId="7C530D8F" w:rsidR="00B12FEF" w:rsidRPr="00DF754F" w:rsidRDefault="002D4D88" w:rsidP="001A6FCA">
      <w:pPr>
        <w:spacing w:line="480" w:lineRule="auto"/>
        <w:ind w:firstLine="720"/>
      </w:pPr>
      <w:r w:rsidRPr="00DF754F">
        <w:t xml:space="preserve">Importantly, </w:t>
      </w:r>
      <w:r w:rsidR="00C71078" w:rsidRPr="00DF754F">
        <w:t xml:space="preserve">the </w:t>
      </w:r>
      <w:r w:rsidR="00C53F27" w:rsidRPr="00DF754F">
        <w:t>difference between Yes and No voters</w:t>
      </w:r>
      <w:r w:rsidR="00C71078" w:rsidRPr="00DF754F">
        <w:t xml:space="preserve"> </w:t>
      </w:r>
      <w:r w:rsidR="00EA59A3" w:rsidRPr="00DF754F">
        <w:t xml:space="preserve">was evident for the poster story no matter how memories were classified: </w:t>
      </w:r>
      <w:r w:rsidR="001A6FCA" w:rsidRPr="00DF754F">
        <w:t xml:space="preserve">assessing precise memories only or including more general memories and/or beliefs. </w:t>
      </w:r>
      <w:r w:rsidR="00EA59A3" w:rsidRPr="00DF754F">
        <w:t xml:space="preserve">It has been suggested that studies may overestimate false memories by participants </w:t>
      </w:r>
      <w:r w:rsidR="00B251D2" w:rsidRPr="00DF754F">
        <w:t>who</w:t>
      </w:r>
      <w:r w:rsidR="00EA59A3" w:rsidRPr="00DF754F">
        <w:t xml:space="preserve"> simply find </w:t>
      </w:r>
      <w:r w:rsidR="00B251D2" w:rsidRPr="00DF754F">
        <w:t>an event</w:t>
      </w:r>
      <w:r w:rsidR="00EA59A3" w:rsidRPr="00DF754F">
        <w:t xml:space="preserve"> believable (Wade et al., 2018). Here, we clearly distinguish</w:t>
      </w:r>
      <w:r w:rsidRPr="00DF754F">
        <w:t>ed</w:t>
      </w:r>
      <w:r w:rsidR="00EA59A3" w:rsidRPr="002E390E">
        <w:t xml:space="preserve"> between these two possibilities</w:t>
      </w:r>
      <w:r w:rsidR="00934E9B" w:rsidRPr="002E390E">
        <w:t>,</w:t>
      </w:r>
      <w:r w:rsidR="008B054D" w:rsidRPr="002E390E">
        <w:t xml:space="preserve"> and</w:t>
      </w:r>
      <w:r w:rsidR="00EA59A3" w:rsidRPr="002E390E">
        <w:t xml:space="preserve"> even omitting those who merely believed the event occurred,</w:t>
      </w:r>
      <w:r w:rsidR="008B054D" w:rsidRPr="002E390E">
        <w:t xml:space="preserve"> 34</w:t>
      </w:r>
      <w:r w:rsidR="00EA59A3" w:rsidRPr="002E390E">
        <w:t>% of</w:t>
      </w:r>
      <w:r w:rsidR="008B054D" w:rsidRPr="002E390E">
        <w:t xml:space="preserve"> </w:t>
      </w:r>
      <w:r w:rsidR="00EA59A3" w:rsidRPr="002E390E">
        <w:t xml:space="preserve">participants reported false memories </w:t>
      </w:r>
      <w:r w:rsidR="001A6FCA" w:rsidRPr="002E390E">
        <w:t>for</w:t>
      </w:r>
      <w:r w:rsidR="00EA59A3" w:rsidRPr="002E390E">
        <w:t xml:space="preserve"> the illegal posters</w:t>
      </w:r>
      <w:r w:rsidR="00EA59A3" w:rsidRPr="00F147E7">
        <w:t xml:space="preserve">. </w:t>
      </w:r>
      <w:r w:rsidR="00B12FEF" w:rsidRPr="00F147E7">
        <w:t>The sample in the current study were self-selected and likely highly</w:t>
      </w:r>
      <w:r w:rsidR="006B5325">
        <w:t xml:space="preserve"> </w:t>
      </w:r>
      <w:r w:rsidR="00B12FEF" w:rsidRPr="00F147E7">
        <w:t xml:space="preserve">interested in the referendum. As interest in a topic has been shown to increase false memories (O’Connell &amp; Greene, 2017), the </w:t>
      </w:r>
      <w:r w:rsidR="00617A87" w:rsidRPr="00F147E7">
        <w:t xml:space="preserve">observed </w:t>
      </w:r>
      <w:r w:rsidR="00B12FEF" w:rsidRPr="00F147E7">
        <w:t>rate of false mem</w:t>
      </w:r>
      <w:r w:rsidR="00617A87" w:rsidRPr="00F147E7">
        <w:t>ory</w:t>
      </w:r>
      <w:r w:rsidR="00B12FEF" w:rsidRPr="00F147E7">
        <w:t xml:space="preserve"> is </w:t>
      </w:r>
      <w:r w:rsidR="00B12FEF" w:rsidRPr="00DF754F">
        <w:t>likely to be characteristic of groups who a</w:t>
      </w:r>
      <w:r w:rsidR="001A6FCA" w:rsidRPr="00DF754F">
        <w:t xml:space="preserve">re invested in </w:t>
      </w:r>
      <w:r w:rsidR="00B12FEF" w:rsidRPr="00DF754F">
        <w:t>political campaign</w:t>
      </w:r>
      <w:r w:rsidR="001A6FCA" w:rsidRPr="00DF754F">
        <w:t>s</w:t>
      </w:r>
      <w:r w:rsidR="00B12FEF" w:rsidRPr="00DF754F">
        <w:t xml:space="preserve">. </w:t>
      </w:r>
    </w:p>
    <w:p w14:paraId="6C01BB8D" w14:textId="2957724A" w:rsidR="007E66A3" w:rsidRPr="00DF754F" w:rsidRDefault="00F431FC" w:rsidP="00984C9C">
      <w:pPr>
        <w:spacing w:line="480" w:lineRule="auto"/>
      </w:pPr>
      <w:r w:rsidRPr="00DF754F">
        <w:tab/>
      </w:r>
      <w:r w:rsidR="002F766B" w:rsidRPr="00DF754F">
        <w:t>In the final regression model, t</w:t>
      </w:r>
      <w:r w:rsidR="00EA4670" w:rsidRPr="00DF754F">
        <w:t>here was no main effect of cognitive ability, suggesting</w:t>
      </w:r>
      <w:r w:rsidR="001F005F" w:rsidRPr="00DF754F">
        <w:t xml:space="preserve"> that l</w:t>
      </w:r>
      <w:r w:rsidR="007E66A3" w:rsidRPr="00DF754F">
        <w:t xml:space="preserve">ower </w:t>
      </w:r>
      <w:r w:rsidR="00AF7854" w:rsidRPr="00DF754F">
        <w:t>cognitive</w:t>
      </w:r>
      <w:r w:rsidR="007E66A3" w:rsidRPr="00DF754F">
        <w:t xml:space="preserve"> ability d</w:t>
      </w:r>
      <w:r w:rsidR="002D4D88" w:rsidRPr="00DF754F">
        <w:t>id</w:t>
      </w:r>
      <w:r w:rsidR="007E66A3" w:rsidRPr="00DF754F">
        <w:t xml:space="preserve"> not globally increase false memories</w:t>
      </w:r>
      <w:r w:rsidR="00EA4670" w:rsidRPr="00DF754F">
        <w:t>. Instead, l</w:t>
      </w:r>
      <w:r w:rsidR="001F005F" w:rsidRPr="00DF754F">
        <w:t xml:space="preserve">ower cognitive ability </w:t>
      </w:r>
      <w:r w:rsidR="002D4D88" w:rsidRPr="00DF754F">
        <w:t xml:space="preserve">was associated with </w:t>
      </w:r>
      <w:r w:rsidR="007E66A3" w:rsidRPr="00DF754F">
        <w:t xml:space="preserve">an increased </w:t>
      </w:r>
      <w:r w:rsidR="004D7B96" w:rsidRPr="00DF754F">
        <w:t>effect of ideological congruency on</w:t>
      </w:r>
      <w:r w:rsidR="007E66A3" w:rsidRPr="00DF754F">
        <w:t xml:space="preserve"> false </w:t>
      </w:r>
      <w:r w:rsidR="004D7B96" w:rsidRPr="00DF754F">
        <w:t xml:space="preserve">memories. </w:t>
      </w:r>
      <w:r w:rsidR="00724892" w:rsidRPr="00DF754F">
        <w:t>This finding contributes</w:t>
      </w:r>
      <w:r w:rsidR="004D7B96" w:rsidRPr="00DF754F">
        <w:t xml:space="preserve"> to</w:t>
      </w:r>
      <w:r w:rsidR="00724892" w:rsidRPr="00DF754F">
        <w:t xml:space="preserve"> research that has identified </w:t>
      </w:r>
      <w:r w:rsidR="00B12FEF" w:rsidRPr="00DF754F">
        <w:t xml:space="preserve">the </w:t>
      </w:r>
      <w:r w:rsidR="00724892" w:rsidRPr="00DF754F">
        <w:t xml:space="preserve">propensity to engage in analytic thinking as a predictor of </w:t>
      </w:r>
      <w:r w:rsidR="00854B87" w:rsidRPr="00DF754F">
        <w:t xml:space="preserve">resistance to </w:t>
      </w:r>
      <w:r w:rsidR="00027925" w:rsidRPr="00DF754F">
        <w:t>fake news</w:t>
      </w:r>
      <w:r w:rsidR="007E59A6" w:rsidRPr="00DF754F">
        <w:t xml:space="preserve"> (Pennycook &amp; Rand, in press)</w:t>
      </w:r>
      <w:r w:rsidR="000373AE" w:rsidRPr="00DF754F">
        <w:t xml:space="preserve">, but further suggests that higher cognitive ability may allow individuals to overcome the biasing effect of political orientation and more effectively source-monitor their memories. </w:t>
      </w:r>
      <w:r w:rsidR="000C0D3A" w:rsidRPr="00DF754F">
        <w:t xml:space="preserve">This is important in understanding the </w:t>
      </w:r>
      <w:r w:rsidR="0091427D" w:rsidRPr="00DF754F">
        <w:t>role</w:t>
      </w:r>
      <w:r w:rsidR="000C0D3A" w:rsidRPr="00DF754F">
        <w:t xml:space="preserve"> of bias </w:t>
      </w:r>
      <w:r w:rsidR="007F15B5" w:rsidRPr="00DF754F">
        <w:t>in</w:t>
      </w:r>
      <w:r w:rsidR="000C0D3A" w:rsidRPr="00DF754F">
        <w:t xml:space="preserve"> source-monitoring judgments </w:t>
      </w:r>
      <w:r w:rsidR="007F15B5" w:rsidRPr="00DF754F">
        <w:t xml:space="preserve">and </w:t>
      </w:r>
      <w:r w:rsidR="0091427D" w:rsidRPr="00DF754F">
        <w:t>suggest</w:t>
      </w:r>
      <w:r w:rsidR="007F15B5" w:rsidRPr="00DF754F">
        <w:t>s</w:t>
      </w:r>
      <w:r w:rsidR="0091427D" w:rsidRPr="00DF754F">
        <w:t xml:space="preserve"> that individual differences in fake news susceptibility</w:t>
      </w:r>
      <w:r w:rsidR="007F15B5" w:rsidRPr="00DF754F">
        <w:t xml:space="preserve"> are complex and multi-layered. </w:t>
      </w:r>
    </w:p>
    <w:p w14:paraId="6AF7F961" w14:textId="0E8D5574" w:rsidR="00C9519C" w:rsidRPr="00DF754F" w:rsidRDefault="00FB5BEE" w:rsidP="00FB5BEE">
      <w:pPr>
        <w:spacing w:line="480" w:lineRule="auto"/>
        <w:ind w:firstLine="720"/>
      </w:pPr>
      <w:r w:rsidRPr="00DF754F">
        <w:t>Perhaps due to the many warnings of fake news circulating in Irish media at the time of the survey, participants often seemed suspicious of our motives (e.g. ‘</w:t>
      </w:r>
      <w:r w:rsidRPr="00DF754F">
        <w:rPr>
          <w:i/>
        </w:rPr>
        <w:t>Did this happen?.....Is this survey a No campaign scam?</w:t>
      </w:r>
      <w:r w:rsidRPr="00DF754F">
        <w:t>’ and ‘</w:t>
      </w:r>
      <w:r w:rsidRPr="00DF754F">
        <w:rPr>
          <w:i/>
        </w:rPr>
        <w:t>I think this survey is incredibly biased towards Yes</w:t>
      </w:r>
      <w:r w:rsidRPr="00DF754F">
        <w:t>’). That the political orientation and cognitive ability effects persisted despite this suspicion and indeed, despite an explicit warning about possible fake news in the second part of the study, suggests that these effects cannot simply be eliminated by encouraging stricter source-monitoring</w:t>
      </w:r>
      <w:r w:rsidR="00887F50" w:rsidRPr="00DF754F">
        <w:t xml:space="preserve"> (Echterhoff, Hirst &amp; Hussy, 2005)</w:t>
      </w:r>
      <w:r w:rsidRPr="00DF754F">
        <w:t>.</w:t>
      </w:r>
      <w:r w:rsidR="00EA4670" w:rsidRPr="00DF754F">
        <w:t xml:space="preserve"> This suggests that</w:t>
      </w:r>
      <w:r w:rsidR="002D6628" w:rsidRPr="00DF754F">
        <w:t xml:space="preserve"> p</w:t>
      </w:r>
      <w:r w:rsidR="00C9519C" w:rsidRPr="00DF754F">
        <w:t>olitical orientation</w:t>
      </w:r>
      <w:r w:rsidR="00413A47" w:rsidRPr="00DF754F">
        <w:t xml:space="preserve">, especially when combined with lower </w:t>
      </w:r>
      <w:r w:rsidR="00C9519C" w:rsidRPr="00DF754F">
        <w:t>cognitive ability</w:t>
      </w:r>
      <w:r w:rsidR="00413A47" w:rsidRPr="00DF754F">
        <w:t>,</w:t>
      </w:r>
      <w:r w:rsidR="00C9519C" w:rsidRPr="00DF754F">
        <w:t xml:space="preserve"> </w:t>
      </w:r>
      <w:r w:rsidR="00EA4670" w:rsidRPr="00DF754F">
        <w:t>may</w:t>
      </w:r>
      <w:r w:rsidR="002D6628" w:rsidRPr="00DF754F">
        <w:t xml:space="preserve"> </w:t>
      </w:r>
      <w:r w:rsidR="00C9519C" w:rsidRPr="00DF754F">
        <w:t xml:space="preserve">bias the heuristic and systematic source-monitoring </w:t>
      </w:r>
      <w:r w:rsidR="00DD78C1" w:rsidRPr="00DF754F">
        <w:t>judgments</w:t>
      </w:r>
      <w:r w:rsidR="00C9519C" w:rsidRPr="00DF754F">
        <w:t xml:space="preserve"> to such an extent that warnings do not </w:t>
      </w:r>
      <w:r w:rsidR="00A73F4F" w:rsidRPr="00DF754F">
        <w:t>eradicate the effects</w:t>
      </w:r>
      <w:r w:rsidR="00C9519C" w:rsidRPr="00DF754F">
        <w:t>. This has applied implications for combatting fake news and merits further study.</w:t>
      </w:r>
    </w:p>
    <w:p w14:paraId="1540AC5B" w14:textId="47CE7AAA" w:rsidR="00922A9B" w:rsidRPr="00DF754F" w:rsidRDefault="004C3753">
      <w:pPr>
        <w:rPr>
          <w:b/>
        </w:rPr>
      </w:pPr>
      <w:r w:rsidRPr="00DF754F">
        <w:rPr>
          <w:b/>
        </w:rPr>
        <w:br w:type="page"/>
      </w:r>
    </w:p>
    <w:p w14:paraId="5CE5D8DB" w14:textId="77777777" w:rsidR="000C0D3A" w:rsidRPr="00DF754F" w:rsidRDefault="000C0D3A">
      <w:pPr>
        <w:rPr>
          <w:b/>
        </w:rPr>
      </w:pPr>
    </w:p>
    <w:p w14:paraId="1FAF7E24" w14:textId="67C95EDE" w:rsidR="00922A9B" w:rsidRPr="00DF754F" w:rsidRDefault="00922A9B" w:rsidP="00B5229A">
      <w:pPr>
        <w:outlineLvl w:val="0"/>
        <w:rPr>
          <w:b/>
        </w:rPr>
      </w:pPr>
      <w:r w:rsidRPr="00DF754F">
        <w:rPr>
          <w:b/>
        </w:rPr>
        <w:t>Acknowledgements:</w:t>
      </w:r>
    </w:p>
    <w:p w14:paraId="637C3323" w14:textId="0B482FDF" w:rsidR="00922A9B" w:rsidRPr="00DF754F" w:rsidRDefault="00922A9B">
      <w:r w:rsidRPr="00DF754F">
        <w:t xml:space="preserve">We would like to thank TheJournal.ie and in particular </w:t>
      </w:r>
      <w:r w:rsidR="005F697C" w:rsidRPr="00DF754F">
        <w:t xml:space="preserve">the editor </w:t>
      </w:r>
      <w:r w:rsidRPr="00DF754F">
        <w:t>Susa</w:t>
      </w:r>
      <w:r w:rsidR="00D248E6" w:rsidRPr="00DF754F">
        <w:t xml:space="preserve">n Daly for </w:t>
      </w:r>
      <w:r w:rsidR="00665A4C" w:rsidRPr="00DF754F">
        <w:t>her</w:t>
      </w:r>
      <w:r w:rsidR="00D248E6" w:rsidRPr="00DF754F">
        <w:t xml:space="preserve"> support</w:t>
      </w:r>
      <w:r w:rsidRPr="00DF754F">
        <w:t>.</w:t>
      </w:r>
    </w:p>
    <w:p w14:paraId="7C83CFD7" w14:textId="207E56ED" w:rsidR="00922A9B" w:rsidRPr="00DF754F" w:rsidRDefault="00922A9B"/>
    <w:p w14:paraId="0AF0794C" w14:textId="77777777" w:rsidR="00E718E5" w:rsidRDefault="00E718E5">
      <w:pPr>
        <w:rPr>
          <w:rFonts w:eastAsia="Times New Roman" w:cs="Arial"/>
          <w:b/>
          <w:color w:val="222222"/>
          <w:shd w:val="clear" w:color="auto" w:fill="FFFFFF"/>
        </w:rPr>
      </w:pPr>
      <w:r w:rsidRPr="00DF754F">
        <w:rPr>
          <w:rFonts w:eastAsia="Times New Roman" w:cs="Arial"/>
          <w:b/>
          <w:shd w:val="clear" w:color="auto" w:fill="FFFFFF"/>
        </w:rPr>
        <w:br w:type="page"/>
      </w:r>
    </w:p>
    <w:p w14:paraId="0998BF5C" w14:textId="0E952671" w:rsidR="00E10CC8" w:rsidRPr="00392C5F" w:rsidRDefault="00392C5F" w:rsidP="00B5229A">
      <w:pPr>
        <w:jc w:val="center"/>
        <w:outlineLvl w:val="0"/>
        <w:rPr>
          <w:rFonts w:eastAsia="Times New Roman" w:cs="Arial"/>
          <w:b/>
          <w:color w:val="222222"/>
          <w:shd w:val="clear" w:color="auto" w:fill="FFFFFF"/>
        </w:rPr>
      </w:pPr>
      <w:r w:rsidRPr="00392C5F">
        <w:rPr>
          <w:rFonts w:eastAsia="Times New Roman" w:cs="Arial"/>
          <w:b/>
          <w:color w:val="222222"/>
          <w:shd w:val="clear" w:color="auto" w:fill="FFFFFF"/>
        </w:rPr>
        <w:t>References</w:t>
      </w:r>
    </w:p>
    <w:p w14:paraId="31CE04BA" w14:textId="77777777" w:rsidR="00E10CC8" w:rsidRPr="00392C5F" w:rsidRDefault="00E10CC8" w:rsidP="004A038D">
      <w:pPr>
        <w:rPr>
          <w:rFonts w:eastAsia="Times New Roman" w:cs="Arial"/>
          <w:color w:val="222222"/>
          <w:shd w:val="clear" w:color="auto" w:fill="FFFFFF"/>
        </w:rPr>
      </w:pPr>
    </w:p>
    <w:p w14:paraId="2DB3DD00" w14:textId="6502D96B" w:rsidR="003D2F20" w:rsidRDefault="003D2F20" w:rsidP="00B30253">
      <w:pPr>
        <w:spacing w:line="480" w:lineRule="auto"/>
        <w:ind w:left="720" w:hanging="720"/>
        <w:rPr>
          <w:rFonts w:eastAsia="Times New Roman" w:cs="Arial"/>
          <w:shd w:val="clear" w:color="auto" w:fill="FFFFFF"/>
        </w:rPr>
      </w:pPr>
      <w:r w:rsidRPr="003D2F20">
        <w:rPr>
          <w:rFonts w:eastAsia="Times New Roman" w:cs="Arial"/>
          <w:shd w:val="clear" w:color="auto" w:fill="FFFFFF"/>
        </w:rPr>
        <w:t>Blank, H., &amp; Launay, C. (2014). How to protect eyewitness memory against the misinformation effect: A meta-analysis of post-warning studies</w:t>
      </w:r>
      <w:r w:rsidRPr="00544DDC">
        <w:rPr>
          <w:rFonts w:eastAsia="Times New Roman" w:cs="Arial"/>
          <w:i/>
          <w:shd w:val="clear" w:color="auto" w:fill="FFFFFF"/>
        </w:rPr>
        <w:t>. Journal of Applied Research in Memory and Cognition, 3</w:t>
      </w:r>
      <w:r w:rsidRPr="003D2F20">
        <w:rPr>
          <w:rFonts w:eastAsia="Times New Roman" w:cs="Arial"/>
          <w:shd w:val="clear" w:color="auto" w:fill="FFFFFF"/>
        </w:rPr>
        <w:t>(2), 77-88.</w:t>
      </w:r>
    </w:p>
    <w:p w14:paraId="69A9789E" w14:textId="3E1E5BC8" w:rsidR="00794FDF" w:rsidRPr="009F5B9F" w:rsidRDefault="00794FDF" w:rsidP="00B30253">
      <w:pPr>
        <w:spacing w:line="480" w:lineRule="auto"/>
        <w:ind w:left="720" w:hanging="720"/>
        <w:rPr>
          <w:rStyle w:val="Hyperlink"/>
          <w:rFonts w:eastAsia="Times New Roman" w:cs="Arial"/>
          <w:color w:val="auto"/>
          <w:shd w:val="clear" w:color="auto" w:fill="FFFFFF"/>
        </w:rPr>
      </w:pPr>
      <w:r w:rsidRPr="009F5B9F">
        <w:rPr>
          <w:rFonts w:eastAsia="Times New Roman" w:cs="Arial"/>
          <w:shd w:val="clear" w:color="auto" w:fill="FFFFFF"/>
        </w:rPr>
        <w:t>Bohan, C. ‘It's Yes: Ireland has voted to repeal the Eighth Amendment’ (2018, May 26</w:t>
      </w:r>
      <w:r w:rsidR="008C2428" w:rsidRPr="009F5B9F">
        <w:rPr>
          <w:rFonts w:eastAsia="Times New Roman" w:cs="Arial"/>
          <w:shd w:val="clear" w:color="auto" w:fill="FFFFFF"/>
          <w:vertAlign w:val="superscript"/>
        </w:rPr>
        <w:t>th</w:t>
      </w:r>
      <w:r w:rsidRPr="009F5B9F">
        <w:rPr>
          <w:rFonts w:eastAsia="Times New Roman" w:cs="Arial"/>
          <w:shd w:val="clear" w:color="auto" w:fill="FFFFFF"/>
        </w:rPr>
        <w:t xml:space="preserve">), TheJournal.ie. Retrieved from </w:t>
      </w:r>
      <w:hyperlink r:id="rId17" w:history="1">
        <w:r w:rsidRPr="009F5B9F">
          <w:rPr>
            <w:rStyle w:val="Hyperlink"/>
            <w:rFonts w:eastAsia="Times New Roman" w:cs="Arial"/>
            <w:color w:val="auto"/>
            <w:shd w:val="clear" w:color="auto" w:fill="FFFFFF"/>
          </w:rPr>
          <w:t>http://www.thejournal.ie/yes-ireland-votes-to-repeal-eighth-amendment-4034416-May2018/</w:t>
        </w:r>
      </w:hyperlink>
    </w:p>
    <w:p w14:paraId="58019604" w14:textId="32675A89" w:rsidR="00585053" w:rsidRPr="009F5B9F" w:rsidRDefault="00585053" w:rsidP="00B30253">
      <w:pPr>
        <w:spacing w:line="480" w:lineRule="auto"/>
        <w:ind w:left="720" w:hanging="720"/>
        <w:rPr>
          <w:rFonts w:eastAsia="Times New Roman" w:cs="Arial"/>
          <w:shd w:val="clear" w:color="auto" w:fill="FFFFFF"/>
        </w:rPr>
      </w:pPr>
      <w:r w:rsidRPr="009F5B9F">
        <w:rPr>
          <w:rFonts w:eastAsia="Times New Roman" w:cs="Arial"/>
          <w:shd w:val="clear" w:color="auto" w:fill="FFFFFF"/>
        </w:rPr>
        <w:t xml:space="preserve">Brewin, C. R., &amp; Andrews, B. (2017). Creating memories for false autobiographical events in childhood: A systematic review. </w:t>
      </w:r>
      <w:r w:rsidRPr="00416D22">
        <w:rPr>
          <w:rFonts w:eastAsia="Times New Roman" w:cs="Arial"/>
          <w:i/>
          <w:shd w:val="clear" w:color="auto" w:fill="FFFFFF"/>
        </w:rPr>
        <w:t>Applied Cognitive Psychology, 31</w:t>
      </w:r>
      <w:r w:rsidRPr="009F5B9F">
        <w:rPr>
          <w:rFonts w:eastAsia="Times New Roman" w:cs="Arial"/>
          <w:shd w:val="clear" w:color="auto" w:fill="FFFFFF"/>
        </w:rPr>
        <w:t>(1), 2-23.</w:t>
      </w:r>
    </w:p>
    <w:p w14:paraId="17F0A643" w14:textId="4CDE6D65" w:rsidR="007671D4" w:rsidRDefault="007671D4" w:rsidP="00B30253">
      <w:pPr>
        <w:spacing w:line="480" w:lineRule="auto"/>
        <w:ind w:left="720" w:hanging="720"/>
        <w:rPr>
          <w:rFonts w:eastAsia="Times New Roman" w:cs="Arial"/>
          <w:shd w:val="clear" w:color="auto" w:fill="FFFFFF"/>
        </w:rPr>
      </w:pPr>
      <w:r>
        <w:rPr>
          <w:rFonts w:eastAsia="Times New Roman" w:cs="Arial"/>
          <w:shd w:val="clear" w:color="auto" w:fill="FFFFFF"/>
        </w:rPr>
        <w:t xml:space="preserve">De keersmaecker, J. &amp; </w:t>
      </w:r>
      <w:r w:rsidRPr="007671D4">
        <w:rPr>
          <w:rFonts w:eastAsia="Times New Roman" w:cs="Arial"/>
          <w:shd w:val="clear" w:color="auto" w:fill="FFFFFF"/>
        </w:rPr>
        <w:t xml:space="preserve">Roets, A. (2017). ‘Fake news’: Incorrect, but hard to correct. The role of cognitive ability on the impact of false information on social impressions. </w:t>
      </w:r>
      <w:r w:rsidRPr="00C25D0B">
        <w:rPr>
          <w:rFonts w:eastAsia="Times New Roman" w:cs="Arial"/>
          <w:i/>
          <w:shd w:val="clear" w:color="auto" w:fill="FFFFFF"/>
        </w:rPr>
        <w:t>Intelligence</w:t>
      </w:r>
      <w:r w:rsidRPr="007671D4">
        <w:rPr>
          <w:rFonts w:eastAsia="Times New Roman" w:cs="Arial"/>
          <w:shd w:val="clear" w:color="auto" w:fill="FFFFFF"/>
        </w:rPr>
        <w:t xml:space="preserve">, </w:t>
      </w:r>
      <w:r w:rsidRPr="00C25D0B">
        <w:rPr>
          <w:rFonts w:eastAsia="Times New Roman" w:cs="Arial"/>
          <w:i/>
          <w:shd w:val="clear" w:color="auto" w:fill="FFFFFF"/>
        </w:rPr>
        <w:t>65</w:t>
      </w:r>
      <w:r w:rsidRPr="007671D4">
        <w:rPr>
          <w:rFonts w:eastAsia="Times New Roman" w:cs="Arial"/>
          <w:shd w:val="clear" w:color="auto" w:fill="FFFFFF"/>
        </w:rPr>
        <w:t>, 107-110.</w:t>
      </w:r>
    </w:p>
    <w:p w14:paraId="4AEE66D8" w14:textId="2FAAD6FE" w:rsidR="004D124A" w:rsidRPr="00B5229A" w:rsidRDefault="006A281C" w:rsidP="00B5229A">
      <w:pPr>
        <w:spacing w:line="480" w:lineRule="auto"/>
        <w:ind w:left="720" w:hanging="720"/>
        <w:rPr>
          <w:rFonts w:eastAsia="Times New Roman" w:cs="Times New Roman"/>
        </w:rPr>
      </w:pPr>
      <w:r w:rsidRPr="009F5B9F">
        <w:rPr>
          <w:rFonts w:eastAsia="Times New Roman" w:cs="Arial"/>
          <w:shd w:val="clear" w:color="auto" w:fill="FFFFFF"/>
        </w:rPr>
        <w:t>Frenda, S. J., Knowles, E. D., Saletan, W., &amp; Loftus, E. F. (2013). False memories of fabricated political events. </w:t>
      </w:r>
      <w:r w:rsidRPr="009F5B9F">
        <w:rPr>
          <w:rFonts w:eastAsia="Times New Roman" w:cs="Arial"/>
          <w:i/>
          <w:iCs/>
          <w:shd w:val="clear" w:color="auto" w:fill="FFFFFF"/>
        </w:rPr>
        <w:t>Journal of Experimental Social Psychology</w:t>
      </w:r>
      <w:r w:rsidRPr="009F5B9F">
        <w:rPr>
          <w:rFonts w:eastAsia="Times New Roman" w:cs="Arial"/>
          <w:shd w:val="clear" w:color="auto" w:fill="FFFFFF"/>
        </w:rPr>
        <w:t>, </w:t>
      </w:r>
      <w:r w:rsidRPr="009F5B9F">
        <w:rPr>
          <w:rFonts w:eastAsia="Times New Roman" w:cs="Arial"/>
          <w:i/>
          <w:iCs/>
          <w:shd w:val="clear" w:color="auto" w:fill="FFFFFF"/>
        </w:rPr>
        <w:t>49</w:t>
      </w:r>
      <w:r w:rsidRPr="009F5B9F">
        <w:rPr>
          <w:rFonts w:eastAsia="Times New Roman" w:cs="Arial"/>
          <w:shd w:val="clear" w:color="auto" w:fill="FFFFFF"/>
        </w:rPr>
        <w:t>(2), 280-286.</w:t>
      </w:r>
    </w:p>
    <w:p w14:paraId="2409E82B" w14:textId="73241960" w:rsidR="00880EE4" w:rsidRDefault="00880EE4" w:rsidP="00880EE4">
      <w:pPr>
        <w:spacing w:line="480" w:lineRule="auto"/>
        <w:ind w:left="720" w:hanging="720"/>
        <w:rPr>
          <w:rFonts w:eastAsia="Times New Roman" w:cs="Arial"/>
          <w:shd w:val="clear" w:color="auto" w:fill="FFFFFF"/>
        </w:rPr>
      </w:pPr>
      <w:r>
        <w:rPr>
          <w:rFonts w:eastAsia="Times New Roman" w:cs="Arial"/>
          <w:shd w:val="clear" w:color="auto" w:fill="FFFFFF"/>
        </w:rPr>
        <w:t>Graham-Harrison, E.</w:t>
      </w:r>
      <w:r w:rsidRPr="00836616">
        <w:t xml:space="preserve"> </w:t>
      </w:r>
      <w:r w:rsidRPr="00836616">
        <w:rPr>
          <w:rFonts w:eastAsia="Times New Roman" w:cs="Arial"/>
          <w:shd w:val="clear" w:color="auto" w:fill="FFFFFF"/>
        </w:rPr>
        <w:t xml:space="preserve">Revealed: the overseas anti-abortion activists using Facebook to </w:t>
      </w:r>
      <w:r w:rsidRPr="00480F12">
        <w:rPr>
          <w:rFonts w:eastAsia="Times New Roman" w:cs="Arial"/>
          <w:shd w:val="clear" w:color="auto" w:fill="FFFFFF"/>
        </w:rPr>
        <w:t>target Irish voters (2018, May 12</w:t>
      </w:r>
      <w:r w:rsidRPr="00480F12">
        <w:rPr>
          <w:rFonts w:eastAsia="Times New Roman" w:cs="Arial"/>
          <w:shd w:val="clear" w:color="auto" w:fill="FFFFFF"/>
          <w:vertAlign w:val="superscript"/>
        </w:rPr>
        <w:t>th</w:t>
      </w:r>
      <w:r w:rsidRPr="00480F12">
        <w:rPr>
          <w:rFonts w:eastAsia="Times New Roman" w:cs="Arial"/>
          <w:shd w:val="clear" w:color="auto" w:fill="FFFFFF"/>
        </w:rPr>
        <w:t xml:space="preserve">), The Guardian. Retrieved from </w:t>
      </w:r>
      <w:hyperlink r:id="rId18" w:history="1">
        <w:r w:rsidRPr="00480F12">
          <w:rPr>
            <w:rStyle w:val="Hyperlink"/>
            <w:rFonts w:eastAsia="Times New Roman" w:cs="Arial"/>
            <w:color w:val="auto"/>
            <w:shd w:val="clear" w:color="auto" w:fill="FFFFFF"/>
          </w:rPr>
          <w:t>https://www.theguardian.com/world/2018/may/12/ireland-abortion-campaign-foreign-influence-facebook</w:t>
        </w:r>
      </w:hyperlink>
    </w:p>
    <w:p w14:paraId="66596413" w14:textId="03BA1FF9" w:rsidR="00413847" w:rsidRPr="009F5B9F" w:rsidRDefault="00413847" w:rsidP="00B30253">
      <w:pPr>
        <w:spacing w:line="480" w:lineRule="auto"/>
        <w:ind w:left="720" w:hanging="720"/>
        <w:rPr>
          <w:rFonts w:eastAsia="Times New Roman" w:cs="Arial"/>
          <w:shd w:val="clear" w:color="auto" w:fill="FFFFFF"/>
        </w:rPr>
      </w:pPr>
      <w:r w:rsidRPr="009F5B9F">
        <w:rPr>
          <w:rFonts w:eastAsia="Times New Roman" w:cs="Arial"/>
          <w:shd w:val="clear" w:color="auto" w:fill="FFFFFF"/>
        </w:rPr>
        <w:t xml:space="preserve">Johnson, M. K., Hashtroudi, S., &amp; Lindsay, D. S. (1993). Source monitoring. </w:t>
      </w:r>
      <w:r w:rsidRPr="00416D22">
        <w:rPr>
          <w:rFonts w:eastAsia="Times New Roman" w:cs="Arial"/>
          <w:i/>
          <w:shd w:val="clear" w:color="auto" w:fill="FFFFFF"/>
        </w:rPr>
        <w:t>Psychological bulletin, 114</w:t>
      </w:r>
      <w:r w:rsidRPr="009F5B9F">
        <w:rPr>
          <w:rFonts w:eastAsia="Times New Roman" w:cs="Arial"/>
          <w:shd w:val="clear" w:color="auto" w:fill="FFFFFF"/>
        </w:rPr>
        <w:t>(1), 3.</w:t>
      </w:r>
    </w:p>
    <w:p w14:paraId="1E57B40C" w14:textId="060D9BA0" w:rsidR="00EC4A47" w:rsidRDefault="00EC4A47" w:rsidP="00B30253">
      <w:pPr>
        <w:spacing w:line="480" w:lineRule="auto"/>
        <w:ind w:left="720" w:hanging="720"/>
        <w:rPr>
          <w:rFonts w:eastAsia="Times New Roman" w:cs="Arial"/>
          <w:shd w:val="clear" w:color="auto" w:fill="FFFFFF"/>
        </w:rPr>
      </w:pPr>
      <w:r w:rsidRPr="00EC4A47">
        <w:rPr>
          <w:rFonts w:eastAsia="Times New Roman" w:cs="Arial"/>
          <w:shd w:val="clear" w:color="auto" w:fill="FFFFFF"/>
        </w:rPr>
        <w:t>Lau, R. R., &amp; Redlawsk, D. P. (2006). How voters decide: Information processing in election campaigns. Cambridge University Press.</w:t>
      </w:r>
    </w:p>
    <w:p w14:paraId="2492A2A5" w14:textId="77777777" w:rsidR="00DE0568" w:rsidRPr="009F5B9F" w:rsidRDefault="00DE0568" w:rsidP="00DE0568">
      <w:pPr>
        <w:spacing w:line="480" w:lineRule="auto"/>
        <w:ind w:left="720" w:hanging="720"/>
        <w:rPr>
          <w:rFonts w:eastAsia="Times New Roman" w:cs="Times New Roman"/>
        </w:rPr>
      </w:pPr>
      <w:r w:rsidRPr="009F5B9F">
        <w:rPr>
          <w:rFonts w:eastAsia="Times New Roman" w:cs="Arial"/>
          <w:shd w:val="clear" w:color="auto" w:fill="FFFFFF"/>
        </w:rPr>
        <w:t>McCarthy, J., O’Donnell, K., Campbell, L., &amp; Dooley, D. (2018). Ethical arguments for access to abortion services in the Republic of Ireland: recent developments in the public discourse. </w:t>
      </w:r>
      <w:r w:rsidRPr="009F5B9F">
        <w:rPr>
          <w:rFonts w:eastAsia="Times New Roman" w:cs="Arial"/>
          <w:i/>
          <w:iCs/>
          <w:shd w:val="clear" w:color="auto" w:fill="FFFFFF"/>
        </w:rPr>
        <w:t xml:space="preserve">Journal of </w:t>
      </w:r>
      <w:r>
        <w:rPr>
          <w:rFonts w:eastAsia="Times New Roman" w:cs="Arial"/>
          <w:i/>
          <w:iCs/>
          <w:shd w:val="clear" w:color="auto" w:fill="FFFFFF"/>
        </w:rPr>
        <w:t>M</w:t>
      </w:r>
      <w:r w:rsidRPr="009F5B9F">
        <w:rPr>
          <w:rFonts w:eastAsia="Times New Roman" w:cs="Arial"/>
          <w:i/>
          <w:iCs/>
          <w:shd w:val="clear" w:color="auto" w:fill="FFFFFF"/>
        </w:rPr>
        <w:t xml:space="preserve">edical </w:t>
      </w:r>
      <w:r>
        <w:rPr>
          <w:rFonts w:eastAsia="Times New Roman" w:cs="Arial"/>
          <w:i/>
          <w:iCs/>
          <w:shd w:val="clear" w:color="auto" w:fill="FFFFFF"/>
        </w:rPr>
        <w:t>E</w:t>
      </w:r>
      <w:r w:rsidRPr="009F5B9F">
        <w:rPr>
          <w:rFonts w:eastAsia="Times New Roman" w:cs="Arial"/>
          <w:i/>
          <w:iCs/>
          <w:shd w:val="clear" w:color="auto" w:fill="FFFFFF"/>
        </w:rPr>
        <w:t>thics</w:t>
      </w:r>
      <w:r w:rsidRPr="009F5B9F">
        <w:rPr>
          <w:rFonts w:eastAsia="Times New Roman" w:cs="Arial"/>
          <w:shd w:val="clear" w:color="auto" w:fill="FFFFFF"/>
        </w:rPr>
        <w:t>, medethics-2017.</w:t>
      </w:r>
    </w:p>
    <w:p w14:paraId="61324795" w14:textId="0FF93251" w:rsidR="00DE0568" w:rsidRDefault="00DE0568" w:rsidP="00B30253">
      <w:pPr>
        <w:spacing w:line="480" w:lineRule="auto"/>
        <w:ind w:left="720" w:hanging="720"/>
        <w:rPr>
          <w:rFonts w:cs="Arial"/>
          <w:shd w:val="clear" w:color="auto" w:fill="FFFFFF"/>
        </w:rPr>
      </w:pPr>
      <w:r w:rsidRPr="00DE0568">
        <w:rPr>
          <w:rFonts w:cs="Arial"/>
          <w:shd w:val="clear" w:color="auto" w:fill="FFFFFF"/>
        </w:rPr>
        <w:t>Meisenberg, G. (2015). Verbal ability as a predictor of political preferences in the United States, 1974–2012. Intelligence, 50, 135-143.</w:t>
      </w:r>
    </w:p>
    <w:p w14:paraId="0550A2AC" w14:textId="0E2DC9C7" w:rsidR="004D124A" w:rsidRPr="00E54FC5" w:rsidRDefault="008F0DA2" w:rsidP="00E54FC5">
      <w:pPr>
        <w:spacing w:line="480" w:lineRule="auto"/>
        <w:ind w:left="720" w:hanging="720"/>
        <w:rPr>
          <w:rFonts w:cs="Arial"/>
          <w:shd w:val="clear" w:color="auto" w:fill="FFFFFF"/>
        </w:rPr>
      </w:pPr>
      <w:r w:rsidRPr="009F5B9F">
        <w:rPr>
          <w:rFonts w:cs="Arial"/>
          <w:shd w:val="clear" w:color="auto" w:fill="FFFFFF"/>
        </w:rPr>
        <w:t xml:space="preserve">Miner, J. B. (1957). Intelligence in the United States: A </w:t>
      </w:r>
      <w:r w:rsidR="00416D22" w:rsidRPr="009F5B9F">
        <w:rPr>
          <w:rFonts w:cs="Arial"/>
          <w:shd w:val="clear" w:color="auto" w:fill="FFFFFF"/>
        </w:rPr>
        <w:t>Survey</w:t>
      </w:r>
      <w:r w:rsidR="00EB08A0">
        <w:rPr>
          <w:rFonts w:cs="Arial"/>
          <w:shd w:val="clear" w:color="auto" w:fill="FFFFFF"/>
        </w:rPr>
        <w:t xml:space="preserve"> </w:t>
      </w:r>
      <w:r w:rsidRPr="009F5B9F">
        <w:rPr>
          <w:rFonts w:cs="Arial"/>
          <w:shd w:val="clear" w:color="auto" w:fill="FFFFFF"/>
        </w:rPr>
        <w:t>with Conclusions for Manpower Utilization in Education and Employment. Springer Publishing Company.</w:t>
      </w:r>
      <w:r w:rsidR="008C2428" w:rsidRPr="009F5B9F">
        <w:rPr>
          <w:rFonts w:cs="Arial"/>
          <w:bCs/>
          <w:shd w:val="clear" w:color="auto" w:fill="FFFFFF"/>
        </w:rPr>
        <w:t> </w:t>
      </w:r>
    </w:p>
    <w:p w14:paraId="3B21858E" w14:textId="364B6439" w:rsidR="008C2428" w:rsidRDefault="008C2428" w:rsidP="00B30253">
      <w:pPr>
        <w:spacing w:line="480" w:lineRule="auto"/>
        <w:ind w:left="720" w:hanging="720"/>
        <w:rPr>
          <w:rStyle w:val="Hyperlink"/>
          <w:rFonts w:cs="Arial"/>
          <w:bCs/>
          <w:color w:val="auto"/>
          <w:shd w:val="clear" w:color="auto" w:fill="FFFFFF"/>
        </w:rPr>
      </w:pPr>
      <w:r w:rsidRPr="009F5B9F">
        <w:rPr>
          <w:rFonts w:cs="Arial"/>
          <w:bCs/>
          <w:shd w:val="clear" w:color="auto" w:fill="FFFFFF"/>
        </w:rPr>
        <w:t>Ní Aodha, G. ‘Google and YouTube to suspend all ads on Eighth Amendment referendum’ (2018, May 9</w:t>
      </w:r>
      <w:r w:rsidRPr="009F5B9F">
        <w:rPr>
          <w:rFonts w:cs="Arial"/>
          <w:bCs/>
          <w:shd w:val="clear" w:color="auto" w:fill="FFFFFF"/>
          <w:vertAlign w:val="superscript"/>
        </w:rPr>
        <w:t>th</w:t>
      </w:r>
      <w:r w:rsidRPr="009F5B9F">
        <w:rPr>
          <w:rFonts w:cs="Arial"/>
          <w:bCs/>
          <w:shd w:val="clear" w:color="auto" w:fill="FFFFFF"/>
        </w:rPr>
        <w:t xml:space="preserve">), TheJournal.ie. Retrieved from </w:t>
      </w:r>
      <w:hyperlink r:id="rId19" w:history="1">
        <w:r w:rsidRPr="009F5B9F">
          <w:rPr>
            <w:rStyle w:val="Hyperlink"/>
            <w:rFonts w:cs="Arial"/>
            <w:bCs/>
            <w:color w:val="auto"/>
            <w:shd w:val="clear" w:color="auto" w:fill="FFFFFF"/>
          </w:rPr>
          <w:t>http://www.thejournal.ie/google-bans-eighth-referendum-ads-abroad-4001776-May2018/</w:t>
        </w:r>
      </w:hyperlink>
    </w:p>
    <w:p w14:paraId="0473B897" w14:textId="5FCF84BB" w:rsidR="0065240A" w:rsidRDefault="0065240A" w:rsidP="00B30253">
      <w:pPr>
        <w:spacing w:line="480" w:lineRule="auto"/>
        <w:ind w:left="720" w:hanging="720"/>
        <w:rPr>
          <w:rFonts w:eastAsia="Times New Roman" w:cs="Arial"/>
          <w:shd w:val="clear" w:color="auto" w:fill="FFFFFF"/>
        </w:rPr>
      </w:pPr>
      <w:r>
        <w:rPr>
          <w:rFonts w:eastAsia="Times New Roman" w:cs="Arial"/>
          <w:shd w:val="clear" w:color="auto" w:fill="FFFFFF"/>
        </w:rPr>
        <w:t>Leahy, P. ‘</w:t>
      </w:r>
      <w:r w:rsidRPr="0065240A">
        <w:rPr>
          <w:rFonts w:eastAsia="Times New Roman" w:cs="Arial"/>
          <w:shd w:val="clear" w:color="auto" w:fill="FFFFFF"/>
        </w:rPr>
        <w:t>Irish Times exit poll projects Ireland has voted by landslide to repeal Eighth</w:t>
      </w:r>
      <w:r w:rsidR="00ED66BD">
        <w:rPr>
          <w:rFonts w:eastAsia="Times New Roman" w:cs="Arial"/>
          <w:shd w:val="clear" w:color="auto" w:fill="FFFFFF"/>
        </w:rPr>
        <w:t>’ (2018, May 25</w:t>
      </w:r>
      <w:r w:rsidR="00ED66BD" w:rsidRPr="00ED66BD">
        <w:rPr>
          <w:rFonts w:eastAsia="Times New Roman" w:cs="Arial"/>
          <w:shd w:val="clear" w:color="auto" w:fill="FFFFFF"/>
          <w:vertAlign w:val="superscript"/>
        </w:rPr>
        <w:t>t</w:t>
      </w:r>
      <w:r w:rsidR="00ED66BD">
        <w:rPr>
          <w:rFonts w:eastAsia="Times New Roman" w:cs="Arial"/>
          <w:shd w:val="clear" w:color="auto" w:fill="FFFFFF"/>
          <w:vertAlign w:val="superscript"/>
        </w:rPr>
        <w:t>h</w:t>
      </w:r>
      <w:r w:rsidR="00ED66BD">
        <w:rPr>
          <w:rFonts w:eastAsia="Times New Roman" w:cs="Arial"/>
          <w:shd w:val="clear" w:color="auto" w:fill="FFFFFF"/>
        </w:rPr>
        <w:t>), The Irish Times. Retrieved from</w:t>
      </w:r>
    </w:p>
    <w:p w14:paraId="402C7D68" w14:textId="242EB834" w:rsidR="00ED66BD" w:rsidRPr="00ED66BD" w:rsidRDefault="00C32815" w:rsidP="00ED66BD">
      <w:pPr>
        <w:spacing w:line="480" w:lineRule="auto"/>
        <w:ind w:left="720"/>
        <w:rPr>
          <w:rFonts w:eastAsia="Times New Roman" w:cs="Arial"/>
          <w:shd w:val="clear" w:color="auto" w:fill="FFFFFF"/>
        </w:rPr>
      </w:pPr>
      <w:hyperlink r:id="rId20" w:history="1">
        <w:r w:rsidR="00ED66BD" w:rsidRPr="00ED66BD">
          <w:rPr>
            <w:rStyle w:val="Hyperlink"/>
            <w:rFonts w:eastAsia="Times New Roman" w:cs="Arial"/>
            <w:color w:val="auto"/>
            <w:shd w:val="clear" w:color="auto" w:fill="FFFFFF"/>
          </w:rPr>
          <w:t>https://www.irishtimes.com/news/politics/irish-times-exit-poll-projects-ireland-has-voted-by-landslide-to-repeal-eighth-1.3508861</w:t>
        </w:r>
      </w:hyperlink>
    </w:p>
    <w:p w14:paraId="1F2B97D5" w14:textId="77777777" w:rsidR="00ED66BD" w:rsidRDefault="006A281C" w:rsidP="00ED66BD">
      <w:pPr>
        <w:spacing w:line="480" w:lineRule="auto"/>
        <w:rPr>
          <w:rFonts w:eastAsia="Times New Roman" w:cs="Arial"/>
          <w:shd w:val="clear" w:color="auto" w:fill="FFFFFF"/>
        </w:rPr>
      </w:pPr>
      <w:r w:rsidRPr="009F5B9F">
        <w:rPr>
          <w:rFonts w:eastAsia="Times New Roman" w:cs="Arial"/>
          <w:shd w:val="clear" w:color="auto" w:fill="FFFFFF"/>
        </w:rPr>
        <w:t xml:space="preserve">O’Connell, A., &amp; Greene, C. M. (2017). Not strange but not true: self-reported interest in a </w:t>
      </w:r>
    </w:p>
    <w:p w14:paraId="3983B090" w14:textId="0E6DA3A5" w:rsidR="006A281C" w:rsidRPr="009F5B9F" w:rsidRDefault="006A281C" w:rsidP="00ED66BD">
      <w:pPr>
        <w:spacing w:line="480" w:lineRule="auto"/>
        <w:ind w:firstLine="720"/>
        <w:rPr>
          <w:rFonts w:eastAsia="Times New Roman" w:cs="Times New Roman"/>
        </w:rPr>
      </w:pPr>
      <w:r w:rsidRPr="009F5B9F">
        <w:rPr>
          <w:rFonts w:eastAsia="Times New Roman" w:cs="Arial"/>
          <w:shd w:val="clear" w:color="auto" w:fill="FFFFFF"/>
        </w:rPr>
        <w:t>topic increases false memory. </w:t>
      </w:r>
      <w:r w:rsidRPr="009F5B9F">
        <w:rPr>
          <w:rFonts w:eastAsia="Times New Roman" w:cs="Arial"/>
          <w:i/>
          <w:iCs/>
          <w:shd w:val="clear" w:color="auto" w:fill="FFFFFF"/>
        </w:rPr>
        <w:t>Memory</w:t>
      </w:r>
      <w:r w:rsidRPr="009F5B9F">
        <w:rPr>
          <w:rFonts w:eastAsia="Times New Roman" w:cs="Arial"/>
          <w:shd w:val="clear" w:color="auto" w:fill="FFFFFF"/>
        </w:rPr>
        <w:t>, </w:t>
      </w:r>
      <w:r w:rsidRPr="009F5B9F">
        <w:rPr>
          <w:rFonts w:eastAsia="Times New Roman" w:cs="Arial"/>
          <w:i/>
          <w:iCs/>
          <w:shd w:val="clear" w:color="auto" w:fill="FFFFFF"/>
        </w:rPr>
        <w:t>25</w:t>
      </w:r>
      <w:r w:rsidRPr="009F5B9F">
        <w:rPr>
          <w:rFonts w:eastAsia="Times New Roman" w:cs="Arial"/>
          <w:shd w:val="clear" w:color="auto" w:fill="FFFFFF"/>
        </w:rPr>
        <w:t>(8), 969-977.</w:t>
      </w:r>
    </w:p>
    <w:p w14:paraId="6D816045" w14:textId="667CC8ED" w:rsidR="003D2F20" w:rsidRPr="003D2F20" w:rsidRDefault="003D2F20" w:rsidP="003D2F20">
      <w:pPr>
        <w:spacing w:line="480" w:lineRule="auto"/>
        <w:ind w:left="720" w:hanging="720"/>
        <w:rPr>
          <w:rFonts w:eastAsia="Times New Roman" w:cs="Times New Roman"/>
          <w:shd w:val="clear" w:color="auto" w:fill="FFFFFF"/>
        </w:rPr>
      </w:pPr>
      <w:r w:rsidRPr="003D2F20">
        <w:rPr>
          <w:rFonts w:eastAsia="Times New Roman" w:cs="Times New Roman"/>
          <w:shd w:val="clear" w:color="auto" w:fill="FFFFFF"/>
        </w:rPr>
        <w:t xml:space="preserve">Pennycook, G., Cannon, T. D., &amp; Rand, D. G. (2018). Prior exposure increases perceived accuracy of fake news. </w:t>
      </w:r>
      <w:r w:rsidRPr="00544DDC">
        <w:rPr>
          <w:rFonts w:eastAsia="Times New Roman" w:cs="Times New Roman"/>
          <w:i/>
          <w:shd w:val="clear" w:color="auto" w:fill="FFFFFF"/>
        </w:rPr>
        <w:t xml:space="preserve">Journal of </w:t>
      </w:r>
      <w:r w:rsidR="00544DDC">
        <w:rPr>
          <w:rFonts w:eastAsia="Times New Roman" w:cs="Times New Roman"/>
          <w:i/>
          <w:shd w:val="clear" w:color="auto" w:fill="FFFFFF"/>
        </w:rPr>
        <w:t>E</w:t>
      </w:r>
      <w:r w:rsidRPr="00544DDC">
        <w:rPr>
          <w:rFonts w:eastAsia="Times New Roman" w:cs="Times New Roman"/>
          <w:i/>
          <w:shd w:val="clear" w:color="auto" w:fill="FFFFFF"/>
        </w:rPr>
        <w:t xml:space="preserve">xperimental </w:t>
      </w:r>
      <w:r w:rsidR="00544DDC">
        <w:rPr>
          <w:rFonts w:eastAsia="Times New Roman" w:cs="Times New Roman"/>
          <w:i/>
          <w:shd w:val="clear" w:color="auto" w:fill="FFFFFF"/>
        </w:rPr>
        <w:t>P</w:t>
      </w:r>
      <w:r w:rsidRPr="00544DDC">
        <w:rPr>
          <w:rFonts w:eastAsia="Times New Roman" w:cs="Times New Roman"/>
          <w:i/>
          <w:shd w:val="clear" w:color="auto" w:fill="FFFFFF"/>
        </w:rPr>
        <w:t>sychology</w:t>
      </w:r>
      <w:r w:rsidR="00544DDC">
        <w:rPr>
          <w:rFonts w:eastAsia="Times New Roman" w:cs="Times New Roman"/>
          <w:i/>
          <w:shd w:val="clear" w:color="auto" w:fill="FFFFFF"/>
        </w:rPr>
        <w:t>:</w:t>
      </w:r>
      <w:r w:rsidRPr="00544DDC">
        <w:rPr>
          <w:rFonts w:eastAsia="Times New Roman" w:cs="Times New Roman"/>
          <w:i/>
          <w:shd w:val="clear" w:color="auto" w:fill="FFFFFF"/>
        </w:rPr>
        <w:t xml:space="preserve"> General, 147</w:t>
      </w:r>
      <w:r w:rsidRPr="003D2F20">
        <w:rPr>
          <w:rFonts w:eastAsia="Times New Roman" w:cs="Times New Roman"/>
          <w:shd w:val="clear" w:color="auto" w:fill="FFFFFF"/>
        </w:rPr>
        <w:t>(12), 1865.</w:t>
      </w:r>
    </w:p>
    <w:p w14:paraId="24F34839" w14:textId="0F536686" w:rsidR="00605592" w:rsidRPr="009F5B9F" w:rsidRDefault="00605592" w:rsidP="00B30253">
      <w:pPr>
        <w:spacing w:line="480" w:lineRule="auto"/>
        <w:ind w:left="720" w:hanging="720"/>
        <w:rPr>
          <w:rFonts w:eastAsia="Times New Roman" w:cs="Times New Roman"/>
        </w:rPr>
      </w:pPr>
      <w:r w:rsidRPr="00605592">
        <w:rPr>
          <w:rFonts w:eastAsia="Times New Roman" w:cs="Times New Roman"/>
        </w:rPr>
        <w:t>Pe</w:t>
      </w:r>
      <w:r>
        <w:rPr>
          <w:rFonts w:eastAsia="Times New Roman" w:cs="Times New Roman"/>
        </w:rPr>
        <w:t>nnycook, G., &amp; Rand, D. G. (in press</w:t>
      </w:r>
      <w:r w:rsidRPr="00605592">
        <w:rPr>
          <w:rFonts w:eastAsia="Times New Roman" w:cs="Times New Roman"/>
        </w:rPr>
        <w:t xml:space="preserve">). Lazy, not biased: Susceptibility to partisan fake news is better explained by lack of reasoning than by motivated reasoning. </w:t>
      </w:r>
      <w:r w:rsidRPr="00544DDC">
        <w:rPr>
          <w:rFonts w:eastAsia="Times New Roman" w:cs="Times New Roman"/>
          <w:i/>
        </w:rPr>
        <w:t>Cognition.</w:t>
      </w:r>
    </w:p>
    <w:p w14:paraId="2310F09D" w14:textId="77777777" w:rsidR="003D2F20" w:rsidRPr="003D2F20" w:rsidRDefault="003D2F20" w:rsidP="003D2F20">
      <w:pPr>
        <w:spacing w:line="480" w:lineRule="auto"/>
        <w:ind w:left="720" w:hanging="720"/>
        <w:rPr>
          <w:rFonts w:eastAsia="Times New Roman" w:cs="Times New Roman"/>
          <w:shd w:val="clear" w:color="auto" w:fill="FFFFFF"/>
        </w:rPr>
      </w:pPr>
      <w:r w:rsidRPr="003D2F20">
        <w:rPr>
          <w:rFonts w:eastAsia="Times New Roman" w:cs="Times New Roman"/>
          <w:shd w:val="clear" w:color="auto" w:fill="FFFFFF"/>
        </w:rPr>
        <w:t>Qin, J., Ogle, C. M., &amp; Goodman, G. S. (2008). Adults' memories of childhood: True and false reports</w:t>
      </w:r>
      <w:r w:rsidRPr="00544DDC">
        <w:rPr>
          <w:rFonts w:eastAsia="Times New Roman" w:cs="Times New Roman"/>
          <w:i/>
          <w:shd w:val="clear" w:color="auto" w:fill="FFFFFF"/>
        </w:rPr>
        <w:t>. Journal of Experimental Psychology: Applied, 14</w:t>
      </w:r>
      <w:r w:rsidRPr="003D2F20">
        <w:rPr>
          <w:rFonts w:eastAsia="Times New Roman" w:cs="Times New Roman"/>
          <w:shd w:val="clear" w:color="auto" w:fill="FFFFFF"/>
        </w:rPr>
        <w:t>(4), 373.</w:t>
      </w:r>
    </w:p>
    <w:p w14:paraId="760E9E6D" w14:textId="6C2BABD5" w:rsidR="00290028" w:rsidRPr="009F5B9F" w:rsidRDefault="00290028" w:rsidP="00B30253">
      <w:pPr>
        <w:spacing w:line="480" w:lineRule="auto"/>
        <w:ind w:left="720" w:hanging="720"/>
        <w:rPr>
          <w:rFonts w:eastAsia="Times New Roman" w:cs="Times New Roman"/>
          <w:shd w:val="clear" w:color="auto" w:fill="FFFFFF"/>
        </w:rPr>
      </w:pPr>
      <w:r w:rsidRPr="009F5B9F">
        <w:rPr>
          <w:rFonts w:eastAsia="Times New Roman" w:cs="Times New Roman"/>
          <w:shd w:val="clear" w:color="auto" w:fill="FFFFFF"/>
        </w:rPr>
        <w:t>Reidy, T., &amp; Suiter, J. (2015). Do rules matter? Categorizing the regulation of referendum campaigns. </w:t>
      </w:r>
      <w:r w:rsidRPr="009F5B9F">
        <w:rPr>
          <w:rFonts w:eastAsia="Times New Roman" w:cs="Times New Roman"/>
          <w:i/>
          <w:iCs/>
          <w:shd w:val="clear" w:color="auto" w:fill="FFFFFF"/>
        </w:rPr>
        <w:t>Electoral Studies</w:t>
      </w:r>
      <w:r w:rsidRPr="009F5B9F">
        <w:rPr>
          <w:rFonts w:eastAsia="Times New Roman" w:cs="Times New Roman"/>
          <w:shd w:val="clear" w:color="auto" w:fill="FFFFFF"/>
        </w:rPr>
        <w:t>, </w:t>
      </w:r>
      <w:r w:rsidRPr="009F5B9F">
        <w:rPr>
          <w:rFonts w:eastAsia="Times New Roman" w:cs="Times New Roman"/>
          <w:i/>
          <w:iCs/>
          <w:shd w:val="clear" w:color="auto" w:fill="FFFFFF"/>
        </w:rPr>
        <w:t>38</w:t>
      </w:r>
      <w:r w:rsidRPr="009F5B9F">
        <w:rPr>
          <w:rFonts w:eastAsia="Times New Roman" w:cs="Times New Roman"/>
          <w:shd w:val="clear" w:color="auto" w:fill="FFFFFF"/>
        </w:rPr>
        <w:t>, 159-169.</w:t>
      </w:r>
    </w:p>
    <w:p w14:paraId="07B2AA77" w14:textId="77777777" w:rsidR="00BC4A84" w:rsidRPr="00BC4A84" w:rsidRDefault="00BC4A84" w:rsidP="00BC4A84">
      <w:pPr>
        <w:spacing w:line="480" w:lineRule="auto"/>
        <w:ind w:left="720" w:hanging="720"/>
        <w:rPr>
          <w:rFonts w:eastAsia="Times New Roman" w:cs="Times New Roman"/>
          <w:shd w:val="clear" w:color="auto" w:fill="FFFFFF"/>
        </w:rPr>
      </w:pPr>
      <w:r w:rsidRPr="00BC4A84">
        <w:rPr>
          <w:shd w:val="clear" w:color="auto" w:fill="FFFFFF"/>
        </w:rPr>
        <w:t>Roediger, H. L., &amp; Geraci, L. (2007). Aging and the misinformation effect: A neuropsychological analysis. </w:t>
      </w:r>
      <w:r w:rsidRPr="00BC4A84">
        <w:rPr>
          <w:rStyle w:val="Emphasis"/>
          <w:shd w:val="clear" w:color="auto" w:fill="FFFFFF"/>
        </w:rPr>
        <w:t>Journal of Experimental Psychology: Learning, Memory &amp; Cognition, 33</w:t>
      </w:r>
      <w:r w:rsidRPr="00BC4A84">
        <w:rPr>
          <w:shd w:val="clear" w:color="auto" w:fill="FFFFFF"/>
        </w:rPr>
        <w:t>, 321-334.</w:t>
      </w:r>
    </w:p>
    <w:p w14:paraId="36772116" w14:textId="152D41FA" w:rsidR="00090502" w:rsidRPr="009F5B9F" w:rsidRDefault="00090502" w:rsidP="00B30253">
      <w:pPr>
        <w:spacing w:line="480" w:lineRule="auto"/>
        <w:ind w:left="720" w:hanging="720"/>
        <w:rPr>
          <w:rFonts w:eastAsia="Times New Roman" w:cs="Times New Roman"/>
        </w:rPr>
      </w:pPr>
      <w:r w:rsidRPr="009F5B9F">
        <w:rPr>
          <w:rFonts w:eastAsia="Times New Roman" w:cs="Arial"/>
          <w:shd w:val="clear" w:color="auto" w:fill="FFFFFF"/>
        </w:rPr>
        <w:t>Sacchi, D. L., Agnoli, F., &amp; Loftus, E. F. (2007). Changing history: Doctored photographs affect memory for past public events. </w:t>
      </w:r>
      <w:r w:rsidRPr="009F5B9F">
        <w:rPr>
          <w:rFonts w:eastAsia="Times New Roman" w:cs="Arial"/>
          <w:i/>
          <w:iCs/>
          <w:shd w:val="clear" w:color="auto" w:fill="FFFFFF"/>
        </w:rPr>
        <w:t>Applied Cognitive Psychology</w:t>
      </w:r>
      <w:r w:rsidRPr="009F5B9F">
        <w:rPr>
          <w:rFonts w:eastAsia="Times New Roman" w:cs="Arial"/>
          <w:shd w:val="clear" w:color="auto" w:fill="FFFFFF"/>
        </w:rPr>
        <w:t>, </w:t>
      </w:r>
      <w:r w:rsidRPr="009F5B9F">
        <w:rPr>
          <w:rFonts w:eastAsia="Times New Roman" w:cs="Arial"/>
          <w:i/>
          <w:iCs/>
          <w:shd w:val="clear" w:color="auto" w:fill="FFFFFF"/>
        </w:rPr>
        <w:t>21</w:t>
      </w:r>
      <w:r w:rsidRPr="009F5B9F">
        <w:rPr>
          <w:rFonts w:eastAsia="Times New Roman" w:cs="Arial"/>
          <w:shd w:val="clear" w:color="auto" w:fill="FFFFFF"/>
        </w:rPr>
        <w:t>(8), 1005-1022.</w:t>
      </w:r>
    </w:p>
    <w:p w14:paraId="09FCC1C9" w14:textId="7BB1D13A" w:rsidR="00DE0568" w:rsidRDefault="00DE0568" w:rsidP="00B30253">
      <w:pPr>
        <w:spacing w:line="480" w:lineRule="auto"/>
        <w:ind w:left="720" w:hanging="720"/>
        <w:rPr>
          <w:rFonts w:eastAsia="Times New Roman" w:cs="Arial"/>
          <w:shd w:val="clear" w:color="auto" w:fill="FFFFFF"/>
        </w:rPr>
      </w:pPr>
      <w:r w:rsidRPr="00DE0568">
        <w:rPr>
          <w:rFonts w:eastAsia="Times New Roman" w:cs="Arial"/>
          <w:shd w:val="clear" w:color="auto" w:fill="FFFFFF"/>
        </w:rPr>
        <w:t>Strange, D., Garry, M., Bernstein, D. M., &amp; Lindsay, D. S. (2011). Photographs cause false memories for the news. Acta Psychologica, 136(1), 90-94.</w:t>
      </w:r>
    </w:p>
    <w:p w14:paraId="1C5EE385" w14:textId="1A109A50" w:rsidR="00C211EA" w:rsidRPr="009F5B9F" w:rsidRDefault="00A34069" w:rsidP="00B30253">
      <w:pPr>
        <w:spacing w:line="480" w:lineRule="auto"/>
        <w:ind w:left="720" w:hanging="720"/>
        <w:rPr>
          <w:rFonts w:eastAsia="Times New Roman" w:cs="Arial"/>
          <w:shd w:val="clear" w:color="auto" w:fill="FFFFFF"/>
        </w:rPr>
      </w:pPr>
      <w:r w:rsidRPr="009F5B9F">
        <w:rPr>
          <w:rFonts w:eastAsia="Times New Roman" w:cs="Arial"/>
          <w:shd w:val="clear" w:color="auto" w:fill="FFFFFF"/>
        </w:rPr>
        <w:t>Taylor, M. (2015). Women’s right to health and Ireland’s abortion laws. </w:t>
      </w:r>
      <w:r w:rsidRPr="009F5B9F">
        <w:rPr>
          <w:rFonts w:eastAsia="Times New Roman" w:cs="Arial"/>
          <w:i/>
          <w:iCs/>
          <w:shd w:val="clear" w:color="auto" w:fill="FFFFFF"/>
        </w:rPr>
        <w:t>International Journal of Gynecology &amp; Obstetrics</w:t>
      </w:r>
      <w:r w:rsidRPr="009F5B9F">
        <w:rPr>
          <w:rFonts w:eastAsia="Times New Roman" w:cs="Arial"/>
          <w:shd w:val="clear" w:color="auto" w:fill="FFFFFF"/>
        </w:rPr>
        <w:t>, </w:t>
      </w:r>
      <w:r w:rsidRPr="009F5B9F">
        <w:rPr>
          <w:rFonts w:eastAsia="Times New Roman" w:cs="Arial"/>
          <w:i/>
          <w:iCs/>
          <w:shd w:val="clear" w:color="auto" w:fill="FFFFFF"/>
        </w:rPr>
        <w:t>130</w:t>
      </w:r>
      <w:r w:rsidRPr="009F5B9F">
        <w:rPr>
          <w:rFonts w:eastAsia="Times New Roman" w:cs="Arial"/>
          <w:shd w:val="clear" w:color="auto" w:fill="FFFFFF"/>
        </w:rPr>
        <w:t>(1), 93-97</w:t>
      </w:r>
      <w:r w:rsidR="008A6167" w:rsidRPr="009F5B9F">
        <w:rPr>
          <w:rFonts w:eastAsia="Times New Roman" w:cs="Arial"/>
          <w:shd w:val="clear" w:color="auto" w:fill="FFFFFF"/>
        </w:rPr>
        <w:t>.</w:t>
      </w:r>
    </w:p>
    <w:p w14:paraId="5539ACBA" w14:textId="5403F4ED" w:rsidR="008A6167" w:rsidRPr="009F5B9F" w:rsidRDefault="008A6167" w:rsidP="00B30253">
      <w:pPr>
        <w:spacing w:line="480" w:lineRule="auto"/>
        <w:ind w:left="720" w:hanging="720"/>
        <w:rPr>
          <w:rFonts w:eastAsia="Times New Roman" w:cs="Arial"/>
          <w:shd w:val="clear" w:color="auto" w:fill="FFFFFF"/>
        </w:rPr>
      </w:pPr>
      <w:r w:rsidRPr="009F5B9F">
        <w:rPr>
          <w:rFonts w:eastAsia="Times New Roman" w:cs="Arial"/>
          <w:shd w:val="clear" w:color="auto" w:fill="FFFFFF"/>
        </w:rPr>
        <w:t>Thorndike, R.L., &amp; Gallup, G.</w:t>
      </w:r>
      <w:r w:rsidR="00C211EA">
        <w:rPr>
          <w:rFonts w:eastAsia="Times New Roman" w:cs="Arial"/>
          <w:shd w:val="clear" w:color="auto" w:fill="FFFFFF"/>
        </w:rPr>
        <w:t xml:space="preserve"> </w:t>
      </w:r>
      <w:r w:rsidRPr="009F5B9F">
        <w:rPr>
          <w:rFonts w:eastAsia="Times New Roman" w:cs="Arial"/>
          <w:shd w:val="clear" w:color="auto" w:fill="FFFFFF"/>
        </w:rPr>
        <w:t>H. (1944). Verbal intelligence of the American adult</w:t>
      </w:r>
      <w:r w:rsidR="00C211EA">
        <w:rPr>
          <w:rFonts w:eastAsia="Times New Roman" w:cs="Arial"/>
          <w:shd w:val="clear" w:color="auto" w:fill="FFFFFF"/>
        </w:rPr>
        <w:t xml:space="preserve">. </w:t>
      </w:r>
      <w:r w:rsidRPr="00416D22">
        <w:rPr>
          <w:rFonts w:eastAsia="Times New Roman" w:cs="Arial"/>
          <w:i/>
          <w:shd w:val="clear" w:color="auto" w:fill="FFFFFF"/>
        </w:rPr>
        <w:t>Journal of General Psychology, 30</w:t>
      </w:r>
      <w:r w:rsidRPr="009F5B9F">
        <w:rPr>
          <w:rFonts w:eastAsia="Times New Roman" w:cs="Arial"/>
          <w:shd w:val="clear" w:color="auto" w:fill="FFFFFF"/>
        </w:rPr>
        <w:t>, 75–85.</w:t>
      </w:r>
    </w:p>
    <w:p w14:paraId="387DA20F" w14:textId="115ED146" w:rsidR="00585053" w:rsidRPr="009F5B9F" w:rsidRDefault="00585053" w:rsidP="00B30253">
      <w:pPr>
        <w:spacing w:line="480" w:lineRule="auto"/>
        <w:ind w:left="720" w:hanging="720"/>
        <w:rPr>
          <w:rFonts w:eastAsia="Times New Roman" w:cs="Arial"/>
          <w:shd w:val="clear" w:color="auto" w:fill="FFFFFF"/>
        </w:rPr>
      </w:pPr>
      <w:r w:rsidRPr="009F5B9F">
        <w:rPr>
          <w:rFonts w:eastAsia="Times New Roman" w:cs="Arial"/>
          <w:shd w:val="clear" w:color="auto" w:fill="FFFFFF"/>
        </w:rPr>
        <w:t xml:space="preserve">Wade, K. A., Garry, M., &amp; Pezdek, K. (2018). Deconstructing rich false memories of committing crime: Commentary on Shaw and Porter (2015). </w:t>
      </w:r>
      <w:r w:rsidRPr="00416D22">
        <w:rPr>
          <w:rFonts w:eastAsia="Times New Roman" w:cs="Arial"/>
          <w:i/>
          <w:shd w:val="clear" w:color="auto" w:fill="FFFFFF"/>
        </w:rPr>
        <w:t xml:space="preserve">Psychological </w:t>
      </w:r>
      <w:r w:rsidR="00416D22">
        <w:rPr>
          <w:rFonts w:eastAsia="Times New Roman" w:cs="Arial"/>
          <w:i/>
          <w:shd w:val="clear" w:color="auto" w:fill="FFFFFF"/>
        </w:rPr>
        <w:t>S</w:t>
      </w:r>
      <w:r w:rsidRPr="00416D22">
        <w:rPr>
          <w:rFonts w:eastAsia="Times New Roman" w:cs="Arial"/>
          <w:i/>
          <w:shd w:val="clear" w:color="auto" w:fill="FFFFFF"/>
        </w:rPr>
        <w:t>cience, 29</w:t>
      </w:r>
      <w:r w:rsidRPr="009F5B9F">
        <w:rPr>
          <w:rFonts w:eastAsia="Times New Roman" w:cs="Arial"/>
          <w:shd w:val="clear" w:color="auto" w:fill="FFFFFF"/>
        </w:rPr>
        <w:t>(3), 471-476.</w:t>
      </w:r>
    </w:p>
    <w:p w14:paraId="24BA0FF8" w14:textId="77777777" w:rsidR="000158FE" w:rsidRPr="009F5B9F" w:rsidRDefault="000158FE" w:rsidP="00B30253">
      <w:pPr>
        <w:spacing w:line="480" w:lineRule="auto"/>
        <w:ind w:left="720" w:hanging="720"/>
        <w:rPr>
          <w:rFonts w:eastAsia="Times New Roman" w:cs="Times New Roman"/>
        </w:rPr>
      </w:pPr>
      <w:r w:rsidRPr="009F5B9F">
        <w:rPr>
          <w:rFonts w:eastAsia="Times New Roman" w:cs="Arial"/>
          <w:shd w:val="clear" w:color="auto" w:fill="FFFFFF"/>
        </w:rPr>
        <w:t>Zhu, B., Chen, C., Loftus, E. F., Lin, C., He, Q., Chen, C., ... &amp; Dong, Q. (2010). Individual differences in false memory from misinformation: Cognitive factors. </w:t>
      </w:r>
      <w:r w:rsidRPr="009F5B9F">
        <w:rPr>
          <w:rFonts w:eastAsia="Times New Roman" w:cs="Arial"/>
          <w:i/>
          <w:iCs/>
          <w:shd w:val="clear" w:color="auto" w:fill="FFFFFF"/>
        </w:rPr>
        <w:t>Memory</w:t>
      </w:r>
      <w:r w:rsidRPr="009F5B9F">
        <w:rPr>
          <w:rFonts w:eastAsia="Times New Roman" w:cs="Arial"/>
          <w:shd w:val="clear" w:color="auto" w:fill="FFFFFF"/>
        </w:rPr>
        <w:t>, </w:t>
      </w:r>
      <w:r w:rsidRPr="009F5B9F">
        <w:rPr>
          <w:rFonts w:eastAsia="Times New Roman" w:cs="Arial"/>
          <w:i/>
          <w:iCs/>
          <w:shd w:val="clear" w:color="auto" w:fill="FFFFFF"/>
        </w:rPr>
        <w:t>18</w:t>
      </w:r>
      <w:r w:rsidRPr="009F5B9F">
        <w:rPr>
          <w:rFonts w:eastAsia="Times New Roman" w:cs="Arial"/>
          <w:shd w:val="clear" w:color="auto" w:fill="FFFFFF"/>
        </w:rPr>
        <w:t>(5), 543-555.</w:t>
      </w:r>
    </w:p>
    <w:p w14:paraId="269A8E5A" w14:textId="77777777" w:rsidR="000158FE" w:rsidRPr="009F5B9F" w:rsidRDefault="000158FE" w:rsidP="00B30253">
      <w:pPr>
        <w:spacing w:line="480" w:lineRule="auto"/>
        <w:ind w:left="720" w:hanging="720"/>
      </w:pPr>
    </w:p>
    <w:sectPr w:rsidR="000158FE" w:rsidRPr="009F5B9F" w:rsidSect="0043640E">
      <w:headerReference w:type="default" r:id="rId21"/>
      <w:pgSz w:w="11909" w:h="16834"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9FA7" w14:textId="77777777" w:rsidR="00C32815" w:rsidRDefault="00C32815" w:rsidP="00FE2BC7">
      <w:r>
        <w:separator/>
      </w:r>
    </w:p>
  </w:endnote>
  <w:endnote w:type="continuationSeparator" w:id="0">
    <w:p w14:paraId="0854F1BD" w14:textId="77777777" w:rsidR="00C32815" w:rsidRDefault="00C32815" w:rsidP="00FE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E5234" w14:textId="77777777" w:rsidR="00C32815" w:rsidRDefault="00C32815" w:rsidP="00FE2BC7">
      <w:r>
        <w:separator/>
      </w:r>
    </w:p>
  </w:footnote>
  <w:footnote w:type="continuationSeparator" w:id="0">
    <w:p w14:paraId="26AADA3B" w14:textId="77777777" w:rsidR="00C32815" w:rsidRDefault="00C32815" w:rsidP="00FE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356911"/>
      <w:docPartObj>
        <w:docPartGallery w:val="Page Numbers (Top of Page)"/>
        <w:docPartUnique/>
      </w:docPartObj>
    </w:sdtPr>
    <w:sdtEndPr>
      <w:rPr>
        <w:rFonts w:ascii="Times New Roman" w:hAnsi="Times New Roman" w:cs="Times New Roman"/>
        <w:noProof/>
      </w:rPr>
    </w:sdtEndPr>
    <w:sdtContent>
      <w:p w14:paraId="7B37F3AA" w14:textId="70CB15ED" w:rsidR="00C25916" w:rsidRPr="00A171CF" w:rsidRDefault="00C25916" w:rsidP="00A171CF">
        <w:pPr>
          <w:pStyle w:val="Header"/>
          <w:tabs>
            <w:tab w:val="clear" w:pos="9360"/>
            <w:tab w:val="right" w:pos="8550"/>
          </w:tabs>
          <w:rPr>
            <w:rFonts w:ascii="Times New Roman" w:hAnsi="Times New Roman" w:cs="Times New Roman"/>
          </w:rPr>
        </w:pPr>
        <w:r>
          <w:t>FALSE MEMORIES FOR POLITICAL SCANDALS</w:t>
        </w:r>
        <w:r>
          <w:tab/>
        </w:r>
        <w:r>
          <w:tab/>
        </w:r>
      </w:p>
    </w:sdtContent>
  </w:sdt>
  <w:p w14:paraId="47178163" w14:textId="03D65A2B" w:rsidR="00C25916" w:rsidRDefault="00C32815" w:rsidP="00A171CF">
    <w:pPr>
      <w:pStyle w:val="Header"/>
      <w:jc w:val="both"/>
    </w:pPr>
    <w:sdt>
      <w:sdtPr>
        <w:id w:val="1491678934"/>
        <w:docPartObj>
          <w:docPartGallery w:val="Page Numbers (Margins)"/>
          <w:docPartUnique/>
        </w:docPartObj>
      </w:sdtPr>
      <w:sdtEndPr/>
      <w:sdtContent>
        <w:r w:rsidR="00C25916">
          <w:rPr>
            <w:noProof/>
          </w:rPr>
          <mc:AlternateContent>
            <mc:Choice Requires="wps">
              <w:drawing>
                <wp:anchor distT="0" distB="0" distL="114300" distR="114300" simplePos="0" relativeHeight="251658240" behindDoc="0" locked="0" layoutInCell="0" allowOverlap="1" wp14:anchorId="0504BF58" wp14:editId="222D415A">
                  <wp:simplePos x="0" y="0"/>
                  <wp:positionH relativeFrom="rightMargin">
                    <wp:align>center</wp:align>
                  </wp:positionH>
                  <wp:positionV relativeFrom="margin">
                    <wp:align>bottom</wp:align>
                  </wp:positionV>
                  <wp:extent cx="52387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0D9C78" w14:textId="7FC7BA81" w:rsidR="00C25916" w:rsidRDefault="00C259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sz w:val="22"/>
                                  <w:szCs w:val="22"/>
                                </w:rPr>
                                <w:fldChar w:fldCharType="begin"/>
                              </w:r>
                              <w:r>
                                <w:instrText xml:space="preserve"> PAGE    \* MERGEFORMAT </w:instrText>
                              </w:r>
                              <w:r>
                                <w:rPr>
                                  <w:sz w:val="22"/>
                                  <w:szCs w:val="22"/>
                                </w:rPr>
                                <w:fldChar w:fldCharType="separate"/>
                              </w:r>
                              <w:r w:rsidR="00B731F8" w:rsidRPr="00B731F8">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04BF58" id="Rectangle 3" o:spid="_x0000_s1026" style="position:absolute;left:0;text-align:left;margin-left:0;margin-top:0;width:41.25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" o:allowincell="f" filled="f" stroked="f">
                  <v:textbox style="layout-flow:vertical;mso-layout-flow-alt:bottom-to-top;mso-fit-shape-to-text:t">
                    <w:txbxContent>
                      <w:p w14:paraId="6A0D9C78" w14:textId="7FC7BA81" w:rsidR="00C25916" w:rsidRDefault="00C259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sz w:val="22"/>
                            <w:szCs w:val="22"/>
                          </w:rPr>
                          <w:fldChar w:fldCharType="begin"/>
                        </w:r>
                        <w:r>
                          <w:instrText xml:space="preserve"> PAGE    \* MERGEFORMAT </w:instrText>
                        </w:r>
                        <w:r>
                          <w:rPr>
                            <w:sz w:val="22"/>
                            <w:szCs w:val="22"/>
                          </w:rPr>
                          <w:fldChar w:fldCharType="separate"/>
                        </w:r>
                        <w:r w:rsidR="00B731F8" w:rsidRPr="00B731F8">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57B"/>
    <w:multiLevelType w:val="hybridMultilevel"/>
    <w:tmpl w:val="1B1C73F6"/>
    <w:lvl w:ilvl="0" w:tplc="CF18656A">
      <w:start w:val="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D3289"/>
    <w:multiLevelType w:val="hybridMultilevel"/>
    <w:tmpl w:val="64C6974A"/>
    <w:lvl w:ilvl="0" w:tplc="89ACECA0">
      <w:start w:val="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83C30"/>
    <w:multiLevelType w:val="hybridMultilevel"/>
    <w:tmpl w:val="65DE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93FE7"/>
    <w:multiLevelType w:val="hybridMultilevel"/>
    <w:tmpl w:val="381A92BC"/>
    <w:lvl w:ilvl="0" w:tplc="7A1C042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F80339"/>
    <w:multiLevelType w:val="hybridMultilevel"/>
    <w:tmpl w:val="6AB0470A"/>
    <w:lvl w:ilvl="0" w:tplc="1F00AEEE">
      <w:start w:val="3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25"/>
    <w:rsid w:val="00001005"/>
    <w:rsid w:val="00001748"/>
    <w:rsid w:val="00001B3D"/>
    <w:rsid w:val="00002272"/>
    <w:rsid w:val="00003A1B"/>
    <w:rsid w:val="000068E6"/>
    <w:rsid w:val="00006944"/>
    <w:rsid w:val="0000786D"/>
    <w:rsid w:val="00007F30"/>
    <w:rsid w:val="00007FD3"/>
    <w:rsid w:val="0001027D"/>
    <w:rsid w:val="00010D47"/>
    <w:rsid w:val="000118C2"/>
    <w:rsid w:val="00012EDD"/>
    <w:rsid w:val="000137F7"/>
    <w:rsid w:val="00014C3C"/>
    <w:rsid w:val="00015397"/>
    <w:rsid w:val="000158FE"/>
    <w:rsid w:val="000159F8"/>
    <w:rsid w:val="00020657"/>
    <w:rsid w:val="00023DB3"/>
    <w:rsid w:val="00023FD1"/>
    <w:rsid w:val="00024848"/>
    <w:rsid w:val="000262C2"/>
    <w:rsid w:val="00026CDC"/>
    <w:rsid w:val="00027925"/>
    <w:rsid w:val="0002797F"/>
    <w:rsid w:val="00027AB1"/>
    <w:rsid w:val="00030C93"/>
    <w:rsid w:val="0003110A"/>
    <w:rsid w:val="00031DD8"/>
    <w:rsid w:val="00031EB0"/>
    <w:rsid w:val="00031F10"/>
    <w:rsid w:val="00031FA0"/>
    <w:rsid w:val="0003444E"/>
    <w:rsid w:val="00035092"/>
    <w:rsid w:val="000352FD"/>
    <w:rsid w:val="000354A4"/>
    <w:rsid w:val="00036511"/>
    <w:rsid w:val="00037026"/>
    <w:rsid w:val="000373AE"/>
    <w:rsid w:val="00037FF2"/>
    <w:rsid w:val="000413A1"/>
    <w:rsid w:val="000416B0"/>
    <w:rsid w:val="000420B8"/>
    <w:rsid w:val="000423C7"/>
    <w:rsid w:val="00044138"/>
    <w:rsid w:val="0004776E"/>
    <w:rsid w:val="000477D2"/>
    <w:rsid w:val="00050014"/>
    <w:rsid w:val="000502CC"/>
    <w:rsid w:val="000509E1"/>
    <w:rsid w:val="00050D75"/>
    <w:rsid w:val="00051709"/>
    <w:rsid w:val="00051DE0"/>
    <w:rsid w:val="0005226B"/>
    <w:rsid w:val="00052ABA"/>
    <w:rsid w:val="00054743"/>
    <w:rsid w:val="00054B15"/>
    <w:rsid w:val="00055E50"/>
    <w:rsid w:val="0005607C"/>
    <w:rsid w:val="00056AD9"/>
    <w:rsid w:val="00057BF8"/>
    <w:rsid w:val="00060980"/>
    <w:rsid w:val="000612E5"/>
    <w:rsid w:val="000624AD"/>
    <w:rsid w:val="00062750"/>
    <w:rsid w:val="000643A8"/>
    <w:rsid w:val="00064EE7"/>
    <w:rsid w:val="00065189"/>
    <w:rsid w:val="00065ACA"/>
    <w:rsid w:val="00066FCC"/>
    <w:rsid w:val="00070DF8"/>
    <w:rsid w:val="000720B5"/>
    <w:rsid w:val="00072C0E"/>
    <w:rsid w:val="000736B6"/>
    <w:rsid w:val="0007635C"/>
    <w:rsid w:val="00077495"/>
    <w:rsid w:val="00077E8E"/>
    <w:rsid w:val="00080455"/>
    <w:rsid w:val="00081FA9"/>
    <w:rsid w:val="000829B0"/>
    <w:rsid w:val="00082FB1"/>
    <w:rsid w:val="00083385"/>
    <w:rsid w:val="0008402B"/>
    <w:rsid w:val="00084694"/>
    <w:rsid w:val="00084887"/>
    <w:rsid w:val="00084D22"/>
    <w:rsid w:val="000903D5"/>
    <w:rsid w:val="00090502"/>
    <w:rsid w:val="00090BE5"/>
    <w:rsid w:val="00093135"/>
    <w:rsid w:val="000941E3"/>
    <w:rsid w:val="00094646"/>
    <w:rsid w:val="00095FBE"/>
    <w:rsid w:val="00096F85"/>
    <w:rsid w:val="00097766"/>
    <w:rsid w:val="000A071B"/>
    <w:rsid w:val="000A0951"/>
    <w:rsid w:val="000A14BE"/>
    <w:rsid w:val="000A2FC1"/>
    <w:rsid w:val="000A339B"/>
    <w:rsid w:val="000A3D1A"/>
    <w:rsid w:val="000A46C3"/>
    <w:rsid w:val="000A4732"/>
    <w:rsid w:val="000A4740"/>
    <w:rsid w:val="000A6D45"/>
    <w:rsid w:val="000A7C89"/>
    <w:rsid w:val="000B03A3"/>
    <w:rsid w:val="000B26F3"/>
    <w:rsid w:val="000B2ACE"/>
    <w:rsid w:val="000B2BBA"/>
    <w:rsid w:val="000B2F8B"/>
    <w:rsid w:val="000B35ED"/>
    <w:rsid w:val="000B4932"/>
    <w:rsid w:val="000C0ABA"/>
    <w:rsid w:val="000C0AC5"/>
    <w:rsid w:val="000C0D3A"/>
    <w:rsid w:val="000C33F3"/>
    <w:rsid w:val="000C34D1"/>
    <w:rsid w:val="000C3737"/>
    <w:rsid w:val="000C3882"/>
    <w:rsid w:val="000C44AB"/>
    <w:rsid w:val="000C45E3"/>
    <w:rsid w:val="000C52FC"/>
    <w:rsid w:val="000C5586"/>
    <w:rsid w:val="000C71AC"/>
    <w:rsid w:val="000D0168"/>
    <w:rsid w:val="000D1604"/>
    <w:rsid w:val="000D1B5D"/>
    <w:rsid w:val="000D1C2D"/>
    <w:rsid w:val="000D2C44"/>
    <w:rsid w:val="000D2CBB"/>
    <w:rsid w:val="000D340F"/>
    <w:rsid w:val="000D496C"/>
    <w:rsid w:val="000D4A10"/>
    <w:rsid w:val="000D640F"/>
    <w:rsid w:val="000D6829"/>
    <w:rsid w:val="000D69BA"/>
    <w:rsid w:val="000E0C2A"/>
    <w:rsid w:val="000E187E"/>
    <w:rsid w:val="000E3212"/>
    <w:rsid w:val="000E38A6"/>
    <w:rsid w:val="000E4924"/>
    <w:rsid w:val="000E5792"/>
    <w:rsid w:val="000E5A9A"/>
    <w:rsid w:val="000E61C5"/>
    <w:rsid w:val="000E6D5F"/>
    <w:rsid w:val="000F0D62"/>
    <w:rsid w:val="000F1461"/>
    <w:rsid w:val="000F1F2A"/>
    <w:rsid w:val="000F2E38"/>
    <w:rsid w:val="000F31E2"/>
    <w:rsid w:val="000F36EC"/>
    <w:rsid w:val="000F38B7"/>
    <w:rsid w:val="000F3AE0"/>
    <w:rsid w:val="000F4301"/>
    <w:rsid w:val="000F4FD1"/>
    <w:rsid w:val="000F62FA"/>
    <w:rsid w:val="000F6430"/>
    <w:rsid w:val="000F780C"/>
    <w:rsid w:val="000F7A6B"/>
    <w:rsid w:val="001013B2"/>
    <w:rsid w:val="00101642"/>
    <w:rsid w:val="001018C1"/>
    <w:rsid w:val="001025AF"/>
    <w:rsid w:val="00104DDF"/>
    <w:rsid w:val="001053E7"/>
    <w:rsid w:val="00105CC7"/>
    <w:rsid w:val="00105D3E"/>
    <w:rsid w:val="00107794"/>
    <w:rsid w:val="00110535"/>
    <w:rsid w:val="001106ED"/>
    <w:rsid w:val="001141EE"/>
    <w:rsid w:val="001153E3"/>
    <w:rsid w:val="00115D0F"/>
    <w:rsid w:val="00117536"/>
    <w:rsid w:val="00117B78"/>
    <w:rsid w:val="001232B5"/>
    <w:rsid w:val="001235FB"/>
    <w:rsid w:val="00123777"/>
    <w:rsid w:val="00123939"/>
    <w:rsid w:val="001243CF"/>
    <w:rsid w:val="00126EA5"/>
    <w:rsid w:val="00130916"/>
    <w:rsid w:val="001329E9"/>
    <w:rsid w:val="00135645"/>
    <w:rsid w:val="001369A5"/>
    <w:rsid w:val="00140666"/>
    <w:rsid w:val="001410D1"/>
    <w:rsid w:val="00141702"/>
    <w:rsid w:val="00141D54"/>
    <w:rsid w:val="00142479"/>
    <w:rsid w:val="00143827"/>
    <w:rsid w:val="00144B13"/>
    <w:rsid w:val="001468BD"/>
    <w:rsid w:val="00150E9D"/>
    <w:rsid w:val="00155B3B"/>
    <w:rsid w:val="00156C45"/>
    <w:rsid w:val="001618D3"/>
    <w:rsid w:val="00161E63"/>
    <w:rsid w:val="00161EAA"/>
    <w:rsid w:val="00162393"/>
    <w:rsid w:val="001633E9"/>
    <w:rsid w:val="0016433D"/>
    <w:rsid w:val="00164B52"/>
    <w:rsid w:val="00164BC7"/>
    <w:rsid w:val="00171451"/>
    <w:rsid w:val="001728D8"/>
    <w:rsid w:val="001733DD"/>
    <w:rsid w:val="0017348E"/>
    <w:rsid w:val="001745B0"/>
    <w:rsid w:val="00174E3C"/>
    <w:rsid w:val="00175420"/>
    <w:rsid w:val="00175750"/>
    <w:rsid w:val="00176511"/>
    <w:rsid w:val="00176BA2"/>
    <w:rsid w:val="0017785D"/>
    <w:rsid w:val="001800E5"/>
    <w:rsid w:val="00180408"/>
    <w:rsid w:val="001809AD"/>
    <w:rsid w:val="00180FC1"/>
    <w:rsid w:val="00184271"/>
    <w:rsid w:val="00185304"/>
    <w:rsid w:val="001855D9"/>
    <w:rsid w:val="0018597E"/>
    <w:rsid w:val="00185DE0"/>
    <w:rsid w:val="00186DCB"/>
    <w:rsid w:val="001873E2"/>
    <w:rsid w:val="0018772C"/>
    <w:rsid w:val="00187AE8"/>
    <w:rsid w:val="00190101"/>
    <w:rsid w:val="00190269"/>
    <w:rsid w:val="00190A17"/>
    <w:rsid w:val="001917CD"/>
    <w:rsid w:val="001934E4"/>
    <w:rsid w:val="00193900"/>
    <w:rsid w:val="0019444B"/>
    <w:rsid w:val="00194EA8"/>
    <w:rsid w:val="0019580B"/>
    <w:rsid w:val="00196EEF"/>
    <w:rsid w:val="001977A4"/>
    <w:rsid w:val="00197910"/>
    <w:rsid w:val="001A0DB8"/>
    <w:rsid w:val="001A1543"/>
    <w:rsid w:val="001A1EAE"/>
    <w:rsid w:val="001A22E9"/>
    <w:rsid w:val="001A2BA0"/>
    <w:rsid w:val="001A3ACB"/>
    <w:rsid w:val="001A46DA"/>
    <w:rsid w:val="001A56F9"/>
    <w:rsid w:val="001A61F2"/>
    <w:rsid w:val="001A63CE"/>
    <w:rsid w:val="001A6875"/>
    <w:rsid w:val="001A695A"/>
    <w:rsid w:val="001A6A5D"/>
    <w:rsid w:val="001A6D53"/>
    <w:rsid w:val="001A6FCA"/>
    <w:rsid w:val="001B0FE1"/>
    <w:rsid w:val="001B1402"/>
    <w:rsid w:val="001B3DED"/>
    <w:rsid w:val="001B4CBA"/>
    <w:rsid w:val="001B505E"/>
    <w:rsid w:val="001B5394"/>
    <w:rsid w:val="001B589C"/>
    <w:rsid w:val="001B5D2F"/>
    <w:rsid w:val="001B6062"/>
    <w:rsid w:val="001B6A64"/>
    <w:rsid w:val="001B79F8"/>
    <w:rsid w:val="001B7D4F"/>
    <w:rsid w:val="001C06ED"/>
    <w:rsid w:val="001C146F"/>
    <w:rsid w:val="001C215B"/>
    <w:rsid w:val="001C7DB2"/>
    <w:rsid w:val="001D04D3"/>
    <w:rsid w:val="001D2B0F"/>
    <w:rsid w:val="001D3010"/>
    <w:rsid w:val="001D3C56"/>
    <w:rsid w:val="001D4249"/>
    <w:rsid w:val="001D4769"/>
    <w:rsid w:val="001D4A77"/>
    <w:rsid w:val="001D5D53"/>
    <w:rsid w:val="001D7B2E"/>
    <w:rsid w:val="001E048C"/>
    <w:rsid w:val="001E1203"/>
    <w:rsid w:val="001E1AC2"/>
    <w:rsid w:val="001E2F25"/>
    <w:rsid w:val="001E416F"/>
    <w:rsid w:val="001E47B1"/>
    <w:rsid w:val="001E57A1"/>
    <w:rsid w:val="001E6E3F"/>
    <w:rsid w:val="001E78A4"/>
    <w:rsid w:val="001E7B79"/>
    <w:rsid w:val="001F005F"/>
    <w:rsid w:val="001F1E22"/>
    <w:rsid w:val="001F35DA"/>
    <w:rsid w:val="001F3B9D"/>
    <w:rsid w:val="001F4556"/>
    <w:rsid w:val="001F59BC"/>
    <w:rsid w:val="001F66BA"/>
    <w:rsid w:val="001F7072"/>
    <w:rsid w:val="00200B50"/>
    <w:rsid w:val="002014D9"/>
    <w:rsid w:val="00202CBC"/>
    <w:rsid w:val="0020640E"/>
    <w:rsid w:val="00206CF8"/>
    <w:rsid w:val="002117D2"/>
    <w:rsid w:val="0021218C"/>
    <w:rsid w:val="00212EA1"/>
    <w:rsid w:val="00213455"/>
    <w:rsid w:val="00215365"/>
    <w:rsid w:val="002155AE"/>
    <w:rsid w:val="00215D93"/>
    <w:rsid w:val="00215F36"/>
    <w:rsid w:val="00216AF9"/>
    <w:rsid w:val="00217E44"/>
    <w:rsid w:val="002265BD"/>
    <w:rsid w:val="0022721C"/>
    <w:rsid w:val="002301EC"/>
    <w:rsid w:val="00233AAF"/>
    <w:rsid w:val="00233AB0"/>
    <w:rsid w:val="00236AF4"/>
    <w:rsid w:val="002376B9"/>
    <w:rsid w:val="00237CB2"/>
    <w:rsid w:val="00237CBF"/>
    <w:rsid w:val="002417E6"/>
    <w:rsid w:val="00243A44"/>
    <w:rsid w:val="00244F37"/>
    <w:rsid w:val="002462E6"/>
    <w:rsid w:val="002475D4"/>
    <w:rsid w:val="0025015F"/>
    <w:rsid w:val="002505D9"/>
    <w:rsid w:val="002508BF"/>
    <w:rsid w:val="002515F4"/>
    <w:rsid w:val="00252CE3"/>
    <w:rsid w:val="0025314F"/>
    <w:rsid w:val="0025414E"/>
    <w:rsid w:val="00255325"/>
    <w:rsid w:val="00255465"/>
    <w:rsid w:val="002557CA"/>
    <w:rsid w:val="00255B4C"/>
    <w:rsid w:val="00255CB1"/>
    <w:rsid w:val="00255E27"/>
    <w:rsid w:val="00256302"/>
    <w:rsid w:val="00256DD6"/>
    <w:rsid w:val="002570B1"/>
    <w:rsid w:val="00257390"/>
    <w:rsid w:val="002604D4"/>
    <w:rsid w:val="00261349"/>
    <w:rsid w:val="002623A9"/>
    <w:rsid w:val="002628A5"/>
    <w:rsid w:val="00262F76"/>
    <w:rsid w:val="002631D4"/>
    <w:rsid w:val="00263F0C"/>
    <w:rsid w:val="002645D1"/>
    <w:rsid w:val="002646E4"/>
    <w:rsid w:val="0026685A"/>
    <w:rsid w:val="00266EEA"/>
    <w:rsid w:val="002674B1"/>
    <w:rsid w:val="002709D7"/>
    <w:rsid w:val="00270A7C"/>
    <w:rsid w:val="00273CF0"/>
    <w:rsid w:val="00274FEE"/>
    <w:rsid w:val="00275B42"/>
    <w:rsid w:val="00275E6D"/>
    <w:rsid w:val="00277CE8"/>
    <w:rsid w:val="00281346"/>
    <w:rsid w:val="0028274A"/>
    <w:rsid w:val="002846D5"/>
    <w:rsid w:val="00285C87"/>
    <w:rsid w:val="002868DF"/>
    <w:rsid w:val="00290028"/>
    <w:rsid w:val="00290CE1"/>
    <w:rsid w:val="0029150D"/>
    <w:rsid w:val="0029188E"/>
    <w:rsid w:val="002918A3"/>
    <w:rsid w:val="00292737"/>
    <w:rsid w:val="00292B6E"/>
    <w:rsid w:val="0029330D"/>
    <w:rsid w:val="00294642"/>
    <w:rsid w:val="00295514"/>
    <w:rsid w:val="002A04B8"/>
    <w:rsid w:val="002A05AC"/>
    <w:rsid w:val="002A0A9E"/>
    <w:rsid w:val="002A183A"/>
    <w:rsid w:val="002A30E9"/>
    <w:rsid w:val="002A318C"/>
    <w:rsid w:val="002A3C7B"/>
    <w:rsid w:val="002A4BEA"/>
    <w:rsid w:val="002A4C98"/>
    <w:rsid w:val="002A7345"/>
    <w:rsid w:val="002A7F3B"/>
    <w:rsid w:val="002B1529"/>
    <w:rsid w:val="002B19D6"/>
    <w:rsid w:val="002B4CFE"/>
    <w:rsid w:val="002B51F0"/>
    <w:rsid w:val="002B61CA"/>
    <w:rsid w:val="002B6339"/>
    <w:rsid w:val="002B79AD"/>
    <w:rsid w:val="002C0892"/>
    <w:rsid w:val="002C138F"/>
    <w:rsid w:val="002C3991"/>
    <w:rsid w:val="002C4F57"/>
    <w:rsid w:val="002C4FAA"/>
    <w:rsid w:val="002C63D4"/>
    <w:rsid w:val="002C66CF"/>
    <w:rsid w:val="002C70AF"/>
    <w:rsid w:val="002C7524"/>
    <w:rsid w:val="002C7780"/>
    <w:rsid w:val="002C7A23"/>
    <w:rsid w:val="002D0A7C"/>
    <w:rsid w:val="002D25AF"/>
    <w:rsid w:val="002D2948"/>
    <w:rsid w:val="002D3A36"/>
    <w:rsid w:val="002D4AD3"/>
    <w:rsid w:val="002D4D88"/>
    <w:rsid w:val="002D6628"/>
    <w:rsid w:val="002D7065"/>
    <w:rsid w:val="002E0592"/>
    <w:rsid w:val="002E307A"/>
    <w:rsid w:val="002E390E"/>
    <w:rsid w:val="002E3F1E"/>
    <w:rsid w:val="002E620F"/>
    <w:rsid w:val="002E65E5"/>
    <w:rsid w:val="002E7230"/>
    <w:rsid w:val="002F0B80"/>
    <w:rsid w:val="002F27C3"/>
    <w:rsid w:val="002F3A6A"/>
    <w:rsid w:val="002F766B"/>
    <w:rsid w:val="00301D93"/>
    <w:rsid w:val="00301FD2"/>
    <w:rsid w:val="00303536"/>
    <w:rsid w:val="003040A8"/>
    <w:rsid w:val="00304F05"/>
    <w:rsid w:val="003057D9"/>
    <w:rsid w:val="00310A6B"/>
    <w:rsid w:val="00311299"/>
    <w:rsid w:val="00312374"/>
    <w:rsid w:val="00313BFB"/>
    <w:rsid w:val="0031407C"/>
    <w:rsid w:val="00315103"/>
    <w:rsid w:val="0031546E"/>
    <w:rsid w:val="00316A4E"/>
    <w:rsid w:val="00316DD9"/>
    <w:rsid w:val="00317630"/>
    <w:rsid w:val="0031768D"/>
    <w:rsid w:val="00320B4F"/>
    <w:rsid w:val="003211F9"/>
    <w:rsid w:val="00322139"/>
    <w:rsid w:val="00322323"/>
    <w:rsid w:val="00322957"/>
    <w:rsid w:val="00322E65"/>
    <w:rsid w:val="00324548"/>
    <w:rsid w:val="003264B8"/>
    <w:rsid w:val="00326D4E"/>
    <w:rsid w:val="0033193B"/>
    <w:rsid w:val="00331BC0"/>
    <w:rsid w:val="00332079"/>
    <w:rsid w:val="0033289F"/>
    <w:rsid w:val="00332B45"/>
    <w:rsid w:val="0033392E"/>
    <w:rsid w:val="00335AF7"/>
    <w:rsid w:val="00336033"/>
    <w:rsid w:val="0033732B"/>
    <w:rsid w:val="00342065"/>
    <w:rsid w:val="003427FB"/>
    <w:rsid w:val="00343873"/>
    <w:rsid w:val="0034452C"/>
    <w:rsid w:val="00345337"/>
    <w:rsid w:val="003469CF"/>
    <w:rsid w:val="00351C0F"/>
    <w:rsid w:val="00354826"/>
    <w:rsid w:val="00355802"/>
    <w:rsid w:val="003562F6"/>
    <w:rsid w:val="00357688"/>
    <w:rsid w:val="00362382"/>
    <w:rsid w:val="00363F8C"/>
    <w:rsid w:val="00364A36"/>
    <w:rsid w:val="0036502C"/>
    <w:rsid w:val="00365101"/>
    <w:rsid w:val="003677E3"/>
    <w:rsid w:val="00371029"/>
    <w:rsid w:val="00371952"/>
    <w:rsid w:val="00372ECB"/>
    <w:rsid w:val="00375AE2"/>
    <w:rsid w:val="00377C35"/>
    <w:rsid w:val="003800D7"/>
    <w:rsid w:val="003802AF"/>
    <w:rsid w:val="00381098"/>
    <w:rsid w:val="003823A2"/>
    <w:rsid w:val="003849C8"/>
    <w:rsid w:val="00385D2E"/>
    <w:rsid w:val="00385E30"/>
    <w:rsid w:val="0038657A"/>
    <w:rsid w:val="00386855"/>
    <w:rsid w:val="003917B9"/>
    <w:rsid w:val="00392C5F"/>
    <w:rsid w:val="00392E1D"/>
    <w:rsid w:val="00393D88"/>
    <w:rsid w:val="00393DC2"/>
    <w:rsid w:val="00395799"/>
    <w:rsid w:val="003A001F"/>
    <w:rsid w:val="003A1519"/>
    <w:rsid w:val="003A26CC"/>
    <w:rsid w:val="003A2F22"/>
    <w:rsid w:val="003A34AF"/>
    <w:rsid w:val="003A5911"/>
    <w:rsid w:val="003A6E8D"/>
    <w:rsid w:val="003A7350"/>
    <w:rsid w:val="003A7868"/>
    <w:rsid w:val="003A7ABA"/>
    <w:rsid w:val="003B33E0"/>
    <w:rsid w:val="003B5672"/>
    <w:rsid w:val="003B70F0"/>
    <w:rsid w:val="003B7273"/>
    <w:rsid w:val="003B7781"/>
    <w:rsid w:val="003C436B"/>
    <w:rsid w:val="003D0BB0"/>
    <w:rsid w:val="003D1012"/>
    <w:rsid w:val="003D1721"/>
    <w:rsid w:val="003D1B7C"/>
    <w:rsid w:val="003D28D8"/>
    <w:rsid w:val="003D2F20"/>
    <w:rsid w:val="003D436E"/>
    <w:rsid w:val="003D6B30"/>
    <w:rsid w:val="003E1097"/>
    <w:rsid w:val="003E3529"/>
    <w:rsid w:val="003E3994"/>
    <w:rsid w:val="003E3ECD"/>
    <w:rsid w:val="003E54EC"/>
    <w:rsid w:val="003E60AE"/>
    <w:rsid w:val="003E710B"/>
    <w:rsid w:val="003E7C9F"/>
    <w:rsid w:val="003F05CF"/>
    <w:rsid w:val="003F0692"/>
    <w:rsid w:val="003F1B8F"/>
    <w:rsid w:val="003F1CAA"/>
    <w:rsid w:val="003F2B66"/>
    <w:rsid w:val="003F2B6C"/>
    <w:rsid w:val="003F2B80"/>
    <w:rsid w:val="003F3B26"/>
    <w:rsid w:val="003F56F4"/>
    <w:rsid w:val="003F5BE2"/>
    <w:rsid w:val="003F6051"/>
    <w:rsid w:val="003F73F0"/>
    <w:rsid w:val="003F7D58"/>
    <w:rsid w:val="003F7DE0"/>
    <w:rsid w:val="004002D8"/>
    <w:rsid w:val="00402BC9"/>
    <w:rsid w:val="00404BE5"/>
    <w:rsid w:val="00407D76"/>
    <w:rsid w:val="0041036F"/>
    <w:rsid w:val="00410EAD"/>
    <w:rsid w:val="00411B0D"/>
    <w:rsid w:val="004120E6"/>
    <w:rsid w:val="00412969"/>
    <w:rsid w:val="00413847"/>
    <w:rsid w:val="00413A15"/>
    <w:rsid w:val="00413A47"/>
    <w:rsid w:val="0041544E"/>
    <w:rsid w:val="004157F3"/>
    <w:rsid w:val="00415EFF"/>
    <w:rsid w:val="00416D22"/>
    <w:rsid w:val="004218B8"/>
    <w:rsid w:val="00422A55"/>
    <w:rsid w:val="0042387D"/>
    <w:rsid w:val="00423D68"/>
    <w:rsid w:val="00423DC5"/>
    <w:rsid w:val="00424EC7"/>
    <w:rsid w:val="004257DD"/>
    <w:rsid w:val="00426183"/>
    <w:rsid w:val="004264D7"/>
    <w:rsid w:val="00426868"/>
    <w:rsid w:val="00426A24"/>
    <w:rsid w:val="00430D41"/>
    <w:rsid w:val="00431553"/>
    <w:rsid w:val="00431E83"/>
    <w:rsid w:val="0043257D"/>
    <w:rsid w:val="00432CAA"/>
    <w:rsid w:val="004361A2"/>
    <w:rsid w:val="0043640E"/>
    <w:rsid w:val="00437F0C"/>
    <w:rsid w:val="00440923"/>
    <w:rsid w:val="00442D37"/>
    <w:rsid w:val="00443268"/>
    <w:rsid w:val="0044383F"/>
    <w:rsid w:val="0044454A"/>
    <w:rsid w:val="00445245"/>
    <w:rsid w:val="004454C6"/>
    <w:rsid w:val="004476FA"/>
    <w:rsid w:val="00451D0B"/>
    <w:rsid w:val="00454429"/>
    <w:rsid w:val="004551B8"/>
    <w:rsid w:val="004553B2"/>
    <w:rsid w:val="00456DED"/>
    <w:rsid w:val="00456FC3"/>
    <w:rsid w:val="00462EEE"/>
    <w:rsid w:val="00462EFC"/>
    <w:rsid w:val="004637A3"/>
    <w:rsid w:val="00464D88"/>
    <w:rsid w:val="00465406"/>
    <w:rsid w:val="00466A6B"/>
    <w:rsid w:val="0047009F"/>
    <w:rsid w:val="0047030D"/>
    <w:rsid w:val="00471214"/>
    <w:rsid w:val="00471CA0"/>
    <w:rsid w:val="004729EA"/>
    <w:rsid w:val="00474F4F"/>
    <w:rsid w:val="00474FB6"/>
    <w:rsid w:val="0047513B"/>
    <w:rsid w:val="00475671"/>
    <w:rsid w:val="00476278"/>
    <w:rsid w:val="004764F0"/>
    <w:rsid w:val="00477691"/>
    <w:rsid w:val="004802FF"/>
    <w:rsid w:val="004808BF"/>
    <w:rsid w:val="00480D63"/>
    <w:rsid w:val="00480F12"/>
    <w:rsid w:val="00486213"/>
    <w:rsid w:val="00487868"/>
    <w:rsid w:val="00487FDE"/>
    <w:rsid w:val="004908BC"/>
    <w:rsid w:val="00490D62"/>
    <w:rsid w:val="00491072"/>
    <w:rsid w:val="00491A9E"/>
    <w:rsid w:val="00491E72"/>
    <w:rsid w:val="00492CA9"/>
    <w:rsid w:val="004932A7"/>
    <w:rsid w:val="004932BA"/>
    <w:rsid w:val="00493EDD"/>
    <w:rsid w:val="00494ACE"/>
    <w:rsid w:val="00497400"/>
    <w:rsid w:val="00497531"/>
    <w:rsid w:val="00497AB9"/>
    <w:rsid w:val="004A038D"/>
    <w:rsid w:val="004A08AA"/>
    <w:rsid w:val="004A0E2E"/>
    <w:rsid w:val="004A236B"/>
    <w:rsid w:val="004A3BEC"/>
    <w:rsid w:val="004A3D51"/>
    <w:rsid w:val="004A49AB"/>
    <w:rsid w:val="004A4FB0"/>
    <w:rsid w:val="004A5301"/>
    <w:rsid w:val="004B1EAC"/>
    <w:rsid w:val="004B21EB"/>
    <w:rsid w:val="004B2A5A"/>
    <w:rsid w:val="004B583F"/>
    <w:rsid w:val="004B7341"/>
    <w:rsid w:val="004B7F7D"/>
    <w:rsid w:val="004C159F"/>
    <w:rsid w:val="004C2D3B"/>
    <w:rsid w:val="004C3753"/>
    <w:rsid w:val="004C4290"/>
    <w:rsid w:val="004C4A60"/>
    <w:rsid w:val="004C53EE"/>
    <w:rsid w:val="004D0D00"/>
    <w:rsid w:val="004D124A"/>
    <w:rsid w:val="004D1E37"/>
    <w:rsid w:val="004D42FA"/>
    <w:rsid w:val="004D4757"/>
    <w:rsid w:val="004D537F"/>
    <w:rsid w:val="004D5FEE"/>
    <w:rsid w:val="004D635D"/>
    <w:rsid w:val="004D6BE5"/>
    <w:rsid w:val="004D7B96"/>
    <w:rsid w:val="004E0288"/>
    <w:rsid w:val="004E3729"/>
    <w:rsid w:val="004E43AD"/>
    <w:rsid w:val="004E4E8C"/>
    <w:rsid w:val="004E5552"/>
    <w:rsid w:val="004E5C97"/>
    <w:rsid w:val="004E616D"/>
    <w:rsid w:val="004E64FF"/>
    <w:rsid w:val="004E65B0"/>
    <w:rsid w:val="004E6B31"/>
    <w:rsid w:val="004E6C08"/>
    <w:rsid w:val="004F14D5"/>
    <w:rsid w:val="004F2C6B"/>
    <w:rsid w:val="004F343E"/>
    <w:rsid w:val="004F35D5"/>
    <w:rsid w:val="004F5368"/>
    <w:rsid w:val="004F578B"/>
    <w:rsid w:val="004F6155"/>
    <w:rsid w:val="004F6887"/>
    <w:rsid w:val="00500735"/>
    <w:rsid w:val="00501079"/>
    <w:rsid w:val="0050120C"/>
    <w:rsid w:val="0050166E"/>
    <w:rsid w:val="00502CA7"/>
    <w:rsid w:val="00502DBF"/>
    <w:rsid w:val="00503548"/>
    <w:rsid w:val="005043BB"/>
    <w:rsid w:val="00504905"/>
    <w:rsid w:val="005061B8"/>
    <w:rsid w:val="00507C88"/>
    <w:rsid w:val="00510B98"/>
    <w:rsid w:val="0051119B"/>
    <w:rsid w:val="00511ED2"/>
    <w:rsid w:val="00512A40"/>
    <w:rsid w:val="00512EE9"/>
    <w:rsid w:val="0051307B"/>
    <w:rsid w:val="005138B1"/>
    <w:rsid w:val="005140AE"/>
    <w:rsid w:val="00515041"/>
    <w:rsid w:val="00515706"/>
    <w:rsid w:val="00515830"/>
    <w:rsid w:val="00515871"/>
    <w:rsid w:val="00516448"/>
    <w:rsid w:val="005164B8"/>
    <w:rsid w:val="0051665E"/>
    <w:rsid w:val="005175C1"/>
    <w:rsid w:val="00520F43"/>
    <w:rsid w:val="00522DB4"/>
    <w:rsid w:val="00523301"/>
    <w:rsid w:val="005250E5"/>
    <w:rsid w:val="00525536"/>
    <w:rsid w:val="00525BC4"/>
    <w:rsid w:val="00527467"/>
    <w:rsid w:val="00531061"/>
    <w:rsid w:val="005314ED"/>
    <w:rsid w:val="005316E8"/>
    <w:rsid w:val="00532B8B"/>
    <w:rsid w:val="0053463E"/>
    <w:rsid w:val="005377E3"/>
    <w:rsid w:val="0054012E"/>
    <w:rsid w:val="005402AC"/>
    <w:rsid w:val="00540853"/>
    <w:rsid w:val="00541AFD"/>
    <w:rsid w:val="00542817"/>
    <w:rsid w:val="005433FA"/>
    <w:rsid w:val="0054353C"/>
    <w:rsid w:val="00543CD4"/>
    <w:rsid w:val="0054482F"/>
    <w:rsid w:val="00544D4E"/>
    <w:rsid w:val="00544DDC"/>
    <w:rsid w:val="00545886"/>
    <w:rsid w:val="00546657"/>
    <w:rsid w:val="005474B7"/>
    <w:rsid w:val="005506F6"/>
    <w:rsid w:val="005516D9"/>
    <w:rsid w:val="005528AD"/>
    <w:rsid w:val="00552E5E"/>
    <w:rsid w:val="00557142"/>
    <w:rsid w:val="00557AFB"/>
    <w:rsid w:val="005604D4"/>
    <w:rsid w:val="00561CF4"/>
    <w:rsid w:val="00562276"/>
    <w:rsid w:val="00563830"/>
    <w:rsid w:val="00566C84"/>
    <w:rsid w:val="00566DB7"/>
    <w:rsid w:val="005673C1"/>
    <w:rsid w:val="005707BB"/>
    <w:rsid w:val="005716A1"/>
    <w:rsid w:val="00571D76"/>
    <w:rsid w:val="00574E19"/>
    <w:rsid w:val="00575524"/>
    <w:rsid w:val="005806FB"/>
    <w:rsid w:val="00581FDC"/>
    <w:rsid w:val="00582D37"/>
    <w:rsid w:val="00583451"/>
    <w:rsid w:val="00583671"/>
    <w:rsid w:val="005836EB"/>
    <w:rsid w:val="00585053"/>
    <w:rsid w:val="005863CC"/>
    <w:rsid w:val="00586FBC"/>
    <w:rsid w:val="005902CE"/>
    <w:rsid w:val="00590358"/>
    <w:rsid w:val="00590948"/>
    <w:rsid w:val="00591AA9"/>
    <w:rsid w:val="00595956"/>
    <w:rsid w:val="005A0368"/>
    <w:rsid w:val="005A0454"/>
    <w:rsid w:val="005A1590"/>
    <w:rsid w:val="005A2E15"/>
    <w:rsid w:val="005A3590"/>
    <w:rsid w:val="005A7E90"/>
    <w:rsid w:val="005B4489"/>
    <w:rsid w:val="005B49CC"/>
    <w:rsid w:val="005B52F9"/>
    <w:rsid w:val="005B642F"/>
    <w:rsid w:val="005C02F0"/>
    <w:rsid w:val="005C045A"/>
    <w:rsid w:val="005C2280"/>
    <w:rsid w:val="005C2490"/>
    <w:rsid w:val="005C56A0"/>
    <w:rsid w:val="005C5794"/>
    <w:rsid w:val="005C5DCD"/>
    <w:rsid w:val="005C69FD"/>
    <w:rsid w:val="005C6AA9"/>
    <w:rsid w:val="005D1EAE"/>
    <w:rsid w:val="005D22F4"/>
    <w:rsid w:val="005D26E1"/>
    <w:rsid w:val="005D2FFA"/>
    <w:rsid w:val="005D65BB"/>
    <w:rsid w:val="005D66F3"/>
    <w:rsid w:val="005D6A55"/>
    <w:rsid w:val="005D6AE6"/>
    <w:rsid w:val="005E2362"/>
    <w:rsid w:val="005E293F"/>
    <w:rsid w:val="005E552A"/>
    <w:rsid w:val="005E5CAE"/>
    <w:rsid w:val="005E651A"/>
    <w:rsid w:val="005E6E49"/>
    <w:rsid w:val="005E6F92"/>
    <w:rsid w:val="005E7D41"/>
    <w:rsid w:val="005F0CAB"/>
    <w:rsid w:val="005F132D"/>
    <w:rsid w:val="005F2D68"/>
    <w:rsid w:val="005F4548"/>
    <w:rsid w:val="005F4E6B"/>
    <w:rsid w:val="005F53ED"/>
    <w:rsid w:val="005F6306"/>
    <w:rsid w:val="005F697C"/>
    <w:rsid w:val="005F7117"/>
    <w:rsid w:val="005F7532"/>
    <w:rsid w:val="006000B2"/>
    <w:rsid w:val="006007CA"/>
    <w:rsid w:val="00605592"/>
    <w:rsid w:val="00605B25"/>
    <w:rsid w:val="00606886"/>
    <w:rsid w:val="00606F57"/>
    <w:rsid w:val="0061112D"/>
    <w:rsid w:val="006112D9"/>
    <w:rsid w:val="0061144C"/>
    <w:rsid w:val="00613301"/>
    <w:rsid w:val="00613A5E"/>
    <w:rsid w:val="006149BF"/>
    <w:rsid w:val="00615D0A"/>
    <w:rsid w:val="0061634D"/>
    <w:rsid w:val="006166F0"/>
    <w:rsid w:val="00617A87"/>
    <w:rsid w:val="006209B0"/>
    <w:rsid w:val="00621356"/>
    <w:rsid w:val="006213E5"/>
    <w:rsid w:val="00621653"/>
    <w:rsid w:val="00622C48"/>
    <w:rsid w:val="00622E62"/>
    <w:rsid w:val="0062336B"/>
    <w:rsid w:val="006233B5"/>
    <w:rsid w:val="006239B2"/>
    <w:rsid w:val="00623FB0"/>
    <w:rsid w:val="00625ADE"/>
    <w:rsid w:val="006273B2"/>
    <w:rsid w:val="00627733"/>
    <w:rsid w:val="00627DA3"/>
    <w:rsid w:val="00627DAB"/>
    <w:rsid w:val="006317DC"/>
    <w:rsid w:val="00632763"/>
    <w:rsid w:val="0063283C"/>
    <w:rsid w:val="00632D06"/>
    <w:rsid w:val="00633F20"/>
    <w:rsid w:val="00634E15"/>
    <w:rsid w:val="0063554F"/>
    <w:rsid w:val="006355EB"/>
    <w:rsid w:val="00635638"/>
    <w:rsid w:val="0063711C"/>
    <w:rsid w:val="006374ED"/>
    <w:rsid w:val="0063773A"/>
    <w:rsid w:val="006401E7"/>
    <w:rsid w:val="0064035B"/>
    <w:rsid w:val="0064138F"/>
    <w:rsid w:val="00641CC2"/>
    <w:rsid w:val="00643E6D"/>
    <w:rsid w:val="00643F45"/>
    <w:rsid w:val="00644874"/>
    <w:rsid w:val="00644A6A"/>
    <w:rsid w:val="00644CD3"/>
    <w:rsid w:val="00650219"/>
    <w:rsid w:val="006516B9"/>
    <w:rsid w:val="0065240A"/>
    <w:rsid w:val="0065295F"/>
    <w:rsid w:val="00652E18"/>
    <w:rsid w:val="00653480"/>
    <w:rsid w:val="00653D83"/>
    <w:rsid w:val="006547F1"/>
    <w:rsid w:val="00654F0E"/>
    <w:rsid w:val="00656687"/>
    <w:rsid w:val="00656B76"/>
    <w:rsid w:val="00657030"/>
    <w:rsid w:val="00657857"/>
    <w:rsid w:val="00657AAA"/>
    <w:rsid w:val="00662238"/>
    <w:rsid w:val="0066264A"/>
    <w:rsid w:val="00662897"/>
    <w:rsid w:val="006644B6"/>
    <w:rsid w:val="006645AE"/>
    <w:rsid w:val="00664910"/>
    <w:rsid w:val="00664DF2"/>
    <w:rsid w:val="006652FF"/>
    <w:rsid w:val="00665A4C"/>
    <w:rsid w:val="00666186"/>
    <w:rsid w:val="00666345"/>
    <w:rsid w:val="006663EB"/>
    <w:rsid w:val="0066645E"/>
    <w:rsid w:val="00666FEA"/>
    <w:rsid w:val="00670803"/>
    <w:rsid w:val="00671C01"/>
    <w:rsid w:val="0067252A"/>
    <w:rsid w:val="00674382"/>
    <w:rsid w:val="00674A35"/>
    <w:rsid w:val="0067516E"/>
    <w:rsid w:val="006753EF"/>
    <w:rsid w:val="006756AD"/>
    <w:rsid w:val="006760B6"/>
    <w:rsid w:val="006778CF"/>
    <w:rsid w:val="006801F4"/>
    <w:rsid w:val="00682BB7"/>
    <w:rsid w:val="00682F3E"/>
    <w:rsid w:val="0068403A"/>
    <w:rsid w:val="00684044"/>
    <w:rsid w:val="0068543A"/>
    <w:rsid w:val="0068558B"/>
    <w:rsid w:val="00685639"/>
    <w:rsid w:val="00685AF6"/>
    <w:rsid w:val="0068604C"/>
    <w:rsid w:val="00686522"/>
    <w:rsid w:val="00686F71"/>
    <w:rsid w:val="006878EB"/>
    <w:rsid w:val="0069050B"/>
    <w:rsid w:val="00690604"/>
    <w:rsid w:val="00692EEA"/>
    <w:rsid w:val="00693971"/>
    <w:rsid w:val="00694047"/>
    <w:rsid w:val="006948DA"/>
    <w:rsid w:val="006957F2"/>
    <w:rsid w:val="006968C0"/>
    <w:rsid w:val="006A01E2"/>
    <w:rsid w:val="006A281C"/>
    <w:rsid w:val="006A3097"/>
    <w:rsid w:val="006A3668"/>
    <w:rsid w:val="006A36E0"/>
    <w:rsid w:val="006A3756"/>
    <w:rsid w:val="006A3763"/>
    <w:rsid w:val="006A4809"/>
    <w:rsid w:val="006A5946"/>
    <w:rsid w:val="006A7CC4"/>
    <w:rsid w:val="006B023C"/>
    <w:rsid w:val="006B037F"/>
    <w:rsid w:val="006B100E"/>
    <w:rsid w:val="006B1D1A"/>
    <w:rsid w:val="006B2833"/>
    <w:rsid w:val="006B34CA"/>
    <w:rsid w:val="006B3793"/>
    <w:rsid w:val="006B3E59"/>
    <w:rsid w:val="006B5325"/>
    <w:rsid w:val="006B562B"/>
    <w:rsid w:val="006B6C9F"/>
    <w:rsid w:val="006C0787"/>
    <w:rsid w:val="006C0FC7"/>
    <w:rsid w:val="006C1E32"/>
    <w:rsid w:val="006C28F4"/>
    <w:rsid w:val="006C55EA"/>
    <w:rsid w:val="006C56A7"/>
    <w:rsid w:val="006C6DFB"/>
    <w:rsid w:val="006C6E3A"/>
    <w:rsid w:val="006C78B9"/>
    <w:rsid w:val="006C7ED9"/>
    <w:rsid w:val="006D03B9"/>
    <w:rsid w:val="006D132C"/>
    <w:rsid w:val="006D243F"/>
    <w:rsid w:val="006D272B"/>
    <w:rsid w:val="006D3A0E"/>
    <w:rsid w:val="006D3A73"/>
    <w:rsid w:val="006D4002"/>
    <w:rsid w:val="006D487C"/>
    <w:rsid w:val="006D5992"/>
    <w:rsid w:val="006D7898"/>
    <w:rsid w:val="006E1565"/>
    <w:rsid w:val="006E176A"/>
    <w:rsid w:val="006E35BE"/>
    <w:rsid w:val="006E4464"/>
    <w:rsid w:val="006E50B7"/>
    <w:rsid w:val="006E6EB8"/>
    <w:rsid w:val="006E77C1"/>
    <w:rsid w:val="006F0A92"/>
    <w:rsid w:val="006F183A"/>
    <w:rsid w:val="006F4C30"/>
    <w:rsid w:val="006F55C8"/>
    <w:rsid w:val="006F63AB"/>
    <w:rsid w:val="006F6970"/>
    <w:rsid w:val="006F6AC8"/>
    <w:rsid w:val="006F6DAA"/>
    <w:rsid w:val="006F6DCC"/>
    <w:rsid w:val="006F6EBF"/>
    <w:rsid w:val="006F7A9F"/>
    <w:rsid w:val="006F7CDE"/>
    <w:rsid w:val="00700E28"/>
    <w:rsid w:val="0070102C"/>
    <w:rsid w:val="00701E37"/>
    <w:rsid w:val="00702460"/>
    <w:rsid w:val="00702850"/>
    <w:rsid w:val="007034D8"/>
    <w:rsid w:val="00703CBC"/>
    <w:rsid w:val="00705C75"/>
    <w:rsid w:val="0070628E"/>
    <w:rsid w:val="00707D28"/>
    <w:rsid w:val="00710684"/>
    <w:rsid w:val="00710ACC"/>
    <w:rsid w:val="007117E0"/>
    <w:rsid w:val="007148CE"/>
    <w:rsid w:val="007164E4"/>
    <w:rsid w:val="00717E63"/>
    <w:rsid w:val="007204DF"/>
    <w:rsid w:val="00722743"/>
    <w:rsid w:val="007235D3"/>
    <w:rsid w:val="00724856"/>
    <w:rsid w:val="00724892"/>
    <w:rsid w:val="00725AF8"/>
    <w:rsid w:val="00726AAC"/>
    <w:rsid w:val="00727870"/>
    <w:rsid w:val="00727F19"/>
    <w:rsid w:val="0073093F"/>
    <w:rsid w:val="00731E2C"/>
    <w:rsid w:val="007320B5"/>
    <w:rsid w:val="007331C2"/>
    <w:rsid w:val="00733A57"/>
    <w:rsid w:val="00734620"/>
    <w:rsid w:val="00735C8E"/>
    <w:rsid w:val="007361EE"/>
    <w:rsid w:val="00737E15"/>
    <w:rsid w:val="00741809"/>
    <w:rsid w:val="00741DC7"/>
    <w:rsid w:val="0074200D"/>
    <w:rsid w:val="0074242E"/>
    <w:rsid w:val="007445E2"/>
    <w:rsid w:val="007447F4"/>
    <w:rsid w:val="0074512F"/>
    <w:rsid w:val="007455C2"/>
    <w:rsid w:val="007464F8"/>
    <w:rsid w:val="00746A99"/>
    <w:rsid w:val="00751260"/>
    <w:rsid w:val="00751F49"/>
    <w:rsid w:val="00753F3A"/>
    <w:rsid w:val="00755AAC"/>
    <w:rsid w:val="007561B0"/>
    <w:rsid w:val="00756314"/>
    <w:rsid w:val="007566A5"/>
    <w:rsid w:val="00756FC6"/>
    <w:rsid w:val="00757ABB"/>
    <w:rsid w:val="00757D88"/>
    <w:rsid w:val="007625DC"/>
    <w:rsid w:val="00762DB2"/>
    <w:rsid w:val="007646D0"/>
    <w:rsid w:val="007646F7"/>
    <w:rsid w:val="00764B9E"/>
    <w:rsid w:val="00764CCB"/>
    <w:rsid w:val="00764D23"/>
    <w:rsid w:val="00766AA1"/>
    <w:rsid w:val="00767147"/>
    <w:rsid w:val="007671D4"/>
    <w:rsid w:val="007722C8"/>
    <w:rsid w:val="00772353"/>
    <w:rsid w:val="007731DD"/>
    <w:rsid w:val="00773968"/>
    <w:rsid w:val="00773F2F"/>
    <w:rsid w:val="007754E7"/>
    <w:rsid w:val="00775601"/>
    <w:rsid w:val="007768BA"/>
    <w:rsid w:val="00776D90"/>
    <w:rsid w:val="00780DA4"/>
    <w:rsid w:val="00781F43"/>
    <w:rsid w:val="00782E9E"/>
    <w:rsid w:val="007841CC"/>
    <w:rsid w:val="007856CA"/>
    <w:rsid w:val="0078691A"/>
    <w:rsid w:val="00787833"/>
    <w:rsid w:val="00787F02"/>
    <w:rsid w:val="007902B8"/>
    <w:rsid w:val="007907F1"/>
    <w:rsid w:val="0079242E"/>
    <w:rsid w:val="007927A9"/>
    <w:rsid w:val="00792E89"/>
    <w:rsid w:val="00793666"/>
    <w:rsid w:val="007946C0"/>
    <w:rsid w:val="00794FDF"/>
    <w:rsid w:val="007952AF"/>
    <w:rsid w:val="007952C5"/>
    <w:rsid w:val="007953E2"/>
    <w:rsid w:val="007954BF"/>
    <w:rsid w:val="00795632"/>
    <w:rsid w:val="0079599A"/>
    <w:rsid w:val="007A0776"/>
    <w:rsid w:val="007A0CB8"/>
    <w:rsid w:val="007A254B"/>
    <w:rsid w:val="007A2573"/>
    <w:rsid w:val="007A2A85"/>
    <w:rsid w:val="007A32EF"/>
    <w:rsid w:val="007A5243"/>
    <w:rsid w:val="007A6AD8"/>
    <w:rsid w:val="007A714A"/>
    <w:rsid w:val="007A77BB"/>
    <w:rsid w:val="007B3B56"/>
    <w:rsid w:val="007B45A5"/>
    <w:rsid w:val="007B5C02"/>
    <w:rsid w:val="007B5EAA"/>
    <w:rsid w:val="007B5F19"/>
    <w:rsid w:val="007C2C8D"/>
    <w:rsid w:val="007C4F82"/>
    <w:rsid w:val="007C764F"/>
    <w:rsid w:val="007C7E15"/>
    <w:rsid w:val="007D0286"/>
    <w:rsid w:val="007D045A"/>
    <w:rsid w:val="007D10AE"/>
    <w:rsid w:val="007D33E1"/>
    <w:rsid w:val="007D3549"/>
    <w:rsid w:val="007D375C"/>
    <w:rsid w:val="007D42A1"/>
    <w:rsid w:val="007D6AE9"/>
    <w:rsid w:val="007D6C82"/>
    <w:rsid w:val="007D73A6"/>
    <w:rsid w:val="007D797D"/>
    <w:rsid w:val="007E066F"/>
    <w:rsid w:val="007E1343"/>
    <w:rsid w:val="007E173E"/>
    <w:rsid w:val="007E1F82"/>
    <w:rsid w:val="007E3A0E"/>
    <w:rsid w:val="007E512F"/>
    <w:rsid w:val="007E59A6"/>
    <w:rsid w:val="007E5E56"/>
    <w:rsid w:val="007E66A3"/>
    <w:rsid w:val="007E6E46"/>
    <w:rsid w:val="007F15B5"/>
    <w:rsid w:val="007F1F89"/>
    <w:rsid w:val="007F21D9"/>
    <w:rsid w:val="007F261D"/>
    <w:rsid w:val="007F2D62"/>
    <w:rsid w:val="007F350E"/>
    <w:rsid w:val="007F40CB"/>
    <w:rsid w:val="007F489B"/>
    <w:rsid w:val="007F5B71"/>
    <w:rsid w:val="007F701D"/>
    <w:rsid w:val="00800F86"/>
    <w:rsid w:val="008012A1"/>
    <w:rsid w:val="008019BE"/>
    <w:rsid w:val="00802D69"/>
    <w:rsid w:val="00803333"/>
    <w:rsid w:val="008036EE"/>
    <w:rsid w:val="00803A4D"/>
    <w:rsid w:val="00804020"/>
    <w:rsid w:val="00807B94"/>
    <w:rsid w:val="00807BFF"/>
    <w:rsid w:val="00812E52"/>
    <w:rsid w:val="00813DD3"/>
    <w:rsid w:val="008167C6"/>
    <w:rsid w:val="00816FCC"/>
    <w:rsid w:val="0081780F"/>
    <w:rsid w:val="00817C22"/>
    <w:rsid w:val="00820F52"/>
    <w:rsid w:val="008213A7"/>
    <w:rsid w:val="00821CE0"/>
    <w:rsid w:val="00822490"/>
    <w:rsid w:val="008227E1"/>
    <w:rsid w:val="00822A92"/>
    <w:rsid w:val="00823486"/>
    <w:rsid w:val="008234EF"/>
    <w:rsid w:val="008246C4"/>
    <w:rsid w:val="00825B77"/>
    <w:rsid w:val="008262E3"/>
    <w:rsid w:val="008304A8"/>
    <w:rsid w:val="008308F5"/>
    <w:rsid w:val="00832F83"/>
    <w:rsid w:val="008337B6"/>
    <w:rsid w:val="00833A0C"/>
    <w:rsid w:val="00834D77"/>
    <w:rsid w:val="00835155"/>
    <w:rsid w:val="00835C00"/>
    <w:rsid w:val="00836616"/>
    <w:rsid w:val="008404CD"/>
    <w:rsid w:val="00842B4D"/>
    <w:rsid w:val="00843C81"/>
    <w:rsid w:val="008441AE"/>
    <w:rsid w:val="00844455"/>
    <w:rsid w:val="008467EB"/>
    <w:rsid w:val="00850401"/>
    <w:rsid w:val="00850615"/>
    <w:rsid w:val="0085199A"/>
    <w:rsid w:val="0085231D"/>
    <w:rsid w:val="008525C8"/>
    <w:rsid w:val="0085290A"/>
    <w:rsid w:val="00852A61"/>
    <w:rsid w:val="00852B77"/>
    <w:rsid w:val="008539CB"/>
    <w:rsid w:val="008547F3"/>
    <w:rsid w:val="00854AEA"/>
    <w:rsid w:val="00854B87"/>
    <w:rsid w:val="008558E2"/>
    <w:rsid w:val="008559C2"/>
    <w:rsid w:val="00857429"/>
    <w:rsid w:val="0086158C"/>
    <w:rsid w:val="00861BB4"/>
    <w:rsid w:val="00863477"/>
    <w:rsid w:val="008666EC"/>
    <w:rsid w:val="00870E8D"/>
    <w:rsid w:val="00871939"/>
    <w:rsid w:val="00875E43"/>
    <w:rsid w:val="008774C1"/>
    <w:rsid w:val="00880BB2"/>
    <w:rsid w:val="00880C4C"/>
    <w:rsid w:val="00880EE4"/>
    <w:rsid w:val="008811EB"/>
    <w:rsid w:val="00881B73"/>
    <w:rsid w:val="00882191"/>
    <w:rsid w:val="008841B1"/>
    <w:rsid w:val="00884944"/>
    <w:rsid w:val="0088665C"/>
    <w:rsid w:val="008870AA"/>
    <w:rsid w:val="008873FE"/>
    <w:rsid w:val="0088751E"/>
    <w:rsid w:val="00887538"/>
    <w:rsid w:val="00887C39"/>
    <w:rsid w:val="00887F50"/>
    <w:rsid w:val="0089136F"/>
    <w:rsid w:val="008932DA"/>
    <w:rsid w:val="00893D5B"/>
    <w:rsid w:val="00895934"/>
    <w:rsid w:val="00896D3C"/>
    <w:rsid w:val="00896E8B"/>
    <w:rsid w:val="008977D9"/>
    <w:rsid w:val="008A163F"/>
    <w:rsid w:val="008A1EAD"/>
    <w:rsid w:val="008A2241"/>
    <w:rsid w:val="008A2252"/>
    <w:rsid w:val="008A286A"/>
    <w:rsid w:val="008A3792"/>
    <w:rsid w:val="008A40C5"/>
    <w:rsid w:val="008A44E3"/>
    <w:rsid w:val="008A4716"/>
    <w:rsid w:val="008A4D81"/>
    <w:rsid w:val="008A6167"/>
    <w:rsid w:val="008A624A"/>
    <w:rsid w:val="008A62AF"/>
    <w:rsid w:val="008A6356"/>
    <w:rsid w:val="008B054D"/>
    <w:rsid w:val="008B05CB"/>
    <w:rsid w:val="008B0A1D"/>
    <w:rsid w:val="008B3CA2"/>
    <w:rsid w:val="008B3D79"/>
    <w:rsid w:val="008B4165"/>
    <w:rsid w:val="008B5996"/>
    <w:rsid w:val="008B5DA2"/>
    <w:rsid w:val="008B620E"/>
    <w:rsid w:val="008B73B2"/>
    <w:rsid w:val="008B7CEE"/>
    <w:rsid w:val="008C0456"/>
    <w:rsid w:val="008C0D9C"/>
    <w:rsid w:val="008C13FD"/>
    <w:rsid w:val="008C2428"/>
    <w:rsid w:val="008C28FC"/>
    <w:rsid w:val="008C495E"/>
    <w:rsid w:val="008C6952"/>
    <w:rsid w:val="008D0030"/>
    <w:rsid w:val="008D0A1B"/>
    <w:rsid w:val="008D15E9"/>
    <w:rsid w:val="008D2267"/>
    <w:rsid w:val="008D377E"/>
    <w:rsid w:val="008D47B3"/>
    <w:rsid w:val="008D4984"/>
    <w:rsid w:val="008D5DA4"/>
    <w:rsid w:val="008D6288"/>
    <w:rsid w:val="008E2A16"/>
    <w:rsid w:val="008E2E24"/>
    <w:rsid w:val="008E452B"/>
    <w:rsid w:val="008E566C"/>
    <w:rsid w:val="008E5DE9"/>
    <w:rsid w:val="008F0DA2"/>
    <w:rsid w:val="008F1830"/>
    <w:rsid w:val="008F1D30"/>
    <w:rsid w:val="008F245E"/>
    <w:rsid w:val="008F2E37"/>
    <w:rsid w:val="008F3691"/>
    <w:rsid w:val="008F3AE9"/>
    <w:rsid w:val="008F4334"/>
    <w:rsid w:val="008F4EFB"/>
    <w:rsid w:val="008F5FA4"/>
    <w:rsid w:val="0090043B"/>
    <w:rsid w:val="00900678"/>
    <w:rsid w:val="00900A17"/>
    <w:rsid w:val="009012FF"/>
    <w:rsid w:val="00902845"/>
    <w:rsid w:val="009028A6"/>
    <w:rsid w:val="00902D6D"/>
    <w:rsid w:val="009033F0"/>
    <w:rsid w:val="009038CD"/>
    <w:rsid w:val="00903AD9"/>
    <w:rsid w:val="009045F4"/>
    <w:rsid w:val="0090488B"/>
    <w:rsid w:val="009048AA"/>
    <w:rsid w:val="009048E9"/>
    <w:rsid w:val="00905FB4"/>
    <w:rsid w:val="009062D5"/>
    <w:rsid w:val="009070AC"/>
    <w:rsid w:val="0091006E"/>
    <w:rsid w:val="0091110E"/>
    <w:rsid w:val="009112B2"/>
    <w:rsid w:val="00911750"/>
    <w:rsid w:val="0091346C"/>
    <w:rsid w:val="009137FE"/>
    <w:rsid w:val="0091427D"/>
    <w:rsid w:val="009153FA"/>
    <w:rsid w:val="009169F1"/>
    <w:rsid w:val="00917E12"/>
    <w:rsid w:val="00920604"/>
    <w:rsid w:val="00920718"/>
    <w:rsid w:val="00920B64"/>
    <w:rsid w:val="00922A9B"/>
    <w:rsid w:val="00923532"/>
    <w:rsid w:val="00924E91"/>
    <w:rsid w:val="00925557"/>
    <w:rsid w:val="00925875"/>
    <w:rsid w:val="00925B68"/>
    <w:rsid w:val="009277D0"/>
    <w:rsid w:val="00927C93"/>
    <w:rsid w:val="0093077F"/>
    <w:rsid w:val="00930E48"/>
    <w:rsid w:val="00931497"/>
    <w:rsid w:val="00932493"/>
    <w:rsid w:val="00932C81"/>
    <w:rsid w:val="00934E9B"/>
    <w:rsid w:val="00936521"/>
    <w:rsid w:val="009366F6"/>
    <w:rsid w:val="009371E2"/>
    <w:rsid w:val="0094058E"/>
    <w:rsid w:val="00941B61"/>
    <w:rsid w:val="009427F5"/>
    <w:rsid w:val="00943405"/>
    <w:rsid w:val="00944593"/>
    <w:rsid w:val="00944A3E"/>
    <w:rsid w:val="009456ED"/>
    <w:rsid w:val="00950AA1"/>
    <w:rsid w:val="00950B9F"/>
    <w:rsid w:val="00951E45"/>
    <w:rsid w:val="0095209F"/>
    <w:rsid w:val="009522AB"/>
    <w:rsid w:val="009528E3"/>
    <w:rsid w:val="00952AF4"/>
    <w:rsid w:val="009541DD"/>
    <w:rsid w:val="009553FC"/>
    <w:rsid w:val="00955ED5"/>
    <w:rsid w:val="00956DB7"/>
    <w:rsid w:val="009605B9"/>
    <w:rsid w:val="00960619"/>
    <w:rsid w:val="00960C3C"/>
    <w:rsid w:val="00961638"/>
    <w:rsid w:val="0096351C"/>
    <w:rsid w:val="00963773"/>
    <w:rsid w:val="00963E7B"/>
    <w:rsid w:val="00964F3B"/>
    <w:rsid w:val="00965325"/>
    <w:rsid w:val="00965684"/>
    <w:rsid w:val="0096634A"/>
    <w:rsid w:val="00966814"/>
    <w:rsid w:val="00966ABD"/>
    <w:rsid w:val="00971B2F"/>
    <w:rsid w:val="00972229"/>
    <w:rsid w:val="0097268F"/>
    <w:rsid w:val="0097415F"/>
    <w:rsid w:val="0097494B"/>
    <w:rsid w:val="00975680"/>
    <w:rsid w:val="0097673F"/>
    <w:rsid w:val="00981812"/>
    <w:rsid w:val="00981C0B"/>
    <w:rsid w:val="00981DB9"/>
    <w:rsid w:val="00982067"/>
    <w:rsid w:val="00983151"/>
    <w:rsid w:val="0098347B"/>
    <w:rsid w:val="00983516"/>
    <w:rsid w:val="00983C80"/>
    <w:rsid w:val="00984C9C"/>
    <w:rsid w:val="00985A98"/>
    <w:rsid w:val="009861B5"/>
    <w:rsid w:val="00986FCB"/>
    <w:rsid w:val="0098778D"/>
    <w:rsid w:val="00990664"/>
    <w:rsid w:val="00993FF9"/>
    <w:rsid w:val="00996546"/>
    <w:rsid w:val="00996B01"/>
    <w:rsid w:val="009978FF"/>
    <w:rsid w:val="00997EA2"/>
    <w:rsid w:val="009A0A14"/>
    <w:rsid w:val="009A3CEB"/>
    <w:rsid w:val="009A3FA0"/>
    <w:rsid w:val="009A4313"/>
    <w:rsid w:val="009A46CE"/>
    <w:rsid w:val="009A4EE8"/>
    <w:rsid w:val="009A6664"/>
    <w:rsid w:val="009A7814"/>
    <w:rsid w:val="009A79A0"/>
    <w:rsid w:val="009A7AE4"/>
    <w:rsid w:val="009B07AC"/>
    <w:rsid w:val="009B1678"/>
    <w:rsid w:val="009B2260"/>
    <w:rsid w:val="009B29BF"/>
    <w:rsid w:val="009B3002"/>
    <w:rsid w:val="009B347E"/>
    <w:rsid w:val="009B4AFF"/>
    <w:rsid w:val="009B4CE6"/>
    <w:rsid w:val="009B5433"/>
    <w:rsid w:val="009B7131"/>
    <w:rsid w:val="009B7887"/>
    <w:rsid w:val="009C0A60"/>
    <w:rsid w:val="009C1A7B"/>
    <w:rsid w:val="009C3012"/>
    <w:rsid w:val="009C31B1"/>
    <w:rsid w:val="009C334B"/>
    <w:rsid w:val="009C36C2"/>
    <w:rsid w:val="009C3791"/>
    <w:rsid w:val="009C44A9"/>
    <w:rsid w:val="009C46B2"/>
    <w:rsid w:val="009C4B8D"/>
    <w:rsid w:val="009C5C76"/>
    <w:rsid w:val="009C7BAA"/>
    <w:rsid w:val="009D07C3"/>
    <w:rsid w:val="009D081B"/>
    <w:rsid w:val="009D0E26"/>
    <w:rsid w:val="009D1283"/>
    <w:rsid w:val="009D22DB"/>
    <w:rsid w:val="009D2789"/>
    <w:rsid w:val="009D34AF"/>
    <w:rsid w:val="009D389E"/>
    <w:rsid w:val="009D4300"/>
    <w:rsid w:val="009D4416"/>
    <w:rsid w:val="009D4A4B"/>
    <w:rsid w:val="009D7584"/>
    <w:rsid w:val="009E0935"/>
    <w:rsid w:val="009E2746"/>
    <w:rsid w:val="009E307E"/>
    <w:rsid w:val="009E5159"/>
    <w:rsid w:val="009E5EA7"/>
    <w:rsid w:val="009E627E"/>
    <w:rsid w:val="009F13DF"/>
    <w:rsid w:val="009F15EE"/>
    <w:rsid w:val="009F18FE"/>
    <w:rsid w:val="009F26D8"/>
    <w:rsid w:val="009F295D"/>
    <w:rsid w:val="009F39D8"/>
    <w:rsid w:val="009F464F"/>
    <w:rsid w:val="009F59AC"/>
    <w:rsid w:val="009F5A95"/>
    <w:rsid w:val="009F5B9F"/>
    <w:rsid w:val="009F6B3F"/>
    <w:rsid w:val="009F71A7"/>
    <w:rsid w:val="009F72AC"/>
    <w:rsid w:val="00A017A2"/>
    <w:rsid w:val="00A038CB"/>
    <w:rsid w:val="00A03D5F"/>
    <w:rsid w:val="00A03DDD"/>
    <w:rsid w:val="00A0409E"/>
    <w:rsid w:val="00A0424B"/>
    <w:rsid w:val="00A06EAB"/>
    <w:rsid w:val="00A1042A"/>
    <w:rsid w:val="00A10E69"/>
    <w:rsid w:val="00A10EF7"/>
    <w:rsid w:val="00A11B76"/>
    <w:rsid w:val="00A1399A"/>
    <w:rsid w:val="00A171CF"/>
    <w:rsid w:val="00A17E60"/>
    <w:rsid w:val="00A17FC9"/>
    <w:rsid w:val="00A2057A"/>
    <w:rsid w:val="00A21073"/>
    <w:rsid w:val="00A224E4"/>
    <w:rsid w:val="00A237D8"/>
    <w:rsid w:val="00A2437D"/>
    <w:rsid w:val="00A274FC"/>
    <w:rsid w:val="00A277A7"/>
    <w:rsid w:val="00A3183F"/>
    <w:rsid w:val="00A3325E"/>
    <w:rsid w:val="00A332CC"/>
    <w:rsid w:val="00A33328"/>
    <w:rsid w:val="00A34069"/>
    <w:rsid w:val="00A35712"/>
    <w:rsid w:val="00A36AB4"/>
    <w:rsid w:val="00A37FFC"/>
    <w:rsid w:val="00A402D3"/>
    <w:rsid w:val="00A405A7"/>
    <w:rsid w:val="00A40907"/>
    <w:rsid w:val="00A42F0F"/>
    <w:rsid w:val="00A431B7"/>
    <w:rsid w:val="00A434CC"/>
    <w:rsid w:val="00A44999"/>
    <w:rsid w:val="00A453B7"/>
    <w:rsid w:val="00A46904"/>
    <w:rsid w:val="00A46935"/>
    <w:rsid w:val="00A50664"/>
    <w:rsid w:val="00A513BC"/>
    <w:rsid w:val="00A5182E"/>
    <w:rsid w:val="00A53AA6"/>
    <w:rsid w:val="00A53E6F"/>
    <w:rsid w:val="00A55E1B"/>
    <w:rsid w:val="00A5610A"/>
    <w:rsid w:val="00A567EA"/>
    <w:rsid w:val="00A5715F"/>
    <w:rsid w:val="00A60A79"/>
    <w:rsid w:val="00A60EF2"/>
    <w:rsid w:val="00A61195"/>
    <w:rsid w:val="00A61FA7"/>
    <w:rsid w:val="00A635B6"/>
    <w:rsid w:val="00A637F9"/>
    <w:rsid w:val="00A638BC"/>
    <w:rsid w:val="00A63E47"/>
    <w:rsid w:val="00A6414A"/>
    <w:rsid w:val="00A644EB"/>
    <w:rsid w:val="00A66A8F"/>
    <w:rsid w:val="00A66CB7"/>
    <w:rsid w:val="00A7252C"/>
    <w:rsid w:val="00A7268A"/>
    <w:rsid w:val="00A73459"/>
    <w:rsid w:val="00A73BAF"/>
    <w:rsid w:val="00A73F4F"/>
    <w:rsid w:val="00A74358"/>
    <w:rsid w:val="00A75D48"/>
    <w:rsid w:val="00A76D39"/>
    <w:rsid w:val="00A8014A"/>
    <w:rsid w:val="00A814C0"/>
    <w:rsid w:val="00A83EAD"/>
    <w:rsid w:val="00A844DC"/>
    <w:rsid w:val="00A84F75"/>
    <w:rsid w:val="00A8715F"/>
    <w:rsid w:val="00A87348"/>
    <w:rsid w:val="00A9051C"/>
    <w:rsid w:val="00A908FB"/>
    <w:rsid w:val="00A91CAD"/>
    <w:rsid w:val="00A92219"/>
    <w:rsid w:val="00A93584"/>
    <w:rsid w:val="00A941E5"/>
    <w:rsid w:val="00A952E8"/>
    <w:rsid w:val="00A958FE"/>
    <w:rsid w:val="00A95BD0"/>
    <w:rsid w:val="00A976CF"/>
    <w:rsid w:val="00AA020F"/>
    <w:rsid w:val="00AA0342"/>
    <w:rsid w:val="00AA146B"/>
    <w:rsid w:val="00AA2854"/>
    <w:rsid w:val="00AA2A99"/>
    <w:rsid w:val="00AA2C93"/>
    <w:rsid w:val="00AA390E"/>
    <w:rsid w:val="00AA4BDC"/>
    <w:rsid w:val="00AB3146"/>
    <w:rsid w:val="00AB39F4"/>
    <w:rsid w:val="00AB4465"/>
    <w:rsid w:val="00AB495C"/>
    <w:rsid w:val="00AB5DF1"/>
    <w:rsid w:val="00AB6367"/>
    <w:rsid w:val="00AB65E1"/>
    <w:rsid w:val="00AB6657"/>
    <w:rsid w:val="00AB6827"/>
    <w:rsid w:val="00AB6A25"/>
    <w:rsid w:val="00AB6F7F"/>
    <w:rsid w:val="00AB743A"/>
    <w:rsid w:val="00AC256B"/>
    <w:rsid w:val="00AC27F5"/>
    <w:rsid w:val="00AC6A52"/>
    <w:rsid w:val="00AC768D"/>
    <w:rsid w:val="00AD149A"/>
    <w:rsid w:val="00AD1DD2"/>
    <w:rsid w:val="00AD29F3"/>
    <w:rsid w:val="00AD36BC"/>
    <w:rsid w:val="00AD5BE7"/>
    <w:rsid w:val="00AD61EC"/>
    <w:rsid w:val="00AD7150"/>
    <w:rsid w:val="00AE22AB"/>
    <w:rsid w:val="00AE7FAE"/>
    <w:rsid w:val="00AF014E"/>
    <w:rsid w:val="00AF0B19"/>
    <w:rsid w:val="00AF0F76"/>
    <w:rsid w:val="00AF35E3"/>
    <w:rsid w:val="00AF3960"/>
    <w:rsid w:val="00AF4556"/>
    <w:rsid w:val="00AF4AFA"/>
    <w:rsid w:val="00AF63A9"/>
    <w:rsid w:val="00AF7288"/>
    <w:rsid w:val="00AF7854"/>
    <w:rsid w:val="00AF7FBF"/>
    <w:rsid w:val="00B00FFE"/>
    <w:rsid w:val="00B0321C"/>
    <w:rsid w:val="00B0390A"/>
    <w:rsid w:val="00B05408"/>
    <w:rsid w:val="00B0636A"/>
    <w:rsid w:val="00B06536"/>
    <w:rsid w:val="00B11179"/>
    <w:rsid w:val="00B127BC"/>
    <w:rsid w:val="00B12FEF"/>
    <w:rsid w:val="00B14176"/>
    <w:rsid w:val="00B20B06"/>
    <w:rsid w:val="00B24277"/>
    <w:rsid w:val="00B2509F"/>
    <w:rsid w:val="00B251D2"/>
    <w:rsid w:val="00B30019"/>
    <w:rsid w:val="00B30253"/>
    <w:rsid w:val="00B31A40"/>
    <w:rsid w:val="00B31BF1"/>
    <w:rsid w:val="00B35113"/>
    <w:rsid w:val="00B3618D"/>
    <w:rsid w:val="00B37D88"/>
    <w:rsid w:val="00B37E32"/>
    <w:rsid w:val="00B408F1"/>
    <w:rsid w:val="00B4120B"/>
    <w:rsid w:val="00B4182A"/>
    <w:rsid w:val="00B419BE"/>
    <w:rsid w:val="00B41E27"/>
    <w:rsid w:val="00B43D65"/>
    <w:rsid w:val="00B442B3"/>
    <w:rsid w:val="00B44C82"/>
    <w:rsid w:val="00B44F42"/>
    <w:rsid w:val="00B46288"/>
    <w:rsid w:val="00B465D8"/>
    <w:rsid w:val="00B47D5F"/>
    <w:rsid w:val="00B5080F"/>
    <w:rsid w:val="00B515A4"/>
    <w:rsid w:val="00B51D0F"/>
    <w:rsid w:val="00B5229A"/>
    <w:rsid w:val="00B524FA"/>
    <w:rsid w:val="00B5543D"/>
    <w:rsid w:val="00B556D7"/>
    <w:rsid w:val="00B55EC2"/>
    <w:rsid w:val="00B56DF1"/>
    <w:rsid w:val="00B57BA8"/>
    <w:rsid w:val="00B6242A"/>
    <w:rsid w:val="00B648A8"/>
    <w:rsid w:val="00B654CD"/>
    <w:rsid w:val="00B656A4"/>
    <w:rsid w:val="00B6643A"/>
    <w:rsid w:val="00B700F8"/>
    <w:rsid w:val="00B702AA"/>
    <w:rsid w:val="00B70F90"/>
    <w:rsid w:val="00B7227C"/>
    <w:rsid w:val="00B731F8"/>
    <w:rsid w:val="00B734F6"/>
    <w:rsid w:val="00B7480E"/>
    <w:rsid w:val="00B74840"/>
    <w:rsid w:val="00B74A3F"/>
    <w:rsid w:val="00B74E3A"/>
    <w:rsid w:val="00B75941"/>
    <w:rsid w:val="00B815CE"/>
    <w:rsid w:val="00B81B2D"/>
    <w:rsid w:val="00B81E6C"/>
    <w:rsid w:val="00B83979"/>
    <w:rsid w:val="00B876E9"/>
    <w:rsid w:val="00B904D0"/>
    <w:rsid w:val="00B90828"/>
    <w:rsid w:val="00B9090E"/>
    <w:rsid w:val="00B91020"/>
    <w:rsid w:val="00B924FB"/>
    <w:rsid w:val="00B928A9"/>
    <w:rsid w:val="00B939E9"/>
    <w:rsid w:val="00B93EB5"/>
    <w:rsid w:val="00B944A6"/>
    <w:rsid w:val="00B95825"/>
    <w:rsid w:val="00B95EBB"/>
    <w:rsid w:val="00B96CBE"/>
    <w:rsid w:val="00B9719A"/>
    <w:rsid w:val="00BA0FF0"/>
    <w:rsid w:val="00BA1DF6"/>
    <w:rsid w:val="00BA2F90"/>
    <w:rsid w:val="00BA3021"/>
    <w:rsid w:val="00BA3711"/>
    <w:rsid w:val="00BA6911"/>
    <w:rsid w:val="00BA6EFA"/>
    <w:rsid w:val="00BB08D7"/>
    <w:rsid w:val="00BB0B4D"/>
    <w:rsid w:val="00BB1676"/>
    <w:rsid w:val="00BB19EE"/>
    <w:rsid w:val="00BB1C2D"/>
    <w:rsid w:val="00BB2735"/>
    <w:rsid w:val="00BB368D"/>
    <w:rsid w:val="00BB369E"/>
    <w:rsid w:val="00BB547D"/>
    <w:rsid w:val="00BB603C"/>
    <w:rsid w:val="00BB6228"/>
    <w:rsid w:val="00BB6A88"/>
    <w:rsid w:val="00BB781B"/>
    <w:rsid w:val="00BB785A"/>
    <w:rsid w:val="00BC05FB"/>
    <w:rsid w:val="00BC21C7"/>
    <w:rsid w:val="00BC2559"/>
    <w:rsid w:val="00BC3B01"/>
    <w:rsid w:val="00BC4A84"/>
    <w:rsid w:val="00BC4B5C"/>
    <w:rsid w:val="00BC6DC0"/>
    <w:rsid w:val="00BC6DC1"/>
    <w:rsid w:val="00BC745D"/>
    <w:rsid w:val="00BD1DBC"/>
    <w:rsid w:val="00BD1EED"/>
    <w:rsid w:val="00BD2846"/>
    <w:rsid w:val="00BD372B"/>
    <w:rsid w:val="00BD4F4B"/>
    <w:rsid w:val="00BD5203"/>
    <w:rsid w:val="00BD5DB7"/>
    <w:rsid w:val="00BD629D"/>
    <w:rsid w:val="00BE23A4"/>
    <w:rsid w:val="00BE3E3D"/>
    <w:rsid w:val="00BE5CAD"/>
    <w:rsid w:val="00BE6348"/>
    <w:rsid w:val="00BE658B"/>
    <w:rsid w:val="00BE769D"/>
    <w:rsid w:val="00BE7D17"/>
    <w:rsid w:val="00BF05D2"/>
    <w:rsid w:val="00BF0718"/>
    <w:rsid w:val="00BF1C0D"/>
    <w:rsid w:val="00BF1E1A"/>
    <w:rsid w:val="00BF2253"/>
    <w:rsid w:val="00BF2E6D"/>
    <w:rsid w:val="00BF2FCB"/>
    <w:rsid w:val="00BF4F40"/>
    <w:rsid w:val="00BF54D9"/>
    <w:rsid w:val="00BF576F"/>
    <w:rsid w:val="00BF5B11"/>
    <w:rsid w:val="00BF78F9"/>
    <w:rsid w:val="00C0014C"/>
    <w:rsid w:val="00C0112E"/>
    <w:rsid w:val="00C01C87"/>
    <w:rsid w:val="00C03965"/>
    <w:rsid w:val="00C03B2A"/>
    <w:rsid w:val="00C04902"/>
    <w:rsid w:val="00C05D8C"/>
    <w:rsid w:val="00C078D7"/>
    <w:rsid w:val="00C106C8"/>
    <w:rsid w:val="00C127DE"/>
    <w:rsid w:val="00C12A6D"/>
    <w:rsid w:val="00C13273"/>
    <w:rsid w:val="00C1457D"/>
    <w:rsid w:val="00C14959"/>
    <w:rsid w:val="00C14ECA"/>
    <w:rsid w:val="00C15464"/>
    <w:rsid w:val="00C15F8A"/>
    <w:rsid w:val="00C16A5F"/>
    <w:rsid w:val="00C17068"/>
    <w:rsid w:val="00C1747B"/>
    <w:rsid w:val="00C20153"/>
    <w:rsid w:val="00C211EA"/>
    <w:rsid w:val="00C2194A"/>
    <w:rsid w:val="00C22242"/>
    <w:rsid w:val="00C227C8"/>
    <w:rsid w:val="00C22D2E"/>
    <w:rsid w:val="00C23E76"/>
    <w:rsid w:val="00C248D0"/>
    <w:rsid w:val="00C250CE"/>
    <w:rsid w:val="00C25916"/>
    <w:rsid w:val="00C25D0B"/>
    <w:rsid w:val="00C2646A"/>
    <w:rsid w:val="00C2652C"/>
    <w:rsid w:val="00C306C3"/>
    <w:rsid w:val="00C31CA2"/>
    <w:rsid w:val="00C32815"/>
    <w:rsid w:val="00C33AA9"/>
    <w:rsid w:val="00C34040"/>
    <w:rsid w:val="00C34587"/>
    <w:rsid w:val="00C34981"/>
    <w:rsid w:val="00C356D4"/>
    <w:rsid w:val="00C3607B"/>
    <w:rsid w:val="00C37B9E"/>
    <w:rsid w:val="00C40EC0"/>
    <w:rsid w:val="00C42FAB"/>
    <w:rsid w:val="00C44C24"/>
    <w:rsid w:val="00C45645"/>
    <w:rsid w:val="00C474E8"/>
    <w:rsid w:val="00C47818"/>
    <w:rsid w:val="00C479F8"/>
    <w:rsid w:val="00C47F91"/>
    <w:rsid w:val="00C50C64"/>
    <w:rsid w:val="00C50E2E"/>
    <w:rsid w:val="00C511EB"/>
    <w:rsid w:val="00C526DE"/>
    <w:rsid w:val="00C531FA"/>
    <w:rsid w:val="00C53F27"/>
    <w:rsid w:val="00C5586D"/>
    <w:rsid w:val="00C56911"/>
    <w:rsid w:val="00C600E0"/>
    <w:rsid w:val="00C6125A"/>
    <w:rsid w:val="00C624CE"/>
    <w:rsid w:val="00C639FE"/>
    <w:rsid w:val="00C6460D"/>
    <w:rsid w:val="00C64862"/>
    <w:rsid w:val="00C65A23"/>
    <w:rsid w:val="00C65AA5"/>
    <w:rsid w:val="00C66638"/>
    <w:rsid w:val="00C6702E"/>
    <w:rsid w:val="00C670BF"/>
    <w:rsid w:val="00C700A2"/>
    <w:rsid w:val="00C709F6"/>
    <w:rsid w:val="00C71078"/>
    <w:rsid w:val="00C71180"/>
    <w:rsid w:val="00C716E0"/>
    <w:rsid w:val="00C71857"/>
    <w:rsid w:val="00C71C05"/>
    <w:rsid w:val="00C72D76"/>
    <w:rsid w:val="00C737D2"/>
    <w:rsid w:val="00C73970"/>
    <w:rsid w:val="00C80411"/>
    <w:rsid w:val="00C80507"/>
    <w:rsid w:val="00C80B10"/>
    <w:rsid w:val="00C8311A"/>
    <w:rsid w:val="00C83757"/>
    <w:rsid w:val="00C841E8"/>
    <w:rsid w:val="00C85DB0"/>
    <w:rsid w:val="00C86E00"/>
    <w:rsid w:val="00C87744"/>
    <w:rsid w:val="00C90107"/>
    <w:rsid w:val="00C91D93"/>
    <w:rsid w:val="00C92692"/>
    <w:rsid w:val="00C93132"/>
    <w:rsid w:val="00C93CF6"/>
    <w:rsid w:val="00C9519C"/>
    <w:rsid w:val="00C95EB4"/>
    <w:rsid w:val="00C96820"/>
    <w:rsid w:val="00C977C0"/>
    <w:rsid w:val="00C97BDF"/>
    <w:rsid w:val="00CA01C1"/>
    <w:rsid w:val="00CA0359"/>
    <w:rsid w:val="00CA0942"/>
    <w:rsid w:val="00CA1162"/>
    <w:rsid w:val="00CA3F9B"/>
    <w:rsid w:val="00CA46FF"/>
    <w:rsid w:val="00CA55E8"/>
    <w:rsid w:val="00CA573D"/>
    <w:rsid w:val="00CA5EAA"/>
    <w:rsid w:val="00CA729E"/>
    <w:rsid w:val="00CA7313"/>
    <w:rsid w:val="00CA77FC"/>
    <w:rsid w:val="00CA7B88"/>
    <w:rsid w:val="00CB6080"/>
    <w:rsid w:val="00CB6B44"/>
    <w:rsid w:val="00CC133C"/>
    <w:rsid w:val="00CC1606"/>
    <w:rsid w:val="00CC25B4"/>
    <w:rsid w:val="00CC2E07"/>
    <w:rsid w:val="00CC4B21"/>
    <w:rsid w:val="00CC5A9B"/>
    <w:rsid w:val="00CC7991"/>
    <w:rsid w:val="00CC7E28"/>
    <w:rsid w:val="00CD10CE"/>
    <w:rsid w:val="00CD172A"/>
    <w:rsid w:val="00CD33D0"/>
    <w:rsid w:val="00CD3749"/>
    <w:rsid w:val="00CD3B33"/>
    <w:rsid w:val="00CD53EB"/>
    <w:rsid w:val="00CD5D78"/>
    <w:rsid w:val="00CD60E7"/>
    <w:rsid w:val="00CD61A9"/>
    <w:rsid w:val="00CD7B66"/>
    <w:rsid w:val="00CD7F18"/>
    <w:rsid w:val="00CE00FC"/>
    <w:rsid w:val="00CE0738"/>
    <w:rsid w:val="00CE0F76"/>
    <w:rsid w:val="00CE4569"/>
    <w:rsid w:val="00CE4CF3"/>
    <w:rsid w:val="00CE5C78"/>
    <w:rsid w:val="00CE6226"/>
    <w:rsid w:val="00CE6A8E"/>
    <w:rsid w:val="00CE6D36"/>
    <w:rsid w:val="00CE7D35"/>
    <w:rsid w:val="00CE7E35"/>
    <w:rsid w:val="00CF0E14"/>
    <w:rsid w:val="00CF0EBB"/>
    <w:rsid w:val="00CF1A33"/>
    <w:rsid w:val="00CF20A0"/>
    <w:rsid w:val="00CF3717"/>
    <w:rsid w:val="00CF4E66"/>
    <w:rsid w:val="00CF5AA1"/>
    <w:rsid w:val="00CF775C"/>
    <w:rsid w:val="00CF7E16"/>
    <w:rsid w:val="00D001BE"/>
    <w:rsid w:val="00D00C6E"/>
    <w:rsid w:val="00D00CFC"/>
    <w:rsid w:val="00D015D0"/>
    <w:rsid w:val="00D0177D"/>
    <w:rsid w:val="00D05551"/>
    <w:rsid w:val="00D05670"/>
    <w:rsid w:val="00D068F1"/>
    <w:rsid w:val="00D071B3"/>
    <w:rsid w:val="00D10499"/>
    <w:rsid w:val="00D110DA"/>
    <w:rsid w:val="00D110E2"/>
    <w:rsid w:val="00D11882"/>
    <w:rsid w:val="00D12DB5"/>
    <w:rsid w:val="00D12F7D"/>
    <w:rsid w:val="00D13193"/>
    <w:rsid w:val="00D13269"/>
    <w:rsid w:val="00D145FF"/>
    <w:rsid w:val="00D14D69"/>
    <w:rsid w:val="00D158CC"/>
    <w:rsid w:val="00D162BE"/>
    <w:rsid w:val="00D16A5C"/>
    <w:rsid w:val="00D20183"/>
    <w:rsid w:val="00D20561"/>
    <w:rsid w:val="00D20752"/>
    <w:rsid w:val="00D21630"/>
    <w:rsid w:val="00D2292D"/>
    <w:rsid w:val="00D23506"/>
    <w:rsid w:val="00D23913"/>
    <w:rsid w:val="00D248E6"/>
    <w:rsid w:val="00D273FF"/>
    <w:rsid w:val="00D27598"/>
    <w:rsid w:val="00D302A7"/>
    <w:rsid w:val="00D306CA"/>
    <w:rsid w:val="00D30DFC"/>
    <w:rsid w:val="00D317FD"/>
    <w:rsid w:val="00D3215B"/>
    <w:rsid w:val="00D339A5"/>
    <w:rsid w:val="00D3589D"/>
    <w:rsid w:val="00D358CC"/>
    <w:rsid w:val="00D35C0D"/>
    <w:rsid w:val="00D35C24"/>
    <w:rsid w:val="00D37764"/>
    <w:rsid w:val="00D40403"/>
    <w:rsid w:val="00D4078B"/>
    <w:rsid w:val="00D4079A"/>
    <w:rsid w:val="00D4094D"/>
    <w:rsid w:val="00D43756"/>
    <w:rsid w:val="00D4471E"/>
    <w:rsid w:val="00D44A72"/>
    <w:rsid w:val="00D45975"/>
    <w:rsid w:val="00D462F4"/>
    <w:rsid w:val="00D46703"/>
    <w:rsid w:val="00D467E4"/>
    <w:rsid w:val="00D46FB0"/>
    <w:rsid w:val="00D52DF0"/>
    <w:rsid w:val="00D53D2D"/>
    <w:rsid w:val="00D5532F"/>
    <w:rsid w:val="00D55E46"/>
    <w:rsid w:val="00D567A7"/>
    <w:rsid w:val="00D57766"/>
    <w:rsid w:val="00D5798C"/>
    <w:rsid w:val="00D57B57"/>
    <w:rsid w:val="00D57EEA"/>
    <w:rsid w:val="00D604D7"/>
    <w:rsid w:val="00D60564"/>
    <w:rsid w:val="00D65C3B"/>
    <w:rsid w:val="00D6648B"/>
    <w:rsid w:val="00D73945"/>
    <w:rsid w:val="00D749CB"/>
    <w:rsid w:val="00D752D2"/>
    <w:rsid w:val="00D75894"/>
    <w:rsid w:val="00D760C1"/>
    <w:rsid w:val="00D76222"/>
    <w:rsid w:val="00D7656D"/>
    <w:rsid w:val="00D77F2D"/>
    <w:rsid w:val="00D80795"/>
    <w:rsid w:val="00D818BD"/>
    <w:rsid w:val="00D818F3"/>
    <w:rsid w:val="00D83236"/>
    <w:rsid w:val="00D85121"/>
    <w:rsid w:val="00D86216"/>
    <w:rsid w:val="00D871D9"/>
    <w:rsid w:val="00D90973"/>
    <w:rsid w:val="00D92363"/>
    <w:rsid w:val="00D92776"/>
    <w:rsid w:val="00D93B5B"/>
    <w:rsid w:val="00D95114"/>
    <w:rsid w:val="00D95343"/>
    <w:rsid w:val="00D961EF"/>
    <w:rsid w:val="00DA01F2"/>
    <w:rsid w:val="00DA1E04"/>
    <w:rsid w:val="00DA3239"/>
    <w:rsid w:val="00DA399B"/>
    <w:rsid w:val="00DA483C"/>
    <w:rsid w:val="00DA4C05"/>
    <w:rsid w:val="00DA5888"/>
    <w:rsid w:val="00DA59D5"/>
    <w:rsid w:val="00DA69D3"/>
    <w:rsid w:val="00DA71F2"/>
    <w:rsid w:val="00DB1ECF"/>
    <w:rsid w:val="00DB3766"/>
    <w:rsid w:val="00DB6269"/>
    <w:rsid w:val="00DB6375"/>
    <w:rsid w:val="00DB7AF2"/>
    <w:rsid w:val="00DC02DF"/>
    <w:rsid w:val="00DC1117"/>
    <w:rsid w:val="00DC119F"/>
    <w:rsid w:val="00DC3643"/>
    <w:rsid w:val="00DC44DD"/>
    <w:rsid w:val="00DC68FB"/>
    <w:rsid w:val="00DC7284"/>
    <w:rsid w:val="00DC7746"/>
    <w:rsid w:val="00DC786B"/>
    <w:rsid w:val="00DC7A7B"/>
    <w:rsid w:val="00DC7C89"/>
    <w:rsid w:val="00DD0179"/>
    <w:rsid w:val="00DD0404"/>
    <w:rsid w:val="00DD0ADD"/>
    <w:rsid w:val="00DD1629"/>
    <w:rsid w:val="00DD3B7B"/>
    <w:rsid w:val="00DD4784"/>
    <w:rsid w:val="00DD5B5D"/>
    <w:rsid w:val="00DD71B2"/>
    <w:rsid w:val="00DD78C1"/>
    <w:rsid w:val="00DE0568"/>
    <w:rsid w:val="00DE1787"/>
    <w:rsid w:val="00DE2BF3"/>
    <w:rsid w:val="00DE4D98"/>
    <w:rsid w:val="00DE6577"/>
    <w:rsid w:val="00DE6A11"/>
    <w:rsid w:val="00DE74A0"/>
    <w:rsid w:val="00DE7548"/>
    <w:rsid w:val="00DE7ABB"/>
    <w:rsid w:val="00DF2268"/>
    <w:rsid w:val="00DF3604"/>
    <w:rsid w:val="00DF4513"/>
    <w:rsid w:val="00DF675D"/>
    <w:rsid w:val="00DF6C69"/>
    <w:rsid w:val="00DF754F"/>
    <w:rsid w:val="00E00811"/>
    <w:rsid w:val="00E01CD7"/>
    <w:rsid w:val="00E0205B"/>
    <w:rsid w:val="00E02E10"/>
    <w:rsid w:val="00E03318"/>
    <w:rsid w:val="00E03359"/>
    <w:rsid w:val="00E0485B"/>
    <w:rsid w:val="00E04A95"/>
    <w:rsid w:val="00E04F6E"/>
    <w:rsid w:val="00E04F83"/>
    <w:rsid w:val="00E0503B"/>
    <w:rsid w:val="00E069E2"/>
    <w:rsid w:val="00E0718D"/>
    <w:rsid w:val="00E10CC8"/>
    <w:rsid w:val="00E10CDA"/>
    <w:rsid w:val="00E10CE2"/>
    <w:rsid w:val="00E11D55"/>
    <w:rsid w:val="00E13277"/>
    <w:rsid w:val="00E15878"/>
    <w:rsid w:val="00E174D5"/>
    <w:rsid w:val="00E17FED"/>
    <w:rsid w:val="00E20A28"/>
    <w:rsid w:val="00E20EA8"/>
    <w:rsid w:val="00E2456F"/>
    <w:rsid w:val="00E25452"/>
    <w:rsid w:val="00E2632E"/>
    <w:rsid w:val="00E26992"/>
    <w:rsid w:val="00E32371"/>
    <w:rsid w:val="00E32711"/>
    <w:rsid w:val="00E33052"/>
    <w:rsid w:val="00E337AD"/>
    <w:rsid w:val="00E338DC"/>
    <w:rsid w:val="00E33EC6"/>
    <w:rsid w:val="00E345DD"/>
    <w:rsid w:val="00E37123"/>
    <w:rsid w:val="00E375A3"/>
    <w:rsid w:val="00E37B41"/>
    <w:rsid w:val="00E403BF"/>
    <w:rsid w:val="00E41E55"/>
    <w:rsid w:val="00E43999"/>
    <w:rsid w:val="00E4420C"/>
    <w:rsid w:val="00E446E2"/>
    <w:rsid w:val="00E44C25"/>
    <w:rsid w:val="00E45F68"/>
    <w:rsid w:val="00E463F9"/>
    <w:rsid w:val="00E4738D"/>
    <w:rsid w:val="00E474A4"/>
    <w:rsid w:val="00E47DDF"/>
    <w:rsid w:val="00E50D8F"/>
    <w:rsid w:val="00E50E19"/>
    <w:rsid w:val="00E516DB"/>
    <w:rsid w:val="00E524DE"/>
    <w:rsid w:val="00E52941"/>
    <w:rsid w:val="00E52A06"/>
    <w:rsid w:val="00E54A0D"/>
    <w:rsid w:val="00E54AD3"/>
    <w:rsid w:val="00E54FC5"/>
    <w:rsid w:val="00E55B0D"/>
    <w:rsid w:val="00E56374"/>
    <w:rsid w:val="00E56D00"/>
    <w:rsid w:val="00E57003"/>
    <w:rsid w:val="00E57A99"/>
    <w:rsid w:val="00E603EC"/>
    <w:rsid w:val="00E606DF"/>
    <w:rsid w:val="00E61705"/>
    <w:rsid w:val="00E61A19"/>
    <w:rsid w:val="00E61A6E"/>
    <w:rsid w:val="00E6305B"/>
    <w:rsid w:val="00E64181"/>
    <w:rsid w:val="00E642E5"/>
    <w:rsid w:val="00E64708"/>
    <w:rsid w:val="00E6524F"/>
    <w:rsid w:val="00E65DC7"/>
    <w:rsid w:val="00E70F34"/>
    <w:rsid w:val="00E71205"/>
    <w:rsid w:val="00E71437"/>
    <w:rsid w:val="00E718E5"/>
    <w:rsid w:val="00E71AA8"/>
    <w:rsid w:val="00E738A2"/>
    <w:rsid w:val="00E75818"/>
    <w:rsid w:val="00E75C6D"/>
    <w:rsid w:val="00E7791B"/>
    <w:rsid w:val="00E80EC7"/>
    <w:rsid w:val="00E80F99"/>
    <w:rsid w:val="00E82480"/>
    <w:rsid w:val="00E835CF"/>
    <w:rsid w:val="00E83FA5"/>
    <w:rsid w:val="00E846A8"/>
    <w:rsid w:val="00E849C2"/>
    <w:rsid w:val="00E84CEC"/>
    <w:rsid w:val="00E85B1D"/>
    <w:rsid w:val="00E8707A"/>
    <w:rsid w:val="00E909AC"/>
    <w:rsid w:val="00E91861"/>
    <w:rsid w:val="00E942C6"/>
    <w:rsid w:val="00E94E4B"/>
    <w:rsid w:val="00E9602B"/>
    <w:rsid w:val="00E97E9A"/>
    <w:rsid w:val="00EA0D78"/>
    <w:rsid w:val="00EA1FC9"/>
    <w:rsid w:val="00EA3A56"/>
    <w:rsid w:val="00EA3A65"/>
    <w:rsid w:val="00EA4670"/>
    <w:rsid w:val="00EA525C"/>
    <w:rsid w:val="00EA59A3"/>
    <w:rsid w:val="00EA627A"/>
    <w:rsid w:val="00EB08A0"/>
    <w:rsid w:val="00EB0FA0"/>
    <w:rsid w:val="00EB2FCC"/>
    <w:rsid w:val="00EB32CD"/>
    <w:rsid w:val="00EB3BAF"/>
    <w:rsid w:val="00EB4548"/>
    <w:rsid w:val="00EB4C9A"/>
    <w:rsid w:val="00EB50D4"/>
    <w:rsid w:val="00EB5A55"/>
    <w:rsid w:val="00EB6F13"/>
    <w:rsid w:val="00EB7793"/>
    <w:rsid w:val="00EC21A1"/>
    <w:rsid w:val="00EC3799"/>
    <w:rsid w:val="00EC3945"/>
    <w:rsid w:val="00EC3A7D"/>
    <w:rsid w:val="00EC4880"/>
    <w:rsid w:val="00EC4A47"/>
    <w:rsid w:val="00EC60F1"/>
    <w:rsid w:val="00EC62FE"/>
    <w:rsid w:val="00EC782B"/>
    <w:rsid w:val="00EC7C6C"/>
    <w:rsid w:val="00ED0E9F"/>
    <w:rsid w:val="00ED16A7"/>
    <w:rsid w:val="00ED3368"/>
    <w:rsid w:val="00ED36CD"/>
    <w:rsid w:val="00ED4D8D"/>
    <w:rsid w:val="00ED59BE"/>
    <w:rsid w:val="00ED66BD"/>
    <w:rsid w:val="00ED6F87"/>
    <w:rsid w:val="00ED7095"/>
    <w:rsid w:val="00EE2B85"/>
    <w:rsid w:val="00EE3A87"/>
    <w:rsid w:val="00EE3E04"/>
    <w:rsid w:val="00EE43F6"/>
    <w:rsid w:val="00EE4994"/>
    <w:rsid w:val="00EE58D5"/>
    <w:rsid w:val="00EE6FE0"/>
    <w:rsid w:val="00EE70A6"/>
    <w:rsid w:val="00EE785D"/>
    <w:rsid w:val="00EF131E"/>
    <w:rsid w:val="00EF1691"/>
    <w:rsid w:val="00EF2901"/>
    <w:rsid w:val="00EF5073"/>
    <w:rsid w:val="00EF5EB9"/>
    <w:rsid w:val="00EF63F6"/>
    <w:rsid w:val="00EF76AA"/>
    <w:rsid w:val="00EF7B3F"/>
    <w:rsid w:val="00EF7B74"/>
    <w:rsid w:val="00F01F2E"/>
    <w:rsid w:val="00F02911"/>
    <w:rsid w:val="00F02BF5"/>
    <w:rsid w:val="00F04EA9"/>
    <w:rsid w:val="00F0538B"/>
    <w:rsid w:val="00F0608D"/>
    <w:rsid w:val="00F063D9"/>
    <w:rsid w:val="00F06F29"/>
    <w:rsid w:val="00F07119"/>
    <w:rsid w:val="00F10C9F"/>
    <w:rsid w:val="00F132F3"/>
    <w:rsid w:val="00F147E7"/>
    <w:rsid w:val="00F15BEE"/>
    <w:rsid w:val="00F16208"/>
    <w:rsid w:val="00F16443"/>
    <w:rsid w:val="00F200CA"/>
    <w:rsid w:val="00F2258F"/>
    <w:rsid w:val="00F22A3E"/>
    <w:rsid w:val="00F22CDB"/>
    <w:rsid w:val="00F23B58"/>
    <w:rsid w:val="00F247D0"/>
    <w:rsid w:val="00F27807"/>
    <w:rsid w:val="00F27DA9"/>
    <w:rsid w:val="00F3053F"/>
    <w:rsid w:val="00F305E1"/>
    <w:rsid w:val="00F3070D"/>
    <w:rsid w:val="00F3270B"/>
    <w:rsid w:val="00F3280B"/>
    <w:rsid w:val="00F345D1"/>
    <w:rsid w:val="00F346B2"/>
    <w:rsid w:val="00F35C9D"/>
    <w:rsid w:val="00F40445"/>
    <w:rsid w:val="00F41188"/>
    <w:rsid w:val="00F413AE"/>
    <w:rsid w:val="00F41C8F"/>
    <w:rsid w:val="00F427D6"/>
    <w:rsid w:val="00F431FC"/>
    <w:rsid w:val="00F4496F"/>
    <w:rsid w:val="00F4579C"/>
    <w:rsid w:val="00F465BA"/>
    <w:rsid w:val="00F46DCE"/>
    <w:rsid w:val="00F5101B"/>
    <w:rsid w:val="00F5255D"/>
    <w:rsid w:val="00F52838"/>
    <w:rsid w:val="00F53A5F"/>
    <w:rsid w:val="00F53CEB"/>
    <w:rsid w:val="00F540F3"/>
    <w:rsid w:val="00F54266"/>
    <w:rsid w:val="00F5461F"/>
    <w:rsid w:val="00F56154"/>
    <w:rsid w:val="00F571E5"/>
    <w:rsid w:val="00F62DFE"/>
    <w:rsid w:val="00F636C0"/>
    <w:rsid w:val="00F6375D"/>
    <w:rsid w:val="00F63A07"/>
    <w:rsid w:val="00F6494B"/>
    <w:rsid w:val="00F65244"/>
    <w:rsid w:val="00F6579A"/>
    <w:rsid w:val="00F65C95"/>
    <w:rsid w:val="00F65D6A"/>
    <w:rsid w:val="00F65DA4"/>
    <w:rsid w:val="00F6616E"/>
    <w:rsid w:val="00F662CA"/>
    <w:rsid w:val="00F665A1"/>
    <w:rsid w:val="00F66BAE"/>
    <w:rsid w:val="00F67F64"/>
    <w:rsid w:val="00F707B1"/>
    <w:rsid w:val="00F70AE8"/>
    <w:rsid w:val="00F70C06"/>
    <w:rsid w:val="00F72AB7"/>
    <w:rsid w:val="00F73587"/>
    <w:rsid w:val="00F74524"/>
    <w:rsid w:val="00F746F2"/>
    <w:rsid w:val="00F74896"/>
    <w:rsid w:val="00F74C52"/>
    <w:rsid w:val="00F75D9F"/>
    <w:rsid w:val="00F80ECF"/>
    <w:rsid w:val="00F81BF1"/>
    <w:rsid w:val="00F81F2B"/>
    <w:rsid w:val="00F873D5"/>
    <w:rsid w:val="00F876A8"/>
    <w:rsid w:val="00F876E0"/>
    <w:rsid w:val="00F8796D"/>
    <w:rsid w:val="00F87ACE"/>
    <w:rsid w:val="00F87AF5"/>
    <w:rsid w:val="00F92638"/>
    <w:rsid w:val="00F92882"/>
    <w:rsid w:val="00F92D85"/>
    <w:rsid w:val="00F94A7E"/>
    <w:rsid w:val="00F952C8"/>
    <w:rsid w:val="00F95F13"/>
    <w:rsid w:val="00F9657B"/>
    <w:rsid w:val="00F96D01"/>
    <w:rsid w:val="00F9715B"/>
    <w:rsid w:val="00F97915"/>
    <w:rsid w:val="00FA333D"/>
    <w:rsid w:val="00FA394C"/>
    <w:rsid w:val="00FA4AAD"/>
    <w:rsid w:val="00FA4C6C"/>
    <w:rsid w:val="00FA4F87"/>
    <w:rsid w:val="00FA5A30"/>
    <w:rsid w:val="00FA6090"/>
    <w:rsid w:val="00FA6648"/>
    <w:rsid w:val="00FA70FA"/>
    <w:rsid w:val="00FB0A37"/>
    <w:rsid w:val="00FB2867"/>
    <w:rsid w:val="00FB3A26"/>
    <w:rsid w:val="00FB41DA"/>
    <w:rsid w:val="00FB4988"/>
    <w:rsid w:val="00FB5276"/>
    <w:rsid w:val="00FB5BEE"/>
    <w:rsid w:val="00FB6053"/>
    <w:rsid w:val="00FB644A"/>
    <w:rsid w:val="00FB7478"/>
    <w:rsid w:val="00FC0F16"/>
    <w:rsid w:val="00FC1169"/>
    <w:rsid w:val="00FC248F"/>
    <w:rsid w:val="00FC3ECC"/>
    <w:rsid w:val="00FC4E2A"/>
    <w:rsid w:val="00FD0E8E"/>
    <w:rsid w:val="00FD14BE"/>
    <w:rsid w:val="00FD16B2"/>
    <w:rsid w:val="00FD1BC8"/>
    <w:rsid w:val="00FD284D"/>
    <w:rsid w:val="00FD514D"/>
    <w:rsid w:val="00FD6715"/>
    <w:rsid w:val="00FD68C7"/>
    <w:rsid w:val="00FD6F46"/>
    <w:rsid w:val="00FE0093"/>
    <w:rsid w:val="00FE04AC"/>
    <w:rsid w:val="00FE0675"/>
    <w:rsid w:val="00FE0F32"/>
    <w:rsid w:val="00FE2BC7"/>
    <w:rsid w:val="00FE35B8"/>
    <w:rsid w:val="00FE3A62"/>
    <w:rsid w:val="00FE5334"/>
    <w:rsid w:val="00FE6B99"/>
    <w:rsid w:val="00FF072F"/>
    <w:rsid w:val="00FF0A18"/>
    <w:rsid w:val="00FF14C5"/>
    <w:rsid w:val="00FF2002"/>
    <w:rsid w:val="00FF22E7"/>
    <w:rsid w:val="00FF3DE3"/>
    <w:rsid w:val="00FF3FE2"/>
    <w:rsid w:val="00FF4688"/>
    <w:rsid w:val="00FF5353"/>
    <w:rsid w:val="00FF7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94CF3"/>
  <w14:defaultImageDpi w14:val="300"/>
  <w15:docId w15:val="{9279BFD3-5838-45F2-AD1C-77826729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941"/>
    <w:rPr>
      <w:rFonts w:ascii="Lucida Grande" w:hAnsi="Lucida Grande" w:cs="Lucida Grande"/>
      <w:sz w:val="18"/>
      <w:szCs w:val="18"/>
    </w:rPr>
  </w:style>
  <w:style w:type="paragraph" w:styleId="ListParagraph">
    <w:name w:val="List Paragraph"/>
    <w:basedOn w:val="Normal"/>
    <w:uiPriority w:val="34"/>
    <w:qFormat/>
    <w:rsid w:val="00EC7C6C"/>
    <w:pPr>
      <w:ind w:left="720"/>
      <w:contextualSpacing/>
    </w:pPr>
    <w:rPr>
      <w:rFonts w:eastAsiaTheme="minorHAnsi"/>
    </w:rPr>
  </w:style>
  <w:style w:type="character" w:styleId="CommentReference">
    <w:name w:val="annotation reference"/>
    <w:basedOn w:val="DefaultParagraphFont"/>
    <w:uiPriority w:val="99"/>
    <w:semiHidden/>
    <w:unhideWhenUsed/>
    <w:rsid w:val="00751F49"/>
    <w:rPr>
      <w:sz w:val="18"/>
      <w:szCs w:val="18"/>
    </w:rPr>
  </w:style>
  <w:style w:type="paragraph" w:styleId="CommentText">
    <w:name w:val="annotation text"/>
    <w:basedOn w:val="Normal"/>
    <w:link w:val="CommentTextChar"/>
    <w:uiPriority w:val="99"/>
    <w:unhideWhenUsed/>
    <w:rsid w:val="00751F49"/>
  </w:style>
  <w:style w:type="character" w:customStyle="1" w:styleId="CommentTextChar">
    <w:name w:val="Comment Text Char"/>
    <w:basedOn w:val="DefaultParagraphFont"/>
    <w:link w:val="CommentText"/>
    <w:uiPriority w:val="99"/>
    <w:rsid w:val="00751F49"/>
  </w:style>
  <w:style w:type="paragraph" w:styleId="CommentSubject">
    <w:name w:val="annotation subject"/>
    <w:basedOn w:val="CommentText"/>
    <w:next w:val="CommentText"/>
    <w:link w:val="CommentSubjectChar"/>
    <w:uiPriority w:val="99"/>
    <w:semiHidden/>
    <w:unhideWhenUsed/>
    <w:rsid w:val="00751F49"/>
    <w:rPr>
      <w:b/>
      <w:bCs/>
      <w:sz w:val="20"/>
      <w:szCs w:val="20"/>
    </w:rPr>
  </w:style>
  <w:style w:type="character" w:customStyle="1" w:styleId="CommentSubjectChar">
    <w:name w:val="Comment Subject Char"/>
    <w:basedOn w:val="CommentTextChar"/>
    <w:link w:val="CommentSubject"/>
    <w:uiPriority w:val="99"/>
    <w:semiHidden/>
    <w:rsid w:val="00751F49"/>
    <w:rPr>
      <w:b/>
      <w:bCs/>
      <w:sz w:val="20"/>
      <w:szCs w:val="20"/>
    </w:rPr>
  </w:style>
  <w:style w:type="character" w:styleId="Hyperlink">
    <w:name w:val="Hyperlink"/>
    <w:basedOn w:val="DefaultParagraphFont"/>
    <w:uiPriority w:val="99"/>
    <w:unhideWhenUsed/>
    <w:rsid w:val="001E2F25"/>
    <w:rPr>
      <w:color w:val="0000FF" w:themeColor="hyperlink"/>
      <w:u w:val="single"/>
    </w:rPr>
  </w:style>
  <w:style w:type="paragraph" w:styleId="Caption">
    <w:name w:val="caption"/>
    <w:basedOn w:val="Normal"/>
    <w:next w:val="Normal"/>
    <w:uiPriority w:val="35"/>
    <w:unhideWhenUsed/>
    <w:qFormat/>
    <w:rsid w:val="00077E8E"/>
    <w:pPr>
      <w:spacing w:after="200"/>
    </w:pPr>
    <w:rPr>
      <w:i/>
      <w:iCs/>
      <w:color w:val="1F497D" w:themeColor="text2"/>
      <w:sz w:val="18"/>
      <w:szCs w:val="18"/>
    </w:rPr>
  </w:style>
  <w:style w:type="paragraph" w:styleId="Header">
    <w:name w:val="header"/>
    <w:basedOn w:val="Normal"/>
    <w:link w:val="HeaderChar"/>
    <w:uiPriority w:val="99"/>
    <w:unhideWhenUsed/>
    <w:rsid w:val="00FE2BC7"/>
    <w:pPr>
      <w:tabs>
        <w:tab w:val="center" w:pos="4680"/>
        <w:tab w:val="right" w:pos="9360"/>
      </w:tabs>
    </w:pPr>
  </w:style>
  <w:style w:type="character" w:customStyle="1" w:styleId="HeaderChar">
    <w:name w:val="Header Char"/>
    <w:basedOn w:val="DefaultParagraphFont"/>
    <w:link w:val="Header"/>
    <w:uiPriority w:val="99"/>
    <w:rsid w:val="00FE2BC7"/>
  </w:style>
  <w:style w:type="paragraph" w:styleId="Footer">
    <w:name w:val="footer"/>
    <w:basedOn w:val="Normal"/>
    <w:link w:val="FooterChar"/>
    <w:uiPriority w:val="99"/>
    <w:unhideWhenUsed/>
    <w:rsid w:val="00FE2BC7"/>
    <w:pPr>
      <w:tabs>
        <w:tab w:val="center" w:pos="4680"/>
        <w:tab w:val="right" w:pos="9360"/>
      </w:tabs>
    </w:pPr>
  </w:style>
  <w:style w:type="character" w:customStyle="1" w:styleId="FooterChar">
    <w:name w:val="Footer Char"/>
    <w:basedOn w:val="DefaultParagraphFont"/>
    <w:link w:val="Footer"/>
    <w:uiPriority w:val="99"/>
    <w:rsid w:val="00FE2BC7"/>
  </w:style>
  <w:style w:type="paragraph" w:styleId="Revision">
    <w:name w:val="Revision"/>
    <w:hidden/>
    <w:uiPriority w:val="99"/>
    <w:semiHidden/>
    <w:rsid w:val="00C211EA"/>
  </w:style>
  <w:style w:type="paragraph" w:styleId="NormalWeb">
    <w:name w:val="Normal (Web)"/>
    <w:basedOn w:val="Normal"/>
    <w:uiPriority w:val="99"/>
    <w:semiHidden/>
    <w:unhideWhenUsed/>
    <w:rsid w:val="00E70F34"/>
    <w:rPr>
      <w:rFonts w:ascii="Times New Roman" w:hAnsi="Times New Roman" w:cs="Times New Roman"/>
    </w:rPr>
  </w:style>
  <w:style w:type="character" w:styleId="Emphasis">
    <w:name w:val="Emphasis"/>
    <w:basedOn w:val="DefaultParagraphFont"/>
    <w:uiPriority w:val="20"/>
    <w:qFormat/>
    <w:rsid w:val="00BC4A84"/>
    <w:rPr>
      <w:i/>
      <w:iCs/>
    </w:rPr>
  </w:style>
  <w:style w:type="character" w:styleId="Strong">
    <w:name w:val="Strong"/>
    <w:basedOn w:val="DefaultParagraphFont"/>
    <w:uiPriority w:val="22"/>
    <w:qFormat/>
    <w:rsid w:val="00EC4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5840">
      <w:bodyDiv w:val="1"/>
      <w:marLeft w:val="0"/>
      <w:marRight w:val="0"/>
      <w:marTop w:val="0"/>
      <w:marBottom w:val="0"/>
      <w:divBdr>
        <w:top w:val="none" w:sz="0" w:space="0" w:color="auto"/>
        <w:left w:val="none" w:sz="0" w:space="0" w:color="auto"/>
        <w:bottom w:val="none" w:sz="0" w:space="0" w:color="auto"/>
        <w:right w:val="none" w:sz="0" w:space="0" w:color="auto"/>
      </w:divBdr>
    </w:div>
    <w:div w:id="238517278">
      <w:bodyDiv w:val="1"/>
      <w:marLeft w:val="0"/>
      <w:marRight w:val="0"/>
      <w:marTop w:val="0"/>
      <w:marBottom w:val="0"/>
      <w:divBdr>
        <w:top w:val="none" w:sz="0" w:space="0" w:color="auto"/>
        <w:left w:val="none" w:sz="0" w:space="0" w:color="auto"/>
        <w:bottom w:val="none" w:sz="0" w:space="0" w:color="auto"/>
        <w:right w:val="none" w:sz="0" w:space="0" w:color="auto"/>
      </w:divBdr>
    </w:div>
    <w:div w:id="245458593">
      <w:bodyDiv w:val="1"/>
      <w:marLeft w:val="0"/>
      <w:marRight w:val="0"/>
      <w:marTop w:val="0"/>
      <w:marBottom w:val="0"/>
      <w:divBdr>
        <w:top w:val="none" w:sz="0" w:space="0" w:color="auto"/>
        <w:left w:val="none" w:sz="0" w:space="0" w:color="auto"/>
        <w:bottom w:val="none" w:sz="0" w:space="0" w:color="auto"/>
        <w:right w:val="none" w:sz="0" w:space="0" w:color="auto"/>
      </w:divBdr>
    </w:div>
    <w:div w:id="681391873">
      <w:bodyDiv w:val="1"/>
      <w:marLeft w:val="0"/>
      <w:marRight w:val="0"/>
      <w:marTop w:val="0"/>
      <w:marBottom w:val="0"/>
      <w:divBdr>
        <w:top w:val="none" w:sz="0" w:space="0" w:color="auto"/>
        <w:left w:val="none" w:sz="0" w:space="0" w:color="auto"/>
        <w:bottom w:val="none" w:sz="0" w:space="0" w:color="auto"/>
        <w:right w:val="none" w:sz="0" w:space="0" w:color="auto"/>
      </w:divBdr>
      <w:divsChild>
        <w:div w:id="2057464300">
          <w:marLeft w:val="0"/>
          <w:marRight w:val="0"/>
          <w:marTop w:val="0"/>
          <w:marBottom w:val="0"/>
          <w:divBdr>
            <w:top w:val="none" w:sz="0" w:space="0" w:color="auto"/>
            <w:left w:val="none" w:sz="0" w:space="0" w:color="auto"/>
            <w:bottom w:val="none" w:sz="0" w:space="0" w:color="auto"/>
            <w:right w:val="none" w:sz="0" w:space="0" w:color="auto"/>
          </w:divBdr>
          <w:divsChild>
            <w:div w:id="143665438">
              <w:marLeft w:val="0"/>
              <w:marRight w:val="0"/>
              <w:marTop w:val="0"/>
              <w:marBottom w:val="0"/>
              <w:divBdr>
                <w:top w:val="none" w:sz="0" w:space="0" w:color="auto"/>
                <w:left w:val="none" w:sz="0" w:space="0" w:color="auto"/>
                <w:bottom w:val="none" w:sz="0" w:space="0" w:color="auto"/>
                <w:right w:val="none" w:sz="0" w:space="0" w:color="auto"/>
              </w:divBdr>
              <w:divsChild>
                <w:div w:id="603612431">
                  <w:marLeft w:val="0"/>
                  <w:marRight w:val="0"/>
                  <w:marTop w:val="0"/>
                  <w:marBottom w:val="0"/>
                  <w:divBdr>
                    <w:top w:val="none" w:sz="0" w:space="0" w:color="auto"/>
                    <w:left w:val="none" w:sz="0" w:space="0" w:color="auto"/>
                    <w:bottom w:val="none" w:sz="0" w:space="0" w:color="auto"/>
                    <w:right w:val="none" w:sz="0" w:space="0" w:color="auto"/>
                  </w:divBdr>
                  <w:divsChild>
                    <w:div w:id="159932220">
                      <w:marLeft w:val="0"/>
                      <w:marRight w:val="0"/>
                      <w:marTop w:val="0"/>
                      <w:marBottom w:val="0"/>
                      <w:divBdr>
                        <w:top w:val="none" w:sz="0" w:space="0" w:color="auto"/>
                        <w:left w:val="none" w:sz="0" w:space="0" w:color="auto"/>
                        <w:bottom w:val="none" w:sz="0" w:space="0" w:color="auto"/>
                        <w:right w:val="none" w:sz="0" w:space="0" w:color="auto"/>
                      </w:divBdr>
                      <w:divsChild>
                        <w:div w:id="10122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578672">
      <w:bodyDiv w:val="1"/>
      <w:marLeft w:val="0"/>
      <w:marRight w:val="0"/>
      <w:marTop w:val="0"/>
      <w:marBottom w:val="0"/>
      <w:divBdr>
        <w:top w:val="none" w:sz="0" w:space="0" w:color="auto"/>
        <w:left w:val="none" w:sz="0" w:space="0" w:color="auto"/>
        <w:bottom w:val="none" w:sz="0" w:space="0" w:color="auto"/>
        <w:right w:val="none" w:sz="0" w:space="0" w:color="auto"/>
      </w:divBdr>
    </w:div>
    <w:div w:id="929704254">
      <w:bodyDiv w:val="1"/>
      <w:marLeft w:val="0"/>
      <w:marRight w:val="0"/>
      <w:marTop w:val="0"/>
      <w:marBottom w:val="0"/>
      <w:divBdr>
        <w:top w:val="none" w:sz="0" w:space="0" w:color="auto"/>
        <w:left w:val="none" w:sz="0" w:space="0" w:color="auto"/>
        <w:bottom w:val="none" w:sz="0" w:space="0" w:color="auto"/>
        <w:right w:val="none" w:sz="0" w:space="0" w:color="auto"/>
      </w:divBdr>
    </w:div>
    <w:div w:id="952204737">
      <w:bodyDiv w:val="1"/>
      <w:marLeft w:val="0"/>
      <w:marRight w:val="0"/>
      <w:marTop w:val="0"/>
      <w:marBottom w:val="0"/>
      <w:divBdr>
        <w:top w:val="none" w:sz="0" w:space="0" w:color="auto"/>
        <w:left w:val="none" w:sz="0" w:space="0" w:color="auto"/>
        <w:bottom w:val="none" w:sz="0" w:space="0" w:color="auto"/>
        <w:right w:val="none" w:sz="0" w:space="0" w:color="auto"/>
      </w:divBdr>
    </w:div>
    <w:div w:id="1090809887">
      <w:bodyDiv w:val="1"/>
      <w:marLeft w:val="0"/>
      <w:marRight w:val="0"/>
      <w:marTop w:val="0"/>
      <w:marBottom w:val="0"/>
      <w:divBdr>
        <w:top w:val="none" w:sz="0" w:space="0" w:color="auto"/>
        <w:left w:val="none" w:sz="0" w:space="0" w:color="auto"/>
        <w:bottom w:val="none" w:sz="0" w:space="0" w:color="auto"/>
        <w:right w:val="none" w:sz="0" w:space="0" w:color="auto"/>
      </w:divBdr>
    </w:div>
    <w:div w:id="1103377179">
      <w:bodyDiv w:val="1"/>
      <w:marLeft w:val="0"/>
      <w:marRight w:val="0"/>
      <w:marTop w:val="0"/>
      <w:marBottom w:val="0"/>
      <w:divBdr>
        <w:top w:val="none" w:sz="0" w:space="0" w:color="auto"/>
        <w:left w:val="none" w:sz="0" w:space="0" w:color="auto"/>
        <w:bottom w:val="none" w:sz="0" w:space="0" w:color="auto"/>
        <w:right w:val="none" w:sz="0" w:space="0" w:color="auto"/>
      </w:divBdr>
    </w:div>
    <w:div w:id="1171336861">
      <w:bodyDiv w:val="1"/>
      <w:marLeft w:val="0"/>
      <w:marRight w:val="0"/>
      <w:marTop w:val="0"/>
      <w:marBottom w:val="0"/>
      <w:divBdr>
        <w:top w:val="none" w:sz="0" w:space="0" w:color="auto"/>
        <w:left w:val="none" w:sz="0" w:space="0" w:color="auto"/>
        <w:bottom w:val="none" w:sz="0" w:space="0" w:color="auto"/>
        <w:right w:val="none" w:sz="0" w:space="0" w:color="auto"/>
      </w:divBdr>
    </w:div>
    <w:div w:id="1247420839">
      <w:bodyDiv w:val="1"/>
      <w:marLeft w:val="0"/>
      <w:marRight w:val="0"/>
      <w:marTop w:val="0"/>
      <w:marBottom w:val="0"/>
      <w:divBdr>
        <w:top w:val="none" w:sz="0" w:space="0" w:color="auto"/>
        <w:left w:val="none" w:sz="0" w:space="0" w:color="auto"/>
        <w:bottom w:val="none" w:sz="0" w:space="0" w:color="auto"/>
        <w:right w:val="none" w:sz="0" w:space="0" w:color="auto"/>
      </w:divBdr>
    </w:div>
    <w:div w:id="1312372119">
      <w:bodyDiv w:val="1"/>
      <w:marLeft w:val="0"/>
      <w:marRight w:val="0"/>
      <w:marTop w:val="0"/>
      <w:marBottom w:val="0"/>
      <w:divBdr>
        <w:top w:val="none" w:sz="0" w:space="0" w:color="auto"/>
        <w:left w:val="none" w:sz="0" w:space="0" w:color="auto"/>
        <w:bottom w:val="none" w:sz="0" w:space="0" w:color="auto"/>
        <w:right w:val="none" w:sz="0" w:space="0" w:color="auto"/>
      </w:divBdr>
    </w:div>
    <w:div w:id="1364861330">
      <w:bodyDiv w:val="1"/>
      <w:marLeft w:val="0"/>
      <w:marRight w:val="0"/>
      <w:marTop w:val="0"/>
      <w:marBottom w:val="0"/>
      <w:divBdr>
        <w:top w:val="none" w:sz="0" w:space="0" w:color="auto"/>
        <w:left w:val="none" w:sz="0" w:space="0" w:color="auto"/>
        <w:bottom w:val="none" w:sz="0" w:space="0" w:color="auto"/>
        <w:right w:val="none" w:sz="0" w:space="0" w:color="auto"/>
      </w:divBdr>
    </w:div>
    <w:div w:id="1420061322">
      <w:bodyDiv w:val="1"/>
      <w:marLeft w:val="0"/>
      <w:marRight w:val="0"/>
      <w:marTop w:val="0"/>
      <w:marBottom w:val="0"/>
      <w:divBdr>
        <w:top w:val="none" w:sz="0" w:space="0" w:color="auto"/>
        <w:left w:val="none" w:sz="0" w:space="0" w:color="auto"/>
        <w:bottom w:val="none" w:sz="0" w:space="0" w:color="auto"/>
        <w:right w:val="none" w:sz="0" w:space="0" w:color="auto"/>
      </w:divBdr>
    </w:div>
    <w:div w:id="1544563514">
      <w:bodyDiv w:val="1"/>
      <w:marLeft w:val="0"/>
      <w:marRight w:val="0"/>
      <w:marTop w:val="0"/>
      <w:marBottom w:val="0"/>
      <w:divBdr>
        <w:top w:val="none" w:sz="0" w:space="0" w:color="auto"/>
        <w:left w:val="none" w:sz="0" w:space="0" w:color="auto"/>
        <w:bottom w:val="none" w:sz="0" w:space="0" w:color="auto"/>
        <w:right w:val="none" w:sz="0" w:space="0" w:color="auto"/>
      </w:divBdr>
    </w:div>
    <w:div w:id="1671634997">
      <w:bodyDiv w:val="1"/>
      <w:marLeft w:val="0"/>
      <w:marRight w:val="0"/>
      <w:marTop w:val="0"/>
      <w:marBottom w:val="0"/>
      <w:divBdr>
        <w:top w:val="none" w:sz="0" w:space="0" w:color="auto"/>
        <w:left w:val="none" w:sz="0" w:space="0" w:color="auto"/>
        <w:bottom w:val="none" w:sz="0" w:space="0" w:color="auto"/>
        <w:right w:val="none" w:sz="0" w:space="0" w:color="auto"/>
      </w:divBdr>
    </w:div>
    <w:div w:id="1787695072">
      <w:bodyDiv w:val="1"/>
      <w:marLeft w:val="0"/>
      <w:marRight w:val="0"/>
      <w:marTop w:val="0"/>
      <w:marBottom w:val="0"/>
      <w:divBdr>
        <w:top w:val="none" w:sz="0" w:space="0" w:color="auto"/>
        <w:left w:val="none" w:sz="0" w:space="0" w:color="auto"/>
        <w:bottom w:val="none" w:sz="0" w:space="0" w:color="auto"/>
        <w:right w:val="none" w:sz="0" w:space="0" w:color="auto"/>
      </w:divBdr>
    </w:div>
    <w:div w:id="1845125380">
      <w:bodyDiv w:val="1"/>
      <w:marLeft w:val="0"/>
      <w:marRight w:val="0"/>
      <w:marTop w:val="0"/>
      <w:marBottom w:val="0"/>
      <w:divBdr>
        <w:top w:val="none" w:sz="0" w:space="0" w:color="auto"/>
        <w:left w:val="none" w:sz="0" w:space="0" w:color="auto"/>
        <w:bottom w:val="none" w:sz="0" w:space="0" w:color="auto"/>
        <w:right w:val="none" w:sz="0" w:space="0" w:color="auto"/>
      </w:divBdr>
    </w:div>
    <w:div w:id="1849907117">
      <w:bodyDiv w:val="1"/>
      <w:marLeft w:val="0"/>
      <w:marRight w:val="0"/>
      <w:marTop w:val="0"/>
      <w:marBottom w:val="0"/>
      <w:divBdr>
        <w:top w:val="none" w:sz="0" w:space="0" w:color="auto"/>
        <w:left w:val="none" w:sz="0" w:space="0" w:color="auto"/>
        <w:bottom w:val="none" w:sz="0" w:space="0" w:color="auto"/>
        <w:right w:val="none" w:sz="0" w:space="0" w:color="auto"/>
      </w:divBdr>
    </w:div>
    <w:div w:id="1877040747">
      <w:bodyDiv w:val="1"/>
      <w:marLeft w:val="0"/>
      <w:marRight w:val="0"/>
      <w:marTop w:val="0"/>
      <w:marBottom w:val="0"/>
      <w:divBdr>
        <w:top w:val="none" w:sz="0" w:space="0" w:color="auto"/>
        <w:left w:val="none" w:sz="0" w:space="0" w:color="auto"/>
        <w:bottom w:val="none" w:sz="0" w:space="0" w:color="auto"/>
        <w:right w:val="none" w:sz="0" w:space="0" w:color="auto"/>
      </w:divBdr>
    </w:div>
    <w:div w:id="1952544736">
      <w:bodyDiv w:val="1"/>
      <w:marLeft w:val="0"/>
      <w:marRight w:val="0"/>
      <w:marTop w:val="0"/>
      <w:marBottom w:val="0"/>
      <w:divBdr>
        <w:top w:val="none" w:sz="0" w:space="0" w:color="auto"/>
        <w:left w:val="none" w:sz="0" w:space="0" w:color="auto"/>
        <w:bottom w:val="none" w:sz="0" w:space="0" w:color="auto"/>
        <w:right w:val="none" w:sz="0" w:space="0" w:color="auto"/>
      </w:divBdr>
    </w:div>
    <w:div w:id="2001426166">
      <w:bodyDiv w:val="1"/>
      <w:marLeft w:val="0"/>
      <w:marRight w:val="0"/>
      <w:marTop w:val="0"/>
      <w:marBottom w:val="0"/>
      <w:divBdr>
        <w:top w:val="none" w:sz="0" w:space="0" w:color="auto"/>
        <w:left w:val="none" w:sz="0" w:space="0" w:color="auto"/>
        <w:bottom w:val="none" w:sz="0" w:space="0" w:color="auto"/>
        <w:right w:val="none" w:sz="0" w:space="0" w:color="auto"/>
      </w:divBdr>
      <w:divsChild>
        <w:div w:id="1212426669">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 w:id="2038464325">
          <w:marLeft w:val="0"/>
          <w:marRight w:val="0"/>
          <w:marTop w:val="0"/>
          <w:marBottom w:val="0"/>
          <w:divBdr>
            <w:top w:val="none" w:sz="0" w:space="0" w:color="auto"/>
            <w:left w:val="none" w:sz="0" w:space="0" w:color="auto"/>
            <w:bottom w:val="none" w:sz="0" w:space="0" w:color="auto"/>
            <w:right w:val="none" w:sz="0" w:space="0" w:color="auto"/>
          </w:divBdr>
        </w:div>
        <w:div w:id="534929694">
          <w:marLeft w:val="0"/>
          <w:marRight w:val="0"/>
          <w:marTop w:val="0"/>
          <w:marBottom w:val="0"/>
          <w:divBdr>
            <w:top w:val="none" w:sz="0" w:space="0" w:color="auto"/>
            <w:left w:val="none" w:sz="0" w:space="0" w:color="auto"/>
            <w:bottom w:val="none" w:sz="0" w:space="0" w:color="auto"/>
            <w:right w:val="none" w:sz="0" w:space="0" w:color="auto"/>
          </w:divBdr>
        </w:div>
        <w:div w:id="1527594186">
          <w:marLeft w:val="0"/>
          <w:marRight w:val="0"/>
          <w:marTop w:val="0"/>
          <w:marBottom w:val="0"/>
          <w:divBdr>
            <w:top w:val="none" w:sz="0" w:space="0" w:color="auto"/>
            <w:left w:val="none" w:sz="0" w:space="0" w:color="auto"/>
            <w:bottom w:val="none" w:sz="0" w:space="0" w:color="auto"/>
            <w:right w:val="none" w:sz="0" w:space="0" w:color="auto"/>
          </w:divBdr>
        </w:div>
        <w:div w:id="746996427">
          <w:marLeft w:val="0"/>
          <w:marRight w:val="0"/>
          <w:marTop w:val="0"/>
          <w:marBottom w:val="0"/>
          <w:divBdr>
            <w:top w:val="none" w:sz="0" w:space="0" w:color="auto"/>
            <w:left w:val="none" w:sz="0" w:space="0" w:color="auto"/>
            <w:bottom w:val="none" w:sz="0" w:space="0" w:color="auto"/>
            <w:right w:val="none" w:sz="0" w:space="0" w:color="auto"/>
          </w:divBdr>
        </w:div>
      </w:divsChild>
    </w:div>
    <w:div w:id="2022506625">
      <w:bodyDiv w:val="1"/>
      <w:marLeft w:val="0"/>
      <w:marRight w:val="0"/>
      <w:marTop w:val="0"/>
      <w:marBottom w:val="0"/>
      <w:divBdr>
        <w:top w:val="none" w:sz="0" w:space="0" w:color="auto"/>
        <w:left w:val="none" w:sz="0" w:space="0" w:color="auto"/>
        <w:bottom w:val="none" w:sz="0" w:space="0" w:color="auto"/>
        <w:right w:val="none" w:sz="0" w:space="0" w:color="auto"/>
      </w:divBdr>
    </w:div>
    <w:div w:id="204093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ian.murphy@ucc.ie" TargetMode="External"/><Relationship Id="rId13" Type="http://schemas.openxmlformats.org/officeDocument/2006/relationships/image" Target="media/image5.png"/><Relationship Id="rId18" Type="http://schemas.openxmlformats.org/officeDocument/2006/relationships/hyperlink" Target="https://www.theguardian.com/world/2018/may/12/ireland-abortion-campaign-foreign-influence-faceboo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www.thejournal.ie/yes-ireland-votes-to-repeal-eighth-amendment-4034416-May2018/"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www.irishtimes.com/news/politics/irish-times-exit-poll-projects-ireland-has-voted-by-landslide-to-repeal-eighth-1.35088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thejournal.ie/google-bans-eighth-referendum-ads-abroad-4001776-May201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gillianmurphy:Desktop:Study1_AllFinal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October2018%20Save\8th%20Amendment\Study1_AllFinalGraph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GILLIAN:October2018%20Save:8th%20Amendment:NewSave:Study1_VerbalAbilityGraph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180502709146801"/>
          <c:y val="4.1666666666666699E-2"/>
          <c:w val="0.85945417294279702"/>
          <c:h val="0.779829396325459"/>
        </c:manualLayout>
      </c:layout>
      <c:barChart>
        <c:barDir val="col"/>
        <c:grouping val="stacked"/>
        <c:varyColors val="0"/>
        <c:ser>
          <c:idx val="0"/>
          <c:order val="0"/>
          <c:tx>
            <c:strRef>
              <c:f>YesNoRememberBelieve!$Z$8</c:f>
              <c:strCache>
                <c:ptCount val="1"/>
                <c:pt idx="0">
                  <c:v>Specific Memory of Seeing/Hearing of the Event</c:v>
                </c:pt>
              </c:strCache>
            </c:strRef>
          </c:tx>
          <c:spPr>
            <a:solidFill>
              <a:srgbClr val="83D23F"/>
            </a:solidFill>
          </c:spPr>
          <c:invertIfNegative val="0"/>
          <c:dPt>
            <c:idx val="0"/>
            <c:invertIfNegative val="0"/>
            <c:bubble3D val="0"/>
            <c:extLst>
              <c:ext xmlns:c16="http://schemas.microsoft.com/office/drawing/2014/chart" uri="{C3380CC4-5D6E-409C-BE32-E72D297353CC}">
                <c16:uniqueId val="{00000000-4151-46F3-8503-61F67018B552}"/>
              </c:ext>
            </c:extLst>
          </c:dPt>
          <c:dPt>
            <c:idx val="1"/>
            <c:invertIfNegative val="0"/>
            <c:bubble3D val="0"/>
            <c:spPr>
              <a:solidFill>
                <a:srgbClr val="C841C4"/>
              </a:solidFill>
            </c:spPr>
            <c:extLst>
              <c:ext xmlns:c16="http://schemas.microsoft.com/office/drawing/2014/chart" uri="{C3380CC4-5D6E-409C-BE32-E72D297353CC}">
                <c16:uniqueId val="{00000002-4151-46F3-8503-61F67018B552}"/>
              </c:ext>
            </c:extLst>
          </c:dPt>
          <c:dPt>
            <c:idx val="2"/>
            <c:invertIfNegative val="0"/>
            <c:bubble3D val="0"/>
            <c:extLst>
              <c:ext xmlns:c16="http://schemas.microsoft.com/office/drawing/2014/chart" uri="{C3380CC4-5D6E-409C-BE32-E72D297353CC}">
                <c16:uniqueId val="{00000003-4151-46F3-8503-61F67018B552}"/>
              </c:ext>
            </c:extLst>
          </c:dPt>
          <c:dPt>
            <c:idx val="3"/>
            <c:invertIfNegative val="0"/>
            <c:bubble3D val="0"/>
            <c:spPr>
              <a:solidFill>
                <a:srgbClr val="C841C4"/>
              </a:solidFill>
            </c:spPr>
            <c:extLst>
              <c:ext xmlns:c16="http://schemas.microsoft.com/office/drawing/2014/chart" uri="{C3380CC4-5D6E-409C-BE32-E72D297353CC}">
                <c16:uniqueId val="{00000005-4151-46F3-8503-61F67018B552}"/>
              </c:ext>
            </c:extLst>
          </c:dPt>
          <c:cat>
            <c:multiLvlStrRef>
              <c:f>YesNoRememberBelieve!$X$9:$Y$12</c:f>
              <c:multiLvlStrCache>
                <c:ptCount val="4"/>
                <c:lvl>
                  <c:pt idx="0">
                    <c:v>Yes Voters</c:v>
                  </c:pt>
                  <c:pt idx="1">
                    <c:v>No Voters</c:v>
                  </c:pt>
                  <c:pt idx="2">
                    <c:v>Yes Voters</c:v>
                  </c:pt>
                  <c:pt idx="3">
                    <c:v>No Voters</c:v>
                  </c:pt>
                </c:lvl>
                <c:lvl>
                  <c:pt idx="0">
                    <c:v>Illegal No Posters</c:v>
                  </c:pt>
                  <c:pt idx="2">
                    <c:v>Illegal Yes Posters</c:v>
                  </c:pt>
                </c:lvl>
              </c:multiLvlStrCache>
            </c:multiLvlStrRef>
          </c:cat>
          <c:val>
            <c:numRef>
              <c:f>YesNoRememberBelieve!$Z$9:$Z$12</c:f>
              <c:numCache>
                <c:formatCode>General</c:formatCode>
                <c:ptCount val="4"/>
                <c:pt idx="0">
                  <c:v>31.8</c:v>
                </c:pt>
                <c:pt idx="1">
                  <c:v>22.3</c:v>
                </c:pt>
                <c:pt idx="2">
                  <c:v>12.8</c:v>
                </c:pt>
                <c:pt idx="3">
                  <c:v>23</c:v>
                </c:pt>
              </c:numCache>
            </c:numRef>
          </c:val>
          <c:extLst>
            <c:ext xmlns:c16="http://schemas.microsoft.com/office/drawing/2014/chart" uri="{C3380CC4-5D6E-409C-BE32-E72D297353CC}">
              <c16:uniqueId val="{00000006-4151-46F3-8503-61F67018B552}"/>
            </c:ext>
          </c:extLst>
        </c:ser>
        <c:ser>
          <c:idx val="1"/>
          <c:order val="1"/>
          <c:tx>
            <c:strRef>
              <c:f>YesNoRememberBelieve!$AA$8</c:f>
              <c:strCache>
                <c:ptCount val="1"/>
                <c:pt idx="0">
                  <c:v>Remember Event Happening</c:v>
                </c:pt>
              </c:strCache>
            </c:strRef>
          </c:tx>
          <c:spPr>
            <a:solidFill>
              <a:srgbClr val="A9FF86"/>
            </a:solidFill>
          </c:spPr>
          <c:invertIfNegative val="0"/>
          <c:dPt>
            <c:idx val="0"/>
            <c:invertIfNegative val="0"/>
            <c:bubble3D val="0"/>
            <c:extLst>
              <c:ext xmlns:c16="http://schemas.microsoft.com/office/drawing/2014/chart" uri="{C3380CC4-5D6E-409C-BE32-E72D297353CC}">
                <c16:uniqueId val="{00000007-4151-46F3-8503-61F67018B552}"/>
              </c:ext>
            </c:extLst>
          </c:dPt>
          <c:dPt>
            <c:idx val="1"/>
            <c:invertIfNegative val="0"/>
            <c:bubble3D val="0"/>
            <c:spPr>
              <a:solidFill>
                <a:srgbClr val="FB95FF"/>
              </a:solidFill>
            </c:spPr>
            <c:extLst>
              <c:ext xmlns:c16="http://schemas.microsoft.com/office/drawing/2014/chart" uri="{C3380CC4-5D6E-409C-BE32-E72D297353CC}">
                <c16:uniqueId val="{00000009-4151-46F3-8503-61F67018B552}"/>
              </c:ext>
            </c:extLst>
          </c:dPt>
          <c:dPt>
            <c:idx val="2"/>
            <c:invertIfNegative val="0"/>
            <c:bubble3D val="0"/>
            <c:extLst>
              <c:ext xmlns:c16="http://schemas.microsoft.com/office/drawing/2014/chart" uri="{C3380CC4-5D6E-409C-BE32-E72D297353CC}">
                <c16:uniqueId val="{0000000A-4151-46F3-8503-61F67018B552}"/>
              </c:ext>
            </c:extLst>
          </c:dPt>
          <c:dPt>
            <c:idx val="3"/>
            <c:invertIfNegative val="0"/>
            <c:bubble3D val="0"/>
            <c:spPr>
              <a:solidFill>
                <a:srgbClr val="FB95FF"/>
              </a:solidFill>
            </c:spPr>
            <c:extLst>
              <c:ext xmlns:c16="http://schemas.microsoft.com/office/drawing/2014/chart" uri="{C3380CC4-5D6E-409C-BE32-E72D297353CC}">
                <c16:uniqueId val="{0000000C-4151-46F3-8503-61F67018B552}"/>
              </c:ext>
            </c:extLst>
          </c:dPt>
          <c:cat>
            <c:multiLvlStrRef>
              <c:f>YesNoRememberBelieve!$X$9:$Y$12</c:f>
              <c:multiLvlStrCache>
                <c:ptCount val="4"/>
                <c:lvl>
                  <c:pt idx="0">
                    <c:v>Yes Voters</c:v>
                  </c:pt>
                  <c:pt idx="1">
                    <c:v>No Voters</c:v>
                  </c:pt>
                  <c:pt idx="2">
                    <c:v>Yes Voters</c:v>
                  </c:pt>
                  <c:pt idx="3">
                    <c:v>No Voters</c:v>
                  </c:pt>
                </c:lvl>
                <c:lvl>
                  <c:pt idx="0">
                    <c:v>Illegal No Posters</c:v>
                  </c:pt>
                  <c:pt idx="2">
                    <c:v>Illegal Yes Posters</c:v>
                  </c:pt>
                </c:lvl>
              </c:multiLvlStrCache>
            </c:multiLvlStrRef>
          </c:cat>
          <c:val>
            <c:numRef>
              <c:f>YesNoRememberBelieve!$AA$9:$AA$12</c:f>
              <c:numCache>
                <c:formatCode>General</c:formatCode>
                <c:ptCount val="4"/>
                <c:pt idx="0">
                  <c:v>7.5</c:v>
                </c:pt>
                <c:pt idx="1">
                  <c:v>5.0999999999999996</c:v>
                </c:pt>
                <c:pt idx="2">
                  <c:v>7.5</c:v>
                </c:pt>
                <c:pt idx="3">
                  <c:v>8.3000000000000007</c:v>
                </c:pt>
              </c:numCache>
            </c:numRef>
          </c:val>
          <c:extLst>
            <c:ext xmlns:c16="http://schemas.microsoft.com/office/drawing/2014/chart" uri="{C3380CC4-5D6E-409C-BE32-E72D297353CC}">
              <c16:uniqueId val="{0000000D-4151-46F3-8503-61F67018B552}"/>
            </c:ext>
          </c:extLst>
        </c:ser>
        <c:ser>
          <c:idx val="2"/>
          <c:order val="2"/>
          <c:tx>
            <c:strRef>
              <c:f>YesNoRememberBelieve!$AB$8</c:f>
              <c:strCache>
                <c:ptCount val="1"/>
                <c:pt idx="0">
                  <c:v>Believe Event Happened</c:v>
                </c:pt>
              </c:strCache>
            </c:strRef>
          </c:tx>
          <c:spPr>
            <a:solidFill>
              <a:srgbClr val="D7F1CA"/>
            </a:solidFill>
          </c:spPr>
          <c:invertIfNegative val="0"/>
          <c:dPt>
            <c:idx val="0"/>
            <c:invertIfNegative val="0"/>
            <c:bubble3D val="0"/>
            <c:extLst>
              <c:ext xmlns:c16="http://schemas.microsoft.com/office/drawing/2014/chart" uri="{C3380CC4-5D6E-409C-BE32-E72D297353CC}">
                <c16:uniqueId val="{0000000E-4151-46F3-8503-61F67018B552}"/>
              </c:ext>
            </c:extLst>
          </c:dPt>
          <c:dPt>
            <c:idx val="1"/>
            <c:invertIfNegative val="0"/>
            <c:bubble3D val="0"/>
            <c:spPr>
              <a:solidFill>
                <a:srgbClr val="FCDFF0"/>
              </a:solidFill>
            </c:spPr>
            <c:extLst>
              <c:ext xmlns:c16="http://schemas.microsoft.com/office/drawing/2014/chart" uri="{C3380CC4-5D6E-409C-BE32-E72D297353CC}">
                <c16:uniqueId val="{00000010-4151-46F3-8503-61F67018B552}"/>
              </c:ext>
            </c:extLst>
          </c:dPt>
          <c:dPt>
            <c:idx val="2"/>
            <c:invertIfNegative val="0"/>
            <c:bubble3D val="0"/>
            <c:extLst>
              <c:ext xmlns:c16="http://schemas.microsoft.com/office/drawing/2014/chart" uri="{C3380CC4-5D6E-409C-BE32-E72D297353CC}">
                <c16:uniqueId val="{00000011-4151-46F3-8503-61F67018B552}"/>
              </c:ext>
            </c:extLst>
          </c:dPt>
          <c:dPt>
            <c:idx val="3"/>
            <c:invertIfNegative val="0"/>
            <c:bubble3D val="0"/>
            <c:spPr>
              <a:solidFill>
                <a:srgbClr val="FCDFF0"/>
              </a:solidFill>
            </c:spPr>
            <c:extLst>
              <c:ext xmlns:c16="http://schemas.microsoft.com/office/drawing/2014/chart" uri="{C3380CC4-5D6E-409C-BE32-E72D297353CC}">
                <c16:uniqueId val="{00000013-4151-46F3-8503-61F67018B552}"/>
              </c:ext>
            </c:extLst>
          </c:dPt>
          <c:cat>
            <c:multiLvlStrRef>
              <c:f>YesNoRememberBelieve!$X$9:$Y$12</c:f>
              <c:multiLvlStrCache>
                <c:ptCount val="4"/>
                <c:lvl>
                  <c:pt idx="0">
                    <c:v>Yes Voters</c:v>
                  </c:pt>
                  <c:pt idx="1">
                    <c:v>No Voters</c:v>
                  </c:pt>
                  <c:pt idx="2">
                    <c:v>Yes Voters</c:v>
                  </c:pt>
                  <c:pt idx="3">
                    <c:v>No Voters</c:v>
                  </c:pt>
                </c:lvl>
                <c:lvl>
                  <c:pt idx="0">
                    <c:v>Illegal No Posters</c:v>
                  </c:pt>
                  <c:pt idx="2">
                    <c:v>Illegal Yes Posters</c:v>
                  </c:pt>
                </c:lvl>
              </c:multiLvlStrCache>
            </c:multiLvlStrRef>
          </c:cat>
          <c:val>
            <c:numRef>
              <c:f>YesNoRememberBelieve!$AB$9:$AB$12</c:f>
              <c:numCache>
                <c:formatCode>General</c:formatCode>
                <c:ptCount val="4"/>
                <c:pt idx="0">
                  <c:v>14.8</c:v>
                </c:pt>
                <c:pt idx="1">
                  <c:v>10.3</c:v>
                </c:pt>
                <c:pt idx="2">
                  <c:v>9.7000000000000011</c:v>
                </c:pt>
                <c:pt idx="3">
                  <c:v>8.8000000000000007</c:v>
                </c:pt>
              </c:numCache>
            </c:numRef>
          </c:val>
          <c:extLst>
            <c:ext xmlns:c16="http://schemas.microsoft.com/office/drawing/2014/chart" uri="{C3380CC4-5D6E-409C-BE32-E72D297353CC}">
              <c16:uniqueId val="{00000014-4151-46F3-8503-61F67018B552}"/>
            </c:ext>
          </c:extLst>
        </c:ser>
        <c:dLbls>
          <c:showLegendKey val="0"/>
          <c:showVal val="0"/>
          <c:showCatName val="0"/>
          <c:showSerName val="0"/>
          <c:showPercent val="0"/>
          <c:showBubbleSize val="0"/>
        </c:dLbls>
        <c:gapWidth val="150"/>
        <c:overlap val="100"/>
        <c:axId val="2129341864"/>
        <c:axId val="2129495384"/>
      </c:barChart>
      <c:catAx>
        <c:axId val="2129341864"/>
        <c:scaling>
          <c:orientation val="minMax"/>
        </c:scaling>
        <c:delete val="0"/>
        <c:axPos val="b"/>
        <c:numFmt formatCode="General" sourceLinked="0"/>
        <c:majorTickMark val="out"/>
        <c:minorTickMark val="none"/>
        <c:tickLblPos val="nextTo"/>
        <c:crossAx val="2129495384"/>
        <c:crosses val="autoZero"/>
        <c:auto val="1"/>
        <c:lblAlgn val="ctr"/>
        <c:lblOffset val="100"/>
        <c:noMultiLvlLbl val="0"/>
      </c:catAx>
      <c:valAx>
        <c:axId val="2129495384"/>
        <c:scaling>
          <c:orientation val="minMax"/>
        </c:scaling>
        <c:delete val="0"/>
        <c:axPos val="l"/>
        <c:title>
          <c:tx>
            <c:rich>
              <a:bodyPr rot="-5400000" vert="horz"/>
              <a:lstStyle/>
              <a:p>
                <a:pPr>
                  <a:defRPr sz="900"/>
                </a:pPr>
                <a:r>
                  <a:rPr lang="en-US" sz="900"/>
                  <a:t>% Participants Reporting Memory</a:t>
                </a:r>
                <a:r>
                  <a:rPr lang="en-US" sz="900" baseline="0"/>
                  <a:t> or Belief</a:t>
                </a:r>
                <a:endParaRPr lang="en-US" sz="900"/>
              </a:p>
            </c:rich>
          </c:tx>
          <c:layout>
            <c:manualLayout>
              <c:xMode val="edge"/>
              <c:yMode val="edge"/>
              <c:x val="1.9813869651835701E-2"/>
              <c:y val="0.104056071549828"/>
            </c:manualLayout>
          </c:layout>
          <c:overlay val="0"/>
        </c:title>
        <c:numFmt formatCode="General" sourceLinked="1"/>
        <c:majorTickMark val="out"/>
        <c:minorTickMark val="none"/>
        <c:tickLblPos val="nextTo"/>
        <c:crossAx val="2129341864"/>
        <c:crosses val="autoZero"/>
        <c:crossBetween val="between"/>
      </c:valAx>
    </c:plotArea>
    <c:legend>
      <c:legendPos val="r"/>
      <c:layout>
        <c:manualLayout>
          <c:xMode val="edge"/>
          <c:yMode val="edge"/>
          <c:x val="0.43857375960535"/>
          <c:y val="4.8492092652623997E-2"/>
          <c:w val="0.55867204250071201"/>
          <c:h val="0.17901285670655601"/>
        </c:manualLayout>
      </c:layout>
      <c:overlay val="0"/>
      <c:txPr>
        <a:bodyPr/>
        <a:lstStyle/>
        <a:p>
          <a:pPr algn="r">
            <a:defRPr/>
          </a:pPr>
          <a:endParaRPr lang="en-US"/>
        </a:p>
      </c:txPr>
    </c:legend>
    <c:plotVisOnly val="1"/>
    <c:dispBlanksAs val="gap"/>
    <c:showDLblsOverMax val="0"/>
  </c:chart>
  <c:spPr>
    <a:ln>
      <a:noFill/>
    </a:ln>
  </c:spPr>
  <c:txPr>
    <a:bodyPr/>
    <a:lstStyle/>
    <a:p>
      <a:pPr>
        <a:defRPr>
          <a:latin typeface="Helvetica"/>
          <a:cs typeface="Helvetica"/>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9.2275720491190594E-2"/>
          <c:y val="4.1666666666666699E-2"/>
          <c:w val="0.86898349413046205"/>
          <c:h val="0.779829396325459"/>
        </c:manualLayout>
      </c:layout>
      <c:barChart>
        <c:barDir val="col"/>
        <c:grouping val="stacked"/>
        <c:varyColors val="0"/>
        <c:ser>
          <c:idx val="0"/>
          <c:order val="0"/>
          <c:tx>
            <c:strRef>
              <c:f>Sheet1!$U$4</c:f>
              <c:strCache>
                <c:ptCount val="1"/>
                <c:pt idx="0">
                  <c:v>Specific Memory of Seeing/Hearing of the Event</c:v>
                </c:pt>
              </c:strCache>
            </c:strRef>
          </c:tx>
          <c:spPr>
            <a:solidFill>
              <a:srgbClr val="83D23F"/>
            </a:solidFill>
          </c:spPr>
          <c:invertIfNegative val="0"/>
          <c:dPt>
            <c:idx val="0"/>
            <c:invertIfNegative val="0"/>
            <c:bubble3D val="0"/>
            <c:extLst>
              <c:ext xmlns:c16="http://schemas.microsoft.com/office/drawing/2014/chart" uri="{C3380CC4-5D6E-409C-BE32-E72D297353CC}">
                <c16:uniqueId val="{00000000-96CC-4034-9258-7DD6287FCFCB}"/>
              </c:ext>
            </c:extLst>
          </c:dPt>
          <c:dPt>
            <c:idx val="1"/>
            <c:invertIfNegative val="0"/>
            <c:bubble3D val="0"/>
            <c:spPr>
              <a:solidFill>
                <a:srgbClr val="C841C4"/>
              </a:solidFill>
            </c:spPr>
            <c:extLst>
              <c:ext xmlns:c16="http://schemas.microsoft.com/office/drawing/2014/chart" uri="{C3380CC4-5D6E-409C-BE32-E72D297353CC}">
                <c16:uniqueId val="{00000002-96CC-4034-9258-7DD6287FCFCB}"/>
              </c:ext>
            </c:extLst>
          </c:dPt>
          <c:dPt>
            <c:idx val="2"/>
            <c:invertIfNegative val="0"/>
            <c:bubble3D val="0"/>
            <c:extLst>
              <c:ext xmlns:c16="http://schemas.microsoft.com/office/drawing/2014/chart" uri="{C3380CC4-5D6E-409C-BE32-E72D297353CC}">
                <c16:uniqueId val="{00000003-96CC-4034-9258-7DD6287FCFCB}"/>
              </c:ext>
            </c:extLst>
          </c:dPt>
          <c:dPt>
            <c:idx val="3"/>
            <c:invertIfNegative val="0"/>
            <c:bubble3D val="0"/>
            <c:spPr>
              <a:solidFill>
                <a:srgbClr val="C841C4"/>
              </a:solidFill>
            </c:spPr>
            <c:extLst>
              <c:ext xmlns:c16="http://schemas.microsoft.com/office/drawing/2014/chart" uri="{C3380CC4-5D6E-409C-BE32-E72D297353CC}">
                <c16:uniqueId val="{00000005-96CC-4034-9258-7DD6287FCFCB}"/>
              </c:ext>
            </c:extLst>
          </c:dPt>
          <c:cat>
            <c:multiLvlStrRef>
              <c:f>Sheet1!$S$5:$T$8</c:f>
              <c:multiLvlStrCache>
                <c:ptCount val="4"/>
                <c:lvl>
                  <c:pt idx="0">
                    <c:v>Yes Voters</c:v>
                  </c:pt>
                  <c:pt idx="1">
                    <c:v>No Voters</c:v>
                  </c:pt>
                  <c:pt idx="2">
                    <c:v>Yes Voters</c:v>
                  </c:pt>
                  <c:pt idx="3">
                    <c:v>No Voters</c:v>
                  </c:pt>
                </c:lvl>
                <c:lvl>
                  <c:pt idx="0">
                    <c:v>No Campaign Comments</c:v>
                  </c:pt>
                  <c:pt idx="2">
                    <c:v>Yes Campaign Comments</c:v>
                  </c:pt>
                </c:lvl>
              </c:multiLvlStrCache>
            </c:multiLvlStrRef>
          </c:cat>
          <c:val>
            <c:numRef>
              <c:f>Sheet1!$U$5:$U$8</c:f>
              <c:numCache>
                <c:formatCode>General</c:formatCode>
                <c:ptCount val="4"/>
                <c:pt idx="0">
                  <c:v>23.8</c:v>
                </c:pt>
                <c:pt idx="1">
                  <c:v>19.600000000000001</c:v>
                </c:pt>
                <c:pt idx="2">
                  <c:v>20.100000000000001</c:v>
                </c:pt>
                <c:pt idx="3">
                  <c:v>31.4</c:v>
                </c:pt>
              </c:numCache>
            </c:numRef>
          </c:val>
          <c:extLst>
            <c:ext xmlns:c16="http://schemas.microsoft.com/office/drawing/2014/chart" uri="{C3380CC4-5D6E-409C-BE32-E72D297353CC}">
              <c16:uniqueId val="{00000006-96CC-4034-9258-7DD6287FCFCB}"/>
            </c:ext>
          </c:extLst>
        </c:ser>
        <c:ser>
          <c:idx val="1"/>
          <c:order val="1"/>
          <c:tx>
            <c:strRef>
              <c:f>Sheet1!$V$4</c:f>
              <c:strCache>
                <c:ptCount val="1"/>
                <c:pt idx="0">
                  <c:v>Remember Event Happening</c:v>
                </c:pt>
              </c:strCache>
            </c:strRef>
          </c:tx>
          <c:spPr>
            <a:solidFill>
              <a:srgbClr val="A9FF86"/>
            </a:solidFill>
          </c:spPr>
          <c:invertIfNegative val="0"/>
          <c:dPt>
            <c:idx val="0"/>
            <c:invertIfNegative val="0"/>
            <c:bubble3D val="0"/>
            <c:extLst>
              <c:ext xmlns:c16="http://schemas.microsoft.com/office/drawing/2014/chart" uri="{C3380CC4-5D6E-409C-BE32-E72D297353CC}">
                <c16:uniqueId val="{00000007-96CC-4034-9258-7DD6287FCFCB}"/>
              </c:ext>
            </c:extLst>
          </c:dPt>
          <c:dPt>
            <c:idx val="1"/>
            <c:invertIfNegative val="0"/>
            <c:bubble3D val="0"/>
            <c:spPr>
              <a:solidFill>
                <a:srgbClr val="FB95FF"/>
              </a:solidFill>
            </c:spPr>
            <c:extLst>
              <c:ext xmlns:c16="http://schemas.microsoft.com/office/drawing/2014/chart" uri="{C3380CC4-5D6E-409C-BE32-E72D297353CC}">
                <c16:uniqueId val="{00000009-96CC-4034-9258-7DD6287FCFCB}"/>
              </c:ext>
            </c:extLst>
          </c:dPt>
          <c:dPt>
            <c:idx val="2"/>
            <c:invertIfNegative val="0"/>
            <c:bubble3D val="0"/>
            <c:extLst>
              <c:ext xmlns:c16="http://schemas.microsoft.com/office/drawing/2014/chart" uri="{C3380CC4-5D6E-409C-BE32-E72D297353CC}">
                <c16:uniqueId val="{0000000A-96CC-4034-9258-7DD6287FCFCB}"/>
              </c:ext>
            </c:extLst>
          </c:dPt>
          <c:dPt>
            <c:idx val="3"/>
            <c:invertIfNegative val="0"/>
            <c:bubble3D val="0"/>
            <c:spPr>
              <a:solidFill>
                <a:srgbClr val="FB95FF"/>
              </a:solidFill>
            </c:spPr>
            <c:extLst>
              <c:ext xmlns:c16="http://schemas.microsoft.com/office/drawing/2014/chart" uri="{C3380CC4-5D6E-409C-BE32-E72D297353CC}">
                <c16:uniqueId val="{0000000C-96CC-4034-9258-7DD6287FCFCB}"/>
              </c:ext>
            </c:extLst>
          </c:dPt>
          <c:cat>
            <c:multiLvlStrRef>
              <c:f>Sheet1!$S$5:$T$8</c:f>
              <c:multiLvlStrCache>
                <c:ptCount val="4"/>
                <c:lvl>
                  <c:pt idx="0">
                    <c:v>Yes Voters</c:v>
                  </c:pt>
                  <c:pt idx="1">
                    <c:v>No Voters</c:v>
                  </c:pt>
                  <c:pt idx="2">
                    <c:v>Yes Voters</c:v>
                  </c:pt>
                  <c:pt idx="3">
                    <c:v>No Voters</c:v>
                  </c:pt>
                </c:lvl>
                <c:lvl>
                  <c:pt idx="0">
                    <c:v>No Campaign Comments</c:v>
                  </c:pt>
                  <c:pt idx="2">
                    <c:v>Yes Campaign Comments</c:v>
                  </c:pt>
                </c:lvl>
              </c:multiLvlStrCache>
            </c:multiLvlStrRef>
          </c:cat>
          <c:val>
            <c:numRef>
              <c:f>Sheet1!$V$5:$V$8</c:f>
              <c:numCache>
                <c:formatCode>General</c:formatCode>
                <c:ptCount val="4"/>
                <c:pt idx="0">
                  <c:v>9.6</c:v>
                </c:pt>
                <c:pt idx="1">
                  <c:v>14.2</c:v>
                </c:pt>
                <c:pt idx="2">
                  <c:v>10.199999999999999</c:v>
                </c:pt>
                <c:pt idx="3">
                  <c:v>5.7</c:v>
                </c:pt>
              </c:numCache>
            </c:numRef>
          </c:val>
          <c:extLst>
            <c:ext xmlns:c16="http://schemas.microsoft.com/office/drawing/2014/chart" uri="{C3380CC4-5D6E-409C-BE32-E72D297353CC}">
              <c16:uniqueId val="{0000000D-96CC-4034-9258-7DD6287FCFCB}"/>
            </c:ext>
          </c:extLst>
        </c:ser>
        <c:ser>
          <c:idx val="2"/>
          <c:order val="2"/>
          <c:tx>
            <c:strRef>
              <c:f>Sheet1!$W$4</c:f>
              <c:strCache>
                <c:ptCount val="1"/>
                <c:pt idx="0">
                  <c:v>Believe Event Happened</c:v>
                </c:pt>
              </c:strCache>
            </c:strRef>
          </c:tx>
          <c:spPr>
            <a:solidFill>
              <a:srgbClr val="D7F1CA"/>
            </a:solidFill>
          </c:spPr>
          <c:invertIfNegative val="0"/>
          <c:dPt>
            <c:idx val="0"/>
            <c:invertIfNegative val="0"/>
            <c:bubble3D val="0"/>
            <c:extLst>
              <c:ext xmlns:c16="http://schemas.microsoft.com/office/drawing/2014/chart" uri="{C3380CC4-5D6E-409C-BE32-E72D297353CC}">
                <c16:uniqueId val="{0000000E-96CC-4034-9258-7DD6287FCFCB}"/>
              </c:ext>
            </c:extLst>
          </c:dPt>
          <c:dPt>
            <c:idx val="1"/>
            <c:invertIfNegative val="0"/>
            <c:bubble3D val="0"/>
            <c:spPr>
              <a:solidFill>
                <a:srgbClr val="FCDFF0"/>
              </a:solidFill>
            </c:spPr>
            <c:extLst>
              <c:ext xmlns:c16="http://schemas.microsoft.com/office/drawing/2014/chart" uri="{C3380CC4-5D6E-409C-BE32-E72D297353CC}">
                <c16:uniqueId val="{00000010-96CC-4034-9258-7DD6287FCFCB}"/>
              </c:ext>
            </c:extLst>
          </c:dPt>
          <c:dPt>
            <c:idx val="2"/>
            <c:invertIfNegative val="0"/>
            <c:bubble3D val="0"/>
            <c:extLst>
              <c:ext xmlns:c16="http://schemas.microsoft.com/office/drawing/2014/chart" uri="{C3380CC4-5D6E-409C-BE32-E72D297353CC}">
                <c16:uniqueId val="{00000011-96CC-4034-9258-7DD6287FCFCB}"/>
              </c:ext>
            </c:extLst>
          </c:dPt>
          <c:dPt>
            <c:idx val="3"/>
            <c:invertIfNegative val="0"/>
            <c:bubble3D val="0"/>
            <c:spPr>
              <a:solidFill>
                <a:srgbClr val="FCDFF0"/>
              </a:solidFill>
            </c:spPr>
            <c:extLst>
              <c:ext xmlns:c16="http://schemas.microsoft.com/office/drawing/2014/chart" uri="{C3380CC4-5D6E-409C-BE32-E72D297353CC}">
                <c16:uniqueId val="{00000013-96CC-4034-9258-7DD6287FCFCB}"/>
              </c:ext>
            </c:extLst>
          </c:dPt>
          <c:cat>
            <c:multiLvlStrRef>
              <c:f>Sheet1!$S$5:$T$8</c:f>
              <c:multiLvlStrCache>
                <c:ptCount val="4"/>
                <c:lvl>
                  <c:pt idx="0">
                    <c:v>Yes Voters</c:v>
                  </c:pt>
                  <c:pt idx="1">
                    <c:v>No Voters</c:v>
                  </c:pt>
                  <c:pt idx="2">
                    <c:v>Yes Voters</c:v>
                  </c:pt>
                  <c:pt idx="3">
                    <c:v>No Voters</c:v>
                  </c:pt>
                </c:lvl>
                <c:lvl>
                  <c:pt idx="0">
                    <c:v>No Campaign Comments</c:v>
                  </c:pt>
                  <c:pt idx="2">
                    <c:v>Yes Campaign Comments</c:v>
                  </c:pt>
                </c:lvl>
              </c:multiLvlStrCache>
            </c:multiLvlStrRef>
          </c:cat>
          <c:val>
            <c:numRef>
              <c:f>Sheet1!$W$5:$W$8</c:f>
              <c:numCache>
                <c:formatCode>General</c:formatCode>
                <c:ptCount val="4"/>
                <c:pt idx="0">
                  <c:v>15.4</c:v>
                </c:pt>
                <c:pt idx="1">
                  <c:v>8.3000000000000007</c:v>
                </c:pt>
                <c:pt idx="2">
                  <c:v>17.8</c:v>
                </c:pt>
                <c:pt idx="3">
                  <c:v>9.7000000000000011</c:v>
                </c:pt>
              </c:numCache>
            </c:numRef>
          </c:val>
          <c:extLst>
            <c:ext xmlns:c16="http://schemas.microsoft.com/office/drawing/2014/chart" uri="{C3380CC4-5D6E-409C-BE32-E72D297353CC}">
              <c16:uniqueId val="{00000014-96CC-4034-9258-7DD6287FCFCB}"/>
            </c:ext>
          </c:extLst>
        </c:ser>
        <c:dLbls>
          <c:showLegendKey val="0"/>
          <c:showVal val="0"/>
          <c:showCatName val="0"/>
          <c:showSerName val="0"/>
          <c:showPercent val="0"/>
          <c:showBubbleSize val="0"/>
        </c:dLbls>
        <c:gapWidth val="150"/>
        <c:overlap val="100"/>
        <c:axId val="2129490328"/>
        <c:axId val="2122237720"/>
      </c:barChart>
      <c:catAx>
        <c:axId val="2129490328"/>
        <c:scaling>
          <c:orientation val="minMax"/>
        </c:scaling>
        <c:delete val="0"/>
        <c:axPos val="b"/>
        <c:numFmt formatCode="General" sourceLinked="0"/>
        <c:majorTickMark val="out"/>
        <c:minorTickMark val="none"/>
        <c:tickLblPos val="nextTo"/>
        <c:txPr>
          <a:bodyPr/>
          <a:lstStyle/>
          <a:p>
            <a:pPr>
              <a:defRPr sz="1050"/>
            </a:pPr>
            <a:endParaRPr lang="en-US"/>
          </a:p>
        </c:txPr>
        <c:crossAx val="2122237720"/>
        <c:crosses val="autoZero"/>
        <c:auto val="1"/>
        <c:lblAlgn val="ctr"/>
        <c:lblOffset val="100"/>
        <c:noMultiLvlLbl val="0"/>
      </c:catAx>
      <c:valAx>
        <c:axId val="2122237720"/>
        <c:scaling>
          <c:orientation val="minMax"/>
        </c:scaling>
        <c:delete val="0"/>
        <c:axPos val="l"/>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en-US" sz="900" b="1" i="0" baseline="0">
                    <a:effectLst/>
                  </a:rPr>
                  <a:t>% Participants Reporting Memory or Belief</a:t>
                </a:r>
                <a:endParaRPr lang="en-GB" sz="9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endParaRPr lang="en-GB" sz="900"/>
              </a:p>
            </c:rich>
          </c:tx>
          <c:layout>
            <c:manualLayout>
              <c:xMode val="edge"/>
              <c:yMode val="edge"/>
              <c:x val="4.43016945398162E-3"/>
              <c:y val="0.12070679689629001"/>
            </c:manualLayout>
          </c:layout>
          <c:overlay val="0"/>
        </c:title>
        <c:numFmt formatCode="General" sourceLinked="1"/>
        <c:majorTickMark val="out"/>
        <c:minorTickMark val="none"/>
        <c:tickLblPos val="nextTo"/>
        <c:crossAx val="2129490328"/>
        <c:crosses val="autoZero"/>
        <c:crossBetween val="between"/>
      </c:valAx>
    </c:plotArea>
    <c:legend>
      <c:legendPos val="r"/>
      <c:layout>
        <c:manualLayout>
          <c:xMode val="edge"/>
          <c:yMode val="edge"/>
          <c:x val="0.51300071597817398"/>
          <c:y val="1.91018745607619E-2"/>
          <c:w val="0.48191871685548698"/>
          <c:h val="0.17083487514880299"/>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366880761065293E-2"/>
          <c:y val="0.14776504422095799"/>
          <c:w val="0.83341535433070901"/>
          <c:h val="0.76619214677373204"/>
        </c:manualLayout>
      </c:layout>
      <c:barChart>
        <c:barDir val="col"/>
        <c:grouping val="clustered"/>
        <c:varyColors val="0"/>
        <c:ser>
          <c:idx val="0"/>
          <c:order val="0"/>
          <c:tx>
            <c:strRef>
              <c:f>Sheet1!$B$3:$C$3</c:f>
              <c:strCache>
                <c:ptCount val="1"/>
                <c:pt idx="0">
                  <c:v>Lower Cognitive Abilty Yes Voters</c:v>
                </c:pt>
              </c:strCache>
            </c:strRef>
          </c:tx>
          <c:spPr>
            <a:pattFill prst="dkVert">
              <a:fgClr>
                <a:srgbClr val="83D23F"/>
              </a:fgClr>
              <a:bgClr>
                <a:sysClr val="window" lastClr="FFFFFF"/>
              </a:bgClr>
            </a:pattFill>
            <a:ln>
              <a:solidFill>
                <a:srgbClr val="A9FF87"/>
              </a:solidFill>
            </a:ln>
            <a:effectLst/>
          </c:spPr>
          <c:invertIfNegative val="0"/>
          <c:cat>
            <c:strRef>
              <c:f>Sheet1!$D$2:$E$2</c:f>
              <c:strCache>
                <c:ptCount val="2"/>
                <c:pt idx="0">
                  <c:v>Yes Poster Scandal</c:v>
                </c:pt>
                <c:pt idx="1">
                  <c:v>No Poster Scandal</c:v>
                </c:pt>
              </c:strCache>
            </c:strRef>
          </c:cat>
          <c:val>
            <c:numRef>
              <c:f>Sheet1!$D$3:$E$3</c:f>
              <c:numCache>
                <c:formatCode>General</c:formatCode>
                <c:ptCount val="2"/>
                <c:pt idx="0">
                  <c:v>20</c:v>
                </c:pt>
                <c:pt idx="1">
                  <c:v>53</c:v>
                </c:pt>
              </c:numCache>
            </c:numRef>
          </c:val>
          <c:extLst>
            <c:ext xmlns:c16="http://schemas.microsoft.com/office/drawing/2014/chart" uri="{C3380CC4-5D6E-409C-BE32-E72D297353CC}">
              <c16:uniqueId val="{00000000-5A37-4832-B77C-9D0F52551224}"/>
            </c:ext>
          </c:extLst>
        </c:ser>
        <c:ser>
          <c:idx val="1"/>
          <c:order val="1"/>
          <c:tx>
            <c:strRef>
              <c:f>Sheet1!$B$4:$C$4</c:f>
              <c:strCache>
                <c:ptCount val="1"/>
                <c:pt idx="0">
                  <c:v>Lower Cognitive Abilty No Voters</c:v>
                </c:pt>
              </c:strCache>
            </c:strRef>
          </c:tx>
          <c:spPr>
            <a:pattFill prst="dkVert">
              <a:fgClr>
                <a:srgbClr val="D245CB"/>
              </a:fgClr>
              <a:bgClr>
                <a:sysClr val="window" lastClr="FFFFFF"/>
              </a:bgClr>
            </a:pattFill>
            <a:ln>
              <a:solidFill>
                <a:srgbClr val="C841C4"/>
              </a:solidFill>
            </a:ln>
            <a:effectLst/>
          </c:spPr>
          <c:invertIfNegative val="0"/>
          <c:cat>
            <c:strRef>
              <c:f>Sheet1!$D$2:$E$2</c:f>
              <c:strCache>
                <c:ptCount val="2"/>
                <c:pt idx="0">
                  <c:v>Yes Poster Scandal</c:v>
                </c:pt>
                <c:pt idx="1">
                  <c:v>No Poster Scandal</c:v>
                </c:pt>
              </c:strCache>
            </c:strRef>
          </c:cat>
          <c:val>
            <c:numRef>
              <c:f>Sheet1!$D$4:$E$4</c:f>
              <c:numCache>
                <c:formatCode>General</c:formatCode>
                <c:ptCount val="2"/>
                <c:pt idx="0">
                  <c:v>38</c:v>
                </c:pt>
                <c:pt idx="1">
                  <c:v>28</c:v>
                </c:pt>
              </c:numCache>
            </c:numRef>
          </c:val>
          <c:extLst>
            <c:ext xmlns:c16="http://schemas.microsoft.com/office/drawing/2014/chart" uri="{C3380CC4-5D6E-409C-BE32-E72D297353CC}">
              <c16:uniqueId val="{00000001-5A37-4832-B77C-9D0F52551224}"/>
            </c:ext>
          </c:extLst>
        </c:ser>
        <c:ser>
          <c:idx val="2"/>
          <c:order val="2"/>
          <c:tx>
            <c:strRef>
              <c:f>Sheet1!$B$5:$C$5</c:f>
              <c:strCache>
                <c:ptCount val="1"/>
                <c:pt idx="0">
                  <c:v>Higher Cognitive Ability Yes Voters</c:v>
                </c:pt>
              </c:strCache>
            </c:strRef>
          </c:tx>
          <c:spPr>
            <a:solidFill>
              <a:srgbClr val="A9FF87"/>
            </a:solidFill>
            <a:ln>
              <a:noFill/>
            </a:ln>
            <a:effectLst/>
          </c:spPr>
          <c:invertIfNegative val="0"/>
          <c:cat>
            <c:strRef>
              <c:f>Sheet1!$D$2:$E$2</c:f>
              <c:strCache>
                <c:ptCount val="2"/>
                <c:pt idx="0">
                  <c:v>Yes Poster Scandal</c:v>
                </c:pt>
                <c:pt idx="1">
                  <c:v>No Poster Scandal</c:v>
                </c:pt>
              </c:strCache>
            </c:strRef>
          </c:cat>
          <c:val>
            <c:numRef>
              <c:f>Sheet1!$D$5:$E$5</c:f>
              <c:numCache>
                <c:formatCode>General</c:formatCode>
                <c:ptCount val="2"/>
                <c:pt idx="0">
                  <c:v>20</c:v>
                </c:pt>
                <c:pt idx="1">
                  <c:v>35</c:v>
                </c:pt>
              </c:numCache>
            </c:numRef>
          </c:val>
          <c:extLst>
            <c:ext xmlns:c16="http://schemas.microsoft.com/office/drawing/2014/chart" uri="{C3380CC4-5D6E-409C-BE32-E72D297353CC}">
              <c16:uniqueId val="{00000002-5A37-4832-B77C-9D0F52551224}"/>
            </c:ext>
          </c:extLst>
        </c:ser>
        <c:ser>
          <c:idx val="3"/>
          <c:order val="3"/>
          <c:tx>
            <c:strRef>
              <c:f>Sheet1!$B$6:$C$6</c:f>
              <c:strCache>
                <c:ptCount val="1"/>
                <c:pt idx="0">
                  <c:v>Higher Cognitive Ability No Voters</c:v>
                </c:pt>
              </c:strCache>
            </c:strRef>
          </c:tx>
          <c:spPr>
            <a:solidFill>
              <a:srgbClr val="C841C4"/>
            </a:solidFill>
            <a:ln>
              <a:noFill/>
            </a:ln>
            <a:effectLst/>
          </c:spPr>
          <c:invertIfNegative val="0"/>
          <c:cat>
            <c:strRef>
              <c:f>Sheet1!$D$2:$E$2</c:f>
              <c:strCache>
                <c:ptCount val="2"/>
                <c:pt idx="0">
                  <c:v>Yes Poster Scandal</c:v>
                </c:pt>
                <c:pt idx="1">
                  <c:v>No Poster Scandal</c:v>
                </c:pt>
              </c:strCache>
            </c:strRef>
          </c:cat>
          <c:val>
            <c:numRef>
              <c:f>Sheet1!$D$6:$E$6</c:f>
              <c:numCache>
                <c:formatCode>General</c:formatCode>
                <c:ptCount val="2"/>
                <c:pt idx="0">
                  <c:v>27</c:v>
                </c:pt>
                <c:pt idx="1">
                  <c:v>25</c:v>
                </c:pt>
              </c:numCache>
            </c:numRef>
          </c:val>
          <c:extLst>
            <c:ext xmlns:c16="http://schemas.microsoft.com/office/drawing/2014/chart" uri="{C3380CC4-5D6E-409C-BE32-E72D297353CC}">
              <c16:uniqueId val="{00000003-5A37-4832-B77C-9D0F52551224}"/>
            </c:ext>
          </c:extLst>
        </c:ser>
        <c:dLbls>
          <c:showLegendKey val="0"/>
          <c:showVal val="0"/>
          <c:showCatName val="0"/>
          <c:showSerName val="0"/>
          <c:showPercent val="0"/>
          <c:showBubbleSize val="0"/>
        </c:dLbls>
        <c:gapWidth val="219"/>
        <c:overlap val="-27"/>
        <c:axId val="2128720648"/>
        <c:axId val="2128724216"/>
      </c:barChart>
      <c:catAx>
        <c:axId val="2128720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28724216"/>
        <c:crosses val="autoZero"/>
        <c:auto val="1"/>
        <c:lblAlgn val="ctr"/>
        <c:lblOffset val="100"/>
        <c:noMultiLvlLbl val="0"/>
      </c:catAx>
      <c:valAx>
        <c:axId val="21287242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solidFill>
                      <a:schemeClr val="tx1"/>
                    </a:solidFill>
                  </a:rPr>
                  <a:t>% Participants</a:t>
                </a:r>
                <a:r>
                  <a:rPr lang="en-GB" baseline="0">
                    <a:solidFill>
                      <a:schemeClr val="tx1"/>
                    </a:solidFill>
                  </a:rPr>
                  <a:t> Remembered Event</a:t>
                </a:r>
                <a:endParaRPr lang="en-GB">
                  <a:solidFill>
                    <a:schemeClr val="tx1"/>
                  </a:solidFill>
                </a:endParaRPr>
              </a:p>
            </c:rich>
          </c:tx>
          <c:layout>
            <c:manualLayout>
              <c:xMode val="edge"/>
              <c:yMode val="edge"/>
              <c:x val="0"/>
              <c:y val="0.16378809144325199"/>
            </c:manualLayout>
          </c:layout>
          <c:overlay val="0"/>
          <c:spPr>
            <a:noFill/>
            <a:ln>
              <a:noFill/>
            </a:ln>
            <a:effectLst/>
          </c:spPr>
        </c:title>
        <c:numFmt formatCode="General" sourceLinked="1"/>
        <c:majorTickMark val="none"/>
        <c:minorTickMark val="none"/>
        <c:tickLblPos val="nextTo"/>
        <c:spPr>
          <a:noFill/>
          <a:ln w="9525" cap="flat" cmpd="sng" algn="ctr">
            <a:solidFill>
              <a:schemeClr val="bg2"/>
            </a:solidFill>
            <a:prstDash val="soli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28720648"/>
        <c:crosses val="autoZero"/>
        <c:crossBetween val="between"/>
      </c:valAx>
      <c:spPr>
        <a:noFill/>
        <a:ln>
          <a:noFill/>
        </a:ln>
        <a:effectLst/>
      </c:spPr>
    </c:plotArea>
    <c:legend>
      <c:legendPos val="b"/>
      <c:layout>
        <c:manualLayout>
          <c:xMode val="edge"/>
          <c:yMode val="edge"/>
          <c:x val="0.55692423708230498"/>
          <c:y val="0"/>
          <c:w val="0.43432914169310899"/>
          <c:h val="0.1889713030584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833B-30FB-4171-9097-55421A91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5675</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Murphy</dc:creator>
  <cp:lastModifiedBy>Ciara Greene</cp:lastModifiedBy>
  <cp:revision>2</cp:revision>
  <cp:lastPrinted>2018-11-08T16:12:00Z</cp:lastPrinted>
  <dcterms:created xsi:type="dcterms:W3CDTF">2019-07-04T12:52:00Z</dcterms:created>
  <dcterms:modified xsi:type="dcterms:W3CDTF">2019-07-04T12:52:00Z</dcterms:modified>
</cp:coreProperties>
</file>