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98F2A" w14:textId="728F9C9C" w:rsidR="001A461A" w:rsidRPr="00DE21A7" w:rsidRDefault="00CF4AD3" w:rsidP="00F14436">
      <w:pPr>
        <w:spacing w:line="480" w:lineRule="auto"/>
        <w:jc w:val="both"/>
        <w:rPr>
          <w:b/>
          <w:bCs/>
          <w:lang w:val="en-GB"/>
        </w:rPr>
      </w:pPr>
      <w:r>
        <w:rPr>
          <w:b/>
          <w:bCs/>
          <w:lang w:val="en-GB"/>
        </w:rPr>
        <w:t>“A vast field in itself”</w:t>
      </w:r>
      <w:r w:rsidR="005F2A6E">
        <w:rPr>
          <w:b/>
          <w:bCs/>
          <w:lang w:val="en-GB"/>
        </w:rPr>
        <w:t>: Acclimatisation, Phrenology, and Salvage Ethnography in the Goldfields Mechanics’ Institutes</w:t>
      </w:r>
    </w:p>
    <w:p w14:paraId="3450CAE4" w14:textId="63142623" w:rsidR="00611B61" w:rsidRDefault="00611B61" w:rsidP="00DE21A7">
      <w:pPr>
        <w:spacing w:line="480" w:lineRule="auto"/>
        <w:jc w:val="both"/>
        <w:rPr>
          <w:lang w:val="en-GB"/>
        </w:rPr>
      </w:pPr>
    </w:p>
    <w:p w14:paraId="5B103992" w14:textId="77777777" w:rsidR="00C81501" w:rsidRDefault="00CD69B0" w:rsidP="00C81501">
      <w:pPr>
        <w:spacing w:line="480" w:lineRule="auto"/>
        <w:jc w:val="both"/>
        <w:rPr>
          <w:b/>
          <w:bCs/>
          <w:lang w:val="en-GB"/>
        </w:rPr>
      </w:pPr>
      <w:r>
        <w:rPr>
          <w:b/>
          <w:bCs/>
          <w:lang w:val="en-GB"/>
        </w:rPr>
        <w:t>Abstract</w:t>
      </w:r>
    </w:p>
    <w:p w14:paraId="75B4EFE9" w14:textId="0924F5BF" w:rsidR="00C81501" w:rsidRDefault="002E7E52" w:rsidP="00C81501">
      <w:pPr>
        <w:spacing w:line="480" w:lineRule="auto"/>
        <w:jc w:val="both"/>
        <w:rPr>
          <w:lang w:val="en-GB"/>
        </w:rPr>
      </w:pPr>
      <w:r>
        <w:rPr>
          <w:lang w:val="en-GB"/>
        </w:rPr>
        <w:t xml:space="preserve">This article investigates the dual project of </w:t>
      </w:r>
      <w:r w:rsidR="009C2CC2">
        <w:rPr>
          <w:lang w:val="en-GB"/>
        </w:rPr>
        <w:t xml:space="preserve">colonial </w:t>
      </w:r>
      <w:r>
        <w:rPr>
          <w:lang w:val="en-GB"/>
        </w:rPr>
        <w:t xml:space="preserve">improvement and settlement shaping the </w:t>
      </w:r>
      <w:r w:rsidR="00244633">
        <w:rPr>
          <w:lang w:val="en-GB"/>
        </w:rPr>
        <w:t xml:space="preserve">identity and purpose of </w:t>
      </w:r>
      <w:r>
        <w:rPr>
          <w:lang w:val="en-GB"/>
        </w:rPr>
        <w:t>Victorian goldfields mechanics’ institutes</w:t>
      </w:r>
      <w:r w:rsidR="00244633">
        <w:rPr>
          <w:lang w:val="en-GB"/>
        </w:rPr>
        <w:t xml:space="preserve"> </w:t>
      </w:r>
      <w:r>
        <w:rPr>
          <w:lang w:val="en-GB"/>
        </w:rPr>
        <w:t xml:space="preserve">in their pursuit of colonial knowledge and their participation in networks of imperial science. </w:t>
      </w:r>
      <w:r w:rsidR="00C81501" w:rsidRPr="00DE21A7">
        <w:rPr>
          <w:lang w:val="en-GB"/>
        </w:rPr>
        <w:t>Focussing on three institutes established during the first decade of the</w:t>
      </w:r>
      <w:r w:rsidR="00C81501">
        <w:rPr>
          <w:lang w:val="en-GB"/>
        </w:rPr>
        <w:t xml:space="preserve"> Australian</w:t>
      </w:r>
      <w:r w:rsidR="00C81501" w:rsidRPr="00DE21A7">
        <w:rPr>
          <w:lang w:val="en-GB"/>
        </w:rPr>
        <w:t xml:space="preserve"> gold</w:t>
      </w:r>
      <w:r w:rsidR="006D5452">
        <w:rPr>
          <w:lang w:val="en-GB"/>
        </w:rPr>
        <w:t xml:space="preserve"> </w:t>
      </w:r>
      <w:r w:rsidR="00C81501" w:rsidRPr="00DE21A7">
        <w:rPr>
          <w:lang w:val="en-GB"/>
        </w:rPr>
        <w:t xml:space="preserve">rush—the Sandhurst Mechanics’ Institute (SMI, est. 1854), the Beechworth Athenaeum (est. 1856), and the </w:t>
      </w:r>
      <w:proofErr w:type="spellStart"/>
      <w:r w:rsidR="00C81501" w:rsidRPr="00DE21A7">
        <w:rPr>
          <w:lang w:val="en-GB"/>
        </w:rPr>
        <w:t>Ballaarat</w:t>
      </w:r>
      <w:proofErr w:type="spellEnd"/>
      <w:r w:rsidR="00C81501" w:rsidRPr="00DE21A7">
        <w:rPr>
          <w:lang w:val="en-GB"/>
        </w:rPr>
        <w:t xml:space="preserve"> Mechanics’ Institute (BMI, est. 1859)—this article examines the institutes’ support of acclimatisation societies and their interest in developing local natural histories</w:t>
      </w:r>
      <w:r w:rsidR="006D1150">
        <w:rPr>
          <w:lang w:val="en-GB"/>
        </w:rPr>
        <w:t>;</w:t>
      </w:r>
      <w:r w:rsidR="00C81501" w:rsidRPr="00DE21A7">
        <w:rPr>
          <w:lang w:val="en-GB"/>
        </w:rPr>
        <w:t xml:space="preserve"> their fascination with and encouragement of debates surrounding phrenology</w:t>
      </w:r>
      <w:r w:rsidR="006D1150">
        <w:rPr>
          <w:lang w:val="en-GB"/>
        </w:rPr>
        <w:t>;</w:t>
      </w:r>
      <w:r w:rsidR="00C81501" w:rsidRPr="00DE21A7">
        <w:rPr>
          <w:lang w:val="en-GB"/>
        </w:rPr>
        <w:t xml:space="preserve"> and their practices of collecting ethnographic material that shaped their involvement with the evolving theories of racial science in</w:t>
      </w:r>
      <w:r w:rsidR="00967BD9">
        <w:rPr>
          <w:lang w:val="en-GB"/>
        </w:rPr>
        <w:t xml:space="preserve"> the</w:t>
      </w:r>
      <w:r w:rsidR="00C81501" w:rsidRPr="00DE21A7">
        <w:rPr>
          <w:lang w:val="en-GB"/>
        </w:rPr>
        <w:t xml:space="preserve"> Australian colonies.</w:t>
      </w:r>
      <w:r w:rsidR="00C81501" w:rsidRPr="00DE21A7">
        <w:rPr>
          <w:rStyle w:val="EndnoteReference"/>
          <w:lang w:val="en-GB"/>
        </w:rPr>
        <w:t xml:space="preserve"> </w:t>
      </w:r>
      <w:r w:rsidR="00C81501" w:rsidRPr="00DE21A7">
        <w:rPr>
          <w:lang w:val="en-GB"/>
        </w:rPr>
        <w:t xml:space="preserve">In studying these social and scientific activities, this article </w:t>
      </w:r>
      <w:r w:rsidR="00C81501">
        <w:rPr>
          <w:lang w:val="en-GB"/>
        </w:rPr>
        <w:t xml:space="preserve">demonstrates </w:t>
      </w:r>
      <w:r w:rsidR="00C81501" w:rsidRPr="00DE21A7">
        <w:rPr>
          <w:lang w:val="en-GB"/>
        </w:rPr>
        <w:t>how the institutes promoted and embodied a local settler identity and ideology that worked to alleviate the moral and social anxieties accompanying the gold</w:t>
      </w:r>
      <w:r w:rsidR="006D5452">
        <w:rPr>
          <w:lang w:val="en-GB"/>
        </w:rPr>
        <w:t xml:space="preserve"> </w:t>
      </w:r>
      <w:r w:rsidR="00C81501" w:rsidRPr="00DE21A7">
        <w:rPr>
          <w:lang w:val="en-GB"/>
        </w:rPr>
        <w:t>rush.</w:t>
      </w:r>
      <w:r w:rsidR="009C1F41">
        <w:rPr>
          <w:lang w:val="en-GB"/>
        </w:rPr>
        <w:t xml:space="preserve"> In doing so, this article also reveals the imperial reach of regional literary institutions and elucidates the scholarly benefits of treating these institutes as significant participatory nodes in imperial networks as we shift our focus from traditional metropole-colony exchanges. </w:t>
      </w:r>
    </w:p>
    <w:p w14:paraId="0283D08D" w14:textId="77777777" w:rsidR="004954B3" w:rsidRDefault="004954B3" w:rsidP="00C81501">
      <w:pPr>
        <w:spacing w:line="480" w:lineRule="auto"/>
        <w:jc w:val="both"/>
        <w:rPr>
          <w:lang w:val="en-GB"/>
        </w:rPr>
      </w:pPr>
    </w:p>
    <w:p w14:paraId="368014CA" w14:textId="21C6CCD7" w:rsidR="00E71E5B" w:rsidRPr="001B5F18" w:rsidRDefault="001B5F18" w:rsidP="00C81501">
      <w:pPr>
        <w:spacing w:line="480" w:lineRule="auto"/>
        <w:jc w:val="both"/>
        <w:rPr>
          <w:lang w:val="en-GB"/>
        </w:rPr>
      </w:pPr>
      <w:r>
        <w:rPr>
          <w:b/>
          <w:bCs/>
          <w:lang w:val="en-GB"/>
        </w:rPr>
        <w:t xml:space="preserve">Keywords: </w:t>
      </w:r>
      <w:r>
        <w:rPr>
          <w:lang w:val="en-GB"/>
        </w:rPr>
        <w:t>mechanics’ institute</w:t>
      </w:r>
      <w:r w:rsidR="004954B3">
        <w:rPr>
          <w:lang w:val="en-GB"/>
        </w:rPr>
        <w:t>s, goldfields, phrenology, racial science, colonial knowledge, acclimatisation, colonial museums</w:t>
      </w:r>
      <w:r w:rsidR="004E42C1">
        <w:rPr>
          <w:lang w:val="en-GB"/>
        </w:rPr>
        <w:t>, Australia</w:t>
      </w:r>
      <w:r w:rsidR="009D6877">
        <w:rPr>
          <w:lang w:val="en-GB"/>
        </w:rPr>
        <w:t>, salvage ethnography</w:t>
      </w:r>
    </w:p>
    <w:p w14:paraId="23B64A03" w14:textId="170805A9" w:rsidR="00E71E5B" w:rsidRPr="00C81501" w:rsidRDefault="00E71E5B" w:rsidP="00E71E5B">
      <w:pPr>
        <w:spacing w:line="480" w:lineRule="auto"/>
        <w:jc w:val="center"/>
        <w:rPr>
          <w:lang w:val="en-GB"/>
        </w:rPr>
      </w:pPr>
      <w:r>
        <w:rPr>
          <w:lang w:val="en-GB"/>
        </w:rPr>
        <w:t>***</w:t>
      </w:r>
    </w:p>
    <w:p w14:paraId="06541772" w14:textId="7696A0A6" w:rsidR="00C81501" w:rsidRDefault="00C81501">
      <w:pPr>
        <w:rPr>
          <w:lang w:val="en-GB"/>
        </w:rPr>
      </w:pPr>
      <w:r>
        <w:rPr>
          <w:lang w:val="en-GB"/>
        </w:rPr>
        <w:br w:type="page"/>
      </w:r>
    </w:p>
    <w:p w14:paraId="1E9943F8" w14:textId="760BA976" w:rsidR="00FA5362" w:rsidRPr="00DE21A7" w:rsidRDefault="00611B61" w:rsidP="00DE21A7">
      <w:pPr>
        <w:spacing w:line="480" w:lineRule="auto"/>
        <w:jc w:val="both"/>
        <w:rPr>
          <w:lang w:val="en-GB"/>
        </w:rPr>
      </w:pPr>
      <w:r w:rsidRPr="00DE21A7">
        <w:rPr>
          <w:lang w:val="en-GB"/>
        </w:rPr>
        <w:lastRenderedPageBreak/>
        <w:t xml:space="preserve">In 1865 the committee of the Beechworth Athenaeum in the </w:t>
      </w:r>
      <w:r w:rsidR="005F2A6E">
        <w:rPr>
          <w:lang w:val="en-GB"/>
        </w:rPr>
        <w:t>C</w:t>
      </w:r>
      <w:r w:rsidRPr="00DE21A7">
        <w:rPr>
          <w:lang w:val="en-GB"/>
        </w:rPr>
        <w:t xml:space="preserve">olony of Victoria, Australia, used its annual report to make a plea to their wider community to </w:t>
      </w:r>
      <w:r w:rsidR="00652DEA" w:rsidRPr="00DE21A7">
        <w:rPr>
          <w:lang w:val="en-GB"/>
        </w:rPr>
        <w:t>“</w:t>
      </w:r>
      <w:r w:rsidRPr="00DE21A7">
        <w:rPr>
          <w:lang w:val="en-GB"/>
        </w:rPr>
        <w:t>supply minerals, objects of natural history, and other articles, suitable for exhibition as to render the museum worthy of the Ovens district</w:t>
      </w:r>
      <w:r w:rsidR="00652DEA" w:rsidRPr="00DE21A7">
        <w:rPr>
          <w:lang w:val="en-GB"/>
        </w:rPr>
        <w:t>”</w:t>
      </w:r>
      <w:r w:rsidRPr="00DE21A7">
        <w:rPr>
          <w:lang w:val="en-GB"/>
        </w:rPr>
        <w:t>.</w:t>
      </w:r>
      <w:r w:rsidR="00FA5362" w:rsidRPr="00DE21A7">
        <w:rPr>
          <w:rStyle w:val="EndnoteReference"/>
          <w:lang w:val="en-GB"/>
        </w:rPr>
        <w:endnoteReference w:id="1"/>
      </w:r>
      <w:r w:rsidR="00FA5362" w:rsidRPr="00DE21A7">
        <w:rPr>
          <w:lang w:val="en-GB"/>
        </w:rPr>
        <w:t xml:space="preserve"> Completed in 1866, the Burke Museum was created as a memorial to the Beechworth Police Superintendent and explorer Robert O’Hara Burke, who had died with fellow explorer William John Wills in 1861 during the infamous Victorian Exploring Expedition which aimed to explore the interior of Australia from Melbourne to the Gulf of Carpentaria. Subscribers of the Burke Memorial Fund had concluded in 1862 that a museum attached to the Beechworth Athenaeum was the best means of honouring the “explorer Burke, whose mission was essentially a scientific one”. Given the burgeoning extractive industries on which the Ovens district was dependent, it was argued that the museum would prove “advantageous to the district in many ways”.</w:t>
      </w:r>
      <w:r w:rsidR="00FA5362" w:rsidRPr="00DE21A7">
        <w:rPr>
          <w:rStyle w:val="EndnoteReference"/>
          <w:lang w:val="en-GB"/>
        </w:rPr>
        <w:t xml:space="preserve"> </w:t>
      </w:r>
      <w:r w:rsidR="00FA5362" w:rsidRPr="00DE21A7">
        <w:rPr>
          <w:lang w:val="en-GB"/>
        </w:rPr>
        <w:t>Addressing his fellow Memorial Fund subscribers, Judge George Kerferd supported the museum’s creation stating that if minerals “were collected and placed where the miners of the district could inspect them, they would afford very valuable information”</w:t>
      </w:r>
      <w:r w:rsidR="002E77E7">
        <w:rPr>
          <w:lang w:val="en-GB"/>
        </w:rPr>
        <w:t>.</w:t>
      </w:r>
      <w:r w:rsidR="00FA5362" w:rsidRPr="00DE21A7">
        <w:rPr>
          <w:lang w:val="en-GB"/>
        </w:rPr>
        <w:t xml:space="preserve"> </w:t>
      </w:r>
      <w:r w:rsidR="00FA5362" w:rsidRPr="002E77E7">
        <w:rPr>
          <w:color w:val="000000" w:themeColor="text1"/>
          <w:lang w:val="en-GB"/>
        </w:rPr>
        <w:t xml:space="preserve">Linking the knowledge of natural history to a successful agricultural economy and effective environmental management, Kerferd argued that if, for example, “a particular bird was known to feed upon the insects” which destroyed “cabbages and peas” then “no-one would kill” these birds. </w:t>
      </w:r>
      <w:r w:rsidR="00FA5362" w:rsidRPr="00DE21A7">
        <w:rPr>
          <w:lang w:val="en-GB"/>
        </w:rPr>
        <w:t xml:space="preserve">Kerferd concluded his remarks by stating that the “museum would be a vast field in itself for the diffusion of useful knowledge. The great explorer Burke had penetrated the </w:t>
      </w:r>
      <w:r w:rsidR="00FA5362" w:rsidRPr="00DE21A7">
        <w:rPr>
          <w:i/>
          <w:iCs/>
          <w:lang w:val="en-GB"/>
        </w:rPr>
        <w:t>terra incognita</w:t>
      </w:r>
      <w:r w:rsidR="00FA5362" w:rsidRPr="00DE21A7">
        <w:rPr>
          <w:lang w:val="en-GB"/>
        </w:rPr>
        <w:t xml:space="preserve">, and had opened up what was hitherto unknown, and thus </w:t>
      </w:r>
      <w:proofErr w:type="spellStart"/>
      <w:r w:rsidR="00FA5362" w:rsidRPr="00DE21A7">
        <w:rPr>
          <w:lang w:val="en-GB"/>
        </w:rPr>
        <w:t>confered</w:t>
      </w:r>
      <w:proofErr w:type="spellEnd"/>
      <w:r w:rsidR="00FA5362" w:rsidRPr="00DE21A7">
        <w:rPr>
          <w:lang w:val="en-GB"/>
        </w:rPr>
        <w:t xml:space="preserve"> [sic] innumerate benefit to prosperity.”</w:t>
      </w:r>
      <w:r w:rsidR="00FA5362" w:rsidRPr="00DE21A7">
        <w:rPr>
          <w:rStyle w:val="EndnoteReference"/>
          <w:lang w:val="en-GB"/>
        </w:rPr>
        <w:endnoteReference w:id="2"/>
      </w:r>
      <w:r w:rsidR="00FA5362" w:rsidRPr="00DE21A7">
        <w:rPr>
          <w:lang w:val="en-GB"/>
        </w:rPr>
        <w:t xml:space="preserve"> </w:t>
      </w:r>
    </w:p>
    <w:p w14:paraId="5CD83D16" w14:textId="62DC2C53" w:rsidR="00265539" w:rsidRDefault="00FA5362" w:rsidP="00313978">
      <w:pPr>
        <w:spacing w:line="480" w:lineRule="auto"/>
        <w:ind w:firstLine="720"/>
        <w:jc w:val="both"/>
        <w:rPr>
          <w:lang w:val="en-GB"/>
        </w:rPr>
      </w:pPr>
      <w:r w:rsidRPr="00DE21A7">
        <w:rPr>
          <w:lang w:val="en-GB"/>
        </w:rPr>
        <w:t xml:space="preserve">Kerferd’s appeal to the </w:t>
      </w:r>
      <w:r w:rsidR="005F25C5">
        <w:rPr>
          <w:lang w:val="en-GB"/>
        </w:rPr>
        <w:t>“</w:t>
      </w:r>
      <w:r w:rsidRPr="00DE21A7">
        <w:rPr>
          <w:lang w:val="en-GB"/>
        </w:rPr>
        <w:t>diffusion of useful knowledge</w:t>
      </w:r>
      <w:r w:rsidR="005F25C5">
        <w:rPr>
          <w:lang w:val="en-GB"/>
        </w:rPr>
        <w:t>”</w:t>
      </w:r>
      <w:r w:rsidR="00145307">
        <w:rPr>
          <w:lang w:val="en-GB"/>
        </w:rPr>
        <w:t xml:space="preserve"> connects the objectives of the proposed museum to th</w:t>
      </w:r>
      <w:r w:rsidR="004C0676">
        <w:rPr>
          <w:lang w:val="en-GB"/>
        </w:rPr>
        <w:t xml:space="preserve">e </w:t>
      </w:r>
      <w:r w:rsidR="005F25C5">
        <w:rPr>
          <w:lang w:val="en-GB"/>
        </w:rPr>
        <w:t>“</w:t>
      </w:r>
      <w:r w:rsidR="004C0676">
        <w:rPr>
          <w:lang w:val="en-GB"/>
        </w:rPr>
        <w:t>global educational reform movement</w:t>
      </w:r>
      <w:r w:rsidR="005F25C5">
        <w:rPr>
          <w:lang w:val="en-GB"/>
        </w:rPr>
        <w:t>”</w:t>
      </w:r>
      <w:r w:rsidR="004C0676">
        <w:rPr>
          <w:lang w:val="en-GB"/>
        </w:rPr>
        <w:t xml:space="preserve"> of the Society for the Diffusion of Useful Knowledge (SDUK) and its founder, British Whig Lord Henry Brougham, while also capturing the spirit of improvement that motivated many of the colonial athenaeums </w:t>
      </w:r>
      <w:r w:rsidR="004C0676">
        <w:rPr>
          <w:lang w:val="en-GB"/>
        </w:rPr>
        <w:lastRenderedPageBreak/>
        <w:t>and mechanics’ institutes in Australia</w:t>
      </w:r>
      <w:r w:rsidR="00E56D95">
        <w:rPr>
          <w:lang w:val="en-GB"/>
        </w:rPr>
        <w:t>.</w:t>
      </w:r>
      <w:r w:rsidR="001A3321" w:rsidRPr="00DE21A7">
        <w:rPr>
          <w:rStyle w:val="EndnoteReference"/>
          <w:lang w:val="en-GB"/>
        </w:rPr>
        <w:endnoteReference w:id="3"/>
      </w:r>
      <w:r w:rsidR="00E56D95">
        <w:rPr>
          <w:lang w:val="en-GB"/>
        </w:rPr>
        <w:t xml:space="preserve"> Positively aligned with a secular and </w:t>
      </w:r>
      <w:r w:rsidR="00244633">
        <w:rPr>
          <w:lang w:val="en-GB"/>
        </w:rPr>
        <w:t>“</w:t>
      </w:r>
      <w:r w:rsidR="00E56D95">
        <w:rPr>
          <w:lang w:val="en-GB"/>
        </w:rPr>
        <w:t>progressive sense of modernity</w:t>
      </w:r>
      <w:r w:rsidR="00244633">
        <w:rPr>
          <w:lang w:val="en-GB"/>
        </w:rPr>
        <w:t>”</w:t>
      </w:r>
      <w:r w:rsidR="00E56D95">
        <w:rPr>
          <w:lang w:val="en-GB"/>
        </w:rPr>
        <w:t xml:space="preserve"> corresponding to the </w:t>
      </w:r>
      <w:r w:rsidR="00244633">
        <w:rPr>
          <w:lang w:val="en-GB"/>
        </w:rPr>
        <w:t>“</w:t>
      </w:r>
      <w:r w:rsidR="00E56D95">
        <w:rPr>
          <w:lang w:val="en-GB"/>
        </w:rPr>
        <w:t>emerging industrial age</w:t>
      </w:r>
      <w:r w:rsidR="00244633">
        <w:rPr>
          <w:lang w:val="en-GB"/>
        </w:rPr>
        <w:t>”</w:t>
      </w:r>
      <w:r w:rsidR="00E56D95">
        <w:rPr>
          <w:lang w:val="en-GB"/>
        </w:rPr>
        <w:t>, the pursuit of useful knowledge and improvement was intensified following the gold</w:t>
      </w:r>
      <w:r w:rsidR="006D5452">
        <w:rPr>
          <w:lang w:val="en-GB"/>
        </w:rPr>
        <w:t xml:space="preserve"> </w:t>
      </w:r>
      <w:r w:rsidR="00E56D95">
        <w:rPr>
          <w:lang w:val="en-GB"/>
        </w:rPr>
        <w:t xml:space="preserve">rush and the </w:t>
      </w:r>
      <w:r w:rsidR="001021F2">
        <w:rPr>
          <w:lang w:val="en-GB"/>
        </w:rPr>
        <w:t>achievement of responsible government in the Colony of Victoria</w:t>
      </w:r>
      <w:r w:rsidR="00445DAC">
        <w:rPr>
          <w:lang w:val="en-GB"/>
        </w:rPr>
        <w:t>.</w:t>
      </w:r>
      <w:r w:rsidR="001A3321">
        <w:rPr>
          <w:rStyle w:val="EndnoteReference"/>
          <w:lang w:val="en-GB"/>
        </w:rPr>
        <w:endnoteReference w:id="4"/>
      </w:r>
      <w:r w:rsidR="00445DAC">
        <w:rPr>
          <w:lang w:val="en-GB"/>
        </w:rPr>
        <w:t xml:space="preserve"> Here, however, the pursuit of knowledge and improvement was not only tied to the project of </w:t>
      </w:r>
      <w:r w:rsidR="00244633">
        <w:rPr>
          <w:lang w:val="en-GB"/>
        </w:rPr>
        <w:t>“</w:t>
      </w:r>
      <w:r w:rsidR="00445DAC">
        <w:rPr>
          <w:lang w:val="en-GB"/>
        </w:rPr>
        <w:t>modernity</w:t>
      </w:r>
      <w:r w:rsidR="00244633">
        <w:rPr>
          <w:lang w:val="en-GB"/>
        </w:rPr>
        <w:t>”</w:t>
      </w:r>
      <w:r w:rsidR="00445DAC">
        <w:rPr>
          <w:lang w:val="en-GB"/>
        </w:rPr>
        <w:t xml:space="preserve">, but also to the project of </w:t>
      </w:r>
      <w:r w:rsidR="001A3321">
        <w:rPr>
          <w:lang w:val="en-GB"/>
        </w:rPr>
        <w:t xml:space="preserve">colonial </w:t>
      </w:r>
      <w:r w:rsidR="00445DAC">
        <w:rPr>
          <w:lang w:val="en-GB"/>
        </w:rPr>
        <w:t>settlement</w:t>
      </w:r>
      <w:r w:rsidR="001A3321">
        <w:rPr>
          <w:lang w:val="en-GB"/>
        </w:rPr>
        <w:t xml:space="preserve">. </w:t>
      </w:r>
    </w:p>
    <w:p w14:paraId="44EDC228" w14:textId="38755AB0" w:rsidR="00727947" w:rsidRDefault="001A3321" w:rsidP="00727947">
      <w:pPr>
        <w:spacing w:line="480" w:lineRule="auto"/>
        <w:ind w:firstLine="720"/>
        <w:jc w:val="both"/>
        <w:rPr>
          <w:lang w:val="en-GB"/>
        </w:rPr>
      </w:pPr>
      <w:r>
        <w:rPr>
          <w:lang w:val="en-GB"/>
        </w:rPr>
        <w:t>This article investigates th</w:t>
      </w:r>
      <w:r w:rsidR="009170C1">
        <w:rPr>
          <w:lang w:val="en-GB"/>
        </w:rPr>
        <w:t>e</w:t>
      </w:r>
      <w:r>
        <w:rPr>
          <w:lang w:val="en-GB"/>
        </w:rPr>
        <w:t xml:space="preserve"> dual project of improvement and settlement shaping the </w:t>
      </w:r>
      <w:r w:rsidR="00434705">
        <w:rPr>
          <w:lang w:val="en-GB"/>
        </w:rPr>
        <w:t>goldfields</w:t>
      </w:r>
      <w:r w:rsidR="00244633">
        <w:rPr>
          <w:lang w:val="en-GB"/>
        </w:rPr>
        <w:t xml:space="preserve"> and mechanics’ institutes and</w:t>
      </w:r>
      <w:r>
        <w:rPr>
          <w:lang w:val="en-GB"/>
        </w:rPr>
        <w:t xml:space="preserve"> athenaeums</w:t>
      </w:r>
      <w:r w:rsidR="009170C1">
        <w:rPr>
          <w:lang w:val="en-GB"/>
        </w:rPr>
        <w:t>’ identity and purpose</w:t>
      </w:r>
      <w:r>
        <w:rPr>
          <w:lang w:val="en-GB"/>
        </w:rPr>
        <w:t xml:space="preserve"> by studying the</w:t>
      </w:r>
      <w:r w:rsidR="00632576">
        <w:rPr>
          <w:lang w:val="en-GB"/>
        </w:rPr>
        <w:t>ir pursuit of colonial knowledge and their</w:t>
      </w:r>
      <w:r>
        <w:rPr>
          <w:lang w:val="en-GB"/>
        </w:rPr>
        <w:t xml:space="preserve"> </w:t>
      </w:r>
      <w:r w:rsidR="00FA5362" w:rsidRPr="00DE21A7">
        <w:rPr>
          <w:lang w:val="en-GB"/>
        </w:rPr>
        <w:t xml:space="preserve">participation in networks of imperial </w:t>
      </w:r>
      <w:r w:rsidR="00313978">
        <w:rPr>
          <w:lang w:val="en-GB"/>
        </w:rPr>
        <w:t>science</w:t>
      </w:r>
      <w:r w:rsidR="00632576">
        <w:rPr>
          <w:lang w:val="en-GB"/>
        </w:rPr>
        <w:t xml:space="preserve">. </w:t>
      </w:r>
      <w:r w:rsidR="00632576" w:rsidRPr="00DE21A7">
        <w:rPr>
          <w:lang w:val="en-GB"/>
        </w:rPr>
        <w:t>Focussing on three institutes established during the first decade of the</w:t>
      </w:r>
      <w:r w:rsidR="00632576">
        <w:rPr>
          <w:lang w:val="en-GB"/>
        </w:rPr>
        <w:t xml:space="preserve"> Australian</w:t>
      </w:r>
      <w:r w:rsidR="00632576" w:rsidRPr="00DE21A7">
        <w:rPr>
          <w:lang w:val="en-GB"/>
        </w:rPr>
        <w:t xml:space="preserve"> gold</w:t>
      </w:r>
      <w:r w:rsidR="006D5452">
        <w:rPr>
          <w:lang w:val="en-GB"/>
        </w:rPr>
        <w:t xml:space="preserve"> </w:t>
      </w:r>
      <w:r w:rsidR="00632576" w:rsidRPr="00DE21A7">
        <w:rPr>
          <w:lang w:val="en-GB"/>
        </w:rPr>
        <w:t xml:space="preserve">rush—the Sandhurst Mechanics’ Institute (SMI, est. 1854), the Beechworth Athenaeum (est. 1856), and the </w:t>
      </w:r>
      <w:proofErr w:type="spellStart"/>
      <w:r w:rsidR="00632576" w:rsidRPr="00DE21A7">
        <w:rPr>
          <w:lang w:val="en-GB"/>
        </w:rPr>
        <w:t>Ballaarat</w:t>
      </w:r>
      <w:proofErr w:type="spellEnd"/>
      <w:r w:rsidR="00632576" w:rsidRPr="00DE21A7">
        <w:rPr>
          <w:lang w:val="en-GB"/>
        </w:rPr>
        <w:t xml:space="preserve"> Mechanics’ Institute (BMI, est. 1859)—this article examines the institutes’</w:t>
      </w:r>
      <w:r w:rsidR="00632576">
        <w:rPr>
          <w:lang w:val="en-GB"/>
        </w:rPr>
        <w:t xml:space="preserve"> participation and contribution to colonial knowledge production</w:t>
      </w:r>
      <w:r w:rsidR="00727947">
        <w:rPr>
          <w:lang w:val="en-GB"/>
        </w:rPr>
        <w:t xml:space="preserve"> and exchange</w:t>
      </w:r>
      <w:r w:rsidR="00632576">
        <w:rPr>
          <w:lang w:val="en-GB"/>
        </w:rPr>
        <w:t xml:space="preserve"> through three case studies.</w:t>
      </w:r>
      <w:r w:rsidR="00632576" w:rsidRPr="00DE21A7">
        <w:rPr>
          <w:lang w:val="en-GB"/>
        </w:rPr>
        <w:t xml:space="preserve"> </w:t>
      </w:r>
      <w:r w:rsidR="00727947">
        <w:rPr>
          <w:lang w:val="en-GB"/>
        </w:rPr>
        <w:t xml:space="preserve">First, it examines </w:t>
      </w:r>
      <w:r w:rsidR="00727947" w:rsidRPr="00DE21A7">
        <w:rPr>
          <w:lang w:val="en-GB"/>
        </w:rPr>
        <w:t xml:space="preserve">the institutes’ support of </w:t>
      </w:r>
      <w:r w:rsidR="00727947">
        <w:rPr>
          <w:lang w:val="en-GB"/>
        </w:rPr>
        <w:t xml:space="preserve">colonial </w:t>
      </w:r>
      <w:r w:rsidR="00727947" w:rsidRPr="00DE21A7">
        <w:rPr>
          <w:lang w:val="en-GB"/>
        </w:rPr>
        <w:t>acclimatisation societies and their interest in developing local natural histories</w:t>
      </w:r>
      <w:r w:rsidR="00727947">
        <w:rPr>
          <w:lang w:val="en-GB"/>
        </w:rPr>
        <w:t xml:space="preserve"> that would support the improvement of the wider colony as well strengthen their identity as purveyors of local colonial knowledge. Building on</w:t>
      </w:r>
      <w:r w:rsidR="00727947" w:rsidRPr="00DE21A7">
        <w:rPr>
          <w:lang w:val="en-GB"/>
        </w:rPr>
        <w:t xml:space="preserve"> </w:t>
      </w:r>
      <w:r w:rsidR="00727947">
        <w:rPr>
          <w:lang w:val="en-GB"/>
        </w:rPr>
        <w:t>the connections between acclimatisation and racial science, the second case study explores the institutes</w:t>
      </w:r>
      <w:r w:rsidR="00727947" w:rsidRPr="00DE21A7">
        <w:rPr>
          <w:lang w:val="en-GB"/>
        </w:rPr>
        <w:t xml:space="preserve"> fascination with and encouragement of debates surrounding phrenology</w:t>
      </w:r>
      <w:r w:rsidR="00727947">
        <w:rPr>
          <w:lang w:val="en-GB"/>
        </w:rPr>
        <w:t>.</w:t>
      </w:r>
      <w:r w:rsidR="00727947" w:rsidRPr="00DE21A7">
        <w:rPr>
          <w:lang w:val="en-GB"/>
        </w:rPr>
        <w:t xml:space="preserve"> </w:t>
      </w:r>
      <w:r w:rsidR="00727947">
        <w:rPr>
          <w:lang w:val="en-GB"/>
        </w:rPr>
        <w:t>The concluding study investigates how the institutes’</w:t>
      </w:r>
      <w:r w:rsidR="00727947" w:rsidRPr="00DE21A7">
        <w:rPr>
          <w:lang w:val="en-GB"/>
        </w:rPr>
        <w:t xml:space="preserve"> practices of collecting ethnographic material shaped their involvement with the evolving theories of racial science in</w:t>
      </w:r>
      <w:r w:rsidR="00727947">
        <w:rPr>
          <w:lang w:val="en-GB"/>
        </w:rPr>
        <w:t xml:space="preserve"> the</w:t>
      </w:r>
      <w:r w:rsidR="00727947" w:rsidRPr="00DE21A7">
        <w:rPr>
          <w:lang w:val="en-GB"/>
        </w:rPr>
        <w:t xml:space="preserve"> Australian colonies.</w:t>
      </w:r>
      <w:r w:rsidR="00727947">
        <w:rPr>
          <w:lang w:val="en-GB"/>
        </w:rPr>
        <w:t xml:space="preserve"> </w:t>
      </w:r>
      <w:r w:rsidR="00727947" w:rsidRPr="00DE21A7">
        <w:rPr>
          <w:lang w:val="en-GB"/>
        </w:rPr>
        <w:t>In studying these social and scientific activities</w:t>
      </w:r>
      <w:r w:rsidR="00727947">
        <w:rPr>
          <w:lang w:val="en-GB"/>
        </w:rPr>
        <w:t>—and the global material culture of colonial knowledge they supported—</w:t>
      </w:r>
      <w:r w:rsidR="00727947" w:rsidRPr="00DE21A7">
        <w:rPr>
          <w:lang w:val="en-GB"/>
        </w:rPr>
        <w:t xml:space="preserve">this article </w:t>
      </w:r>
      <w:r w:rsidR="00727947">
        <w:rPr>
          <w:lang w:val="en-GB"/>
        </w:rPr>
        <w:t xml:space="preserve">demonstrates </w:t>
      </w:r>
      <w:r w:rsidR="00727947" w:rsidRPr="00DE21A7">
        <w:rPr>
          <w:lang w:val="en-GB"/>
        </w:rPr>
        <w:t>how the institutes promoted and embodied a local settler identity and ideology that worked to alleviate the moral and social anxieties accompanying the gold</w:t>
      </w:r>
      <w:r w:rsidR="006D5452">
        <w:rPr>
          <w:lang w:val="en-GB"/>
        </w:rPr>
        <w:t xml:space="preserve"> </w:t>
      </w:r>
      <w:r w:rsidR="00727947" w:rsidRPr="00DE21A7">
        <w:rPr>
          <w:lang w:val="en-GB"/>
        </w:rPr>
        <w:t>rush.</w:t>
      </w:r>
      <w:r w:rsidR="00727947" w:rsidRPr="00DE21A7">
        <w:rPr>
          <w:rStyle w:val="EndnoteReference"/>
          <w:lang w:val="en-GB"/>
        </w:rPr>
        <w:endnoteReference w:id="5"/>
      </w:r>
    </w:p>
    <w:p w14:paraId="3C846071" w14:textId="7D9487F1" w:rsidR="00FA5362" w:rsidRPr="00DE21A7" w:rsidRDefault="00197CA2" w:rsidP="00DE21A7">
      <w:pPr>
        <w:spacing w:line="480" w:lineRule="auto"/>
        <w:ind w:firstLine="720"/>
        <w:jc w:val="both"/>
        <w:rPr>
          <w:lang w:val="en-GB"/>
        </w:rPr>
      </w:pPr>
      <w:r>
        <w:rPr>
          <w:lang w:val="en-GB"/>
        </w:rPr>
        <w:lastRenderedPageBreak/>
        <w:t>C</w:t>
      </w:r>
      <w:r w:rsidR="00FA5362" w:rsidRPr="00DE21A7">
        <w:rPr>
          <w:lang w:val="en-GB"/>
        </w:rPr>
        <w:t xml:space="preserve">reated as adult educational institutions committed to the intellectual and moral improvement of working men, mechanics’ institutes emerged in Great Britain in 1821 before proliferating in British colonies throughout the world, including Australia, Canada and South Africa, with a significant number of institutions established in the </w:t>
      </w:r>
      <w:r w:rsidR="000C0CB6">
        <w:rPr>
          <w:lang w:val="en-GB"/>
        </w:rPr>
        <w:t>C</w:t>
      </w:r>
      <w:r w:rsidR="00FA5362" w:rsidRPr="00DE21A7">
        <w:rPr>
          <w:lang w:val="en-GB"/>
        </w:rPr>
        <w:t>olony of Victoria following the discovery of gold in 1851. Among the first public institutions created on the goldfields, these institutes usually contained a library that provided a reading room for its members; an assembly hall of various sizes (depending on the wealth of the institution) which was used for their lecture series, readings, and social activities such as bazaars; and frequently, as in the case of the Beechworth Athenaeum, a small museum featuring the collections of amateur collectors and scientists. The institutes were involved in a variety of activities, including educational classes and fundraising for their communities, but it was through their lectures, museums, and exhibitions that they emphasised their role as consumers and producers of scientific colonial knowledge, and expressed their concomitant investment in a settler ideology that saw them as cultivators and improvers of the land and the wider colony. While much attention has been paid to the institutes’ successes and failures as educational institutions, particularly technical education, their significance as early libraries in the colonies,</w:t>
      </w:r>
      <w:r w:rsidR="00434705">
        <w:rPr>
          <w:lang w:val="en-GB"/>
        </w:rPr>
        <w:t xml:space="preserve"> and their contribution to the cultural life of the </w:t>
      </w:r>
      <w:r w:rsidR="00244633">
        <w:rPr>
          <w:lang w:val="en-GB"/>
        </w:rPr>
        <w:t>“</w:t>
      </w:r>
      <w:r w:rsidR="00434705" w:rsidRPr="00F55D08">
        <w:rPr>
          <w:color w:val="000000" w:themeColor="text1"/>
          <w:lang w:val="en-GB"/>
        </w:rPr>
        <w:t>polyglot and motley</w:t>
      </w:r>
      <w:r w:rsidR="00244633">
        <w:rPr>
          <w:color w:val="000000" w:themeColor="text1"/>
          <w:lang w:val="en-GB"/>
        </w:rPr>
        <w:t>”</w:t>
      </w:r>
      <w:r w:rsidR="00434705">
        <w:rPr>
          <w:color w:val="000000" w:themeColor="text1"/>
          <w:lang w:val="en-GB"/>
        </w:rPr>
        <w:t xml:space="preserve"> </w:t>
      </w:r>
      <w:r w:rsidR="007652AC">
        <w:rPr>
          <w:color w:val="000000" w:themeColor="text1"/>
          <w:lang w:val="en-GB"/>
        </w:rPr>
        <w:t xml:space="preserve">immigrant </w:t>
      </w:r>
      <w:r w:rsidR="003A0D4B">
        <w:rPr>
          <w:color w:val="000000" w:themeColor="text1"/>
          <w:lang w:val="en-GB"/>
        </w:rPr>
        <w:t>communities of the goldfields,</w:t>
      </w:r>
      <w:r w:rsidR="00FA5362" w:rsidRPr="00DE21A7">
        <w:rPr>
          <w:lang w:val="en-GB"/>
        </w:rPr>
        <w:t xml:space="preserve"> there has been less consideration of their contribution to the development of colonial sciences and the mutual imbrication of literary institutions and settler colonialism in nineteenth-century Australia.</w:t>
      </w:r>
      <w:r w:rsidR="00FA5362" w:rsidRPr="00DE21A7">
        <w:rPr>
          <w:rStyle w:val="EndnoteReference"/>
          <w:lang w:val="en-GB"/>
        </w:rPr>
        <w:endnoteReference w:id="6"/>
      </w:r>
      <w:r w:rsidR="00FA5362" w:rsidRPr="00DE21A7">
        <w:rPr>
          <w:lang w:val="en-GB"/>
        </w:rPr>
        <w:t xml:space="preserve"> </w:t>
      </w:r>
    </w:p>
    <w:p w14:paraId="7DD279B9" w14:textId="39C4A801" w:rsidR="00FA5362" w:rsidRPr="00DE21A7" w:rsidRDefault="00FA5362" w:rsidP="00DE21A7">
      <w:pPr>
        <w:spacing w:line="480" w:lineRule="auto"/>
        <w:ind w:firstLine="567"/>
        <w:jc w:val="both"/>
        <w:rPr>
          <w:lang w:val="en-GB"/>
        </w:rPr>
      </w:pPr>
      <w:r w:rsidRPr="00DE21A7">
        <w:rPr>
          <w:lang w:val="en-GB"/>
        </w:rPr>
        <w:t xml:space="preserve">Judge Kerferd’s celebration of the potential of the Burke Museum not only refers to extractive economies such as mining, but also to agricultural cultivation, placing the museum and athenaeum in a trajectory of territorial encroachment, or in Kerferd’s words, </w:t>
      </w:r>
      <w:r w:rsidR="009D6877">
        <w:rPr>
          <w:lang w:val="en-GB"/>
        </w:rPr>
        <w:t>“</w:t>
      </w:r>
      <w:r w:rsidRPr="00DE21A7">
        <w:rPr>
          <w:lang w:val="en-GB"/>
        </w:rPr>
        <w:t xml:space="preserve">penetrating </w:t>
      </w:r>
      <w:r w:rsidRPr="00DE21A7">
        <w:rPr>
          <w:i/>
          <w:iCs/>
          <w:lang w:val="en-GB"/>
        </w:rPr>
        <w:t>terra incognita</w:t>
      </w:r>
      <w:r w:rsidR="009D6877">
        <w:rPr>
          <w:lang w:val="en-GB"/>
        </w:rPr>
        <w:t>”</w:t>
      </w:r>
      <w:r w:rsidRPr="00DE21A7">
        <w:rPr>
          <w:lang w:val="en-GB"/>
        </w:rPr>
        <w:t xml:space="preserve">. Kerferd’s statement evokes </w:t>
      </w:r>
      <w:r w:rsidRPr="00DE21A7">
        <w:rPr>
          <w:i/>
          <w:iCs/>
          <w:lang w:val="en-GB"/>
        </w:rPr>
        <w:t>terra nullius</w:t>
      </w:r>
      <w:r w:rsidRPr="00DE21A7">
        <w:rPr>
          <w:lang w:val="en-GB"/>
        </w:rPr>
        <w:t xml:space="preserve">, the legal nomenclature categorising Australia as an empty and undiscovered land, and thereby sanctions the dispossession of </w:t>
      </w:r>
      <w:r w:rsidRPr="00DE21A7">
        <w:rPr>
          <w:lang w:val="en-GB"/>
        </w:rPr>
        <w:lastRenderedPageBreak/>
        <w:t xml:space="preserve">Indigenous land. Frequently described by local newspapers as signs of advancement in the colonies, the mechanics’ institutes on the goldfields were written into a stadial theory of the </w:t>
      </w:r>
      <w:r w:rsidR="000C0CB6">
        <w:rPr>
          <w:lang w:val="en-GB"/>
        </w:rPr>
        <w:t>C</w:t>
      </w:r>
      <w:r w:rsidRPr="00DE21A7">
        <w:rPr>
          <w:lang w:val="en-GB"/>
        </w:rPr>
        <w:t xml:space="preserve">olony of Victoria’s progression where they became symbols of settlement and cultivation of this </w:t>
      </w:r>
      <w:r w:rsidR="009D6877">
        <w:rPr>
          <w:lang w:val="en-GB"/>
        </w:rPr>
        <w:t>“</w:t>
      </w:r>
      <w:r w:rsidRPr="00DE21A7">
        <w:rPr>
          <w:lang w:val="en-GB"/>
        </w:rPr>
        <w:t>discovered</w:t>
      </w:r>
      <w:r w:rsidR="009D6877">
        <w:rPr>
          <w:lang w:val="en-GB"/>
        </w:rPr>
        <w:t>”</w:t>
      </w:r>
      <w:r w:rsidRPr="00DE21A7">
        <w:rPr>
          <w:lang w:val="en-GB"/>
        </w:rPr>
        <w:t xml:space="preserve"> land. In response to the fear of itinerancy associated with digging culture, the institutes promoted themselves as an organising principle within the chaos caused by the gold rush.</w:t>
      </w:r>
      <w:r w:rsidR="008551FE">
        <w:rPr>
          <w:rStyle w:val="EndnoteReference"/>
          <w:lang w:val="en-GB"/>
        </w:rPr>
        <w:endnoteReference w:id="7"/>
      </w:r>
      <w:r w:rsidRPr="00DE21A7">
        <w:rPr>
          <w:lang w:val="en-GB"/>
        </w:rPr>
        <w:t xml:space="preserve"> On hearing the news that a mechanics’ institute was to be established in the town of Sandhurst (later Bendigo), the Melbourne newspaper the </w:t>
      </w:r>
      <w:r w:rsidRPr="00DE21A7">
        <w:rPr>
          <w:i/>
          <w:iCs/>
          <w:lang w:val="en-GB"/>
        </w:rPr>
        <w:t>Argus</w:t>
      </w:r>
      <w:r w:rsidRPr="00DE21A7">
        <w:rPr>
          <w:lang w:val="en-GB"/>
        </w:rPr>
        <w:t>, for example, identified the mechanics’ institute movement as “one of progress” and as providing intellectual direction for the “discordant materials of our population”.</w:t>
      </w:r>
      <w:r w:rsidRPr="00DE21A7">
        <w:rPr>
          <w:rStyle w:val="EndnoteReference"/>
          <w:lang w:val="en-GB"/>
        </w:rPr>
        <w:endnoteReference w:id="8"/>
      </w:r>
      <w:r w:rsidRPr="00DE21A7">
        <w:rPr>
          <w:lang w:val="en-GB"/>
        </w:rPr>
        <w:t xml:space="preserve"> </w:t>
      </w:r>
    </w:p>
    <w:p w14:paraId="2026BCC0" w14:textId="3BC58A70" w:rsidR="00FA5362" w:rsidRPr="00DE21A7" w:rsidRDefault="00FA5362" w:rsidP="00DE21A7">
      <w:pPr>
        <w:spacing w:line="480" w:lineRule="auto"/>
        <w:ind w:firstLine="567"/>
        <w:jc w:val="both"/>
        <w:rPr>
          <w:lang w:val="en-GB"/>
        </w:rPr>
      </w:pPr>
      <w:r w:rsidRPr="00DE21A7">
        <w:rPr>
          <w:lang w:val="en-GB"/>
        </w:rPr>
        <w:t>The</w:t>
      </w:r>
      <w:r w:rsidRPr="00DE21A7">
        <w:rPr>
          <w:i/>
          <w:iCs/>
          <w:lang w:val="en-GB"/>
        </w:rPr>
        <w:t xml:space="preserve"> Bendigo Advertiser</w:t>
      </w:r>
      <w:r w:rsidRPr="00DE21A7">
        <w:rPr>
          <w:lang w:val="en-GB"/>
        </w:rPr>
        <w:t xml:space="preserve"> even writes the SMI into the history of the town’s transformation from diggings to settlement. “It takes some time”, writes the </w:t>
      </w:r>
      <w:r w:rsidRPr="00DE21A7">
        <w:rPr>
          <w:i/>
          <w:iCs/>
          <w:lang w:val="en-GB"/>
        </w:rPr>
        <w:t>Advertiser</w:t>
      </w:r>
      <w:r w:rsidRPr="00DE21A7">
        <w:rPr>
          <w:lang w:val="en-GB"/>
        </w:rPr>
        <w:t xml:space="preserve">, “before the materials of a goldfields population can be organized and arranged into a society where order will reign, and where the better sentiments of humanity will establish these bonds of social and intellectual communion, without which life would be a waste indeed.” With time and “by degrees”, the digger “surrounds himself with the comforts and the conveniences of life; he cultivates social intercourse, his intended temporary sojourn is indefinitely extended, and he soon experiences a desire for those higher enjoyments which he had been accustomed to elsewhere”. Concluding this history of the Sandhurst settlement’s growth and progress, the </w:t>
      </w:r>
      <w:r w:rsidRPr="00DE21A7">
        <w:rPr>
          <w:i/>
          <w:iCs/>
          <w:lang w:val="en-GB"/>
        </w:rPr>
        <w:t>Advertiser</w:t>
      </w:r>
      <w:r w:rsidRPr="00DE21A7">
        <w:rPr>
          <w:lang w:val="en-GB"/>
        </w:rPr>
        <w:t xml:space="preserve"> remarks that the “establishment of a Mechanics’ Institute now marks a new era‚—when the fallow intellect of the Goldfields is to be brought into a state of culture, and we trust with the richest results”.</w:t>
      </w:r>
      <w:r w:rsidRPr="00DE21A7">
        <w:rPr>
          <w:rStyle w:val="EndnoteReference"/>
          <w:lang w:val="en-GB"/>
        </w:rPr>
        <w:endnoteReference w:id="9"/>
      </w:r>
      <w:r w:rsidRPr="00DE21A7">
        <w:rPr>
          <w:lang w:val="en-GB"/>
        </w:rPr>
        <w:t xml:space="preserve"> While the mechanics’ institutes and the newspapers that supported them both romanticise and politicise the act of settlement, it is important to recognise the invasive territorial logic that they were nonetheless complicit in.</w:t>
      </w:r>
    </w:p>
    <w:p w14:paraId="5DF43BD4" w14:textId="77777777" w:rsidR="00917517" w:rsidRDefault="00FA5362" w:rsidP="00956E16">
      <w:pPr>
        <w:pStyle w:val="p1"/>
        <w:spacing w:line="480" w:lineRule="auto"/>
        <w:ind w:right="-6" w:firstLine="567"/>
        <w:jc w:val="both"/>
        <w:rPr>
          <w:rFonts w:ascii="Times New Roman" w:hAnsi="Times New Roman"/>
          <w:sz w:val="24"/>
          <w:szCs w:val="24"/>
          <w:lang w:val="en-GB"/>
        </w:rPr>
      </w:pPr>
      <w:r w:rsidRPr="00DE21A7">
        <w:rPr>
          <w:rFonts w:ascii="Times New Roman" w:hAnsi="Times New Roman"/>
          <w:sz w:val="24"/>
          <w:szCs w:val="24"/>
          <w:lang w:val="en-GB"/>
        </w:rPr>
        <w:t xml:space="preserve">As performers of settlement, the institutes both contribute to what James </w:t>
      </w:r>
      <w:proofErr w:type="spellStart"/>
      <w:r w:rsidRPr="00DE21A7">
        <w:rPr>
          <w:rFonts w:ascii="Times New Roman" w:hAnsi="Times New Roman"/>
          <w:sz w:val="24"/>
          <w:szCs w:val="24"/>
          <w:lang w:val="en-GB"/>
        </w:rPr>
        <w:t>Belich</w:t>
      </w:r>
      <w:proofErr w:type="spellEnd"/>
      <w:r w:rsidRPr="00DE21A7">
        <w:rPr>
          <w:rFonts w:ascii="Times New Roman" w:hAnsi="Times New Roman"/>
          <w:sz w:val="24"/>
          <w:szCs w:val="24"/>
          <w:lang w:val="en-GB"/>
        </w:rPr>
        <w:t xml:space="preserve"> identifies as the “ideology of the Settler Revolution” and demonstrate Patrick Wolfe’s argument that </w:t>
      </w:r>
      <w:r w:rsidRPr="00DE21A7">
        <w:rPr>
          <w:rFonts w:ascii="Times New Roman" w:hAnsi="Times New Roman"/>
          <w:sz w:val="24"/>
          <w:szCs w:val="24"/>
          <w:lang w:val="en-GB"/>
        </w:rPr>
        <w:lastRenderedPageBreak/>
        <w:t>“settler colonizers come to stay: invasion is a structure not an event”.</w:t>
      </w:r>
      <w:r w:rsidRPr="00DE21A7">
        <w:rPr>
          <w:rStyle w:val="EndnoteReference"/>
          <w:rFonts w:ascii="Times New Roman" w:hAnsi="Times New Roman"/>
          <w:sz w:val="24"/>
          <w:szCs w:val="24"/>
          <w:lang w:val="en-GB"/>
        </w:rPr>
        <w:endnoteReference w:id="10"/>
      </w:r>
      <w:r w:rsidRPr="00DE21A7">
        <w:rPr>
          <w:rFonts w:ascii="Times New Roman" w:hAnsi="Times New Roman"/>
          <w:sz w:val="24"/>
          <w:szCs w:val="24"/>
          <w:lang w:val="en-GB"/>
        </w:rPr>
        <w:t xml:space="preserve"> While </w:t>
      </w:r>
      <w:proofErr w:type="spellStart"/>
      <w:r w:rsidRPr="00DE21A7">
        <w:rPr>
          <w:rFonts w:ascii="Times New Roman" w:hAnsi="Times New Roman"/>
          <w:sz w:val="24"/>
          <w:szCs w:val="24"/>
          <w:lang w:val="en-GB"/>
        </w:rPr>
        <w:t>Belich’s</w:t>
      </w:r>
      <w:proofErr w:type="spellEnd"/>
      <w:r w:rsidRPr="00DE21A7">
        <w:rPr>
          <w:rFonts w:ascii="Times New Roman" w:hAnsi="Times New Roman"/>
          <w:sz w:val="24"/>
          <w:szCs w:val="24"/>
          <w:lang w:val="en-GB"/>
        </w:rPr>
        <w:t xml:space="preserve"> categories of </w:t>
      </w:r>
      <w:proofErr w:type="spellStart"/>
      <w:r w:rsidRPr="00DE21A7">
        <w:rPr>
          <w:rFonts w:ascii="Times New Roman" w:hAnsi="Times New Roman"/>
          <w:sz w:val="24"/>
          <w:szCs w:val="24"/>
          <w:lang w:val="en-GB"/>
        </w:rPr>
        <w:t>settlerism</w:t>
      </w:r>
      <w:proofErr w:type="spellEnd"/>
      <w:r w:rsidRPr="00DE21A7">
        <w:rPr>
          <w:rFonts w:ascii="Times New Roman" w:hAnsi="Times New Roman"/>
          <w:sz w:val="24"/>
          <w:szCs w:val="24"/>
          <w:lang w:val="en-GB"/>
        </w:rPr>
        <w:t xml:space="preserve"> refer to the act and promotion of emigration, I want to consider the mechanics’ institutes as a second phase in what he terms the “settler transition”: that is to actually settle, to perform and embody settlement.</w:t>
      </w:r>
      <w:r w:rsidRPr="00DE21A7">
        <w:rPr>
          <w:rStyle w:val="EndnoteReference"/>
          <w:rFonts w:ascii="Times New Roman" w:hAnsi="Times New Roman"/>
          <w:sz w:val="24"/>
          <w:szCs w:val="24"/>
          <w:lang w:val="en-GB"/>
        </w:rPr>
        <w:endnoteReference w:id="11"/>
      </w:r>
      <w:r w:rsidRPr="00DE21A7">
        <w:rPr>
          <w:rFonts w:ascii="Times New Roman" w:hAnsi="Times New Roman"/>
          <w:sz w:val="24"/>
          <w:szCs w:val="24"/>
          <w:lang w:val="en-GB"/>
        </w:rPr>
        <w:t xml:space="preserve"> Wolfe’s work provides an important touchstone for acknowledging the lived and archival violence committed through the acts of a “settler transition”. Although the experiences and presence of Indigenous Australians are seldom recorded in the surviving archives of the mechanics’ institutes, this silence hides their contribution to the </w:t>
      </w:r>
      <w:proofErr w:type="gramStart"/>
      <w:r w:rsidRPr="00DE21A7">
        <w:rPr>
          <w:rFonts w:ascii="Times New Roman" w:hAnsi="Times New Roman"/>
          <w:sz w:val="24"/>
          <w:szCs w:val="24"/>
          <w:lang w:val="en-GB"/>
        </w:rPr>
        <w:t>goldfields</w:t>
      </w:r>
      <w:proofErr w:type="gramEnd"/>
      <w:r w:rsidRPr="00DE21A7">
        <w:rPr>
          <w:rFonts w:ascii="Times New Roman" w:hAnsi="Times New Roman"/>
          <w:sz w:val="24"/>
          <w:szCs w:val="24"/>
          <w:lang w:val="en-GB"/>
        </w:rPr>
        <w:t xml:space="preserve"> economy and culture. Rather than absent from the discovery of gold and its rush in Victoria, Fred Cahir has</w:t>
      </w:r>
      <w:r w:rsidR="002E77E7">
        <w:rPr>
          <w:rFonts w:ascii="Times New Roman" w:hAnsi="Times New Roman"/>
          <w:sz w:val="24"/>
          <w:szCs w:val="24"/>
          <w:lang w:val="en-GB"/>
        </w:rPr>
        <w:t>, for example,</w:t>
      </w:r>
      <w:r w:rsidRPr="00DE21A7">
        <w:rPr>
          <w:rFonts w:ascii="Times New Roman" w:hAnsi="Times New Roman"/>
          <w:sz w:val="24"/>
          <w:szCs w:val="24"/>
          <w:lang w:val="en-GB"/>
        </w:rPr>
        <w:t xml:space="preserve"> demonstrated the complex presence and involvement of the </w:t>
      </w:r>
      <w:proofErr w:type="spellStart"/>
      <w:r w:rsidRPr="00DE21A7">
        <w:rPr>
          <w:rFonts w:ascii="Times New Roman" w:hAnsi="Times New Roman"/>
          <w:sz w:val="24"/>
          <w:szCs w:val="24"/>
          <w:lang w:val="en-GB"/>
        </w:rPr>
        <w:t>Wadawurrung</w:t>
      </w:r>
      <w:proofErr w:type="spellEnd"/>
      <w:r w:rsidRPr="00DE21A7">
        <w:rPr>
          <w:rFonts w:ascii="Times New Roman" w:hAnsi="Times New Roman"/>
          <w:sz w:val="24"/>
          <w:szCs w:val="24"/>
          <w:lang w:val="en-GB"/>
        </w:rPr>
        <w:t xml:space="preserve"> people on the Ballarat </w:t>
      </w:r>
      <w:r w:rsidR="002E77E7">
        <w:rPr>
          <w:rFonts w:ascii="Times New Roman" w:hAnsi="Times New Roman"/>
          <w:sz w:val="24"/>
          <w:szCs w:val="24"/>
          <w:lang w:val="en-GB"/>
        </w:rPr>
        <w:t>goldfields</w:t>
      </w:r>
      <w:r w:rsidRPr="00DE21A7">
        <w:rPr>
          <w:rFonts w:ascii="Times New Roman" w:hAnsi="Times New Roman"/>
          <w:sz w:val="24"/>
          <w:szCs w:val="24"/>
          <w:lang w:val="en-GB"/>
        </w:rPr>
        <w:t>.</w:t>
      </w:r>
      <w:r w:rsidRPr="00DE21A7">
        <w:rPr>
          <w:rStyle w:val="EndnoteReference"/>
          <w:rFonts w:ascii="Times New Roman" w:hAnsi="Times New Roman"/>
          <w:sz w:val="24"/>
          <w:szCs w:val="24"/>
          <w:lang w:val="en-GB"/>
        </w:rPr>
        <w:endnoteReference w:id="12"/>
      </w:r>
      <w:r w:rsidRPr="00DE21A7">
        <w:rPr>
          <w:rFonts w:ascii="Times New Roman" w:hAnsi="Times New Roman"/>
          <w:sz w:val="24"/>
          <w:szCs w:val="24"/>
          <w:lang w:val="en-GB"/>
        </w:rPr>
        <w:t xml:space="preserve"> </w:t>
      </w:r>
    </w:p>
    <w:p w14:paraId="569DC672" w14:textId="00478968" w:rsidR="00DC752D" w:rsidRDefault="00DC752D" w:rsidP="00956E16">
      <w:pPr>
        <w:pStyle w:val="p1"/>
        <w:spacing w:line="480" w:lineRule="auto"/>
        <w:ind w:right="-6" w:firstLine="567"/>
        <w:jc w:val="both"/>
        <w:rPr>
          <w:rFonts w:ascii="Times New Roman" w:hAnsi="Times New Roman"/>
          <w:sz w:val="24"/>
          <w:szCs w:val="24"/>
          <w:lang w:val="en-GB"/>
        </w:rPr>
      </w:pPr>
      <w:r w:rsidRPr="00DC752D">
        <w:rPr>
          <w:rFonts w:ascii="Times New Roman" w:hAnsi="Times New Roman"/>
          <w:sz w:val="24"/>
          <w:szCs w:val="24"/>
          <w:lang w:val="en-GB"/>
        </w:rPr>
        <w:t xml:space="preserve">One of the few recorded instances of Indigenous Australians’ involvement with the institutes </w:t>
      </w:r>
      <w:r w:rsidR="00917517">
        <w:rPr>
          <w:rFonts w:ascii="Times New Roman" w:hAnsi="Times New Roman"/>
          <w:sz w:val="24"/>
          <w:szCs w:val="24"/>
          <w:lang w:val="en-GB"/>
        </w:rPr>
        <w:t>illustrates</w:t>
      </w:r>
      <w:r>
        <w:rPr>
          <w:rFonts w:ascii="Times New Roman" w:hAnsi="Times New Roman"/>
          <w:sz w:val="24"/>
          <w:szCs w:val="24"/>
          <w:lang w:val="en-GB"/>
        </w:rPr>
        <w:t xml:space="preserve"> </w:t>
      </w:r>
      <w:r w:rsidR="00B46F37">
        <w:rPr>
          <w:rFonts w:ascii="Times New Roman" w:hAnsi="Times New Roman"/>
          <w:sz w:val="24"/>
          <w:szCs w:val="24"/>
          <w:lang w:val="en-GB"/>
        </w:rPr>
        <w:t>how the institutes and local newspapers</w:t>
      </w:r>
      <w:r>
        <w:rPr>
          <w:rFonts w:ascii="Times New Roman" w:hAnsi="Times New Roman"/>
          <w:sz w:val="24"/>
          <w:szCs w:val="24"/>
          <w:lang w:val="en-GB"/>
        </w:rPr>
        <w:t xml:space="preserve"> frequent</w:t>
      </w:r>
      <w:r w:rsidR="00B46F37">
        <w:rPr>
          <w:rFonts w:ascii="Times New Roman" w:hAnsi="Times New Roman"/>
          <w:sz w:val="24"/>
          <w:szCs w:val="24"/>
          <w:lang w:val="en-GB"/>
        </w:rPr>
        <w:t xml:space="preserve">ly </w:t>
      </w:r>
      <w:r>
        <w:rPr>
          <w:rFonts w:ascii="Times New Roman" w:hAnsi="Times New Roman"/>
          <w:sz w:val="24"/>
          <w:szCs w:val="24"/>
          <w:lang w:val="en-GB"/>
        </w:rPr>
        <w:t>reli</w:t>
      </w:r>
      <w:r w:rsidR="00B46F37">
        <w:rPr>
          <w:rFonts w:ascii="Times New Roman" w:hAnsi="Times New Roman"/>
          <w:sz w:val="24"/>
          <w:szCs w:val="24"/>
          <w:lang w:val="en-GB"/>
        </w:rPr>
        <w:t>ed</w:t>
      </w:r>
      <w:r>
        <w:rPr>
          <w:rFonts w:ascii="Times New Roman" w:hAnsi="Times New Roman"/>
          <w:sz w:val="24"/>
          <w:szCs w:val="24"/>
          <w:lang w:val="en-GB"/>
        </w:rPr>
        <w:t xml:space="preserve"> on what Wolfe describes as the “organizing grammar of race”</w:t>
      </w:r>
      <w:r w:rsidR="00895C8F">
        <w:rPr>
          <w:rFonts w:ascii="Times New Roman" w:hAnsi="Times New Roman"/>
          <w:sz w:val="24"/>
          <w:szCs w:val="24"/>
          <w:lang w:val="en-GB"/>
        </w:rPr>
        <w:t xml:space="preserve"> in d</w:t>
      </w:r>
      <w:r w:rsidR="00917517">
        <w:rPr>
          <w:rFonts w:ascii="Times New Roman" w:hAnsi="Times New Roman"/>
          <w:sz w:val="24"/>
          <w:szCs w:val="24"/>
          <w:lang w:val="en-GB"/>
        </w:rPr>
        <w:t>emonstrating</w:t>
      </w:r>
      <w:r w:rsidR="00895C8F">
        <w:rPr>
          <w:rFonts w:ascii="Times New Roman" w:hAnsi="Times New Roman"/>
          <w:sz w:val="24"/>
          <w:szCs w:val="24"/>
          <w:lang w:val="en-GB"/>
        </w:rPr>
        <w:t xml:space="preserve"> their self-appointed role as institutions of settlement</w:t>
      </w:r>
      <w:r w:rsidR="00B46F37">
        <w:rPr>
          <w:rFonts w:ascii="Times New Roman" w:hAnsi="Times New Roman"/>
          <w:sz w:val="24"/>
          <w:szCs w:val="24"/>
          <w:lang w:val="en-GB"/>
        </w:rPr>
        <w:t>.</w:t>
      </w:r>
      <w:r w:rsidR="00214EC1" w:rsidRPr="00DE21A7">
        <w:rPr>
          <w:rStyle w:val="EndnoteReference"/>
          <w:rFonts w:ascii="Times New Roman" w:hAnsi="Times New Roman"/>
          <w:sz w:val="24"/>
          <w:szCs w:val="24"/>
          <w:lang w:val="en-GB"/>
        </w:rPr>
        <w:endnoteReference w:id="13"/>
      </w:r>
      <w:r w:rsidR="00B46F37">
        <w:rPr>
          <w:rFonts w:ascii="Times New Roman" w:hAnsi="Times New Roman"/>
          <w:sz w:val="24"/>
          <w:szCs w:val="24"/>
          <w:lang w:val="en-GB"/>
        </w:rPr>
        <w:t xml:space="preserve"> </w:t>
      </w:r>
      <w:r w:rsidR="00214EC1">
        <w:rPr>
          <w:rFonts w:ascii="Times New Roman" w:hAnsi="Times New Roman"/>
          <w:sz w:val="24"/>
          <w:szCs w:val="24"/>
          <w:lang w:val="en-GB"/>
        </w:rPr>
        <w:t xml:space="preserve">Reporting on a concert </w:t>
      </w:r>
      <w:r w:rsidR="00214EC1" w:rsidRPr="00DC752D">
        <w:rPr>
          <w:rFonts w:ascii="Times New Roman" w:hAnsi="Times New Roman"/>
          <w:sz w:val="24"/>
          <w:szCs w:val="24"/>
          <w:lang w:val="en-GB"/>
        </w:rPr>
        <w:t>performed at the BMI by “a company of [A]</w:t>
      </w:r>
      <w:proofErr w:type="spellStart"/>
      <w:r w:rsidR="00214EC1" w:rsidRPr="00DC752D">
        <w:rPr>
          <w:rFonts w:ascii="Times New Roman" w:hAnsi="Times New Roman"/>
          <w:sz w:val="24"/>
          <w:szCs w:val="24"/>
          <w:lang w:val="en-GB"/>
        </w:rPr>
        <w:t>boriginal</w:t>
      </w:r>
      <w:proofErr w:type="spellEnd"/>
      <w:r w:rsidR="00214EC1" w:rsidRPr="00DC752D">
        <w:rPr>
          <w:rFonts w:ascii="Times New Roman" w:hAnsi="Times New Roman"/>
          <w:sz w:val="24"/>
          <w:szCs w:val="24"/>
          <w:lang w:val="en-GB"/>
        </w:rPr>
        <w:t xml:space="preserve"> singers from the Lake </w:t>
      </w:r>
      <w:proofErr w:type="spellStart"/>
      <w:r w:rsidR="00214EC1" w:rsidRPr="00DC752D">
        <w:rPr>
          <w:rFonts w:ascii="Times New Roman" w:hAnsi="Times New Roman"/>
          <w:sz w:val="24"/>
          <w:szCs w:val="24"/>
          <w:lang w:val="en-GB"/>
        </w:rPr>
        <w:t>Condah</w:t>
      </w:r>
      <w:proofErr w:type="spellEnd"/>
      <w:r w:rsidR="00214EC1" w:rsidRPr="00DC752D">
        <w:rPr>
          <w:rFonts w:ascii="Times New Roman" w:hAnsi="Times New Roman"/>
          <w:sz w:val="24"/>
          <w:szCs w:val="24"/>
          <w:lang w:val="en-GB"/>
        </w:rPr>
        <w:t xml:space="preserve"> mission station” in February 1879</w:t>
      </w:r>
      <w:r w:rsidR="00214EC1">
        <w:rPr>
          <w:rFonts w:ascii="Times New Roman" w:hAnsi="Times New Roman"/>
          <w:sz w:val="24"/>
          <w:szCs w:val="24"/>
          <w:lang w:val="en-GB"/>
        </w:rPr>
        <w:t xml:space="preserve">, </w:t>
      </w:r>
      <w:r w:rsidR="00214EC1" w:rsidRPr="00DC752D">
        <w:rPr>
          <w:rFonts w:ascii="Times New Roman" w:hAnsi="Times New Roman"/>
          <w:sz w:val="24"/>
          <w:szCs w:val="24"/>
          <w:lang w:val="en-GB"/>
        </w:rPr>
        <w:t xml:space="preserve">the </w:t>
      </w:r>
      <w:r w:rsidR="00214EC1" w:rsidRPr="00DC752D">
        <w:rPr>
          <w:rFonts w:ascii="Times New Roman" w:hAnsi="Times New Roman"/>
          <w:i/>
          <w:iCs/>
          <w:sz w:val="24"/>
          <w:szCs w:val="24"/>
          <w:lang w:val="en-GB"/>
        </w:rPr>
        <w:t>Ballarat Star</w:t>
      </w:r>
      <w:r w:rsidR="00214EC1" w:rsidRPr="00DC752D">
        <w:rPr>
          <w:rFonts w:ascii="Times New Roman" w:hAnsi="Times New Roman"/>
          <w:sz w:val="24"/>
          <w:szCs w:val="24"/>
          <w:lang w:val="en-GB"/>
        </w:rPr>
        <w:t xml:space="preserve"> records that “</w:t>
      </w:r>
      <w:r w:rsidR="00214EC1" w:rsidRPr="00DC752D">
        <w:rPr>
          <w:rFonts w:ascii="Times New Roman" w:hAnsi="Times New Roman"/>
          <w:sz w:val="24"/>
          <w:szCs w:val="24"/>
        </w:rPr>
        <w:t>local” Indigenous people “came into the hall and evinced some curiosity respecting the proceedings”. Drawing on stadial distinctions to contrast the “wandering” with the “</w:t>
      </w:r>
      <w:proofErr w:type="spellStart"/>
      <w:r w:rsidR="00214EC1" w:rsidRPr="00DC752D">
        <w:rPr>
          <w:rFonts w:ascii="Times New Roman" w:hAnsi="Times New Roman"/>
          <w:sz w:val="24"/>
          <w:szCs w:val="24"/>
        </w:rPr>
        <w:t>Christianised</w:t>
      </w:r>
      <w:proofErr w:type="spellEnd"/>
      <w:r w:rsidR="00214EC1" w:rsidRPr="00DC752D">
        <w:rPr>
          <w:rFonts w:ascii="Times New Roman" w:hAnsi="Times New Roman"/>
          <w:sz w:val="24"/>
          <w:szCs w:val="24"/>
        </w:rPr>
        <w:t xml:space="preserve">”, the newspaper relies on a common humanitarian discourse and </w:t>
      </w:r>
      <w:proofErr w:type="spellStart"/>
      <w:r w:rsidR="00214EC1" w:rsidRPr="00DC752D">
        <w:rPr>
          <w:rFonts w:ascii="Times New Roman" w:hAnsi="Times New Roman"/>
          <w:sz w:val="24"/>
          <w:szCs w:val="24"/>
        </w:rPr>
        <w:t>racialised</w:t>
      </w:r>
      <w:proofErr w:type="spellEnd"/>
      <w:r w:rsidR="00214EC1" w:rsidRPr="00DC752D">
        <w:rPr>
          <w:rFonts w:ascii="Times New Roman" w:hAnsi="Times New Roman"/>
          <w:sz w:val="24"/>
          <w:szCs w:val="24"/>
        </w:rPr>
        <w:t xml:space="preserve"> language to celebrate missionary efforts in “unit[</w:t>
      </w:r>
      <w:proofErr w:type="spellStart"/>
      <w:r w:rsidR="00214EC1" w:rsidRPr="00DC752D">
        <w:rPr>
          <w:rFonts w:ascii="Times New Roman" w:hAnsi="Times New Roman"/>
          <w:sz w:val="24"/>
          <w:szCs w:val="24"/>
        </w:rPr>
        <w:t>ing</w:t>
      </w:r>
      <w:proofErr w:type="spellEnd"/>
      <w:r w:rsidR="00214EC1" w:rsidRPr="00DC752D">
        <w:rPr>
          <w:rFonts w:ascii="Times New Roman" w:hAnsi="Times New Roman"/>
          <w:sz w:val="24"/>
          <w:szCs w:val="24"/>
        </w:rPr>
        <w:t>]” the singers “in a fraternal bond with the noblest blood in the British empire”</w:t>
      </w:r>
      <w:r w:rsidR="00B46F37">
        <w:rPr>
          <w:rFonts w:ascii="Times New Roman" w:hAnsi="Times New Roman"/>
          <w:sz w:val="24"/>
          <w:szCs w:val="24"/>
        </w:rPr>
        <w:t>.</w:t>
      </w:r>
      <w:r w:rsidR="00956E16">
        <w:rPr>
          <w:rStyle w:val="EndnoteReference"/>
          <w:rFonts w:ascii="Times New Roman" w:hAnsi="Times New Roman"/>
          <w:sz w:val="24"/>
          <w:szCs w:val="24"/>
        </w:rPr>
        <w:endnoteReference w:id="14"/>
      </w:r>
      <w:r w:rsidR="00B46F37">
        <w:rPr>
          <w:rFonts w:ascii="Times New Roman" w:hAnsi="Times New Roman"/>
          <w:sz w:val="24"/>
          <w:szCs w:val="24"/>
        </w:rPr>
        <w:t xml:space="preserve"> This event demonstrates the</w:t>
      </w:r>
      <w:r w:rsidR="00917517">
        <w:rPr>
          <w:rFonts w:ascii="Times New Roman" w:hAnsi="Times New Roman"/>
          <w:sz w:val="24"/>
          <w:szCs w:val="24"/>
        </w:rPr>
        <w:t xml:space="preserve"> complexity and</w:t>
      </w:r>
      <w:r w:rsidR="00B46F37">
        <w:rPr>
          <w:rFonts w:ascii="Times New Roman" w:hAnsi="Times New Roman"/>
          <w:sz w:val="24"/>
          <w:szCs w:val="24"/>
        </w:rPr>
        <w:t xml:space="preserve"> </w:t>
      </w:r>
      <w:r w:rsidR="00895C8F">
        <w:rPr>
          <w:rFonts w:ascii="Times New Roman" w:hAnsi="Times New Roman"/>
          <w:sz w:val="24"/>
          <w:szCs w:val="24"/>
        </w:rPr>
        <w:t xml:space="preserve">settler colonial inflection </w:t>
      </w:r>
      <w:r w:rsidR="00B46F37">
        <w:rPr>
          <w:rFonts w:ascii="Times New Roman" w:hAnsi="Times New Roman"/>
          <w:sz w:val="24"/>
          <w:szCs w:val="24"/>
        </w:rPr>
        <w:t>of the</w:t>
      </w:r>
      <w:r w:rsidR="00956E16">
        <w:rPr>
          <w:rFonts w:ascii="Times New Roman" w:hAnsi="Times New Roman"/>
          <w:sz w:val="24"/>
          <w:szCs w:val="24"/>
        </w:rPr>
        <w:t xml:space="preserve"> institutes</w:t>
      </w:r>
      <w:r w:rsidR="009029FE">
        <w:rPr>
          <w:rFonts w:ascii="Times New Roman" w:hAnsi="Times New Roman"/>
          <w:sz w:val="24"/>
          <w:szCs w:val="24"/>
        </w:rPr>
        <w:t>’ commitment to the global</w:t>
      </w:r>
      <w:r w:rsidR="00956E16">
        <w:rPr>
          <w:rFonts w:ascii="Times New Roman" w:hAnsi="Times New Roman"/>
          <w:sz w:val="24"/>
          <w:szCs w:val="24"/>
        </w:rPr>
        <w:t xml:space="preserve"> </w:t>
      </w:r>
      <w:r w:rsidR="00B46F37">
        <w:rPr>
          <w:rFonts w:ascii="Times New Roman" w:hAnsi="Times New Roman"/>
          <w:sz w:val="24"/>
          <w:szCs w:val="24"/>
        </w:rPr>
        <w:t>discourse of improvement</w:t>
      </w:r>
      <w:r w:rsidR="009029FE">
        <w:rPr>
          <w:rFonts w:ascii="Times New Roman" w:hAnsi="Times New Roman"/>
          <w:sz w:val="24"/>
          <w:szCs w:val="24"/>
        </w:rPr>
        <w:t>,</w:t>
      </w:r>
      <w:r w:rsidR="00B46F37">
        <w:rPr>
          <w:rFonts w:ascii="Times New Roman" w:hAnsi="Times New Roman"/>
          <w:sz w:val="24"/>
          <w:szCs w:val="24"/>
        </w:rPr>
        <w:t xml:space="preserve"> </w:t>
      </w:r>
      <w:r w:rsidR="00B46F37">
        <w:rPr>
          <w:rFonts w:ascii="Times New Roman" w:hAnsi="Times New Roman"/>
          <w:sz w:val="24"/>
          <w:szCs w:val="24"/>
          <w:lang w:val="en-GB"/>
        </w:rPr>
        <w:t>as well as exhibiting what Leigh Boucher and Lynette Russell argue is the “irresolvable problem [that Indigenous Australians posed] for settler society”: “their mere existence was (and is) a reminder of the territorial thefts of colonisation”.</w:t>
      </w:r>
      <w:r w:rsidR="00B46F37">
        <w:rPr>
          <w:rStyle w:val="EndnoteReference"/>
          <w:rFonts w:ascii="Times New Roman" w:hAnsi="Times New Roman"/>
          <w:sz w:val="24"/>
          <w:szCs w:val="24"/>
          <w:lang w:val="en-GB"/>
        </w:rPr>
        <w:endnoteReference w:id="15"/>
      </w:r>
    </w:p>
    <w:p w14:paraId="2F9E3027" w14:textId="09D0AA37" w:rsidR="00FA5362" w:rsidRPr="00DE21A7" w:rsidRDefault="009029FE" w:rsidP="009F0A8D">
      <w:pPr>
        <w:pStyle w:val="p1"/>
        <w:spacing w:line="480" w:lineRule="auto"/>
        <w:ind w:right="-6" w:firstLine="567"/>
        <w:jc w:val="both"/>
        <w:rPr>
          <w:rFonts w:ascii="Times New Roman" w:hAnsi="Times New Roman"/>
          <w:sz w:val="24"/>
          <w:szCs w:val="24"/>
          <w:lang w:val="en-GB"/>
        </w:rPr>
      </w:pPr>
      <w:r>
        <w:rPr>
          <w:rFonts w:ascii="Times New Roman" w:hAnsi="Times New Roman"/>
          <w:sz w:val="24"/>
          <w:szCs w:val="24"/>
          <w:lang w:val="en-GB"/>
        </w:rPr>
        <w:lastRenderedPageBreak/>
        <w:t xml:space="preserve">In examining the interplay between the pursuit </w:t>
      </w:r>
      <w:r w:rsidR="009F0A8D">
        <w:rPr>
          <w:rFonts w:ascii="Times New Roman" w:hAnsi="Times New Roman"/>
          <w:sz w:val="24"/>
          <w:szCs w:val="24"/>
          <w:lang w:val="en-GB"/>
        </w:rPr>
        <w:t xml:space="preserve">of </w:t>
      </w:r>
      <w:r>
        <w:rPr>
          <w:rFonts w:ascii="Times New Roman" w:hAnsi="Times New Roman"/>
          <w:sz w:val="24"/>
          <w:szCs w:val="24"/>
          <w:lang w:val="en-GB"/>
        </w:rPr>
        <w:t>useful knowledge and the</w:t>
      </w:r>
      <w:r w:rsidR="009F0A8D">
        <w:rPr>
          <w:rFonts w:ascii="Times New Roman" w:hAnsi="Times New Roman"/>
          <w:sz w:val="24"/>
          <w:szCs w:val="24"/>
          <w:lang w:val="en-GB"/>
        </w:rPr>
        <w:t xml:space="preserve"> promotion of settlement by the goldfields</w:t>
      </w:r>
      <w:r>
        <w:rPr>
          <w:rFonts w:ascii="Times New Roman" w:hAnsi="Times New Roman"/>
          <w:sz w:val="24"/>
          <w:szCs w:val="24"/>
          <w:lang w:val="en-GB"/>
        </w:rPr>
        <w:t xml:space="preserve"> mechanics’ institutes</w:t>
      </w:r>
      <w:r w:rsidR="009F0A8D">
        <w:rPr>
          <w:rFonts w:ascii="Times New Roman" w:hAnsi="Times New Roman"/>
          <w:sz w:val="24"/>
          <w:szCs w:val="24"/>
          <w:lang w:val="en-GB"/>
        </w:rPr>
        <w:t xml:space="preserve">, this article draws on important scholarship emphasising </w:t>
      </w:r>
      <w:r w:rsidR="009F0A8D" w:rsidRPr="00DE21A7">
        <w:rPr>
          <w:rFonts w:ascii="Times New Roman" w:hAnsi="Times New Roman"/>
          <w:sz w:val="24"/>
          <w:szCs w:val="24"/>
          <w:lang w:val="en-GB"/>
        </w:rPr>
        <w:t>the “co-constitution” of ethnography, anthropology, and settler colonial governance</w:t>
      </w:r>
      <w:r w:rsidR="009F0A8D">
        <w:rPr>
          <w:rFonts w:ascii="Times New Roman" w:hAnsi="Times New Roman"/>
          <w:sz w:val="24"/>
          <w:szCs w:val="24"/>
          <w:lang w:val="en-GB"/>
        </w:rPr>
        <w:t xml:space="preserve"> by </w:t>
      </w:r>
      <w:r w:rsidR="009F0A8D" w:rsidRPr="00DE21A7">
        <w:rPr>
          <w:rFonts w:ascii="Times New Roman" w:hAnsi="Times New Roman"/>
          <w:sz w:val="24"/>
          <w:szCs w:val="24"/>
          <w:lang w:val="en-GB"/>
        </w:rPr>
        <w:t xml:space="preserve">scholars such as Boucher, Alan Lester, </w:t>
      </w:r>
      <w:proofErr w:type="spellStart"/>
      <w:r w:rsidR="009F0A8D" w:rsidRPr="00DE21A7">
        <w:rPr>
          <w:rFonts w:ascii="Times New Roman" w:eastAsia="Times New Roman" w:hAnsi="Times New Roman"/>
          <w:color w:val="000000" w:themeColor="text1"/>
          <w:sz w:val="24"/>
          <w:szCs w:val="24"/>
          <w:shd w:val="clear" w:color="auto" w:fill="FFFFFF"/>
          <w:lang w:val="en-GB" w:eastAsia="en-GB"/>
        </w:rPr>
        <w:t>Efram</w:t>
      </w:r>
      <w:proofErr w:type="spellEnd"/>
      <w:r w:rsidR="009F0A8D" w:rsidRPr="00DE21A7">
        <w:rPr>
          <w:rFonts w:ascii="Times New Roman" w:eastAsia="Times New Roman" w:hAnsi="Times New Roman"/>
          <w:color w:val="000000" w:themeColor="text1"/>
          <w:sz w:val="24"/>
          <w:szCs w:val="24"/>
          <w:shd w:val="clear" w:color="auto" w:fill="FFFFFF"/>
          <w:lang w:val="en-GB" w:eastAsia="en-GB"/>
        </w:rPr>
        <w:t xml:space="preserve"> Sera-</w:t>
      </w:r>
      <w:proofErr w:type="spellStart"/>
      <w:r w:rsidR="009F0A8D" w:rsidRPr="00DE21A7">
        <w:rPr>
          <w:rFonts w:ascii="Times New Roman" w:eastAsia="Times New Roman" w:hAnsi="Times New Roman"/>
          <w:color w:val="000000" w:themeColor="text1"/>
          <w:sz w:val="24"/>
          <w:szCs w:val="24"/>
          <w:shd w:val="clear" w:color="auto" w:fill="FFFFFF"/>
          <w:lang w:val="en-GB" w:eastAsia="en-GB"/>
        </w:rPr>
        <w:t>Sh</w:t>
      </w:r>
      <w:r w:rsidR="009F0A8D">
        <w:rPr>
          <w:rFonts w:ascii="Times New Roman" w:eastAsia="Times New Roman" w:hAnsi="Times New Roman"/>
          <w:color w:val="000000" w:themeColor="text1"/>
          <w:sz w:val="24"/>
          <w:szCs w:val="24"/>
          <w:shd w:val="clear" w:color="auto" w:fill="FFFFFF"/>
          <w:lang w:val="en-GB" w:eastAsia="en-GB"/>
        </w:rPr>
        <w:t>r</w:t>
      </w:r>
      <w:r w:rsidR="009F0A8D" w:rsidRPr="00DE21A7">
        <w:rPr>
          <w:rFonts w:ascii="Times New Roman" w:eastAsia="Times New Roman" w:hAnsi="Times New Roman"/>
          <w:color w:val="000000" w:themeColor="text1"/>
          <w:sz w:val="24"/>
          <w:szCs w:val="24"/>
          <w:shd w:val="clear" w:color="auto" w:fill="FFFFFF"/>
          <w:lang w:val="en-GB" w:eastAsia="en-GB"/>
        </w:rPr>
        <w:t>iar</w:t>
      </w:r>
      <w:proofErr w:type="spellEnd"/>
      <w:r w:rsidR="009F0A8D" w:rsidRPr="00DE21A7">
        <w:rPr>
          <w:rFonts w:ascii="Times New Roman" w:eastAsia="Times New Roman" w:hAnsi="Times New Roman"/>
          <w:color w:val="000000" w:themeColor="text1"/>
          <w:sz w:val="24"/>
          <w:szCs w:val="24"/>
          <w:shd w:val="clear" w:color="auto" w:fill="FFFFFF"/>
          <w:lang w:val="en-GB" w:eastAsia="en-GB"/>
        </w:rPr>
        <w:t>,</w:t>
      </w:r>
      <w:r w:rsidR="009F0A8D" w:rsidRPr="00DE21A7">
        <w:rPr>
          <w:rFonts w:ascii="Times New Roman" w:hAnsi="Times New Roman"/>
          <w:sz w:val="24"/>
          <w:szCs w:val="24"/>
          <w:lang w:val="en-GB"/>
        </w:rPr>
        <w:t xml:space="preserve"> Rachel Stanfield, Wolfe</w:t>
      </w:r>
      <w:r w:rsidR="009F0A8D">
        <w:rPr>
          <w:rFonts w:ascii="Times New Roman" w:hAnsi="Times New Roman"/>
          <w:sz w:val="24"/>
          <w:szCs w:val="24"/>
          <w:lang w:val="en-GB"/>
        </w:rPr>
        <w:t xml:space="preserve"> </w:t>
      </w:r>
      <w:r w:rsidR="009F0A8D" w:rsidRPr="00DE21A7">
        <w:rPr>
          <w:rFonts w:ascii="Times New Roman" w:hAnsi="Times New Roman"/>
          <w:sz w:val="24"/>
          <w:szCs w:val="24"/>
          <w:lang w:val="en-GB"/>
        </w:rPr>
        <w:t>and others</w:t>
      </w:r>
      <w:r w:rsidR="009F0A8D">
        <w:rPr>
          <w:rFonts w:ascii="Times New Roman" w:hAnsi="Times New Roman"/>
          <w:sz w:val="24"/>
          <w:szCs w:val="24"/>
          <w:lang w:val="en-GB"/>
        </w:rPr>
        <w:t>.</w:t>
      </w:r>
      <w:r w:rsidR="009F0A8D" w:rsidRPr="00DE21A7">
        <w:rPr>
          <w:rStyle w:val="EndnoteReference"/>
          <w:rFonts w:ascii="Times New Roman" w:hAnsi="Times New Roman"/>
          <w:sz w:val="24"/>
          <w:szCs w:val="24"/>
          <w:lang w:val="en-GB"/>
        </w:rPr>
        <w:endnoteReference w:id="16"/>
      </w:r>
      <w:r w:rsidR="009F0A8D">
        <w:rPr>
          <w:rFonts w:ascii="Times New Roman" w:hAnsi="Times New Roman"/>
          <w:sz w:val="24"/>
          <w:szCs w:val="24"/>
          <w:lang w:val="en-GB"/>
        </w:rPr>
        <w:t xml:space="preserve"> In contrast to this scholarship, however,</w:t>
      </w:r>
      <w:r w:rsidR="00FA5362" w:rsidRPr="00DE21A7">
        <w:rPr>
          <w:rFonts w:ascii="Times New Roman" w:hAnsi="Times New Roman"/>
          <w:sz w:val="24"/>
          <w:szCs w:val="24"/>
          <w:lang w:val="en-GB"/>
        </w:rPr>
        <w:t xml:space="preserve"> I want to move the focus away from colonial elites, individual administrators, and scientists, to instead consider the role regional literary institutes played in the </w:t>
      </w:r>
      <w:r w:rsidR="00EC5748">
        <w:rPr>
          <w:rFonts w:ascii="Times New Roman" w:hAnsi="Times New Roman"/>
          <w:sz w:val="24"/>
          <w:szCs w:val="24"/>
          <w:lang w:val="en-GB"/>
        </w:rPr>
        <w:t>co-constitution</w:t>
      </w:r>
      <w:r w:rsidR="00FA5362" w:rsidRPr="00DE21A7">
        <w:rPr>
          <w:rFonts w:ascii="Times New Roman" w:hAnsi="Times New Roman"/>
          <w:sz w:val="24"/>
          <w:szCs w:val="24"/>
          <w:lang w:val="en-GB"/>
        </w:rPr>
        <w:t xml:space="preserve"> of imperial</w:t>
      </w:r>
      <w:r w:rsidR="00EC5748">
        <w:rPr>
          <w:rFonts w:ascii="Times New Roman" w:hAnsi="Times New Roman"/>
          <w:sz w:val="24"/>
          <w:szCs w:val="24"/>
          <w:lang w:val="en-GB"/>
        </w:rPr>
        <w:t xml:space="preserve"> scientific</w:t>
      </w:r>
      <w:r w:rsidR="00FA5362" w:rsidRPr="00DE21A7">
        <w:rPr>
          <w:rFonts w:ascii="Times New Roman" w:hAnsi="Times New Roman"/>
          <w:sz w:val="24"/>
          <w:szCs w:val="24"/>
          <w:lang w:val="en-GB"/>
        </w:rPr>
        <w:t xml:space="preserve"> networks and settler colonial identities by contributing to a system of colonial knowledge and economic exchange. </w:t>
      </w:r>
    </w:p>
    <w:p w14:paraId="6C8118B8" w14:textId="4B115E9A" w:rsidR="00FA5362" w:rsidRPr="00DE21A7" w:rsidRDefault="00FA5362" w:rsidP="00DE21A7">
      <w:pPr>
        <w:spacing w:line="480" w:lineRule="auto"/>
        <w:jc w:val="both"/>
        <w:rPr>
          <w:lang w:val="en-GB"/>
        </w:rPr>
      </w:pPr>
    </w:p>
    <w:p w14:paraId="3490D39C" w14:textId="3D407959" w:rsidR="00FA5362" w:rsidRPr="00DE21A7" w:rsidRDefault="00F82015" w:rsidP="00DE21A7">
      <w:pPr>
        <w:spacing w:line="480" w:lineRule="auto"/>
        <w:jc w:val="both"/>
        <w:rPr>
          <w:u w:val="single"/>
          <w:lang w:val="en-GB"/>
        </w:rPr>
      </w:pPr>
      <w:r>
        <w:rPr>
          <w:u w:val="single"/>
          <w:lang w:val="en-GB"/>
        </w:rPr>
        <w:t>“</w:t>
      </w:r>
      <w:r w:rsidR="00FA5362" w:rsidRPr="00DE21A7">
        <w:rPr>
          <w:u w:val="single"/>
          <w:lang w:val="en-GB"/>
        </w:rPr>
        <w:t>Scarcely anything in fact worth eating</w:t>
      </w:r>
      <w:r>
        <w:rPr>
          <w:u w:val="single"/>
          <w:lang w:val="en-GB"/>
        </w:rPr>
        <w:t>”</w:t>
      </w:r>
      <w:r w:rsidR="00FA5362" w:rsidRPr="00DE21A7">
        <w:rPr>
          <w:u w:val="single"/>
          <w:lang w:val="en-GB"/>
        </w:rPr>
        <w:t>: Acclimatisation and Natural History</w:t>
      </w:r>
    </w:p>
    <w:p w14:paraId="3312E243" w14:textId="77777777" w:rsidR="00FA5362" w:rsidRPr="00DE21A7" w:rsidRDefault="00FA5362" w:rsidP="00DE21A7">
      <w:pPr>
        <w:spacing w:line="480" w:lineRule="auto"/>
        <w:jc w:val="both"/>
        <w:rPr>
          <w:u w:val="single"/>
          <w:lang w:val="en-GB"/>
        </w:rPr>
      </w:pPr>
    </w:p>
    <w:p w14:paraId="07E975B0" w14:textId="0E8E7244" w:rsidR="00FA5362" w:rsidRPr="00DE21A7" w:rsidRDefault="00FA5362" w:rsidP="00DE21A7">
      <w:pPr>
        <w:spacing w:line="480" w:lineRule="auto"/>
        <w:jc w:val="both"/>
        <w:rPr>
          <w:lang w:val="en-GB"/>
        </w:rPr>
      </w:pPr>
      <w:r w:rsidRPr="00DE21A7">
        <w:rPr>
          <w:lang w:val="en-GB"/>
        </w:rPr>
        <w:t>The first meeting called for the purposes of forming the Acclimatisation Society of Victoria (ASV) was held in the Melbourne Mechanics’ Institution in 1861 suggesting the strong intellectual and ideological ties between these two organisations in the colony.</w:t>
      </w:r>
      <w:r w:rsidRPr="00DE21A7">
        <w:rPr>
          <w:rStyle w:val="EndnoteReference"/>
          <w:lang w:val="en-GB"/>
        </w:rPr>
        <w:endnoteReference w:id="17"/>
      </w:r>
      <w:r w:rsidRPr="00DE21A7">
        <w:rPr>
          <w:lang w:val="en-GB"/>
        </w:rPr>
        <w:t xml:space="preserve"> Categorising acclimatisation as the “paradigmatic colonial science”, Michael A. Osborne argues that it is “intimately entwined with the rise of modern imperialism and with the marginalization and alteration of indigenous ecosystems and peoples”.</w:t>
      </w:r>
      <w:r w:rsidRPr="00DE21A7">
        <w:rPr>
          <w:rStyle w:val="EndnoteReference"/>
          <w:lang w:val="en-GB"/>
        </w:rPr>
        <w:endnoteReference w:id="18"/>
      </w:r>
      <w:r w:rsidRPr="00DE21A7">
        <w:rPr>
          <w:lang w:val="en-GB"/>
        </w:rPr>
        <w:t xml:space="preserve"> This logic of marginalisation and modification is apparent in the stated objectives of the Society which include: “the introduction, acclimatisation, and domestication of all innoxious animals, birds, fishes, insects, and vegetables, whether useful or ornamental”; “the spread of indigenous animals, &amp;c., from parts of the colonies where they are already known, to other localities where they are not known”; and “the procuration, whether by purchase, gift, or exchange, of animals, &amp;c., from Great Britain, the British colonies, and foreign countries”.</w:t>
      </w:r>
      <w:r w:rsidRPr="00DE21A7">
        <w:rPr>
          <w:rStyle w:val="EndnoteReference"/>
          <w:lang w:val="en-GB"/>
        </w:rPr>
        <w:endnoteReference w:id="19"/>
      </w:r>
      <w:r w:rsidRPr="00DE21A7">
        <w:rPr>
          <w:lang w:val="en-GB"/>
        </w:rPr>
        <w:t xml:space="preserve"> Reporting on the original meeting, the Ballarat newspaper the </w:t>
      </w:r>
      <w:r w:rsidRPr="00DE21A7">
        <w:rPr>
          <w:i/>
          <w:iCs/>
          <w:lang w:val="en-GB"/>
        </w:rPr>
        <w:t>Star</w:t>
      </w:r>
      <w:r w:rsidRPr="00DE21A7">
        <w:rPr>
          <w:lang w:val="en-GB"/>
        </w:rPr>
        <w:t xml:space="preserve"> wrote: “In a country like this where we have neither hare, pheasant, </w:t>
      </w:r>
      <w:r w:rsidRPr="00DE21A7">
        <w:rPr>
          <w:lang w:val="en-GB"/>
        </w:rPr>
        <w:lastRenderedPageBreak/>
        <w:t xml:space="preserve">partridge, deer, salmon, trout, soles—scarcely anything in fact worth eating, indigenous to the soil or water, where even our cattle, sheep, rabbits, fowls, and pigs have all been brought with us from Europe, if in such a country there is </w:t>
      </w:r>
      <w:proofErr w:type="spellStart"/>
      <w:r w:rsidRPr="00DE21A7">
        <w:rPr>
          <w:lang w:val="en-GB"/>
        </w:rPr>
        <w:t>not</w:t>
      </w:r>
      <w:proofErr w:type="spellEnd"/>
      <w:r w:rsidRPr="00DE21A7">
        <w:rPr>
          <w:lang w:val="en-GB"/>
        </w:rPr>
        <w:t xml:space="preserve"> need for an acclimatisation society, I know not where there is.”</w:t>
      </w:r>
      <w:r w:rsidRPr="00DE21A7">
        <w:rPr>
          <w:rStyle w:val="EndnoteReference"/>
          <w:lang w:val="en-GB"/>
        </w:rPr>
        <w:endnoteReference w:id="20"/>
      </w:r>
      <w:r w:rsidRPr="00DE21A7">
        <w:rPr>
          <w:lang w:val="en-GB"/>
        </w:rPr>
        <w:t xml:space="preserve"> </w:t>
      </w:r>
    </w:p>
    <w:p w14:paraId="02309A53" w14:textId="3D972315" w:rsidR="00FA5362" w:rsidRPr="00DE21A7" w:rsidRDefault="00FA5362" w:rsidP="00DE21A7">
      <w:pPr>
        <w:spacing w:line="480" w:lineRule="auto"/>
        <w:jc w:val="both"/>
        <w:rPr>
          <w:lang w:val="en-GB"/>
        </w:rPr>
      </w:pPr>
      <w:r w:rsidRPr="00DE21A7">
        <w:rPr>
          <w:lang w:val="en-GB"/>
        </w:rPr>
        <w:tab/>
        <w:t xml:space="preserve">Opening the 1864 series of lectures at the Beechworth Athenaeum with a lecture about acclimatisation, the Reverend W. C. L. Howard echoed the </w:t>
      </w:r>
      <w:r w:rsidRPr="00DE21A7">
        <w:rPr>
          <w:i/>
          <w:iCs/>
          <w:lang w:val="en-GB"/>
        </w:rPr>
        <w:t>Star</w:t>
      </w:r>
      <w:r w:rsidRPr="00DE21A7">
        <w:rPr>
          <w:lang w:val="en-GB"/>
        </w:rPr>
        <w:t xml:space="preserve">’s assessment, with a depiction of Australia as “originally destitute” and “naturally devoid of all the plants and animals required by civilised man”. Using a common colonial rhetorical strategy, Howard evokes both the wasteland of </w:t>
      </w:r>
      <w:r w:rsidRPr="00DE21A7">
        <w:rPr>
          <w:i/>
          <w:iCs/>
          <w:lang w:val="en-GB"/>
        </w:rPr>
        <w:t>terra nullius</w:t>
      </w:r>
      <w:r w:rsidRPr="00DE21A7">
        <w:rPr>
          <w:lang w:val="en-GB"/>
        </w:rPr>
        <w:t xml:space="preserve"> and a stadial theory of civilisational progress before listing the successful introduction of species deemed worthy of cultivation including bees and European fish to Australia. The general goldfields public interest in the acclimatisation of the </w:t>
      </w:r>
      <w:r w:rsidR="000C0CB6">
        <w:rPr>
          <w:lang w:val="en-GB"/>
        </w:rPr>
        <w:t>C</w:t>
      </w:r>
      <w:r w:rsidRPr="00DE21A7">
        <w:rPr>
          <w:lang w:val="en-GB"/>
        </w:rPr>
        <w:t xml:space="preserve">olony of Victoria is revealed by the enthusiastic reception of Howard’s lecture at the Athenaeum, with the Chairman of the institute immediately calling for a second lecture by Howard and the </w:t>
      </w:r>
      <w:r w:rsidRPr="00DE21A7">
        <w:rPr>
          <w:i/>
          <w:iCs/>
          <w:lang w:val="en-GB"/>
        </w:rPr>
        <w:t>Ovens and Murray Advertiser</w:t>
      </w:r>
      <w:r w:rsidRPr="00DE21A7">
        <w:rPr>
          <w:lang w:val="en-GB"/>
        </w:rPr>
        <w:t xml:space="preserve"> expressing a “hope” that “as the subject in his hands seems to be of inexhaustible interest, he will, at an early day, deliver another lecture entering more fully into the details” of acclimatisation.</w:t>
      </w:r>
      <w:r w:rsidRPr="00DE21A7">
        <w:rPr>
          <w:rStyle w:val="EndnoteReference"/>
          <w:lang w:val="en-GB"/>
        </w:rPr>
        <w:endnoteReference w:id="21"/>
      </w:r>
      <w:r w:rsidRPr="00DE21A7">
        <w:rPr>
          <w:lang w:val="en-GB"/>
        </w:rPr>
        <w:t xml:space="preserve"> Records from the BMI similarly show their interests in the activities and progress of the acclimatisation movement in the colony. They supported their local acclimatisation society by frequently allowing them to hold their meetings at the institute and trying to secure a lecture from James Duffield, the person responsible for the introduction of alpacas into the colony.</w:t>
      </w:r>
      <w:r w:rsidRPr="00DE21A7">
        <w:rPr>
          <w:rStyle w:val="EndnoteReference"/>
          <w:lang w:val="en-GB"/>
        </w:rPr>
        <w:endnoteReference w:id="22"/>
      </w:r>
      <w:r w:rsidRPr="00DE21A7">
        <w:rPr>
          <w:lang w:val="en-GB"/>
        </w:rPr>
        <w:t xml:space="preserve"> </w:t>
      </w:r>
    </w:p>
    <w:p w14:paraId="612E6FF1" w14:textId="3A87C5B6" w:rsidR="00FA5362" w:rsidRPr="00DE21A7" w:rsidRDefault="00FA5362" w:rsidP="00DE21A7">
      <w:pPr>
        <w:spacing w:line="480" w:lineRule="auto"/>
        <w:ind w:firstLine="720"/>
        <w:jc w:val="both"/>
        <w:rPr>
          <w:lang w:val="en-GB"/>
        </w:rPr>
      </w:pPr>
      <w:r w:rsidRPr="00DE21A7">
        <w:rPr>
          <w:lang w:val="en-GB"/>
        </w:rPr>
        <w:t>As Peter Minard’s recent comprehensive study of the ASV demonstrates, the Society and the acclimatisation movement more generally formed an “imperial network, social practice, and science” that “centred in the colonies rather than metropolitan London” and was “shaped by” as well as “</w:t>
      </w:r>
      <w:proofErr w:type="spellStart"/>
      <w:r w:rsidRPr="00DE21A7">
        <w:rPr>
          <w:lang w:val="en-GB"/>
        </w:rPr>
        <w:t>shap</w:t>
      </w:r>
      <w:proofErr w:type="spellEnd"/>
      <w:r w:rsidRPr="00DE21A7">
        <w:rPr>
          <w:lang w:val="en-GB"/>
        </w:rPr>
        <w:t>[</w:t>
      </w:r>
      <w:proofErr w:type="spellStart"/>
      <w:r w:rsidRPr="00DE21A7">
        <w:rPr>
          <w:lang w:val="en-GB"/>
        </w:rPr>
        <w:t>ing</w:t>
      </w:r>
      <w:proofErr w:type="spellEnd"/>
      <w:r w:rsidRPr="00DE21A7">
        <w:rPr>
          <w:lang w:val="en-GB"/>
        </w:rPr>
        <w:t>] local environments, the British Empire, and aesthetics and social aspirations”.</w:t>
      </w:r>
      <w:r w:rsidRPr="00DE21A7">
        <w:rPr>
          <w:rStyle w:val="EndnoteReference"/>
          <w:lang w:val="en-GB"/>
        </w:rPr>
        <w:endnoteReference w:id="23"/>
      </w:r>
      <w:r w:rsidRPr="00DE21A7">
        <w:rPr>
          <w:lang w:val="en-GB"/>
        </w:rPr>
        <w:t xml:space="preserve"> At the local colonial level, the goldfields mechanics’ institutes </w:t>
      </w:r>
      <w:r w:rsidRPr="00DE21A7">
        <w:rPr>
          <w:lang w:val="en-GB"/>
        </w:rPr>
        <w:lastRenderedPageBreak/>
        <w:t xml:space="preserve">participated in this network and expressed their interest in the developments of acclimatisation and the natural history of the colony not only through invited lectures but by ordering books, pamphlets, and reports on the subject. Letters from various colonial secretaries to the Beechworth Athenaeum indicate that they sent numerous publications at the request of the library. A letter from the Office of Mines encloses, for example, the </w:t>
      </w:r>
      <w:proofErr w:type="spellStart"/>
      <w:r w:rsidRPr="00DE21A7">
        <w:rPr>
          <w:i/>
          <w:iCs/>
          <w:lang w:val="en-GB"/>
        </w:rPr>
        <w:t>Prodomos</w:t>
      </w:r>
      <w:proofErr w:type="spellEnd"/>
      <w:r w:rsidRPr="00DE21A7">
        <w:rPr>
          <w:i/>
          <w:iCs/>
          <w:lang w:val="en-GB"/>
        </w:rPr>
        <w:t xml:space="preserve"> of the Palaeontology of Victoria, Decades 1 and 2</w:t>
      </w:r>
      <w:r w:rsidRPr="00DE21A7">
        <w:rPr>
          <w:lang w:val="en-GB"/>
        </w:rPr>
        <w:t xml:space="preserve"> by Frederick McCoy, </w:t>
      </w:r>
      <w:r w:rsidRPr="00DE21A7">
        <w:rPr>
          <w:i/>
          <w:iCs/>
          <w:lang w:val="en-GB"/>
        </w:rPr>
        <w:t>Observations of New Vegetable Fossils of Victoria</w:t>
      </w:r>
      <w:r w:rsidRPr="00DE21A7">
        <w:rPr>
          <w:lang w:val="en-GB"/>
        </w:rPr>
        <w:t xml:space="preserve"> by Ferdinand von Mueller, and</w:t>
      </w:r>
      <w:r w:rsidR="00F742D7">
        <w:rPr>
          <w:lang w:val="en-GB"/>
        </w:rPr>
        <w:t xml:space="preserve"> reveals</w:t>
      </w:r>
      <w:r w:rsidRPr="00DE21A7">
        <w:rPr>
          <w:lang w:val="en-GB"/>
        </w:rPr>
        <w:t xml:space="preserve"> a request for the latest </w:t>
      </w:r>
      <w:r w:rsidR="00F742D7">
        <w:rPr>
          <w:lang w:val="en-GB"/>
        </w:rPr>
        <w:t>“</w:t>
      </w:r>
      <w:r w:rsidRPr="00DE21A7">
        <w:rPr>
          <w:lang w:val="en-GB"/>
        </w:rPr>
        <w:t>Geological Sketch Map of Victoria</w:t>
      </w:r>
      <w:r w:rsidR="00F742D7">
        <w:rPr>
          <w:lang w:val="en-GB"/>
        </w:rPr>
        <w:t>”</w:t>
      </w:r>
      <w:r w:rsidRPr="00DE21A7">
        <w:rPr>
          <w:lang w:val="en-GB"/>
        </w:rPr>
        <w:t>.</w:t>
      </w:r>
      <w:r w:rsidRPr="00DE21A7">
        <w:rPr>
          <w:rStyle w:val="EndnoteReference"/>
          <w:lang w:val="en-GB"/>
        </w:rPr>
        <w:endnoteReference w:id="24"/>
      </w:r>
      <w:r w:rsidRPr="00DE21A7">
        <w:rPr>
          <w:lang w:val="en-GB"/>
        </w:rPr>
        <w:t xml:space="preserve"> Both prominent Victorian naturalists, McCoy and Mueller were also founding members of the ASV. A letter from the Office of Lands again demonstrates the Athenaeum’s interest in the natural history of Victoria and its potential for adaptation, showing their requests for the landscape gardener William Guilfoyle’s </w:t>
      </w:r>
      <w:r w:rsidRPr="00DE21A7">
        <w:rPr>
          <w:i/>
          <w:iCs/>
          <w:lang w:val="en-GB"/>
        </w:rPr>
        <w:t xml:space="preserve">Reports of Botanical Gardens, </w:t>
      </w:r>
      <w:proofErr w:type="gramStart"/>
      <w:r w:rsidRPr="00DE21A7">
        <w:rPr>
          <w:i/>
          <w:iCs/>
          <w:lang w:val="en-GB"/>
        </w:rPr>
        <w:t>Melbourne</w:t>
      </w:r>
      <w:proofErr w:type="gramEnd"/>
      <w:r w:rsidRPr="00DE21A7">
        <w:rPr>
          <w:lang w:val="en-GB"/>
        </w:rPr>
        <w:t xml:space="preserve"> and Mueller’s </w:t>
      </w:r>
      <w:r w:rsidRPr="00DE21A7">
        <w:rPr>
          <w:i/>
          <w:iCs/>
          <w:lang w:val="en-GB"/>
        </w:rPr>
        <w:t>Plants Useful for Cultivation</w:t>
      </w:r>
      <w:r w:rsidRPr="00DE21A7">
        <w:rPr>
          <w:lang w:val="en-GB"/>
        </w:rPr>
        <w:t>.</w:t>
      </w:r>
      <w:r w:rsidRPr="00DE21A7">
        <w:rPr>
          <w:rStyle w:val="EndnoteReference"/>
          <w:lang w:val="en-GB"/>
        </w:rPr>
        <w:endnoteReference w:id="25"/>
      </w:r>
      <w:r w:rsidRPr="00DE21A7">
        <w:rPr>
          <w:lang w:val="en-GB"/>
        </w:rPr>
        <w:t xml:space="preserve"> </w:t>
      </w:r>
      <w:r w:rsidR="00164554">
        <w:rPr>
          <w:lang w:val="en-GB"/>
        </w:rPr>
        <w:t>These exchanges and the provisions of books and reports demonstrate the colonial government’s active support of the settling and improving activities of these regional institutes. The institutes were, therefore, seen as an integral part of the “settler transition” produced by the colonial state.</w:t>
      </w:r>
    </w:p>
    <w:p w14:paraId="0049FB36" w14:textId="01817AD0" w:rsidR="00FA5362" w:rsidRPr="00DE21A7" w:rsidRDefault="00FA5362" w:rsidP="00DE21A7">
      <w:pPr>
        <w:spacing w:line="480" w:lineRule="auto"/>
        <w:ind w:firstLine="720"/>
        <w:jc w:val="both"/>
        <w:rPr>
          <w:lang w:val="en-GB"/>
        </w:rPr>
      </w:pPr>
      <w:r w:rsidRPr="00DE21A7">
        <w:rPr>
          <w:lang w:val="en-GB"/>
        </w:rPr>
        <w:t xml:space="preserve">Surviving archival scarcity may suggest that the Beechworth Athenaeum was unique in its active pursuit of this sort of colonial scientific knowledge, but a letter from the </w:t>
      </w:r>
      <w:proofErr w:type="spellStart"/>
      <w:r w:rsidRPr="00DE21A7">
        <w:rPr>
          <w:lang w:val="en-GB"/>
        </w:rPr>
        <w:t>Freeburgh</w:t>
      </w:r>
      <w:proofErr w:type="spellEnd"/>
      <w:r w:rsidRPr="00DE21A7">
        <w:rPr>
          <w:lang w:val="en-GB"/>
        </w:rPr>
        <w:t xml:space="preserve"> Public Library to the Beechworth Athenaeum in 1877 suggests that other institutes and libraries were at least aware of and perhaps interested in following the Athenaeum’s example.</w:t>
      </w:r>
      <w:r w:rsidRPr="00DE21A7">
        <w:rPr>
          <w:rStyle w:val="EndnoteReference"/>
          <w:lang w:val="en-GB"/>
        </w:rPr>
        <w:endnoteReference w:id="26"/>
      </w:r>
      <w:r w:rsidRPr="00DE21A7">
        <w:rPr>
          <w:lang w:val="en-GB"/>
        </w:rPr>
        <w:t xml:space="preserve"> The </w:t>
      </w:r>
      <w:proofErr w:type="spellStart"/>
      <w:r w:rsidRPr="00DE21A7">
        <w:rPr>
          <w:lang w:val="en-GB"/>
        </w:rPr>
        <w:t>Freeburgh</w:t>
      </w:r>
      <w:proofErr w:type="spellEnd"/>
      <w:r w:rsidRPr="00DE21A7">
        <w:rPr>
          <w:lang w:val="en-GB"/>
        </w:rPr>
        <w:t xml:space="preserve"> Library’s honourable secretary requests that the Athenaeum send them a list of the “Maps, Plans, Books, Pamphlets, Reports, etc. which your institution obtained from Government, and obtain periodically”.</w:t>
      </w:r>
      <w:r w:rsidRPr="00DE21A7">
        <w:rPr>
          <w:rStyle w:val="EndnoteReference"/>
          <w:lang w:val="en-GB"/>
        </w:rPr>
        <w:endnoteReference w:id="27"/>
      </w:r>
      <w:r w:rsidRPr="00DE21A7">
        <w:rPr>
          <w:lang w:val="en-GB"/>
        </w:rPr>
        <w:t xml:space="preserve"> Although not featured in their 1870 catalogue, committee minutes from the SMI in 1868 indicate that they also received the following botanical works by Mueller from the “Government Printer”: “‘Flora’ (vols 1 and 2) ‘Australian Mosses,’ ‘Plants of the Chatham Islands,’ and ‘</w:t>
      </w:r>
      <w:proofErr w:type="spellStart"/>
      <w:r w:rsidRPr="00DE21A7">
        <w:rPr>
          <w:lang w:val="en-GB"/>
        </w:rPr>
        <w:t>Fragmenta</w:t>
      </w:r>
      <w:proofErr w:type="spellEnd"/>
      <w:r w:rsidRPr="00DE21A7">
        <w:rPr>
          <w:lang w:val="en-GB"/>
        </w:rPr>
        <w:t>’ (vols. 34 and 5)”.</w:t>
      </w:r>
      <w:r w:rsidRPr="00DE21A7">
        <w:rPr>
          <w:rStyle w:val="EndnoteReference"/>
          <w:lang w:val="en-GB"/>
        </w:rPr>
        <w:endnoteReference w:id="28"/>
      </w:r>
      <w:r w:rsidRPr="00DE21A7">
        <w:rPr>
          <w:lang w:val="en-GB"/>
        </w:rPr>
        <w:t xml:space="preserve"> Nor were books </w:t>
      </w:r>
      <w:r w:rsidRPr="00DE21A7">
        <w:rPr>
          <w:lang w:val="en-GB"/>
        </w:rPr>
        <w:lastRenderedPageBreak/>
        <w:t>and reports the only objects received by institutes participating in these emerging colonial scientific networks of exchange and knowledge production. Following a lecture by Mueller at the Ballarat Farmer’s Club in 1876, many of the “fibres and fibrous material displayed by Baron von Mueller” during his lecture were donated to the BMI as a contribution to their upcoming exhibition and as forming the basis of a museum.</w:t>
      </w:r>
      <w:r w:rsidRPr="00DE21A7">
        <w:rPr>
          <w:rStyle w:val="EndnoteReference"/>
          <w:lang w:val="en-GB"/>
        </w:rPr>
        <w:endnoteReference w:id="29"/>
      </w:r>
      <w:r w:rsidRPr="00DE21A7">
        <w:rPr>
          <w:lang w:val="en-GB"/>
        </w:rPr>
        <w:t xml:space="preserve"> </w:t>
      </w:r>
    </w:p>
    <w:p w14:paraId="68F68986" w14:textId="219EE8A2" w:rsidR="00FA5362" w:rsidRPr="00DE21A7" w:rsidRDefault="00FA5362" w:rsidP="00DE21A7">
      <w:pPr>
        <w:spacing w:line="480" w:lineRule="auto"/>
        <w:ind w:firstLine="720"/>
        <w:jc w:val="both"/>
        <w:rPr>
          <w:lang w:val="en-GB"/>
        </w:rPr>
      </w:pPr>
      <w:r w:rsidRPr="00DE21A7">
        <w:rPr>
          <w:lang w:val="en-GB"/>
        </w:rPr>
        <w:t xml:space="preserve"> The institutes’ interest and investment in the process of cultivation was not, therefore, limited to that of the land, but also included the cultivation of their own identity as settler colonial institutions and purveyors of knowledge. The mechanics’ institutes engagement with acclimatisation reflects the initial popularity of and interest in the ASV in the </w:t>
      </w:r>
      <w:proofErr w:type="gramStart"/>
      <w:r w:rsidRPr="00DE21A7">
        <w:rPr>
          <w:lang w:val="en-GB"/>
        </w:rPr>
        <w:t>1860s, but</w:t>
      </w:r>
      <w:proofErr w:type="gramEnd"/>
      <w:r w:rsidRPr="00DE21A7">
        <w:rPr>
          <w:lang w:val="en-GB"/>
        </w:rPr>
        <w:t xml:space="preserve"> is also indicative of a more general interest in the natural history of the colony and its potential for “improvement”, development, and settlement. The institutions’ libraries and their collection of reports about the colony’s environmental history and transformation reflects Minard’s claim of the “central importance of locality in the transnational acclimatization movement”.</w:t>
      </w:r>
      <w:r w:rsidRPr="00DE21A7">
        <w:rPr>
          <w:rStyle w:val="EndnoteReference"/>
          <w:lang w:val="en-GB"/>
        </w:rPr>
        <w:endnoteReference w:id="30"/>
      </w:r>
      <w:r w:rsidRPr="00DE21A7">
        <w:rPr>
          <w:lang w:val="en-GB"/>
        </w:rPr>
        <w:t xml:space="preserve"> Participating in discussions about acclimatisation and the future progress of the colony, the institutes could position themselves as “evidence of [an] advancing civilisation” on the goldfields settlements and define their political identity and cultural purpose as institutions of improving settlement.</w:t>
      </w:r>
      <w:r w:rsidRPr="00DE21A7">
        <w:rPr>
          <w:rStyle w:val="EndnoteReference"/>
          <w:lang w:val="en-GB"/>
        </w:rPr>
        <w:endnoteReference w:id="31"/>
      </w:r>
      <w:r w:rsidRPr="00DE21A7">
        <w:rPr>
          <w:lang w:val="en-GB"/>
        </w:rPr>
        <w:t xml:space="preserve"> </w:t>
      </w:r>
    </w:p>
    <w:p w14:paraId="26037BAF" w14:textId="0709B08C" w:rsidR="00FA5362" w:rsidRPr="00DE21A7" w:rsidRDefault="00FA5362" w:rsidP="00DE21A7">
      <w:pPr>
        <w:spacing w:line="480" w:lineRule="auto"/>
        <w:ind w:firstLine="720"/>
        <w:jc w:val="both"/>
        <w:rPr>
          <w:lang w:val="en-GB"/>
        </w:rPr>
      </w:pPr>
      <w:r w:rsidRPr="00DE21A7">
        <w:rPr>
          <w:lang w:val="en-GB"/>
        </w:rPr>
        <w:t>During his inaugural speech at the foundation stone</w:t>
      </w:r>
      <w:r w:rsidR="009D6877">
        <w:rPr>
          <w:lang w:val="en-GB"/>
        </w:rPr>
        <w:t xml:space="preserve"> ceremony</w:t>
      </w:r>
      <w:r w:rsidRPr="00DE21A7">
        <w:rPr>
          <w:lang w:val="en-GB"/>
        </w:rPr>
        <w:t xml:space="preserve"> for the SMI in 1856, for example,  Dr John Downes Owens made a lengthy case for the liberatory and democratic role education played in society and for the importance of mechanics’ institutes in achieving the progress of civilisation through education, while in the same breath he declared (quoting James Montgomery) that the Indigenous peoples of Africa, Australia, and the Pacific Islands “go on crawling forth by accident, and retreating into darkness”.</w:t>
      </w:r>
      <w:r w:rsidRPr="00DE21A7">
        <w:rPr>
          <w:rStyle w:val="EndnoteReference"/>
          <w:lang w:val="en-GB"/>
        </w:rPr>
        <w:endnoteReference w:id="32"/>
      </w:r>
      <w:r w:rsidRPr="00DE21A7">
        <w:rPr>
          <w:lang w:val="en-GB"/>
        </w:rPr>
        <w:t xml:space="preserve"> This speculation about Indigenous Australians’ “capacity” for “improvement” was, as Kay Anderson and Colin Perrin have shown, widely held and influenced the “shift in racial thinking” and the development of </w:t>
      </w:r>
      <w:r w:rsidRPr="00DE21A7">
        <w:rPr>
          <w:lang w:val="en-GB"/>
        </w:rPr>
        <w:lastRenderedPageBreak/>
        <w:t>polygenist racial science theories in the nineteenth century.</w:t>
      </w:r>
      <w:r w:rsidRPr="00DE21A7">
        <w:rPr>
          <w:rStyle w:val="EndnoteReference"/>
          <w:lang w:val="en-GB"/>
        </w:rPr>
        <w:endnoteReference w:id="33"/>
      </w:r>
      <w:r w:rsidRPr="00DE21A7">
        <w:rPr>
          <w:lang w:val="en-GB"/>
        </w:rPr>
        <w:t xml:space="preserve"> These ideas of racial differentiation in the ability to improve, adapt, or adjust fed into theories and models for acclimatisation in the colonies where “even in the most disparate of imperial contexts we see that framing disease, framing ‘environment’, and framing ‘race’ all were the same </w:t>
      </w:r>
      <w:proofErr w:type="spellStart"/>
      <w:r w:rsidRPr="00DE21A7">
        <w:rPr>
          <w:lang w:val="en-GB"/>
        </w:rPr>
        <w:t>maneuver</w:t>
      </w:r>
      <w:proofErr w:type="spellEnd"/>
      <w:r w:rsidRPr="00DE21A7">
        <w:rPr>
          <w:lang w:val="en-GB"/>
        </w:rPr>
        <w:t>”.</w:t>
      </w:r>
      <w:r w:rsidRPr="00DE21A7">
        <w:rPr>
          <w:rStyle w:val="EndnoteReference"/>
          <w:lang w:val="en-GB"/>
        </w:rPr>
        <w:endnoteReference w:id="34"/>
      </w:r>
      <w:r w:rsidRPr="00DE21A7">
        <w:rPr>
          <w:lang w:val="en-GB"/>
        </w:rPr>
        <w:t xml:space="preserve"> Mechanics’ institutes both benefited from and contributed to this interest as institutions of colonial settlement and they further promoted the debates about racial science and the “grammars of race” through their interest in the popular pseudoscience, phrenology, and their participation in salvage ethnography. The institutes’ embrace of these colonial sciences and the “dying race” account of Indigenous peoples is crucial to understanding the ways in which the institutes narrated their identity and their contribution, purpose, and place in the colony and the wider Empire. </w:t>
      </w:r>
    </w:p>
    <w:p w14:paraId="2A79E458" w14:textId="2DD3DEB9" w:rsidR="00FA5362" w:rsidRPr="00DE21A7" w:rsidRDefault="00FA5362" w:rsidP="00DE21A7">
      <w:pPr>
        <w:spacing w:line="480" w:lineRule="auto"/>
        <w:jc w:val="both"/>
        <w:rPr>
          <w:lang w:val="en-GB"/>
        </w:rPr>
      </w:pPr>
    </w:p>
    <w:p w14:paraId="3414311B" w14:textId="1BDEE947" w:rsidR="00FA5362" w:rsidRPr="00DE21A7" w:rsidRDefault="00FA5362" w:rsidP="00DE21A7">
      <w:pPr>
        <w:spacing w:line="480" w:lineRule="auto"/>
        <w:jc w:val="both"/>
        <w:rPr>
          <w:u w:val="single"/>
          <w:lang w:val="en-GB"/>
        </w:rPr>
      </w:pPr>
      <w:r w:rsidRPr="00DE21A7">
        <w:rPr>
          <w:u w:val="single"/>
          <w:lang w:val="en-GB"/>
        </w:rPr>
        <w:t>“Skulls of noted persons”: Testing Phrenology in the Mechanics’ Institute</w:t>
      </w:r>
    </w:p>
    <w:p w14:paraId="36278677" w14:textId="4A4D4858" w:rsidR="00FA5362" w:rsidRPr="00DE21A7" w:rsidRDefault="00FA5362" w:rsidP="00DE21A7">
      <w:pPr>
        <w:spacing w:line="480" w:lineRule="auto"/>
        <w:jc w:val="both"/>
        <w:rPr>
          <w:lang w:val="en-GB"/>
        </w:rPr>
      </w:pPr>
    </w:p>
    <w:p w14:paraId="0BE59D59" w14:textId="47C815B8" w:rsidR="00FA5362" w:rsidRPr="00DE21A7" w:rsidRDefault="00FA5362" w:rsidP="00DE21A7">
      <w:pPr>
        <w:spacing w:line="480" w:lineRule="auto"/>
        <w:jc w:val="both"/>
        <w:rPr>
          <w:lang w:val="en-GB"/>
        </w:rPr>
      </w:pPr>
      <w:r w:rsidRPr="00DE21A7">
        <w:rPr>
          <w:lang w:val="en-GB"/>
        </w:rPr>
        <w:t>Phrenological lectures and public “readings” of heads were a frequent entertainment in the colonies with phrenologists touring regional towns and metropolitan centres alike.</w:t>
      </w:r>
      <w:r w:rsidR="0018447B">
        <w:rPr>
          <w:lang w:val="en-GB"/>
        </w:rPr>
        <w:t xml:space="preserve"> </w:t>
      </w:r>
      <w:r w:rsidRPr="00DE21A7">
        <w:rPr>
          <w:lang w:val="en-GB"/>
        </w:rPr>
        <w:t>An illustration</w:t>
      </w:r>
      <w:r w:rsidR="006D5452">
        <w:rPr>
          <w:lang w:val="en-GB"/>
        </w:rPr>
        <w:t xml:space="preserve"> by Samuel Calvert</w:t>
      </w:r>
      <w:r w:rsidRPr="00DE21A7">
        <w:rPr>
          <w:lang w:val="en-GB"/>
        </w:rPr>
        <w:t xml:space="preserve"> from the </w:t>
      </w:r>
      <w:r w:rsidRPr="00DE21A7">
        <w:rPr>
          <w:i/>
          <w:iCs/>
          <w:lang w:val="en-GB"/>
        </w:rPr>
        <w:t>Melbourne Punch</w:t>
      </w:r>
      <w:r w:rsidRPr="00DE21A7">
        <w:rPr>
          <w:lang w:val="en-GB"/>
        </w:rPr>
        <w:t xml:space="preserve"> in 1855 (Figure 1) points to the popularity of these readings while simultaneously mocking their accuracy and the potential consternation caused by the “manipulation” of the public’s heads. Surrounded by images of himself, “WORSE HALF” looks at his reflection in a pocket mirror while stubbornly rejecting the phrenologist’s recent diagnosis: “Why, that fool of a Phrenological Professor says I have obstinacy and self-esteem large. I’ve a great mind to break his head for it. Nothing earthly shall convince me that, if there’s any truth in Phrenology, it oughtn’t to be firmness and benevolence.”</w:t>
      </w:r>
      <w:r w:rsidRPr="00DE21A7">
        <w:rPr>
          <w:rStyle w:val="EndnoteReference"/>
          <w:lang w:val="en-GB"/>
        </w:rPr>
        <w:endnoteReference w:id="35"/>
      </w:r>
    </w:p>
    <w:p w14:paraId="042B1FF8" w14:textId="05762239" w:rsidR="00FA5362" w:rsidRPr="00DE21A7" w:rsidRDefault="00FA5362" w:rsidP="00DE21A7">
      <w:pPr>
        <w:spacing w:line="480" w:lineRule="auto"/>
        <w:jc w:val="center"/>
        <w:rPr>
          <w:lang w:val="en-GB"/>
        </w:rPr>
      </w:pPr>
      <w:r w:rsidRPr="00DE21A7">
        <w:rPr>
          <w:noProof/>
          <w:lang w:val="en-GB"/>
        </w:rPr>
        <w:lastRenderedPageBreak/>
        <w:drawing>
          <wp:inline distT="0" distB="0" distL="0" distR="0" wp14:anchorId="200B8FDE" wp14:editId="05714E82">
            <wp:extent cx="3939611" cy="5514582"/>
            <wp:effectExtent l="0" t="0" r="0" b="0"/>
            <wp:docPr id="1" name="Picture 1" descr="A picture containing text,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955056" cy="5536201"/>
                    </a:xfrm>
                    <a:prstGeom prst="rect">
                      <a:avLst/>
                    </a:prstGeom>
                  </pic:spPr>
                </pic:pic>
              </a:graphicData>
            </a:graphic>
          </wp:inline>
        </w:drawing>
      </w:r>
    </w:p>
    <w:p w14:paraId="11DD41FF" w14:textId="0D420EDD" w:rsidR="00FA5362" w:rsidRPr="00DE21A7" w:rsidRDefault="00FA5362" w:rsidP="006D5452">
      <w:pPr>
        <w:ind w:left="720"/>
        <w:jc w:val="both"/>
        <w:rPr>
          <w:b/>
          <w:bCs/>
          <w:lang w:val="en-GB"/>
        </w:rPr>
      </w:pPr>
      <w:r w:rsidRPr="00DE21A7">
        <w:rPr>
          <w:b/>
          <w:bCs/>
          <w:lang w:val="en-GB"/>
        </w:rPr>
        <w:t>Figure 1:</w:t>
      </w:r>
      <w:r w:rsidR="006D5452">
        <w:rPr>
          <w:b/>
          <w:bCs/>
          <w:lang w:val="en-GB"/>
        </w:rPr>
        <w:t xml:space="preserve"> Samuel Calvert,</w:t>
      </w:r>
      <w:r w:rsidRPr="00DE21A7">
        <w:rPr>
          <w:b/>
          <w:bCs/>
          <w:lang w:val="en-GB"/>
        </w:rPr>
        <w:t xml:space="preserve"> ‘Phrenology Refuted’, </w:t>
      </w:r>
      <w:r w:rsidRPr="00DE21A7">
        <w:rPr>
          <w:b/>
          <w:bCs/>
          <w:i/>
          <w:iCs/>
          <w:lang w:val="en-GB"/>
        </w:rPr>
        <w:t>Melbourne Punch</w:t>
      </w:r>
      <w:r w:rsidRPr="00DE21A7">
        <w:rPr>
          <w:b/>
          <w:bCs/>
          <w:lang w:val="en-GB"/>
        </w:rPr>
        <w:t>, Thursday 2 August 1855</w:t>
      </w:r>
      <w:r w:rsidR="006D5452">
        <w:rPr>
          <w:b/>
          <w:bCs/>
          <w:lang w:val="en-GB"/>
        </w:rPr>
        <w:t xml:space="preserve">, 108 </w:t>
      </w:r>
      <w:r w:rsidR="004A4267">
        <w:rPr>
          <w:b/>
          <w:bCs/>
          <w:lang w:val="en-GB"/>
        </w:rPr>
        <w:t>[</w:t>
      </w:r>
      <w:r w:rsidR="006D5452">
        <w:rPr>
          <w:b/>
          <w:bCs/>
          <w:lang w:val="en-GB"/>
        </w:rPr>
        <w:t>State Library of Victoria</w:t>
      </w:r>
      <w:r w:rsidR="004A4267">
        <w:rPr>
          <w:b/>
          <w:bCs/>
          <w:lang w:val="en-GB"/>
        </w:rPr>
        <w:t>]</w:t>
      </w:r>
    </w:p>
    <w:p w14:paraId="6A20D3C8" w14:textId="77777777" w:rsidR="00FA5362" w:rsidRPr="00DE21A7" w:rsidRDefault="00FA5362" w:rsidP="00DE21A7">
      <w:pPr>
        <w:spacing w:line="480" w:lineRule="auto"/>
        <w:jc w:val="both"/>
        <w:rPr>
          <w:lang w:val="en-GB"/>
        </w:rPr>
      </w:pPr>
    </w:p>
    <w:p w14:paraId="7A4B686A" w14:textId="7114F577" w:rsidR="00FA5362" w:rsidRPr="00DE21A7" w:rsidRDefault="00CA4958" w:rsidP="00DE21A7">
      <w:pPr>
        <w:spacing w:line="480" w:lineRule="auto"/>
        <w:ind w:firstLine="720"/>
        <w:jc w:val="both"/>
        <w:rPr>
          <w:lang w:val="en-GB"/>
        </w:rPr>
      </w:pPr>
      <w:r>
        <w:rPr>
          <w:lang w:val="en-GB"/>
        </w:rPr>
        <w:t xml:space="preserve">The massive scale of migration during the Australian gold rush provided business opportunities for touring phrenologists as populations and goldfields settlements boomed, with the population of Victoria growing more than fivefold from 77,000 people in 1851 to 411,000 in 1857, creating a </w:t>
      </w:r>
      <w:r w:rsidR="00244633">
        <w:rPr>
          <w:lang w:val="en-GB"/>
        </w:rPr>
        <w:t>“</w:t>
      </w:r>
      <w:r>
        <w:rPr>
          <w:lang w:val="en-GB"/>
        </w:rPr>
        <w:t>heterogenous</w:t>
      </w:r>
      <w:r w:rsidR="00244633">
        <w:rPr>
          <w:lang w:val="en-GB"/>
        </w:rPr>
        <w:t>”</w:t>
      </w:r>
      <w:r>
        <w:rPr>
          <w:lang w:val="en-GB"/>
        </w:rPr>
        <w:t xml:space="preserve"> community of European and American migrants.</w:t>
      </w:r>
      <w:r w:rsidR="004F513A">
        <w:rPr>
          <w:rStyle w:val="EndnoteReference"/>
          <w:lang w:val="en-GB"/>
        </w:rPr>
        <w:endnoteReference w:id="36"/>
      </w:r>
      <w:r w:rsidRPr="00DE21A7">
        <w:rPr>
          <w:lang w:val="en-GB"/>
        </w:rPr>
        <w:t xml:space="preserve"> </w:t>
      </w:r>
      <w:r w:rsidR="00FA5362" w:rsidRPr="00DE21A7">
        <w:rPr>
          <w:lang w:val="en-GB"/>
        </w:rPr>
        <w:t>One such touring phrenologist to visit the Victorian goldfields was the Scottish phrenologist A. S. Hamilton</w:t>
      </w:r>
      <w:r w:rsidR="004F513A">
        <w:rPr>
          <w:lang w:val="en-GB"/>
        </w:rPr>
        <w:t xml:space="preserve">. Born in Ayrshire c.1819, Hamilton inherited his mother Agnes Sillars Hamilton’s profession as a </w:t>
      </w:r>
      <w:r w:rsidR="00244633">
        <w:rPr>
          <w:lang w:val="en-GB"/>
        </w:rPr>
        <w:t>“</w:t>
      </w:r>
      <w:r w:rsidR="004F513A">
        <w:rPr>
          <w:lang w:val="en-GB"/>
        </w:rPr>
        <w:t>popular phrenologist</w:t>
      </w:r>
      <w:r w:rsidR="00244633">
        <w:rPr>
          <w:lang w:val="en-GB"/>
        </w:rPr>
        <w:t>”</w:t>
      </w:r>
      <w:r w:rsidR="00917517">
        <w:rPr>
          <w:lang w:val="en-GB"/>
        </w:rPr>
        <w:t xml:space="preserve"> and </w:t>
      </w:r>
      <w:r w:rsidR="004F513A">
        <w:rPr>
          <w:lang w:val="en-GB"/>
        </w:rPr>
        <w:t xml:space="preserve">was </w:t>
      </w:r>
      <w:r w:rsidR="00244633">
        <w:rPr>
          <w:lang w:val="en-GB"/>
        </w:rPr>
        <w:t>“</w:t>
      </w:r>
      <w:r w:rsidR="004F513A">
        <w:rPr>
          <w:lang w:val="en-GB"/>
        </w:rPr>
        <w:t xml:space="preserve">transplanted to the colonies just as phrenology </w:t>
      </w:r>
      <w:r w:rsidR="004F513A">
        <w:rPr>
          <w:lang w:val="en-GB"/>
        </w:rPr>
        <w:lastRenderedPageBreak/>
        <w:t>had been</w:t>
      </w:r>
      <w:r w:rsidR="00244633">
        <w:rPr>
          <w:lang w:val="en-GB"/>
        </w:rPr>
        <w:t>”</w:t>
      </w:r>
      <w:r w:rsidR="004F513A">
        <w:rPr>
          <w:lang w:val="en-GB"/>
        </w:rPr>
        <w:t xml:space="preserve"> during the height of the gold rush in 1854</w:t>
      </w:r>
      <w:r w:rsidR="00917517">
        <w:rPr>
          <w:lang w:val="en-GB"/>
        </w:rPr>
        <w:t>.</w:t>
      </w:r>
      <w:r w:rsidR="004F513A">
        <w:rPr>
          <w:lang w:val="en-GB"/>
        </w:rPr>
        <w:t xml:space="preserve"> </w:t>
      </w:r>
      <w:r w:rsidR="00917517">
        <w:rPr>
          <w:lang w:val="en-GB"/>
        </w:rPr>
        <w:t>H</w:t>
      </w:r>
      <w:r w:rsidR="004F513A">
        <w:rPr>
          <w:lang w:val="en-GB"/>
        </w:rPr>
        <w:t>e</w:t>
      </w:r>
      <w:r w:rsidR="00FA5362" w:rsidRPr="00DE21A7">
        <w:rPr>
          <w:lang w:val="en-GB"/>
        </w:rPr>
        <w:t xml:space="preserve"> would tour Australia for almost 30 years</w:t>
      </w:r>
      <w:r w:rsidR="004F513A">
        <w:rPr>
          <w:lang w:val="en-GB"/>
        </w:rPr>
        <w:t xml:space="preserve">, even performing a reading on the future Prime Minister of Australia, Alfred Deakin, </w:t>
      </w:r>
      <w:r w:rsidR="00917517">
        <w:rPr>
          <w:lang w:val="en-GB"/>
        </w:rPr>
        <w:t>(</w:t>
      </w:r>
      <w:r w:rsidR="004F513A">
        <w:rPr>
          <w:lang w:val="en-GB"/>
        </w:rPr>
        <w:t>disguised as a Mr Wilson</w:t>
      </w:r>
      <w:r w:rsidR="00917517">
        <w:rPr>
          <w:lang w:val="en-GB"/>
        </w:rPr>
        <w:t>)</w:t>
      </w:r>
      <w:r w:rsidR="00FA5362" w:rsidRPr="00DE21A7">
        <w:rPr>
          <w:lang w:val="en-GB"/>
        </w:rPr>
        <w:t>.</w:t>
      </w:r>
      <w:r w:rsidR="004F513A">
        <w:rPr>
          <w:rStyle w:val="EndnoteReference"/>
          <w:lang w:val="en-GB"/>
        </w:rPr>
        <w:endnoteReference w:id="37"/>
      </w:r>
      <w:r w:rsidR="00FA5362" w:rsidRPr="00DE21A7">
        <w:rPr>
          <w:lang w:val="en-GB"/>
        </w:rPr>
        <w:t xml:space="preserve"> In 1857 Hamilton gave a series of lectures at the SMI with the attendance described variously as “very good” and “more select than numerous” depending on the night in question.</w:t>
      </w:r>
      <w:r w:rsidR="00FA5362" w:rsidRPr="00DE21A7">
        <w:rPr>
          <w:rStyle w:val="EndnoteReference"/>
          <w:lang w:val="en-GB"/>
        </w:rPr>
        <w:endnoteReference w:id="38"/>
      </w:r>
      <w:r w:rsidR="00FA5362" w:rsidRPr="00DE21A7">
        <w:rPr>
          <w:lang w:val="en-GB"/>
        </w:rPr>
        <w:t xml:space="preserve"> In the lead-up to Hamilton’s first lecture at the institute, the </w:t>
      </w:r>
      <w:r w:rsidR="00FA5362" w:rsidRPr="00DE21A7">
        <w:rPr>
          <w:i/>
          <w:iCs/>
          <w:lang w:val="en-GB"/>
        </w:rPr>
        <w:t>Bendigo Advertiser</w:t>
      </w:r>
      <w:r w:rsidR="00FA5362" w:rsidRPr="00DE21A7">
        <w:rPr>
          <w:lang w:val="en-GB"/>
        </w:rPr>
        <w:t xml:space="preserve"> published a profile describing him as a “perfect adept in Phrenology, possessing in addition to his thorough acquaintance with the theory of the science, all that practical skill and ability which an experience of some twenty years as a Phrenologist can give”.</w:t>
      </w:r>
      <w:r w:rsidR="00FA5362" w:rsidRPr="00DE21A7">
        <w:rPr>
          <w:rStyle w:val="EndnoteReference"/>
          <w:lang w:val="en-GB"/>
        </w:rPr>
        <w:endnoteReference w:id="39"/>
      </w:r>
      <w:r w:rsidR="00FA5362" w:rsidRPr="00DE21A7">
        <w:rPr>
          <w:lang w:val="en-GB"/>
        </w:rPr>
        <w:t xml:space="preserve"> Hamilton used skulls and casts in his lectures to illustrate the workings of phrenology and in 1867 on Hamilton’s return to Sandhurst, the </w:t>
      </w:r>
      <w:r w:rsidR="00FA5362" w:rsidRPr="00DE21A7">
        <w:rPr>
          <w:i/>
          <w:iCs/>
          <w:lang w:val="en-GB"/>
        </w:rPr>
        <w:t>Advertiser</w:t>
      </w:r>
      <w:r w:rsidR="00FA5362" w:rsidRPr="00DE21A7">
        <w:rPr>
          <w:lang w:val="en-GB"/>
        </w:rPr>
        <w:t xml:space="preserve"> notes that “Mr Hamilton has a large and interesting collection of casts and skulls of eminent and notorious men, murderers, bush rangers, Australian Aborigines, New Zealand chiefs, &amp;c, besides a large, collection of diagrams illustrative of the science”.</w:t>
      </w:r>
      <w:r w:rsidR="00FA5362" w:rsidRPr="00DE21A7">
        <w:rPr>
          <w:rStyle w:val="EndnoteReference"/>
          <w:lang w:val="en-GB"/>
        </w:rPr>
        <w:endnoteReference w:id="40"/>
      </w:r>
      <w:r w:rsidR="00FA5362" w:rsidRPr="00DE21A7">
        <w:rPr>
          <w:lang w:val="en-GB"/>
        </w:rPr>
        <w:t xml:space="preserve"> According to the newspaper reports of his lectures, Hamilton referred to the skulls to draw distinctions across the races, pointing to, for example, the “woeful deficiency in organs of hope, faith, and benevolence” when referring to Indigenous Australian skulls in his display, and relying on the frequently used trope of the “dying race” to expound the racial differences evidenced by phrenology.</w:t>
      </w:r>
      <w:r w:rsidR="00FA5362" w:rsidRPr="00DE21A7">
        <w:rPr>
          <w:rStyle w:val="EndnoteReference"/>
          <w:lang w:val="en-GB"/>
        </w:rPr>
        <w:endnoteReference w:id="41"/>
      </w:r>
      <w:r w:rsidR="00FA5362" w:rsidRPr="00DE21A7">
        <w:rPr>
          <w:lang w:val="en-GB"/>
        </w:rPr>
        <w:t xml:space="preserve"> An infamous collector of Indigenous skulls, </w:t>
      </w:r>
      <w:r w:rsidR="00403A63">
        <w:rPr>
          <w:lang w:val="en-GB"/>
        </w:rPr>
        <w:t xml:space="preserve">it is </w:t>
      </w:r>
      <w:r w:rsidR="00FA5362" w:rsidRPr="00DE21A7">
        <w:rPr>
          <w:lang w:val="en-GB"/>
        </w:rPr>
        <w:t>estimate</w:t>
      </w:r>
      <w:r w:rsidR="00403A63">
        <w:rPr>
          <w:lang w:val="en-GB"/>
        </w:rPr>
        <w:t>d</w:t>
      </w:r>
      <w:r w:rsidR="00FA5362" w:rsidRPr="00DE21A7">
        <w:rPr>
          <w:lang w:val="en-GB"/>
        </w:rPr>
        <w:t xml:space="preserve"> that “Hamilton had acquired the skulls of thirty men and women of Indigenous descent” by the time of his death.</w:t>
      </w:r>
      <w:r w:rsidR="00FA5362" w:rsidRPr="00DE21A7">
        <w:rPr>
          <w:rStyle w:val="EndnoteReference"/>
          <w:lang w:val="en-GB"/>
        </w:rPr>
        <w:endnoteReference w:id="42"/>
      </w:r>
    </w:p>
    <w:p w14:paraId="231A8738" w14:textId="3F2C2F2C" w:rsidR="00FA5362" w:rsidRPr="00DE21A7" w:rsidRDefault="00FA5362" w:rsidP="00DE21A7">
      <w:pPr>
        <w:spacing w:line="480" w:lineRule="auto"/>
        <w:ind w:firstLine="720"/>
        <w:jc w:val="both"/>
        <w:rPr>
          <w:lang w:val="en-GB"/>
        </w:rPr>
      </w:pPr>
      <w:r w:rsidRPr="00DE21A7">
        <w:rPr>
          <w:lang w:val="en-GB"/>
        </w:rPr>
        <w:t xml:space="preserve">At the invitation of Hamilton, men from the audience “submitted their heads” to his “manipulation”, a means of testing the “truth” of phrenology with the audience, unlike “WORSE HALF” from </w:t>
      </w:r>
      <w:r w:rsidRPr="00DE21A7">
        <w:rPr>
          <w:i/>
          <w:iCs/>
          <w:lang w:val="en-GB"/>
        </w:rPr>
        <w:t>Melbourne Punch</w:t>
      </w:r>
      <w:r w:rsidRPr="00DE21A7">
        <w:rPr>
          <w:lang w:val="en-GB"/>
        </w:rPr>
        <w:t>, frequently attesting to the accuracy of the lecturer’s abilities.</w:t>
      </w:r>
      <w:r w:rsidRPr="00DE21A7">
        <w:rPr>
          <w:rStyle w:val="EndnoteReference"/>
          <w:lang w:val="en-GB"/>
        </w:rPr>
        <w:endnoteReference w:id="43"/>
      </w:r>
      <w:r w:rsidRPr="00DE21A7">
        <w:rPr>
          <w:lang w:val="en-GB"/>
        </w:rPr>
        <w:t xml:space="preserve"> Appealing to those willing to test Hamilton’s skills, the </w:t>
      </w:r>
      <w:r w:rsidRPr="00DE21A7">
        <w:rPr>
          <w:i/>
          <w:iCs/>
          <w:lang w:val="en-GB"/>
        </w:rPr>
        <w:t xml:space="preserve">Advertiser </w:t>
      </w:r>
      <w:r w:rsidRPr="00DE21A7">
        <w:rPr>
          <w:lang w:val="en-GB"/>
        </w:rPr>
        <w:t xml:space="preserve">hints at the broader skull and specimen-collecting culture apparent in the goldfields towns: “We believe some of our townsmen have skulls of noted persons in their possession, and that the lecturer’s </w:t>
      </w:r>
      <w:r w:rsidRPr="00DE21A7">
        <w:rPr>
          <w:lang w:val="en-GB"/>
        </w:rPr>
        <w:lastRenderedPageBreak/>
        <w:t>skill may be subjected to a similar test this evening.”</w:t>
      </w:r>
      <w:r w:rsidRPr="00DE21A7">
        <w:rPr>
          <w:rStyle w:val="EndnoteReference"/>
          <w:lang w:val="en-GB"/>
        </w:rPr>
        <w:endnoteReference w:id="44"/>
      </w:r>
      <w:r w:rsidRPr="00DE21A7">
        <w:rPr>
          <w:lang w:val="en-GB"/>
        </w:rPr>
        <w:t xml:space="preserve"> The local collecting of skulls belonging to “noted persons” also demonstrates Kim A. Wagner’s argument that with the rise in the popularity of phrenology, “skulls of criminals and of luminaries were considered useful for analysis as the personal traits could be expected to be particularly pronounced and therefore suitable for demonstrating the theories of phrenology”.</w:t>
      </w:r>
      <w:r w:rsidRPr="00DE21A7">
        <w:rPr>
          <w:rStyle w:val="EndnoteReference"/>
          <w:lang w:val="en-GB"/>
        </w:rPr>
        <w:endnoteReference w:id="45"/>
      </w:r>
      <w:r w:rsidRPr="00DE21A7">
        <w:rPr>
          <w:lang w:val="en-GB"/>
        </w:rPr>
        <w:t xml:space="preserve"> Hamilton certainly capitalised on the fascination with the phrenological explanations of criminality, describing in detail his assessment of convicted murderers including that of Richard Burgess, the leader of the criminal gang responsible for the </w:t>
      </w:r>
      <w:proofErr w:type="spellStart"/>
      <w:r w:rsidRPr="00DE21A7">
        <w:rPr>
          <w:lang w:val="en-GB"/>
        </w:rPr>
        <w:t>Maungatapu</w:t>
      </w:r>
      <w:proofErr w:type="spellEnd"/>
      <w:r w:rsidRPr="00DE21A7">
        <w:rPr>
          <w:lang w:val="en-GB"/>
        </w:rPr>
        <w:t xml:space="preserve"> Murders in New Zealand in 1866.</w:t>
      </w:r>
      <w:r w:rsidRPr="00DE21A7">
        <w:rPr>
          <w:rStyle w:val="EndnoteReference"/>
          <w:lang w:val="en-GB"/>
        </w:rPr>
        <w:endnoteReference w:id="46"/>
      </w:r>
    </w:p>
    <w:p w14:paraId="06A31035" w14:textId="629DD22B" w:rsidR="00FA5362" w:rsidRPr="00DE21A7" w:rsidRDefault="00FA5362" w:rsidP="00DE21A7">
      <w:pPr>
        <w:spacing w:line="480" w:lineRule="auto"/>
        <w:ind w:firstLine="720"/>
        <w:jc w:val="both"/>
        <w:rPr>
          <w:lang w:val="en-GB"/>
        </w:rPr>
      </w:pPr>
      <w:r w:rsidRPr="00DE21A7">
        <w:rPr>
          <w:lang w:val="en-GB"/>
        </w:rPr>
        <w:t xml:space="preserve">Hamilton was not alone in finding an audience in Sandhurst in 1867 as Dr Guthrie </w:t>
      </w:r>
      <w:proofErr w:type="spellStart"/>
      <w:r w:rsidRPr="00DE21A7">
        <w:rPr>
          <w:lang w:val="en-GB"/>
        </w:rPr>
        <w:t>Carr</w:t>
      </w:r>
      <w:proofErr w:type="spellEnd"/>
      <w:r w:rsidRPr="00DE21A7">
        <w:rPr>
          <w:lang w:val="en-GB"/>
        </w:rPr>
        <w:t xml:space="preserve"> (later deemed a complete charlatan and accused of the sexual assault of a young woman under hypnosis) also performed for the benefit of the SMI, in one instance raising £47.</w:t>
      </w:r>
      <w:r w:rsidRPr="00DE21A7">
        <w:rPr>
          <w:rStyle w:val="EndnoteReference"/>
          <w:lang w:val="en-GB"/>
        </w:rPr>
        <w:endnoteReference w:id="47"/>
      </w:r>
      <w:r w:rsidRPr="00DE21A7">
        <w:rPr>
          <w:lang w:val="en-GB"/>
        </w:rPr>
        <w:t xml:space="preserve"> Like Hamilton, </w:t>
      </w:r>
      <w:proofErr w:type="spellStart"/>
      <w:r w:rsidRPr="00DE21A7">
        <w:rPr>
          <w:lang w:val="en-GB"/>
        </w:rPr>
        <w:t>Carr</w:t>
      </w:r>
      <w:proofErr w:type="spellEnd"/>
      <w:r w:rsidRPr="00DE21A7">
        <w:rPr>
          <w:lang w:val="en-GB"/>
        </w:rPr>
        <w:t xml:space="preserve"> enjoyed performing demonstrations on participants and recognising the popularity of the case study of the “notorious”, for his last performance in Sandhurst he proposed performing an examination on a man referred to as Hock Soon who was in jail accused with the murder of a Mr </w:t>
      </w:r>
      <w:proofErr w:type="spellStart"/>
      <w:r w:rsidRPr="00DE21A7">
        <w:rPr>
          <w:lang w:val="en-GB"/>
        </w:rPr>
        <w:t>Penburthy</w:t>
      </w:r>
      <w:proofErr w:type="spellEnd"/>
      <w:r w:rsidRPr="00DE21A7">
        <w:rPr>
          <w:lang w:val="en-GB"/>
        </w:rPr>
        <w:t>.</w:t>
      </w:r>
      <w:r w:rsidRPr="00DE21A7">
        <w:rPr>
          <w:rStyle w:val="EndnoteReference"/>
          <w:lang w:val="en-GB"/>
        </w:rPr>
        <w:endnoteReference w:id="48"/>
      </w:r>
      <w:r w:rsidRPr="00DE21A7">
        <w:rPr>
          <w:lang w:val="en-GB"/>
        </w:rPr>
        <w:t xml:space="preserve"> The popularity of phrenological readings of criminals was global, but the convict and transportation history of the early Australian colonies made these readings particularly relevant to local communities, and phrenology could be appealed to by penology reformers as a means of “managing convicts[,] reducing crime and preventing recidivism”.</w:t>
      </w:r>
      <w:r w:rsidRPr="00DE21A7">
        <w:rPr>
          <w:rStyle w:val="EndnoteReference"/>
          <w:lang w:val="en-GB"/>
        </w:rPr>
        <w:endnoteReference w:id="49"/>
      </w:r>
    </w:p>
    <w:p w14:paraId="4EBF8197" w14:textId="3F297CFE" w:rsidR="00FA5362" w:rsidRDefault="00FA5362" w:rsidP="002F2B4A">
      <w:pPr>
        <w:spacing w:line="480" w:lineRule="auto"/>
        <w:ind w:firstLine="720"/>
        <w:jc w:val="both"/>
        <w:rPr>
          <w:lang w:val="en-GB"/>
        </w:rPr>
      </w:pPr>
      <w:r w:rsidRPr="00DE21A7">
        <w:rPr>
          <w:lang w:val="en-GB"/>
        </w:rPr>
        <w:t>Women phrenologists also proved popular, opening up the lectern of institutes (which were otherwise dominated by men) to women.</w:t>
      </w:r>
      <w:r w:rsidR="00403A63">
        <w:rPr>
          <w:rStyle w:val="EndnoteReference"/>
          <w:lang w:val="en-GB"/>
        </w:rPr>
        <w:endnoteReference w:id="50"/>
      </w:r>
      <w:r w:rsidRPr="00DE21A7">
        <w:rPr>
          <w:lang w:val="en-GB"/>
        </w:rPr>
        <w:t xml:space="preserve"> </w:t>
      </w:r>
      <w:r w:rsidR="000C5919">
        <w:rPr>
          <w:lang w:val="en-GB"/>
        </w:rPr>
        <w:t xml:space="preserve">Carla </w:t>
      </w:r>
      <w:proofErr w:type="spellStart"/>
      <w:r w:rsidR="000C5919">
        <w:rPr>
          <w:lang w:val="en-GB"/>
        </w:rPr>
        <w:t>Bittel</w:t>
      </w:r>
      <w:proofErr w:type="spellEnd"/>
      <w:r w:rsidR="000C5919">
        <w:rPr>
          <w:lang w:val="en-GB"/>
        </w:rPr>
        <w:t xml:space="preserve"> has shown the ways phrenology encouraged women in nineteenth-century America to be </w:t>
      </w:r>
      <w:r w:rsidR="00244633">
        <w:rPr>
          <w:lang w:val="en-GB"/>
        </w:rPr>
        <w:t>“</w:t>
      </w:r>
      <w:r w:rsidR="000C5919">
        <w:rPr>
          <w:lang w:val="en-GB"/>
        </w:rPr>
        <w:t>active users of the science</w:t>
      </w:r>
      <w:r w:rsidR="00244633">
        <w:rPr>
          <w:lang w:val="en-GB"/>
        </w:rPr>
        <w:t>”</w:t>
      </w:r>
      <w:r w:rsidR="000C5919">
        <w:rPr>
          <w:lang w:val="en-GB"/>
        </w:rPr>
        <w:t xml:space="preserve"> and how in turn middle-class women used phrenology to </w:t>
      </w:r>
      <w:r w:rsidR="00244633">
        <w:rPr>
          <w:lang w:val="en-GB"/>
        </w:rPr>
        <w:t>“</w:t>
      </w:r>
      <w:r w:rsidR="000C5919">
        <w:rPr>
          <w:lang w:val="en-GB"/>
        </w:rPr>
        <w:t>negotiate gender</w:t>
      </w:r>
      <w:r w:rsidR="00244633">
        <w:rPr>
          <w:lang w:val="en-GB"/>
        </w:rPr>
        <w:t>”</w:t>
      </w:r>
      <w:r w:rsidR="000C5919">
        <w:rPr>
          <w:lang w:val="en-GB"/>
        </w:rPr>
        <w:t xml:space="preserve"> roles and occupied a variety of categories, including “practitioners, consumers and feminists”.</w:t>
      </w:r>
      <w:r w:rsidR="000C5919">
        <w:rPr>
          <w:rStyle w:val="EndnoteReference"/>
          <w:lang w:val="en-GB"/>
        </w:rPr>
        <w:endnoteReference w:id="51"/>
      </w:r>
      <w:r w:rsidR="000C5919">
        <w:rPr>
          <w:lang w:val="en-GB"/>
        </w:rPr>
        <w:t xml:space="preserve"> Equally, in Scotland, Agnes Sillars Hamilton was a “fierce advocate for the mental equality of men and women”.</w:t>
      </w:r>
      <w:r w:rsidR="006D6713">
        <w:rPr>
          <w:lang w:val="en-GB"/>
        </w:rPr>
        <w:t xml:space="preserve"> </w:t>
      </w:r>
      <w:r w:rsidR="00D07421">
        <w:rPr>
          <w:lang w:val="en-GB"/>
        </w:rPr>
        <w:lastRenderedPageBreak/>
        <w:t>Despite the overwhelming male demographic of the goldfields, w</w:t>
      </w:r>
      <w:r w:rsidR="006D6713">
        <w:rPr>
          <w:lang w:val="en-GB"/>
        </w:rPr>
        <w:t>omen played a key role in the financial, social, and cultural success of the</w:t>
      </w:r>
      <w:r w:rsidR="00005C84">
        <w:rPr>
          <w:lang w:val="en-GB"/>
        </w:rPr>
        <w:t xml:space="preserve"> goldfields</w:t>
      </w:r>
      <w:r w:rsidR="006D6713">
        <w:rPr>
          <w:lang w:val="en-GB"/>
        </w:rPr>
        <w:t xml:space="preserve"> mechanics’ institutes</w:t>
      </w:r>
      <w:r w:rsidR="00D07421">
        <w:rPr>
          <w:lang w:val="en-GB"/>
        </w:rPr>
        <w:t>.</w:t>
      </w:r>
      <w:r w:rsidR="00D07421">
        <w:rPr>
          <w:rStyle w:val="EndnoteReference"/>
          <w:lang w:val="en-GB"/>
        </w:rPr>
        <w:endnoteReference w:id="52"/>
      </w:r>
      <w:r w:rsidR="006D6713">
        <w:rPr>
          <w:lang w:val="en-GB"/>
        </w:rPr>
        <w:t xml:space="preserve"> </w:t>
      </w:r>
      <w:r w:rsidR="00D07421">
        <w:rPr>
          <w:lang w:val="en-GB"/>
        </w:rPr>
        <w:t>W</w:t>
      </w:r>
      <w:r w:rsidR="006D6713">
        <w:rPr>
          <w:lang w:val="en-GB"/>
        </w:rPr>
        <w:t xml:space="preserve">hile there </w:t>
      </w:r>
      <w:r w:rsidR="00C31D74">
        <w:rPr>
          <w:lang w:val="en-GB"/>
        </w:rPr>
        <w:t>are fewer instances</w:t>
      </w:r>
      <w:r w:rsidR="006D6713">
        <w:rPr>
          <w:lang w:val="en-GB"/>
        </w:rPr>
        <w:t xml:space="preserve"> of </w:t>
      </w:r>
      <w:r w:rsidR="00C31D74">
        <w:rPr>
          <w:lang w:val="en-GB"/>
        </w:rPr>
        <w:t>women</w:t>
      </w:r>
      <w:r w:rsidR="006D6713">
        <w:rPr>
          <w:lang w:val="en-GB"/>
        </w:rPr>
        <w:t xml:space="preserve"> </w:t>
      </w:r>
      <w:r w:rsidR="007F2B73">
        <w:rPr>
          <w:lang w:val="en-GB"/>
        </w:rPr>
        <w:t>offering their heads for readings during phrenological performances in the</w:t>
      </w:r>
      <w:r w:rsidR="00005C84">
        <w:rPr>
          <w:lang w:val="en-GB"/>
        </w:rPr>
        <w:t>se</w:t>
      </w:r>
      <w:r w:rsidR="007F2B73">
        <w:rPr>
          <w:lang w:val="en-GB"/>
        </w:rPr>
        <w:t xml:space="preserve"> institutes</w:t>
      </w:r>
      <w:r w:rsidR="00A13FFF">
        <w:rPr>
          <w:lang w:val="en-GB"/>
        </w:rPr>
        <w:t xml:space="preserve"> than men</w:t>
      </w:r>
      <w:r w:rsidR="007F2B73">
        <w:rPr>
          <w:lang w:val="en-GB"/>
        </w:rPr>
        <w:t>, they were frequently present</w:t>
      </w:r>
      <w:r w:rsidR="002341B9">
        <w:rPr>
          <w:lang w:val="en-GB"/>
        </w:rPr>
        <w:t xml:space="preserve"> in the audience</w:t>
      </w:r>
      <w:r w:rsidR="007F2B73">
        <w:rPr>
          <w:lang w:val="en-GB"/>
        </w:rPr>
        <w:t xml:space="preserve"> and also took the stage as phrenologists themselves</w:t>
      </w:r>
      <w:r w:rsidR="00D07421">
        <w:rPr>
          <w:lang w:val="en-GB"/>
        </w:rPr>
        <w:t xml:space="preserve">, suggesting that phrenology may have provided a unique opportunity for women to assert themselves as users and practitioners of phrenology in an otherwise </w:t>
      </w:r>
      <w:r w:rsidR="006D41CB">
        <w:rPr>
          <w:lang w:val="en-GB"/>
        </w:rPr>
        <w:t xml:space="preserve">overtly </w:t>
      </w:r>
      <w:r w:rsidR="00D07421">
        <w:rPr>
          <w:lang w:val="en-GB"/>
        </w:rPr>
        <w:t>masculine setting.</w:t>
      </w:r>
      <w:r w:rsidR="007F2B73">
        <w:rPr>
          <w:lang w:val="en-GB"/>
        </w:rPr>
        <w:t xml:space="preserve"> </w:t>
      </w:r>
      <w:r w:rsidRPr="00DE21A7">
        <w:rPr>
          <w:lang w:val="en-GB"/>
        </w:rPr>
        <w:t xml:space="preserve">Advertising herself as the “Wonderful Women” and the “only Lady Phrenologist and Mesmerist ever known in the world”, Madame </w:t>
      </w:r>
      <w:proofErr w:type="spellStart"/>
      <w:r w:rsidRPr="00DE21A7">
        <w:rPr>
          <w:lang w:val="en-GB"/>
        </w:rPr>
        <w:t>Sibly</w:t>
      </w:r>
      <w:proofErr w:type="spellEnd"/>
      <w:r w:rsidRPr="00DE21A7">
        <w:rPr>
          <w:lang w:val="en-GB"/>
        </w:rPr>
        <w:t>, for example, performed at the BMI in 1869 and 1871, with her programme at the institute lasting a full week in 1871.</w:t>
      </w:r>
      <w:r w:rsidRPr="00DE21A7">
        <w:rPr>
          <w:rStyle w:val="EndnoteReference"/>
          <w:lang w:val="en-GB"/>
        </w:rPr>
        <w:endnoteReference w:id="53"/>
      </w:r>
      <w:r w:rsidR="00C90C09">
        <w:rPr>
          <w:lang w:val="en-GB"/>
        </w:rPr>
        <w:t xml:space="preserve"> </w:t>
      </w:r>
      <w:r w:rsidRPr="00DE21A7">
        <w:rPr>
          <w:lang w:val="en-GB"/>
        </w:rPr>
        <w:t xml:space="preserve">Like Hamilton and </w:t>
      </w:r>
      <w:proofErr w:type="spellStart"/>
      <w:r w:rsidRPr="00DE21A7">
        <w:rPr>
          <w:lang w:val="en-GB"/>
        </w:rPr>
        <w:t>Carr</w:t>
      </w:r>
      <w:proofErr w:type="spellEnd"/>
      <w:r w:rsidRPr="00DE21A7">
        <w:rPr>
          <w:lang w:val="en-GB"/>
        </w:rPr>
        <w:t xml:space="preserve">, </w:t>
      </w:r>
      <w:proofErr w:type="spellStart"/>
      <w:r w:rsidRPr="00DE21A7">
        <w:rPr>
          <w:lang w:val="en-GB"/>
        </w:rPr>
        <w:t>Sibly</w:t>
      </w:r>
      <w:proofErr w:type="spellEnd"/>
      <w:r w:rsidRPr="00DE21A7">
        <w:rPr>
          <w:lang w:val="en-GB"/>
        </w:rPr>
        <w:t xml:space="preserve"> “performed some phrenological manipulations of several well-known Ballarat heads”, her intelligence and “agreeable address” were noted upon and her phrenological readings were described as being performed “in a fluent and dramatic style”.</w:t>
      </w:r>
      <w:r w:rsidRPr="00DE21A7">
        <w:rPr>
          <w:rStyle w:val="EndnoteReference"/>
          <w:lang w:val="en-GB"/>
        </w:rPr>
        <w:endnoteReference w:id="54"/>
      </w:r>
      <w:r w:rsidRPr="00DE21A7">
        <w:rPr>
          <w:lang w:val="en-GB"/>
        </w:rPr>
        <w:t xml:space="preserve"> </w:t>
      </w:r>
      <w:r w:rsidR="00005C84">
        <w:rPr>
          <w:lang w:val="en-GB"/>
        </w:rPr>
        <w:t xml:space="preserve">Perhaps favouring a woman phrenologist, one of the instances reported of women participating in a reading at a mechanics’ institute was during a performance by Madame </w:t>
      </w:r>
      <w:proofErr w:type="spellStart"/>
      <w:r w:rsidR="00005C84">
        <w:rPr>
          <w:lang w:val="en-GB"/>
        </w:rPr>
        <w:t>Sibly</w:t>
      </w:r>
      <w:proofErr w:type="spellEnd"/>
      <w:r w:rsidR="00005C84">
        <w:rPr>
          <w:lang w:val="en-GB"/>
        </w:rPr>
        <w:t xml:space="preserve"> at the Long Gully institute</w:t>
      </w:r>
      <w:r w:rsidR="00005C84" w:rsidRPr="00DE21A7">
        <w:rPr>
          <w:lang w:val="en-GB"/>
        </w:rPr>
        <w:t xml:space="preserve"> </w:t>
      </w:r>
      <w:r w:rsidR="00005C84">
        <w:rPr>
          <w:lang w:val="en-GB"/>
        </w:rPr>
        <w:t>when “</w:t>
      </w:r>
      <w:r w:rsidR="00005C84" w:rsidRPr="00005C84">
        <w:rPr>
          <w:rFonts w:eastAsiaTheme="minorHAnsi"/>
          <w:lang w:val="en-GB" w:eastAsia="en-US"/>
        </w:rPr>
        <w:t xml:space="preserve">several ladies came forward to be </w:t>
      </w:r>
      <w:r w:rsidR="00005C84">
        <w:rPr>
          <w:rFonts w:eastAsiaTheme="minorHAnsi"/>
          <w:lang w:val="en-GB" w:eastAsia="en-US"/>
        </w:rPr>
        <w:t>‘</w:t>
      </w:r>
      <w:proofErr w:type="spellStart"/>
      <w:r w:rsidR="00005C84" w:rsidRPr="00005C84">
        <w:rPr>
          <w:rFonts w:eastAsiaTheme="minorHAnsi"/>
          <w:lang w:val="en-GB" w:eastAsia="en-US"/>
        </w:rPr>
        <w:t>phrenologised</w:t>
      </w:r>
      <w:proofErr w:type="spellEnd"/>
      <w:r w:rsidR="00005C84">
        <w:rPr>
          <w:rFonts w:eastAsiaTheme="minorHAnsi"/>
          <w:lang w:val="en-GB" w:eastAsia="en-US"/>
        </w:rPr>
        <w:t>’”.</w:t>
      </w:r>
      <w:r w:rsidR="00005C84">
        <w:rPr>
          <w:rStyle w:val="EndnoteReference"/>
          <w:rFonts w:eastAsiaTheme="minorHAnsi"/>
          <w:lang w:val="en-GB" w:eastAsia="en-US"/>
        </w:rPr>
        <w:endnoteReference w:id="55"/>
      </w:r>
      <w:r w:rsidR="00005C84" w:rsidRPr="00005C84">
        <w:rPr>
          <w:lang w:val="en-GB"/>
        </w:rPr>
        <w:t xml:space="preserve"> </w:t>
      </w:r>
      <w:r w:rsidRPr="00005C84">
        <w:rPr>
          <w:lang w:val="en-GB"/>
        </w:rPr>
        <w:t>In</w:t>
      </w:r>
      <w:r w:rsidRPr="00DE21A7">
        <w:rPr>
          <w:lang w:val="en-GB"/>
        </w:rPr>
        <w:t xml:space="preserve"> 1884 a “Mrs Dr Potts” delivered a series of lectures at the BMI on “anatomy and physiology”, that concluded with the “usual phrenological examinations of a number of persons from the hall”.</w:t>
      </w:r>
      <w:r w:rsidRPr="00DE21A7">
        <w:rPr>
          <w:rStyle w:val="EndnoteReference"/>
          <w:lang w:val="en-GB"/>
        </w:rPr>
        <w:endnoteReference w:id="56"/>
      </w:r>
      <w:r w:rsidRPr="00DE21A7">
        <w:rPr>
          <w:lang w:val="en-GB"/>
        </w:rPr>
        <w:t xml:space="preserve"> This mixture of the phrenological with the anatomical and medical lecture—Mrs Dr Potts was noted as possessing a MD and described by a letter to the editor as “being the first lady doctor that has appeared before a Ballarat audience”—demonstrates the dramatic and popular nature of the phrenological reading and its inclusion in discussions deemed scientific.</w:t>
      </w:r>
      <w:r w:rsidRPr="00DE21A7">
        <w:rPr>
          <w:rStyle w:val="EndnoteReference"/>
          <w:lang w:val="en-GB"/>
        </w:rPr>
        <w:endnoteReference w:id="57"/>
      </w:r>
      <w:r w:rsidR="00070FF4">
        <w:rPr>
          <w:lang w:val="en-GB"/>
        </w:rPr>
        <w:t xml:space="preserve"> </w:t>
      </w:r>
    </w:p>
    <w:p w14:paraId="0CB308E3" w14:textId="7D577646" w:rsidR="00FA5362" w:rsidRPr="00DE21A7" w:rsidRDefault="00FA5362" w:rsidP="00DE21A7">
      <w:pPr>
        <w:spacing w:line="480" w:lineRule="auto"/>
        <w:ind w:firstLine="720"/>
        <w:jc w:val="both"/>
        <w:rPr>
          <w:lang w:val="en-GB"/>
        </w:rPr>
      </w:pPr>
      <w:r w:rsidRPr="00DE21A7">
        <w:rPr>
          <w:lang w:val="en-GB"/>
        </w:rPr>
        <w:t xml:space="preserve">Though popular, phrenology nonetheless proved a controversial topic at institutes in the colony, where lectures and demonstrations on the subject were often followed by angry letters to the editor and proposed rebuttal lectures. In 1867 a Dr Sibley, “assistant surgeon at the hospital” and resident of Sandhurst, challenged </w:t>
      </w:r>
      <w:proofErr w:type="spellStart"/>
      <w:r w:rsidRPr="00DE21A7">
        <w:rPr>
          <w:lang w:val="en-GB"/>
        </w:rPr>
        <w:t>Carr</w:t>
      </w:r>
      <w:proofErr w:type="spellEnd"/>
      <w:r w:rsidRPr="00DE21A7">
        <w:rPr>
          <w:lang w:val="en-GB"/>
        </w:rPr>
        <w:t xml:space="preserve"> to a debate for the benefit of the </w:t>
      </w:r>
      <w:r w:rsidRPr="00DE21A7">
        <w:rPr>
          <w:lang w:val="en-GB"/>
        </w:rPr>
        <w:lastRenderedPageBreak/>
        <w:t>mechanics’ institute, the miners’ accident society, and the benevolent asylum.</w:t>
      </w:r>
      <w:r w:rsidRPr="00DE21A7">
        <w:rPr>
          <w:rStyle w:val="EndnoteReference"/>
          <w:lang w:val="en-GB"/>
        </w:rPr>
        <w:endnoteReference w:id="58"/>
      </w:r>
      <w:r w:rsidRPr="00DE21A7">
        <w:rPr>
          <w:lang w:val="en-GB"/>
        </w:rPr>
        <w:t xml:space="preserve"> Declaring Sibley a “rash and presuming young man”, </w:t>
      </w:r>
      <w:proofErr w:type="spellStart"/>
      <w:r w:rsidRPr="00DE21A7">
        <w:rPr>
          <w:lang w:val="en-GB"/>
        </w:rPr>
        <w:t>Carr</w:t>
      </w:r>
      <w:proofErr w:type="spellEnd"/>
      <w:r w:rsidRPr="00DE21A7">
        <w:rPr>
          <w:lang w:val="en-GB"/>
        </w:rPr>
        <w:t xml:space="preserve"> did not agree to Sibley’s terms or attend the debate.</w:t>
      </w:r>
      <w:r w:rsidRPr="00DE21A7">
        <w:rPr>
          <w:rStyle w:val="EndnoteReference"/>
          <w:lang w:val="en-GB"/>
        </w:rPr>
        <w:endnoteReference w:id="59"/>
      </w:r>
      <w:r w:rsidRPr="00DE21A7">
        <w:rPr>
          <w:lang w:val="en-GB"/>
        </w:rPr>
        <w:t xml:space="preserve"> Disappointed both by </w:t>
      </w:r>
      <w:proofErr w:type="spellStart"/>
      <w:r w:rsidRPr="00DE21A7">
        <w:rPr>
          <w:lang w:val="en-GB"/>
        </w:rPr>
        <w:t>Carr’s</w:t>
      </w:r>
      <w:proofErr w:type="spellEnd"/>
      <w:r w:rsidRPr="00DE21A7">
        <w:rPr>
          <w:lang w:val="en-GB"/>
        </w:rPr>
        <w:t xml:space="preserve"> refusal and “so small an audience, as he was about to lecture for the benefit of the funds of the institute and not for his own personal emolument”, Sibley nonetheless proceeded to demonstrate the inconsistencies within phrenological theories, referring explicitly to Frederick Bridges (author of </w:t>
      </w:r>
      <w:r w:rsidRPr="00DE21A7">
        <w:rPr>
          <w:i/>
          <w:iCs/>
          <w:lang w:val="en-GB"/>
        </w:rPr>
        <w:t>The Popular Manual of Phrenology</w:t>
      </w:r>
      <w:r w:rsidRPr="00DE21A7">
        <w:rPr>
          <w:lang w:val="en-GB"/>
        </w:rPr>
        <w:t xml:space="preserve"> </w:t>
      </w:r>
      <w:r w:rsidR="009C2CC2">
        <w:rPr>
          <w:lang w:val="en-GB"/>
        </w:rPr>
        <w:t>[</w:t>
      </w:r>
      <w:r w:rsidRPr="00DE21A7">
        <w:rPr>
          <w:lang w:val="en-GB"/>
        </w:rPr>
        <w:t>1860</w:t>
      </w:r>
      <w:r w:rsidR="009C2CC2">
        <w:rPr>
          <w:lang w:val="en-GB"/>
        </w:rPr>
        <w:t>]</w:t>
      </w:r>
      <w:r w:rsidRPr="00DE21A7">
        <w:rPr>
          <w:lang w:val="en-GB"/>
        </w:rPr>
        <w:t xml:space="preserve">); George Combe (founder of the Edinburgh Phrenological Society and author of many foundational phrenological works); and the Fowlers (Orson and Lorenzo Fowler, authors of </w:t>
      </w:r>
      <w:r w:rsidRPr="00DE21A7">
        <w:rPr>
          <w:i/>
          <w:iCs/>
          <w:lang w:val="en-GB"/>
        </w:rPr>
        <w:t>The Self Instructor in Phrenology and Physiology</w:t>
      </w:r>
      <w:r w:rsidRPr="00DE21A7">
        <w:rPr>
          <w:lang w:val="en-GB"/>
        </w:rPr>
        <w:t xml:space="preserve"> </w:t>
      </w:r>
      <w:r w:rsidR="009C2CC2">
        <w:rPr>
          <w:lang w:val="en-GB"/>
        </w:rPr>
        <w:t>[</w:t>
      </w:r>
      <w:r w:rsidRPr="00DE21A7">
        <w:rPr>
          <w:lang w:val="en-GB"/>
        </w:rPr>
        <w:t>1849</w:t>
      </w:r>
      <w:r w:rsidR="009C2CC2">
        <w:rPr>
          <w:lang w:val="en-GB"/>
        </w:rPr>
        <w:t>]</w:t>
      </w:r>
      <w:r w:rsidRPr="00DE21A7">
        <w:rPr>
          <w:lang w:val="en-GB"/>
        </w:rPr>
        <w:t>), as well as explaining the anatomical impossibilities of many of phrenology’s claims.</w:t>
      </w:r>
      <w:r w:rsidRPr="00DE21A7">
        <w:rPr>
          <w:rStyle w:val="EndnoteReference"/>
          <w:lang w:val="en-GB"/>
        </w:rPr>
        <w:endnoteReference w:id="60"/>
      </w:r>
      <w:r w:rsidRPr="00DE21A7">
        <w:rPr>
          <w:lang w:val="en-GB"/>
        </w:rPr>
        <w:t xml:space="preserve"> Dr Stilwell, Chairman of the lecture, “declared himself a convert” to Sibley’s views despite the fact that the week previously he had submitted his head for manipulation by </w:t>
      </w:r>
      <w:proofErr w:type="spellStart"/>
      <w:r w:rsidRPr="00DE21A7">
        <w:rPr>
          <w:lang w:val="en-GB"/>
        </w:rPr>
        <w:t>Carr</w:t>
      </w:r>
      <w:proofErr w:type="spellEnd"/>
      <w:r w:rsidRPr="00DE21A7">
        <w:rPr>
          <w:lang w:val="en-GB"/>
        </w:rPr>
        <w:t>.</w:t>
      </w:r>
      <w:r w:rsidRPr="00DE21A7">
        <w:rPr>
          <w:rStyle w:val="EndnoteReference"/>
          <w:lang w:val="en-GB"/>
        </w:rPr>
        <w:endnoteReference w:id="61"/>
      </w:r>
      <w:r w:rsidRPr="00DE21A7">
        <w:rPr>
          <w:lang w:val="en-GB"/>
        </w:rPr>
        <w:t xml:space="preserve"> </w:t>
      </w:r>
    </w:p>
    <w:p w14:paraId="2D7FA6FF" w14:textId="26F6ACB6" w:rsidR="00AC1860" w:rsidRDefault="00FA5362" w:rsidP="00AC1860">
      <w:pPr>
        <w:spacing w:line="480" w:lineRule="auto"/>
        <w:ind w:firstLine="720"/>
        <w:jc w:val="both"/>
        <w:rPr>
          <w:lang w:val="en-GB"/>
        </w:rPr>
      </w:pPr>
      <w:r w:rsidRPr="00DE21A7">
        <w:rPr>
          <w:lang w:val="en-GB"/>
        </w:rPr>
        <w:t xml:space="preserve">Hosting these lectures and debates formed a key narrative strategy of the institutes as they could promote themselves as appropriate testing grounds for developing colonial “sciences” such as phrenology. As Sibley’s challenge to </w:t>
      </w:r>
      <w:proofErr w:type="spellStart"/>
      <w:r w:rsidRPr="00DE21A7">
        <w:rPr>
          <w:lang w:val="en-GB"/>
        </w:rPr>
        <w:t>Carr</w:t>
      </w:r>
      <w:proofErr w:type="spellEnd"/>
      <w:r w:rsidRPr="00DE21A7">
        <w:rPr>
          <w:lang w:val="en-GB"/>
        </w:rPr>
        <w:t xml:space="preserve"> and Stilwell’s “conversion” suggest, the “truth of phrenology” had not yet been decided, and by hosting these discussions, demonstrations, and performances, the institutes were situating themselves within an evolving discourse about racial science</w:t>
      </w:r>
      <w:r w:rsidR="006D41CB">
        <w:rPr>
          <w:lang w:val="en-GB"/>
        </w:rPr>
        <w:t>.</w:t>
      </w:r>
      <w:r w:rsidR="00AC1860" w:rsidRPr="00DE21A7">
        <w:rPr>
          <w:rStyle w:val="EndnoteReference"/>
          <w:lang w:val="en-GB"/>
        </w:rPr>
        <w:endnoteReference w:id="62"/>
      </w:r>
      <w:r w:rsidR="006D41CB">
        <w:rPr>
          <w:lang w:val="en-GB"/>
        </w:rPr>
        <w:t xml:space="preserve"> A discourse, that as </w:t>
      </w:r>
      <w:proofErr w:type="spellStart"/>
      <w:r w:rsidR="006D41CB">
        <w:rPr>
          <w:lang w:val="en-GB"/>
        </w:rPr>
        <w:t>Bittell</w:t>
      </w:r>
      <w:proofErr w:type="spellEnd"/>
      <w:r w:rsidR="006D41CB">
        <w:rPr>
          <w:lang w:val="en-GB"/>
        </w:rPr>
        <w:t xml:space="preserve"> argues, was highly adaptable because </w:t>
      </w:r>
      <w:r w:rsidR="00506E51">
        <w:rPr>
          <w:lang w:val="en-GB"/>
        </w:rPr>
        <w:t xml:space="preserve">phrenology </w:t>
      </w:r>
      <w:r w:rsidR="00244633">
        <w:rPr>
          <w:lang w:val="en-GB"/>
        </w:rPr>
        <w:t>“</w:t>
      </w:r>
      <w:r w:rsidR="006D41CB">
        <w:rPr>
          <w:lang w:val="en-GB"/>
        </w:rPr>
        <w:t>thrived at a time when the meaning of science itself lacked strong definition and professional boundaries”.</w:t>
      </w:r>
      <w:r w:rsidR="006D41CB">
        <w:rPr>
          <w:rStyle w:val="EndnoteReference"/>
          <w:lang w:val="en-GB"/>
        </w:rPr>
        <w:endnoteReference w:id="63"/>
      </w:r>
      <w:r w:rsidR="00FD501C">
        <w:rPr>
          <w:lang w:val="en-GB"/>
        </w:rPr>
        <w:t xml:space="preserve"> </w:t>
      </w:r>
      <w:r w:rsidR="004E55EE">
        <w:rPr>
          <w:lang w:val="en-GB"/>
        </w:rPr>
        <w:t xml:space="preserve">A global “mental” and “racial science”, phrenology was reliant, as James </w:t>
      </w:r>
      <w:proofErr w:type="spellStart"/>
      <w:r w:rsidR="004E55EE">
        <w:rPr>
          <w:lang w:val="en-GB"/>
        </w:rPr>
        <w:t>Poskett</w:t>
      </w:r>
      <w:proofErr w:type="spellEnd"/>
      <w:r w:rsidR="004E55EE">
        <w:rPr>
          <w:lang w:val="en-GB"/>
        </w:rPr>
        <w:t xml:space="preserve"> has shown, on a global material culture </w:t>
      </w:r>
      <w:r w:rsidR="00AC1860">
        <w:rPr>
          <w:lang w:val="en-GB"/>
        </w:rPr>
        <w:t>of circulating</w:t>
      </w:r>
      <w:r w:rsidR="004E55EE">
        <w:rPr>
          <w:lang w:val="en-GB"/>
        </w:rPr>
        <w:t xml:space="preserve"> </w:t>
      </w:r>
      <w:r w:rsidR="004E55EE" w:rsidRPr="00DE21A7">
        <w:rPr>
          <w:lang w:val="en-GB"/>
        </w:rPr>
        <w:t>material objects such as skulls, casts, books, and performances</w:t>
      </w:r>
      <w:r w:rsidR="004E55EE">
        <w:rPr>
          <w:lang w:val="en-GB"/>
        </w:rPr>
        <w:t>.</w:t>
      </w:r>
      <w:r w:rsidR="004E55EE" w:rsidRPr="00DE21A7">
        <w:rPr>
          <w:rStyle w:val="EndnoteReference"/>
          <w:lang w:val="en-GB"/>
        </w:rPr>
        <w:endnoteReference w:id="64"/>
      </w:r>
      <w:r w:rsidR="00AC1860">
        <w:rPr>
          <w:lang w:val="en-GB"/>
        </w:rPr>
        <w:t xml:space="preserve"> Energised by their twin pursuits of colonial improvement and settlement, mechanics’ institutes actively participated in this global material culture of phrenology and racial science through the performances they hosted and their library and museum collections.</w:t>
      </w:r>
    </w:p>
    <w:p w14:paraId="57303156" w14:textId="17285D1F" w:rsidR="00FA5362" w:rsidRPr="00DE21A7" w:rsidRDefault="00FA5362" w:rsidP="00AC1860">
      <w:pPr>
        <w:spacing w:line="480" w:lineRule="auto"/>
        <w:ind w:firstLine="720"/>
        <w:jc w:val="both"/>
        <w:rPr>
          <w:lang w:val="en-GB"/>
        </w:rPr>
      </w:pPr>
      <w:r w:rsidRPr="00DE21A7">
        <w:rPr>
          <w:lang w:val="en-GB"/>
        </w:rPr>
        <w:lastRenderedPageBreak/>
        <w:t xml:space="preserve">In addition to the lectures on phrenology, for example, the BMI also hosted the </w:t>
      </w:r>
      <w:proofErr w:type="spellStart"/>
      <w:r w:rsidRPr="00DE21A7">
        <w:rPr>
          <w:lang w:val="en-GB"/>
        </w:rPr>
        <w:t>Kreitmayer</w:t>
      </w:r>
      <w:proofErr w:type="spellEnd"/>
      <w:r w:rsidRPr="00DE21A7">
        <w:rPr>
          <w:lang w:val="en-GB"/>
        </w:rPr>
        <w:t xml:space="preserve"> “anatomical museum” on a number of occasions which featured, among skeletons, waxwork models depicting “the death of Burke and Wills” with the “head of Wills … exquisitely modelled” and, again emphasising the attraction of displays of criminals, “figures of some notorious criminals, notably the gang of convicts who murdered Mr Price at Williamstown”.</w:t>
      </w:r>
      <w:r w:rsidRPr="00DE21A7">
        <w:rPr>
          <w:rStyle w:val="EndnoteReference"/>
          <w:lang w:val="en-GB"/>
        </w:rPr>
        <w:endnoteReference w:id="65"/>
      </w:r>
      <w:r w:rsidRPr="00DE21A7">
        <w:rPr>
          <w:lang w:val="en-GB"/>
        </w:rPr>
        <w:t xml:space="preserve"> Trained in Europe,</w:t>
      </w:r>
      <w:r w:rsidR="009C2CC2">
        <w:rPr>
          <w:lang w:val="en-GB"/>
        </w:rPr>
        <w:t xml:space="preserve"> and again representative of the opportunities gold rush immigration could present for individuals pursuing the colonial and phrenological sciences,</w:t>
      </w:r>
      <w:r w:rsidRPr="00DE21A7">
        <w:rPr>
          <w:lang w:val="en-GB"/>
        </w:rPr>
        <w:t xml:space="preserve"> </w:t>
      </w:r>
      <w:proofErr w:type="spellStart"/>
      <w:r w:rsidRPr="00DE21A7">
        <w:rPr>
          <w:lang w:val="en-GB"/>
        </w:rPr>
        <w:t>Kreitmayer</w:t>
      </w:r>
      <w:proofErr w:type="spellEnd"/>
      <w:r w:rsidRPr="00DE21A7">
        <w:rPr>
          <w:lang w:val="en-GB"/>
        </w:rPr>
        <w:t xml:space="preserve"> was “responsible for the majority of [phrenological] busts manufactured in Melbourne”, and in the 1860s was in partnership with the </w:t>
      </w:r>
      <w:proofErr w:type="spellStart"/>
      <w:r w:rsidRPr="00DE21A7">
        <w:rPr>
          <w:lang w:val="en-GB"/>
        </w:rPr>
        <w:t>Sohier</w:t>
      </w:r>
      <w:proofErr w:type="spellEnd"/>
      <w:r w:rsidRPr="00DE21A7">
        <w:rPr>
          <w:lang w:val="en-GB"/>
        </w:rPr>
        <w:t xml:space="preserve"> couple: Philemon </w:t>
      </w:r>
      <w:proofErr w:type="spellStart"/>
      <w:r w:rsidRPr="00DE21A7">
        <w:rPr>
          <w:lang w:val="en-GB"/>
        </w:rPr>
        <w:t>Sohier</w:t>
      </w:r>
      <w:proofErr w:type="spellEnd"/>
      <w:r w:rsidRPr="00DE21A7">
        <w:rPr>
          <w:lang w:val="en-GB"/>
        </w:rPr>
        <w:t xml:space="preserve">, a well-known phrenologist in Melbourne, and his wife Ellen, the owner of Madame </w:t>
      </w:r>
      <w:proofErr w:type="spellStart"/>
      <w:r w:rsidRPr="00DE21A7">
        <w:rPr>
          <w:lang w:val="en-GB"/>
        </w:rPr>
        <w:t>Sohier’s</w:t>
      </w:r>
      <w:proofErr w:type="spellEnd"/>
      <w:r w:rsidRPr="00DE21A7">
        <w:rPr>
          <w:lang w:val="en-GB"/>
        </w:rPr>
        <w:t xml:space="preserve"> Waxworks.</w:t>
      </w:r>
      <w:r w:rsidRPr="00DE21A7">
        <w:rPr>
          <w:rStyle w:val="EndnoteReference"/>
          <w:lang w:val="en-GB"/>
        </w:rPr>
        <w:endnoteReference w:id="66"/>
      </w:r>
      <w:r w:rsidRPr="00DE21A7">
        <w:rPr>
          <w:lang w:val="en-GB"/>
        </w:rPr>
        <w:t xml:space="preserve"> In 1880, </w:t>
      </w:r>
      <w:proofErr w:type="spellStart"/>
      <w:r w:rsidRPr="00DE21A7">
        <w:rPr>
          <w:lang w:val="en-GB"/>
        </w:rPr>
        <w:t>Kreitmayer</w:t>
      </w:r>
      <w:proofErr w:type="spellEnd"/>
      <w:r w:rsidRPr="00DE21A7">
        <w:rPr>
          <w:lang w:val="en-GB"/>
        </w:rPr>
        <w:t xml:space="preserve"> would produce bushranger Ned Kelly’s death mask.</w:t>
      </w:r>
      <w:r w:rsidR="00005C84">
        <w:rPr>
          <w:rStyle w:val="EndnoteReference"/>
          <w:lang w:val="en-GB"/>
        </w:rPr>
        <w:endnoteReference w:id="67"/>
      </w:r>
    </w:p>
    <w:p w14:paraId="586DDC1F" w14:textId="65B0DBCB" w:rsidR="00FA5362" w:rsidRPr="00DE21A7" w:rsidRDefault="00FA5362" w:rsidP="00DE21A7">
      <w:pPr>
        <w:autoSpaceDE w:val="0"/>
        <w:autoSpaceDN w:val="0"/>
        <w:adjustRightInd w:val="0"/>
        <w:spacing w:line="480" w:lineRule="auto"/>
        <w:ind w:firstLine="720"/>
        <w:jc w:val="both"/>
        <w:rPr>
          <w:lang w:val="en-GB"/>
        </w:rPr>
      </w:pPr>
      <w:r w:rsidRPr="00DE21A7">
        <w:rPr>
          <w:lang w:val="en-GB"/>
        </w:rPr>
        <w:t>A further activity through which the institutes could promote the diffusion of colonial knowledge was through the educational classes they held</w:t>
      </w:r>
      <w:r w:rsidR="009C2CC2">
        <w:rPr>
          <w:lang w:val="en-GB"/>
        </w:rPr>
        <w:t xml:space="preserve">, with </w:t>
      </w:r>
      <w:r w:rsidRPr="00DE21A7">
        <w:rPr>
          <w:lang w:val="en-GB"/>
        </w:rPr>
        <w:t>the SMI, for example, h</w:t>
      </w:r>
      <w:r w:rsidR="009C2CC2">
        <w:rPr>
          <w:lang w:val="en-GB"/>
        </w:rPr>
        <w:t xml:space="preserve">osting </w:t>
      </w:r>
      <w:r w:rsidRPr="00DE21A7">
        <w:rPr>
          <w:lang w:val="en-GB"/>
        </w:rPr>
        <w:t>a series of classes on phrenology in 1866.</w:t>
      </w:r>
      <w:r w:rsidRPr="00DE21A7">
        <w:rPr>
          <w:rStyle w:val="EndnoteReference"/>
          <w:lang w:val="en-GB"/>
        </w:rPr>
        <w:endnoteReference w:id="68"/>
      </w:r>
      <w:r w:rsidRPr="00DE21A7">
        <w:rPr>
          <w:lang w:val="en-GB"/>
        </w:rPr>
        <w:t xml:space="preserve"> The libraries of the institutes supplemented these lectures, debates, and classes by containing phrenological and other racial science texts. The SMI’s 1870 catalogue, for example, includes Combe’s </w:t>
      </w:r>
      <w:r w:rsidRPr="00DE21A7">
        <w:rPr>
          <w:i/>
          <w:iCs/>
          <w:lang w:val="en-GB"/>
        </w:rPr>
        <w:t>Elements of Phrenology</w:t>
      </w:r>
      <w:r w:rsidR="00375F5D">
        <w:rPr>
          <w:i/>
          <w:iCs/>
          <w:lang w:val="en-GB"/>
        </w:rPr>
        <w:t xml:space="preserve"> </w:t>
      </w:r>
      <w:r w:rsidR="00375F5D">
        <w:rPr>
          <w:lang w:val="en-GB"/>
        </w:rPr>
        <w:t>(1824)</w:t>
      </w:r>
      <w:r w:rsidRPr="00DE21A7">
        <w:rPr>
          <w:i/>
          <w:iCs/>
          <w:lang w:val="en-GB"/>
        </w:rPr>
        <w:t xml:space="preserve"> </w:t>
      </w:r>
      <w:r w:rsidRPr="00DE21A7">
        <w:rPr>
          <w:lang w:val="en-GB"/>
        </w:rPr>
        <w:t xml:space="preserve">and </w:t>
      </w:r>
      <w:r w:rsidRPr="00DE21A7">
        <w:rPr>
          <w:i/>
          <w:iCs/>
          <w:lang w:val="en-GB"/>
        </w:rPr>
        <w:t>A System of Phrenology</w:t>
      </w:r>
      <w:r w:rsidR="00375F5D">
        <w:rPr>
          <w:i/>
          <w:iCs/>
          <w:lang w:val="en-GB"/>
        </w:rPr>
        <w:t xml:space="preserve"> </w:t>
      </w:r>
      <w:r w:rsidR="00375F5D">
        <w:rPr>
          <w:lang w:val="en-GB"/>
        </w:rPr>
        <w:t>(1825)</w:t>
      </w:r>
      <w:r w:rsidRPr="00DE21A7">
        <w:rPr>
          <w:lang w:val="en-GB"/>
        </w:rPr>
        <w:t>, and polygenist Charles Pickering’</w:t>
      </w:r>
      <w:r w:rsidR="0075703C">
        <w:rPr>
          <w:lang w:val="en-GB"/>
        </w:rPr>
        <w:t>s</w:t>
      </w:r>
      <w:r w:rsidRPr="00DE21A7">
        <w:rPr>
          <w:lang w:val="en-GB"/>
        </w:rPr>
        <w:t xml:space="preserve"> </w:t>
      </w:r>
      <w:r w:rsidRPr="00DE21A7">
        <w:rPr>
          <w:i/>
          <w:iCs/>
          <w:lang w:val="en-GB"/>
        </w:rPr>
        <w:t>Races of Man</w:t>
      </w:r>
      <w:r w:rsidR="00375F5D">
        <w:rPr>
          <w:i/>
          <w:iCs/>
          <w:lang w:val="en-GB"/>
        </w:rPr>
        <w:t xml:space="preserve"> </w:t>
      </w:r>
      <w:r w:rsidR="00375F5D">
        <w:rPr>
          <w:lang w:val="en-GB"/>
        </w:rPr>
        <w:t>(1848)</w:t>
      </w:r>
      <w:r w:rsidRPr="00DE21A7">
        <w:rPr>
          <w:lang w:val="en-GB"/>
        </w:rPr>
        <w:t xml:space="preserve">, while the BMI’s 1864 catalogues shows that their library contained four works by Combe, the Fowlers’ </w:t>
      </w:r>
      <w:r w:rsidRPr="00DE21A7">
        <w:rPr>
          <w:i/>
          <w:iCs/>
          <w:lang w:val="en-GB"/>
        </w:rPr>
        <w:t>Self Instructor</w:t>
      </w:r>
      <w:r w:rsidRPr="00DE21A7">
        <w:rPr>
          <w:lang w:val="en-GB"/>
        </w:rPr>
        <w:t xml:space="preserve">, Pickering’s </w:t>
      </w:r>
      <w:r w:rsidRPr="00DE21A7">
        <w:rPr>
          <w:i/>
          <w:iCs/>
          <w:lang w:val="en-GB"/>
        </w:rPr>
        <w:t xml:space="preserve">Races, </w:t>
      </w:r>
      <w:r w:rsidRPr="00DE21A7">
        <w:rPr>
          <w:lang w:val="en-GB"/>
        </w:rPr>
        <w:t>as well as James Cowle</w:t>
      </w:r>
      <w:r w:rsidR="0075703C">
        <w:rPr>
          <w:lang w:val="en-GB"/>
        </w:rPr>
        <w:t>s</w:t>
      </w:r>
      <w:r w:rsidRPr="00DE21A7">
        <w:rPr>
          <w:lang w:val="en-GB"/>
        </w:rPr>
        <w:t xml:space="preserve"> Prichard’s </w:t>
      </w:r>
      <w:r w:rsidR="0075703C">
        <w:rPr>
          <w:i/>
          <w:iCs/>
          <w:lang w:val="en-GB"/>
        </w:rPr>
        <w:t xml:space="preserve">The Natural </w:t>
      </w:r>
      <w:r w:rsidRPr="00DE21A7">
        <w:rPr>
          <w:i/>
          <w:iCs/>
          <w:lang w:val="en-GB"/>
        </w:rPr>
        <w:t>History of Man</w:t>
      </w:r>
      <w:r w:rsidR="00375F5D">
        <w:rPr>
          <w:i/>
          <w:iCs/>
          <w:lang w:val="en-GB"/>
        </w:rPr>
        <w:t xml:space="preserve"> </w:t>
      </w:r>
      <w:r w:rsidR="00375F5D">
        <w:rPr>
          <w:lang w:val="en-GB"/>
        </w:rPr>
        <w:t>(1843)</w:t>
      </w:r>
      <w:r w:rsidRPr="00DE21A7">
        <w:rPr>
          <w:lang w:val="en-GB"/>
        </w:rPr>
        <w:t>.</w:t>
      </w:r>
      <w:r w:rsidRPr="00DE21A7">
        <w:rPr>
          <w:rStyle w:val="EndnoteReference"/>
          <w:lang w:val="en-GB"/>
        </w:rPr>
        <w:endnoteReference w:id="69"/>
      </w:r>
      <w:r w:rsidRPr="00DE21A7">
        <w:rPr>
          <w:lang w:val="en-GB"/>
        </w:rPr>
        <w:t xml:space="preserve"> Known for his scepticism towards phrenological claims, Prichard’s work was foundational for the emerging scientific discipline of ethnology and the BMI’s possession of a copy of </w:t>
      </w:r>
      <w:r w:rsidRPr="00DE21A7">
        <w:rPr>
          <w:i/>
          <w:iCs/>
          <w:lang w:val="en-GB"/>
        </w:rPr>
        <w:t>History of Man</w:t>
      </w:r>
      <w:r w:rsidRPr="00DE21A7">
        <w:rPr>
          <w:lang w:val="en-GB"/>
        </w:rPr>
        <w:t xml:space="preserve"> further positions them as a site through which the evolving debates about phrenology and racial science could be engaged with.</w:t>
      </w:r>
      <w:r w:rsidRPr="00DE21A7">
        <w:rPr>
          <w:rStyle w:val="EndnoteReference"/>
          <w:lang w:val="en-GB"/>
        </w:rPr>
        <w:endnoteReference w:id="70"/>
      </w:r>
      <w:r w:rsidRPr="00DE21A7">
        <w:rPr>
          <w:lang w:val="en-GB"/>
        </w:rPr>
        <w:t xml:space="preserve"> Prichard, unlike Pickering, was also a committed </w:t>
      </w:r>
      <w:proofErr w:type="spellStart"/>
      <w:r w:rsidRPr="00DE21A7">
        <w:rPr>
          <w:lang w:val="en-GB"/>
        </w:rPr>
        <w:t>monogenist</w:t>
      </w:r>
      <w:proofErr w:type="spellEnd"/>
      <w:r w:rsidRPr="00DE21A7">
        <w:rPr>
          <w:lang w:val="en-GB"/>
        </w:rPr>
        <w:t>, and the inclusion of both works in the institute’s librar</w:t>
      </w:r>
      <w:r w:rsidR="00D34499">
        <w:rPr>
          <w:lang w:val="en-GB"/>
        </w:rPr>
        <w:t>y</w:t>
      </w:r>
      <w:r w:rsidRPr="00DE21A7">
        <w:rPr>
          <w:lang w:val="en-GB"/>
        </w:rPr>
        <w:t xml:space="preserve"> shows at least a casual awareness of and engagement with the debates regarding racial </w:t>
      </w:r>
      <w:r w:rsidRPr="00DE21A7">
        <w:rPr>
          <w:lang w:val="en-GB"/>
        </w:rPr>
        <w:lastRenderedPageBreak/>
        <w:t>science</w:t>
      </w:r>
      <w:r w:rsidR="00D34499">
        <w:rPr>
          <w:lang w:val="en-GB"/>
        </w:rPr>
        <w:t xml:space="preserve"> that were</w:t>
      </w:r>
      <w:r w:rsidRPr="00DE21A7">
        <w:rPr>
          <w:lang w:val="en-GB"/>
        </w:rPr>
        <w:t xml:space="preserve"> animating the emerging fields of ethnology, anthropology, and comparative anatomy.</w:t>
      </w:r>
      <w:r w:rsidRPr="00DE21A7">
        <w:rPr>
          <w:rStyle w:val="EndnoteReference"/>
          <w:lang w:val="en-GB"/>
        </w:rPr>
        <w:endnoteReference w:id="71"/>
      </w:r>
      <w:r w:rsidRPr="00DE21A7">
        <w:rPr>
          <w:lang w:val="en-GB"/>
        </w:rPr>
        <w:t xml:space="preserve"> </w:t>
      </w:r>
    </w:p>
    <w:p w14:paraId="0982AAAD" w14:textId="74DA72BB" w:rsidR="00FA5362" w:rsidRPr="00DE21A7" w:rsidRDefault="00FA5362" w:rsidP="00DE21A7">
      <w:pPr>
        <w:spacing w:line="480" w:lineRule="auto"/>
        <w:jc w:val="both"/>
        <w:rPr>
          <w:lang w:val="en-GB"/>
        </w:rPr>
      </w:pPr>
    </w:p>
    <w:p w14:paraId="7B705F80" w14:textId="4181E34A" w:rsidR="00FA5362" w:rsidRPr="00DE21A7" w:rsidRDefault="00FA5362" w:rsidP="00DE21A7">
      <w:pPr>
        <w:spacing w:line="480" w:lineRule="auto"/>
        <w:jc w:val="both"/>
        <w:rPr>
          <w:u w:val="single"/>
          <w:lang w:val="en-GB"/>
        </w:rPr>
      </w:pPr>
      <w:r w:rsidRPr="00DE21A7">
        <w:rPr>
          <w:u w:val="single"/>
          <w:lang w:val="en-GB"/>
        </w:rPr>
        <w:t xml:space="preserve">The </w:t>
      </w:r>
      <w:r w:rsidR="00716186">
        <w:rPr>
          <w:u w:val="single"/>
          <w:lang w:val="en-GB"/>
        </w:rPr>
        <w:t>“</w:t>
      </w:r>
      <w:r w:rsidRPr="00DE21A7">
        <w:rPr>
          <w:u w:val="single"/>
          <w:lang w:val="en-GB"/>
        </w:rPr>
        <w:t>nucleus of a museum</w:t>
      </w:r>
      <w:r w:rsidR="00716186">
        <w:rPr>
          <w:u w:val="single"/>
          <w:lang w:val="en-GB"/>
        </w:rPr>
        <w:t>”</w:t>
      </w:r>
      <w:r w:rsidRPr="00DE21A7">
        <w:rPr>
          <w:u w:val="single"/>
          <w:lang w:val="en-GB"/>
        </w:rPr>
        <w:t>: A Colonial Culture of Collecting</w:t>
      </w:r>
    </w:p>
    <w:p w14:paraId="7DF524E5" w14:textId="5793D70F" w:rsidR="00FA5362" w:rsidRPr="00DE21A7" w:rsidRDefault="00FA5362" w:rsidP="00DE21A7">
      <w:pPr>
        <w:autoSpaceDE w:val="0"/>
        <w:autoSpaceDN w:val="0"/>
        <w:adjustRightInd w:val="0"/>
        <w:spacing w:line="480" w:lineRule="auto"/>
        <w:jc w:val="both"/>
        <w:rPr>
          <w:lang w:val="en-GB"/>
        </w:rPr>
      </w:pPr>
    </w:p>
    <w:p w14:paraId="255CCA65" w14:textId="5F85CE2F" w:rsidR="00FA5362" w:rsidRPr="00DE21A7" w:rsidRDefault="00FA5362" w:rsidP="00DE21A7">
      <w:pPr>
        <w:autoSpaceDE w:val="0"/>
        <w:autoSpaceDN w:val="0"/>
        <w:adjustRightInd w:val="0"/>
        <w:spacing w:line="480" w:lineRule="auto"/>
        <w:jc w:val="both"/>
        <w:rPr>
          <w:lang w:val="en-GB"/>
        </w:rPr>
      </w:pPr>
      <w:r w:rsidRPr="00DE21A7">
        <w:rPr>
          <w:lang w:val="en-GB"/>
        </w:rPr>
        <w:t xml:space="preserve">Promoting the “desirableness of having a museum in connection with the Mechanics’ Institute” in the Ballarat district in 1862, the </w:t>
      </w:r>
      <w:r w:rsidRPr="00DE21A7">
        <w:rPr>
          <w:i/>
          <w:iCs/>
          <w:lang w:val="en-GB"/>
        </w:rPr>
        <w:t>Star</w:t>
      </w:r>
      <w:r w:rsidRPr="00DE21A7">
        <w:rPr>
          <w:lang w:val="en-GB"/>
        </w:rPr>
        <w:t xml:space="preserve"> echoed Judge Kerferd’s remarks regarding Beechworth’s nascent museum in the same year: “In so large a district as this there ought to be procurable a good collection of natural and artificial productions worth preserving for examination.” In support of this endeavour, the </w:t>
      </w:r>
      <w:r w:rsidRPr="00DE21A7">
        <w:rPr>
          <w:i/>
          <w:iCs/>
          <w:lang w:val="en-GB"/>
        </w:rPr>
        <w:t>Star</w:t>
      </w:r>
      <w:r w:rsidRPr="00DE21A7">
        <w:rPr>
          <w:lang w:val="en-GB"/>
        </w:rPr>
        <w:t xml:space="preserve"> remarked that the “nucleus of a museum already exists in the shape of an [A]</w:t>
      </w:r>
      <w:proofErr w:type="spellStart"/>
      <w:r w:rsidRPr="00DE21A7">
        <w:rPr>
          <w:lang w:val="en-GB"/>
        </w:rPr>
        <w:t>boriginal</w:t>
      </w:r>
      <w:proofErr w:type="spellEnd"/>
      <w:r w:rsidRPr="00DE21A7">
        <w:rPr>
          <w:lang w:val="en-GB"/>
        </w:rPr>
        <w:t xml:space="preserve"> skull, which, to the imaginative, grins with hideous complacency from the mantelpiece of the secretary’s room, as if delighted with the singular importance thus accorded to it by the ‘white fellows’, who fail to bring any other curiosities together”.</w:t>
      </w:r>
      <w:r w:rsidRPr="00DE21A7">
        <w:rPr>
          <w:rStyle w:val="EndnoteReference"/>
          <w:lang w:val="en-GB"/>
        </w:rPr>
        <w:t xml:space="preserve"> </w:t>
      </w:r>
      <w:r w:rsidRPr="00DE21A7">
        <w:rPr>
          <w:lang w:val="en-GB"/>
        </w:rPr>
        <w:t xml:space="preserve">The callous and mocking disregard in which the </w:t>
      </w:r>
      <w:r w:rsidRPr="00DE21A7">
        <w:rPr>
          <w:i/>
          <w:iCs/>
          <w:lang w:val="en-GB"/>
        </w:rPr>
        <w:t>Star</w:t>
      </w:r>
      <w:r w:rsidRPr="00DE21A7">
        <w:rPr>
          <w:lang w:val="en-GB"/>
        </w:rPr>
        <w:t xml:space="preserve"> categorises the skull as a curiosity not worth its current “singular” status is promptly followed by the celebration of a “donation of minerals in aid of a museum” by Professor Abel.</w:t>
      </w:r>
      <w:r w:rsidRPr="00DE21A7">
        <w:rPr>
          <w:rStyle w:val="EndnoteReference"/>
          <w:lang w:val="en-GB"/>
        </w:rPr>
        <w:endnoteReference w:id="72"/>
      </w:r>
      <w:r w:rsidRPr="00DE21A7">
        <w:rPr>
          <w:lang w:val="en-GB"/>
        </w:rPr>
        <w:t xml:space="preserve"> This brief newspaper report is suggestive of the twin purposes of the museums associated with the goldfields institutes</w:t>
      </w:r>
      <w:r w:rsidR="0010333E">
        <w:rPr>
          <w:lang w:val="en-GB"/>
        </w:rPr>
        <w:t xml:space="preserve"> and their interrelation with the combined projects of colonial improvement and settlement</w:t>
      </w:r>
      <w:r w:rsidRPr="00DE21A7">
        <w:rPr>
          <w:lang w:val="en-GB"/>
        </w:rPr>
        <w:t>: collecting and promoting the natural and scientific history of the region so that it could contribute to understandings of “the contrasts between nature and culture, between wilderness and civilisation”; and advancing colonial industries, particularly the extractive and agricultural industries of the region.</w:t>
      </w:r>
      <w:r w:rsidRPr="00DE21A7">
        <w:rPr>
          <w:rStyle w:val="EndnoteReference"/>
          <w:lang w:val="en-GB"/>
        </w:rPr>
        <w:endnoteReference w:id="73"/>
      </w:r>
      <w:r w:rsidRPr="00DE21A7">
        <w:rPr>
          <w:lang w:val="en-GB"/>
        </w:rPr>
        <w:t xml:space="preserve"> </w:t>
      </w:r>
    </w:p>
    <w:p w14:paraId="2D169DB9" w14:textId="6825AE67" w:rsidR="00FA5362" w:rsidRPr="00DE21A7" w:rsidRDefault="00FA5362" w:rsidP="00DE21A7">
      <w:pPr>
        <w:autoSpaceDE w:val="0"/>
        <w:autoSpaceDN w:val="0"/>
        <w:adjustRightInd w:val="0"/>
        <w:spacing w:line="480" w:lineRule="auto"/>
        <w:ind w:firstLine="720"/>
        <w:jc w:val="both"/>
        <w:rPr>
          <w:lang w:val="en-GB"/>
        </w:rPr>
      </w:pPr>
      <w:r w:rsidRPr="00DE21A7">
        <w:rPr>
          <w:lang w:val="en-GB"/>
        </w:rPr>
        <w:t>That the presence of Indigenous remains at the institute could form the “nucleus of a museum” points both to the prevalence of the collecting practices of “national crania” as “the most practical means of making progress in investigating human variation” and the institute</w:t>
      </w:r>
      <w:r w:rsidR="0012244B">
        <w:rPr>
          <w:lang w:val="en-GB"/>
        </w:rPr>
        <w:t>’s</w:t>
      </w:r>
      <w:r w:rsidRPr="00DE21A7">
        <w:rPr>
          <w:lang w:val="en-GB"/>
        </w:rPr>
        <w:t xml:space="preserve"> </w:t>
      </w:r>
      <w:r w:rsidRPr="00DE21A7">
        <w:rPr>
          <w:lang w:val="en-GB"/>
        </w:rPr>
        <w:lastRenderedPageBreak/>
        <w:t>participation in and promotion of a broader colonial culture of collecting</w:t>
      </w:r>
      <w:r w:rsidR="00375F5D">
        <w:rPr>
          <w:lang w:val="en-GB"/>
        </w:rPr>
        <w:t xml:space="preserve"> that aimed to emphasise the “grammars of race” </w:t>
      </w:r>
      <w:r w:rsidRPr="00DE21A7">
        <w:rPr>
          <w:lang w:val="en-GB"/>
        </w:rPr>
        <w:t>.</w:t>
      </w:r>
      <w:r w:rsidRPr="00DE21A7">
        <w:rPr>
          <w:rStyle w:val="EndnoteReference"/>
          <w:lang w:val="en-GB"/>
        </w:rPr>
        <w:endnoteReference w:id="74"/>
      </w:r>
      <w:r w:rsidRPr="00DE21A7">
        <w:rPr>
          <w:lang w:val="en-GB"/>
        </w:rPr>
        <w:t xml:space="preserve"> Australia, as Tom Griffiths and Paul Turnbull have shown, formed a key investigative site for European “hunters and collectors” who saw it as a “continental museum where the past was made present in nature” and put “[I]</w:t>
      </w:r>
      <w:proofErr w:type="spellStart"/>
      <w:r w:rsidRPr="00DE21A7">
        <w:rPr>
          <w:lang w:val="en-GB"/>
        </w:rPr>
        <w:t>ndigenous</w:t>
      </w:r>
      <w:proofErr w:type="spellEnd"/>
      <w:r w:rsidRPr="00DE21A7">
        <w:rPr>
          <w:lang w:val="en-GB"/>
        </w:rPr>
        <w:t xml:space="preserve"> Australian bones at the heart of a disturbing practical juncture between long-standing colonial assumptions about the inevitable extinction of ‘inferior races’ and the divergent logic of opposed branches of the science of race”.</w:t>
      </w:r>
      <w:r w:rsidRPr="00DE21A7">
        <w:rPr>
          <w:rStyle w:val="EndnoteReference"/>
          <w:lang w:val="en-GB"/>
        </w:rPr>
        <w:endnoteReference w:id="75"/>
      </w:r>
      <w:r w:rsidRPr="00DE21A7">
        <w:rPr>
          <w:lang w:val="en-GB"/>
        </w:rPr>
        <w:t xml:space="preserve"> By possessing Indigenous remains, mechanics’ institutes could contribute to the continuation of the debates prompted by the phrenological lectures held in their halls and the ethnological and anthropological works held in their libraries.</w:t>
      </w:r>
    </w:p>
    <w:p w14:paraId="2B92C9BF" w14:textId="552F458D" w:rsidR="00076949" w:rsidRDefault="00FA5362" w:rsidP="00DE21A7">
      <w:pPr>
        <w:autoSpaceDE w:val="0"/>
        <w:autoSpaceDN w:val="0"/>
        <w:adjustRightInd w:val="0"/>
        <w:spacing w:line="480" w:lineRule="auto"/>
        <w:ind w:firstLine="720"/>
        <w:jc w:val="both"/>
        <w:rPr>
          <w:lang w:val="en-GB"/>
        </w:rPr>
      </w:pPr>
      <w:r w:rsidRPr="00DE21A7">
        <w:rPr>
          <w:lang w:val="en-GB"/>
        </w:rPr>
        <w:t xml:space="preserve">Abel’s donation of minerals, in contrast, serves to address the second purpose of the museums, with the </w:t>
      </w:r>
      <w:r w:rsidRPr="00DE21A7">
        <w:rPr>
          <w:i/>
          <w:iCs/>
          <w:lang w:val="en-GB"/>
        </w:rPr>
        <w:t>Star</w:t>
      </w:r>
      <w:r w:rsidRPr="00DE21A7">
        <w:rPr>
          <w:lang w:val="en-GB"/>
        </w:rPr>
        <w:t xml:space="preserve"> viewing his collection as crucial to the progress of the district’s extractive economy and the growth of the colony. Angry that “large sums of money [had] been spent on the enrichment of the mining department at the Melbourne University, where the objects are </w:t>
      </w:r>
      <w:proofErr w:type="spellStart"/>
      <w:r w:rsidRPr="00DE21A7">
        <w:rPr>
          <w:lang w:val="en-GB"/>
        </w:rPr>
        <w:t>unconsultable</w:t>
      </w:r>
      <w:proofErr w:type="spellEnd"/>
      <w:r w:rsidRPr="00DE21A7">
        <w:rPr>
          <w:lang w:val="en-GB"/>
        </w:rPr>
        <w:t xml:space="preserve"> and comparatively useless for any practical purpose”, the </w:t>
      </w:r>
      <w:r w:rsidRPr="00DE21A7">
        <w:rPr>
          <w:i/>
          <w:iCs/>
          <w:lang w:val="en-GB"/>
        </w:rPr>
        <w:t>Star</w:t>
      </w:r>
      <w:r w:rsidRPr="00DE21A7">
        <w:rPr>
          <w:lang w:val="en-GB"/>
        </w:rPr>
        <w:t xml:space="preserve"> and the BMI made an argument for its museum as “not only … useful to the locality, but to the colony at large” through an illustration of the “sciences of geology, minerology, and metallurgy”.</w:t>
      </w:r>
      <w:r w:rsidRPr="00DE21A7">
        <w:rPr>
          <w:rStyle w:val="EndnoteReference"/>
          <w:lang w:val="en-GB"/>
        </w:rPr>
        <w:endnoteReference w:id="76"/>
      </w:r>
      <w:r w:rsidRPr="00DE21A7">
        <w:rPr>
          <w:lang w:val="en-GB"/>
        </w:rPr>
        <w:t xml:space="preserve"> </w:t>
      </w:r>
      <w:r w:rsidR="00E838E6">
        <w:rPr>
          <w:lang w:val="en-GB"/>
        </w:rPr>
        <w:t>Staying true to</w:t>
      </w:r>
      <w:r w:rsidR="00076949">
        <w:rPr>
          <w:lang w:val="en-GB"/>
        </w:rPr>
        <w:t xml:space="preserve"> the</w:t>
      </w:r>
      <w:r w:rsidR="00E838E6">
        <w:rPr>
          <w:lang w:val="en-GB"/>
        </w:rPr>
        <w:t xml:space="preserve"> original intentions of the mechanics’ institutes as adult educational institutes for the working classes, the </w:t>
      </w:r>
      <w:r w:rsidR="00076949">
        <w:rPr>
          <w:lang w:val="en-GB"/>
        </w:rPr>
        <w:t xml:space="preserve">BMI is being actively positioned </w:t>
      </w:r>
      <w:r w:rsidR="00E838E6">
        <w:rPr>
          <w:lang w:val="en-GB"/>
        </w:rPr>
        <w:t>as an accessible institution in contrast to the</w:t>
      </w:r>
      <w:r w:rsidR="00AF36B2">
        <w:rPr>
          <w:lang w:val="en-GB"/>
        </w:rPr>
        <w:t xml:space="preserve"> seemingly</w:t>
      </w:r>
      <w:r w:rsidR="00E838E6">
        <w:rPr>
          <w:lang w:val="en-GB"/>
        </w:rPr>
        <w:t xml:space="preserve"> elitist university established in 1853.</w:t>
      </w:r>
      <w:r w:rsidR="00E838E6">
        <w:rPr>
          <w:rStyle w:val="EndnoteReference"/>
          <w:lang w:val="en-GB"/>
        </w:rPr>
        <w:endnoteReference w:id="77"/>
      </w:r>
    </w:p>
    <w:p w14:paraId="7CC6E342" w14:textId="767B67DA" w:rsidR="00FA5362" w:rsidRPr="00DE21A7" w:rsidRDefault="00806438" w:rsidP="00DE21A7">
      <w:pPr>
        <w:autoSpaceDE w:val="0"/>
        <w:autoSpaceDN w:val="0"/>
        <w:adjustRightInd w:val="0"/>
        <w:spacing w:line="480" w:lineRule="auto"/>
        <w:ind w:firstLine="720"/>
        <w:jc w:val="both"/>
        <w:rPr>
          <w:lang w:val="en-GB"/>
        </w:rPr>
      </w:pPr>
      <w:r>
        <w:rPr>
          <w:lang w:val="en-GB"/>
        </w:rPr>
        <w:t xml:space="preserve">The </w:t>
      </w:r>
      <w:r w:rsidR="00FA5362" w:rsidRPr="00DE21A7">
        <w:rPr>
          <w:i/>
          <w:iCs/>
          <w:lang w:val="en-GB"/>
        </w:rPr>
        <w:t>Ovens and Murray Advertiser</w:t>
      </w:r>
      <w:r w:rsidR="00FA5362" w:rsidRPr="00DE21A7">
        <w:rPr>
          <w:lang w:val="en-GB"/>
        </w:rPr>
        <w:t>’s disapproval of the Beechworth Athenaeum and Burke Museum’s progress in 1867</w:t>
      </w:r>
      <w:r>
        <w:rPr>
          <w:lang w:val="en-GB"/>
        </w:rPr>
        <w:t xml:space="preserve"> expresses a similar sentiment of disappointed </w:t>
      </w:r>
      <w:r w:rsidR="0027498C">
        <w:rPr>
          <w:lang w:val="en-GB"/>
        </w:rPr>
        <w:t xml:space="preserve">colonial </w:t>
      </w:r>
      <w:r>
        <w:rPr>
          <w:lang w:val="en-GB"/>
        </w:rPr>
        <w:t>opportunity</w:t>
      </w:r>
      <w:r w:rsidR="00FA5362" w:rsidRPr="00DE21A7">
        <w:rPr>
          <w:lang w:val="en-GB"/>
        </w:rPr>
        <w:t xml:space="preserve">. Noting that “there are some cases of stuffed birds, some native weapons, and other things of interest already in the building”, the </w:t>
      </w:r>
      <w:r w:rsidR="00FA5362" w:rsidRPr="00DE21A7">
        <w:rPr>
          <w:i/>
          <w:iCs/>
          <w:lang w:val="en-GB"/>
        </w:rPr>
        <w:t>Advertiser</w:t>
      </w:r>
      <w:r w:rsidR="00FA5362" w:rsidRPr="00DE21A7">
        <w:rPr>
          <w:lang w:val="en-GB"/>
        </w:rPr>
        <w:t xml:space="preserve"> complains that what the museum “chiefly wants is a complete cabinet of geological specimens”.</w:t>
      </w:r>
      <w:r w:rsidR="00FA5362" w:rsidRPr="00DE21A7">
        <w:rPr>
          <w:rStyle w:val="EndnoteReference"/>
          <w:lang w:val="en-GB"/>
        </w:rPr>
        <w:endnoteReference w:id="78"/>
      </w:r>
      <w:r w:rsidR="00FA5362" w:rsidRPr="00DE21A7">
        <w:rPr>
          <w:lang w:val="en-GB"/>
        </w:rPr>
        <w:t xml:space="preserve"> In responding to these dual </w:t>
      </w:r>
      <w:r w:rsidR="00FA5362" w:rsidRPr="00DE21A7">
        <w:rPr>
          <w:lang w:val="en-GB"/>
        </w:rPr>
        <w:lastRenderedPageBreak/>
        <w:t xml:space="preserve">purposes—of natural history and scientific and economic progress—the institutes and their museums could participate in imperial conversations about the region and colony’s past, its “penetration of </w:t>
      </w:r>
      <w:r w:rsidR="00FA5362" w:rsidRPr="00DE21A7">
        <w:rPr>
          <w:i/>
          <w:iCs/>
          <w:lang w:val="en-GB"/>
        </w:rPr>
        <w:t>terra incognita</w:t>
      </w:r>
      <w:r w:rsidR="00FA5362" w:rsidRPr="00DE21A7">
        <w:rPr>
          <w:lang w:val="en-GB"/>
        </w:rPr>
        <w:t xml:space="preserve">”, its </w:t>
      </w:r>
      <w:r w:rsidR="00375F5D">
        <w:rPr>
          <w:lang w:val="en-GB"/>
        </w:rPr>
        <w:t>“settler transition”</w:t>
      </w:r>
      <w:r w:rsidR="00FA5362" w:rsidRPr="00DE21A7">
        <w:rPr>
          <w:lang w:val="en-GB"/>
        </w:rPr>
        <w:t>, and its future progress.</w:t>
      </w:r>
    </w:p>
    <w:p w14:paraId="17726446" w14:textId="7A3DE87A" w:rsidR="00FA5362" w:rsidRPr="00DE21A7" w:rsidRDefault="00FA5362" w:rsidP="00DE21A7">
      <w:pPr>
        <w:autoSpaceDE w:val="0"/>
        <w:autoSpaceDN w:val="0"/>
        <w:adjustRightInd w:val="0"/>
        <w:spacing w:line="480" w:lineRule="auto"/>
        <w:ind w:firstLine="720"/>
        <w:jc w:val="both"/>
        <w:rPr>
          <w:lang w:val="en-GB"/>
        </w:rPr>
      </w:pPr>
      <w:r w:rsidRPr="00DE21A7">
        <w:rPr>
          <w:lang w:val="en-GB"/>
        </w:rPr>
        <w:t xml:space="preserve">These conversations could also involve intercolonial exchanges through specimen donations, purchases, and exhibitions. </w:t>
      </w:r>
      <w:r w:rsidR="001D4BEE">
        <w:rPr>
          <w:lang w:val="en-GB"/>
        </w:rPr>
        <w:t>D</w:t>
      </w:r>
      <w:r w:rsidR="001D4BEE" w:rsidRPr="00DE21A7">
        <w:rPr>
          <w:lang w:val="en-GB"/>
        </w:rPr>
        <w:t>emonstrating an interest in comparative geological history</w:t>
      </w:r>
      <w:r w:rsidR="001D4BEE">
        <w:rPr>
          <w:lang w:val="en-GB"/>
        </w:rPr>
        <w:t>, for example, t</w:t>
      </w:r>
      <w:r w:rsidRPr="00DE21A7">
        <w:rPr>
          <w:lang w:val="en-GB"/>
        </w:rPr>
        <w:t>he Burke Museum received</w:t>
      </w:r>
      <w:r w:rsidR="001D4BEE">
        <w:rPr>
          <w:lang w:val="en-GB"/>
        </w:rPr>
        <w:t xml:space="preserve"> </w:t>
      </w:r>
      <w:r w:rsidRPr="00DE21A7">
        <w:rPr>
          <w:lang w:val="en-GB"/>
        </w:rPr>
        <w:t>a donation of “thirty-two mineral and geological specimens from the South African Diamond Fields”.</w:t>
      </w:r>
      <w:r w:rsidRPr="00DE21A7">
        <w:rPr>
          <w:rStyle w:val="EndnoteReference"/>
          <w:lang w:val="en-GB"/>
        </w:rPr>
        <w:endnoteReference w:id="79"/>
      </w:r>
      <w:r w:rsidRPr="00DE21A7">
        <w:rPr>
          <w:lang w:val="en-GB"/>
        </w:rPr>
        <w:t xml:space="preserve"> A sample of the Burke Museum’s record of donations for 1880/81 shows the range of their collection, their reliance on donations, the wide geographical scope reflected by the objects’ prov</w:t>
      </w:r>
      <w:r w:rsidR="00B66C39">
        <w:rPr>
          <w:lang w:val="en-GB"/>
        </w:rPr>
        <w:t>ena</w:t>
      </w:r>
      <w:r w:rsidRPr="00DE21A7">
        <w:rPr>
          <w:lang w:val="en-GB"/>
        </w:rPr>
        <w:t>nce</w:t>
      </w:r>
      <w:r w:rsidR="009C5744">
        <w:rPr>
          <w:lang w:val="en-GB"/>
        </w:rPr>
        <w:t xml:space="preserve">, and is suggestive of the intercolonial and transnational reach of these regional institutes </w:t>
      </w:r>
      <w:r w:rsidRPr="00DE21A7">
        <w:rPr>
          <w:lang w:val="en-GB"/>
        </w:rPr>
        <w:t xml:space="preserve"> (Figures 2 and 3)</w:t>
      </w:r>
      <w:r w:rsidR="0012244B">
        <w:rPr>
          <w:lang w:val="en-GB"/>
        </w:rPr>
        <w:t>.</w:t>
      </w:r>
    </w:p>
    <w:p w14:paraId="2FB9FABB" w14:textId="5B94B048" w:rsidR="00FA5362" w:rsidRPr="00DE21A7" w:rsidRDefault="00FA5362" w:rsidP="00DE21A7">
      <w:pPr>
        <w:autoSpaceDE w:val="0"/>
        <w:autoSpaceDN w:val="0"/>
        <w:adjustRightInd w:val="0"/>
        <w:spacing w:line="480" w:lineRule="auto"/>
        <w:ind w:firstLine="720"/>
        <w:jc w:val="both"/>
        <w:rPr>
          <w:lang w:val="en-GB"/>
        </w:rPr>
      </w:pPr>
      <w:r w:rsidRPr="00DE21A7">
        <w:rPr>
          <w:noProof/>
        </w:rPr>
        <w:drawing>
          <wp:inline distT="0" distB="0" distL="0" distR="0" wp14:anchorId="09FD69D9" wp14:editId="62DE9D1B">
            <wp:extent cx="2318084" cy="1952986"/>
            <wp:effectExtent l="0" t="0" r="0" b="3175"/>
            <wp:docPr id="4" name="Picture 3" descr="A close up of a newspaper&#10;&#10;Description automatically generated">
              <a:extLst xmlns:a="http://schemas.openxmlformats.org/drawingml/2006/main">
                <a:ext uri="{FF2B5EF4-FFF2-40B4-BE49-F238E27FC236}">
                  <a16:creationId xmlns:a16="http://schemas.microsoft.com/office/drawing/2014/main" id="{3420550F-F524-5B43-8362-AAB8AAA967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close up of a newspaper&#10;&#10;Description automatically generated">
                      <a:extLst>
                        <a:ext uri="{FF2B5EF4-FFF2-40B4-BE49-F238E27FC236}">
                          <a16:creationId xmlns:a16="http://schemas.microsoft.com/office/drawing/2014/main" id="{3420550F-F524-5B43-8362-AAB8AAA9676F}"/>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2318084" cy="1952986"/>
                    </a:xfrm>
                    <a:prstGeom prst="rect">
                      <a:avLst/>
                    </a:prstGeom>
                  </pic:spPr>
                </pic:pic>
              </a:graphicData>
            </a:graphic>
          </wp:inline>
        </w:drawing>
      </w:r>
      <w:r w:rsidRPr="00DE21A7">
        <w:rPr>
          <w:lang w:val="en-GB"/>
        </w:rPr>
        <w:t xml:space="preserve"> </w:t>
      </w:r>
      <w:r w:rsidRPr="00DE21A7">
        <w:rPr>
          <w:noProof/>
        </w:rPr>
        <w:drawing>
          <wp:inline distT="0" distB="0" distL="0" distR="0" wp14:anchorId="08829918" wp14:editId="292FEC3B">
            <wp:extent cx="2574758" cy="3198458"/>
            <wp:effectExtent l="0" t="0" r="3810" b="2540"/>
            <wp:docPr id="5" name="Picture 4" descr="A close up of a newspaper&#10;&#10;Description automatically generated">
              <a:extLst xmlns:a="http://schemas.openxmlformats.org/drawingml/2006/main">
                <a:ext uri="{FF2B5EF4-FFF2-40B4-BE49-F238E27FC236}">
                  <a16:creationId xmlns:a16="http://schemas.microsoft.com/office/drawing/2014/main" id="{D522E77D-9028-7A45-A435-3AA28271B6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close up of a newspaper&#10;&#10;Description automatically generated">
                      <a:extLst>
                        <a:ext uri="{FF2B5EF4-FFF2-40B4-BE49-F238E27FC236}">
                          <a16:creationId xmlns:a16="http://schemas.microsoft.com/office/drawing/2014/main" id="{D522E77D-9028-7A45-A435-3AA28271B68E}"/>
                        </a:ext>
                      </a:extLst>
                    </pic:cNvPr>
                    <pic:cNvPicPr>
                      <a:picLocks noChangeAspect="1"/>
                    </pic:cNvPicPr>
                  </pic:nvPicPr>
                  <pic:blipFill>
                    <a:blip r:embed="rId8"/>
                    <a:stretch>
                      <a:fillRect/>
                    </a:stretch>
                  </pic:blipFill>
                  <pic:spPr>
                    <a:xfrm>
                      <a:off x="0" y="0"/>
                      <a:ext cx="2585709" cy="3212062"/>
                    </a:xfrm>
                    <a:prstGeom prst="rect">
                      <a:avLst/>
                    </a:prstGeom>
                  </pic:spPr>
                </pic:pic>
              </a:graphicData>
            </a:graphic>
          </wp:inline>
        </w:drawing>
      </w:r>
    </w:p>
    <w:p w14:paraId="723BB33D" w14:textId="7817B3CB" w:rsidR="00FA5362" w:rsidRPr="00DE21A7" w:rsidRDefault="00FA5362" w:rsidP="004A4267">
      <w:pPr>
        <w:autoSpaceDE w:val="0"/>
        <w:autoSpaceDN w:val="0"/>
        <w:adjustRightInd w:val="0"/>
        <w:jc w:val="both"/>
        <w:rPr>
          <w:b/>
          <w:bCs/>
          <w:lang w:val="en-GB"/>
        </w:rPr>
      </w:pPr>
      <w:r w:rsidRPr="00DE21A7">
        <w:rPr>
          <w:b/>
          <w:bCs/>
          <w:lang w:val="en-GB"/>
        </w:rPr>
        <w:t xml:space="preserve">Figures 2 and 3: Extracts from </w:t>
      </w:r>
      <w:r w:rsidRPr="00DE21A7">
        <w:rPr>
          <w:b/>
          <w:bCs/>
          <w:i/>
          <w:iCs/>
          <w:lang w:val="en-GB"/>
        </w:rPr>
        <w:t>Ovens and Murray Advertiser</w:t>
      </w:r>
      <w:r w:rsidRPr="00DE21A7">
        <w:rPr>
          <w:b/>
          <w:bCs/>
          <w:lang w:val="en-GB"/>
        </w:rPr>
        <w:t>, Saturday 30 July 1881, 1</w:t>
      </w:r>
      <w:r w:rsidR="004A4267">
        <w:rPr>
          <w:b/>
          <w:bCs/>
          <w:lang w:val="en-GB"/>
        </w:rPr>
        <w:t xml:space="preserve"> [Trove, National Library of Australia]</w:t>
      </w:r>
    </w:p>
    <w:p w14:paraId="654A8829" w14:textId="77777777" w:rsidR="00FA5362" w:rsidRPr="00DE21A7" w:rsidRDefault="00FA5362" w:rsidP="00DE21A7">
      <w:pPr>
        <w:autoSpaceDE w:val="0"/>
        <w:autoSpaceDN w:val="0"/>
        <w:adjustRightInd w:val="0"/>
        <w:spacing w:line="480" w:lineRule="auto"/>
        <w:jc w:val="both"/>
        <w:rPr>
          <w:b/>
          <w:bCs/>
          <w:lang w:val="en-GB"/>
        </w:rPr>
      </w:pPr>
    </w:p>
    <w:p w14:paraId="3AB21C47" w14:textId="13A06173" w:rsidR="00FA5362" w:rsidRPr="00DE21A7" w:rsidRDefault="00FA5362" w:rsidP="00DE21A7">
      <w:pPr>
        <w:autoSpaceDE w:val="0"/>
        <w:autoSpaceDN w:val="0"/>
        <w:adjustRightInd w:val="0"/>
        <w:spacing w:line="480" w:lineRule="auto"/>
        <w:jc w:val="both"/>
        <w:rPr>
          <w:lang w:val="en-GB"/>
        </w:rPr>
      </w:pPr>
      <w:r w:rsidRPr="00DE21A7">
        <w:rPr>
          <w:lang w:val="en-GB"/>
        </w:rPr>
        <w:t>In addition to the donations from individuals, the Burke Museum also had a profitable relationship with the Australian Museum in Sydney, securing a “valuable collection of specimens in natural history”.</w:t>
      </w:r>
      <w:r w:rsidRPr="00DE21A7">
        <w:rPr>
          <w:rStyle w:val="EndnoteReference"/>
          <w:lang w:val="en-GB"/>
        </w:rPr>
        <w:endnoteReference w:id="80"/>
      </w:r>
      <w:r w:rsidRPr="00DE21A7">
        <w:rPr>
          <w:lang w:val="en-GB"/>
        </w:rPr>
        <w:t xml:space="preserve"> The “Specimens of </w:t>
      </w:r>
      <w:proofErr w:type="spellStart"/>
      <w:r w:rsidRPr="00DE21A7">
        <w:rPr>
          <w:lang w:val="en-GB"/>
        </w:rPr>
        <w:t>Ethnotypical</w:t>
      </w:r>
      <w:proofErr w:type="spellEnd"/>
      <w:r w:rsidRPr="00DE21A7">
        <w:rPr>
          <w:lang w:val="en-GB"/>
        </w:rPr>
        <w:t xml:space="preserve"> Art” demonstrates that the </w:t>
      </w:r>
      <w:r w:rsidRPr="00DE21A7">
        <w:rPr>
          <w:lang w:val="en-GB"/>
        </w:rPr>
        <w:lastRenderedPageBreak/>
        <w:t>institute’s collecting and exhibiting impulses extended to ethnographical material and the collecting of Indigenous artefacts and objects (such as clothing, baskets, and weapons) not just from the colonies of Australia, but from the wider Australasian region, including Fiji, Samoa, and the Solomon Islands. Similarly, during its fine arts exhibition in 1869</w:t>
      </w:r>
      <w:r w:rsidR="0012244B">
        <w:rPr>
          <w:lang w:val="en-GB"/>
        </w:rPr>
        <w:t>,</w:t>
      </w:r>
      <w:r w:rsidRPr="00DE21A7">
        <w:rPr>
          <w:lang w:val="en-GB"/>
        </w:rPr>
        <w:t xml:space="preserve"> the SMI featured a “small collection of the weapons of [A]</w:t>
      </w:r>
      <w:proofErr w:type="spellStart"/>
      <w:r w:rsidRPr="00DE21A7">
        <w:rPr>
          <w:lang w:val="en-GB"/>
        </w:rPr>
        <w:t>borigines</w:t>
      </w:r>
      <w:proofErr w:type="spellEnd"/>
      <w:r w:rsidRPr="00DE21A7">
        <w:rPr>
          <w:lang w:val="en-GB"/>
        </w:rPr>
        <w:t>, and some fine examples of Indian and Chinese art in carving and embroidery”.</w:t>
      </w:r>
      <w:r w:rsidRPr="00DE21A7">
        <w:rPr>
          <w:rStyle w:val="EndnoteReference"/>
          <w:lang w:val="en-GB"/>
        </w:rPr>
        <w:endnoteReference w:id="81"/>
      </w:r>
      <w:r w:rsidRPr="00DE21A7">
        <w:rPr>
          <w:lang w:val="en-GB"/>
        </w:rPr>
        <w:t xml:space="preserve"> Exhibitions held at the BMI in the 1860s and 70s also illustrate the interest in ethnographic material featuring portraits of Indigenous Tasmanians that played into the “extinct race” narrative with special mention of the portrait of “the last of the race, </w:t>
      </w:r>
      <w:proofErr w:type="spellStart"/>
      <w:r w:rsidRPr="00DE21A7">
        <w:rPr>
          <w:lang w:val="en-GB"/>
        </w:rPr>
        <w:t>Truganini</w:t>
      </w:r>
      <w:proofErr w:type="spellEnd"/>
      <w:r w:rsidRPr="00DE21A7">
        <w:rPr>
          <w:lang w:val="en-GB"/>
        </w:rPr>
        <w:t xml:space="preserve">”, and reflecting the popularity of collecting </w:t>
      </w:r>
      <w:proofErr w:type="spellStart"/>
      <w:r w:rsidRPr="00DE21A7">
        <w:rPr>
          <w:lang w:val="en-GB"/>
        </w:rPr>
        <w:t>toi</w:t>
      </w:r>
      <w:proofErr w:type="spellEnd"/>
      <w:r w:rsidRPr="00DE21A7">
        <w:rPr>
          <w:lang w:val="en-GB"/>
        </w:rPr>
        <w:t xml:space="preserve"> </w:t>
      </w:r>
      <w:proofErr w:type="spellStart"/>
      <w:r w:rsidRPr="00DE21A7">
        <w:rPr>
          <w:lang w:val="en-GB"/>
        </w:rPr>
        <w:t>moko</w:t>
      </w:r>
      <w:proofErr w:type="spellEnd"/>
      <w:r w:rsidRPr="00DE21A7">
        <w:rPr>
          <w:lang w:val="en-GB"/>
        </w:rPr>
        <w:t>, “Messrs Wayne and Brind exhibit[ed] the face of a New Zealand Chief in spirits”.</w:t>
      </w:r>
      <w:r w:rsidRPr="00DE21A7">
        <w:rPr>
          <w:rStyle w:val="EndnoteReference"/>
          <w:lang w:val="en-GB"/>
        </w:rPr>
        <w:endnoteReference w:id="82"/>
      </w:r>
      <w:r w:rsidRPr="00DE21A7">
        <w:rPr>
          <w:lang w:val="en-GB"/>
        </w:rPr>
        <w:t xml:space="preserve"> </w:t>
      </w:r>
    </w:p>
    <w:p w14:paraId="3FBA297B" w14:textId="6A1E295E" w:rsidR="00FA5362" w:rsidRPr="00DE21A7" w:rsidRDefault="00FA5362" w:rsidP="00DE21A7">
      <w:pPr>
        <w:autoSpaceDE w:val="0"/>
        <w:autoSpaceDN w:val="0"/>
        <w:adjustRightInd w:val="0"/>
        <w:spacing w:line="480" w:lineRule="auto"/>
        <w:ind w:firstLine="720"/>
        <w:jc w:val="both"/>
        <w:rPr>
          <w:lang w:val="en-GB"/>
        </w:rPr>
      </w:pPr>
      <w:r w:rsidRPr="00DE21A7">
        <w:rPr>
          <w:lang w:val="en-GB"/>
        </w:rPr>
        <w:t>In 1868, the Burke Museum secured the purchase of R. E. Johns’ extensive ethnographic collection. An inexhaustible amateur collector, Johns had, according to Griffiths, collected “almost one hundred Aboriginal artefacts” by 1868 which “came to constitute one of the most significant collections of the material culture of south-eastern Australian Aborigines (Kooris)”.</w:t>
      </w:r>
      <w:r w:rsidRPr="00DE21A7">
        <w:rPr>
          <w:rStyle w:val="EndnoteReference"/>
          <w:lang w:val="en-GB"/>
        </w:rPr>
        <w:endnoteReference w:id="83"/>
      </w:r>
      <w:r w:rsidRPr="00DE21A7">
        <w:rPr>
          <w:lang w:val="en-GB"/>
        </w:rPr>
        <w:t xml:space="preserve"> The “native weapons” from the Johns collections were so highly valued that they were arranged as a “trophy” and selected for exhibition by the Victorian </w:t>
      </w:r>
      <w:r w:rsidR="00B633CD">
        <w:rPr>
          <w:lang w:val="en-GB"/>
        </w:rPr>
        <w:t>c</w:t>
      </w:r>
      <w:r w:rsidRPr="00DE21A7">
        <w:rPr>
          <w:lang w:val="en-GB"/>
        </w:rPr>
        <w:t xml:space="preserve">olonial </w:t>
      </w:r>
      <w:r w:rsidR="00B633CD">
        <w:rPr>
          <w:lang w:val="en-GB"/>
        </w:rPr>
        <w:t>c</w:t>
      </w:r>
      <w:r w:rsidRPr="00DE21A7">
        <w:rPr>
          <w:lang w:val="en-GB"/>
        </w:rPr>
        <w:t>ommissioners for the Paris International Exhibition of 1878. Again emphasising the distinction between “prehistoric” and “civilised” races and the trajectory of human progress, the 1867 Paris Exhibition “introduced a new section of exhibits entitled ‘The history of labour’, which displayed the history of the arts and crafts of humanity from prehistoric times to the eighteenth century” with the nineteenth century “symbolically” severed from “this evolutionary display” by its industrial metonym: the machine.</w:t>
      </w:r>
      <w:r w:rsidRPr="00DE21A7">
        <w:rPr>
          <w:rStyle w:val="EndnoteReference"/>
          <w:lang w:val="en-GB"/>
        </w:rPr>
        <w:endnoteReference w:id="84"/>
      </w:r>
      <w:r w:rsidRPr="00DE21A7">
        <w:rPr>
          <w:lang w:val="en-GB"/>
        </w:rPr>
        <w:t xml:space="preserve"> The display of the Johns collection of native weapons at the 1878 exhibition with its placement at the start of such an evolutionary narrative and described in the catalogue as a “[c]</w:t>
      </w:r>
      <w:proofErr w:type="spellStart"/>
      <w:r w:rsidRPr="00DE21A7">
        <w:rPr>
          <w:lang w:val="en-GB"/>
        </w:rPr>
        <w:t>ollection</w:t>
      </w:r>
      <w:proofErr w:type="spellEnd"/>
      <w:r w:rsidRPr="00DE21A7">
        <w:rPr>
          <w:lang w:val="en-GB"/>
        </w:rPr>
        <w:t xml:space="preserve"> of weapons employed in war and the chase by the aboriginal inhabitants of Victoria”, “proclaimed”, according to </w:t>
      </w:r>
      <w:r w:rsidRPr="00DE21A7">
        <w:rPr>
          <w:lang w:val="en-GB"/>
        </w:rPr>
        <w:lastRenderedPageBreak/>
        <w:t>Griffiths, the “primitive nature of Australia’s relic savages”.</w:t>
      </w:r>
      <w:r w:rsidRPr="00DE21A7">
        <w:rPr>
          <w:rStyle w:val="EndnoteReference"/>
          <w:lang w:val="en-GB"/>
        </w:rPr>
        <w:endnoteReference w:id="85"/>
      </w:r>
      <w:r w:rsidRPr="00DE21A7">
        <w:rPr>
          <w:lang w:val="en-GB"/>
        </w:rPr>
        <w:t xml:space="preserve"> The arrangement of the weapons as a trophy, though “aesthetically compelling” was part of a “discursive continuum” that aimed to capture and represent the “evolutionary paradigm”.</w:t>
      </w:r>
      <w:r w:rsidRPr="00DE21A7">
        <w:rPr>
          <w:rStyle w:val="EndnoteReference"/>
          <w:lang w:val="en-GB"/>
        </w:rPr>
        <w:endnoteReference w:id="86"/>
      </w:r>
    </w:p>
    <w:p w14:paraId="25C5072E" w14:textId="75A17E45" w:rsidR="00FA5362" w:rsidRPr="00DE21A7" w:rsidRDefault="00FA5362" w:rsidP="00DE21A7">
      <w:pPr>
        <w:autoSpaceDE w:val="0"/>
        <w:autoSpaceDN w:val="0"/>
        <w:adjustRightInd w:val="0"/>
        <w:spacing w:line="480" w:lineRule="auto"/>
        <w:ind w:firstLine="720"/>
        <w:jc w:val="both"/>
        <w:rPr>
          <w:lang w:val="en-GB"/>
        </w:rPr>
      </w:pPr>
      <w:r w:rsidRPr="00DE21A7">
        <w:rPr>
          <w:lang w:val="en-GB"/>
        </w:rPr>
        <w:t>The “native weapons trophy” situated the Beechworth Athenaeum and Burke Museum in an international and intercolonial network of exchange and display. In 1882 they were again approached for the display of the trophy, this time for the Amsterdam International Exhibition, but they declined to lend the</w:t>
      </w:r>
      <w:r w:rsidR="00440934">
        <w:rPr>
          <w:lang w:val="en-GB"/>
        </w:rPr>
        <w:t xml:space="preserve"> weapons</w:t>
      </w:r>
      <w:r w:rsidRPr="00DE21A7">
        <w:rPr>
          <w:lang w:val="en-GB"/>
        </w:rPr>
        <w:t xml:space="preserve"> due to prior damage.</w:t>
      </w:r>
      <w:r w:rsidRPr="00DE21A7">
        <w:rPr>
          <w:rStyle w:val="EndnoteReference"/>
          <w:lang w:val="en-GB"/>
        </w:rPr>
        <w:endnoteReference w:id="87"/>
      </w:r>
      <w:r w:rsidRPr="00DE21A7">
        <w:rPr>
          <w:lang w:val="en-GB"/>
        </w:rPr>
        <w:t xml:space="preserve"> The Athenaeum was also very active in the early 1880s in trying to secure exhibits from the Melbourne International Exhibition writing to </w:t>
      </w:r>
      <w:r w:rsidR="00B633CD">
        <w:rPr>
          <w:lang w:val="en-GB"/>
        </w:rPr>
        <w:t>c</w:t>
      </w:r>
      <w:r w:rsidRPr="00DE21A7">
        <w:rPr>
          <w:lang w:val="en-GB"/>
        </w:rPr>
        <w:t xml:space="preserve">ommissioners from the Netherlands, India, Italy, Western Australia, Queensland, Belgium, France, the German Empire, and the Straits Settlements. A letter from the Commissioner for the Straits Settlements, </w:t>
      </w:r>
      <w:proofErr w:type="spellStart"/>
      <w:r w:rsidRPr="00DE21A7">
        <w:rPr>
          <w:lang w:val="en-GB"/>
        </w:rPr>
        <w:t>Septimus</w:t>
      </w:r>
      <w:proofErr w:type="spellEnd"/>
      <w:r w:rsidRPr="00DE21A7">
        <w:rPr>
          <w:lang w:val="en-GB"/>
        </w:rPr>
        <w:t xml:space="preserve"> Bryce, shows that the Athenaeum included a photograph of the museum and library with their request and that “though a great part of exhibits” had already been promised to other “Public Institutions”, Bryce would “only to be too happy to include” the institute in the donation of exhibits.</w:t>
      </w:r>
      <w:r w:rsidRPr="00DE21A7">
        <w:rPr>
          <w:rStyle w:val="EndnoteReference"/>
          <w:lang w:val="en-GB"/>
        </w:rPr>
        <w:endnoteReference w:id="88"/>
      </w:r>
      <w:r w:rsidRPr="00DE21A7">
        <w:rPr>
          <w:lang w:val="en-GB"/>
        </w:rPr>
        <w:t xml:space="preserve"> The Belgian Commissioner’s response was equally positive, declaring he would do everything in his power and requesting “local specimens in exchange”.</w:t>
      </w:r>
      <w:r w:rsidRPr="00DE21A7">
        <w:rPr>
          <w:rStyle w:val="EndnoteReference"/>
          <w:lang w:val="en-GB"/>
        </w:rPr>
        <w:endnoteReference w:id="89"/>
      </w:r>
      <w:r w:rsidRPr="00DE21A7">
        <w:rPr>
          <w:lang w:val="en-GB"/>
        </w:rPr>
        <w:t xml:space="preserve"> Through their engagement with the intercolonial exhibitions and the various colonial commissioners, the Beechworth Athenaeum and Burke Museum was able to contribute to the </w:t>
      </w:r>
      <w:r w:rsidR="000C0CB6">
        <w:rPr>
          <w:lang w:val="en-GB"/>
        </w:rPr>
        <w:t>C</w:t>
      </w:r>
      <w:r w:rsidRPr="00DE21A7">
        <w:rPr>
          <w:lang w:val="en-GB"/>
        </w:rPr>
        <w:t>olony of Victoria’s narrative of colonial progress, “</w:t>
      </w:r>
      <w:proofErr w:type="spellStart"/>
      <w:r w:rsidRPr="00DE21A7">
        <w:rPr>
          <w:lang w:val="en-GB"/>
        </w:rPr>
        <w:t>shap</w:t>
      </w:r>
      <w:proofErr w:type="spellEnd"/>
      <w:r w:rsidRPr="00DE21A7">
        <w:rPr>
          <w:lang w:val="en-GB"/>
        </w:rPr>
        <w:t>[</w:t>
      </w:r>
      <w:proofErr w:type="spellStart"/>
      <w:r w:rsidRPr="00DE21A7">
        <w:rPr>
          <w:lang w:val="en-GB"/>
        </w:rPr>
        <w:t>ing</w:t>
      </w:r>
      <w:proofErr w:type="spellEnd"/>
      <w:r w:rsidRPr="00DE21A7">
        <w:rPr>
          <w:lang w:val="en-GB"/>
        </w:rPr>
        <w:t>] understandings of the world at local, national and global levels” and embracing the marketing campaign of the exhibitions as displays of “colonial and national advancement in global trade”.</w:t>
      </w:r>
      <w:r w:rsidRPr="00DE21A7">
        <w:rPr>
          <w:rStyle w:val="EndnoteReference"/>
          <w:lang w:val="en-GB"/>
        </w:rPr>
        <w:endnoteReference w:id="90"/>
      </w:r>
      <w:r w:rsidRPr="00DE21A7">
        <w:rPr>
          <w:lang w:val="en-GB"/>
        </w:rPr>
        <w:t xml:space="preserve"> Part of a global network of imperial exchange, a regional literary institute was able to display its part in the success of the settler imperative to cultivate and improve.</w:t>
      </w:r>
      <w:r w:rsidR="00F16254">
        <w:rPr>
          <w:lang w:val="en-GB"/>
        </w:rPr>
        <w:t xml:space="preserve"> </w:t>
      </w:r>
    </w:p>
    <w:p w14:paraId="1E31B8CD" w14:textId="723B463F" w:rsidR="00FA5362" w:rsidRDefault="00FA5362" w:rsidP="00D057FC">
      <w:pPr>
        <w:autoSpaceDE w:val="0"/>
        <w:autoSpaceDN w:val="0"/>
        <w:adjustRightInd w:val="0"/>
        <w:spacing w:line="480" w:lineRule="auto"/>
        <w:ind w:firstLine="720"/>
        <w:jc w:val="both"/>
        <w:rPr>
          <w:lang w:val="en-GB"/>
        </w:rPr>
      </w:pPr>
      <w:r w:rsidRPr="00DE21A7">
        <w:rPr>
          <w:lang w:val="en-GB"/>
        </w:rPr>
        <w:t>In addition to the collection of “</w:t>
      </w:r>
      <w:proofErr w:type="spellStart"/>
      <w:r w:rsidRPr="00DE21A7">
        <w:rPr>
          <w:lang w:val="en-GB"/>
        </w:rPr>
        <w:t>ethnotypical</w:t>
      </w:r>
      <w:proofErr w:type="spellEnd"/>
      <w:r w:rsidRPr="00DE21A7">
        <w:rPr>
          <w:lang w:val="en-GB"/>
        </w:rPr>
        <w:t xml:space="preserve"> art”, the surviving catalogue and ephemera of the Beechworth Athenaeum and Burke Museum also reveal a global collection of skulls </w:t>
      </w:r>
      <w:r w:rsidRPr="00DE21A7">
        <w:rPr>
          <w:lang w:val="en-GB"/>
        </w:rPr>
        <w:lastRenderedPageBreak/>
        <w:t>including those of Indigenous Australians. Incorporating them into a racial and even a religious taxonomy of display, the “Inventory and Description of Skulls” records them as: “Chinese of Canton. aged 37 years”; “Hindoo of Madras. Age 45 years”; “Hindoo of Bombay. Male. A.D. 1865”; “Arab of Bombay. Male. A.D. 1865”; “Mussulman of Bombay. Male. A.D. 1865”; “Australian Aboriginal. Wimmera. Age about 28 years”; “Australian Aboriginal. Wimmera”; “Caffre, South Africa. Presented by Mr Charles Longmore”.</w:t>
      </w:r>
      <w:r w:rsidRPr="00DE21A7">
        <w:rPr>
          <w:rStyle w:val="EndnoteReference"/>
          <w:lang w:val="en-GB"/>
        </w:rPr>
        <w:endnoteReference w:id="91"/>
      </w:r>
      <w:r w:rsidRPr="00DE21A7">
        <w:rPr>
          <w:lang w:val="en-GB"/>
        </w:rPr>
        <w:t xml:space="preserve"> Only the provenance of the South African skull is recorded in the catalogue and the 1874 annual report dates the donation of this skull by Charles Longmore. Given the known unethical history of R. E. Johns’ collecting activities, we may speculate that the Indigenous Australian skulls recorded are from Johns’ original collection. As Griffiths has shown, Johns celebrated the robbing of Indigenous Australian graves in the Wimmera region in a diary entry from 1865: “… after a short search we found the </w:t>
      </w:r>
      <w:r w:rsidR="00907C4E">
        <w:rPr>
          <w:lang w:val="en-GB"/>
        </w:rPr>
        <w:t>[A]</w:t>
      </w:r>
      <w:proofErr w:type="spellStart"/>
      <w:r w:rsidRPr="00DE21A7">
        <w:rPr>
          <w:lang w:val="en-GB"/>
        </w:rPr>
        <w:t>boriginal</w:t>
      </w:r>
      <w:proofErr w:type="spellEnd"/>
      <w:r w:rsidRPr="00DE21A7">
        <w:rPr>
          <w:lang w:val="en-GB"/>
        </w:rPr>
        <w:t xml:space="preserve"> graves we came to open and at once set to work with pick and shovel by the bright moonlight”.</w:t>
      </w:r>
      <w:r w:rsidRPr="00DE21A7">
        <w:rPr>
          <w:rStyle w:val="EndnoteReference"/>
          <w:lang w:val="en-GB"/>
        </w:rPr>
        <w:endnoteReference w:id="92"/>
      </w:r>
      <w:r w:rsidRPr="00DE21A7">
        <w:rPr>
          <w:lang w:val="en-GB"/>
        </w:rPr>
        <w:t xml:space="preserve"> It is not clear how these skulls fitted into the museum’s collection, whether they were on display as “anatomical specimens” or ever used in phrenological demonstrations. It also uncertain how long the skulls remained in the collection, appearing now only as an archival trace. Recognising the unethical collecting practices of Johns, however, the Burke Museum has in recent years undertaken a process of consultation with traditional owners and in 201</w:t>
      </w:r>
      <w:r w:rsidR="003530E0">
        <w:rPr>
          <w:lang w:val="en-GB"/>
        </w:rPr>
        <w:t>8</w:t>
      </w:r>
      <w:r w:rsidRPr="00DE21A7">
        <w:rPr>
          <w:lang w:val="en-GB"/>
        </w:rPr>
        <w:t xml:space="preserve"> repatriated thirteen of the objects from the Johns collection to the </w:t>
      </w:r>
      <w:proofErr w:type="spellStart"/>
      <w:r w:rsidRPr="00DE21A7">
        <w:rPr>
          <w:lang w:val="en-GB"/>
        </w:rPr>
        <w:t>Dja</w:t>
      </w:r>
      <w:proofErr w:type="spellEnd"/>
      <w:r w:rsidRPr="00DE21A7">
        <w:rPr>
          <w:lang w:val="en-GB"/>
        </w:rPr>
        <w:t xml:space="preserve"> </w:t>
      </w:r>
      <w:proofErr w:type="spellStart"/>
      <w:r w:rsidRPr="00DE21A7">
        <w:rPr>
          <w:lang w:val="en-GB"/>
        </w:rPr>
        <w:t>Dja</w:t>
      </w:r>
      <w:proofErr w:type="spellEnd"/>
      <w:r w:rsidRPr="00DE21A7">
        <w:rPr>
          <w:lang w:val="en-GB"/>
        </w:rPr>
        <w:t xml:space="preserve"> Wurrung people and is in the process of returning newly identified material.</w:t>
      </w:r>
      <w:r w:rsidR="003530E0">
        <w:rPr>
          <w:rStyle w:val="EndnoteReference"/>
          <w:lang w:val="en-GB"/>
        </w:rPr>
        <w:endnoteReference w:id="93"/>
      </w:r>
      <w:r w:rsidRPr="00DE21A7">
        <w:rPr>
          <w:lang w:val="en-GB"/>
        </w:rPr>
        <w:t xml:space="preserve"> According to Ashleigh </w:t>
      </w:r>
      <w:proofErr w:type="spellStart"/>
      <w:r w:rsidRPr="00DE21A7">
        <w:rPr>
          <w:lang w:val="en-GB"/>
        </w:rPr>
        <w:t>Giffney</w:t>
      </w:r>
      <w:proofErr w:type="spellEnd"/>
      <w:r w:rsidRPr="00DE21A7">
        <w:rPr>
          <w:lang w:val="en-GB"/>
        </w:rPr>
        <w:t>, Collections Manager at the Burke Museum</w:t>
      </w:r>
      <w:r w:rsidR="00D057FC">
        <w:rPr>
          <w:lang w:val="en-GB"/>
        </w:rPr>
        <w:t>: “R</w:t>
      </w:r>
      <w:r w:rsidRPr="00DE21A7">
        <w:rPr>
          <w:lang w:val="en-GB"/>
        </w:rPr>
        <w:t>epatriation has become a permanent program at the Burke Museum</w:t>
      </w:r>
      <w:r w:rsidR="00D057FC">
        <w:rPr>
          <w:lang w:val="en-GB"/>
        </w:rPr>
        <w:t>.”</w:t>
      </w:r>
      <w:r w:rsidRPr="00DE21A7">
        <w:rPr>
          <w:rStyle w:val="EndnoteReference"/>
          <w:lang w:val="en-GB"/>
        </w:rPr>
        <w:endnoteReference w:id="94"/>
      </w:r>
    </w:p>
    <w:p w14:paraId="7239902B" w14:textId="255CA3EE" w:rsidR="00D96578" w:rsidRDefault="00D96578" w:rsidP="00DE21A7">
      <w:pPr>
        <w:autoSpaceDE w:val="0"/>
        <w:autoSpaceDN w:val="0"/>
        <w:adjustRightInd w:val="0"/>
        <w:spacing w:line="480" w:lineRule="auto"/>
        <w:ind w:firstLine="720"/>
        <w:jc w:val="both"/>
        <w:rPr>
          <w:lang w:val="en-GB"/>
        </w:rPr>
      </w:pPr>
    </w:p>
    <w:p w14:paraId="6E09AC76" w14:textId="541AC924" w:rsidR="00D96578" w:rsidRPr="000E2355" w:rsidRDefault="000E2355" w:rsidP="000E2355">
      <w:pPr>
        <w:autoSpaceDE w:val="0"/>
        <w:autoSpaceDN w:val="0"/>
        <w:adjustRightInd w:val="0"/>
        <w:spacing w:line="480" w:lineRule="auto"/>
        <w:jc w:val="both"/>
        <w:rPr>
          <w:b/>
          <w:bCs/>
          <w:lang w:val="en-GB"/>
        </w:rPr>
      </w:pPr>
      <w:r>
        <w:rPr>
          <w:b/>
          <w:bCs/>
          <w:lang w:val="en-GB"/>
        </w:rPr>
        <w:t>A Colonial Institution of Improving Knowledge and Settlement</w:t>
      </w:r>
    </w:p>
    <w:p w14:paraId="57848494" w14:textId="2013BBDA" w:rsidR="0099595A" w:rsidRDefault="00E62DFE" w:rsidP="000E2355">
      <w:pPr>
        <w:autoSpaceDE w:val="0"/>
        <w:autoSpaceDN w:val="0"/>
        <w:adjustRightInd w:val="0"/>
        <w:spacing w:line="480" w:lineRule="auto"/>
        <w:jc w:val="both"/>
        <w:rPr>
          <w:lang w:val="en-GB"/>
        </w:rPr>
      </w:pPr>
      <w:r w:rsidRPr="00DE21A7">
        <w:rPr>
          <w:lang w:val="en-GB"/>
        </w:rPr>
        <w:t xml:space="preserve">By hosting lectures, classes, and touring anatomical museums; collecting and featuring phrenological and ethnological works in their libraries; and contributing to intercolonial </w:t>
      </w:r>
      <w:r w:rsidRPr="00DE21A7">
        <w:rPr>
          <w:lang w:val="en-GB"/>
        </w:rPr>
        <w:lastRenderedPageBreak/>
        <w:t>exhibitions</w:t>
      </w:r>
      <w:r w:rsidR="00AE753D" w:rsidRPr="00DE21A7">
        <w:rPr>
          <w:lang w:val="en-GB"/>
        </w:rPr>
        <w:t>;</w:t>
      </w:r>
      <w:r w:rsidRPr="00DE21A7">
        <w:rPr>
          <w:lang w:val="en-GB"/>
        </w:rPr>
        <w:t xml:space="preserve"> the goldfields mechanics’ institutes acted as both consumers and producers of colonial knowledge. Through these activities the institutes could position themselves as participants in important debates affecting the colonies and specifically their local communities. As the exchange of letters with </w:t>
      </w:r>
      <w:r w:rsidR="007F3245">
        <w:rPr>
          <w:lang w:val="en-GB"/>
        </w:rPr>
        <w:t>c</w:t>
      </w:r>
      <w:r w:rsidRPr="00DE21A7">
        <w:rPr>
          <w:lang w:val="en-GB"/>
        </w:rPr>
        <w:t xml:space="preserve">olonial </w:t>
      </w:r>
      <w:r w:rsidR="007F3245">
        <w:rPr>
          <w:lang w:val="en-GB"/>
        </w:rPr>
        <w:t>c</w:t>
      </w:r>
      <w:r w:rsidRPr="00DE21A7">
        <w:rPr>
          <w:lang w:val="en-GB"/>
        </w:rPr>
        <w:t xml:space="preserve">ommissioners, the “inventory” of human remains, the collection of geological specimens, and their stocking of works of local natural history in their libraries testify, the </w:t>
      </w:r>
      <w:r w:rsidR="00D22392" w:rsidRPr="00DE21A7">
        <w:rPr>
          <w:lang w:val="en-GB"/>
        </w:rPr>
        <w:t xml:space="preserve">goldfields mechanics’ institutes were invested in local, regional, and global networks participating in the </w:t>
      </w:r>
      <w:r w:rsidR="00244633">
        <w:rPr>
          <w:lang w:val="en-GB"/>
        </w:rPr>
        <w:t>“</w:t>
      </w:r>
      <w:r w:rsidR="00D22392" w:rsidRPr="00DE21A7">
        <w:rPr>
          <w:lang w:val="en-GB"/>
        </w:rPr>
        <w:t>diffusion</w:t>
      </w:r>
      <w:r w:rsidR="00244633">
        <w:rPr>
          <w:lang w:val="en-GB"/>
        </w:rPr>
        <w:t>”</w:t>
      </w:r>
      <w:r w:rsidR="00D22392" w:rsidRPr="00DE21A7">
        <w:rPr>
          <w:lang w:val="en-GB"/>
        </w:rPr>
        <w:t xml:space="preserve"> of </w:t>
      </w:r>
      <w:r w:rsidR="00811FDA" w:rsidRPr="00DE21A7">
        <w:rPr>
          <w:lang w:val="en-GB"/>
        </w:rPr>
        <w:t xml:space="preserve">what they perceived to be </w:t>
      </w:r>
      <w:r w:rsidR="00D22392" w:rsidRPr="00DE21A7">
        <w:rPr>
          <w:lang w:val="en-GB"/>
        </w:rPr>
        <w:t xml:space="preserve">useful </w:t>
      </w:r>
      <w:r w:rsidR="00D22392" w:rsidRPr="00DE21A7">
        <w:rPr>
          <w:i/>
          <w:iCs/>
          <w:lang w:val="en-GB"/>
        </w:rPr>
        <w:t>colonial</w:t>
      </w:r>
      <w:r w:rsidR="00D22392" w:rsidRPr="00DE21A7">
        <w:rPr>
          <w:lang w:val="en-GB"/>
        </w:rPr>
        <w:t xml:space="preserve"> knowledge.</w:t>
      </w:r>
      <w:r w:rsidR="00800965" w:rsidRPr="00DE21A7">
        <w:rPr>
          <w:lang w:val="en-GB"/>
        </w:rPr>
        <w:t xml:space="preserve"> </w:t>
      </w:r>
      <w:r w:rsidR="00992CE7">
        <w:rPr>
          <w:lang w:val="en-GB"/>
        </w:rPr>
        <w:t>The institutes’ intercolonial and transnational exchanges also demonstrate the</w:t>
      </w:r>
      <w:r w:rsidR="00D057FC">
        <w:rPr>
          <w:lang w:val="en-GB"/>
        </w:rPr>
        <w:t xml:space="preserve"> potential of regional literary and cultural institutes to reshape our understandings of imperial scientific networks and developing narratives of racial science. Much can be gained from turning our scholarly focus </w:t>
      </w:r>
      <w:r w:rsidR="00992CE7">
        <w:rPr>
          <w:lang w:val="en-GB"/>
        </w:rPr>
        <w:t>away from traditional metropole-colony relations, as well as the traditional sites of colonial science (such as Sydney and Calcutta)</w:t>
      </w:r>
      <w:r w:rsidR="00D057FC">
        <w:rPr>
          <w:lang w:val="en-GB"/>
        </w:rPr>
        <w:t>,</w:t>
      </w:r>
      <w:r w:rsidR="00992CE7">
        <w:rPr>
          <w:lang w:val="en-GB"/>
        </w:rPr>
        <w:t xml:space="preserve"> and instead turning our attention to smaller, regional, colonial institutions that nonetheless aspired to be important node</w:t>
      </w:r>
      <w:r w:rsidR="00D057FC">
        <w:rPr>
          <w:lang w:val="en-GB"/>
        </w:rPr>
        <w:t>s</w:t>
      </w:r>
      <w:r w:rsidR="00992CE7">
        <w:rPr>
          <w:lang w:val="en-GB"/>
        </w:rPr>
        <w:t xml:space="preserve"> in the global scientific network of imperial exchange.</w:t>
      </w:r>
      <w:r w:rsidR="007755A5">
        <w:rPr>
          <w:rStyle w:val="EndnoteReference"/>
          <w:lang w:val="en-GB"/>
        </w:rPr>
        <w:endnoteReference w:id="95"/>
      </w:r>
    </w:p>
    <w:p w14:paraId="23FA902A" w14:textId="57023D01" w:rsidR="00430B61" w:rsidRPr="00DE21A7" w:rsidRDefault="00E62DFE" w:rsidP="0099595A">
      <w:pPr>
        <w:autoSpaceDE w:val="0"/>
        <w:autoSpaceDN w:val="0"/>
        <w:adjustRightInd w:val="0"/>
        <w:spacing w:line="480" w:lineRule="auto"/>
        <w:ind w:firstLine="720"/>
        <w:jc w:val="both"/>
        <w:rPr>
          <w:lang w:val="en-GB"/>
        </w:rPr>
      </w:pPr>
      <w:r w:rsidRPr="00DE21A7">
        <w:rPr>
          <w:lang w:val="en-GB"/>
        </w:rPr>
        <w:t xml:space="preserve">Their involvement in these networks of scientific exchange could have both pecuniary and material benefits as the </w:t>
      </w:r>
      <w:r w:rsidR="00800965" w:rsidRPr="00DE21A7">
        <w:rPr>
          <w:lang w:val="en-GB"/>
        </w:rPr>
        <w:t xml:space="preserve">monetary </w:t>
      </w:r>
      <w:r w:rsidRPr="00DE21A7">
        <w:rPr>
          <w:lang w:val="en-GB"/>
        </w:rPr>
        <w:t xml:space="preserve">donations from lecturers (such as </w:t>
      </w:r>
      <w:proofErr w:type="spellStart"/>
      <w:r w:rsidRPr="00DE21A7">
        <w:rPr>
          <w:lang w:val="en-GB"/>
        </w:rPr>
        <w:t>Carr</w:t>
      </w:r>
      <w:proofErr w:type="spellEnd"/>
      <w:r w:rsidRPr="00DE21A7">
        <w:rPr>
          <w:lang w:val="en-GB"/>
        </w:rPr>
        <w:t xml:space="preserve"> and Sibley)</w:t>
      </w:r>
      <w:r w:rsidR="00800965" w:rsidRPr="00DE21A7">
        <w:rPr>
          <w:lang w:val="en-GB"/>
        </w:rPr>
        <w:t xml:space="preserve"> and the donations of specimens from the Australian History Museum, </w:t>
      </w:r>
      <w:r w:rsidR="007F3245">
        <w:rPr>
          <w:lang w:val="en-GB"/>
        </w:rPr>
        <w:t>c</w:t>
      </w:r>
      <w:r w:rsidR="00800965" w:rsidRPr="00DE21A7">
        <w:rPr>
          <w:lang w:val="en-GB"/>
        </w:rPr>
        <w:t xml:space="preserve">olonial </w:t>
      </w:r>
      <w:r w:rsidR="007F3245">
        <w:rPr>
          <w:lang w:val="en-GB"/>
        </w:rPr>
        <w:t>c</w:t>
      </w:r>
      <w:r w:rsidR="00800965" w:rsidRPr="00DE21A7">
        <w:rPr>
          <w:lang w:val="en-GB"/>
        </w:rPr>
        <w:t xml:space="preserve">ommissioners, amateur collectors and scientists demonstrate. The institutes’ investment in a global material culture of racial colonial science meant that they engaged with popular “dying races” discourses, encouraged salvage ethnography, and promoted the excavation of Indigenous land both for the extraction of minerals and Indigenous remains. The colonial knowledge the goldfields institutes produced and shared, therefore, </w:t>
      </w:r>
      <w:r w:rsidR="00D22392" w:rsidRPr="00DE21A7">
        <w:rPr>
          <w:lang w:val="en-GB"/>
        </w:rPr>
        <w:t>emphasised a settler colonial logic and</w:t>
      </w:r>
      <w:r w:rsidR="00811FDA" w:rsidRPr="00DE21A7">
        <w:rPr>
          <w:lang w:val="en-GB"/>
        </w:rPr>
        <w:t xml:space="preserve"> place</w:t>
      </w:r>
      <w:r w:rsidR="001217FB" w:rsidRPr="00DE21A7">
        <w:rPr>
          <w:lang w:val="en-GB"/>
        </w:rPr>
        <w:t>d</w:t>
      </w:r>
      <w:r w:rsidR="00D22392" w:rsidRPr="00DE21A7">
        <w:rPr>
          <w:lang w:val="en-GB"/>
        </w:rPr>
        <w:t xml:space="preserve"> these regional institutions in</w:t>
      </w:r>
      <w:r w:rsidR="00AE753D" w:rsidRPr="00DE21A7">
        <w:rPr>
          <w:lang w:val="en-GB"/>
        </w:rPr>
        <w:t xml:space="preserve"> what they perceived as</w:t>
      </w:r>
      <w:r w:rsidR="00D22392" w:rsidRPr="00DE21A7">
        <w:rPr>
          <w:lang w:val="en-GB"/>
        </w:rPr>
        <w:t xml:space="preserve"> a trajectory of civili</w:t>
      </w:r>
      <w:r w:rsidR="007F3245">
        <w:rPr>
          <w:lang w:val="en-GB"/>
        </w:rPr>
        <w:t>s</w:t>
      </w:r>
      <w:r w:rsidR="00D22392" w:rsidRPr="00DE21A7">
        <w:rPr>
          <w:lang w:val="en-GB"/>
        </w:rPr>
        <w:t xml:space="preserve">ational </w:t>
      </w:r>
      <w:r w:rsidR="0039050B">
        <w:rPr>
          <w:lang w:val="en-GB"/>
        </w:rPr>
        <w:t>“improvement”</w:t>
      </w:r>
      <w:r w:rsidR="001217FB" w:rsidRPr="00DE21A7">
        <w:rPr>
          <w:lang w:val="en-GB"/>
        </w:rPr>
        <w:t xml:space="preserve"> and cultivation</w:t>
      </w:r>
      <w:r w:rsidR="00800965" w:rsidRPr="00DE21A7">
        <w:rPr>
          <w:lang w:val="en-GB"/>
        </w:rPr>
        <w:t>.</w:t>
      </w:r>
      <w:r w:rsidR="0099595A">
        <w:rPr>
          <w:lang w:val="en-GB"/>
        </w:rPr>
        <w:t xml:space="preserve"> </w:t>
      </w:r>
    </w:p>
    <w:p w14:paraId="6F414ECB" w14:textId="77777777" w:rsidR="00430B61" w:rsidRPr="00DE21A7" w:rsidRDefault="00430B61" w:rsidP="00DE21A7">
      <w:pPr>
        <w:autoSpaceDE w:val="0"/>
        <w:autoSpaceDN w:val="0"/>
        <w:adjustRightInd w:val="0"/>
        <w:spacing w:line="480" w:lineRule="auto"/>
        <w:ind w:firstLine="720"/>
        <w:jc w:val="both"/>
        <w:rPr>
          <w:lang w:val="en-GB"/>
        </w:rPr>
      </w:pPr>
    </w:p>
    <w:sectPr w:rsidR="00430B61" w:rsidRPr="00DE21A7" w:rsidSect="009C7BDC">
      <w:footerReference w:type="even" r:id="rId9"/>
      <w:footerReference w:type="default" r:id="rId10"/>
      <w:endnotePr>
        <w:numFmt w:val="decimal"/>
      </w:endnotePr>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DAE40" w14:textId="77777777" w:rsidR="00BD0C10" w:rsidRDefault="00BD0C10" w:rsidP="00A04D28">
      <w:r>
        <w:separator/>
      </w:r>
    </w:p>
  </w:endnote>
  <w:endnote w:type="continuationSeparator" w:id="0">
    <w:p w14:paraId="56D4199D" w14:textId="77777777" w:rsidR="00BD0C10" w:rsidRDefault="00BD0C10" w:rsidP="00A04D28">
      <w:r>
        <w:continuationSeparator/>
      </w:r>
    </w:p>
  </w:endnote>
  <w:endnote w:id="1">
    <w:p w14:paraId="74C5B150" w14:textId="42DF5405" w:rsidR="001B5F18" w:rsidRPr="00CB4C8F" w:rsidRDefault="001B5F18" w:rsidP="007D28CF">
      <w:pPr>
        <w:jc w:val="both"/>
        <w:rPr>
          <w:sz w:val="20"/>
          <w:szCs w:val="20"/>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Ovens and Murray Advertiser</w:t>
      </w:r>
      <w:r w:rsidRPr="00CB4C8F">
        <w:rPr>
          <w:sz w:val="20"/>
          <w:szCs w:val="20"/>
          <w:lang w:val="en-GB"/>
        </w:rPr>
        <w:t>, 29 June 1865, 2, in Trove &lt;</w:t>
      </w:r>
      <w:r w:rsidRPr="00CB4C8F">
        <w:rPr>
          <w:sz w:val="20"/>
          <w:szCs w:val="20"/>
        </w:rPr>
        <w:t>http://nla.gov.au/nla.news-article112912464</w:t>
      </w:r>
      <w:r w:rsidRPr="00CB4C8F">
        <w:rPr>
          <w:sz w:val="20"/>
          <w:szCs w:val="20"/>
          <w:lang w:val="en-GB"/>
        </w:rPr>
        <w:t>&gt;. All newspapers cited in this article are accessible online via the National Library of Australia’s Trove database.</w:t>
      </w:r>
    </w:p>
  </w:endnote>
  <w:endnote w:id="2">
    <w:p w14:paraId="193A1853" w14:textId="7BB99B55" w:rsidR="001B5F18" w:rsidRPr="00CB4C8F" w:rsidRDefault="001B5F18" w:rsidP="007D28CF">
      <w:pPr>
        <w:jc w:val="both"/>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Ovens and Murray Advertiser</w:t>
      </w:r>
      <w:r w:rsidRPr="00CB4C8F">
        <w:rPr>
          <w:sz w:val="20"/>
          <w:szCs w:val="20"/>
          <w:lang w:val="en-GB"/>
        </w:rPr>
        <w:t>, 3 May</w:t>
      </w:r>
      <w:r w:rsidR="003F2BB6">
        <w:rPr>
          <w:sz w:val="20"/>
          <w:szCs w:val="20"/>
          <w:lang w:val="en-GB"/>
        </w:rPr>
        <w:t xml:space="preserve"> </w:t>
      </w:r>
      <w:r w:rsidRPr="00CB4C8F">
        <w:rPr>
          <w:sz w:val="20"/>
          <w:szCs w:val="20"/>
          <w:lang w:val="en-GB"/>
        </w:rPr>
        <w:t>1862, 2, &lt;</w:t>
      </w:r>
      <w:hyperlink r:id="rId1" w:history="1">
        <w:r w:rsidRPr="00CB4C8F">
          <w:rPr>
            <w:rStyle w:val="Hyperlink"/>
            <w:sz w:val="20"/>
            <w:szCs w:val="20"/>
            <w:shd w:val="clear" w:color="auto" w:fill="FFFFFF"/>
            <w:lang w:val="en-GB"/>
          </w:rPr>
          <w:t>http://nla.gov.au/nla.news-article112900473</w:t>
        </w:r>
      </w:hyperlink>
      <w:r w:rsidRPr="00CB4C8F">
        <w:rPr>
          <w:color w:val="000000" w:themeColor="text1"/>
          <w:sz w:val="20"/>
          <w:szCs w:val="20"/>
          <w:shd w:val="clear" w:color="auto" w:fill="FFFFFF"/>
          <w:lang w:val="en-GB"/>
        </w:rPr>
        <w:t>&gt;.</w:t>
      </w:r>
    </w:p>
  </w:endnote>
  <w:endnote w:id="3">
    <w:p w14:paraId="60ADC629" w14:textId="77777777" w:rsidR="001A3321" w:rsidRPr="00CB4C8F" w:rsidRDefault="001A3321" w:rsidP="004E554E">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“Whig lawyer, politician, and champion of educational reform”, Lord Henry Brougham was a crucial supporter of the mechanics’ institute movement in Britain and a founder of the Society for the Diffusion of Useful Knowledge (Thomas </w:t>
      </w:r>
      <w:r w:rsidRPr="00CB4C8F">
        <w:rPr>
          <w:rFonts w:ascii="Times New Roman" w:hAnsi="Times New Roman" w:cs="Times New Roman"/>
          <w:lang w:val="en-GB"/>
        </w:rPr>
        <w:t xml:space="preserve">Palmelund Johansen, “The World Wide Web of Society for the Diffusion of Useful Knowledge: On the Circulation of Broughamite Educational Literature, 1826–1848”, </w:t>
      </w:r>
      <w:r w:rsidRPr="00CB4C8F">
        <w:rPr>
          <w:rFonts w:ascii="Times New Roman" w:hAnsi="Times New Roman" w:cs="Times New Roman"/>
          <w:i/>
          <w:iCs/>
          <w:lang w:val="en-GB"/>
        </w:rPr>
        <w:t>Victorian Periodicals Review</w:t>
      </w:r>
      <w:r w:rsidRPr="00CB4C8F">
        <w:rPr>
          <w:rFonts w:ascii="Times New Roman" w:hAnsi="Times New Roman" w:cs="Times New Roman"/>
          <w:lang w:val="en-GB"/>
        </w:rPr>
        <w:t xml:space="preserve"> 50, no. 4 (Winter 2017), 703–720 (704)). </w:t>
      </w:r>
    </w:p>
  </w:endnote>
  <w:endnote w:id="4">
    <w:p w14:paraId="2386197F" w14:textId="7480980E" w:rsidR="001A3321" w:rsidRPr="000F4A64" w:rsidRDefault="001A3321" w:rsidP="000F4A64">
      <w:pPr>
        <w:jc w:val="both"/>
        <w:rPr>
          <w:color w:val="000000" w:themeColor="text1"/>
          <w:sz w:val="20"/>
          <w:szCs w:val="20"/>
        </w:rPr>
      </w:pPr>
      <w:r w:rsidRPr="004E554E">
        <w:rPr>
          <w:rStyle w:val="EndnoteReference"/>
        </w:rPr>
        <w:endnoteRef/>
      </w:r>
      <w:r w:rsidRPr="004E554E">
        <w:t xml:space="preserve"> </w:t>
      </w:r>
      <w:r w:rsidR="004E554E" w:rsidRPr="000F4A64">
        <w:rPr>
          <w:color w:val="000000" w:themeColor="text1"/>
          <w:sz w:val="20"/>
          <w:szCs w:val="20"/>
        </w:rPr>
        <w:t>Johansen, “The World Wide Web”,</w:t>
      </w:r>
      <w:r w:rsidR="000F4A64" w:rsidRPr="000F4A64">
        <w:rPr>
          <w:color w:val="000000" w:themeColor="text1"/>
          <w:sz w:val="20"/>
          <w:szCs w:val="20"/>
        </w:rPr>
        <w:t xml:space="preserve"> 705. For a discussion of the cultural and political climate of the goldfields see, e.g., Alan Atkinson,</w:t>
      </w:r>
      <w:r w:rsidR="000F4A64">
        <w:rPr>
          <w:color w:val="000000" w:themeColor="text1"/>
          <w:sz w:val="20"/>
          <w:szCs w:val="20"/>
        </w:rPr>
        <w:t xml:space="preserve"> </w:t>
      </w:r>
      <w:r w:rsidR="000F4A64">
        <w:rPr>
          <w:i/>
          <w:iCs/>
          <w:color w:val="000000" w:themeColor="text1"/>
          <w:sz w:val="20"/>
          <w:szCs w:val="20"/>
        </w:rPr>
        <w:t>The Europeans in Australia: Democracy. A History</w:t>
      </w:r>
      <w:r w:rsidR="000F4A64">
        <w:rPr>
          <w:color w:val="000000" w:themeColor="text1"/>
          <w:sz w:val="20"/>
          <w:szCs w:val="20"/>
        </w:rPr>
        <w:t xml:space="preserve"> (South Melbourne, Vic; Oxford: Oxford University Press, 2004); David Goodman, </w:t>
      </w:r>
      <w:r w:rsidR="000F4A64">
        <w:rPr>
          <w:i/>
          <w:iCs/>
          <w:color w:val="000000" w:themeColor="text1"/>
          <w:sz w:val="20"/>
          <w:szCs w:val="20"/>
        </w:rPr>
        <w:t>Gold Seeking: Victoria and California in the 1850s</w:t>
      </w:r>
      <w:r w:rsidR="000F4A64">
        <w:rPr>
          <w:color w:val="000000" w:themeColor="text1"/>
          <w:sz w:val="20"/>
          <w:szCs w:val="20"/>
        </w:rPr>
        <w:t xml:space="preserve"> (Stanford: Stanford University Press, 1994)</w:t>
      </w:r>
      <w:r w:rsidR="000F4A64">
        <w:rPr>
          <w:sz w:val="20"/>
          <w:szCs w:val="20"/>
        </w:rPr>
        <w:t>.</w:t>
      </w:r>
    </w:p>
  </w:endnote>
  <w:endnote w:id="5">
    <w:p w14:paraId="35552419" w14:textId="72D3B6EE" w:rsidR="00727947" w:rsidRPr="00CB4C8F" w:rsidRDefault="00727947" w:rsidP="00727947">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There was a failed attempt to establish the </w:t>
      </w:r>
      <w:r w:rsidRPr="00CB4C8F">
        <w:rPr>
          <w:rFonts w:ascii="Times New Roman" w:hAnsi="Times New Roman" w:cs="Times New Roman"/>
          <w:lang w:val="en-GB"/>
        </w:rPr>
        <w:t>Ballaarat Mechanics’ Institute (BMI) in 1856. The BMI follows the original spelling of the town (with four a’s) whereas the town changed its spelling to Ballarat in 1863, hence the seemingly inconsistent spelling between town and institute. The Beechworth Athenaeum became the Beechworth Public Library (BPL) in 1872 (</w:t>
      </w:r>
      <w:r w:rsidRPr="00CB4C8F">
        <w:rPr>
          <w:rFonts w:ascii="Times New Roman" w:hAnsi="Times New Roman" w:cs="Times New Roman"/>
          <w:i/>
          <w:iCs/>
          <w:lang w:val="en-GB"/>
        </w:rPr>
        <w:t>Ovens and Murray Advertiser</w:t>
      </w:r>
      <w:r w:rsidRPr="00CB4C8F">
        <w:rPr>
          <w:rFonts w:ascii="Times New Roman" w:hAnsi="Times New Roman" w:cs="Times New Roman"/>
          <w:lang w:val="en-GB"/>
        </w:rPr>
        <w:t>, 20 July 1</w:t>
      </w:r>
      <w:r w:rsidR="00907C4E">
        <w:rPr>
          <w:rFonts w:ascii="Times New Roman" w:hAnsi="Times New Roman" w:cs="Times New Roman"/>
          <w:lang w:val="en-GB"/>
        </w:rPr>
        <w:t>8</w:t>
      </w:r>
      <w:r w:rsidRPr="00CB4C8F">
        <w:rPr>
          <w:rFonts w:ascii="Times New Roman" w:hAnsi="Times New Roman" w:cs="Times New Roman"/>
          <w:lang w:val="en-GB"/>
        </w:rPr>
        <w:t xml:space="preserve">72, 2). </w:t>
      </w:r>
    </w:p>
  </w:endnote>
  <w:endnote w:id="6">
    <w:p w14:paraId="731AC5EB" w14:textId="3E66FD64" w:rsidR="001B5F18" w:rsidRPr="009C727A" w:rsidRDefault="001B5F18" w:rsidP="009C727A">
      <w:pPr>
        <w:jc w:val="both"/>
        <w:rPr>
          <w:sz w:val="20"/>
          <w:szCs w:val="20"/>
        </w:rPr>
      </w:pPr>
      <w:r w:rsidRPr="00CB4C8F">
        <w:rPr>
          <w:rStyle w:val="EndnoteReference"/>
          <w:sz w:val="20"/>
          <w:szCs w:val="20"/>
          <w:lang w:val="en-GB"/>
        </w:rPr>
        <w:endnoteRef/>
      </w:r>
      <w:r w:rsidRPr="00CB4C8F">
        <w:rPr>
          <w:sz w:val="20"/>
          <w:szCs w:val="20"/>
          <w:lang w:val="en-GB"/>
        </w:rPr>
        <w:t xml:space="preserve"> </w:t>
      </w:r>
      <w:r w:rsidR="009C727A" w:rsidRPr="009C727A">
        <w:rPr>
          <w:sz w:val="20"/>
          <w:szCs w:val="20"/>
        </w:rPr>
        <w:t>Eric Richards, ‘Migrations: The Career of British White Australia’, in Australia’s Empire, ed. by Deryck M. Schreuder and Stuart Ward (Oxford: Oxford University Press, 2008),</w:t>
      </w:r>
      <w:r w:rsidR="003F2BB6">
        <w:rPr>
          <w:sz w:val="20"/>
          <w:szCs w:val="20"/>
        </w:rPr>
        <w:t xml:space="preserve"> </w:t>
      </w:r>
      <w:r w:rsidR="009C727A" w:rsidRPr="009C727A">
        <w:rPr>
          <w:sz w:val="20"/>
          <w:szCs w:val="20"/>
        </w:rPr>
        <w:t xml:space="preserve">163–85 (167). </w:t>
      </w:r>
      <w:r w:rsidRPr="009C727A">
        <w:rPr>
          <w:sz w:val="20"/>
          <w:szCs w:val="20"/>
          <w:lang w:val="en-GB"/>
        </w:rPr>
        <w:t>While mechanics’ institutes are frequently referred to in studies of emerging colonial scientific institutes, and in relation to phrenology in particular, they are often treated as one example among</w:t>
      </w:r>
      <w:r w:rsidRPr="00CB4C8F">
        <w:rPr>
          <w:sz w:val="20"/>
          <w:szCs w:val="20"/>
          <w:lang w:val="en-GB"/>
        </w:rPr>
        <w:t xml:space="preserve"> many or an addendum to the larger study. For an excellent account of early scientific associations and the emergence of colonial science in Eastern Australia with a brief study of the BMI, see Michael E. Hoare, “Science and Scientific Associations in Eastern Australia, 1820–1890” (PhD dissert., ANU, 1974). For studies about </w:t>
      </w:r>
      <w:r w:rsidR="00907C4E">
        <w:rPr>
          <w:sz w:val="20"/>
          <w:szCs w:val="20"/>
          <w:lang w:val="en-GB"/>
        </w:rPr>
        <w:t>the</w:t>
      </w:r>
      <w:r w:rsidRPr="00CB4C8F">
        <w:rPr>
          <w:sz w:val="20"/>
          <w:szCs w:val="20"/>
          <w:lang w:val="en-GB"/>
        </w:rPr>
        <w:t xml:space="preserve"> institutes’ contribution to education see, </w:t>
      </w:r>
      <w:r w:rsidR="00E61E54">
        <w:rPr>
          <w:sz w:val="20"/>
          <w:szCs w:val="20"/>
          <w:lang w:val="en-GB"/>
        </w:rPr>
        <w:t xml:space="preserve">e.g., </w:t>
      </w:r>
      <w:r w:rsidRPr="00CB4C8F">
        <w:rPr>
          <w:sz w:val="20"/>
          <w:szCs w:val="20"/>
          <w:lang w:val="en-GB"/>
        </w:rPr>
        <w:t xml:space="preserve">Donald Barker, “The Sandhurst Mechanics’ Institute and Free Library” (master’s thesis, Monash University, 1994); Martyn Walker, </w:t>
      </w:r>
      <w:r w:rsidRPr="00CB4C8F">
        <w:rPr>
          <w:i/>
          <w:iCs/>
          <w:sz w:val="20"/>
          <w:szCs w:val="20"/>
          <w:lang w:val="en-GB"/>
        </w:rPr>
        <w:t>The Development of the Mechanics’ Institute Movement in Britain and Beyond: Supporting Further Education for the Adult Working Classes</w:t>
      </w:r>
      <w:r w:rsidRPr="00CB4C8F">
        <w:rPr>
          <w:sz w:val="20"/>
          <w:szCs w:val="20"/>
          <w:lang w:val="en-GB"/>
        </w:rPr>
        <w:t xml:space="preserve"> (London and New York: Routledge, 2017). For examinations of the  institute’s role in the creation of colonial culture, the establishment of public libraries, and the development of colonial citizenship see, </w:t>
      </w:r>
      <w:r w:rsidR="00E61E54">
        <w:rPr>
          <w:sz w:val="20"/>
          <w:szCs w:val="20"/>
          <w:lang w:val="en-GB"/>
        </w:rPr>
        <w:t>e.g.,</w:t>
      </w:r>
      <w:r w:rsidRPr="00CB4C8F">
        <w:rPr>
          <w:sz w:val="20"/>
          <w:szCs w:val="20"/>
          <w:lang w:val="en-GB"/>
        </w:rPr>
        <w:t xml:space="preserve"> Lara Atkin, Sarah Comyn, Porscha Fermanis and Nathan Garvey, </w:t>
      </w:r>
      <w:r w:rsidRPr="00CB4C8F">
        <w:rPr>
          <w:i/>
          <w:iCs/>
          <w:sz w:val="20"/>
          <w:szCs w:val="20"/>
          <w:lang w:val="en-GB"/>
        </w:rPr>
        <w:t>Early Public Libraries and Colonial Citizenship in the British Southern Hemisphere</w:t>
      </w:r>
      <w:r w:rsidRPr="00CB4C8F">
        <w:rPr>
          <w:sz w:val="20"/>
          <w:szCs w:val="20"/>
          <w:lang w:val="en-GB"/>
        </w:rPr>
        <w:t xml:space="preserve"> (London: Palgrave Macmillan, 2019); Philip Candy and John Laurent</w:t>
      </w:r>
      <w:r w:rsidR="004E345F">
        <w:rPr>
          <w:sz w:val="20"/>
          <w:szCs w:val="20"/>
          <w:lang w:val="en-GB"/>
        </w:rPr>
        <w:t>,</w:t>
      </w:r>
      <w:r w:rsidRPr="00CB4C8F">
        <w:rPr>
          <w:sz w:val="20"/>
          <w:szCs w:val="20"/>
          <w:lang w:val="en-GB"/>
        </w:rPr>
        <w:t xml:space="preserve"> eds</w:t>
      </w:r>
      <w:r w:rsidR="004E345F">
        <w:rPr>
          <w:sz w:val="20"/>
          <w:szCs w:val="20"/>
          <w:lang w:val="en-GB"/>
        </w:rPr>
        <w:t>.</w:t>
      </w:r>
      <w:r w:rsidRPr="00CB4C8F">
        <w:rPr>
          <w:sz w:val="20"/>
          <w:szCs w:val="20"/>
          <w:lang w:val="en-GB"/>
        </w:rPr>
        <w:t xml:space="preserve">, </w:t>
      </w:r>
      <w:r w:rsidRPr="00CB4C8F">
        <w:rPr>
          <w:i/>
          <w:iCs/>
          <w:sz w:val="20"/>
          <w:szCs w:val="20"/>
          <w:lang w:val="en-GB"/>
        </w:rPr>
        <w:t>Pioneering Culture: Mechanics’ Institutes and Schools of Arts in Australia</w:t>
      </w:r>
      <w:r w:rsidRPr="00CB4C8F">
        <w:rPr>
          <w:sz w:val="20"/>
          <w:szCs w:val="20"/>
          <w:lang w:val="en-GB"/>
        </w:rPr>
        <w:t xml:space="preserve"> (Adelaide: </w:t>
      </w:r>
      <w:r w:rsidRPr="00CB4C8F">
        <w:rPr>
          <w:sz w:val="20"/>
          <w:szCs w:val="20"/>
          <w:lang w:val="en-GB"/>
        </w:rPr>
        <w:t>Auslib Press, 1994</w:t>
      </w:r>
      <w:r w:rsidR="00902CB0">
        <w:rPr>
          <w:sz w:val="20"/>
          <w:szCs w:val="20"/>
          <w:lang w:val="en-GB"/>
        </w:rPr>
        <w:t>);</w:t>
      </w:r>
      <w:r w:rsidR="002F5AF6">
        <w:rPr>
          <w:sz w:val="20"/>
          <w:szCs w:val="20"/>
          <w:lang w:val="en-GB"/>
        </w:rPr>
        <w:t xml:space="preserve"> and</w:t>
      </w:r>
      <w:r w:rsidR="00902CB0">
        <w:rPr>
          <w:sz w:val="20"/>
          <w:szCs w:val="20"/>
          <w:lang w:val="en-GB"/>
        </w:rPr>
        <w:t xml:space="preserve"> </w:t>
      </w:r>
      <w:r w:rsidRPr="00CB4C8F">
        <w:rPr>
          <w:sz w:val="20"/>
          <w:szCs w:val="20"/>
          <w:lang w:val="en-GB"/>
        </w:rPr>
        <w:t xml:space="preserve">George Nadel, </w:t>
      </w:r>
      <w:r w:rsidRPr="00CB4C8F">
        <w:rPr>
          <w:i/>
          <w:iCs/>
          <w:sz w:val="20"/>
          <w:szCs w:val="20"/>
          <w:lang w:val="en-GB"/>
        </w:rPr>
        <w:t>Australia’s Colonial Culture: Ideas, Men and Institutions in Mid-Nineteenth Century Eastern Australia</w:t>
      </w:r>
      <w:r w:rsidRPr="00CB4C8F">
        <w:rPr>
          <w:sz w:val="20"/>
          <w:szCs w:val="20"/>
          <w:lang w:val="en-GB"/>
        </w:rPr>
        <w:t xml:space="preserve"> (Cambridge, Mass.: Harvard University Press, 1957).</w:t>
      </w:r>
    </w:p>
  </w:endnote>
  <w:endnote w:id="7">
    <w:p w14:paraId="381B2ED3" w14:textId="47A14020" w:rsidR="008551FE" w:rsidRPr="00902CB0" w:rsidRDefault="008551FE" w:rsidP="00902CB0">
      <w:pPr>
        <w:pStyle w:val="EndnoteText"/>
        <w:jc w:val="both"/>
        <w:rPr>
          <w:rFonts w:ascii="Times New Roman" w:hAnsi="Times New Roman" w:cs="Times New Roman"/>
          <w:lang w:val="en-GB"/>
        </w:rPr>
      </w:pPr>
      <w:r w:rsidRPr="00902CB0">
        <w:rPr>
          <w:rStyle w:val="EndnoteReference"/>
          <w:rFonts w:ascii="Times New Roman" w:hAnsi="Times New Roman" w:cs="Times New Roman"/>
        </w:rPr>
        <w:endnoteRef/>
      </w:r>
      <w:r w:rsidRPr="00902CB0">
        <w:rPr>
          <w:rFonts w:ascii="Times New Roman" w:hAnsi="Times New Roman" w:cs="Times New Roman"/>
        </w:rPr>
        <w:t xml:space="preserve"> </w:t>
      </w:r>
      <w:r w:rsidR="00902CB0">
        <w:rPr>
          <w:rFonts w:ascii="Times New Roman" w:hAnsi="Times New Roman" w:cs="Times New Roman"/>
        </w:rPr>
        <w:t xml:space="preserve">For the significant cultural and community role mechanics’ institutes played on the Victorian </w:t>
      </w:r>
      <w:r w:rsidRPr="00902CB0">
        <w:rPr>
          <w:rFonts w:ascii="Times New Roman" w:hAnsi="Times New Roman" w:cs="Times New Roman"/>
          <w:lang w:val="en-GB"/>
        </w:rPr>
        <w:t xml:space="preserve">goldfields </w:t>
      </w:r>
      <w:r w:rsidR="00902CB0">
        <w:rPr>
          <w:rFonts w:ascii="Times New Roman" w:hAnsi="Times New Roman" w:cs="Times New Roman"/>
          <w:lang w:val="en-GB"/>
        </w:rPr>
        <w:t>see, e.g.,</w:t>
      </w:r>
      <w:r w:rsidR="00902CB0" w:rsidRPr="00902CB0">
        <w:rPr>
          <w:rFonts w:ascii="Times New Roman" w:hAnsi="Times New Roman" w:cs="Times New Roman"/>
          <w:lang w:val="en-GB"/>
        </w:rPr>
        <w:t xml:space="preserve"> Sarah </w:t>
      </w:r>
      <w:r w:rsidR="00902CB0" w:rsidRPr="00902CB0">
        <w:rPr>
          <w:rFonts w:ascii="Times New Roman" w:hAnsi="Times New Roman" w:cs="Times New Roman"/>
          <w:lang w:val="en-GB"/>
        </w:rPr>
        <w:t xml:space="preserve">Comyn, “Literary Sociability on the Goldfields: The Mechanics’ Institute in the Colony of Victoria, 1854–1870”, </w:t>
      </w:r>
      <w:r w:rsidR="00902CB0" w:rsidRPr="00902CB0">
        <w:rPr>
          <w:rFonts w:ascii="Times New Roman" w:hAnsi="Times New Roman" w:cs="Times New Roman"/>
          <w:i/>
          <w:iCs/>
          <w:lang w:val="en-GB"/>
        </w:rPr>
        <w:t>Journal of Victorian Culture</w:t>
      </w:r>
      <w:r w:rsidR="00902CB0" w:rsidRPr="00902CB0">
        <w:rPr>
          <w:rFonts w:ascii="Times New Roman" w:hAnsi="Times New Roman" w:cs="Times New Roman"/>
          <w:lang w:val="en-GB"/>
        </w:rPr>
        <w:t xml:space="preserve"> 23, no. 4 (2018), 447–62</w:t>
      </w:r>
      <w:r w:rsidR="00902CB0">
        <w:rPr>
          <w:rFonts w:ascii="Times New Roman" w:hAnsi="Times New Roman" w:cs="Times New Roman"/>
          <w:lang w:val="en-GB"/>
        </w:rPr>
        <w:t>.</w:t>
      </w:r>
    </w:p>
  </w:endnote>
  <w:endnote w:id="8">
    <w:p w14:paraId="7E45E9DC" w14:textId="0312F00A" w:rsidR="001B5F18" w:rsidRPr="00902CB0" w:rsidRDefault="001B5F18" w:rsidP="00EF4FFF">
      <w:pPr>
        <w:pStyle w:val="EndnoteText"/>
        <w:rPr>
          <w:rFonts w:ascii="Times New Roman" w:hAnsi="Times New Roman" w:cs="Times New Roman"/>
          <w:lang w:val="en-GB"/>
        </w:rPr>
      </w:pPr>
      <w:r w:rsidRPr="00902CB0">
        <w:rPr>
          <w:rStyle w:val="EndnoteReference"/>
          <w:rFonts w:ascii="Times New Roman" w:hAnsi="Times New Roman" w:cs="Times New Roman"/>
          <w:lang w:val="en-GB"/>
        </w:rPr>
        <w:endnoteRef/>
      </w:r>
      <w:r w:rsidRPr="00902CB0">
        <w:rPr>
          <w:rFonts w:ascii="Times New Roman" w:hAnsi="Times New Roman" w:cs="Times New Roman"/>
          <w:lang w:val="en-GB"/>
        </w:rPr>
        <w:t xml:space="preserve"> </w:t>
      </w:r>
      <w:r w:rsidRPr="00902CB0">
        <w:rPr>
          <w:rFonts w:ascii="Times New Roman" w:hAnsi="Times New Roman" w:cs="Times New Roman"/>
          <w:i/>
          <w:iCs/>
          <w:lang w:val="en-GB"/>
        </w:rPr>
        <w:t>Argus</w:t>
      </w:r>
      <w:r w:rsidRPr="00902CB0">
        <w:rPr>
          <w:rFonts w:ascii="Times New Roman" w:hAnsi="Times New Roman" w:cs="Times New Roman"/>
          <w:lang w:val="en-GB"/>
        </w:rPr>
        <w:t>, 23 May 1854, 6, &lt;</w:t>
      </w:r>
      <w:hyperlink r:id="rId2" w:history="1">
        <w:r w:rsidRPr="00902CB0">
          <w:rPr>
            <w:rStyle w:val="Hyperlink"/>
            <w:rFonts w:ascii="Times New Roman" w:hAnsi="Times New Roman" w:cs="Times New Roman"/>
            <w:lang w:val="en-GB"/>
          </w:rPr>
          <w:t>http://nla.gov.au/nla.news-article4808042</w:t>
        </w:r>
      </w:hyperlink>
      <w:r w:rsidRPr="00902CB0">
        <w:rPr>
          <w:rFonts w:ascii="Times New Roman" w:hAnsi="Times New Roman" w:cs="Times New Roman"/>
          <w:lang w:val="en-GB"/>
        </w:rPr>
        <w:t>&gt;.</w:t>
      </w:r>
    </w:p>
  </w:endnote>
  <w:endnote w:id="9">
    <w:p w14:paraId="19388AD6" w14:textId="34F50860" w:rsidR="001B5F18" w:rsidRPr="00CB4C8F" w:rsidRDefault="001B5F18" w:rsidP="00EF4FFF">
      <w:pPr>
        <w:pStyle w:val="EndnoteText"/>
        <w:rPr>
          <w:rFonts w:ascii="Times New Roman" w:hAnsi="Times New Roman" w:cs="Times New Roman"/>
          <w:lang w:val="en-GB"/>
        </w:rPr>
      </w:pPr>
      <w:r w:rsidRPr="00902CB0">
        <w:rPr>
          <w:rStyle w:val="EndnoteReference"/>
          <w:rFonts w:ascii="Times New Roman" w:hAnsi="Times New Roman" w:cs="Times New Roman"/>
          <w:lang w:val="en-GB"/>
        </w:rPr>
        <w:endnoteRef/>
      </w:r>
      <w:r w:rsidRPr="00902CB0">
        <w:rPr>
          <w:rFonts w:ascii="Times New Roman" w:hAnsi="Times New Roman" w:cs="Times New Roman"/>
          <w:lang w:val="en-GB"/>
        </w:rPr>
        <w:t xml:space="preserve"> </w:t>
      </w:r>
      <w:r w:rsidRPr="00902CB0">
        <w:rPr>
          <w:rFonts w:ascii="Times New Roman" w:hAnsi="Times New Roman" w:cs="Times New Roman"/>
          <w:i/>
          <w:iCs/>
          <w:lang w:val="en-GB"/>
        </w:rPr>
        <w:t>Bendigo</w:t>
      </w:r>
      <w:r w:rsidRPr="00CB4C8F">
        <w:rPr>
          <w:rFonts w:ascii="Times New Roman" w:hAnsi="Times New Roman" w:cs="Times New Roman"/>
          <w:i/>
          <w:iCs/>
          <w:lang w:val="en-GB"/>
        </w:rPr>
        <w:t xml:space="preserve"> Advertiser</w:t>
      </w:r>
      <w:r w:rsidRPr="00CB4C8F">
        <w:rPr>
          <w:rFonts w:ascii="Times New Roman" w:hAnsi="Times New Roman" w:cs="Times New Roman"/>
          <w:lang w:val="en-GB"/>
        </w:rPr>
        <w:t>, 8 August 1856, 2, &lt;</w:t>
      </w:r>
      <w:hyperlink r:id="rId3" w:history="1">
        <w:r w:rsidRPr="00CB4C8F">
          <w:rPr>
            <w:rStyle w:val="Hyperlink"/>
            <w:rFonts w:ascii="Times New Roman" w:hAnsi="Times New Roman" w:cs="Times New Roman"/>
            <w:lang w:val="en-GB"/>
          </w:rPr>
          <w:t>http://nla.gov.au/nla.news-article88051965</w:t>
        </w:r>
      </w:hyperlink>
      <w:r w:rsidRPr="00CB4C8F">
        <w:rPr>
          <w:rFonts w:ascii="Times New Roman" w:hAnsi="Times New Roman" w:cs="Times New Roman"/>
          <w:lang w:val="en-GB"/>
        </w:rPr>
        <w:t>&gt;.</w:t>
      </w:r>
    </w:p>
  </w:endnote>
  <w:endnote w:id="10">
    <w:p w14:paraId="24AB7C3A" w14:textId="715BFE45" w:rsidR="001B5F18" w:rsidRPr="00CB4C8F" w:rsidRDefault="001B5F18" w:rsidP="00902CB0">
      <w:pPr>
        <w:jc w:val="both"/>
        <w:rPr>
          <w:sz w:val="20"/>
          <w:szCs w:val="20"/>
          <w:lang w:val="en-GB"/>
        </w:rPr>
      </w:pPr>
      <w:r w:rsidRPr="00CB4C8F">
        <w:rPr>
          <w:rStyle w:val="EndnoteReference"/>
          <w:sz w:val="20"/>
          <w:szCs w:val="20"/>
          <w:lang w:val="en-GB"/>
        </w:rPr>
        <w:endnoteRef/>
      </w:r>
      <w:r w:rsidRPr="00CB4C8F">
        <w:rPr>
          <w:sz w:val="20"/>
          <w:szCs w:val="20"/>
          <w:lang w:val="en-GB"/>
        </w:rPr>
        <w:t xml:space="preserve"> James </w:t>
      </w:r>
      <w:r w:rsidRPr="00CB4C8F">
        <w:rPr>
          <w:sz w:val="20"/>
          <w:szCs w:val="20"/>
          <w:lang w:val="en-GB"/>
        </w:rPr>
        <w:t xml:space="preserve">Belich, </w:t>
      </w:r>
      <w:r w:rsidRPr="00CB4C8F">
        <w:rPr>
          <w:i/>
          <w:sz w:val="20"/>
          <w:szCs w:val="20"/>
          <w:lang w:val="en-GB"/>
        </w:rPr>
        <w:t>Replenishing the Earth: The Settler Revolution and the Rise of the Anglo-World, 1783-1939</w:t>
      </w:r>
      <w:r w:rsidRPr="00CB4C8F">
        <w:rPr>
          <w:sz w:val="20"/>
          <w:szCs w:val="20"/>
          <w:lang w:val="en-GB"/>
        </w:rPr>
        <w:t xml:space="preserve"> (Oxford: Oxford University Press, 2009), 153; Patrick Wolfe, “Settler Colonialism and the Elimination of the Native”, </w:t>
      </w:r>
      <w:r w:rsidRPr="00CB4C8F">
        <w:rPr>
          <w:i/>
          <w:sz w:val="20"/>
          <w:szCs w:val="20"/>
          <w:lang w:val="en-GB"/>
        </w:rPr>
        <w:t>Journal of Genocide Research</w:t>
      </w:r>
      <w:r w:rsidRPr="00CB4C8F">
        <w:rPr>
          <w:sz w:val="20"/>
          <w:szCs w:val="20"/>
          <w:lang w:val="en-GB"/>
        </w:rPr>
        <w:t xml:space="preserve"> 8, no. 4 (2006), 387–409 (388).</w:t>
      </w:r>
    </w:p>
  </w:endnote>
  <w:endnote w:id="11">
    <w:p w14:paraId="7C24C63F" w14:textId="6EE1451C"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t>
      </w:r>
      <w:r w:rsidRPr="00CB4C8F">
        <w:rPr>
          <w:rFonts w:ascii="Times New Roman" w:hAnsi="Times New Roman" w:cs="Times New Roman"/>
          <w:lang w:val="en-GB"/>
        </w:rPr>
        <w:t xml:space="preserve">Belich, </w:t>
      </w:r>
      <w:r w:rsidRPr="00CB4C8F">
        <w:rPr>
          <w:rFonts w:ascii="Times New Roman" w:hAnsi="Times New Roman" w:cs="Times New Roman"/>
          <w:i/>
          <w:lang w:val="en-GB"/>
        </w:rPr>
        <w:t>Replenishing the Earth</w:t>
      </w:r>
      <w:r w:rsidRPr="00CB4C8F">
        <w:rPr>
          <w:rFonts w:ascii="Times New Roman" w:hAnsi="Times New Roman" w:cs="Times New Roman"/>
          <w:lang w:val="en-GB"/>
        </w:rPr>
        <w:t>, 153–154.</w:t>
      </w:r>
    </w:p>
  </w:endnote>
  <w:endnote w:id="12">
    <w:p w14:paraId="7275AB2E" w14:textId="46BC4BD7" w:rsidR="001B5F18" w:rsidRPr="00CB4C8F" w:rsidRDefault="001B5F18" w:rsidP="00D5196C">
      <w:pPr>
        <w:jc w:val="both"/>
        <w:rPr>
          <w:sz w:val="20"/>
          <w:szCs w:val="20"/>
        </w:rPr>
      </w:pPr>
      <w:r w:rsidRPr="00CB4C8F">
        <w:rPr>
          <w:rStyle w:val="EndnoteReference"/>
          <w:sz w:val="20"/>
          <w:szCs w:val="20"/>
          <w:lang w:val="en-GB"/>
        </w:rPr>
        <w:endnoteRef/>
      </w:r>
      <w:r w:rsidRPr="00CB4C8F">
        <w:rPr>
          <w:sz w:val="20"/>
          <w:szCs w:val="20"/>
          <w:lang w:val="en-GB"/>
        </w:rPr>
        <w:t xml:space="preserve"> Fred Cahir, </w:t>
      </w:r>
      <w:r w:rsidRPr="00CB4C8F">
        <w:rPr>
          <w:i/>
          <w:sz w:val="20"/>
          <w:szCs w:val="20"/>
          <w:lang w:val="en-GB"/>
        </w:rPr>
        <w:t>Black Gold: Aboriginal People on the Goldfields of Victoria, 1850-1870</w:t>
      </w:r>
      <w:r w:rsidRPr="00CB4C8F">
        <w:rPr>
          <w:sz w:val="20"/>
          <w:szCs w:val="20"/>
          <w:lang w:val="en-GB"/>
        </w:rPr>
        <w:t xml:space="preserve"> (Canberra: ANU Press, 2012). </w:t>
      </w:r>
    </w:p>
  </w:endnote>
  <w:endnote w:id="13">
    <w:p w14:paraId="2C4B8ACB" w14:textId="77777777" w:rsidR="00214EC1" w:rsidRPr="00B86E17" w:rsidRDefault="00214EC1" w:rsidP="00214EC1">
      <w:pPr>
        <w:pStyle w:val="EndnoteText"/>
        <w:rPr>
          <w:rFonts w:ascii="Times New Roman" w:hAnsi="Times New Roman" w:cs="Times New Roman"/>
          <w:lang w:val="en-GB"/>
        </w:rPr>
      </w:pPr>
      <w:r w:rsidRPr="00B86E17">
        <w:rPr>
          <w:rStyle w:val="EndnoteReference"/>
          <w:rFonts w:ascii="Times New Roman" w:hAnsi="Times New Roman" w:cs="Times New Roman"/>
        </w:rPr>
        <w:endnoteRef/>
      </w:r>
      <w:r w:rsidRPr="00B86E17">
        <w:rPr>
          <w:rFonts w:ascii="Times New Roman" w:hAnsi="Times New Roman" w:cs="Times New Roman"/>
        </w:rPr>
        <w:t xml:space="preserve"> </w:t>
      </w:r>
      <w:r w:rsidRPr="00B86E17">
        <w:rPr>
          <w:rFonts w:ascii="Times New Roman" w:hAnsi="Times New Roman" w:cs="Times New Roman"/>
          <w:lang w:val="en-GB"/>
        </w:rPr>
        <w:t>Wolfe, “Settler Colonialism and the Elimination of the Native”, 387.</w:t>
      </w:r>
    </w:p>
  </w:endnote>
  <w:endnote w:id="14">
    <w:p w14:paraId="1DF395AF" w14:textId="5E9AC9AC" w:rsidR="00956E16" w:rsidRPr="008037FA" w:rsidRDefault="00956E16" w:rsidP="00CD1CA0">
      <w:pPr>
        <w:pStyle w:val="EndnoteText"/>
        <w:jc w:val="both"/>
        <w:rPr>
          <w:rFonts w:ascii="Times New Roman" w:hAnsi="Times New Roman" w:cs="Times New Roman"/>
          <w:color w:val="0000FF"/>
          <w:u w:val="single"/>
        </w:rPr>
      </w:pPr>
      <w:r w:rsidRPr="00956E16">
        <w:rPr>
          <w:rStyle w:val="EndnoteReference"/>
          <w:rFonts w:ascii="Times New Roman" w:hAnsi="Times New Roman" w:cs="Times New Roman"/>
        </w:rPr>
        <w:endnoteRef/>
      </w:r>
      <w:r w:rsidRPr="00956E16">
        <w:rPr>
          <w:rFonts w:ascii="Times New Roman" w:hAnsi="Times New Roman" w:cs="Times New Roman"/>
        </w:rPr>
        <w:t xml:space="preserve"> </w:t>
      </w:r>
      <w:r w:rsidRPr="00956E16">
        <w:rPr>
          <w:rFonts w:ascii="Times New Roman" w:hAnsi="Times New Roman" w:cs="Times New Roman"/>
          <w:i/>
          <w:iCs/>
        </w:rPr>
        <w:t>Ballarat Star</w:t>
      </w:r>
      <w:r w:rsidRPr="00956E16">
        <w:rPr>
          <w:rFonts w:ascii="Times New Roman" w:hAnsi="Times New Roman" w:cs="Times New Roman"/>
        </w:rPr>
        <w:t>, 7 February 1879, 3, &lt;</w:t>
      </w:r>
      <w:hyperlink r:id="rId4" w:history="1">
        <w:r w:rsidRPr="00956E16">
          <w:rPr>
            <w:rStyle w:val="Hyperlink"/>
            <w:rFonts w:ascii="Times New Roman" w:hAnsi="Times New Roman" w:cs="Times New Roman"/>
          </w:rPr>
          <w:t>http://nla.gov.au/nla.news-article200132720</w:t>
        </w:r>
      </w:hyperlink>
      <w:r w:rsidRPr="00956E16">
        <w:rPr>
          <w:rFonts w:ascii="Times New Roman" w:hAnsi="Times New Roman" w:cs="Times New Roman"/>
        </w:rPr>
        <w:t>&gt;</w:t>
      </w:r>
      <w:r>
        <w:rPr>
          <w:rFonts w:ascii="Times New Roman" w:hAnsi="Times New Roman" w:cs="Times New Roman"/>
        </w:rPr>
        <w:t>.</w:t>
      </w:r>
      <w:r w:rsidR="00902CB0">
        <w:rPr>
          <w:rFonts w:ascii="Times New Roman" w:hAnsi="Times New Roman" w:cs="Times New Roman"/>
        </w:rPr>
        <w:t xml:space="preserve"> For a discussion of humanitarian discourse and governance see, e.g., </w:t>
      </w:r>
      <w:r w:rsidR="00902CB0" w:rsidRPr="00CB4C8F">
        <w:rPr>
          <w:rFonts w:ascii="Times New Roman" w:hAnsi="Times New Roman" w:cs="Times New Roman"/>
        </w:rPr>
        <w:t xml:space="preserve">Alan Lester, “Settler Colonialism, George Grey, and the Politics of Ethnography”, </w:t>
      </w:r>
      <w:r w:rsidR="00902CB0" w:rsidRPr="00CB4C8F">
        <w:rPr>
          <w:rFonts w:ascii="Times New Roman" w:hAnsi="Times New Roman" w:cs="Times New Roman"/>
          <w:i/>
          <w:iCs/>
        </w:rPr>
        <w:t>D Society and Space</w:t>
      </w:r>
      <w:r w:rsidR="00902CB0" w:rsidRPr="00CB4C8F">
        <w:rPr>
          <w:rFonts w:ascii="Times New Roman" w:hAnsi="Times New Roman" w:cs="Times New Roman"/>
        </w:rPr>
        <w:t xml:space="preserve"> 34, no. 3 (2016), 492–507</w:t>
      </w:r>
      <w:r w:rsidR="00902CB0">
        <w:rPr>
          <w:rFonts w:ascii="Times New Roman" w:hAnsi="Times New Roman" w:cs="Times New Roman"/>
        </w:rPr>
        <w:t>.</w:t>
      </w:r>
    </w:p>
  </w:endnote>
  <w:endnote w:id="15">
    <w:p w14:paraId="10168774" w14:textId="1A8916B9" w:rsidR="00B46F37" w:rsidRPr="00B86E17" w:rsidRDefault="00B46F37" w:rsidP="00B46F37">
      <w:pPr>
        <w:pStyle w:val="EndnoteText"/>
        <w:rPr>
          <w:rFonts w:ascii="Times New Roman" w:hAnsi="Times New Roman" w:cs="Times New Roman"/>
          <w:lang w:val="en-GB"/>
        </w:rPr>
      </w:pPr>
      <w:r w:rsidRPr="00B86E17">
        <w:rPr>
          <w:rStyle w:val="EndnoteReference"/>
          <w:rFonts w:ascii="Times New Roman" w:hAnsi="Times New Roman" w:cs="Times New Roman"/>
        </w:rPr>
        <w:endnoteRef/>
      </w:r>
      <w:r w:rsidRPr="00B86E17">
        <w:rPr>
          <w:rFonts w:ascii="Times New Roman" w:hAnsi="Times New Roman" w:cs="Times New Roman"/>
        </w:rPr>
        <w:t xml:space="preserve"> </w:t>
      </w:r>
      <w:r w:rsidRPr="00B86E17">
        <w:rPr>
          <w:rFonts w:ascii="Times New Roman" w:hAnsi="Times New Roman" w:cs="Times New Roman"/>
          <w:lang w:val="en-GB"/>
        </w:rPr>
        <w:t xml:space="preserve">Leigh Boucher and Lynette Russell, “Introduction: Colonial History, Postcolonial Theory and the ‘Aboriginal problem’ in Colonial Victoria”, </w:t>
      </w:r>
      <w:r w:rsidRPr="00B86E17">
        <w:rPr>
          <w:rFonts w:ascii="Times New Roman" w:hAnsi="Times New Roman" w:cs="Times New Roman"/>
        </w:rPr>
        <w:t xml:space="preserve">in </w:t>
      </w:r>
      <w:r w:rsidRPr="00B86E17">
        <w:rPr>
          <w:rFonts w:ascii="Times New Roman" w:hAnsi="Times New Roman" w:cs="Times New Roman"/>
          <w:i/>
          <w:iCs/>
        </w:rPr>
        <w:t>Settler Colonial Governance in Nineteenth-Century Victoria</w:t>
      </w:r>
      <w:r w:rsidR="00CD1CA0">
        <w:rPr>
          <w:rFonts w:ascii="Times New Roman" w:hAnsi="Times New Roman" w:cs="Times New Roman"/>
        </w:rPr>
        <w:t>,</w:t>
      </w:r>
      <w:r w:rsidRPr="00B86E17">
        <w:rPr>
          <w:rFonts w:ascii="Times New Roman" w:hAnsi="Times New Roman" w:cs="Times New Roman"/>
        </w:rPr>
        <w:t xml:space="preserve"> ed</w:t>
      </w:r>
      <w:r w:rsidR="00CE2C91">
        <w:rPr>
          <w:rFonts w:ascii="Times New Roman" w:hAnsi="Times New Roman" w:cs="Times New Roman"/>
        </w:rPr>
        <w:t>.</w:t>
      </w:r>
      <w:r w:rsidRPr="00B86E17">
        <w:rPr>
          <w:rFonts w:ascii="Times New Roman" w:hAnsi="Times New Roman" w:cs="Times New Roman"/>
        </w:rPr>
        <w:t xml:space="preserve"> Leigh Boucher and Lynette Russell (Canberra: ANU Press, 2015), 1–25 (4–5).</w:t>
      </w:r>
    </w:p>
  </w:endnote>
  <w:endnote w:id="16">
    <w:p w14:paraId="1E5BA216" w14:textId="711726B4" w:rsidR="009F0A8D" w:rsidRPr="00CB4C8F" w:rsidRDefault="009F0A8D" w:rsidP="009F0A8D">
      <w:pPr>
        <w:pStyle w:val="Default"/>
        <w:jc w:val="both"/>
        <w:rPr>
          <w:rFonts w:ascii="Times New Roman" w:hAnsi="Times New Roman" w:cs="Times New Roman"/>
          <w:sz w:val="20"/>
          <w:szCs w:val="20"/>
        </w:rPr>
      </w:pPr>
      <w:r w:rsidRPr="00CB4C8F">
        <w:rPr>
          <w:rStyle w:val="EndnoteReference"/>
          <w:rFonts w:ascii="Times New Roman" w:hAnsi="Times New Roman" w:cs="Times New Roman"/>
          <w:sz w:val="20"/>
          <w:szCs w:val="20"/>
        </w:rPr>
        <w:endnoteRef/>
      </w:r>
      <w:r w:rsidR="006D1150">
        <w:rPr>
          <w:rFonts w:ascii="Times New Roman" w:hAnsi="Times New Roman" w:cs="Times New Roman"/>
          <w:sz w:val="20"/>
          <w:szCs w:val="20"/>
        </w:rPr>
        <w:t xml:space="preserve"> </w:t>
      </w:r>
      <w:r w:rsidRPr="00CB4C8F">
        <w:rPr>
          <w:rFonts w:ascii="Times New Roman" w:hAnsi="Times New Roman" w:cs="Times New Roman"/>
          <w:sz w:val="20"/>
          <w:szCs w:val="20"/>
        </w:rPr>
        <w:t xml:space="preserve">Leigh Boucher, “The 1869 Aborigines Protection Act: Vernacular Ethnography and the Governance of Aboriginal Subjects” in </w:t>
      </w:r>
      <w:r w:rsidRPr="00CB4C8F">
        <w:rPr>
          <w:rFonts w:ascii="Times New Roman" w:hAnsi="Times New Roman" w:cs="Times New Roman"/>
          <w:i/>
          <w:iCs/>
          <w:sz w:val="20"/>
          <w:szCs w:val="20"/>
        </w:rPr>
        <w:t>Settler Colonial Governance in Nineteenth-Century Victoria</w:t>
      </w:r>
      <w:r w:rsidR="00CE2C91">
        <w:rPr>
          <w:rFonts w:ascii="Times New Roman" w:hAnsi="Times New Roman" w:cs="Times New Roman"/>
          <w:sz w:val="20"/>
          <w:szCs w:val="20"/>
        </w:rPr>
        <w:t>,</w:t>
      </w:r>
      <w:r w:rsidRPr="00CB4C8F">
        <w:rPr>
          <w:rFonts w:ascii="Times New Roman" w:hAnsi="Times New Roman" w:cs="Times New Roman"/>
          <w:sz w:val="20"/>
          <w:szCs w:val="20"/>
        </w:rPr>
        <w:t xml:space="preserve"> </w:t>
      </w:r>
      <w:r w:rsidR="00CE2C91">
        <w:rPr>
          <w:rFonts w:ascii="Times New Roman" w:hAnsi="Times New Roman" w:cs="Times New Roman"/>
          <w:sz w:val="20"/>
          <w:szCs w:val="20"/>
        </w:rPr>
        <w:t>ed.</w:t>
      </w:r>
      <w:r w:rsidRPr="00CB4C8F">
        <w:rPr>
          <w:rFonts w:ascii="Times New Roman" w:hAnsi="Times New Roman" w:cs="Times New Roman"/>
          <w:sz w:val="20"/>
          <w:szCs w:val="20"/>
        </w:rPr>
        <w:t xml:space="preserve"> Leigh Boucher and Lynette Russell (Canberra: ANU Press, 2015), 63–94; Lester, “Settler Colonialism, George Grey, and the Politics of Ethnography”</w:t>
      </w:r>
      <w:r w:rsidR="00902CB0">
        <w:rPr>
          <w:rFonts w:ascii="Times New Roman" w:hAnsi="Times New Roman" w:cs="Times New Roman"/>
          <w:sz w:val="20"/>
          <w:szCs w:val="20"/>
        </w:rPr>
        <w:t xml:space="preserve">; </w:t>
      </w:r>
      <w:r w:rsidRPr="00CB4C8F">
        <w:rPr>
          <w:rFonts w:ascii="Times New Roman" w:hAnsi="Times New Roman" w:cs="Times New Roman"/>
          <w:sz w:val="20"/>
          <w:szCs w:val="20"/>
        </w:rPr>
        <w:t>Efram Sera-Sh</w:t>
      </w:r>
      <w:r>
        <w:rPr>
          <w:rFonts w:ascii="Times New Roman" w:hAnsi="Times New Roman" w:cs="Times New Roman"/>
          <w:sz w:val="20"/>
          <w:szCs w:val="20"/>
        </w:rPr>
        <w:t>r</w:t>
      </w:r>
      <w:r w:rsidRPr="00CB4C8F">
        <w:rPr>
          <w:rFonts w:ascii="Times New Roman" w:hAnsi="Times New Roman" w:cs="Times New Roman"/>
          <w:sz w:val="20"/>
          <w:szCs w:val="20"/>
        </w:rPr>
        <w:t xml:space="preserve">iar, </w:t>
      </w:r>
      <w:r w:rsidRPr="00CB4C8F">
        <w:rPr>
          <w:rFonts w:ascii="Times New Roman" w:hAnsi="Times New Roman" w:cs="Times New Roman"/>
          <w:i/>
          <w:iCs/>
          <w:sz w:val="20"/>
          <w:szCs w:val="20"/>
        </w:rPr>
        <w:t>The Making of British Anthropology, 1813–1871</w:t>
      </w:r>
      <w:r w:rsidRPr="00CB4C8F">
        <w:rPr>
          <w:rFonts w:ascii="Times New Roman" w:hAnsi="Times New Roman" w:cs="Times New Roman"/>
          <w:sz w:val="20"/>
          <w:szCs w:val="20"/>
        </w:rPr>
        <w:t xml:space="preserve"> (Pittsburgh, PA: University of Pittsburgh Press, 2016); Rachel Stanfield, “Violence and the Intimacy of the Imperial: The </w:t>
      </w:r>
      <w:r w:rsidRPr="00CB4C8F">
        <w:rPr>
          <w:rFonts w:ascii="Times New Roman" w:hAnsi="Times New Roman" w:cs="Times New Roman"/>
          <w:i/>
          <w:iCs/>
          <w:sz w:val="20"/>
          <w:szCs w:val="20"/>
        </w:rPr>
        <w:t xml:space="preserve">Endeavour </w:t>
      </w:r>
      <w:r w:rsidRPr="00CB4C8F">
        <w:rPr>
          <w:rFonts w:ascii="Times New Roman" w:hAnsi="Times New Roman" w:cs="Times New Roman"/>
          <w:sz w:val="20"/>
          <w:szCs w:val="20"/>
        </w:rPr>
        <w:t xml:space="preserve">in the Pacific”, in </w:t>
      </w:r>
      <w:r w:rsidRPr="00CB4C8F">
        <w:rPr>
          <w:rFonts w:ascii="Times New Roman" w:hAnsi="Times New Roman" w:cs="Times New Roman"/>
          <w:i/>
          <w:iCs/>
          <w:sz w:val="20"/>
          <w:szCs w:val="20"/>
        </w:rPr>
        <w:t>Moving Subjects: Gender, Mobility, and Intimacy in an Age of Global Empire</w:t>
      </w:r>
      <w:r w:rsidR="00CE2C91">
        <w:rPr>
          <w:rFonts w:ascii="Times New Roman" w:hAnsi="Times New Roman" w:cs="Times New Roman"/>
          <w:sz w:val="20"/>
          <w:szCs w:val="20"/>
        </w:rPr>
        <w:t>,</w:t>
      </w:r>
      <w:r w:rsidRPr="00CB4C8F">
        <w:rPr>
          <w:rFonts w:ascii="Times New Roman" w:hAnsi="Times New Roman" w:cs="Times New Roman"/>
          <w:i/>
          <w:iCs/>
          <w:sz w:val="20"/>
          <w:szCs w:val="20"/>
        </w:rPr>
        <w:t xml:space="preserve"> </w:t>
      </w:r>
      <w:r w:rsidRPr="00CB4C8F">
        <w:rPr>
          <w:rFonts w:ascii="Times New Roman" w:hAnsi="Times New Roman" w:cs="Times New Roman"/>
          <w:sz w:val="20"/>
          <w:szCs w:val="20"/>
        </w:rPr>
        <w:t>ed</w:t>
      </w:r>
      <w:r w:rsidR="00CE2C91">
        <w:rPr>
          <w:rFonts w:ascii="Times New Roman" w:hAnsi="Times New Roman" w:cs="Times New Roman"/>
          <w:sz w:val="20"/>
          <w:szCs w:val="20"/>
        </w:rPr>
        <w:t>.</w:t>
      </w:r>
      <w:r w:rsidRPr="00CB4C8F">
        <w:rPr>
          <w:rFonts w:ascii="Times New Roman" w:hAnsi="Times New Roman" w:cs="Times New Roman"/>
          <w:sz w:val="20"/>
          <w:szCs w:val="20"/>
        </w:rPr>
        <w:t xml:space="preserve"> Antoinette Burton and Tony Ballantyne (Chicago: University of Illinois, 2009),</w:t>
      </w:r>
      <w:r w:rsidR="00F655B8">
        <w:rPr>
          <w:rFonts w:ascii="Times New Roman" w:hAnsi="Times New Roman" w:cs="Times New Roman"/>
          <w:sz w:val="20"/>
          <w:szCs w:val="20"/>
        </w:rPr>
        <w:t xml:space="preserve"> </w:t>
      </w:r>
      <w:r w:rsidRPr="00CB4C8F">
        <w:rPr>
          <w:rFonts w:ascii="Times New Roman" w:hAnsi="Times New Roman" w:cs="Times New Roman"/>
          <w:sz w:val="20"/>
          <w:szCs w:val="20"/>
        </w:rPr>
        <w:t xml:space="preserve">31–48; Patrick Wolfe, </w:t>
      </w:r>
      <w:r w:rsidRPr="00CB4C8F">
        <w:rPr>
          <w:rFonts w:ascii="Times New Roman" w:hAnsi="Times New Roman" w:cs="Times New Roman"/>
          <w:i/>
          <w:iCs/>
          <w:sz w:val="20"/>
          <w:szCs w:val="20"/>
        </w:rPr>
        <w:t xml:space="preserve">Settler Colonialism and the Transformation of Anthropology: The Politics and Poetics of an Ethnographic Event </w:t>
      </w:r>
      <w:r w:rsidRPr="00CB4C8F">
        <w:rPr>
          <w:rFonts w:ascii="Times New Roman" w:hAnsi="Times New Roman" w:cs="Times New Roman"/>
          <w:sz w:val="20"/>
          <w:szCs w:val="20"/>
        </w:rPr>
        <w:t>(London and New York: Cassell, 1999).</w:t>
      </w:r>
    </w:p>
  </w:endnote>
  <w:endnote w:id="17">
    <w:p w14:paraId="65B7B6E3" w14:textId="51A678B4" w:rsidR="001B5F18" w:rsidRPr="00CB4C8F" w:rsidRDefault="001B5F18" w:rsidP="00EF4FFF">
      <w:pPr>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Argus</w:t>
      </w:r>
      <w:r w:rsidRPr="00CB4C8F">
        <w:rPr>
          <w:sz w:val="20"/>
          <w:szCs w:val="20"/>
          <w:lang w:val="en-GB"/>
        </w:rPr>
        <w:t>, 26 February 1861, 4, &lt;</w:t>
      </w:r>
      <w:hyperlink r:id="rId5" w:history="1">
        <w:r w:rsidRPr="00CB4C8F">
          <w:rPr>
            <w:rStyle w:val="Hyperlink"/>
            <w:sz w:val="20"/>
            <w:szCs w:val="20"/>
            <w:shd w:val="clear" w:color="auto" w:fill="FFFFFF"/>
            <w:lang w:val="en-GB"/>
          </w:rPr>
          <w:t>http://nla.gov.au/nla.news-article5697956</w:t>
        </w:r>
      </w:hyperlink>
      <w:r w:rsidRPr="00CB4C8F">
        <w:rPr>
          <w:sz w:val="20"/>
          <w:szCs w:val="20"/>
          <w:lang w:val="en-GB"/>
        </w:rPr>
        <w:t>&gt;.</w:t>
      </w:r>
    </w:p>
  </w:endnote>
  <w:endnote w:id="18">
    <w:p w14:paraId="382B82B9" w14:textId="276FFDA4"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Michael A. Osborne, “Acclimatising the World: A History of the Paradigmatic Colonial Science”, </w:t>
      </w:r>
      <w:r w:rsidRPr="00CB4C8F">
        <w:rPr>
          <w:rFonts w:ascii="Times New Roman" w:hAnsi="Times New Roman" w:cs="Times New Roman"/>
          <w:i/>
          <w:iCs/>
          <w:lang w:val="en-GB"/>
        </w:rPr>
        <w:t>Osiris</w:t>
      </w:r>
      <w:r w:rsidRPr="00CB4C8F">
        <w:rPr>
          <w:rFonts w:ascii="Times New Roman" w:hAnsi="Times New Roman" w:cs="Times New Roman"/>
          <w:lang w:val="en-GB"/>
        </w:rPr>
        <w:t xml:space="preserve"> 15 (2000), 135-151 (135). </w:t>
      </w:r>
    </w:p>
  </w:endnote>
  <w:endnote w:id="19">
    <w:p w14:paraId="2B17C3DA" w14:textId="7625AD39" w:rsidR="001B5F18" w:rsidRPr="00CB4C8F" w:rsidRDefault="001B5F18" w:rsidP="007D28CF">
      <w:pPr>
        <w:jc w:val="both"/>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Letter Announcing the Formation of an Acclimatisation Society and Seeking Donations and Subscriptions</w:t>
      </w:r>
      <w:r w:rsidRPr="00CB4C8F">
        <w:rPr>
          <w:sz w:val="20"/>
          <w:szCs w:val="20"/>
          <w:lang w:val="en-GB"/>
        </w:rPr>
        <w:t>] (Melbourne: Acclimatisation Society of Victoria, 1861), &lt;</w:t>
      </w:r>
      <w:hyperlink r:id="rId6" w:history="1">
        <w:r w:rsidRPr="00CB4C8F">
          <w:rPr>
            <w:rStyle w:val="Hyperlink"/>
            <w:sz w:val="20"/>
            <w:szCs w:val="20"/>
            <w:lang w:val="en-GB"/>
          </w:rPr>
          <w:t>http://handle.slv.vic.gov.au/10381/108529</w:t>
        </w:r>
      </w:hyperlink>
      <w:r w:rsidRPr="00CB4C8F">
        <w:rPr>
          <w:sz w:val="20"/>
          <w:szCs w:val="20"/>
          <w:lang w:val="en-GB"/>
        </w:rPr>
        <w:t>&gt;.</w:t>
      </w:r>
    </w:p>
  </w:endnote>
  <w:endnote w:id="20">
    <w:p w14:paraId="2254A786" w14:textId="76091C3D"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t>
      </w:r>
      <w:r w:rsidRPr="00CB4C8F">
        <w:rPr>
          <w:rFonts w:ascii="Times New Roman" w:hAnsi="Times New Roman" w:cs="Times New Roman"/>
          <w:i/>
          <w:iCs/>
          <w:lang w:val="en-GB"/>
        </w:rPr>
        <w:t>Star</w:t>
      </w:r>
      <w:r w:rsidRPr="00CB4C8F">
        <w:rPr>
          <w:rFonts w:ascii="Times New Roman" w:hAnsi="Times New Roman" w:cs="Times New Roman"/>
          <w:lang w:val="en-GB"/>
        </w:rPr>
        <w:t>, 27 February 1861, 2, &lt;http://nla.gov.au/nla.news-article66337643&gt;.</w:t>
      </w:r>
    </w:p>
  </w:endnote>
  <w:endnote w:id="21">
    <w:p w14:paraId="04E967B5" w14:textId="65832EC3" w:rsidR="001B5F18" w:rsidRPr="00CB4C8F" w:rsidRDefault="001B5F18" w:rsidP="003F275D">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Ovens and Murray Advertiser</w:t>
      </w:r>
      <w:r w:rsidRPr="00CB4C8F">
        <w:rPr>
          <w:rFonts w:ascii="Times New Roman" w:hAnsi="Times New Roman" w:cs="Times New Roman"/>
        </w:rPr>
        <w:t>, 7 May 1863, 2, &lt;</w:t>
      </w:r>
      <w:hyperlink r:id="rId7" w:history="1">
        <w:r w:rsidRPr="00CB4C8F">
          <w:rPr>
            <w:rStyle w:val="Hyperlink"/>
            <w:rFonts w:ascii="Times New Roman" w:hAnsi="Times New Roman" w:cs="Times New Roman"/>
            <w:lang w:val="en-GB"/>
          </w:rPr>
          <w:t>http://nla.gov.au/nla.news-article112893425</w:t>
        </w:r>
      </w:hyperlink>
      <w:r w:rsidRPr="00CB4C8F">
        <w:rPr>
          <w:rFonts w:ascii="Times New Roman" w:hAnsi="Times New Roman" w:cs="Times New Roman"/>
          <w:lang w:val="en-GB"/>
        </w:rPr>
        <w:t>&gt;.</w:t>
      </w:r>
    </w:p>
  </w:endnote>
  <w:endnote w:id="22">
    <w:p w14:paraId="02579B3E" w14:textId="080A7E7A"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lang w:val="en-GB"/>
        </w:rPr>
        <w:t>Star</w:t>
      </w:r>
      <w:r w:rsidRPr="00CB4C8F">
        <w:rPr>
          <w:rFonts w:ascii="Times New Roman" w:hAnsi="Times New Roman" w:cs="Times New Roman"/>
          <w:lang w:val="en-GB"/>
        </w:rPr>
        <w:t>, 2 November 1863, 3, &lt;http://nla.gov.au/nla.news-article72511107&gt;.</w:t>
      </w:r>
    </w:p>
  </w:endnote>
  <w:endnote w:id="23">
    <w:p w14:paraId="3D607935" w14:textId="5FF1AFE2"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Peter Minard, </w:t>
      </w:r>
      <w:r w:rsidRPr="00CB4C8F">
        <w:rPr>
          <w:rFonts w:ascii="Times New Roman" w:hAnsi="Times New Roman" w:cs="Times New Roman"/>
          <w:i/>
          <w:iCs/>
          <w:lang w:val="en-GB"/>
        </w:rPr>
        <w:t>All Things Harmless, Useful, and Ornamental: Environmental Transformation through Species Acclimatization, from Colonial Australia to the World</w:t>
      </w:r>
      <w:r w:rsidRPr="00CB4C8F">
        <w:rPr>
          <w:rFonts w:ascii="Times New Roman" w:hAnsi="Times New Roman" w:cs="Times New Roman"/>
          <w:lang w:val="en-GB"/>
        </w:rPr>
        <w:t xml:space="preserve"> (Chapel Hill, NC: University of North Carolina Press, 2019), 5, 21, 5.</w:t>
      </w:r>
    </w:p>
  </w:endnote>
  <w:endnote w:id="24">
    <w:p w14:paraId="3EC3C88A" w14:textId="2004833D"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Secretary for Mines, Letter to the </w:t>
      </w:r>
      <w:r w:rsidRPr="00CB4C8F">
        <w:rPr>
          <w:rFonts w:ascii="Times New Roman" w:hAnsi="Times New Roman" w:cs="Times New Roman"/>
        </w:rPr>
        <w:t xml:space="preserve">Honourable Secretary, 11 September 1877, </w:t>
      </w:r>
      <w:r w:rsidRPr="00CB4C8F">
        <w:rPr>
          <w:rFonts w:ascii="Times New Roman" w:hAnsi="Times New Roman" w:cs="Times New Roman"/>
          <w:lang w:val="en-GB"/>
        </w:rPr>
        <w:t>Records 1877-78, Beechworth Athenaeum Archives, Beechworth Athenaeum and Burke Museum.</w:t>
      </w:r>
    </w:p>
  </w:endnote>
  <w:endnote w:id="25">
    <w:p w14:paraId="11D570E4" w14:textId="7F4C9279"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Secretary for Lands, Letter to the </w:t>
      </w:r>
      <w:r w:rsidRPr="00CB4C8F">
        <w:rPr>
          <w:rFonts w:ascii="Times New Roman" w:hAnsi="Times New Roman" w:cs="Times New Roman"/>
        </w:rPr>
        <w:t xml:space="preserve">Honourable Secretary, 12 September 1877, </w:t>
      </w:r>
      <w:r w:rsidRPr="00CB4C8F">
        <w:rPr>
          <w:rFonts w:ascii="Times New Roman" w:hAnsi="Times New Roman" w:cs="Times New Roman"/>
          <w:lang w:val="en-GB"/>
        </w:rPr>
        <w:t>Records 1877-78, Beechworth Athenaeum Archives, Beechworth Athenaeum and Burke Museum.</w:t>
      </w:r>
    </w:p>
  </w:endnote>
  <w:endnote w:id="26">
    <w:p w14:paraId="5903C588" w14:textId="410AEC09" w:rsidR="001B5F18" w:rsidRPr="00CB4C8F" w:rsidRDefault="001B5F18" w:rsidP="00776337">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eastAsia="Times New Roman" w:hAnsi="Times New Roman" w:cs="Times New Roman"/>
          <w:lang w:val="en-GB" w:eastAsia="en-GB"/>
        </w:rPr>
        <w:t>While it was common for various colonial secretaries to supply institutes and libraries with government publications, the Beechworth Athenaeum’s records demonstrate how proactive the committee was in soliciting these publications.</w:t>
      </w:r>
    </w:p>
  </w:endnote>
  <w:endnote w:id="27">
    <w:p w14:paraId="2072A8CE" w14:textId="3646DC96"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Honourable Secretary </w:t>
      </w:r>
      <w:r w:rsidRPr="00CB4C8F">
        <w:rPr>
          <w:rFonts w:ascii="Times New Roman" w:hAnsi="Times New Roman" w:cs="Times New Roman"/>
          <w:lang w:val="en-GB"/>
        </w:rPr>
        <w:t xml:space="preserve">Freeburgh Public Library, Letter to </w:t>
      </w:r>
      <w:r w:rsidRPr="00CB4C8F">
        <w:rPr>
          <w:rFonts w:ascii="Times New Roman" w:hAnsi="Times New Roman" w:cs="Times New Roman"/>
        </w:rPr>
        <w:t xml:space="preserve">the Honourable Secretary, 8 October 1877, </w:t>
      </w:r>
      <w:r w:rsidRPr="00CB4C8F">
        <w:rPr>
          <w:rFonts w:ascii="Times New Roman" w:hAnsi="Times New Roman" w:cs="Times New Roman"/>
          <w:lang w:val="en-GB"/>
        </w:rPr>
        <w:t>Records 1877-78, Beechworth Athenaeum Archives, Beechworth Athenaeum and Burke Museum.</w:t>
      </w:r>
    </w:p>
  </w:endnote>
  <w:endnote w:id="28">
    <w:p w14:paraId="06ED8958" w14:textId="31908E5E" w:rsidR="001B5F18" w:rsidRPr="00CB4C8F" w:rsidRDefault="001B5F18" w:rsidP="00EF4FFF">
      <w:pPr>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Bendigo Advertiser</w:t>
      </w:r>
      <w:r w:rsidRPr="00CB4C8F">
        <w:rPr>
          <w:sz w:val="20"/>
          <w:szCs w:val="20"/>
          <w:lang w:val="en-GB"/>
        </w:rPr>
        <w:t>, 15 January 1868, 2, &lt;</w:t>
      </w:r>
      <w:hyperlink r:id="rId8" w:history="1">
        <w:r w:rsidRPr="00CB4C8F">
          <w:rPr>
            <w:rStyle w:val="Hyperlink"/>
            <w:sz w:val="20"/>
            <w:szCs w:val="20"/>
          </w:rPr>
          <w:t>http://nla.gov.au/nla.news-page9030141</w:t>
        </w:r>
      </w:hyperlink>
      <w:r w:rsidRPr="00CB4C8F">
        <w:rPr>
          <w:sz w:val="20"/>
          <w:szCs w:val="20"/>
          <w:lang w:val="en-GB"/>
        </w:rPr>
        <w:t xml:space="preserve">&gt;. </w:t>
      </w:r>
    </w:p>
  </w:endnote>
  <w:endnote w:id="29">
    <w:p w14:paraId="0D01C9DF" w14:textId="4E7A3D35"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t>
      </w:r>
      <w:r w:rsidRPr="00CB4C8F">
        <w:rPr>
          <w:rFonts w:ascii="Times New Roman" w:hAnsi="Times New Roman" w:cs="Times New Roman"/>
          <w:i/>
          <w:iCs/>
          <w:lang w:val="en-GB"/>
        </w:rPr>
        <w:t>Ballarat Star</w:t>
      </w:r>
      <w:r w:rsidRPr="00CB4C8F">
        <w:rPr>
          <w:rFonts w:ascii="Times New Roman" w:hAnsi="Times New Roman" w:cs="Times New Roman"/>
          <w:lang w:val="en-GB"/>
        </w:rPr>
        <w:t>, 29 May 1876, 2, &lt;</w:t>
      </w:r>
      <w:hyperlink r:id="rId9" w:history="1">
        <w:r w:rsidRPr="00CB4C8F">
          <w:rPr>
            <w:rStyle w:val="Hyperlink"/>
            <w:rFonts w:ascii="Times New Roman" w:hAnsi="Times New Roman" w:cs="Times New Roman"/>
            <w:lang w:val="en-GB"/>
          </w:rPr>
          <w:t>http://nla.gov.au/nla.news-article200230561</w:t>
        </w:r>
      </w:hyperlink>
      <w:r w:rsidRPr="00CB4C8F">
        <w:rPr>
          <w:rFonts w:ascii="Times New Roman" w:hAnsi="Times New Roman" w:cs="Times New Roman"/>
          <w:lang w:val="en-GB"/>
        </w:rPr>
        <w:t xml:space="preserve">&gt;; </w:t>
      </w:r>
      <w:r w:rsidRPr="00CB4C8F">
        <w:rPr>
          <w:rFonts w:ascii="Times New Roman" w:hAnsi="Times New Roman" w:cs="Times New Roman"/>
          <w:i/>
          <w:iCs/>
          <w:lang w:val="en-GB"/>
        </w:rPr>
        <w:t>Ballarat Courier</w:t>
      </w:r>
      <w:r w:rsidRPr="00CB4C8F">
        <w:rPr>
          <w:rFonts w:ascii="Times New Roman" w:hAnsi="Times New Roman" w:cs="Times New Roman"/>
          <w:lang w:val="en-GB"/>
        </w:rPr>
        <w:t>, 29 May 1876, 4, &lt;</w:t>
      </w:r>
      <w:hyperlink r:id="rId10" w:history="1">
        <w:r w:rsidRPr="00CB4C8F">
          <w:rPr>
            <w:rStyle w:val="Hyperlink"/>
            <w:rFonts w:ascii="Times New Roman" w:hAnsi="Times New Roman" w:cs="Times New Roman"/>
            <w:lang w:val="en-GB"/>
          </w:rPr>
          <w:t>http://nla.gov.au/nla.news-article211001125</w:t>
        </w:r>
      </w:hyperlink>
      <w:r w:rsidRPr="00CB4C8F">
        <w:rPr>
          <w:rFonts w:ascii="Times New Roman" w:hAnsi="Times New Roman" w:cs="Times New Roman"/>
          <w:lang w:val="en-GB"/>
        </w:rPr>
        <w:t>&gt;.</w:t>
      </w:r>
    </w:p>
  </w:endnote>
  <w:endnote w:id="30">
    <w:p w14:paraId="263035BC" w14:textId="2737742A"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 xml:space="preserve">Minard, </w:t>
      </w:r>
      <w:r w:rsidRPr="00CB4C8F">
        <w:rPr>
          <w:rFonts w:ascii="Times New Roman" w:hAnsi="Times New Roman" w:cs="Times New Roman"/>
          <w:i/>
          <w:iCs/>
          <w:lang w:val="en-GB"/>
        </w:rPr>
        <w:t>All Things Harmless, Useful, and Ornamental</w:t>
      </w:r>
      <w:r w:rsidRPr="00CB4C8F">
        <w:rPr>
          <w:rFonts w:ascii="Times New Roman" w:hAnsi="Times New Roman" w:cs="Times New Roman"/>
          <w:lang w:val="en-GB"/>
        </w:rPr>
        <w:t xml:space="preserve">, 5. </w:t>
      </w:r>
    </w:p>
  </w:endnote>
  <w:endnote w:id="31">
    <w:p w14:paraId="3B880366" w14:textId="1853F6EB" w:rsidR="001B5F18" w:rsidRPr="00CB4C8F" w:rsidRDefault="001B5F18" w:rsidP="004E3E38">
      <w:pPr>
        <w:autoSpaceDE w:val="0"/>
        <w:autoSpaceDN w:val="0"/>
        <w:adjustRightInd w:val="0"/>
        <w:rPr>
          <w:color w:val="000000"/>
          <w:sz w:val="20"/>
          <w:szCs w:val="20"/>
          <w:lang w:val="en-GB"/>
        </w:rPr>
      </w:pPr>
      <w:r w:rsidRPr="00CB4C8F">
        <w:rPr>
          <w:rStyle w:val="EndnoteReference"/>
          <w:sz w:val="20"/>
          <w:szCs w:val="20"/>
        </w:rPr>
        <w:endnoteRef/>
      </w:r>
      <w:r w:rsidRPr="00CB4C8F">
        <w:rPr>
          <w:sz w:val="20"/>
          <w:szCs w:val="20"/>
        </w:rPr>
        <w:t xml:space="preserve"> </w:t>
      </w:r>
      <w:r w:rsidRPr="00CB4C8F">
        <w:rPr>
          <w:i/>
          <w:iCs/>
          <w:color w:val="000000"/>
          <w:sz w:val="20"/>
          <w:szCs w:val="20"/>
          <w:lang w:val="en-GB"/>
        </w:rPr>
        <w:t>Star</w:t>
      </w:r>
      <w:r w:rsidRPr="00CB4C8F">
        <w:rPr>
          <w:color w:val="000000"/>
          <w:sz w:val="20"/>
          <w:szCs w:val="20"/>
          <w:lang w:val="en-GB"/>
        </w:rPr>
        <w:t>, 29 September 1860, 2, &lt;</w:t>
      </w:r>
      <w:r w:rsidRPr="00CB4C8F">
        <w:rPr>
          <w:color w:val="0000FF"/>
          <w:sz w:val="20"/>
          <w:szCs w:val="20"/>
          <w:lang w:val="en-GB"/>
        </w:rPr>
        <w:t>http://nla.gov.au/nla.news-article66058563</w:t>
      </w:r>
      <w:r w:rsidRPr="00CB4C8F">
        <w:rPr>
          <w:color w:val="000000"/>
          <w:sz w:val="20"/>
          <w:szCs w:val="20"/>
          <w:lang w:val="en-GB"/>
        </w:rPr>
        <w:t>&gt;.</w:t>
      </w:r>
    </w:p>
  </w:endnote>
  <w:endnote w:id="32">
    <w:p w14:paraId="21691574" w14:textId="78628DC3"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t>
      </w:r>
      <w:r w:rsidRPr="00CB4C8F">
        <w:rPr>
          <w:rFonts w:ascii="Times New Roman" w:hAnsi="Times New Roman" w:cs="Times New Roman"/>
          <w:i/>
          <w:iCs/>
          <w:lang w:val="en-GB"/>
        </w:rPr>
        <w:t>Bendigo Advertiser</w:t>
      </w:r>
      <w:r w:rsidRPr="00CB4C8F">
        <w:rPr>
          <w:rFonts w:ascii="Times New Roman" w:hAnsi="Times New Roman" w:cs="Times New Roman"/>
          <w:lang w:val="en-GB"/>
        </w:rPr>
        <w:t>, 6 August 1856, 2, &lt;</w:t>
      </w:r>
      <w:hyperlink r:id="rId11" w:history="1">
        <w:r w:rsidRPr="00CB4C8F">
          <w:rPr>
            <w:rStyle w:val="Hyperlink"/>
            <w:rFonts w:ascii="Times New Roman" w:hAnsi="Times New Roman" w:cs="Times New Roman"/>
            <w:lang w:val="en-GB"/>
          </w:rPr>
          <w:t>http://nla.gov.au/nla.news-article88051918</w:t>
        </w:r>
      </w:hyperlink>
      <w:r w:rsidRPr="00CB4C8F">
        <w:rPr>
          <w:rFonts w:ascii="Times New Roman" w:hAnsi="Times New Roman" w:cs="Times New Roman"/>
          <w:lang w:val="en-GB"/>
        </w:rPr>
        <w:t>&gt;.</w:t>
      </w:r>
    </w:p>
  </w:endnote>
  <w:endnote w:id="33">
    <w:p w14:paraId="660C09AE" w14:textId="43AFD6C3" w:rsidR="001B5F18" w:rsidRPr="00CB4C8F" w:rsidRDefault="001B5F18" w:rsidP="00CD1CA0">
      <w:pPr>
        <w:autoSpaceDE w:val="0"/>
        <w:autoSpaceDN w:val="0"/>
        <w:adjustRightInd w:val="0"/>
        <w:jc w:val="both"/>
        <w:rPr>
          <w:sz w:val="20"/>
          <w:szCs w:val="20"/>
          <w:lang w:val="en-GB"/>
        </w:rPr>
      </w:pPr>
      <w:r w:rsidRPr="00CB4C8F">
        <w:rPr>
          <w:rStyle w:val="EndnoteReference"/>
          <w:sz w:val="20"/>
          <w:szCs w:val="20"/>
          <w:lang w:val="en-GB"/>
        </w:rPr>
        <w:endnoteRef/>
      </w:r>
      <w:r w:rsidRPr="00CB4C8F">
        <w:rPr>
          <w:sz w:val="20"/>
          <w:szCs w:val="20"/>
          <w:lang w:val="en-GB"/>
        </w:rPr>
        <w:t xml:space="preserve"> Kay Anderson and Colin Perrin, “How Race Became Everything: Australia and Polygenism”, </w:t>
      </w:r>
      <w:r w:rsidRPr="00CB4C8F">
        <w:rPr>
          <w:i/>
          <w:iCs/>
          <w:sz w:val="20"/>
          <w:szCs w:val="20"/>
          <w:lang w:val="en-GB"/>
        </w:rPr>
        <w:t>Ethnic and Racial Studies</w:t>
      </w:r>
      <w:r w:rsidRPr="00CB4C8F">
        <w:rPr>
          <w:sz w:val="20"/>
          <w:szCs w:val="20"/>
          <w:lang w:val="en-GB"/>
        </w:rPr>
        <w:t xml:space="preserve"> 31, no. 5 (2008), 962-990 (966); and “‘The </w:t>
      </w:r>
      <w:r w:rsidRPr="00CB4C8F">
        <w:rPr>
          <w:sz w:val="20"/>
          <w:szCs w:val="20"/>
          <w:lang w:val="en-GB"/>
        </w:rPr>
        <w:t xml:space="preserve">Miserablist People in the World’: Race, Humanism and the Australian Aborigine”, </w:t>
      </w:r>
      <w:r w:rsidRPr="00CB4C8F">
        <w:rPr>
          <w:i/>
          <w:iCs/>
          <w:sz w:val="20"/>
          <w:szCs w:val="20"/>
          <w:lang w:val="en-GB"/>
        </w:rPr>
        <w:t>The Australian Journal of Anthropology</w:t>
      </w:r>
      <w:r w:rsidRPr="00CB4C8F">
        <w:rPr>
          <w:sz w:val="20"/>
          <w:szCs w:val="20"/>
          <w:lang w:val="en-GB"/>
        </w:rPr>
        <w:t xml:space="preserve"> 18, no. 1 (2007), 18-39 (19). See also, Bronwyn Douglas and Chris Ballard</w:t>
      </w:r>
      <w:r w:rsidR="004E345F">
        <w:rPr>
          <w:sz w:val="20"/>
          <w:szCs w:val="20"/>
          <w:lang w:val="en-GB"/>
        </w:rPr>
        <w:t xml:space="preserve">, </w:t>
      </w:r>
      <w:r w:rsidRPr="00CB4C8F">
        <w:rPr>
          <w:sz w:val="20"/>
          <w:szCs w:val="20"/>
          <w:lang w:val="en-GB"/>
        </w:rPr>
        <w:t>eds</w:t>
      </w:r>
      <w:r w:rsidR="004E345F">
        <w:rPr>
          <w:sz w:val="20"/>
          <w:szCs w:val="20"/>
          <w:lang w:val="en-GB"/>
        </w:rPr>
        <w:t>.</w:t>
      </w:r>
      <w:r w:rsidRPr="00CB4C8F">
        <w:rPr>
          <w:sz w:val="20"/>
          <w:szCs w:val="20"/>
          <w:lang w:val="en-GB"/>
        </w:rPr>
        <w:t xml:space="preserve">, </w:t>
      </w:r>
      <w:r w:rsidRPr="00CB4C8F">
        <w:rPr>
          <w:i/>
          <w:iCs/>
          <w:sz w:val="20"/>
          <w:szCs w:val="20"/>
          <w:lang w:val="en-GB"/>
        </w:rPr>
        <w:t>Foreign Bodies: Oceania and the Science of Race 1750–1940</w:t>
      </w:r>
      <w:r w:rsidRPr="00CB4C8F">
        <w:rPr>
          <w:sz w:val="20"/>
          <w:szCs w:val="20"/>
          <w:lang w:val="en-GB"/>
        </w:rPr>
        <w:t xml:space="preserve"> (Canberra: ANU Press, 2008), especially Paul Turnbull, “British Anthropological Thought in Colonial Practice: The Appropriation of Indigenous Australian Bodies, 1860-1880”, 205–228. </w:t>
      </w:r>
    </w:p>
  </w:endnote>
  <w:endnote w:id="34">
    <w:p w14:paraId="71D2C3A3" w14:textId="1110C842"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Warwick Anderson, “Disease, Race, and Empire”, </w:t>
      </w:r>
      <w:r w:rsidRPr="00CB4C8F">
        <w:rPr>
          <w:rFonts w:ascii="Times New Roman" w:hAnsi="Times New Roman" w:cs="Times New Roman"/>
          <w:i/>
          <w:iCs/>
          <w:lang w:val="en-GB"/>
        </w:rPr>
        <w:t>Bulletin of the History of Medicine</w:t>
      </w:r>
      <w:r w:rsidRPr="00CB4C8F">
        <w:rPr>
          <w:rFonts w:ascii="Times New Roman" w:hAnsi="Times New Roman" w:cs="Times New Roman"/>
          <w:lang w:val="en-GB"/>
        </w:rPr>
        <w:t xml:space="preserve"> 70, no. 1 (Spring 1996), 62-67 (63). See, also, Mark Harrison, “‘The Tender Frame of Man’: Disease, Climate, and Racial Difference in India and the West Indies, 1760–1860”, </w:t>
      </w:r>
      <w:r w:rsidRPr="00CB4C8F">
        <w:rPr>
          <w:rFonts w:ascii="Times New Roman" w:hAnsi="Times New Roman" w:cs="Times New Roman"/>
          <w:i/>
          <w:iCs/>
          <w:lang w:val="en-GB"/>
        </w:rPr>
        <w:t>Bulletin of the History of Medicine</w:t>
      </w:r>
      <w:r w:rsidRPr="00CB4C8F">
        <w:rPr>
          <w:rFonts w:ascii="Times New Roman" w:hAnsi="Times New Roman" w:cs="Times New Roman"/>
          <w:lang w:val="en-GB"/>
        </w:rPr>
        <w:t xml:space="preserve"> 70, no. 1 (Spring 1996), 69–93. </w:t>
      </w:r>
    </w:p>
  </w:endnote>
  <w:endnote w:id="35">
    <w:p w14:paraId="1A40D8BF" w14:textId="04D3BD5A"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lang w:val="en-GB"/>
        </w:rPr>
        <w:t>Melbourne Punch</w:t>
      </w:r>
      <w:r w:rsidRPr="00CB4C8F">
        <w:rPr>
          <w:rFonts w:ascii="Times New Roman" w:hAnsi="Times New Roman" w:cs="Times New Roman"/>
          <w:lang w:val="en-GB"/>
        </w:rPr>
        <w:t>, 2 August 1855, 100, &lt;</w:t>
      </w:r>
      <w:hyperlink r:id="rId12" w:history="1">
        <w:r w:rsidRPr="00CB4C8F">
          <w:rPr>
            <w:rStyle w:val="Hyperlink"/>
            <w:rFonts w:ascii="Times New Roman" w:hAnsi="Times New Roman" w:cs="Times New Roman"/>
            <w:lang w:val="en-GB"/>
          </w:rPr>
          <w:t>http://nla.gov.au/nla.news-article171430326</w:t>
        </w:r>
      </w:hyperlink>
      <w:r w:rsidRPr="00CB4C8F">
        <w:rPr>
          <w:rFonts w:ascii="Times New Roman" w:hAnsi="Times New Roman" w:cs="Times New Roman"/>
          <w:lang w:val="en-GB"/>
        </w:rPr>
        <w:t>&gt;.</w:t>
      </w:r>
    </w:p>
  </w:endnote>
  <w:endnote w:id="36">
    <w:p w14:paraId="39A09480" w14:textId="088B4725" w:rsidR="004F513A" w:rsidRPr="008F4E9D" w:rsidRDefault="004F513A" w:rsidP="00CD1CA0">
      <w:pPr>
        <w:pStyle w:val="EndnoteText"/>
        <w:jc w:val="both"/>
        <w:rPr>
          <w:rFonts w:ascii="Times New Roman" w:hAnsi="Times New Roman" w:cs="Times New Roman"/>
          <w:lang w:val="en-GB"/>
        </w:rPr>
      </w:pPr>
      <w:r w:rsidRPr="008F4E9D">
        <w:rPr>
          <w:rStyle w:val="EndnoteReference"/>
          <w:rFonts w:ascii="Times New Roman" w:hAnsi="Times New Roman" w:cs="Times New Roman"/>
        </w:rPr>
        <w:endnoteRef/>
      </w:r>
      <w:r w:rsidRPr="008F4E9D">
        <w:rPr>
          <w:rFonts w:ascii="Times New Roman" w:hAnsi="Times New Roman" w:cs="Times New Roman"/>
        </w:rPr>
        <w:t xml:space="preserve"> </w:t>
      </w:r>
      <w:r w:rsidRPr="008F4E9D">
        <w:rPr>
          <w:rFonts w:ascii="Times New Roman" w:hAnsi="Times New Roman" w:cs="Times New Roman"/>
          <w:lang w:val="en-GB"/>
        </w:rPr>
        <w:t xml:space="preserve">Richards, ‘Migrations’, 167; Benjamin Mountford and Stephen </w:t>
      </w:r>
      <w:r w:rsidRPr="008F4E9D">
        <w:rPr>
          <w:rFonts w:ascii="Times New Roman" w:hAnsi="Times New Roman" w:cs="Times New Roman"/>
          <w:lang w:val="en-GB"/>
        </w:rPr>
        <w:t>Tuffnel, “Seeking a Global History of Gold”, in Benjamin Mountford and Stephen Tuffnel</w:t>
      </w:r>
      <w:r w:rsidR="004E345F">
        <w:rPr>
          <w:rFonts w:ascii="Times New Roman" w:hAnsi="Times New Roman" w:cs="Times New Roman"/>
          <w:lang w:val="en-GB"/>
        </w:rPr>
        <w:t xml:space="preserve">, </w:t>
      </w:r>
      <w:r w:rsidRPr="008F4E9D">
        <w:rPr>
          <w:rFonts w:ascii="Times New Roman" w:hAnsi="Times New Roman" w:cs="Times New Roman"/>
          <w:lang w:val="en-GB"/>
        </w:rPr>
        <w:t>eds</w:t>
      </w:r>
      <w:r w:rsidR="004E345F">
        <w:rPr>
          <w:rFonts w:ascii="Times New Roman" w:hAnsi="Times New Roman" w:cs="Times New Roman"/>
          <w:lang w:val="en-GB"/>
        </w:rPr>
        <w:t>.</w:t>
      </w:r>
      <w:r w:rsidRPr="008F4E9D">
        <w:rPr>
          <w:rFonts w:ascii="Times New Roman" w:hAnsi="Times New Roman" w:cs="Times New Roman"/>
          <w:lang w:val="en-GB"/>
        </w:rPr>
        <w:t xml:space="preserve">, </w:t>
      </w:r>
      <w:r w:rsidRPr="008F4E9D">
        <w:rPr>
          <w:rFonts w:ascii="Times New Roman" w:hAnsi="Times New Roman" w:cs="Times New Roman"/>
          <w:i/>
          <w:iCs/>
          <w:lang w:val="en-GB"/>
        </w:rPr>
        <w:t>A Global History of Gold Rushes</w:t>
      </w:r>
      <w:r>
        <w:rPr>
          <w:rFonts w:ascii="Times New Roman" w:hAnsi="Times New Roman" w:cs="Times New Roman"/>
          <w:lang w:val="en-GB"/>
        </w:rPr>
        <w:t xml:space="preserve"> (California: University of California Press, 2018), 3–41 (7).</w:t>
      </w:r>
    </w:p>
  </w:endnote>
  <w:endnote w:id="37">
    <w:p w14:paraId="15D6622E" w14:textId="57305A9B" w:rsidR="004F513A" w:rsidRPr="00403A63" w:rsidRDefault="004F513A">
      <w:pPr>
        <w:pStyle w:val="EndnoteText"/>
        <w:rPr>
          <w:rFonts w:ascii="Times New Roman" w:hAnsi="Times New Roman" w:cs="Times New Roman"/>
          <w:lang w:val="en-GB"/>
        </w:rPr>
      </w:pPr>
      <w:r w:rsidRPr="00403A63">
        <w:rPr>
          <w:rStyle w:val="EndnoteReference"/>
          <w:rFonts w:ascii="Times New Roman" w:hAnsi="Times New Roman" w:cs="Times New Roman"/>
        </w:rPr>
        <w:endnoteRef/>
      </w:r>
      <w:r w:rsidRPr="00403A63">
        <w:rPr>
          <w:rFonts w:ascii="Times New Roman" w:hAnsi="Times New Roman" w:cs="Times New Roman"/>
        </w:rPr>
        <w:t xml:space="preserve"> </w:t>
      </w:r>
      <w:r w:rsidRPr="00403A63">
        <w:rPr>
          <w:rFonts w:ascii="Times New Roman" w:hAnsi="Times New Roman" w:cs="Times New Roman"/>
          <w:lang w:val="en-GB"/>
        </w:rPr>
        <w:t xml:space="preserve">Alexandra </w:t>
      </w:r>
      <w:r w:rsidRPr="00403A63">
        <w:rPr>
          <w:rFonts w:ascii="Times New Roman" w:hAnsi="Times New Roman" w:cs="Times New Roman"/>
          <w:lang w:val="en-GB"/>
        </w:rPr>
        <w:t xml:space="preserve">Roginski, </w:t>
      </w:r>
      <w:r w:rsidRPr="00403A63">
        <w:rPr>
          <w:rFonts w:ascii="Times New Roman" w:hAnsi="Times New Roman" w:cs="Times New Roman"/>
          <w:i/>
          <w:iCs/>
          <w:lang w:val="en-GB"/>
        </w:rPr>
        <w:t xml:space="preserve">The Hanged </w:t>
      </w:r>
      <w:r w:rsidRPr="00403A63">
        <w:rPr>
          <w:rFonts w:ascii="Times New Roman" w:hAnsi="Times New Roman" w:cs="Times New Roman"/>
          <w:i/>
          <w:iCs/>
          <w:lang w:val="en-GB"/>
        </w:rPr>
        <w:t>Man and the Body Thief: Finding Lives in a Museum Mystery</w:t>
      </w:r>
      <w:r w:rsidR="00A50B36" w:rsidRPr="00403A63">
        <w:rPr>
          <w:rFonts w:ascii="Times New Roman" w:hAnsi="Times New Roman" w:cs="Times New Roman"/>
          <w:lang w:val="en-GB"/>
        </w:rPr>
        <w:t xml:space="preserve"> (Melbourne: Monash University Publishing, 2015), 38-9.</w:t>
      </w:r>
    </w:p>
  </w:endnote>
  <w:endnote w:id="38">
    <w:p w14:paraId="3A4E726C" w14:textId="6059FBB5" w:rsidR="001B5F18" w:rsidRPr="00CB4C8F" w:rsidRDefault="001B5F18" w:rsidP="00EF4FFF">
      <w:pPr>
        <w:autoSpaceDE w:val="0"/>
        <w:autoSpaceDN w:val="0"/>
        <w:adjustRightInd w:val="0"/>
        <w:rPr>
          <w:sz w:val="20"/>
          <w:szCs w:val="20"/>
          <w:lang w:val="en-GB"/>
        </w:rPr>
      </w:pPr>
      <w:r w:rsidRPr="00CB4C8F">
        <w:rPr>
          <w:rStyle w:val="EndnoteReference"/>
          <w:sz w:val="20"/>
          <w:szCs w:val="20"/>
        </w:rPr>
        <w:endnoteRef/>
      </w:r>
      <w:r w:rsidRPr="00CB4C8F">
        <w:rPr>
          <w:sz w:val="20"/>
          <w:szCs w:val="20"/>
        </w:rPr>
        <w:t xml:space="preserve"> </w:t>
      </w:r>
      <w:r w:rsidRPr="00CB4C8F">
        <w:rPr>
          <w:i/>
          <w:iCs/>
          <w:sz w:val="20"/>
          <w:szCs w:val="20"/>
          <w:lang w:val="en-GB"/>
        </w:rPr>
        <w:t>Bendigo Advertiser</w:t>
      </w:r>
      <w:r w:rsidRPr="00CB4C8F">
        <w:rPr>
          <w:sz w:val="20"/>
          <w:szCs w:val="20"/>
          <w:lang w:val="en-GB"/>
        </w:rPr>
        <w:t>, 8 September 1857, 2, &lt;</w:t>
      </w:r>
      <w:hyperlink r:id="rId13" w:history="1">
        <w:r w:rsidRPr="00CB4C8F">
          <w:rPr>
            <w:rStyle w:val="Hyperlink"/>
            <w:sz w:val="20"/>
            <w:szCs w:val="20"/>
            <w:lang w:val="en-GB"/>
          </w:rPr>
          <w:t>http://nla.gov.au/nla.news-article88001594</w:t>
        </w:r>
      </w:hyperlink>
      <w:r w:rsidRPr="00CB4C8F">
        <w:rPr>
          <w:sz w:val="20"/>
          <w:szCs w:val="20"/>
          <w:lang w:val="en-GB"/>
        </w:rPr>
        <w:t xml:space="preserve">&gt;; </w:t>
      </w:r>
      <w:r w:rsidRPr="00CB4C8F">
        <w:rPr>
          <w:i/>
          <w:iCs/>
          <w:sz w:val="20"/>
          <w:szCs w:val="20"/>
          <w:lang w:val="en-GB"/>
        </w:rPr>
        <w:t>Bendigo Advertiser</w:t>
      </w:r>
      <w:r w:rsidRPr="00CB4C8F">
        <w:rPr>
          <w:sz w:val="20"/>
          <w:szCs w:val="20"/>
          <w:lang w:val="en-GB"/>
        </w:rPr>
        <w:t>, 4 September 1857, 3, &lt;</w:t>
      </w:r>
      <w:hyperlink r:id="rId14" w:history="1">
        <w:r w:rsidRPr="00CB4C8F">
          <w:rPr>
            <w:rStyle w:val="Hyperlink"/>
            <w:sz w:val="20"/>
            <w:szCs w:val="20"/>
            <w:lang w:val="en-GB"/>
          </w:rPr>
          <w:t>http://nla.gov.au/nla.news-article88001486</w:t>
        </w:r>
      </w:hyperlink>
      <w:r w:rsidRPr="00CB4C8F">
        <w:rPr>
          <w:sz w:val="20"/>
          <w:szCs w:val="20"/>
          <w:lang w:val="en-GB"/>
        </w:rPr>
        <w:t>&gt;.</w:t>
      </w:r>
    </w:p>
  </w:endnote>
  <w:endnote w:id="39">
    <w:p w14:paraId="2C267A75" w14:textId="5D34674E"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w:t>
      </w:r>
      <w:r w:rsidRPr="00CB4C8F">
        <w:rPr>
          <w:rFonts w:ascii="Times New Roman" w:hAnsi="Times New Roman" w:cs="Times New Roman"/>
          <w:i/>
          <w:iCs/>
          <w:lang w:val="en-GB"/>
        </w:rPr>
        <w:t>Bendigo Advertiser</w:t>
      </w:r>
      <w:r w:rsidRPr="00CB4C8F">
        <w:rPr>
          <w:rFonts w:ascii="Times New Roman" w:hAnsi="Times New Roman" w:cs="Times New Roman"/>
          <w:lang w:val="en-GB"/>
        </w:rPr>
        <w:t>, 7 September 1857, 2, &lt;</w:t>
      </w:r>
      <w:hyperlink r:id="rId15" w:history="1">
        <w:r w:rsidRPr="00CB4C8F">
          <w:rPr>
            <w:rStyle w:val="Hyperlink"/>
            <w:rFonts w:ascii="Times New Roman" w:hAnsi="Times New Roman" w:cs="Times New Roman"/>
            <w:lang w:val="en-GB"/>
          </w:rPr>
          <w:t>http://nla.gov.au/nla.news-article88001570</w:t>
        </w:r>
      </w:hyperlink>
      <w:r w:rsidRPr="00CB4C8F">
        <w:rPr>
          <w:rFonts w:ascii="Times New Roman" w:hAnsi="Times New Roman" w:cs="Times New Roman"/>
          <w:lang w:val="en-GB"/>
        </w:rPr>
        <w:t>&gt;.</w:t>
      </w:r>
    </w:p>
  </w:endnote>
  <w:endnote w:id="40">
    <w:p w14:paraId="5B349ADE" w14:textId="59AD1F03" w:rsidR="001B5F18" w:rsidRPr="00CB4C8F" w:rsidRDefault="001B5F18" w:rsidP="00EF4FFF">
      <w:pPr>
        <w:autoSpaceDE w:val="0"/>
        <w:autoSpaceDN w:val="0"/>
        <w:adjustRightInd w:val="0"/>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Bendigo Advertiser</w:t>
      </w:r>
      <w:r w:rsidRPr="00CB4C8F">
        <w:rPr>
          <w:sz w:val="20"/>
          <w:szCs w:val="20"/>
          <w:lang w:val="en-GB"/>
        </w:rPr>
        <w:t>, 2 December 1867,  2, &lt;</w:t>
      </w:r>
      <w:hyperlink r:id="rId16" w:history="1">
        <w:r w:rsidRPr="00CB4C8F">
          <w:rPr>
            <w:rStyle w:val="Hyperlink"/>
            <w:sz w:val="20"/>
            <w:szCs w:val="20"/>
            <w:lang w:val="en-GB"/>
          </w:rPr>
          <w:t>http://nla.gov.au/nla.news-article87956550</w:t>
        </w:r>
      </w:hyperlink>
      <w:r w:rsidRPr="00CB4C8F">
        <w:rPr>
          <w:sz w:val="20"/>
          <w:szCs w:val="20"/>
          <w:lang w:val="en-GB"/>
        </w:rPr>
        <w:t>&gt;.</w:t>
      </w:r>
    </w:p>
  </w:endnote>
  <w:endnote w:id="41">
    <w:p w14:paraId="2FA9EB48" w14:textId="391EB343"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Bendigo Advertiser</w:t>
      </w:r>
      <w:r w:rsidRPr="00CB4C8F">
        <w:rPr>
          <w:rFonts w:ascii="Times New Roman" w:hAnsi="Times New Roman" w:cs="Times New Roman"/>
        </w:rPr>
        <w:t>, 3 December 1867, 2, &lt;</w:t>
      </w:r>
      <w:hyperlink r:id="rId17" w:history="1">
        <w:r w:rsidRPr="00CB4C8F">
          <w:rPr>
            <w:rStyle w:val="Hyperlink"/>
            <w:rFonts w:ascii="Times New Roman" w:hAnsi="Times New Roman" w:cs="Times New Roman"/>
            <w:lang w:val="en-GB"/>
          </w:rPr>
          <w:t>http://nla.gov.au/nla.news-article87956565</w:t>
        </w:r>
      </w:hyperlink>
      <w:r w:rsidRPr="00CB4C8F">
        <w:rPr>
          <w:rFonts w:ascii="Times New Roman" w:hAnsi="Times New Roman" w:cs="Times New Roman"/>
          <w:lang w:val="en-GB"/>
        </w:rPr>
        <w:t>&gt;.</w:t>
      </w:r>
    </w:p>
  </w:endnote>
  <w:endnote w:id="42">
    <w:p w14:paraId="61A18A90" w14:textId="42492A16" w:rsidR="001B5F18" w:rsidRPr="00CB4C8F" w:rsidRDefault="001B5F18">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Paul Turnbull, </w:t>
      </w:r>
      <w:r w:rsidRPr="00CB4C8F">
        <w:rPr>
          <w:rFonts w:ascii="Times New Roman" w:hAnsi="Times New Roman" w:cs="Times New Roman"/>
          <w:i/>
          <w:iCs/>
        </w:rPr>
        <w:t>Science, Museums, and Collecting the Indigenous Dead in Australia</w:t>
      </w:r>
      <w:r w:rsidRPr="00CB4C8F">
        <w:rPr>
          <w:rFonts w:ascii="Times New Roman" w:hAnsi="Times New Roman" w:cs="Times New Roman"/>
        </w:rPr>
        <w:t xml:space="preserve"> (Basingstoke: Palgrave Macmillan, 2017), 188.</w:t>
      </w:r>
      <w:r w:rsidR="00070FF4">
        <w:rPr>
          <w:rFonts w:ascii="Times New Roman" w:hAnsi="Times New Roman" w:cs="Times New Roman"/>
        </w:rPr>
        <w:t xml:space="preserve"> </w:t>
      </w:r>
    </w:p>
  </w:endnote>
  <w:endnote w:id="43">
    <w:p w14:paraId="5CEAE899" w14:textId="1CF86D85"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lang w:val="en-GB"/>
        </w:rPr>
        <w:t>Bendigo Advertiser</w:t>
      </w:r>
      <w:r w:rsidRPr="00CB4C8F">
        <w:rPr>
          <w:rFonts w:ascii="Times New Roman" w:hAnsi="Times New Roman" w:cs="Times New Roman"/>
          <w:lang w:val="en-GB"/>
        </w:rPr>
        <w:t>, 4 September 1857, 3</w:t>
      </w:r>
    </w:p>
  </w:endnote>
  <w:endnote w:id="44">
    <w:p w14:paraId="27904C00" w14:textId="21C84E56" w:rsidR="001B5F18" w:rsidRPr="00CB4C8F" w:rsidRDefault="001B5F18" w:rsidP="00EF4FFF">
      <w:pPr>
        <w:autoSpaceDE w:val="0"/>
        <w:autoSpaceDN w:val="0"/>
        <w:adjustRightInd w:val="0"/>
        <w:rPr>
          <w:sz w:val="20"/>
          <w:szCs w:val="20"/>
          <w:lang w:val="en-GB"/>
        </w:rPr>
      </w:pPr>
      <w:r w:rsidRPr="00CB4C8F">
        <w:rPr>
          <w:rStyle w:val="EndnoteReference"/>
          <w:sz w:val="20"/>
          <w:szCs w:val="20"/>
          <w:lang w:val="en-GB"/>
        </w:rPr>
        <w:endnoteRef/>
      </w:r>
      <w:r w:rsidRPr="00CB4C8F">
        <w:rPr>
          <w:sz w:val="20"/>
          <w:szCs w:val="20"/>
          <w:lang w:val="en-GB"/>
        </w:rPr>
        <w:t xml:space="preserve"> </w:t>
      </w:r>
      <w:r w:rsidRPr="00CB4C8F">
        <w:rPr>
          <w:i/>
          <w:iCs/>
          <w:sz w:val="20"/>
          <w:szCs w:val="20"/>
          <w:lang w:val="en-GB"/>
        </w:rPr>
        <w:t>Bendigo Advertiser</w:t>
      </w:r>
      <w:r w:rsidRPr="00CB4C8F">
        <w:rPr>
          <w:sz w:val="20"/>
          <w:szCs w:val="20"/>
          <w:lang w:val="en-GB"/>
        </w:rPr>
        <w:t>, 2 December 1867, 2.</w:t>
      </w:r>
    </w:p>
  </w:endnote>
  <w:endnote w:id="45">
    <w:p w14:paraId="62D701C0" w14:textId="428AE87B" w:rsidR="001B5F18" w:rsidRPr="00CB4C8F" w:rsidRDefault="001B5F18" w:rsidP="00EF4FFF">
      <w:pPr>
        <w:pStyle w:val="Default"/>
        <w:rPr>
          <w:rFonts w:ascii="Times New Roman" w:hAnsi="Times New Roman" w:cs="Times New Roman"/>
          <w:sz w:val="20"/>
          <w:szCs w:val="20"/>
        </w:rPr>
      </w:pPr>
      <w:r w:rsidRPr="00CB4C8F">
        <w:rPr>
          <w:rStyle w:val="EndnoteReference"/>
          <w:rFonts w:ascii="Times New Roman" w:hAnsi="Times New Roman" w:cs="Times New Roman"/>
          <w:sz w:val="20"/>
          <w:szCs w:val="20"/>
        </w:rPr>
        <w:endnoteRef/>
      </w:r>
      <w:r w:rsidRPr="00CB4C8F">
        <w:rPr>
          <w:rFonts w:ascii="Times New Roman" w:hAnsi="Times New Roman" w:cs="Times New Roman"/>
          <w:sz w:val="20"/>
          <w:szCs w:val="20"/>
        </w:rPr>
        <w:t xml:space="preserve"> Kim A. Wagner, “Confessions of a Skull: Phrenology and Colonial Knowledge in Early Nineteenth-Century India”, </w:t>
      </w:r>
      <w:r w:rsidRPr="00CB4C8F">
        <w:rPr>
          <w:rFonts w:ascii="Times New Roman" w:hAnsi="Times New Roman" w:cs="Times New Roman"/>
          <w:i/>
          <w:iCs/>
          <w:sz w:val="20"/>
          <w:szCs w:val="20"/>
        </w:rPr>
        <w:t>History Workshop Journal</w:t>
      </w:r>
      <w:r w:rsidRPr="00CB4C8F">
        <w:rPr>
          <w:rFonts w:ascii="Times New Roman" w:hAnsi="Times New Roman" w:cs="Times New Roman"/>
          <w:sz w:val="20"/>
          <w:szCs w:val="20"/>
        </w:rPr>
        <w:t xml:space="preserve"> 69 (2010), 27–51 (38).</w:t>
      </w:r>
    </w:p>
  </w:endnote>
  <w:endnote w:id="46">
    <w:p w14:paraId="6A95F4D0" w14:textId="53F4576F" w:rsidR="001B5F18" w:rsidRPr="00CB4C8F" w:rsidRDefault="001B5F18" w:rsidP="00EF4FFF">
      <w:pPr>
        <w:rPr>
          <w:sz w:val="20"/>
          <w:szCs w:val="20"/>
          <w:lang w:val="en-GB"/>
        </w:rPr>
      </w:pPr>
      <w:r w:rsidRPr="00CB4C8F">
        <w:rPr>
          <w:rStyle w:val="EndnoteReference"/>
          <w:sz w:val="20"/>
          <w:szCs w:val="20"/>
          <w:lang w:val="en-GB"/>
        </w:rPr>
        <w:endnoteRef/>
      </w:r>
      <w:r w:rsidRPr="00CB4C8F">
        <w:rPr>
          <w:sz w:val="20"/>
          <w:szCs w:val="20"/>
          <w:lang w:val="en-GB"/>
        </w:rPr>
        <w:t xml:space="preserve"> “The Burgess Gang” (Ministry of Culture and Heritage), accessed 1 May 2020,</w:t>
      </w:r>
    </w:p>
    <w:p w14:paraId="1E0D7A9F" w14:textId="128E9F68" w:rsidR="001B5F18" w:rsidRPr="00CB4C8F" w:rsidRDefault="001B5F18" w:rsidP="00EF4FFF">
      <w:pPr>
        <w:rPr>
          <w:sz w:val="20"/>
          <w:szCs w:val="20"/>
          <w:lang w:val="en-GB"/>
        </w:rPr>
      </w:pPr>
      <w:r w:rsidRPr="00CB4C8F">
        <w:rPr>
          <w:sz w:val="20"/>
          <w:szCs w:val="20"/>
          <w:lang w:val="en-GB"/>
        </w:rPr>
        <w:t>&lt;</w:t>
      </w:r>
      <w:hyperlink r:id="rId18" w:history="1">
        <w:r w:rsidRPr="00CB4C8F">
          <w:rPr>
            <w:rStyle w:val="Hyperlink"/>
            <w:sz w:val="20"/>
            <w:szCs w:val="20"/>
            <w:lang w:val="en-GB"/>
          </w:rPr>
          <w:t>https://nzhistory.govt.nz/culture/maungatapu-murders/the-burgess-gang</w:t>
        </w:r>
      </w:hyperlink>
      <w:r w:rsidRPr="00CB4C8F">
        <w:rPr>
          <w:sz w:val="20"/>
          <w:szCs w:val="20"/>
          <w:lang w:val="en-GB"/>
        </w:rPr>
        <w:t>&gt;.</w:t>
      </w:r>
    </w:p>
  </w:endnote>
  <w:endnote w:id="47">
    <w:p w14:paraId="2756AA5F" w14:textId="6ED04A41"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Bendigo Advertiser</w:t>
      </w:r>
      <w:r w:rsidRPr="00CB4C8F">
        <w:rPr>
          <w:rFonts w:ascii="Times New Roman" w:hAnsi="Times New Roman" w:cs="Times New Roman"/>
        </w:rPr>
        <w:t>, 31 July 1867, 3, &lt;</w:t>
      </w:r>
      <w:hyperlink r:id="rId19" w:history="1">
        <w:r w:rsidRPr="00CB4C8F">
          <w:rPr>
            <w:rStyle w:val="Hyperlink"/>
            <w:rFonts w:ascii="Times New Roman" w:hAnsi="Times New Roman" w:cs="Times New Roman"/>
            <w:lang w:val="en-GB"/>
          </w:rPr>
          <w:t>http://nla.gov.au/nla.news-article87953909</w:t>
        </w:r>
      </w:hyperlink>
      <w:r w:rsidRPr="00CB4C8F">
        <w:rPr>
          <w:rFonts w:ascii="Times New Roman" w:hAnsi="Times New Roman" w:cs="Times New Roman"/>
          <w:lang w:val="en-GB"/>
        </w:rPr>
        <w:t xml:space="preserve">&gt;. For an account of Dr </w:t>
      </w:r>
      <w:r w:rsidRPr="00CB4C8F">
        <w:rPr>
          <w:rFonts w:ascii="Times New Roman" w:hAnsi="Times New Roman" w:cs="Times New Roman"/>
          <w:lang w:val="en-GB"/>
        </w:rPr>
        <w:t xml:space="preserve">Carr’s life as a phrenologist and mesmerist see Catherine Jinks, </w:t>
      </w:r>
      <w:r w:rsidRPr="00CB4C8F">
        <w:rPr>
          <w:rFonts w:ascii="Times New Roman" w:hAnsi="Times New Roman" w:cs="Times New Roman"/>
          <w:i/>
          <w:iCs/>
          <w:lang w:val="en-GB"/>
        </w:rPr>
        <w:t>Charlatan: The Dishonest Life and Dishonoured Loves of Thomas Guthrie Carr, Stage Mesmerist</w:t>
      </w:r>
      <w:r w:rsidRPr="00CB4C8F">
        <w:rPr>
          <w:rFonts w:ascii="Times New Roman" w:hAnsi="Times New Roman" w:cs="Times New Roman"/>
          <w:lang w:val="en-GB"/>
        </w:rPr>
        <w:t xml:space="preserve"> (Melbourne: Penguin Random House, 2017).</w:t>
      </w:r>
    </w:p>
  </w:endnote>
  <w:endnote w:id="48">
    <w:p w14:paraId="606EDB17" w14:textId="5ED1AF54"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rPr>
        <w:t>Carr did not, in the end, perform the reading as he “</w:t>
      </w:r>
      <w:r w:rsidRPr="00CB4C8F">
        <w:rPr>
          <w:rFonts w:ascii="Times New Roman" w:hAnsi="Times New Roman" w:cs="Times New Roman"/>
          <w:lang w:val="en-GB"/>
        </w:rPr>
        <w:t>deemed it injudicious to do so while the man was untried by the laws of the country” (</w:t>
      </w:r>
      <w:r w:rsidRPr="00CB4C8F">
        <w:rPr>
          <w:rFonts w:ascii="Times New Roman" w:hAnsi="Times New Roman" w:cs="Times New Roman"/>
          <w:i/>
          <w:iCs/>
          <w:lang w:val="en-GB"/>
        </w:rPr>
        <w:t>Bendigo Advertiser</w:t>
      </w:r>
      <w:r w:rsidRPr="00CB4C8F">
        <w:rPr>
          <w:rFonts w:ascii="Times New Roman" w:hAnsi="Times New Roman" w:cs="Times New Roman"/>
          <w:lang w:val="en-GB"/>
        </w:rPr>
        <w:t>, 16 April 1867, 2, &lt;</w:t>
      </w:r>
      <w:hyperlink r:id="rId20" w:history="1">
        <w:r w:rsidRPr="00CB4C8F">
          <w:rPr>
            <w:rStyle w:val="Hyperlink"/>
            <w:rFonts w:ascii="Times New Roman" w:hAnsi="Times New Roman" w:cs="Times New Roman"/>
            <w:lang w:val="en-GB"/>
          </w:rPr>
          <w:t>http://nla.gov.au/nla.news-article87951475</w:t>
        </w:r>
      </w:hyperlink>
      <w:r w:rsidRPr="00CB4C8F">
        <w:rPr>
          <w:rFonts w:ascii="Times New Roman" w:hAnsi="Times New Roman" w:cs="Times New Roman"/>
          <w:lang w:val="en-GB"/>
        </w:rPr>
        <w:t>&gt;</w:t>
      </w:r>
      <w:r>
        <w:rPr>
          <w:rFonts w:ascii="Times New Roman" w:hAnsi="Times New Roman" w:cs="Times New Roman"/>
          <w:lang w:val="en-GB"/>
        </w:rPr>
        <w:t>)</w:t>
      </w:r>
      <w:r w:rsidRPr="00CB4C8F">
        <w:rPr>
          <w:rFonts w:ascii="Times New Roman" w:hAnsi="Times New Roman" w:cs="Times New Roman"/>
          <w:lang w:val="en-GB"/>
        </w:rPr>
        <w:t>.</w:t>
      </w:r>
    </w:p>
  </w:endnote>
  <w:endnote w:id="49">
    <w:p w14:paraId="04EF4230" w14:textId="1B450127" w:rsidR="001B5F18" w:rsidRPr="00CB4C8F" w:rsidRDefault="001B5F18">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Turnbull, </w:t>
      </w:r>
      <w:r w:rsidRPr="00CB4C8F">
        <w:rPr>
          <w:rFonts w:ascii="Times New Roman" w:hAnsi="Times New Roman" w:cs="Times New Roman"/>
          <w:i/>
          <w:iCs/>
        </w:rPr>
        <w:t>Science, Museums, and Collecting the Indigenous Dead in Australia</w:t>
      </w:r>
      <w:r w:rsidRPr="00CB4C8F">
        <w:rPr>
          <w:rFonts w:ascii="Times New Roman" w:hAnsi="Times New Roman" w:cs="Times New Roman"/>
        </w:rPr>
        <w:t>, 182–183.</w:t>
      </w:r>
    </w:p>
  </w:endnote>
  <w:endnote w:id="50">
    <w:p w14:paraId="244257EF" w14:textId="252827F2" w:rsidR="00403A63" w:rsidRPr="00403A63" w:rsidRDefault="00403A63" w:rsidP="00CD1CA0">
      <w:pPr>
        <w:pStyle w:val="EndnoteText"/>
        <w:jc w:val="both"/>
        <w:rPr>
          <w:rFonts w:ascii="Times New Roman" w:hAnsi="Times New Roman" w:cs="Times New Roman"/>
          <w:lang w:val="en-GB"/>
        </w:rPr>
      </w:pPr>
      <w:r w:rsidRPr="00403A63">
        <w:rPr>
          <w:rStyle w:val="EndnoteReference"/>
          <w:rFonts w:ascii="Times New Roman" w:hAnsi="Times New Roman" w:cs="Times New Roman"/>
        </w:rPr>
        <w:endnoteRef/>
      </w:r>
      <w:r w:rsidRPr="00403A63">
        <w:rPr>
          <w:rFonts w:ascii="Times New Roman" w:hAnsi="Times New Roman" w:cs="Times New Roman"/>
        </w:rPr>
        <w:t xml:space="preserve"> </w:t>
      </w:r>
      <w:r w:rsidR="00CD1CA0">
        <w:rPr>
          <w:rFonts w:ascii="Times New Roman" w:hAnsi="Times New Roman" w:cs="Times New Roman"/>
        </w:rPr>
        <w:t xml:space="preserve">For a discussion of women lecturers in the mechanics’ institutes see Sarah </w:t>
      </w:r>
      <w:r w:rsidR="00CD1CA0">
        <w:rPr>
          <w:rFonts w:ascii="Times New Roman" w:hAnsi="Times New Roman" w:cs="Times New Roman"/>
        </w:rPr>
        <w:t xml:space="preserve">Comyn, </w:t>
      </w:r>
      <w:r w:rsidR="00CD1CA0" w:rsidRPr="007F2B73">
        <w:rPr>
          <w:rFonts w:ascii="Times New Roman" w:hAnsi="Times New Roman" w:cs="Times New Roman"/>
          <w:lang w:val="en-GB"/>
        </w:rPr>
        <w:t>“‘The Ladies’ Contribution’: Women and the Mechanics’ Institute on the Goldfields of Victoria”, in Jon Mee and Matthew Sangster</w:t>
      </w:r>
      <w:r w:rsidR="004E345F">
        <w:rPr>
          <w:rFonts w:ascii="Times New Roman" w:hAnsi="Times New Roman" w:cs="Times New Roman"/>
          <w:lang w:val="en-GB"/>
        </w:rPr>
        <w:t xml:space="preserve">, </w:t>
      </w:r>
      <w:r w:rsidR="00CD1CA0" w:rsidRPr="007F2B73">
        <w:rPr>
          <w:rFonts w:ascii="Times New Roman" w:hAnsi="Times New Roman" w:cs="Times New Roman"/>
          <w:lang w:val="en-GB"/>
        </w:rPr>
        <w:t>eds</w:t>
      </w:r>
      <w:r w:rsidR="004E345F">
        <w:rPr>
          <w:rFonts w:ascii="Times New Roman" w:hAnsi="Times New Roman" w:cs="Times New Roman"/>
          <w:lang w:val="en-GB"/>
        </w:rPr>
        <w:t>.</w:t>
      </w:r>
      <w:r w:rsidR="00CD1CA0" w:rsidRPr="007F2B73">
        <w:rPr>
          <w:rFonts w:ascii="Times New Roman" w:hAnsi="Times New Roman" w:cs="Times New Roman"/>
          <w:lang w:val="en-GB"/>
        </w:rPr>
        <w:t xml:space="preserve">, </w:t>
      </w:r>
      <w:r w:rsidR="00CD1CA0" w:rsidRPr="007F2B73">
        <w:rPr>
          <w:rFonts w:ascii="Times New Roman" w:hAnsi="Times New Roman" w:cs="Times New Roman"/>
          <w:i/>
          <w:iCs/>
          <w:lang w:val="en-GB"/>
        </w:rPr>
        <w:t>Institutions of Literature</w:t>
      </w:r>
      <w:r w:rsidR="00CD1CA0" w:rsidRPr="007F2B73">
        <w:rPr>
          <w:rFonts w:ascii="Times New Roman" w:hAnsi="Times New Roman" w:cs="Times New Roman"/>
          <w:lang w:val="en-GB"/>
        </w:rPr>
        <w:t xml:space="preserve"> (forthcoming</w:t>
      </w:r>
      <w:r w:rsidR="00CD1CA0">
        <w:rPr>
          <w:rFonts w:ascii="Times New Roman" w:hAnsi="Times New Roman" w:cs="Times New Roman"/>
          <w:lang w:val="en-GB"/>
        </w:rPr>
        <w:t>).</w:t>
      </w:r>
    </w:p>
  </w:endnote>
  <w:endnote w:id="51">
    <w:p w14:paraId="68265003" w14:textId="5C216643" w:rsidR="000C5919" w:rsidRPr="009F0CEA" w:rsidRDefault="000C5919" w:rsidP="000C5919">
      <w:pPr>
        <w:pStyle w:val="EndnoteText"/>
        <w:rPr>
          <w:rFonts w:ascii="Times New Roman" w:hAnsi="Times New Roman" w:cs="Times New Roman"/>
          <w:lang w:val="en-GB"/>
        </w:rPr>
      </w:pPr>
      <w:r w:rsidRPr="009F0CEA">
        <w:rPr>
          <w:rStyle w:val="EndnoteReference"/>
          <w:rFonts w:ascii="Times New Roman" w:hAnsi="Times New Roman" w:cs="Times New Roman"/>
        </w:rPr>
        <w:endnoteRef/>
      </w:r>
      <w:r w:rsidRPr="009F0CEA">
        <w:rPr>
          <w:rFonts w:ascii="Times New Roman" w:hAnsi="Times New Roman" w:cs="Times New Roman"/>
        </w:rPr>
        <w:t xml:space="preserve"> </w:t>
      </w:r>
      <w:r w:rsidRPr="009F0CEA">
        <w:rPr>
          <w:rFonts w:ascii="Times New Roman" w:hAnsi="Times New Roman" w:cs="Times New Roman"/>
          <w:lang w:val="en-GB"/>
        </w:rPr>
        <w:t xml:space="preserve">Carla </w:t>
      </w:r>
      <w:r w:rsidRPr="009F0CEA">
        <w:rPr>
          <w:rFonts w:ascii="Times New Roman" w:hAnsi="Times New Roman" w:cs="Times New Roman"/>
          <w:lang w:val="en-GB"/>
        </w:rPr>
        <w:t xml:space="preserve">Bittel, </w:t>
      </w:r>
      <w:r w:rsidR="006D41CB">
        <w:rPr>
          <w:rFonts w:ascii="Times New Roman" w:hAnsi="Times New Roman" w:cs="Times New Roman"/>
          <w:lang w:val="en-GB"/>
        </w:rPr>
        <w:t>“</w:t>
      </w:r>
      <w:r w:rsidRPr="009F0CEA">
        <w:rPr>
          <w:rFonts w:ascii="Times New Roman" w:hAnsi="Times New Roman" w:cs="Times New Roman"/>
          <w:lang w:val="en-GB"/>
        </w:rPr>
        <w:t>Woman, Know Thyself: Producing and Using Phrenological Knowledge in 19</w:t>
      </w:r>
      <w:r w:rsidRPr="009F0CEA">
        <w:rPr>
          <w:rFonts w:ascii="Times New Roman" w:hAnsi="Times New Roman" w:cs="Times New Roman"/>
          <w:vertAlign w:val="superscript"/>
          <w:lang w:val="en-GB"/>
        </w:rPr>
        <w:t>th</w:t>
      </w:r>
      <w:r w:rsidRPr="009F0CEA">
        <w:rPr>
          <w:rFonts w:ascii="Times New Roman" w:hAnsi="Times New Roman" w:cs="Times New Roman"/>
          <w:lang w:val="en-GB"/>
        </w:rPr>
        <w:t>-Century America</w:t>
      </w:r>
      <w:r w:rsidR="006D41CB">
        <w:rPr>
          <w:rFonts w:ascii="Times New Roman" w:hAnsi="Times New Roman" w:cs="Times New Roman"/>
          <w:lang w:val="en-GB"/>
        </w:rPr>
        <w:t>”</w:t>
      </w:r>
      <w:r w:rsidRPr="009F0CEA">
        <w:rPr>
          <w:rFonts w:ascii="Times New Roman" w:hAnsi="Times New Roman" w:cs="Times New Roman"/>
          <w:lang w:val="en-GB"/>
        </w:rPr>
        <w:t xml:space="preserve">, </w:t>
      </w:r>
      <w:r w:rsidRPr="009F0CEA">
        <w:rPr>
          <w:rFonts w:ascii="Times New Roman" w:hAnsi="Times New Roman" w:cs="Times New Roman"/>
          <w:i/>
          <w:iCs/>
          <w:lang w:val="en-GB"/>
        </w:rPr>
        <w:t>Centaurus</w:t>
      </w:r>
      <w:r w:rsidRPr="009F0CEA">
        <w:rPr>
          <w:rFonts w:ascii="Times New Roman" w:hAnsi="Times New Roman" w:cs="Times New Roman"/>
          <w:lang w:val="en-GB"/>
        </w:rPr>
        <w:t xml:space="preserve"> 55 (2013), 104–30 (106).</w:t>
      </w:r>
    </w:p>
  </w:endnote>
  <w:endnote w:id="52">
    <w:p w14:paraId="3ADF6CBB" w14:textId="7510CBFD" w:rsidR="00D07421" w:rsidRPr="007F2B73" w:rsidRDefault="00D07421" w:rsidP="00D07421">
      <w:pPr>
        <w:pStyle w:val="EndnoteText"/>
        <w:jc w:val="both"/>
        <w:rPr>
          <w:rFonts w:ascii="Times New Roman" w:hAnsi="Times New Roman" w:cs="Times New Roman"/>
          <w:lang w:val="en-GB"/>
        </w:rPr>
      </w:pPr>
      <w:r>
        <w:rPr>
          <w:rStyle w:val="EndnoteReference"/>
        </w:rPr>
        <w:endnoteRef/>
      </w:r>
      <w:r>
        <w:t xml:space="preserve"> </w:t>
      </w:r>
      <w:r w:rsidRPr="007F2B73">
        <w:rPr>
          <w:rFonts w:ascii="Times New Roman" w:hAnsi="Times New Roman" w:cs="Times New Roman"/>
          <w:lang w:val="en-GB"/>
        </w:rPr>
        <w:t xml:space="preserve">For the significance of women to the </w:t>
      </w:r>
      <w:r w:rsidRPr="007F2B73">
        <w:rPr>
          <w:rFonts w:ascii="Times New Roman" w:hAnsi="Times New Roman" w:cs="Times New Roman"/>
          <w:lang w:val="en-GB"/>
        </w:rPr>
        <w:t xml:space="preserve">goldfields mechanics’ institutes see, </w:t>
      </w:r>
      <w:r w:rsidR="00E61E54">
        <w:rPr>
          <w:rFonts w:ascii="Times New Roman" w:hAnsi="Times New Roman" w:cs="Times New Roman"/>
          <w:lang w:val="en-GB"/>
        </w:rPr>
        <w:t>e.g.</w:t>
      </w:r>
      <w:r w:rsidRPr="007F2B73">
        <w:rPr>
          <w:rFonts w:ascii="Times New Roman" w:hAnsi="Times New Roman" w:cs="Times New Roman"/>
          <w:lang w:val="en-GB"/>
        </w:rPr>
        <w:t xml:space="preserve">, Sarah </w:t>
      </w:r>
      <w:r w:rsidRPr="007F2B73">
        <w:rPr>
          <w:rFonts w:ascii="Times New Roman" w:hAnsi="Times New Roman" w:cs="Times New Roman"/>
          <w:lang w:val="en-GB"/>
        </w:rPr>
        <w:t>Comyn, ‘Literary Sociability on the Goldfields’, and “‘The Ladies’ Contribution’</w:t>
      </w:r>
      <w:r w:rsidR="00CD1CA0">
        <w:rPr>
          <w:rFonts w:ascii="Times New Roman" w:hAnsi="Times New Roman" w:cs="Times New Roman"/>
          <w:lang w:val="en-GB"/>
        </w:rPr>
        <w:t>”;</w:t>
      </w:r>
      <w:r w:rsidRPr="007F2B73">
        <w:rPr>
          <w:rFonts w:ascii="Times New Roman" w:hAnsi="Times New Roman" w:cs="Times New Roman"/>
          <w:lang w:val="en-GB"/>
        </w:rPr>
        <w:t xml:space="preserve"> Jennifer Hazelwood, </w:t>
      </w:r>
      <w:r>
        <w:rPr>
          <w:rFonts w:ascii="Times New Roman" w:hAnsi="Times New Roman" w:cs="Times New Roman"/>
          <w:lang w:val="en-GB"/>
        </w:rPr>
        <w:t>“</w:t>
      </w:r>
      <w:r w:rsidRPr="007F2B73">
        <w:rPr>
          <w:rFonts w:ascii="Times New Roman" w:hAnsi="Times New Roman" w:cs="Times New Roman"/>
          <w:lang w:val="en-GB"/>
        </w:rPr>
        <w:t>The Unseen Influence of Women in the Institute</w:t>
      </w:r>
      <w:r>
        <w:rPr>
          <w:rFonts w:ascii="Times New Roman" w:hAnsi="Times New Roman" w:cs="Times New Roman"/>
          <w:lang w:val="en-GB"/>
        </w:rPr>
        <w:t xml:space="preserve">” </w:t>
      </w:r>
      <w:r w:rsidRPr="007F2B73">
        <w:rPr>
          <w:rFonts w:ascii="Times New Roman" w:hAnsi="Times New Roman" w:cs="Times New Roman"/>
          <w:lang w:val="en-GB"/>
        </w:rPr>
        <w:t>in</w:t>
      </w:r>
      <w:r>
        <w:rPr>
          <w:rFonts w:ascii="Times New Roman" w:hAnsi="Times New Roman" w:cs="Times New Roman"/>
          <w:lang w:val="en-GB"/>
        </w:rPr>
        <w:t xml:space="preserve"> </w:t>
      </w:r>
      <w:r w:rsidRPr="007F2B73">
        <w:rPr>
          <w:rFonts w:ascii="Times New Roman" w:hAnsi="Times New Roman" w:cs="Times New Roman"/>
          <w:lang w:val="en-GB"/>
        </w:rPr>
        <w:t>Jill Blee and Phil Roberts</w:t>
      </w:r>
      <w:r w:rsidR="004E345F">
        <w:rPr>
          <w:rFonts w:ascii="Times New Roman" w:hAnsi="Times New Roman" w:cs="Times New Roman"/>
          <w:lang w:val="en-GB"/>
        </w:rPr>
        <w:t xml:space="preserve">, </w:t>
      </w:r>
      <w:r>
        <w:rPr>
          <w:rFonts w:ascii="Times New Roman" w:hAnsi="Times New Roman" w:cs="Times New Roman"/>
          <w:lang w:val="en-GB"/>
        </w:rPr>
        <w:t>eds</w:t>
      </w:r>
      <w:r w:rsidR="004E345F">
        <w:rPr>
          <w:rFonts w:ascii="Times New Roman" w:hAnsi="Times New Roman" w:cs="Times New Roman"/>
          <w:lang w:val="en-GB"/>
        </w:rPr>
        <w:t>.</w:t>
      </w:r>
      <w:r>
        <w:rPr>
          <w:rFonts w:ascii="Times New Roman" w:hAnsi="Times New Roman" w:cs="Times New Roman"/>
          <w:lang w:val="en-GB"/>
        </w:rPr>
        <w:t>,</w:t>
      </w:r>
      <w:r w:rsidRPr="007F2B73">
        <w:rPr>
          <w:rFonts w:ascii="Times New Roman" w:hAnsi="Times New Roman" w:cs="Times New Roman"/>
          <w:lang w:val="en-GB"/>
        </w:rPr>
        <w:t xml:space="preserve"> </w:t>
      </w:r>
      <w:r w:rsidRPr="007F2B73">
        <w:rPr>
          <w:rFonts w:ascii="Times New Roman" w:hAnsi="Times New Roman" w:cs="Times New Roman"/>
          <w:i/>
          <w:iCs/>
          <w:lang w:val="en-GB"/>
        </w:rPr>
        <w:t>Under Minerva’s Gaze: 150 years at the Ballaarat Mechanics’ Institut</w:t>
      </w:r>
      <w:r>
        <w:rPr>
          <w:rFonts w:ascii="Times New Roman" w:hAnsi="Times New Roman" w:cs="Times New Roman"/>
          <w:i/>
          <w:iCs/>
          <w:lang w:val="en-GB"/>
        </w:rPr>
        <w:t>e</w:t>
      </w:r>
      <w:r w:rsidRPr="007F2B73">
        <w:rPr>
          <w:rFonts w:ascii="Times New Roman" w:hAnsi="Times New Roman" w:cs="Times New Roman"/>
          <w:lang w:val="en-GB"/>
        </w:rPr>
        <w:t xml:space="preserve"> (Ballarat: Ballaarat Mechanics’ Institute, 2010), 110–21.</w:t>
      </w:r>
    </w:p>
  </w:endnote>
  <w:endnote w:id="53">
    <w:p w14:paraId="2EC8311B" w14:textId="0582B308"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Ballarat Star</w:t>
      </w:r>
      <w:r w:rsidRPr="00CB4C8F">
        <w:rPr>
          <w:rFonts w:ascii="Times New Roman" w:hAnsi="Times New Roman" w:cs="Times New Roman"/>
        </w:rPr>
        <w:t>, 9 February 1871, 3, &lt;</w:t>
      </w:r>
      <w:hyperlink r:id="rId21" w:history="1">
        <w:r w:rsidRPr="00CB4C8F">
          <w:rPr>
            <w:rStyle w:val="Hyperlink"/>
            <w:rFonts w:ascii="Times New Roman" w:hAnsi="Times New Roman" w:cs="Times New Roman"/>
            <w:lang w:val="en-GB"/>
          </w:rPr>
          <w:t>http://nla.gov.au/nla.news-article197560309</w:t>
        </w:r>
      </w:hyperlink>
      <w:r w:rsidRPr="00CB4C8F">
        <w:rPr>
          <w:rFonts w:ascii="Times New Roman" w:hAnsi="Times New Roman" w:cs="Times New Roman"/>
          <w:lang w:val="en-GB"/>
        </w:rPr>
        <w:t xml:space="preserve">&gt;; </w:t>
      </w:r>
      <w:r w:rsidRPr="00CB4C8F">
        <w:rPr>
          <w:rFonts w:ascii="Times New Roman" w:hAnsi="Times New Roman" w:cs="Times New Roman"/>
          <w:i/>
          <w:iCs/>
          <w:lang w:val="en-GB"/>
        </w:rPr>
        <w:t>Ballarat Star</w:t>
      </w:r>
      <w:r w:rsidRPr="00CB4C8F">
        <w:rPr>
          <w:rFonts w:ascii="Times New Roman" w:hAnsi="Times New Roman" w:cs="Times New Roman"/>
          <w:lang w:val="en-GB"/>
        </w:rPr>
        <w:t>, 13 February 1871, 2, &lt;</w:t>
      </w:r>
      <w:hyperlink r:id="rId22" w:history="1">
        <w:r w:rsidRPr="00CB4C8F">
          <w:rPr>
            <w:rStyle w:val="Hyperlink"/>
            <w:rFonts w:ascii="Times New Roman" w:hAnsi="Times New Roman" w:cs="Times New Roman"/>
            <w:lang w:val="en-GB"/>
          </w:rPr>
          <w:t>http://nla.gov.au/nla.news-article197560397</w:t>
        </w:r>
      </w:hyperlink>
      <w:r w:rsidRPr="00CB4C8F">
        <w:rPr>
          <w:rFonts w:ascii="Times New Roman" w:hAnsi="Times New Roman" w:cs="Times New Roman"/>
          <w:lang w:val="en-GB"/>
        </w:rPr>
        <w:t>&gt;.</w:t>
      </w:r>
    </w:p>
  </w:endnote>
  <w:endnote w:id="54">
    <w:p w14:paraId="73D78F40" w14:textId="52DCECED" w:rsidR="001B5F18" w:rsidRPr="00005C84" w:rsidRDefault="001B5F18" w:rsidP="00EF4FFF">
      <w:pPr>
        <w:pStyle w:val="EndnoteText"/>
        <w:rPr>
          <w:rFonts w:ascii="Times New Roman" w:hAnsi="Times New Roman" w:cs="Times New Roman"/>
          <w:lang w:val="en-GB"/>
        </w:rPr>
      </w:pPr>
      <w:r w:rsidRPr="00005C84">
        <w:rPr>
          <w:rStyle w:val="EndnoteReference"/>
          <w:rFonts w:ascii="Times New Roman" w:hAnsi="Times New Roman" w:cs="Times New Roman"/>
        </w:rPr>
        <w:endnoteRef/>
      </w:r>
      <w:r w:rsidRPr="00005C84">
        <w:rPr>
          <w:rFonts w:ascii="Times New Roman" w:hAnsi="Times New Roman" w:cs="Times New Roman"/>
        </w:rPr>
        <w:t xml:space="preserve"> </w:t>
      </w:r>
      <w:r w:rsidRPr="00005C84">
        <w:rPr>
          <w:rFonts w:ascii="Times New Roman" w:hAnsi="Times New Roman" w:cs="Times New Roman"/>
          <w:i/>
          <w:iCs/>
        </w:rPr>
        <w:t>Ballarat Star</w:t>
      </w:r>
      <w:r w:rsidRPr="00005C84">
        <w:rPr>
          <w:rFonts w:ascii="Times New Roman" w:hAnsi="Times New Roman" w:cs="Times New Roman"/>
        </w:rPr>
        <w:t>, 18 February 1871, 2, &lt;</w:t>
      </w:r>
      <w:hyperlink r:id="rId23" w:history="1">
        <w:r w:rsidRPr="00005C84">
          <w:rPr>
            <w:rStyle w:val="Hyperlink"/>
            <w:rFonts w:ascii="Times New Roman" w:hAnsi="Times New Roman" w:cs="Times New Roman"/>
            <w:lang w:val="en-GB"/>
          </w:rPr>
          <w:t>http://nla.gov.au/nla.news-article197560553</w:t>
        </w:r>
      </w:hyperlink>
      <w:r w:rsidRPr="00005C84">
        <w:rPr>
          <w:rFonts w:ascii="Times New Roman" w:hAnsi="Times New Roman" w:cs="Times New Roman"/>
          <w:lang w:val="en-GB"/>
        </w:rPr>
        <w:t>&gt;.</w:t>
      </w:r>
    </w:p>
  </w:endnote>
  <w:endnote w:id="55">
    <w:p w14:paraId="6E578126" w14:textId="206EA764" w:rsidR="00005C84" w:rsidRPr="00005C84" w:rsidRDefault="00005C84">
      <w:pPr>
        <w:pStyle w:val="EndnoteText"/>
        <w:rPr>
          <w:rFonts w:ascii="Times New Roman" w:hAnsi="Times New Roman" w:cs="Times New Roman"/>
          <w:lang w:val="en-GB"/>
        </w:rPr>
      </w:pPr>
      <w:r w:rsidRPr="00005C84">
        <w:rPr>
          <w:rStyle w:val="EndnoteReference"/>
          <w:rFonts w:ascii="Times New Roman" w:hAnsi="Times New Roman" w:cs="Times New Roman"/>
        </w:rPr>
        <w:endnoteRef/>
      </w:r>
      <w:r w:rsidRPr="00005C84">
        <w:rPr>
          <w:rFonts w:ascii="Times New Roman" w:hAnsi="Times New Roman" w:cs="Times New Roman"/>
        </w:rPr>
        <w:t xml:space="preserve"> </w:t>
      </w:r>
      <w:r w:rsidRPr="00005C84">
        <w:rPr>
          <w:rFonts w:ascii="Times New Roman" w:hAnsi="Times New Roman" w:cs="Times New Roman"/>
          <w:i/>
          <w:iCs/>
          <w:lang w:val="en-GB"/>
        </w:rPr>
        <w:t>Bendigo Advertiser</w:t>
      </w:r>
      <w:r w:rsidRPr="00005C84">
        <w:rPr>
          <w:rFonts w:ascii="Times New Roman" w:hAnsi="Times New Roman" w:cs="Times New Roman"/>
          <w:lang w:val="en-GB"/>
        </w:rPr>
        <w:t>, Monday 25 July 1870, 2, &lt;http://nla.gov.au/nla.news-article87912912&gt;.</w:t>
      </w:r>
      <w:r w:rsidR="00A13FFF">
        <w:rPr>
          <w:rFonts w:ascii="Times New Roman" w:hAnsi="Times New Roman" w:cs="Times New Roman"/>
          <w:lang w:val="en-GB"/>
        </w:rPr>
        <w:t xml:space="preserve"> Women on the goldfields also used phrenological performances as a fundraising activity. Dr </w:t>
      </w:r>
      <w:r w:rsidR="00A13FFF">
        <w:rPr>
          <w:rFonts w:ascii="Times New Roman" w:hAnsi="Times New Roman" w:cs="Times New Roman"/>
          <w:lang w:val="en-GB"/>
        </w:rPr>
        <w:t>Carr, for example, reports being approached by women in Bendigo to offer a séance for the benefit of the Ladies Benevolent Society (</w:t>
      </w:r>
      <w:r w:rsidR="00A13FFF">
        <w:rPr>
          <w:rFonts w:ascii="Times New Roman" w:hAnsi="Times New Roman" w:cs="Times New Roman"/>
          <w:i/>
          <w:iCs/>
          <w:lang w:val="en-GB"/>
        </w:rPr>
        <w:t>Bendigo Advertiser</w:t>
      </w:r>
      <w:r w:rsidR="00A13FFF">
        <w:rPr>
          <w:rFonts w:ascii="Times New Roman" w:hAnsi="Times New Roman" w:cs="Times New Roman"/>
          <w:lang w:val="en-GB"/>
        </w:rPr>
        <w:t>, Thursday 11 April 1867, 2, &lt;</w:t>
      </w:r>
      <w:hyperlink r:id="rId24" w:history="1">
        <w:r w:rsidR="00A13FFF" w:rsidRPr="005B515D">
          <w:rPr>
            <w:rStyle w:val="Hyperlink"/>
            <w:rFonts w:ascii="Times New Roman" w:hAnsi="Times New Roman" w:cs="Times New Roman"/>
            <w:lang w:val="en-GB"/>
          </w:rPr>
          <w:t>https://trove.nla.gov.au/newspaper/article/87951342</w:t>
        </w:r>
      </w:hyperlink>
      <w:r w:rsidR="00A13FFF">
        <w:rPr>
          <w:rFonts w:ascii="Times New Roman" w:hAnsi="Times New Roman" w:cs="Times New Roman"/>
          <w:lang w:val="en-GB"/>
        </w:rPr>
        <w:t xml:space="preserve">&gt;).  </w:t>
      </w:r>
    </w:p>
  </w:endnote>
  <w:endnote w:id="56">
    <w:p w14:paraId="47024AAA" w14:textId="049DE877" w:rsidR="001B5F18" w:rsidRPr="00005C84" w:rsidRDefault="001B5F18" w:rsidP="00EF4FFF">
      <w:pPr>
        <w:pStyle w:val="EndnoteText"/>
        <w:rPr>
          <w:rFonts w:ascii="Times New Roman" w:hAnsi="Times New Roman" w:cs="Times New Roman"/>
          <w:lang w:val="en-GB"/>
        </w:rPr>
      </w:pPr>
      <w:r w:rsidRPr="00005C84">
        <w:rPr>
          <w:rStyle w:val="EndnoteReference"/>
          <w:rFonts w:ascii="Times New Roman" w:hAnsi="Times New Roman" w:cs="Times New Roman"/>
        </w:rPr>
        <w:endnoteRef/>
      </w:r>
      <w:r w:rsidRPr="00005C84">
        <w:rPr>
          <w:rFonts w:ascii="Times New Roman" w:hAnsi="Times New Roman" w:cs="Times New Roman"/>
        </w:rPr>
        <w:t xml:space="preserve"> </w:t>
      </w:r>
      <w:r w:rsidRPr="00005C84">
        <w:rPr>
          <w:rFonts w:ascii="Times New Roman" w:hAnsi="Times New Roman" w:cs="Times New Roman"/>
          <w:i/>
          <w:iCs/>
        </w:rPr>
        <w:t>Ballarat Star</w:t>
      </w:r>
      <w:r w:rsidRPr="00005C84">
        <w:rPr>
          <w:rFonts w:ascii="Times New Roman" w:hAnsi="Times New Roman" w:cs="Times New Roman"/>
        </w:rPr>
        <w:t>, 15 February 1884, 4, &lt;</w:t>
      </w:r>
      <w:hyperlink r:id="rId25" w:history="1">
        <w:r w:rsidRPr="00005C84">
          <w:rPr>
            <w:rStyle w:val="Hyperlink"/>
            <w:rFonts w:ascii="Times New Roman" w:hAnsi="Times New Roman" w:cs="Times New Roman"/>
          </w:rPr>
          <w:t>http://nla.gov.au/nla.news-article202583593</w:t>
        </w:r>
      </w:hyperlink>
      <w:r w:rsidRPr="00005C84">
        <w:rPr>
          <w:rFonts w:ascii="Times New Roman" w:hAnsi="Times New Roman" w:cs="Times New Roman"/>
        </w:rPr>
        <w:t>&gt;.</w:t>
      </w:r>
    </w:p>
  </w:endnote>
  <w:endnote w:id="57">
    <w:p w14:paraId="1220AF4A" w14:textId="01DC6592" w:rsidR="001B5F18" w:rsidRPr="00005C84" w:rsidRDefault="001B5F18" w:rsidP="007D28CF">
      <w:pPr>
        <w:pStyle w:val="EndnoteText"/>
        <w:jc w:val="both"/>
        <w:rPr>
          <w:rFonts w:ascii="Times New Roman" w:hAnsi="Times New Roman" w:cs="Times New Roman"/>
          <w:lang w:val="en-GB"/>
        </w:rPr>
      </w:pPr>
      <w:r w:rsidRPr="00005C84">
        <w:rPr>
          <w:rStyle w:val="EndnoteReference"/>
          <w:rFonts w:ascii="Times New Roman" w:hAnsi="Times New Roman" w:cs="Times New Roman"/>
        </w:rPr>
        <w:endnoteRef/>
      </w:r>
      <w:r w:rsidRPr="00005C84">
        <w:rPr>
          <w:rFonts w:ascii="Times New Roman" w:hAnsi="Times New Roman" w:cs="Times New Roman"/>
        </w:rPr>
        <w:t xml:space="preserve"> Physiology, “</w:t>
      </w:r>
      <w:r w:rsidRPr="00005C84">
        <w:rPr>
          <w:rFonts w:ascii="Times New Roman" w:hAnsi="Times New Roman" w:cs="Times New Roman"/>
        </w:rPr>
        <w:t xml:space="preserve">Mrs Dr Potts First Lecture on Physiology at the Mechanics’ Institute”, </w:t>
      </w:r>
      <w:r w:rsidRPr="00005C84">
        <w:rPr>
          <w:rFonts w:ascii="Times New Roman" w:hAnsi="Times New Roman" w:cs="Times New Roman"/>
          <w:i/>
          <w:iCs/>
          <w:lang w:val="en-GB"/>
        </w:rPr>
        <w:t>Ballarat Star</w:t>
      </w:r>
      <w:r w:rsidRPr="00005C84">
        <w:rPr>
          <w:rFonts w:ascii="Times New Roman" w:hAnsi="Times New Roman" w:cs="Times New Roman"/>
          <w:lang w:val="en-GB"/>
        </w:rPr>
        <w:t>, 13 February 1884, 3, &lt;</w:t>
      </w:r>
      <w:hyperlink r:id="rId26" w:history="1">
        <w:r w:rsidRPr="00005C84">
          <w:rPr>
            <w:rStyle w:val="Hyperlink"/>
            <w:rFonts w:ascii="Times New Roman" w:hAnsi="Times New Roman" w:cs="Times New Roman"/>
            <w:lang w:val="en-GB"/>
          </w:rPr>
          <w:t>http://nla.gov.au/nla.news-article202583440</w:t>
        </w:r>
      </w:hyperlink>
      <w:r w:rsidRPr="00005C84">
        <w:rPr>
          <w:rFonts w:ascii="Times New Roman" w:hAnsi="Times New Roman" w:cs="Times New Roman"/>
          <w:lang w:val="en-GB"/>
        </w:rPr>
        <w:t>&gt;.</w:t>
      </w:r>
    </w:p>
  </w:endnote>
  <w:endnote w:id="58">
    <w:p w14:paraId="42D53BCB" w14:textId="522B8783" w:rsidR="001B5F18" w:rsidRPr="00CB4C8F" w:rsidRDefault="001B5F18" w:rsidP="007D28CF">
      <w:pPr>
        <w:pStyle w:val="EndnoteText"/>
        <w:jc w:val="both"/>
        <w:rPr>
          <w:rFonts w:ascii="Times New Roman" w:hAnsi="Times New Roman" w:cs="Times New Roman"/>
          <w:lang w:val="en-GB"/>
        </w:rPr>
      </w:pPr>
      <w:r w:rsidRPr="00005C84">
        <w:rPr>
          <w:rStyle w:val="EndnoteReference"/>
          <w:rFonts w:ascii="Times New Roman" w:hAnsi="Times New Roman" w:cs="Times New Roman"/>
        </w:rPr>
        <w:endnoteRef/>
      </w:r>
      <w:r w:rsidRPr="00005C84">
        <w:rPr>
          <w:rFonts w:ascii="Times New Roman" w:hAnsi="Times New Roman" w:cs="Times New Roman"/>
        </w:rPr>
        <w:t xml:space="preserve"> </w:t>
      </w:r>
      <w:r w:rsidRPr="00005C84">
        <w:rPr>
          <w:rFonts w:ascii="Times New Roman" w:hAnsi="Times New Roman" w:cs="Times New Roman"/>
          <w:i/>
          <w:iCs/>
        </w:rPr>
        <w:t>Bendigo Advertiser</w:t>
      </w:r>
      <w:r w:rsidRPr="00005C84">
        <w:rPr>
          <w:rFonts w:ascii="Times New Roman" w:hAnsi="Times New Roman" w:cs="Times New Roman"/>
        </w:rPr>
        <w:t>, 24 October 1867, 2, &lt;</w:t>
      </w:r>
      <w:hyperlink r:id="rId27" w:history="1">
        <w:r w:rsidRPr="00005C84">
          <w:rPr>
            <w:rStyle w:val="Hyperlink"/>
            <w:rFonts w:ascii="Times New Roman" w:hAnsi="Times New Roman" w:cs="Times New Roman"/>
            <w:lang w:val="en-GB"/>
          </w:rPr>
          <w:t>http://nla.gov.au/nla.news-article87955750</w:t>
        </w:r>
      </w:hyperlink>
      <w:r w:rsidRPr="00005C84">
        <w:rPr>
          <w:rFonts w:ascii="Times New Roman" w:hAnsi="Times New Roman" w:cs="Times New Roman"/>
          <w:lang w:val="en-GB"/>
        </w:rPr>
        <w:t xml:space="preserve">&gt;; J. W. Sibley, “The Truth of Phrenology”, </w:t>
      </w:r>
      <w:r w:rsidRPr="00005C84">
        <w:rPr>
          <w:rFonts w:ascii="Times New Roman" w:hAnsi="Times New Roman" w:cs="Times New Roman"/>
          <w:i/>
          <w:iCs/>
        </w:rPr>
        <w:t>Bendigo Advertiser</w:t>
      </w:r>
      <w:r w:rsidRPr="00005C84">
        <w:rPr>
          <w:rFonts w:ascii="Times New Roman" w:hAnsi="Times New Roman" w:cs="Times New Roman"/>
        </w:rPr>
        <w:t>, 15 October 1867, 2, &lt;</w:t>
      </w:r>
      <w:hyperlink r:id="rId28" w:history="1">
        <w:r w:rsidRPr="00005C84">
          <w:rPr>
            <w:rStyle w:val="Hyperlink"/>
            <w:rFonts w:ascii="Times New Roman" w:hAnsi="Times New Roman" w:cs="Times New Roman"/>
            <w:lang w:val="en-GB"/>
          </w:rPr>
          <w:t>http://nla.gov.au/nla.news-article87955570</w:t>
        </w:r>
      </w:hyperlink>
      <w:r w:rsidRPr="00005C84">
        <w:rPr>
          <w:rFonts w:ascii="Times New Roman" w:hAnsi="Times New Roman" w:cs="Times New Roman"/>
          <w:lang w:val="en-GB"/>
        </w:rPr>
        <w:t xml:space="preserve">&gt;; </w:t>
      </w:r>
      <w:r w:rsidRPr="00005C84">
        <w:rPr>
          <w:rFonts w:ascii="Times New Roman" w:hAnsi="Times New Roman" w:cs="Times New Roman"/>
          <w:i/>
          <w:iCs/>
          <w:lang w:val="en-GB"/>
        </w:rPr>
        <w:t>Bendigo Advertiser</w:t>
      </w:r>
      <w:r w:rsidRPr="00005C84">
        <w:rPr>
          <w:rFonts w:ascii="Times New Roman" w:hAnsi="Times New Roman" w:cs="Times New Roman"/>
          <w:lang w:val="en-GB"/>
        </w:rPr>
        <w:t>, 18 October 1867, 2, &lt;</w:t>
      </w:r>
      <w:hyperlink r:id="rId29" w:history="1">
        <w:r w:rsidRPr="00005C84">
          <w:rPr>
            <w:rStyle w:val="Hyperlink"/>
            <w:rFonts w:ascii="Times New Roman" w:hAnsi="Times New Roman" w:cs="Times New Roman"/>
            <w:lang w:val="en-GB"/>
          </w:rPr>
          <w:t>http://nla.gov.au/nla.news-article87955651</w:t>
        </w:r>
      </w:hyperlink>
      <w:r w:rsidRPr="00CB4C8F">
        <w:rPr>
          <w:rFonts w:ascii="Times New Roman" w:hAnsi="Times New Roman" w:cs="Times New Roman"/>
          <w:lang w:val="en-GB"/>
        </w:rPr>
        <w:t>&gt;.</w:t>
      </w:r>
    </w:p>
  </w:endnote>
  <w:endnote w:id="59">
    <w:p w14:paraId="3FF13FC8" w14:textId="72CDD886" w:rsidR="001B5F18" w:rsidRPr="00CB4C8F" w:rsidRDefault="001B5F18" w:rsidP="00EF4FFF">
      <w:pPr>
        <w:rPr>
          <w:sz w:val="20"/>
          <w:szCs w:val="20"/>
        </w:rPr>
      </w:pPr>
      <w:r w:rsidRPr="00CB4C8F">
        <w:rPr>
          <w:rStyle w:val="EndnoteReference"/>
          <w:sz w:val="20"/>
          <w:szCs w:val="20"/>
        </w:rPr>
        <w:endnoteRef/>
      </w:r>
      <w:r w:rsidRPr="00CB4C8F">
        <w:rPr>
          <w:sz w:val="20"/>
          <w:szCs w:val="20"/>
        </w:rPr>
        <w:t xml:space="preserve"> </w:t>
      </w:r>
      <w:r w:rsidRPr="00CB4C8F">
        <w:rPr>
          <w:i/>
          <w:iCs/>
          <w:sz w:val="20"/>
          <w:szCs w:val="20"/>
        </w:rPr>
        <w:t>Bendigo Advertiser</w:t>
      </w:r>
      <w:r w:rsidRPr="00CB4C8F">
        <w:rPr>
          <w:sz w:val="20"/>
          <w:szCs w:val="20"/>
        </w:rPr>
        <w:t>, 16 October 1867, 2, &lt;</w:t>
      </w:r>
      <w:hyperlink r:id="rId30" w:history="1">
        <w:r w:rsidRPr="00CB4C8F">
          <w:rPr>
            <w:rStyle w:val="Hyperlink"/>
            <w:sz w:val="20"/>
            <w:szCs w:val="20"/>
            <w:shd w:val="clear" w:color="auto" w:fill="FFFFFF"/>
          </w:rPr>
          <w:t>http://nla.gov.au/nla.news-article87955603</w:t>
        </w:r>
      </w:hyperlink>
      <w:r w:rsidRPr="00CB4C8F">
        <w:rPr>
          <w:sz w:val="20"/>
          <w:szCs w:val="20"/>
          <w:lang w:val="en-GB"/>
        </w:rPr>
        <w:t>&gt;.</w:t>
      </w:r>
    </w:p>
  </w:endnote>
  <w:endnote w:id="60">
    <w:p w14:paraId="47B105C0" w14:textId="65F28D69"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Bendigo Advertiser</w:t>
      </w:r>
      <w:r w:rsidRPr="00CB4C8F">
        <w:rPr>
          <w:rFonts w:ascii="Times New Roman" w:hAnsi="Times New Roman" w:cs="Times New Roman"/>
        </w:rPr>
        <w:t>, 26 October 1867, 3, &lt;</w:t>
      </w:r>
      <w:hyperlink r:id="rId31" w:history="1">
        <w:r w:rsidRPr="00CB4C8F">
          <w:rPr>
            <w:rStyle w:val="Hyperlink"/>
            <w:rFonts w:ascii="Times New Roman" w:hAnsi="Times New Roman" w:cs="Times New Roman"/>
            <w:lang w:val="en-GB"/>
          </w:rPr>
          <w:t>http://nla.gov.au/nla.news-article87955806</w:t>
        </w:r>
      </w:hyperlink>
      <w:r w:rsidRPr="00CB4C8F">
        <w:rPr>
          <w:rFonts w:ascii="Times New Roman" w:hAnsi="Times New Roman" w:cs="Times New Roman"/>
          <w:lang w:val="en-GB"/>
        </w:rPr>
        <w:t>&gt;.</w:t>
      </w:r>
    </w:p>
  </w:endnote>
  <w:endnote w:id="61">
    <w:p w14:paraId="7E23B9F9" w14:textId="0C6E14CB"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Bendigo Advertiser</w:t>
      </w:r>
      <w:r w:rsidRPr="00CB4C8F">
        <w:rPr>
          <w:rFonts w:ascii="Times New Roman" w:hAnsi="Times New Roman" w:cs="Times New Roman"/>
        </w:rPr>
        <w:t>, 26 October 1867, 3.</w:t>
      </w:r>
    </w:p>
  </w:endnote>
  <w:endnote w:id="62">
    <w:p w14:paraId="47E5E982" w14:textId="77777777" w:rsidR="00AC1860" w:rsidRPr="00CB4C8F" w:rsidRDefault="00AC1860" w:rsidP="00AC1860">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Sibley, “The Truth of Phrenology”,</w:t>
      </w:r>
      <w:r w:rsidRPr="00CB4C8F">
        <w:rPr>
          <w:rFonts w:ascii="Times New Roman" w:hAnsi="Times New Roman" w:cs="Times New Roman"/>
        </w:rPr>
        <w:t xml:space="preserve"> 2.</w:t>
      </w:r>
    </w:p>
  </w:endnote>
  <w:endnote w:id="63">
    <w:p w14:paraId="4C09C28F" w14:textId="4177812D" w:rsidR="006D41CB" w:rsidRPr="006D41CB" w:rsidRDefault="006D41CB">
      <w:pPr>
        <w:pStyle w:val="EndnoteText"/>
        <w:rPr>
          <w:rFonts w:ascii="Times New Roman" w:hAnsi="Times New Roman" w:cs="Times New Roman"/>
          <w:lang w:val="en-GB"/>
        </w:rPr>
      </w:pPr>
      <w:r w:rsidRPr="006D41CB">
        <w:rPr>
          <w:rStyle w:val="EndnoteReference"/>
          <w:rFonts w:ascii="Times New Roman" w:hAnsi="Times New Roman" w:cs="Times New Roman"/>
        </w:rPr>
        <w:endnoteRef/>
      </w:r>
      <w:r w:rsidRPr="006D41CB">
        <w:rPr>
          <w:rFonts w:ascii="Times New Roman" w:hAnsi="Times New Roman" w:cs="Times New Roman"/>
        </w:rPr>
        <w:t xml:space="preserve"> </w:t>
      </w:r>
      <w:r w:rsidRPr="006D41CB">
        <w:rPr>
          <w:rFonts w:ascii="Times New Roman" w:hAnsi="Times New Roman" w:cs="Times New Roman"/>
          <w:lang w:val="en-GB"/>
        </w:rPr>
        <w:t>Bittel, “Woman, Know Thyself”, 107.</w:t>
      </w:r>
    </w:p>
  </w:endnote>
  <w:endnote w:id="64">
    <w:p w14:paraId="685D3819" w14:textId="77777777" w:rsidR="004E55EE" w:rsidRPr="00CB4C8F" w:rsidRDefault="004E55EE" w:rsidP="004E55EE">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James </w:t>
      </w:r>
      <w:r w:rsidRPr="00CB4C8F">
        <w:rPr>
          <w:rFonts w:ascii="Times New Roman" w:hAnsi="Times New Roman" w:cs="Times New Roman"/>
          <w:lang w:val="en-GB"/>
        </w:rPr>
        <w:t xml:space="preserve">Poskett, </w:t>
      </w:r>
      <w:r w:rsidRPr="00CB4C8F">
        <w:rPr>
          <w:rFonts w:ascii="Times New Roman" w:hAnsi="Times New Roman" w:cs="Times New Roman"/>
          <w:i/>
          <w:iCs/>
          <w:lang w:val="en-GB"/>
        </w:rPr>
        <w:t>Materials of the Mind: Phrenology, Race, and the Global History of Science, 1815-1920</w:t>
      </w:r>
      <w:r w:rsidRPr="00CB4C8F">
        <w:rPr>
          <w:rFonts w:ascii="Times New Roman" w:hAnsi="Times New Roman" w:cs="Times New Roman"/>
          <w:lang w:val="en-GB"/>
        </w:rPr>
        <w:t xml:space="preserve"> (Chicago: University of Chicago Press, 2019).</w:t>
      </w:r>
    </w:p>
  </w:endnote>
  <w:endnote w:id="65">
    <w:p w14:paraId="40FD2934" w14:textId="273CBBF4" w:rsidR="001B5F18" w:rsidRPr="00CB4C8F" w:rsidRDefault="001B5F18" w:rsidP="007D28CF">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Ballarat Star</w:t>
      </w:r>
      <w:r w:rsidRPr="00CB4C8F">
        <w:rPr>
          <w:rFonts w:ascii="Times New Roman" w:hAnsi="Times New Roman" w:cs="Times New Roman"/>
        </w:rPr>
        <w:t>, 22 January 1864, 2, &lt;</w:t>
      </w:r>
      <w:hyperlink r:id="rId32" w:history="1">
        <w:r w:rsidRPr="00CB4C8F">
          <w:rPr>
            <w:rStyle w:val="Hyperlink"/>
            <w:rFonts w:ascii="Times New Roman" w:hAnsi="Times New Roman" w:cs="Times New Roman"/>
          </w:rPr>
          <w:t>http://nla.gov.au/nla.news-article72513036</w:t>
        </w:r>
      </w:hyperlink>
      <w:r w:rsidRPr="00CB4C8F">
        <w:rPr>
          <w:rFonts w:ascii="Times New Roman" w:hAnsi="Times New Roman" w:cs="Times New Roman"/>
        </w:rPr>
        <w:t xml:space="preserve">&gt;; </w:t>
      </w:r>
      <w:r w:rsidRPr="00CB4C8F">
        <w:rPr>
          <w:rFonts w:ascii="Times New Roman" w:hAnsi="Times New Roman" w:cs="Times New Roman"/>
          <w:i/>
          <w:iCs/>
        </w:rPr>
        <w:t>Ballarat Star</w:t>
      </w:r>
      <w:r w:rsidRPr="00CB4C8F">
        <w:rPr>
          <w:rFonts w:ascii="Times New Roman" w:hAnsi="Times New Roman" w:cs="Times New Roman"/>
        </w:rPr>
        <w:t>,</w:t>
      </w:r>
      <w:r w:rsidRPr="00CB4C8F">
        <w:rPr>
          <w:rFonts w:ascii="Times New Roman" w:hAnsi="Times New Roman" w:cs="Times New Roman"/>
          <w:i/>
          <w:iCs/>
        </w:rPr>
        <w:t xml:space="preserve"> </w:t>
      </w:r>
      <w:r w:rsidRPr="00CB4C8F">
        <w:rPr>
          <w:rFonts w:ascii="Times New Roman" w:hAnsi="Times New Roman" w:cs="Times New Roman"/>
        </w:rPr>
        <w:t>31 October 1877, 2, &lt;</w:t>
      </w:r>
      <w:hyperlink r:id="rId33" w:history="1">
        <w:r w:rsidRPr="00CB4C8F">
          <w:rPr>
            <w:rStyle w:val="Hyperlink"/>
            <w:rFonts w:ascii="Times New Roman" w:hAnsi="Times New Roman" w:cs="Times New Roman"/>
            <w:lang w:val="en-GB"/>
          </w:rPr>
          <w:t>http://nla.gov.au/nla.news-article199841627</w:t>
        </w:r>
      </w:hyperlink>
      <w:r w:rsidRPr="00CB4C8F">
        <w:rPr>
          <w:rFonts w:ascii="Times New Roman" w:hAnsi="Times New Roman" w:cs="Times New Roman"/>
          <w:lang w:val="en-GB"/>
        </w:rPr>
        <w:t xml:space="preserve">&gt;; </w:t>
      </w:r>
      <w:r w:rsidRPr="00CB4C8F">
        <w:rPr>
          <w:rFonts w:ascii="Times New Roman" w:hAnsi="Times New Roman" w:cs="Times New Roman"/>
          <w:i/>
          <w:iCs/>
        </w:rPr>
        <w:t>Ballarat Star</w:t>
      </w:r>
      <w:r w:rsidRPr="00CB4C8F">
        <w:rPr>
          <w:rFonts w:ascii="Times New Roman" w:hAnsi="Times New Roman" w:cs="Times New Roman"/>
        </w:rPr>
        <w:t xml:space="preserve">, </w:t>
      </w:r>
      <w:r w:rsidRPr="00CB4C8F">
        <w:rPr>
          <w:rFonts w:ascii="Times New Roman" w:hAnsi="Times New Roman" w:cs="Times New Roman"/>
          <w:lang w:val="en-GB"/>
        </w:rPr>
        <w:t>24 December 1877, 2, &lt;</w:t>
      </w:r>
      <w:hyperlink r:id="rId34" w:history="1">
        <w:r w:rsidRPr="00CB4C8F">
          <w:rPr>
            <w:rStyle w:val="Hyperlink"/>
            <w:rFonts w:ascii="Times New Roman" w:hAnsi="Times New Roman" w:cs="Times New Roman"/>
            <w:lang w:val="en-GB"/>
          </w:rPr>
          <w:t>http://nla.gov.au/nla.news-article199283027</w:t>
        </w:r>
      </w:hyperlink>
      <w:r w:rsidRPr="00CB4C8F">
        <w:rPr>
          <w:rFonts w:ascii="Times New Roman" w:hAnsi="Times New Roman" w:cs="Times New Roman"/>
          <w:lang w:val="en-GB"/>
        </w:rPr>
        <w:t>&gt;.</w:t>
      </w:r>
    </w:p>
  </w:endnote>
  <w:endnote w:id="66">
    <w:p w14:paraId="23CE0342" w14:textId="0DB72C85" w:rsidR="001B5F18" w:rsidRPr="007D28CF" w:rsidRDefault="001B5F18" w:rsidP="007D28CF">
      <w:pPr>
        <w:jc w:val="both"/>
        <w:rPr>
          <w:color w:val="000000" w:themeColor="text1"/>
          <w:sz w:val="20"/>
          <w:szCs w:val="20"/>
        </w:rPr>
      </w:pPr>
      <w:r w:rsidRPr="00CB4C8F">
        <w:rPr>
          <w:rStyle w:val="EndnoteReference"/>
          <w:sz w:val="20"/>
          <w:szCs w:val="20"/>
          <w:lang w:val="en-GB"/>
        </w:rPr>
        <w:endnoteRef/>
      </w:r>
      <w:r w:rsidRPr="00CB4C8F">
        <w:rPr>
          <w:sz w:val="20"/>
          <w:szCs w:val="20"/>
          <w:lang w:val="en-GB"/>
        </w:rPr>
        <w:t xml:space="preserve"> </w:t>
      </w:r>
      <w:r w:rsidRPr="00CB4C8F">
        <w:rPr>
          <w:sz w:val="20"/>
          <w:szCs w:val="20"/>
          <w:lang w:val="en-GB"/>
        </w:rPr>
        <w:t xml:space="preserve">Poskett, </w:t>
      </w:r>
      <w:r w:rsidRPr="00CB4C8F">
        <w:rPr>
          <w:i/>
          <w:iCs/>
          <w:sz w:val="20"/>
          <w:szCs w:val="20"/>
          <w:lang w:val="en-GB"/>
        </w:rPr>
        <w:t>Materials of the Mind</w:t>
      </w:r>
      <w:r w:rsidRPr="00CB4C8F">
        <w:rPr>
          <w:sz w:val="20"/>
          <w:szCs w:val="20"/>
          <w:lang w:val="en-GB"/>
        </w:rPr>
        <w:t>, 53-4; Mimi Colligan, “</w:t>
      </w:r>
      <w:r w:rsidRPr="00CB4C8F">
        <w:rPr>
          <w:color w:val="000000" w:themeColor="text1"/>
          <w:sz w:val="20"/>
          <w:szCs w:val="20"/>
        </w:rPr>
        <w:t xml:space="preserve">Kreitmayer, Maximilian Ludwig (Max) (1830–1906)”, </w:t>
      </w:r>
      <w:r w:rsidRPr="00CB4C8F">
        <w:rPr>
          <w:i/>
          <w:iCs/>
          <w:color w:val="000000" w:themeColor="text1"/>
          <w:sz w:val="20"/>
          <w:szCs w:val="20"/>
        </w:rPr>
        <w:t>Australian Dictionary of Biography</w:t>
      </w:r>
      <w:r w:rsidRPr="00CB4C8F">
        <w:rPr>
          <w:color w:val="000000" w:themeColor="text1"/>
          <w:sz w:val="20"/>
          <w:szCs w:val="20"/>
        </w:rPr>
        <w:t xml:space="preserve">, National Centre of Biography, Australian National University, </w:t>
      </w:r>
      <w:r w:rsidRPr="00CB4C8F">
        <w:rPr>
          <w:color w:val="000000" w:themeColor="text1"/>
          <w:sz w:val="20"/>
          <w:szCs w:val="20"/>
          <w:lang w:val="en-GB"/>
        </w:rPr>
        <w:t>accessed 1 May 2020,</w:t>
      </w:r>
      <w:r w:rsidR="007D28CF">
        <w:rPr>
          <w:color w:val="000000" w:themeColor="text1"/>
          <w:sz w:val="20"/>
          <w:szCs w:val="20"/>
        </w:rPr>
        <w:t xml:space="preserve"> </w:t>
      </w:r>
      <w:r w:rsidRPr="00CB4C8F">
        <w:rPr>
          <w:sz w:val="20"/>
          <w:szCs w:val="20"/>
          <w:lang w:val="en-GB"/>
        </w:rPr>
        <w:t>&lt;</w:t>
      </w:r>
      <w:hyperlink r:id="rId35" w:history="1">
        <w:r w:rsidRPr="00CB4C8F">
          <w:rPr>
            <w:rStyle w:val="Hyperlink"/>
            <w:sz w:val="20"/>
            <w:szCs w:val="20"/>
            <w:lang w:val="en-GB"/>
          </w:rPr>
          <w:t>http://adb.anu.edu.au/biography/kreitmayer-maximilian-ludwig-max-13034/text23567</w:t>
        </w:r>
      </w:hyperlink>
      <w:r w:rsidRPr="00CB4C8F">
        <w:rPr>
          <w:color w:val="000000" w:themeColor="text1"/>
          <w:sz w:val="20"/>
          <w:szCs w:val="20"/>
          <w:lang w:val="en-GB"/>
        </w:rPr>
        <w:t>&gt;.</w:t>
      </w:r>
    </w:p>
  </w:endnote>
  <w:endnote w:id="67">
    <w:p w14:paraId="06B7553D" w14:textId="29B98F8E" w:rsidR="00005C84" w:rsidRPr="00011235" w:rsidRDefault="00005C84">
      <w:pPr>
        <w:pStyle w:val="EndnoteText"/>
        <w:rPr>
          <w:rFonts w:ascii="Times New Roman" w:hAnsi="Times New Roman" w:cs="Times New Roman"/>
          <w:lang w:val="en-GB"/>
        </w:rPr>
      </w:pPr>
      <w:r w:rsidRPr="00011235">
        <w:rPr>
          <w:rStyle w:val="EndnoteReference"/>
          <w:rFonts w:ascii="Times New Roman" w:hAnsi="Times New Roman" w:cs="Times New Roman"/>
        </w:rPr>
        <w:endnoteRef/>
      </w:r>
      <w:r w:rsidRPr="00011235">
        <w:rPr>
          <w:rFonts w:ascii="Times New Roman" w:hAnsi="Times New Roman" w:cs="Times New Roman"/>
        </w:rPr>
        <w:t xml:space="preserve"> </w:t>
      </w:r>
      <w:r w:rsidR="00011235">
        <w:rPr>
          <w:rFonts w:ascii="Times New Roman" w:hAnsi="Times New Roman" w:cs="Times New Roman"/>
        </w:rPr>
        <w:t xml:space="preserve">Dean Wilson, “Explaining the ‘Criminal’ Ned Kelly’s Death Mask”, </w:t>
      </w:r>
      <w:r w:rsidR="00011235">
        <w:rPr>
          <w:rFonts w:ascii="Times New Roman" w:hAnsi="Times New Roman" w:cs="Times New Roman"/>
          <w:i/>
          <w:iCs/>
        </w:rPr>
        <w:t>La Trobe Journal</w:t>
      </w:r>
      <w:r w:rsidR="00011235">
        <w:rPr>
          <w:rFonts w:ascii="Times New Roman" w:hAnsi="Times New Roman" w:cs="Times New Roman"/>
        </w:rPr>
        <w:t>, no. 69 (2002), 51–8. As Wilson explains Hamilton</w:t>
      </w:r>
      <w:r w:rsidR="00E61E54">
        <w:rPr>
          <w:rFonts w:ascii="Times New Roman" w:hAnsi="Times New Roman" w:cs="Times New Roman"/>
        </w:rPr>
        <w:t xml:space="preserve"> also</w:t>
      </w:r>
      <w:r w:rsidR="00011235">
        <w:rPr>
          <w:rFonts w:ascii="Times New Roman" w:hAnsi="Times New Roman" w:cs="Times New Roman"/>
        </w:rPr>
        <w:t xml:space="preserve"> offered to make a cast of Kelly but was denied.</w:t>
      </w:r>
    </w:p>
  </w:endnote>
  <w:endnote w:id="68">
    <w:p w14:paraId="1C484358" w14:textId="51634CEE"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Bendigo Advertiser</w:t>
      </w:r>
      <w:r w:rsidRPr="00CB4C8F">
        <w:rPr>
          <w:rFonts w:ascii="Times New Roman" w:hAnsi="Times New Roman" w:cs="Times New Roman"/>
        </w:rPr>
        <w:t>, 18 August 1866, 3, &lt;</w:t>
      </w:r>
      <w:hyperlink r:id="rId36" w:history="1">
        <w:r w:rsidRPr="00CB4C8F">
          <w:rPr>
            <w:rStyle w:val="Hyperlink"/>
            <w:rFonts w:ascii="Times New Roman" w:hAnsi="Times New Roman" w:cs="Times New Roman"/>
            <w:lang w:val="en-GB"/>
          </w:rPr>
          <w:t>http://nla.gov.au/nla.news-article87963073</w:t>
        </w:r>
      </w:hyperlink>
      <w:r w:rsidRPr="00CB4C8F">
        <w:rPr>
          <w:rFonts w:ascii="Times New Roman" w:hAnsi="Times New Roman" w:cs="Times New Roman"/>
          <w:lang w:val="en-GB"/>
        </w:rPr>
        <w:t>&gt;.</w:t>
      </w:r>
    </w:p>
  </w:endnote>
  <w:endnote w:id="69">
    <w:p w14:paraId="7E9013D7" w14:textId="58063477" w:rsidR="001B5F18" w:rsidRPr="00CB4C8F" w:rsidRDefault="001B5F18" w:rsidP="000E471A">
      <w:pPr>
        <w:jc w:val="both"/>
        <w:rPr>
          <w:sz w:val="20"/>
          <w:szCs w:val="20"/>
        </w:rPr>
      </w:pPr>
      <w:r w:rsidRPr="00CB4C8F">
        <w:rPr>
          <w:rStyle w:val="EndnoteReference"/>
          <w:sz w:val="20"/>
          <w:szCs w:val="20"/>
        </w:rPr>
        <w:endnoteRef/>
      </w:r>
      <w:r w:rsidRPr="00CB4C8F">
        <w:rPr>
          <w:sz w:val="20"/>
          <w:szCs w:val="20"/>
        </w:rPr>
        <w:t xml:space="preserve"> </w:t>
      </w:r>
      <w:r w:rsidRPr="00CB4C8F">
        <w:rPr>
          <w:i/>
          <w:iCs/>
          <w:sz w:val="20"/>
          <w:szCs w:val="20"/>
          <w:lang w:val="en-GB"/>
        </w:rPr>
        <w:t xml:space="preserve">Sandhurst Mechanics’ Institute and Free Library. Catalogue of the Library </w:t>
      </w:r>
      <w:r w:rsidRPr="00CB4C8F">
        <w:rPr>
          <w:sz w:val="20"/>
          <w:szCs w:val="20"/>
          <w:lang w:val="en-GB"/>
        </w:rPr>
        <w:t>(Castlemaine: W. H. Newlands, 1870), &lt;</w:t>
      </w:r>
      <w:hyperlink r:id="rId37" w:anchor="198" w:history="1">
        <w:r w:rsidRPr="00CB4C8F">
          <w:rPr>
            <w:rStyle w:val="Hyperlink"/>
            <w:sz w:val="20"/>
            <w:szCs w:val="20"/>
          </w:rPr>
          <w:t>http://www.ucd.ie/southhem/record.html#198</w:t>
        </w:r>
      </w:hyperlink>
      <w:r w:rsidRPr="00CB4C8F">
        <w:rPr>
          <w:sz w:val="20"/>
          <w:szCs w:val="20"/>
        </w:rPr>
        <w:t xml:space="preserve">&gt;; </w:t>
      </w:r>
      <w:r w:rsidRPr="00CB4C8F">
        <w:rPr>
          <w:i/>
          <w:iCs/>
          <w:sz w:val="20"/>
          <w:szCs w:val="20"/>
        </w:rPr>
        <w:t xml:space="preserve">Catalogue of the Library of the </w:t>
      </w:r>
      <w:r w:rsidRPr="00CB4C8F">
        <w:rPr>
          <w:i/>
          <w:iCs/>
          <w:sz w:val="20"/>
          <w:szCs w:val="20"/>
        </w:rPr>
        <w:t>Ballaarat Mechanics’ Institute</w:t>
      </w:r>
      <w:r w:rsidRPr="00CB4C8F">
        <w:rPr>
          <w:sz w:val="20"/>
          <w:szCs w:val="20"/>
        </w:rPr>
        <w:t xml:space="preserve"> (Ballarat: James Curtis, 1864), &lt;</w:t>
      </w:r>
      <w:hyperlink r:id="rId38" w:history="1">
        <w:r w:rsidRPr="00CB4C8F">
          <w:rPr>
            <w:rStyle w:val="Hyperlink"/>
            <w:sz w:val="20"/>
            <w:szCs w:val="20"/>
          </w:rPr>
          <w:t>https://viewer.slv.vic.gov.au/?entity=IE4870864&amp;mode=browse</w:t>
        </w:r>
      </w:hyperlink>
      <w:r w:rsidRPr="00CB4C8F">
        <w:rPr>
          <w:sz w:val="20"/>
          <w:szCs w:val="20"/>
        </w:rPr>
        <w:t>&gt;.</w:t>
      </w:r>
    </w:p>
  </w:endnote>
  <w:endnote w:id="70">
    <w:p w14:paraId="554325EC" w14:textId="2703F317" w:rsidR="001B5F18" w:rsidRPr="00CB4C8F" w:rsidRDefault="001B5F18" w:rsidP="000E471A">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 xml:space="preserve">For an account of the publication history and the various editions of Prichard’s </w:t>
      </w:r>
      <w:r w:rsidR="00E94143">
        <w:rPr>
          <w:rFonts w:ascii="Times New Roman" w:hAnsi="Times New Roman" w:cs="Times New Roman"/>
          <w:i/>
          <w:iCs/>
          <w:lang w:val="en-GB"/>
        </w:rPr>
        <w:t xml:space="preserve">The Natural </w:t>
      </w:r>
      <w:r w:rsidRPr="00CB4C8F">
        <w:rPr>
          <w:rFonts w:ascii="Times New Roman" w:hAnsi="Times New Roman" w:cs="Times New Roman"/>
          <w:i/>
          <w:iCs/>
          <w:lang w:val="en-GB"/>
        </w:rPr>
        <w:t>History of Man</w:t>
      </w:r>
      <w:r w:rsidRPr="00CB4C8F">
        <w:rPr>
          <w:rFonts w:ascii="Times New Roman" w:hAnsi="Times New Roman" w:cs="Times New Roman"/>
          <w:lang w:val="en-GB"/>
        </w:rPr>
        <w:t xml:space="preserve">, see </w:t>
      </w:r>
      <w:r w:rsidRPr="00CB4C8F">
        <w:rPr>
          <w:rFonts w:ascii="Times New Roman" w:hAnsi="Times New Roman" w:cs="Times New Roman"/>
          <w:lang w:val="en-GB"/>
        </w:rPr>
        <w:t xml:space="preserve">Poskett, </w:t>
      </w:r>
      <w:r w:rsidRPr="00CB4C8F">
        <w:rPr>
          <w:rFonts w:ascii="Times New Roman" w:hAnsi="Times New Roman" w:cs="Times New Roman"/>
          <w:i/>
          <w:iCs/>
          <w:lang w:val="en-GB"/>
        </w:rPr>
        <w:t>Materials of the Mind</w:t>
      </w:r>
      <w:r w:rsidRPr="00CB4C8F">
        <w:rPr>
          <w:rFonts w:ascii="Times New Roman" w:hAnsi="Times New Roman" w:cs="Times New Roman"/>
          <w:lang w:val="en-GB"/>
        </w:rPr>
        <w:t>, 88</w:t>
      </w:r>
      <w:r>
        <w:rPr>
          <w:rFonts w:ascii="Times New Roman" w:hAnsi="Times New Roman" w:cs="Times New Roman"/>
          <w:lang w:val="en-GB"/>
        </w:rPr>
        <w:t>.</w:t>
      </w:r>
    </w:p>
  </w:endnote>
  <w:endnote w:id="71">
    <w:p w14:paraId="0A8E5DEB" w14:textId="0A9BACC4" w:rsidR="001B5F18" w:rsidRPr="00CB4C8F" w:rsidRDefault="001B5F18" w:rsidP="000E471A">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 xml:space="preserve">For a discussion of colonial libraries involvement with these debates, see Atkin et al., </w:t>
      </w:r>
      <w:r w:rsidRPr="00CB4C8F">
        <w:rPr>
          <w:rFonts w:ascii="Times New Roman" w:hAnsi="Times New Roman" w:cs="Times New Roman"/>
          <w:i/>
          <w:iCs/>
          <w:lang w:val="en-GB"/>
        </w:rPr>
        <w:t>Early Public Libraries and Colonial Citizenship</w:t>
      </w:r>
      <w:r w:rsidRPr="00CB4C8F">
        <w:rPr>
          <w:rFonts w:ascii="Times New Roman" w:hAnsi="Times New Roman" w:cs="Times New Roman"/>
          <w:lang w:val="en-GB"/>
        </w:rPr>
        <w:t>, 103–126.</w:t>
      </w:r>
    </w:p>
  </w:endnote>
  <w:endnote w:id="72">
    <w:p w14:paraId="38132140" w14:textId="3C6B67BB"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Star</w:t>
      </w:r>
      <w:r w:rsidRPr="00CB4C8F">
        <w:rPr>
          <w:rFonts w:ascii="Times New Roman" w:hAnsi="Times New Roman" w:cs="Times New Roman"/>
        </w:rPr>
        <w:t>, 25 April 1862, 2, &lt;</w:t>
      </w:r>
      <w:hyperlink r:id="rId39" w:history="1">
        <w:r w:rsidRPr="00CB4C8F">
          <w:rPr>
            <w:rStyle w:val="Hyperlink"/>
            <w:rFonts w:ascii="Times New Roman" w:hAnsi="Times New Roman" w:cs="Times New Roman"/>
            <w:lang w:val="en-GB"/>
          </w:rPr>
          <w:t>http://nla.gov.au/nla.news-article66331652</w:t>
        </w:r>
      </w:hyperlink>
      <w:r w:rsidRPr="00CB4C8F">
        <w:rPr>
          <w:rFonts w:ascii="Times New Roman" w:hAnsi="Times New Roman" w:cs="Times New Roman"/>
          <w:lang w:val="en-GB"/>
        </w:rPr>
        <w:t>&gt;.</w:t>
      </w:r>
    </w:p>
  </w:endnote>
  <w:endnote w:id="73">
    <w:p w14:paraId="1E01C4B2" w14:textId="3E9B6299" w:rsidR="001B5F18" w:rsidRPr="00CB4C8F" w:rsidRDefault="001B5F18" w:rsidP="000E471A">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 xml:space="preserve">Tom Griffiths, </w:t>
      </w:r>
      <w:r w:rsidRPr="00CB4C8F">
        <w:rPr>
          <w:rFonts w:ascii="Times New Roman" w:hAnsi="Times New Roman" w:cs="Times New Roman"/>
          <w:i/>
          <w:iCs/>
          <w:lang w:val="en-GB"/>
        </w:rPr>
        <w:t>Hunters and Collectors: The Antiquarian Imagination in Australia</w:t>
      </w:r>
      <w:r w:rsidRPr="00CB4C8F">
        <w:rPr>
          <w:rFonts w:ascii="Times New Roman" w:hAnsi="Times New Roman" w:cs="Times New Roman"/>
          <w:lang w:val="en-GB"/>
        </w:rPr>
        <w:t xml:space="preserve"> (Cambridge: Cambridge University Press, 1996), 18.</w:t>
      </w:r>
    </w:p>
  </w:endnote>
  <w:endnote w:id="74">
    <w:p w14:paraId="4B438CDC" w14:textId="54E13A28" w:rsidR="001B5F18" w:rsidRPr="00CB4C8F" w:rsidRDefault="001B5F18" w:rsidP="000E471A">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Turnbull, </w:t>
      </w:r>
      <w:r w:rsidRPr="00CB4C8F">
        <w:rPr>
          <w:rFonts w:ascii="Times New Roman" w:hAnsi="Times New Roman" w:cs="Times New Roman"/>
          <w:i/>
          <w:iCs/>
        </w:rPr>
        <w:t>Science, Museums, and Collecting the Indigenous Dead in Australia</w:t>
      </w:r>
      <w:r w:rsidRPr="00CB4C8F">
        <w:rPr>
          <w:rFonts w:ascii="Times New Roman" w:hAnsi="Times New Roman" w:cs="Times New Roman"/>
        </w:rPr>
        <w:t>, 74, 75.</w:t>
      </w:r>
    </w:p>
  </w:endnote>
  <w:endnote w:id="75">
    <w:p w14:paraId="5EDBCD5F" w14:textId="16BDA786" w:rsidR="001B5F18" w:rsidRPr="00CB4C8F" w:rsidRDefault="001B5F18" w:rsidP="000E471A">
      <w:pPr>
        <w:pStyle w:val="EndnoteText"/>
        <w:jc w:val="both"/>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Griffiths, </w:t>
      </w:r>
      <w:r w:rsidRPr="00CB4C8F">
        <w:rPr>
          <w:rFonts w:ascii="Times New Roman" w:hAnsi="Times New Roman" w:cs="Times New Roman"/>
          <w:i/>
          <w:iCs/>
          <w:lang w:val="en-GB"/>
        </w:rPr>
        <w:t>Hunters and Collectors</w:t>
      </w:r>
      <w:r w:rsidRPr="00CB4C8F">
        <w:rPr>
          <w:rFonts w:ascii="Times New Roman" w:hAnsi="Times New Roman" w:cs="Times New Roman"/>
          <w:lang w:val="en-GB"/>
        </w:rPr>
        <w:t>, 9;</w:t>
      </w:r>
      <w:r w:rsidRPr="00CB4C8F">
        <w:rPr>
          <w:rFonts w:ascii="Times New Roman" w:hAnsi="Times New Roman" w:cs="Times New Roman"/>
          <w:i/>
          <w:iCs/>
          <w:lang w:val="en-GB"/>
        </w:rPr>
        <w:t xml:space="preserve"> </w:t>
      </w:r>
      <w:r w:rsidRPr="00CB4C8F">
        <w:rPr>
          <w:rFonts w:ascii="Times New Roman" w:hAnsi="Times New Roman" w:cs="Times New Roman"/>
          <w:lang w:val="en-GB"/>
        </w:rPr>
        <w:t xml:space="preserve">Turnbull, </w:t>
      </w:r>
      <w:r w:rsidR="000E471A">
        <w:rPr>
          <w:rFonts w:ascii="Times New Roman" w:hAnsi="Times New Roman" w:cs="Times New Roman"/>
          <w:lang w:val="en-GB"/>
        </w:rPr>
        <w:t>“</w:t>
      </w:r>
      <w:r w:rsidRPr="00CB4C8F">
        <w:rPr>
          <w:rFonts w:ascii="Times New Roman" w:hAnsi="Times New Roman" w:cs="Times New Roman"/>
          <w:lang w:val="en-GB"/>
        </w:rPr>
        <w:t>British Anthropological Thought in Colonial Practice</w:t>
      </w:r>
      <w:r w:rsidR="000E471A">
        <w:rPr>
          <w:rFonts w:ascii="Times New Roman" w:hAnsi="Times New Roman" w:cs="Times New Roman"/>
          <w:lang w:val="en-GB"/>
        </w:rPr>
        <w:t>”</w:t>
      </w:r>
      <w:r w:rsidRPr="00CB4C8F">
        <w:rPr>
          <w:rFonts w:ascii="Times New Roman" w:hAnsi="Times New Roman" w:cs="Times New Roman"/>
          <w:lang w:val="en-GB"/>
        </w:rPr>
        <w:t>, 223.</w:t>
      </w:r>
    </w:p>
  </w:endnote>
  <w:endnote w:id="76">
    <w:p w14:paraId="4D3FB56C" w14:textId="0F1AA5B6" w:rsidR="001B5F18" w:rsidRPr="00CB4C8F" w:rsidRDefault="001B5F18" w:rsidP="00EF4FFF">
      <w:pPr>
        <w:rPr>
          <w:sz w:val="20"/>
          <w:szCs w:val="20"/>
        </w:rPr>
      </w:pPr>
      <w:r w:rsidRPr="00CB4C8F">
        <w:rPr>
          <w:rStyle w:val="EndnoteReference"/>
          <w:sz w:val="20"/>
          <w:szCs w:val="20"/>
        </w:rPr>
        <w:endnoteRef/>
      </w:r>
      <w:r w:rsidRPr="00CB4C8F">
        <w:rPr>
          <w:sz w:val="20"/>
          <w:szCs w:val="20"/>
        </w:rPr>
        <w:t xml:space="preserve"> </w:t>
      </w:r>
      <w:r w:rsidRPr="00CB4C8F">
        <w:rPr>
          <w:i/>
          <w:iCs/>
          <w:sz w:val="20"/>
          <w:szCs w:val="20"/>
          <w:lang w:val="en-GB"/>
        </w:rPr>
        <w:t>Star</w:t>
      </w:r>
      <w:r w:rsidRPr="00CB4C8F">
        <w:rPr>
          <w:sz w:val="20"/>
          <w:szCs w:val="20"/>
          <w:lang w:val="en-GB"/>
        </w:rPr>
        <w:t>, 2 October 1862, 2,&lt;</w:t>
      </w:r>
      <w:hyperlink r:id="rId40" w:history="1">
        <w:r w:rsidRPr="00CB4C8F">
          <w:rPr>
            <w:rStyle w:val="Hyperlink"/>
            <w:sz w:val="20"/>
            <w:szCs w:val="20"/>
          </w:rPr>
          <w:t>https://trove.nla.gov.au/newspaper/article/66327616</w:t>
        </w:r>
      </w:hyperlink>
      <w:r w:rsidRPr="00CB4C8F">
        <w:rPr>
          <w:sz w:val="20"/>
          <w:szCs w:val="20"/>
          <w:lang w:val="en-GB"/>
        </w:rPr>
        <w:t>&gt;.</w:t>
      </w:r>
    </w:p>
  </w:endnote>
  <w:endnote w:id="77">
    <w:p w14:paraId="56F57172" w14:textId="7263B0E2" w:rsidR="00E838E6" w:rsidRPr="003945B4" w:rsidRDefault="00E838E6" w:rsidP="003945B4">
      <w:pPr>
        <w:jc w:val="both"/>
        <w:rPr>
          <w:sz w:val="20"/>
          <w:szCs w:val="20"/>
        </w:rPr>
      </w:pPr>
      <w:r w:rsidRPr="003945B4">
        <w:rPr>
          <w:rStyle w:val="EndnoteReference"/>
          <w:sz w:val="20"/>
          <w:szCs w:val="20"/>
        </w:rPr>
        <w:endnoteRef/>
      </w:r>
      <w:r w:rsidRPr="003945B4">
        <w:rPr>
          <w:sz w:val="20"/>
          <w:szCs w:val="20"/>
        </w:rPr>
        <w:t xml:space="preserve"> T</w:t>
      </w:r>
      <w:r w:rsidR="00E61E54" w:rsidRPr="003945B4">
        <w:rPr>
          <w:sz w:val="20"/>
          <w:szCs w:val="20"/>
        </w:rPr>
        <w:t>he question of whether the colonial mechanics’ institutes</w:t>
      </w:r>
      <w:r w:rsidR="00B60008">
        <w:rPr>
          <w:sz w:val="20"/>
          <w:szCs w:val="20"/>
        </w:rPr>
        <w:t xml:space="preserve"> were accessible or</w:t>
      </w:r>
      <w:r w:rsidR="00E61E54" w:rsidRPr="003945B4">
        <w:rPr>
          <w:sz w:val="20"/>
          <w:szCs w:val="20"/>
        </w:rPr>
        <w:t xml:space="preserve"> lived up to their original ambitions for working-class education continue to be debated. For an overview of these debates se, e.g., </w:t>
      </w:r>
      <w:r w:rsidR="00E61E54" w:rsidRPr="003945B4">
        <w:rPr>
          <w:sz w:val="20"/>
          <w:szCs w:val="20"/>
          <w:lang w:val="en-GB"/>
        </w:rPr>
        <w:t xml:space="preserve">Candy and Laurent, </w:t>
      </w:r>
      <w:r w:rsidR="00E61E54" w:rsidRPr="003945B4">
        <w:rPr>
          <w:i/>
          <w:iCs/>
          <w:sz w:val="20"/>
          <w:szCs w:val="20"/>
          <w:lang w:val="en-GB"/>
        </w:rPr>
        <w:t>Pioneering Culture</w:t>
      </w:r>
      <w:r w:rsidR="00E61E54" w:rsidRPr="003945B4">
        <w:rPr>
          <w:sz w:val="20"/>
          <w:szCs w:val="20"/>
          <w:lang w:val="en-GB"/>
        </w:rPr>
        <w:t xml:space="preserve">; </w:t>
      </w:r>
      <w:r w:rsidR="00E61E54" w:rsidRPr="003945B4">
        <w:rPr>
          <w:sz w:val="20"/>
          <w:szCs w:val="20"/>
          <w:lang w:val="en-GB"/>
        </w:rPr>
        <w:t xml:space="preserve">Comyn, </w:t>
      </w:r>
      <w:r w:rsidR="002865E3">
        <w:rPr>
          <w:sz w:val="20"/>
          <w:szCs w:val="20"/>
          <w:lang w:val="en-GB"/>
        </w:rPr>
        <w:t>“</w:t>
      </w:r>
      <w:r w:rsidR="00E61E54" w:rsidRPr="003945B4">
        <w:rPr>
          <w:sz w:val="20"/>
          <w:szCs w:val="20"/>
          <w:lang w:val="en-GB"/>
        </w:rPr>
        <w:t>Literary Sociability on the Goldfields</w:t>
      </w:r>
      <w:r w:rsidR="002865E3">
        <w:rPr>
          <w:sz w:val="20"/>
          <w:szCs w:val="20"/>
          <w:lang w:val="en-GB"/>
        </w:rPr>
        <w:t>”</w:t>
      </w:r>
      <w:r w:rsidR="005B5DF9" w:rsidRPr="003945B4">
        <w:rPr>
          <w:sz w:val="20"/>
          <w:szCs w:val="20"/>
          <w:lang w:val="en-GB"/>
        </w:rPr>
        <w:t>.</w:t>
      </w:r>
      <w:r w:rsidR="009A2148" w:rsidRPr="003945B4">
        <w:rPr>
          <w:sz w:val="20"/>
          <w:szCs w:val="20"/>
          <w:lang w:val="en-GB"/>
        </w:rPr>
        <w:t xml:space="preserve"> The University of Melbourne was part of a cluster of educational</w:t>
      </w:r>
      <w:r w:rsidR="00935CE2">
        <w:rPr>
          <w:sz w:val="20"/>
          <w:szCs w:val="20"/>
          <w:lang w:val="en-GB"/>
        </w:rPr>
        <w:t xml:space="preserve"> and public</w:t>
      </w:r>
      <w:r w:rsidR="009A2148" w:rsidRPr="003945B4">
        <w:rPr>
          <w:sz w:val="20"/>
          <w:szCs w:val="20"/>
          <w:lang w:val="en-GB"/>
        </w:rPr>
        <w:t xml:space="preserve"> institutions created in the 1850s t</w:t>
      </w:r>
      <w:r w:rsidR="002865E3">
        <w:rPr>
          <w:sz w:val="20"/>
          <w:szCs w:val="20"/>
          <w:lang w:val="en-GB"/>
        </w:rPr>
        <w:t>hat were designed</w:t>
      </w:r>
      <w:r w:rsidR="009A2148" w:rsidRPr="003945B4">
        <w:rPr>
          <w:sz w:val="20"/>
          <w:szCs w:val="20"/>
          <w:lang w:val="en-GB"/>
        </w:rPr>
        <w:t xml:space="preserve"> </w:t>
      </w:r>
      <w:r w:rsidR="00E647BF">
        <w:rPr>
          <w:sz w:val="20"/>
          <w:szCs w:val="20"/>
          <w:lang w:val="en-GB"/>
        </w:rPr>
        <w:t xml:space="preserve">to </w:t>
      </w:r>
      <w:r w:rsidR="009A2148" w:rsidRPr="003945B4">
        <w:rPr>
          <w:sz w:val="20"/>
          <w:szCs w:val="20"/>
          <w:lang w:val="en-GB"/>
        </w:rPr>
        <w:t>represent the newly found independence and wealth of the colony following its separation from New South Wales</w:t>
      </w:r>
      <w:r w:rsidR="003945B4" w:rsidRPr="003945B4">
        <w:rPr>
          <w:sz w:val="20"/>
          <w:szCs w:val="20"/>
          <w:lang w:val="en-GB"/>
        </w:rPr>
        <w:t xml:space="preserve">. See, e.g., </w:t>
      </w:r>
      <w:r w:rsidR="003945B4" w:rsidRPr="003945B4">
        <w:rPr>
          <w:sz w:val="20"/>
          <w:szCs w:val="20"/>
        </w:rPr>
        <w:t xml:space="preserve">Sue Reynolds, </w:t>
      </w:r>
      <w:r w:rsidR="002865E3">
        <w:rPr>
          <w:sz w:val="20"/>
          <w:szCs w:val="20"/>
        </w:rPr>
        <w:t>“</w:t>
      </w:r>
      <w:r w:rsidR="003945B4" w:rsidRPr="003945B4">
        <w:rPr>
          <w:sz w:val="20"/>
          <w:szCs w:val="20"/>
        </w:rPr>
        <w:t>Libraries, Librarians, and Librarianship in the Colony of Victoria</w:t>
      </w:r>
      <w:r w:rsidR="002865E3">
        <w:rPr>
          <w:sz w:val="20"/>
          <w:szCs w:val="20"/>
        </w:rPr>
        <w:t>”</w:t>
      </w:r>
      <w:r w:rsidR="003945B4" w:rsidRPr="003945B4">
        <w:rPr>
          <w:sz w:val="20"/>
          <w:szCs w:val="20"/>
        </w:rPr>
        <w:t xml:space="preserve">, </w:t>
      </w:r>
      <w:r w:rsidR="003945B4" w:rsidRPr="002865E3">
        <w:rPr>
          <w:i/>
          <w:iCs/>
          <w:sz w:val="20"/>
          <w:szCs w:val="20"/>
        </w:rPr>
        <w:t>Australian Academic and Research Libraries</w:t>
      </w:r>
      <w:r w:rsidR="003945B4" w:rsidRPr="003945B4">
        <w:rPr>
          <w:sz w:val="20"/>
          <w:szCs w:val="20"/>
        </w:rPr>
        <w:t xml:space="preserve"> 40, no. 1 (2013)</w:t>
      </w:r>
      <w:r w:rsidR="003F2BB6">
        <w:rPr>
          <w:sz w:val="20"/>
          <w:szCs w:val="20"/>
        </w:rPr>
        <w:t>,</w:t>
      </w:r>
      <w:r w:rsidR="003945B4" w:rsidRPr="003945B4">
        <w:rPr>
          <w:sz w:val="20"/>
          <w:szCs w:val="20"/>
        </w:rPr>
        <w:t xml:space="preserve"> 50–64</w:t>
      </w:r>
      <w:r w:rsidR="003945B4">
        <w:rPr>
          <w:sz w:val="20"/>
          <w:szCs w:val="20"/>
        </w:rPr>
        <w:t>.</w:t>
      </w:r>
    </w:p>
  </w:endnote>
  <w:endnote w:id="78">
    <w:p w14:paraId="14435428" w14:textId="6A296A03" w:rsidR="001B5F18" w:rsidRPr="00CB4C8F" w:rsidRDefault="001B5F18" w:rsidP="00EF4FFF">
      <w:pPr>
        <w:rPr>
          <w:sz w:val="20"/>
          <w:szCs w:val="20"/>
        </w:rPr>
      </w:pPr>
      <w:r w:rsidRPr="00E61E54">
        <w:rPr>
          <w:rStyle w:val="EndnoteReference"/>
          <w:sz w:val="20"/>
          <w:szCs w:val="20"/>
        </w:rPr>
        <w:endnoteRef/>
      </w:r>
      <w:r w:rsidRPr="00E61E54">
        <w:rPr>
          <w:sz w:val="20"/>
          <w:szCs w:val="20"/>
        </w:rPr>
        <w:t xml:space="preserve"> </w:t>
      </w:r>
      <w:r w:rsidRPr="00E61E54">
        <w:rPr>
          <w:i/>
          <w:iCs/>
          <w:sz w:val="20"/>
          <w:szCs w:val="20"/>
        </w:rPr>
        <w:t>Ovens and Murray Advertiser</w:t>
      </w:r>
      <w:r w:rsidRPr="00E61E54">
        <w:rPr>
          <w:sz w:val="20"/>
          <w:szCs w:val="20"/>
        </w:rPr>
        <w:t>, 23 May 1867, 2, &lt;</w:t>
      </w:r>
      <w:hyperlink r:id="rId41" w:history="1">
        <w:r w:rsidRPr="00E61E54">
          <w:rPr>
            <w:rStyle w:val="Hyperlink"/>
            <w:sz w:val="20"/>
            <w:szCs w:val="20"/>
          </w:rPr>
          <w:t>https://trove.nla.gov.au/newspaper/article/198659584</w:t>
        </w:r>
      </w:hyperlink>
      <w:r w:rsidRPr="00CB4C8F">
        <w:rPr>
          <w:sz w:val="20"/>
          <w:szCs w:val="20"/>
        </w:rPr>
        <w:t>&gt;.</w:t>
      </w:r>
    </w:p>
  </w:endnote>
  <w:endnote w:id="79">
    <w:p w14:paraId="1298A458" w14:textId="303DD1D3"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Ovens and Murray Advertiser</w:t>
      </w:r>
      <w:r w:rsidRPr="00CB4C8F">
        <w:rPr>
          <w:rFonts w:ascii="Times New Roman" w:hAnsi="Times New Roman" w:cs="Times New Roman"/>
        </w:rPr>
        <w:t>, 28 July 1877, 8, &lt;</w:t>
      </w:r>
      <w:hyperlink r:id="rId42" w:history="1">
        <w:r w:rsidRPr="00CB4C8F">
          <w:rPr>
            <w:rStyle w:val="Hyperlink"/>
            <w:rFonts w:ascii="Times New Roman" w:hAnsi="Times New Roman" w:cs="Times New Roman"/>
          </w:rPr>
          <w:t>http://nla.gov.au/nla.news-article198227786</w:t>
        </w:r>
      </w:hyperlink>
      <w:r w:rsidRPr="00CB4C8F">
        <w:rPr>
          <w:rFonts w:ascii="Times New Roman" w:hAnsi="Times New Roman" w:cs="Times New Roman"/>
        </w:rPr>
        <w:t>&gt;.</w:t>
      </w:r>
    </w:p>
  </w:endnote>
  <w:endnote w:id="80">
    <w:p w14:paraId="7D5F2E63" w14:textId="2B319FED" w:rsidR="001B5F18" w:rsidRPr="00CB4C8F" w:rsidRDefault="001B5F18" w:rsidP="00EF4FFF">
      <w:pPr>
        <w:pStyle w:val="EndnoteText"/>
        <w:rPr>
          <w:rFonts w:ascii="Times New Roman" w:hAnsi="Times New Roman" w:cs="Times New Roman"/>
          <w:color w:val="0000FF"/>
          <w:u w:val="single"/>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lang w:val="en-GB"/>
        </w:rPr>
        <w:t>Ovens and Murray Advertiser</w:t>
      </w:r>
      <w:r w:rsidRPr="00CB4C8F">
        <w:rPr>
          <w:rFonts w:ascii="Times New Roman" w:hAnsi="Times New Roman" w:cs="Times New Roman"/>
          <w:lang w:val="en-GB"/>
        </w:rPr>
        <w:t>, 30 July 1881, 1, &lt;</w:t>
      </w:r>
      <w:hyperlink r:id="rId43" w:history="1">
        <w:r w:rsidRPr="00CB4C8F">
          <w:rPr>
            <w:rStyle w:val="Hyperlink"/>
            <w:rFonts w:ascii="Times New Roman" w:hAnsi="Times New Roman" w:cs="Times New Roman"/>
            <w:lang w:val="en-GB"/>
          </w:rPr>
          <w:t>http://nla.gov.au/nla.news-article199459893</w:t>
        </w:r>
      </w:hyperlink>
      <w:r w:rsidRPr="00CB4C8F">
        <w:rPr>
          <w:rFonts w:ascii="Times New Roman" w:hAnsi="Times New Roman" w:cs="Times New Roman"/>
          <w:lang w:val="en-GB"/>
        </w:rPr>
        <w:t>&gt;.</w:t>
      </w:r>
    </w:p>
  </w:endnote>
  <w:endnote w:id="81">
    <w:p w14:paraId="32A50904" w14:textId="269215E2" w:rsidR="001B5F18" w:rsidRPr="00CB4C8F" w:rsidRDefault="001B5F18" w:rsidP="00EF4FFF">
      <w:pPr>
        <w:rPr>
          <w:sz w:val="20"/>
          <w:szCs w:val="20"/>
        </w:rPr>
      </w:pPr>
      <w:r w:rsidRPr="00CB4C8F">
        <w:rPr>
          <w:rStyle w:val="EndnoteReference"/>
          <w:sz w:val="20"/>
          <w:szCs w:val="20"/>
        </w:rPr>
        <w:endnoteRef/>
      </w:r>
      <w:r w:rsidRPr="00CB4C8F">
        <w:rPr>
          <w:sz w:val="20"/>
          <w:szCs w:val="20"/>
        </w:rPr>
        <w:t xml:space="preserve"> </w:t>
      </w:r>
      <w:r w:rsidRPr="00CB4C8F">
        <w:rPr>
          <w:i/>
          <w:iCs/>
          <w:sz w:val="20"/>
          <w:szCs w:val="20"/>
        </w:rPr>
        <w:t>Age</w:t>
      </w:r>
      <w:r w:rsidRPr="00CB4C8F">
        <w:rPr>
          <w:sz w:val="20"/>
          <w:szCs w:val="20"/>
        </w:rPr>
        <w:t>, 14 August 1869, 3. &lt;</w:t>
      </w:r>
      <w:hyperlink r:id="rId44" w:history="1">
        <w:r w:rsidRPr="00CB4C8F">
          <w:rPr>
            <w:rStyle w:val="Hyperlink"/>
            <w:sz w:val="20"/>
            <w:szCs w:val="20"/>
          </w:rPr>
          <w:t>https://trove.nla.gov.au/newspaper/article/188570300</w:t>
        </w:r>
      </w:hyperlink>
      <w:r w:rsidRPr="00CB4C8F">
        <w:rPr>
          <w:sz w:val="20"/>
          <w:szCs w:val="20"/>
        </w:rPr>
        <w:t>&gt;.</w:t>
      </w:r>
    </w:p>
  </w:endnote>
  <w:endnote w:id="82">
    <w:p w14:paraId="2B06C3C2" w14:textId="119CDA7E" w:rsidR="001B5F18" w:rsidRPr="00CB4C8F" w:rsidRDefault="001B5F18" w:rsidP="000E471A">
      <w:pPr>
        <w:jc w:val="both"/>
        <w:rPr>
          <w:rFonts w:eastAsiaTheme="minorHAnsi"/>
          <w:sz w:val="20"/>
          <w:szCs w:val="20"/>
        </w:rPr>
      </w:pPr>
      <w:r w:rsidRPr="00CB4C8F">
        <w:rPr>
          <w:rStyle w:val="EndnoteReference"/>
          <w:sz w:val="20"/>
          <w:szCs w:val="20"/>
          <w:lang w:val="en-GB"/>
        </w:rPr>
        <w:endnoteRef/>
      </w:r>
      <w:r w:rsidRPr="00CB4C8F">
        <w:rPr>
          <w:sz w:val="20"/>
          <w:szCs w:val="20"/>
          <w:lang w:val="en-GB"/>
        </w:rPr>
        <w:t xml:space="preserve"> </w:t>
      </w:r>
      <w:r w:rsidRPr="00CB4C8F">
        <w:rPr>
          <w:rFonts w:eastAsiaTheme="minorHAnsi"/>
          <w:i/>
          <w:iCs/>
          <w:sz w:val="20"/>
          <w:szCs w:val="20"/>
          <w:lang w:val="en-GB" w:eastAsia="en-US"/>
        </w:rPr>
        <w:t>Ballarat Star</w:t>
      </w:r>
      <w:r w:rsidRPr="00CB4C8F">
        <w:rPr>
          <w:sz w:val="20"/>
          <w:szCs w:val="20"/>
          <w:lang w:val="en-GB"/>
        </w:rPr>
        <w:t>,</w:t>
      </w:r>
      <w:r w:rsidRPr="00CB4C8F">
        <w:rPr>
          <w:rFonts w:eastAsiaTheme="minorHAnsi"/>
          <w:sz w:val="20"/>
          <w:szCs w:val="20"/>
          <w:lang w:val="en-GB" w:eastAsia="en-US"/>
        </w:rPr>
        <w:t xml:space="preserve"> 16 June 1876, 3</w:t>
      </w:r>
      <w:r w:rsidRPr="00CB4C8F">
        <w:rPr>
          <w:sz w:val="20"/>
          <w:szCs w:val="20"/>
          <w:lang w:val="en-GB"/>
        </w:rPr>
        <w:t>, &lt;</w:t>
      </w:r>
      <w:hyperlink r:id="rId45" w:history="1">
        <w:r w:rsidRPr="00CB4C8F">
          <w:rPr>
            <w:rStyle w:val="Hyperlink"/>
            <w:rFonts w:eastAsiaTheme="minorHAnsi"/>
            <w:sz w:val="20"/>
            <w:szCs w:val="20"/>
            <w:lang w:val="en-GB"/>
          </w:rPr>
          <w:t>http://nla.gov.au/nla.news-article200231003</w:t>
        </w:r>
      </w:hyperlink>
      <w:r w:rsidRPr="00CB4C8F">
        <w:rPr>
          <w:sz w:val="20"/>
          <w:szCs w:val="20"/>
          <w:lang w:val="en-GB"/>
        </w:rPr>
        <w:t>&gt;</w:t>
      </w:r>
      <w:r w:rsidRPr="00CB4C8F">
        <w:rPr>
          <w:sz w:val="20"/>
          <w:szCs w:val="20"/>
        </w:rPr>
        <w:t>;</w:t>
      </w:r>
      <w:r w:rsidRPr="00CB4C8F">
        <w:rPr>
          <w:sz w:val="20"/>
          <w:szCs w:val="20"/>
          <w:lang w:val="en-GB"/>
        </w:rPr>
        <w:t xml:space="preserve"> </w:t>
      </w:r>
      <w:r w:rsidRPr="00CB4C8F">
        <w:rPr>
          <w:rFonts w:eastAsiaTheme="minorHAnsi"/>
          <w:i/>
          <w:iCs/>
          <w:sz w:val="20"/>
          <w:szCs w:val="20"/>
          <w:lang w:val="en-GB" w:eastAsia="en-US"/>
        </w:rPr>
        <w:t>Star</w:t>
      </w:r>
      <w:r w:rsidRPr="00CB4C8F">
        <w:rPr>
          <w:sz w:val="20"/>
          <w:szCs w:val="20"/>
          <w:lang w:val="en-GB"/>
        </w:rPr>
        <w:t xml:space="preserve">, </w:t>
      </w:r>
      <w:r w:rsidRPr="00CB4C8F">
        <w:rPr>
          <w:rFonts w:eastAsiaTheme="minorHAnsi"/>
          <w:sz w:val="20"/>
          <w:szCs w:val="20"/>
          <w:lang w:val="en-GB" w:eastAsia="en-US"/>
        </w:rPr>
        <w:t>10 August 1863, 3</w:t>
      </w:r>
      <w:r w:rsidRPr="00CB4C8F">
        <w:rPr>
          <w:sz w:val="20"/>
          <w:szCs w:val="20"/>
          <w:lang w:val="en-GB"/>
        </w:rPr>
        <w:t>, &lt;</w:t>
      </w:r>
      <w:hyperlink r:id="rId46" w:history="1">
        <w:r w:rsidRPr="00CB4C8F">
          <w:rPr>
            <w:rStyle w:val="Hyperlink"/>
            <w:rFonts w:eastAsiaTheme="minorHAnsi"/>
            <w:sz w:val="20"/>
            <w:szCs w:val="20"/>
            <w:lang w:val="en-GB"/>
          </w:rPr>
          <w:t>http://nla.gov.au/nla.news-article72516336</w:t>
        </w:r>
      </w:hyperlink>
      <w:r w:rsidRPr="00CB4C8F">
        <w:rPr>
          <w:sz w:val="20"/>
          <w:szCs w:val="20"/>
          <w:lang w:val="en-GB"/>
        </w:rPr>
        <w:t xml:space="preserve">&gt;. </w:t>
      </w:r>
      <w:r w:rsidRPr="00CB4C8F">
        <w:rPr>
          <w:sz w:val="20"/>
          <w:szCs w:val="20"/>
        </w:rPr>
        <w:t>For</w:t>
      </w:r>
      <w:r w:rsidRPr="00CB4C8F">
        <w:rPr>
          <w:sz w:val="20"/>
          <w:szCs w:val="20"/>
          <w:lang w:val="en-GB"/>
        </w:rPr>
        <w:t xml:space="preserve"> an account of the popularity of collecting </w:t>
      </w:r>
      <w:r w:rsidRPr="00CB4C8F">
        <w:rPr>
          <w:sz w:val="20"/>
          <w:szCs w:val="20"/>
          <w:lang w:val="en-GB"/>
        </w:rPr>
        <w:t xml:space="preserve">toi moko and their repatriation see </w:t>
      </w:r>
      <w:r w:rsidRPr="00CB4C8F">
        <w:rPr>
          <w:rFonts w:eastAsiaTheme="minorHAnsi"/>
          <w:sz w:val="20"/>
          <w:szCs w:val="20"/>
        </w:rPr>
        <w:t>Te Herekiekie Herewini</w:t>
      </w:r>
      <w:r w:rsidRPr="00CB4C8F">
        <w:rPr>
          <w:sz w:val="20"/>
          <w:szCs w:val="20"/>
        </w:rPr>
        <w:t>, “</w:t>
      </w:r>
      <w:r w:rsidRPr="00CB4C8F">
        <w:rPr>
          <w:rFonts w:eastAsiaTheme="minorHAnsi"/>
          <w:sz w:val="20"/>
          <w:szCs w:val="20"/>
        </w:rPr>
        <w:t>The Museum of New Zealand Te Papa Tongarewa (Te Papa) and the Repatriation of Köiwi Tangata (Mäori and Moriori skeletal remains) and Toi Moko (Mummified Maori Tattooed Heads</w:t>
      </w:r>
      <w:r w:rsidRPr="00B71DF4">
        <w:rPr>
          <w:rFonts w:eastAsiaTheme="minorHAnsi"/>
          <w:color w:val="000000" w:themeColor="text1"/>
          <w:sz w:val="20"/>
          <w:szCs w:val="20"/>
        </w:rPr>
        <w:t>)”,</w:t>
      </w:r>
      <w:r w:rsidRPr="00B71DF4">
        <w:rPr>
          <w:rFonts w:eastAsiaTheme="minorHAnsi"/>
          <w:i/>
          <w:iCs/>
          <w:color w:val="000000" w:themeColor="text1"/>
          <w:sz w:val="20"/>
          <w:szCs w:val="20"/>
        </w:rPr>
        <w:t xml:space="preserve"> </w:t>
      </w:r>
      <w:r w:rsidRPr="00B71DF4">
        <w:rPr>
          <w:rFonts w:eastAsiaTheme="minorHAnsi"/>
          <w:i/>
          <w:iCs/>
          <w:color w:val="000000" w:themeColor="text1"/>
          <w:sz w:val="20"/>
          <w:szCs w:val="20"/>
          <w:lang w:val="en-GB" w:eastAsia="en-US"/>
        </w:rPr>
        <w:t>International Journal of Cultural Property</w:t>
      </w:r>
      <w:r w:rsidRPr="00B71DF4">
        <w:rPr>
          <w:rFonts w:eastAsiaTheme="minorHAnsi"/>
          <w:color w:val="000000" w:themeColor="text1"/>
          <w:sz w:val="20"/>
          <w:szCs w:val="20"/>
          <w:lang w:val="en-GB" w:eastAsia="en-US"/>
        </w:rPr>
        <w:t xml:space="preserve"> 15 (2008), 405–406.</w:t>
      </w:r>
    </w:p>
  </w:endnote>
  <w:endnote w:id="83">
    <w:p w14:paraId="3EE2FFD2" w14:textId="7585CE00"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Griffiths, </w:t>
      </w:r>
      <w:r w:rsidRPr="00CB4C8F">
        <w:rPr>
          <w:rFonts w:ascii="Times New Roman" w:hAnsi="Times New Roman" w:cs="Times New Roman"/>
          <w:i/>
          <w:iCs/>
          <w:lang w:val="en-GB"/>
        </w:rPr>
        <w:t>Hunters and Collectors</w:t>
      </w:r>
      <w:r w:rsidRPr="00CB4C8F">
        <w:rPr>
          <w:rFonts w:ascii="Times New Roman" w:hAnsi="Times New Roman" w:cs="Times New Roman"/>
          <w:lang w:val="en-GB"/>
        </w:rPr>
        <w:t>,</w:t>
      </w:r>
      <w:r w:rsidR="003F2BB6">
        <w:rPr>
          <w:rFonts w:ascii="Times New Roman" w:hAnsi="Times New Roman" w:cs="Times New Roman"/>
          <w:lang w:val="en-GB"/>
        </w:rPr>
        <w:t xml:space="preserve"> </w:t>
      </w:r>
      <w:r w:rsidRPr="00CB4C8F">
        <w:rPr>
          <w:rFonts w:ascii="Times New Roman" w:hAnsi="Times New Roman" w:cs="Times New Roman"/>
          <w:lang w:val="en-GB"/>
        </w:rPr>
        <w:t>34.</w:t>
      </w:r>
    </w:p>
  </w:endnote>
  <w:endnote w:id="84">
    <w:p w14:paraId="6541B6A3" w14:textId="293CD89A"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lang w:val="en-GB"/>
        </w:rPr>
        <w:t xml:space="preserve">Griffiths, </w:t>
      </w:r>
      <w:r w:rsidRPr="00CB4C8F">
        <w:rPr>
          <w:rFonts w:ascii="Times New Roman" w:hAnsi="Times New Roman" w:cs="Times New Roman"/>
          <w:i/>
          <w:iCs/>
          <w:lang w:val="en-GB"/>
        </w:rPr>
        <w:t>Hunters and Collectors</w:t>
      </w:r>
      <w:r w:rsidRPr="00CB4C8F">
        <w:rPr>
          <w:rFonts w:ascii="Times New Roman" w:hAnsi="Times New Roman" w:cs="Times New Roman"/>
          <w:lang w:val="en-GB"/>
        </w:rPr>
        <w:t>,</w:t>
      </w:r>
      <w:r w:rsidR="003F2BB6">
        <w:rPr>
          <w:rFonts w:ascii="Times New Roman" w:hAnsi="Times New Roman" w:cs="Times New Roman"/>
          <w:lang w:val="en-GB"/>
        </w:rPr>
        <w:t xml:space="preserve"> </w:t>
      </w:r>
      <w:r w:rsidRPr="00CB4C8F">
        <w:rPr>
          <w:rFonts w:ascii="Times New Roman" w:hAnsi="Times New Roman" w:cs="Times New Roman"/>
          <w:lang w:val="en-GB"/>
        </w:rPr>
        <w:t>49–50.</w:t>
      </w:r>
    </w:p>
  </w:endnote>
  <w:endnote w:id="85">
    <w:p w14:paraId="4D4DDE24" w14:textId="04D08990"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 xml:space="preserve">Paris Universal Exhibition of 1878. Catalogue of the British Colonies </w:t>
      </w:r>
      <w:r w:rsidRPr="00CB4C8F">
        <w:rPr>
          <w:rFonts w:ascii="Times New Roman" w:hAnsi="Times New Roman" w:cs="Times New Roman"/>
        </w:rPr>
        <w:t>(London and Paris: Offices of the Royal Commission, 1878),</w:t>
      </w:r>
      <w:r w:rsidR="003F2BB6">
        <w:rPr>
          <w:rFonts w:ascii="Times New Roman" w:hAnsi="Times New Roman" w:cs="Times New Roman"/>
        </w:rPr>
        <w:t xml:space="preserve"> </w:t>
      </w:r>
      <w:r w:rsidRPr="00CB4C8F">
        <w:rPr>
          <w:rFonts w:ascii="Times New Roman" w:hAnsi="Times New Roman" w:cs="Times New Roman"/>
          <w:lang w:val="en-GB"/>
        </w:rPr>
        <w:t xml:space="preserve">116; Griffiths, </w:t>
      </w:r>
      <w:r w:rsidRPr="00CB4C8F">
        <w:rPr>
          <w:rFonts w:ascii="Times New Roman" w:hAnsi="Times New Roman" w:cs="Times New Roman"/>
          <w:i/>
          <w:iCs/>
          <w:lang w:val="en-GB"/>
        </w:rPr>
        <w:t>Hunters and Collectors</w:t>
      </w:r>
      <w:r w:rsidRPr="00CB4C8F">
        <w:rPr>
          <w:rFonts w:ascii="Times New Roman" w:hAnsi="Times New Roman" w:cs="Times New Roman"/>
          <w:lang w:val="en-GB"/>
        </w:rPr>
        <w:t>,</w:t>
      </w:r>
      <w:r w:rsidR="003F2BB6">
        <w:rPr>
          <w:rFonts w:ascii="Times New Roman" w:hAnsi="Times New Roman" w:cs="Times New Roman"/>
          <w:lang w:val="en-GB"/>
        </w:rPr>
        <w:t xml:space="preserve"> </w:t>
      </w:r>
      <w:r w:rsidRPr="00CB4C8F">
        <w:rPr>
          <w:rFonts w:ascii="Times New Roman" w:hAnsi="Times New Roman" w:cs="Times New Roman"/>
          <w:lang w:val="en-GB"/>
        </w:rPr>
        <w:t>50.</w:t>
      </w:r>
    </w:p>
  </w:endnote>
  <w:endnote w:id="86">
    <w:p w14:paraId="2EDA638E" w14:textId="7812E8F0" w:rsidR="001B5F18" w:rsidRPr="00CB4C8F" w:rsidRDefault="001B5F18" w:rsidP="00B71DF4">
      <w:pPr>
        <w:autoSpaceDE w:val="0"/>
        <w:autoSpaceDN w:val="0"/>
        <w:adjustRightInd w:val="0"/>
        <w:jc w:val="both"/>
        <w:rPr>
          <w:rFonts w:eastAsiaTheme="minorHAnsi"/>
          <w:i/>
          <w:iCs/>
          <w:sz w:val="20"/>
          <w:szCs w:val="20"/>
          <w:lang w:val="en-GB" w:eastAsia="en-US"/>
        </w:rPr>
      </w:pPr>
      <w:r w:rsidRPr="00CB4C8F">
        <w:rPr>
          <w:rStyle w:val="EndnoteReference"/>
          <w:sz w:val="20"/>
          <w:szCs w:val="20"/>
        </w:rPr>
        <w:endnoteRef/>
      </w:r>
      <w:r w:rsidRPr="00CB4C8F">
        <w:rPr>
          <w:sz w:val="20"/>
          <w:szCs w:val="20"/>
        </w:rPr>
        <w:t xml:space="preserve"> </w:t>
      </w:r>
      <w:r w:rsidRPr="00CB4C8F">
        <w:rPr>
          <w:sz w:val="20"/>
          <w:szCs w:val="20"/>
          <w:lang w:val="en-GB"/>
        </w:rPr>
        <w:t>Penelope Edmonds, “</w:t>
      </w:r>
      <w:r w:rsidRPr="00CB4C8F">
        <w:rPr>
          <w:rFonts w:eastAsiaTheme="minorHAnsi"/>
          <w:sz w:val="20"/>
          <w:szCs w:val="20"/>
          <w:lang w:val="en-GB" w:eastAsia="en-US"/>
        </w:rPr>
        <w:t xml:space="preserve">The Le </w:t>
      </w:r>
      <w:r w:rsidRPr="00CB4C8F">
        <w:rPr>
          <w:rFonts w:eastAsiaTheme="minorHAnsi"/>
          <w:sz w:val="20"/>
          <w:szCs w:val="20"/>
          <w:lang w:val="en-GB" w:eastAsia="en-US"/>
        </w:rPr>
        <w:t xml:space="preserve">Souëf Box: Reflections on Imperial Nostalgia, Material Culture and Exhibitionary Practice in Colonial Victoria”, </w:t>
      </w:r>
      <w:r w:rsidRPr="00CB4C8F">
        <w:rPr>
          <w:rFonts w:eastAsiaTheme="minorHAnsi"/>
          <w:i/>
          <w:iCs/>
          <w:sz w:val="20"/>
          <w:szCs w:val="20"/>
          <w:lang w:val="en-GB" w:eastAsia="en-US"/>
        </w:rPr>
        <w:t>Australian Historical Studies</w:t>
      </w:r>
      <w:r w:rsidRPr="00CB4C8F">
        <w:rPr>
          <w:rFonts w:eastAsiaTheme="minorHAnsi"/>
          <w:sz w:val="20"/>
          <w:szCs w:val="20"/>
          <w:lang w:val="en-GB" w:eastAsia="en-US"/>
        </w:rPr>
        <w:t xml:space="preserve"> 37, no. 127 (2006), 117-139 (130–131).</w:t>
      </w:r>
    </w:p>
  </w:endnote>
  <w:endnote w:id="87">
    <w:p w14:paraId="01DEBED7" w14:textId="3463130B"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i/>
          <w:iCs/>
        </w:rPr>
        <w:t>Ovens and Murray Advertiser</w:t>
      </w:r>
      <w:r w:rsidRPr="00CB4C8F">
        <w:rPr>
          <w:rFonts w:ascii="Times New Roman" w:hAnsi="Times New Roman" w:cs="Times New Roman"/>
        </w:rPr>
        <w:t>, 27 July 1882, 4, &lt;</w:t>
      </w:r>
      <w:hyperlink r:id="rId47" w:history="1">
        <w:r w:rsidRPr="00CB4C8F">
          <w:rPr>
            <w:rStyle w:val="Hyperlink"/>
            <w:rFonts w:ascii="Times New Roman" w:hAnsi="Times New Roman" w:cs="Times New Roman"/>
            <w:lang w:val="en-GB"/>
          </w:rPr>
          <w:t>http://nla.gov.au/nla.news-article199463024</w:t>
        </w:r>
      </w:hyperlink>
      <w:r w:rsidRPr="00CB4C8F">
        <w:rPr>
          <w:rFonts w:ascii="Times New Roman" w:hAnsi="Times New Roman" w:cs="Times New Roman"/>
          <w:lang w:val="en-GB"/>
        </w:rPr>
        <w:t xml:space="preserve">&gt;. </w:t>
      </w:r>
    </w:p>
  </w:endnote>
  <w:endnote w:id="88">
    <w:p w14:paraId="0EE76DBB" w14:textId="3A8A377D" w:rsidR="001B5F18" w:rsidRPr="00CB4C8F" w:rsidRDefault="001B5F18" w:rsidP="00B71DF4">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w:t>
      </w:r>
      <w:r w:rsidRPr="00CB4C8F">
        <w:rPr>
          <w:rFonts w:ascii="Times New Roman" w:hAnsi="Times New Roman" w:cs="Times New Roman"/>
        </w:rPr>
        <w:t xml:space="preserve">Septimus Bryce, Letter to the Honourable Secretary, 18 March 1881, </w:t>
      </w:r>
      <w:r w:rsidRPr="00CB4C8F">
        <w:rPr>
          <w:rFonts w:ascii="Times New Roman" w:hAnsi="Times New Roman" w:cs="Times New Roman"/>
          <w:lang w:val="en-GB"/>
        </w:rPr>
        <w:t>Records 1880–81, Beechworth Athenaeum Archives, Beechworth Athenaeum and Burke Museum.</w:t>
      </w:r>
    </w:p>
  </w:endnote>
  <w:endnote w:id="89">
    <w:p w14:paraId="26CC8149" w14:textId="4EF630DC" w:rsidR="001B5F18" w:rsidRPr="00CB4C8F" w:rsidRDefault="001B5F18" w:rsidP="00AB74B7">
      <w:pPr>
        <w:rPr>
          <w:sz w:val="20"/>
          <w:szCs w:val="20"/>
        </w:rPr>
      </w:pPr>
      <w:r w:rsidRPr="00CB4C8F">
        <w:rPr>
          <w:rStyle w:val="EndnoteReference"/>
          <w:sz w:val="20"/>
          <w:szCs w:val="20"/>
        </w:rPr>
        <w:endnoteRef/>
      </w:r>
      <w:r w:rsidRPr="00CB4C8F">
        <w:rPr>
          <w:sz w:val="20"/>
          <w:szCs w:val="20"/>
        </w:rPr>
        <w:t xml:space="preserve"> </w:t>
      </w:r>
      <w:r w:rsidRPr="00CB4C8F">
        <w:rPr>
          <w:i/>
          <w:iCs/>
          <w:sz w:val="20"/>
          <w:szCs w:val="20"/>
        </w:rPr>
        <w:t>Ovens and Murray Advertiser</w:t>
      </w:r>
      <w:r w:rsidRPr="00CB4C8F">
        <w:rPr>
          <w:sz w:val="20"/>
          <w:szCs w:val="20"/>
        </w:rPr>
        <w:t>, 9 April 1881, 4, &lt;</w:t>
      </w:r>
      <w:hyperlink r:id="rId48" w:history="1">
        <w:r w:rsidRPr="00CB4C8F">
          <w:rPr>
            <w:rStyle w:val="Hyperlink"/>
            <w:sz w:val="20"/>
            <w:szCs w:val="20"/>
          </w:rPr>
          <w:t>http://nla.gov.au/nla.news-article199461072</w:t>
        </w:r>
      </w:hyperlink>
      <w:r w:rsidRPr="00CB4C8F">
        <w:rPr>
          <w:sz w:val="20"/>
          <w:szCs w:val="20"/>
        </w:rPr>
        <w:t>&gt;.</w:t>
      </w:r>
    </w:p>
  </w:endnote>
  <w:endnote w:id="90">
    <w:p w14:paraId="64BBBD85" w14:textId="5EB6DF4B" w:rsidR="001B5F18" w:rsidRPr="00CB4C8F" w:rsidRDefault="001B5F18" w:rsidP="00776337">
      <w:pPr>
        <w:rPr>
          <w:sz w:val="20"/>
          <w:szCs w:val="20"/>
        </w:rPr>
      </w:pPr>
      <w:r w:rsidRPr="00CB4C8F">
        <w:rPr>
          <w:rStyle w:val="EndnoteReference"/>
          <w:sz w:val="20"/>
          <w:szCs w:val="20"/>
        </w:rPr>
        <w:endnoteRef/>
      </w:r>
      <w:r w:rsidRPr="00CB4C8F">
        <w:rPr>
          <w:sz w:val="20"/>
          <w:szCs w:val="20"/>
        </w:rPr>
        <w:t xml:space="preserve"> </w:t>
      </w:r>
      <w:r w:rsidRPr="00CB4C8F">
        <w:rPr>
          <w:sz w:val="20"/>
          <w:szCs w:val="20"/>
          <w:lang w:val="en-GB"/>
        </w:rPr>
        <w:t xml:space="preserve">Kate Darian-Smith, “Seize the Day: Exhibiting Australia”, in </w:t>
      </w:r>
      <w:r w:rsidRPr="00CB4C8F">
        <w:rPr>
          <w:i/>
          <w:iCs/>
          <w:sz w:val="20"/>
          <w:szCs w:val="20"/>
          <w:lang w:val="en-GB"/>
        </w:rPr>
        <w:t>Seize the Day: Exhibitions, Australia and the World</w:t>
      </w:r>
      <w:r w:rsidR="00CE2C91">
        <w:rPr>
          <w:sz w:val="20"/>
          <w:szCs w:val="20"/>
          <w:lang w:val="en-GB"/>
        </w:rPr>
        <w:t>,</w:t>
      </w:r>
      <w:r w:rsidRPr="00CB4C8F">
        <w:rPr>
          <w:i/>
          <w:iCs/>
          <w:sz w:val="20"/>
          <w:szCs w:val="20"/>
          <w:lang w:val="en-GB"/>
        </w:rPr>
        <w:t xml:space="preserve"> </w:t>
      </w:r>
      <w:r w:rsidRPr="00CB4C8F">
        <w:rPr>
          <w:sz w:val="20"/>
          <w:szCs w:val="20"/>
          <w:lang w:val="en-GB"/>
        </w:rPr>
        <w:t>ed</w:t>
      </w:r>
      <w:r w:rsidR="00CE2C91">
        <w:rPr>
          <w:sz w:val="20"/>
          <w:szCs w:val="20"/>
          <w:lang w:val="en-GB"/>
        </w:rPr>
        <w:t>.</w:t>
      </w:r>
      <w:r w:rsidRPr="00CB4C8F">
        <w:rPr>
          <w:sz w:val="20"/>
          <w:szCs w:val="20"/>
          <w:lang w:val="en-GB"/>
        </w:rPr>
        <w:t xml:space="preserve"> Kate Darian-Smith, Richard Gillespie, Caroline Jordan, and Elizabeth Willis (Melbourne: Monash University </w:t>
      </w:r>
      <w:r w:rsidRPr="00CB4C8F">
        <w:rPr>
          <w:sz w:val="20"/>
          <w:szCs w:val="20"/>
          <w:lang w:val="en-GB"/>
        </w:rPr>
        <w:t xml:space="preserve">ePress), n.p., </w:t>
      </w:r>
      <w:r w:rsidRPr="00CB4C8F">
        <w:rPr>
          <w:rStyle w:val="Strong"/>
          <w:b w:val="0"/>
          <w:bCs w:val="0"/>
          <w:color w:val="000000"/>
          <w:sz w:val="20"/>
          <w:szCs w:val="20"/>
          <w:shd w:val="clear" w:color="auto" w:fill="FFFFFF"/>
        </w:rPr>
        <w:t>&lt;</w:t>
      </w:r>
      <w:hyperlink r:id="rId49" w:history="1">
        <w:r w:rsidRPr="00CB4C8F">
          <w:rPr>
            <w:rStyle w:val="Hyperlink"/>
            <w:sz w:val="20"/>
            <w:szCs w:val="20"/>
          </w:rPr>
          <w:t>http://books.publishing.monash.edu/apps/bookworm/view/SEIZE+THE+DAY/123/xhtml/chapter1.html</w:t>
        </w:r>
      </w:hyperlink>
      <w:r w:rsidRPr="00CB4C8F">
        <w:rPr>
          <w:sz w:val="20"/>
          <w:szCs w:val="20"/>
        </w:rPr>
        <w:t>&gt;</w:t>
      </w:r>
    </w:p>
  </w:endnote>
  <w:endnote w:id="91">
    <w:p w14:paraId="5FD61A87" w14:textId="7B77B19A" w:rsidR="001B5F18" w:rsidRPr="00CB4C8F" w:rsidRDefault="001B5F18" w:rsidP="00B71DF4">
      <w:pPr>
        <w:pStyle w:val="EndnoteText"/>
        <w:jc w:val="both"/>
        <w:rPr>
          <w:rFonts w:ascii="Times New Roman" w:hAnsi="Times New Roman" w:cs="Times New Roman"/>
          <w:lang w:val="en-GB"/>
        </w:rPr>
      </w:pPr>
      <w:r w:rsidRPr="00CB4C8F">
        <w:rPr>
          <w:rStyle w:val="EndnoteReference"/>
          <w:rFonts w:ascii="Times New Roman" w:hAnsi="Times New Roman" w:cs="Times New Roman"/>
        </w:rPr>
        <w:endnoteRef/>
      </w:r>
      <w:r w:rsidRPr="00CB4C8F">
        <w:rPr>
          <w:rFonts w:ascii="Times New Roman" w:hAnsi="Times New Roman" w:cs="Times New Roman"/>
        </w:rPr>
        <w:t xml:space="preserve"> “Anatomical Specimens: Human Skulls”, </w:t>
      </w:r>
      <w:r w:rsidRPr="00CB4C8F">
        <w:rPr>
          <w:rFonts w:ascii="Times New Roman" w:hAnsi="Times New Roman" w:cs="Times New Roman"/>
          <w:i/>
          <w:iCs/>
        </w:rPr>
        <w:t>Beechworth Catalogue</w:t>
      </w:r>
      <w:r w:rsidRPr="00CB4C8F">
        <w:rPr>
          <w:rFonts w:ascii="Times New Roman" w:hAnsi="Times New Roman" w:cs="Times New Roman"/>
        </w:rPr>
        <w:t xml:space="preserve"> 1877, 394; “</w:t>
      </w:r>
      <w:r w:rsidRPr="00CB4C8F">
        <w:rPr>
          <w:rFonts w:ascii="Times New Roman" w:hAnsi="Times New Roman" w:cs="Times New Roman"/>
          <w:lang w:val="en-GB"/>
        </w:rPr>
        <w:t>Inventory and Description of Skull”, undated ephemera, Beechworth Athenaeum Archives, Beechworth Athenaeum and Burke Museum.</w:t>
      </w:r>
    </w:p>
  </w:endnote>
  <w:endnote w:id="92">
    <w:p w14:paraId="7CD78155" w14:textId="3E593C13"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Cited in Griffiths, </w:t>
      </w:r>
      <w:r w:rsidRPr="00CB4C8F">
        <w:rPr>
          <w:rFonts w:ascii="Times New Roman" w:hAnsi="Times New Roman" w:cs="Times New Roman"/>
          <w:i/>
          <w:iCs/>
          <w:lang w:val="en-GB"/>
        </w:rPr>
        <w:t>Hunters and Collectors</w:t>
      </w:r>
      <w:r w:rsidRPr="00CB4C8F">
        <w:rPr>
          <w:rFonts w:ascii="Times New Roman" w:hAnsi="Times New Roman" w:cs="Times New Roman"/>
          <w:lang w:val="en-GB"/>
        </w:rPr>
        <w:t>,</w:t>
      </w:r>
      <w:r w:rsidR="003F2BB6">
        <w:rPr>
          <w:rFonts w:ascii="Times New Roman" w:hAnsi="Times New Roman" w:cs="Times New Roman"/>
          <w:lang w:val="en-GB"/>
        </w:rPr>
        <w:t xml:space="preserve"> </w:t>
      </w:r>
      <w:r w:rsidRPr="00CB4C8F">
        <w:rPr>
          <w:rFonts w:ascii="Times New Roman" w:hAnsi="Times New Roman" w:cs="Times New Roman"/>
          <w:lang w:val="en-GB"/>
        </w:rPr>
        <w:t>28.</w:t>
      </w:r>
    </w:p>
  </w:endnote>
  <w:endnote w:id="93">
    <w:p w14:paraId="66736F3E" w14:textId="0FCC92B1" w:rsidR="003530E0" w:rsidRPr="003530E0" w:rsidRDefault="003530E0">
      <w:pPr>
        <w:pStyle w:val="EndnoteText"/>
        <w:rPr>
          <w:rFonts w:ascii="Times New Roman" w:hAnsi="Times New Roman" w:cs="Times New Roman"/>
          <w:lang w:val="en-GB"/>
        </w:rPr>
      </w:pPr>
      <w:r w:rsidRPr="003530E0">
        <w:rPr>
          <w:rStyle w:val="EndnoteReference"/>
          <w:rFonts w:ascii="Times New Roman" w:hAnsi="Times New Roman" w:cs="Times New Roman"/>
        </w:rPr>
        <w:endnoteRef/>
      </w:r>
      <w:r w:rsidRPr="003530E0">
        <w:rPr>
          <w:rFonts w:ascii="Times New Roman" w:hAnsi="Times New Roman" w:cs="Times New Roman"/>
        </w:rPr>
        <w:t xml:space="preserve"> </w:t>
      </w:r>
      <w:r w:rsidRPr="003530E0">
        <w:rPr>
          <w:rFonts w:ascii="Times New Roman" w:hAnsi="Times New Roman" w:cs="Times New Roman"/>
          <w:lang w:val="en-GB"/>
        </w:rPr>
        <w:t>Ben Nielsen</w:t>
      </w:r>
      <w:r>
        <w:rPr>
          <w:rFonts w:ascii="Times New Roman" w:hAnsi="Times New Roman" w:cs="Times New Roman"/>
          <w:lang w:val="en-GB"/>
        </w:rPr>
        <w:t xml:space="preserve">, ‘Indigenous artefacts held at Burke Museum set to be returned to traditional owners’, </w:t>
      </w:r>
      <w:r>
        <w:rPr>
          <w:rFonts w:ascii="Times New Roman" w:hAnsi="Times New Roman" w:cs="Times New Roman"/>
          <w:i/>
          <w:iCs/>
          <w:lang w:val="en-GB"/>
        </w:rPr>
        <w:t>ABC News</w:t>
      </w:r>
      <w:r>
        <w:rPr>
          <w:rFonts w:ascii="Times New Roman" w:hAnsi="Times New Roman" w:cs="Times New Roman"/>
          <w:lang w:val="en-GB"/>
        </w:rPr>
        <w:t>, 17 May 2018, &lt;</w:t>
      </w:r>
      <w:r w:rsidRPr="003530E0">
        <w:rPr>
          <w:rFonts w:ascii="Times New Roman" w:hAnsi="Times New Roman" w:cs="Times New Roman"/>
          <w:lang w:val="en-GB"/>
        </w:rPr>
        <w:t>https://www.abc.net.au/news/2018-05-17/indigenous-artefacts-held-at-burke-museum-set-to-be-returned/9771456</w:t>
      </w:r>
      <w:r>
        <w:rPr>
          <w:rFonts w:ascii="Times New Roman" w:hAnsi="Times New Roman" w:cs="Times New Roman"/>
          <w:lang w:val="en-GB"/>
        </w:rPr>
        <w:t>&gt;.</w:t>
      </w:r>
    </w:p>
  </w:endnote>
  <w:endnote w:id="94">
    <w:p w14:paraId="041E63AA" w14:textId="108ACB62" w:rsidR="001B5F18" w:rsidRPr="00CB4C8F" w:rsidRDefault="001B5F18" w:rsidP="00EF4FFF">
      <w:pPr>
        <w:pStyle w:val="EndnoteText"/>
        <w:rPr>
          <w:rFonts w:ascii="Times New Roman" w:hAnsi="Times New Roman" w:cs="Times New Roman"/>
          <w:lang w:val="en-GB"/>
        </w:rPr>
      </w:pPr>
      <w:r w:rsidRPr="00CB4C8F">
        <w:rPr>
          <w:rStyle w:val="EndnoteReference"/>
          <w:rFonts w:ascii="Times New Roman" w:hAnsi="Times New Roman" w:cs="Times New Roman"/>
          <w:lang w:val="en-GB"/>
        </w:rPr>
        <w:endnoteRef/>
      </w:r>
      <w:r w:rsidRPr="00CB4C8F">
        <w:rPr>
          <w:rFonts w:ascii="Times New Roman" w:hAnsi="Times New Roman" w:cs="Times New Roman"/>
          <w:lang w:val="en-GB"/>
        </w:rPr>
        <w:t xml:space="preserve"> P</w:t>
      </w:r>
      <w:r w:rsidR="00E647BF">
        <w:rPr>
          <w:rFonts w:ascii="Times New Roman" w:hAnsi="Times New Roman" w:cs="Times New Roman"/>
          <w:lang w:val="en-GB"/>
        </w:rPr>
        <w:t>ersonal</w:t>
      </w:r>
      <w:r w:rsidRPr="00CB4C8F">
        <w:rPr>
          <w:rFonts w:ascii="Times New Roman" w:hAnsi="Times New Roman" w:cs="Times New Roman"/>
          <w:lang w:val="en-GB"/>
        </w:rPr>
        <w:t xml:space="preserve"> </w:t>
      </w:r>
      <w:r w:rsidR="007823FE">
        <w:rPr>
          <w:rFonts w:ascii="Times New Roman" w:hAnsi="Times New Roman" w:cs="Times New Roman"/>
          <w:lang w:val="en-GB"/>
        </w:rPr>
        <w:t xml:space="preserve">email </w:t>
      </w:r>
      <w:r w:rsidRPr="00CB4C8F">
        <w:rPr>
          <w:rFonts w:ascii="Times New Roman" w:hAnsi="Times New Roman" w:cs="Times New Roman"/>
          <w:lang w:val="en-GB"/>
        </w:rPr>
        <w:t xml:space="preserve">correspondence with Ashleigh </w:t>
      </w:r>
      <w:r w:rsidRPr="00CB4C8F">
        <w:rPr>
          <w:rFonts w:ascii="Times New Roman" w:hAnsi="Times New Roman" w:cs="Times New Roman"/>
          <w:lang w:val="en-GB"/>
        </w:rPr>
        <w:t>Giffney, 31 January 2020.</w:t>
      </w:r>
    </w:p>
  </w:endnote>
  <w:endnote w:id="95">
    <w:p w14:paraId="28E540AD" w14:textId="66FB017A" w:rsidR="007755A5" w:rsidRPr="00111101" w:rsidRDefault="007755A5" w:rsidP="00111101">
      <w:pPr>
        <w:jc w:val="both"/>
        <w:rPr>
          <w:sz w:val="20"/>
          <w:szCs w:val="20"/>
        </w:rPr>
      </w:pPr>
      <w:r w:rsidRPr="00111101">
        <w:rPr>
          <w:rStyle w:val="EndnoteReference"/>
          <w:sz w:val="20"/>
          <w:szCs w:val="20"/>
        </w:rPr>
        <w:endnoteRef/>
      </w:r>
      <w:r w:rsidR="00111101" w:rsidRPr="00111101">
        <w:rPr>
          <w:sz w:val="20"/>
          <w:szCs w:val="20"/>
        </w:rPr>
        <w:t xml:space="preserve"> For a study of the “webs of social relations” surrounding object collections see, e.g., Sandra Dudley, Amy Jane Barnes, Jennifer Binnie, Julia Petrov, and Jennifer </w:t>
      </w:r>
      <w:r w:rsidR="00111101" w:rsidRPr="00111101">
        <w:rPr>
          <w:sz w:val="20"/>
          <w:szCs w:val="20"/>
        </w:rPr>
        <w:t>Walklate</w:t>
      </w:r>
      <w:r w:rsidR="004E345F">
        <w:rPr>
          <w:sz w:val="20"/>
          <w:szCs w:val="20"/>
        </w:rPr>
        <w:t>,</w:t>
      </w:r>
      <w:r w:rsidR="00111101">
        <w:rPr>
          <w:sz w:val="20"/>
          <w:szCs w:val="20"/>
        </w:rPr>
        <w:t xml:space="preserve"> eds</w:t>
      </w:r>
      <w:r w:rsidR="004E345F">
        <w:rPr>
          <w:sz w:val="20"/>
          <w:szCs w:val="20"/>
        </w:rPr>
        <w:t>.</w:t>
      </w:r>
      <w:r w:rsidR="00111101">
        <w:rPr>
          <w:sz w:val="20"/>
          <w:szCs w:val="20"/>
        </w:rPr>
        <w:t xml:space="preserve">, </w:t>
      </w:r>
      <w:r w:rsidR="00111101">
        <w:rPr>
          <w:i/>
          <w:iCs/>
          <w:sz w:val="20"/>
          <w:szCs w:val="20"/>
        </w:rPr>
        <w:t>Narrating Objects, Collecting Stories</w:t>
      </w:r>
      <w:r w:rsidR="00111101">
        <w:rPr>
          <w:sz w:val="20"/>
          <w:szCs w:val="20"/>
        </w:rPr>
        <w:t xml:space="preserve"> (London and New York: Routledge, 2012).</w:t>
      </w:r>
      <w:r w:rsidR="00111101" w:rsidRPr="00111101">
        <w:rPr>
          <w:sz w:val="20"/>
          <w:szCs w:val="20"/>
        </w:rPr>
        <w:t xml:space="preserve"> </w:t>
      </w:r>
      <w:r w:rsidRPr="00111101">
        <w:rPr>
          <w:sz w:val="20"/>
          <w:szCs w:val="20"/>
        </w:rPr>
        <w:t>For the significance of transnational imperial networks to colonial history see, e.g.,</w:t>
      </w:r>
      <w:r w:rsidR="00FD606F">
        <w:rPr>
          <w:sz w:val="20"/>
          <w:szCs w:val="20"/>
        </w:rPr>
        <w:t xml:space="preserve"> </w:t>
      </w:r>
      <w:r w:rsidRPr="00111101">
        <w:rPr>
          <w:sz w:val="20"/>
          <w:szCs w:val="20"/>
        </w:rPr>
        <w:t xml:space="preserve">Tony Ballantyne, “Entanglements and Disentanglements: Thinking Historiographically about Britain, Empire, and Europe in the Context of Brexit”, </w:t>
      </w:r>
      <w:r w:rsidRPr="00111101">
        <w:rPr>
          <w:i/>
          <w:iCs/>
          <w:sz w:val="20"/>
          <w:szCs w:val="20"/>
        </w:rPr>
        <w:t>Australian Journal of Politics and History</w:t>
      </w:r>
      <w:r w:rsidRPr="00111101">
        <w:rPr>
          <w:sz w:val="20"/>
          <w:szCs w:val="20"/>
        </w:rPr>
        <w:t xml:space="preserve"> 64, no. 3 (2018), 378–90; </w:t>
      </w:r>
      <w:r w:rsidRPr="00111101">
        <w:rPr>
          <w:i/>
          <w:iCs/>
          <w:sz w:val="20"/>
          <w:szCs w:val="20"/>
        </w:rPr>
        <w:t>Webs of Empire: Locating New Zealand’s Colonial Past</w:t>
      </w:r>
      <w:r w:rsidRPr="00111101">
        <w:rPr>
          <w:sz w:val="20"/>
          <w:szCs w:val="20"/>
        </w:rPr>
        <w:t xml:space="preserve"> (Vancouver: </w:t>
      </w:r>
      <w:r w:rsidR="009E1B63" w:rsidRPr="00111101">
        <w:rPr>
          <w:sz w:val="20"/>
          <w:szCs w:val="20"/>
        </w:rPr>
        <w:t>UBC Press, 2012).</w:t>
      </w:r>
      <w:r w:rsidR="008A7E38" w:rsidRPr="00111101">
        <w:rPr>
          <w:sz w:val="20"/>
          <w:szCs w:val="20"/>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panose1 w:val="00000000000000000000"/>
    <w:charset w:val="00"/>
    <w:family w:val="auto"/>
    <w:pitch w:val="variable"/>
    <w:sig w:usb0="00000003" w:usb1="00000000" w:usb2="00000000" w:usb3="00000000" w:csb0="00000003" w:csb1="00000000"/>
  </w:font>
  <w:font w:name="Default Font">
    <w:altName w:val="Cambria"/>
    <w:panose1 w:val="020B06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61485381"/>
      <w:docPartObj>
        <w:docPartGallery w:val="Page Numbers (Bottom of Page)"/>
        <w:docPartUnique/>
      </w:docPartObj>
    </w:sdtPr>
    <w:sdtContent>
      <w:p w14:paraId="7DE10BAF" w14:textId="79E7C517" w:rsidR="001B5F18" w:rsidRDefault="001B5F18" w:rsidP="001B5F1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A38BE15" w14:textId="77777777" w:rsidR="001B5F18" w:rsidRDefault="001B5F18" w:rsidP="00B3078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17856670"/>
      <w:docPartObj>
        <w:docPartGallery w:val="Page Numbers (Bottom of Page)"/>
        <w:docPartUnique/>
      </w:docPartObj>
    </w:sdtPr>
    <w:sdtContent>
      <w:p w14:paraId="032E1C2E" w14:textId="092E57B1" w:rsidR="001B5F18" w:rsidRDefault="001B5F18" w:rsidP="001B5F1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E5021D1" w14:textId="77777777" w:rsidR="001B5F18" w:rsidRDefault="001B5F18" w:rsidP="00B3078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CC6D0" w14:textId="77777777" w:rsidR="00BD0C10" w:rsidRDefault="00BD0C10" w:rsidP="00A04D28">
      <w:r>
        <w:separator/>
      </w:r>
    </w:p>
  </w:footnote>
  <w:footnote w:type="continuationSeparator" w:id="0">
    <w:p w14:paraId="456724B6" w14:textId="77777777" w:rsidR="00BD0C10" w:rsidRDefault="00BD0C10" w:rsidP="00A04D2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A49"/>
    <w:rsid w:val="00004E57"/>
    <w:rsid w:val="00005C84"/>
    <w:rsid w:val="00005D7C"/>
    <w:rsid w:val="00007C7B"/>
    <w:rsid w:val="00011235"/>
    <w:rsid w:val="00011C45"/>
    <w:rsid w:val="00013159"/>
    <w:rsid w:val="000233D1"/>
    <w:rsid w:val="00026D78"/>
    <w:rsid w:val="00035773"/>
    <w:rsid w:val="00060142"/>
    <w:rsid w:val="00070FF4"/>
    <w:rsid w:val="00076949"/>
    <w:rsid w:val="000A2B05"/>
    <w:rsid w:val="000B1298"/>
    <w:rsid w:val="000B5E5D"/>
    <w:rsid w:val="000C0CB6"/>
    <w:rsid w:val="000C188B"/>
    <w:rsid w:val="000C1A55"/>
    <w:rsid w:val="000C5919"/>
    <w:rsid w:val="000C5C74"/>
    <w:rsid w:val="000D24A9"/>
    <w:rsid w:val="000D4402"/>
    <w:rsid w:val="000D5DC0"/>
    <w:rsid w:val="000E00C1"/>
    <w:rsid w:val="000E2355"/>
    <w:rsid w:val="000E3C1F"/>
    <w:rsid w:val="000E471A"/>
    <w:rsid w:val="000F01A2"/>
    <w:rsid w:val="000F187A"/>
    <w:rsid w:val="000F4A64"/>
    <w:rsid w:val="000F555A"/>
    <w:rsid w:val="001021F2"/>
    <w:rsid w:val="0010333E"/>
    <w:rsid w:val="00105AEB"/>
    <w:rsid w:val="001061CF"/>
    <w:rsid w:val="00106BA5"/>
    <w:rsid w:val="001070AE"/>
    <w:rsid w:val="001076B7"/>
    <w:rsid w:val="00111101"/>
    <w:rsid w:val="001130DC"/>
    <w:rsid w:val="001217FB"/>
    <w:rsid w:val="0012244B"/>
    <w:rsid w:val="00123A25"/>
    <w:rsid w:val="001247B7"/>
    <w:rsid w:val="001311B0"/>
    <w:rsid w:val="00134548"/>
    <w:rsid w:val="00145307"/>
    <w:rsid w:val="00150C39"/>
    <w:rsid w:val="001628E5"/>
    <w:rsid w:val="00164554"/>
    <w:rsid w:val="0017488F"/>
    <w:rsid w:val="0018031D"/>
    <w:rsid w:val="0018447B"/>
    <w:rsid w:val="001873B0"/>
    <w:rsid w:val="00192C8F"/>
    <w:rsid w:val="00197CA2"/>
    <w:rsid w:val="001A02A9"/>
    <w:rsid w:val="001A3321"/>
    <w:rsid w:val="001A461A"/>
    <w:rsid w:val="001B350C"/>
    <w:rsid w:val="001B5541"/>
    <w:rsid w:val="001B5F18"/>
    <w:rsid w:val="001B6215"/>
    <w:rsid w:val="001D00C5"/>
    <w:rsid w:val="001D2C50"/>
    <w:rsid w:val="001D4BEE"/>
    <w:rsid w:val="001D73E0"/>
    <w:rsid w:val="00201C6B"/>
    <w:rsid w:val="00210A17"/>
    <w:rsid w:val="00214EC1"/>
    <w:rsid w:val="00216012"/>
    <w:rsid w:val="002160F9"/>
    <w:rsid w:val="002341B9"/>
    <w:rsid w:val="0023712E"/>
    <w:rsid w:val="00237EF3"/>
    <w:rsid w:val="00244633"/>
    <w:rsid w:val="00244935"/>
    <w:rsid w:val="0024544B"/>
    <w:rsid w:val="00265539"/>
    <w:rsid w:val="0027498C"/>
    <w:rsid w:val="0027658F"/>
    <w:rsid w:val="002865E3"/>
    <w:rsid w:val="002956DF"/>
    <w:rsid w:val="00296B52"/>
    <w:rsid w:val="002A2DDB"/>
    <w:rsid w:val="002B05E8"/>
    <w:rsid w:val="002C48B9"/>
    <w:rsid w:val="002C4AD6"/>
    <w:rsid w:val="002D62FD"/>
    <w:rsid w:val="002E0587"/>
    <w:rsid w:val="002E2855"/>
    <w:rsid w:val="002E51E2"/>
    <w:rsid w:val="002E6757"/>
    <w:rsid w:val="002E77E7"/>
    <w:rsid w:val="002E77F7"/>
    <w:rsid w:val="002E7E52"/>
    <w:rsid w:val="002F2B4A"/>
    <w:rsid w:val="002F5AF6"/>
    <w:rsid w:val="00313978"/>
    <w:rsid w:val="003160EC"/>
    <w:rsid w:val="00333844"/>
    <w:rsid w:val="003519ED"/>
    <w:rsid w:val="003530E0"/>
    <w:rsid w:val="00353FA2"/>
    <w:rsid w:val="00354356"/>
    <w:rsid w:val="00374142"/>
    <w:rsid w:val="00375F5D"/>
    <w:rsid w:val="0039050B"/>
    <w:rsid w:val="003945B4"/>
    <w:rsid w:val="0039479A"/>
    <w:rsid w:val="003A0C08"/>
    <w:rsid w:val="003A0D4B"/>
    <w:rsid w:val="003B0C6C"/>
    <w:rsid w:val="003C43FD"/>
    <w:rsid w:val="003D0CC5"/>
    <w:rsid w:val="003D38E9"/>
    <w:rsid w:val="003E545F"/>
    <w:rsid w:val="003F275D"/>
    <w:rsid w:val="003F2BB6"/>
    <w:rsid w:val="00403A63"/>
    <w:rsid w:val="00406193"/>
    <w:rsid w:val="00416656"/>
    <w:rsid w:val="0042639B"/>
    <w:rsid w:val="00430B61"/>
    <w:rsid w:val="00434705"/>
    <w:rsid w:val="0043481D"/>
    <w:rsid w:val="00440934"/>
    <w:rsid w:val="00445DAC"/>
    <w:rsid w:val="00447165"/>
    <w:rsid w:val="00455D0F"/>
    <w:rsid w:val="00464632"/>
    <w:rsid w:val="0046785C"/>
    <w:rsid w:val="00493BF3"/>
    <w:rsid w:val="004954B3"/>
    <w:rsid w:val="004A0463"/>
    <w:rsid w:val="004A4267"/>
    <w:rsid w:val="004C0676"/>
    <w:rsid w:val="004C4988"/>
    <w:rsid w:val="004C50CA"/>
    <w:rsid w:val="004D03C0"/>
    <w:rsid w:val="004D47E1"/>
    <w:rsid w:val="004E1C82"/>
    <w:rsid w:val="004E2E9D"/>
    <w:rsid w:val="004E345F"/>
    <w:rsid w:val="004E366F"/>
    <w:rsid w:val="004E3E38"/>
    <w:rsid w:val="004E42C1"/>
    <w:rsid w:val="004E496A"/>
    <w:rsid w:val="004E554E"/>
    <w:rsid w:val="004E55EE"/>
    <w:rsid w:val="004E72FA"/>
    <w:rsid w:val="004E7CDB"/>
    <w:rsid w:val="004F0178"/>
    <w:rsid w:val="004F0BA2"/>
    <w:rsid w:val="004F4FCF"/>
    <w:rsid w:val="004F513A"/>
    <w:rsid w:val="004F6ED2"/>
    <w:rsid w:val="0050210F"/>
    <w:rsid w:val="00503FC1"/>
    <w:rsid w:val="00506E51"/>
    <w:rsid w:val="00541E34"/>
    <w:rsid w:val="005427B3"/>
    <w:rsid w:val="005538E0"/>
    <w:rsid w:val="00557096"/>
    <w:rsid w:val="00565305"/>
    <w:rsid w:val="005673F6"/>
    <w:rsid w:val="005705F1"/>
    <w:rsid w:val="005722A3"/>
    <w:rsid w:val="00573C29"/>
    <w:rsid w:val="00576544"/>
    <w:rsid w:val="00584DA5"/>
    <w:rsid w:val="00585E73"/>
    <w:rsid w:val="00596EAE"/>
    <w:rsid w:val="005B5DF9"/>
    <w:rsid w:val="005B6825"/>
    <w:rsid w:val="005C7E31"/>
    <w:rsid w:val="005D39BA"/>
    <w:rsid w:val="005F0036"/>
    <w:rsid w:val="005F25C5"/>
    <w:rsid w:val="005F2A6E"/>
    <w:rsid w:val="0060270A"/>
    <w:rsid w:val="00611050"/>
    <w:rsid w:val="00611B61"/>
    <w:rsid w:val="00627FBC"/>
    <w:rsid w:val="00632576"/>
    <w:rsid w:val="00633748"/>
    <w:rsid w:val="006479D9"/>
    <w:rsid w:val="0065261D"/>
    <w:rsid w:val="00652DEA"/>
    <w:rsid w:val="006628E4"/>
    <w:rsid w:val="00686301"/>
    <w:rsid w:val="00690681"/>
    <w:rsid w:val="006A2C25"/>
    <w:rsid w:val="006B34A4"/>
    <w:rsid w:val="006C597E"/>
    <w:rsid w:val="006D056F"/>
    <w:rsid w:val="006D1150"/>
    <w:rsid w:val="006D3E2C"/>
    <w:rsid w:val="006D41CB"/>
    <w:rsid w:val="006D5452"/>
    <w:rsid w:val="006D6713"/>
    <w:rsid w:val="006E07BE"/>
    <w:rsid w:val="006F6E1C"/>
    <w:rsid w:val="007014C0"/>
    <w:rsid w:val="007047FB"/>
    <w:rsid w:val="0070787A"/>
    <w:rsid w:val="00716186"/>
    <w:rsid w:val="00727947"/>
    <w:rsid w:val="00732941"/>
    <w:rsid w:val="00734741"/>
    <w:rsid w:val="00736373"/>
    <w:rsid w:val="00752010"/>
    <w:rsid w:val="00754823"/>
    <w:rsid w:val="0075703C"/>
    <w:rsid w:val="007652AC"/>
    <w:rsid w:val="007668B8"/>
    <w:rsid w:val="007705EC"/>
    <w:rsid w:val="007726DB"/>
    <w:rsid w:val="007755A5"/>
    <w:rsid w:val="00776337"/>
    <w:rsid w:val="007823FE"/>
    <w:rsid w:val="00786BC6"/>
    <w:rsid w:val="00796AAD"/>
    <w:rsid w:val="007B6FC0"/>
    <w:rsid w:val="007C40A7"/>
    <w:rsid w:val="007D28CF"/>
    <w:rsid w:val="007E09A4"/>
    <w:rsid w:val="007E6A60"/>
    <w:rsid w:val="007F2179"/>
    <w:rsid w:val="007F2B73"/>
    <w:rsid w:val="007F3245"/>
    <w:rsid w:val="007F3CF3"/>
    <w:rsid w:val="007F45B4"/>
    <w:rsid w:val="00800965"/>
    <w:rsid w:val="008037FA"/>
    <w:rsid w:val="0080435B"/>
    <w:rsid w:val="00806438"/>
    <w:rsid w:val="00811D56"/>
    <w:rsid w:val="00811FDA"/>
    <w:rsid w:val="0083187C"/>
    <w:rsid w:val="00837410"/>
    <w:rsid w:val="008551FE"/>
    <w:rsid w:val="00862DE2"/>
    <w:rsid w:val="008720E6"/>
    <w:rsid w:val="00875D7A"/>
    <w:rsid w:val="0087787C"/>
    <w:rsid w:val="00877A44"/>
    <w:rsid w:val="00895C8F"/>
    <w:rsid w:val="008A3AE0"/>
    <w:rsid w:val="008A7E38"/>
    <w:rsid w:val="008B49E2"/>
    <w:rsid w:val="008B6744"/>
    <w:rsid w:val="008C2B6F"/>
    <w:rsid w:val="008C5A10"/>
    <w:rsid w:val="008D4D75"/>
    <w:rsid w:val="008E10D2"/>
    <w:rsid w:val="008E5549"/>
    <w:rsid w:val="008E7AA0"/>
    <w:rsid w:val="008F409D"/>
    <w:rsid w:val="008F4E9D"/>
    <w:rsid w:val="008F6AD7"/>
    <w:rsid w:val="0090087A"/>
    <w:rsid w:val="009012D7"/>
    <w:rsid w:val="0090176B"/>
    <w:rsid w:val="009023EE"/>
    <w:rsid w:val="009029FE"/>
    <w:rsid w:val="00902A49"/>
    <w:rsid w:val="00902CB0"/>
    <w:rsid w:val="00903511"/>
    <w:rsid w:val="00906468"/>
    <w:rsid w:val="00907C4E"/>
    <w:rsid w:val="00911D6B"/>
    <w:rsid w:val="009170C1"/>
    <w:rsid w:val="00917517"/>
    <w:rsid w:val="00935CE2"/>
    <w:rsid w:val="00942B2C"/>
    <w:rsid w:val="00952209"/>
    <w:rsid w:val="00956E16"/>
    <w:rsid w:val="00967BD9"/>
    <w:rsid w:val="00974E3B"/>
    <w:rsid w:val="00992CE7"/>
    <w:rsid w:val="0099595A"/>
    <w:rsid w:val="009A2148"/>
    <w:rsid w:val="009A3161"/>
    <w:rsid w:val="009A6D23"/>
    <w:rsid w:val="009B1366"/>
    <w:rsid w:val="009B2CEC"/>
    <w:rsid w:val="009C1F41"/>
    <w:rsid w:val="009C2CC2"/>
    <w:rsid w:val="009C2ED4"/>
    <w:rsid w:val="009C5744"/>
    <w:rsid w:val="009C727A"/>
    <w:rsid w:val="009C7BDC"/>
    <w:rsid w:val="009D0574"/>
    <w:rsid w:val="009D6877"/>
    <w:rsid w:val="009E0CD3"/>
    <w:rsid w:val="009E1B63"/>
    <w:rsid w:val="009E689A"/>
    <w:rsid w:val="009F0A8D"/>
    <w:rsid w:val="009F0CEA"/>
    <w:rsid w:val="009F5A2D"/>
    <w:rsid w:val="00A0045A"/>
    <w:rsid w:val="00A03495"/>
    <w:rsid w:val="00A04D28"/>
    <w:rsid w:val="00A101BC"/>
    <w:rsid w:val="00A11ADB"/>
    <w:rsid w:val="00A13FFF"/>
    <w:rsid w:val="00A1738D"/>
    <w:rsid w:val="00A24589"/>
    <w:rsid w:val="00A27BED"/>
    <w:rsid w:val="00A310EB"/>
    <w:rsid w:val="00A44663"/>
    <w:rsid w:val="00A50B36"/>
    <w:rsid w:val="00A52568"/>
    <w:rsid w:val="00A52C2B"/>
    <w:rsid w:val="00A54699"/>
    <w:rsid w:val="00A70E1F"/>
    <w:rsid w:val="00A767F5"/>
    <w:rsid w:val="00A81225"/>
    <w:rsid w:val="00A97C80"/>
    <w:rsid w:val="00AA3B46"/>
    <w:rsid w:val="00AA65ED"/>
    <w:rsid w:val="00AB74B7"/>
    <w:rsid w:val="00AC1860"/>
    <w:rsid w:val="00AC4E8E"/>
    <w:rsid w:val="00AC6FED"/>
    <w:rsid w:val="00AC7B8C"/>
    <w:rsid w:val="00AD09F8"/>
    <w:rsid w:val="00AD327B"/>
    <w:rsid w:val="00AD70CA"/>
    <w:rsid w:val="00AE2700"/>
    <w:rsid w:val="00AE35FB"/>
    <w:rsid w:val="00AE753D"/>
    <w:rsid w:val="00AF120C"/>
    <w:rsid w:val="00AF36B2"/>
    <w:rsid w:val="00AF5FEC"/>
    <w:rsid w:val="00AF60C4"/>
    <w:rsid w:val="00B0345B"/>
    <w:rsid w:val="00B0688E"/>
    <w:rsid w:val="00B07C75"/>
    <w:rsid w:val="00B1549B"/>
    <w:rsid w:val="00B24776"/>
    <w:rsid w:val="00B2518C"/>
    <w:rsid w:val="00B3078D"/>
    <w:rsid w:val="00B32BAA"/>
    <w:rsid w:val="00B46F37"/>
    <w:rsid w:val="00B53405"/>
    <w:rsid w:val="00B53E7A"/>
    <w:rsid w:val="00B57063"/>
    <w:rsid w:val="00B60008"/>
    <w:rsid w:val="00B633CD"/>
    <w:rsid w:val="00B66C39"/>
    <w:rsid w:val="00B7088D"/>
    <w:rsid w:val="00B71DF4"/>
    <w:rsid w:val="00B820F0"/>
    <w:rsid w:val="00B86E17"/>
    <w:rsid w:val="00B92C54"/>
    <w:rsid w:val="00B96580"/>
    <w:rsid w:val="00BA289A"/>
    <w:rsid w:val="00BB1EC8"/>
    <w:rsid w:val="00BB3D35"/>
    <w:rsid w:val="00BC00F6"/>
    <w:rsid w:val="00BC55DE"/>
    <w:rsid w:val="00BC6DE6"/>
    <w:rsid w:val="00BD0C10"/>
    <w:rsid w:val="00BE59BB"/>
    <w:rsid w:val="00BE61CB"/>
    <w:rsid w:val="00C05DE6"/>
    <w:rsid w:val="00C243CA"/>
    <w:rsid w:val="00C2602B"/>
    <w:rsid w:val="00C27E5B"/>
    <w:rsid w:val="00C31D74"/>
    <w:rsid w:val="00C4256B"/>
    <w:rsid w:val="00C42A73"/>
    <w:rsid w:val="00C42CAC"/>
    <w:rsid w:val="00C57B5C"/>
    <w:rsid w:val="00C80D89"/>
    <w:rsid w:val="00C81501"/>
    <w:rsid w:val="00C871EC"/>
    <w:rsid w:val="00C902A0"/>
    <w:rsid w:val="00C90C09"/>
    <w:rsid w:val="00C91596"/>
    <w:rsid w:val="00C94597"/>
    <w:rsid w:val="00CA4958"/>
    <w:rsid w:val="00CA7D0F"/>
    <w:rsid w:val="00CB0AB1"/>
    <w:rsid w:val="00CB1BC9"/>
    <w:rsid w:val="00CB4C8F"/>
    <w:rsid w:val="00CB7F7D"/>
    <w:rsid w:val="00CC00A2"/>
    <w:rsid w:val="00CC2436"/>
    <w:rsid w:val="00CC6360"/>
    <w:rsid w:val="00CD1CA0"/>
    <w:rsid w:val="00CD69B0"/>
    <w:rsid w:val="00CE1BFB"/>
    <w:rsid w:val="00CE2C91"/>
    <w:rsid w:val="00CF0A15"/>
    <w:rsid w:val="00CF4AD3"/>
    <w:rsid w:val="00CF66FA"/>
    <w:rsid w:val="00CF773D"/>
    <w:rsid w:val="00D057FC"/>
    <w:rsid w:val="00D07421"/>
    <w:rsid w:val="00D07478"/>
    <w:rsid w:val="00D22392"/>
    <w:rsid w:val="00D2705A"/>
    <w:rsid w:val="00D34499"/>
    <w:rsid w:val="00D5196C"/>
    <w:rsid w:val="00D70FE9"/>
    <w:rsid w:val="00D757B6"/>
    <w:rsid w:val="00D76B74"/>
    <w:rsid w:val="00D80A9B"/>
    <w:rsid w:val="00D84BEF"/>
    <w:rsid w:val="00D84E76"/>
    <w:rsid w:val="00D8679D"/>
    <w:rsid w:val="00D87330"/>
    <w:rsid w:val="00D93DB7"/>
    <w:rsid w:val="00D96318"/>
    <w:rsid w:val="00D96578"/>
    <w:rsid w:val="00DA116B"/>
    <w:rsid w:val="00DA2CA6"/>
    <w:rsid w:val="00DB090D"/>
    <w:rsid w:val="00DB2145"/>
    <w:rsid w:val="00DC752D"/>
    <w:rsid w:val="00DD07C2"/>
    <w:rsid w:val="00DD50EB"/>
    <w:rsid w:val="00DD6102"/>
    <w:rsid w:val="00DE21A7"/>
    <w:rsid w:val="00DE3B29"/>
    <w:rsid w:val="00E16408"/>
    <w:rsid w:val="00E20F97"/>
    <w:rsid w:val="00E25F56"/>
    <w:rsid w:val="00E265AB"/>
    <w:rsid w:val="00E3422D"/>
    <w:rsid w:val="00E37EB9"/>
    <w:rsid w:val="00E40FFE"/>
    <w:rsid w:val="00E4370E"/>
    <w:rsid w:val="00E56D95"/>
    <w:rsid w:val="00E61E54"/>
    <w:rsid w:val="00E62B70"/>
    <w:rsid w:val="00E62DFE"/>
    <w:rsid w:val="00E647BF"/>
    <w:rsid w:val="00E71E5B"/>
    <w:rsid w:val="00E838E6"/>
    <w:rsid w:val="00E94143"/>
    <w:rsid w:val="00E951F9"/>
    <w:rsid w:val="00EB0F63"/>
    <w:rsid w:val="00EC3FD7"/>
    <w:rsid w:val="00EC5748"/>
    <w:rsid w:val="00EC7A52"/>
    <w:rsid w:val="00ED0170"/>
    <w:rsid w:val="00ED5E9C"/>
    <w:rsid w:val="00EE18B7"/>
    <w:rsid w:val="00EE646F"/>
    <w:rsid w:val="00EF123E"/>
    <w:rsid w:val="00EF3E39"/>
    <w:rsid w:val="00EF4FFF"/>
    <w:rsid w:val="00EF6C96"/>
    <w:rsid w:val="00EF78DC"/>
    <w:rsid w:val="00F00F20"/>
    <w:rsid w:val="00F01FCB"/>
    <w:rsid w:val="00F05CE5"/>
    <w:rsid w:val="00F1166C"/>
    <w:rsid w:val="00F14436"/>
    <w:rsid w:val="00F15E3D"/>
    <w:rsid w:val="00F16254"/>
    <w:rsid w:val="00F24CEC"/>
    <w:rsid w:val="00F26F50"/>
    <w:rsid w:val="00F27B83"/>
    <w:rsid w:val="00F655B8"/>
    <w:rsid w:val="00F67973"/>
    <w:rsid w:val="00F73F22"/>
    <w:rsid w:val="00F742D7"/>
    <w:rsid w:val="00F806A5"/>
    <w:rsid w:val="00F82015"/>
    <w:rsid w:val="00F851EE"/>
    <w:rsid w:val="00F860A1"/>
    <w:rsid w:val="00F91AEB"/>
    <w:rsid w:val="00F94A7E"/>
    <w:rsid w:val="00F95356"/>
    <w:rsid w:val="00F9706B"/>
    <w:rsid w:val="00FA5362"/>
    <w:rsid w:val="00FD501C"/>
    <w:rsid w:val="00FD606F"/>
    <w:rsid w:val="00FE17F6"/>
    <w:rsid w:val="00FF6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27914"/>
  <w14:defaultImageDpi w14:val="32767"/>
  <w15:chartTrackingRefBased/>
  <w15:docId w15:val="{764EF798-DBAA-554B-9EB1-A630504C8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B74B7"/>
    <w:rPr>
      <w:rFonts w:ascii="Times New Roman" w:eastAsia="Times New Roman" w:hAnsi="Times New Roman" w:cs="Times New Roman"/>
      <w:lang w:val="en-IE"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04D28"/>
    <w:rPr>
      <w:rFonts w:asciiTheme="minorHAnsi" w:eastAsiaTheme="minorHAnsi" w:hAnsiTheme="minorHAnsi" w:cstheme="minorBidi"/>
      <w:sz w:val="20"/>
      <w:szCs w:val="20"/>
      <w:lang w:val="en-US" w:eastAsia="en-US"/>
    </w:rPr>
  </w:style>
  <w:style w:type="character" w:customStyle="1" w:styleId="FootnoteTextChar">
    <w:name w:val="Footnote Text Char"/>
    <w:basedOn w:val="DefaultParagraphFont"/>
    <w:link w:val="FootnoteText"/>
    <w:uiPriority w:val="99"/>
    <w:rsid w:val="00A04D28"/>
    <w:rPr>
      <w:sz w:val="20"/>
      <w:szCs w:val="20"/>
    </w:rPr>
  </w:style>
  <w:style w:type="character" w:styleId="FootnoteReference">
    <w:name w:val="footnote reference"/>
    <w:basedOn w:val="DefaultParagraphFont"/>
    <w:uiPriority w:val="99"/>
    <w:unhideWhenUsed/>
    <w:rsid w:val="00A04D28"/>
    <w:rPr>
      <w:vertAlign w:val="superscript"/>
    </w:rPr>
  </w:style>
  <w:style w:type="paragraph" w:customStyle="1" w:styleId="p1">
    <w:name w:val="p1"/>
    <w:basedOn w:val="Normal"/>
    <w:rsid w:val="00A04D28"/>
    <w:rPr>
      <w:rFonts w:ascii="Courier" w:eastAsiaTheme="minorHAnsi" w:hAnsi="Courier"/>
      <w:sz w:val="12"/>
      <w:szCs w:val="12"/>
      <w:lang w:val="en-US" w:eastAsia="en-US"/>
    </w:rPr>
  </w:style>
  <w:style w:type="paragraph" w:styleId="BalloonText">
    <w:name w:val="Balloon Text"/>
    <w:basedOn w:val="Normal"/>
    <w:link w:val="BalloonTextChar"/>
    <w:uiPriority w:val="99"/>
    <w:semiHidden/>
    <w:unhideWhenUsed/>
    <w:rsid w:val="004D03C0"/>
    <w:rPr>
      <w:rFonts w:eastAsiaTheme="minorHAnsi"/>
      <w:sz w:val="18"/>
      <w:szCs w:val="18"/>
      <w:lang w:val="en-US" w:eastAsia="en-US"/>
    </w:rPr>
  </w:style>
  <w:style w:type="character" w:customStyle="1" w:styleId="BalloonTextChar">
    <w:name w:val="Balloon Text Char"/>
    <w:basedOn w:val="DefaultParagraphFont"/>
    <w:link w:val="BalloonText"/>
    <w:uiPriority w:val="99"/>
    <w:semiHidden/>
    <w:rsid w:val="004D03C0"/>
    <w:rPr>
      <w:rFonts w:ascii="Times New Roman" w:hAnsi="Times New Roman" w:cs="Times New Roman"/>
      <w:sz w:val="18"/>
      <w:szCs w:val="18"/>
    </w:rPr>
  </w:style>
  <w:style w:type="paragraph" w:styleId="EndnoteText">
    <w:name w:val="endnote text"/>
    <w:basedOn w:val="Normal"/>
    <w:link w:val="EndnoteTextChar"/>
    <w:uiPriority w:val="99"/>
    <w:semiHidden/>
    <w:unhideWhenUsed/>
    <w:rsid w:val="00877A44"/>
    <w:rPr>
      <w:rFonts w:asciiTheme="minorHAnsi" w:eastAsiaTheme="minorHAnsi" w:hAnsiTheme="minorHAnsi" w:cstheme="minorBidi"/>
      <w:sz w:val="20"/>
      <w:szCs w:val="20"/>
      <w:lang w:val="en-US" w:eastAsia="en-US"/>
    </w:rPr>
  </w:style>
  <w:style w:type="character" w:customStyle="1" w:styleId="EndnoteTextChar">
    <w:name w:val="Endnote Text Char"/>
    <w:basedOn w:val="DefaultParagraphFont"/>
    <w:link w:val="EndnoteText"/>
    <w:uiPriority w:val="99"/>
    <w:semiHidden/>
    <w:rsid w:val="00877A44"/>
    <w:rPr>
      <w:sz w:val="20"/>
      <w:szCs w:val="20"/>
    </w:rPr>
  </w:style>
  <w:style w:type="character" w:styleId="EndnoteReference">
    <w:name w:val="endnote reference"/>
    <w:basedOn w:val="DefaultParagraphFont"/>
    <w:uiPriority w:val="99"/>
    <w:semiHidden/>
    <w:unhideWhenUsed/>
    <w:rsid w:val="00877A44"/>
    <w:rPr>
      <w:vertAlign w:val="superscript"/>
    </w:rPr>
  </w:style>
  <w:style w:type="paragraph" w:customStyle="1" w:styleId="Default">
    <w:name w:val="Default"/>
    <w:rsid w:val="003160EC"/>
    <w:pPr>
      <w:autoSpaceDE w:val="0"/>
      <w:autoSpaceDN w:val="0"/>
      <w:adjustRightInd w:val="0"/>
    </w:pPr>
    <w:rPr>
      <w:rFonts w:ascii="Default Font" w:hAnsi="Default Font" w:cs="Default Font"/>
      <w:color w:val="000000"/>
      <w:lang w:val="en-GB"/>
    </w:rPr>
  </w:style>
  <w:style w:type="character" w:styleId="Hyperlink">
    <w:name w:val="Hyperlink"/>
    <w:basedOn w:val="DefaultParagraphFont"/>
    <w:uiPriority w:val="99"/>
    <w:unhideWhenUsed/>
    <w:rsid w:val="001061CF"/>
    <w:rPr>
      <w:color w:val="0000FF"/>
      <w:u w:val="single"/>
    </w:rPr>
  </w:style>
  <w:style w:type="character" w:customStyle="1" w:styleId="sr-only">
    <w:name w:val="sr-only"/>
    <w:basedOn w:val="DefaultParagraphFont"/>
    <w:rsid w:val="009D0574"/>
  </w:style>
  <w:style w:type="character" w:customStyle="1" w:styleId="highlightedterm">
    <w:name w:val="highlightedterm"/>
    <w:basedOn w:val="DefaultParagraphFont"/>
    <w:rsid w:val="009D0574"/>
  </w:style>
  <w:style w:type="character" w:styleId="CommentReference">
    <w:name w:val="annotation reference"/>
    <w:basedOn w:val="DefaultParagraphFont"/>
    <w:uiPriority w:val="99"/>
    <w:semiHidden/>
    <w:unhideWhenUsed/>
    <w:rsid w:val="007705EC"/>
    <w:rPr>
      <w:sz w:val="16"/>
      <w:szCs w:val="16"/>
    </w:rPr>
  </w:style>
  <w:style w:type="paragraph" w:styleId="CommentText">
    <w:name w:val="annotation text"/>
    <w:basedOn w:val="Normal"/>
    <w:link w:val="CommentTextChar"/>
    <w:uiPriority w:val="99"/>
    <w:semiHidden/>
    <w:unhideWhenUsed/>
    <w:rsid w:val="007705EC"/>
    <w:rPr>
      <w:rFonts w:asciiTheme="minorHAnsi" w:eastAsiaTheme="minorHAnsi" w:hAnsiTheme="minorHAnsi" w:cstheme="minorBidi"/>
      <w:sz w:val="20"/>
      <w:szCs w:val="20"/>
      <w:lang w:val="en-US" w:eastAsia="en-US"/>
    </w:rPr>
  </w:style>
  <w:style w:type="character" w:customStyle="1" w:styleId="CommentTextChar">
    <w:name w:val="Comment Text Char"/>
    <w:basedOn w:val="DefaultParagraphFont"/>
    <w:link w:val="CommentText"/>
    <w:uiPriority w:val="99"/>
    <w:semiHidden/>
    <w:rsid w:val="007705EC"/>
    <w:rPr>
      <w:sz w:val="20"/>
      <w:szCs w:val="20"/>
    </w:rPr>
  </w:style>
  <w:style w:type="paragraph" w:styleId="CommentSubject">
    <w:name w:val="annotation subject"/>
    <w:basedOn w:val="CommentText"/>
    <w:next w:val="CommentText"/>
    <w:link w:val="CommentSubjectChar"/>
    <w:uiPriority w:val="99"/>
    <w:semiHidden/>
    <w:unhideWhenUsed/>
    <w:rsid w:val="007705EC"/>
    <w:rPr>
      <w:b/>
      <w:bCs/>
    </w:rPr>
  </w:style>
  <w:style w:type="character" w:customStyle="1" w:styleId="CommentSubjectChar">
    <w:name w:val="Comment Subject Char"/>
    <w:basedOn w:val="CommentTextChar"/>
    <w:link w:val="CommentSubject"/>
    <w:uiPriority w:val="99"/>
    <w:semiHidden/>
    <w:rsid w:val="007705EC"/>
    <w:rPr>
      <w:b/>
      <w:bCs/>
      <w:sz w:val="20"/>
      <w:szCs w:val="20"/>
    </w:rPr>
  </w:style>
  <w:style w:type="character" w:customStyle="1" w:styleId="UnresolvedMention1">
    <w:name w:val="Unresolved Mention1"/>
    <w:basedOn w:val="DefaultParagraphFont"/>
    <w:uiPriority w:val="99"/>
    <w:rsid w:val="00E3422D"/>
    <w:rPr>
      <w:color w:val="605E5C"/>
      <w:shd w:val="clear" w:color="auto" w:fill="E1DFDD"/>
    </w:rPr>
  </w:style>
  <w:style w:type="character" w:styleId="FollowedHyperlink">
    <w:name w:val="FollowedHyperlink"/>
    <w:basedOn w:val="DefaultParagraphFont"/>
    <w:uiPriority w:val="99"/>
    <w:semiHidden/>
    <w:unhideWhenUsed/>
    <w:rsid w:val="00E3422D"/>
    <w:rPr>
      <w:color w:val="954F72" w:themeColor="followedHyperlink"/>
      <w:u w:val="single"/>
    </w:rPr>
  </w:style>
  <w:style w:type="character" w:styleId="Strong">
    <w:name w:val="Strong"/>
    <w:basedOn w:val="DefaultParagraphFont"/>
    <w:uiPriority w:val="22"/>
    <w:qFormat/>
    <w:rsid w:val="00EF4FFF"/>
    <w:rPr>
      <w:b/>
      <w:bCs/>
    </w:rPr>
  </w:style>
  <w:style w:type="character" w:styleId="UnresolvedMention">
    <w:name w:val="Unresolved Mention"/>
    <w:basedOn w:val="DefaultParagraphFont"/>
    <w:uiPriority w:val="99"/>
    <w:rsid w:val="004E3E38"/>
    <w:rPr>
      <w:color w:val="605E5C"/>
      <w:shd w:val="clear" w:color="auto" w:fill="E1DFDD"/>
    </w:rPr>
  </w:style>
  <w:style w:type="paragraph" w:styleId="Footer">
    <w:name w:val="footer"/>
    <w:basedOn w:val="Normal"/>
    <w:link w:val="FooterChar"/>
    <w:uiPriority w:val="99"/>
    <w:unhideWhenUsed/>
    <w:rsid w:val="00B3078D"/>
    <w:pPr>
      <w:tabs>
        <w:tab w:val="center" w:pos="4680"/>
        <w:tab w:val="right" w:pos="9360"/>
      </w:tabs>
    </w:pPr>
  </w:style>
  <w:style w:type="character" w:customStyle="1" w:styleId="FooterChar">
    <w:name w:val="Footer Char"/>
    <w:basedOn w:val="DefaultParagraphFont"/>
    <w:link w:val="Footer"/>
    <w:uiPriority w:val="99"/>
    <w:rsid w:val="00B3078D"/>
    <w:rPr>
      <w:rFonts w:ascii="Times New Roman" w:eastAsia="Times New Roman" w:hAnsi="Times New Roman" w:cs="Times New Roman"/>
      <w:lang w:val="en-IE" w:eastAsia="en-GB"/>
    </w:rPr>
  </w:style>
  <w:style w:type="character" w:styleId="PageNumber">
    <w:name w:val="page number"/>
    <w:basedOn w:val="DefaultParagraphFont"/>
    <w:uiPriority w:val="99"/>
    <w:semiHidden/>
    <w:unhideWhenUsed/>
    <w:rsid w:val="00B307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5668">
      <w:bodyDiv w:val="1"/>
      <w:marLeft w:val="0"/>
      <w:marRight w:val="0"/>
      <w:marTop w:val="0"/>
      <w:marBottom w:val="0"/>
      <w:divBdr>
        <w:top w:val="none" w:sz="0" w:space="0" w:color="auto"/>
        <w:left w:val="none" w:sz="0" w:space="0" w:color="auto"/>
        <w:bottom w:val="none" w:sz="0" w:space="0" w:color="auto"/>
        <w:right w:val="none" w:sz="0" w:space="0" w:color="auto"/>
      </w:divBdr>
    </w:div>
    <w:div w:id="26226679">
      <w:bodyDiv w:val="1"/>
      <w:marLeft w:val="0"/>
      <w:marRight w:val="0"/>
      <w:marTop w:val="0"/>
      <w:marBottom w:val="0"/>
      <w:divBdr>
        <w:top w:val="none" w:sz="0" w:space="0" w:color="auto"/>
        <w:left w:val="none" w:sz="0" w:space="0" w:color="auto"/>
        <w:bottom w:val="none" w:sz="0" w:space="0" w:color="auto"/>
        <w:right w:val="none" w:sz="0" w:space="0" w:color="auto"/>
      </w:divBdr>
    </w:div>
    <w:div w:id="44138345">
      <w:bodyDiv w:val="1"/>
      <w:marLeft w:val="0"/>
      <w:marRight w:val="0"/>
      <w:marTop w:val="0"/>
      <w:marBottom w:val="0"/>
      <w:divBdr>
        <w:top w:val="none" w:sz="0" w:space="0" w:color="auto"/>
        <w:left w:val="none" w:sz="0" w:space="0" w:color="auto"/>
        <w:bottom w:val="none" w:sz="0" w:space="0" w:color="auto"/>
        <w:right w:val="none" w:sz="0" w:space="0" w:color="auto"/>
      </w:divBdr>
    </w:div>
    <w:div w:id="81336446">
      <w:bodyDiv w:val="1"/>
      <w:marLeft w:val="0"/>
      <w:marRight w:val="0"/>
      <w:marTop w:val="0"/>
      <w:marBottom w:val="0"/>
      <w:divBdr>
        <w:top w:val="none" w:sz="0" w:space="0" w:color="auto"/>
        <w:left w:val="none" w:sz="0" w:space="0" w:color="auto"/>
        <w:bottom w:val="none" w:sz="0" w:space="0" w:color="auto"/>
        <w:right w:val="none" w:sz="0" w:space="0" w:color="auto"/>
      </w:divBdr>
    </w:div>
    <w:div w:id="165557182">
      <w:bodyDiv w:val="1"/>
      <w:marLeft w:val="0"/>
      <w:marRight w:val="0"/>
      <w:marTop w:val="0"/>
      <w:marBottom w:val="0"/>
      <w:divBdr>
        <w:top w:val="none" w:sz="0" w:space="0" w:color="auto"/>
        <w:left w:val="none" w:sz="0" w:space="0" w:color="auto"/>
        <w:bottom w:val="none" w:sz="0" w:space="0" w:color="auto"/>
        <w:right w:val="none" w:sz="0" w:space="0" w:color="auto"/>
      </w:divBdr>
    </w:div>
    <w:div w:id="304629888">
      <w:bodyDiv w:val="1"/>
      <w:marLeft w:val="0"/>
      <w:marRight w:val="0"/>
      <w:marTop w:val="0"/>
      <w:marBottom w:val="0"/>
      <w:divBdr>
        <w:top w:val="none" w:sz="0" w:space="0" w:color="auto"/>
        <w:left w:val="none" w:sz="0" w:space="0" w:color="auto"/>
        <w:bottom w:val="none" w:sz="0" w:space="0" w:color="auto"/>
        <w:right w:val="none" w:sz="0" w:space="0" w:color="auto"/>
      </w:divBdr>
      <w:divsChild>
        <w:div w:id="1200169024">
          <w:marLeft w:val="0"/>
          <w:marRight w:val="0"/>
          <w:marTop w:val="0"/>
          <w:marBottom w:val="0"/>
          <w:divBdr>
            <w:top w:val="none" w:sz="0" w:space="0" w:color="auto"/>
            <w:left w:val="none" w:sz="0" w:space="0" w:color="auto"/>
            <w:bottom w:val="none" w:sz="0" w:space="0" w:color="auto"/>
            <w:right w:val="none" w:sz="0" w:space="0" w:color="auto"/>
          </w:divBdr>
          <w:divsChild>
            <w:div w:id="223948885">
              <w:marLeft w:val="0"/>
              <w:marRight w:val="0"/>
              <w:marTop w:val="0"/>
              <w:marBottom w:val="0"/>
              <w:divBdr>
                <w:top w:val="none" w:sz="0" w:space="0" w:color="auto"/>
                <w:left w:val="none" w:sz="0" w:space="0" w:color="auto"/>
                <w:bottom w:val="none" w:sz="0" w:space="0" w:color="auto"/>
                <w:right w:val="none" w:sz="0" w:space="0" w:color="auto"/>
              </w:divBdr>
            </w:div>
          </w:divsChild>
        </w:div>
        <w:div w:id="829636979">
          <w:marLeft w:val="0"/>
          <w:marRight w:val="0"/>
          <w:marTop w:val="0"/>
          <w:marBottom w:val="0"/>
          <w:divBdr>
            <w:top w:val="none" w:sz="0" w:space="0" w:color="auto"/>
            <w:left w:val="none" w:sz="0" w:space="0" w:color="auto"/>
            <w:bottom w:val="none" w:sz="0" w:space="0" w:color="auto"/>
            <w:right w:val="none" w:sz="0" w:space="0" w:color="auto"/>
          </w:divBdr>
          <w:divsChild>
            <w:div w:id="1489857528">
              <w:marLeft w:val="0"/>
              <w:marRight w:val="0"/>
              <w:marTop w:val="0"/>
              <w:marBottom w:val="0"/>
              <w:divBdr>
                <w:top w:val="none" w:sz="0" w:space="0" w:color="auto"/>
                <w:left w:val="none" w:sz="0" w:space="0" w:color="auto"/>
                <w:bottom w:val="none" w:sz="0" w:space="0" w:color="auto"/>
                <w:right w:val="none" w:sz="0" w:space="0" w:color="auto"/>
              </w:divBdr>
            </w:div>
          </w:divsChild>
        </w:div>
        <w:div w:id="1932809285">
          <w:marLeft w:val="0"/>
          <w:marRight w:val="0"/>
          <w:marTop w:val="0"/>
          <w:marBottom w:val="0"/>
          <w:divBdr>
            <w:top w:val="none" w:sz="0" w:space="0" w:color="auto"/>
            <w:left w:val="none" w:sz="0" w:space="0" w:color="auto"/>
            <w:bottom w:val="none" w:sz="0" w:space="0" w:color="auto"/>
            <w:right w:val="none" w:sz="0" w:space="0" w:color="auto"/>
          </w:divBdr>
          <w:divsChild>
            <w:div w:id="1647473612">
              <w:marLeft w:val="0"/>
              <w:marRight w:val="0"/>
              <w:marTop w:val="0"/>
              <w:marBottom w:val="0"/>
              <w:divBdr>
                <w:top w:val="none" w:sz="0" w:space="0" w:color="auto"/>
                <w:left w:val="none" w:sz="0" w:space="0" w:color="auto"/>
                <w:bottom w:val="none" w:sz="0" w:space="0" w:color="auto"/>
                <w:right w:val="none" w:sz="0" w:space="0" w:color="auto"/>
              </w:divBdr>
            </w:div>
          </w:divsChild>
        </w:div>
        <w:div w:id="1660188354">
          <w:marLeft w:val="0"/>
          <w:marRight w:val="0"/>
          <w:marTop w:val="0"/>
          <w:marBottom w:val="0"/>
          <w:divBdr>
            <w:top w:val="none" w:sz="0" w:space="0" w:color="auto"/>
            <w:left w:val="none" w:sz="0" w:space="0" w:color="auto"/>
            <w:bottom w:val="none" w:sz="0" w:space="0" w:color="auto"/>
            <w:right w:val="none" w:sz="0" w:space="0" w:color="auto"/>
          </w:divBdr>
          <w:divsChild>
            <w:div w:id="21215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742051">
      <w:bodyDiv w:val="1"/>
      <w:marLeft w:val="0"/>
      <w:marRight w:val="0"/>
      <w:marTop w:val="0"/>
      <w:marBottom w:val="0"/>
      <w:divBdr>
        <w:top w:val="none" w:sz="0" w:space="0" w:color="auto"/>
        <w:left w:val="none" w:sz="0" w:space="0" w:color="auto"/>
        <w:bottom w:val="none" w:sz="0" w:space="0" w:color="auto"/>
        <w:right w:val="none" w:sz="0" w:space="0" w:color="auto"/>
      </w:divBdr>
    </w:div>
    <w:div w:id="379331687">
      <w:bodyDiv w:val="1"/>
      <w:marLeft w:val="0"/>
      <w:marRight w:val="0"/>
      <w:marTop w:val="0"/>
      <w:marBottom w:val="0"/>
      <w:divBdr>
        <w:top w:val="none" w:sz="0" w:space="0" w:color="auto"/>
        <w:left w:val="none" w:sz="0" w:space="0" w:color="auto"/>
        <w:bottom w:val="none" w:sz="0" w:space="0" w:color="auto"/>
        <w:right w:val="none" w:sz="0" w:space="0" w:color="auto"/>
      </w:divBdr>
    </w:div>
    <w:div w:id="430899352">
      <w:bodyDiv w:val="1"/>
      <w:marLeft w:val="0"/>
      <w:marRight w:val="0"/>
      <w:marTop w:val="0"/>
      <w:marBottom w:val="0"/>
      <w:divBdr>
        <w:top w:val="none" w:sz="0" w:space="0" w:color="auto"/>
        <w:left w:val="none" w:sz="0" w:space="0" w:color="auto"/>
        <w:bottom w:val="none" w:sz="0" w:space="0" w:color="auto"/>
        <w:right w:val="none" w:sz="0" w:space="0" w:color="auto"/>
      </w:divBdr>
    </w:div>
    <w:div w:id="469828472">
      <w:bodyDiv w:val="1"/>
      <w:marLeft w:val="0"/>
      <w:marRight w:val="0"/>
      <w:marTop w:val="0"/>
      <w:marBottom w:val="0"/>
      <w:divBdr>
        <w:top w:val="none" w:sz="0" w:space="0" w:color="auto"/>
        <w:left w:val="none" w:sz="0" w:space="0" w:color="auto"/>
        <w:bottom w:val="none" w:sz="0" w:space="0" w:color="auto"/>
        <w:right w:val="none" w:sz="0" w:space="0" w:color="auto"/>
      </w:divBdr>
    </w:div>
    <w:div w:id="496312758">
      <w:bodyDiv w:val="1"/>
      <w:marLeft w:val="0"/>
      <w:marRight w:val="0"/>
      <w:marTop w:val="0"/>
      <w:marBottom w:val="0"/>
      <w:divBdr>
        <w:top w:val="none" w:sz="0" w:space="0" w:color="auto"/>
        <w:left w:val="none" w:sz="0" w:space="0" w:color="auto"/>
        <w:bottom w:val="none" w:sz="0" w:space="0" w:color="auto"/>
        <w:right w:val="none" w:sz="0" w:space="0" w:color="auto"/>
      </w:divBdr>
    </w:div>
    <w:div w:id="541095582">
      <w:bodyDiv w:val="1"/>
      <w:marLeft w:val="0"/>
      <w:marRight w:val="0"/>
      <w:marTop w:val="0"/>
      <w:marBottom w:val="0"/>
      <w:divBdr>
        <w:top w:val="none" w:sz="0" w:space="0" w:color="auto"/>
        <w:left w:val="none" w:sz="0" w:space="0" w:color="auto"/>
        <w:bottom w:val="none" w:sz="0" w:space="0" w:color="auto"/>
        <w:right w:val="none" w:sz="0" w:space="0" w:color="auto"/>
      </w:divBdr>
    </w:div>
    <w:div w:id="602688915">
      <w:bodyDiv w:val="1"/>
      <w:marLeft w:val="0"/>
      <w:marRight w:val="0"/>
      <w:marTop w:val="0"/>
      <w:marBottom w:val="0"/>
      <w:divBdr>
        <w:top w:val="none" w:sz="0" w:space="0" w:color="auto"/>
        <w:left w:val="none" w:sz="0" w:space="0" w:color="auto"/>
        <w:bottom w:val="none" w:sz="0" w:space="0" w:color="auto"/>
        <w:right w:val="none" w:sz="0" w:space="0" w:color="auto"/>
      </w:divBdr>
    </w:div>
    <w:div w:id="641810780">
      <w:bodyDiv w:val="1"/>
      <w:marLeft w:val="0"/>
      <w:marRight w:val="0"/>
      <w:marTop w:val="0"/>
      <w:marBottom w:val="0"/>
      <w:divBdr>
        <w:top w:val="none" w:sz="0" w:space="0" w:color="auto"/>
        <w:left w:val="none" w:sz="0" w:space="0" w:color="auto"/>
        <w:bottom w:val="none" w:sz="0" w:space="0" w:color="auto"/>
        <w:right w:val="none" w:sz="0" w:space="0" w:color="auto"/>
      </w:divBdr>
    </w:div>
    <w:div w:id="753209561">
      <w:bodyDiv w:val="1"/>
      <w:marLeft w:val="0"/>
      <w:marRight w:val="0"/>
      <w:marTop w:val="0"/>
      <w:marBottom w:val="0"/>
      <w:divBdr>
        <w:top w:val="none" w:sz="0" w:space="0" w:color="auto"/>
        <w:left w:val="none" w:sz="0" w:space="0" w:color="auto"/>
        <w:bottom w:val="none" w:sz="0" w:space="0" w:color="auto"/>
        <w:right w:val="none" w:sz="0" w:space="0" w:color="auto"/>
      </w:divBdr>
    </w:div>
    <w:div w:id="769400431">
      <w:bodyDiv w:val="1"/>
      <w:marLeft w:val="0"/>
      <w:marRight w:val="0"/>
      <w:marTop w:val="0"/>
      <w:marBottom w:val="0"/>
      <w:divBdr>
        <w:top w:val="none" w:sz="0" w:space="0" w:color="auto"/>
        <w:left w:val="none" w:sz="0" w:space="0" w:color="auto"/>
        <w:bottom w:val="none" w:sz="0" w:space="0" w:color="auto"/>
        <w:right w:val="none" w:sz="0" w:space="0" w:color="auto"/>
      </w:divBdr>
    </w:div>
    <w:div w:id="798955743">
      <w:bodyDiv w:val="1"/>
      <w:marLeft w:val="0"/>
      <w:marRight w:val="0"/>
      <w:marTop w:val="0"/>
      <w:marBottom w:val="0"/>
      <w:divBdr>
        <w:top w:val="none" w:sz="0" w:space="0" w:color="auto"/>
        <w:left w:val="none" w:sz="0" w:space="0" w:color="auto"/>
        <w:bottom w:val="none" w:sz="0" w:space="0" w:color="auto"/>
        <w:right w:val="none" w:sz="0" w:space="0" w:color="auto"/>
      </w:divBdr>
    </w:div>
    <w:div w:id="996151118">
      <w:bodyDiv w:val="1"/>
      <w:marLeft w:val="0"/>
      <w:marRight w:val="0"/>
      <w:marTop w:val="0"/>
      <w:marBottom w:val="0"/>
      <w:divBdr>
        <w:top w:val="none" w:sz="0" w:space="0" w:color="auto"/>
        <w:left w:val="none" w:sz="0" w:space="0" w:color="auto"/>
        <w:bottom w:val="none" w:sz="0" w:space="0" w:color="auto"/>
        <w:right w:val="none" w:sz="0" w:space="0" w:color="auto"/>
      </w:divBdr>
    </w:div>
    <w:div w:id="1052339814">
      <w:bodyDiv w:val="1"/>
      <w:marLeft w:val="0"/>
      <w:marRight w:val="0"/>
      <w:marTop w:val="0"/>
      <w:marBottom w:val="0"/>
      <w:divBdr>
        <w:top w:val="none" w:sz="0" w:space="0" w:color="auto"/>
        <w:left w:val="none" w:sz="0" w:space="0" w:color="auto"/>
        <w:bottom w:val="none" w:sz="0" w:space="0" w:color="auto"/>
        <w:right w:val="none" w:sz="0" w:space="0" w:color="auto"/>
      </w:divBdr>
    </w:div>
    <w:div w:id="1114984808">
      <w:bodyDiv w:val="1"/>
      <w:marLeft w:val="0"/>
      <w:marRight w:val="0"/>
      <w:marTop w:val="0"/>
      <w:marBottom w:val="0"/>
      <w:divBdr>
        <w:top w:val="none" w:sz="0" w:space="0" w:color="auto"/>
        <w:left w:val="none" w:sz="0" w:space="0" w:color="auto"/>
        <w:bottom w:val="none" w:sz="0" w:space="0" w:color="auto"/>
        <w:right w:val="none" w:sz="0" w:space="0" w:color="auto"/>
      </w:divBdr>
    </w:div>
    <w:div w:id="1382943397">
      <w:bodyDiv w:val="1"/>
      <w:marLeft w:val="0"/>
      <w:marRight w:val="0"/>
      <w:marTop w:val="0"/>
      <w:marBottom w:val="0"/>
      <w:divBdr>
        <w:top w:val="none" w:sz="0" w:space="0" w:color="auto"/>
        <w:left w:val="none" w:sz="0" w:space="0" w:color="auto"/>
        <w:bottom w:val="none" w:sz="0" w:space="0" w:color="auto"/>
        <w:right w:val="none" w:sz="0" w:space="0" w:color="auto"/>
      </w:divBdr>
    </w:div>
    <w:div w:id="1397509022">
      <w:bodyDiv w:val="1"/>
      <w:marLeft w:val="0"/>
      <w:marRight w:val="0"/>
      <w:marTop w:val="0"/>
      <w:marBottom w:val="0"/>
      <w:divBdr>
        <w:top w:val="none" w:sz="0" w:space="0" w:color="auto"/>
        <w:left w:val="none" w:sz="0" w:space="0" w:color="auto"/>
        <w:bottom w:val="none" w:sz="0" w:space="0" w:color="auto"/>
        <w:right w:val="none" w:sz="0" w:space="0" w:color="auto"/>
      </w:divBdr>
    </w:div>
    <w:div w:id="1462921887">
      <w:bodyDiv w:val="1"/>
      <w:marLeft w:val="0"/>
      <w:marRight w:val="0"/>
      <w:marTop w:val="0"/>
      <w:marBottom w:val="0"/>
      <w:divBdr>
        <w:top w:val="none" w:sz="0" w:space="0" w:color="auto"/>
        <w:left w:val="none" w:sz="0" w:space="0" w:color="auto"/>
        <w:bottom w:val="none" w:sz="0" w:space="0" w:color="auto"/>
        <w:right w:val="none" w:sz="0" w:space="0" w:color="auto"/>
      </w:divBdr>
    </w:div>
    <w:div w:id="1599363031">
      <w:bodyDiv w:val="1"/>
      <w:marLeft w:val="0"/>
      <w:marRight w:val="0"/>
      <w:marTop w:val="0"/>
      <w:marBottom w:val="0"/>
      <w:divBdr>
        <w:top w:val="none" w:sz="0" w:space="0" w:color="auto"/>
        <w:left w:val="none" w:sz="0" w:space="0" w:color="auto"/>
        <w:bottom w:val="none" w:sz="0" w:space="0" w:color="auto"/>
        <w:right w:val="none" w:sz="0" w:space="0" w:color="auto"/>
      </w:divBdr>
    </w:div>
    <w:div w:id="1689595522">
      <w:bodyDiv w:val="1"/>
      <w:marLeft w:val="0"/>
      <w:marRight w:val="0"/>
      <w:marTop w:val="0"/>
      <w:marBottom w:val="0"/>
      <w:divBdr>
        <w:top w:val="none" w:sz="0" w:space="0" w:color="auto"/>
        <w:left w:val="none" w:sz="0" w:space="0" w:color="auto"/>
        <w:bottom w:val="none" w:sz="0" w:space="0" w:color="auto"/>
        <w:right w:val="none" w:sz="0" w:space="0" w:color="auto"/>
      </w:divBdr>
    </w:div>
    <w:div w:id="1705210761">
      <w:bodyDiv w:val="1"/>
      <w:marLeft w:val="0"/>
      <w:marRight w:val="0"/>
      <w:marTop w:val="0"/>
      <w:marBottom w:val="0"/>
      <w:divBdr>
        <w:top w:val="none" w:sz="0" w:space="0" w:color="auto"/>
        <w:left w:val="none" w:sz="0" w:space="0" w:color="auto"/>
        <w:bottom w:val="none" w:sz="0" w:space="0" w:color="auto"/>
        <w:right w:val="none" w:sz="0" w:space="0" w:color="auto"/>
      </w:divBdr>
    </w:div>
    <w:div w:id="1708214741">
      <w:bodyDiv w:val="1"/>
      <w:marLeft w:val="0"/>
      <w:marRight w:val="0"/>
      <w:marTop w:val="0"/>
      <w:marBottom w:val="0"/>
      <w:divBdr>
        <w:top w:val="none" w:sz="0" w:space="0" w:color="auto"/>
        <w:left w:val="none" w:sz="0" w:space="0" w:color="auto"/>
        <w:bottom w:val="none" w:sz="0" w:space="0" w:color="auto"/>
        <w:right w:val="none" w:sz="0" w:space="0" w:color="auto"/>
      </w:divBdr>
    </w:div>
    <w:div w:id="1742171302">
      <w:bodyDiv w:val="1"/>
      <w:marLeft w:val="0"/>
      <w:marRight w:val="0"/>
      <w:marTop w:val="0"/>
      <w:marBottom w:val="0"/>
      <w:divBdr>
        <w:top w:val="none" w:sz="0" w:space="0" w:color="auto"/>
        <w:left w:val="none" w:sz="0" w:space="0" w:color="auto"/>
        <w:bottom w:val="none" w:sz="0" w:space="0" w:color="auto"/>
        <w:right w:val="none" w:sz="0" w:space="0" w:color="auto"/>
      </w:divBdr>
    </w:div>
    <w:div w:id="1767506432">
      <w:bodyDiv w:val="1"/>
      <w:marLeft w:val="0"/>
      <w:marRight w:val="0"/>
      <w:marTop w:val="0"/>
      <w:marBottom w:val="0"/>
      <w:divBdr>
        <w:top w:val="none" w:sz="0" w:space="0" w:color="auto"/>
        <w:left w:val="none" w:sz="0" w:space="0" w:color="auto"/>
        <w:bottom w:val="none" w:sz="0" w:space="0" w:color="auto"/>
        <w:right w:val="none" w:sz="0" w:space="0" w:color="auto"/>
      </w:divBdr>
    </w:div>
    <w:div w:id="1924797331">
      <w:bodyDiv w:val="1"/>
      <w:marLeft w:val="0"/>
      <w:marRight w:val="0"/>
      <w:marTop w:val="0"/>
      <w:marBottom w:val="0"/>
      <w:divBdr>
        <w:top w:val="none" w:sz="0" w:space="0" w:color="auto"/>
        <w:left w:val="none" w:sz="0" w:space="0" w:color="auto"/>
        <w:bottom w:val="none" w:sz="0" w:space="0" w:color="auto"/>
        <w:right w:val="none" w:sz="0" w:space="0" w:color="auto"/>
      </w:divBdr>
    </w:div>
    <w:div w:id="1971859634">
      <w:bodyDiv w:val="1"/>
      <w:marLeft w:val="0"/>
      <w:marRight w:val="0"/>
      <w:marTop w:val="0"/>
      <w:marBottom w:val="0"/>
      <w:divBdr>
        <w:top w:val="none" w:sz="0" w:space="0" w:color="auto"/>
        <w:left w:val="none" w:sz="0" w:space="0" w:color="auto"/>
        <w:bottom w:val="none" w:sz="0" w:space="0" w:color="auto"/>
        <w:right w:val="none" w:sz="0" w:space="0" w:color="auto"/>
      </w:divBdr>
    </w:div>
    <w:div w:id="2039966883">
      <w:bodyDiv w:val="1"/>
      <w:marLeft w:val="0"/>
      <w:marRight w:val="0"/>
      <w:marTop w:val="0"/>
      <w:marBottom w:val="0"/>
      <w:divBdr>
        <w:top w:val="none" w:sz="0" w:space="0" w:color="auto"/>
        <w:left w:val="none" w:sz="0" w:space="0" w:color="auto"/>
        <w:bottom w:val="none" w:sz="0" w:space="0" w:color="auto"/>
        <w:right w:val="none" w:sz="0" w:space="0" w:color="auto"/>
      </w:divBdr>
    </w:div>
    <w:div w:id="2064324243">
      <w:bodyDiv w:val="1"/>
      <w:marLeft w:val="0"/>
      <w:marRight w:val="0"/>
      <w:marTop w:val="0"/>
      <w:marBottom w:val="0"/>
      <w:divBdr>
        <w:top w:val="none" w:sz="0" w:space="0" w:color="auto"/>
        <w:left w:val="none" w:sz="0" w:space="0" w:color="auto"/>
        <w:bottom w:val="none" w:sz="0" w:space="0" w:color="auto"/>
        <w:right w:val="none" w:sz="0" w:space="0" w:color="auto"/>
      </w:divBdr>
    </w:div>
    <w:div w:id="2083212146">
      <w:bodyDiv w:val="1"/>
      <w:marLeft w:val="0"/>
      <w:marRight w:val="0"/>
      <w:marTop w:val="0"/>
      <w:marBottom w:val="0"/>
      <w:divBdr>
        <w:top w:val="none" w:sz="0" w:space="0" w:color="auto"/>
        <w:left w:val="none" w:sz="0" w:space="0" w:color="auto"/>
        <w:bottom w:val="none" w:sz="0" w:space="0" w:color="auto"/>
        <w:right w:val="none" w:sz="0" w:space="0" w:color="auto"/>
      </w:divBdr>
    </w:div>
    <w:div w:id="210426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3" Type="http://schemas.openxmlformats.org/officeDocument/2006/relationships/webSettings" Target="webSettings.xml"/><Relationship Id="rId7" Type="http://schemas.openxmlformats.org/officeDocument/2006/relationships/image" Target="media/image2.tif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3" Type="http://schemas.openxmlformats.org/officeDocument/2006/relationships/hyperlink" Target="http://nla.gov.au/nla.news-article88001594" TargetMode="External"/><Relationship Id="rId18" Type="http://schemas.openxmlformats.org/officeDocument/2006/relationships/hyperlink" Target="https://nzhistory.govt.nz/culture/maungatapu-murders/the-burgess-gang" TargetMode="External"/><Relationship Id="rId26" Type="http://schemas.openxmlformats.org/officeDocument/2006/relationships/hyperlink" Target="http://nla.gov.au/nla.news-article202583440" TargetMode="External"/><Relationship Id="rId39" Type="http://schemas.openxmlformats.org/officeDocument/2006/relationships/hyperlink" Target="http://nla.gov.au/nla.news-article66331652" TargetMode="External"/><Relationship Id="rId21" Type="http://schemas.openxmlformats.org/officeDocument/2006/relationships/hyperlink" Target="http://nla.gov.au/nla.news-article197560309" TargetMode="External"/><Relationship Id="rId34" Type="http://schemas.openxmlformats.org/officeDocument/2006/relationships/hyperlink" Target="http://nla.gov.au/nla.news-article199283027" TargetMode="External"/><Relationship Id="rId42" Type="http://schemas.openxmlformats.org/officeDocument/2006/relationships/hyperlink" Target="http://nla.gov.au/nla.news-article198227786" TargetMode="External"/><Relationship Id="rId47" Type="http://schemas.openxmlformats.org/officeDocument/2006/relationships/hyperlink" Target="http://nla.gov.au/nla.news-article199463024" TargetMode="External"/><Relationship Id="rId7" Type="http://schemas.openxmlformats.org/officeDocument/2006/relationships/hyperlink" Target="http://nla.gov.au/nla.news-article112893425" TargetMode="External"/><Relationship Id="rId2" Type="http://schemas.openxmlformats.org/officeDocument/2006/relationships/hyperlink" Target="http://nla.gov.au/nla.news-article4808042" TargetMode="External"/><Relationship Id="rId16" Type="http://schemas.openxmlformats.org/officeDocument/2006/relationships/hyperlink" Target="http://nla.gov.au/nla.news-article87956550" TargetMode="External"/><Relationship Id="rId29" Type="http://schemas.openxmlformats.org/officeDocument/2006/relationships/hyperlink" Target="http://nla.gov.au/nla.news-article87955651" TargetMode="External"/><Relationship Id="rId11" Type="http://schemas.openxmlformats.org/officeDocument/2006/relationships/hyperlink" Target="http://nla.gov.au/nla.news-article88051918" TargetMode="External"/><Relationship Id="rId24" Type="http://schemas.openxmlformats.org/officeDocument/2006/relationships/hyperlink" Target="https://trove.nla.gov.au/newspaper/article/87951342" TargetMode="External"/><Relationship Id="rId32" Type="http://schemas.openxmlformats.org/officeDocument/2006/relationships/hyperlink" Target="http://nla.gov.au/nla.news-article72513036" TargetMode="External"/><Relationship Id="rId37" Type="http://schemas.openxmlformats.org/officeDocument/2006/relationships/hyperlink" Target="http://www.ucd.ie/southhem/record.html" TargetMode="External"/><Relationship Id="rId40" Type="http://schemas.openxmlformats.org/officeDocument/2006/relationships/hyperlink" Target="https://trove.nla.gov.au/newspaper/article/66327616" TargetMode="External"/><Relationship Id="rId45" Type="http://schemas.openxmlformats.org/officeDocument/2006/relationships/hyperlink" Target="http://nla.gov.au/nla.news-article200231003" TargetMode="External"/><Relationship Id="rId5" Type="http://schemas.openxmlformats.org/officeDocument/2006/relationships/hyperlink" Target="http://nla.gov.au/nla.news-article5697956" TargetMode="External"/><Relationship Id="rId15" Type="http://schemas.openxmlformats.org/officeDocument/2006/relationships/hyperlink" Target="http://nla.gov.au/nla.news-article88001570" TargetMode="External"/><Relationship Id="rId23" Type="http://schemas.openxmlformats.org/officeDocument/2006/relationships/hyperlink" Target="http://nla.gov.au/nla.news-article197560553" TargetMode="External"/><Relationship Id="rId28" Type="http://schemas.openxmlformats.org/officeDocument/2006/relationships/hyperlink" Target="http://nla.gov.au/nla.news-article87955570" TargetMode="External"/><Relationship Id="rId36" Type="http://schemas.openxmlformats.org/officeDocument/2006/relationships/hyperlink" Target="http://nla.gov.au/nla.news-article87963073" TargetMode="External"/><Relationship Id="rId49" Type="http://schemas.openxmlformats.org/officeDocument/2006/relationships/hyperlink" Target="http://books.publishing.monash.edu/apps/bookworm/view/SEIZE+THE+DAY/123/xhtml/chapter1.html" TargetMode="External"/><Relationship Id="rId10" Type="http://schemas.openxmlformats.org/officeDocument/2006/relationships/hyperlink" Target="http://nla.gov.au/nla.news-article211001125" TargetMode="External"/><Relationship Id="rId19" Type="http://schemas.openxmlformats.org/officeDocument/2006/relationships/hyperlink" Target="http://nla.gov.au/nla.news-article87953909" TargetMode="External"/><Relationship Id="rId31" Type="http://schemas.openxmlformats.org/officeDocument/2006/relationships/hyperlink" Target="http://nla.gov.au/nla.news-article87955806" TargetMode="External"/><Relationship Id="rId44" Type="http://schemas.openxmlformats.org/officeDocument/2006/relationships/hyperlink" Target="https://trove.nla.gov.au/newspaper/article/188570300" TargetMode="External"/><Relationship Id="rId4" Type="http://schemas.openxmlformats.org/officeDocument/2006/relationships/hyperlink" Target="http://nla.gov.au/nla.news-article200132720" TargetMode="External"/><Relationship Id="rId9" Type="http://schemas.openxmlformats.org/officeDocument/2006/relationships/hyperlink" Target="http://nla.gov.au/nla.news-article200230561" TargetMode="External"/><Relationship Id="rId14" Type="http://schemas.openxmlformats.org/officeDocument/2006/relationships/hyperlink" Target="http://nla.gov.au/nla.news-article88001486" TargetMode="External"/><Relationship Id="rId22" Type="http://schemas.openxmlformats.org/officeDocument/2006/relationships/hyperlink" Target="http://nla.gov.au/nla.news-article197560397" TargetMode="External"/><Relationship Id="rId27" Type="http://schemas.openxmlformats.org/officeDocument/2006/relationships/hyperlink" Target="http://nla.gov.au/nla.news-article87955750" TargetMode="External"/><Relationship Id="rId30" Type="http://schemas.openxmlformats.org/officeDocument/2006/relationships/hyperlink" Target="http://nla.gov.au/nla.news-article87955603" TargetMode="External"/><Relationship Id="rId35" Type="http://schemas.openxmlformats.org/officeDocument/2006/relationships/hyperlink" Target="http://adb.anu.edu.au/biography/kreitmayer-maximilian-ludwig-max-13034/text23567" TargetMode="External"/><Relationship Id="rId43" Type="http://schemas.openxmlformats.org/officeDocument/2006/relationships/hyperlink" Target="http://nla.gov.au/nla.news-article199459893" TargetMode="External"/><Relationship Id="rId48" Type="http://schemas.openxmlformats.org/officeDocument/2006/relationships/hyperlink" Target="http://nla.gov.au/nla.news-article199461072" TargetMode="External"/><Relationship Id="rId8" Type="http://schemas.openxmlformats.org/officeDocument/2006/relationships/hyperlink" Target="http://nla.gov.au/nla.news-page9030141" TargetMode="External"/><Relationship Id="rId3" Type="http://schemas.openxmlformats.org/officeDocument/2006/relationships/hyperlink" Target="http://nla.gov.au/nla.news-article88051965" TargetMode="External"/><Relationship Id="rId12" Type="http://schemas.openxmlformats.org/officeDocument/2006/relationships/hyperlink" Target="http://nla.gov.au/nla.news-article171430326" TargetMode="External"/><Relationship Id="rId17" Type="http://schemas.openxmlformats.org/officeDocument/2006/relationships/hyperlink" Target="http://nla.gov.au/nla.news-article87956565" TargetMode="External"/><Relationship Id="rId25" Type="http://schemas.openxmlformats.org/officeDocument/2006/relationships/hyperlink" Target="http://nla.gov.au/nla.news-article202583593" TargetMode="External"/><Relationship Id="rId33" Type="http://schemas.openxmlformats.org/officeDocument/2006/relationships/hyperlink" Target="http://nla.gov.au/nla.news-article199841627" TargetMode="External"/><Relationship Id="rId38" Type="http://schemas.openxmlformats.org/officeDocument/2006/relationships/hyperlink" Target="https://viewer.slv.vic.gov.au/?entity=IE4870864&amp;mode=browse" TargetMode="External"/><Relationship Id="rId46" Type="http://schemas.openxmlformats.org/officeDocument/2006/relationships/hyperlink" Target="http://nla.gov.au/nla.news-article72516336" TargetMode="External"/><Relationship Id="rId20" Type="http://schemas.openxmlformats.org/officeDocument/2006/relationships/hyperlink" Target="http://nla.gov.au/nla.news-article87951475" TargetMode="External"/><Relationship Id="rId41" Type="http://schemas.openxmlformats.org/officeDocument/2006/relationships/hyperlink" Target="https://trove.nla.gov.au/newspaper/article/198659584" TargetMode="External"/><Relationship Id="rId1" Type="http://schemas.openxmlformats.org/officeDocument/2006/relationships/hyperlink" Target="http://nla.gov.au/nla.news-article112900473" TargetMode="External"/><Relationship Id="rId6" Type="http://schemas.openxmlformats.org/officeDocument/2006/relationships/hyperlink" Target="http://handle.slv.vic.gov.au/10381/1085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7328</Words>
  <Characters>41774</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Comyn</dc:creator>
  <cp:keywords/>
  <dc:description/>
  <cp:lastModifiedBy>Sarah Comyn</cp:lastModifiedBy>
  <cp:revision>2</cp:revision>
  <dcterms:created xsi:type="dcterms:W3CDTF">2023-09-12T12:49:00Z</dcterms:created>
  <dcterms:modified xsi:type="dcterms:W3CDTF">2023-09-12T12:49:00Z</dcterms:modified>
</cp:coreProperties>
</file>