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E9" w:rsidRDefault="00AD3DC6" w:rsidP="00982820">
      <w:pPr>
        <w:jc w:val="both"/>
        <w:rPr>
          <w:rFonts w:cs="Times New Roman"/>
          <w:b/>
        </w:rPr>
      </w:pPr>
      <w:bookmarkStart w:id="0" w:name="_GoBack"/>
      <w:bookmarkEnd w:id="0"/>
      <w:r>
        <w:rPr>
          <w:rFonts w:cs="Times New Roman"/>
          <w:b/>
        </w:rPr>
        <w:t xml:space="preserve">The </w:t>
      </w:r>
      <w:r w:rsidR="00962C3B">
        <w:rPr>
          <w:rFonts w:cs="Times New Roman"/>
          <w:b/>
        </w:rPr>
        <w:t>Certificate of Registration and the Company Charge Register</w:t>
      </w:r>
    </w:p>
    <w:p w:rsidR="00453C9B" w:rsidRDefault="00453C9B" w:rsidP="00982820">
      <w:pPr>
        <w:jc w:val="both"/>
        <w:rPr>
          <w:rFonts w:cs="Times New Roman"/>
          <w:b/>
        </w:rPr>
      </w:pPr>
      <w:r>
        <w:rPr>
          <w:rFonts w:cs="Times New Roman"/>
          <w:b/>
        </w:rPr>
        <w:t>Dr Noel McGrath*</w:t>
      </w:r>
    </w:p>
    <w:p w:rsidR="000043A9" w:rsidRPr="00453C9B" w:rsidRDefault="000043A9" w:rsidP="00453C9B">
      <w:pPr>
        <w:pStyle w:val="ListParagraph"/>
        <w:numPr>
          <w:ilvl w:val="0"/>
          <w:numId w:val="12"/>
        </w:numPr>
        <w:jc w:val="both"/>
        <w:rPr>
          <w:rFonts w:cs="Times New Roman"/>
          <w:b/>
        </w:rPr>
      </w:pPr>
      <w:r w:rsidRPr="00453C9B">
        <w:rPr>
          <w:rFonts w:cs="Times New Roman"/>
          <w:b/>
        </w:rPr>
        <w:t>Introduction</w:t>
      </w:r>
    </w:p>
    <w:p w:rsidR="00B865E9" w:rsidRPr="000C223D" w:rsidRDefault="007B49F5" w:rsidP="00982820">
      <w:pPr>
        <w:jc w:val="both"/>
        <w:rPr>
          <w:rFonts w:cs="Times New Roman"/>
        </w:rPr>
      </w:pPr>
      <w:r>
        <w:rPr>
          <w:rFonts w:cs="Times New Roman"/>
        </w:rPr>
        <w:t>Part IV of the Companies Act</w:t>
      </w:r>
      <w:r w:rsidR="00B865E9" w:rsidRPr="000C223D">
        <w:rPr>
          <w:rFonts w:cs="Times New Roman"/>
        </w:rPr>
        <w:t xml:space="preserve"> 1963 establishes a system of registration for certain classes of charge created by companies over their property. The system has been in place since t</w:t>
      </w:r>
      <w:r>
        <w:rPr>
          <w:rFonts w:cs="Times New Roman"/>
        </w:rPr>
        <w:t>he passage of the Companies Act</w:t>
      </w:r>
      <w:r w:rsidR="00B865E9" w:rsidRPr="000C223D">
        <w:rPr>
          <w:rFonts w:cs="Times New Roman"/>
        </w:rPr>
        <w:t xml:space="preserve"> 1900 and requires that </w:t>
      </w:r>
      <w:r w:rsidR="00737106">
        <w:rPr>
          <w:rFonts w:cs="Times New Roman"/>
        </w:rPr>
        <w:t xml:space="preserve">certain particulars of </w:t>
      </w:r>
      <w:r w:rsidR="00B865E9" w:rsidRPr="000C223D">
        <w:rPr>
          <w:rFonts w:cs="Times New Roman"/>
        </w:rPr>
        <w:t xml:space="preserve">charges falling within a statutory list set out in section 99(2) be </w:t>
      </w:r>
      <w:r w:rsidR="00737106">
        <w:rPr>
          <w:rFonts w:cs="Times New Roman"/>
        </w:rPr>
        <w:t xml:space="preserve">sent to </w:t>
      </w:r>
      <w:r w:rsidR="004B4441">
        <w:rPr>
          <w:rFonts w:cs="Times New Roman"/>
        </w:rPr>
        <w:t>the Registrar of Companies</w:t>
      </w:r>
      <w:r w:rsidR="00B865E9" w:rsidRPr="000C223D">
        <w:rPr>
          <w:rFonts w:cs="Times New Roman"/>
        </w:rPr>
        <w:t xml:space="preserve"> within 21 days of their creation. The </w:t>
      </w:r>
      <w:r w:rsidR="005325B6">
        <w:rPr>
          <w:rFonts w:cs="Times New Roman"/>
        </w:rPr>
        <w:t xml:space="preserve">courts </w:t>
      </w:r>
      <w:r w:rsidR="00B865E9" w:rsidRPr="000C223D">
        <w:rPr>
          <w:rFonts w:cs="Times New Roman"/>
        </w:rPr>
        <w:t xml:space="preserve">have long recognised that the primary purpose of the registration system is to provide information to </w:t>
      </w:r>
      <w:r>
        <w:rPr>
          <w:rFonts w:cs="Times New Roman"/>
        </w:rPr>
        <w:t xml:space="preserve">a </w:t>
      </w:r>
      <w:r w:rsidR="00B865E9" w:rsidRPr="000C223D">
        <w:rPr>
          <w:rFonts w:cs="Times New Roman"/>
        </w:rPr>
        <w:t>company’s creditors and prospective creditors about prior mortgages and charges granted by the company over its assets.</w:t>
      </w:r>
      <w:r w:rsidR="00B865E9" w:rsidRPr="000C223D">
        <w:rPr>
          <w:rStyle w:val="FootnoteReference"/>
          <w:rFonts w:cs="Times New Roman"/>
        </w:rPr>
        <w:footnoteReference w:id="1"/>
      </w:r>
      <w:r w:rsidR="00B865E9" w:rsidRPr="000C223D">
        <w:rPr>
          <w:rFonts w:cs="Times New Roman"/>
        </w:rPr>
        <w:t xml:space="preserve"> </w:t>
      </w:r>
    </w:p>
    <w:p w:rsidR="00B865E9" w:rsidRPr="000C223D" w:rsidRDefault="00B865E9" w:rsidP="00982820">
      <w:pPr>
        <w:jc w:val="both"/>
        <w:rPr>
          <w:rFonts w:cs="Times New Roman"/>
        </w:rPr>
      </w:pPr>
      <w:r w:rsidRPr="000C223D">
        <w:rPr>
          <w:rFonts w:cs="Times New Roman"/>
        </w:rPr>
        <w:t>The company charge register is one of several different systems of public registration for security interests in Irish law. Charges over registered</w:t>
      </w:r>
      <w:r w:rsidRPr="000C223D">
        <w:rPr>
          <w:rStyle w:val="FootnoteReference"/>
          <w:rFonts w:cs="Times New Roman"/>
        </w:rPr>
        <w:footnoteReference w:id="2"/>
      </w:r>
      <w:r w:rsidRPr="000C223D">
        <w:rPr>
          <w:rFonts w:cs="Times New Roman"/>
        </w:rPr>
        <w:t xml:space="preserve"> and unregistered</w:t>
      </w:r>
      <w:r w:rsidRPr="000C223D">
        <w:rPr>
          <w:rStyle w:val="FootnoteReference"/>
          <w:rFonts w:cs="Times New Roman"/>
        </w:rPr>
        <w:footnoteReference w:id="3"/>
      </w:r>
      <w:r w:rsidRPr="000C223D">
        <w:rPr>
          <w:rFonts w:cs="Times New Roman"/>
        </w:rPr>
        <w:t xml:space="preserve"> land, security bills of sale,</w:t>
      </w:r>
      <w:r w:rsidRPr="000C223D">
        <w:rPr>
          <w:rStyle w:val="FootnoteReference"/>
          <w:rFonts w:cs="Times New Roman"/>
        </w:rPr>
        <w:footnoteReference w:id="4"/>
      </w:r>
      <w:r w:rsidRPr="000C223D">
        <w:rPr>
          <w:rFonts w:cs="Times New Roman"/>
        </w:rPr>
        <w:t xml:space="preserve"> mortgages over agricultural chattels,</w:t>
      </w:r>
      <w:r w:rsidRPr="000C223D">
        <w:rPr>
          <w:rStyle w:val="FootnoteReference"/>
          <w:rFonts w:cs="Times New Roman"/>
        </w:rPr>
        <w:footnoteReference w:id="5"/>
      </w:r>
      <w:r w:rsidRPr="000C223D">
        <w:rPr>
          <w:rFonts w:cs="Times New Roman"/>
        </w:rPr>
        <w:t xml:space="preserve"> </w:t>
      </w:r>
      <w:r w:rsidR="00737106">
        <w:rPr>
          <w:rFonts w:cs="Times New Roman"/>
        </w:rPr>
        <w:t xml:space="preserve">security interests </w:t>
      </w:r>
      <w:r w:rsidRPr="000C223D">
        <w:rPr>
          <w:rFonts w:cs="Times New Roman"/>
        </w:rPr>
        <w:t>over ships</w:t>
      </w:r>
      <w:r w:rsidRPr="000C223D">
        <w:rPr>
          <w:rStyle w:val="FootnoteReference"/>
          <w:rFonts w:cs="Times New Roman"/>
        </w:rPr>
        <w:footnoteReference w:id="6"/>
      </w:r>
      <w:r w:rsidRPr="000C223D">
        <w:rPr>
          <w:rFonts w:cs="Times New Roman"/>
        </w:rPr>
        <w:t xml:space="preserve"> and aircraft</w:t>
      </w:r>
      <w:r w:rsidRPr="000C223D">
        <w:rPr>
          <w:rStyle w:val="FootnoteReference"/>
          <w:rFonts w:cs="Times New Roman"/>
        </w:rPr>
        <w:footnoteReference w:id="7"/>
      </w:r>
      <w:r w:rsidRPr="000C223D">
        <w:rPr>
          <w:rFonts w:cs="Times New Roman"/>
        </w:rPr>
        <w:t xml:space="preserve"> as well as certain types of security interest</w:t>
      </w:r>
      <w:r w:rsidR="00737106">
        <w:rPr>
          <w:rFonts w:cs="Times New Roman"/>
        </w:rPr>
        <w:t>s</w:t>
      </w:r>
      <w:r w:rsidRPr="000C223D">
        <w:rPr>
          <w:rFonts w:cs="Times New Roman"/>
        </w:rPr>
        <w:t xml:space="preserve"> over various classes of intellectual property</w:t>
      </w:r>
      <w:r w:rsidRPr="000C223D">
        <w:rPr>
          <w:rStyle w:val="FootnoteReference"/>
          <w:rFonts w:cs="Times New Roman"/>
        </w:rPr>
        <w:footnoteReference w:id="8"/>
      </w:r>
      <w:r w:rsidRPr="000C223D">
        <w:rPr>
          <w:rFonts w:cs="Times New Roman"/>
        </w:rPr>
        <w:t xml:space="preserve"> must all be disclosed to the public as a condition </w:t>
      </w:r>
      <w:r w:rsidR="00ED2789">
        <w:rPr>
          <w:rFonts w:cs="Times New Roman"/>
        </w:rPr>
        <w:t xml:space="preserve">either </w:t>
      </w:r>
      <w:r w:rsidRPr="000C223D">
        <w:rPr>
          <w:rFonts w:cs="Times New Roman"/>
        </w:rPr>
        <w:t xml:space="preserve">of their validity or priority. When compared to these other systems of public registration, the company charge register has two unusual features. First, the </w:t>
      </w:r>
      <w:r w:rsidR="00ED2789">
        <w:rPr>
          <w:rFonts w:cs="Times New Roman"/>
        </w:rPr>
        <w:t xml:space="preserve">formal </w:t>
      </w:r>
      <w:r w:rsidRPr="000C223D">
        <w:rPr>
          <w:rFonts w:cs="Times New Roman"/>
        </w:rPr>
        <w:t>obligation to register a charge falls on the company over whose</w:t>
      </w:r>
      <w:r w:rsidR="00737106">
        <w:rPr>
          <w:rFonts w:cs="Times New Roman"/>
        </w:rPr>
        <w:t xml:space="preserve"> property the charge is created,</w:t>
      </w:r>
      <w:r w:rsidRPr="000C223D">
        <w:rPr>
          <w:rFonts w:cs="Times New Roman"/>
        </w:rPr>
        <w:t xml:space="preserve"> though registration can be, and in practice frequently is, carried out by the secured creditor. Second, when a charge is registered</w:t>
      </w:r>
      <w:r w:rsidR="004B4441">
        <w:rPr>
          <w:rFonts w:cs="Times New Roman"/>
        </w:rPr>
        <w:t>,</w:t>
      </w:r>
      <w:r w:rsidRPr="000C223D">
        <w:rPr>
          <w:rFonts w:cs="Times New Roman"/>
        </w:rPr>
        <w:t xml:space="preserve"> the </w:t>
      </w:r>
      <w:r w:rsidR="004B4441">
        <w:rPr>
          <w:rFonts w:cs="Times New Roman"/>
        </w:rPr>
        <w:t xml:space="preserve">Registrar </w:t>
      </w:r>
      <w:r w:rsidRPr="000C223D">
        <w:rPr>
          <w:rFonts w:cs="Times New Roman"/>
        </w:rPr>
        <w:t>issues a certificate of registration of the charge. This certificate is deemed by s</w:t>
      </w:r>
      <w:r w:rsidR="007B49F5">
        <w:rPr>
          <w:rFonts w:cs="Times New Roman"/>
        </w:rPr>
        <w:t>ection 104 of the Companies Act</w:t>
      </w:r>
      <w:r w:rsidRPr="000C223D">
        <w:rPr>
          <w:rFonts w:cs="Times New Roman"/>
        </w:rPr>
        <w:t xml:space="preserve"> 1963 to be </w:t>
      </w:r>
      <w:r w:rsidR="00ED2789">
        <w:rPr>
          <w:rFonts w:cs="Times New Roman"/>
        </w:rPr>
        <w:t xml:space="preserve">conclusive evidence that the requirements of the Act as to registration have been complied with. </w:t>
      </w:r>
    </w:p>
    <w:p w:rsidR="00B865E9" w:rsidRPr="000C223D" w:rsidRDefault="00B865E9" w:rsidP="00982820">
      <w:pPr>
        <w:jc w:val="both"/>
        <w:rPr>
          <w:rFonts w:cs="Times New Roman"/>
        </w:rPr>
      </w:pPr>
      <w:r w:rsidRPr="000C223D">
        <w:rPr>
          <w:rFonts w:cs="Times New Roman"/>
        </w:rPr>
        <w:t xml:space="preserve">This </w:t>
      </w:r>
      <w:r w:rsidR="004B4441">
        <w:rPr>
          <w:rFonts w:cs="Times New Roman"/>
        </w:rPr>
        <w:t xml:space="preserve">article </w:t>
      </w:r>
      <w:r w:rsidRPr="000C223D">
        <w:rPr>
          <w:rFonts w:cs="Times New Roman"/>
        </w:rPr>
        <w:t xml:space="preserve">will examine the judicial interpretation of the conclusive evidence rule. </w:t>
      </w:r>
      <w:r w:rsidR="004B4441">
        <w:rPr>
          <w:rFonts w:cs="Times New Roman"/>
        </w:rPr>
        <w:t xml:space="preserve">It will argue that the current interpretation of section 104 of the Companies Act 1963 is seriously flawed and is based on an incorrect reading of the statutory text. It will also contend that the current interpretation </w:t>
      </w:r>
      <w:r w:rsidRPr="000C223D">
        <w:rPr>
          <w:rFonts w:cs="Times New Roman"/>
        </w:rPr>
        <w:t xml:space="preserve">undermines the legislative policy </w:t>
      </w:r>
      <w:r w:rsidR="004B4441">
        <w:rPr>
          <w:rFonts w:cs="Times New Roman"/>
        </w:rPr>
        <w:t>behind the company re</w:t>
      </w:r>
      <w:r w:rsidR="00ED2789">
        <w:rPr>
          <w:rFonts w:cs="Times New Roman"/>
        </w:rPr>
        <w:t>gister</w:t>
      </w:r>
      <w:r w:rsidR="00737106">
        <w:rPr>
          <w:rFonts w:cs="Times New Roman"/>
        </w:rPr>
        <w:t xml:space="preserve"> and that an alternative interpretation of the section would enhance the operation of registration system</w:t>
      </w:r>
      <w:r w:rsidR="00ED2789">
        <w:rPr>
          <w:rFonts w:cs="Times New Roman"/>
        </w:rPr>
        <w:t>.</w:t>
      </w:r>
      <w:r w:rsidRPr="000C223D">
        <w:rPr>
          <w:rFonts w:cs="Times New Roman"/>
        </w:rPr>
        <w:t xml:space="preserve"> The article is divided into </w:t>
      </w:r>
      <w:r w:rsidR="00251C4B">
        <w:rPr>
          <w:rFonts w:cs="Times New Roman"/>
        </w:rPr>
        <w:t xml:space="preserve">three </w:t>
      </w:r>
      <w:r w:rsidRPr="000C223D">
        <w:rPr>
          <w:rFonts w:cs="Times New Roman"/>
        </w:rPr>
        <w:t>sections. The first section summarise</w:t>
      </w:r>
      <w:r w:rsidR="007B49F5">
        <w:rPr>
          <w:rFonts w:cs="Times New Roman"/>
        </w:rPr>
        <w:t>s</w:t>
      </w:r>
      <w:r w:rsidRPr="000C223D">
        <w:rPr>
          <w:rFonts w:cs="Times New Roman"/>
        </w:rPr>
        <w:t xml:space="preserve"> the existing legislative provisions which established the system of company charge registration. The </w:t>
      </w:r>
      <w:r w:rsidRPr="000C223D">
        <w:rPr>
          <w:rFonts w:cs="Times New Roman"/>
        </w:rPr>
        <w:lastRenderedPageBreak/>
        <w:t>second section examine</w:t>
      </w:r>
      <w:r w:rsidR="007B49F5">
        <w:rPr>
          <w:rFonts w:cs="Times New Roman"/>
        </w:rPr>
        <w:t>s</w:t>
      </w:r>
      <w:r w:rsidRPr="000C223D">
        <w:rPr>
          <w:rFonts w:cs="Times New Roman"/>
        </w:rPr>
        <w:t xml:space="preserve"> </w:t>
      </w:r>
      <w:r w:rsidR="00737106">
        <w:rPr>
          <w:rFonts w:cs="Times New Roman"/>
        </w:rPr>
        <w:t xml:space="preserve">a number of </w:t>
      </w:r>
      <w:r w:rsidRPr="000C223D">
        <w:rPr>
          <w:rFonts w:cs="Times New Roman"/>
        </w:rPr>
        <w:t>reported Irish and English cases which have required the courts to consider the meaning of section 104 or its English equivalents</w:t>
      </w:r>
      <w:r w:rsidR="00737106">
        <w:rPr>
          <w:rFonts w:cs="Times New Roman"/>
        </w:rPr>
        <w:t xml:space="preserve"> in various different circumstances</w:t>
      </w:r>
      <w:r w:rsidRPr="000C223D">
        <w:rPr>
          <w:rFonts w:cs="Times New Roman"/>
        </w:rPr>
        <w:t xml:space="preserve">. The third section </w:t>
      </w:r>
      <w:r w:rsidR="00251C4B">
        <w:rPr>
          <w:rFonts w:cs="Times New Roman"/>
        </w:rPr>
        <w:t>present</w:t>
      </w:r>
      <w:r w:rsidR="007B49F5">
        <w:rPr>
          <w:rFonts w:cs="Times New Roman"/>
        </w:rPr>
        <w:t>s</w:t>
      </w:r>
      <w:r w:rsidR="00251C4B">
        <w:rPr>
          <w:rFonts w:cs="Times New Roman"/>
        </w:rPr>
        <w:t xml:space="preserve"> an alternative </w:t>
      </w:r>
      <w:r w:rsidR="00F81261">
        <w:rPr>
          <w:rFonts w:cs="Times New Roman"/>
        </w:rPr>
        <w:t xml:space="preserve">possibility for the </w:t>
      </w:r>
      <w:r w:rsidR="00251C4B">
        <w:rPr>
          <w:rFonts w:cs="Times New Roman"/>
        </w:rPr>
        <w:t>interpretation of section 104 and argue</w:t>
      </w:r>
      <w:r w:rsidR="007B49F5">
        <w:rPr>
          <w:rFonts w:cs="Times New Roman"/>
        </w:rPr>
        <w:t>s</w:t>
      </w:r>
      <w:r w:rsidR="00F81261">
        <w:rPr>
          <w:rFonts w:cs="Times New Roman"/>
        </w:rPr>
        <w:t xml:space="preserve"> that this alternative demonstrates greater fidelity to the statutory text as well as offering a more sensible policy outcome in the operation of the company charge register</w:t>
      </w:r>
      <w:r w:rsidRPr="000C223D">
        <w:rPr>
          <w:rFonts w:cs="Times New Roman"/>
        </w:rPr>
        <w:t>.</w:t>
      </w:r>
      <w:r w:rsidR="00F81261">
        <w:rPr>
          <w:rFonts w:cs="Times New Roman"/>
        </w:rPr>
        <w:t xml:space="preserve"> A brief conclusion follow</w:t>
      </w:r>
      <w:r w:rsidR="007B49F5">
        <w:rPr>
          <w:rFonts w:cs="Times New Roman"/>
        </w:rPr>
        <w:t>s</w:t>
      </w:r>
      <w:r w:rsidR="005325B6">
        <w:rPr>
          <w:rFonts w:cs="Times New Roman"/>
        </w:rPr>
        <w:t xml:space="preserve"> which includes a discussion of the proposed changes to Irish </w:t>
      </w:r>
      <w:r w:rsidR="00641E83">
        <w:rPr>
          <w:rFonts w:cs="Times New Roman"/>
        </w:rPr>
        <w:t>c</w:t>
      </w:r>
      <w:r w:rsidR="005325B6">
        <w:rPr>
          <w:rFonts w:cs="Times New Roman"/>
        </w:rPr>
        <w:t>ompany</w:t>
      </w:r>
      <w:r w:rsidR="00641E83">
        <w:rPr>
          <w:rFonts w:cs="Times New Roman"/>
        </w:rPr>
        <w:t xml:space="preserve"> law</w:t>
      </w:r>
      <w:r w:rsidR="005325B6">
        <w:rPr>
          <w:rFonts w:cs="Times New Roman"/>
        </w:rPr>
        <w:t xml:space="preserve"> in the Companies Consolidation and Reform Bill 2012</w:t>
      </w:r>
      <w:r w:rsidR="00F81261">
        <w:rPr>
          <w:rFonts w:cs="Times New Roman"/>
        </w:rPr>
        <w:t xml:space="preserve">. </w:t>
      </w:r>
    </w:p>
    <w:p w:rsidR="00B865E9" w:rsidRPr="000C223D" w:rsidRDefault="00B865E9" w:rsidP="00982820">
      <w:pPr>
        <w:jc w:val="both"/>
        <w:rPr>
          <w:rFonts w:cs="Times New Roman"/>
        </w:rPr>
      </w:pPr>
    </w:p>
    <w:p w:rsidR="00B865E9" w:rsidRPr="000C223D" w:rsidRDefault="00B865E9" w:rsidP="00453C9B">
      <w:pPr>
        <w:pStyle w:val="ListParagraph"/>
        <w:numPr>
          <w:ilvl w:val="0"/>
          <w:numId w:val="12"/>
        </w:numPr>
        <w:jc w:val="both"/>
        <w:outlineLvl w:val="0"/>
        <w:rPr>
          <w:rFonts w:cs="Times New Roman"/>
        </w:rPr>
      </w:pPr>
      <w:r w:rsidRPr="000C223D">
        <w:rPr>
          <w:rFonts w:cs="Times New Roman"/>
          <w:b/>
        </w:rPr>
        <w:t xml:space="preserve">The Company Charge Register </w:t>
      </w:r>
    </w:p>
    <w:p w:rsidR="00B865E9" w:rsidRPr="000C223D" w:rsidRDefault="00B865E9" w:rsidP="00982820">
      <w:pPr>
        <w:tabs>
          <w:tab w:val="left" w:pos="2552"/>
        </w:tabs>
        <w:jc w:val="both"/>
        <w:rPr>
          <w:rFonts w:cs="Times New Roman"/>
        </w:rPr>
      </w:pPr>
      <w:r w:rsidRPr="000C223D">
        <w:rPr>
          <w:rFonts w:cs="Times New Roman"/>
        </w:rPr>
        <w:t xml:space="preserve">The company charge register was first established by the Companies </w:t>
      </w:r>
      <w:r w:rsidR="007B49F5">
        <w:rPr>
          <w:rFonts w:cs="Times New Roman"/>
        </w:rPr>
        <w:t>Act</w:t>
      </w:r>
      <w:r w:rsidRPr="000C223D">
        <w:rPr>
          <w:rFonts w:cs="Times New Roman"/>
        </w:rPr>
        <w:t xml:space="preserve"> 1900. When introducing </w:t>
      </w:r>
      <w:r w:rsidR="007B49F5">
        <w:rPr>
          <w:rFonts w:cs="Times New Roman"/>
        </w:rPr>
        <w:t xml:space="preserve">the </w:t>
      </w:r>
      <w:r w:rsidRPr="000C223D">
        <w:rPr>
          <w:rFonts w:cs="Times New Roman"/>
        </w:rPr>
        <w:t xml:space="preserve">legislation </w:t>
      </w:r>
      <w:r w:rsidR="00737106">
        <w:rPr>
          <w:rFonts w:cs="Times New Roman"/>
        </w:rPr>
        <w:t xml:space="preserve">at </w:t>
      </w:r>
      <w:r w:rsidRPr="000C223D">
        <w:rPr>
          <w:rFonts w:cs="Times New Roman"/>
        </w:rPr>
        <w:t xml:space="preserve">its second reading in the House of Commons, the then President of the Board of Trade, Charles Ritchie MP, stated that the purpose of the register was to provide the fullest possible publicity of any mortgages or charges over company property and thereby </w:t>
      </w:r>
      <w:r w:rsidR="004B4441">
        <w:rPr>
          <w:rFonts w:cs="Times New Roman"/>
        </w:rPr>
        <w:t xml:space="preserve">avoid </w:t>
      </w:r>
      <w:r w:rsidRPr="000C223D">
        <w:rPr>
          <w:rFonts w:cs="Times New Roman"/>
        </w:rPr>
        <w:t>the “evil which at present exists … that when it comes to the winding up of some companies it is found that the whole of the available assets of the company are mortgaged, and there is nothing at all to divide among the unhappy creditors”.</w:t>
      </w:r>
      <w:r w:rsidRPr="000C223D">
        <w:rPr>
          <w:rStyle w:val="FootnoteReference"/>
          <w:rFonts w:cs="Times New Roman"/>
        </w:rPr>
        <w:footnoteReference w:id="9"/>
      </w:r>
      <w:r w:rsidRPr="000C223D">
        <w:rPr>
          <w:rFonts w:cs="Times New Roman"/>
        </w:rPr>
        <w:t xml:space="preserve"> The Companies </w:t>
      </w:r>
      <w:r w:rsidR="007B49F5">
        <w:rPr>
          <w:rFonts w:cs="Times New Roman"/>
        </w:rPr>
        <w:t>Act</w:t>
      </w:r>
      <w:r w:rsidRPr="000C223D">
        <w:rPr>
          <w:rFonts w:cs="Times New Roman"/>
        </w:rPr>
        <w:t xml:space="preserve"> 1900 provided for registration of four classes of charge: charges for the purposes of securing an issue of debentures; charges on the uncalled capital of the company; charges which if registered by an individual would require registration as a bill of sale and floating charges. The system was extended to charges over land wherever situate and charges over the company’s book debts in 1907.</w:t>
      </w:r>
      <w:r w:rsidRPr="000C223D">
        <w:rPr>
          <w:rStyle w:val="FootnoteReference"/>
          <w:rFonts w:cs="Times New Roman"/>
        </w:rPr>
        <w:footnoteReference w:id="10"/>
      </w:r>
      <w:r w:rsidRPr="000C223D">
        <w:rPr>
          <w:rFonts w:cs="Times New Roman"/>
        </w:rPr>
        <w:t xml:space="preserve"> The Companies </w:t>
      </w:r>
      <w:r w:rsidR="007B49F5">
        <w:rPr>
          <w:rFonts w:cs="Times New Roman"/>
        </w:rPr>
        <w:t>Act</w:t>
      </w:r>
      <w:r w:rsidRPr="000C223D">
        <w:rPr>
          <w:rFonts w:cs="Times New Roman"/>
        </w:rPr>
        <w:t xml:space="preserve"> 1963 added charges over ships</w:t>
      </w:r>
      <w:r w:rsidR="004B4441">
        <w:rPr>
          <w:rFonts w:cs="Times New Roman"/>
        </w:rPr>
        <w:t xml:space="preserve">, charges over calls </w:t>
      </w:r>
      <w:r w:rsidR="00737106">
        <w:rPr>
          <w:rFonts w:cs="Times New Roman"/>
        </w:rPr>
        <w:t xml:space="preserve">on share capital </w:t>
      </w:r>
      <w:r w:rsidR="004B4441">
        <w:rPr>
          <w:rFonts w:cs="Times New Roman"/>
        </w:rPr>
        <w:t>made but not paid</w:t>
      </w:r>
      <w:r w:rsidRPr="000C223D">
        <w:rPr>
          <w:rFonts w:cs="Times New Roman"/>
        </w:rPr>
        <w:t xml:space="preserve"> and charges on intellectual property to the system in line with previous English legislation</w:t>
      </w:r>
      <w:r w:rsidR="004B4441">
        <w:rPr>
          <w:rFonts w:cs="Times New Roman"/>
        </w:rPr>
        <w:t>.</w:t>
      </w:r>
      <w:r w:rsidRPr="000C223D">
        <w:rPr>
          <w:rStyle w:val="FootnoteReference"/>
          <w:rFonts w:cs="Times New Roman"/>
        </w:rPr>
        <w:footnoteReference w:id="11"/>
      </w:r>
      <w:r w:rsidRPr="000C223D">
        <w:rPr>
          <w:rFonts w:cs="Times New Roman"/>
        </w:rPr>
        <w:t xml:space="preserve"> </w:t>
      </w:r>
      <w:r w:rsidR="004B4441">
        <w:rPr>
          <w:rFonts w:cs="Times New Roman"/>
        </w:rPr>
        <w:t>T</w:t>
      </w:r>
      <w:r w:rsidRPr="000C223D">
        <w:rPr>
          <w:rFonts w:cs="Times New Roman"/>
        </w:rPr>
        <w:t xml:space="preserve">he Companies </w:t>
      </w:r>
      <w:r w:rsidR="007B49F5">
        <w:rPr>
          <w:rFonts w:cs="Times New Roman"/>
        </w:rPr>
        <w:t>Act</w:t>
      </w:r>
      <w:r w:rsidRPr="000C223D">
        <w:rPr>
          <w:rFonts w:cs="Times New Roman"/>
        </w:rPr>
        <w:t xml:space="preserve"> 1990 further extended the system to include charges over aircraft.</w:t>
      </w:r>
      <w:r w:rsidRPr="000C223D">
        <w:rPr>
          <w:rStyle w:val="FootnoteReference"/>
          <w:rFonts w:cs="Times New Roman"/>
        </w:rPr>
        <w:footnoteReference w:id="12"/>
      </w:r>
      <w:r w:rsidRPr="000C223D">
        <w:rPr>
          <w:rFonts w:cs="Times New Roman"/>
        </w:rPr>
        <w:t xml:space="preserve"> </w:t>
      </w:r>
    </w:p>
    <w:p w:rsidR="00B865E9" w:rsidRPr="000C223D" w:rsidRDefault="004B4441" w:rsidP="00982820">
      <w:pPr>
        <w:tabs>
          <w:tab w:val="left" w:pos="2552"/>
        </w:tabs>
        <w:jc w:val="both"/>
        <w:rPr>
          <w:rFonts w:cs="Times New Roman"/>
        </w:rPr>
      </w:pPr>
      <w:r>
        <w:rPr>
          <w:rFonts w:cs="Times New Roman"/>
        </w:rPr>
        <w:t xml:space="preserve">At present, </w:t>
      </w:r>
      <w:r w:rsidR="009E2A3D">
        <w:rPr>
          <w:rFonts w:cs="Times New Roman"/>
        </w:rPr>
        <w:t xml:space="preserve">the </w:t>
      </w:r>
      <w:r>
        <w:rPr>
          <w:rFonts w:cs="Times New Roman"/>
        </w:rPr>
        <w:t xml:space="preserve">principal </w:t>
      </w:r>
      <w:r w:rsidR="00B865E9" w:rsidRPr="000C223D">
        <w:rPr>
          <w:rFonts w:cs="Times New Roman"/>
        </w:rPr>
        <w:t xml:space="preserve">legislative provisions for the registration of company charges in Ireland are to be found in sections 99 – 106 of the Companies Act 1963. The scheme can be briefly summarised as follows. Section 99(2) sets </w:t>
      </w:r>
      <w:r w:rsidR="00737106">
        <w:rPr>
          <w:rFonts w:cs="Times New Roman"/>
        </w:rPr>
        <w:t xml:space="preserve">out </w:t>
      </w:r>
      <w:r w:rsidR="00B865E9" w:rsidRPr="000C223D">
        <w:rPr>
          <w:rFonts w:cs="Times New Roman"/>
        </w:rPr>
        <w:t xml:space="preserve">a list of registrable charges. Section 99(1) states that a registrable charge is void against the liquidator and any creditor of the company unless certain information </w:t>
      </w:r>
      <w:r>
        <w:rPr>
          <w:rFonts w:cs="Times New Roman"/>
        </w:rPr>
        <w:t xml:space="preserve">(‘the particulars’) </w:t>
      </w:r>
      <w:r w:rsidR="00B865E9" w:rsidRPr="000C223D">
        <w:rPr>
          <w:rFonts w:cs="Times New Roman"/>
        </w:rPr>
        <w:t xml:space="preserve">about the charge is delivered to the CRO within 21 days of its creation. </w:t>
      </w:r>
      <w:r w:rsidR="000043A9">
        <w:rPr>
          <w:rFonts w:cs="Times New Roman"/>
        </w:rPr>
        <w:t xml:space="preserve">In effect, if the requirements of section 99 are not complied with, the secured creditor loses the benefit of the charge and becomes an unsecured creditor in the event of the company’s default. </w:t>
      </w:r>
      <w:r w:rsidR="00B865E9" w:rsidRPr="000C223D">
        <w:rPr>
          <w:rFonts w:cs="Times New Roman"/>
        </w:rPr>
        <w:t xml:space="preserve">In addition, </w:t>
      </w:r>
      <w:r w:rsidR="004E020C">
        <w:rPr>
          <w:rFonts w:cs="Times New Roman"/>
        </w:rPr>
        <w:t>non-compliance results in</w:t>
      </w:r>
      <w:r w:rsidR="00B865E9" w:rsidRPr="000C223D">
        <w:rPr>
          <w:rFonts w:cs="Times New Roman"/>
        </w:rPr>
        <w:t xml:space="preserve"> any monies secured by the charge becom</w:t>
      </w:r>
      <w:r w:rsidR="004E020C">
        <w:rPr>
          <w:rFonts w:cs="Times New Roman"/>
        </w:rPr>
        <w:t>ing</w:t>
      </w:r>
      <w:r w:rsidR="00B865E9" w:rsidRPr="000C223D">
        <w:rPr>
          <w:rFonts w:cs="Times New Roman"/>
        </w:rPr>
        <w:t xml:space="preserve"> immediately repayable.</w:t>
      </w:r>
      <w:r w:rsidR="00737106">
        <w:rPr>
          <w:rFonts w:cs="Times New Roman"/>
        </w:rPr>
        <w:t xml:space="preserve"> With the exception of the sanction of invalidity, the provisions of Part IV do not affect the priority of registrable </w:t>
      </w:r>
      <w:r w:rsidR="00737106">
        <w:rPr>
          <w:rFonts w:cs="Times New Roman"/>
        </w:rPr>
        <w:lastRenderedPageBreak/>
        <w:t xml:space="preserve">charges. </w:t>
      </w:r>
      <w:r w:rsidR="00817EC2">
        <w:rPr>
          <w:rFonts w:cs="Times New Roman"/>
        </w:rPr>
        <w:t>For most types of charges</w:t>
      </w:r>
      <w:r w:rsidR="007B49F5">
        <w:rPr>
          <w:rFonts w:cs="Times New Roman"/>
        </w:rPr>
        <w:t>, p</w:t>
      </w:r>
      <w:r w:rsidR="00737106">
        <w:rPr>
          <w:rFonts w:cs="Times New Roman"/>
        </w:rPr>
        <w:t xml:space="preserve">riority </w:t>
      </w:r>
      <w:r w:rsidR="00817EC2">
        <w:rPr>
          <w:rFonts w:cs="Times New Roman"/>
        </w:rPr>
        <w:t xml:space="preserve">will be </w:t>
      </w:r>
      <w:r w:rsidR="00737106">
        <w:rPr>
          <w:rFonts w:cs="Times New Roman"/>
        </w:rPr>
        <w:t>determined by the order in which the charge was created.</w:t>
      </w:r>
      <w:r w:rsidR="000043A9">
        <w:rPr>
          <w:rStyle w:val="FootnoteReference"/>
          <w:rFonts w:cs="Times New Roman"/>
        </w:rPr>
        <w:footnoteReference w:id="13"/>
      </w:r>
      <w:r w:rsidR="00B865E9" w:rsidRPr="000C223D">
        <w:rPr>
          <w:rFonts w:cs="Times New Roman"/>
        </w:rPr>
        <w:t xml:space="preserve"> </w:t>
      </w:r>
    </w:p>
    <w:p w:rsidR="00B865E9" w:rsidRPr="000C223D" w:rsidRDefault="00B865E9" w:rsidP="00982820">
      <w:pPr>
        <w:jc w:val="both"/>
        <w:rPr>
          <w:rFonts w:cs="Times New Roman"/>
        </w:rPr>
      </w:pPr>
      <w:r w:rsidRPr="000C223D">
        <w:rPr>
          <w:rFonts w:cs="Times New Roman"/>
        </w:rPr>
        <w:t xml:space="preserve">Section 100 establishes that it is the duty of the company creating the charge to </w:t>
      </w:r>
      <w:r w:rsidR="004B4441">
        <w:rPr>
          <w:rFonts w:cs="Times New Roman"/>
        </w:rPr>
        <w:t xml:space="preserve">deliver the particulars </w:t>
      </w:r>
      <w:r w:rsidRPr="000C223D">
        <w:rPr>
          <w:rFonts w:cs="Times New Roman"/>
        </w:rPr>
        <w:t xml:space="preserve">in a timely manner and provides for a criminal sanction </w:t>
      </w:r>
      <w:r w:rsidR="004E020C">
        <w:rPr>
          <w:rFonts w:cs="Times New Roman"/>
        </w:rPr>
        <w:t xml:space="preserve">against the company and any officer in default </w:t>
      </w:r>
      <w:r w:rsidRPr="000C223D">
        <w:rPr>
          <w:rFonts w:cs="Times New Roman"/>
        </w:rPr>
        <w:t xml:space="preserve">in the event that the company’s default results in a registrable charge going unregistered. Section 100 also permits any other person who has an interest in the charge to </w:t>
      </w:r>
      <w:r w:rsidR="00EF0B41">
        <w:rPr>
          <w:rFonts w:cs="Times New Roman"/>
        </w:rPr>
        <w:t xml:space="preserve">apply to have the charge registered </w:t>
      </w:r>
      <w:r w:rsidRPr="000C223D">
        <w:rPr>
          <w:rFonts w:cs="Times New Roman"/>
        </w:rPr>
        <w:t xml:space="preserve">and to recover the costs of doing so from the company. </w:t>
      </w:r>
    </w:p>
    <w:p w:rsidR="00B865E9" w:rsidRPr="000C223D" w:rsidRDefault="00B865E9" w:rsidP="00982820">
      <w:pPr>
        <w:jc w:val="both"/>
        <w:rPr>
          <w:rFonts w:cs="Times New Roman"/>
        </w:rPr>
      </w:pPr>
      <w:r w:rsidRPr="000C223D">
        <w:rPr>
          <w:rFonts w:cs="Times New Roman"/>
        </w:rPr>
        <w:t xml:space="preserve">The mechanics of the registration process are governed by sections 103-106. Section 103 requires the Registrar of Companies to maintain a register of charges in relation to each company which must contain the following particulars: (a) the date of creation of the charge; (b) the amount secured by the charge; (c) short particulars of the property charged and (d) the details of the person(s) entitled to the charge. Where a charge is to the benefit of the holders of a series of debentures the company must deliver a different set of particulars, including: (a) the total amount secured by the series of debenture (b) the dates and resolutions which authorised the issue together with the date of the covering deed by which the security is created or defined; (c) a general description of the property charged and (d) the names of the trustees, if any for the debenture holders. The Registrar is also required to enter a notice of satisfaction onto the </w:t>
      </w:r>
      <w:r w:rsidR="007B49F5">
        <w:rPr>
          <w:rFonts w:cs="Times New Roman"/>
        </w:rPr>
        <w:t xml:space="preserve">register </w:t>
      </w:r>
      <w:r w:rsidRPr="000C223D">
        <w:rPr>
          <w:rFonts w:cs="Times New Roman"/>
        </w:rPr>
        <w:t>once supplied with evidence that the secured obligation has been discharged or that some or all of the charged property has been otherwise released from the charge.</w:t>
      </w:r>
      <w:r w:rsidRPr="000C223D">
        <w:rPr>
          <w:rStyle w:val="FootnoteReference"/>
          <w:rFonts w:cs="Times New Roman"/>
        </w:rPr>
        <w:footnoteReference w:id="14"/>
      </w:r>
      <w:r w:rsidRPr="000C223D">
        <w:rPr>
          <w:rFonts w:cs="Times New Roman"/>
        </w:rPr>
        <w:t xml:space="preserve"> </w:t>
      </w:r>
    </w:p>
    <w:p w:rsidR="00B865E9" w:rsidRPr="000C223D" w:rsidRDefault="00B865E9" w:rsidP="00982820">
      <w:pPr>
        <w:jc w:val="both"/>
        <w:rPr>
          <w:rFonts w:cs="Times New Roman"/>
        </w:rPr>
      </w:pPr>
      <w:r w:rsidRPr="000C223D">
        <w:rPr>
          <w:rFonts w:cs="Times New Roman"/>
        </w:rPr>
        <w:t xml:space="preserve">Unlike the equivalent provisions in </w:t>
      </w:r>
      <w:r w:rsidR="0055044F">
        <w:rPr>
          <w:rFonts w:cs="Times New Roman"/>
        </w:rPr>
        <w:t xml:space="preserve">force in </w:t>
      </w:r>
      <w:r w:rsidRPr="000C223D">
        <w:rPr>
          <w:rFonts w:cs="Times New Roman"/>
        </w:rPr>
        <w:t>England</w:t>
      </w:r>
      <w:r w:rsidR="0055044F">
        <w:rPr>
          <w:rFonts w:cs="Times New Roman"/>
        </w:rPr>
        <w:t xml:space="preserve"> until 2013</w:t>
      </w:r>
      <w:r w:rsidRPr="000C223D">
        <w:rPr>
          <w:rFonts w:cs="Times New Roman"/>
        </w:rPr>
        <w:t>,</w:t>
      </w:r>
      <w:r w:rsidRPr="000C223D">
        <w:rPr>
          <w:rStyle w:val="FootnoteReference"/>
          <w:rFonts w:cs="Times New Roman"/>
        </w:rPr>
        <w:footnoteReference w:id="15"/>
      </w:r>
      <w:r w:rsidRPr="000C223D">
        <w:rPr>
          <w:rFonts w:cs="Times New Roman"/>
        </w:rPr>
        <w:t xml:space="preserve"> there is no requirement for a copy of the original charge documentation to be supplied to the Registrar. The English companies’ legislation is </w:t>
      </w:r>
      <w:r w:rsidR="00EF0B41">
        <w:rPr>
          <w:rFonts w:cs="Times New Roman"/>
        </w:rPr>
        <w:t xml:space="preserve">widely </w:t>
      </w:r>
      <w:r w:rsidRPr="000C223D">
        <w:rPr>
          <w:rFonts w:cs="Times New Roman"/>
        </w:rPr>
        <w:t>regarded as imposing an obligation on the Registrar of Companies to compare the particulars supplied against the original charge document before entering the correct particulars into the charge register.</w:t>
      </w:r>
      <w:r w:rsidRPr="000C223D">
        <w:rPr>
          <w:rStyle w:val="FootnoteReference"/>
          <w:rFonts w:cs="Times New Roman"/>
        </w:rPr>
        <w:footnoteReference w:id="16"/>
      </w:r>
      <w:r w:rsidRPr="000C223D">
        <w:rPr>
          <w:rFonts w:cs="Times New Roman"/>
        </w:rPr>
        <w:t xml:space="preserve"> This requirement has been frequently criticised in England as placing an unduly onerous burden on the Registrar and for potentially exposing the Registrar to liability in the event of an error made by the staff of the Registrar.</w:t>
      </w:r>
      <w:r w:rsidRPr="000C223D">
        <w:rPr>
          <w:rStyle w:val="FootnoteReference"/>
          <w:rFonts w:cs="Times New Roman"/>
        </w:rPr>
        <w:footnoteReference w:id="17"/>
      </w:r>
      <w:r w:rsidRPr="000C223D">
        <w:rPr>
          <w:rFonts w:cs="Times New Roman"/>
        </w:rPr>
        <w:t xml:space="preserve"> The absence of the requirement to supply the original charge document in all cases to the Registrar in Ireland is the result of an amendment to the Companies Bill, 1962, taken at Committee Stage during the legislation’s passage through Dáil</w:t>
      </w:r>
      <w:r w:rsidR="00EF0B41">
        <w:rPr>
          <w:rFonts w:cs="Times New Roman"/>
        </w:rPr>
        <w:t xml:space="preserve"> Éireann</w:t>
      </w:r>
      <w:r w:rsidRPr="000C223D">
        <w:rPr>
          <w:rFonts w:cs="Times New Roman"/>
        </w:rPr>
        <w:t xml:space="preserve">. Introducing </w:t>
      </w:r>
      <w:r w:rsidRPr="000C223D">
        <w:rPr>
          <w:rFonts w:cs="Times New Roman"/>
        </w:rPr>
        <w:lastRenderedPageBreak/>
        <w:t xml:space="preserve">the amendment, the then Minister for Industry and Commerce, Jack Lynch TD, stated that the Government intended </w:t>
      </w:r>
      <w:r w:rsidR="00EF0B41">
        <w:rPr>
          <w:rFonts w:cs="Times New Roman"/>
        </w:rPr>
        <w:t xml:space="preserve">it </w:t>
      </w:r>
      <w:r w:rsidRPr="000C223D">
        <w:rPr>
          <w:rFonts w:cs="Times New Roman"/>
        </w:rPr>
        <w:t>to implement the recommendations of the Jenkins Committee which had criticised the check</w:t>
      </w:r>
      <w:r w:rsidR="00EF0B41">
        <w:rPr>
          <w:rFonts w:cs="Times New Roman"/>
        </w:rPr>
        <w:t>ing</w:t>
      </w:r>
      <w:r w:rsidRPr="000C223D">
        <w:rPr>
          <w:rFonts w:cs="Times New Roman"/>
        </w:rPr>
        <w:t xml:space="preserve"> function of the English Registrar of Companies.</w:t>
      </w:r>
      <w:r w:rsidRPr="000C223D">
        <w:rPr>
          <w:rStyle w:val="FootnoteReference"/>
          <w:rFonts w:cs="Times New Roman"/>
        </w:rPr>
        <w:footnoteReference w:id="18"/>
      </w:r>
      <w:r w:rsidRPr="000C223D">
        <w:rPr>
          <w:rFonts w:cs="Times New Roman"/>
        </w:rPr>
        <w:t xml:space="preserve"> It would seem, therefore that in this jurisdiction the Registrar’s ro</w:t>
      </w:r>
      <w:r w:rsidR="00EF0B41">
        <w:rPr>
          <w:rFonts w:cs="Times New Roman"/>
        </w:rPr>
        <w:t xml:space="preserve">le is purely mechanical and that there is no requirement for the Registrar to check </w:t>
      </w:r>
      <w:r w:rsidR="007B49F5">
        <w:rPr>
          <w:rFonts w:cs="Times New Roman"/>
        </w:rPr>
        <w:t xml:space="preserve">the </w:t>
      </w:r>
      <w:r w:rsidR="00EF0B41">
        <w:rPr>
          <w:rFonts w:cs="Times New Roman"/>
        </w:rPr>
        <w:t>accuracy of the particulars prior to registering a charge</w:t>
      </w:r>
      <w:r w:rsidRPr="000C223D">
        <w:rPr>
          <w:rFonts w:cs="Times New Roman"/>
        </w:rPr>
        <w:t xml:space="preserve">. </w:t>
      </w:r>
    </w:p>
    <w:p w:rsidR="00B865E9" w:rsidRPr="000C223D" w:rsidRDefault="00B865E9" w:rsidP="00982820">
      <w:pPr>
        <w:jc w:val="both"/>
        <w:rPr>
          <w:rFonts w:cs="Times New Roman"/>
        </w:rPr>
      </w:pPr>
      <w:r w:rsidRPr="000C223D">
        <w:rPr>
          <w:rFonts w:cs="Times New Roman"/>
        </w:rPr>
        <w:t xml:space="preserve">In practice, </w:t>
      </w:r>
      <w:r w:rsidR="00EF0B41">
        <w:rPr>
          <w:rFonts w:cs="Times New Roman"/>
        </w:rPr>
        <w:t xml:space="preserve">the particulars of a </w:t>
      </w:r>
      <w:r w:rsidRPr="000C223D">
        <w:rPr>
          <w:rFonts w:cs="Times New Roman"/>
        </w:rPr>
        <w:t xml:space="preserve">charge </w:t>
      </w:r>
      <w:r w:rsidR="00EF0B41">
        <w:rPr>
          <w:rFonts w:cs="Times New Roman"/>
        </w:rPr>
        <w:t xml:space="preserve">are delivered </w:t>
      </w:r>
      <w:r w:rsidRPr="000C223D">
        <w:rPr>
          <w:rFonts w:cs="Times New Roman"/>
        </w:rPr>
        <w:t xml:space="preserve">using a statutory form, Form C1, which </w:t>
      </w:r>
      <w:r w:rsidR="00EF0B41">
        <w:rPr>
          <w:rFonts w:cs="Times New Roman"/>
        </w:rPr>
        <w:t xml:space="preserve">finds its legal basis in </w:t>
      </w:r>
      <w:r w:rsidRPr="000C223D">
        <w:rPr>
          <w:rFonts w:cs="Times New Roman"/>
        </w:rPr>
        <w:t>the Companies (Forms) Order, 2001.</w:t>
      </w:r>
      <w:r w:rsidRPr="000C223D">
        <w:rPr>
          <w:rStyle w:val="FootnoteReference"/>
          <w:rFonts w:cs="Times New Roman"/>
        </w:rPr>
        <w:footnoteReference w:id="19"/>
      </w:r>
      <w:r w:rsidRPr="000C223D">
        <w:rPr>
          <w:rFonts w:cs="Times New Roman"/>
        </w:rPr>
        <w:t xml:space="preserve"> In contrast to the English position,</w:t>
      </w:r>
      <w:r w:rsidRPr="000C223D">
        <w:rPr>
          <w:rStyle w:val="FootnoteReference"/>
          <w:rFonts w:cs="Times New Roman"/>
        </w:rPr>
        <w:footnoteReference w:id="20"/>
      </w:r>
      <w:r w:rsidRPr="000C223D">
        <w:rPr>
          <w:rFonts w:cs="Times New Roman"/>
        </w:rPr>
        <w:t xml:space="preserve"> the text of section 99(1) of the Companies </w:t>
      </w:r>
      <w:r w:rsidR="007B49F5">
        <w:rPr>
          <w:rFonts w:cs="Times New Roman"/>
        </w:rPr>
        <w:t>Act</w:t>
      </w:r>
      <w:r w:rsidRPr="000C223D">
        <w:rPr>
          <w:rFonts w:cs="Times New Roman"/>
        </w:rPr>
        <w:t xml:space="preserve"> 1963 requires that the particulars of a charge be delivered in the prescribed manner and it would therefore appear that Form C1 must be used for this purpose. Form C1 requires the provision of the company’s registered number and an indication of which of the registrable categories set out in section 99(2) the charge falls </w:t>
      </w:r>
      <w:r w:rsidR="00EF0B41">
        <w:rPr>
          <w:rFonts w:cs="Times New Roman"/>
        </w:rPr>
        <w:t xml:space="preserve">within. The form also requires the person delivering the particulars </w:t>
      </w:r>
      <w:r w:rsidRPr="000C223D">
        <w:rPr>
          <w:rFonts w:cs="Times New Roman"/>
        </w:rPr>
        <w:t xml:space="preserve">to sign the form in a section entitled “Verification”. The guidance notes appended to the form indicate that where the form is signed on behalf of a company, the signature provided must be that of a director, secretary or solicitor acting for the company or of some other person duly authorised by the articles of association. </w:t>
      </w:r>
    </w:p>
    <w:p w:rsidR="00B865E9" w:rsidRPr="000C223D" w:rsidRDefault="00B865E9" w:rsidP="00982820">
      <w:pPr>
        <w:jc w:val="both"/>
        <w:rPr>
          <w:rFonts w:cs="Times New Roman"/>
        </w:rPr>
      </w:pPr>
      <w:r w:rsidRPr="000C223D">
        <w:rPr>
          <w:rFonts w:cs="Times New Roman"/>
        </w:rPr>
        <w:t xml:space="preserve">The legal consequences of the signature are not clear. Though the use of the term ‘verification’ </w:t>
      </w:r>
      <w:r w:rsidR="00B15DA6">
        <w:rPr>
          <w:rFonts w:cs="Times New Roman"/>
        </w:rPr>
        <w:t xml:space="preserve">might be taken to imply </w:t>
      </w:r>
      <w:r w:rsidRPr="000C223D">
        <w:rPr>
          <w:rFonts w:cs="Times New Roman"/>
        </w:rPr>
        <w:t xml:space="preserve">that the signature </w:t>
      </w:r>
      <w:r w:rsidR="00B15DA6">
        <w:rPr>
          <w:rFonts w:cs="Times New Roman"/>
        </w:rPr>
        <w:t xml:space="preserve">attests </w:t>
      </w:r>
      <w:r w:rsidRPr="000C223D">
        <w:rPr>
          <w:rFonts w:cs="Times New Roman"/>
        </w:rPr>
        <w:t xml:space="preserve">the accuracy of the particulars supplied, the form does not contain </w:t>
      </w:r>
      <w:r w:rsidR="007B49F5">
        <w:rPr>
          <w:rFonts w:cs="Times New Roman"/>
        </w:rPr>
        <w:t xml:space="preserve">a </w:t>
      </w:r>
      <w:r w:rsidRPr="000C223D">
        <w:rPr>
          <w:rFonts w:cs="Times New Roman"/>
        </w:rPr>
        <w:t>statement</w:t>
      </w:r>
      <w:r w:rsidR="007B49F5">
        <w:rPr>
          <w:rFonts w:cs="Times New Roman"/>
        </w:rPr>
        <w:t xml:space="preserve"> to this effect</w:t>
      </w:r>
      <w:r w:rsidRPr="000C223D">
        <w:rPr>
          <w:rFonts w:cs="Times New Roman"/>
        </w:rPr>
        <w:t xml:space="preserve">. Instead it simply provides spaces for signatures, as well as a description of the signor’s position and interest in the charge. Neither the Companies Acts, nor the Forms Order, specify any penalty for a person who, </w:t>
      </w:r>
      <w:r w:rsidR="007B49F5">
        <w:rPr>
          <w:rFonts w:cs="Times New Roman"/>
        </w:rPr>
        <w:t xml:space="preserve">whether </w:t>
      </w:r>
      <w:r w:rsidRPr="000C223D">
        <w:rPr>
          <w:rFonts w:cs="Times New Roman"/>
        </w:rPr>
        <w:t>knowingly or otherwise, signs a Form C1 which contains false or inaccurate particulars. Either or both the chargor and chargee may sign the verification statement, but where only one signature is provided, the form states that a certified copy of the original charge document must be supplied along with the form.</w:t>
      </w:r>
      <w:r w:rsidR="00EF0B41">
        <w:rPr>
          <w:rFonts w:cs="Times New Roman"/>
        </w:rPr>
        <w:t xml:space="preserve"> </w:t>
      </w:r>
    </w:p>
    <w:p w:rsidR="00B865E9" w:rsidRPr="000C223D" w:rsidRDefault="00B12F44" w:rsidP="00DF188E">
      <w:pPr>
        <w:jc w:val="both"/>
        <w:rPr>
          <w:rFonts w:cs="Times New Roman"/>
        </w:rPr>
      </w:pPr>
      <w:r>
        <w:rPr>
          <w:rFonts w:cs="Times New Roman"/>
        </w:rPr>
        <w:t xml:space="preserve">Once </w:t>
      </w:r>
      <w:r w:rsidR="00B865E9" w:rsidRPr="000C223D">
        <w:rPr>
          <w:rFonts w:cs="Times New Roman"/>
        </w:rPr>
        <w:t xml:space="preserve">the Form C1 has been </w:t>
      </w:r>
      <w:r>
        <w:rPr>
          <w:rFonts w:cs="Times New Roman"/>
        </w:rPr>
        <w:t>delivered and the Registrar has registered the charge</w:t>
      </w:r>
      <w:r w:rsidR="00087D04">
        <w:rPr>
          <w:rFonts w:cs="Times New Roman"/>
        </w:rPr>
        <w:t>,</w:t>
      </w:r>
      <w:r w:rsidR="00B865E9" w:rsidRPr="000C223D">
        <w:rPr>
          <w:rFonts w:cs="Times New Roman"/>
        </w:rPr>
        <w:t xml:space="preserve"> a certificate of registration (which must include a statement of the amount secured thereby) is issued under section 104 of the 1963 Act.</w:t>
      </w:r>
      <w:r>
        <w:rPr>
          <w:rFonts w:cs="Times New Roman"/>
        </w:rPr>
        <w:t xml:space="preserve"> S</w:t>
      </w:r>
      <w:r w:rsidR="00B865E9" w:rsidRPr="000C223D">
        <w:rPr>
          <w:rFonts w:cs="Times New Roman"/>
        </w:rPr>
        <w:t xml:space="preserve">ection 104 provides that this certificate is conclusive evidence that </w:t>
      </w:r>
      <w:r>
        <w:rPr>
          <w:rFonts w:cs="Times New Roman"/>
        </w:rPr>
        <w:t>the requirements of Part IV as to registration have been complied with</w:t>
      </w:r>
      <w:r w:rsidR="00B865E9" w:rsidRPr="000C223D">
        <w:rPr>
          <w:rFonts w:cs="Times New Roman"/>
        </w:rPr>
        <w:t>. Finally, section 106 provides the High Court with a jurisdiction to order rectification of the register or to permit the registration of a charge outside the normal 21 day period for registration.</w:t>
      </w:r>
      <w:r w:rsidR="00DF188E">
        <w:rPr>
          <w:rFonts w:cs="Times New Roman"/>
        </w:rPr>
        <w:t xml:space="preserve"> </w:t>
      </w:r>
    </w:p>
    <w:p w:rsidR="00B865E9" w:rsidRPr="000C223D" w:rsidRDefault="00B865E9" w:rsidP="00453C9B">
      <w:pPr>
        <w:pStyle w:val="ListParagraph"/>
        <w:numPr>
          <w:ilvl w:val="0"/>
          <w:numId w:val="12"/>
        </w:numPr>
        <w:jc w:val="both"/>
        <w:outlineLvl w:val="0"/>
        <w:rPr>
          <w:rFonts w:cs="Times New Roman"/>
          <w:b/>
        </w:rPr>
      </w:pPr>
      <w:r w:rsidRPr="000C223D">
        <w:rPr>
          <w:rFonts w:cs="Times New Roman"/>
          <w:b/>
        </w:rPr>
        <w:t xml:space="preserve">The </w:t>
      </w:r>
      <w:r w:rsidR="00064CAA">
        <w:rPr>
          <w:rFonts w:cs="Times New Roman"/>
          <w:b/>
        </w:rPr>
        <w:t>Existing Interpretation of Section 104</w:t>
      </w:r>
    </w:p>
    <w:p w:rsidR="00AA1D4C" w:rsidRPr="000C223D" w:rsidRDefault="00B865E9" w:rsidP="00982820">
      <w:pPr>
        <w:jc w:val="both"/>
        <w:rPr>
          <w:rFonts w:cs="Times New Roman"/>
        </w:rPr>
      </w:pPr>
      <w:r w:rsidRPr="000C223D">
        <w:rPr>
          <w:rFonts w:cs="Times New Roman"/>
        </w:rPr>
        <w:t xml:space="preserve">The available parliamentary records do not definitively explain why the certificate of registration was included in the legislation providing for the establishment of the company charge register. </w:t>
      </w:r>
      <w:r w:rsidR="00EA0EC8" w:rsidRPr="000C223D">
        <w:rPr>
          <w:rFonts w:cs="Times New Roman"/>
        </w:rPr>
        <w:t xml:space="preserve">Nonetheless it is fairly clear as a matter of logic that the purpose of the certificate is to give certainty to the parties to a charge that registration has been correctly </w:t>
      </w:r>
      <w:r w:rsidR="00EA0EC8" w:rsidRPr="000C223D">
        <w:rPr>
          <w:rFonts w:cs="Times New Roman"/>
        </w:rPr>
        <w:lastRenderedPageBreak/>
        <w:t xml:space="preserve">carried out. </w:t>
      </w:r>
      <w:r w:rsidR="00310BC6" w:rsidRPr="000C223D">
        <w:rPr>
          <w:rFonts w:cs="Times New Roman"/>
        </w:rPr>
        <w:t xml:space="preserve">Three </w:t>
      </w:r>
      <w:r w:rsidR="00EA0EC8" w:rsidRPr="000C223D">
        <w:rPr>
          <w:rFonts w:cs="Times New Roman"/>
        </w:rPr>
        <w:t xml:space="preserve">reasons can be advanced in support of this proposition. First, though the Companies Acts formally place the duty to </w:t>
      </w:r>
      <w:r w:rsidR="00B12F44">
        <w:rPr>
          <w:rFonts w:cs="Times New Roman"/>
        </w:rPr>
        <w:t xml:space="preserve">deliver the particulars </w:t>
      </w:r>
      <w:r w:rsidR="00EA0EC8" w:rsidRPr="000C223D">
        <w:rPr>
          <w:rFonts w:cs="Times New Roman"/>
        </w:rPr>
        <w:t xml:space="preserve">on the company, the most serious sanction for failing to </w:t>
      </w:r>
      <w:r w:rsidR="00B12F44">
        <w:rPr>
          <w:rFonts w:cs="Times New Roman"/>
        </w:rPr>
        <w:t xml:space="preserve">do so </w:t>
      </w:r>
      <w:r w:rsidR="00EA0EC8" w:rsidRPr="000C223D">
        <w:rPr>
          <w:rFonts w:cs="Times New Roman"/>
        </w:rPr>
        <w:t>falls on the secured creditor</w:t>
      </w:r>
      <w:r w:rsidR="00AA1D4C" w:rsidRPr="000C223D">
        <w:rPr>
          <w:rFonts w:cs="Times New Roman"/>
        </w:rPr>
        <w:t xml:space="preserve"> which loses the benefit of the charge against the liquidator and other creditors.</w:t>
      </w:r>
      <w:r w:rsidR="00EA0EC8" w:rsidRPr="000C223D">
        <w:rPr>
          <w:rFonts w:cs="Times New Roman"/>
        </w:rPr>
        <w:t xml:space="preserve"> Accordingly</w:t>
      </w:r>
      <w:r w:rsidR="00087D04">
        <w:rPr>
          <w:rFonts w:cs="Times New Roman"/>
        </w:rPr>
        <w:t>, it might be argued that</w:t>
      </w:r>
      <w:r w:rsidR="00EA0EC8" w:rsidRPr="000C223D">
        <w:rPr>
          <w:rFonts w:cs="Times New Roman"/>
        </w:rPr>
        <w:t xml:space="preserve"> the certificate of registration allows the company to furnish its creditor, </w:t>
      </w:r>
      <w:r w:rsidR="00B15DA6">
        <w:rPr>
          <w:rFonts w:cs="Times New Roman"/>
        </w:rPr>
        <w:t xml:space="preserve">or </w:t>
      </w:r>
      <w:r w:rsidR="00EA0EC8" w:rsidRPr="000C223D">
        <w:rPr>
          <w:rFonts w:cs="Times New Roman"/>
        </w:rPr>
        <w:t>any other interested party</w:t>
      </w:r>
      <w:r w:rsidR="00B15DA6">
        <w:rPr>
          <w:rFonts w:cs="Times New Roman"/>
        </w:rPr>
        <w:t>,</w:t>
      </w:r>
      <w:r w:rsidR="00EA0EC8" w:rsidRPr="000C223D">
        <w:rPr>
          <w:rFonts w:cs="Times New Roman"/>
        </w:rPr>
        <w:t xml:space="preserve"> with proof that “it has fulfilled its statutory duty”.</w:t>
      </w:r>
      <w:r w:rsidR="00EA0EC8" w:rsidRPr="000C223D">
        <w:rPr>
          <w:rStyle w:val="FootnoteReference"/>
          <w:rFonts w:cs="Times New Roman"/>
        </w:rPr>
        <w:footnoteReference w:id="21"/>
      </w:r>
      <w:r w:rsidR="00EA0EC8" w:rsidRPr="000C223D">
        <w:rPr>
          <w:rFonts w:cs="Times New Roman"/>
        </w:rPr>
        <w:t xml:space="preserve"> Second, </w:t>
      </w:r>
      <w:r w:rsidR="00310BC6" w:rsidRPr="000C223D">
        <w:rPr>
          <w:rFonts w:cs="Times New Roman"/>
        </w:rPr>
        <w:t xml:space="preserve">under the initial text of the </w:t>
      </w:r>
      <w:r w:rsidR="00AA1D4C" w:rsidRPr="000C223D">
        <w:rPr>
          <w:rFonts w:cs="Times New Roman"/>
        </w:rPr>
        <w:t>1900 Act</w:t>
      </w:r>
      <w:r w:rsidR="00310BC6" w:rsidRPr="000C223D">
        <w:rPr>
          <w:rFonts w:cs="Times New Roman"/>
        </w:rPr>
        <w:t>,</w:t>
      </w:r>
      <w:r w:rsidR="00AA1D4C" w:rsidRPr="000C223D">
        <w:rPr>
          <w:rStyle w:val="FootnoteReference"/>
          <w:rFonts w:cs="Times New Roman"/>
        </w:rPr>
        <w:footnoteReference w:id="22"/>
      </w:r>
      <w:r w:rsidR="00310BC6" w:rsidRPr="000C223D">
        <w:rPr>
          <w:rFonts w:cs="Times New Roman"/>
        </w:rPr>
        <w:t xml:space="preserve"> the company was required to </w:t>
      </w:r>
      <w:r w:rsidR="00AA1D4C" w:rsidRPr="000C223D">
        <w:rPr>
          <w:rFonts w:cs="Times New Roman"/>
        </w:rPr>
        <w:t xml:space="preserve">include </w:t>
      </w:r>
      <w:r w:rsidR="00310BC6" w:rsidRPr="000C223D">
        <w:rPr>
          <w:rFonts w:cs="Times New Roman"/>
        </w:rPr>
        <w:t xml:space="preserve">a copy of the certificate of registration </w:t>
      </w:r>
      <w:r w:rsidR="00AA1D4C" w:rsidRPr="000C223D">
        <w:rPr>
          <w:rFonts w:cs="Times New Roman"/>
        </w:rPr>
        <w:t>on any debentures or certificates of debenture stock related to the charge.</w:t>
      </w:r>
      <w:r w:rsidR="00AA1D4C" w:rsidRPr="000C223D">
        <w:rPr>
          <w:rStyle w:val="FootnoteReference"/>
          <w:rFonts w:cs="Times New Roman"/>
        </w:rPr>
        <w:footnoteReference w:id="23"/>
      </w:r>
      <w:r w:rsidR="00AA1D4C" w:rsidRPr="000C223D">
        <w:rPr>
          <w:rFonts w:cs="Times New Roman"/>
        </w:rPr>
        <w:t xml:space="preserve"> </w:t>
      </w:r>
      <w:r w:rsidR="00450BD0">
        <w:rPr>
          <w:rFonts w:cs="Times New Roman"/>
        </w:rPr>
        <w:t>Third and most importantly</w:t>
      </w:r>
      <w:r w:rsidR="00AA1D4C" w:rsidRPr="000C223D">
        <w:rPr>
          <w:rFonts w:cs="Times New Roman"/>
        </w:rPr>
        <w:t xml:space="preserve">, </w:t>
      </w:r>
      <w:r w:rsidR="00EA0EC8" w:rsidRPr="000C223D">
        <w:rPr>
          <w:rFonts w:cs="Times New Roman"/>
        </w:rPr>
        <w:t xml:space="preserve">the presence of the certificate reduces the risk to that the chargee will find itself unable to enforce its security because of </w:t>
      </w:r>
      <w:r w:rsidR="00310BC6" w:rsidRPr="000C223D">
        <w:rPr>
          <w:rFonts w:cs="Times New Roman"/>
        </w:rPr>
        <w:t xml:space="preserve">an error </w:t>
      </w:r>
      <w:r w:rsidR="00EA0EC8" w:rsidRPr="000C223D">
        <w:rPr>
          <w:rFonts w:cs="Times New Roman"/>
        </w:rPr>
        <w:t>in the registration process</w:t>
      </w:r>
      <w:r w:rsidR="00B12F44">
        <w:rPr>
          <w:rFonts w:cs="Times New Roman"/>
        </w:rPr>
        <w:t>. The scope of this protection will be explored below.</w:t>
      </w:r>
      <w:r w:rsidR="00AA1D4C" w:rsidRPr="000C223D">
        <w:rPr>
          <w:rStyle w:val="FootnoteReference"/>
          <w:rFonts w:cs="Times New Roman"/>
        </w:rPr>
        <w:footnoteReference w:id="24"/>
      </w:r>
      <w:r w:rsidR="00EA0EC8" w:rsidRPr="000C223D">
        <w:rPr>
          <w:rFonts w:cs="Times New Roman"/>
        </w:rPr>
        <w:t xml:space="preserve"> </w:t>
      </w:r>
      <w:r w:rsidR="00B12F44">
        <w:rPr>
          <w:rFonts w:cs="Times New Roman"/>
        </w:rPr>
        <w:t xml:space="preserve">It has also been suggested in the case law that </w:t>
      </w:r>
      <w:r w:rsidR="00310BC6" w:rsidRPr="000C223D">
        <w:rPr>
          <w:rFonts w:cs="Times New Roman"/>
        </w:rPr>
        <w:t xml:space="preserve">the draftsperson may have included the certificate as a means </w:t>
      </w:r>
      <w:r w:rsidR="00450BD0">
        <w:rPr>
          <w:rFonts w:cs="Times New Roman"/>
        </w:rPr>
        <w:t xml:space="preserve">of preventing </w:t>
      </w:r>
      <w:r w:rsidR="00B12F44">
        <w:rPr>
          <w:rFonts w:cs="Times New Roman"/>
        </w:rPr>
        <w:t xml:space="preserve">the kind of </w:t>
      </w:r>
      <w:r w:rsidR="00310BC6" w:rsidRPr="000C223D">
        <w:rPr>
          <w:rFonts w:cs="Times New Roman"/>
        </w:rPr>
        <w:t xml:space="preserve">challenges to security interests on technical grounds which had </w:t>
      </w:r>
      <w:r w:rsidR="00AA1D4C" w:rsidRPr="000C223D">
        <w:rPr>
          <w:rFonts w:cs="Times New Roman"/>
        </w:rPr>
        <w:t xml:space="preserve">previously </w:t>
      </w:r>
      <w:r w:rsidR="00310BC6" w:rsidRPr="000C223D">
        <w:rPr>
          <w:rFonts w:cs="Times New Roman"/>
        </w:rPr>
        <w:t xml:space="preserve">been </w:t>
      </w:r>
      <w:r w:rsidR="00B12F44">
        <w:rPr>
          <w:rFonts w:cs="Times New Roman"/>
        </w:rPr>
        <w:t>encountered in the registration of bills of sale.</w:t>
      </w:r>
      <w:r w:rsidR="00310BC6" w:rsidRPr="000C223D">
        <w:rPr>
          <w:rStyle w:val="FootnoteReference"/>
          <w:rFonts w:cs="Times New Roman"/>
        </w:rPr>
        <w:footnoteReference w:id="25"/>
      </w:r>
      <w:r w:rsidR="00450BD0" w:rsidRPr="00450BD0">
        <w:rPr>
          <w:rFonts w:cs="Times New Roman"/>
        </w:rPr>
        <w:t xml:space="preserve"> </w:t>
      </w:r>
      <w:r w:rsidR="00450BD0">
        <w:rPr>
          <w:rFonts w:cs="Times New Roman"/>
        </w:rPr>
        <w:t>In addition</w:t>
      </w:r>
      <w:r w:rsidR="00450BD0" w:rsidRPr="000C223D">
        <w:rPr>
          <w:rFonts w:cs="Times New Roman"/>
        </w:rPr>
        <w:t xml:space="preserve">, </w:t>
      </w:r>
      <w:r w:rsidR="00450BD0">
        <w:rPr>
          <w:rFonts w:cs="Times New Roman"/>
        </w:rPr>
        <w:t>it should be noted that the certificates of registration have played a role in safeguarding the information contained on the register. In 1924, certificates of registration were used to reconstitute the company charge register after the destruction of the Public Record Office during the Irish Civil War.</w:t>
      </w:r>
      <w:r w:rsidR="00450BD0">
        <w:rPr>
          <w:rStyle w:val="FootnoteReference"/>
          <w:rFonts w:cs="Times New Roman"/>
        </w:rPr>
        <w:footnoteReference w:id="26"/>
      </w:r>
    </w:p>
    <w:p w:rsidR="00B865E9" w:rsidRPr="000C223D" w:rsidRDefault="00C53AD3" w:rsidP="00982820">
      <w:pPr>
        <w:jc w:val="both"/>
        <w:rPr>
          <w:rFonts w:cs="Times New Roman"/>
        </w:rPr>
      </w:pPr>
      <w:r w:rsidRPr="000C223D">
        <w:rPr>
          <w:rFonts w:cs="Times New Roman"/>
        </w:rPr>
        <w:t xml:space="preserve">Section 104 states that the certificate of registration is “conclusive evidence that the requirements of [Part IV of the Act] as to registration have been complied with”. </w:t>
      </w:r>
      <w:r w:rsidR="00B4383C" w:rsidRPr="000C223D">
        <w:rPr>
          <w:rFonts w:cs="Times New Roman"/>
        </w:rPr>
        <w:t>As will be demonstrated below, the courts have interpreted the words “conclusive evidence”</w:t>
      </w:r>
      <w:r w:rsidR="003A6648">
        <w:rPr>
          <w:rFonts w:cs="Times New Roman"/>
        </w:rPr>
        <w:t xml:space="preserve"> in a literal manner</w:t>
      </w:r>
      <w:r w:rsidR="00367873" w:rsidRPr="000C223D">
        <w:rPr>
          <w:rFonts w:cs="Times New Roman"/>
        </w:rPr>
        <w:t>.</w:t>
      </w:r>
      <w:r w:rsidR="00B4383C" w:rsidRPr="000C223D">
        <w:rPr>
          <w:rFonts w:cs="Times New Roman"/>
        </w:rPr>
        <w:t xml:space="preserve"> </w:t>
      </w:r>
      <w:r w:rsidRPr="000C223D">
        <w:rPr>
          <w:rFonts w:cs="Times New Roman"/>
        </w:rPr>
        <w:t xml:space="preserve">The meaning of this section has been explored by the courts in </w:t>
      </w:r>
      <w:r w:rsidR="007A4DD3" w:rsidRPr="000C223D">
        <w:rPr>
          <w:rFonts w:cs="Times New Roman"/>
        </w:rPr>
        <w:t xml:space="preserve">a </w:t>
      </w:r>
      <w:r w:rsidR="00087D04">
        <w:rPr>
          <w:rFonts w:cs="Times New Roman"/>
        </w:rPr>
        <w:t xml:space="preserve">number </w:t>
      </w:r>
      <w:r w:rsidR="007A4DD3" w:rsidRPr="000C223D">
        <w:rPr>
          <w:rFonts w:cs="Times New Roman"/>
        </w:rPr>
        <w:t xml:space="preserve">of cases which broadly fall into two categories: cases where inaccurate particulars have been delivered to the Registrar and cases where there has been an irregularity </w:t>
      </w:r>
      <w:r w:rsidR="00B12F44">
        <w:rPr>
          <w:rFonts w:cs="Times New Roman"/>
        </w:rPr>
        <w:t xml:space="preserve">of one kind or another </w:t>
      </w:r>
      <w:r w:rsidR="007A4DD3" w:rsidRPr="000C223D">
        <w:rPr>
          <w:rFonts w:cs="Times New Roman"/>
        </w:rPr>
        <w:t>in the registration process</w:t>
      </w:r>
      <w:r w:rsidRPr="000C223D">
        <w:rPr>
          <w:rFonts w:cs="Times New Roman"/>
        </w:rPr>
        <w:t xml:space="preserve">. </w:t>
      </w:r>
    </w:p>
    <w:p w:rsidR="00737106" w:rsidRDefault="00737106" w:rsidP="00982820">
      <w:pPr>
        <w:jc w:val="both"/>
        <w:rPr>
          <w:rFonts w:cs="Times New Roman"/>
          <w:b/>
        </w:rPr>
      </w:pPr>
    </w:p>
    <w:p w:rsidR="00087D04" w:rsidRPr="00087D04" w:rsidRDefault="00087D04" w:rsidP="00982820">
      <w:pPr>
        <w:jc w:val="both"/>
        <w:rPr>
          <w:rFonts w:cs="Times New Roman"/>
          <w:b/>
        </w:rPr>
      </w:pPr>
      <w:r>
        <w:rPr>
          <w:rFonts w:cs="Times New Roman"/>
          <w:b/>
        </w:rPr>
        <w:t>Delivery of Inaccurate Particulars</w:t>
      </w:r>
    </w:p>
    <w:p w:rsidR="00C53AD3" w:rsidRPr="000C223D" w:rsidRDefault="00C53AD3" w:rsidP="00982820">
      <w:pPr>
        <w:jc w:val="both"/>
        <w:rPr>
          <w:rFonts w:cs="Times New Roman"/>
        </w:rPr>
      </w:pPr>
      <w:r w:rsidRPr="000C223D">
        <w:rPr>
          <w:rFonts w:cs="Times New Roman"/>
        </w:rPr>
        <w:t xml:space="preserve">Most of the case law </w:t>
      </w:r>
      <w:r w:rsidR="003A6648">
        <w:rPr>
          <w:rFonts w:cs="Times New Roman"/>
        </w:rPr>
        <w:t>on section 104</w:t>
      </w:r>
      <w:r w:rsidRPr="000C223D">
        <w:rPr>
          <w:rFonts w:cs="Times New Roman"/>
        </w:rPr>
        <w:t xml:space="preserve"> focuses on the delivery of inaccurate particulars to the Registrar. The leading English case in this area is </w:t>
      </w:r>
      <w:r w:rsidR="00450BD0">
        <w:rPr>
          <w:i/>
        </w:rPr>
        <w:t xml:space="preserve">National Provincial and Union Bank of England v </w:t>
      </w:r>
      <w:proofErr w:type="spellStart"/>
      <w:r w:rsidR="00450BD0">
        <w:rPr>
          <w:i/>
        </w:rPr>
        <w:t>Charnley</w:t>
      </w:r>
      <w:proofErr w:type="spellEnd"/>
      <w:r w:rsidRPr="000C223D">
        <w:rPr>
          <w:rFonts w:cs="Times New Roman"/>
          <w:i/>
        </w:rPr>
        <w:t>,</w:t>
      </w:r>
      <w:r w:rsidR="004165D7">
        <w:rPr>
          <w:rStyle w:val="FootnoteReference"/>
          <w:rFonts w:cs="Times New Roman"/>
          <w:i/>
        </w:rPr>
        <w:footnoteReference w:id="27"/>
      </w:r>
      <w:r w:rsidRPr="000C223D">
        <w:rPr>
          <w:rFonts w:cs="Times New Roman"/>
          <w:i/>
        </w:rPr>
        <w:t xml:space="preserve"> </w:t>
      </w:r>
      <w:r w:rsidRPr="000C223D">
        <w:rPr>
          <w:rFonts w:cs="Times New Roman"/>
        </w:rPr>
        <w:t xml:space="preserve">in which the company had </w:t>
      </w:r>
      <w:r w:rsidR="00450BD0">
        <w:rPr>
          <w:rFonts w:cs="Times New Roman"/>
        </w:rPr>
        <w:t xml:space="preserve">granted a charge over </w:t>
      </w:r>
      <w:r w:rsidRPr="000C223D">
        <w:rPr>
          <w:rFonts w:cs="Times New Roman"/>
        </w:rPr>
        <w:t>a leasehold interest in the land upon which one of its factories was built</w:t>
      </w:r>
      <w:r w:rsidR="00450BD0">
        <w:rPr>
          <w:rFonts w:cs="Times New Roman"/>
        </w:rPr>
        <w:t xml:space="preserve">. The charge also covered the </w:t>
      </w:r>
      <w:r w:rsidR="007A4DD3" w:rsidRPr="000C223D">
        <w:rPr>
          <w:rFonts w:cs="Times New Roman"/>
        </w:rPr>
        <w:t xml:space="preserve">equipment </w:t>
      </w:r>
      <w:r w:rsidRPr="000C223D">
        <w:rPr>
          <w:rFonts w:cs="Times New Roman"/>
        </w:rPr>
        <w:t xml:space="preserve">used in or about the premises. The particulars delivered to the Registrar mentioned a charge on the land but made no reference to the </w:t>
      </w:r>
      <w:r w:rsidR="007A4DD3" w:rsidRPr="000C223D">
        <w:rPr>
          <w:rFonts w:cs="Times New Roman"/>
        </w:rPr>
        <w:t xml:space="preserve">equipment. The Registrar entered the particulars as </w:t>
      </w:r>
      <w:r w:rsidR="007A4DD3" w:rsidRPr="000C223D">
        <w:rPr>
          <w:rFonts w:cs="Times New Roman"/>
        </w:rPr>
        <w:lastRenderedPageBreak/>
        <w:t>delivered onto the register and issued a certificate of registration</w:t>
      </w:r>
      <w:r w:rsidR="00450BD0">
        <w:rPr>
          <w:rFonts w:cs="Times New Roman"/>
        </w:rPr>
        <w:t xml:space="preserve">. The Registrar </w:t>
      </w:r>
      <w:r w:rsidR="00B12F44">
        <w:rPr>
          <w:rFonts w:cs="Times New Roman"/>
        </w:rPr>
        <w:t xml:space="preserve">failed to notice that the particulars </w:t>
      </w:r>
      <w:r w:rsidR="00450BD0">
        <w:rPr>
          <w:rFonts w:cs="Times New Roman"/>
        </w:rPr>
        <w:t xml:space="preserve">delivered </w:t>
      </w:r>
      <w:r w:rsidR="00B12F44">
        <w:rPr>
          <w:rFonts w:cs="Times New Roman"/>
        </w:rPr>
        <w:t>incorrectly described the property which was the subject of the charge</w:t>
      </w:r>
      <w:r w:rsidR="007A4DD3" w:rsidRPr="000C223D">
        <w:rPr>
          <w:rFonts w:cs="Times New Roman"/>
        </w:rPr>
        <w:t>. In a subsequent dispute between the chargee and a judgment creditor of the company, the Court of Appeal held that:</w:t>
      </w:r>
    </w:p>
    <w:p w:rsidR="007A4DD3" w:rsidRPr="000C223D" w:rsidRDefault="007A4DD3" w:rsidP="00982820">
      <w:pPr>
        <w:ind w:left="720" w:right="391"/>
        <w:jc w:val="both"/>
        <w:rPr>
          <w:rFonts w:cs="Times New Roman"/>
          <w:sz w:val="16"/>
        </w:rPr>
      </w:pPr>
      <w:r w:rsidRPr="000C223D">
        <w:rPr>
          <w:rStyle w:val="apple-converted-space"/>
          <w:rFonts w:cs="Times New Roman"/>
          <w:color w:val="000000"/>
          <w:sz w:val="20"/>
          <w:shd w:val="clear" w:color="auto" w:fill="FFFFFF"/>
        </w:rPr>
        <w:t>[O]</w:t>
      </w:r>
      <w:proofErr w:type="spellStart"/>
      <w:r w:rsidRPr="000C223D">
        <w:rPr>
          <w:rFonts w:cs="Times New Roman"/>
          <w:color w:val="000000"/>
          <w:sz w:val="20"/>
          <w:shd w:val="clear" w:color="auto" w:fill="FFFFFF"/>
        </w:rPr>
        <w:t>nce</w:t>
      </w:r>
      <w:proofErr w:type="spellEnd"/>
      <w:r w:rsidRPr="000C223D">
        <w:rPr>
          <w:rFonts w:cs="Times New Roman"/>
          <w:color w:val="000000"/>
          <w:sz w:val="20"/>
          <w:shd w:val="clear" w:color="auto" w:fill="FFFFFF"/>
        </w:rPr>
        <w:t xml:space="preserve"> the registrar has given his certificate that the registration was complete, and that the mortgage or charge was created by an instrument, identifying it, in my opinion you have to go to the instrument to see what was actually charged, there being nothing in the statute which says that when once registration has taken place the register shall be the evidence of the extent of the charge.</w:t>
      </w:r>
      <w:r w:rsidRPr="000C223D">
        <w:rPr>
          <w:rStyle w:val="FootnoteReference"/>
          <w:rFonts w:cs="Times New Roman"/>
          <w:color w:val="000000"/>
          <w:sz w:val="20"/>
          <w:shd w:val="clear" w:color="auto" w:fill="FFFFFF"/>
        </w:rPr>
        <w:footnoteReference w:id="28"/>
      </w:r>
    </w:p>
    <w:p w:rsidR="007A4DD3" w:rsidRPr="009A5DAA" w:rsidRDefault="007A4DD3" w:rsidP="00982820">
      <w:pPr>
        <w:jc w:val="both"/>
        <w:rPr>
          <w:rFonts w:cs="Times New Roman"/>
        </w:rPr>
      </w:pPr>
      <w:r w:rsidRPr="000C223D">
        <w:rPr>
          <w:rFonts w:cs="Times New Roman"/>
        </w:rPr>
        <w:t>The effect of the judgment is that the certificate of regis</w:t>
      </w:r>
      <w:r w:rsidR="003A6648">
        <w:rPr>
          <w:rFonts w:cs="Times New Roman"/>
        </w:rPr>
        <w:t>tration “must be understood as</w:t>
      </w:r>
      <w:r w:rsidRPr="000C223D">
        <w:rPr>
          <w:rFonts w:cs="Times New Roman"/>
        </w:rPr>
        <w:t xml:space="preserve"> certifying the due registration of all the charges created by the instrument … the fact that the register was defect</w:t>
      </w:r>
      <w:r w:rsidR="003A6648">
        <w:rPr>
          <w:rFonts w:cs="Times New Roman"/>
        </w:rPr>
        <w:t>ive</w:t>
      </w:r>
      <w:r w:rsidRPr="000C223D">
        <w:rPr>
          <w:rFonts w:cs="Times New Roman"/>
        </w:rPr>
        <w:t xml:space="preserve"> and misleading to a potential creditor of the company [will] not sway the court.”</w:t>
      </w:r>
      <w:r w:rsidRPr="000C223D">
        <w:rPr>
          <w:rStyle w:val="FootnoteReference"/>
          <w:rFonts w:cs="Times New Roman"/>
        </w:rPr>
        <w:footnoteReference w:id="29"/>
      </w:r>
      <w:r w:rsidRPr="000C223D">
        <w:rPr>
          <w:rFonts w:cs="Times New Roman"/>
        </w:rPr>
        <w:t xml:space="preserve"> </w:t>
      </w:r>
      <w:r w:rsidR="009544E2" w:rsidRPr="000C223D">
        <w:rPr>
          <w:rFonts w:cs="Times New Roman"/>
        </w:rPr>
        <w:t xml:space="preserve">A similar result was reached </w:t>
      </w:r>
      <w:r w:rsidR="00B12F44">
        <w:rPr>
          <w:rFonts w:cs="Times New Roman"/>
        </w:rPr>
        <w:t xml:space="preserve">in Ireland in </w:t>
      </w:r>
      <w:r w:rsidR="009544E2" w:rsidRPr="000C223D">
        <w:rPr>
          <w:rFonts w:cs="Times New Roman"/>
          <w:i/>
        </w:rPr>
        <w:t>Re: Valley Ice Cream (Ireland) Ltd.</w:t>
      </w:r>
      <w:r w:rsidR="009544E2" w:rsidRPr="00453C9B">
        <w:rPr>
          <w:rStyle w:val="FootnoteReference"/>
          <w:rFonts w:cs="Times New Roman"/>
        </w:rPr>
        <w:footnoteReference w:id="30"/>
      </w:r>
      <w:r w:rsidR="00817EC2">
        <w:rPr>
          <w:rFonts w:cs="Times New Roman"/>
        </w:rPr>
        <w:t xml:space="preserve"> From a policy point of view, this outcome is entirely unsatisfactory as it results in a situation in which the information by the company charge register cannot be relied upon by interested parties who search the register. </w:t>
      </w:r>
    </w:p>
    <w:p w:rsidR="00290AEB" w:rsidRDefault="007A4DD3" w:rsidP="00982820">
      <w:pPr>
        <w:jc w:val="both"/>
        <w:rPr>
          <w:rFonts w:cs="Times New Roman"/>
        </w:rPr>
      </w:pPr>
      <w:r w:rsidRPr="000C223D">
        <w:rPr>
          <w:rFonts w:cs="Times New Roman"/>
        </w:rPr>
        <w:t xml:space="preserve">The subsequent case law in England and in Ireland has applied </w:t>
      </w:r>
      <w:r w:rsidR="00817EC2">
        <w:rPr>
          <w:rFonts w:cs="Times New Roman"/>
        </w:rPr>
        <w:t xml:space="preserve">the </w:t>
      </w:r>
      <w:proofErr w:type="spellStart"/>
      <w:r w:rsidR="00817EC2">
        <w:rPr>
          <w:rFonts w:cs="Times New Roman"/>
          <w:i/>
        </w:rPr>
        <w:t>Charnley</w:t>
      </w:r>
      <w:proofErr w:type="spellEnd"/>
      <w:r w:rsidR="00817EC2">
        <w:rPr>
          <w:rFonts w:cs="Times New Roman"/>
          <w:i/>
        </w:rPr>
        <w:t xml:space="preserve"> </w:t>
      </w:r>
      <w:r w:rsidRPr="000C223D">
        <w:rPr>
          <w:rFonts w:cs="Times New Roman"/>
        </w:rPr>
        <w:t xml:space="preserve">principle </w:t>
      </w:r>
      <w:r w:rsidR="00450BD0">
        <w:rPr>
          <w:rFonts w:cs="Times New Roman"/>
        </w:rPr>
        <w:t>in several different contexts</w:t>
      </w:r>
      <w:r w:rsidRPr="000C223D">
        <w:rPr>
          <w:rFonts w:cs="Times New Roman"/>
        </w:rPr>
        <w:t xml:space="preserve">. In </w:t>
      </w:r>
      <w:r w:rsidRPr="000C223D">
        <w:rPr>
          <w:rFonts w:cs="Times New Roman"/>
          <w:i/>
        </w:rPr>
        <w:t>Re: Mechanisations (</w:t>
      </w:r>
      <w:proofErr w:type="spellStart"/>
      <w:r w:rsidRPr="000C223D">
        <w:rPr>
          <w:rFonts w:cs="Times New Roman"/>
          <w:i/>
        </w:rPr>
        <w:t>Eaglescliff</w:t>
      </w:r>
      <w:proofErr w:type="spellEnd"/>
      <w:r w:rsidR="009544E2" w:rsidRPr="000C223D">
        <w:rPr>
          <w:rFonts w:cs="Times New Roman"/>
          <w:i/>
        </w:rPr>
        <w:t>) Ltd</w:t>
      </w:r>
      <w:r w:rsidR="009544E2" w:rsidRPr="00450BD0">
        <w:rPr>
          <w:rStyle w:val="FootnoteReference"/>
          <w:rFonts w:cs="Times New Roman"/>
          <w:i/>
        </w:rPr>
        <w:footnoteReference w:id="31"/>
      </w:r>
      <w:r w:rsidR="009544E2" w:rsidRPr="000C223D">
        <w:rPr>
          <w:rFonts w:cs="Times New Roman"/>
          <w:i/>
        </w:rPr>
        <w:t xml:space="preserve"> </w:t>
      </w:r>
      <w:r w:rsidR="009544E2" w:rsidRPr="000C223D">
        <w:rPr>
          <w:rFonts w:cs="Times New Roman"/>
        </w:rPr>
        <w:t xml:space="preserve">and </w:t>
      </w:r>
      <w:r w:rsidR="009544E2" w:rsidRPr="000C223D">
        <w:rPr>
          <w:rFonts w:cs="Times New Roman"/>
          <w:i/>
        </w:rPr>
        <w:t xml:space="preserve">Re: </w:t>
      </w:r>
      <w:proofErr w:type="spellStart"/>
      <w:r w:rsidR="009544E2" w:rsidRPr="000C223D">
        <w:rPr>
          <w:rFonts w:cs="Times New Roman"/>
          <w:i/>
        </w:rPr>
        <w:t>Shannonside</w:t>
      </w:r>
      <w:proofErr w:type="spellEnd"/>
      <w:r w:rsidR="009544E2" w:rsidRPr="000C223D">
        <w:rPr>
          <w:rFonts w:cs="Times New Roman"/>
          <w:i/>
        </w:rPr>
        <w:t xml:space="preserve"> Holdings Ltd</w:t>
      </w:r>
      <w:r w:rsidR="009544E2" w:rsidRPr="00450BD0">
        <w:rPr>
          <w:rStyle w:val="FootnoteReference"/>
          <w:rFonts w:cs="Times New Roman"/>
          <w:i/>
        </w:rPr>
        <w:footnoteReference w:id="32"/>
      </w:r>
      <w:r w:rsidR="009544E2" w:rsidRPr="000C223D">
        <w:rPr>
          <w:rFonts w:cs="Times New Roman"/>
          <w:i/>
        </w:rPr>
        <w:t xml:space="preserve"> </w:t>
      </w:r>
      <w:r w:rsidR="009544E2" w:rsidRPr="000C223D">
        <w:rPr>
          <w:rFonts w:cs="Times New Roman"/>
        </w:rPr>
        <w:t xml:space="preserve">the courts considered a </w:t>
      </w:r>
      <w:r w:rsidR="00B12F44">
        <w:rPr>
          <w:rFonts w:cs="Times New Roman"/>
        </w:rPr>
        <w:t>similar fact patter</w:t>
      </w:r>
      <w:r w:rsidR="00450BD0">
        <w:rPr>
          <w:rFonts w:cs="Times New Roman"/>
        </w:rPr>
        <w:t>n</w:t>
      </w:r>
      <w:r w:rsidR="00B12F44">
        <w:rPr>
          <w:rFonts w:cs="Times New Roman"/>
        </w:rPr>
        <w:t xml:space="preserve"> </w:t>
      </w:r>
      <w:r w:rsidR="009544E2" w:rsidRPr="000C223D">
        <w:rPr>
          <w:rFonts w:cs="Times New Roman"/>
        </w:rPr>
        <w:t xml:space="preserve">in which the amount secured by the charge had been misstated in the particulars. In both cases it was held that the certificate of registration meant that the charges had been properly registered and were enforceable to the amount provided for in the charge documents rather than the amount mistakenly entered into the particulars. In </w:t>
      </w:r>
      <w:r w:rsidR="009544E2" w:rsidRPr="000C223D">
        <w:rPr>
          <w:rFonts w:cs="Times New Roman"/>
          <w:i/>
        </w:rPr>
        <w:t>Re: Investment Options and Solutions Ltd,</w:t>
      </w:r>
      <w:r w:rsidR="009544E2" w:rsidRPr="000C223D">
        <w:rPr>
          <w:rStyle w:val="FootnoteReference"/>
          <w:rFonts w:cs="Times New Roman"/>
        </w:rPr>
        <w:footnoteReference w:id="33"/>
      </w:r>
      <w:r w:rsidR="009544E2" w:rsidRPr="000C223D">
        <w:rPr>
          <w:rFonts w:cs="Times New Roman"/>
          <w:i/>
        </w:rPr>
        <w:t xml:space="preserve"> </w:t>
      </w:r>
      <w:proofErr w:type="spellStart"/>
      <w:r w:rsidR="009544E2" w:rsidRPr="000C223D">
        <w:rPr>
          <w:rFonts w:cs="Times New Roman"/>
        </w:rPr>
        <w:t>Laffoy</w:t>
      </w:r>
      <w:proofErr w:type="spellEnd"/>
      <w:r w:rsidR="009544E2" w:rsidRPr="000C223D">
        <w:rPr>
          <w:rFonts w:cs="Times New Roman"/>
        </w:rPr>
        <w:t xml:space="preserve"> J. suggest</w:t>
      </w:r>
      <w:r w:rsidR="009A5DAA">
        <w:rPr>
          <w:rFonts w:cs="Times New Roman"/>
        </w:rPr>
        <w:t xml:space="preserve">ed </w:t>
      </w:r>
      <w:r w:rsidR="009A5DAA">
        <w:rPr>
          <w:rFonts w:cs="Times New Roman"/>
          <w:i/>
        </w:rPr>
        <w:t>obiter</w:t>
      </w:r>
      <w:r w:rsidR="009544E2" w:rsidRPr="000C223D">
        <w:rPr>
          <w:rFonts w:cs="Times New Roman"/>
        </w:rPr>
        <w:t xml:space="preserve"> that the same reasoning would apply to a clerical error </w:t>
      </w:r>
      <w:r w:rsidR="009B1149" w:rsidRPr="000C223D">
        <w:rPr>
          <w:rFonts w:cs="Times New Roman"/>
        </w:rPr>
        <w:t>about the date of creation of the charge</w:t>
      </w:r>
      <w:r w:rsidR="00EA5735" w:rsidRPr="000C223D">
        <w:rPr>
          <w:rFonts w:cs="Times New Roman"/>
        </w:rPr>
        <w:t xml:space="preserve">, a conclusion previously </w:t>
      </w:r>
      <w:r w:rsidR="00B12F44">
        <w:rPr>
          <w:rFonts w:cs="Times New Roman"/>
        </w:rPr>
        <w:t xml:space="preserve">endorsed </w:t>
      </w:r>
      <w:r w:rsidR="00EA5735" w:rsidRPr="000C223D">
        <w:rPr>
          <w:rFonts w:cs="Times New Roman"/>
        </w:rPr>
        <w:t xml:space="preserve">by the English courts in </w:t>
      </w:r>
      <w:r w:rsidR="00EA5735" w:rsidRPr="000C223D">
        <w:rPr>
          <w:rFonts w:cs="Times New Roman"/>
          <w:i/>
        </w:rPr>
        <w:t>Re: Eric Holmes (Property) Ltd</w:t>
      </w:r>
      <w:r w:rsidR="00EA5735" w:rsidRPr="000C223D">
        <w:rPr>
          <w:rFonts w:cs="Times New Roman"/>
        </w:rPr>
        <w:t>.</w:t>
      </w:r>
      <w:r w:rsidR="00EA5735" w:rsidRPr="000C223D">
        <w:rPr>
          <w:rStyle w:val="FootnoteReference"/>
          <w:rFonts w:cs="Times New Roman"/>
        </w:rPr>
        <w:footnoteReference w:id="34"/>
      </w:r>
      <w:r w:rsidR="009B1149" w:rsidRPr="000C223D">
        <w:rPr>
          <w:rFonts w:cs="Times New Roman"/>
        </w:rPr>
        <w:t xml:space="preserve"> </w:t>
      </w:r>
    </w:p>
    <w:p w:rsidR="00C26C7C" w:rsidRDefault="00C26C7C" w:rsidP="00982820">
      <w:pPr>
        <w:jc w:val="both"/>
        <w:rPr>
          <w:rFonts w:cs="Times New Roman"/>
          <w:b/>
        </w:rPr>
      </w:pPr>
    </w:p>
    <w:p w:rsidR="00087D04" w:rsidRPr="00087D04" w:rsidRDefault="00087D04" w:rsidP="00982820">
      <w:pPr>
        <w:jc w:val="both"/>
        <w:rPr>
          <w:rFonts w:cs="Times New Roman"/>
          <w:b/>
        </w:rPr>
      </w:pPr>
      <w:r>
        <w:rPr>
          <w:rFonts w:cs="Times New Roman"/>
          <w:b/>
        </w:rPr>
        <w:t>Irregularities in the Registration Process</w:t>
      </w:r>
    </w:p>
    <w:p w:rsidR="00BF08C4" w:rsidRPr="000C223D" w:rsidRDefault="009544E2" w:rsidP="00982820">
      <w:pPr>
        <w:jc w:val="both"/>
        <w:rPr>
          <w:rFonts w:cs="Times New Roman"/>
        </w:rPr>
      </w:pPr>
      <w:r w:rsidRPr="000C223D">
        <w:rPr>
          <w:rFonts w:cs="Times New Roman"/>
        </w:rPr>
        <w:t xml:space="preserve">The second group of cases concerns a situation in which there has been an irregularity </w:t>
      </w:r>
      <w:r w:rsidR="009B1149" w:rsidRPr="000C223D">
        <w:rPr>
          <w:rFonts w:cs="Times New Roman"/>
        </w:rPr>
        <w:t xml:space="preserve">in the registration process. </w:t>
      </w:r>
      <w:r w:rsidR="002F41D0" w:rsidRPr="000C223D">
        <w:rPr>
          <w:rFonts w:cs="Times New Roman"/>
        </w:rPr>
        <w:t xml:space="preserve">In contrast to the defective particulars cases where the error is made by the person filling out the particulars for delivery to the </w:t>
      </w:r>
      <w:r w:rsidR="00B12F44">
        <w:rPr>
          <w:rFonts w:cs="Times New Roman"/>
        </w:rPr>
        <w:t>Registrar</w:t>
      </w:r>
      <w:r w:rsidR="002F41D0" w:rsidRPr="000C223D">
        <w:rPr>
          <w:rFonts w:cs="Times New Roman"/>
        </w:rPr>
        <w:t xml:space="preserve">, the second category of cases will usually involve an allegation that the Registrar has acted improperly in registering the charge as he or she did. </w:t>
      </w:r>
      <w:r w:rsidR="009B1149" w:rsidRPr="000C223D">
        <w:rPr>
          <w:rFonts w:cs="Times New Roman"/>
        </w:rPr>
        <w:t xml:space="preserve">The leading case </w:t>
      </w:r>
      <w:r w:rsidR="002F41D0" w:rsidRPr="000C223D">
        <w:rPr>
          <w:rFonts w:cs="Times New Roman"/>
        </w:rPr>
        <w:t xml:space="preserve">in this category </w:t>
      </w:r>
      <w:r w:rsidR="009B1149" w:rsidRPr="000C223D">
        <w:rPr>
          <w:rFonts w:cs="Times New Roman"/>
        </w:rPr>
        <w:t xml:space="preserve">is </w:t>
      </w:r>
      <w:r w:rsidR="00450BD0">
        <w:rPr>
          <w:i/>
        </w:rPr>
        <w:t xml:space="preserve">Re: </w:t>
      </w:r>
      <w:proofErr w:type="spellStart"/>
      <w:r w:rsidR="00450BD0">
        <w:rPr>
          <w:i/>
        </w:rPr>
        <w:t>Yolland</w:t>
      </w:r>
      <w:proofErr w:type="spellEnd"/>
      <w:r w:rsidR="00450BD0">
        <w:rPr>
          <w:i/>
        </w:rPr>
        <w:t xml:space="preserve">, </w:t>
      </w:r>
      <w:proofErr w:type="spellStart"/>
      <w:r w:rsidR="00450BD0">
        <w:rPr>
          <w:i/>
        </w:rPr>
        <w:t>Husson</w:t>
      </w:r>
      <w:proofErr w:type="spellEnd"/>
      <w:r w:rsidR="00450BD0">
        <w:rPr>
          <w:i/>
        </w:rPr>
        <w:t xml:space="preserve"> and </w:t>
      </w:r>
      <w:proofErr w:type="spellStart"/>
      <w:r w:rsidR="00450BD0">
        <w:rPr>
          <w:i/>
        </w:rPr>
        <w:t>Birkett</w:t>
      </w:r>
      <w:proofErr w:type="spellEnd"/>
      <w:r w:rsidR="00450BD0">
        <w:rPr>
          <w:i/>
        </w:rPr>
        <w:t xml:space="preserve"> Ltd </w:t>
      </w:r>
      <w:r w:rsidR="00E019B3" w:rsidRPr="000C223D">
        <w:rPr>
          <w:rFonts w:cs="Times New Roman"/>
        </w:rPr>
        <w:t xml:space="preserve">in which the company had made two separate issues of a series of debentures supported by a single floating charge. The terms of series provided that the debentures numbered 1-84 </w:t>
      </w:r>
      <w:r w:rsidR="00E019B3" w:rsidRPr="000C223D">
        <w:rPr>
          <w:rFonts w:cs="Times New Roman"/>
        </w:rPr>
        <w:lastRenderedPageBreak/>
        <w:t>were to have priority to later debentures in the series. Initially an attempt was made to register the two issues of the debenture series separately. It would appear that the Registrar ob</w:t>
      </w:r>
      <w:r w:rsidR="00B12F44">
        <w:rPr>
          <w:rFonts w:cs="Times New Roman"/>
        </w:rPr>
        <w:t xml:space="preserve">jected to this course of action and that </w:t>
      </w:r>
      <w:r w:rsidR="00E019B3" w:rsidRPr="000C223D">
        <w:rPr>
          <w:rFonts w:cs="Times New Roman"/>
        </w:rPr>
        <w:t xml:space="preserve">following discussions, the whole series was </w:t>
      </w:r>
      <w:r w:rsidR="00B12F44">
        <w:rPr>
          <w:rFonts w:cs="Times New Roman"/>
        </w:rPr>
        <w:t xml:space="preserve">eventually </w:t>
      </w:r>
      <w:r w:rsidR="00E019B3" w:rsidRPr="000C223D">
        <w:rPr>
          <w:rFonts w:cs="Times New Roman"/>
        </w:rPr>
        <w:t>registered as a single charge</w:t>
      </w:r>
      <w:r w:rsidR="00B12F44">
        <w:rPr>
          <w:rFonts w:cs="Times New Roman"/>
        </w:rPr>
        <w:t>.</w:t>
      </w:r>
      <w:r w:rsidR="00B12F44" w:rsidRPr="000C223D">
        <w:rPr>
          <w:rStyle w:val="FootnoteReference"/>
          <w:rFonts w:cs="Times New Roman"/>
        </w:rPr>
        <w:footnoteReference w:id="35"/>
      </w:r>
      <w:r w:rsidR="00B12F44">
        <w:rPr>
          <w:rFonts w:cs="Times New Roman"/>
        </w:rPr>
        <w:t>T</w:t>
      </w:r>
      <w:r w:rsidR="00E019B3" w:rsidRPr="000C223D">
        <w:rPr>
          <w:rFonts w:cs="Times New Roman"/>
        </w:rPr>
        <w:t>he Registrar issued a certificate of registration which made no mention of the priority positi</w:t>
      </w:r>
      <w:r w:rsidR="00B12F44">
        <w:rPr>
          <w:rFonts w:cs="Times New Roman"/>
        </w:rPr>
        <w:t>on of the different debentures in</w:t>
      </w:r>
      <w:r w:rsidR="00E019B3" w:rsidRPr="000C223D">
        <w:rPr>
          <w:rFonts w:cs="Times New Roman"/>
        </w:rPr>
        <w:t xml:space="preserve"> the series.</w:t>
      </w:r>
      <w:r w:rsidR="00BF08C4" w:rsidRPr="000C223D">
        <w:rPr>
          <w:rFonts w:cs="Times New Roman"/>
        </w:rPr>
        <w:t xml:space="preserve"> </w:t>
      </w:r>
      <w:r w:rsidR="002F41D0" w:rsidRPr="000C223D">
        <w:rPr>
          <w:rFonts w:cs="Times New Roman"/>
        </w:rPr>
        <w:t xml:space="preserve">In the Court of Appeal, counsel for the </w:t>
      </w:r>
      <w:r w:rsidR="00BF08C4" w:rsidRPr="000C223D">
        <w:rPr>
          <w:rFonts w:cs="Times New Roman"/>
        </w:rPr>
        <w:t xml:space="preserve">liquidator argued that </w:t>
      </w:r>
      <w:r w:rsidR="002F41D0" w:rsidRPr="000C223D">
        <w:rPr>
          <w:rFonts w:cs="Times New Roman"/>
        </w:rPr>
        <w:t xml:space="preserve">a separate charge </w:t>
      </w:r>
      <w:r w:rsidR="00BF08C4" w:rsidRPr="000C223D">
        <w:rPr>
          <w:rFonts w:cs="Times New Roman"/>
        </w:rPr>
        <w:t xml:space="preserve">should be been registered </w:t>
      </w:r>
      <w:r w:rsidR="002F41D0" w:rsidRPr="000C223D">
        <w:rPr>
          <w:rFonts w:cs="Times New Roman"/>
        </w:rPr>
        <w:t>for each separate debenture</w:t>
      </w:r>
      <w:r w:rsidR="00B12F44">
        <w:rPr>
          <w:rFonts w:cs="Times New Roman"/>
        </w:rPr>
        <w:t xml:space="preserve"> and that as a result the Registrar’s certificate had been incorrectly issued</w:t>
      </w:r>
      <w:r w:rsidR="002F41D0" w:rsidRPr="000C223D">
        <w:rPr>
          <w:rFonts w:cs="Times New Roman"/>
        </w:rPr>
        <w:t>.</w:t>
      </w:r>
      <w:r w:rsidR="002F41D0" w:rsidRPr="000C223D">
        <w:rPr>
          <w:rStyle w:val="FootnoteReference"/>
          <w:rFonts w:cs="Times New Roman"/>
        </w:rPr>
        <w:footnoteReference w:id="36"/>
      </w:r>
      <w:r w:rsidR="002F41D0" w:rsidRPr="000C223D">
        <w:rPr>
          <w:rFonts w:cs="Times New Roman"/>
        </w:rPr>
        <w:t xml:space="preserve"> The court rejected this argument, holding that the conclusive effect of the certificate prevented the court from looking behind it. </w:t>
      </w:r>
    </w:p>
    <w:p w:rsidR="00C26C7C" w:rsidRPr="000C223D" w:rsidRDefault="00C26C7C" w:rsidP="00C26C7C">
      <w:pPr>
        <w:jc w:val="both"/>
        <w:rPr>
          <w:rFonts w:cs="Times New Roman"/>
        </w:rPr>
      </w:pPr>
      <w:r w:rsidRPr="000C223D">
        <w:rPr>
          <w:rFonts w:cs="Times New Roman"/>
        </w:rPr>
        <w:t xml:space="preserve">An important variation on the </w:t>
      </w:r>
      <w:proofErr w:type="spellStart"/>
      <w:r>
        <w:rPr>
          <w:rFonts w:cs="Times New Roman"/>
          <w:i/>
        </w:rPr>
        <w:t>Yolland</w:t>
      </w:r>
      <w:proofErr w:type="spellEnd"/>
      <w:r w:rsidRPr="000C223D">
        <w:rPr>
          <w:rFonts w:cs="Times New Roman"/>
          <w:i/>
        </w:rPr>
        <w:t xml:space="preserve"> </w:t>
      </w:r>
      <w:r w:rsidRPr="000C223D">
        <w:rPr>
          <w:rFonts w:cs="Times New Roman"/>
        </w:rPr>
        <w:t xml:space="preserve">theme has been considered by the English courts in </w:t>
      </w:r>
      <w:r w:rsidRPr="000C223D">
        <w:rPr>
          <w:rFonts w:cs="Times New Roman"/>
          <w:i/>
        </w:rPr>
        <w:t>CL Nye</w:t>
      </w:r>
      <w:r w:rsidR="00C47465">
        <w:rPr>
          <w:rStyle w:val="FootnoteReference"/>
          <w:rFonts w:cs="Times New Roman"/>
          <w:i/>
        </w:rPr>
        <w:footnoteReference w:id="37"/>
      </w:r>
      <w:r w:rsidRPr="000C223D">
        <w:rPr>
          <w:rFonts w:cs="Times New Roman"/>
          <w:i/>
        </w:rPr>
        <w:t xml:space="preserve"> </w:t>
      </w:r>
      <w:r w:rsidRPr="000C223D">
        <w:rPr>
          <w:rFonts w:cs="Times New Roman"/>
        </w:rPr>
        <w:t xml:space="preserve">and in Ireland in </w:t>
      </w:r>
      <w:r w:rsidRPr="000C223D">
        <w:rPr>
          <w:rFonts w:cs="Times New Roman"/>
          <w:i/>
        </w:rPr>
        <w:t xml:space="preserve">Lombard &amp; Ulster Banking Ireland Ltd v </w:t>
      </w:r>
      <w:proofErr w:type="spellStart"/>
      <w:r w:rsidRPr="000C223D">
        <w:rPr>
          <w:rFonts w:cs="Times New Roman"/>
          <w:i/>
        </w:rPr>
        <w:t>Amurec</w:t>
      </w:r>
      <w:proofErr w:type="spellEnd"/>
      <w:r w:rsidRPr="000C223D">
        <w:rPr>
          <w:rFonts w:cs="Times New Roman"/>
          <w:i/>
        </w:rPr>
        <w:t xml:space="preserve"> </w:t>
      </w:r>
      <w:proofErr w:type="gramStart"/>
      <w:r w:rsidRPr="000C223D">
        <w:rPr>
          <w:rFonts w:cs="Times New Roman"/>
          <w:i/>
        </w:rPr>
        <w:t>Ltd</w:t>
      </w:r>
      <w:r w:rsidRPr="000C223D">
        <w:rPr>
          <w:rStyle w:val="FootnoteReference"/>
          <w:rFonts w:cs="Times New Roman"/>
        </w:rPr>
        <w:footnoteReference w:id="38"/>
      </w:r>
      <w:r w:rsidRPr="000C223D">
        <w:rPr>
          <w:rFonts w:cs="Times New Roman"/>
        </w:rPr>
        <w:t xml:space="preserve"> In</w:t>
      </w:r>
      <w:proofErr w:type="gramEnd"/>
      <w:r w:rsidRPr="000C223D">
        <w:rPr>
          <w:rFonts w:cs="Times New Roman"/>
        </w:rPr>
        <w:t xml:space="preserve"> </w:t>
      </w:r>
      <w:r w:rsidRPr="000C223D">
        <w:rPr>
          <w:rFonts w:cs="Times New Roman"/>
          <w:i/>
        </w:rPr>
        <w:t xml:space="preserve">CL Nye </w:t>
      </w:r>
      <w:r w:rsidRPr="000C223D">
        <w:rPr>
          <w:rFonts w:cs="Times New Roman"/>
        </w:rPr>
        <w:t xml:space="preserve">a charge was created over the company’s property in February 1964. Owing to an oversight in the office of the solicitor for the chargee </w:t>
      </w:r>
      <w:r>
        <w:rPr>
          <w:rFonts w:cs="Times New Roman"/>
        </w:rPr>
        <w:t>the particulars of the charge were not delivered to the Registrar</w:t>
      </w:r>
      <w:r w:rsidRPr="000C223D">
        <w:rPr>
          <w:rFonts w:cs="Times New Roman"/>
        </w:rPr>
        <w:t>. The error was discovered on or about the 18</w:t>
      </w:r>
      <w:r w:rsidRPr="000C223D">
        <w:rPr>
          <w:rFonts w:cs="Times New Roman"/>
          <w:vertAlign w:val="superscript"/>
        </w:rPr>
        <w:t>th</w:t>
      </w:r>
      <w:r w:rsidRPr="000C223D">
        <w:rPr>
          <w:rFonts w:cs="Times New Roman"/>
        </w:rPr>
        <w:t xml:space="preserve"> June 1964 at which point the solicitor inserted that date into the charge document and </w:t>
      </w:r>
      <w:r>
        <w:rPr>
          <w:rFonts w:cs="Times New Roman"/>
        </w:rPr>
        <w:t>then presented a set of particulars, also bearing that date to the Registrar</w:t>
      </w:r>
      <w:r w:rsidRPr="000C223D">
        <w:rPr>
          <w:rFonts w:cs="Times New Roman"/>
        </w:rPr>
        <w:t xml:space="preserve">. In </w:t>
      </w:r>
      <w:proofErr w:type="spellStart"/>
      <w:r w:rsidRPr="000C223D">
        <w:rPr>
          <w:rFonts w:cs="Times New Roman"/>
          <w:i/>
        </w:rPr>
        <w:t>Amurec</w:t>
      </w:r>
      <w:proofErr w:type="spellEnd"/>
      <w:r w:rsidRPr="000C223D">
        <w:rPr>
          <w:rFonts w:cs="Times New Roman"/>
          <w:i/>
        </w:rPr>
        <w:t xml:space="preserve"> </w:t>
      </w:r>
      <w:r w:rsidRPr="000C223D">
        <w:rPr>
          <w:rFonts w:cs="Times New Roman"/>
        </w:rPr>
        <w:t xml:space="preserve">the charge was created in November 1972. </w:t>
      </w:r>
      <w:r>
        <w:rPr>
          <w:rFonts w:cs="Times New Roman"/>
        </w:rPr>
        <w:t xml:space="preserve">Delivery of the particulars </w:t>
      </w:r>
      <w:r w:rsidRPr="000C223D">
        <w:rPr>
          <w:rFonts w:cs="Times New Roman"/>
        </w:rPr>
        <w:t xml:space="preserve">was to be the responsibility of the company’s solicitor but this was not carried out immediately owing to problem with the payment of stamp duty </w:t>
      </w:r>
      <w:r w:rsidR="00450BD0">
        <w:rPr>
          <w:rFonts w:cs="Times New Roman"/>
        </w:rPr>
        <w:t xml:space="preserve">which emerged after the completion of the </w:t>
      </w:r>
      <w:r w:rsidRPr="000C223D">
        <w:rPr>
          <w:rFonts w:cs="Times New Roman"/>
        </w:rPr>
        <w:t>transaction. In March 1974 the solicitor for the company decided to regularise the situation by dating the charge document 22</w:t>
      </w:r>
      <w:r w:rsidRPr="000C223D">
        <w:rPr>
          <w:rFonts w:cs="Times New Roman"/>
          <w:vertAlign w:val="superscript"/>
        </w:rPr>
        <w:t>nd</w:t>
      </w:r>
      <w:r w:rsidRPr="000C223D">
        <w:rPr>
          <w:rFonts w:cs="Times New Roman"/>
        </w:rPr>
        <w:t xml:space="preserve"> March 1974 and presenting the particulars for registration on 10</w:t>
      </w:r>
      <w:r w:rsidRPr="000C223D">
        <w:rPr>
          <w:rFonts w:cs="Times New Roman"/>
          <w:vertAlign w:val="superscript"/>
        </w:rPr>
        <w:t>th</w:t>
      </w:r>
      <w:r w:rsidRPr="000C223D">
        <w:rPr>
          <w:rFonts w:cs="Times New Roman"/>
        </w:rPr>
        <w:t xml:space="preserve"> April 1974. In both cases the Registrar accepted the particulars and a certificate </w:t>
      </w:r>
      <w:proofErr w:type="gramStart"/>
      <w:r w:rsidRPr="000C223D">
        <w:rPr>
          <w:rFonts w:cs="Times New Roman"/>
        </w:rPr>
        <w:t>was</w:t>
      </w:r>
      <w:proofErr w:type="gramEnd"/>
      <w:r w:rsidRPr="000C223D">
        <w:rPr>
          <w:rFonts w:cs="Times New Roman"/>
        </w:rPr>
        <w:t xml:space="preserve"> duly issued</w:t>
      </w:r>
      <w:r>
        <w:rPr>
          <w:rFonts w:cs="Times New Roman"/>
        </w:rPr>
        <w:t>.</w:t>
      </w:r>
      <w:r w:rsidRPr="000C223D">
        <w:rPr>
          <w:rFonts w:cs="Times New Roman"/>
        </w:rPr>
        <w:t xml:space="preserve"> </w:t>
      </w:r>
      <w:r>
        <w:rPr>
          <w:rFonts w:cs="Times New Roman"/>
        </w:rPr>
        <w:t>B</w:t>
      </w:r>
      <w:r w:rsidRPr="000C223D">
        <w:rPr>
          <w:rFonts w:cs="Times New Roman"/>
        </w:rPr>
        <w:t xml:space="preserve">oth courts, </w:t>
      </w:r>
      <w:r w:rsidR="00C47465">
        <w:rPr>
          <w:rFonts w:cs="Times New Roman"/>
        </w:rPr>
        <w:t xml:space="preserve"> </w:t>
      </w:r>
      <w:r w:rsidRPr="000C223D">
        <w:rPr>
          <w:rFonts w:cs="Times New Roman"/>
        </w:rPr>
        <w:t xml:space="preserve">held that the wording of the legislation </w:t>
      </w:r>
      <w:r>
        <w:rPr>
          <w:rFonts w:cs="Times New Roman"/>
        </w:rPr>
        <w:t xml:space="preserve">and the prior case law </w:t>
      </w:r>
      <w:r w:rsidRPr="000C223D">
        <w:rPr>
          <w:rFonts w:cs="Times New Roman"/>
        </w:rPr>
        <w:t>precluded the court from reaching any other conclusion than that the charges had been validly registered</w:t>
      </w:r>
      <w:r w:rsidR="009A5DAA">
        <w:rPr>
          <w:rFonts w:cs="Times New Roman"/>
        </w:rPr>
        <w:t>, though Hamilton J. expressed “considerable sympathy”</w:t>
      </w:r>
      <w:r w:rsidR="009A5DAA">
        <w:rPr>
          <w:rStyle w:val="FootnoteReference"/>
          <w:rFonts w:cs="Times New Roman"/>
        </w:rPr>
        <w:footnoteReference w:id="39"/>
      </w:r>
      <w:r w:rsidR="009A5DAA">
        <w:rPr>
          <w:rFonts w:cs="Times New Roman"/>
        </w:rPr>
        <w:t xml:space="preserve"> with the arguments of the liquidator that the particulars of the charge had not been delivered within the required time. </w:t>
      </w:r>
    </w:p>
    <w:p w:rsidR="00C26C7C" w:rsidRDefault="00C26C7C" w:rsidP="002A6ED7">
      <w:pPr>
        <w:jc w:val="both"/>
        <w:rPr>
          <w:rFonts w:cs="Times New Roman"/>
          <w:b/>
        </w:rPr>
      </w:pPr>
    </w:p>
    <w:p w:rsidR="002A6ED7" w:rsidRDefault="002A6ED7" w:rsidP="002A6ED7">
      <w:pPr>
        <w:jc w:val="both"/>
        <w:rPr>
          <w:rFonts w:cs="Times New Roman"/>
          <w:b/>
        </w:rPr>
      </w:pPr>
      <w:r>
        <w:rPr>
          <w:rFonts w:cs="Times New Roman"/>
          <w:b/>
        </w:rPr>
        <w:t>Applications for an Extension of Time or for Rectification of the Company Charge Register</w:t>
      </w:r>
    </w:p>
    <w:p w:rsidR="002A6ED7" w:rsidRPr="000C223D" w:rsidRDefault="002A6ED7" w:rsidP="002A6ED7">
      <w:pPr>
        <w:jc w:val="both"/>
        <w:rPr>
          <w:rFonts w:cs="Times New Roman"/>
        </w:rPr>
      </w:pPr>
      <w:r>
        <w:rPr>
          <w:rFonts w:cs="Times New Roman"/>
        </w:rPr>
        <w:t>Section 106 provides that t</w:t>
      </w:r>
      <w:r w:rsidRPr="000C223D">
        <w:rPr>
          <w:rFonts w:cs="Times New Roman"/>
        </w:rPr>
        <w:t xml:space="preserve">he </w:t>
      </w:r>
      <w:r>
        <w:rPr>
          <w:rFonts w:cs="Times New Roman"/>
        </w:rPr>
        <w:t xml:space="preserve">High Court </w:t>
      </w:r>
      <w:r w:rsidRPr="000C223D">
        <w:rPr>
          <w:rFonts w:cs="Times New Roman"/>
        </w:rPr>
        <w:t>may</w:t>
      </w:r>
      <w:r>
        <w:rPr>
          <w:rFonts w:cs="Times New Roman"/>
        </w:rPr>
        <w:t xml:space="preserve">, on the application of the company or any person with an interest in the charge, </w:t>
      </w:r>
      <w:r w:rsidRPr="000C223D">
        <w:rPr>
          <w:rFonts w:cs="Times New Roman"/>
        </w:rPr>
        <w:t xml:space="preserve">make an order for </w:t>
      </w:r>
      <w:r>
        <w:rPr>
          <w:rFonts w:cs="Times New Roman"/>
        </w:rPr>
        <w:t xml:space="preserve">the </w:t>
      </w:r>
      <w:r w:rsidRPr="000C223D">
        <w:rPr>
          <w:rFonts w:cs="Times New Roman"/>
        </w:rPr>
        <w:t xml:space="preserve">extension of time </w:t>
      </w:r>
      <w:r>
        <w:rPr>
          <w:rFonts w:cs="Times New Roman"/>
        </w:rPr>
        <w:t xml:space="preserve">for registration </w:t>
      </w:r>
      <w:r w:rsidRPr="000C223D">
        <w:rPr>
          <w:rFonts w:cs="Times New Roman"/>
        </w:rPr>
        <w:t xml:space="preserve">or </w:t>
      </w:r>
      <w:r>
        <w:rPr>
          <w:rFonts w:cs="Times New Roman"/>
        </w:rPr>
        <w:t xml:space="preserve">for </w:t>
      </w:r>
      <w:r w:rsidRPr="000C223D">
        <w:rPr>
          <w:rFonts w:cs="Times New Roman"/>
        </w:rPr>
        <w:t xml:space="preserve">rectification </w:t>
      </w:r>
      <w:r>
        <w:rPr>
          <w:rFonts w:cs="Times New Roman"/>
        </w:rPr>
        <w:t xml:space="preserve">of the charge register </w:t>
      </w:r>
      <w:r w:rsidRPr="000C223D">
        <w:rPr>
          <w:rFonts w:cs="Times New Roman"/>
        </w:rPr>
        <w:t>on such terms as it considers just and expedient</w:t>
      </w:r>
      <w:r>
        <w:rPr>
          <w:rFonts w:cs="Times New Roman"/>
        </w:rPr>
        <w:t>.</w:t>
      </w:r>
      <w:r w:rsidRPr="000C223D">
        <w:rPr>
          <w:rFonts w:cs="Times New Roman"/>
        </w:rPr>
        <w:t xml:space="preserve"> </w:t>
      </w:r>
      <w:r>
        <w:rPr>
          <w:rFonts w:cs="Times New Roman"/>
        </w:rPr>
        <w:t xml:space="preserve">Before making the order the court must be satisfied that </w:t>
      </w:r>
      <w:r w:rsidRPr="000C223D">
        <w:rPr>
          <w:rFonts w:cs="Times New Roman"/>
        </w:rPr>
        <w:t xml:space="preserve">that there has been an omission to register or that there has been an error or omission in </w:t>
      </w:r>
      <w:r>
        <w:rPr>
          <w:rFonts w:cs="Times New Roman"/>
        </w:rPr>
        <w:t xml:space="preserve">one </w:t>
      </w:r>
      <w:r w:rsidRPr="000C223D">
        <w:rPr>
          <w:rFonts w:cs="Times New Roman"/>
        </w:rPr>
        <w:t xml:space="preserve">of the supplied particulars. </w:t>
      </w:r>
      <w:r>
        <w:rPr>
          <w:rFonts w:cs="Times New Roman"/>
        </w:rPr>
        <w:t>T</w:t>
      </w:r>
      <w:r w:rsidRPr="000C223D">
        <w:rPr>
          <w:rFonts w:cs="Times New Roman"/>
        </w:rPr>
        <w:t xml:space="preserve">he court must also be satisfied that one of the following conditions </w:t>
      </w:r>
      <w:proofErr w:type="gramStart"/>
      <w:r w:rsidRPr="000C223D">
        <w:rPr>
          <w:rFonts w:cs="Times New Roman"/>
        </w:rPr>
        <w:t>apply</w:t>
      </w:r>
      <w:proofErr w:type="gramEnd"/>
      <w:r w:rsidRPr="000C223D">
        <w:rPr>
          <w:rFonts w:cs="Times New Roman"/>
        </w:rPr>
        <w:t>:</w:t>
      </w:r>
    </w:p>
    <w:p w:rsidR="002A6ED7" w:rsidRPr="000C223D" w:rsidRDefault="002A6ED7" w:rsidP="002A6ED7">
      <w:pPr>
        <w:pStyle w:val="ListParagraph"/>
        <w:numPr>
          <w:ilvl w:val="0"/>
          <w:numId w:val="2"/>
        </w:numPr>
        <w:jc w:val="both"/>
        <w:rPr>
          <w:rFonts w:cs="Times New Roman"/>
        </w:rPr>
      </w:pPr>
      <w:r w:rsidRPr="000C223D">
        <w:rPr>
          <w:rFonts w:cs="Times New Roman"/>
        </w:rPr>
        <w:t xml:space="preserve">The error was accidental or due to inadvertence or some other sufficient cause; or, </w:t>
      </w:r>
    </w:p>
    <w:p w:rsidR="002A6ED7" w:rsidRPr="000C223D" w:rsidRDefault="002A6ED7" w:rsidP="002A6ED7">
      <w:pPr>
        <w:pStyle w:val="ListParagraph"/>
        <w:numPr>
          <w:ilvl w:val="0"/>
          <w:numId w:val="2"/>
        </w:numPr>
        <w:jc w:val="both"/>
        <w:rPr>
          <w:rFonts w:cs="Times New Roman"/>
        </w:rPr>
      </w:pPr>
      <w:r w:rsidRPr="000C223D">
        <w:rPr>
          <w:rFonts w:cs="Times New Roman"/>
        </w:rPr>
        <w:lastRenderedPageBreak/>
        <w:t>The error is not of a nature to prejudice the position of the company’s creditors or shareholders; or,</w:t>
      </w:r>
    </w:p>
    <w:p w:rsidR="002A6ED7" w:rsidRDefault="002A6ED7" w:rsidP="002A6ED7">
      <w:pPr>
        <w:pStyle w:val="ListParagraph"/>
        <w:numPr>
          <w:ilvl w:val="0"/>
          <w:numId w:val="2"/>
        </w:numPr>
        <w:jc w:val="both"/>
        <w:rPr>
          <w:rFonts w:cs="Times New Roman"/>
        </w:rPr>
      </w:pPr>
      <w:r w:rsidRPr="000C223D">
        <w:rPr>
          <w:rFonts w:cs="Times New Roman"/>
        </w:rPr>
        <w:t>The making of an order is just and equitable on other grounds.</w:t>
      </w:r>
    </w:p>
    <w:p w:rsidR="002A6ED7" w:rsidRDefault="002A6ED7" w:rsidP="002A6ED7">
      <w:pPr>
        <w:jc w:val="both"/>
        <w:rPr>
          <w:rFonts w:cs="Times New Roman"/>
        </w:rPr>
      </w:pPr>
      <w:r>
        <w:rPr>
          <w:rFonts w:cs="Times New Roman"/>
        </w:rPr>
        <w:t>Relief under Section 106 is discretionary and will not be ordered where it would be futile,</w:t>
      </w:r>
      <w:r>
        <w:rPr>
          <w:rStyle w:val="FootnoteReference"/>
          <w:rFonts w:cs="Times New Roman"/>
        </w:rPr>
        <w:footnoteReference w:id="40"/>
      </w:r>
      <w:r>
        <w:rPr>
          <w:rFonts w:cs="Times New Roman"/>
        </w:rPr>
        <w:t xml:space="preserve"> where the applicant has been guilty of some misconduct such as failing to disclose all relevant facts to the court,</w:t>
      </w:r>
      <w:r>
        <w:rPr>
          <w:rStyle w:val="FootnoteReference"/>
          <w:rFonts w:cs="Times New Roman"/>
        </w:rPr>
        <w:footnoteReference w:id="41"/>
      </w:r>
      <w:r>
        <w:rPr>
          <w:rFonts w:cs="Times New Roman"/>
        </w:rPr>
        <w:t xml:space="preserve"> or where the application has been brought after an undue delay.</w:t>
      </w:r>
      <w:r>
        <w:rPr>
          <w:rStyle w:val="FootnoteReference"/>
          <w:rFonts w:cs="Times New Roman"/>
        </w:rPr>
        <w:footnoteReference w:id="42"/>
      </w:r>
      <w:r>
        <w:rPr>
          <w:rFonts w:cs="Times New Roman"/>
        </w:rPr>
        <w:t xml:space="preserve"> The majority of reported applications under this section are for an extension of time for the delivery of particulars and such applications are usually granted unless a winding up has already commenced.</w:t>
      </w:r>
      <w:r>
        <w:rPr>
          <w:rStyle w:val="FootnoteReference"/>
          <w:rFonts w:cs="Times New Roman"/>
        </w:rPr>
        <w:footnoteReference w:id="43"/>
      </w:r>
      <w:r>
        <w:rPr>
          <w:rFonts w:cs="Times New Roman"/>
        </w:rPr>
        <w:t xml:space="preserve"> Where an extension of time is granted the order will usually be made subject to the so-called ‘</w:t>
      </w:r>
      <w:r>
        <w:rPr>
          <w:rFonts w:cs="Times New Roman"/>
          <w:i/>
        </w:rPr>
        <w:t xml:space="preserve">Joplin </w:t>
      </w:r>
      <w:r>
        <w:rPr>
          <w:rFonts w:cs="Times New Roman"/>
        </w:rPr>
        <w:t>provision’ so that the order is without prejudice to the rights of the other secured parties who have acquired a competing charge before the actual delivery of the particulars to the Registrar.</w:t>
      </w:r>
      <w:r>
        <w:rPr>
          <w:rStyle w:val="FootnoteReference"/>
          <w:rFonts w:cs="Times New Roman"/>
        </w:rPr>
        <w:footnoteReference w:id="44"/>
      </w:r>
      <w:r>
        <w:rPr>
          <w:rFonts w:cs="Times New Roman"/>
        </w:rPr>
        <w:t xml:space="preserve"> </w:t>
      </w:r>
    </w:p>
    <w:p w:rsidR="002A6ED7" w:rsidRDefault="002A6ED7" w:rsidP="00982820">
      <w:pPr>
        <w:jc w:val="both"/>
        <w:rPr>
          <w:rFonts w:cs="Times New Roman"/>
        </w:rPr>
      </w:pPr>
      <w:r>
        <w:rPr>
          <w:rFonts w:cs="Times New Roman"/>
        </w:rPr>
        <w:t xml:space="preserve">In view of the conclusive effect of the certificate, it is no surprise to find that applications for rectification of the register are uncommon. </w:t>
      </w:r>
      <w:r w:rsidR="009A5DAA">
        <w:rPr>
          <w:rFonts w:cs="Times New Roman"/>
        </w:rPr>
        <w:t xml:space="preserve">Previously the author of a leading Irish company law text book </w:t>
      </w:r>
      <w:r>
        <w:rPr>
          <w:rFonts w:cs="Times New Roman"/>
        </w:rPr>
        <w:t>has suggested that an application for rectification should not be made where a certificate of registration has been issued, as doing so might expose the chargee to the imposition of conditions on the registration of the charge which might adversely affect its position.</w:t>
      </w:r>
      <w:r>
        <w:rPr>
          <w:rStyle w:val="FootnoteReference"/>
          <w:rFonts w:cs="Times New Roman"/>
        </w:rPr>
        <w:footnoteReference w:id="45"/>
      </w:r>
      <w:r>
        <w:rPr>
          <w:rFonts w:cs="Times New Roman"/>
        </w:rPr>
        <w:t xml:space="preserve"> In </w:t>
      </w:r>
      <w:r>
        <w:rPr>
          <w:rFonts w:cs="Times New Roman"/>
          <w:i/>
        </w:rPr>
        <w:t>Re: Investments Options and Solutions Ltd</w:t>
      </w:r>
      <w:r w:rsidRPr="00450BD0">
        <w:rPr>
          <w:rStyle w:val="FootnoteReference"/>
          <w:rFonts w:cs="Times New Roman"/>
          <w:i/>
        </w:rPr>
        <w:footnoteReference w:id="46"/>
      </w:r>
      <w:r>
        <w:rPr>
          <w:rFonts w:cs="Times New Roman"/>
          <w:i/>
        </w:rPr>
        <w:t xml:space="preserve"> </w:t>
      </w:r>
      <w:r>
        <w:rPr>
          <w:rFonts w:cs="Times New Roman"/>
        </w:rPr>
        <w:t xml:space="preserve">the particulars of the charge which had been delivered to the Registrar misstated the date on which the charge had been created, though, in fact, the particulars had been delivered within time. A certificate of registration was issued. The successors in title to the chargee, who had appointed a receiver to the company, sought rectification of the error as they were concerned that the error might give rise to questions about the receiver’s authority to sell the encumbered property. The </w:t>
      </w:r>
      <w:r w:rsidR="009A5DAA">
        <w:rPr>
          <w:rFonts w:cs="Times New Roman"/>
        </w:rPr>
        <w:t xml:space="preserve">High Court </w:t>
      </w:r>
      <w:r>
        <w:rPr>
          <w:rFonts w:cs="Times New Roman"/>
        </w:rPr>
        <w:t xml:space="preserve">held that it was appropriate to order rectification since the particulars of the charge had in fact been registered within the relevant time period. </w:t>
      </w:r>
    </w:p>
    <w:p w:rsidR="00506F7C" w:rsidRPr="000C223D" w:rsidRDefault="002A6ED7" w:rsidP="00982820">
      <w:pPr>
        <w:jc w:val="both"/>
        <w:rPr>
          <w:rFonts w:cs="Times New Roman"/>
        </w:rPr>
      </w:pPr>
      <w:r>
        <w:rPr>
          <w:rFonts w:cs="Times New Roman"/>
        </w:rPr>
        <w:t xml:space="preserve">Section 106 proceedings can </w:t>
      </w:r>
      <w:r w:rsidR="009A5DAA">
        <w:rPr>
          <w:rFonts w:cs="Times New Roman"/>
        </w:rPr>
        <w:t xml:space="preserve">cause </w:t>
      </w:r>
      <w:r>
        <w:rPr>
          <w:rFonts w:cs="Times New Roman"/>
        </w:rPr>
        <w:t xml:space="preserve">other irregularities </w:t>
      </w:r>
      <w:r w:rsidR="00506F7C" w:rsidRPr="000C223D">
        <w:rPr>
          <w:rFonts w:cs="Times New Roman"/>
        </w:rPr>
        <w:t>in the registration process</w:t>
      </w:r>
      <w:r w:rsidR="00F67C2A">
        <w:rPr>
          <w:rFonts w:cs="Times New Roman"/>
        </w:rPr>
        <w:t xml:space="preserve"> as was demonstrated </w:t>
      </w:r>
      <w:r w:rsidR="00C037FF">
        <w:rPr>
          <w:rFonts w:cs="Times New Roman"/>
        </w:rPr>
        <w:t xml:space="preserve">in </w:t>
      </w:r>
      <w:r w:rsidR="00506F7C" w:rsidRPr="000C223D">
        <w:rPr>
          <w:rFonts w:cs="Times New Roman"/>
          <w:i/>
        </w:rPr>
        <w:t xml:space="preserve">Exeter Trust Ltd v </w:t>
      </w:r>
      <w:proofErr w:type="spellStart"/>
      <w:r w:rsidR="00506F7C" w:rsidRPr="000C223D">
        <w:rPr>
          <w:rFonts w:cs="Times New Roman"/>
          <w:i/>
        </w:rPr>
        <w:t>Screenways</w:t>
      </w:r>
      <w:proofErr w:type="spellEnd"/>
      <w:r w:rsidR="00506F7C" w:rsidRPr="000C223D">
        <w:rPr>
          <w:rFonts w:cs="Times New Roman"/>
          <w:i/>
        </w:rPr>
        <w:t xml:space="preserve"> Ltd</w:t>
      </w:r>
      <w:r w:rsidR="00506F7C" w:rsidRPr="00C037FF">
        <w:rPr>
          <w:rStyle w:val="FootnoteReference"/>
          <w:rFonts w:cs="Times New Roman"/>
        </w:rPr>
        <w:footnoteReference w:id="47"/>
      </w:r>
      <w:r w:rsidR="00EF5CA9" w:rsidRPr="000C223D">
        <w:rPr>
          <w:rFonts w:cs="Times New Roman"/>
        </w:rPr>
        <w:t xml:space="preserve"> and </w:t>
      </w:r>
      <w:r w:rsidR="00EF5CA9" w:rsidRPr="000C223D">
        <w:rPr>
          <w:rFonts w:cs="Times New Roman"/>
          <w:i/>
        </w:rPr>
        <w:t xml:space="preserve">Ali v Top Marques Car </w:t>
      </w:r>
      <w:r w:rsidR="00F61263" w:rsidRPr="000C223D">
        <w:rPr>
          <w:rFonts w:cs="Times New Roman"/>
          <w:i/>
        </w:rPr>
        <w:t>Rental Ltd.</w:t>
      </w:r>
      <w:r w:rsidR="00F61263" w:rsidRPr="00C037FF">
        <w:rPr>
          <w:rStyle w:val="FootnoteReference"/>
          <w:rFonts w:cs="Times New Roman"/>
        </w:rPr>
        <w:footnoteReference w:id="48"/>
      </w:r>
      <w:r w:rsidR="00C037FF">
        <w:rPr>
          <w:rFonts w:cs="Times New Roman"/>
          <w:i/>
        </w:rPr>
        <w:t xml:space="preserve"> </w:t>
      </w:r>
      <w:r w:rsidR="00F61263" w:rsidRPr="000C223D">
        <w:rPr>
          <w:rFonts w:cs="Times New Roman"/>
          <w:i/>
        </w:rPr>
        <w:t xml:space="preserve"> </w:t>
      </w:r>
      <w:r w:rsidR="00F61263" w:rsidRPr="000C223D">
        <w:rPr>
          <w:rFonts w:cs="Times New Roman"/>
        </w:rPr>
        <w:t xml:space="preserve">In </w:t>
      </w:r>
      <w:r w:rsidR="00F61263" w:rsidRPr="000C223D">
        <w:rPr>
          <w:rFonts w:cs="Times New Roman"/>
          <w:i/>
        </w:rPr>
        <w:t xml:space="preserve">Exeter Trust </w:t>
      </w:r>
      <w:r w:rsidR="00A920FE">
        <w:rPr>
          <w:rFonts w:cs="Times New Roman"/>
        </w:rPr>
        <w:t xml:space="preserve">particulars of a registrable charge had not been delivered within </w:t>
      </w:r>
      <w:r w:rsidR="00F61263" w:rsidRPr="000C223D">
        <w:rPr>
          <w:rFonts w:cs="Times New Roman"/>
        </w:rPr>
        <w:t>the 21 day period. On 5</w:t>
      </w:r>
      <w:r w:rsidR="00F61263" w:rsidRPr="000C223D">
        <w:rPr>
          <w:rFonts w:cs="Times New Roman"/>
          <w:vertAlign w:val="superscript"/>
        </w:rPr>
        <w:t>th</w:t>
      </w:r>
      <w:r w:rsidR="00F61263" w:rsidRPr="000C223D">
        <w:rPr>
          <w:rFonts w:cs="Times New Roman"/>
        </w:rPr>
        <w:t xml:space="preserve"> December 1988 the company issued a notice to its creditors of a creditors’ meeting to take place on 21</w:t>
      </w:r>
      <w:r w:rsidR="00F61263" w:rsidRPr="000C223D">
        <w:rPr>
          <w:rFonts w:cs="Times New Roman"/>
          <w:vertAlign w:val="superscript"/>
        </w:rPr>
        <w:t>st</w:t>
      </w:r>
      <w:r w:rsidR="00F61263" w:rsidRPr="000C223D">
        <w:rPr>
          <w:rFonts w:cs="Times New Roman"/>
        </w:rPr>
        <w:t xml:space="preserve"> December 1988 as part of the process of initiating a creditors’ voluntary winding-up of the company. The chargee partnership received this notice and on the 14</w:t>
      </w:r>
      <w:r w:rsidR="00F61263" w:rsidRPr="000C223D">
        <w:rPr>
          <w:rFonts w:cs="Times New Roman"/>
          <w:vertAlign w:val="superscript"/>
        </w:rPr>
        <w:t>th</w:t>
      </w:r>
      <w:r w:rsidR="00F61263" w:rsidRPr="000C223D">
        <w:rPr>
          <w:rFonts w:cs="Times New Roman"/>
        </w:rPr>
        <w:t xml:space="preserve"> December 1988 it applied to the County Court, under the equivalent of section 106 of </w:t>
      </w:r>
      <w:r w:rsidR="00F61263" w:rsidRPr="000C223D">
        <w:rPr>
          <w:rFonts w:cs="Times New Roman"/>
        </w:rPr>
        <w:lastRenderedPageBreak/>
        <w:t xml:space="preserve">the Companies </w:t>
      </w:r>
      <w:r w:rsidR="007B49F5">
        <w:rPr>
          <w:rFonts w:cs="Times New Roman"/>
        </w:rPr>
        <w:t>Act</w:t>
      </w:r>
      <w:r w:rsidR="00F61263" w:rsidRPr="000C223D">
        <w:rPr>
          <w:rFonts w:cs="Times New Roman"/>
        </w:rPr>
        <w:t xml:space="preserve"> 1963 for an order to extend the time for </w:t>
      </w:r>
      <w:r w:rsidR="00A920FE">
        <w:rPr>
          <w:rFonts w:cs="Times New Roman"/>
        </w:rPr>
        <w:t>delivery of the particulars</w:t>
      </w:r>
      <w:r w:rsidR="00F61263" w:rsidRPr="000C223D">
        <w:rPr>
          <w:rFonts w:cs="Times New Roman"/>
        </w:rPr>
        <w:t xml:space="preserve">. The application was grounded on the affidavit of one of the partners in the chargee which explained the reasons for </w:t>
      </w:r>
      <w:r w:rsidR="009A5DAA">
        <w:rPr>
          <w:rFonts w:cs="Times New Roman"/>
        </w:rPr>
        <w:t xml:space="preserve">the failure </w:t>
      </w:r>
      <w:r w:rsidR="00F61263" w:rsidRPr="000C223D">
        <w:rPr>
          <w:rFonts w:cs="Times New Roman"/>
        </w:rPr>
        <w:t xml:space="preserve">to register on time but omitted to mention the impending creditors’ meetings. </w:t>
      </w:r>
      <w:r w:rsidR="00254C84" w:rsidRPr="000C223D">
        <w:rPr>
          <w:rFonts w:cs="Times New Roman"/>
        </w:rPr>
        <w:t>An order extending the time was made on 19</w:t>
      </w:r>
      <w:r w:rsidR="00254C84" w:rsidRPr="000C223D">
        <w:rPr>
          <w:rFonts w:cs="Times New Roman"/>
          <w:vertAlign w:val="superscript"/>
        </w:rPr>
        <w:t>th</w:t>
      </w:r>
      <w:r w:rsidR="00254C84" w:rsidRPr="000C223D">
        <w:rPr>
          <w:rFonts w:cs="Times New Roman"/>
        </w:rPr>
        <w:t xml:space="preserve"> December 1988 extending the </w:t>
      </w:r>
      <w:r w:rsidR="00A920FE">
        <w:rPr>
          <w:rFonts w:cs="Times New Roman"/>
        </w:rPr>
        <w:t xml:space="preserve">deadline for delivery </w:t>
      </w:r>
      <w:r w:rsidR="00254C84" w:rsidRPr="000C223D">
        <w:rPr>
          <w:rFonts w:cs="Times New Roman"/>
        </w:rPr>
        <w:t>to 9</w:t>
      </w:r>
      <w:r w:rsidR="00254C84" w:rsidRPr="000C223D">
        <w:rPr>
          <w:rFonts w:cs="Times New Roman"/>
          <w:vertAlign w:val="superscript"/>
        </w:rPr>
        <w:t>th</w:t>
      </w:r>
      <w:r w:rsidR="00254C84" w:rsidRPr="000C223D">
        <w:rPr>
          <w:rFonts w:cs="Times New Roman"/>
        </w:rPr>
        <w:t xml:space="preserve"> January 1989. </w:t>
      </w:r>
      <w:r w:rsidR="00A920FE">
        <w:rPr>
          <w:rFonts w:cs="Times New Roman"/>
        </w:rPr>
        <w:t xml:space="preserve">The particulars were delivered </w:t>
      </w:r>
      <w:r w:rsidR="00254C84" w:rsidRPr="000C223D">
        <w:rPr>
          <w:rFonts w:cs="Times New Roman"/>
        </w:rPr>
        <w:t>on 21</w:t>
      </w:r>
      <w:r w:rsidR="00254C84" w:rsidRPr="000C223D">
        <w:rPr>
          <w:rFonts w:cs="Times New Roman"/>
          <w:vertAlign w:val="superscript"/>
        </w:rPr>
        <w:t>st</w:t>
      </w:r>
      <w:r w:rsidR="00254C84" w:rsidRPr="000C223D">
        <w:rPr>
          <w:rFonts w:cs="Times New Roman"/>
        </w:rPr>
        <w:t xml:space="preserve"> December 1988 approximately 90 minutes before the commencement of the creditors’ meeting and </w:t>
      </w:r>
      <w:r w:rsidR="00A920FE">
        <w:rPr>
          <w:rFonts w:cs="Times New Roman"/>
        </w:rPr>
        <w:t xml:space="preserve">a </w:t>
      </w:r>
      <w:r w:rsidR="00254C84" w:rsidRPr="000C223D">
        <w:rPr>
          <w:rFonts w:cs="Times New Roman"/>
        </w:rPr>
        <w:t xml:space="preserve">certificate of registration was duly issued. In April 1989, the liquidator of the company successfully appealed the decision to extend the time </w:t>
      </w:r>
      <w:r w:rsidR="00A920FE">
        <w:rPr>
          <w:rFonts w:cs="Times New Roman"/>
        </w:rPr>
        <w:t xml:space="preserve">for delivery </w:t>
      </w:r>
      <w:r w:rsidR="00254C84" w:rsidRPr="000C223D">
        <w:rPr>
          <w:rFonts w:cs="Times New Roman"/>
        </w:rPr>
        <w:t>and the court ordered that the register of charges b</w:t>
      </w:r>
      <w:r w:rsidR="009A5DAA">
        <w:rPr>
          <w:rFonts w:cs="Times New Roman"/>
        </w:rPr>
        <w:t>e</w:t>
      </w:r>
      <w:r w:rsidR="00254C84" w:rsidRPr="000C223D">
        <w:rPr>
          <w:rFonts w:cs="Times New Roman"/>
        </w:rPr>
        <w:t xml:space="preserve"> rectified by the deletion of the </w:t>
      </w:r>
      <w:r w:rsidR="00A920FE">
        <w:rPr>
          <w:rFonts w:cs="Times New Roman"/>
        </w:rPr>
        <w:t>charge</w:t>
      </w:r>
      <w:r w:rsidR="00254C84" w:rsidRPr="000C223D">
        <w:rPr>
          <w:rFonts w:cs="Times New Roman"/>
        </w:rPr>
        <w:t>. In the Court of Appeal</w:t>
      </w:r>
      <w:r w:rsidR="00A920FE">
        <w:rPr>
          <w:rFonts w:cs="Times New Roman"/>
        </w:rPr>
        <w:t>,</w:t>
      </w:r>
      <w:r w:rsidR="00254C84" w:rsidRPr="000C223D">
        <w:rPr>
          <w:rFonts w:cs="Times New Roman"/>
        </w:rPr>
        <w:t xml:space="preserve"> the chargee </w:t>
      </w:r>
      <w:r w:rsidR="00932657" w:rsidRPr="000C223D">
        <w:rPr>
          <w:rFonts w:cs="Times New Roman"/>
        </w:rPr>
        <w:t xml:space="preserve">argued </w:t>
      </w:r>
      <w:r w:rsidR="00254C84" w:rsidRPr="000C223D">
        <w:rPr>
          <w:rFonts w:cs="Times New Roman"/>
        </w:rPr>
        <w:t xml:space="preserve">that </w:t>
      </w:r>
      <w:r w:rsidR="00932657" w:rsidRPr="000C223D">
        <w:rPr>
          <w:rFonts w:cs="Times New Roman"/>
        </w:rPr>
        <w:t xml:space="preserve">the </w:t>
      </w:r>
      <w:r w:rsidR="00254C84" w:rsidRPr="000C223D">
        <w:rPr>
          <w:rFonts w:cs="Times New Roman"/>
        </w:rPr>
        <w:t xml:space="preserve">certificate of registration precluded the court below from ordering rectification of the companies register. </w:t>
      </w:r>
      <w:r w:rsidR="00A920FE">
        <w:rPr>
          <w:rFonts w:cs="Times New Roman"/>
        </w:rPr>
        <w:t xml:space="preserve">The Court of Appeal allowed the appeal. </w:t>
      </w:r>
      <w:r w:rsidR="00932657" w:rsidRPr="000C223D">
        <w:rPr>
          <w:rFonts w:cs="Times New Roman"/>
        </w:rPr>
        <w:t xml:space="preserve">Delivering the unanimous judgment of the </w:t>
      </w:r>
      <w:r w:rsidR="00A920FE">
        <w:rPr>
          <w:rFonts w:cs="Times New Roman"/>
        </w:rPr>
        <w:t>C</w:t>
      </w:r>
      <w:r w:rsidR="00932657" w:rsidRPr="000C223D">
        <w:rPr>
          <w:rFonts w:cs="Times New Roman"/>
        </w:rPr>
        <w:t xml:space="preserve">ourt, </w:t>
      </w:r>
      <w:proofErr w:type="spellStart"/>
      <w:r w:rsidR="00932657" w:rsidRPr="000C223D">
        <w:rPr>
          <w:rFonts w:cs="Times New Roman"/>
        </w:rPr>
        <w:t>Nourse</w:t>
      </w:r>
      <w:proofErr w:type="spellEnd"/>
      <w:r w:rsidR="00932657" w:rsidRPr="000C223D">
        <w:rPr>
          <w:rFonts w:cs="Times New Roman"/>
        </w:rPr>
        <w:t xml:space="preserve"> LJ held that </w:t>
      </w:r>
      <w:r w:rsidR="00E85351" w:rsidRPr="000C223D">
        <w:rPr>
          <w:rFonts w:cs="Times New Roman"/>
        </w:rPr>
        <w:t xml:space="preserve">he was unable to distinguish this case from earlier decisions such </w:t>
      </w:r>
      <w:proofErr w:type="spellStart"/>
      <w:r w:rsidR="00E85351" w:rsidRPr="000C223D">
        <w:rPr>
          <w:rFonts w:cs="Times New Roman"/>
          <w:i/>
        </w:rPr>
        <w:t>Yolland</w:t>
      </w:r>
      <w:proofErr w:type="spellEnd"/>
      <w:r w:rsidR="00E85351" w:rsidRPr="000C223D">
        <w:rPr>
          <w:rFonts w:cs="Times New Roman"/>
          <w:i/>
        </w:rPr>
        <w:t xml:space="preserve"> </w:t>
      </w:r>
      <w:r w:rsidR="00E85351" w:rsidRPr="000C223D">
        <w:rPr>
          <w:rFonts w:cs="Times New Roman"/>
        </w:rPr>
        <w:t xml:space="preserve">and </w:t>
      </w:r>
      <w:r w:rsidR="00E85351" w:rsidRPr="000C223D">
        <w:rPr>
          <w:rFonts w:cs="Times New Roman"/>
          <w:i/>
        </w:rPr>
        <w:t xml:space="preserve">CL Nye </w:t>
      </w:r>
      <w:r w:rsidR="00E85351" w:rsidRPr="000C223D">
        <w:rPr>
          <w:rFonts w:cs="Times New Roman"/>
        </w:rPr>
        <w:t>in which the certificate had been held to be conclusive.</w:t>
      </w:r>
      <w:r w:rsidR="00E85351" w:rsidRPr="000C223D">
        <w:rPr>
          <w:rStyle w:val="FootnoteReference"/>
          <w:rFonts w:cs="Times New Roman"/>
        </w:rPr>
        <w:footnoteReference w:id="49"/>
      </w:r>
      <w:r w:rsidR="00E85351" w:rsidRPr="000C223D">
        <w:rPr>
          <w:rFonts w:cs="Times New Roman"/>
        </w:rPr>
        <w:t xml:space="preserve"> </w:t>
      </w:r>
    </w:p>
    <w:p w:rsidR="00145C7F" w:rsidRPr="000C223D" w:rsidRDefault="00E85351" w:rsidP="00982820">
      <w:pPr>
        <w:jc w:val="both"/>
        <w:rPr>
          <w:rFonts w:cs="Times New Roman"/>
        </w:rPr>
      </w:pPr>
      <w:r w:rsidRPr="000C223D">
        <w:rPr>
          <w:rFonts w:cs="Times New Roman"/>
        </w:rPr>
        <w:t>In</w:t>
      </w:r>
      <w:r w:rsidRPr="000C223D">
        <w:rPr>
          <w:rFonts w:cs="Times New Roman"/>
          <w:i/>
        </w:rPr>
        <w:t xml:space="preserve"> Top Marques </w:t>
      </w:r>
      <w:r w:rsidRPr="000C223D">
        <w:rPr>
          <w:rFonts w:cs="Times New Roman"/>
        </w:rPr>
        <w:t>the chargee had obtai</w:t>
      </w:r>
      <w:r w:rsidR="00A920FE">
        <w:rPr>
          <w:rFonts w:cs="Times New Roman"/>
        </w:rPr>
        <w:t xml:space="preserve">ned an order extending time for delivery </w:t>
      </w:r>
      <w:r w:rsidR="00BC2632" w:rsidRPr="000C223D">
        <w:rPr>
          <w:rFonts w:cs="Times New Roman"/>
        </w:rPr>
        <w:t>while the company was in administration</w:t>
      </w:r>
      <w:r w:rsidRPr="000C223D">
        <w:rPr>
          <w:rFonts w:cs="Times New Roman"/>
        </w:rPr>
        <w:t xml:space="preserve">. The order was made subject to the standard proviso </w:t>
      </w:r>
      <w:r w:rsidR="002A6ED7" w:rsidRPr="000C223D">
        <w:rPr>
          <w:rFonts w:cs="Times New Roman"/>
        </w:rPr>
        <w:t>in such cases,</w:t>
      </w:r>
      <w:r w:rsidR="002A6ED7">
        <w:rPr>
          <w:rFonts w:cs="Times New Roman"/>
        </w:rPr>
        <w:t xml:space="preserve"> (‘a </w:t>
      </w:r>
      <w:r w:rsidR="002A6ED7">
        <w:rPr>
          <w:rFonts w:cs="Times New Roman"/>
          <w:i/>
        </w:rPr>
        <w:t xml:space="preserve">Re: Charles </w:t>
      </w:r>
      <w:r w:rsidR="002A6ED7">
        <w:rPr>
          <w:rFonts w:cs="Times New Roman"/>
        </w:rPr>
        <w:t>order’)</w:t>
      </w:r>
      <w:r w:rsidR="002A6ED7" w:rsidRPr="002A6ED7">
        <w:rPr>
          <w:rStyle w:val="FootnoteReference"/>
          <w:rFonts w:cs="Times New Roman"/>
        </w:rPr>
        <w:t xml:space="preserve"> </w:t>
      </w:r>
      <w:r w:rsidR="002A6ED7" w:rsidRPr="000C223D">
        <w:rPr>
          <w:rStyle w:val="FootnoteReference"/>
          <w:rFonts w:cs="Times New Roman"/>
        </w:rPr>
        <w:footnoteReference w:id="50"/>
      </w:r>
      <w:r w:rsidR="002A6ED7">
        <w:rPr>
          <w:rFonts w:cs="Times New Roman"/>
        </w:rPr>
        <w:t xml:space="preserve"> </w:t>
      </w:r>
      <w:r w:rsidRPr="000C223D">
        <w:rPr>
          <w:rFonts w:cs="Times New Roman"/>
        </w:rPr>
        <w:t xml:space="preserve">i.e., that the company’s administrator or any creditor would be at liberty to apply to the court to discharge the order within 14 days. The secured creditor further gave an undertaking that it would submit </w:t>
      </w:r>
      <w:r w:rsidR="00450BD0">
        <w:rPr>
          <w:rFonts w:cs="Times New Roman"/>
        </w:rPr>
        <w:t xml:space="preserve">to </w:t>
      </w:r>
      <w:r w:rsidRPr="000C223D">
        <w:rPr>
          <w:rFonts w:cs="Times New Roman"/>
        </w:rPr>
        <w:t>the jurisdiction of the court and would abide by an</w:t>
      </w:r>
      <w:r w:rsidR="00450BD0">
        <w:rPr>
          <w:rFonts w:cs="Times New Roman"/>
        </w:rPr>
        <w:t>y</w:t>
      </w:r>
      <w:r w:rsidRPr="000C223D">
        <w:rPr>
          <w:rFonts w:cs="Times New Roman"/>
        </w:rPr>
        <w:t xml:space="preserve"> order made as a result of such a</w:t>
      </w:r>
      <w:r w:rsidR="00450BD0">
        <w:rPr>
          <w:rFonts w:cs="Times New Roman"/>
        </w:rPr>
        <w:t>n</w:t>
      </w:r>
      <w:r w:rsidRPr="000C223D">
        <w:rPr>
          <w:rFonts w:cs="Times New Roman"/>
        </w:rPr>
        <w:t xml:space="preserve"> application</w:t>
      </w:r>
      <w:r w:rsidR="00A920FE">
        <w:rPr>
          <w:rFonts w:cs="Times New Roman"/>
        </w:rPr>
        <w:t xml:space="preserve"> to discharge the order</w:t>
      </w:r>
      <w:r w:rsidRPr="000C223D">
        <w:rPr>
          <w:rFonts w:cs="Times New Roman"/>
        </w:rPr>
        <w:t>.</w:t>
      </w:r>
      <w:r w:rsidR="00BC2632" w:rsidRPr="000C223D">
        <w:rPr>
          <w:rFonts w:cs="Times New Roman"/>
        </w:rPr>
        <w:t xml:space="preserve"> At a subsequent hearing</w:t>
      </w:r>
      <w:r w:rsidR="009E2A3D">
        <w:rPr>
          <w:rFonts w:cs="Times New Roman"/>
        </w:rPr>
        <w:t>,</w:t>
      </w:r>
      <w:r w:rsidR="00BC2632" w:rsidRPr="000C223D">
        <w:rPr>
          <w:rFonts w:cs="Times New Roman"/>
        </w:rPr>
        <w:t xml:space="preserve"> counsel for the administrator sought to have extension of time set aside on the basis that the company was insolvent at the date when the order was made</w:t>
      </w:r>
      <w:r w:rsidR="00ED1EDB" w:rsidRPr="000C223D">
        <w:rPr>
          <w:rFonts w:cs="Times New Roman"/>
        </w:rPr>
        <w:t xml:space="preserve"> and that it had no prospect of emerging from the administration</w:t>
      </w:r>
      <w:r w:rsidR="00134682">
        <w:rPr>
          <w:rFonts w:cs="Times New Roman"/>
        </w:rPr>
        <w:t xml:space="preserve"> restored to solvency</w:t>
      </w:r>
      <w:r w:rsidR="00BC2632" w:rsidRPr="000C223D">
        <w:rPr>
          <w:rFonts w:cs="Times New Roman"/>
        </w:rPr>
        <w:t>.</w:t>
      </w:r>
      <w:r w:rsidR="00ED1EDB" w:rsidRPr="000C223D">
        <w:rPr>
          <w:rStyle w:val="FootnoteReference"/>
          <w:rFonts w:cs="Times New Roman"/>
        </w:rPr>
        <w:footnoteReference w:id="51"/>
      </w:r>
      <w:r w:rsidR="00ED1EDB" w:rsidRPr="000C223D">
        <w:rPr>
          <w:rFonts w:cs="Times New Roman"/>
        </w:rPr>
        <w:t xml:space="preserve"> Counsel for the chargee argued that there was no need </w:t>
      </w:r>
      <w:r w:rsidR="009E2A3D">
        <w:rPr>
          <w:rFonts w:cs="Times New Roman"/>
        </w:rPr>
        <w:t>for the</w:t>
      </w:r>
      <w:r w:rsidR="00ED1EDB" w:rsidRPr="000C223D">
        <w:rPr>
          <w:rFonts w:cs="Times New Roman"/>
        </w:rPr>
        <w:t xml:space="preserve"> court to consider this point, since the </w:t>
      </w:r>
      <w:r w:rsidR="00A920FE">
        <w:rPr>
          <w:rFonts w:cs="Times New Roman"/>
        </w:rPr>
        <w:t xml:space="preserve">particulars had in fact been delivered and </w:t>
      </w:r>
      <w:r w:rsidR="00ED1EDB" w:rsidRPr="000C223D">
        <w:rPr>
          <w:rFonts w:cs="Times New Roman"/>
        </w:rPr>
        <w:t xml:space="preserve">a certificate of registration had been issued before the expiry of the 14 day period. The Registrar of Companies gave evidence that the certificate of registration had been issued in error and that the Registrar’s normal practice in such cases was to delay issuing the certificate of registration until any time period specified in extension order had expired. </w:t>
      </w:r>
    </w:p>
    <w:p w:rsidR="00E85351" w:rsidRPr="000C223D" w:rsidRDefault="00145C7F" w:rsidP="00982820">
      <w:pPr>
        <w:jc w:val="both"/>
        <w:rPr>
          <w:rFonts w:cs="Times New Roman"/>
        </w:rPr>
      </w:pPr>
      <w:r w:rsidRPr="000C223D">
        <w:rPr>
          <w:rFonts w:cs="Times New Roman"/>
        </w:rPr>
        <w:t xml:space="preserve">The court held that in terms of the initial order extending the time for </w:t>
      </w:r>
      <w:r w:rsidR="00A920FE">
        <w:rPr>
          <w:rFonts w:cs="Times New Roman"/>
        </w:rPr>
        <w:t xml:space="preserve">delivery of the particulars </w:t>
      </w:r>
      <w:r w:rsidRPr="000C223D">
        <w:rPr>
          <w:rFonts w:cs="Times New Roman"/>
        </w:rPr>
        <w:t>amounted to an ‘implied direction’ to the Registrar not to issue a certificate while the order remained subject to review. However, having reviewed the earlier authorities the court held that it was ‘constrained to the view’ that once the certificate had been issued it was beyond the power of the court to order its recall and that the circumstances of the certificate’s issue were not such as to undermine its conclusiveness.</w:t>
      </w:r>
      <w:r w:rsidRPr="000C223D">
        <w:rPr>
          <w:rStyle w:val="FootnoteReference"/>
          <w:rFonts w:cs="Times New Roman"/>
        </w:rPr>
        <w:footnoteReference w:id="52"/>
      </w:r>
    </w:p>
    <w:p w:rsidR="00B341D6" w:rsidRDefault="00CD1490" w:rsidP="002A6ED7">
      <w:pPr>
        <w:jc w:val="both"/>
        <w:rPr>
          <w:rFonts w:cs="Times New Roman"/>
        </w:rPr>
      </w:pPr>
      <w:r>
        <w:rPr>
          <w:rFonts w:cs="Times New Roman"/>
        </w:rPr>
        <w:lastRenderedPageBreak/>
        <w:t xml:space="preserve">In Ireland, the courts appear to have reached </w:t>
      </w:r>
      <w:r w:rsidR="002A6ED7">
        <w:rPr>
          <w:rFonts w:cs="Times New Roman"/>
        </w:rPr>
        <w:t>a different conclusion</w:t>
      </w:r>
      <w:r>
        <w:rPr>
          <w:rFonts w:cs="Times New Roman"/>
        </w:rPr>
        <w:t xml:space="preserve"> on at least one occasion</w:t>
      </w:r>
      <w:r w:rsidR="002A6ED7">
        <w:rPr>
          <w:rFonts w:cs="Times New Roman"/>
        </w:rPr>
        <w:t xml:space="preserve">. In </w:t>
      </w:r>
      <w:r w:rsidR="002A6ED7">
        <w:rPr>
          <w:rFonts w:cs="Times New Roman"/>
          <w:i/>
        </w:rPr>
        <w:t>Re: Telford Motors Ltd,</w:t>
      </w:r>
      <w:r w:rsidR="002A6ED7" w:rsidRPr="00450BD0">
        <w:rPr>
          <w:rStyle w:val="FootnoteReference"/>
          <w:rFonts w:cs="Times New Roman"/>
          <w:i/>
        </w:rPr>
        <w:footnoteReference w:id="53"/>
      </w:r>
      <w:r w:rsidR="002A6ED7">
        <w:rPr>
          <w:rFonts w:cs="Times New Roman"/>
          <w:i/>
        </w:rPr>
        <w:t xml:space="preserve"> </w:t>
      </w:r>
      <w:r w:rsidR="002A6ED7">
        <w:rPr>
          <w:rFonts w:cs="Times New Roman"/>
        </w:rPr>
        <w:t xml:space="preserve">an order extending the time for registration had likewise been made. </w:t>
      </w:r>
      <w:r w:rsidR="00B341D6">
        <w:rPr>
          <w:rFonts w:cs="Times New Roman"/>
        </w:rPr>
        <w:t>At the time of the applicat</w:t>
      </w:r>
      <w:r w:rsidR="00450BD0">
        <w:rPr>
          <w:rFonts w:cs="Times New Roman"/>
        </w:rPr>
        <w:t xml:space="preserve">ion, the commencement of a winding </w:t>
      </w:r>
      <w:r w:rsidR="00B341D6">
        <w:rPr>
          <w:rFonts w:cs="Times New Roman"/>
        </w:rPr>
        <w:t xml:space="preserve">up of the company was imminent and as such it was made a condition of the order that if the company was wound-up within 21 days of the date of the order, the company would be at liberty to apply to court to have the order discharged. The applicant committed to submit itself to the jurisdiction of the court and to abide by any order which might be made at that point for the removal of the late registration from the Registrar. The particulars were delivered to the Registrar and eight days later a liquidator was appointed to the company. The Registrar registered the charge two days after the appointment of the liquidator. </w:t>
      </w:r>
    </w:p>
    <w:p w:rsidR="00145C7F" w:rsidRPr="00A21744" w:rsidRDefault="00CD1490" w:rsidP="002A6ED7">
      <w:pPr>
        <w:jc w:val="both"/>
        <w:rPr>
          <w:rFonts w:cs="Times New Roman"/>
        </w:rPr>
      </w:pPr>
      <w:r>
        <w:rPr>
          <w:rFonts w:cs="Times New Roman"/>
        </w:rPr>
        <w:t>The court held that the charge had not been properly registered. Hamilton J. stated that to regard the late registration as valid would be to disregard the terms of the court’s original order and to treat the conditions of that order as an “empty formula”.</w:t>
      </w:r>
      <w:r>
        <w:rPr>
          <w:rStyle w:val="FootnoteReference"/>
          <w:rFonts w:cs="Times New Roman"/>
        </w:rPr>
        <w:footnoteReference w:id="54"/>
      </w:r>
      <w:r>
        <w:rPr>
          <w:rFonts w:cs="Times New Roman"/>
        </w:rPr>
        <w:t xml:space="preserve"> </w:t>
      </w:r>
      <w:r w:rsidR="007D50C1">
        <w:rPr>
          <w:rFonts w:cs="Times New Roman"/>
        </w:rPr>
        <w:t>I</w:t>
      </w:r>
      <w:r>
        <w:rPr>
          <w:rFonts w:cs="Times New Roman"/>
        </w:rPr>
        <w:t xml:space="preserve">t can be argued that </w:t>
      </w:r>
      <w:r>
        <w:rPr>
          <w:rFonts w:cs="Times New Roman"/>
          <w:i/>
        </w:rPr>
        <w:t xml:space="preserve">Re: Telford </w:t>
      </w:r>
      <w:r>
        <w:rPr>
          <w:rFonts w:cs="Times New Roman"/>
        </w:rPr>
        <w:t xml:space="preserve">represents a departure from the normal principle that a certificate of registration, once issued, is beyond </w:t>
      </w:r>
      <w:r w:rsidR="007D50C1">
        <w:rPr>
          <w:rFonts w:cs="Times New Roman"/>
        </w:rPr>
        <w:t>recall.</w:t>
      </w:r>
      <w:r w:rsidR="00A21744">
        <w:rPr>
          <w:rFonts w:cs="Times New Roman"/>
        </w:rPr>
        <w:t xml:space="preserve"> However, it must be noted that, unlike </w:t>
      </w:r>
      <w:r w:rsidR="00A21744">
        <w:rPr>
          <w:rFonts w:cs="Times New Roman"/>
          <w:i/>
        </w:rPr>
        <w:t xml:space="preserve">Exeter Trust </w:t>
      </w:r>
      <w:r w:rsidR="00A21744">
        <w:rPr>
          <w:rFonts w:cs="Times New Roman"/>
        </w:rPr>
        <w:t xml:space="preserve">and </w:t>
      </w:r>
      <w:r w:rsidR="00A21744">
        <w:rPr>
          <w:rFonts w:cs="Times New Roman"/>
          <w:i/>
        </w:rPr>
        <w:t>Top Marques</w:t>
      </w:r>
      <w:r w:rsidR="00A21744">
        <w:rPr>
          <w:rFonts w:cs="Times New Roman"/>
        </w:rPr>
        <w:t xml:space="preserve"> the court was dealing with a fresh application for directions from the liquidator and not a continuation of the proceedings surrounding the original section 106 application. Furthermore, from the judgment, it is not clear that the effect of the certificate of registration was canvassed in argument before the court. </w:t>
      </w:r>
    </w:p>
    <w:p w:rsidR="00737106" w:rsidRDefault="00737106" w:rsidP="00982820">
      <w:pPr>
        <w:jc w:val="both"/>
        <w:rPr>
          <w:rFonts w:cs="Times New Roman"/>
          <w:b/>
        </w:rPr>
      </w:pPr>
    </w:p>
    <w:p w:rsidR="00087D04" w:rsidRPr="00087D04" w:rsidRDefault="00087D04" w:rsidP="00982820">
      <w:pPr>
        <w:jc w:val="both"/>
        <w:rPr>
          <w:rFonts w:cs="Times New Roman"/>
          <w:b/>
        </w:rPr>
      </w:pPr>
      <w:r>
        <w:rPr>
          <w:rFonts w:cs="Times New Roman"/>
          <w:b/>
        </w:rPr>
        <w:t>Judicial Review Proceedings</w:t>
      </w:r>
    </w:p>
    <w:p w:rsidR="00917D82" w:rsidRDefault="00064CAA" w:rsidP="00982820">
      <w:pPr>
        <w:jc w:val="both"/>
        <w:rPr>
          <w:rFonts w:cs="Times New Roman"/>
        </w:rPr>
      </w:pPr>
      <w:r>
        <w:rPr>
          <w:rFonts w:cs="Times New Roman"/>
        </w:rPr>
        <w:t xml:space="preserve">The final </w:t>
      </w:r>
      <w:r w:rsidR="00C037FF">
        <w:rPr>
          <w:rFonts w:cs="Times New Roman"/>
        </w:rPr>
        <w:t xml:space="preserve">aspect of the certificate of registration which needs to be considered </w:t>
      </w:r>
      <w:r>
        <w:rPr>
          <w:rFonts w:cs="Times New Roman"/>
        </w:rPr>
        <w:t xml:space="preserve">is its impact in judicial review proceedings. In </w:t>
      </w:r>
      <w:r>
        <w:rPr>
          <w:rFonts w:cs="Times New Roman"/>
          <w:i/>
        </w:rPr>
        <w:t>R v Registrar of Companies, ex parte Central Bank of India</w:t>
      </w:r>
      <w:r w:rsidRPr="00064CAA">
        <w:rPr>
          <w:rStyle w:val="FootnoteReference"/>
          <w:rFonts w:cs="Times New Roman"/>
        </w:rPr>
        <w:footnoteReference w:id="55"/>
      </w:r>
      <w:r>
        <w:rPr>
          <w:rFonts w:cs="Times New Roman"/>
        </w:rPr>
        <w:t xml:space="preserve"> an attempt was made to utilise judicial review proceedings in order to evade the consequences of the certificate of registration. </w:t>
      </w:r>
      <w:r w:rsidR="00917D82">
        <w:rPr>
          <w:rFonts w:cs="Times New Roman"/>
        </w:rPr>
        <w:t xml:space="preserve">The judicial review proceedings were taken by the company and a number of intervening creditors as an aspect of a broader set of plenary proceedings in which the applicants wished to dispute the validity of the registration of a charge. </w:t>
      </w:r>
    </w:p>
    <w:p w:rsidR="00064CAA" w:rsidRDefault="00917D82" w:rsidP="00982820">
      <w:pPr>
        <w:jc w:val="both"/>
        <w:rPr>
          <w:rFonts w:cs="Times New Roman"/>
        </w:rPr>
      </w:pPr>
      <w:r>
        <w:rPr>
          <w:rFonts w:cs="Times New Roman"/>
        </w:rPr>
        <w:t>The facts were as follows. T</w:t>
      </w:r>
      <w:r w:rsidR="00064CAA">
        <w:rPr>
          <w:rFonts w:cs="Times New Roman"/>
        </w:rPr>
        <w:t xml:space="preserve">he company had opened </w:t>
      </w:r>
      <w:r w:rsidR="00761262">
        <w:rPr>
          <w:rFonts w:cs="Times New Roman"/>
        </w:rPr>
        <w:t xml:space="preserve">a series of documentary credits at Allied Arab Bank (‘AAB’). The agreement required the company </w:t>
      </w:r>
      <w:r w:rsidR="00134682">
        <w:rPr>
          <w:rFonts w:cs="Times New Roman"/>
        </w:rPr>
        <w:t xml:space="preserve">to </w:t>
      </w:r>
      <w:r w:rsidR="00761262">
        <w:rPr>
          <w:rFonts w:cs="Times New Roman"/>
        </w:rPr>
        <w:t>provide security when called upon to do so by AAB. A call for security was made in February 1984 by the delivery of a draft debenture the company.  T</w:t>
      </w:r>
      <w:r w:rsidR="00802ACF">
        <w:rPr>
          <w:rFonts w:cs="Times New Roman"/>
        </w:rPr>
        <w:t>he company re</w:t>
      </w:r>
      <w:r w:rsidR="00761262">
        <w:rPr>
          <w:rFonts w:cs="Times New Roman"/>
        </w:rPr>
        <w:t>fused to comply and AAB then obtained an order for specific performance requiring the company to provide the security required under the agreement. AAB took the view that the call for security coupled with the order for specific performance had the effect of creating a charge over the company’s property which required registration</w:t>
      </w:r>
      <w:r w:rsidR="00802ACF">
        <w:rPr>
          <w:rFonts w:cs="Times New Roman"/>
        </w:rPr>
        <w:t xml:space="preserve"> as of the 4</w:t>
      </w:r>
      <w:r w:rsidR="00802ACF" w:rsidRPr="00802ACF">
        <w:rPr>
          <w:rFonts w:cs="Times New Roman"/>
          <w:vertAlign w:val="superscript"/>
        </w:rPr>
        <w:t>th</w:t>
      </w:r>
      <w:r w:rsidR="00802ACF">
        <w:rPr>
          <w:rFonts w:cs="Times New Roman"/>
        </w:rPr>
        <w:t xml:space="preserve"> February 1984. The bank delivered a copy of the charge document and the particulars on 29</w:t>
      </w:r>
      <w:r w:rsidR="00802ACF" w:rsidRPr="00802ACF">
        <w:rPr>
          <w:rFonts w:cs="Times New Roman"/>
          <w:vertAlign w:val="superscript"/>
        </w:rPr>
        <w:t>th</w:t>
      </w:r>
      <w:r w:rsidR="00802ACF">
        <w:rPr>
          <w:rFonts w:cs="Times New Roman"/>
        </w:rPr>
        <w:t xml:space="preserve"> February 1984. On </w:t>
      </w:r>
      <w:r w:rsidR="007C1C6F">
        <w:rPr>
          <w:rFonts w:cs="Times New Roman"/>
        </w:rPr>
        <w:t>23</w:t>
      </w:r>
      <w:r w:rsidR="007C1C6F" w:rsidRPr="007C1C6F">
        <w:rPr>
          <w:rFonts w:cs="Times New Roman"/>
          <w:vertAlign w:val="superscript"/>
        </w:rPr>
        <w:t>rd</w:t>
      </w:r>
      <w:r w:rsidR="007C1C6F">
        <w:rPr>
          <w:rFonts w:cs="Times New Roman"/>
        </w:rPr>
        <w:t xml:space="preserve"> </w:t>
      </w:r>
      <w:r w:rsidR="00802ACF">
        <w:rPr>
          <w:rFonts w:cs="Times New Roman"/>
        </w:rPr>
        <w:t xml:space="preserve">March 1984 </w:t>
      </w:r>
      <w:r w:rsidR="007C1C6F">
        <w:rPr>
          <w:rFonts w:cs="Times New Roman"/>
        </w:rPr>
        <w:t xml:space="preserve">one of the </w:t>
      </w:r>
      <w:r w:rsidR="007C1C6F">
        <w:rPr>
          <w:rFonts w:cs="Times New Roman"/>
        </w:rPr>
        <w:lastRenderedPageBreak/>
        <w:t xml:space="preserve">Registrar’s officials </w:t>
      </w:r>
      <w:r w:rsidR="00802ACF">
        <w:rPr>
          <w:rFonts w:cs="Times New Roman"/>
        </w:rPr>
        <w:t>contacted the bank’s solicitor</w:t>
      </w:r>
      <w:r w:rsidR="007C1C6F">
        <w:rPr>
          <w:rFonts w:cs="Times New Roman"/>
        </w:rPr>
        <w:t>s</w:t>
      </w:r>
      <w:r w:rsidR="00802ACF">
        <w:rPr>
          <w:rFonts w:cs="Times New Roman"/>
        </w:rPr>
        <w:t xml:space="preserve"> </w:t>
      </w:r>
      <w:r w:rsidR="007C1C6F">
        <w:rPr>
          <w:rFonts w:cs="Times New Roman"/>
        </w:rPr>
        <w:t>and stated that the particulars which had been submitted were unsatisfactory in a number of respects. It was agreed that the documents would be returned to the solicitors for amendment and resubmission. In line with the Registrar’s practice at the time, it was further agreed that the resubmitted documents would be treated as a having been submitted on the 29</w:t>
      </w:r>
      <w:r w:rsidR="007C1C6F" w:rsidRPr="007C1C6F">
        <w:rPr>
          <w:rFonts w:cs="Times New Roman"/>
          <w:vertAlign w:val="superscript"/>
        </w:rPr>
        <w:t>th</w:t>
      </w:r>
      <w:r w:rsidR="007C1C6F">
        <w:rPr>
          <w:rFonts w:cs="Times New Roman"/>
        </w:rPr>
        <w:t xml:space="preserve"> February 1984. Revised particulars were resubmitted to the Registrar on the 29</w:t>
      </w:r>
      <w:r w:rsidR="007C1C6F" w:rsidRPr="007C1C6F">
        <w:rPr>
          <w:rFonts w:cs="Times New Roman"/>
          <w:vertAlign w:val="superscript"/>
        </w:rPr>
        <w:t>th</w:t>
      </w:r>
      <w:r w:rsidR="007C1C6F">
        <w:rPr>
          <w:rFonts w:cs="Times New Roman"/>
        </w:rPr>
        <w:t xml:space="preserve"> March 1984. A certificate of registration duly issued which recorded that the charge had been registered on 29</w:t>
      </w:r>
      <w:r w:rsidR="007C1C6F" w:rsidRPr="007C1C6F">
        <w:rPr>
          <w:rFonts w:cs="Times New Roman"/>
          <w:vertAlign w:val="superscript"/>
        </w:rPr>
        <w:t>th</w:t>
      </w:r>
      <w:r w:rsidR="007C1C6F">
        <w:rPr>
          <w:rFonts w:cs="Times New Roman"/>
        </w:rPr>
        <w:t xml:space="preserve"> February 1984.</w:t>
      </w:r>
    </w:p>
    <w:p w:rsidR="007C1C6F" w:rsidRDefault="007C1C6F" w:rsidP="007C1C6F">
      <w:pPr>
        <w:jc w:val="both"/>
        <w:rPr>
          <w:rFonts w:cs="Arial"/>
        </w:rPr>
      </w:pPr>
      <w:r>
        <w:rPr>
          <w:rFonts w:cs="Arial"/>
        </w:rPr>
        <w:t xml:space="preserve">The company sought an order of </w:t>
      </w:r>
      <w:r>
        <w:rPr>
          <w:rFonts w:cs="Arial"/>
          <w:i/>
        </w:rPr>
        <w:t xml:space="preserve">certiorari </w:t>
      </w:r>
      <w:r w:rsidR="00CE2E1A">
        <w:rPr>
          <w:rFonts w:cs="Arial"/>
        </w:rPr>
        <w:t xml:space="preserve">to quash </w:t>
      </w:r>
      <w:r>
        <w:rPr>
          <w:rFonts w:cs="Arial"/>
        </w:rPr>
        <w:t xml:space="preserve">the registration of the charge together with the certificate of </w:t>
      </w:r>
      <w:r w:rsidR="00CE2E1A">
        <w:rPr>
          <w:rFonts w:cs="Arial"/>
        </w:rPr>
        <w:t>inc</w:t>
      </w:r>
      <w:r w:rsidR="00917D82">
        <w:rPr>
          <w:rFonts w:cs="Arial"/>
        </w:rPr>
        <w:t>orporation. At the hearing, three grounds were argued by the applicants:</w:t>
      </w:r>
    </w:p>
    <w:p w:rsidR="00CE2E1A" w:rsidRDefault="00917D82" w:rsidP="00CE2E1A">
      <w:pPr>
        <w:pStyle w:val="ListParagraph"/>
        <w:numPr>
          <w:ilvl w:val="0"/>
          <w:numId w:val="6"/>
        </w:numPr>
        <w:jc w:val="both"/>
        <w:rPr>
          <w:rFonts w:cs="Arial"/>
        </w:rPr>
      </w:pPr>
      <w:r>
        <w:rPr>
          <w:rFonts w:cs="Arial"/>
        </w:rPr>
        <w:t>t</w:t>
      </w:r>
      <w:r w:rsidR="00CE2E1A">
        <w:rPr>
          <w:rFonts w:cs="Arial"/>
        </w:rPr>
        <w:t>hat the Registrar had exceeded his jurisdiction in considering the particulars delivered on 29</w:t>
      </w:r>
      <w:r w:rsidR="00CE2E1A" w:rsidRPr="00CE2E1A">
        <w:rPr>
          <w:rFonts w:cs="Arial"/>
          <w:vertAlign w:val="superscript"/>
        </w:rPr>
        <w:t>th</w:t>
      </w:r>
      <w:r w:rsidR="00CE2E1A">
        <w:rPr>
          <w:rFonts w:cs="Arial"/>
        </w:rPr>
        <w:t xml:space="preserve"> March because these particulars were delivered outside the 21 day time limit specified in the legislation; </w:t>
      </w:r>
    </w:p>
    <w:p w:rsidR="00CE2E1A" w:rsidRDefault="00917D82" w:rsidP="00CE2E1A">
      <w:pPr>
        <w:pStyle w:val="ListParagraph"/>
        <w:numPr>
          <w:ilvl w:val="0"/>
          <w:numId w:val="6"/>
        </w:numPr>
        <w:jc w:val="both"/>
        <w:rPr>
          <w:rFonts w:cs="Arial"/>
        </w:rPr>
      </w:pPr>
      <w:r>
        <w:rPr>
          <w:rFonts w:cs="Arial"/>
        </w:rPr>
        <w:t>that there was  an error on the face of the record in that the documents delivered on 29</w:t>
      </w:r>
      <w:r w:rsidRPr="00917D82">
        <w:rPr>
          <w:rFonts w:cs="Arial"/>
          <w:vertAlign w:val="superscript"/>
        </w:rPr>
        <w:t>th</w:t>
      </w:r>
      <w:r>
        <w:rPr>
          <w:rFonts w:cs="Arial"/>
        </w:rPr>
        <w:t xml:space="preserve"> February were in fact the prescribed particulars required by the Act;</w:t>
      </w:r>
    </w:p>
    <w:p w:rsidR="00917D82" w:rsidRDefault="00917D82" w:rsidP="00CE2E1A">
      <w:pPr>
        <w:pStyle w:val="ListParagraph"/>
        <w:numPr>
          <w:ilvl w:val="0"/>
          <w:numId w:val="6"/>
        </w:numPr>
        <w:jc w:val="both"/>
        <w:rPr>
          <w:rFonts w:cs="Arial"/>
        </w:rPr>
      </w:pPr>
      <w:r>
        <w:rPr>
          <w:rFonts w:cs="Arial"/>
        </w:rPr>
        <w:t>that there had been a breach of fair procedures in that in the peculiar circumstances of the case, the Registrar ought not to have taken a decision to register the charge without affording the company or other intervening creditors an opportunity to make representations as to the appropriate course of action;</w:t>
      </w:r>
    </w:p>
    <w:p w:rsidR="00917D82" w:rsidRDefault="00917D82" w:rsidP="00917D82">
      <w:pPr>
        <w:jc w:val="both"/>
        <w:rPr>
          <w:rFonts w:cs="Arial"/>
        </w:rPr>
      </w:pPr>
      <w:r>
        <w:rPr>
          <w:rFonts w:cs="Arial"/>
        </w:rPr>
        <w:t xml:space="preserve">At first instance </w:t>
      </w:r>
      <w:r w:rsidR="00F178F2">
        <w:rPr>
          <w:rFonts w:cs="Arial"/>
        </w:rPr>
        <w:t xml:space="preserve">the court held </w:t>
      </w:r>
      <w:r>
        <w:rPr>
          <w:rFonts w:cs="Arial"/>
        </w:rPr>
        <w:t xml:space="preserve">that in principle </w:t>
      </w:r>
      <w:r w:rsidR="00771E95">
        <w:rPr>
          <w:rFonts w:cs="Arial"/>
        </w:rPr>
        <w:t xml:space="preserve">a decision of </w:t>
      </w:r>
      <w:r>
        <w:rPr>
          <w:rFonts w:cs="Arial"/>
        </w:rPr>
        <w:t xml:space="preserve">the Registrar of Companies </w:t>
      </w:r>
      <w:r w:rsidR="00771E95">
        <w:rPr>
          <w:rFonts w:cs="Arial"/>
        </w:rPr>
        <w:t xml:space="preserve">to issue a certificate of registration is amenable to judicial review. </w:t>
      </w:r>
      <w:r w:rsidR="00DA5FAC">
        <w:rPr>
          <w:rFonts w:cs="Arial"/>
        </w:rPr>
        <w:t xml:space="preserve">Having considered </w:t>
      </w:r>
      <w:proofErr w:type="spellStart"/>
      <w:r w:rsidR="00DA5FAC">
        <w:rPr>
          <w:rFonts w:cs="Arial"/>
          <w:i/>
        </w:rPr>
        <w:t>Yolland</w:t>
      </w:r>
      <w:proofErr w:type="spellEnd"/>
      <w:r w:rsidR="00DA5FAC">
        <w:rPr>
          <w:rFonts w:cs="Arial"/>
          <w:i/>
        </w:rPr>
        <w:t xml:space="preserve"> </w:t>
      </w:r>
      <w:r w:rsidR="00DA5FAC">
        <w:rPr>
          <w:rFonts w:cs="Arial"/>
        </w:rPr>
        <w:t xml:space="preserve">and the other English cases which have examined the effect of the certificate in </w:t>
      </w:r>
      <w:r w:rsidR="00661700">
        <w:rPr>
          <w:rFonts w:cs="Arial"/>
        </w:rPr>
        <w:t>ordinary</w:t>
      </w:r>
      <w:r w:rsidR="00DA5FAC">
        <w:rPr>
          <w:rFonts w:cs="Arial"/>
        </w:rPr>
        <w:t xml:space="preserve"> litigation, </w:t>
      </w:r>
      <w:proofErr w:type="spellStart"/>
      <w:r w:rsidR="00F178F2">
        <w:rPr>
          <w:rFonts w:cs="Arial"/>
        </w:rPr>
        <w:t>Mervyn</w:t>
      </w:r>
      <w:proofErr w:type="spellEnd"/>
      <w:r w:rsidR="00F178F2">
        <w:rPr>
          <w:rFonts w:cs="Arial"/>
        </w:rPr>
        <w:t xml:space="preserve">-Davies J. held that </w:t>
      </w:r>
      <w:r w:rsidR="00DA5FAC">
        <w:rPr>
          <w:rFonts w:cs="Arial"/>
        </w:rPr>
        <w:t xml:space="preserve">in judicial review proceedings, </w:t>
      </w:r>
      <w:r w:rsidR="00F178F2">
        <w:rPr>
          <w:rFonts w:cs="Arial"/>
        </w:rPr>
        <w:t>concerns about “commercial uncertainty must give way to the policy that the decisions of public officials ought to be subject to … scrutiny</w:t>
      </w:r>
      <w:r w:rsidR="00DA5FAC">
        <w:rPr>
          <w:rFonts w:cs="Arial"/>
        </w:rPr>
        <w:t>.</w:t>
      </w:r>
      <w:r w:rsidR="00F178F2">
        <w:rPr>
          <w:rFonts w:cs="Arial"/>
        </w:rPr>
        <w:t>”</w:t>
      </w:r>
      <w:r w:rsidR="00F178F2">
        <w:rPr>
          <w:rStyle w:val="FootnoteReference"/>
          <w:rFonts w:cs="Arial"/>
        </w:rPr>
        <w:footnoteReference w:id="56"/>
      </w:r>
      <w:r w:rsidR="00DA5FAC">
        <w:rPr>
          <w:rFonts w:cs="Arial"/>
        </w:rPr>
        <w:t xml:space="preserve"> He went on to hold that in issuing the certificate based on the amended particulars, the Registrar had assumed a jurisdiction which was not provided for by the statute and made an order quashing the Registrar’s decision to register the charge and the certificate of registration issued pursuant to that decision. </w:t>
      </w:r>
    </w:p>
    <w:p w:rsidR="007C1C6F" w:rsidRDefault="00430E09" w:rsidP="00982820">
      <w:pPr>
        <w:jc w:val="both"/>
        <w:rPr>
          <w:rFonts w:cs="Times New Roman"/>
          <w:color w:val="000000"/>
          <w:shd w:val="clear" w:color="auto" w:fill="FFFFFF"/>
        </w:rPr>
      </w:pPr>
      <w:r>
        <w:rPr>
          <w:rFonts w:cs="Arial"/>
        </w:rPr>
        <w:t xml:space="preserve">The Registrar of Companies </w:t>
      </w:r>
      <w:r w:rsidR="00BF0E27">
        <w:rPr>
          <w:rFonts w:cs="Arial"/>
        </w:rPr>
        <w:t xml:space="preserve">successfully </w:t>
      </w:r>
      <w:r>
        <w:rPr>
          <w:rFonts w:cs="Arial"/>
        </w:rPr>
        <w:t xml:space="preserve">appealed the decision of the High Court. In reversing the court below, </w:t>
      </w:r>
      <w:r w:rsidR="002737F7">
        <w:rPr>
          <w:rFonts w:cs="Arial"/>
        </w:rPr>
        <w:t xml:space="preserve">the court </w:t>
      </w:r>
      <w:r w:rsidR="00C16D7C">
        <w:rPr>
          <w:rFonts w:cs="Arial"/>
        </w:rPr>
        <w:t>accepted the submissions of counsel for the Registrar to the effect that conclusiveness of the certificate of</w:t>
      </w:r>
      <w:r w:rsidR="00C16D7C" w:rsidRPr="00C16D7C">
        <w:rPr>
          <w:rFonts w:cs="Times New Roman"/>
        </w:rPr>
        <w:t xml:space="preserve"> registration is a rule of evidence and not a rule which exempts the Registrar from judicial review. On this view </w:t>
      </w:r>
      <w:r w:rsidR="00C16D7C">
        <w:rPr>
          <w:rFonts w:cs="Times New Roman"/>
        </w:rPr>
        <w:t>if “</w:t>
      </w:r>
      <w:r w:rsidR="00C16D7C" w:rsidRPr="00C16D7C">
        <w:rPr>
          <w:rFonts w:cs="Times New Roman"/>
          <w:color w:val="000000"/>
          <w:shd w:val="clear" w:color="auto" w:fill="FFFFFF"/>
        </w:rPr>
        <w:t>an unsecured creditor seeks judicial review solely on the ground that the chargee did not deliver the prescribed particulars he cannot put the necessary evidence before the court.</w:t>
      </w:r>
      <w:r w:rsidR="00C16D7C">
        <w:rPr>
          <w:rFonts w:cs="Times New Roman"/>
          <w:color w:val="000000"/>
          <w:shd w:val="clear" w:color="auto" w:fill="FFFFFF"/>
        </w:rPr>
        <w:t>”</w:t>
      </w:r>
      <w:r w:rsidR="00DE7892">
        <w:rPr>
          <w:rStyle w:val="FootnoteReference"/>
          <w:rFonts w:cs="Times New Roman"/>
          <w:color w:val="000000"/>
          <w:shd w:val="clear" w:color="auto" w:fill="FFFFFF"/>
        </w:rPr>
        <w:footnoteReference w:id="57"/>
      </w:r>
      <w:r w:rsidR="00C16D7C" w:rsidRPr="00C16D7C">
        <w:rPr>
          <w:rFonts w:cs="Times New Roman"/>
          <w:color w:val="000000"/>
          <w:shd w:val="clear" w:color="auto" w:fill="FFFFFF"/>
        </w:rPr>
        <w:t xml:space="preserve"> </w:t>
      </w:r>
      <w:r w:rsidR="00DE7892">
        <w:rPr>
          <w:rFonts w:cs="Times New Roman"/>
          <w:color w:val="000000"/>
          <w:shd w:val="clear" w:color="auto" w:fill="FFFFFF"/>
        </w:rPr>
        <w:t>Lawton LJ also recorded, without making a positive comment as to their validity</w:t>
      </w:r>
      <w:r w:rsidR="00C16D7C">
        <w:rPr>
          <w:rFonts w:cs="Times New Roman"/>
          <w:color w:val="000000"/>
          <w:shd w:val="clear" w:color="auto" w:fill="FFFFFF"/>
        </w:rPr>
        <w:t xml:space="preserve">, that counsel for the </w:t>
      </w:r>
      <w:r w:rsidR="001A5232">
        <w:rPr>
          <w:rFonts w:cs="Times New Roman"/>
          <w:color w:val="000000"/>
          <w:shd w:val="clear" w:color="auto" w:fill="FFFFFF"/>
        </w:rPr>
        <w:t>R</w:t>
      </w:r>
      <w:r w:rsidR="00C16D7C">
        <w:rPr>
          <w:rFonts w:cs="Times New Roman"/>
          <w:color w:val="000000"/>
          <w:shd w:val="clear" w:color="auto" w:fill="FFFFFF"/>
        </w:rPr>
        <w:t xml:space="preserve">egistrar </w:t>
      </w:r>
      <w:r w:rsidR="00DE7892">
        <w:rPr>
          <w:rFonts w:cs="Times New Roman"/>
          <w:color w:val="000000"/>
          <w:shd w:val="clear" w:color="auto" w:fill="FFFFFF"/>
        </w:rPr>
        <w:t>had suggested three limitations on this principle.</w:t>
      </w:r>
    </w:p>
    <w:p w:rsidR="00DE7892" w:rsidRDefault="00DE7892" w:rsidP="00DE7892">
      <w:pPr>
        <w:pStyle w:val="ListParagraph"/>
        <w:numPr>
          <w:ilvl w:val="0"/>
          <w:numId w:val="7"/>
        </w:numPr>
        <w:jc w:val="both"/>
        <w:rPr>
          <w:rFonts w:cs="Arial"/>
        </w:rPr>
      </w:pPr>
      <w:r>
        <w:rPr>
          <w:rFonts w:cs="Arial"/>
        </w:rPr>
        <w:t>Where an unsecured creditor seeks judicial review on other grounds, such as that the certificate was obtained by fraud, there might be a case for judicial review.</w:t>
      </w:r>
    </w:p>
    <w:p w:rsidR="00DE7892" w:rsidRDefault="00DE7892" w:rsidP="00DE7892">
      <w:pPr>
        <w:pStyle w:val="ListParagraph"/>
        <w:numPr>
          <w:ilvl w:val="0"/>
          <w:numId w:val="7"/>
        </w:numPr>
        <w:jc w:val="both"/>
        <w:rPr>
          <w:rFonts w:cs="Arial"/>
        </w:rPr>
      </w:pPr>
      <w:r>
        <w:rPr>
          <w:rFonts w:cs="Arial"/>
        </w:rPr>
        <w:lastRenderedPageBreak/>
        <w:t>Since the Companies Act</w:t>
      </w:r>
      <w:r w:rsidR="00134682">
        <w:rPr>
          <w:rFonts w:cs="Arial"/>
        </w:rPr>
        <w:t>s</w:t>
      </w:r>
      <w:r>
        <w:rPr>
          <w:rFonts w:cs="Arial"/>
        </w:rPr>
        <w:t xml:space="preserve"> are not expressly binding on the Crown it might be open to the Attorney General to challenge the validity of a certificate of registration. </w:t>
      </w:r>
    </w:p>
    <w:p w:rsidR="00A21744" w:rsidRDefault="00DE7892" w:rsidP="00DE7892">
      <w:pPr>
        <w:pStyle w:val="ListParagraph"/>
        <w:numPr>
          <w:ilvl w:val="0"/>
          <w:numId w:val="7"/>
        </w:numPr>
        <w:jc w:val="both"/>
        <w:rPr>
          <w:rFonts w:cs="Arial"/>
        </w:rPr>
      </w:pPr>
      <w:r>
        <w:rPr>
          <w:rFonts w:cs="Arial"/>
        </w:rPr>
        <w:t>A chargee who has failed to disclose information to the Registrar which might have affected his decision on whether to register the charge or not may find himself estopped from relying on the charge in proceedings with an unsecured creditor.</w:t>
      </w:r>
    </w:p>
    <w:p w:rsidR="00DE7892" w:rsidRPr="00A21744" w:rsidRDefault="00134682" w:rsidP="00A21744">
      <w:pPr>
        <w:jc w:val="both"/>
        <w:rPr>
          <w:rFonts w:cs="Arial"/>
        </w:rPr>
      </w:pPr>
      <w:r>
        <w:rPr>
          <w:rFonts w:cs="Arial"/>
          <w:i/>
        </w:rPr>
        <w:t xml:space="preserve">Central Bank of India </w:t>
      </w:r>
      <w:r>
        <w:rPr>
          <w:rFonts w:cs="Arial"/>
        </w:rPr>
        <w:t xml:space="preserve">suggests that there is little practical prospect of utilising public law remedies to alleviate the effect of the Registrar’s certificate. </w:t>
      </w:r>
      <w:r w:rsidR="00A21744">
        <w:rPr>
          <w:rFonts w:cs="Arial"/>
        </w:rPr>
        <w:t xml:space="preserve">Whether the Irish courts would take a similar view of the effect of the certificate in public law proceedings has never been judicially considered. </w:t>
      </w:r>
    </w:p>
    <w:p w:rsidR="00367873" w:rsidRPr="000C223D" w:rsidRDefault="00757FD1" w:rsidP="00453C9B">
      <w:pPr>
        <w:pStyle w:val="ListParagraph"/>
        <w:numPr>
          <w:ilvl w:val="0"/>
          <w:numId w:val="12"/>
        </w:numPr>
        <w:jc w:val="both"/>
        <w:rPr>
          <w:rFonts w:cs="Times New Roman"/>
          <w:b/>
        </w:rPr>
      </w:pPr>
      <w:r>
        <w:rPr>
          <w:rFonts w:cs="Times New Roman"/>
          <w:b/>
        </w:rPr>
        <w:t xml:space="preserve">A Re-Interpretation </w:t>
      </w:r>
      <w:r w:rsidR="00430E09">
        <w:rPr>
          <w:rFonts w:cs="Times New Roman"/>
          <w:b/>
        </w:rPr>
        <w:t>of Section 104</w:t>
      </w:r>
    </w:p>
    <w:p w:rsidR="00367873" w:rsidRPr="000C223D" w:rsidRDefault="00367873" w:rsidP="00982820">
      <w:pPr>
        <w:jc w:val="both"/>
        <w:rPr>
          <w:rFonts w:cs="Times New Roman"/>
        </w:rPr>
      </w:pPr>
      <w:r w:rsidRPr="000C223D">
        <w:rPr>
          <w:rFonts w:cs="Times New Roman"/>
        </w:rPr>
        <w:t xml:space="preserve">The conclusive effect of the issue of a certificate of registration has obvious advantages when viewed from the perspective of a secured creditor. In light of the case law reviewed in the previous section it would appear that once a certificate is issued, there is virtually no risk whatsoever of the chargee being unable to enforce their security against the liquidator or a competing creditor as a result of a defect in the registration process. From the perspective of a person interested in promoting the broad policy objectives of the company charge register however, the certificate of registration must be viewed very differently. </w:t>
      </w:r>
    </w:p>
    <w:p w:rsidR="00367873" w:rsidRPr="000C223D" w:rsidRDefault="00367873" w:rsidP="00982820">
      <w:pPr>
        <w:jc w:val="both"/>
        <w:rPr>
          <w:rFonts w:cs="Times New Roman"/>
        </w:rPr>
      </w:pPr>
      <w:r w:rsidRPr="000C223D">
        <w:rPr>
          <w:rFonts w:cs="Times New Roman"/>
        </w:rPr>
        <w:t xml:space="preserve">The purpose of the company charge register is to provide information to interested parties about the charges which a company has granted over its property. In </w:t>
      </w:r>
      <w:proofErr w:type="spellStart"/>
      <w:r w:rsidR="001C1F8B">
        <w:rPr>
          <w:rFonts w:cs="Times New Roman"/>
          <w:i/>
        </w:rPr>
        <w:t>Yolland</w:t>
      </w:r>
      <w:proofErr w:type="spellEnd"/>
      <w:r w:rsidRPr="000C223D">
        <w:rPr>
          <w:rFonts w:cs="Times New Roman"/>
          <w:i/>
        </w:rPr>
        <w:t xml:space="preserve">, </w:t>
      </w:r>
      <w:r w:rsidRPr="000C223D">
        <w:rPr>
          <w:rFonts w:cs="Times New Roman"/>
        </w:rPr>
        <w:t xml:space="preserve">the ‘mischief’ which promoted the introduction of the system </w:t>
      </w:r>
      <w:r w:rsidR="00064CAA">
        <w:rPr>
          <w:rFonts w:cs="Times New Roman"/>
        </w:rPr>
        <w:t xml:space="preserve">was described </w:t>
      </w:r>
      <w:r w:rsidRPr="000C223D">
        <w:rPr>
          <w:rFonts w:cs="Times New Roman"/>
        </w:rPr>
        <w:t>in the following terms:</w:t>
      </w:r>
    </w:p>
    <w:p w:rsidR="00B4383C" w:rsidRPr="000C223D" w:rsidRDefault="00367873" w:rsidP="00367873">
      <w:pPr>
        <w:ind w:left="720" w:right="391"/>
        <w:jc w:val="both"/>
        <w:rPr>
          <w:rFonts w:cs="Times New Roman"/>
          <w:color w:val="000000"/>
          <w:shd w:val="clear" w:color="auto" w:fill="FFFFFF"/>
        </w:rPr>
      </w:pPr>
      <w:r w:rsidRPr="000C223D">
        <w:rPr>
          <w:rFonts w:cs="Times New Roman"/>
          <w:color w:val="000000"/>
          <w:sz w:val="20"/>
          <w:shd w:val="clear" w:color="auto" w:fill="FFFFFF"/>
        </w:rPr>
        <w:t>It was that companies were allowed to issue debentures, charging very frequently all their present and future assets, and there might be no means of ascertaining, at all events for a considerable time, whether any such debentures were issued; and therefore, for the protection of the general creditors of the company, or of persons desiring to trade with the company, it was thought fit to require that there should be a register of mortgages of that particular kind, not merely in the company's own books, but kept by the registrar.</w:t>
      </w:r>
      <w:r w:rsidRPr="000C223D">
        <w:rPr>
          <w:rStyle w:val="FootnoteReference"/>
          <w:rFonts w:cs="Times New Roman"/>
          <w:color w:val="000000"/>
          <w:sz w:val="20"/>
          <w:shd w:val="clear" w:color="auto" w:fill="FFFFFF"/>
        </w:rPr>
        <w:footnoteReference w:id="58"/>
      </w:r>
      <w:r w:rsidRPr="000C223D">
        <w:rPr>
          <w:rFonts w:cs="Times New Roman"/>
          <w:color w:val="000000"/>
          <w:sz w:val="20"/>
          <w:shd w:val="clear" w:color="auto" w:fill="FFFFFF"/>
        </w:rPr>
        <w:t xml:space="preserve"> </w:t>
      </w:r>
    </w:p>
    <w:p w:rsidR="00A21744" w:rsidRDefault="00367873" w:rsidP="00982820">
      <w:pPr>
        <w:jc w:val="both"/>
        <w:rPr>
          <w:rFonts w:cs="Times New Roman"/>
          <w:color w:val="000000"/>
          <w:shd w:val="clear" w:color="auto" w:fill="FFFFFF"/>
        </w:rPr>
      </w:pPr>
      <w:r w:rsidRPr="000C223D">
        <w:rPr>
          <w:rFonts w:cs="Times New Roman"/>
          <w:color w:val="000000"/>
          <w:shd w:val="clear" w:color="auto" w:fill="FFFFFF"/>
        </w:rPr>
        <w:t xml:space="preserve">The certificate for registration actively undermines the ability of third parties to rely on the information obtained by a search of the register. Where </w:t>
      </w:r>
      <w:r w:rsidR="0027584B" w:rsidRPr="000C223D">
        <w:rPr>
          <w:rFonts w:cs="Times New Roman"/>
          <w:color w:val="000000"/>
          <w:shd w:val="clear" w:color="auto" w:fill="FFFFFF"/>
        </w:rPr>
        <w:t xml:space="preserve">erroneous information is given to the </w:t>
      </w:r>
      <w:r w:rsidR="00661700">
        <w:rPr>
          <w:rFonts w:cs="Times New Roman"/>
          <w:color w:val="000000"/>
          <w:shd w:val="clear" w:color="auto" w:fill="FFFFFF"/>
        </w:rPr>
        <w:t xml:space="preserve">Registrar </w:t>
      </w:r>
      <w:r w:rsidR="0027584B" w:rsidRPr="000C223D">
        <w:rPr>
          <w:rFonts w:cs="Times New Roman"/>
          <w:color w:val="000000"/>
          <w:shd w:val="clear" w:color="auto" w:fill="FFFFFF"/>
        </w:rPr>
        <w:t xml:space="preserve">as in cases like </w:t>
      </w:r>
      <w:proofErr w:type="spellStart"/>
      <w:r w:rsidR="0027584B" w:rsidRPr="000C223D">
        <w:rPr>
          <w:rFonts w:cs="Times New Roman"/>
          <w:i/>
          <w:color w:val="000000"/>
          <w:shd w:val="clear" w:color="auto" w:fill="FFFFFF"/>
        </w:rPr>
        <w:t>Charnley</w:t>
      </w:r>
      <w:proofErr w:type="spellEnd"/>
      <w:r w:rsidR="0027584B" w:rsidRPr="000C223D">
        <w:rPr>
          <w:rFonts w:cs="Times New Roman"/>
          <w:i/>
          <w:color w:val="000000"/>
          <w:shd w:val="clear" w:color="auto" w:fill="FFFFFF"/>
        </w:rPr>
        <w:t xml:space="preserve">, </w:t>
      </w:r>
      <w:proofErr w:type="spellStart"/>
      <w:r w:rsidR="0027584B" w:rsidRPr="000C223D">
        <w:rPr>
          <w:rFonts w:cs="Times New Roman"/>
          <w:i/>
          <w:color w:val="000000"/>
          <w:shd w:val="clear" w:color="auto" w:fill="FFFFFF"/>
        </w:rPr>
        <w:t>Shannonside</w:t>
      </w:r>
      <w:proofErr w:type="spellEnd"/>
      <w:r w:rsidR="0027584B" w:rsidRPr="000C223D">
        <w:rPr>
          <w:rFonts w:cs="Times New Roman"/>
          <w:i/>
          <w:color w:val="000000"/>
          <w:shd w:val="clear" w:color="auto" w:fill="FFFFFF"/>
        </w:rPr>
        <w:t xml:space="preserve"> Holdings </w:t>
      </w:r>
      <w:r w:rsidR="0027584B" w:rsidRPr="000C223D">
        <w:rPr>
          <w:rFonts w:cs="Times New Roman"/>
          <w:color w:val="000000"/>
          <w:shd w:val="clear" w:color="auto" w:fill="FFFFFF"/>
        </w:rPr>
        <w:t xml:space="preserve">and </w:t>
      </w:r>
      <w:r w:rsidR="0027584B" w:rsidRPr="000C223D">
        <w:rPr>
          <w:rFonts w:cs="Times New Roman"/>
          <w:i/>
          <w:color w:val="000000"/>
          <w:shd w:val="clear" w:color="auto" w:fill="FFFFFF"/>
        </w:rPr>
        <w:t>Mechanisations</w:t>
      </w:r>
      <w:r w:rsidR="0027584B" w:rsidRPr="000C223D">
        <w:rPr>
          <w:rFonts w:cs="Times New Roman"/>
          <w:color w:val="000000"/>
          <w:shd w:val="clear" w:color="auto" w:fill="FFFFFF"/>
        </w:rPr>
        <w:t xml:space="preserve">, there is a real and obvious risk that a person examining the register of company charges may be misled into believing that some or all of the company’s assets are unencumbered when in fact this is not the case. In cases such </w:t>
      </w:r>
      <w:r w:rsidR="0027584B" w:rsidRPr="000C223D">
        <w:rPr>
          <w:rFonts w:cs="Times New Roman"/>
          <w:i/>
          <w:color w:val="000000"/>
          <w:shd w:val="clear" w:color="auto" w:fill="FFFFFF"/>
        </w:rPr>
        <w:t xml:space="preserve">CL Nye </w:t>
      </w:r>
      <w:r w:rsidR="0027584B" w:rsidRPr="000C223D">
        <w:rPr>
          <w:rFonts w:cs="Times New Roman"/>
          <w:color w:val="000000"/>
          <w:shd w:val="clear" w:color="auto" w:fill="FFFFFF"/>
        </w:rPr>
        <w:t xml:space="preserve">and </w:t>
      </w:r>
      <w:proofErr w:type="spellStart"/>
      <w:r w:rsidR="0027584B" w:rsidRPr="000C223D">
        <w:rPr>
          <w:rFonts w:cs="Times New Roman"/>
          <w:i/>
          <w:color w:val="000000"/>
          <w:shd w:val="clear" w:color="auto" w:fill="FFFFFF"/>
        </w:rPr>
        <w:t>Amurec</w:t>
      </w:r>
      <w:proofErr w:type="spellEnd"/>
      <w:r w:rsidR="0027584B" w:rsidRPr="000C223D">
        <w:rPr>
          <w:rFonts w:cs="Times New Roman"/>
          <w:i/>
          <w:color w:val="000000"/>
          <w:shd w:val="clear" w:color="auto" w:fill="FFFFFF"/>
        </w:rPr>
        <w:t xml:space="preserve"> </w:t>
      </w:r>
      <w:r w:rsidR="0027584B" w:rsidRPr="000C223D">
        <w:rPr>
          <w:rFonts w:cs="Times New Roman"/>
          <w:color w:val="000000"/>
          <w:shd w:val="clear" w:color="auto" w:fill="FFFFFF"/>
        </w:rPr>
        <w:t>the danger is even greater</w:t>
      </w:r>
      <w:r w:rsidR="00661700">
        <w:rPr>
          <w:rFonts w:cs="Times New Roman"/>
          <w:color w:val="000000"/>
          <w:shd w:val="clear" w:color="auto" w:fill="FFFFFF"/>
        </w:rPr>
        <w:t>,</w:t>
      </w:r>
      <w:r w:rsidR="0027584B" w:rsidRPr="000C223D">
        <w:rPr>
          <w:rFonts w:cs="Times New Roman"/>
          <w:color w:val="000000"/>
          <w:shd w:val="clear" w:color="auto" w:fill="FFFFFF"/>
        </w:rPr>
        <w:t xml:space="preserve"> in that interests which were </w:t>
      </w:r>
      <w:r w:rsidR="00A21744">
        <w:rPr>
          <w:rFonts w:cs="Times New Roman"/>
          <w:color w:val="000000"/>
          <w:shd w:val="clear" w:color="auto" w:fill="FFFFFF"/>
        </w:rPr>
        <w:t xml:space="preserve">not </w:t>
      </w:r>
      <w:r w:rsidR="0027584B" w:rsidRPr="000C223D">
        <w:rPr>
          <w:rFonts w:cs="Times New Roman"/>
          <w:color w:val="000000"/>
          <w:shd w:val="clear" w:color="auto" w:fill="FFFFFF"/>
        </w:rPr>
        <w:t xml:space="preserve">registered </w:t>
      </w:r>
      <w:r w:rsidR="00A21744">
        <w:rPr>
          <w:rFonts w:cs="Times New Roman"/>
          <w:color w:val="000000"/>
          <w:shd w:val="clear" w:color="auto" w:fill="FFFFFF"/>
        </w:rPr>
        <w:t xml:space="preserve">within the requisite time period </w:t>
      </w:r>
      <w:r w:rsidR="0027584B" w:rsidRPr="000C223D">
        <w:rPr>
          <w:rFonts w:cs="Times New Roman"/>
          <w:color w:val="000000"/>
          <w:shd w:val="clear" w:color="auto" w:fill="FFFFFF"/>
        </w:rPr>
        <w:t>may be valid</w:t>
      </w:r>
      <w:r w:rsidR="00A21744">
        <w:rPr>
          <w:rFonts w:cs="Times New Roman"/>
          <w:color w:val="000000"/>
          <w:shd w:val="clear" w:color="auto" w:fill="FFFFFF"/>
        </w:rPr>
        <w:t>ated</w:t>
      </w:r>
      <w:r w:rsidR="0027584B" w:rsidRPr="000C223D">
        <w:rPr>
          <w:rFonts w:cs="Times New Roman"/>
          <w:color w:val="000000"/>
          <w:shd w:val="clear" w:color="auto" w:fill="FFFFFF"/>
        </w:rPr>
        <w:t xml:space="preserve"> </w:t>
      </w:r>
      <w:r w:rsidR="00A21744">
        <w:rPr>
          <w:rFonts w:cs="Times New Roman"/>
          <w:color w:val="000000"/>
          <w:shd w:val="clear" w:color="auto" w:fill="FFFFFF"/>
        </w:rPr>
        <w:t>as a result of a certificate of registration erroneously issued weeks or even months after the time for delivery of the particulars has passed.</w:t>
      </w:r>
      <w:r w:rsidR="0027584B" w:rsidRPr="000C223D">
        <w:rPr>
          <w:rFonts w:cs="Times New Roman"/>
          <w:color w:val="000000"/>
          <w:shd w:val="clear" w:color="auto" w:fill="FFFFFF"/>
        </w:rPr>
        <w:t xml:space="preserve"> </w:t>
      </w:r>
      <w:r w:rsidR="00661700">
        <w:rPr>
          <w:rFonts w:cs="Times New Roman"/>
          <w:color w:val="000000"/>
          <w:shd w:val="clear" w:color="auto" w:fill="FFFFFF"/>
        </w:rPr>
        <w:t xml:space="preserve">Since competing charges </w:t>
      </w:r>
      <w:r w:rsidR="00814929">
        <w:rPr>
          <w:rFonts w:cs="Times New Roman"/>
          <w:color w:val="000000"/>
          <w:shd w:val="clear" w:color="auto" w:fill="FFFFFF"/>
        </w:rPr>
        <w:t xml:space="preserve">normally </w:t>
      </w:r>
      <w:r w:rsidR="00661700">
        <w:rPr>
          <w:rFonts w:cs="Times New Roman"/>
          <w:color w:val="000000"/>
          <w:shd w:val="clear" w:color="auto" w:fill="FFFFFF"/>
        </w:rPr>
        <w:t xml:space="preserve">rank in order of their time of creation, this opens the possibility that a later creditor, who takes a subsequent charge before registration of the first charge actually occurs, may find himself losing priority to an earlier, undiscoverable, interest.  </w:t>
      </w:r>
    </w:p>
    <w:p w:rsidR="000C223D" w:rsidRPr="000C223D" w:rsidRDefault="0027584B" w:rsidP="00982820">
      <w:pPr>
        <w:jc w:val="both"/>
        <w:rPr>
          <w:rFonts w:cs="Times New Roman"/>
          <w:color w:val="000000"/>
          <w:shd w:val="clear" w:color="auto" w:fill="FFFFFF"/>
        </w:rPr>
      </w:pPr>
      <w:r w:rsidRPr="000C223D">
        <w:rPr>
          <w:rFonts w:cs="Times New Roman"/>
          <w:color w:val="000000"/>
          <w:shd w:val="clear" w:color="auto" w:fill="FFFFFF"/>
        </w:rPr>
        <w:lastRenderedPageBreak/>
        <w:t>The courts have consistently answered arguments of this nature by stating that, as a matter of statutory interpretation, the wording of the statute requires the court to refrain from looking behind the certificate of registration.</w:t>
      </w:r>
      <w:r w:rsidR="00C77A80" w:rsidRPr="000C223D">
        <w:rPr>
          <w:rFonts w:cs="Times New Roman"/>
          <w:color w:val="000000"/>
          <w:shd w:val="clear" w:color="auto" w:fill="FFFFFF"/>
        </w:rPr>
        <w:t xml:space="preserve"> In some cases there is evidence of judicial discomfort with the consequences of the existing interpretation. For instance, Hamilton J. in </w:t>
      </w:r>
      <w:proofErr w:type="spellStart"/>
      <w:r w:rsidR="00C77A80" w:rsidRPr="000C223D">
        <w:rPr>
          <w:rFonts w:cs="Times New Roman"/>
          <w:i/>
          <w:color w:val="000000"/>
          <w:shd w:val="clear" w:color="auto" w:fill="FFFFFF"/>
        </w:rPr>
        <w:t>Amurec</w:t>
      </w:r>
      <w:proofErr w:type="spellEnd"/>
      <w:r w:rsidR="00C77A80" w:rsidRPr="000C223D">
        <w:rPr>
          <w:rFonts w:cs="Times New Roman"/>
          <w:color w:val="000000"/>
          <w:shd w:val="clear" w:color="auto" w:fill="FFFFFF"/>
        </w:rPr>
        <w:t xml:space="preserve"> stated that he had considerable sympathy with the position of the liquidator who was seeking to set the certificate aside,</w:t>
      </w:r>
      <w:r w:rsidR="00C77A80" w:rsidRPr="000C223D">
        <w:rPr>
          <w:rStyle w:val="FootnoteReference"/>
          <w:rFonts w:cs="Times New Roman"/>
          <w:color w:val="000000"/>
          <w:shd w:val="clear" w:color="auto" w:fill="FFFFFF"/>
        </w:rPr>
        <w:footnoteReference w:id="59"/>
      </w:r>
      <w:r w:rsidR="00C77A80" w:rsidRPr="000C223D">
        <w:rPr>
          <w:rFonts w:cs="Times New Roman"/>
          <w:color w:val="000000"/>
          <w:shd w:val="clear" w:color="auto" w:fill="FFFFFF"/>
        </w:rPr>
        <w:t xml:space="preserve"> while </w:t>
      </w:r>
      <w:proofErr w:type="spellStart"/>
      <w:r w:rsidR="00C77A80" w:rsidRPr="000C223D">
        <w:rPr>
          <w:rFonts w:cs="Times New Roman"/>
          <w:color w:val="000000"/>
          <w:shd w:val="clear" w:color="auto" w:fill="FFFFFF"/>
        </w:rPr>
        <w:t>Pennycuick</w:t>
      </w:r>
      <w:proofErr w:type="spellEnd"/>
      <w:r w:rsidR="00C77A80" w:rsidRPr="000C223D">
        <w:rPr>
          <w:rFonts w:cs="Times New Roman"/>
          <w:color w:val="000000"/>
          <w:shd w:val="clear" w:color="auto" w:fill="FFFFFF"/>
        </w:rPr>
        <w:t xml:space="preserve"> J. in </w:t>
      </w:r>
      <w:r w:rsidR="00C77A80" w:rsidRPr="000C223D">
        <w:rPr>
          <w:rFonts w:cs="Times New Roman"/>
          <w:i/>
          <w:color w:val="000000"/>
          <w:shd w:val="clear" w:color="auto" w:fill="FFFFFF"/>
        </w:rPr>
        <w:t xml:space="preserve">Eric Holmes </w:t>
      </w:r>
      <w:r w:rsidR="00C77A80" w:rsidRPr="000C223D">
        <w:rPr>
          <w:rFonts w:cs="Times New Roman"/>
          <w:color w:val="000000"/>
          <w:shd w:val="clear" w:color="auto" w:fill="FFFFFF"/>
        </w:rPr>
        <w:t>stated that he felt that there must be some ‘lacuna’ in the Acts which resulted in the court having to uphold a certificate made on the basis of particulars which were incorrect and “might even be fraudulent”.</w:t>
      </w:r>
      <w:r w:rsidR="00C77A80" w:rsidRPr="000C223D">
        <w:rPr>
          <w:rStyle w:val="FootnoteReference"/>
          <w:rFonts w:cs="Times New Roman"/>
          <w:color w:val="000000"/>
          <w:shd w:val="clear" w:color="auto" w:fill="FFFFFF"/>
        </w:rPr>
        <w:footnoteReference w:id="60"/>
      </w:r>
      <w:r w:rsidR="00C77A80" w:rsidRPr="000C223D">
        <w:rPr>
          <w:rFonts w:cs="Times New Roman"/>
          <w:color w:val="000000"/>
          <w:shd w:val="clear" w:color="auto" w:fill="FFFFFF"/>
        </w:rPr>
        <w:t xml:space="preserve"> </w:t>
      </w:r>
    </w:p>
    <w:p w:rsidR="00367873" w:rsidRPr="000C223D" w:rsidRDefault="00C77A80" w:rsidP="00982820">
      <w:pPr>
        <w:jc w:val="both"/>
        <w:rPr>
          <w:rFonts w:cs="Times New Roman"/>
          <w:shd w:val="clear" w:color="auto" w:fill="FFFFFF"/>
        </w:rPr>
      </w:pPr>
      <w:r w:rsidRPr="000C223D">
        <w:rPr>
          <w:rFonts w:cs="Times New Roman"/>
          <w:color w:val="000000"/>
          <w:shd w:val="clear" w:color="auto" w:fill="FFFFFF"/>
        </w:rPr>
        <w:t xml:space="preserve">The purpose of this section is to challenge the view that there is no interpretation, other than the current one, open to a court when presented with a certificate of registration. </w:t>
      </w:r>
      <w:r w:rsidR="000C223D" w:rsidRPr="000C223D">
        <w:rPr>
          <w:rFonts w:cs="Times New Roman"/>
          <w:color w:val="000000"/>
          <w:shd w:val="clear" w:color="auto" w:fill="FFFFFF"/>
        </w:rPr>
        <w:t xml:space="preserve">Since this section of the article requires a close reading of the relevant provisions, it is necessary to reproduce </w:t>
      </w:r>
      <w:r w:rsidR="00661700">
        <w:rPr>
          <w:rFonts w:cs="Times New Roman"/>
          <w:color w:val="000000"/>
          <w:shd w:val="clear" w:color="auto" w:fill="FFFFFF"/>
        </w:rPr>
        <w:t xml:space="preserve">some of the </w:t>
      </w:r>
      <w:r w:rsidR="000C223D" w:rsidRPr="000C223D">
        <w:rPr>
          <w:rFonts w:cs="Times New Roman"/>
          <w:color w:val="000000"/>
          <w:shd w:val="clear" w:color="auto" w:fill="FFFFFF"/>
        </w:rPr>
        <w:t>most significant sectio</w:t>
      </w:r>
      <w:r w:rsidR="000C223D">
        <w:rPr>
          <w:rFonts w:cs="Times New Roman"/>
          <w:color w:val="000000"/>
          <w:shd w:val="clear" w:color="auto" w:fill="FFFFFF"/>
        </w:rPr>
        <w:t>ns of the Act here. Section 99(1</w:t>
      </w:r>
      <w:r w:rsidR="000C223D" w:rsidRPr="000C223D">
        <w:rPr>
          <w:rFonts w:cs="Times New Roman"/>
          <w:color w:val="000000"/>
          <w:shd w:val="clear" w:color="auto" w:fill="FFFFFF"/>
        </w:rPr>
        <w:t xml:space="preserve">) of the Companies Act 1963 </w:t>
      </w:r>
      <w:r w:rsidR="000C223D" w:rsidRPr="000C223D">
        <w:rPr>
          <w:rFonts w:cs="Times New Roman"/>
          <w:shd w:val="clear" w:color="auto" w:fill="FFFFFF"/>
        </w:rPr>
        <w:t>establishes the requirement for charges to be registered and sets out two the consequences of a failure to register. It reads as follows:</w:t>
      </w:r>
    </w:p>
    <w:p w:rsidR="000C223D" w:rsidRPr="000C223D" w:rsidRDefault="000C223D" w:rsidP="000C223D">
      <w:pPr>
        <w:ind w:left="720" w:right="391"/>
        <w:jc w:val="both"/>
        <w:rPr>
          <w:rFonts w:cs="Times New Roman"/>
          <w:sz w:val="20"/>
          <w:szCs w:val="20"/>
          <w:shd w:val="clear" w:color="auto" w:fill="FFFFFF"/>
        </w:rPr>
      </w:pPr>
      <w:r w:rsidRPr="000C223D">
        <w:rPr>
          <w:rFonts w:cs="Times New Roman"/>
          <w:sz w:val="20"/>
          <w:szCs w:val="20"/>
          <w:shd w:val="clear" w:color="auto" w:fill="FFFFFF"/>
        </w:rPr>
        <w:t>99</w:t>
      </w:r>
      <w:r>
        <w:rPr>
          <w:rFonts w:cs="Times New Roman"/>
          <w:sz w:val="20"/>
          <w:szCs w:val="20"/>
          <w:shd w:val="clear" w:color="auto" w:fill="FFFFFF"/>
        </w:rPr>
        <w:t>.</w:t>
      </w:r>
      <w:r w:rsidRPr="000C223D">
        <w:rPr>
          <w:rStyle w:val="2"/>
          <w:rFonts w:cs="Times New Roman"/>
          <w:sz w:val="20"/>
          <w:szCs w:val="18"/>
          <w:bdr w:val="none" w:sz="0" w:space="0" w:color="auto" w:frame="1"/>
          <w:shd w:val="clear" w:color="auto" w:fill="FFFFFF"/>
        </w:rPr>
        <w:t xml:space="preserve"> —</w:t>
      </w:r>
      <w:r w:rsidRPr="000C223D">
        <w:rPr>
          <w:rFonts w:cs="Times New Roman"/>
          <w:sz w:val="20"/>
          <w:szCs w:val="20"/>
          <w:shd w:val="clear" w:color="auto" w:fill="FFFFFF"/>
        </w:rPr>
        <w:t>(1) Subject to the provisions of this Part, every charge created after the fixed date by a company, and being a charge to which this section applies, shall, so far as any security on the company's property or undertaking is conferred thereby, be void against the liquidator and any creditor of the company, unless the prescribed particulars of the charge, verified in the prescribed manner, are delivered to or received by the registrar of companies for registration in manner required by this Act within 21 days after the date of its creation, but without prejudice to any contract or obligation for repayment of the money thereby secured, and when a charge becomes void under this section, the money secured thereby shall immediately become payable.</w:t>
      </w:r>
    </w:p>
    <w:p w:rsidR="002D2A21" w:rsidRDefault="002D2A21" w:rsidP="00982820">
      <w:pPr>
        <w:jc w:val="both"/>
        <w:rPr>
          <w:rFonts w:cs="Times New Roman"/>
        </w:rPr>
      </w:pPr>
      <w:r>
        <w:rPr>
          <w:rFonts w:cs="Times New Roman"/>
        </w:rPr>
        <w:t>Section 100 imposes a duty on the company to deliver the particulars of charges created over its property to the Registrar of Companies and provides for a criminal sanction where this step is not carried out. The relevant portions of the section read as follows:</w:t>
      </w:r>
    </w:p>
    <w:p w:rsidR="002D2A21" w:rsidRPr="002D2A21" w:rsidRDefault="002D2A21" w:rsidP="002D2A21">
      <w:pPr>
        <w:ind w:left="720" w:right="391"/>
        <w:jc w:val="both"/>
        <w:rPr>
          <w:rFonts w:cs="Times New Roman"/>
          <w:sz w:val="20"/>
          <w:szCs w:val="20"/>
        </w:rPr>
      </w:pPr>
      <w:r w:rsidRPr="002D2A21">
        <w:rPr>
          <w:rStyle w:val="2"/>
          <w:rFonts w:cs="Times New Roman"/>
          <w:bCs/>
          <w:sz w:val="20"/>
          <w:szCs w:val="20"/>
          <w:bdr w:val="none" w:sz="0" w:space="0" w:color="auto" w:frame="1"/>
          <w:shd w:val="clear" w:color="auto" w:fill="FFFFFF"/>
        </w:rPr>
        <w:t>100.</w:t>
      </w:r>
      <w:r w:rsidRPr="002D2A21">
        <w:rPr>
          <w:rStyle w:val="2"/>
          <w:rFonts w:cs="Times New Roman"/>
          <w:sz w:val="20"/>
          <w:szCs w:val="20"/>
          <w:bdr w:val="none" w:sz="0" w:space="0" w:color="auto" w:frame="1"/>
          <w:shd w:val="clear" w:color="auto" w:fill="FFFFFF"/>
        </w:rPr>
        <w:t>—</w:t>
      </w:r>
      <w:r w:rsidRPr="002D2A21">
        <w:rPr>
          <w:rStyle w:val="5"/>
          <w:rFonts w:cs="Times New Roman"/>
          <w:sz w:val="20"/>
          <w:szCs w:val="20"/>
          <w:bdr w:val="none" w:sz="0" w:space="0" w:color="auto" w:frame="1"/>
          <w:shd w:val="clear" w:color="auto" w:fill="FFFFFF"/>
        </w:rPr>
        <w:t>(1)</w:t>
      </w:r>
      <w:r w:rsidRPr="002D2A21">
        <w:rPr>
          <w:rStyle w:val="apple-converted-space"/>
          <w:rFonts w:cs="Times New Roman"/>
          <w:sz w:val="20"/>
          <w:szCs w:val="20"/>
          <w:shd w:val="clear" w:color="auto" w:fill="FFFFFF"/>
        </w:rPr>
        <w:t> </w:t>
      </w:r>
      <w:r w:rsidRPr="002D2A21">
        <w:rPr>
          <w:rFonts w:cs="Times New Roman"/>
          <w:sz w:val="20"/>
          <w:szCs w:val="20"/>
          <w:shd w:val="clear" w:color="auto" w:fill="FFFFFF"/>
        </w:rPr>
        <w:t>It shall be the duty of a company to send to the registrar of companies for registration within the time required by section 99 the particulars of every charge created by the company, and of the issues of debentures of a series requiring registration under section 99, together with any documents required by that section, but registration of any such charge may be effected on the application of any person interested therein.</w:t>
      </w:r>
    </w:p>
    <w:p w:rsidR="00C77A80" w:rsidRPr="000C223D" w:rsidRDefault="000C223D" w:rsidP="00982820">
      <w:pPr>
        <w:jc w:val="both"/>
        <w:rPr>
          <w:rFonts w:cs="Times New Roman"/>
        </w:rPr>
      </w:pPr>
      <w:r>
        <w:rPr>
          <w:rFonts w:cs="Times New Roman"/>
        </w:rPr>
        <w:t>Section 103 requires the Registrar of Companies to maintain the company charge register and to enter on to the register the particulars of charges. The rele</w:t>
      </w:r>
      <w:r w:rsidRPr="000C223D">
        <w:rPr>
          <w:rFonts w:cs="Times New Roman"/>
        </w:rPr>
        <w:t>vant subsection reads as follows:</w:t>
      </w:r>
    </w:p>
    <w:p w:rsidR="000C223D" w:rsidRDefault="000C223D" w:rsidP="000C223D">
      <w:pPr>
        <w:ind w:left="720" w:right="391"/>
        <w:jc w:val="both"/>
        <w:rPr>
          <w:rFonts w:cs="Times New Roman"/>
          <w:sz w:val="20"/>
          <w:szCs w:val="18"/>
          <w:shd w:val="clear" w:color="auto" w:fill="FFFFFF"/>
        </w:rPr>
      </w:pPr>
      <w:r w:rsidRPr="000C223D">
        <w:rPr>
          <w:rStyle w:val="2"/>
          <w:rFonts w:cs="Times New Roman"/>
          <w:bCs/>
          <w:sz w:val="20"/>
          <w:szCs w:val="18"/>
          <w:bdr w:val="none" w:sz="0" w:space="0" w:color="auto" w:frame="1"/>
          <w:shd w:val="clear" w:color="auto" w:fill="FFFFFF"/>
        </w:rPr>
        <w:t>103.</w:t>
      </w:r>
      <w:r w:rsidRPr="000C223D">
        <w:rPr>
          <w:rStyle w:val="2"/>
          <w:rFonts w:cs="Times New Roman"/>
          <w:sz w:val="20"/>
          <w:szCs w:val="18"/>
          <w:bdr w:val="none" w:sz="0" w:space="0" w:color="auto" w:frame="1"/>
          <w:shd w:val="clear" w:color="auto" w:fill="FFFFFF"/>
        </w:rPr>
        <w:t>—</w:t>
      </w:r>
      <w:r w:rsidRPr="000C223D">
        <w:rPr>
          <w:rStyle w:val="5"/>
          <w:rFonts w:cs="Times New Roman"/>
          <w:sz w:val="20"/>
          <w:szCs w:val="18"/>
          <w:bdr w:val="none" w:sz="0" w:space="0" w:color="auto" w:frame="1"/>
          <w:shd w:val="clear" w:color="auto" w:fill="FFFFFF"/>
        </w:rPr>
        <w:t>(1)</w:t>
      </w:r>
      <w:r w:rsidRPr="000C223D">
        <w:rPr>
          <w:rStyle w:val="apple-converted-space"/>
          <w:rFonts w:cs="Times New Roman"/>
          <w:sz w:val="20"/>
          <w:szCs w:val="18"/>
          <w:shd w:val="clear" w:color="auto" w:fill="FFFFFF"/>
        </w:rPr>
        <w:t> </w:t>
      </w:r>
      <w:r w:rsidRPr="000C223D">
        <w:rPr>
          <w:rFonts w:cs="Times New Roman"/>
          <w:sz w:val="20"/>
          <w:szCs w:val="18"/>
          <w:shd w:val="clear" w:color="auto" w:fill="FFFFFF"/>
        </w:rPr>
        <w:t>The registrar of companies shall keep, in relation to each company, a register in the prescribed form of all the charges requiring registration under this Part, and shall, on payment of such fee as may be prescribed, enter in the register, in relation to such charges, the following particulars</w:t>
      </w:r>
      <w:r>
        <w:rPr>
          <w:rFonts w:cs="Times New Roman"/>
          <w:sz w:val="20"/>
          <w:szCs w:val="18"/>
          <w:shd w:val="clear" w:color="auto" w:fill="FFFFFF"/>
        </w:rPr>
        <w:t xml:space="preserve"> …. </w:t>
      </w:r>
    </w:p>
    <w:p w:rsidR="000C223D" w:rsidRPr="000C223D" w:rsidRDefault="000C223D" w:rsidP="000C223D">
      <w:pPr>
        <w:jc w:val="both"/>
        <w:rPr>
          <w:rFonts w:cs="Times New Roman"/>
          <w:sz w:val="20"/>
          <w:szCs w:val="18"/>
          <w:shd w:val="clear" w:color="auto" w:fill="FFFFFF"/>
        </w:rPr>
      </w:pPr>
      <w:r>
        <w:rPr>
          <w:rFonts w:cs="Times New Roman"/>
          <w:szCs w:val="18"/>
          <w:shd w:val="clear" w:color="auto" w:fill="FFFFFF"/>
        </w:rPr>
        <w:t>Section 104 provides for the issuing and effect of the certificate of registration and reads as follows:</w:t>
      </w:r>
    </w:p>
    <w:p w:rsidR="000C223D" w:rsidRDefault="000C223D" w:rsidP="000C223D">
      <w:pPr>
        <w:ind w:left="720" w:right="391"/>
        <w:jc w:val="both"/>
        <w:rPr>
          <w:rFonts w:cs="Times New Roman"/>
          <w:sz w:val="20"/>
          <w:szCs w:val="20"/>
          <w:shd w:val="clear" w:color="auto" w:fill="FFFFFF"/>
        </w:rPr>
      </w:pPr>
      <w:r w:rsidRPr="000C223D">
        <w:rPr>
          <w:rStyle w:val="2"/>
          <w:rFonts w:cs="Times New Roman"/>
          <w:bCs/>
          <w:sz w:val="20"/>
          <w:szCs w:val="20"/>
          <w:bdr w:val="none" w:sz="0" w:space="0" w:color="auto" w:frame="1"/>
          <w:shd w:val="clear" w:color="auto" w:fill="FFFFFF"/>
        </w:rPr>
        <w:lastRenderedPageBreak/>
        <w:t>104.</w:t>
      </w:r>
      <w:r w:rsidRPr="000C223D">
        <w:rPr>
          <w:rStyle w:val="2"/>
          <w:rFonts w:cs="Times New Roman"/>
          <w:sz w:val="20"/>
          <w:szCs w:val="20"/>
          <w:bdr w:val="none" w:sz="0" w:space="0" w:color="auto" w:frame="1"/>
          <w:shd w:val="clear" w:color="auto" w:fill="FFFFFF"/>
        </w:rPr>
        <w:t>—</w:t>
      </w:r>
      <w:proofErr w:type="gramStart"/>
      <w:r w:rsidRPr="000C223D">
        <w:rPr>
          <w:rFonts w:cs="Times New Roman"/>
          <w:sz w:val="20"/>
          <w:szCs w:val="20"/>
          <w:shd w:val="clear" w:color="auto" w:fill="FFFFFF"/>
        </w:rPr>
        <w:t>The</w:t>
      </w:r>
      <w:proofErr w:type="gramEnd"/>
      <w:r w:rsidRPr="000C223D">
        <w:rPr>
          <w:rFonts w:cs="Times New Roman"/>
          <w:sz w:val="20"/>
          <w:szCs w:val="20"/>
          <w:shd w:val="clear" w:color="auto" w:fill="FFFFFF"/>
        </w:rPr>
        <w:t xml:space="preserve"> registrar shall give a certificate under his hand of the registration of any charge registered in pursuance of this Part, stating the amount thereby secured, and the certificate shall be conclusive evidence that the requirements of this Part as to registration have been complied with.</w:t>
      </w:r>
    </w:p>
    <w:p w:rsidR="00290AEB" w:rsidRDefault="000C223D" w:rsidP="009D62BD">
      <w:pPr>
        <w:jc w:val="both"/>
        <w:rPr>
          <w:rFonts w:cs="Times New Roman"/>
          <w:szCs w:val="20"/>
          <w:shd w:val="clear" w:color="auto" w:fill="FFFFFF"/>
        </w:rPr>
      </w:pPr>
      <w:r>
        <w:rPr>
          <w:rFonts w:cs="Times New Roman"/>
          <w:szCs w:val="20"/>
          <w:shd w:val="clear" w:color="auto" w:fill="FFFFFF"/>
        </w:rPr>
        <w:t xml:space="preserve">A close reading of these </w:t>
      </w:r>
      <w:r w:rsidR="002D2A21">
        <w:rPr>
          <w:rFonts w:cs="Times New Roman"/>
          <w:szCs w:val="20"/>
          <w:shd w:val="clear" w:color="auto" w:fill="FFFFFF"/>
        </w:rPr>
        <w:t>s</w:t>
      </w:r>
      <w:r>
        <w:rPr>
          <w:rFonts w:cs="Times New Roman"/>
          <w:szCs w:val="20"/>
          <w:shd w:val="clear" w:color="auto" w:fill="FFFFFF"/>
        </w:rPr>
        <w:t>ections suggests the following. A registrable charge is void under section 99(</w:t>
      </w:r>
      <w:r w:rsidR="00661700">
        <w:rPr>
          <w:rFonts w:cs="Times New Roman"/>
          <w:szCs w:val="20"/>
          <w:shd w:val="clear" w:color="auto" w:fill="FFFFFF"/>
        </w:rPr>
        <w:t>1</w:t>
      </w:r>
      <w:r>
        <w:rPr>
          <w:rFonts w:cs="Times New Roman"/>
          <w:szCs w:val="20"/>
          <w:shd w:val="clear" w:color="auto" w:fill="FFFFFF"/>
        </w:rPr>
        <w:t xml:space="preserve">) if, and only if, </w:t>
      </w:r>
      <w:r w:rsidR="001C1F8B">
        <w:rPr>
          <w:rFonts w:cs="Times New Roman"/>
          <w:szCs w:val="20"/>
          <w:shd w:val="clear" w:color="auto" w:fill="FFFFFF"/>
        </w:rPr>
        <w:t>the prescribed particulars have not been “delivered to or received by the registrar of companies” with the time limit provided. The purpose of making that delivery is to enable the Registrar of Companies to register the charge. The</w:t>
      </w:r>
      <w:r w:rsidR="00930A91">
        <w:rPr>
          <w:rFonts w:cs="Times New Roman"/>
          <w:szCs w:val="20"/>
          <w:shd w:val="clear" w:color="auto" w:fill="FFFFFF"/>
        </w:rPr>
        <w:t xml:space="preserve"> statute does not</w:t>
      </w:r>
      <w:r w:rsidR="001C1F8B">
        <w:rPr>
          <w:rFonts w:cs="Times New Roman"/>
          <w:szCs w:val="20"/>
          <w:shd w:val="clear" w:color="auto" w:fill="FFFFFF"/>
        </w:rPr>
        <w:t xml:space="preserve"> </w:t>
      </w:r>
      <w:r w:rsidR="00930A91">
        <w:rPr>
          <w:rFonts w:cs="Times New Roman"/>
          <w:szCs w:val="20"/>
          <w:shd w:val="clear" w:color="auto" w:fill="FFFFFF"/>
        </w:rPr>
        <w:t xml:space="preserve">in fact make the </w:t>
      </w:r>
      <w:r w:rsidR="001C1F8B">
        <w:rPr>
          <w:rFonts w:cs="Times New Roman"/>
          <w:szCs w:val="20"/>
          <w:shd w:val="clear" w:color="auto" w:fill="FFFFFF"/>
        </w:rPr>
        <w:t xml:space="preserve">validity of the charge dependent on the particulars being </w:t>
      </w:r>
      <w:r w:rsidR="00930A91">
        <w:rPr>
          <w:rFonts w:cs="Times New Roman"/>
          <w:szCs w:val="20"/>
          <w:shd w:val="clear" w:color="auto" w:fill="FFFFFF"/>
        </w:rPr>
        <w:t>registered.</w:t>
      </w:r>
    </w:p>
    <w:p w:rsidR="00290AEB" w:rsidRDefault="00290AEB" w:rsidP="009D62BD">
      <w:pPr>
        <w:jc w:val="both"/>
        <w:rPr>
          <w:rFonts w:cs="Times New Roman"/>
          <w:szCs w:val="20"/>
          <w:shd w:val="clear" w:color="auto" w:fill="FFFFFF"/>
        </w:rPr>
      </w:pPr>
      <w:r>
        <w:rPr>
          <w:rFonts w:cs="Times New Roman"/>
          <w:szCs w:val="20"/>
          <w:shd w:val="clear" w:color="auto" w:fill="FFFFFF"/>
        </w:rPr>
        <w:t xml:space="preserve">Further support for this view can be found in section 100(1) which defines the duty of the company in terms of “sending” the particulars to the Registrar and not in terms of carrying out registration. </w:t>
      </w:r>
      <w:r w:rsidR="00930A91">
        <w:rPr>
          <w:rFonts w:cs="Times New Roman"/>
          <w:szCs w:val="20"/>
          <w:shd w:val="clear" w:color="auto" w:fill="FFFFFF"/>
        </w:rPr>
        <w:t xml:space="preserve">It is suggested that if a company or chargee could prove, for instance by </w:t>
      </w:r>
      <w:r w:rsidR="00930A91">
        <w:rPr>
          <w:rFonts w:cs="Times New Roman"/>
          <w:i/>
          <w:szCs w:val="20"/>
          <w:shd w:val="clear" w:color="auto" w:fill="FFFFFF"/>
        </w:rPr>
        <w:t xml:space="preserve">via voce </w:t>
      </w:r>
      <w:r w:rsidR="00930A91">
        <w:rPr>
          <w:rFonts w:cs="Times New Roman"/>
          <w:szCs w:val="20"/>
          <w:shd w:val="clear" w:color="auto" w:fill="FFFFFF"/>
        </w:rPr>
        <w:t xml:space="preserve">evidence that the necessary particulars were in fact delivered to the Registrar, the charge would be valid even if the Registrar had taken no action whatsoever after the delivery had taken place. </w:t>
      </w:r>
      <w:r w:rsidR="00421D83">
        <w:rPr>
          <w:rFonts w:cs="Times New Roman"/>
          <w:szCs w:val="20"/>
          <w:shd w:val="clear" w:color="auto" w:fill="FFFFFF"/>
        </w:rPr>
        <w:t xml:space="preserve">Authority for this point can be found in the decision of the High Court in </w:t>
      </w:r>
      <w:r w:rsidR="00421D83">
        <w:rPr>
          <w:rFonts w:cs="Times New Roman"/>
          <w:i/>
          <w:szCs w:val="20"/>
          <w:shd w:val="clear" w:color="auto" w:fill="FFFFFF"/>
        </w:rPr>
        <w:t xml:space="preserve">Re: Investment Options and Solutions </w:t>
      </w:r>
      <w:r w:rsidR="00421D83" w:rsidRPr="00421D83">
        <w:rPr>
          <w:rFonts w:cs="Times New Roman"/>
          <w:i/>
          <w:szCs w:val="20"/>
          <w:shd w:val="clear" w:color="auto" w:fill="FFFFFF"/>
        </w:rPr>
        <w:t>Ltd</w:t>
      </w:r>
      <w:r w:rsidR="00421D83">
        <w:rPr>
          <w:rFonts w:cs="Times New Roman"/>
          <w:i/>
          <w:szCs w:val="20"/>
          <w:shd w:val="clear" w:color="auto" w:fill="FFFFFF"/>
        </w:rPr>
        <w:t xml:space="preserve"> </w:t>
      </w:r>
      <w:r w:rsidR="00421D83">
        <w:rPr>
          <w:rFonts w:cs="Times New Roman"/>
          <w:szCs w:val="20"/>
          <w:shd w:val="clear" w:color="auto" w:fill="FFFFFF"/>
        </w:rPr>
        <w:t xml:space="preserve">in which </w:t>
      </w:r>
      <w:proofErr w:type="spellStart"/>
      <w:r w:rsidR="00421D83">
        <w:rPr>
          <w:rFonts w:cs="Times New Roman"/>
          <w:szCs w:val="20"/>
          <w:shd w:val="clear" w:color="auto" w:fill="FFFFFF"/>
        </w:rPr>
        <w:t>Laffoy</w:t>
      </w:r>
      <w:proofErr w:type="spellEnd"/>
      <w:r w:rsidR="00421D83">
        <w:rPr>
          <w:rFonts w:cs="Times New Roman"/>
          <w:szCs w:val="20"/>
          <w:shd w:val="clear" w:color="auto" w:fill="FFFFFF"/>
        </w:rPr>
        <w:t xml:space="preserve"> J. was satisfied, </w:t>
      </w:r>
      <w:r w:rsidR="000C2984">
        <w:rPr>
          <w:rFonts w:cs="Times New Roman"/>
          <w:szCs w:val="20"/>
          <w:shd w:val="clear" w:color="auto" w:fill="FFFFFF"/>
        </w:rPr>
        <w:t xml:space="preserve">without need to refer to </w:t>
      </w:r>
      <w:r w:rsidR="00421D83">
        <w:rPr>
          <w:rFonts w:cs="Times New Roman"/>
          <w:szCs w:val="20"/>
          <w:shd w:val="clear" w:color="auto" w:fill="FFFFFF"/>
        </w:rPr>
        <w:t>the certificate that a charge had been registered within time.</w:t>
      </w:r>
      <w:r w:rsidR="00421D83">
        <w:rPr>
          <w:rStyle w:val="FootnoteReference"/>
          <w:rFonts w:cs="Times New Roman"/>
          <w:szCs w:val="20"/>
          <w:shd w:val="clear" w:color="auto" w:fill="FFFFFF"/>
        </w:rPr>
        <w:footnoteReference w:id="61"/>
      </w:r>
      <w:r w:rsidR="00421D83">
        <w:rPr>
          <w:rFonts w:cs="Times New Roman"/>
          <w:szCs w:val="20"/>
          <w:shd w:val="clear" w:color="auto" w:fill="FFFFFF"/>
        </w:rPr>
        <w:t xml:space="preserve"> </w:t>
      </w:r>
      <w:r w:rsidR="00094E74">
        <w:rPr>
          <w:rFonts w:cs="Times New Roman"/>
          <w:szCs w:val="20"/>
          <w:shd w:val="clear" w:color="auto" w:fill="FFFFFF"/>
        </w:rPr>
        <w:t xml:space="preserve">Additional support can be found in </w:t>
      </w:r>
      <w:r w:rsidR="00094E74">
        <w:rPr>
          <w:rFonts w:cs="Times New Roman"/>
          <w:i/>
          <w:szCs w:val="20"/>
          <w:shd w:val="clear" w:color="auto" w:fill="FFFFFF"/>
        </w:rPr>
        <w:t>Grove v Advantage Healthcare (T10).</w:t>
      </w:r>
      <w:r w:rsidR="00094E74" w:rsidRPr="00094E74">
        <w:rPr>
          <w:rStyle w:val="FootnoteReference"/>
          <w:rFonts w:cs="Times New Roman"/>
          <w:szCs w:val="20"/>
          <w:shd w:val="clear" w:color="auto" w:fill="FFFFFF"/>
        </w:rPr>
        <w:footnoteReference w:id="62"/>
      </w:r>
      <w:r w:rsidR="00094E74">
        <w:rPr>
          <w:rFonts w:cs="Times New Roman"/>
          <w:i/>
          <w:szCs w:val="20"/>
          <w:shd w:val="clear" w:color="auto" w:fill="FFFFFF"/>
        </w:rPr>
        <w:t xml:space="preserve"> </w:t>
      </w:r>
      <w:r w:rsidR="00094E74" w:rsidRPr="00094E74">
        <w:rPr>
          <w:rFonts w:cs="Times New Roman"/>
          <w:szCs w:val="20"/>
          <w:shd w:val="clear" w:color="auto" w:fill="FFFFFF"/>
        </w:rPr>
        <w:t>T</w:t>
      </w:r>
      <w:r w:rsidR="00094E74">
        <w:rPr>
          <w:rFonts w:cs="Times New Roman"/>
          <w:szCs w:val="20"/>
          <w:shd w:val="clear" w:color="auto" w:fill="FFFFFF"/>
        </w:rPr>
        <w:t xml:space="preserve">here the particulars which delivered to the Registrar were correct in all respects; however the form which was used misstated the company’s registered number and instead bore the number of a related company, Advantage Healthcare (T9) Ltd. A certificate of registration was issued bearing T9’s registered number.  </w:t>
      </w:r>
      <w:proofErr w:type="spellStart"/>
      <w:r w:rsidR="00094E74">
        <w:rPr>
          <w:rFonts w:cs="Times New Roman"/>
          <w:szCs w:val="20"/>
          <w:shd w:val="clear" w:color="auto" w:fill="FFFFFF"/>
        </w:rPr>
        <w:t>Lightman</w:t>
      </w:r>
      <w:proofErr w:type="spellEnd"/>
      <w:r w:rsidR="00094E74">
        <w:rPr>
          <w:rFonts w:cs="Times New Roman"/>
          <w:szCs w:val="20"/>
          <w:shd w:val="clear" w:color="auto" w:fill="FFFFFF"/>
        </w:rPr>
        <w:t xml:space="preserve"> J. held that the certificate was conclusive evidence that T9 had registered a charge but that with reference to T10 the certificate was a nullity. Nonetheless, the court held that the company’s number is not a prescribed particular, and since there was clear evidence that T10 had in fact delivered all of the particulars the court held that the charge was not invalidated by the equivalent of section 99(1). </w:t>
      </w:r>
      <w:r w:rsidRPr="00094E74">
        <w:rPr>
          <w:rFonts w:cs="Times New Roman"/>
          <w:szCs w:val="20"/>
          <w:shd w:val="clear" w:color="auto" w:fill="FFFFFF"/>
        </w:rPr>
        <w:t>Finally</w:t>
      </w:r>
      <w:r>
        <w:rPr>
          <w:rFonts w:cs="Times New Roman"/>
          <w:szCs w:val="20"/>
          <w:shd w:val="clear" w:color="auto" w:fill="FFFFFF"/>
        </w:rPr>
        <w:t xml:space="preserve"> it should be pointed out that the last clause in section 100(1) permits a third party with an interest in the charge to make an application to the Registrar to have the charge registered. It does not permit the third party to actually make the registration on its own behalf. </w:t>
      </w:r>
    </w:p>
    <w:p w:rsidR="002D2A21" w:rsidRPr="00930A91" w:rsidRDefault="00930A91" w:rsidP="009D62BD">
      <w:pPr>
        <w:jc w:val="both"/>
        <w:rPr>
          <w:rFonts w:cs="Times New Roman"/>
          <w:szCs w:val="20"/>
          <w:shd w:val="clear" w:color="auto" w:fill="FFFFFF"/>
        </w:rPr>
      </w:pPr>
      <w:r>
        <w:rPr>
          <w:rFonts w:cs="Times New Roman"/>
          <w:szCs w:val="20"/>
          <w:shd w:val="clear" w:color="auto" w:fill="FFFFFF"/>
        </w:rPr>
        <w:t>That the duty to attend to registration falls on the Registrar rather than the person who delivers the particulars seems to be beyond d</w:t>
      </w:r>
      <w:r w:rsidR="00290AEB">
        <w:rPr>
          <w:rFonts w:cs="Times New Roman"/>
          <w:szCs w:val="20"/>
          <w:shd w:val="clear" w:color="auto" w:fill="FFFFFF"/>
        </w:rPr>
        <w:t xml:space="preserve">oubt in light of the wording of section 99(2) and section 100(1) both of which speak of delivering particulars to the Registrar “for registration”. Further confirmation can be found in the wording of section 103 which imposes a dual duty on the Registrar: first to maintain a register of charges for each company and then to enter the particulars of each charge into that register on receiving payment of the required fee. </w:t>
      </w:r>
    </w:p>
    <w:p w:rsidR="00251C4B" w:rsidRDefault="00290AEB" w:rsidP="006B08E1">
      <w:pPr>
        <w:jc w:val="both"/>
        <w:rPr>
          <w:rFonts w:cs="Times New Roman"/>
          <w:szCs w:val="20"/>
          <w:shd w:val="clear" w:color="auto" w:fill="FFFFFF"/>
        </w:rPr>
      </w:pPr>
      <w:r>
        <w:rPr>
          <w:rFonts w:cs="Times New Roman"/>
          <w:szCs w:val="20"/>
          <w:shd w:val="clear" w:color="auto" w:fill="FFFFFF"/>
        </w:rPr>
        <w:t xml:space="preserve">Once it is clearly understood that the Registrar is required </w:t>
      </w:r>
      <w:r w:rsidR="001A5232">
        <w:rPr>
          <w:rFonts w:cs="Times New Roman"/>
          <w:szCs w:val="20"/>
          <w:shd w:val="clear" w:color="auto" w:fill="FFFFFF"/>
        </w:rPr>
        <w:t xml:space="preserve">to </w:t>
      </w:r>
      <w:r>
        <w:rPr>
          <w:rFonts w:cs="Times New Roman"/>
          <w:szCs w:val="20"/>
          <w:shd w:val="clear" w:color="auto" w:fill="FFFFFF"/>
        </w:rPr>
        <w:t xml:space="preserve">attend to registration of the charge and that the duty of the company is merely to deliver the </w:t>
      </w:r>
      <w:r w:rsidR="009D62BD">
        <w:rPr>
          <w:rFonts w:cs="Times New Roman"/>
          <w:szCs w:val="20"/>
          <w:shd w:val="clear" w:color="auto" w:fill="FFFFFF"/>
        </w:rPr>
        <w:t>particulars to the Registrar in order to facilitate the registration of the charge</w:t>
      </w:r>
      <w:r w:rsidR="001A5232">
        <w:rPr>
          <w:rFonts w:cs="Times New Roman"/>
          <w:szCs w:val="20"/>
          <w:shd w:val="clear" w:color="auto" w:fill="FFFFFF"/>
        </w:rPr>
        <w:t>,</w:t>
      </w:r>
      <w:r w:rsidR="009D62BD">
        <w:rPr>
          <w:rFonts w:cs="Times New Roman"/>
          <w:szCs w:val="20"/>
          <w:shd w:val="clear" w:color="auto" w:fill="FFFFFF"/>
        </w:rPr>
        <w:t xml:space="preserve"> section 104 can be read i</w:t>
      </w:r>
      <w:r w:rsidR="00877C75">
        <w:rPr>
          <w:rFonts w:cs="Times New Roman"/>
          <w:szCs w:val="20"/>
          <w:shd w:val="clear" w:color="auto" w:fill="FFFFFF"/>
        </w:rPr>
        <w:t>n a different light. Section 104</w:t>
      </w:r>
      <w:r w:rsidR="009D62BD">
        <w:rPr>
          <w:rFonts w:cs="Times New Roman"/>
          <w:szCs w:val="20"/>
          <w:shd w:val="clear" w:color="auto" w:fill="FFFFFF"/>
        </w:rPr>
        <w:t xml:space="preserve"> speaks of the certificate as being “</w:t>
      </w:r>
      <w:r w:rsidR="009D62BD" w:rsidRPr="009D62BD">
        <w:rPr>
          <w:rFonts w:cs="Times New Roman"/>
          <w:szCs w:val="20"/>
          <w:shd w:val="clear" w:color="auto" w:fill="FFFFFF"/>
        </w:rPr>
        <w:t xml:space="preserve">conclusive evidence that the requirements of </w:t>
      </w:r>
      <w:r w:rsidR="009D62BD" w:rsidRPr="009D62BD">
        <w:rPr>
          <w:rFonts w:cs="Times New Roman"/>
          <w:szCs w:val="20"/>
          <w:shd w:val="clear" w:color="auto" w:fill="FFFFFF"/>
        </w:rPr>
        <w:lastRenderedPageBreak/>
        <w:t xml:space="preserve">this Part </w:t>
      </w:r>
      <w:r w:rsidR="009D62BD" w:rsidRPr="009D62BD">
        <w:rPr>
          <w:rFonts w:cs="Times New Roman"/>
          <w:i/>
          <w:szCs w:val="20"/>
          <w:shd w:val="clear" w:color="auto" w:fill="FFFFFF"/>
        </w:rPr>
        <w:t>as to registration</w:t>
      </w:r>
      <w:r w:rsidR="009D62BD" w:rsidRPr="009D62BD">
        <w:rPr>
          <w:rFonts w:cs="Times New Roman"/>
          <w:szCs w:val="20"/>
          <w:shd w:val="clear" w:color="auto" w:fill="FFFFFF"/>
        </w:rPr>
        <w:t xml:space="preserve"> have been complied with”</w:t>
      </w:r>
      <w:r w:rsidR="009D62BD">
        <w:rPr>
          <w:rFonts w:cs="Times New Roman"/>
          <w:szCs w:val="20"/>
          <w:shd w:val="clear" w:color="auto" w:fill="FFFFFF"/>
        </w:rPr>
        <w:t xml:space="preserve"> (emphasis added). If registration, as distinct from delivery of particulars, is the duty of the Registrar of Companies, then a literal reading of section 104 can only result in the conclusion that the certificate is evidence that the </w:t>
      </w:r>
      <w:r w:rsidR="009D62BD" w:rsidRPr="009D62BD">
        <w:rPr>
          <w:rFonts w:cs="Times New Roman"/>
          <w:i/>
          <w:szCs w:val="20"/>
          <w:shd w:val="clear" w:color="auto" w:fill="FFFFFF"/>
        </w:rPr>
        <w:t>Registrar</w:t>
      </w:r>
      <w:r w:rsidR="009D62BD">
        <w:rPr>
          <w:rFonts w:cs="Times New Roman"/>
          <w:szCs w:val="20"/>
          <w:shd w:val="clear" w:color="auto" w:fill="FFFFFF"/>
        </w:rPr>
        <w:t xml:space="preserve"> has complied with his duty under Part IV. On this view, the certificate of registration provides no evidence at all, much less evidence of a conclusive nature, on the </w:t>
      </w:r>
      <w:r w:rsidR="00ED2789">
        <w:rPr>
          <w:rFonts w:cs="Times New Roman"/>
          <w:szCs w:val="20"/>
          <w:shd w:val="clear" w:color="auto" w:fill="FFFFFF"/>
        </w:rPr>
        <w:t xml:space="preserve">separate </w:t>
      </w:r>
      <w:r w:rsidR="009D62BD">
        <w:rPr>
          <w:rFonts w:cs="Times New Roman"/>
          <w:szCs w:val="20"/>
          <w:shd w:val="clear" w:color="auto" w:fill="FFFFFF"/>
        </w:rPr>
        <w:t xml:space="preserve">question of whether the company has complied with its duty to deliver the particulars to the Registrar. </w:t>
      </w:r>
    </w:p>
    <w:p w:rsidR="006B08E1" w:rsidRDefault="00251C4B" w:rsidP="006B08E1">
      <w:pPr>
        <w:jc w:val="both"/>
        <w:rPr>
          <w:rFonts w:cs="Times New Roman"/>
          <w:szCs w:val="20"/>
          <w:shd w:val="clear" w:color="auto" w:fill="FFFFFF"/>
        </w:rPr>
      </w:pPr>
      <w:r>
        <w:rPr>
          <w:rFonts w:cs="Times New Roman"/>
          <w:szCs w:val="20"/>
          <w:shd w:val="clear" w:color="auto" w:fill="FFFFFF"/>
        </w:rPr>
        <w:t>Such an approach appears particularly apposite in the Irish context when it is borne in mind that in 1963 the Oireachtas removed the requirement that the Registrar be provided with the original charge document along with the prescribed particulars. The role of the Registrar in the Irish system is purely a mechanical one of receiving particulars and entering them on the register. In light of such a system, it is surely absurd to claim that the Oireachtas, having repealed the ability of the Registrar to verify the particulars, simultaneously intended that the Registrar would certify their veracity. Such a result, it is suggested, would require clear words to that effect to be located in the statute and no such words appear in section 104.</w:t>
      </w:r>
    </w:p>
    <w:p w:rsidR="00ED2789" w:rsidRPr="009E3516" w:rsidRDefault="00ED2789" w:rsidP="006B08E1">
      <w:pPr>
        <w:jc w:val="both"/>
        <w:rPr>
          <w:rFonts w:cs="Times New Roman"/>
          <w:i/>
          <w:szCs w:val="20"/>
          <w:shd w:val="clear" w:color="auto" w:fill="FFFFFF"/>
        </w:rPr>
      </w:pPr>
      <w:r>
        <w:rPr>
          <w:rFonts w:cs="Times New Roman"/>
          <w:szCs w:val="20"/>
          <w:shd w:val="clear" w:color="auto" w:fill="FFFFFF"/>
        </w:rPr>
        <w:t xml:space="preserve">It can also be pointed out that there is </w:t>
      </w:r>
      <w:r w:rsidR="009E3516">
        <w:rPr>
          <w:rFonts w:cs="Times New Roman"/>
          <w:szCs w:val="20"/>
          <w:shd w:val="clear" w:color="auto" w:fill="FFFFFF"/>
        </w:rPr>
        <w:t xml:space="preserve">at least are two </w:t>
      </w:r>
      <w:r>
        <w:rPr>
          <w:rFonts w:cs="Times New Roman"/>
          <w:szCs w:val="20"/>
          <w:shd w:val="clear" w:color="auto" w:fill="FFFFFF"/>
        </w:rPr>
        <w:t>case</w:t>
      </w:r>
      <w:r w:rsidR="009E3516">
        <w:rPr>
          <w:rFonts w:cs="Times New Roman"/>
          <w:szCs w:val="20"/>
          <w:shd w:val="clear" w:color="auto" w:fill="FFFFFF"/>
        </w:rPr>
        <w:t>s</w:t>
      </w:r>
      <w:r>
        <w:rPr>
          <w:rFonts w:cs="Times New Roman"/>
          <w:szCs w:val="20"/>
          <w:shd w:val="clear" w:color="auto" w:fill="FFFFFF"/>
        </w:rPr>
        <w:t xml:space="preserve"> in which the English courts </w:t>
      </w:r>
      <w:r w:rsidR="009E3516">
        <w:rPr>
          <w:rFonts w:cs="Times New Roman"/>
          <w:szCs w:val="20"/>
          <w:shd w:val="clear" w:color="auto" w:fill="FFFFFF"/>
        </w:rPr>
        <w:t xml:space="preserve">seem to </w:t>
      </w:r>
      <w:r>
        <w:rPr>
          <w:rFonts w:cs="Times New Roman"/>
          <w:szCs w:val="20"/>
          <w:shd w:val="clear" w:color="auto" w:fill="FFFFFF"/>
        </w:rPr>
        <w:t>have ignored the conclusive effect of the certificate</w:t>
      </w:r>
      <w:r w:rsidR="009E3516">
        <w:rPr>
          <w:rFonts w:cs="Times New Roman"/>
          <w:szCs w:val="20"/>
          <w:shd w:val="clear" w:color="auto" w:fill="FFFFFF"/>
        </w:rPr>
        <w:t xml:space="preserve"> in a manner which would fit with proposed re-interpretation of section 104</w:t>
      </w:r>
      <w:r>
        <w:rPr>
          <w:rFonts w:cs="Times New Roman"/>
          <w:szCs w:val="20"/>
          <w:shd w:val="clear" w:color="auto" w:fill="FFFFFF"/>
        </w:rPr>
        <w:t xml:space="preserve">. In </w:t>
      </w:r>
      <w:proofErr w:type="spellStart"/>
      <w:r>
        <w:rPr>
          <w:rFonts w:cs="Times New Roman"/>
          <w:i/>
          <w:szCs w:val="20"/>
          <w:shd w:val="clear" w:color="auto" w:fill="FFFFFF"/>
        </w:rPr>
        <w:t>Esberger</w:t>
      </w:r>
      <w:proofErr w:type="spellEnd"/>
      <w:r>
        <w:rPr>
          <w:rFonts w:cs="Times New Roman"/>
          <w:i/>
          <w:szCs w:val="20"/>
          <w:shd w:val="clear" w:color="auto" w:fill="FFFFFF"/>
        </w:rPr>
        <w:t xml:space="preserve"> &amp; Son v Capital and Counties Bank</w:t>
      </w:r>
      <w:r w:rsidR="009E3516" w:rsidRPr="009E3516">
        <w:rPr>
          <w:rStyle w:val="FootnoteReference"/>
          <w:rFonts w:cs="Times New Roman"/>
          <w:szCs w:val="20"/>
          <w:shd w:val="clear" w:color="auto" w:fill="FFFFFF"/>
        </w:rPr>
        <w:footnoteReference w:id="63"/>
      </w:r>
      <w:r>
        <w:rPr>
          <w:rFonts w:cs="Times New Roman"/>
          <w:szCs w:val="20"/>
          <w:shd w:val="clear" w:color="auto" w:fill="FFFFFF"/>
        </w:rPr>
        <w:t xml:space="preserve"> a company deposited title deeds to its land together with a signed and sealed, though undated, memorandum of a charge which was to secure certain future advances made by the bank. A series of advances were made by the bank under the arrangement. Some nine months after the deposit, a manager in the bank filled in that day’s date into the memorandum and then proceeded to send details of the charge to the Registrar. In the High Court, </w:t>
      </w:r>
      <w:proofErr w:type="spellStart"/>
      <w:r>
        <w:rPr>
          <w:rFonts w:cs="Times New Roman"/>
          <w:szCs w:val="20"/>
          <w:shd w:val="clear" w:color="auto" w:fill="FFFFFF"/>
        </w:rPr>
        <w:t>Sargant</w:t>
      </w:r>
      <w:proofErr w:type="spellEnd"/>
      <w:r>
        <w:rPr>
          <w:rFonts w:cs="Times New Roman"/>
          <w:szCs w:val="20"/>
          <w:shd w:val="clear" w:color="auto" w:fill="FFFFFF"/>
        </w:rPr>
        <w:t xml:space="preserve"> J. held that the charge had been created at the date on which the first advance had been made and that it was void for want of registration within 21 days of that date. </w:t>
      </w:r>
      <w:r w:rsidR="009E3516">
        <w:rPr>
          <w:rFonts w:cs="Times New Roman"/>
          <w:szCs w:val="20"/>
          <w:shd w:val="clear" w:color="auto" w:fill="FFFFFF"/>
        </w:rPr>
        <w:t xml:space="preserve">The court did not offer any reason for ignoring the certificate of registration; indeed it would appear that the certificate point was not argued between the parties at the hearing and </w:t>
      </w:r>
      <w:proofErr w:type="spellStart"/>
      <w:r w:rsidR="009E3516">
        <w:rPr>
          <w:rFonts w:cs="Times New Roman"/>
          <w:i/>
          <w:szCs w:val="20"/>
          <w:shd w:val="clear" w:color="auto" w:fill="FFFFFF"/>
        </w:rPr>
        <w:t>Yolland</w:t>
      </w:r>
      <w:proofErr w:type="spellEnd"/>
      <w:r w:rsidR="009E3516">
        <w:rPr>
          <w:rFonts w:cs="Times New Roman"/>
          <w:i/>
          <w:szCs w:val="20"/>
          <w:shd w:val="clear" w:color="auto" w:fill="FFFFFF"/>
        </w:rPr>
        <w:t xml:space="preserve"> </w:t>
      </w:r>
      <w:r w:rsidR="009E3516">
        <w:rPr>
          <w:rFonts w:cs="Times New Roman"/>
          <w:szCs w:val="20"/>
          <w:shd w:val="clear" w:color="auto" w:fill="FFFFFF"/>
        </w:rPr>
        <w:t xml:space="preserve">was not cited in argument. Similarly in </w:t>
      </w:r>
      <w:r w:rsidR="009E3516">
        <w:rPr>
          <w:rFonts w:cs="Times New Roman"/>
          <w:i/>
          <w:szCs w:val="20"/>
          <w:shd w:val="clear" w:color="auto" w:fill="FFFFFF"/>
        </w:rPr>
        <w:t xml:space="preserve">Re: N </w:t>
      </w:r>
      <w:proofErr w:type="spellStart"/>
      <w:r w:rsidR="009E3516">
        <w:rPr>
          <w:rFonts w:cs="Times New Roman"/>
          <w:i/>
          <w:szCs w:val="20"/>
          <w:shd w:val="clear" w:color="auto" w:fill="FFFFFF"/>
        </w:rPr>
        <w:t>Defries</w:t>
      </w:r>
      <w:proofErr w:type="spellEnd"/>
      <w:r w:rsidR="009E3516">
        <w:rPr>
          <w:rFonts w:cs="Times New Roman"/>
          <w:i/>
          <w:szCs w:val="20"/>
          <w:shd w:val="clear" w:color="auto" w:fill="FFFFFF"/>
        </w:rPr>
        <w:t xml:space="preserve"> &amp; Co</w:t>
      </w:r>
      <w:r w:rsidR="009E3516" w:rsidRPr="009E3516">
        <w:rPr>
          <w:rStyle w:val="FootnoteReference"/>
          <w:rFonts w:cs="Times New Roman"/>
          <w:szCs w:val="20"/>
          <w:shd w:val="clear" w:color="auto" w:fill="FFFFFF"/>
        </w:rPr>
        <w:footnoteReference w:id="64"/>
      </w:r>
      <w:r w:rsidR="009E3516">
        <w:rPr>
          <w:rFonts w:cs="Times New Roman"/>
          <w:szCs w:val="20"/>
          <w:shd w:val="clear" w:color="auto" w:fill="FFFFFF"/>
        </w:rPr>
        <w:t xml:space="preserve"> Buckley J. </w:t>
      </w:r>
      <w:r w:rsidR="006C272C">
        <w:rPr>
          <w:rFonts w:cs="Times New Roman"/>
          <w:szCs w:val="20"/>
          <w:shd w:val="clear" w:color="auto" w:fill="FFFFFF"/>
        </w:rPr>
        <w:t xml:space="preserve">examined considered whether, as a matter of fact, the charge in question had been registered within time despite </w:t>
      </w:r>
      <w:r w:rsidR="009E3516">
        <w:rPr>
          <w:rFonts w:cs="Times New Roman"/>
          <w:szCs w:val="20"/>
          <w:shd w:val="clear" w:color="auto" w:fill="FFFFFF"/>
        </w:rPr>
        <w:t xml:space="preserve">the </w:t>
      </w:r>
      <w:r w:rsidR="006C272C">
        <w:rPr>
          <w:rFonts w:cs="Times New Roman"/>
          <w:szCs w:val="20"/>
          <w:shd w:val="clear" w:color="auto" w:fill="FFFFFF"/>
        </w:rPr>
        <w:t xml:space="preserve">presence a </w:t>
      </w:r>
      <w:r w:rsidR="009E3516">
        <w:rPr>
          <w:rFonts w:cs="Times New Roman"/>
          <w:szCs w:val="20"/>
          <w:shd w:val="clear" w:color="auto" w:fill="FFFFFF"/>
        </w:rPr>
        <w:t xml:space="preserve">certificate of </w:t>
      </w:r>
      <w:r w:rsidR="006C272C">
        <w:rPr>
          <w:rFonts w:cs="Times New Roman"/>
          <w:szCs w:val="20"/>
          <w:shd w:val="clear" w:color="auto" w:fill="FFFFFF"/>
        </w:rPr>
        <w:t>registration</w:t>
      </w:r>
      <w:r w:rsidR="009E3516">
        <w:rPr>
          <w:rFonts w:cs="Times New Roman"/>
          <w:szCs w:val="20"/>
          <w:shd w:val="clear" w:color="auto" w:fill="FFFFFF"/>
        </w:rPr>
        <w:t>.</w:t>
      </w:r>
      <w:r w:rsidR="006C272C">
        <w:rPr>
          <w:rFonts w:cs="Times New Roman"/>
          <w:szCs w:val="20"/>
          <w:shd w:val="clear" w:color="auto" w:fill="FFFFFF"/>
        </w:rPr>
        <w:t xml:space="preserve"> </w:t>
      </w:r>
      <w:r w:rsidR="006C272C">
        <w:rPr>
          <w:rFonts w:cs="Times New Roman"/>
          <w:i/>
          <w:szCs w:val="20"/>
          <w:shd w:val="clear" w:color="auto" w:fill="FFFFFF"/>
        </w:rPr>
        <w:t xml:space="preserve"> </w:t>
      </w:r>
      <w:proofErr w:type="spellStart"/>
      <w:r w:rsidR="006C272C">
        <w:rPr>
          <w:rFonts w:cs="Times New Roman"/>
          <w:i/>
          <w:szCs w:val="20"/>
          <w:shd w:val="clear" w:color="auto" w:fill="FFFFFF"/>
        </w:rPr>
        <w:t>Defries</w:t>
      </w:r>
      <w:proofErr w:type="spellEnd"/>
      <w:r w:rsidR="006C272C">
        <w:rPr>
          <w:rFonts w:cs="Times New Roman"/>
          <w:i/>
          <w:szCs w:val="20"/>
          <w:shd w:val="clear" w:color="auto" w:fill="FFFFFF"/>
        </w:rPr>
        <w:t xml:space="preserve"> </w:t>
      </w:r>
      <w:r w:rsidR="006C272C">
        <w:rPr>
          <w:rFonts w:cs="Times New Roman"/>
          <w:szCs w:val="20"/>
          <w:shd w:val="clear" w:color="auto" w:fill="FFFFFF"/>
        </w:rPr>
        <w:t xml:space="preserve">was not cited before the Court of Appeal in </w:t>
      </w:r>
      <w:proofErr w:type="spellStart"/>
      <w:r w:rsidR="006C272C">
        <w:rPr>
          <w:rFonts w:cs="Times New Roman"/>
          <w:i/>
          <w:szCs w:val="20"/>
          <w:shd w:val="clear" w:color="auto" w:fill="FFFFFF"/>
        </w:rPr>
        <w:t>Yolland</w:t>
      </w:r>
      <w:proofErr w:type="spellEnd"/>
      <w:r w:rsidR="006C272C">
        <w:rPr>
          <w:rFonts w:cs="Times New Roman"/>
          <w:i/>
          <w:szCs w:val="20"/>
          <w:shd w:val="clear" w:color="auto" w:fill="FFFFFF"/>
        </w:rPr>
        <w:t xml:space="preserve">. </w:t>
      </w:r>
      <w:r w:rsidR="009E3516">
        <w:rPr>
          <w:rFonts w:cs="Times New Roman"/>
          <w:szCs w:val="20"/>
          <w:shd w:val="clear" w:color="auto" w:fill="FFFFFF"/>
        </w:rPr>
        <w:t xml:space="preserve"> </w:t>
      </w:r>
      <w:r w:rsidR="009E3516">
        <w:rPr>
          <w:rFonts w:cs="Times New Roman"/>
          <w:i/>
          <w:szCs w:val="20"/>
          <w:shd w:val="clear" w:color="auto" w:fill="FFFFFF"/>
        </w:rPr>
        <w:t xml:space="preserve"> </w:t>
      </w:r>
    </w:p>
    <w:p w:rsidR="00DF188E" w:rsidRDefault="0092332A" w:rsidP="00877C75">
      <w:pPr>
        <w:jc w:val="both"/>
        <w:rPr>
          <w:rFonts w:cs="Times New Roman"/>
          <w:szCs w:val="20"/>
          <w:shd w:val="clear" w:color="auto" w:fill="FFFFFF"/>
        </w:rPr>
      </w:pPr>
      <w:r>
        <w:rPr>
          <w:rFonts w:cs="Times New Roman"/>
          <w:szCs w:val="20"/>
          <w:shd w:val="clear" w:color="auto" w:fill="FFFFFF"/>
        </w:rPr>
        <w:t xml:space="preserve">A re-interpretation of section 104 has the further advantage that </w:t>
      </w:r>
      <w:r w:rsidR="00757FD1">
        <w:rPr>
          <w:rFonts w:cs="Times New Roman"/>
          <w:szCs w:val="20"/>
          <w:shd w:val="clear" w:color="auto" w:fill="FFFFFF"/>
        </w:rPr>
        <w:t>provides a more harmonious fit between section 104 and section 106</w:t>
      </w:r>
      <w:r w:rsidR="00A21744">
        <w:rPr>
          <w:rFonts w:cs="Times New Roman"/>
          <w:szCs w:val="20"/>
          <w:shd w:val="clear" w:color="auto" w:fill="FFFFFF"/>
        </w:rPr>
        <w:t xml:space="preserve">. At present, the rectification mechanism provided for by section 106 is virtually redundant since in all cases once a </w:t>
      </w:r>
      <w:r w:rsidR="000C2984">
        <w:rPr>
          <w:rFonts w:cs="Times New Roman"/>
          <w:szCs w:val="20"/>
          <w:shd w:val="clear" w:color="auto" w:fill="FFFFFF"/>
        </w:rPr>
        <w:t>certificate of registration has been issued there</w:t>
      </w:r>
      <w:r w:rsidR="00DF188E">
        <w:rPr>
          <w:rFonts w:cs="Times New Roman"/>
          <w:szCs w:val="20"/>
          <w:shd w:val="clear" w:color="auto" w:fill="FFFFFF"/>
        </w:rPr>
        <w:t xml:space="preserve"> </w:t>
      </w:r>
      <w:r w:rsidR="000C2984">
        <w:rPr>
          <w:rFonts w:cs="Times New Roman"/>
          <w:szCs w:val="20"/>
          <w:shd w:val="clear" w:color="auto" w:fill="FFFFFF"/>
        </w:rPr>
        <w:t>can be no question but that the charge is valid no matter what errors may appear on the register. Under the re-interpretation contended for in this article, section 106 would have an important role to play in the registration of company charges. It would provide a mechanism for the correction of errors. At the same time it would allow for the protection the reasonable expectations of those who rely, in good faith on the accuracy of the register through the court’s jurisdiction to impose conditions on an order for rectification.</w:t>
      </w:r>
    </w:p>
    <w:p w:rsidR="007F5568" w:rsidRPr="007F5568" w:rsidRDefault="007F5568" w:rsidP="00877C75">
      <w:pPr>
        <w:jc w:val="both"/>
        <w:rPr>
          <w:rFonts w:cs="Times New Roman"/>
          <w:szCs w:val="20"/>
          <w:shd w:val="clear" w:color="auto" w:fill="FFFFFF"/>
        </w:rPr>
      </w:pPr>
      <w:r>
        <w:rPr>
          <w:rFonts w:cs="Times New Roman"/>
          <w:szCs w:val="20"/>
          <w:shd w:val="clear" w:color="auto" w:fill="FFFFFF"/>
        </w:rPr>
        <w:lastRenderedPageBreak/>
        <w:t xml:space="preserve">While a fresh interpretation of section 104 would have several advantages, it is important to note there are limits to what a judicial rethink of the legislative framework can achieve. The certificate would continue to have conclusive effects as regards the actions of the registrar, with the result that in fact patterns such </w:t>
      </w:r>
      <w:r>
        <w:rPr>
          <w:rFonts w:cs="Times New Roman"/>
          <w:i/>
          <w:szCs w:val="20"/>
          <w:shd w:val="clear" w:color="auto" w:fill="FFFFFF"/>
        </w:rPr>
        <w:t xml:space="preserve">Exeter Trust </w:t>
      </w:r>
      <w:r>
        <w:rPr>
          <w:rFonts w:cs="Times New Roman"/>
          <w:szCs w:val="20"/>
          <w:shd w:val="clear" w:color="auto" w:fill="FFFFFF"/>
        </w:rPr>
        <w:t>and</w:t>
      </w:r>
      <w:r>
        <w:rPr>
          <w:rFonts w:cs="Times New Roman"/>
          <w:i/>
          <w:szCs w:val="20"/>
          <w:shd w:val="clear" w:color="auto" w:fill="FFFFFF"/>
        </w:rPr>
        <w:t xml:space="preserve"> Top Marques </w:t>
      </w:r>
      <w:r>
        <w:rPr>
          <w:rFonts w:cs="Times New Roman"/>
          <w:szCs w:val="20"/>
          <w:shd w:val="clear" w:color="auto" w:fill="FFFFFF"/>
        </w:rPr>
        <w:t xml:space="preserve">it would </w:t>
      </w:r>
      <w:r w:rsidR="00251C4B">
        <w:rPr>
          <w:rFonts w:cs="Times New Roman"/>
          <w:szCs w:val="20"/>
          <w:shd w:val="clear" w:color="auto" w:fill="FFFFFF"/>
        </w:rPr>
        <w:t xml:space="preserve">probably </w:t>
      </w:r>
      <w:r>
        <w:rPr>
          <w:rFonts w:cs="Times New Roman"/>
          <w:szCs w:val="20"/>
          <w:shd w:val="clear" w:color="auto" w:fill="FFFFFF"/>
        </w:rPr>
        <w:t xml:space="preserve">continue to be beyond the reach of the courts </w:t>
      </w:r>
      <w:r w:rsidR="00251C4B">
        <w:rPr>
          <w:rFonts w:cs="Times New Roman"/>
          <w:szCs w:val="20"/>
          <w:shd w:val="clear" w:color="auto" w:fill="FFFFFF"/>
        </w:rPr>
        <w:t xml:space="preserve">to conclude that the charge had been properly registered. Similarly, it would appear that re-interpretation would not open the possibility of applications for a judicial review of the Registrar’s decision making since the certificate would continue to act as conclusive evidence that the Registrar had discharged his function correctly. </w:t>
      </w:r>
    </w:p>
    <w:p w:rsidR="005A1917" w:rsidRDefault="007F5568" w:rsidP="009D62BD">
      <w:pPr>
        <w:jc w:val="both"/>
        <w:rPr>
          <w:rFonts w:cs="Times New Roman"/>
          <w:szCs w:val="20"/>
          <w:shd w:val="clear" w:color="auto" w:fill="FFFFFF"/>
        </w:rPr>
      </w:pPr>
      <w:r>
        <w:rPr>
          <w:rFonts w:cs="Times New Roman"/>
          <w:szCs w:val="20"/>
          <w:shd w:val="clear" w:color="auto" w:fill="FFFFFF"/>
        </w:rPr>
        <w:t xml:space="preserve">Two </w:t>
      </w:r>
      <w:r w:rsidR="009D62BD">
        <w:rPr>
          <w:rFonts w:cs="Times New Roman"/>
          <w:szCs w:val="20"/>
          <w:shd w:val="clear" w:color="auto" w:fill="FFFFFF"/>
        </w:rPr>
        <w:t>objections can be mounted to this interpretation of section 104</w:t>
      </w:r>
      <w:r w:rsidR="005A1917">
        <w:rPr>
          <w:rFonts w:cs="Times New Roman"/>
          <w:szCs w:val="20"/>
          <w:shd w:val="clear" w:color="auto" w:fill="FFFFFF"/>
        </w:rPr>
        <w:t xml:space="preserve">. One is based on the decision in </w:t>
      </w:r>
      <w:proofErr w:type="spellStart"/>
      <w:r w:rsidR="005A1917">
        <w:rPr>
          <w:rFonts w:cs="Times New Roman"/>
          <w:i/>
          <w:szCs w:val="20"/>
          <w:shd w:val="clear" w:color="auto" w:fill="FFFFFF"/>
        </w:rPr>
        <w:t>Yolland</w:t>
      </w:r>
      <w:proofErr w:type="spellEnd"/>
      <w:r w:rsidR="005A1917">
        <w:rPr>
          <w:rFonts w:cs="Times New Roman"/>
          <w:i/>
          <w:szCs w:val="20"/>
          <w:shd w:val="clear" w:color="auto" w:fill="FFFFFF"/>
        </w:rPr>
        <w:t xml:space="preserve"> </w:t>
      </w:r>
      <w:r w:rsidR="005A1917">
        <w:rPr>
          <w:rFonts w:cs="Times New Roman"/>
          <w:szCs w:val="20"/>
          <w:shd w:val="clear" w:color="auto" w:fill="FFFFFF"/>
        </w:rPr>
        <w:t>and the many cases which have followed it. The second is based on pragmatic considerations of policy</w:t>
      </w:r>
      <w:r w:rsidR="009D62BD">
        <w:rPr>
          <w:rFonts w:cs="Times New Roman"/>
          <w:szCs w:val="20"/>
          <w:shd w:val="clear" w:color="auto" w:fill="FFFFFF"/>
        </w:rPr>
        <w:t xml:space="preserve">. </w:t>
      </w:r>
    </w:p>
    <w:p w:rsidR="009D62BD" w:rsidRDefault="005A1917" w:rsidP="009D62BD">
      <w:pPr>
        <w:jc w:val="both"/>
        <w:rPr>
          <w:rFonts w:cs="Times New Roman"/>
          <w:szCs w:val="20"/>
          <w:shd w:val="clear" w:color="auto" w:fill="FFFFFF"/>
        </w:rPr>
      </w:pPr>
      <w:r>
        <w:rPr>
          <w:rFonts w:cs="Times New Roman"/>
          <w:szCs w:val="20"/>
          <w:shd w:val="clear" w:color="auto" w:fill="FFFFFF"/>
        </w:rPr>
        <w:t>I</w:t>
      </w:r>
      <w:r w:rsidR="009D62BD">
        <w:rPr>
          <w:rFonts w:cs="Times New Roman"/>
          <w:szCs w:val="20"/>
          <w:shd w:val="clear" w:color="auto" w:fill="FFFFFF"/>
        </w:rPr>
        <w:t xml:space="preserve">n </w:t>
      </w:r>
      <w:proofErr w:type="spellStart"/>
      <w:r w:rsidR="009D62BD">
        <w:rPr>
          <w:rFonts w:cs="Times New Roman"/>
          <w:i/>
          <w:szCs w:val="20"/>
          <w:shd w:val="clear" w:color="auto" w:fill="FFFFFF"/>
        </w:rPr>
        <w:t>Yolland</w:t>
      </w:r>
      <w:proofErr w:type="spellEnd"/>
      <w:r w:rsidR="009D62BD">
        <w:rPr>
          <w:rFonts w:cs="Times New Roman"/>
          <w:szCs w:val="20"/>
          <w:shd w:val="clear" w:color="auto" w:fill="FFFFFF"/>
        </w:rPr>
        <w:t xml:space="preserve"> the Court of Appeal recognised that registration of a charge involves two steps, one of delivery and one of registration. It also recognised that the different parties to the process have different duties but said of the certificate:</w:t>
      </w:r>
    </w:p>
    <w:p w:rsidR="009D62BD" w:rsidRDefault="009D62BD" w:rsidP="009D62BD">
      <w:pPr>
        <w:ind w:left="720" w:right="391"/>
        <w:jc w:val="both"/>
        <w:rPr>
          <w:rStyle w:val="apple-converted-space"/>
          <w:rFonts w:cs="Times New Roman"/>
          <w:color w:val="000000"/>
          <w:sz w:val="20"/>
          <w:szCs w:val="20"/>
          <w:shd w:val="clear" w:color="auto" w:fill="FFFFFF"/>
        </w:rPr>
      </w:pPr>
      <w:r w:rsidRPr="009D62BD">
        <w:rPr>
          <w:rFonts w:cs="Times New Roman"/>
          <w:color w:val="000000"/>
          <w:sz w:val="20"/>
          <w:szCs w:val="20"/>
          <w:shd w:val="clear" w:color="auto" w:fill="FFFFFF"/>
        </w:rPr>
        <w:t>“[It] means not merely that he has done his mechanical duties, but that that has been done which is required to be done by any person upon whom a duty is imposed by this Act in order to get the benefit of the security, including the company itself.”</w:t>
      </w:r>
      <w:r w:rsidRPr="009D62BD">
        <w:rPr>
          <w:rStyle w:val="FootnoteReference"/>
          <w:rFonts w:cs="Times New Roman"/>
          <w:color w:val="000000"/>
          <w:sz w:val="20"/>
          <w:szCs w:val="20"/>
          <w:shd w:val="clear" w:color="auto" w:fill="FFFFFF"/>
        </w:rPr>
        <w:footnoteReference w:id="65"/>
      </w:r>
      <w:r w:rsidRPr="009D62BD">
        <w:rPr>
          <w:rStyle w:val="apple-converted-space"/>
          <w:rFonts w:cs="Times New Roman"/>
          <w:color w:val="000000"/>
          <w:sz w:val="20"/>
          <w:szCs w:val="20"/>
          <w:shd w:val="clear" w:color="auto" w:fill="FFFFFF"/>
        </w:rPr>
        <w:t> </w:t>
      </w:r>
    </w:p>
    <w:p w:rsidR="009D62BD" w:rsidRDefault="006B08E1" w:rsidP="009D62BD">
      <w:pPr>
        <w:jc w:val="both"/>
        <w:rPr>
          <w:rFonts w:cs="Times New Roman"/>
          <w:szCs w:val="20"/>
        </w:rPr>
      </w:pPr>
      <w:r>
        <w:rPr>
          <w:rFonts w:cs="Times New Roman"/>
          <w:szCs w:val="20"/>
        </w:rPr>
        <w:t xml:space="preserve">The difficulty with this statement is two-fold. First, Cozens-Hardy MR provides no textual basis in the statute itself for his assertion that the certificate is intended to provide evidence that persons other the Registrar have done their duty under the Act. Second, the statement must be regarded as an </w:t>
      </w:r>
      <w:r>
        <w:rPr>
          <w:rFonts w:cs="Times New Roman"/>
          <w:i/>
          <w:szCs w:val="20"/>
        </w:rPr>
        <w:t>obiter dictum</w:t>
      </w:r>
      <w:r>
        <w:rPr>
          <w:rFonts w:cs="Times New Roman"/>
          <w:szCs w:val="20"/>
        </w:rPr>
        <w:t xml:space="preserve">, because what was being decided in that case was whether the Registrar’s decision to register a series of debentures under a single entry was correct or not. In other words the court was being asked to consider whether the Registrar had performed his duty or not. The question of whether the company had fulfilled its duty by sending (or “filing” to use the language of section 14(6) of the Companies Act 1900 as it then stood) the prescribed particulars to the Registrar was not before the court. </w:t>
      </w:r>
    </w:p>
    <w:p w:rsidR="000F357E" w:rsidRDefault="006B08E1" w:rsidP="009D62BD">
      <w:pPr>
        <w:jc w:val="both"/>
        <w:rPr>
          <w:rFonts w:cs="Times New Roman"/>
          <w:szCs w:val="20"/>
        </w:rPr>
      </w:pPr>
      <w:r>
        <w:rPr>
          <w:rFonts w:cs="Times New Roman"/>
          <w:szCs w:val="20"/>
        </w:rPr>
        <w:t xml:space="preserve">The </w:t>
      </w:r>
      <w:r w:rsidR="005A1917">
        <w:rPr>
          <w:rFonts w:cs="Times New Roman"/>
          <w:szCs w:val="20"/>
        </w:rPr>
        <w:t xml:space="preserve">policy objection </w:t>
      </w:r>
      <w:r w:rsidR="0083116C">
        <w:rPr>
          <w:rFonts w:cs="Times New Roman"/>
          <w:szCs w:val="20"/>
        </w:rPr>
        <w:t xml:space="preserve">to the above is that if </w:t>
      </w:r>
      <w:r w:rsidR="005A1917">
        <w:rPr>
          <w:rFonts w:cs="Times New Roman"/>
          <w:szCs w:val="20"/>
        </w:rPr>
        <w:t xml:space="preserve">the certificate of registration is not conclusive evidence that a charge has been properly registered, then all company charges are at risk of being challenged by liquidators and creditors of companies. For </w:t>
      </w:r>
      <w:proofErr w:type="spellStart"/>
      <w:r w:rsidR="005A1917">
        <w:rPr>
          <w:rFonts w:cs="Times New Roman"/>
          <w:szCs w:val="20"/>
        </w:rPr>
        <w:t>chargees</w:t>
      </w:r>
      <w:proofErr w:type="spellEnd"/>
      <w:r w:rsidR="0083116C">
        <w:rPr>
          <w:rFonts w:cs="Times New Roman"/>
          <w:szCs w:val="20"/>
        </w:rPr>
        <w:t xml:space="preserve"> it might be claimed</w:t>
      </w:r>
      <w:r w:rsidR="005A1917">
        <w:rPr>
          <w:rFonts w:cs="Times New Roman"/>
          <w:szCs w:val="20"/>
        </w:rPr>
        <w:t xml:space="preserve">, this would be, as Cozens-Hardy MR put it in </w:t>
      </w:r>
      <w:proofErr w:type="spellStart"/>
      <w:r w:rsidR="005A1917">
        <w:rPr>
          <w:rFonts w:cs="Times New Roman"/>
          <w:i/>
          <w:szCs w:val="20"/>
        </w:rPr>
        <w:t>Yolland</w:t>
      </w:r>
      <w:proofErr w:type="spellEnd"/>
      <w:r w:rsidR="005A1917">
        <w:rPr>
          <w:rFonts w:cs="Times New Roman"/>
          <w:szCs w:val="20"/>
        </w:rPr>
        <w:t xml:space="preserve">, “an unendurable </w:t>
      </w:r>
      <w:r w:rsidR="00661700">
        <w:rPr>
          <w:rFonts w:cs="Times New Roman"/>
          <w:szCs w:val="20"/>
        </w:rPr>
        <w:t xml:space="preserve">state </w:t>
      </w:r>
      <w:r w:rsidR="005A1917">
        <w:rPr>
          <w:rFonts w:cs="Times New Roman"/>
          <w:szCs w:val="20"/>
        </w:rPr>
        <w:t>of things”</w:t>
      </w:r>
      <w:r w:rsidR="005A1917">
        <w:rPr>
          <w:rStyle w:val="FootnoteReference"/>
          <w:rFonts w:cs="Times New Roman"/>
          <w:szCs w:val="20"/>
        </w:rPr>
        <w:footnoteReference w:id="66"/>
      </w:r>
      <w:r w:rsidR="005A1917">
        <w:rPr>
          <w:rFonts w:cs="Times New Roman"/>
          <w:szCs w:val="20"/>
        </w:rPr>
        <w:t xml:space="preserve"> and the spectre </w:t>
      </w:r>
      <w:r w:rsidR="0083116C">
        <w:rPr>
          <w:rFonts w:cs="Times New Roman"/>
          <w:szCs w:val="20"/>
        </w:rPr>
        <w:t xml:space="preserve">would be raised </w:t>
      </w:r>
      <w:r w:rsidR="005A1917">
        <w:rPr>
          <w:rFonts w:cs="Times New Roman"/>
          <w:szCs w:val="20"/>
        </w:rPr>
        <w:t xml:space="preserve">of the company charge register </w:t>
      </w:r>
      <w:r w:rsidR="0083116C">
        <w:rPr>
          <w:rFonts w:cs="Times New Roman"/>
          <w:szCs w:val="20"/>
        </w:rPr>
        <w:t xml:space="preserve">attracting </w:t>
      </w:r>
      <w:r w:rsidR="005A1917">
        <w:rPr>
          <w:rFonts w:cs="Times New Roman"/>
          <w:szCs w:val="20"/>
        </w:rPr>
        <w:t xml:space="preserve">the same </w:t>
      </w:r>
      <w:r w:rsidR="0083116C">
        <w:rPr>
          <w:rFonts w:cs="Times New Roman"/>
          <w:szCs w:val="20"/>
        </w:rPr>
        <w:t xml:space="preserve">sort </w:t>
      </w:r>
      <w:r w:rsidR="005A1917">
        <w:rPr>
          <w:rFonts w:cs="Times New Roman"/>
          <w:szCs w:val="20"/>
        </w:rPr>
        <w:t>of interminabl</w:t>
      </w:r>
      <w:r w:rsidR="00757FD1">
        <w:rPr>
          <w:rFonts w:cs="Times New Roman"/>
          <w:szCs w:val="20"/>
        </w:rPr>
        <w:t>e</w:t>
      </w:r>
      <w:r w:rsidR="005A1917">
        <w:rPr>
          <w:rFonts w:cs="Times New Roman"/>
          <w:szCs w:val="20"/>
        </w:rPr>
        <w:t xml:space="preserve"> litigation </w:t>
      </w:r>
      <w:r w:rsidR="00757FD1">
        <w:rPr>
          <w:rFonts w:cs="Times New Roman"/>
          <w:szCs w:val="20"/>
        </w:rPr>
        <w:t xml:space="preserve">over </w:t>
      </w:r>
      <w:r w:rsidR="005A1917">
        <w:rPr>
          <w:rFonts w:cs="Times New Roman"/>
          <w:szCs w:val="20"/>
        </w:rPr>
        <w:t xml:space="preserve">the technical requirements of registration </w:t>
      </w:r>
      <w:r w:rsidR="0083116C">
        <w:rPr>
          <w:rFonts w:cs="Times New Roman"/>
          <w:szCs w:val="20"/>
        </w:rPr>
        <w:t xml:space="preserve">as </w:t>
      </w:r>
      <w:r w:rsidR="005A1917">
        <w:rPr>
          <w:rFonts w:cs="Times New Roman"/>
          <w:szCs w:val="20"/>
        </w:rPr>
        <w:t>has made the registration system for the bills of sale commercially unworkable.</w:t>
      </w:r>
      <w:r w:rsidR="005A1917">
        <w:rPr>
          <w:rStyle w:val="FootnoteReference"/>
          <w:rFonts w:cs="Times New Roman"/>
          <w:szCs w:val="20"/>
        </w:rPr>
        <w:footnoteReference w:id="67"/>
      </w:r>
      <w:r w:rsidR="000F357E">
        <w:rPr>
          <w:rFonts w:cs="Times New Roman"/>
          <w:szCs w:val="20"/>
        </w:rPr>
        <w:t xml:space="preserve"> </w:t>
      </w:r>
    </w:p>
    <w:p w:rsidR="00292BE4" w:rsidRDefault="0092332A" w:rsidP="009D62BD">
      <w:pPr>
        <w:jc w:val="both"/>
        <w:rPr>
          <w:rFonts w:cs="Times New Roman"/>
          <w:szCs w:val="20"/>
        </w:rPr>
      </w:pPr>
      <w:r>
        <w:rPr>
          <w:rFonts w:cs="Times New Roman"/>
          <w:szCs w:val="20"/>
        </w:rPr>
        <w:lastRenderedPageBreak/>
        <w:t>The extent to which it is appropriate to have regard to detailed arguments about the desirability of a particular policy outcome when engaged in statutory interpretation is of course open to question. Leaving that qualification to one side however, s</w:t>
      </w:r>
      <w:r w:rsidR="000F357E">
        <w:rPr>
          <w:rFonts w:cs="Times New Roman"/>
          <w:szCs w:val="20"/>
        </w:rPr>
        <w:t xml:space="preserve">everal responses can be made to </w:t>
      </w:r>
      <w:r>
        <w:rPr>
          <w:rFonts w:cs="Times New Roman"/>
          <w:szCs w:val="20"/>
        </w:rPr>
        <w:t xml:space="preserve">the policy </w:t>
      </w:r>
      <w:r w:rsidR="000F357E">
        <w:rPr>
          <w:rFonts w:cs="Times New Roman"/>
          <w:szCs w:val="20"/>
        </w:rPr>
        <w:t xml:space="preserve">argument. First, had the legislature wished to extend the protection of the certificate to the delivery of particulars it would have been easy do to so by inserting the words “and delivery of particulars” after the word registration in section 104.  </w:t>
      </w:r>
    </w:p>
    <w:p w:rsidR="00292BE4" w:rsidRDefault="000F357E" w:rsidP="009D62BD">
      <w:pPr>
        <w:jc w:val="both"/>
        <w:rPr>
          <w:rFonts w:cs="Times New Roman"/>
          <w:szCs w:val="20"/>
        </w:rPr>
      </w:pPr>
      <w:r>
        <w:rPr>
          <w:rFonts w:cs="Times New Roman"/>
          <w:szCs w:val="20"/>
        </w:rPr>
        <w:t>Second, the requirements imposed on the company by sections 99 and 100 are nowhere near as complicated as those imposed on a</w:t>
      </w:r>
      <w:r w:rsidR="001A5232">
        <w:rPr>
          <w:rFonts w:cs="Times New Roman"/>
          <w:szCs w:val="20"/>
        </w:rPr>
        <w:t>n</w:t>
      </w:r>
      <w:r>
        <w:rPr>
          <w:rFonts w:cs="Times New Roman"/>
          <w:szCs w:val="20"/>
        </w:rPr>
        <w:t xml:space="preserve"> individual seeking to register a security bill of sale under the Bills of Sale (Ireland) Acts 1879-1883. To take but one example, </w:t>
      </w:r>
      <w:r w:rsidR="00292BE4">
        <w:rPr>
          <w:rFonts w:cs="Times New Roman"/>
          <w:szCs w:val="20"/>
        </w:rPr>
        <w:t>section 9 of Bills of Sale (Ireland) (1879) Amendment Act 1883 provides that every bill of sale must, as a condition of its validity’ be drafted “in accordance with” a sample bill which is set out in Schedule 1 to the Act. It is extremely difficult to define with a precision how far one can safely depart from the statutory form without infringing section 9.</w:t>
      </w:r>
      <w:r w:rsidR="00292BE4">
        <w:rPr>
          <w:rStyle w:val="FootnoteReference"/>
          <w:rFonts w:cs="Times New Roman"/>
          <w:szCs w:val="20"/>
        </w:rPr>
        <w:footnoteReference w:id="68"/>
      </w:r>
      <w:r w:rsidR="00292BE4">
        <w:rPr>
          <w:rFonts w:cs="Times New Roman"/>
          <w:szCs w:val="20"/>
        </w:rPr>
        <w:t xml:space="preserve"> There is no equivalent requirement for a company charge.</w:t>
      </w:r>
    </w:p>
    <w:p w:rsidR="00251C4B" w:rsidRDefault="00292BE4" w:rsidP="009D62BD">
      <w:pPr>
        <w:jc w:val="both"/>
        <w:rPr>
          <w:rFonts w:cs="Times New Roman"/>
          <w:szCs w:val="20"/>
        </w:rPr>
      </w:pPr>
      <w:r>
        <w:rPr>
          <w:rFonts w:cs="Times New Roman"/>
          <w:szCs w:val="20"/>
        </w:rPr>
        <w:t xml:space="preserve">Third, the </w:t>
      </w:r>
      <w:r w:rsidR="0092332A">
        <w:rPr>
          <w:rFonts w:cs="Times New Roman"/>
          <w:szCs w:val="20"/>
        </w:rPr>
        <w:t xml:space="preserve">loss of certainty which would be suffered by </w:t>
      </w:r>
      <w:proofErr w:type="spellStart"/>
      <w:r w:rsidR="0092332A">
        <w:rPr>
          <w:rFonts w:cs="Times New Roman"/>
          <w:szCs w:val="20"/>
        </w:rPr>
        <w:t>chargees</w:t>
      </w:r>
      <w:proofErr w:type="spellEnd"/>
      <w:r w:rsidR="0092332A">
        <w:rPr>
          <w:rFonts w:cs="Times New Roman"/>
          <w:szCs w:val="20"/>
        </w:rPr>
        <w:t xml:space="preserve"> under a revised interpretation of section 104 would be offset by the increased certainty produced for those who rely on the information provided by the register in their day to day dealings. It might also be said that the degree of uncertainty faced by </w:t>
      </w:r>
      <w:proofErr w:type="spellStart"/>
      <w:r w:rsidR="0092332A">
        <w:rPr>
          <w:rFonts w:cs="Times New Roman"/>
          <w:szCs w:val="20"/>
        </w:rPr>
        <w:t>chargees</w:t>
      </w:r>
      <w:proofErr w:type="spellEnd"/>
      <w:r w:rsidR="0092332A">
        <w:rPr>
          <w:rFonts w:cs="Times New Roman"/>
          <w:szCs w:val="20"/>
        </w:rPr>
        <w:t xml:space="preserve"> can be reduced by taking due care to ensure that particulars delivered to the Registrar are fully accurate. </w:t>
      </w:r>
      <w:r w:rsidR="00757FD1">
        <w:rPr>
          <w:rFonts w:cs="Times New Roman"/>
          <w:szCs w:val="20"/>
        </w:rPr>
        <w:t xml:space="preserve">On this view, a chargee who </w:t>
      </w:r>
      <w:r w:rsidR="0083116C">
        <w:rPr>
          <w:rFonts w:cs="Times New Roman"/>
          <w:szCs w:val="20"/>
        </w:rPr>
        <w:t>loses</w:t>
      </w:r>
      <w:r w:rsidR="00757FD1">
        <w:rPr>
          <w:rFonts w:cs="Times New Roman"/>
          <w:szCs w:val="20"/>
        </w:rPr>
        <w:t xml:space="preserve"> their security as a result of an error in registration is the author of </w:t>
      </w:r>
      <w:r w:rsidR="00E03C10">
        <w:rPr>
          <w:rFonts w:cs="Times New Roman"/>
          <w:szCs w:val="20"/>
        </w:rPr>
        <w:t xml:space="preserve">his </w:t>
      </w:r>
      <w:r w:rsidR="00757FD1">
        <w:rPr>
          <w:rFonts w:cs="Times New Roman"/>
          <w:szCs w:val="20"/>
        </w:rPr>
        <w:t xml:space="preserve">own misfortune and has only </w:t>
      </w:r>
      <w:r w:rsidR="00E03C10">
        <w:rPr>
          <w:rFonts w:cs="Times New Roman"/>
          <w:szCs w:val="20"/>
        </w:rPr>
        <w:t xml:space="preserve">himself </w:t>
      </w:r>
      <w:r w:rsidR="00757FD1">
        <w:rPr>
          <w:rFonts w:cs="Times New Roman"/>
          <w:szCs w:val="20"/>
        </w:rPr>
        <w:t xml:space="preserve">(or </w:t>
      </w:r>
      <w:r w:rsidR="00E03C10">
        <w:rPr>
          <w:rFonts w:cs="Times New Roman"/>
          <w:szCs w:val="20"/>
        </w:rPr>
        <w:t xml:space="preserve">his </w:t>
      </w:r>
      <w:r w:rsidR="00757FD1">
        <w:rPr>
          <w:rFonts w:cs="Times New Roman"/>
          <w:szCs w:val="20"/>
        </w:rPr>
        <w:t>legal advisor) to blame. It is certainly easier for a chargee to ensure that the particulars are accurate when presented to the Registrar than it is for a member of the public to verify whether the information contained on the company charge register is correct. Since the avowed purpose of the company charge registration system is to provide information to the public it is difficult to argue in favour of an interpretation of section 104 which undermines the accuracy of that information. Finally, as noted above, in the event that an error in the registered particulars is discovered, section 106 provides a mechanism whereby a chargee can seek to rectify the difficulty</w:t>
      </w:r>
      <w:r w:rsidR="00251C4B">
        <w:rPr>
          <w:rFonts w:cs="Times New Roman"/>
          <w:szCs w:val="20"/>
        </w:rPr>
        <w:t xml:space="preserve"> by application to court, a relief not afforded to the holder of an unregistered bill of sale</w:t>
      </w:r>
      <w:r w:rsidR="00757FD1">
        <w:rPr>
          <w:rFonts w:cs="Times New Roman"/>
          <w:szCs w:val="20"/>
        </w:rPr>
        <w:t xml:space="preserve">. </w:t>
      </w:r>
    </w:p>
    <w:p w:rsidR="005325B6" w:rsidRDefault="005325B6" w:rsidP="00453C9B">
      <w:pPr>
        <w:pStyle w:val="ListParagraph"/>
        <w:numPr>
          <w:ilvl w:val="0"/>
          <w:numId w:val="12"/>
        </w:numPr>
        <w:jc w:val="both"/>
        <w:rPr>
          <w:rFonts w:cs="Times New Roman"/>
          <w:b/>
          <w:szCs w:val="20"/>
        </w:rPr>
      </w:pPr>
      <w:r>
        <w:rPr>
          <w:rFonts w:cs="Times New Roman"/>
          <w:b/>
          <w:szCs w:val="20"/>
        </w:rPr>
        <w:t>The Companies Consolidation and Reform Bill 2012</w:t>
      </w:r>
    </w:p>
    <w:p w:rsidR="00E03C10" w:rsidRDefault="00E03C10" w:rsidP="005325B6">
      <w:pPr>
        <w:jc w:val="both"/>
        <w:rPr>
          <w:rFonts w:cs="Times New Roman"/>
          <w:szCs w:val="20"/>
        </w:rPr>
      </w:pPr>
      <w:r>
        <w:rPr>
          <w:rFonts w:cs="Times New Roman"/>
          <w:szCs w:val="20"/>
        </w:rPr>
        <w:t>The previous sections have argued for a judicial reconsideration of the interpretation of section 104 of the Companies Act 1963</w:t>
      </w:r>
      <w:r w:rsidR="00EF2931">
        <w:rPr>
          <w:rFonts w:cs="Times New Roman"/>
          <w:szCs w:val="20"/>
        </w:rPr>
        <w:t xml:space="preserve">. The final section of this article will consider the impact of the proposed changes to the company charge registration system contained in the Companies Consolidation and Reform Bill 2012.  </w:t>
      </w:r>
      <w:r>
        <w:rPr>
          <w:rFonts w:cs="Times New Roman"/>
          <w:szCs w:val="20"/>
        </w:rPr>
        <w:t xml:space="preserve"> </w:t>
      </w:r>
    </w:p>
    <w:p w:rsidR="00F2511F" w:rsidRDefault="005325B6" w:rsidP="005325B6">
      <w:pPr>
        <w:jc w:val="both"/>
        <w:rPr>
          <w:rFonts w:cs="Times New Roman"/>
          <w:szCs w:val="20"/>
        </w:rPr>
      </w:pPr>
      <w:r>
        <w:rPr>
          <w:rFonts w:cs="Times New Roman"/>
          <w:szCs w:val="20"/>
        </w:rPr>
        <w:t xml:space="preserve">In its Second Report on the reform of Irish company law, the Company Law Review Group </w:t>
      </w:r>
      <w:r w:rsidR="00F2511F">
        <w:rPr>
          <w:rFonts w:cs="Times New Roman"/>
          <w:szCs w:val="20"/>
        </w:rPr>
        <w:t xml:space="preserve">(‘CLRG’) </w:t>
      </w:r>
      <w:r>
        <w:rPr>
          <w:rFonts w:cs="Times New Roman"/>
          <w:szCs w:val="20"/>
        </w:rPr>
        <w:t xml:space="preserve">considered the impact of section 104 on the charge registration system. </w:t>
      </w:r>
      <w:r w:rsidR="00F2511F">
        <w:rPr>
          <w:rFonts w:cs="Times New Roman"/>
          <w:szCs w:val="20"/>
        </w:rPr>
        <w:t>Focusing in particular on the existing requirement to describe the property subject to the charge, t</w:t>
      </w:r>
      <w:r>
        <w:rPr>
          <w:rFonts w:cs="Times New Roman"/>
          <w:szCs w:val="20"/>
        </w:rPr>
        <w:t xml:space="preserve">he </w:t>
      </w:r>
      <w:r w:rsidR="00F2511F">
        <w:rPr>
          <w:rFonts w:cs="Times New Roman"/>
          <w:szCs w:val="20"/>
        </w:rPr>
        <w:t xml:space="preserve">CLRG </w:t>
      </w:r>
      <w:r>
        <w:rPr>
          <w:rFonts w:cs="Times New Roman"/>
          <w:szCs w:val="20"/>
        </w:rPr>
        <w:t>acknowledged</w:t>
      </w:r>
      <w:r w:rsidR="00F2511F">
        <w:rPr>
          <w:rFonts w:cs="Times New Roman"/>
          <w:szCs w:val="20"/>
        </w:rPr>
        <w:t>,</w:t>
      </w:r>
      <w:r>
        <w:rPr>
          <w:rFonts w:cs="Times New Roman"/>
          <w:szCs w:val="20"/>
        </w:rPr>
        <w:t xml:space="preserve"> under the present law, “it is quite possible that … Certificates of </w:t>
      </w:r>
      <w:proofErr w:type="gramStart"/>
      <w:r>
        <w:rPr>
          <w:rFonts w:cs="Times New Roman"/>
          <w:szCs w:val="20"/>
        </w:rPr>
        <w:lastRenderedPageBreak/>
        <w:t>Charge, …</w:t>
      </w:r>
      <w:proofErr w:type="gramEnd"/>
      <w:r>
        <w:rPr>
          <w:rFonts w:cs="Times New Roman"/>
          <w:szCs w:val="20"/>
        </w:rPr>
        <w:t xml:space="preserve"> have been issued by the Registrar where the requirements [as to registration] have not in fact been complied with.”</w:t>
      </w:r>
      <w:r w:rsidR="00F2511F">
        <w:rPr>
          <w:rStyle w:val="FootnoteReference"/>
          <w:rFonts w:cs="Times New Roman"/>
          <w:szCs w:val="20"/>
        </w:rPr>
        <w:footnoteReference w:id="69"/>
      </w:r>
      <w:r>
        <w:rPr>
          <w:rFonts w:cs="Times New Roman"/>
          <w:szCs w:val="20"/>
        </w:rPr>
        <w:t xml:space="preserve"> </w:t>
      </w:r>
    </w:p>
    <w:p w:rsidR="005325B6" w:rsidRDefault="00F2511F" w:rsidP="005325B6">
      <w:pPr>
        <w:jc w:val="both"/>
        <w:rPr>
          <w:rFonts w:cs="Times New Roman"/>
          <w:szCs w:val="20"/>
        </w:rPr>
      </w:pPr>
      <w:r>
        <w:rPr>
          <w:rFonts w:cs="Times New Roman"/>
          <w:szCs w:val="20"/>
        </w:rPr>
        <w:t xml:space="preserve">The CLRG made a number of recommendations for reform of the process for registering charges in Ireland. </w:t>
      </w:r>
      <w:r w:rsidR="00344B75">
        <w:rPr>
          <w:rFonts w:cs="Times New Roman"/>
          <w:szCs w:val="20"/>
        </w:rPr>
        <w:t>It argued for the abolition of the list of registrable charges currently provided in section 99 and its replacement with a general requirement that all charges be brought within the registration system.</w:t>
      </w:r>
      <w:r w:rsidR="00344B75">
        <w:rPr>
          <w:rStyle w:val="FootnoteReference"/>
          <w:rFonts w:cs="Times New Roman"/>
          <w:szCs w:val="20"/>
        </w:rPr>
        <w:footnoteReference w:id="70"/>
      </w:r>
      <w:r w:rsidR="00344B75">
        <w:rPr>
          <w:rFonts w:cs="Times New Roman"/>
          <w:szCs w:val="20"/>
        </w:rPr>
        <w:t xml:space="preserve"> The CLRG suggested extensive changes in the system of charge registration and argued for a transition to a wholly electronic system of registration in which the </w:t>
      </w:r>
      <w:r w:rsidR="006B36B8">
        <w:rPr>
          <w:rFonts w:cs="Times New Roman"/>
          <w:szCs w:val="20"/>
        </w:rPr>
        <w:t xml:space="preserve">date </w:t>
      </w:r>
      <w:r w:rsidR="00344B75">
        <w:rPr>
          <w:rFonts w:cs="Times New Roman"/>
          <w:szCs w:val="20"/>
        </w:rPr>
        <w:t xml:space="preserve">of registration would be used </w:t>
      </w:r>
      <w:r w:rsidR="008440C3">
        <w:rPr>
          <w:rFonts w:cs="Times New Roman"/>
          <w:szCs w:val="20"/>
        </w:rPr>
        <w:t xml:space="preserve">in </w:t>
      </w:r>
      <w:r w:rsidR="006B36B8">
        <w:rPr>
          <w:rFonts w:cs="Times New Roman"/>
          <w:szCs w:val="20"/>
        </w:rPr>
        <w:t>establishing</w:t>
      </w:r>
      <w:r w:rsidR="00344B75">
        <w:rPr>
          <w:rFonts w:cs="Times New Roman"/>
          <w:szCs w:val="20"/>
        </w:rPr>
        <w:t xml:space="preserve"> priority between competing charges.</w:t>
      </w:r>
      <w:r w:rsidR="00344B75">
        <w:rPr>
          <w:rStyle w:val="FootnoteReference"/>
          <w:rFonts w:cs="Times New Roman"/>
          <w:szCs w:val="20"/>
        </w:rPr>
        <w:footnoteReference w:id="71"/>
      </w:r>
      <w:r w:rsidR="00344B75">
        <w:rPr>
          <w:rFonts w:cs="Times New Roman"/>
          <w:szCs w:val="20"/>
        </w:rPr>
        <w:t xml:space="preserve"> </w:t>
      </w:r>
      <w:r w:rsidR="0055044F">
        <w:rPr>
          <w:rFonts w:cs="Times New Roman"/>
          <w:szCs w:val="20"/>
        </w:rPr>
        <w:t xml:space="preserve">The CLRG also </w:t>
      </w:r>
      <w:r w:rsidR="00344B75">
        <w:rPr>
          <w:rFonts w:cs="Times New Roman"/>
          <w:szCs w:val="20"/>
        </w:rPr>
        <w:t>recommended substantial alterations to the particulars which must be sent to the CRO in order to satisfy the registration requirement.</w:t>
      </w:r>
      <w:r w:rsidR="0055044F">
        <w:rPr>
          <w:rFonts w:cs="Times New Roman"/>
          <w:szCs w:val="20"/>
        </w:rPr>
        <w:t xml:space="preserve"> The suggested particulars would omit the requirement to specify the category of the charge being registered and would omit the requirement to </w:t>
      </w:r>
      <w:r w:rsidR="008440C3">
        <w:rPr>
          <w:rFonts w:cs="Times New Roman"/>
          <w:szCs w:val="20"/>
        </w:rPr>
        <w:t>specify the amount secure</w:t>
      </w:r>
      <w:r w:rsidR="0055044F">
        <w:rPr>
          <w:rFonts w:cs="Times New Roman"/>
          <w:szCs w:val="20"/>
        </w:rPr>
        <w:t>d</w:t>
      </w:r>
      <w:r w:rsidR="008440C3">
        <w:rPr>
          <w:rFonts w:cs="Times New Roman"/>
          <w:szCs w:val="20"/>
        </w:rPr>
        <w:t xml:space="preserve"> </w:t>
      </w:r>
      <w:r w:rsidR="0055044F">
        <w:rPr>
          <w:rFonts w:cs="Times New Roman"/>
          <w:szCs w:val="20"/>
        </w:rPr>
        <w:t xml:space="preserve">by the charge. The requirement to supply a description of the property subject to the charge was retained; however the CLRG </w:t>
      </w:r>
      <w:r w:rsidR="005325B6">
        <w:rPr>
          <w:rFonts w:cs="Times New Roman"/>
          <w:szCs w:val="20"/>
        </w:rPr>
        <w:t xml:space="preserve">recommended that the </w:t>
      </w:r>
      <w:r>
        <w:rPr>
          <w:rFonts w:cs="Times New Roman"/>
          <w:szCs w:val="20"/>
        </w:rPr>
        <w:t xml:space="preserve">law be changed so as to restrict to the conclusive effect to the certificate “only as to the charges particulars of which have been filed”. </w:t>
      </w:r>
    </w:p>
    <w:p w:rsidR="00F2511F" w:rsidRDefault="00F2511F" w:rsidP="005325B6">
      <w:pPr>
        <w:jc w:val="both"/>
        <w:rPr>
          <w:rFonts w:cs="Times New Roman"/>
          <w:szCs w:val="20"/>
        </w:rPr>
      </w:pPr>
      <w:r>
        <w:rPr>
          <w:rFonts w:cs="Times New Roman"/>
          <w:szCs w:val="20"/>
        </w:rPr>
        <w:t xml:space="preserve">The changes recommended by the CLRG have found </w:t>
      </w:r>
      <w:r w:rsidR="0055044F">
        <w:rPr>
          <w:rFonts w:cs="Times New Roman"/>
          <w:szCs w:val="20"/>
        </w:rPr>
        <w:t>legislative expression in Part 7, Chapter 25 of the Companies Consolidation and Reform Bill 2012</w:t>
      </w:r>
      <w:r w:rsidR="004E3B64">
        <w:rPr>
          <w:rFonts w:cs="Times New Roman"/>
          <w:szCs w:val="20"/>
        </w:rPr>
        <w:t xml:space="preserve"> (‘the 2012 Bill’)</w:t>
      </w:r>
      <w:r w:rsidR="0055044F">
        <w:rPr>
          <w:rFonts w:cs="Times New Roman"/>
          <w:szCs w:val="20"/>
        </w:rPr>
        <w:t>.</w:t>
      </w:r>
      <w:r w:rsidR="006B36B8">
        <w:rPr>
          <w:rStyle w:val="FootnoteReference"/>
          <w:rFonts w:cs="Times New Roman"/>
          <w:szCs w:val="20"/>
        </w:rPr>
        <w:footnoteReference w:id="72"/>
      </w:r>
      <w:r w:rsidR="0055044F">
        <w:rPr>
          <w:rFonts w:cs="Times New Roman"/>
          <w:szCs w:val="20"/>
        </w:rPr>
        <w:t xml:space="preserve"> While the </w:t>
      </w:r>
      <w:r w:rsidR="004E3B64">
        <w:rPr>
          <w:rFonts w:cs="Times New Roman"/>
          <w:szCs w:val="20"/>
        </w:rPr>
        <w:t xml:space="preserve">2012 </w:t>
      </w:r>
      <w:r w:rsidR="0055044F">
        <w:rPr>
          <w:rFonts w:cs="Times New Roman"/>
          <w:szCs w:val="20"/>
        </w:rPr>
        <w:t xml:space="preserve">Bill implements the reforms suggested by the CLRG, the drafting of the key provisions retains much of language and structure of the current legislation. </w:t>
      </w:r>
      <w:r w:rsidR="006B36B8">
        <w:rPr>
          <w:rFonts w:cs="Times New Roman"/>
          <w:szCs w:val="20"/>
        </w:rPr>
        <w:t xml:space="preserve">In particular, much of the legislative language which has been analysed above in arguing that the present understanding of the effect of the certificate of registration is flawed is repeated in the new proposed legislation. </w:t>
      </w:r>
    </w:p>
    <w:p w:rsidR="00441E0F" w:rsidRDefault="006B36B8" w:rsidP="005325B6">
      <w:pPr>
        <w:jc w:val="both"/>
        <w:rPr>
          <w:rFonts w:cs="Times New Roman"/>
          <w:szCs w:val="20"/>
        </w:rPr>
      </w:pPr>
      <w:r>
        <w:rPr>
          <w:rFonts w:cs="Times New Roman"/>
          <w:szCs w:val="20"/>
        </w:rPr>
        <w:t xml:space="preserve">Clause 410 of the </w:t>
      </w:r>
      <w:r w:rsidR="004E3B64">
        <w:rPr>
          <w:rFonts w:cs="Times New Roman"/>
          <w:szCs w:val="20"/>
        </w:rPr>
        <w:t xml:space="preserve">2012 </w:t>
      </w:r>
      <w:r>
        <w:rPr>
          <w:rFonts w:cs="Times New Roman"/>
          <w:szCs w:val="20"/>
        </w:rPr>
        <w:t xml:space="preserve">Bill establishes the principle that a charge is void against the liquidator and any creditor of the company unless </w:t>
      </w:r>
      <w:r w:rsidR="008440C3">
        <w:rPr>
          <w:rFonts w:cs="Times New Roman"/>
          <w:szCs w:val="20"/>
        </w:rPr>
        <w:t xml:space="preserve">one of two </w:t>
      </w:r>
      <w:r>
        <w:rPr>
          <w:rFonts w:cs="Times New Roman"/>
          <w:szCs w:val="20"/>
        </w:rPr>
        <w:t>registration procedure</w:t>
      </w:r>
      <w:r w:rsidR="008440C3">
        <w:rPr>
          <w:rFonts w:cs="Times New Roman"/>
          <w:szCs w:val="20"/>
        </w:rPr>
        <w:t>s</w:t>
      </w:r>
      <w:r>
        <w:rPr>
          <w:rFonts w:cs="Times New Roman"/>
          <w:szCs w:val="20"/>
        </w:rPr>
        <w:t xml:space="preserve"> has been followed</w:t>
      </w:r>
      <w:r w:rsidR="008440C3">
        <w:rPr>
          <w:rFonts w:cs="Times New Roman"/>
          <w:szCs w:val="20"/>
        </w:rPr>
        <w:t>. The two registration systems are designed to enable a charge to be registered either before or after a charge has been created and both procedures involve a prescribed set of particulars in the prescribed form.</w:t>
      </w:r>
      <w:r w:rsidR="008440C3">
        <w:rPr>
          <w:rStyle w:val="FootnoteReference"/>
          <w:rFonts w:cs="Times New Roman"/>
          <w:szCs w:val="20"/>
        </w:rPr>
        <w:footnoteReference w:id="73"/>
      </w:r>
      <w:r w:rsidR="008440C3">
        <w:rPr>
          <w:rFonts w:cs="Times New Roman"/>
          <w:szCs w:val="20"/>
        </w:rPr>
        <w:t xml:space="preserve"> </w:t>
      </w:r>
      <w:r w:rsidR="00441E0F">
        <w:rPr>
          <w:rFonts w:cs="Times New Roman"/>
          <w:szCs w:val="20"/>
        </w:rPr>
        <w:t xml:space="preserve">Under the first procedure </w:t>
      </w:r>
      <w:r w:rsidR="004153F4">
        <w:rPr>
          <w:rFonts w:cs="Times New Roman"/>
          <w:szCs w:val="20"/>
        </w:rPr>
        <w:t xml:space="preserve">(‘the normal </w:t>
      </w:r>
      <w:r w:rsidR="003F3CEB">
        <w:rPr>
          <w:rFonts w:cs="Times New Roman"/>
          <w:szCs w:val="20"/>
        </w:rPr>
        <w:t xml:space="preserve">registration </w:t>
      </w:r>
      <w:r w:rsidR="004153F4">
        <w:rPr>
          <w:rFonts w:cs="Times New Roman"/>
          <w:szCs w:val="20"/>
        </w:rPr>
        <w:t xml:space="preserve">procedure’) </w:t>
      </w:r>
      <w:r w:rsidR="00441E0F">
        <w:rPr>
          <w:rFonts w:cs="Times New Roman"/>
          <w:szCs w:val="20"/>
        </w:rPr>
        <w:t>a charge is void unless the prescribed particulars are delivered within 21 days of the date of creation. Under the second procedure</w:t>
      </w:r>
      <w:r w:rsidR="004153F4">
        <w:rPr>
          <w:rFonts w:cs="Times New Roman"/>
          <w:szCs w:val="20"/>
        </w:rPr>
        <w:t xml:space="preserve"> (‘the early registration procedure’)</w:t>
      </w:r>
      <w:r w:rsidR="00441E0F">
        <w:rPr>
          <w:rFonts w:cs="Times New Roman"/>
          <w:szCs w:val="20"/>
        </w:rPr>
        <w:t xml:space="preserve">, a notice of an intention to create a charge may be delivered to the Registrar along with the prescribed particulars. Within 21 days of the delivery of notice, a second notice must be delivered to the Registrar confirming that the charge has been created. Where this is done, the charge is treated for priority </w:t>
      </w:r>
      <w:proofErr w:type="spellStart"/>
      <w:r w:rsidR="00441E0F">
        <w:rPr>
          <w:rFonts w:cs="Times New Roman"/>
          <w:szCs w:val="20"/>
        </w:rPr>
        <w:t>purpsoes</w:t>
      </w:r>
      <w:proofErr w:type="spellEnd"/>
      <w:r w:rsidR="00441E0F">
        <w:rPr>
          <w:rFonts w:cs="Times New Roman"/>
          <w:szCs w:val="20"/>
        </w:rPr>
        <w:t xml:space="preserve"> as having been registered at the date the initial notice was </w:t>
      </w:r>
      <w:r w:rsidR="00441E0F">
        <w:rPr>
          <w:rFonts w:cs="Times New Roman"/>
          <w:szCs w:val="20"/>
        </w:rPr>
        <w:lastRenderedPageBreak/>
        <w:t xml:space="preserve">received. Where the second notice is not filed within a timely manner, the charge is declared void. </w:t>
      </w:r>
    </w:p>
    <w:p w:rsidR="006B36B8" w:rsidRDefault="008440C3" w:rsidP="005325B6">
      <w:pPr>
        <w:jc w:val="both"/>
        <w:rPr>
          <w:rFonts w:cs="Times New Roman"/>
          <w:szCs w:val="20"/>
        </w:rPr>
      </w:pPr>
      <w:r>
        <w:rPr>
          <w:rFonts w:cs="Times New Roman"/>
          <w:szCs w:val="20"/>
        </w:rPr>
        <w:t xml:space="preserve">The prescribed particulars </w:t>
      </w:r>
      <w:r w:rsidR="007F3826">
        <w:rPr>
          <w:rFonts w:cs="Times New Roman"/>
          <w:szCs w:val="20"/>
        </w:rPr>
        <w:t xml:space="preserve">have not been specified in the primary legislation; however it would appear from the CLRG report </w:t>
      </w:r>
      <w:r w:rsidR="003A72E7">
        <w:rPr>
          <w:rFonts w:cs="Times New Roman"/>
          <w:szCs w:val="20"/>
        </w:rPr>
        <w:t xml:space="preserve">and from Clause 415, which imposes a duty on the </w:t>
      </w:r>
      <w:r w:rsidR="00453C9B">
        <w:rPr>
          <w:rFonts w:cs="Times New Roman"/>
          <w:szCs w:val="20"/>
        </w:rPr>
        <w:t>Registrar</w:t>
      </w:r>
      <w:r w:rsidR="003A72E7">
        <w:rPr>
          <w:rFonts w:cs="Times New Roman"/>
          <w:szCs w:val="20"/>
        </w:rPr>
        <w:t xml:space="preserve"> to maintain the charge register for each company</w:t>
      </w:r>
      <w:r w:rsidR="00641E83">
        <w:rPr>
          <w:rFonts w:cs="Times New Roman"/>
          <w:szCs w:val="20"/>
        </w:rPr>
        <w:t>,</w:t>
      </w:r>
      <w:r w:rsidR="003A72E7">
        <w:rPr>
          <w:rFonts w:cs="Times New Roman"/>
          <w:szCs w:val="20"/>
        </w:rPr>
        <w:t xml:space="preserve"> </w:t>
      </w:r>
      <w:r w:rsidR="007F3826">
        <w:rPr>
          <w:rFonts w:cs="Times New Roman"/>
          <w:szCs w:val="20"/>
        </w:rPr>
        <w:t>that the following particulars will be included:</w:t>
      </w:r>
    </w:p>
    <w:p w:rsidR="007F3826" w:rsidRDefault="007F3826" w:rsidP="00453C9B">
      <w:pPr>
        <w:pStyle w:val="ListParagraph"/>
        <w:numPr>
          <w:ilvl w:val="0"/>
          <w:numId w:val="10"/>
        </w:numPr>
        <w:jc w:val="both"/>
        <w:rPr>
          <w:rFonts w:cs="Times New Roman"/>
          <w:szCs w:val="20"/>
        </w:rPr>
      </w:pPr>
      <w:r>
        <w:rPr>
          <w:rFonts w:cs="Times New Roman"/>
          <w:szCs w:val="20"/>
        </w:rPr>
        <w:t>The name and registered number of the company creating the charge;</w:t>
      </w:r>
    </w:p>
    <w:p w:rsidR="007F3826" w:rsidRDefault="007F3826" w:rsidP="00453C9B">
      <w:pPr>
        <w:pStyle w:val="ListParagraph"/>
        <w:numPr>
          <w:ilvl w:val="0"/>
          <w:numId w:val="10"/>
        </w:numPr>
        <w:jc w:val="both"/>
        <w:rPr>
          <w:rFonts w:cs="Times New Roman"/>
          <w:szCs w:val="20"/>
        </w:rPr>
      </w:pPr>
      <w:r>
        <w:rPr>
          <w:rFonts w:cs="Times New Roman"/>
          <w:szCs w:val="20"/>
        </w:rPr>
        <w:t>The date of creation of the charge;</w:t>
      </w:r>
    </w:p>
    <w:p w:rsidR="007F3826" w:rsidRDefault="007F3826" w:rsidP="00453C9B">
      <w:pPr>
        <w:pStyle w:val="ListParagraph"/>
        <w:numPr>
          <w:ilvl w:val="0"/>
          <w:numId w:val="10"/>
        </w:numPr>
        <w:jc w:val="both"/>
        <w:rPr>
          <w:rFonts w:cs="Times New Roman"/>
          <w:szCs w:val="20"/>
        </w:rPr>
      </w:pPr>
      <w:r>
        <w:rPr>
          <w:rFonts w:cs="Times New Roman"/>
          <w:szCs w:val="20"/>
        </w:rPr>
        <w:t>The name and contact details of the person presenting the particulars to the Registrar;</w:t>
      </w:r>
    </w:p>
    <w:p w:rsidR="007F3826" w:rsidRDefault="007F3826" w:rsidP="00453C9B">
      <w:pPr>
        <w:pStyle w:val="ListParagraph"/>
        <w:numPr>
          <w:ilvl w:val="0"/>
          <w:numId w:val="10"/>
        </w:numPr>
        <w:jc w:val="both"/>
        <w:rPr>
          <w:rFonts w:cs="Times New Roman"/>
          <w:szCs w:val="20"/>
        </w:rPr>
      </w:pPr>
      <w:r>
        <w:rPr>
          <w:rFonts w:cs="Times New Roman"/>
          <w:szCs w:val="20"/>
        </w:rPr>
        <w:t>The name and contact details of the person entitled to the charge;</w:t>
      </w:r>
    </w:p>
    <w:p w:rsidR="007F3826" w:rsidRDefault="007F3826" w:rsidP="00453C9B">
      <w:pPr>
        <w:pStyle w:val="ListParagraph"/>
        <w:numPr>
          <w:ilvl w:val="0"/>
          <w:numId w:val="10"/>
        </w:numPr>
        <w:jc w:val="both"/>
        <w:rPr>
          <w:rFonts w:cs="Times New Roman"/>
          <w:szCs w:val="20"/>
        </w:rPr>
      </w:pPr>
      <w:r>
        <w:rPr>
          <w:rFonts w:cs="Times New Roman"/>
          <w:szCs w:val="20"/>
        </w:rPr>
        <w:t>A description of the property subject to the charge.</w:t>
      </w:r>
      <w:r>
        <w:rPr>
          <w:rStyle w:val="FootnoteReference"/>
          <w:rFonts w:cs="Times New Roman"/>
          <w:szCs w:val="20"/>
        </w:rPr>
        <w:footnoteReference w:id="74"/>
      </w:r>
      <w:r>
        <w:rPr>
          <w:rFonts w:cs="Times New Roman"/>
          <w:szCs w:val="20"/>
        </w:rPr>
        <w:t xml:space="preserve"> </w:t>
      </w:r>
    </w:p>
    <w:p w:rsidR="00543677" w:rsidRDefault="007F3826" w:rsidP="007F3826">
      <w:pPr>
        <w:jc w:val="both"/>
        <w:rPr>
          <w:rFonts w:cs="Times New Roman"/>
          <w:szCs w:val="20"/>
        </w:rPr>
      </w:pPr>
      <w:r>
        <w:rPr>
          <w:rFonts w:cs="Times New Roman"/>
          <w:szCs w:val="20"/>
        </w:rPr>
        <w:t xml:space="preserve">In setting out the procedures for carrying out registration, Clause 410(3) and 410(4) make it clear that the procedures for registration are completed when the Registrar of Companies has received the prescribed particulars. Thus, under the </w:t>
      </w:r>
      <w:r w:rsidR="004E3B64">
        <w:rPr>
          <w:rFonts w:cs="Times New Roman"/>
          <w:szCs w:val="20"/>
        </w:rPr>
        <w:t xml:space="preserve">2012 </w:t>
      </w:r>
      <w:r>
        <w:rPr>
          <w:rFonts w:cs="Times New Roman"/>
          <w:szCs w:val="20"/>
        </w:rPr>
        <w:t>Bill, the actual registration of the charge itself remains the function of the Registrar</w:t>
      </w:r>
      <w:r w:rsidR="003A72E7">
        <w:rPr>
          <w:rFonts w:cs="Times New Roman"/>
          <w:szCs w:val="20"/>
        </w:rPr>
        <w:t>.</w:t>
      </w:r>
      <w:r w:rsidR="003A72E7">
        <w:rPr>
          <w:rStyle w:val="FootnoteReference"/>
          <w:rFonts w:cs="Times New Roman"/>
          <w:szCs w:val="20"/>
        </w:rPr>
        <w:footnoteReference w:id="75"/>
      </w:r>
      <w:r w:rsidR="00543677">
        <w:rPr>
          <w:rFonts w:cs="Times New Roman"/>
          <w:szCs w:val="20"/>
        </w:rPr>
        <w:t xml:space="preserve"> Clause 416 provides for the issuing and effect of the certificate of registration and is worth setting out in full:</w:t>
      </w:r>
    </w:p>
    <w:p w:rsidR="00543677" w:rsidRPr="00543677" w:rsidRDefault="00543677" w:rsidP="00453C9B">
      <w:pPr>
        <w:ind w:left="720" w:right="391"/>
        <w:jc w:val="both"/>
        <w:rPr>
          <w:rFonts w:cs="Times New Roman"/>
          <w:sz w:val="20"/>
          <w:szCs w:val="20"/>
        </w:rPr>
      </w:pPr>
      <w:r w:rsidRPr="00543677">
        <w:rPr>
          <w:rFonts w:cs="Times New Roman"/>
          <w:sz w:val="20"/>
          <w:szCs w:val="20"/>
        </w:rPr>
        <w:t>416.—(1) The Registrar shall give a certificate of the registration of any charge registered in pursuance of this Part.</w:t>
      </w:r>
    </w:p>
    <w:p w:rsidR="00543677" w:rsidRPr="00543677" w:rsidRDefault="00543677" w:rsidP="00453C9B">
      <w:pPr>
        <w:ind w:left="720" w:right="391"/>
        <w:jc w:val="both"/>
        <w:rPr>
          <w:rFonts w:cs="Times New Roman"/>
          <w:sz w:val="20"/>
          <w:szCs w:val="20"/>
        </w:rPr>
      </w:pPr>
      <w:r w:rsidRPr="00543677">
        <w:rPr>
          <w:rFonts w:cs="Times New Roman"/>
          <w:sz w:val="20"/>
          <w:szCs w:val="20"/>
        </w:rPr>
        <w:t>(2) Subject to subsection (3), such a certificate shall be conclusive evidence that the requirements of this Part as to the registration of the charge have been complied with.</w:t>
      </w:r>
    </w:p>
    <w:p w:rsidR="00543677" w:rsidRPr="00543677" w:rsidRDefault="00543677" w:rsidP="00453C9B">
      <w:pPr>
        <w:ind w:left="720" w:right="391"/>
        <w:jc w:val="both"/>
        <w:rPr>
          <w:rFonts w:cs="Times New Roman"/>
          <w:sz w:val="20"/>
          <w:szCs w:val="20"/>
        </w:rPr>
      </w:pPr>
      <w:r w:rsidRPr="00543677">
        <w:rPr>
          <w:rFonts w:cs="Times New Roman"/>
          <w:sz w:val="20"/>
          <w:szCs w:val="20"/>
        </w:rPr>
        <w:t>(3) To the extent that the particulars of a charge delivered to the Registrar in purported compliance with this Part omit the required 25 particulars in respect of one or more properties to which the charge relates, the evidential effect of the certificate provided under subsection (2) shall not extend to the particular property or properties in</w:t>
      </w:r>
      <w:r w:rsidR="004153F4">
        <w:rPr>
          <w:rFonts w:cs="Times New Roman"/>
          <w:sz w:val="20"/>
          <w:szCs w:val="20"/>
        </w:rPr>
        <w:t xml:space="preserve"> </w:t>
      </w:r>
      <w:r w:rsidRPr="00543677">
        <w:rPr>
          <w:rFonts w:cs="Times New Roman"/>
          <w:sz w:val="20"/>
          <w:szCs w:val="20"/>
        </w:rPr>
        <w:t>respect of which that omission occurs.</w:t>
      </w:r>
    </w:p>
    <w:p w:rsidR="00543677" w:rsidRDefault="00543677" w:rsidP="00453C9B">
      <w:pPr>
        <w:ind w:left="720" w:right="391"/>
        <w:jc w:val="both"/>
        <w:rPr>
          <w:rFonts w:cs="Times New Roman"/>
          <w:sz w:val="20"/>
          <w:szCs w:val="20"/>
        </w:rPr>
      </w:pPr>
      <w:r w:rsidRPr="00543677">
        <w:rPr>
          <w:rFonts w:cs="Times New Roman"/>
          <w:sz w:val="20"/>
          <w:szCs w:val="20"/>
        </w:rPr>
        <w:t xml:space="preserve">(4) In subsection (3) “property” includes an interest in, or </w:t>
      </w:r>
      <w:proofErr w:type="spellStart"/>
      <w:r w:rsidRPr="00543677">
        <w:rPr>
          <w:rFonts w:cs="Times New Roman"/>
          <w:sz w:val="20"/>
          <w:szCs w:val="20"/>
        </w:rPr>
        <w:t>rightover</w:t>
      </w:r>
      <w:proofErr w:type="spellEnd"/>
      <w:r w:rsidRPr="00543677">
        <w:rPr>
          <w:rFonts w:cs="Times New Roman"/>
          <w:sz w:val="20"/>
          <w:szCs w:val="20"/>
        </w:rPr>
        <w:t>, property.</w:t>
      </w:r>
    </w:p>
    <w:p w:rsidR="00EF2931" w:rsidRDefault="004165D7" w:rsidP="00641E83">
      <w:pPr>
        <w:jc w:val="both"/>
        <w:rPr>
          <w:rFonts w:cs="Times New Roman"/>
          <w:szCs w:val="20"/>
        </w:rPr>
      </w:pPr>
      <w:r>
        <w:rPr>
          <w:rFonts w:cs="Times New Roman"/>
          <w:szCs w:val="20"/>
        </w:rPr>
        <w:t xml:space="preserve">The intended effect of this </w:t>
      </w:r>
      <w:r w:rsidR="00641E83">
        <w:rPr>
          <w:rFonts w:cs="Times New Roman"/>
          <w:szCs w:val="20"/>
        </w:rPr>
        <w:t xml:space="preserve">clause </w:t>
      </w:r>
      <w:r>
        <w:rPr>
          <w:rFonts w:cs="Times New Roman"/>
          <w:szCs w:val="20"/>
        </w:rPr>
        <w:t xml:space="preserve">seems to be to </w:t>
      </w:r>
      <w:proofErr w:type="spellStart"/>
      <w:r>
        <w:rPr>
          <w:rFonts w:cs="Times New Roman"/>
          <w:szCs w:val="20"/>
        </w:rPr>
        <w:t>disapply</w:t>
      </w:r>
      <w:proofErr w:type="spellEnd"/>
      <w:r>
        <w:rPr>
          <w:rFonts w:cs="Times New Roman"/>
          <w:szCs w:val="20"/>
        </w:rPr>
        <w:t xml:space="preserve"> the (presumed) conclusive effect of the certificate of registration from descriptions of the property subject to the charge. Thus the outcomes of cases with fact patter</w:t>
      </w:r>
      <w:r w:rsidR="00EC6B3F">
        <w:rPr>
          <w:rFonts w:cs="Times New Roman"/>
          <w:szCs w:val="20"/>
        </w:rPr>
        <w:t>n</w:t>
      </w:r>
      <w:r>
        <w:rPr>
          <w:rFonts w:cs="Times New Roman"/>
          <w:szCs w:val="20"/>
        </w:rPr>
        <w:t xml:space="preserve">s such as those in </w:t>
      </w:r>
      <w:proofErr w:type="spellStart"/>
      <w:r w:rsidRPr="00453C9B">
        <w:rPr>
          <w:rFonts w:cs="Times New Roman"/>
          <w:i/>
          <w:szCs w:val="20"/>
        </w:rPr>
        <w:t>C</w:t>
      </w:r>
      <w:r>
        <w:rPr>
          <w:rFonts w:cs="Times New Roman"/>
          <w:i/>
          <w:szCs w:val="20"/>
        </w:rPr>
        <w:t>harnley</w:t>
      </w:r>
      <w:proofErr w:type="spellEnd"/>
      <w:r w:rsidRPr="00453C9B">
        <w:rPr>
          <w:rStyle w:val="FootnoteReference"/>
          <w:rFonts w:cs="Times New Roman"/>
          <w:szCs w:val="20"/>
        </w:rPr>
        <w:footnoteReference w:id="76"/>
      </w:r>
      <w:r>
        <w:rPr>
          <w:rFonts w:cs="Times New Roman"/>
          <w:i/>
          <w:szCs w:val="20"/>
        </w:rPr>
        <w:t xml:space="preserve"> </w:t>
      </w:r>
      <w:r>
        <w:rPr>
          <w:rFonts w:cs="Times New Roman"/>
          <w:szCs w:val="20"/>
        </w:rPr>
        <w:t xml:space="preserve">and </w:t>
      </w:r>
      <w:r>
        <w:rPr>
          <w:rFonts w:cs="Times New Roman"/>
          <w:i/>
          <w:szCs w:val="20"/>
        </w:rPr>
        <w:t>Re: Valley Ice Cream</w:t>
      </w:r>
      <w:r w:rsidRPr="00453C9B">
        <w:rPr>
          <w:rStyle w:val="FootnoteReference"/>
          <w:rFonts w:cs="Times New Roman"/>
          <w:szCs w:val="20"/>
        </w:rPr>
        <w:footnoteReference w:id="77"/>
      </w:r>
      <w:r>
        <w:rPr>
          <w:rFonts w:cs="Times New Roman"/>
          <w:szCs w:val="20"/>
        </w:rPr>
        <w:t xml:space="preserve"> will be reversed under the new legislation</w:t>
      </w:r>
      <w:r w:rsidR="00EF2931">
        <w:rPr>
          <w:rFonts w:cs="Times New Roman"/>
          <w:szCs w:val="20"/>
        </w:rPr>
        <w:t xml:space="preserve"> and such cases will </w:t>
      </w:r>
      <w:r w:rsidR="00453C9B">
        <w:rPr>
          <w:rFonts w:cs="Times New Roman"/>
          <w:szCs w:val="20"/>
        </w:rPr>
        <w:t xml:space="preserve">decided </w:t>
      </w:r>
      <w:r w:rsidR="00EF2931">
        <w:rPr>
          <w:rFonts w:cs="Times New Roman"/>
          <w:szCs w:val="20"/>
        </w:rPr>
        <w:t>in accordance with the interpretation argued for in the previous sections. If passed, clause 416</w:t>
      </w:r>
      <w:r w:rsidR="004153F4">
        <w:rPr>
          <w:rFonts w:cs="Times New Roman"/>
          <w:szCs w:val="20"/>
        </w:rPr>
        <w:t>(3)</w:t>
      </w:r>
      <w:r w:rsidR="00EF2931">
        <w:rPr>
          <w:rFonts w:cs="Times New Roman"/>
          <w:szCs w:val="20"/>
        </w:rPr>
        <w:t xml:space="preserve"> will am</w:t>
      </w:r>
      <w:r w:rsidR="004153F4">
        <w:rPr>
          <w:rFonts w:cs="Times New Roman"/>
          <w:szCs w:val="20"/>
        </w:rPr>
        <w:t xml:space="preserve">ount to a legislative rejection </w:t>
      </w:r>
      <w:r w:rsidR="00EF2931">
        <w:rPr>
          <w:rFonts w:cs="Times New Roman"/>
          <w:szCs w:val="20"/>
        </w:rPr>
        <w:t xml:space="preserve">of the policy arguments presented by Cozens-Hardy MR in </w:t>
      </w:r>
      <w:proofErr w:type="spellStart"/>
      <w:r w:rsidR="00EF2931">
        <w:rPr>
          <w:rFonts w:cs="Times New Roman"/>
          <w:i/>
          <w:szCs w:val="20"/>
        </w:rPr>
        <w:t>Yolland</w:t>
      </w:r>
      <w:proofErr w:type="spellEnd"/>
      <w:r w:rsidR="00EF2931">
        <w:rPr>
          <w:rFonts w:cs="Times New Roman"/>
          <w:i/>
          <w:szCs w:val="20"/>
        </w:rPr>
        <w:t xml:space="preserve"> </w:t>
      </w:r>
      <w:r w:rsidR="00EF2931">
        <w:rPr>
          <w:rFonts w:cs="Times New Roman"/>
          <w:szCs w:val="20"/>
        </w:rPr>
        <w:t>in that it will force those who send particulars to the Registrar to bear the consequences of errors in the documentation which they supply</w:t>
      </w:r>
      <w:r w:rsidR="004153F4">
        <w:rPr>
          <w:rFonts w:cs="Times New Roman"/>
          <w:szCs w:val="20"/>
        </w:rPr>
        <w:t xml:space="preserve"> – at least in so far as those errors relate to the description of the property which is subject to the charge</w:t>
      </w:r>
      <w:r w:rsidR="00EF2931">
        <w:rPr>
          <w:rFonts w:cs="Times New Roman"/>
          <w:szCs w:val="20"/>
        </w:rPr>
        <w:t xml:space="preserve">. </w:t>
      </w:r>
    </w:p>
    <w:p w:rsidR="0027414A" w:rsidRDefault="004153F4" w:rsidP="003F3CEB">
      <w:pPr>
        <w:jc w:val="both"/>
        <w:rPr>
          <w:rFonts w:cs="Times New Roman"/>
          <w:szCs w:val="20"/>
        </w:rPr>
      </w:pPr>
      <w:r>
        <w:rPr>
          <w:rFonts w:cs="Times New Roman"/>
          <w:szCs w:val="20"/>
        </w:rPr>
        <w:lastRenderedPageBreak/>
        <w:t xml:space="preserve">While clause 416(3) clarifies the intention of the legislature in respect of errors relating to the description of the property subject to the charge, the courts will still have to determine the scope of protection afforded by the certificate of registration where other irregularities have occurred in the registration process. Errors relating to the date of creation of the charge provide an interesting example. Clause 410 retains the requirement that the particulars of a charge be presented within 21 days of the date of creation, or within 21 days of the filing of a notice of the intention to create a charge in the case of the early registration procedure. One effect of the inclusion of these 21 day time limits is that there remains a possibility </w:t>
      </w:r>
      <w:r w:rsidR="003F3CEB">
        <w:rPr>
          <w:rFonts w:cs="Times New Roman"/>
          <w:szCs w:val="20"/>
        </w:rPr>
        <w:t xml:space="preserve">of an </w:t>
      </w:r>
      <w:proofErr w:type="spellStart"/>
      <w:r w:rsidR="003F3CEB">
        <w:rPr>
          <w:rFonts w:cs="Times New Roman"/>
          <w:i/>
          <w:szCs w:val="20"/>
        </w:rPr>
        <w:t>Amurec</w:t>
      </w:r>
      <w:proofErr w:type="spellEnd"/>
      <w:r w:rsidR="003F3CEB">
        <w:rPr>
          <w:rFonts w:cs="Times New Roman"/>
          <w:i/>
          <w:szCs w:val="20"/>
        </w:rPr>
        <w:t xml:space="preserve"> </w:t>
      </w:r>
      <w:r w:rsidR="003F3CEB">
        <w:rPr>
          <w:rFonts w:cs="Times New Roman"/>
          <w:szCs w:val="20"/>
        </w:rPr>
        <w:t xml:space="preserve">type fact pattern emerging in which a certificate of registration is issued to a chargee who did not, as a matter of fact, deliver the particulars of the charge in time. </w:t>
      </w:r>
    </w:p>
    <w:p w:rsidR="0027414A" w:rsidRDefault="003F3CEB" w:rsidP="003F3CEB">
      <w:pPr>
        <w:jc w:val="both"/>
        <w:rPr>
          <w:rFonts w:cs="Times New Roman"/>
          <w:szCs w:val="20"/>
        </w:rPr>
      </w:pPr>
      <w:r>
        <w:rPr>
          <w:rFonts w:cs="Times New Roman"/>
          <w:szCs w:val="20"/>
        </w:rPr>
        <w:t xml:space="preserve">In such cases the courts will be faced with determining the meaning of clause 416(3) of the Bill the language of which is drawn directly from the existing section 104 of the 1963 Act. Such a case will present the courts with an identical interpretive dilemma to that currently posed by the existing statutory text. Clause 410, the analogue of section 99 of the 1963 Act, states that a charge is void unless either the normal or early registration procedures have been carried out. These procedures are detailed in Clause 410(3) and 410(4) respectively and involve the delivery of notices and particulars to the registrar within defined time limits.  </w:t>
      </w:r>
      <w:r w:rsidR="0027414A">
        <w:rPr>
          <w:rFonts w:cs="Times New Roman"/>
          <w:szCs w:val="20"/>
        </w:rPr>
        <w:t>Clause 415, the analogue of section 103 of the 1963 Act, imposes duties on the Registrar to companies to maintain registers and carry on registrations. Under the new legislation therefore, the meaning of the phrase “</w:t>
      </w:r>
      <w:r w:rsidR="0027414A" w:rsidRPr="0027414A">
        <w:rPr>
          <w:rFonts w:cs="Times New Roman"/>
          <w:szCs w:val="20"/>
        </w:rPr>
        <w:t>conclusive evidence that the requirements of this Part as to the registration of the charge have been complied with</w:t>
      </w:r>
      <w:r w:rsidR="0027414A">
        <w:rPr>
          <w:rFonts w:cs="Times New Roman"/>
          <w:szCs w:val="20"/>
        </w:rPr>
        <w:t>” will remain important in at least some cases.</w:t>
      </w:r>
    </w:p>
    <w:p w:rsidR="003F3CEB" w:rsidRDefault="0027414A" w:rsidP="003F3CEB">
      <w:pPr>
        <w:jc w:val="both"/>
        <w:rPr>
          <w:rFonts w:cs="Times New Roman"/>
          <w:szCs w:val="20"/>
        </w:rPr>
      </w:pPr>
      <w:r>
        <w:rPr>
          <w:rFonts w:cs="Times New Roman"/>
          <w:szCs w:val="20"/>
        </w:rPr>
        <w:t xml:space="preserve"> </w:t>
      </w:r>
    </w:p>
    <w:p w:rsidR="0027414A" w:rsidRDefault="00445C49" w:rsidP="00453C9B">
      <w:pPr>
        <w:pStyle w:val="ListParagraph"/>
        <w:numPr>
          <w:ilvl w:val="0"/>
          <w:numId w:val="12"/>
        </w:numPr>
        <w:jc w:val="both"/>
        <w:rPr>
          <w:rFonts w:cs="Times New Roman"/>
          <w:b/>
          <w:szCs w:val="20"/>
        </w:rPr>
      </w:pPr>
      <w:r>
        <w:rPr>
          <w:rFonts w:cs="Times New Roman"/>
          <w:b/>
          <w:szCs w:val="20"/>
        </w:rPr>
        <w:t>Conclusion</w:t>
      </w:r>
    </w:p>
    <w:p w:rsidR="0027414A" w:rsidRDefault="0027414A" w:rsidP="0027414A">
      <w:pPr>
        <w:jc w:val="both"/>
        <w:rPr>
          <w:rFonts w:cs="Times New Roman"/>
          <w:szCs w:val="20"/>
        </w:rPr>
      </w:pPr>
      <w:r>
        <w:rPr>
          <w:rFonts w:cs="Times New Roman"/>
          <w:szCs w:val="20"/>
        </w:rPr>
        <w:t xml:space="preserve">This article has argued that the courts ought to re-appraise the interpretation of </w:t>
      </w:r>
      <w:r w:rsidR="00445C49">
        <w:rPr>
          <w:rFonts w:cs="Times New Roman"/>
          <w:szCs w:val="20"/>
        </w:rPr>
        <w:t>section 104 of the Companies Act 1963. It has demonstrated that the existing authorities have accorded the certificate of registration a significance which is not envisaged by a plain reading of the words of the statute and which is incompatible with the legislative policy underlying Part IV of the 1963 Act.</w:t>
      </w:r>
    </w:p>
    <w:p w:rsidR="00445C49" w:rsidRDefault="00445C49" w:rsidP="0027414A">
      <w:pPr>
        <w:jc w:val="both"/>
        <w:rPr>
          <w:rFonts w:cs="Times New Roman"/>
          <w:szCs w:val="20"/>
        </w:rPr>
      </w:pPr>
      <w:r>
        <w:rPr>
          <w:rFonts w:cs="Times New Roman"/>
          <w:szCs w:val="20"/>
        </w:rPr>
        <w:t>The interpretive dilemma addressed by this article has important consequences for the liquidation of Irish companies. Where a charge is void because of a failure to comply with the requirement to send particulars of registration to the Registrar, the assets which were the subject of that charge ought to be distributed to the company’s general body of preferred and unsecured creditors rather than being delivered up the to the charge holder.</w:t>
      </w:r>
      <w:r>
        <w:rPr>
          <w:rStyle w:val="FootnoteReference"/>
          <w:rFonts w:cs="Times New Roman"/>
          <w:szCs w:val="20"/>
        </w:rPr>
        <w:footnoteReference w:id="78"/>
      </w:r>
      <w:r>
        <w:rPr>
          <w:rFonts w:cs="Times New Roman"/>
          <w:szCs w:val="20"/>
        </w:rPr>
        <w:t xml:space="preserve"> It is suggested that the result of the present interpretation is unduly favourable to secured creditors whose charges have not been disclosed to the public in the manner intended by the Oireachtas.</w:t>
      </w:r>
      <w:r w:rsidR="004E3B64">
        <w:rPr>
          <w:rFonts w:cs="Times New Roman"/>
          <w:szCs w:val="20"/>
        </w:rPr>
        <w:t xml:space="preserve"> While it seems likely that the text of section 104 of the Companies Act 1963 will soon be consigned to history, it should be noted that clause 421 of the Companies Consolidation and </w:t>
      </w:r>
      <w:r w:rsidR="004E3B64">
        <w:rPr>
          <w:rFonts w:cs="Times New Roman"/>
          <w:szCs w:val="20"/>
        </w:rPr>
        <w:lastRenderedPageBreak/>
        <w:t xml:space="preserve">Reform Bill 2012 provides that the terms of the 1963 Act will continue to apply to charges created prior to the repeal of the existing legislation. For this reason, the true meaning of section 104 will continue to be of concern to liquidators and creditors for some years to come. </w:t>
      </w:r>
      <w:r>
        <w:rPr>
          <w:rFonts w:cs="Times New Roman"/>
          <w:szCs w:val="20"/>
        </w:rPr>
        <w:t xml:space="preserve"> </w:t>
      </w:r>
    </w:p>
    <w:p w:rsidR="00445C49" w:rsidRPr="0027414A" w:rsidRDefault="00445C49" w:rsidP="0027414A">
      <w:pPr>
        <w:jc w:val="both"/>
        <w:rPr>
          <w:rFonts w:cs="Times New Roman"/>
          <w:szCs w:val="20"/>
        </w:rPr>
      </w:pPr>
      <w:r>
        <w:rPr>
          <w:rFonts w:cs="Times New Roman"/>
          <w:szCs w:val="20"/>
        </w:rPr>
        <w:t xml:space="preserve">This article has also argued that the changes to company charge registration proposed in 2012 </w:t>
      </w:r>
      <w:r w:rsidR="004E3B64">
        <w:rPr>
          <w:rFonts w:cs="Times New Roman"/>
          <w:szCs w:val="20"/>
        </w:rPr>
        <w:t>Bill, while clarifying the position in respect of the description of the property subject to the charge, will continue to present the courts the same problems of interpretation posed by previous versions of the Companies Acts. In interpreting statutes which seek to consolidate earlier enactments, the courts have long recognised that the state of the law before the new legislation was passed is a relevant factor</w:t>
      </w:r>
      <w:r w:rsidR="00B64ED9">
        <w:rPr>
          <w:rFonts w:cs="Times New Roman"/>
          <w:szCs w:val="20"/>
        </w:rPr>
        <w:t xml:space="preserve"> in interpreting the meaning of the new section</w:t>
      </w:r>
      <w:r w:rsidR="004E3B64">
        <w:rPr>
          <w:rFonts w:cs="Times New Roman"/>
          <w:szCs w:val="20"/>
        </w:rPr>
        <w:t>.</w:t>
      </w:r>
      <w:r w:rsidR="00B64ED9">
        <w:rPr>
          <w:rStyle w:val="FootnoteReference"/>
          <w:rFonts w:cs="Times New Roman"/>
          <w:szCs w:val="20"/>
        </w:rPr>
        <w:footnoteReference w:id="79"/>
      </w:r>
      <w:r w:rsidR="00231C06">
        <w:rPr>
          <w:rFonts w:cs="Times New Roman"/>
          <w:szCs w:val="20"/>
        </w:rPr>
        <w:t xml:space="preserve"> It is submitted therefore that the precise meaning and effect of section 104 will continue to be a matter of considerable practical importance after the passage of the 2012 Bill.</w:t>
      </w:r>
    </w:p>
    <w:p w:rsidR="000C2984" w:rsidRDefault="004E3B64" w:rsidP="009D62BD">
      <w:pPr>
        <w:jc w:val="both"/>
        <w:rPr>
          <w:rFonts w:cs="Times New Roman"/>
          <w:color w:val="000000"/>
          <w:shd w:val="clear" w:color="auto" w:fill="FFFFFF"/>
        </w:rPr>
      </w:pPr>
      <w:r>
        <w:rPr>
          <w:rFonts w:cs="Times New Roman"/>
          <w:szCs w:val="20"/>
        </w:rPr>
        <w:t xml:space="preserve">The </w:t>
      </w:r>
      <w:r w:rsidR="00231C06">
        <w:rPr>
          <w:rFonts w:cs="Times New Roman"/>
          <w:szCs w:val="20"/>
        </w:rPr>
        <w:t xml:space="preserve">meaning and </w:t>
      </w:r>
      <w:r>
        <w:rPr>
          <w:rFonts w:cs="Times New Roman"/>
          <w:szCs w:val="20"/>
        </w:rPr>
        <w:t xml:space="preserve">effect of the </w:t>
      </w:r>
      <w:r w:rsidR="00231C06">
        <w:rPr>
          <w:rFonts w:cs="Times New Roman"/>
          <w:szCs w:val="20"/>
        </w:rPr>
        <w:t xml:space="preserve">section 104 </w:t>
      </w:r>
      <w:r>
        <w:rPr>
          <w:rFonts w:cs="Times New Roman"/>
          <w:szCs w:val="20"/>
        </w:rPr>
        <w:t xml:space="preserve">has been considered settled law for many years. Nonetheless, it is notable that neither the Supreme Court in this jurisdiction, nor the equivalent courts of final appeal in the United Kingdom have ever been presented with an opportunity to review the interpretations of section 104 propounded by High Court and Court of Appeal judges over the last century. The cases reviewed in this article have all taken as their starting point the statements of Cozens-Hardy MR in </w:t>
      </w:r>
      <w:proofErr w:type="spellStart"/>
      <w:r>
        <w:rPr>
          <w:rFonts w:cs="Times New Roman"/>
          <w:i/>
          <w:szCs w:val="20"/>
        </w:rPr>
        <w:t>Yolland</w:t>
      </w:r>
      <w:proofErr w:type="spellEnd"/>
      <w:r>
        <w:rPr>
          <w:rFonts w:cs="Times New Roman"/>
          <w:i/>
          <w:szCs w:val="20"/>
        </w:rPr>
        <w:t xml:space="preserve"> </w:t>
      </w:r>
      <w:r>
        <w:rPr>
          <w:rFonts w:cs="Times New Roman"/>
          <w:szCs w:val="20"/>
        </w:rPr>
        <w:t xml:space="preserve">about the role of the certificate. This article has shown that those statements have been repeated in an uncritical manner by judges and commentators over the years and, perhaps by mere force of repetition, they have become to be regarded as definitive. Be that as it may, as </w:t>
      </w:r>
      <w:proofErr w:type="spellStart"/>
      <w:r>
        <w:rPr>
          <w:rFonts w:cs="Times New Roman"/>
          <w:szCs w:val="20"/>
        </w:rPr>
        <w:t>Hardiman</w:t>
      </w:r>
      <w:proofErr w:type="spellEnd"/>
      <w:r>
        <w:rPr>
          <w:rFonts w:cs="Times New Roman"/>
          <w:szCs w:val="20"/>
        </w:rPr>
        <w:t xml:space="preserve"> J. has recently reminded the legal community, </w:t>
      </w:r>
      <w:r w:rsidRPr="00F81261">
        <w:rPr>
          <w:rFonts w:cs="Times New Roman"/>
          <w:szCs w:val="20"/>
        </w:rPr>
        <w:t>“</w:t>
      </w:r>
      <w:r>
        <w:rPr>
          <w:rFonts w:cs="Times New Roman"/>
          <w:szCs w:val="20"/>
        </w:rPr>
        <w:t>[t]</w:t>
      </w:r>
      <w:r w:rsidRPr="00F81261">
        <w:rPr>
          <w:rFonts w:cs="Times New Roman"/>
          <w:color w:val="000000"/>
          <w:shd w:val="clear" w:color="auto" w:fill="FFFFFF"/>
        </w:rPr>
        <w:t>he judgment of a judge, however eminent, should not be construed as though it were a statute</w:t>
      </w:r>
      <w:r>
        <w:rPr>
          <w:rFonts w:cs="Times New Roman"/>
          <w:color w:val="000000"/>
          <w:shd w:val="clear" w:color="auto" w:fill="FFFFFF"/>
        </w:rPr>
        <w:t>.”</w:t>
      </w:r>
      <w:r>
        <w:rPr>
          <w:rStyle w:val="FootnoteReference"/>
          <w:rFonts w:cs="Times New Roman"/>
          <w:color w:val="000000"/>
          <w:shd w:val="clear" w:color="auto" w:fill="FFFFFF"/>
        </w:rPr>
        <w:footnoteReference w:id="80"/>
      </w:r>
      <w:r>
        <w:rPr>
          <w:rFonts w:cs="Times New Roman"/>
          <w:color w:val="000000"/>
          <w:shd w:val="clear" w:color="auto" w:fill="FFFFFF"/>
        </w:rPr>
        <w:t xml:space="preserve"> It might be that a re-interpretation of section 104 would cause an unanticipated alteration of the law as it is presently understood to be but, it is respectfully submitted that a careful, plain reading of the existing statute would require the judiciary to confine the decision in </w:t>
      </w:r>
      <w:proofErr w:type="spellStart"/>
      <w:r>
        <w:rPr>
          <w:rFonts w:cs="Times New Roman"/>
          <w:i/>
          <w:color w:val="000000"/>
          <w:shd w:val="clear" w:color="auto" w:fill="FFFFFF"/>
        </w:rPr>
        <w:t>Yolland</w:t>
      </w:r>
      <w:proofErr w:type="spellEnd"/>
      <w:r>
        <w:rPr>
          <w:rFonts w:cs="Times New Roman"/>
          <w:i/>
          <w:color w:val="000000"/>
          <w:shd w:val="clear" w:color="auto" w:fill="FFFFFF"/>
        </w:rPr>
        <w:t xml:space="preserve"> </w:t>
      </w:r>
      <w:r>
        <w:rPr>
          <w:rFonts w:cs="Times New Roman"/>
          <w:color w:val="000000"/>
          <w:shd w:val="clear" w:color="auto" w:fill="FFFFFF"/>
        </w:rPr>
        <w:t>to its proper context and to reassess those cases which have broadened its impact.</w:t>
      </w:r>
      <w:r w:rsidR="00453C9B">
        <w:rPr>
          <w:rFonts w:cs="Times New Roman"/>
          <w:szCs w:val="20"/>
        </w:rPr>
        <w:t xml:space="preserve"> </w:t>
      </w:r>
      <w:r w:rsidR="00134682">
        <w:rPr>
          <w:rFonts w:cs="Times New Roman"/>
          <w:color w:val="000000"/>
          <w:shd w:val="clear" w:color="auto" w:fill="FFFFFF"/>
        </w:rPr>
        <w:t>Such a reappraisal would, it</w:t>
      </w:r>
      <w:r w:rsidR="00453C9B">
        <w:rPr>
          <w:rFonts w:cs="Times New Roman"/>
          <w:color w:val="000000"/>
          <w:shd w:val="clear" w:color="auto" w:fill="FFFFFF"/>
        </w:rPr>
        <w:t xml:space="preserve"> is suggested,</w:t>
      </w:r>
      <w:r w:rsidR="00134682">
        <w:rPr>
          <w:rFonts w:cs="Times New Roman"/>
          <w:color w:val="000000"/>
          <w:shd w:val="clear" w:color="auto" w:fill="FFFFFF"/>
        </w:rPr>
        <w:t xml:space="preserve"> restore the Registrar’s certificate to its proper function and would render the company charge register a more useful and reliable source of information about charges created by Irish companies.</w:t>
      </w:r>
    </w:p>
    <w:p w:rsidR="008348D3" w:rsidRPr="00F81261" w:rsidRDefault="008348D3" w:rsidP="00205F1B">
      <w:pPr>
        <w:jc w:val="both"/>
        <w:rPr>
          <w:rFonts w:cs="Times New Roman"/>
          <w:szCs w:val="20"/>
        </w:rPr>
      </w:pPr>
      <w:r>
        <w:rPr>
          <w:rFonts w:cs="Times New Roman"/>
          <w:szCs w:val="20"/>
        </w:rPr>
        <w:t xml:space="preserve"> </w:t>
      </w:r>
    </w:p>
    <w:sectPr w:rsidR="008348D3" w:rsidRPr="00F812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0E" w:rsidRDefault="00B81C0E" w:rsidP="00B865E9">
      <w:pPr>
        <w:spacing w:after="0" w:line="240" w:lineRule="auto"/>
      </w:pPr>
      <w:r>
        <w:separator/>
      </w:r>
    </w:p>
  </w:endnote>
  <w:endnote w:type="continuationSeparator" w:id="0">
    <w:p w:rsidR="00B81C0E" w:rsidRDefault="00B81C0E" w:rsidP="00B8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0E" w:rsidRDefault="00B81C0E" w:rsidP="00B865E9">
      <w:pPr>
        <w:spacing w:after="0" w:line="240" w:lineRule="auto"/>
      </w:pPr>
      <w:r>
        <w:separator/>
      </w:r>
    </w:p>
  </w:footnote>
  <w:footnote w:type="continuationSeparator" w:id="0">
    <w:p w:rsidR="00B81C0E" w:rsidRDefault="00B81C0E" w:rsidP="00B865E9">
      <w:pPr>
        <w:spacing w:after="0" w:line="240" w:lineRule="auto"/>
      </w:pPr>
      <w:r>
        <w:continuationSeparator/>
      </w:r>
    </w:p>
  </w:footnote>
  <w:footnote w:id="1">
    <w:p w:rsidR="00453C9B" w:rsidRDefault="00453C9B" w:rsidP="00B865E9">
      <w:pPr>
        <w:pStyle w:val="FootnoteText"/>
      </w:pPr>
      <w:r>
        <w:t xml:space="preserve">* Lecturer in Law, UCD School of Law. The author would like to thank the anonymous reviewers for their helpful comments on earlier drafts of this article. </w:t>
      </w:r>
    </w:p>
    <w:p w:rsidR="00C13A38" w:rsidRPr="005724FC" w:rsidRDefault="00C13A38" w:rsidP="00B865E9">
      <w:pPr>
        <w:pStyle w:val="FootnoteText"/>
      </w:pPr>
      <w:r>
        <w:rPr>
          <w:rStyle w:val="FootnoteReference"/>
        </w:rPr>
        <w:footnoteRef/>
      </w:r>
      <w:r>
        <w:t xml:space="preserve"> See </w:t>
      </w:r>
      <w:r>
        <w:rPr>
          <w:i/>
        </w:rPr>
        <w:t xml:space="preserve">Re: Jackson and </w:t>
      </w:r>
      <w:proofErr w:type="spellStart"/>
      <w:r>
        <w:rPr>
          <w:i/>
        </w:rPr>
        <w:t>Bassford</w:t>
      </w:r>
      <w:proofErr w:type="spellEnd"/>
      <w:r>
        <w:rPr>
          <w:i/>
        </w:rPr>
        <w:t xml:space="preserve"> Ltd </w:t>
      </w:r>
      <w:r>
        <w:t xml:space="preserve">[1906] 2 </w:t>
      </w:r>
      <w:proofErr w:type="spellStart"/>
      <w:r>
        <w:t>Ch</w:t>
      </w:r>
      <w:proofErr w:type="spellEnd"/>
      <w:r>
        <w:t xml:space="preserve"> 467, 476; </w:t>
      </w:r>
      <w:r>
        <w:rPr>
          <w:i/>
        </w:rPr>
        <w:t xml:space="preserve">Re: Cardiff Workmen’s Cottage Company Ltd </w:t>
      </w:r>
      <w:r>
        <w:t xml:space="preserve">[1906] 2 </w:t>
      </w:r>
      <w:proofErr w:type="spellStart"/>
      <w:r>
        <w:t>Ch</w:t>
      </w:r>
      <w:proofErr w:type="spellEnd"/>
      <w:r>
        <w:t xml:space="preserve"> 627</w:t>
      </w:r>
      <w:r w:rsidR="00641E83">
        <w:t>,</w:t>
      </w:r>
      <w:r>
        <w:t xml:space="preserve"> 629; </w:t>
      </w:r>
      <w:r>
        <w:rPr>
          <w:i/>
        </w:rPr>
        <w:t xml:space="preserve">Dublin City Distillery v Doherty </w:t>
      </w:r>
      <w:r>
        <w:t xml:space="preserve">[1914] AC 823, 854. </w:t>
      </w:r>
    </w:p>
  </w:footnote>
  <w:footnote w:id="2">
    <w:p w:rsidR="00C13A38" w:rsidRDefault="00C13A38" w:rsidP="00B865E9">
      <w:pPr>
        <w:pStyle w:val="FootnoteText"/>
      </w:pPr>
      <w:r>
        <w:rPr>
          <w:rStyle w:val="FootnoteReference"/>
        </w:rPr>
        <w:footnoteRef/>
      </w:r>
      <w:r>
        <w:t xml:space="preserve"> See s.62 Registration of Title Act 1964 (as amended). </w:t>
      </w:r>
    </w:p>
  </w:footnote>
  <w:footnote w:id="3">
    <w:p w:rsidR="00C13A38" w:rsidRDefault="00C13A38" w:rsidP="00B865E9">
      <w:pPr>
        <w:pStyle w:val="FootnoteText"/>
      </w:pPr>
      <w:r>
        <w:rPr>
          <w:rStyle w:val="FootnoteReference"/>
        </w:rPr>
        <w:footnoteRef/>
      </w:r>
      <w:r>
        <w:t xml:space="preserve"> Part 3, Registration of Deeds and Title Act 2006 which re-enacts, with substantial amendments, the scheme of registration originally established by the Registration of Deeds Act 1707. </w:t>
      </w:r>
    </w:p>
  </w:footnote>
  <w:footnote w:id="4">
    <w:p w:rsidR="00C13A38" w:rsidRDefault="00C13A38" w:rsidP="00B865E9">
      <w:pPr>
        <w:pStyle w:val="FootnoteText"/>
      </w:pPr>
      <w:r>
        <w:rPr>
          <w:rStyle w:val="FootnoteReference"/>
        </w:rPr>
        <w:footnoteRef/>
      </w:r>
      <w:r>
        <w:t xml:space="preserve"> Bills of Sale (Ireland) Acts 1878-1883. </w:t>
      </w:r>
    </w:p>
  </w:footnote>
  <w:footnote w:id="5">
    <w:p w:rsidR="00C13A38" w:rsidRDefault="00C13A38" w:rsidP="00B865E9">
      <w:pPr>
        <w:pStyle w:val="FootnoteText"/>
      </w:pPr>
      <w:r>
        <w:rPr>
          <w:rStyle w:val="FootnoteReference"/>
        </w:rPr>
        <w:footnoteRef/>
      </w:r>
      <w:r>
        <w:t xml:space="preserve"> Part II, Agricultural Credit Act 1978.</w:t>
      </w:r>
    </w:p>
  </w:footnote>
  <w:footnote w:id="6">
    <w:p w:rsidR="00C13A38" w:rsidRDefault="00C13A38" w:rsidP="00B865E9">
      <w:pPr>
        <w:pStyle w:val="FootnoteText"/>
      </w:pPr>
      <w:r>
        <w:rPr>
          <w:rStyle w:val="FootnoteReference"/>
        </w:rPr>
        <w:footnoteRef/>
      </w:r>
      <w:r>
        <w:t xml:space="preserve"> </w:t>
      </w:r>
      <w:proofErr w:type="gramStart"/>
      <w:r>
        <w:t>ss.50-56</w:t>
      </w:r>
      <w:proofErr w:type="gramEnd"/>
      <w:r>
        <w:t xml:space="preserve"> Mercantile Marine Act 1955. </w:t>
      </w:r>
    </w:p>
  </w:footnote>
  <w:footnote w:id="7">
    <w:p w:rsidR="00C13A38" w:rsidRDefault="00C13A38" w:rsidP="00B865E9">
      <w:pPr>
        <w:pStyle w:val="FootnoteText"/>
      </w:pPr>
      <w:r>
        <w:rPr>
          <w:rStyle w:val="FootnoteReference"/>
        </w:rPr>
        <w:footnoteRef/>
      </w:r>
      <w:r>
        <w:t xml:space="preserve"> See International Interests in Mobile Equipment </w:t>
      </w:r>
      <w:r w:rsidR="007B49F5">
        <w:t>Act</w:t>
      </w:r>
      <w:r>
        <w:t xml:space="preserve"> 2005 which implements the provisions of the Cape Town Convention on International Interests in Mobile Equipment and its associated Protocol on Matters Specific to Aircraft Equipment into domestic law. </w:t>
      </w:r>
    </w:p>
  </w:footnote>
  <w:footnote w:id="8">
    <w:p w:rsidR="00C13A38" w:rsidRDefault="00C13A38" w:rsidP="00B865E9">
      <w:pPr>
        <w:pStyle w:val="FootnoteText"/>
      </w:pPr>
      <w:r>
        <w:rPr>
          <w:rStyle w:val="FootnoteReference"/>
        </w:rPr>
        <w:footnoteRef/>
      </w:r>
      <w:r>
        <w:t xml:space="preserve"> </w:t>
      </w:r>
      <w:proofErr w:type="gramStart"/>
      <w:r>
        <w:t>s.85</w:t>
      </w:r>
      <w:proofErr w:type="gramEnd"/>
      <w:r>
        <w:t xml:space="preserve"> Patents Act 1992, s.29 Trade Marks Act 1996, and s.41 Industrial Designs Act 2001.</w:t>
      </w:r>
    </w:p>
  </w:footnote>
  <w:footnote w:id="9">
    <w:p w:rsidR="00C13A38" w:rsidRDefault="00C13A38" w:rsidP="00B865E9">
      <w:pPr>
        <w:pStyle w:val="FootnoteText"/>
      </w:pPr>
      <w:r>
        <w:rPr>
          <w:rStyle w:val="FootnoteReference"/>
        </w:rPr>
        <w:footnoteRef/>
      </w:r>
      <w:r>
        <w:t xml:space="preserve"> </w:t>
      </w:r>
      <w:proofErr w:type="spellStart"/>
      <w:proofErr w:type="gramStart"/>
      <w:r>
        <w:t>Hansard</w:t>
      </w:r>
      <w:proofErr w:type="spellEnd"/>
      <w:r>
        <w:t xml:space="preserve">, HC Deb, 26 June 1900, </w:t>
      </w:r>
      <w:proofErr w:type="spellStart"/>
      <w:r>
        <w:t>vol</w:t>
      </w:r>
      <w:proofErr w:type="spellEnd"/>
      <w:r>
        <w:t xml:space="preserve"> 84, col 1143.</w:t>
      </w:r>
      <w:proofErr w:type="gramEnd"/>
    </w:p>
  </w:footnote>
  <w:footnote w:id="10">
    <w:p w:rsidR="00C13A38" w:rsidRDefault="00C13A38" w:rsidP="00B865E9">
      <w:pPr>
        <w:pStyle w:val="FootnoteText"/>
      </w:pPr>
      <w:r>
        <w:rPr>
          <w:rStyle w:val="FootnoteReference"/>
        </w:rPr>
        <w:footnoteRef/>
      </w:r>
      <w:r>
        <w:t xml:space="preserve"> s.10 Companies Act 1907, re-enacted as s.93 Companies (Consolidation) Act 1908</w:t>
      </w:r>
    </w:p>
  </w:footnote>
  <w:footnote w:id="11">
    <w:p w:rsidR="00C13A38" w:rsidRDefault="00C13A38" w:rsidP="00B865E9">
      <w:pPr>
        <w:pStyle w:val="FootnoteText"/>
      </w:pPr>
      <w:r>
        <w:rPr>
          <w:rStyle w:val="FootnoteReference"/>
        </w:rPr>
        <w:footnoteRef/>
      </w:r>
      <w:r>
        <w:t xml:space="preserve"> See </w:t>
      </w:r>
      <w:proofErr w:type="gramStart"/>
      <w:r>
        <w:t>s.43(</w:t>
      </w:r>
      <w:proofErr w:type="gramEnd"/>
      <w:r>
        <w:t xml:space="preserve">1) Companies Act 1928, re-enacted by s.79 Companies Act 1929. </w:t>
      </w:r>
    </w:p>
  </w:footnote>
  <w:footnote w:id="12">
    <w:p w:rsidR="00C13A38" w:rsidRDefault="00C13A38" w:rsidP="00B865E9">
      <w:pPr>
        <w:pStyle w:val="FootnoteText"/>
      </w:pPr>
      <w:r>
        <w:rPr>
          <w:rStyle w:val="FootnoteReference"/>
        </w:rPr>
        <w:footnoteRef/>
      </w:r>
      <w:r>
        <w:t xml:space="preserve"> </w:t>
      </w:r>
      <w:proofErr w:type="gramStart"/>
      <w:r>
        <w:t>s.122</w:t>
      </w:r>
      <w:proofErr w:type="gramEnd"/>
      <w:r>
        <w:t xml:space="preserve"> Companies </w:t>
      </w:r>
      <w:r w:rsidR="007B49F5">
        <w:t>Act</w:t>
      </w:r>
      <w:r>
        <w:t xml:space="preserve"> 1990, the section also creates a power for the Minister for Enterprise, Jobs and Innovation to add, remove or vary the categories of registrable charge by statutory instrument. This power has never been used. </w:t>
      </w:r>
    </w:p>
  </w:footnote>
  <w:footnote w:id="13">
    <w:p w:rsidR="000043A9" w:rsidRPr="00817EC2" w:rsidRDefault="000043A9">
      <w:pPr>
        <w:pStyle w:val="FootnoteText"/>
      </w:pPr>
      <w:r>
        <w:rPr>
          <w:rStyle w:val="FootnoteReference"/>
        </w:rPr>
        <w:footnoteRef/>
      </w:r>
      <w:r>
        <w:t xml:space="preserve"> </w:t>
      </w:r>
      <w:r w:rsidR="00817EC2">
        <w:t xml:space="preserve">The priority rules vary depending on the nature of the </w:t>
      </w:r>
      <w:r w:rsidR="00453C9B">
        <w:t xml:space="preserve">competing </w:t>
      </w:r>
      <w:r w:rsidR="00817EC2">
        <w:t>charge</w:t>
      </w:r>
      <w:r w:rsidR="00453C9B">
        <w:t>s</w:t>
      </w:r>
      <w:r w:rsidR="00817EC2">
        <w:t xml:space="preserve"> and the order of creation rule does not apply to a conflict between a floating charge and later fixed charge see </w:t>
      </w:r>
      <w:r w:rsidR="00817EC2">
        <w:rPr>
          <w:i/>
        </w:rPr>
        <w:t xml:space="preserve">Re: Russell Murphy </w:t>
      </w:r>
      <w:r w:rsidR="00817EC2">
        <w:t xml:space="preserve">[1976] IR 15. For a summary of the present position see M Donnelly, </w:t>
      </w:r>
      <w:r w:rsidR="00817EC2">
        <w:rPr>
          <w:i/>
        </w:rPr>
        <w:t xml:space="preserve">The Law of Credit and Security </w:t>
      </w:r>
      <w:r w:rsidR="00817EC2">
        <w:t>(</w:t>
      </w:r>
      <w:proofErr w:type="spellStart"/>
      <w:r w:rsidR="00817EC2">
        <w:t>Roundhall</w:t>
      </w:r>
      <w:proofErr w:type="spellEnd"/>
      <w:r w:rsidR="00817EC2">
        <w:t>, 2011), [15-79] – [15-83].</w:t>
      </w:r>
    </w:p>
  </w:footnote>
  <w:footnote w:id="14">
    <w:p w:rsidR="00C13A38" w:rsidRDefault="00C13A38" w:rsidP="00B865E9">
      <w:pPr>
        <w:pStyle w:val="FootnoteText"/>
      </w:pPr>
      <w:r>
        <w:rPr>
          <w:rStyle w:val="FootnoteReference"/>
        </w:rPr>
        <w:footnoteRef/>
      </w:r>
      <w:r>
        <w:t xml:space="preserve"> </w:t>
      </w:r>
      <w:proofErr w:type="gramStart"/>
      <w:r>
        <w:t>s.105</w:t>
      </w:r>
      <w:proofErr w:type="gramEnd"/>
      <w:r>
        <w:t xml:space="preserve"> Companies Act 1963. </w:t>
      </w:r>
    </w:p>
  </w:footnote>
  <w:footnote w:id="15">
    <w:p w:rsidR="00C13A38" w:rsidRDefault="00C13A38" w:rsidP="00B865E9">
      <w:pPr>
        <w:pStyle w:val="FootnoteText"/>
      </w:pPr>
      <w:r>
        <w:rPr>
          <w:rStyle w:val="FootnoteReference"/>
        </w:rPr>
        <w:footnoteRef/>
      </w:r>
      <w:r>
        <w:t xml:space="preserve"> </w:t>
      </w:r>
      <w:proofErr w:type="gramStart"/>
      <w:r>
        <w:t>s.860</w:t>
      </w:r>
      <w:proofErr w:type="gramEnd"/>
      <w:r>
        <w:t xml:space="preserve"> Companies Act 2006</w:t>
      </w:r>
      <w:r w:rsidR="0055044F">
        <w:t xml:space="preserve"> as originally enacted; the system of company charge registration has been substantially altered by introduction, in April 2013, of the Companies Act 2006 (Amendment of Part 25) Regulations 2013 (S</w:t>
      </w:r>
      <w:r w:rsidR="00814929">
        <w:t>.I.</w:t>
      </w:r>
      <w:r w:rsidR="0055044F">
        <w:t xml:space="preserve"> 600 of 2013)</w:t>
      </w:r>
      <w:r>
        <w:t>.</w:t>
      </w:r>
      <w:r w:rsidR="0055044F">
        <w:t xml:space="preserve"> </w:t>
      </w:r>
      <w:r w:rsidR="00817EC2">
        <w:t xml:space="preserve">These Regulations establish a single system of company charge registration throughout the United Kingdom. </w:t>
      </w:r>
      <w:r w:rsidR="000043A9">
        <w:t xml:space="preserve">The changes made to </w:t>
      </w:r>
      <w:r w:rsidR="00814929">
        <w:t xml:space="preserve">English </w:t>
      </w:r>
      <w:r w:rsidR="000043A9">
        <w:t xml:space="preserve">charge registration by these regulations are extensive but owing to considerations of space they will not be considered in this article. </w:t>
      </w:r>
    </w:p>
  </w:footnote>
  <w:footnote w:id="16">
    <w:p w:rsidR="00C13A38" w:rsidRDefault="00C13A38" w:rsidP="00B865E9">
      <w:pPr>
        <w:pStyle w:val="FootnoteText"/>
      </w:pPr>
      <w:r>
        <w:rPr>
          <w:rStyle w:val="FootnoteReference"/>
        </w:rPr>
        <w:footnoteRef/>
      </w:r>
      <w:r>
        <w:t xml:space="preserve"> </w:t>
      </w:r>
      <w:proofErr w:type="gramStart"/>
      <w:r w:rsidR="004E020C">
        <w:t xml:space="preserve">Beale and others, (n 13) </w:t>
      </w:r>
      <w:r>
        <w:t>766-767.</w:t>
      </w:r>
      <w:proofErr w:type="gramEnd"/>
      <w:r>
        <w:t xml:space="preserve"> </w:t>
      </w:r>
      <w:proofErr w:type="gramStart"/>
      <w:r>
        <w:t xml:space="preserve">G McCormack, </w:t>
      </w:r>
      <w:r>
        <w:rPr>
          <w:i/>
        </w:rPr>
        <w:t xml:space="preserve">Registration of Company Charges </w:t>
      </w:r>
      <w:r>
        <w:t>(3</w:t>
      </w:r>
      <w:r w:rsidRPr="00483F35">
        <w:rPr>
          <w:vertAlign w:val="superscript"/>
        </w:rPr>
        <w:t>rd</w:t>
      </w:r>
      <w:r>
        <w:t xml:space="preserve"> </w:t>
      </w:r>
      <w:proofErr w:type="spellStart"/>
      <w:r>
        <w:t>edn</w:t>
      </w:r>
      <w:proofErr w:type="spellEnd"/>
      <w:r>
        <w:t xml:space="preserve">, </w:t>
      </w:r>
      <w:proofErr w:type="spellStart"/>
      <w:r>
        <w:t>Jordans</w:t>
      </w:r>
      <w:proofErr w:type="spellEnd"/>
      <w:r>
        <w:t>, 2009), 214.</w:t>
      </w:r>
      <w:proofErr w:type="gramEnd"/>
      <w:r>
        <w:t xml:space="preserve"> </w:t>
      </w:r>
    </w:p>
  </w:footnote>
  <w:footnote w:id="17">
    <w:p w:rsidR="00C13A38" w:rsidRPr="00BF3A60" w:rsidRDefault="00C13A38" w:rsidP="00B865E9">
      <w:pPr>
        <w:pStyle w:val="FootnoteText"/>
      </w:pPr>
      <w:r>
        <w:rPr>
          <w:rStyle w:val="FootnoteReference"/>
        </w:rPr>
        <w:footnoteRef/>
      </w:r>
      <w:r>
        <w:t xml:space="preserve"> Board of Trade, </w:t>
      </w:r>
      <w:r>
        <w:rPr>
          <w:i/>
        </w:rPr>
        <w:t>Report of the Company Law Committee</w:t>
      </w:r>
      <w:r>
        <w:t xml:space="preserve"> (</w:t>
      </w:r>
      <w:proofErr w:type="spellStart"/>
      <w:r>
        <w:t>Cmnd</w:t>
      </w:r>
      <w:proofErr w:type="spellEnd"/>
      <w:r>
        <w:t xml:space="preserve"> 1749, HMSO, 1962), [302]; A Diamond, </w:t>
      </w:r>
      <w:r>
        <w:rPr>
          <w:i/>
        </w:rPr>
        <w:t xml:space="preserve">A Review of Security Interests in Property </w:t>
      </w:r>
      <w:r>
        <w:t xml:space="preserve">(HMSO, 1989), 98-101.  </w:t>
      </w:r>
    </w:p>
  </w:footnote>
  <w:footnote w:id="18">
    <w:p w:rsidR="00C13A38" w:rsidRDefault="00C13A38" w:rsidP="00B865E9">
      <w:pPr>
        <w:pStyle w:val="FootnoteText"/>
      </w:pPr>
      <w:r>
        <w:rPr>
          <w:rStyle w:val="FootnoteReference"/>
        </w:rPr>
        <w:footnoteRef/>
      </w:r>
      <w:r>
        <w:t xml:space="preserve"> Dáil Deb, Special Committee on the Companies Bill 1962, 21</w:t>
      </w:r>
      <w:r w:rsidRPr="00D22804">
        <w:rPr>
          <w:vertAlign w:val="superscript"/>
        </w:rPr>
        <w:t>st</w:t>
      </w:r>
      <w:r>
        <w:t xml:space="preserve"> February 1962. </w:t>
      </w:r>
    </w:p>
  </w:footnote>
  <w:footnote w:id="19">
    <w:p w:rsidR="00C13A38" w:rsidRDefault="00C13A38" w:rsidP="00B865E9">
      <w:pPr>
        <w:pStyle w:val="FootnoteText"/>
      </w:pPr>
      <w:r>
        <w:rPr>
          <w:rStyle w:val="FootnoteReference"/>
        </w:rPr>
        <w:footnoteRef/>
      </w:r>
      <w:r>
        <w:t xml:space="preserve"> </w:t>
      </w:r>
      <w:proofErr w:type="gramStart"/>
      <w:r>
        <w:t>Companies (Forms) Order, 2001, SI 466 of 2001.</w:t>
      </w:r>
      <w:proofErr w:type="gramEnd"/>
      <w:r>
        <w:t xml:space="preserve"> </w:t>
      </w:r>
    </w:p>
  </w:footnote>
  <w:footnote w:id="20">
    <w:p w:rsidR="00C13A38" w:rsidRPr="00E624A2" w:rsidRDefault="00C13A38" w:rsidP="00B865E9">
      <w:pPr>
        <w:pStyle w:val="FootnoteText"/>
      </w:pPr>
      <w:r>
        <w:rPr>
          <w:rStyle w:val="FootnoteReference"/>
        </w:rPr>
        <w:footnoteRef/>
      </w:r>
      <w:r>
        <w:t xml:space="preserve"> </w:t>
      </w:r>
      <w:proofErr w:type="gramStart"/>
      <w:r>
        <w:t xml:space="preserve">See </w:t>
      </w:r>
      <w:r>
        <w:rPr>
          <w:i/>
        </w:rPr>
        <w:t xml:space="preserve">R v Registrar of Companies, ex parte Central Bank of India </w:t>
      </w:r>
      <w:r>
        <w:t>[1986] 1 QB 1114, 1171.</w:t>
      </w:r>
      <w:proofErr w:type="gramEnd"/>
      <w:r>
        <w:t xml:space="preserve"> </w:t>
      </w:r>
    </w:p>
  </w:footnote>
  <w:footnote w:id="21">
    <w:p w:rsidR="00C13A38" w:rsidRDefault="00C13A38">
      <w:pPr>
        <w:pStyle w:val="FootnoteText"/>
      </w:pPr>
      <w:r>
        <w:rPr>
          <w:rStyle w:val="FootnoteReference"/>
        </w:rPr>
        <w:footnoteRef/>
      </w:r>
      <w:r>
        <w:t xml:space="preserve"> </w:t>
      </w:r>
      <w:proofErr w:type="gramStart"/>
      <w:r>
        <w:t xml:space="preserve">W Gough, </w:t>
      </w:r>
      <w:r>
        <w:rPr>
          <w:i/>
        </w:rPr>
        <w:t xml:space="preserve">Company Charges, </w:t>
      </w:r>
      <w:r>
        <w:t>(2</w:t>
      </w:r>
      <w:r w:rsidRPr="00483F35">
        <w:rPr>
          <w:vertAlign w:val="superscript"/>
        </w:rPr>
        <w:t>nd</w:t>
      </w:r>
      <w:r>
        <w:t xml:space="preserve"> </w:t>
      </w:r>
      <w:proofErr w:type="spellStart"/>
      <w:r>
        <w:t>edn</w:t>
      </w:r>
      <w:proofErr w:type="spellEnd"/>
      <w:r>
        <w:t xml:space="preserve">, Lexis </w:t>
      </w:r>
      <w:proofErr w:type="spellStart"/>
      <w:r>
        <w:t>Nexis</w:t>
      </w:r>
      <w:proofErr w:type="spellEnd"/>
      <w:r>
        <w:t>, 1996), 716.</w:t>
      </w:r>
      <w:proofErr w:type="gramEnd"/>
      <w:r>
        <w:t xml:space="preserve"> </w:t>
      </w:r>
    </w:p>
  </w:footnote>
  <w:footnote w:id="22">
    <w:p w:rsidR="00C13A38" w:rsidRDefault="00C13A38">
      <w:pPr>
        <w:pStyle w:val="FootnoteText"/>
      </w:pPr>
      <w:r>
        <w:rPr>
          <w:rStyle w:val="FootnoteReference"/>
        </w:rPr>
        <w:footnoteRef/>
      </w:r>
      <w:r>
        <w:t xml:space="preserve"> </w:t>
      </w:r>
      <w:proofErr w:type="gramStart"/>
      <w:r>
        <w:t>s.14(</w:t>
      </w:r>
      <w:proofErr w:type="gramEnd"/>
      <w:r>
        <w:t xml:space="preserve">6) Companies </w:t>
      </w:r>
      <w:r w:rsidR="007B49F5">
        <w:t>Act</w:t>
      </w:r>
      <w:r>
        <w:t xml:space="preserve"> 1900. </w:t>
      </w:r>
    </w:p>
  </w:footnote>
  <w:footnote w:id="23">
    <w:p w:rsidR="00C13A38" w:rsidRDefault="00C13A38">
      <w:pPr>
        <w:pStyle w:val="FootnoteText"/>
      </w:pPr>
      <w:r>
        <w:rPr>
          <w:rStyle w:val="FootnoteReference"/>
        </w:rPr>
        <w:footnoteRef/>
      </w:r>
      <w:r>
        <w:t xml:space="preserve"> This requirement has been retained in England under s.865 Companies </w:t>
      </w:r>
      <w:r w:rsidR="007B49F5">
        <w:t>Act</w:t>
      </w:r>
      <w:r>
        <w:t xml:space="preserve"> 2006 but was repealed in Ireland in 1963. </w:t>
      </w:r>
    </w:p>
  </w:footnote>
  <w:footnote w:id="24">
    <w:p w:rsidR="00C13A38" w:rsidRPr="002F41D0" w:rsidRDefault="00C13A38">
      <w:pPr>
        <w:pStyle w:val="FootnoteText"/>
      </w:pPr>
      <w:r>
        <w:rPr>
          <w:rStyle w:val="FootnoteReference"/>
        </w:rPr>
        <w:footnoteRef/>
      </w:r>
      <w:r>
        <w:t xml:space="preserve"> See </w:t>
      </w:r>
      <w:r>
        <w:rPr>
          <w:i/>
        </w:rPr>
        <w:t xml:space="preserve">Re: </w:t>
      </w:r>
      <w:proofErr w:type="spellStart"/>
      <w:r>
        <w:rPr>
          <w:i/>
        </w:rPr>
        <w:t>Yolland</w:t>
      </w:r>
      <w:proofErr w:type="spellEnd"/>
      <w:r>
        <w:rPr>
          <w:i/>
        </w:rPr>
        <w:t xml:space="preserve">, </w:t>
      </w:r>
      <w:proofErr w:type="spellStart"/>
      <w:r>
        <w:rPr>
          <w:i/>
        </w:rPr>
        <w:t>Husson</w:t>
      </w:r>
      <w:proofErr w:type="spellEnd"/>
      <w:r>
        <w:rPr>
          <w:i/>
        </w:rPr>
        <w:t xml:space="preserve"> and </w:t>
      </w:r>
      <w:proofErr w:type="spellStart"/>
      <w:r>
        <w:rPr>
          <w:i/>
        </w:rPr>
        <w:t>Birkett</w:t>
      </w:r>
      <w:proofErr w:type="spellEnd"/>
      <w:r>
        <w:rPr>
          <w:i/>
        </w:rPr>
        <w:t xml:space="preserve"> Ltd </w:t>
      </w:r>
      <w:r>
        <w:t xml:space="preserve">[1908] 1 </w:t>
      </w:r>
      <w:proofErr w:type="spellStart"/>
      <w:r>
        <w:t>Ch</w:t>
      </w:r>
      <w:proofErr w:type="spellEnd"/>
      <w:r>
        <w:t xml:space="preserve"> 152 at 158 per Cozens-Hardy MR hereafter ‘</w:t>
      </w:r>
      <w:proofErr w:type="spellStart"/>
      <w:r>
        <w:rPr>
          <w:i/>
        </w:rPr>
        <w:t>Yolland</w:t>
      </w:r>
      <w:proofErr w:type="spellEnd"/>
      <w:r>
        <w:t xml:space="preserve">’; </w:t>
      </w:r>
      <w:r>
        <w:rPr>
          <w:i/>
        </w:rPr>
        <w:t xml:space="preserve">National Provincial and Union Bank of England v </w:t>
      </w:r>
      <w:proofErr w:type="spellStart"/>
      <w:r>
        <w:rPr>
          <w:i/>
        </w:rPr>
        <w:t>Charnley</w:t>
      </w:r>
      <w:proofErr w:type="spellEnd"/>
      <w:r>
        <w:rPr>
          <w:i/>
        </w:rPr>
        <w:t xml:space="preserve"> </w:t>
      </w:r>
      <w:r>
        <w:t xml:space="preserve">[1924] 1 KB 431 at 447-448 per </w:t>
      </w:r>
      <w:proofErr w:type="spellStart"/>
      <w:r>
        <w:t>Scrutton</w:t>
      </w:r>
      <w:proofErr w:type="spellEnd"/>
      <w:r>
        <w:t xml:space="preserve"> LJ hereafter ‘</w:t>
      </w:r>
      <w:proofErr w:type="spellStart"/>
      <w:r>
        <w:rPr>
          <w:i/>
        </w:rPr>
        <w:t>Charnley</w:t>
      </w:r>
      <w:proofErr w:type="spellEnd"/>
      <w:r w:rsidRPr="00C53AD3">
        <w:t>’</w:t>
      </w:r>
      <w:r>
        <w:t xml:space="preserve"> and </w:t>
      </w:r>
      <w:r>
        <w:rPr>
          <w:i/>
        </w:rPr>
        <w:t xml:space="preserve">Re: CL Nye Ltd </w:t>
      </w:r>
      <w:r>
        <w:t xml:space="preserve">[1971] 1 </w:t>
      </w:r>
      <w:proofErr w:type="spellStart"/>
      <w:r>
        <w:t>Ch</w:t>
      </w:r>
      <w:proofErr w:type="spellEnd"/>
      <w:r>
        <w:t xml:space="preserve"> 442 at 470 per Harman LJ and 474 per Russell LJ, here after ‘</w:t>
      </w:r>
      <w:r>
        <w:rPr>
          <w:i/>
        </w:rPr>
        <w:t>CL Nye</w:t>
      </w:r>
      <w:r>
        <w:t xml:space="preserve">’. </w:t>
      </w:r>
    </w:p>
  </w:footnote>
  <w:footnote w:id="25">
    <w:p w:rsidR="00C13A38" w:rsidRPr="00AA1D4C" w:rsidRDefault="00C13A38">
      <w:pPr>
        <w:pStyle w:val="FootnoteText"/>
      </w:pPr>
      <w:r>
        <w:rPr>
          <w:rStyle w:val="FootnoteReference"/>
        </w:rPr>
        <w:footnoteRef/>
      </w:r>
      <w:r>
        <w:t xml:space="preserve"> See </w:t>
      </w:r>
      <w:proofErr w:type="spellStart"/>
      <w:r>
        <w:rPr>
          <w:i/>
        </w:rPr>
        <w:t>Charnley</w:t>
      </w:r>
      <w:proofErr w:type="spellEnd"/>
      <w:r>
        <w:rPr>
          <w:i/>
        </w:rPr>
        <w:t xml:space="preserve"> </w:t>
      </w:r>
      <w:r>
        <w:t xml:space="preserve">ibid. at 453 per </w:t>
      </w:r>
      <w:proofErr w:type="spellStart"/>
      <w:r>
        <w:t>Atkin</w:t>
      </w:r>
      <w:proofErr w:type="spellEnd"/>
      <w:r>
        <w:t xml:space="preserve"> LJ. </w:t>
      </w:r>
    </w:p>
  </w:footnote>
  <w:footnote w:id="26">
    <w:p w:rsidR="00450BD0" w:rsidRDefault="00450BD0" w:rsidP="00450BD0">
      <w:pPr>
        <w:pStyle w:val="FootnoteText"/>
      </w:pPr>
      <w:r>
        <w:rPr>
          <w:rStyle w:val="FootnoteReference"/>
        </w:rPr>
        <w:footnoteRef/>
      </w:r>
      <w:r>
        <w:t xml:space="preserve"> See ss.3-4 and Schedule 4 of the Companies (Re-Constitution of Records) Act 1924.  </w:t>
      </w:r>
    </w:p>
  </w:footnote>
  <w:footnote w:id="27">
    <w:p w:rsidR="004165D7" w:rsidRPr="004165D7" w:rsidRDefault="004165D7">
      <w:pPr>
        <w:pStyle w:val="FootnoteText"/>
      </w:pPr>
      <w:r>
        <w:rPr>
          <w:rStyle w:val="FootnoteReference"/>
        </w:rPr>
        <w:footnoteRef/>
      </w:r>
      <w:r>
        <w:t xml:space="preserve"> </w:t>
      </w:r>
      <w:proofErr w:type="spellStart"/>
      <w:proofErr w:type="gramStart"/>
      <w:r>
        <w:rPr>
          <w:i/>
        </w:rPr>
        <w:t>Charnley</w:t>
      </w:r>
      <w:proofErr w:type="spellEnd"/>
      <w:r>
        <w:rPr>
          <w:i/>
        </w:rPr>
        <w:t xml:space="preserve"> </w:t>
      </w:r>
      <w:r>
        <w:t>(n 24).</w:t>
      </w:r>
      <w:proofErr w:type="gramEnd"/>
      <w:r>
        <w:t xml:space="preserve"> </w:t>
      </w:r>
    </w:p>
  </w:footnote>
  <w:footnote w:id="28">
    <w:p w:rsidR="00C13A38" w:rsidRDefault="00C13A38">
      <w:pPr>
        <w:pStyle w:val="FootnoteText"/>
      </w:pPr>
      <w:r>
        <w:rPr>
          <w:rStyle w:val="FootnoteReference"/>
        </w:rPr>
        <w:footnoteRef/>
      </w:r>
      <w:r>
        <w:t xml:space="preserve"> </w:t>
      </w:r>
      <w:proofErr w:type="gramStart"/>
      <w:r>
        <w:t>ibid. at 444-445.</w:t>
      </w:r>
      <w:proofErr w:type="gramEnd"/>
      <w:r>
        <w:t xml:space="preserve"> </w:t>
      </w:r>
    </w:p>
  </w:footnote>
  <w:footnote w:id="29">
    <w:p w:rsidR="00C13A38" w:rsidRPr="007A4DD3" w:rsidRDefault="00C13A38">
      <w:pPr>
        <w:pStyle w:val="FootnoteText"/>
      </w:pPr>
      <w:r>
        <w:rPr>
          <w:rStyle w:val="FootnoteReference"/>
        </w:rPr>
        <w:footnoteRef/>
      </w:r>
      <w:r>
        <w:t xml:space="preserve"> </w:t>
      </w:r>
      <w:proofErr w:type="gramStart"/>
      <w:r>
        <w:t>G McCormack, (n 15), 215.</w:t>
      </w:r>
      <w:proofErr w:type="gramEnd"/>
    </w:p>
  </w:footnote>
  <w:footnote w:id="30">
    <w:p w:rsidR="00C13A38" w:rsidRDefault="00C13A38">
      <w:pPr>
        <w:pStyle w:val="FootnoteText"/>
      </w:pPr>
      <w:r>
        <w:rPr>
          <w:rStyle w:val="FootnoteReference"/>
        </w:rPr>
        <w:footnoteRef/>
      </w:r>
      <w:r>
        <w:t xml:space="preserve"> Unreported, High Court, McCracken J.</w:t>
      </w:r>
      <w:proofErr w:type="gramStart"/>
      <w:r>
        <w:t>,22</w:t>
      </w:r>
      <w:r w:rsidRPr="009544E2">
        <w:rPr>
          <w:vertAlign w:val="superscript"/>
        </w:rPr>
        <w:t>nd</w:t>
      </w:r>
      <w:proofErr w:type="gramEnd"/>
      <w:r>
        <w:t xml:space="preserve"> July 1998.</w:t>
      </w:r>
    </w:p>
  </w:footnote>
  <w:footnote w:id="31">
    <w:p w:rsidR="00C13A38" w:rsidRPr="0027584B" w:rsidRDefault="00C13A38">
      <w:pPr>
        <w:pStyle w:val="FootnoteText"/>
      </w:pPr>
      <w:r>
        <w:rPr>
          <w:rStyle w:val="FootnoteReference"/>
        </w:rPr>
        <w:footnoteRef/>
      </w:r>
      <w:r>
        <w:t xml:space="preserve"> </w:t>
      </w:r>
      <w:proofErr w:type="gramStart"/>
      <w:r>
        <w:t xml:space="preserve">[1966] 1 </w:t>
      </w:r>
      <w:proofErr w:type="spellStart"/>
      <w:r>
        <w:t>Ch</w:t>
      </w:r>
      <w:proofErr w:type="spellEnd"/>
      <w:r>
        <w:t xml:space="preserve"> 20, hereafter ‘</w:t>
      </w:r>
      <w:r>
        <w:rPr>
          <w:i/>
        </w:rPr>
        <w:t>Eric Holmes</w:t>
      </w:r>
      <w:r>
        <w:t>’.</w:t>
      </w:r>
      <w:proofErr w:type="gramEnd"/>
    </w:p>
  </w:footnote>
  <w:footnote w:id="32">
    <w:p w:rsidR="00C13A38" w:rsidRDefault="00C13A38">
      <w:pPr>
        <w:pStyle w:val="FootnoteText"/>
      </w:pPr>
      <w:r>
        <w:rPr>
          <w:rStyle w:val="FootnoteReference"/>
        </w:rPr>
        <w:footnoteRef/>
      </w:r>
      <w:r>
        <w:t xml:space="preserve"> Unreported, High Court, Costello J., 20</w:t>
      </w:r>
      <w:r w:rsidRPr="009544E2">
        <w:rPr>
          <w:vertAlign w:val="superscript"/>
        </w:rPr>
        <w:t>th</w:t>
      </w:r>
      <w:r>
        <w:t xml:space="preserve"> May 1993.</w:t>
      </w:r>
    </w:p>
  </w:footnote>
  <w:footnote w:id="33">
    <w:p w:rsidR="00C13A38" w:rsidRDefault="00C13A38">
      <w:pPr>
        <w:pStyle w:val="FootnoteText"/>
      </w:pPr>
      <w:r>
        <w:rPr>
          <w:rStyle w:val="FootnoteReference"/>
        </w:rPr>
        <w:footnoteRef/>
      </w:r>
      <w:r>
        <w:t xml:space="preserve"> </w:t>
      </w:r>
      <w:proofErr w:type="gramStart"/>
      <w:r>
        <w:t>[2010] IEHC 107.</w:t>
      </w:r>
      <w:proofErr w:type="gramEnd"/>
      <w:r>
        <w:t xml:space="preserve"> </w:t>
      </w:r>
    </w:p>
  </w:footnote>
  <w:footnote w:id="34">
    <w:p w:rsidR="00C13A38" w:rsidRDefault="00C13A38" w:rsidP="00EA5735">
      <w:pPr>
        <w:pStyle w:val="FootnoteText"/>
      </w:pPr>
      <w:r>
        <w:rPr>
          <w:rStyle w:val="FootnoteReference"/>
        </w:rPr>
        <w:footnoteRef/>
      </w:r>
      <w:r>
        <w:t xml:space="preserve"> </w:t>
      </w:r>
      <w:proofErr w:type="gramStart"/>
      <w:r>
        <w:t xml:space="preserve">[1965] 1 </w:t>
      </w:r>
      <w:proofErr w:type="spellStart"/>
      <w:r>
        <w:t>Ch</w:t>
      </w:r>
      <w:proofErr w:type="spellEnd"/>
      <w:r>
        <w:t xml:space="preserve"> 1052.</w:t>
      </w:r>
      <w:proofErr w:type="gramEnd"/>
      <w:r>
        <w:t xml:space="preserve"> </w:t>
      </w:r>
    </w:p>
  </w:footnote>
  <w:footnote w:id="35">
    <w:p w:rsidR="00C13A38" w:rsidRDefault="00C13A38" w:rsidP="00B12F44">
      <w:pPr>
        <w:pStyle w:val="FootnoteText"/>
      </w:pPr>
      <w:r>
        <w:rPr>
          <w:rStyle w:val="FootnoteReference"/>
        </w:rPr>
        <w:footnoteRef/>
      </w:r>
      <w:r>
        <w:t xml:space="preserve"> See the detailed statement of facts in the headnote to the first instance decision at [1907] 2 </w:t>
      </w:r>
      <w:proofErr w:type="spellStart"/>
      <w:r>
        <w:t>Ch</w:t>
      </w:r>
      <w:proofErr w:type="spellEnd"/>
      <w:r>
        <w:t xml:space="preserve"> 471, 473.</w:t>
      </w:r>
    </w:p>
  </w:footnote>
  <w:footnote w:id="36">
    <w:p w:rsidR="00C13A38" w:rsidRDefault="00C13A38">
      <w:pPr>
        <w:pStyle w:val="FootnoteText"/>
      </w:pPr>
      <w:r>
        <w:rPr>
          <w:rStyle w:val="FootnoteReference"/>
        </w:rPr>
        <w:footnoteRef/>
      </w:r>
      <w:r>
        <w:t xml:space="preserve"> </w:t>
      </w:r>
      <w:proofErr w:type="spellStart"/>
      <w:proofErr w:type="gramStart"/>
      <w:r w:rsidRPr="00EA5735">
        <w:rPr>
          <w:i/>
        </w:rPr>
        <w:t>Charnley</w:t>
      </w:r>
      <w:proofErr w:type="spellEnd"/>
      <w:r>
        <w:t>, (n 25), 155.</w:t>
      </w:r>
      <w:proofErr w:type="gramEnd"/>
    </w:p>
  </w:footnote>
  <w:footnote w:id="37">
    <w:p w:rsidR="00C47465" w:rsidRPr="00C47465" w:rsidRDefault="00C47465">
      <w:pPr>
        <w:pStyle w:val="FootnoteText"/>
      </w:pPr>
      <w:r>
        <w:rPr>
          <w:rStyle w:val="FootnoteReference"/>
        </w:rPr>
        <w:footnoteRef/>
      </w:r>
      <w:r>
        <w:t xml:space="preserve"> </w:t>
      </w:r>
      <w:r>
        <w:rPr>
          <w:i/>
        </w:rPr>
        <w:t xml:space="preserve">CL Nye </w:t>
      </w:r>
      <w:r>
        <w:t xml:space="preserve">(n 25). </w:t>
      </w:r>
    </w:p>
  </w:footnote>
  <w:footnote w:id="38">
    <w:p w:rsidR="00C26C7C" w:rsidRPr="00EA5735" w:rsidRDefault="00C26C7C" w:rsidP="00C26C7C">
      <w:pPr>
        <w:pStyle w:val="FootnoteText"/>
      </w:pPr>
      <w:r>
        <w:rPr>
          <w:rStyle w:val="FootnoteReference"/>
        </w:rPr>
        <w:footnoteRef/>
      </w:r>
      <w:r>
        <w:t xml:space="preserve"> </w:t>
      </w:r>
      <w:proofErr w:type="gramStart"/>
      <w:r>
        <w:t>[1976-1977] ILRM 222, hereafter ‘</w:t>
      </w:r>
      <w:proofErr w:type="spellStart"/>
      <w:r>
        <w:rPr>
          <w:i/>
        </w:rPr>
        <w:t>Amurec</w:t>
      </w:r>
      <w:proofErr w:type="spellEnd"/>
      <w:r>
        <w:t>’.</w:t>
      </w:r>
      <w:proofErr w:type="gramEnd"/>
    </w:p>
  </w:footnote>
  <w:footnote w:id="39">
    <w:p w:rsidR="009A5DAA" w:rsidRPr="009A5DAA" w:rsidRDefault="009A5DAA">
      <w:pPr>
        <w:pStyle w:val="FootnoteText"/>
      </w:pPr>
      <w:r>
        <w:rPr>
          <w:rStyle w:val="FootnoteReference"/>
        </w:rPr>
        <w:footnoteRef/>
      </w:r>
      <w:r>
        <w:t xml:space="preserve"> </w:t>
      </w:r>
      <w:proofErr w:type="gramStart"/>
      <w:r>
        <w:rPr>
          <w:i/>
        </w:rPr>
        <w:t xml:space="preserve">ibid, </w:t>
      </w:r>
      <w:r>
        <w:t>224.</w:t>
      </w:r>
      <w:proofErr w:type="gramEnd"/>
    </w:p>
  </w:footnote>
  <w:footnote w:id="40">
    <w:p w:rsidR="00C13A38" w:rsidRPr="00877C75" w:rsidRDefault="00C13A38" w:rsidP="002A6ED7">
      <w:pPr>
        <w:pStyle w:val="FootnoteText"/>
      </w:pPr>
      <w:r>
        <w:rPr>
          <w:rStyle w:val="FootnoteReference"/>
        </w:rPr>
        <w:footnoteRef/>
      </w:r>
      <w:r>
        <w:t xml:space="preserve"> </w:t>
      </w:r>
      <w:r>
        <w:rPr>
          <w:i/>
        </w:rPr>
        <w:t xml:space="preserve">Re: Farm Fresh Frozen Foods Ltd </w:t>
      </w:r>
      <w:r>
        <w:t xml:space="preserve">[1980] ILRM 131, 136. </w:t>
      </w:r>
    </w:p>
  </w:footnote>
  <w:footnote w:id="41">
    <w:p w:rsidR="00C13A38" w:rsidRPr="00877C75" w:rsidRDefault="00C13A38" w:rsidP="002A6ED7">
      <w:pPr>
        <w:pStyle w:val="FootnoteText"/>
      </w:pPr>
      <w:r>
        <w:rPr>
          <w:rStyle w:val="FootnoteReference"/>
        </w:rPr>
        <w:footnoteRef/>
      </w:r>
      <w:r>
        <w:t xml:space="preserve"> </w:t>
      </w:r>
      <w:r>
        <w:rPr>
          <w:i/>
        </w:rPr>
        <w:t xml:space="preserve">Re: </w:t>
      </w:r>
      <w:proofErr w:type="spellStart"/>
      <w:r>
        <w:rPr>
          <w:i/>
        </w:rPr>
        <w:t>Telomatic</w:t>
      </w:r>
      <w:proofErr w:type="spellEnd"/>
      <w:r>
        <w:rPr>
          <w:i/>
        </w:rPr>
        <w:t xml:space="preserve"> Ltd </w:t>
      </w:r>
      <w:r>
        <w:t xml:space="preserve">[1994] 1 BCLC 90, 94.  </w:t>
      </w:r>
    </w:p>
  </w:footnote>
  <w:footnote w:id="42">
    <w:p w:rsidR="00C13A38" w:rsidRPr="00877C75" w:rsidRDefault="00C13A38" w:rsidP="002A6ED7">
      <w:pPr>
        <w:pStyle w:val="FootnoteText"/>
      </w:pPr>
      <w:r>
        <w:rPr>
          <w:rStyle w:val="FootnoteReference"/>
        </w:rPr>
        <w:footnoteRef/>
      </w:r>
      <w:r>
        <w:t xml:space="preserve"> </w:t>
      </w:r>
      <w:r>
        <w:rPr>
          <w:i/>
        </w:rPr>
        <w:t xml:space="preserve">Re: </w:t>
      </w:r>
      <w:proofErr w:type="spellStart"/>
      <w:r>
        <w:rPr>
          <w:i/>
        </w:rPr>
        <w:t>Ashputron</w:t>
      </w:r>
      <w:proofErr w:type="spellEnd"/>
      <w:r>
        <w:rPr>
          <w:i/>
        </w:rPr>
        <w:t xml:space="preserve"> Estates </w:t>
      </w:r>
      <w:r>
        <w:t xml:space="preserve">[1983] </w:t>
      </w:r>
      <w:proofErr w:type="spellStart"/>
      <w:r>
        <w:t>Ch</w:t>
      </w:r>
      <w:proofErr w:type="spellEnd"/>
      <w:r>
        <w:t xml:space="preserve"> 110. </w:t>
      </w:r>
    </w:p>
  </w:footnote>
  <w:footnote w:id="43">
    <w:p w:rsidR="00C13A38" w:rsidRDefault="00C13A38" w:rsidP="002A6ED7">
      <w:pPr>
        <w:pStyle w:val="FootnoteText"/>
      </w:pPr>
      <w:r>
        <w:rPr>
          <w:rStyle w:val="FootnoteReference"/>
        </w:rPr>
        <w:footnoteRef/>
      </w:r>
      <w:r>
        <w:t xml:space="preserve"> </w:t>
      </w:r>
      <w:proofErr w:type="gramStart"/>
      <w:r w:rsidR="00476F72">
        <w:t xml:space="preserve">Beale and others (n </w:t>
      </w:r>
      <w:r w:rsidR="004E020C">
        <w:t>13</w:t>
      </w:r>
      <w:r w:rsidR="00476F72">
        <w:t>), 350.</w:t>
      </w:r>
      <w:proofErr w:type="gramEnd"/>
    </w:p>
  </w:footnote>
  <w:footnote w:id="44">
    <w:p w:rsidR="00C13A38" w:rsidRPr="002D1796" w:rsidRDefault="00C13A38" w:rsidP="002A6ED7">
      <w:pPr>
        <w:pStyle w:val="FootnoteText"/>
      </w:pPr>
      <w:r>
        <w:rPr>
          <w:rStyle w:val="FootnoteReference"/>
        </w:rPr>
        <w:footnoteRef/>
      </w:r>
      <w:r>
        <w:t xml:space="preserve"> </w:t>
      </w:r>
      <w:r>
        <w:rPr>
          <w:i/>
        </w:rPr>
        <w:t xml:space="preserve">Re: Joplin Brewery </w:t>
      </w:r>
      <w:r>
        <w:t xml:space="preserve">[1902] 1 </w:t>
      </w:r>
      <w:proofErr w:type="spellStart"/>
      <w:r>
        <w:t>Ch</w:t>
      </w:r>
      <w:proofErr w:type="spellEnd"/>
      <w:r>
        <w:t xml:space="preserve"> 79.</w:t>
      </w:r>
    </w:p>
  </w:footnote>
  <w:footnote w:id="45">
    <w:p w:rsidR="00C13A38" w:rsidRPr="0009751E" w:rsidRDefault="00C13A38" w:rsidP="002A6ED7">
      <w:pPr>
        <w:pStyle w:val="FootnoteText"/>
      </w:pPr>
      <w:r>
        <w:rPr>
          <w:rStyle w:val="FootnoteReference"/>
        </w:rPr>
        <w:footnoteRef/>
      </w:r>
      <w:r>
        <w:t xml:space="preserve"> </w:t>
      </w:r>
      <w:proofErr w:type="gramStart"/>
      <w:r>
        <w:t xml:space="preserve">T Courtney, </w:t>
      </w:r>
      <w:r>
        <w:rPr>
          <w:i/>
        </w:rPr>
        <w:t xml:space="preserve">Law of Private Companies </w:t>
      </w:r>
      <w:r>
        <w:t>(2</w:t>
      </w:r>
      <w:r w:rsidRPr="0009751E">
        <w:rPr>
          <w:vertAlign w:val="superscript"/>
        </w:rPr>
        <w:t>nd</w:t>
      </w:r>
      <w:r>
        <w:t xml:space="preserve"> </w:t>
      </w:r>
      <w:proofErr w:type="spellStart"/>
      <w:r>
        <w:t>edn</w:t>
      </w:r>
      <w:proofErr w:type="spellEnd"/>
      <w:r>
        <w:t>.</w:t>
      </w:r>
      <w:proofErr w:type="gramEnd"/>
      <w:r>
        <w:t xml:space="preserve"> </w:t>
      </w:r>
      <w:proofErr w:type="gramStart"/>
      <w:r>
        <w:t>Lexis Nexus, 2002), [21.090].</w:t>
      </w:r>
      <w:proofErr w:type="gramEnd"/>
      <w:r>
        <w:t xml:space="preserve">  Courtney’s views have changed in light of </w:t>
      </w:r>
      <w:r>
        <w:rPr>
          <w:i/>
        </w:rPr>
        <w:t xml:space="preserve">Re: Investment Options and Solutions Ltd </w:t>
      </w:r>
      <w:r>
        <w:t xml:space="preserve">(n 31). </w:t>
      </w:r>
      <w:proofErr w:type="gramStart"/>
      <w:r>
        <w:t xml:space="preserve">See T Courtney, </w:t>
      </w:r>
      <w:r>
        <w:rPr>
          <w:i/>
        </w:rPr>
        <w:t xml:space="preserve">Law of Private Companies </w:t>
      </w:r>
      <w:r>
        <w:t>(3</w:t>
      </w:r>
      <w:r w:rsidRPr="0009751E">
        <w:rPr>
          <w:vertAlign w:val="superscript"/>
        </w:rPr>
        <w:t>rd</w:t>
      </w:r>
      <w:r>
        <w:t xml:space="preserve"> </w:t>
      </w:r>
      <w:proofErr w:type="spellStart"/>
      <w:r>
        <w:t>edn</w:t>
      </w:r>
      <w:proofErr w:type="spellEnd"/>
      <w:r>
        <w:t>.</w:t>
      </w:r>
      <w:proofErr w:type="gramEnd"/>
      <w:r>
        <w:t xml:space="preserve"> </w:t>
      </w:r>
      <w:proofErr w:type="gramStart"/>
      <w:r>
        <w:t>Bloomsbury Professional, 2012), [19.092]</w:t>
      </w:r>
      <w:r w:rsidR="00476F72">
        <w:t>.</w:t>
      </w:r>
      <w:proofErr w:type="gramEnd"/>
      <w:r>
        <w:t xml:space="preserve"> See also L McCann and T Courtney, </w:t>
      </w:r>
      <w:r>
        <w:rPr>
          <w:i/>
        </w:rPr>
        <w:t xml:space="preserve">Companies Acts 1963-2006 </w:t>
      </w:r>
      <w:r>
        <w:t xml:space="preserve">(Bloomsbury Professional, 2007), 225. </w:t>
      </w:r>
    </w:p>
  </w:footnote>
  <w:footnote w:id="46">
    <w:p w:rsidR="00C13A38" w:rsidRPr="00A1067A" w:rsidRDefault="00C13A38" w:rsidP="002A6ED7">
      <w:pPr>
        <w:pStyle w:val="FootnoteText"/>
        <w:rPr>
          <w:i/>
        </w:rPr>
      </w:pPr>
      <w:r>
        <w:rPr>
          <w:rStyle w:val="FootnoteReference"/>
        </w:rPr>
        <w:footnoteRef/>
      </w:r>
      <w:r>
        <w:t xml:space="preserve"> </w:t>
      </w:r>
      <w:r>
        <w:rPr>
          <w:i/>
        </w:rPr>
        <w:t xml:space="preserve">Re: Investment Options and Solutions Ltd </w:t>
      </w:r>
      <w:r>
        <w:t>(n 31)</w:t>
      </w:r>
    </w:p>
  </w:footnote>
  <w:footnote w:id="47">
    <w:p w:rsidR="00C13A38" w:rsidRDefault="00C13A38">
      <w:pPr>
        <w:pStyle w:val="FootnoteText"/>
      </w:pPr>
      <w:r>
        <w:rPr>
          <w:rStyle w:val="FootnoteReference"/>
        </w:rPr>
        <w:footnoteRef/>
      </w:r>
      <w:r>
        <w:t xml:space="preserve"> </w:t>
      </w:r>
      <w:proofErr w:type="gramStart"/>
      <w:r>
        <w:t>[1991] BCLC 888, hereafter ‘</w:t>
      </w:r>
      <w:r>
        <w:rPr>
          <w:i/>
        </w:rPr>
        <w:t>Exeter Trust</w:t>
      </w:r>
      <w:r>
        <w:t>’.</w:t>
      </w:r>
      <w:proofErr w:type="gramEnd"/>
    </w:p>
  </w:footnote>
  <w:footnote w:id="48">
    <w:p w:rsidR="00C13A38" w:rsidRDefault="00C13A38">
      <w:pPr>
        <w:pStyle w:val="FootnoteText"/>
      </w:pPr>
      <w:r>
        <w:rPr>
          <w:rStyle w:val="FootnoteReference"/>
        </w:rPr>
        <w:footnoteRef/>
      </w:r>
      <w:r>
        <w:t xml:space="preserve"> </w:t>
      </w:r>
      <w:proofErr w:type="gramStart"/>
      <w:r>
        <w:t>[2006] EWHC 109 (</w:t>
      </w:r>
      <w:proofErr w:type="spellStart"/>
      <w:r>
        <w:t>Ch</w:t>
      </w:r>
      <w:proofErr w:type="spellEnd"/>
      <w:r>
        <w:t xml:space="preserve">), hereafter </w:t>
      </w:r>
      <w:r>
        <w:rPr>
          <w:i/>
        </w:rPr>
        <w:t>‘Top Marques</w:t>
      </w:r>
      <w:r>
        <w:t>’.</w:t>
      </w:r>
      <w:proofErr w:type="gramEnd"/>
      <w:r>
        <w:t xml:space="preserve"> </w:t>
      </w:r>
    </w:p>
  </w:footnote>
  <w:footnote w:id="49">
    <w:p w:rsidR="00C13A38" w:rsidRPr="00E85351" w:rsidRDefault="00C13A38">
      <w:pPr>
        <w:pStyle w:val="FootnoteText"/>
      </w:pPr>
      <w:r>
        <w:rPr>
          <w:rStyle w:val="FootnoteReference"/>
        </w:rPr>
        <w:footnoteRef/>
      </w:r>
      <w:r>
        <w:t xml:space="preserve"> </w:t>
      </w:r>
      <w:r>
        <w:rPr>
          <w:i/>
        </w:rPr>
        <w:t xml:space="preserve">Exeter </w:t>
      </w:r>
      <w:proofErr w:type="gramStart"/>
      <w:r>
        <w:rPr>
          <w:i/>
        </w:rPr>
        <w:t xml:space="preserve">Trust </w:t>
      </w:r>
      <w:r>
        <w:t xml:space="preserve"> (</w:t>
      </w:r>
      <w:proofErr w:type="gramEnd"/>
      <w:r>
        <w:t>n 44), 893.</w:t>
      </w:r>
    </w:p>
  </w:footnote>
  <w:footnote w:id="50">
    <w:p w:rsidR="00C13A38" w:rsidRPr="00E85351" w:rsidRDefault="00C13A38" w:rsidP="002A6ED7">
      <w:pPr>
        <w:pStyle w:val="FootnoteText"/>
      </w:pPr>
      <w:r>
        <w:rPr>
          <w:rStyle w:val="FootnoteReference"/>
        </w:rPr>
        <w:footnoteRef/>
      </w:r>
      <w:r>
        <w:t xml:space="preserve"> See </w:t>
      </w:r>
      <w:r>
        <w:rPr>
          <w:i/>
        </w:rPr>
        <w:t xml:space="preserve">Re: Charles (LH) &amp; Co Ltd </w:t>
      </w:r>
      <w:r>
        <w:t>[1935] WN 15.</w:t>
      </w:r>
    </w:p>
  </w:footnote>
  <w:footnote w:id="51">
    <w:p w:rsidR="00C13A38" w:rsidRPr="00ED1EDB" w:rsidRDefault="00C13A38">
      <w:pPr>
        <w:pStyle w:val="FootnoteText"/>
      </w:pPr>
      <w:r>
        <w:rPr>
          <w:rStyle w:val="FootnoteReference"/>
        </w:rPr>
        <w:footnoteRef/>
      </w:r>
      <w:r>
        <w:t xml:space="preserve"> On the significance of the company’s solvency to the making of an order extending the time for registration see </w:t>
      </w:r>
      <w:r>
        <w:rPr>
          <w:i/>
        </w:rPr>
        <w:t xml:space="preserve">Re: </w:t>
      </w:r>
      <w:proofErr w:type="spellStart"/>
      <w:r>
        <w:rPr>
          <w:i/>
        </w:rPr>
        <w:t>Ashpurton</w:t>
      </w:r>
      <w:proofErr w:type="spellEnd"/>
      <w:r>
        <w:rPr>
          <w:i/>
        </w:rPr>
        <w:t xml:space="preserve"> Estates Ltd </w:t>
      </w:r>
      <w:r>
        <w:t xml:space="preserve">(n 39) and </w:t>
      </w:r>
      <w:r>
        <w:rPr>
          <w:i/>
        </w:rPr>
        <w:t xml:space="preserve">Re: </w:t>
      </w:r>
      <w:proofErr w:type="spellStart"/>
      <w:r>
        <w:rPr>
          <w:i/>
        </w:rPr>
        <w:t>Resnoid</w:t>
      </w:r>
      <w:proofErr w:type="spellEnd"/>
      <w:r>
        <w:rPr>
          <w:i/>
        </w:rPr>
        <w:t xml:space="preserve"> &amp; Mica Products Ltd </w:t>
      </w:r>
      <w:r>
        <w:t xml:space="preserve">[1983] </w:t>
      </w:r>
      <w:proofErr w:type="spellStart"/>
      <w:r>
        <w:t>Ch</w:t>
      </w:r>
      <w:proofErr w:type="spellEnd"/>
      <w:r>
        <w:t xml:space="preserve"> 132 (decided in 1967). See also Beale and others (n </w:t>
      </w:r>
      <w:r w:rsidR="004E020C">
        <w:t>13</w:t>
      </w:r>
      <w:r>
        <w:t xml:space="preserve">), 352 and McCormack (n 15), 224-225. </w:t>
      </w:r>
    </w:p>
  </w:footnote>
  <w:footnote w:id="52">
    <w:p w:rsidR="00C13A38" w:rsidRPr="00145C7F" w:rsidRDefault="00C13A38" w:rsidP="00145C7F">
      <w:pPr>
        <w:pStyle w:val="FootnoteText"/>
      </w:pPr>
      <w:r>
        <w:rPr>
          <w:rStyle w:val="FootnoteReference"/>
        </w:rPr>
        <w:footnoteRef/>
      </w:r>
      <w:r>
        <w:t xml:space="preserve"> </w:t>
      </w:r>
      <w:proofErr w:type="gramStart"/>
      <w:r>
        <w:rPr>
          <w:i/>
        </w:rPr>
        <w:t xml:space="preserve">Top Marques </w:t>
      </w:r>
      <w:r>
        <w:t>(n 45) at [29]-[30].</w:t>
      </w:r>
      <w:proofErr w:type="gramEnd"/>
      <w:r>
        <w:t xml:space="preserve"> </w:t>
      </w:r>
    </w:p>
  </w:footnote>
  <w:footnote w:id="53">
    <w:p w:rsidR="00C13A38" w:rsidRDefault="00C13A38">
      <w:pPr>
        <w:pStyle w:val="FootnoteText"/>
      </w:pPr>
      <w:r>
        <w:rPr>
          <w:rStyle w:val="FootnoteReference"/>
        </w:rPr>
        <w:footnoteRef/>
      </w:r>
      <w:r>
        <w:t xml:space="preserve"> Unreported, High Court, 27</w:t>
      </w:r>
      <w:r w:rsidRPr="002A6ED7">
        <w:rPr>
          <w:vertAlign w:val="superscript"/>
        </w:rPr>
        <w:t>th</w:t>
      </w:r>
      <w:r>
        <w:t xml:space="preserve"> January 1978.</w:t>
      </w:r>
    </w:p>
  </w:footnote>
  <w:footnote w:id="54">
    <w:p w:rsidR="00C13A38" w:rsidRDefault="00C13A38">
      <w:pPr>
        <w:pStyle w:val="FootnoteText"/>
      </w:pPr>
      <w:r>
        <w:rPr>
          <w:rStyle w:val="FootnoteReference"/>
        </w:rPr>
        <w:footnoteRef/>
      </w:r>
      <w:r>
        <w:t xml:space="preserve"> </w:t>
      </w:r>
      <w:proofErr w:type="gramStart"/>
      <w:r>
        <w:t>ibid.,</w:t>
      </w:r>
      <w:proofErr w:type="gramEnd"/>
      <w:r>
        <w:t xml:space="preserve"> 10. </w:t>
      </w:r>
    </w:p>
  </w:footnote>
  <w:footnote w:id="55">
    <w:p w:rsidR="00C13A38" w:rsidRDefault="00C13A38">
      <w:pPr>
        <w:pStyle w:val="FootnoteText"/>
      </w:pPr>
      <w:r>
        <w:rPr>
          <w:rStyle w:val="FootnoteReference"/>
        </w:rPr>
        <w:footnoteRef/>
      </w:r>
      <w:r>
        <w:t xml:space="preserve"> </w:t>
      </w:r>
      <w:proofErr w:type="gramStart"/>
      <w:r>
        <w:t>[1986] 1 QB 1114, hereafter ‘Central Bank of India’.</w:t>
      </w:r>
      <w:proofErr w:type="gramEnd"/>
    </w:p>
  </w:footnote>
  <w:footnote w:id="56">
    <w:p w:rsidR="00C13A38" w:rsidRPr="00F178F2" w:rsidRDefault="00C13A38">
      <w:pPr>
        <w:pStyle w:val="FootnoteText"/>
      </w:pPr>
      <w:r>
        <w:rPr>
          <w:rStyle w:val="FootnoteReference"/>
        </w:rPr>
        <w:footnoteRef/>
      </w:r>
      <w:r>
        <w:t xml:space="preserve"> </w:t>
      </w:r>
      <w:proofErr w:type="gramStart"/>
      <w:r>
        <w:rPr>
          <w:i/>
        </w:rPr>
        <w:t xml:space="preserve">ibid. </w:t>
      </w:r>
      <w:r>
        <w:t>1134.</w:t>
      </w:r>
      <w:proofErr w:type="gramEnd"/>
      <w:r>
        <w:t xml:space="preserve"> </w:t>
      </w:r>
    </w:p>
  </w:footnote>
  <w:footnote w:id="57">
    <w:p w:rsidR="00C13A38" w:rsidRPr="00DE7892" w:rsidRDefault="00C13A38">
      <w:pPr>
        <w:pStyle w:val="FootnoteText"/>
      </w:pPr>
      <w:r>
        <w:rPr>
          <w:rStyle w:val="FootnoteReference"/>
        </w:rPr>
        <w:footnoteRef/>
      </w:r>
      <w:r>
        <w:t xml:space="preserve"> </w:t>
      </w:r>
      <w:proofErr w:type="gramStart"/>
      <w:r>
        <w:rPr>
          <w:i/>
        </w:rPr>
        <w:t xml:space="preserve">ibid. </w:t>
      </w:r>
      <w:r>
        <w:t>1169.</w:t>
      </w:r>
      <w:proofErr w:type="gramEnd"/>
    </w:p>
  </w:footnote>
  <w:footnote w:id="58">
    <w:p w:rsidR="00C13A38" w:rsidRPr="00367873" w:rsidRDefault="00C13A38">
      <w:pPr>
        <w:pStyle w:val="FootnoteText"/>
      </w:pPr>
      <w:r>
        <w:rPr>
          <w:rStyle w:val="FootnoteReference"/>
        </w:rPr>
        <w:footnoteRef/>
      </w:r>
      <w:r>
        <w:t xml:space="preserve"> </w:t>
      </w:r>
      <w:proofErr w:type="spellStart"/>
      <w:proofErr w:type="gramStart"/>
      <w:r>
        <w:rPr>
          <w:i/>
        </w:rPr>
        <w:t>Yolland</w:t>
      </w:r>
      <w:proofErr w:type="spellEnd"/>
      <w:r>
        <w:rPr>
          <w:i/>
        </w:rPr>
        <w:t xml:space="preserve"> </w:t>
      </w:r>
      <w:r>
        <w:t>(n 25),</w:t>
      </w:r>
      <w:r>
        <w:rPr>
          <w:i/>
        </w:rPr>
        <w:t xml:space="preserve"> </w:t>
      </w:r>
      <w:r w:rsidRPr="00367873">
        <w:t>156</w:t>
      </w:r>
      <w:r>
        <w:t>.</w:t>
      </w:r>
      <w:proofErr w:type="gramEnd"/>
    </w:p>
  </w:footnote>
  <w:footnote w:id="59">
    <w:p w:rsidR="00C13A38" w:rsidRPr="00C77A80" w:rsidRDefault="00C13A38">
      <w:pPr>
        <w:pStyle w:val="FootnoteText"/>
      </w:pPr>
      <w:r>
        <w:rPr>
          <w:rStyle w:val="FootnoteReference"/>
        </w:rPr>
        <w:footnoteRef/>
      </w:r>
      <w:r>
        <w:t xml:space="preserve"> </w:t>
      </w:r>
      <w:proofErr w:type="spellStart"/>
      <w:proofErr w:type="gramStart"/>
      <w:r>
        <w:rPr>
          <w:i/>
        </w:rPr>
        <w:t>Amurec</w:t>
      </w:r>
      <w:proofErr w:type="spellEnd"/>
      <w:r>
        <w:rPr>
          <w:i/>
        </w:rPr>
        <w:t xml:space="preserve"> </w:t>
      </w:r>
      <w:r>
        <w:t>(n 26), 227.</w:t>
      </w:r>
      <w:proofErr w:type="gramEnd"/>
    </w:p>
  </w:footnote>
  <w:footnote w:id="60">
    <w:p w:rsidR="00C13A38" w:rsidRPr="00C77A80" w:rsidRDefault="00C13A38">
      <w:pPr>
        <w:pStyle w:val="FootnoteText"/>
      </w:pPr>
      <w:r>
        <w:rPr>
          <w:rStyle w:val="FootnoteReference"/>
        </w:rPr>
        <w:footnoteRef/>
      </w:r>
      <w:r>
        <w:t xml:space="preserve"> </w:t>
      </w:r>
      <w:proofErr w:type="gramStart"/>
      <w:r>
        <w:rPr>
          <w:i/>
        </w:rPr>
        <w:t xml:space="preserve">Eric Holmes </w:t>
      </w:r>
      <w:r>
        <w:t>(n 33), 1072.</w:t>
      </w:r>
      <w:proofErr w:type="gramEnd"/>
    </w:p>
  </w:footnote>
  <w:footnote w:id="61">
    <w:p w:rsidR="00C13A38" w:rsidRPr="00421D83" w:rsidRDefault="00C13A38">
      <w:pPr>
        <w:pStyle w:val="FootnoteText"/>
      </w:pPr>
      <w:r>
        <w:rPr>
          <w:rStyle w:val="FootnoteReference"/>
        </w:rPr>
        <w:footnoteRef/>
      </w:r>
      <w:r>
        <w:t xml:space="preserve"> </w:t>
      </w:r>
      <w:proofErr w:type="gramStart"/>
      <w:r>
        <w:t>[2010] IEHC 107, [9].</w:t>
      </w:r>
      <w:proofErr w:type="gramEnd"/>
    </w:p>
  </w:footnote>
  <w:footnote w:id="62">
    <w:p w:rsidR="00094E74" w:rsidRDefault="00094E74">
      <w:pPr>
        <w:pStyle w:val="FootnoteText"/>
      </w:pPr>
      <w:r>
        <w:rPr>
          <w:rStyle w:val="FootnoteReference"/>
        </w:rPr>
        <w:footnoteRef/>
      </w:r>
      <w:r>
        <w:t xml:space="preserve"> </w:t>
      </w:r>
      <w:proofErr w:type="gramStart"/>
      <w:r>
        <w:t>[2000] 1 BCLC 661.</w:t>
      </w:r>
      <w:proofErr w:type="gramEnd"/>
      <w:r>
        <w:t xml:space="preserve"> </w:t>
      </w:r>
    </w:p>
  </w:footnote>
  <w:footnote w:id="63">
    <w:p w:rsidR="00C13A38" w:rsidRDefault="00C13A38">
      <w:pPr>
        <w:pStyle w:val="FootnoteText"/>
      </w:pPr>
      <w:r>
        <w:rPr>
          <w:rStyle w:val="FootnoteReference"/>
        </w:rPr>
        <w:footnoteRef/>
      </w:r>
      <w:r>
        <w:t xml:space="preserve"> </w:t>
      </w:r>
      <w:proofErr w:type="gramStart"/>
      <w:r>
        <w:t xml:space="preserve">[1913] 2 </w:t>
      </w:r>
      <w:proofErr w:type="spellStart"/>
      <w:r>
        <w:t>Ch</w:t>
      </w:r>
      <w:proofErr w:type="spellEnd"/>
      <w:r>
        <w:t xml:space="preserve"> 366.</w:t>
      </w:r>
      <w:proofErr w:type="gramEnd"/>
    </w:p>
  </w:footnote>
  <w:footnote w:id="64">
    <w:p w:rsidR="00C13A38" w:rsidRDefault="00C13A38">
      <w:pPr>
        <w:pStyle w:val="FootnoteText"/>
      </w:pPr>
      <w:r>
        <w:rPr>
          <w:rStyle w:val="FootnoteReference"/>
        </w:rPr>
        <w:footnoteRef/>
      </w:r>
      <w:r>
        <w:t xml:space="preserve"> </w:t>
      </w:r>
      <w:proofErr w:type="gramStart"/>
      <w:r>
        <w:t xml:space="preserve">[1904] 1 </w:t>
      </w:r>
      <w:proofErr w:type="spellStart"/>
      <w:r>
        <w:t>Ch</w:t>
      </w:r>
      <w:proofErr w:type="spellEnd"/>
      <w:r>
        <w:t xml:space="preserve"> 37.</w:t>
      </w:r>
      <w:proofErr w:type="gramEnd"/>
    </w:p>
  </w:footnote>
  <w:footnote w:id="65">
    <w:p w:rsidR="00C13A38" w:rsidRDefault="00C13A38">
      <w:pPr>
        <w:pStyle w:val="FootnoteText"/>
      </w:pPr>
      <w:r>
        <w:rPr>
          <w:rStyle w:val="FootnoteReference"/>
        </w:rPr>
        <w:footnoteRef/>
      </w:r>
      <w:r>
        <w:t xml:space="preserve"> </w:t>
      </w:r>
      <w:proofErr w:type="spellStart"/>
      <w:r>
        <w:rPr>
          <w:i/>
        </w:rPr>
        <w:t>Yolland</w:t>
      </w:r>
      <w:proofErr w:type="spellEnd"/>
      <w:r>
        <w:rPr>
          <w:i/>
        </w:rPr>
        <w:t xml:space="preserve"> </w:t>
      </w:r>
      <w:r>
        <w:t>(n 25)</w:t>
      </w:r>
      <w:proofErr w:type="gramStart"/>
      <w:r>
        <w:t>,159</w:t>
      </w:r>
      <w:proofErr w:type="gramEnd"/>
      <w:r>
        <w:t xml:space="preserve">. </w:t>
      </w:r>
    </w:p>
  </w:footnote>
  <w:footnote w:id="66">
    <w:p w:rsidR="00C13A38" w:rsidRDefault="00C13A38">
      <w:pPr>
        <w:pStyle w:val="FootnoteText"/>
      </w:pPr>
      <w:r>
        <w:rPr>
          <w:rStyle w:val="FootnoteReference"/>
        </w:rPr>
        <w:footnoteRef/>
      </w:r>
      <w:r>
        <w:t xml:space="preserve"> </w:t>
      </w:r>
      <w:proofErr w:type="gramStart"/>
      <w:r>
        <w:t>ibid.,</w:t>
      </w:r>
      <w:proofErr w:type="gramEnd"/>
      <w:r>
        <w:t xml:space="preserve"> 158. </w:t>
      </w:r>
    </w:p>
  </w:footnote>
  <w:footnote w:id="67">
    <w:p w:rsidR="00C13A38" w:rsidRPr="000F357E" w:rsidRDefault="00C13A38">
      <w:pPr>
        <w:pStyle w:val="FootnoteText"/>
      </w:pPr>
      <w:r>
        <w:rPr>
          <w:rStyle w:val="FootnoteReference"/>
        </w:rPr>
        <w:footnoteRef/>
      </w:r>
      <w:r>
        <w:t xml:space="preserve"> For an overview of the experiences with the bills of sale register in Ireland see B Maguire, ‘Bills of Sale: The Forgotten Relation?’ </w:t>
      </w:r>
      <w:proofErr w:type="gramStart"/>
      <w:r>
        <w:t xml:space="preserve">(1997) 4 </w:t>
      </w:r>
      <w:r>
        <w:rPr>
          <w:i/>
        </w:rPr>
        <w:t xml:space="preserve">Commercial Law Practitioner </w:t>
      </w:r>
      <w:r>
        <w:t>3.</w:t>
      </w:r>
      <w:proofErr w:type="gramEnd"/>
      <w:r>
        <w:t xml:space="preserve"> The difficulties with the system are best summed up by Goode who has claimed that “it is easier for a camel to pass through the eye of a needle than for a bill of sale to be drafted which complies with all the technical requirements of the Acts”, see RM Goode, ‘Removing the Obstacles to Commercial Law Reform’ (2007) 123 </w:t>
      </w:r>
      <w:r>
        <w:rPr>
          <w:i/>
        </w:rPr>
        <w:t xml:space="preserve">Law Quarterly Review </w:t>
      </w:r>
      <w:r>
        <w:t xml:space="preserve">602, 603. </w:t>
      </w:r>
    </w:p>
  </w:footnote>
  <w:footnote w:id="68">
    <w:p w:rsidR="00C13A38" w:rsidRPr="00292BE4" w:rsidRDefault="00C13A38">
      <w:pPr>
        <w:pStyle w:val="FootnoteText"/>
      </w:pPr>
      <w:r>
        <w:rPr>
          <w:rStyle w:val="FootnoteReference"/>
        </w:rPr>
        <w:footnoteRef/>
      </w:r>
      <w:r>
        <w:t xml:space="preserve"> See W Johnston, </w:t>
      </w:r>
      <w:r>
        <w:rPr>
          <w:i/>
        </w:rPr>
        <w:t>Banking and Security Law in Ireland</w:t>
      </w:r>
      <w:r>
        <w:t xml:space="preserve"> (</w:t>
      </w:r>
      <w:proofErr w:type="spellStart"/>
      <w:r>
        <w:t>Butterworths</w:t>
      </w:r>
      <w:proofErr w:type="spellEnd"/>
      <w:r>
        <w:t xml:space="preserve">, 1996), 418-426. </w:t>
      </w:r>
    </w:p>
  </w:footnote>
  <w:footnote w:id="69">
    <w:p w:rsidR="00F2511F" w:rsidRPr="00F2511F" w:rsidRDefault="00F2511F">
      <w:pPr>
        <w:pStyle w:val="FootnoteText"/>
      </w:pPr>
      <w:r>
        <w:rPr>
          <w:rStyle w:val="FootnoteReference"/>
        </w:rPr>
        <w:footnoteRef/>
      </w:r>
      <w:r>
        <w:t xml:space="preserve"> Company Law Review Group, </w:t>
      </w:r>
      <w:r>
        <w:rPr>
          <w:i/>
        </w:rPr>
        <w:t xml:space="preserve">Report on Second Work Programme of Company Law Review Group 2002-2003 </w:t>
      </w:r>
      <w:r>
        <w:t>(2004), [8</w:t>
      </w:r>
      <w:r w:rsidR="00344B75">
        <w:t>.11.4</w:t>
      </w:r>
      <w:r>
        <w:t>].</w:t>
      </w:r>
    </w:p>
  </w:footnote>
  <w:footnote w:id="70">
    <w:p w:rsidR="00344B75" w:rsidRPr="00344B75" w:rsidRDefault="00344B75">
      <w:pPr>
        <w:pStyle w:val="FootnoteText"/>
      </w:pPr>
      <w:r>
        <w:rPr>
          <w:rStyle w:val="FootnoteReference"/>
        </w:rPr>
        <w:footnoteRef/>
      </w:r>
      <w:r>
        <w:t xml:space="preserve"> </w:t>
      </w:r>
      <w:proofErr w:type="gramStart"/>
      <w:r w:rsidRPr="00453C9B">
        <w:rPr>
          <w:i/>
        </w:rPr>
        <w:t>ibid.</w:t>
      </w:r>
      <w:r>
        <w:t xml:space="preserve"> [8.2.5].</w:t>
      </w:r>
      <w:proofErr w:type="gramEnd"/>
      <w:r>
        <w:t xml:space="preserve"> The general principle of requiring registration is subject to an exception for financial collateral arrangements </w:t>
      </w:r>
      <w:proofErr w:type="gramStart"/>
      <w:r>
        <w:t xml:space="preserve">see  </w:t>
      </w:r>
      <w:r w:rsidRPr="00344B75">
        <w:t>European</w:t>
      </w:r>
      <w:proofErr w:type="gramEnd"/>
      <w:r w:rsidRPr="00344B75">
        <w:t xml:space="preserve"> Communities (Financial Collateral Arrangements) Regulations</w:t>
      </w:r>
      <w:r w:rsidR="00641E83">
        <w:t xml:space="preserve"> </w:t>
      </w:r>
      <w:r w:rsidRPr="00344B75">
        <w:t>2004</w:t>
      </w:r>
      <w:r>
        <w:t xml:space="preserve"> (S.I. 1/2004) and the </w:t>
      </w:r>
      <w:r w:rsidRPr="00344B75">
        <w:t>European Communities (Financial Collateral Arrangements) (Amendment) (No. 2) </w:t>
      </w:r>
      <w:r w:rsidR="00641E83">
        <w:t xml:space="preserve">Regulations </w:t>
      </w:r>
      <w:r>
        <w:t xml:space="preserve">2011 (S.I. 318/2011). </w:t>
      </w:r>
    </w:p>
  </w:footnote>
  <w:footnote w:id="71">
    <w:p w:rsidR="00344B75" w:rsidRPr="00344B75" w:rsidRDefault="00344B75">
      <w:pPr>
        <w:pStyle w:val="FootnoteText"/>
      </w:pPr>
      <w:r>
        <w:rPr>
          <w:rStyle w:val="FootnoteReference"/>
        </w:rPr>
        <w:footnoteRef/>
      </w:r>
      <w:r>
        <w:t xml:space="preserve"> Company Law Review Group, (n 66), [8.3.11]</w:t>
      </w:r>
    </w:p>
  </w:footnote>
  <w:footnote w:id="72">
    <w:p w:rsidR="006B36B8" w:rsidRPr="006B36B8" w:rsidRDefault="006B36B8">
      <w:pPr>
        <w:pStyle w:val="FootnoteText"/>
      </w:pPr>
      <w:r>
        <w:rPr>
          <w:rStyle w:val="FootnoteReference"/>
        </w:rPr>
        <w:footnoteRef/>
      </w:r>
      <w:r>
        <w:t xml:space="preserve"> For a detailed consideration of </w:t>
      </w:r>
      <w:r w:rsidR="007F3826">
        <w:t xml:space="preserve">the effect of the proposed </w:t>
      </w:r>
      <w:r>
        <w:t xml:space="preserve">legislation </w:t>
      </w:r>
      <w:r w:rsidR="007F3826">
        <w:t xml:space="preserve">on the company charge register </w:t>
      </w:r>
      <w:r>
        <w:t>see N McGrath, ‘</w:t>
      </w:r>
      <w:r w:rsidRPr="006B36B8">
        <w:t xml:space="preserve">'The Company Charge Register in Ireland: Some Reflections on the Reform Proposals in the </w:t>
      </w:r>
      <w:r>
        <w:t xml:space="preserve">Companies Consolidation and Reform Bill 2012’ [2013] </w:t>
      </w:r>
      <w:r>
        <w:rPr>
          <w:i/>
        </w:rPr>
        <w:t xml:space="preserve">Journal of Business Law </w:t>
      </w:r>
      <w:r>
        <w:t>303.</w:t>
      </w:r>
    </w:p>
  </w:footnote>
  <w:footnote w:id="73">
    <w:p w:rsidR="008440C3" w:rsidRDefault="008440C3">
      <w:pPr>
        <w:pStyle w:val="FootnoteText"/>
      </w:pPr>
      <w:r>
        <w:rPr>
          <w:rStyle w:val="FootnoteReference"/>
        </w:rPr>
        <w:footnoteRef/>
      </w:r>
      <w:r>
        <w:t xml:space="preserve"> </w:t>
      </w:r>
      <w:proofErr w:type="gramStart"/>
      <w:r>
        <w:t>See cl. 410(3) and (4) Companies Consolidation and Reform Bill 2012.</w:t>
      </w:r>
      <w:proofErr w:type="gramEnd"/>
      <w:r>
        <w:t xml:space="preserve"> </w:t>
      </w:r>
    </w:p>
  </w:footnote>
  <w:footnote w:id="74">
    <w:p w:rsidR="007F3826" w:rsidRDefault="007F3826">
      <w:pPr>
        <w:pStyle w:val="FootnoteText"/>
      </w:pPr>
      <w:r>
        <w:rPr>
          <w:rStyle w:val="FootnoteReference"/>
        </w:rPr>
        <w:footnoteRef/>
      </w:r>
      <w:r>
        <w:t xml:space="preserve"> </w:t>
      </w:r>
      <w:proofErr w:type="gramStart"/>
      <w:r>
        <w:t>See Company Law Review Group (n 66), [8.4.1]-[8.4.11].</w:t>
      </w:r>
      <w:proofErr w:type="gramEnd"/>
    </w:p>
  </w:footnote>
  <w:footnote w:id="75">
    <w:p w:rsidR="003A72E7" w:rsidRDefault="003A72E7">
      <w:pPr>
        <w:pStyle w:val="FootnoteText"/>
      </w:pPr>
      <w:r>
        <w:rPr>
          <w:rStyle w:val="FootnoteReference"/>
        </w:rPr>
        <w:footnoteRef/>
      </w:r>
      <w:r>
        <w:t xml:space="preserve"> See cl. 415 Companies Consolidation and Reform Bill 2012 which phrased in almost identical terms to s.100 Companies Act 1963.</w:t>
      </w:r>
    </w:p>
  </w:footnote>
  <w:footnote w:id="76">
    <w:p w:rsidR="004165D7" w:rsidRPr="004165D7" w:rsidRDefault="004165D7">
      <w:pPr>
        <w:pStyle w:val="FootnoteText"/>
      </w:pPr>
      <w:r>
        <w:rPr>
          <w:rStyle w:val="FootnoteReference"/>
        </w:rPr>
        <w:footnoteRef/>
      </w:r>
      <w:r>
        <w:t xml:space="preserve"> </w:t>
      </w:r>
      <w:proofErr w:type="spellStart"/>
      <w:proofErr w:type="gramStart"/>
      <w:r>
        <w:rPr>
          <w:i/>
        </w:rPr>
        <w:t>Charnley</w:t>
      </w:r>
      <w:proofErr w:type="spellEnd"/>
      <w:r>
        <w:rPr>
          <w:i/>
        </w:rPr>
        <w:t xml:space="preserve"> </w:t>
      </w:r>
      <w:r>
        <w:t>(n 24).</w:t>
      </w:r>
      <w:proofErr w:type="gramEnd"/>
      <w:r>
        <w:t xml:space="preserve"> </w:t>
      </w:r>
    </w:p>
  </w:footnote>
  <w:footnote w:id="77">
    <w:p w:rsidR="004165D7" w:rsidRPr="004165D7" w:rsidRDefault="004165D7">
      <w:pPr>
        <w:pStyle w:val="FootnoteText"/>
      </w:pPr>
      <w:r>
        <w:rPr>
          <w:rStyle w:val="FootnoteReference"/>
        </w:rPr>
        <w:footnoteRef/>
      </w:r>
      <w:r>
        <w:t xml:space="preserve"> </w:t>
      </w:r>
      <w:r>
        <w:rPr>
          <w:i/>
        </w:rPr>
        <w:t xml:space="preserve">Re: Valley Ice Cream Ltd </w:t>
      </w:r>
      <w:r>
        <w:t>(n 30).</w:t>
      </w:r>
    </w:p>
  </w:footnote>
  <w:footnote w:id="78">
    <w:p w:rsidR="00445C49" w:rsidRDefault="00445C49">
      <w:pPr>
        <w:pStyle w:val="FootnoteText"/>
      </w:pPr>
      <w:r>
        <w:rPr>
          <w:rStyle w:val="FootnoteReference"/>
        </w:rPr>
        <w:footnoteRef/>
      </w:r>
      <w:r>
        <w:t xml:space="preserve"> See </w:t>
      </w:r>
      <w:proofErr w:type="gramStart"/>
      <w:r>
        <w:t>s.284(</w:t>
      </w:r>
      <w:proofErr w:type="gramEnd"/>
      <w:r>
        <w:t xml:space="preserve">1) Companies Act 1963. </w:t>
      </w:r>
    </w:p>
    <w:p w:rsidR="00B64ED9" w:rsidRDefault="004E3B64">
      <w:pPr>
        <w:pStyle w:val="FootnoteText"/>
      </w:pPr>
      <w:r>
        <w:rPr>
          <w:i/>
        </w:rPr>
        <w:t>cc</w:t>
      </w:r>
      <w:r w:rsidR="00B64ED9">
        <w:t xml:space="preserve">c </w:t>
      </w:r>
      <w:r w:rsidR="00B64ED9">
        <w:rPr>
          <w:i/>
        </w:rPr>
        <w:t>A</w:t>
      </w:r>
    </w:p>
  </w:footnote>
  <w:footnote w:id="79">
    <w:p w:rsidR="00B64ED9" w:rsidRDefault="00B64ED9">
      <w:pPr>
        <w:pStyle w:val="FootnoteText"/>
      </w:pPr>
      <w:r>
        <w:rPr>
          <w:i/>
        </w:rPr>
        <w:t>A</w:t>
      </w:r>
    </w:p>
  </w:footnote>
  <w:footnote w:id="80">
    <w:p w:rsidR="0071113C" w:rsidRDefault="007111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26E"/>
    <w:multiLevelType w:val="hybridMultilevel"/>
    <w:tmpl w:val="D9786718"/>
    <w:lvl w:ilvl="0" w:tplc="8708E542">
      <w:start w:val="2"/>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05D653B"/>
    <w:multiLevelType w:val="hybridMultilevel"/>
    <w:tmpl w:val="B846F64E"/>
    <w:lvl w:ilvl="0" w:tplc="8756987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9C70CA"/>
    <w:multiLevelType w:val="hybridMultilevel"/>
    <w:tmpl w:val="0D6C426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D065A1"/>
    <w:multiLevelType w:val="hybridMultilevel"/>
    <w:tmpl w:val="34AAC344"/>
    <w:lvl w:ilvl="0" w:tplc="CE1A3A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5A70BEB"/>
    <w:multiLevelType w:val="hybridMultilevel"/>
    <w:tmpl w:val="CAB07B08"/>
    <w:lvl w:ilvl="0" w:tplc="7570B924">
      <w:start w:val="1"/>
      <w:numFmt w:val="upp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961438F"/>
    <w:multiLevelType w:val="hybridMultilevel"/>
    <w:tmpl w:val="32DEEE6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1251FF0"/>
    <w:multiLevelType w:val="hybridMultilevel"/>
    <w:tmpl w:val="97CAB70C"/>
    <w:lvl w:ilvl="0" w:tplc="64F0DAA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5B92AB6"/>
    <w:multiLevelType w:val="hybridMultilevel"/>
    <w:tmpl w:val="4C2A38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A4F38F3"/>
    <w:multiLevelType w:val="hybridMultilevel"/>
    <w:tmpl w:val="3686222C"/>
    <w:lvl w:ilvl="0" w:tplc="37121C58">
      <w:start w:val="1"/>
      <w:numFmt w:val="upp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E354493"/>
    <w:multiLevelType w:val="hybridMultilevel"/>
    <w:tmpl w:val="BA9EB452"/>
    <w:lvl w:ilvl="0" w:tplc="B7165CA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E7B3A49"/>
    <w:multiLevelType w:val="hybridMultilevel"/>
    <w:tmpl w:val="48484C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8371E5C"/>
    <w:multiLevelType w:val="hybridMultilevel"/>
    <w:tmpl w:val="347263B8"/>
    <w:lvl w:ilvl="0" w:tplc="8B001E34">
      <w:start w:val="1"/>
      <w:numFmt w:val="lowerLetter"/>
      <w:lvlText w:val="(%1)"/>
      <w:lvlJc w:val="left"/>
      <w:pPr>
        <w:ind w:left="720" w:hanging="360"/>
      </w:pPr>
      <w:rPr>
        <w:rFonts w:cs="Times New Roman"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0"/>
  </w:num>
  <w:num w:numId="6">
    <w:abstractNumId w:val="3"/>
  </w:num>
  <w:num w:numId="7">
    <w:abstractNumId w:val="11"/>
  </w:num>
  <w:num w:numId="8">
    <w:abstractNumId w:val="6"/>
  </w:num>
  <w:num w:numId="9">
    <w:abstractNumId w:val="10"/>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E9"/>
    <w:rsid w:val="000043A9"/>
    <w:rsid w:val="00012F4E"/>
    <w:rsid w:val="00064CAA"/>
    <w:rsid w:val="00087D04"/>
    <w:rsid w:val="00094E74"/>
    <w:rsid w:val="0009751E"/>
    <w:rsid w:val="000C223D"/>
    <w:rsid w:val="000C2984"/>
    <w:rsid w:val="000F357E"/>
    <w:rsid w:val="00134682"/>
    <w:rsid w:val="001410B1"/>
    <w:rsid w:val="00145C7F"/>
    <w:rsid w:val="001A5232"/>
    <w:rsid w:val="001C1F8B"/>
    <w:rsid w:val="00205F1B"/>
    <w:rsid w:val="00231C06"/>
    <w:rsid w:val="00251C4B"/>
    <w:rsid w:val="00254C84"/>
    <w:rsid w:val="002737F7"/>
    <w:rsid w:val="0027414A"/>
    <w:rsid w:val="0027584B"/>
    <w:rsid w:val="00290AEB"/>
    <w:rsid w:val="00292BE4"/>
    <w:rsid w:val="002A6ED7"/>
    <w:rsid w:val="002D1796"/>
    <w:rsid w:val="002D2A21"/>
    <w:rsid w:val="002F41D0"/>
    <w:rsid w:val="00310BC6"/>
    <w:rsid w:val="00344B75"/>
    <w:rsid w:val="00367873"/>
    <w:rsid w:val="003A6648"/>
    <w:rsid w:val="003A72E7"/>
    <w:rsid w:val="003C2F45"/>
    <w:rsid w:val="003F3CEB"/>
    <w:rsid w:val="004153F4"/>
    <w:rsid w:val="004165D7"/>
    <w:rsid w:val="00421D83"/>
    <w:rsid w:val="00430E09"/>
    <w:rsid w:val="0043720E"/>
    <w:rsid w:val="00441E0F"/>
    <w:rsid w:val="004440F2"/>
    <w:rsid w:val="00445C49"/>
    <w:rsid w:val="00450BD0"/>
    <w:rsid w:val="0045162E"/>
    <w:rsid w:val="00453C9B"/>
    <w:rsid w:val="00476F72"/>
    <w:rsid w:val="00481E27"/>
    <w:rsid w:val="00483F35"/>
    <w:rsid w:val="00484F47"/>
    <w:rsid w:val="00491D75"/>
    <w:rsid w:val="004956A5"/>
    <w:rsid w:val="004B4441"/>
    <w:rsid w:val="004E020C"/>
    <w:rsid w:val="004E3B64"/>
    <w:rsid w:val="00506F7C"/>
    <w:rsid w:val="00512C3F"/>
    <w:rsid w:val="005325B6"/>
    <w:rsid w:val="00543677"/>
    <w:rsid w:val="0055044F"/>
    <w:rsid w:val="00573110"/>
    <w:rsid w:val="005A1917"/>
    <w:rsid w:val="005E2132"/>
    <w:rsid w:val="00606B03"/>
    <w:rsid w:val="00610EF4"/>
    <w:rsid w:val="00641E83"/>
    <w:rsid w:val="00661700"/>
    <w:rsid w:val="00662EB0"/>
    <w:rsid w:val="006832E2"/>
    <w:rsid w:val="006B08E1"/>
    <w:rsid w:val="006B36B8"/>
    <w:rsid w:val="006C272C"/>
    <w:rsid w:val="0071113C"/>
    <w:rsid w:val="00737106"/>
    <w:rsid w:val="00757FD1"/>
    <w:rsid w:val="00761262"/>
    <w:rsid w:val="00771E95"/>
    <w:rsid w:val="007813E9"/>
    <w:rsid w:val="007871B6"/>
    <w:rsid w:val="007A4DD3"/>
    <w:rsid w:val="007B49F5"/>
    <w:rsid w:val="007C1851"/>
    <w:rsid w:val="007C1C6F"/>
    <w:rsid w:val="007D50C1"/>
    <w:rsid w:val="007E73AB"/>
    <w:rsid w:val="007F18F2"/>
    <w:rsid w:val="007F3826"/>
    <w:rsid w:val="007F5568"/>
    <w:rsid w:val="00802ACF"/>
    <w:rsid w:val="00803873"/>
    <w:rsid w:val="00814929"/>
    <w:rsid w:val="00817EC2"/>
    <w:rsid w:val="0083116C"/>
    <w:rsid w:val="008348D3"/>
    <w:rsid w:val="008440C3"/>
    <w:rsid w:val="008768E9"/>
    <w:rsid w:val="00877C75"/>
    <w:rsid w:val="008B3E65"/>
    <w:rsid w:val="00905C4F"/>
    <w:rsid w:val="00917D82"/>
    <w:rsid w:val="0092332A"/>
    <w:rsid w:val="009262D0"/>
    <w:rsid w:val="00930A91"/>
    <w:rsid w:val="00932657"/>
    <w:rsid w:val="009544E2"/>
    <w:rsid w:val="00960CAF"/>
    <w:rsid w:val="00962C3B"/>
    <w:rsid w:val="00982820"/>
    <w:rsid w:val="009A5DAA"/>
    <w:rsid w:val="009B1149"/>
    <w:rsid w:val="009D62BD"/>
    <w:rsid w:val="009E2A3D"/>
    <w:rsid w:val="009E3516"/>
    <w:rsid w:val="00A1067A"/>
    <w:rsid w:val="00A21744"/>
    <w:rsid w:val="00A300E2"/>
    <w:rsid w:val="00A44A5B"/>
    <w:rsid w:val="00A609ED"/>
    <w:rsid w:val="00A76DE1"/>
    <w:rsid w:val="00A920FE"/>
    <w:rsid w:val="00AA1D4C"/>
    <w:rsid w:val="00AD3DC6"/>
    <w:rsid w:val="00AD5A60"/>
    <w:rsid w:val="00B12F44"/>
    <w:rsid w:val="00B15DA6"/>
    <w:rsid w:val="00B341D6"/>
    <w:rsid w:val="00B378CA"/>
    <w:rsid w:val="00B4383C"/>
    <w:rsid w:val="00B64ED9"/>
    <w:rsid w:val="00B81C0E"/>
    <w:rsid w:val="00B865E9"/>
    <w:rsid w:val="00BC2632"/>
    <w:rsid w:val="00BD27C5"/>
    <w:rsid w:val="00BF08C4"/>
    <w:rsid w:val="00BF0E27"/>
    <w:rsid w:val="00C037FF"/>
    <w:rsid w:val="00C13A38"/>
    <w:rsid w:val="00C16D7C"/>
    <w:rsid w:val="00C26C7C"/>
    <w:rsid w:val="00C47465"/>
    <w:rsid w:val="00C53AD3"/>
    <w:rsid w:val="00C77A80"/>
    <w:rsid w:val="00CC6B7D"/>
    <w:rsid w:val="00CD0869"/>
    <w:rsid w:val="00CD1490"/>
    <w:rsid w:val="00CE2E1A"/>
    <w:rsid w:val="00DA5FAC"/>
    <w:rsid w:val="00DB3B8A"/>
    <w:rsid w:val="00DC14F8"/>
    <w:rsid w:val="00DE7892"/>
    <w:rsid w:val="00DF188E"/>
    <w:rsid w:val="00E019B3"/>
    <w:rsid w:val="00E03C10"/>
    <w:rsid w:val="00E064F4"/>
    <w:rsid w:val="00E60465"/>
    <w:rsid w:val="00E85351"/>
    <w:rsid w:val="00EA0EC8"/>
    <w:rsid w:val="00EA5735"/>
    <w:rsid w:val="00EB360C"/>
    <w:rsid w:val="00EC6B3F"/>
    <w:rsid w:val="00ED1EDB"/>
    <w:rsid w:val="00ED2789"/>
    <w:rsid w:val="00EF0B41"/>
    <w:rsid w:val="00EF2931"/>
    <w:rsid w:val="00EF5CA9"/>
    <w:rsid w:val="00F178F2"/>
    <w:rsid w:val="00F2511F"/>
    <w:rsid w:val="00F278B3"/>
    <w:rsid w:val="00F30698"/>
    <w:rsid w:val="00F61263"/>
    <w:rsid w:val="00F67C2A"/>
    <w:rsid w:val="00F812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E9"/>
    <w:rPr>
      <w:rFonts w:ascii="Times New Roman" w:hAnsi="Times New Roman"/>
      <w:sz w:val="24"/>
    </w:rPr>
  </w:style>
  <w:style w:type="paragraph" w:styleId="Heading1">
    <w:name w:val="heading 1"/>
    <w:basedOn w:val="Normal"/>
    <w:next w:val="Normal"/>
    <w:link w:val="Heading1Char"/>
    <w:uiPriority w:val="9"/>
    <w:qFormat/>
    <w:rsid w:val="00344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65E9"/>
    <w:pPr>
      <w:spacing w:after="0" w:line="240" w:lineRule="auto"/>
    </w:pPr>
    <w:rPr>
      <w:sz w:val="20"/>
      <w:szCs w:val="20"/>
    </w:rPr>
  </w:style>
  <w:style w:type="character" w:customStyle="1" w:styleId="FootnoteTextChar">
    <w:name w:val="Footnote Text Char"/>
    <w:basedOn w:val="DefaultParagraphFont"/>
    <w:link w:val="FootnoteText"/>
    <w:uiPriority w:val="99"/>
    <w:rsid w:val="00B865E9"/>
    <w:rPr>
      <w:rFonts w:ascii="Times New Roman" w:hAnsi="Times New Roman"/>
      <w:sz w:val="20"/>
      <w:szCs w:val="20"/>
    </w:rPr>
  </w:style>
  <w:style w:type="character" w:styleId="FootnoteReference">
    <w:name w:val="footnote reference"/>
    <w:basedOn w:val="DefaultParagraphFont"/>
    <w:uiPriority w:val="99"/>
    <w:semiHidden/>
    <w:unhideWhenUsed/>
    <w:rsid w:val="00B865E9"/>
    <w:rPr>
      <w:vertAlign w:val="superscript"/>
    </w:rPr>
  </w:style>
  <w:style w:type="paragraph" w:styleId="ListParagraph">
    <w:name w:val="List Paragraph"/>
    <w:basedOn w:val="Normal"/>
    <w:uiPriority w:val="34"/>
    <w:qFormat/>
    <w:rsid w:val="00B865E9"/>
    <w:pPr>
      <w:ind w:left="720"/>
      <w:contextualSpacing/>
    </w:pPr>
  </w:style>
  <w:style w:type="character" w:customStyle="1" w:styleId="apple-converted-space">
    <w:name w:val="apple-converted-space"/>
    <w:basedOn w:val="DefaultParagraphFont"/>
    <w:rsid w:val="007A4DD3"/>
  </w:style>
  <w:style w:type="character" w:customStyle="1" w:styleId="2">
    <w:name w:val="2"/>
    <w:basedOn w:val="DefaultParagraphFont"/>
    <w:rsid w:val="000C223D"/>
  </w:style>
  <w:style w:type="character" w:customStyle="1" w:styleId="5">
    <w:name w:val="5"/>
    <w:basedOn w:val="DefaultParagraphFont"/>
    <w:rsid w:val="000C223D"/>
  </w:style>
  <w:style w:type="paragraph" w:styleId="Revision">
    <w:name w:val="Revision"/>
    <w:hidden/>
    <w:uiPriority w:val="99"/>
    <w:semiHidden/>
    <w:rsid w:val="00AD5A60"/>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D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60"/>
    <w:rPr>
      <w:rFonts w:ascii="Tahoma" w:hAnsi="Tahoma" w:cs="Tahoma"/>
      <w:sz w:val="16"/>
      <w:szCs w:val="16"/>
    </w:rPr>
  </w:style>
  <w:style w:type="character" w:styleId="CommentReference">
    <w:name w:val="annotation reference"/>
    <w:basedOn w:val="DefaultParagraphFont"/>
    <w:uiPriority w:val="99"/>
    <w:semiHidden/>
    <w:unhideWhenUsed/>
    <w:rsid w:val="005325B6"/>
    <w:rPr>
      <w:sz w:val="16"/>
      <w:szCs w:val="16"/>
    </w:rPr>
  </w:style>
  <w:style w:type="paragraph" w:styleId="CommentText">
    <w:name w:val="annotation text"/>
    <w:basedOn w:val="Normal"/>
    <w:link w:val="CommentTextChar"/>
    <w:uiPriority w:val="99"/>
    <w:semiHidden/>
    <w:unhideWhenUsed/>
    <w:rsid w:val="005325B6"/>
    <w:pPr>
      <w:spacing w:line="240" w:lineRule="auto"/>
    </w:pPr>
    <w:rPr>
      <w:sz w:val="20"/>
      <w:szCs w:val="20"/>
    </w:rPr>
  </w:style>
  <w:style w:type="character" w:customStyle="1" w:styleId="CommentTextChar">
    <w:name w:val="Comment Text Char"/>
    <w:basedOn w:val="DefaultParagraphFont"/>
    <w:link w:val="CommentText"/>
    <w:uiPriority w:val="99"/>
    <w:semiHidden/>
    <w:rsid w:val="005325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25B6"/>
    <w:rPr>
      <w:b/>
      <w:bCs/>
    </w:rPr>
  </w:style>
  <w:style w:type="character" w:customStyle="1" w:styleId="CommentSubjectChar">
    <w:name w:val="Comment Subject Char"/>
    <w:basedOn w:val="CommentTextChar"/>
    <w:link w:val="CommentSubject"/>
    <w:uiPriority w:val="99"/>
    <w:semiHidden/>
    <w:rsid w:val="005325B6"/>
    <w:rPr>
      <w:rFonts w:ascii="Times New Roman" w:hAnsi="Times New Roman"/>
      <w:b/>
      <w:bCs/>
      <w:sz w:val="20"/>
      <w:szCs w:val="20"/>
    </w:rPr>
  </w:style>
  <w:style w:type="character" w:customStyle="1" w:styleId="Heading1Char">
    <w:name w:val="Heading 1 Char"/>
    <w:basedOn w:val="DefaultParagraphFont"/>
    <w:link w:val="Heading1"/>
    <w:uiPriority w:val="9"/>
    <w:rsid w:val="00344B7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E9"/>
    <w:rPr>
      <w:rFonts w:ascii="Times New Roman" w:hAnsi="Times New Roman"/>
      <w:sz w:val="24"/>
    </w:rPr>
  </w:style>
  <w:style w:type="paragraph" w:styleId="Heading1">
    <w:name w:val="heading 1"/>
    <w:basedOn w:val="Normal"/>
    <w:next w:val="Normal"/>
    <w:link w:val="Heading1Char"/>
    <w:uiPriority w:val="9"/>
    <w:qFormat/>
    <w:rsid w:val="00344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65E9"/>
    <w:pPr>
      <w:spacing w:after="0" w:line="240" w:lineRule="auto"/>
    </w:pPr>
    <w:rPr>
      <w:sz w:val="20"/>
      <w:szCs w:val="20"/>
    </w:rPr>
  </w:style>
  <w:style w:type="character" w:customStyle="1" w:styleId="FootnoteTextChar">
    <w:name w:val="Footnote Text Char"/>
    <w:basedOn w:val="DefaultParagraphFont"/>
    <w:link w:val="FootnoteText"/>
    <w:uiPriority w:val="99"/>
    <w:rsid w:val="00B865E9"/>
    <w:rPr>
      <w:rFonts w:ascii="Times New Roman" w:hAnsi="Times New Roman"/>
      <w:sz w:val="20"/>
      <w:szCs w:val="20"/>
    </w:rPr>
  </w:style>
  <w:style w:type="character" w:styleId="FootnoteReference">
    <w:name w:val="footnote reference"/>
    <w:basedOn w:val="DefaultParagraphFont"/>
    <w:uiPriority w:val="99"/>
    <w:semiHidden/>
    <w:unhideWhenUsed/>
    <w:rsid w:val="00B865E9"/>
    <w:rPr>
      <w:vertAlign w:val="superscript"/>
    </w:rPr>
  </w:style>
  <w:style w:type="paragraph" w:styleId="ListParagraph">
    <w:name w:val="List Paragraph"/>
    <w:basedOn w:val="Normal"/>
    <w:uiPriority w:val="34"/>
    <w:qFormat/>
    <w:rsid w:val="00B865E9"/>
    <w:pPr>
      <w:ind w:left="720"/>
      <w:contextualSpacing/>
    </w:pPr>
  </w:style>
  <w:style w:type="character" w:customStyle="1" w:styleId="apple-converted-space">
    <w:name w:val="apple-converted-space"/>
    <w:basedOn w:val="DefaultParagraphFont"/>
    <w:rsid w:val="007A4DD3"/>
  </w:style>
  <w:style w:type="character" w:customStyle="1" w:styleId="2">
    <w:name w:val="2"/>
    <w:basedOn w:val="DefaultParagraphFont"/>
    <w:rsid w:val="000C223D"/>
  </w:style>
  <w:style w:type="character" w:customStyle="1" w:styleId="5">
    <w:name w:val="5"/>
    <w:basedOn w:val="DefaultParagraphFont"/>
    <w:rsid w:val="000C223D"/>
  </w:style>
  <w:style w:type="paragraph" w:styleId="Revision">
    <w:name w:val="Revision"/>
    <w:hidden/>
    <w:uiPriority w:val="99"/>
    <w:semiHidden/>
    <w:rsid w:val="00AD5A60"/>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D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60"/>
    <w:rPr>
      <w:rFonts w:ascii="Tahoma" w:hAnsi="Tahoma" w:cs="Tahoma"/>
      <w:sz w:val="16"/>
      <w:szCs w:val="16"/>
    </w:rPr>
  </w:style>
  <w:style w:type="character" w:styleId="CommentReference">
    <w:name w:val="annotation reference"/>
    <w:basedOn w:val="DefaultParagraphFont"/>
    <w:uiPriority w:val="99"/>
    <w:semiHidden/>
    <w:unhideWhenUsed/>
    <w:rsid w:val="005325B6"/>
    <w:rPr>
      <w:sz w:val="16"/>
      <w:szCs w:val="16"/>
    </w:rPr>
  </w:style>
  <w:style w:type="paragraph" w:styleId="CommentText">
    <w:name w:val="annotation text"/>
    <w:basedOn w:val="Normal"/>
    <w:link w:val="CommentTextChar"/>
    <w:uiPriority w:val="99"/>
    <w:semiHidden/>
    <w:unhideWhenUsed/>
    <w:rsid w:val="005325B6"/>
    <w:pPr>
      <w:spacing w:line="240" w:lineRule="auto"/>
    </w:pPr>
    <w:rPr>
      <w:sz w:val="20"/>
      <w:szCs w:val="20"/>
    </w:rPr>
  </w:style>
  <w:style w:type="character" w:customStyle="1" w:styleId="CommentTextChar">
    <w:name w:val="Comment Text Char"/>
    <w:basedOn w:val="DefaultParagraphFont"/>
    <w:link w:val="CommentText"/>
    <w:uiPriority w:val="99"/>
    <w:semiHidden/>
    <w:rsid w:val="005325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25B6"/>
    <w:rPr>
      <w:b/>
      <w:bCs/>
    </w:rPr>
  </w:style>
  <w:style w:type="character" w:customStyle="1" w:styleId="CommentSubjectChar">
    <w:name w:val="Comment Subject Char"/>
    <w:basedOn w:val="CommentTextChar"/>
    <w:link w:val="CommentSubject"/>
    <w:uiPriority w:val="99"/>
    <w:semiHidden/>
    <w:rsid w:val="005325B6"/>
    <w:rPr>
      <w:rFonts w:ascii="Times New Roman" w:hAnsi="Times New Roman"/>
      <w:b/>
      <w:bCs/>
      <w:sz w:val="20"/>
      <w:szCs w:val="20"/>
    </w:rPr>
  </w:style>
  <w:style w:type="character" w:customStyle="1" w:styleId="Heading1Char">
    <w:name w:val="Heading 1 Char"/>
    <w:basedOn w:val="DefaultParagraphFont"/>
    <w:link w:val="Heading1"/>
    <w:uiPriority w:val="9"/>
    <w:rsid w:val="00344B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2948">
      <w:bodyDiv w:val="1"/>
      <w:marLeft w:val="0"/>
      <w:marRight w:val="0"/>
      <w:marTop w:val="0"/>
      <w:marBottom w:val="0"/>
      <w:divBdr>
        <w:top w:val="none" w:sz="0" w:space="0" w:color="auto"/>
        <w:left w:val="none" w:sz="0" w:space="0" w:color="auto"/>
        <w:bottom w:val="none" w:sz="0" w:space="0" w:color="auto"/>
        <w:right w:val="none" w:sz="0" w:space="0" w:color="auto"/>
      </w:divBdr>
    </w:div>
    <w:div w:id="8255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E927-C4BF-4A2C-B641-5B199CE6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9400</Words>
  <Characters>53585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62860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McGrath</dc:creator>
  <cp:lastModifiedBy>Noel McGrath</cp:lastModifiedBy>
  <cp:revision>2</cp:revision>
  <dcterms:created xsi:type="dcterms:W3CDTF">2013-07-18T15:11:00Z</dcterms:created>
  <dcterms:modified xsi:type="dcterms:W3CDTF">2013-07-18T15:11:00Z</dcterms:modified>
</cp:coreProperties>
</file>