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8BADD" w14:textId="55D9ADFF" w:rsidR="002A20F9" w:rsidRPr="00F900BA" w:rsidRDefault="00F965A1" w:rsidP="00890D06">
      <w:pPr>
        <w:spacing w:after="240" w:line="480" w:lineRule="auto"/>
        <w:jc w:val="center"/>
        <w:rPr>
          <w:b/>
          <w:sz w:val="24"/>
          <w:szCs w:val="24"/>
        </w:rPr>
      </w:pPr>
      <w:r w:rsidRPr="00C34BE8">
        <w:rPr>
          <w:b/>
          <w:sz w:val="24"/>
          <w:szCs w:val="24"/>
        </w:rPr>
        <w:t xml:space="preserve">Sustainable scale-up of Irish seaweed production: </w:t>
      </w:r>
      <w:r w:rsidR="005E12FE" w:rsidRPr="00C34BE8">
        <w:rPr>
          <w:b/>
          <w:sz w:val="24"/>
          <w:szCs w:val="24"/>
        </w:rPr>
        <w:t>Quantifying</w:t>
      </w:r>
      <w:r w:rsidRPr="00C34BE8">
        <w:rPr>
          <w:b/>
          <w:sz w:val="24"/>
          <w:szCs w:val="24"/>
        </w:rPr>
        <w:t xml:space="preserve"> potential </w:t>
      </w:r>
      <w:r w:rsidR="000E39FC">
        <w:rPr>
          <w:b/>
          <w:sz w:val="24"/>
          <w:szCs w:val="24"/>
        </w:rPr>
        <w:t>environmental</w:t>
      </w:r>
      <w:r w:rsidR="00B00211">
        <w:rPr>
          <w:b/>
          <w:sz w:val="24"/>
          <w:szCs w:val="24"/>
        </w:rPr>
        <w:t>, economic,</w:t>
      </w:r>
      <w:r w:rsidRPr="00C34BE8">
        <w:rPr>
          <w:b/>
          <w:sz w:val="24"/>
          <w:szCs w:val="24"/>
        </w:rPr>
        <w:t xml:space="preserve"> and social impacts </w:t>
      </w:r>
      <w:r w:rsidR="00C34BE8" w:rsidRPr="00C34BE8">
        <w:rPr>
          <w:b/>
          <w:sz w:val="24"/>
          <w:szCs w:val="24"/>
        </w:rPr>
        <w:t>of wild harvesting and cultivation</w:t>
      </w:r>
      <w:r w:rsidR="00B66111">
        <w:rPr>
          <w:b/>
          <w:sz w:val="24"/>
          <w:szCs w:val="24"/>
        </w:rPr>
        <w:t xml:space="preserve"> pathways</w:t>
      </w:r>
    </w:p>
    <w:p w14:paraId="6837195D" w14:textId="75C9A066" w:rsidR="002A20F9" w:rsidRPr="00F6329A" w:rsidRDefault="002A20F9" w:rsidP="00890D06">
      <w:pPr>
        <w:spacing w:after="240" w:line="480" w:lineRule="auto"/>
        <w:rPr>
          <w:iCs/>
          <w:color w:val="1155CC"/>
        </w:rPr>
      </w:pPr>
      <w:r w:rsidRPr="0043430C">
        <w:rPr>
          <w:iCs/>
        </w:rPr>
        <w:t>Charlene</w:t>
      </w:r>
      <w:r w:rsidR="00686C8D" w:rsidRPr="0043430C">
        <w:rPr>
          <w:iCs/>
        </w:rPr>
        <w:t xml:space="preserve"> Vance</w:t>
      </w:r>
      <w:r w:rsidRPr="0043430C">
        <w:rPr>
          <w:iCs/>
          <w:vertAlign w:val="superscript"/>
        </w:rPr>
        <w:t>1,</w:t>
      </w:r>
      <w:proofErr w:type="gramStart"/>
      <w:r w:rsidRPr="0043430C">
        <w:rPr>
          <w:iCs/>
          <w:vertAlign w:val="superscript"/>
        </w:rPr>
        <w:t>2</w:t>
      </w:r>
      <w:r w:rsidR="00F2084A" w:rsidRPr="0043430C">
        <w:rPr>
          <w:iCs/>
          <w:vertAlign w:val="superscript"/>
        </w:rPr>
        <w:t>,</w:t>
      </w:r>
      <w:r w:rsidR="0020360B">
        <w:rPr>
          <w:iCs/>
          <w:vertAlign w:val="superscript"/>
        </w:rPr>
        <w:t>*</w:t>
      </w:r>
      <w:proofErr w:type="gramEnd"/>
      <w:r w:rsidR="00F2084A" w:rsidRPr="0043430C">
        <w:rPr>
          <w:iCs/>
          <w:vertAlign w:val="superscript"/>
        </w:rPr>
        <w:t xml:space="preserve"> </w:t>
      </w:r>
      <w:r w:rsidR="00AA4512" w:rsidRPr="0043430C">
        <w:rPr>
          <w:iCs/>
          <w:color w:val="000000"/>
        </w:rPr>
        <w:t>Priya Pollard</w:t>
      </w:r>
      <w:r w:rsidR="00AA4512" w:rsidRPr="0043430C">
        <w:rPr>
          <w:iCs/>
          <w:color w:val="000000"/>
          <w:vertAlign w:val="superscript"/>
        </w:rPr>
        <w:t>3</w:t>
      </w:r>
      <w:r w:rsidR="001A60C3">
        <w:rPr>
          <w:iCs/>
          <w:color w:val="000000"/>
          <w:vertAlign w:val="superscript"/>
        </w:rPr>
        <w:t>,1</w:t>
      </w:r>
      <w:r w:rsidR="00F2084A" w:rsidRPr="0043430C">
        <w:rPr>
          <w:iCs/>
          <w:color w:val="1155CC"/>
        </w:rPr>
        <w:t xml:space="preserve">, </w:t>
      </w:r>
      <w:r w:rsidR="00AA4512" w:rsidRPr="0043430C">
        <w:rPr>
          <w:iCs/>
          <w:color w:val="000000"/>
        </w:rPr>
        <w:t>Julie M</w:t>
      </w:r>
      <w:r w:rsidR="00137E31" w:rsidRPr="0043430C">
        <w:rPr>
          <w:iCs/>
          <w:color w:val="000000"/>
        </w:rPr>
        <w:t>ag</w:t>
      </w:r>
      <w:r w:rsidR="00AA4512" w:rsidRPr="0043430C">
        <w:rPr>
          <w:iCs/>
          <w:color w:val="000000"/>
        </w:rPr>
        <w:t>uire</w:t>
      </w:r>
      <w:r w:rsidR="00AA4512" w:rsidRPr="0043430C">
        <w:rPr>
          <w:iCs/>
          <w:color w:val="000000"/>
          <w:vertAlign w:val="superscript"/>
        </w:rPr>
        <w:t>3</w:t>
      </w:r>
      <w:r w:rsidR="00F2084A" w:rsidRPr="0043430C">
        <w:rPr>
          <w:iCs/>
        </w:rPr>
        <w:t xml:space="preserve">, </w:t>
      </w:r>
      <w:r w:rsidRPr="0043430C">
        <w:rPr>
          <w:iCs/>
        </w:rPr>
        <w:t>Joseph Sweeney</w:t>
      </w:r>
      <w:r w:rsidRPr="0043430C">
        <w:rPr>
          <w:iCs/>
          <w:vertAlign w:val="superscript"/>
        </w:rPr>
        <w:t>1</w:t>
      </w:r>
      <w:r w:rsidR="00F2084A" w:rsidRPr="0043430C">
        <w:rPr>
          <w:iCs/>
        </w:rPr>
        <w:t xml:space="preserve">, </w:t>
      </w:r>
      <w:r w:rsidRPr="0043430C">
        <w:rPr>
          <w:iCs/>
        </w:rPr>
        <w:t>Fionnuala Murphy</w:t>
      </w:r>
      <w:r w:rsidRPr="0043430C">
        <w:rPr>
          <w:iCs/>
          <w:vertAlign w:val="superscript"/>
        </w:rPr>
        <w:t>1,2</w:t>
      </w:r>
    </w:p>
    <w:p w14:paraId="24D4FFBF" w14:textId="77777777" w:rsidR="002A20F9" w:rsidRDefault="002A20F9" w:rsidP="00890D06">
      <w:pPr>
        <w:spacing w:after="240" w:line="480" w:lineRule="auto"/>
        <w:rPr>
          <w:i/>
        </w:rPr>
      </w:pPr>
      <w:r>
        <w:rPr>
          <w:i/>
          <w:vertAlign w:val="superscript"/>
        </w:rPr>
        <w:t>1</w:t>
      </w:r>
      <w:r>
        <w:rPr>
          <w:i/>
        </w:rPr>
        <w:t>University College Dublin, School of Biosystems Engineering, UCD Belfield, Dublin 4, Ireland</w:t>
      </w:r>
    </w:p>
    <w:p w14:paraId="1A63F8A3" w14:textId="77777777" w:rsidR="002A20F9" w:rsidRDefault="002A20F9" w:rsidP="00890D06">
      <w:pPr>
        <w:spacing w:after="240" w:line="480" w:lineRule="auto"/>
        <w:rPr>
          <w:i/>
        </w:rPr>
      </w:pPr>
      <w:r>
        <w:rPr>
          <w:i/>
          <w:vertAlign w:val="superscript"/>
        </w:rPr>
        <w:t>2</w:t>
      </w:r>
      <w:r>
        <w:rPr>
          <w:i/>
        </w:rPr>
        <w:t>BiOrbic, UCD Belfield, Dublin 4, Ireland</w:t>
      </w:r>
    </w:p>
    <w:p w14:paraId="08464C2D" w14:textId="33B11D04" w:rsidR="002A20F9" w:rsidRDefault="002A20F9" w:rsidP="00890D06">
      <w:pPr>
        <w:spacing w:after="240" w:line="480" w:lineRule="auto"/>
        <w:rPr>
          <w:i/>
        </w:rPr>
      </w:pPr>
      <w:r>
        <w:rPr>
          <w:i/>
          <w:vertAlign w:val="superscript"/>
        </w:rPr>
        <w:t>3</w:t>
      </w:r>
      <w:r w:rsidR="00822A20" w:rsidRPr="00822A20">
        <w:rPr>
          <w:i/>
        </w:rPr>
        <w:t xml:space="preserve">Bantry Marine Research Station Limited, </w:t>
      </w:r>
      <w:proofErr w:type="spellStart"/>
      <w:r w:rsidR="00822A20" w:rsidRPr="00822A20">
        <w:rPr>
          <w:i/>
        </w:rPr>
        <w:t>Gearhies</w:t>
      </w:r>
      <w:proofErr w:type="spellEnd"/>
      <w:r w:rsidR="00822A20" w:rsidRPr="00822A20">
        <w:rPr>
          <w:i/>
        </w:rPr>
        <w:t>, Bantry, Co. Cork, Ireland</w:t>
      </w:r>
    </w:p>
    <w:p w14:paraId="75F16ABD" w14:textId="03CDD23D" w:rsidR="002A20F9" w:rsidRPr="00416B88" w:rsidRDefault="002A20F9" w:rsidP="00890D06">
      <w:pPr>
        <w:spacing w:after="240" w:line="480" w:lineRule="auto"/>
        <w:rPr>
          <w:i/>
        </w:rPr>
      </w:pPr>
      <w:r>
        <w:rPr>
          <w:i/>
        </w:rPr>
        <w:t>*Corresponding author</w:t>
      </w:r>
      <w:r w:rsidR="00F2084A">
        <w:rPr>
          <w:i/>
        </w:rPr>
        <w:t xml:space="preserve">: </w:t>
      </w:r>
      <w:hyperlink r:id="rId9" w:history="1">
        <w:r w:rsidR="00936F35" w:rsidRPr="00936F35">
          <w:rPr>
            <w:rStyle w:val="Hyperlink"/>
            <w:i/>
          </w:rPr>
          <w:t>charlene.vance@ucdconnect.ie</w:t>
        </w:r>
      </w:hyperlink>
      <w:r w:rsidR="00F2084A">
        <w:rPr>
          <w:i/>
          <w:color w:val="1155CC"/>
          <w:u w:val="single"/>
        </w:rPr>
        <w:t>.</w:t>
      </w:r>
    </w:p>
    <w:p w14:paraId="419C8BE2" w14:textId="77777777" w:rsidR="00DF7A81" w:rsidRPr="00AC360D" w:rsidRDefault="00F965A1" w:rsidP="00890D06">
      <w:pPr>
        <w:spacing w:after="240" w:line="480" w:lineRule="auto"/>
        <w:rPr>
          <w:b/>
        </w:rPr>
      </w:pPr>
      <w:r w:rsidRPr="00AC360D">
        <w:rPr>
          <w:b/>
        </w:rPr>
        <w:t>Abstract:</w:t>
      </w:r>
    </w:p>
    <w:p w14:paraId="1E7AD9A3" w14:textId="34D0A48C" w:rsidR="00781723" w:rsidRPr="00772900" w:rsidRDefault="00BB2CEB" w:rsidP="00890D06">
      <w:pPr>
        <w:pStyle w:val="NormalWeb"/>
        <w:spacing w:before="0" w:beforeAutospacing="0" w:after="240" w:afterAutospacing="0" w:line="480" w:lineRule="auto"/>
        <w:jc w:val="both"/>
        <w:rPr>
          <w:rFonts w:ascii="Arial" w:hAnsi="Arial" w:cs="Arial"/>
          <w:sz w:val="22"/>
          <w:szCs w:val="22"/>
        </w:rPr>
      </w:pPr>
      <w:r>
        <w:rPr>
          <w:rFonts w:ascii="Arial" w:hAnsi="Arial" w:cs="Arial"/>
          <w:sz w:val="22"/>
          <w:szCs w:val="22"/>
          <w:lang w:val="en-GB"/>
        </w:rPr>
        <w:t>S</w:t>
      </w:r>
      <w:r w:rsidR="0081070D">
        <w:rPr>
          <w:rFonts w:ascii="Arial" w:hAnsi="Arial" w:cs="Arial"/>
          <w:sz w:val="22"/>
          <w:szCs w:val="22"/>
        </w:rPr>
        <w:t>eaweed</w:t>
      </w:r>
      <w:r w:rsidR="00F965A1" w:rsidRPr="00772900">
        <w:rPr>
          <w:rFonts w:ascii="Arial" w:hAnsi="Arial" w:cs="Arial"/>
          <w:sz w:val="22"/>
          <w:szCs w:val="22"/>
        </w:rPr>
        <w:t xml:space="preserve"> is a versatile bioresource which can be used as a source of food, feed, fertilizer, and </w:t>
      </w:r>
      <w:sdt>
        <w:sdtPr>
          <w:rPr>
            <w:rFonts w:ascii="Arial" w:hAnsi="Arial" w:cs="Arial"/>
            <w:sz w:val="22"/>
            <w:szCs w:val="22"/>
          </w:rPr>
          <w:tag w:val="goog_rdk_0"/>
          <w:id w:val="578252979"/>
        </w:sdtPr>
        <w:sdtEndPr/>
        <w:sdtContent/>
      </w:sdt>
      <w:sdt>
        <w:sdtPr>
          <w:rPr>
            <w:rFonts w:ascii="Arial" w:hAnsi="Arial" w:cs="Arial"/>
            <w:sz w:val="22"/>
            <w:szCs w:val="22"/>
          </w:rPr>
          <w:tag w:val="goog_rdk_1"/>
          <w:id w:val="-800222052"/>
        </w:sdtPr>
        <w:sdtEndPr/>
        <w:sdtContent/>
      </w:sdt>
      <w:r w:rsidR="00F965A1" w:rsidRPr="00772900">
        <w:rPr>
          <w:rFonts w:ascii="Arial" w:hAnsi="Arial" w:cs="Arial"/>
          <w:sz w:val="22"/>
          <w:szCs w:val="22"/>
        </w:rPr>
        <w:t>higher-value products</w:t>
      </w:r>
      <w:r w:rsidR="002F26B0" w:rsidRPr="00772900">
        <w:rPr>
          <w:rFonts w:ascii="Arial" w:hAnsi="Arial" w:cs="Arial"/>
          <w:sz w:val="22"/>
          <w:szCs w:val="22"/>
        </w:rPr>
        <w:t>. C</w:t>
      </w:r>
      <w:r w:rsidR="00F965A1" w:rsidRPr="00772900">
        <w:rPr>
          <w:rFonts w:ascii="Arial" w:hAnsi="Arial" w:cs="Arial"/>
          <w:sz w:val="22"/>
          <w:szCs w:val="22"/>
        </w:rPr>
        <w:t>ountries</w:t>
      </w:r>
      <w:r w:rsidR="009A2999">
        <w:rPr>
          <w:rFonts w:ascii="Arial" w:hAnsi="Arial" w:cs="Arial"/>
          <w:sz w:val="22"/>
          <w:szCs w:val="22"/>
        </w:rPr>
        <w:t xml:space="preserve"> with extensive sea areas</w:t>
      </w:r>
      <w:r w:rsidR="00F965A1" w:rsidRPr="00772900">
        <w:rPr>
          <w:rFonts w:ascii="Arial" w:hAnsi="Arial" w:cs="Arial"/>
          <w:sz w:val="22"/>
          <w:szCs w:val="22"/>
        </w:rPr>
        <w:t xml:space="preserve"> such as Ireland have the potential to produce significant volumes domestically</w:t>
      </w:r>
      <w:r w:rsidR="002F26B0" w:rsidRPr="00772900">
        <w:rPr>
          <w:rFonts w:ascii="Arial" w:hAnsi="Arial" w:cs="Arial"/>
          <w:sz w:val="22"/>
          <w:szCs w:val="22"/>
        </w:rPr>
        <w:t>, but limitations and consequences to this potential should be considered</w:t>
      </w:r>
      <w:r w:rsidR="00F965A1" w:rsidRPr="00772900">
        <w:rPr>
          <w:rFonts w:ascii="Arial" w:hAnsi="Arial" w:cs="Arial"/>
          <w:sz w:val="22"/>
          <w:szCs w:val="22"/>
        </w:rPr>
        <w:t xml:space="preserve">. </w:t>
      </w:r>
      <w:r w:rsidR="00F775F6" w:rsidRPr="00772900">
        <w:rPr>
          <w:rFonts w:ascii="Arial" w:hAnsi="Arial" w:cs="Arial"/>
          <w:color w:val="000000"/>
          <w:sz w:val="22"/>
          <w:szCs w:val="22"/>
        </w:rPr>
        <w:t>This study aims to capture the environmental</w:t>
      </w:r>
      <w:r w:rsidR="00563F9C" w:rsidRPr="00772900">
        <w:rPr>
          <w:rFonts w:ascii="Arial" w:hAnsi="Arial" w:cs="Arial"/>
          <w:color w:val="000000"/>
          <w:sz w:val="22"/>
          <w:szCs w:val="22"/>
        </w:rPr>
        <w:t>, economic,</w:t>
      </w:r>
      <w:r w:rsidR="00F775F6" w:rsidRPr="00772900">
        <w:rPr>
          <w:rFonts w:ascii="Arial" w:hAnsi="Arial" w:cs="Arial"/>
          <w:color w:val="000000"/>
          <w:sz w:val="22"/>
          <w:szCs w:val="22"/>
        </w:rPr>
        <w:t xml:space="preserve"> and soci</w:t>
      </w:r>
      <w:r w:rsidR="00563F9C" w:rsidRPr="00772900">
        <w:rPr>
          <w:rFonts w:ascii="Arial" w:hAnsi="Arial" w:cs="Arial"/>
          <w:color w:val="000000"/>
          <w:sz w:val="22"/>
          <w:szCs w:val="22"/>
        </w:rPr>
        <w:t xml:space="preserve">al </w:t>
      </w:r>
      <w:r w:rsidR="00F775F6" w:rsidRPr="00772900">
        <w:rPr>
          <w:rFonts w:ascii="Arial" w:hAnsi="Arial" w:cs="Arial"/>
          <w:color w:val="000000"/>
          <w:sz w:val="22"/>
          <w:szCs w:val="22"/>
        </w:rPr>
        <w:t xml:space="preserve">consequences of different pathways for scaling up Irish seaweed production </w:t>
      </w:r>
      <w:r w:rsidR="00703551" w:rsidRPr="00772900">
        <w:rPr>
          <w:rFonts w:ascii="Arial" w:hAnsi="Arial" w:cs="Arial"/>
          <w:color w:val="000000"/>
          <w:sz w:val="22"/>
          <w:szCs w:val="22"/>
        </w:rPr>
        <w:t>using</w:t>
      </w:r>
      <w:r w:rsidR="00CC0A67" w:rsidRPr="00772900">
        <w:rPr>
          <w:rFonts w:ascii="Arial" w:hAnsi="Arial" w:cs="Arial"/>
          <w:color w:val="000000"/>
          <w:sz w:val="22"/>
          <w:szCs w:val="22"/>
        </w:rPr>
        <w:t xml:space="preserve"> a </w:t>
      </w:r>
      <w:r w:rsidR="00E97386" w:rsidRPr="00772900">
        <w:rPr>
          <w:rFonts w:ascii="Arial" w:hAnsi="Arial" w:cs="Arial"/>
          <w:color w:val="000000"/>
          <w:sz w:val="22"/>
          <w:szCs w:val="22"/>
        </w:rPr>
        <w:t xml:space="preserve">life cycle </w:t>
      </w:r>
      <w:r w:rsidR="00CC0A67" w:rsidRPr="00772900">
        <w:rPr>
          <w:rFonts w:ascii="Arial" w:hAnsi="Arial" w:cs="Arial"/>
          <w:color w:val="000000"/>
          <w:sz w:val="22"/>
          <w:szCs w:val="22"/>
        </w:rPr>
        <w:t xml:space="preserve">sustainability </w:t>
      </w:r>
      <w:r w:rsidR="00E97386" w:rsidRPr="00772900">
        <w:rPr>
          <w:rFonts w:ascii="Arial" w:hAnsi="Arial" w:cs="Arial"/>
          <w:color w:val="000000"/>
          <w:sz w:val="22"/>
          <w:szCs w:val="22"/>
        </w:rPr>
        <w:t xml:space="preserve">assessment </w:t>
      </w:r>
      <w:r w:rsidR="00CC0A67" w:rsidRPr="00772900">
        <w:rPr>
          <w:rFonts w:ascii="Arial" w:hAnsi="Arial" w:cs="Arial"/>
          <w:color w:val="000000"/>
          <w:sz w:val="22"/>
          <w:szCs w:val="22"/>
        </w:rPr>
        <w:t>(LC</w:t>
      </w:r>
      <w:r w:rsidR="00BE5762">
        <w:rPr>
          <w:rFonts w:ascii="Arial" w:hAnsi="Arial" w:cs="Arial"/>
          <w:color w:val="000000"/>
          <w:sz w:val="22"/>
          <w:szCs w:val="22"/>
        </w:rPr>
        <w:t>S</w:t>
      </w:r>
      <w:r w:rsidR="00CC0A67" w:rsidRPr="00772900">
        <w:rPr>
          <w:rFonts w:ascii="Arial" w:hAnsi="Arial" w:cs="Arial"/>
          <w:color w:val="000000"/>
          <w:sz w:val="22"/>
          <w:szCs w:val="22"/>
        </w:rPr>
        <w:t>A) framework</w:t>
      </w:r>
      <w:r w:rsidR="00F775F6" w:rsidRPr="00772900">
        <w:rPr>
          <w:rFonts w:ascii="Arial" w:hAnsi="Arial" w:cs="Arial"/>
          <w:color w:val="000000"/>
          <w:sz w:val="22"/>
          <w:szCs w:val="22"/>
        </w:rPr>
        <w:t xml:space="preserve">. </w:t>
      </w:r>
      <w:r w:rsidR="00FB15D4">
        <w:rPr>
          <w:rFonts w:ascii="Arial" w:hAnsi="Arial" w:cs="Arial"/>
          <w:color w:val="000000"/>
          <w:sz w:val="22"/>
          <w:szCs w:val="22"/>
        </w:rPr>
        <w:t xml:space="preserve">Six pathways are considered: manual wild harvesting by foot, manual wild harvesting by boat, mechanical wild harvesting by trawler, </w:t>
      </w:r>
      <w:r w:rsidR="00D86594">
        <w:rPr>
          <w:rFonts w:ascii="Arial" w:hAnsi="Arial" w:cs="Arial"/>
          <w:color w:val="000000"/>
          <w:sz w:val="22"/>
          <w:szCs w:val="22"/>
        </w:rPr>
        <w:t xml:space="preserve">and </w:t>
      </w:r>
      <w:r w:rsidR="00AC56A6">
        <w:rPr>
          <w:rFonts w:ascii="Arial" w:hAnsi="Arial" w:cs="Arial"/>
          <w:color w:val="000000"/>
          <w:sz w:val="22"/>
          <w:szCs w:val="22"/>
        </w:rPr>
        <w:t xml:space="preserve">three </w:t>
      </w:r>
      <w:r w:rsidR="00BF29E7">
        <w:rPr>
          <w:rFonts w:ascii="Arial" w:hAnsi="Arial" w:cs="Arial"/>
          <w:color w:val="000000"/>
          <w:sz w:val="22"/>
          <w:szCs w:val="22"/>
        </w:rPr>
        <w:t xml:space="preserve">longline </w:t>
      </w:r>
      <w:r w:rsidR="00D86594">
        <w:rPr>
          <w:rFonts w:ascii="Arial" w:hAnsi="Arial" w:cs="Arial"/>
          <w:color w:val="000000"/>
          <w:sz w:val="22"/>
          <w:szCs w:val="22"/>
        </w:rPr>
        <w:t xml:space="preserve">cultivation </w:t>
      </w:r>
      <w:r w:rsidR="00AC56A6">
        <w:rPr>
          <w:rFonts w:ascii="Arial" w:hAnsi="Arial" w:cs="Arial"/>
          <w:color w:val="000000"/>
          <w:sz w:val="22"/>
          <w:szCs w:val="22"/>
        </w:rPr>
        <w:t>systems</w:t>
      </w:r>
      <w:r w:rsidR="00D86594">
        <w:rPr>
          <w:rFonts w:ascii="Arial" w:hAnsi="Arial" w:cs="Arial"/>
          <w:color w:val="000000"/>
          <w:sz w:val="22"/>
          <w:szCs w:val="22"/>
        </w:rPr>
        <w:t xml:space="preserve">. </w:t>
      </w:r>
      <w:r w:rsidR="00F53553" w:rsidRPr="00772900">
        <w:rPr>
          <w:rFonts w:ascii="Arial" w:hAnsi="Arial" w:cs="Arial"/>
          <w:sz w:val="22"/>
          <w:szCs w:val="22"/>
        </w:rPr>
        <w:t>E</w:t>
      </w:r>
      <w:r w:rsidR="00B72000" w:rsidRPr="00772900">
        <w:rPr>
          <w:rFonts w:ascii="Arial" w:hAnsi="Arial" w:cs="Arial"/>
          <w:sz w:val="22"/>
          <w:szCs w:val="22"/>
        </w:rPr>
        <w:t>nvironmental</w:t>
      </w:r>
      <w:r w:rsidR="004A1308">
        <w:rPr>
          <w:rFonts w:ascii="Arial" w:hAnsi="Arial" w:cs="Arial"/>
          <w:sz w:val="22"/>
          <w:szCs w:val="22"/>
        </w:rPr>
        <w:t>, economic, and social</w:t>
      </w:r>
      <w:r w:rsidR="00B72000" w:rsidRPr="00772900">
        <w:rPr>
          <w:rFonts w:ascii="Arial" w:hAnsi="Arial" w:cs="Arial"/>
          <w:sz w:val="22"/>
          <w:szCs w:val="22"/>
        </w:rPr>
        <w:t xml:space="preserve"> impacts are considered through quantifying </w:t>
      </w:r>
      <w:r w:rsidR="00514982" w:rsidRPr="00772900">
        <w:rPr>
          <w:rFonts w:ascii="Arial" w:hAnsi="Arial" w:cs="Arial"/>
          <w:sz w:val="22"/>
          <w:szCs w:val="22"/>
        </w:rPr>
        <w:t>exergy extraction</w:t>
      </w:r>
      <w:r w:rsidR="00825A32" w:rsidRPr="00772900">
        <w:rPr>
          <w:rFonts w:ascii="Arial" w:hAnsi="Arial" w:cs="Arial"/>
          <w:sz w:val="22"/>
          <w:szCs w:val="22"/>
        </w:rPr>
        <w:t xml:space="preserve"> </w:t>
      </w:r>
      <w:r w:rsidR="00514982" w:rsidRPr="00772900">
        <w:rPr>
          <w:rFonts w:ascii="Arial" w:hAnsi="Arial" w:cs="Arial"/>
          <w:sz w:val="22"/>
          <w:szCs w:val="22"/>
        </w:rPr>
        <w:t>(MJex)</w:t>
      </w:r>
      <w:r w:rsidR="004A1308">
        <w:rPr>
          <w:rFonts w:ascii="Arial" w:hAnsi="Arial" w:cs="Arial"/>
          <w:sz w:val="22"/>
          <w:szCs w:val="22"/>
        </w:rPr>
        <w:t>,</w:t>
      </w:r>
      <w:r w:rsidR="00825A32" w:rsidRPr="00772900">
        <w:rPr>
          <w:rFonts w:ascii="Arial" w:hAnsi="Arial" w:cs="Arial"/>
          <w:sz w:val="22"/>
          <w:szCs w:val="22"/>
        </w:rPr>
        <w:t xml:space="preserve"> global warming potentia</w:t>
      </w:r>
      <w:r w:rsidR="00514982" w:rsidRPr="00772900">
        <w:rPr>
          <w:rFonts w:ascii="Arial" w:hAnsi="Arial" w:cs="Arial"/>
          <w:sz w:val="22"/>
          <w:szCs w:val="22"/>
        </w:rPr>
        <w:t>l (kg CO</w:t>
      </w:r>
      <w:r w:rsidR="00514982" w:rsidRPr="00872FB6">
        <w:rPr>
          <w:rFonts w:ascii="Arial" w:hAnsi="Arial" w:cs="Arial"/>
          <w:sz w:val="22"/>
          <w:szCs w:val="22"/>
        </w:rPr>
        <w:t>2</w:t>
      </w:r>
      <w:r w:rsidR="00514982" w:rsidRPr="00772900">
        <w:rPr>
          <w:rFonts w:ascii="Arial" w:hAnsi="Arial" w:cs="Arial"/>
          <w:sz w:val="22"/>
          <w:szCs w:val="22"/>
        </w:rPr>
        <w:t>-eq)</w:t>
      </w:r>
      <w:r w:rsidR="004A1308">
        <w:rPr>
          <w:rFonts w:ascii="Arial" w:hAnsi="Arial" w:cs="Arial"/>
          <w:sz w:val="22"/>
          <w:szCs w:val="22"/>
        </w:rPr>
        <w:t xml:space="preserve">, </w:t>
      </w:r>
      <w:r w:rsidR="00272C22" w:rsidRPr="00772900">
        <w:rPr>
          <w:rFonts w:ascii="Arial" w:hAnsi="Arial" w:cs="Arial"/>
          <w:sz w:val="22"/>
          <w:szCs w:val="22"/>
        </w:rPr>
        <w:t>minimum selling price (MS</w:t>
      </w:r>
      <w:r w:rsidR="00FA5F5D" w:rsidRPr="00772900">
        <w:rPr>
          <w:rFonts w:ascii="Arial" w:hAnsi="Arial" w:cs="Arial"/>
          <w:sz w:val="22"/>
          <w:szCs w:val="22"/>
        </w:rPr>
        <w:t>P)</w:t>
      </w:r>
      <w:r w:rsidR="004A1308">
        <w:rPr>
          <w:rFonts w:ascii="Arial" w:hAnsi="Arial" w:cs="Arial"/>
          <w:sz w:val="22"/>
          <w:szCs w:val="22"/>
        </w:rPr>
        <w:t xml:space="preserve">, and improvements in </w:t>
      </w:r>
      <w:r w:rsidR="00386BE2" w:rsidRPr="00AC4CD2">
        <w:rPr>
          <w:rFonts w:ascii="Arial" w:hAnsi="Arial" w:cs="Arial"/>
          <w:sz w:val="22"/>
          <w:szCs w:val="22"/>
        </w:rPr>
        <w:t xml:space="preserve">human wellbeing </w:t>
      </w:r>
      <w:r w:rsidR="00EA5F30" w:rsidRPr="00AC4CD2">
        <w:rPr>
          <w:rFonts w:ascii="Arial" w:hAnsi="Arial" w:cs="Arial"/>
          <w:sz w:val="22"/>
          <w:szCs w:val="22"/>
        </w:rPr>
        <w:t>(HP)</w:t>
      </w:r>
      <w:r w:rsidR="00386BE2" w:rsidRPr="00772900">
        <w:rPr>
          <w:rFonts w:ascii="Arial" w:hAnsi="Arial" w:cs="Arial"/>
          <w:sz w:val="22"/>
          <w:szCs w:val="22"/>
        </w:rPr>
        <w:t xml:space="preserve">. Finally, </w:t>
      </w:r>
      <w:r w:rsidR="00226EA9" w:rsidRPr="00772900">
        <w:rPr>
          <w:rFonts w:ascii="Arial" w:hAnsi="Arial" w:cs="Arial"/>
          <w:sz w:val="22"/>
          <w:szCs w:val="22"/>
        </w:rPr>
        <w:t xml:space="preserve">limitations to </w:t>
      </w:r>
      <w:r w:rsidR="002D596C" w:rsidRPr="00772900">
        <w:rPr>
          <w:rFonts w:ascii="Arial" w:hAnsi="Arial" w:cs="Arial"/>
          <w:sz w:val="22"/>
          <w:szCs w:val="22"/>
        </w:rPr>
        <w:t xml:space="preserve">scale-up </w:t>
      </w:r>
      <w:r w:rsidR="00226EA9" w:rsidRPr="00772900">
        <w:rPr>
          <w:rFonts w:ascii="Arial" w:hAnsi="Arial" w:cs="Arial"/>
          <w:sz w:val="22"/>
          <w:szCs w:val="22"/>
        </w:rPr>
        <w:t>are</w:t>
      </w:r>
      <w:r w:rsidR="002D596C" w:rsidRPr="00772900">
        <w:rPr>
          <w:rFonts w:ascii="Arial" w:hAnsi="Arial" w:cs="Arial"/>
          <w:sz w:val="22"/>
          <w:szCs w:val="22"/>
        </w:rPr>
        <w:t xml:space="preserve"> assessed. </w:t>
      </w:r>
      <w:r w:rsidR="00443A4C" w:rsidRPr="00772900">
        <w:rPr>
          <w:rFonts w:ascii="Arial" w:hAnsi="Arial" w:cs="Arial"/>
          <w:color w:val="000000"/>
          <w:sz w:val="22"/>
          <w:szCs w:val="22"/>
        </w:rPr>
        <w:t xml:space="preserve">The results demonstrate </w:t>
      </w:r>
      <w:r w:rsidR="001B1768" w:rsidRPr="00772900">
        <w:rPr>
          <w:rFonts w:ascii="Arial" w:hAnsi="Arial" w:cs="Arial"/>
          <w:color w:val="000000"/>
          <w:sz w:val="22"/>
          <w:szCs w:val="22"/>
        </w:rPr>
        <w:t>that manual</w:t>
      </w:r>
      <w:r w:rsidR="00D926DA" w:rsidRPr="00772900">
        <w:rPr>
          <w:rFonts w:ascii="Arial" w:hAnsi="Arial" w:cs="Arial"/>
          <w:color w:val="000000"/>
          <w:sz w:val="22"/>
          <w:szCs w:val="22"/>
        </w:rPr>
        <w:t xml:space="preserve"> wild harvesting </w:t>
      </w:r>
      <w:r w:rsidR="001B1768" w:rsidRPr="00772900">
        <w:rPr>
          <w:rFonts w:ascii="Arial" w:hAnsi="Arial" w:cs="Arial"/>
          <w:color w:val="000000"/>
          <w:sz w:val="22"/>
          <w:szCs w:val="22"/>
        </w:rPr>
        <w:t>has</w:t>
      </w:r>
      <w:r w:rsidR="00D926DA" w:rsidRPr="00772900">
        <w:rPr>
          <w:rFonts w:ascii="Arial" w:hAnsi="Arial" w:cs="Arial"/>
          <w:color w:val="000000"/>
          <w:sz w:val="22"/>
          <w:szCs w:val="22"/>
        </w:rPr>
        <w:t xml:space="preserve"> a relatively low climate impact (0.03-0.04 kg CO2-eq/kg </w:t>
      </w:r>
      <w:r w:rsidR="00A03891">
        <w:rPr>
          <w:rFonts w:ascii="Arial" w:hAnsi="Arial" w:cs="Arial"/>
          <w:color w:val="000000"/>
          <w:sz w:val="22"/>
          <w:szCs w:val="22"/>
        </w:rPr>
        <w:t>fresh</w:t>
      </w:r>
      <w:r w:rsidR="001131DC">
        <w:rPr>
          <w:rFonts w:ascii="Arial" w:hAnsi="Arial" w:cs="Arial"/>
          <w:color w:val="000000"/>
          <w:sz w:val="22"/>
          <w:szCs w:val="22"/>
        </w:rPr>
        <w:t xml:space="preserve"> </w:t>
      </w:r>
      <w:r w:rsidR="00D926DA" w:rsidRPr="00772900">
        <w:rPr>
          <w:rFonts w:ascii="Arial" w:hAnsi="Arial" w:cs="Arial"/>
          <w:color w:val="000000"/>
          <w:sz w:val="22"/>
          <w:szCs w:val="22"/>
        </w:rPr>
        <w:t>seaweed), resource intensity (</w:t>
      </w:r>
      <w:r w:rsidR="00AC56A6">
        <w:rPr>
          <w:rFonts w:ascii="Arial" w:hAnsi="Arial" w:cs="Arial"/>
          <w:color w:val="000000"/>
          <w:sz w:val="22"/>
          <w:szCs w:val="22"/>
        </w:rPr>
        <w:t>1.75-2.00</w:t>
      </w:r>
      <w:r w:rsidR="00D926DA" w:rsidRPr="00772900">
        <w:rPr>
          <w:rFonts w:ascii="Arial" w:hAnsi="Arial" w:cs="Arial"/>
          <w:color w:val="000000"/>
          <w:sz w:val="22"/>
          <w:szCs w:val="22"/>
        </w:rPr>
        <w:t xml:space="preserve"> MJex/kg </w:t>
      </w:r>
      <w:r w:rsidR="00A03891">
        <w:rPr>
          <w:rFonts w:ascii="Arial" w:hAnsi="Arial" w:cs="Arial"/>
          <w:color w:val="000000"/>
          <w:sz w:val="22"/>
          <w:szCs w:val="22"/>
        </w:rPr>
        <w:t>fresh</w:t>
      </w:r>
      <w:r w:rsidR="001131DC">
        <w:rPr>
          <w:rFonts w:ascii="Arial" w:hAnsi="Arial" w:cs="Arial"/>
          <w:color w:val="000000"/>
          <w:sz w:val="22"/>
          <w:szCs w:val="22"/>
        </w:rPr>
        <w:t xml:space="preserve"> </w:t>
      </w:r>
      <w:r w:rsidR="00D926DA" w:rsidRPr="00772900">
        <w:rPr>
          <w:rFonts w:ascii="Arial" w:hAnsi="Arial" w:cs="Arial"/>
          <w:color w:val="000000"/>
          <w:sz w:val="22"/>
          <w:szCs w:val="22"/>
        </w:rPr>
        <w:t xml:space="preserve">seaweed), </w:t>
      </w:r>
      <w:r w:rsidR="00F06317">
        <w:rPr>
          <w:rFonts w:ascii="Arial" w:hAnsi="Arial" w:cs="Arial"/>
          <w:color w:val="000000"/>
          <w:sz w:val="22"/>
          <w:szCs w:val="22"/>
        </w:rPr>
        <w:t>and MSP</w:t>
      </w:r>
      <w:r w:rsidR="00D926DA" w:rsidRPr="00772900">
        <w:rPr>
          <w:rFonts w:ascii="Arial" w:hAnsi="Arial" w:cs="Arial"/>
          <w:color w:val="000000"/>
          <w:sz w:val="22"/>
          <w:szCs w:val="22"/>
        </w:rPr>
        <w:t xml:space="preserve"> (</w:t>
      </w:r>
      <w:r w:rsidR="00D926DA" w:rsidRPr="00772900">
        <w:rPr>
          <w:rFonts w:ascii="Arial" w:hAnsi="Arial" w:cs="Arial"/>
          <w:sz w:val="22"/>
          <w:szCs w:val="22"/>
        </w:rPr>
        <w:t xml:space="preserve">0.10-0.12 €/kg </w:t>
      </w:r>
      <w:r w:rsidR="00A03891">
        <w:rPr>
          <w:rFonts w:ascii="Arial" w:hAnsi="Arial" w:cs="Arial"/>
          <w:sz w:val="22"/>
          <w:szCs w:val="22"/>
        </w:rPr>
        <w:t>fresh</w:t>
      </w:r>
      <w:r w:rsidR="001131DC">
        <w:rPr>
          <w:rFonts w:ascii="Arial" w:hAnsi="Arial" w:cs="Arial"/>
          <w:sz w:val="22"/>
          <w:szCs w:val="22"/>
        </w:rPr>
        <w:t xml:space="preserve"> </w:t>
      </w:r>
      <w:r w:rsidR="00D926DA" w:rsidRPr="00772900">
        <w:rPr>
          <w:rFonts w:ascii="Arial" w:hAnsi="Arial" w:cs="Arial"/>
          <w:sz w:val="22"/>
          <w:szCs w:val="22"/>
        </w:rPr>
        <w:t>seaweed</w:t>
      </w:r>
      <w:r w:rsidR="00D926DA" w:rsidRPr="00772900">
        <w:rPr>
          <w:rFonts w:ascii="Arial" w:hAnsi="Arial" w:cs="Arial"/>
          <w:color w:val="000000"/>
          <w:sz w:val="22"/>
          <w:szCs w:val="22"/>
        </w:rPr>
        <w:t>)</w:t>
      </w:r>
      <w:r w:rsidR="001B1768" w:rsidRPr="00772900">
        <w:rPr>
          <w:rFonts w:ascii="Arial" w:hAnsi="Arial" w:cs="Arial"/>
          <w:color w:val="000000"/>
          <w:sz w:val="22"/>
          <w:szCs w:val="22"/>
        </w:rPr>
        <w:t xml:space="preserve">, </w:t>
      </w:r>
      <w:r w:rsidR="00772900" w:rsidRPr="00772900">
        <w:rPr>
          <w:rFonts w:ascii="Arial" w:hAnsi="Arial" w:cs="Arial"/>
          <w:color w:val="000000"/>
          <w:sz w:val="22"/>
          <w:szCs w:val="22"/>
        </w:rPr>
        <w:t>but a low increase in wellbeing (</w:t>
      </w:r>
      <w:r w:rsidR="00F56D69">
        <w:rPr>
          <w:rFonts w:ascii="Arial" w:hAnsi="Arial" w:cs="Arial"/>
          <w:color w:val="000000"/>
          <w:sz w:val="22"/>
          <w:szCs w:val="22"/>
        </w:rPr>
        <w:t>5.01-5.45</w:t>
      </w:r>
      <w:r w:rsidR="00772900" w:rsidRPr="00772900">
        <w:rPr>
          <w:rFonts w:ascii="Arial" w:hAnsi="Arial" w:cs="Arial"/>
          <w:color w:val="000000"/>
          <w:sz w:val="22"/>
          <w:szCs w:val="22"/>
        </w:rPr>
        <w:t xml:space="preserve"> </w:t>
      </w:r>
      <w:r w:rsidR="00772900" w:rsidRPr="00772900">
        <w:rPr>
          <w:rFonts w:ascii="Arial" w:hAnsi="Arial" w:cs="Arial"/>
          <w:color w:val="000000"/>
          <w:sz w:val="22"/>
          <w:szCs w:val="22"/>
        </w:rPr>
        <w:lastRenderedPageBreak/>
        <w:t xml:space="preserve">HP/kg </w:t>
      </w:r>
      <w:r w:rsidR="00A03891">
        <w:rPr>
          <w:rFonts w:ascii="Arial" w:hAnsi="Arial" w:cs="Arial"/>
          <w:color w:val="000000"/>
          <w:sz w:val="22"/>
          <w:szCs w:val="22"/>
        </w:rPr>
        <w:t>fresh</w:t>
      </w:r>
      <w:r w:rsidR="001131DC">
        <w:rPr>
          <w:rFonts w:ascii="Arial" w:hAnsi="Arial" w:cs="Arial"/>
          <w:color w:val="000000"/>
          <w:sz w:val="22"/>
          <w:szCs w:val="22"/>
        </w:rPr>
        <w:t xml:space="preserve"> </w:t>
      </w:r>
      <w:r w:rsidR="00772900" w:rsidRPr="00772900">
        <w:rPr>
          <w:rFonts w:ascii="Arial" w:hAnsi="Arial" w:cs="Arial"/>
          <w:color w:val="000000"/>
          <w:sz w:val="22"/>
          <w:szCs w:val="22"/>
        </w:rPr>
        <w:t xml:space="preserve">seaweed), </w:t>
      </w:r>
      <w:r w:rsidR="001B1768" w:rsidRPr="00772900">
        <w:rPr>
          <w:rFonts w:ascii="Arial" w:hAnsi="Arial" w:cs="Arial"/>
          <w:color w:val="000000"/>
          <w:sz w:val="22"/>
          <w:szCs w:val="22"/>
        </w:rPr>
        <w:t>while mechanical wild harvesting has a worse performance than manual harvesting in every dimension</w:t>
      </w:r>
      <w:r w:rsidR="00AC56A6">
        <w:rPr>
          <w:rFonts w:ascii="Arial" w:hAnsi="Arial" w:cs="Arial"/>
          <w:color w:val="000000"/>
          <w:sz w:val="22"/>
          <w:szCs w:val="22"/>
        </w:rPr>
        <w:t xml:space="preserve"> (0.14 kg CO2-eq/kg fresh seaweed, 3.50 MJex/kg fresh seaweed, 0.16 €/kg fresh seaweed, 0.</w:t>
      </w:r>
      <w:r w:rsidR="001A5D6A">
        <w:rPr>
          <w:rFonts w:ascii="Arial" w:hAnsi="Arial" w:cs="Arial"/>
          <w:color w:val="000000"/>
          <w:sz w:val="22"/>
          <w:szCs w:val="22"/>
        </w:rPr>
        <w:t>60</w:t>
      </w:r>
      <w:r w:rsidR="00AC56A6">
        <w:rPr>
          <w:rFonts w:ascii="Arial" w:hAnsi="Arial" w:cs="Arial"/>
          <w:color w:val="000000"/>
          <w:sz w:val="22"/>
          <w:szCs w:val="22"/>
        </w:rPr>
        <w:t xml:space="preserve"> HP/kg fresh seaweed)</w:t>
      </w:r>
      <w:r w:rsidR="001B1768" w:rsidRPr="00772900">
        <w:rPr>
          <w:rFonts w:ascii="Arial" w:hAnsi="Arial" w:cs="Arial"/>
          <w:color w:val="000000"/>
          <w:sz w:val="22"/>
          <w:szCs w:val="22"/>
        </w:rPr>
        <w:t xml:space="preserve">. </w:t>
      </w:r>
      <w:r w:rsidR="00AC56A6">
        <w:rPr>
          <w:rFonts w:ascii="Arial" w:hAnsi="Arial" w:cs="Arial"/>
          <w:color w:val="000000"/>
          <w:sz w:val="22"/>
          <w:szCs w:val="22"/>
        </w:rPr>
        <w:t>The impacts of cultivation pathways vary significantly, but generally perform better than wild harvesting for social impacts (</w:t>
      </w:r>
      <w:r w:rsidR="001A5D6A">
        <w:rPr>
          <w:rFonts w:ascii="Arial" w:hAnsi="Arial" w:cs="Arial"/>
          <w:color w:val="000000"/>
          <w:sz w:val="22"/>
          <w:szCs w:val="22"/>
        </w:rPr>
        <w:t>18.53-20.59</w:t>
      </w:r>
      <w:r w:rsidR="00AC56A6">
        <w:rPr>
          <w:rFonts w:ascii="Arial" w:hAnsi="Arial" w:cs="Arial"/>
          <w:color w:val="000000"/>
          <w:sz w:val="22"/>
          <w:szCs w:val="22"/>
        </w:rPr>
        <w:t xml:space="preserve"> HP/kg fresh seaweed) </w:t>
      </w:r>
      <w:r w:rsidR="004A1308">
        <w:rPr>
          <w:rFonts w:ascii="Arial" w:hAnsi="Arial" w:cs="Arial"/>
          <w:color w:val="000000"/>
          <w:sz w:val="22"/>
          <w:szCs w:val="22"/>
        </w:rPr>
        <w:t>and</w:t>
      </w:r>
      <w:r w:rsidR="00AC56A6">
        <w:rPr>
          <w:rFonts w:ascii="Arial" w:hAnsi="Arial" w:cs="Arial"/>
          <w:color w:val="000000"/>
          <w:sz w:val="22"/>
          <w:szCs w:val="22"/>
        </w:rPr>
        <w:t xml:space="preserve"> worse for environmental and economic </w:t>
      </w:r>
      <w:r w:rsidR="00685C27">
        <w:rPr>
          <w:rFonts w:ascii="Arial" w:hAnsi="Arial" w:cs="Arial"/>
          <w:color w:val="000000"/>
          <w:sz w:val="22"/>
          <w:szCs w:val="22"/>
        </w:rPr>
        <w:t xml:space="preserve">(MSP) </w:t>
      </w:r>
      <w:r w:rsidR="00AC56A6">
        <w:rPr>
          <w:rFonts w:ascii="Arial" w:hAnsi="Arial" w:cs="Arial"/>
          <w:color w:val="000000"/>
          <w:sz w:val="22"/>
          <w:szCs w:val="22"/>
        </w:rPr>
        <w:t xml:space="preserve">impacts (0.12-0.35 kg CO2-eq/kg fresh seaweed; 2.30-5.95 MJex/kg fresh seaweed; </w:t>
      </w:r>
      <w:r w:rsidR="001A5D6A">
        <w:rPr>
          <w:rFonts w:ascii="Arial" w:hAnsi="Arial" w:cs="Arial"/>
          <w:color w:val="000000"/>
          <w:sz w:val="22"/>
          <w:szCs w:val="22"/>
        </w:rPr>
        <w:t>1</w:t>
      </w:r>
      <w:r w:rsidR="00AC56A6">
        <w:rPr>
          <w:rFonts w:ascii="Arial" w:hAnsi="Arial" w:cs="Arial"/>
          <w:color w:val="000000"/>
          <w:sz w:val="22"/>
          <w:szCs w:val="22"/>
        </w:rPr>
        <w:t>.</w:t>
      </w:r>
      <w:r w:rsidR="001A5D6A">
        <w:rPr>
          <w:rFonts w:ascii="Arial" w:hAnsi="Arial" w:cs="Arial"/>
          <w:color w:val="000000"/>
          <w:sz w:val="22"/>
          <w:szCs w:val="22"/>
        </w:rPr>
        <w:t>05</w:t>
      </w:r>
      <w:r w:rsidR="00AC56A6">
        <w:rPr>
          <w:rFonts w:ascii="Arial" w:hAnsi="Arial" w:cs="Arial"/>
          <w:color w:val="000000"/>
          <w:sz w:val="22"/>
          <w:szCs w:val="22"/>
        </w:rPr>
        <w:t>-</w:t>
      </w:r>
      <w:r w:rsidR="004F468C">
        <w:rPr>
          <w:rFonts w:ascii="Arial" w:hAnsi="Arial" w:cs="Arial"/>
          <w:color w:val="000000"/>
          <w:sz w:val="22"/>
          <w:szCs w:val="22"/>
        </w:rPr>
        <w:t>1.80</w:t>
      </w:r>
      <w:r w:rsidR="00AC56A6">
        <w:rPr>
          <w:rFonts w:ascii="Arial" w:hAnsi="Arial" w:cs="Arial"/>
          <w:color w:val="000000"/>
          <w:sz w:val="22"/>
          <w:szCs w:val="22"/>
        </w:rPr>
        <w:t xml:space="preserve"> €/kg fresh seaweed). Nonetheless</w:t>
      </w:r>
      <w:r w:rsidR="00772900" w:rsidRPr="00772900">
        <w:rPr>
          <w:rFonts w:ascii="Arial" w:hAnsi="Arial" w:cs="Arial"/>
          <w:color w:val="000000"/>
          <w:sz w:val="22"/>
          <w:szCs w:val="22"/>
        </w:rPr>
        <w:t xml:space="preserve">, limitations to upscaling </w:t>
      </w:r>
      <w:r w:rsidR="00AC56A6">
        <w:rPr>
          <w:rFonts w:ascii="Arial" w:hAnsi="Arial" w:cs="Arial"/>
          <w:color w:val="000000"/>
          <w:sz w:val="22"/>
          <w:szCs w:val="22"/>
        </w:rPr>
        <w:t xml:space="preserve">manual </w:t>
      </w:r>
      <w:r w:rsidR="00772900" w:rsidRPr="00772900">
        <w:rPr>
          <w:rFonts w:ascii="Arial" w:hAnsi="Arial" w:cs="Arial"/>
          <w:color w:val="000000"/>
          <w:sz w:val="22"/>
          <w:szCs w:val="22"/>
        </w:rPr>
        <w:t xml:space="preserve">wild harvesting </w:t>
      </w:r>
      <w:r w:rsidR="00AC56A6">
        <w:rPr>
          <w:rFonts w:ascii="Arial" w:hAnsi="Arial" w:cs="Arial"/>
          <w:color w:val="000000"/>
          <w:sz w:val="22"/>
          <w:szCs w:val="22"/>
        </w:rPr>
        <w:t xml:space="preserve">(max </w:t>
      </w:r>
      <w:r w:rsidR="004A1308">
        <w:rPr>
          <w:rFonts w:ascii="Arial" w:hAnsi="Arial" w:cs="Arial"/>
          <w:color w:val="000000"/>
          <w:sz w:val="22"/>
          <w:szCs w:val="22"/>
        </w:rPr>
        <w:t>8.4</w:t>
      </w:r>
      <w:r w:rsidR="00AC56A6">
        <w:rPr>
          <w:rFonts w:ascii="Arial" w:hAnsi="Arial" w:cs="Arial"/>
          <w:color w:val="000000"/>
          <w:sz w:val="22"/>
          <w:szCs w:val="22"/>
        </w:rPr>
        <w:t>% of a future production target of 900,000 tonnes</w:t>
      </w:r>
      <w:r w:rsidR="004A1308">
        <w:rPr>
          <w:rFonts w:ascii="Arial" w:hAnsi="Arial" w:cs="Arial"/>
          <w:color w:val="000000"/>
          <w:sz w:val="22"/>
          <w:szCs w:val="22"/>
        </w:rPr>
        <w:t xml:space="preserve"> fresh seaweed)</w:t>
      </w:r>
      <w:r w:rsidR="00AC56A6">
        <w:rPr>
          <w:rFonts w:ascii="Arial" w:hAnsi="Arial" w:cs="Arial"/>
          <w:color w:val="000000"/>
          <w:sz w:val="22"/>
          <w:szCs w:val="22"/>
        </w:rPr>
        <w:t xml:space="preserve"> </w:t>
      </w:r>
      <w:r w:rsidR="00772900" w:rsidRPr="00772900">
        <w:rPr>
          <w:rFonts w:ascii="Arial" w:hAnsi="Arial" w:cs="Arial"/>
          <w:color w:val="000000"/>
          <w:sz w:val="22"/>
          <w:szCs w:val="22"/>
        </w:rPr>
        <w:t>determine that</w:t>
      </w:r>
      <w:r w:rsidR="001B1768" w:rsidRPr="00772900">
        <w:rPr>
          <w:rFonts w:ascii="Arial" w:hAnsi="Arial" w:cs="Arial"/>
          <w:color w:val="000000"/>
          <w:sz w:val="22"/>
          <w:szCs w:val="22"/>
        </w:rPr>
        <w:t xml:space="preserve"> </w:t>
      </w:r>
      <w:r w:rsidR="00AC56A6">
        <w:rPr>
          <w:rFonts w:ascii="Arial" w:hAnsi="Arial" w:cs="Arial"/>
          <w:color w:val="000000"/>
          <w:sz w:val="22"/>
          <w:szCs w:val="22"/>
        </w:rPr>
        <w:t>both mechanical</w:t>
      </w:r>
      <w:r w:rsidR="001B1768" w:rsidRPr="00772900">
        <w:rPr>
          <w:rFonts w:ascii="Arial" w:hAnsi="Arial" w:cs="Arial"/>
          <w:color w:val="000000"/>
          <w:sz w:val="22"/>
          <w:szCs w:val="22"/>
        </w:rPr>
        <w:t xml:space="preserve"> </w:t>
      </w:r>
      <w:r w:rsidR="00A05C2A">
        <w:rPr>
          <w:rFonts w:ascii="Arial" w:hAnsi="Arial" w:cs="Arial"/>
          <w:color w:val="000000"/>
          <w:sz w:val="22"/>
          <w:szCs w:val="22"/>
        </w:rPr>
        <w:t xml:space="preserve">wild harvesting and cultivation </w:t>
      </w:r>
      <w:r w:rsidR="001B1768" w:rsidRPr="00772900">
        <w:rPr>
          <w:rFonts w:ascii="Arial" w:hAnsi="Arial" w:cs="Arial"/>
          <w:color w:val="000000"/>
          <w:sz w:val="22"/>
          <w:szCs w:val="22"/>
        </w:rPr>
        <w:t xml:space="preserve">pathways will be needed to achieve future targets. </w:t>
      </w:r>
      <w:r w:rsidR="005A2334" w:rsidRPr="00772900">
        <w:rPr>
          <w:rFonts w:ascii="Arial" w:hAnsi="Arial" w:cs="Arial"/>
          <w:color w:val="000000"/>
          <w:sz w:val="22"/>
          <w:szCs w:val="22"/>
        </w:rPr>
        <w:t xml:space="preserve">It is therefore important that steps be taken to optimise each of these </w:t>
      </w:r>
      <w:r w:rsidR="009643E8" w:rsidRPr="00772900">
        <w:rPr>
          <w:rFonts w:ascii="Arial" w:hAnsi="Arial" w:cs="Arial"/>
          <w:color w:val="000000"/>
          <w:sz w:val="22"/>
          <w:szCs w:val="22"/>
        </w:rPr>
        <w:t>pathways</w:t>
      </w:r>
      <w:r w:rsidR="00781723" w:rsidRPr="00772900">
        <w:rPr>
          <w:rFonts w:ascii="Arial" w:hAnsi="Arial" w:cs="Arial"/>
          <w:color w:val="000000"/>
          <w:sz w:val="22"/>
          <w:szCs w:val="22"/>
        </w:rPr>
        <w:t xml:space="preserve"> </w:t>
      </w:r>
      <w:r w:rsidR="009643E8" w:rsidRPr="00772900">
        <w:rPr>
          <w:rFonts w:ascii="Arial" w:hAnsi="Arial" w:cs="Arial"/>
          <w:sz w:val="22"/>
          <w:szCs w:val="22"/>
        </w:rPr>
        <w:t xml:space="preserve">based on the overall priorities of society. </w:t>
      </w:r>
    </w:p>
    <w:p w14:paraId="35FB0750" w14:textId="67D07DC1" w:rsidR="00416B88" w:rsidRDefault="00F965A1" w:rsidP="00890D06">
      <w:pPr>
        <w:spacing w:after="240" w:line="480" w:lineRule="auto"/>
        <w:rPr>
          <w:b/>
          <w:bCs/>
        </w:rPr>
      </w:pPr>
      <w:r w:rsidRPr="00A54354">
        <w:rPr>
          <w:b/>
          <w:bCs/>
        </w:rPr>
        <w:t>Keywords:</w:t>
      </w:r>
      <w:r w:rsidRPr="00AC360D">
        <w:t xml:space="preserve"> </w:t>
      </w:r>
      <w:r w:rsidR="00F82D08">
        <w:t xml:space="preserve">seaweed </w:t>
      </w:r>
      <w:r w:rsidR="00F93689">
        <w:t>wild harvesting</w:t>
      </w:r>
      <w:r w:rsidRPr="00AC360D">
        <w:t xml:space="preserve">, </w:t>
      </w:r>
      <w:r w:rsidR="00F82D08">
        <w:t xml:space="preserve">seaweed </w:t>
      </w:r>
      <w:r w:rsidR="00F93689">
        <w:t>cultivation</w:t>
      </w:r>
      <w:r w:rsidRPr="00AC360D">
        <w:t xml:space="preserve">, </w:t>
      </w:r>
      <w:r w:rsidR="00A03891">
        <w:t xml:space="preserve">seaweed production, </w:t>
      </w:r>
      <w:r w:rsidR="0004186A">
        <w:t xml:space="preserve">sustainable </w:t>
      </w:r>
      <w:r w:rsidR="00A03891">
        <w:t xml:space="preserve">upscaling, sustainability, </w:t>
      </w:r>
      <w:r w:rsidRPr="00AC360D">
        <w:t xml:space="preserve">life cycle </w:t>
      </w:r>
      <w:r w:rsidR="00B66111">
        <w:t>assessment</w:t>
      </w:r>
    </w:p>
    <w:p w14:paraId="419C8BFA" w14:textId="051064D0" w:rsidR="00DF7A81" w:rsidRPr="00EE4385" w:rsidRDefault="00EE4385" w:rsidP="00890D06">
      <w:pPr>
        <w:pStyle w:val="Heading1"/>
        <w:numPr>
          <w:ilvl w:val="0"/>
          <w:numId w:val="12"/>
        </w:numPr>
        <w:spacing w:before="0" w:after="240" w:line="480" w:lineRule="auto"/>
        <w:rPr>
          <w:b/>
          <w:bCs/>
          <w:sz w:val="22"/>
          <w:szCs w:val="22"/>
        </w:rPr>
      </w:pPr>
      <w:r>
        <w:rPr>
          <w:b/>
          <w:bCs/>
          <w:sz w:val="22"/>
          <w:szCs w:val="22"/>
        </w:rPr>
        <w:t>Introduction</w:t>
      </w:r>
    </w:p>
    <w:p w14:paraId="419C8BFB" w14:textId="447547E8" w:rsidR="00DF7A81" w:rsidRDefault="00F965A1" w:rsidP="00890D06">
      <w:pPr>
        <w:spacing w:after="240" w:line="480" w:lineRule="auto"/>
        <w:jc w:val="both"/>
      </w:pPr>
      <w:r>
        <w:t xml:space="preserve">Macroalgae, colloquially known as seaweed, is a versatile feedstock which can be used for food, animal feed, fertilizer </w:t>
      </w:r>
      <w:r w:rsidR="00CD611F">
        <w:fldChar w:fldCharType="begin"/>
      </w:r>
      <w:r w:rsidR="003A4382">
        <w:instrText xml:space="preserve"> ADDIN ZOTERO_ITEM CSL_CITATION {"citationID":"Ll35W9r1","properties":{"formattedCitation":"(van Oirschot et al., 2017)","plainCitation":"(van Oirschot et al., 2017)","noteIndex":0},"citationItems":[{"id":134,"uris":["http://zotero.org/users/8766396/items/NBFYWFZV"],"itemData":{"id":134,"type":"article-journal","container-title":"Algal Research","DOI":"10.1016/j.algal.2017.07.025","page":"43-54","title":"Explorative environmental life cycle assessment for system design of seaweed cultivation and drying","volume":"27","author":[{"family":"Oirschot","given":"R","non-dropping-particle":"van"},{"family":"Thomas","given":"J-B. E"},{"family":"Gröndahl","given":"F"},{"family":"Fortuin","given":"K. P. J"},{"family":"Brandenburg","given":"W"},{"family":"Potting","given":"J"}],"issued":{"date-parts":[["2017"]]}}}],"schema":"https://github.com/citation-style-language/schema/raw/master/csl-citation.json"} </w:instrText>
      </w:r>
      <w:r w:rsidR="00CD611F">
        <w:fldChar w:fldCharType="separate"/>
      </w:r>
      <w:r w:rsidR="003A4382" w:rsidRPr="003A4382">
        <w:t>(van Oirschot et al., 2017)</w:t>
      </w:r>
      <w:r w:rsidR="00CD611F">
        <w:fldChar w:fldCharType="end"/>
      </w:r>
      <w:r>
        <w:t xml:space="preserve">, energy </w:t>
      </w:r>
      <w:r w:rsidR="00BF3CA0">
        <w:fldChar w:fldCharType="begin"/>
      </w:r>
      <w:r w:rsidR="003A4382">
        <w:instrText xml:space="preserve"> ADDIN ZOTERO_ITEM CSL_CITATION {"citationID":"LY2AeLqY","properties":{"formattedCitation":"(Czyrnek-Deletre et al., 2017)","plainCitation":"(Czyrnek-Deletre et al., 2017)","noteIndex":0},"citationItems":[{"id":131,"uris":["http://zotero.org/users/8766396/items/6DYKJMA4"],"itemData":{"id":131,"type":"article-journal","container-title":"Applied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D"}],"issued":{"date-parts":[["2017"]]}}}],"schema":"https://github.com/citation-style-language/schema/raw/master/csl-citation.json"} </w:instrText>
      </w:r>
      <w:r w:rsidR="00BF3CA0">
        <w:fldChar w:fldCharType="separate"/>
      </w:r>
      <w:r w:rsidR="003A4382" w:rsidRPr="003A4382">
        <w:t>(Czyrnek-Deletre et al., 2017)</w:t>
      </w:r>
      <w:r w:rsidR="00BF3CA0">
        <w:fldChar w:fldCharType="end"/>
      </w:r>
      <w:r>
        <w:t xml:space="preserve">, and further processed into high-value extractives for several industries </w:t>
      </w:r>
      <w:r w:rsidR="00161D15">
        <w:fldChar w:fldCharType="begin"/>
      </w:r>
      <w:r w:rsidR="003A4382">
        <w:instrText xml:space="preserve"> ADDIN ZOTERO_ITEM CSL_CITATION {"citationID":"UIfASQEN","properties":{"formattedCitation":"(netalgae.eu,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161D15">
        <w:fldChar w:fldCharType="separate"/>
      </w:r>
      <w:r w:rsidR="003A4382" w:rsidRPr="003A4382">
        <w:t>(netalgae.eu, 2012)</w:t>
      </w:r>
      <w:r w:rsidR="00161D15">
        <w:fldChar w:fldCharType="end"/>
      </w:r>
      <w:r>
        <w:t xml:space="preserve">. In </w:t>
      </w:r>
      <w:r w:rsidR="00827EED">
        <w:t>2020</w:t>
      </w:r>
      <w:r>
        <w:t xml:space="preserve">, the estimated worldwide production of seaweed was </w:t>
      </w:r>
      <w:r w:rsidR="00827EED">
        <w:t xml:space="preserve">36 </w:t>
      </w:r>
      <w:r>
        <w:t>million tonnes</w:t>
      </w:r>
      <w:r w:rsidR="00871472" w:rsidRPr="00871472">
        <w:t xml:space="preserve"> </w:t>
      </w:r>
      <w:r w:rsidR="006A0DCD">
        <w:t>fresh</w:t>
      </w:r>
      <w:r w:rsidR="00871472">
        <w:t xml:space="preserve"> weight (</w:t>
      </w:r>
      <w:r w:rsidR="006A0DCD">
        <w:t>FW</w:t>
      </w:r>
      <w:r w:rsidR="00871472">
        <w:t>)</w:t>
      </w:r>
      <w:r>
        <w:t xml:space="preserve">, with the majority of production </w:t>
      </w:r>
      <w:r w:rsidR="00CB78FF">
        <w:t xml:space="preserve">(97%) </w:t>
      </w:r>
      <w:r>
        <w:t>concentrated in Asia</w:t>
      </w:r>
      <w:r w:rsidR="00F36E3F">
        <w:t xml:space="preserve"> </w:t>
      </w:r>
      <w:r w:rsidR="00981412">
        <w:fldChar w:fldCharType="begin"/>
      </w:r>
      <w:r w:rsidR="003A4382">
        <w:instrText xml:space="preserve"> ADDIN ZOTERO_ITEM CSL_CITATION {"citationID":"7xrW17rS","properties":{"formattedCitation":"(FAO, 2022)","plainCitation":"(FAO, 2022)","noteIndex":0},"citationItems":[{"id":716,"uris":["http://zotero.org/users/8766396/items/V7PJVKIN"],"itemData":{"id":716,"type":"report","event-place":"Rome","publisher":"FAO","publisher-place":"Rome","title":"The State of World Fisheries and Aquaculture 2022. Towards Blue Transformation","URL":"https://doi.org/10.4060/cc0461en","author":[{"literal":"FAO"}],"issued":{"date-parts":[["2022"]]}}}],"schema":"https://github.com/citation-style-language/schema/raw/master/csl-citation.json"} </w:instrText>
      </w:r>
      <w:r w:rsidR="00981412">
        <w:fldChar w:fldCharType="separate"/>
      </w:r>
      <w:r w:rsidR="003A4382" w:rsidRPr="003A4382">
        <w:t>(FAO, 2022)</w:t>
      </w:r>
      <w:r w:rsidR="00981412">
        <w:fldChar w:fldCharType="end"/>
      </w:r>
      <w:r>
        <w:t xml:space="preserve">. While European production currently makes up a </w:t>
      </w:r>
      <w:r w:rsidR="00C75EA5">
        <w:t xml:space="preserve">small </w:t>
      </w:r>
      <w:r>
        <w:t xml:space="preserve">proportion (&lt;1%) of the global seaweed supply </w:t>
      </w:r>
      <w:r w:rsidR="00EF01B6">
        <w:fldChar w:fldCharType="begin"/>
      </w:r>
      <w:r w:rsidR="003A4382">
        <w:instrText xml:space="preserve"> ADDIN ZOTERO_ITEM CSL_CITATION {"citationID":"ifVmEz0m","properties":{"formattedCitation":"(Cai et al., 2021)","plainCitation":"(Cai et al., 2021)","noteIndex":0},"citationItems":[{"id":704,"uris":["http://zotero.org/users/8766396/items/62B8E692"],"itemData":{"id":704,"type":"book","collection-number":"No. 1229","collection-title":"FAO Fisheries and Aquaculture Circular","event-place":"Rome","ISBN":"978-92-5-134710-2","language":"en","note":"DOI: 10.4060/cb5670en","publisher":"FAO","publisher-place":"Rome","source":"DOI.org (Crossref)","title":"Seaweeds and microalgae: an overview for unlocking their potential in global aquaculture development","title-short":"Seaweeds and microalgae","URL":"http://www.fao.org/documents/card/en/c/cb5670en","author":[{"family":"Cai","given":"J"},{"family":"Lovatelli","given":"A"},{"family":"Aguilar-Manjarrez","given":"J"},{"family":"Cornish","given":"Lynn"},{"family":"Dabbadie","given":"L"},{"family":"Desrochers","given":"A"},{"family":"Diffey","given":"S"},{"family":"Garrido Gamarro","given":"E"},{"family":"Geehan","given":"J"},{"family":"Hurtado","given":"A"},{"family":"Lucente","given":"D"},{"family":"Mair","given":"G"},{"family":"Miao","given":"W"},{"family":"Potin","given":"P"},{"family":"Przybyla","given":"C"},{"family":"Reantaso","given":"M"},{"family":"Roubach","given":"R"},{"family":"Tauati","given":"M"},{"family":"Yuan","given":"X"}],"accessed":{"date-parts":[["2023",3,13]]},"issued":{"date-parts":[["2021",7,16]]}}}],"schema":"https://github.com/citation-style-language/schema/raw/master/csl-citation.json"} </w:instrText>
      </w:r>
      <w:r w:rsidR="00EF01B6">
        <w:fldChar w:fldCharType="separate"/>
      </w:r>
      <w:r w:rsidR="003A4382" w:rsidRPr="003A4382">
        <w:t>(Cai et al., 2021)</w:t>
      </w:r>
      <w:r w:rsidR="00EF01B6">
        <w:fldChar w:fldCharType="end"/>
      </w:r>
      <w:r>
        <w:t xml:space="preserve">, </w:t>
      </w:r>
      <w:r w:rsidR="002D1AB2">
        <w:t xml:space="preserve">demand for seaweed-based products </w:t>
      </w:r>
      <w:r w:rsidR="005A57E6">
        <w:t xml:space="preserve">is </w:t>
      </w:r>
      <w:r w:rsidR="002D1AB2">
        <w:t xml:space="preserve">expected to increase </w:t>
      </w:r>
      <w:r w:rsidR="002D1AB2">
        <w:fldChar w:fldCharType="begin"/>
      </w:r>
      <w:r w:rsidR="002D1AB2">
        <w:instrText xml:space="preserve"> ADDIN ZOTERO_ITEM CSL_CITATION {"citationID":"mECr3NW7","properties":{"formattedCitation":"(Walsh and Watson, 2011)","plainCitation":"(Walsh and Watson, 2011)","noteIndex":0},"citationItems":[{"id":144,"uris":["http://zotero.org/users/8766396/items/6KLPCNRC"],"itemData":{"id":144,"type":"report","publisher":"BIM","title":"A Market Analysis towards the Further Development of Seaweed Aquaculture in Ireland","URL":"https://www.seaweed.ie/irish_seaweed_contacts/doc/A%20Market%20Analysis%20towards%20the%20Further%20Development%20of%20Seaweed%20Aquaculture%20in%20Ireland.pdf","author":[{"family":"Walsh","given":"Mairtin"},{"family":"Watson","given":"Lucy"}],"issued":{"date-parts":[["2011"]]}}}],"schema":"https://github.com/citation-style-language/schema/raw/master/csl-citation.json"} </w:instrText>
      </w:r>
      <w:r w:rsidR="002D1AB2">
        <w:fldChar w:fldCharType="separate"/>
      </w:r>
      <w:r w:rsidR="002D1AB2" w:rsidRPr="003A4382">
        <w:t>(Walsh and Watson, 2011)</w:t>
      </w:r>
      <w:r w:rsidR="002D1AB2">
        <w:fldChar w:fldCharType="end"/>
      </w:r>
      <w:r>
        <w:t xml:space="preserve">. </w:t>
      </w:r>
      <w:r w:rsidR="00DE6486">
        <w:t xml:space="preserve">To increase </w:t>
      </w:r>
      <w:r w:rsidR="00CF03E0">
        <w:t>t</w:t>
      </w:r>
      <w:r w:rsidR="00DE6486">
        <w:t>he EU’s market share</w:t>
      </w:r>
      <w:r w:rsidR="00CF03E0">
        <w:t>,</w:t>
      </w:r>
      <w:r w:rsidR="00DE6486">
        <w:t xml:space="preserve"> the EU has proposed </w:t>
      </w:r>
      <w:r w:rsidR="00D75E56">
        <w:t xml:space="preserve">an action plan </w:t>
      </w:r>
      <w:r w:rsidR="00D75E56" w:rsidRPr="00D75E56">
        <w:t>"Towards a Strong and Sustainable EU Algae Sector"</w:t>
      </w:r>
      <w:r w:rsidR="00E034ED" w:rsidDel="00E034ED">
        <w:t xml:space="preserve"> </w:t>
      </w:r>
      <w:r w:rsidR="00DE6486">
        <w:t xml:space="preserve">which </w:t>
      </w:r>
      <w:r w:rsidR="009C06D1">
        <w:t>aims t</w:t>
      </w:r>
      <w:r w:rsidR="00937BD8">
        <w:t xml:space="preserve">o </w:t>
      </w:r>
      <w:r w:rsidR="00FF0C83">
        <w:t xml:space="preserve">increase </w:t>
      </w:r>
      <w:r w:rsidR="00B0551D">
        <w:t xml:space="preserve">the </w:t>
      </w:r>
      <w:r w:rsidR="007167AC">
        <w:t xml:space="preserve">value of the European </w:t>
      </w:r>
      <w:r w:rsidR="00B0551D">
        <w:t xml:space="preserve">seaweed market </w:t>
      </w:r>
      <w:r w:rsidR="00A4402D">
        <w:t xml:space="preserve">from </w:t>
      </w:r>
      <w:r w:rsidR="00A4402D">
        <w:rPr>
          <w:color w:val="000000"/>
        </w:rPr>
        <w:t xml:space="preserve">840 million euro </w:t>
      </w:r>
      <w:r w:rsidR="00B0551D">
        <w:t xml:space="preserve">to </w:t>
      </w:r>
      <w:r w:rsidR="007167AC">
        <w:t>9</w:t>
      </w:r>
      <w:r w:rsidR="00B0551D">
        <w:t xml:space="preserve"> billion euro</w:t>
      </w:r>
      <w:r w:rsidR="00FE5498">
        <w:t>, in part</w:t>
      </w:r>
      <w:r w:rsidR="00DB23F4">
        <w:t xml:space="preserve"> </w:t>
      </w:r>
      <w:r w:rsidR="003815D1">
        <w:t>by</w:t>
      </w:r>
      <w:r w:rsidR="00DB23F4">
        <w:t xml:space="preserve"> increasing </w:t>
      </w:r>
      <w:r w:rsidR="00BA051C">
        <w:t>European</w:t>
      </w:r>
      <w:r w:rsidR="00C13D20">
        <w:t xml:space="preserve"> </w:t>
      </w:r>
      <w:r w:rsidR="00DB23F4">
        <w:t xml:space="preserve">production </w:t>
      </w:r>
      <w:r w:rsidR="00090E36">
        <w:t xml:space="preserve">by 30 fold </w:t>
      </w:r>
      <w:r w:rsidR="00DB23F4">
        <w:t xml:space="preserve">from </w:t>
      </w:r>
      <w:r w:rsidR="002A0054">
        <w:lastRenderedPageBreak/>
        <w:t xml:space="preserve">approximately </w:t>
      </w:r>
      <w:r w:rsidR="00D91D1F">
        <w:t>27</w:t>
      </w:r>
      <w:r w:rsidR="00DB23F4">
        <w:t>0,000 ton</w:t>
      </w:r>
      <w:r w:rsidR="00272FC1">
        <w:t>ne</w:t>
      </w:r>
      <w:r w:rsidR="00DB23F4">
        <w:t xml:space="preserve">s </w:t>
      </w:r>
      <w:r w:rsidR="00A03891">
        <w:t>FW</w:t>
      </w:r>
      <w:r w:rsidR="00432DDA">
        <w:t xml:space="preserve"> </w:t>
      </w:r>
      <w:r w:rsidR="00DB23F4">
        <w:t xml:space="preserve">to </w:t>
      </w:r>
      <w:r w:rsidR="006D0984">
        <w:t>8</w:t>
      </w:r>
      <w:r w:rsidR="00DB23F4">
        <w:t xml:space="preserve"> million tonnes </w:t>
      </w:r>
      <w:r w:rsidR="00A03891">
        <w:t>FW</w:t>
      </w:r>
      <w:r w:rsidR="00432DDA">
        <w:t xml:space="preserve"> </w:t>
      </w:r>
      <w:r w:rsidR="006807DB">
        <w:t xml:space="preserve">by 2030 </w:t>
      </w:r>
      <w:r w:rsidR="00B971CC">
        <w:fldChar w:fldCharType="begin"/>
      </w:r>
      <w:r w:rsidR="00E944D4">
        <w:instrText xml:space="preserve"> ADDIN ZOTERO_ITEM CSL_CITATION {"citationID":"2VZ2UZEQ","properties":{"formattedCitation":"(European Commission, 2022a; North Sea Farmers and Mountainview Research, 2021; Vincent et al., 2020)","plainCitation":"(European Commission, 2022a; North Sea Farmers and Mountainview Research, 2021; Vincent et al., 2020)","noteIndex":0},"citationItems":[{"id":719,"uris":["http://zotero.org/users/8766396/items/RUI2S5ZF"],"itemData":{"id":719,"type":"report","event-place":"Brussels","genre":"Communication from the Commission to the European Parliament, the Council, the European Economic and Social Committee and the Committee of the Regions","number":"COM(2022) 592 final","publisher-place":"Brussels","title":"Towards a Strong and Sustainable EU Algae Sector","URL":"https://oceans-and-fisheries.ec.europa.eu/system/files/2022-11/COM-2022-592_en.pdf","author":[{"literal":"European Commission"}],"issued":{"date-parts":[["2022"]]}}},{"id":717,"uris":["http://zotero.org/users/8766396/items/DGAEWJ8A"],"itemData":{"id":717,"type":"report","collection-title":"Interreg 2 seas ValgOrize project","title":"Market potential report for cultivated seaweeds in existing seaweed food markets","URL":"https://www.northseafarmers.org/news/2021/Seaweed-market-study_210302.pdf","author":[{"literal":"North Sea Farmers"},{"literal":"Mountainview Research"}],"issued":{"date-parts":[["2021",1]]}}},{"id":718,"uris":["http://zotero.org/users/8766396/items/2WTZZQ2X"],"itemData":{"id":718,"type":"report","publisher":"Seaweed for Europe","title":"Hidden champion of the ocean: Seaweed as a growth engine for a sustainable European future","URL":"https://www.seaweedeurope.com/wp-content/uploads/2020/10/Seaweed_for_Europe-Hidden_Champion_of_the_ocean-Report.pdf","author":[{"family":"Vincent","given":"A"},{"family":"Stanley","given":"A"},{"family":"Ring","given":"J"}],"issued":{"date-parts":[["2020"]]}}}],"schema":"https://github.com/citation-style-language/schema/raw/master/csl-citation.json"} </w:instrText>
      </w:r>
      <w:r w:rsidR="00B971CC">
        <w:fldChar w:fldCharType="separate"/>
      </w:r>
      <w:r w:rsidR="00E944D4" w:rsidRPr="00E944D4">
        <w:t>(European Commission, 2022a; North Sea Farmers and Mountainview Research, 2021; Vincent et al., 2020)</w:t>
      </w:r>
      <w:r w:rsidR="00B971CC">
        <w:fldChar w:fldCharType="end"/>
      </w:r>
      <w:r w:rsidR="00DB23F4">
        <w:t>.</w:t>
      </w:r>
    </w:p>
    <w:p w14:paraId="5EC07F16" w14:textId="7A37E4CC" w:rsidR="00E775D3" w:rsidRDefault="00EB02DD" w:rsidP="00890D06">
      <w:pPr>
        <w:spacing w:after="240" w:line="480" w:lineRule="auto"/>
        <w:jc w:val="both"/>
      </w:pPr>
      <w:r>
        <w:t xml:space="preserve">Ireland is one of the </w:t>
      </w:r>
      <w:r w:rsidR="00BA6266">
        <w:t>main</w:t>
      </w:r>
      <w:r>
        <w:t xml:space="preserve"> seaweed producers in Europe</w:t>
      </w:r>
      <w:r w:rsidR="00E775D3">
        <w:t xml:space="preserve"> and produces an </w:t>
      </w:r>
      <w:r>
        <w:t xml:space="preserve">estimated 30,000 tonnes FW per year </w:t>
      </w:r>
      <w:r>
        <w:fldChar w:fldCharType="begin"/>
      </w:r>
      <w:r w:rsidR="003A4382">
        <w:instrText xml:space="preserve"> ADDIN ZOTERO_ITEM CSL_CITATION {"citationID":"tgoJ0s2E","properties":{"formattedCitation":"(Monagail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fldChar w:fldCharType="separate"/>
      </w:r>
      <w:r w:rsidR="003A4382" w:rsidRPr="003A4382">
        <w:t>(Monagail and Morrison, 2020)</w:t>
      </w:r>
      <w:r>
        <w:fldChar w:fldCharType="end"/>
      </w:r>
      <w:r>
        <w:t>.</w:t>
      </w:r>
      <w:r w:rsidR="00C85240" w:rsidDel="00C608C8">
        <w:t xml:space="preserve"> </w:t>
      </w:r>
      <w:r w:rsidR="00E775D3">
        <w:t xml:space="preserve">In contrast to global seaweed production where 97% comes from cultivation </w:t>
      </w:r>
      <w:r w:rsidR="00E775D3">
        <w:fldChar w:fldCharType="begin"/>
      </w:r>
      <w:r w:rsidR="00E775D3">
        <w:instrText xml:space="preserve"> ADDIN ZOTERO_ITEM CSL_CITATION {"citationID":"hfJrPz4c","properties":{"formattedCitation":"(Cai et al., 2021)","plainCitation":"(Cai et al., 2021)","noteIndex":0},"citationItems":[{"id":704,"uris":["http://zotero.org/users/8766396/items/62B8E692"],"itemData":{"id":704,"type":"book","collection-number":"No. 1229","collection-title":"FAO Fisheries and Aquaculture Circular","event-place":"Rome","ISBN":"978-92-5-134710-2","language":"en","note":"DOI: 10.4060/cb5670en","publisher":"FAO","publisher-place":"Rome","source":"DOI.org (Crossref)","title":"Seaweeds and microalgae: an overview for unlocking their potential in global aquaculture development","title-short":"Seaweeds and microalgae","URL":"http://www.fao.org/documents/card/en/c/cb5670en","author":[{"family":"Cai","given":"J"},{"family":"Lovatelli","given":"A"},{"family":"Aguilar-Manjarrez","given":"J"},{"family":"Cornish","given":"Lynn"},{"family":"Dabbadie","given":"L"},{"family":"Desrochers","given":"A"},{"family":"Diffey","given":"S"},{"family":"Garrido Gamarro","given":"E"},{"family":"Geehan","given":"J"},{"family":"Hurtado","given":"A"},{"family":"Lucente","given":"D"},{"family":"Mair","given":"G"},{"family":"Miao","given":"W"},{"family":"Potin","given":"P"},{"family":"Przybyla","given":"C"},{"family":"Reantaso","given":"M"},{"family":"Roubach","given":"R"},{"family":"Tauati","given":"M"},{"family":"Yuan","given":"X"}],"accessed":{"date-parts":[["2023",3,13]]},"issued":{"date-parts":[["2021",7,16]]}}}],"schema":"https://github.com/citation-style-language/schema/raw/master/csl-citation.json"} </w:instrText>
      </w:r>
      <w:r w:rsidR="00E775D3">
        <w:fldChar w:fldCharType="separate"/>
      </w:r>
      <w:r w:rsidR="00E775D3" w:rsidRPr="003A4382">
        <w:t>(Cai et al., 2021)</w:t>
      </w:r>
      <w:r w:rsidR="00E775D3">
        <w:fldChar w:fldCharType="end"/>
      </w:r>
      <w:r w:rsidR="00E775D3">
        <w:t>, l</w:t>
      </w:r>
      <w:r w:rsidR="000B131E">
        <w:t xml:space="preserve">ike the rest of Europe, the majority of Irish seaweed </w:t>
      </w:r>
      <w:r w:rsidR="00E775D3">
        <w:t xml:space="preserve">is </w:t>
      </w:r>
      <w:r w:rsidR="000B131E">
        <w:t>produc</w:t>
      </w:r>
      <w:r w:rsidR="00E775D3">
        <w:t>ed</w:t>
      </w:r>
      <w:r w:rsidR="000B131E">
        <w:t xml:space="preserve"> from wild harvest</w:t>
      </w:r>
      <w:r w:rsidR="00A63507">
        <w:t>ing,</w:t>
      </w:r>
      <w:r w:rsidR="000B131E">
        <w:t xml:space="preserve"> </w:t>
      </w:r>
      <w:r w:rsidR="00DE6486">
        <w:t xml:space="preserve">with cultivation providing less than 1% </w:t>
      </w:r>
      <w:r w:rsidR="000B131E">
        <w:t xml:space="preserve"> </w:t>
      </w:r>
      <w:r w:rsidR="000B131E">
        <w:fldChar w:fldCharType="begin"/>
      </w:r>
      <w:r w:rsidR="003A4382">
        <w:instrText xml:space="preserve"> ADDIN ZOTERO_ITEM CSL_CITATION {"citationID":"EGPoIYm7","properties":{"formattedCitation":"(CyberColloids, 2020)","plainCitation":"(CyberColloids, 2020)","noteIndex":0},"citationItems":[{"id":680,"uris":["http://zotero.org/users/8766396/items/P8AZYB48"],"itemData":{"id":680,"type":"report","publisher":"Bord Iascaigh Mhara [BIM]","title":"Scoping a seaweed biorefinery concept for Ireland","URL":"https://bim.ie/wp-content/uploads/2021/02/BIM-Scoping-a-seaweed-biorefinery-concept-for-Ireland.pdf","author":[{"literal":"CyberColloids"}],"issued":{"date-parts":[["2020",5]]}}}],"schema":"https://github.com/citation-style-language/schema/raw/master/csl-citation.json"} </w:instrText>
      </w:r>
      <w:r w:rsidR="000B131E">
        <w:fldChar w:fldCharType="separate"/>
      </w:r>
      <w:r w:rsidR="003A4382" w:rsidRPr="003A4382">
        <w:t>(CyberColloids, 2020)</w:t>
      </w:r>
      <w:r w:rsidR="000B131E">
        <w:fldChar w:fldCharType="end"/>
      </w:r>
      <w:r w:rsidR="000B131E">
        <w:t xml:space="preserve">. </w:t>
      </w:r>
      <w:r w:rsidR="00E775D3">
        <w:t>Irish w</w:t>
      </w:r>
      <w:r w:rsidR="00C85240" w:rsidDel="00C608C8">
        <w:t xml:space="preserve">ild harvesting is an ancient practice regarded as having a high cultural </w:t>
      </w:r>
      <w:r w:rsidR="000C53B7" w:rsidDel="00C608C8">
        <w:t>heritage and</w:t>
      </w:r>
      <w:r w:rsidR="00C85240" w:rsidDel="00C608C8">
        <w:t xml:space="preserve"> has contributed to the supplemental income of many families </w:t>
      </w:r>
      <w:r w:rsidR="00A60621" w:rsidDel="00C608C8">
        <w:fldChar w:fldCharType="begin"/>
      </w:r>
      <w:r w:rsidR="003A4382">
        <w:instrText xml:space="preserve"> ADDIN ZOTERO_ITEM CSL_CITATION {"citationID":"fNYpurDs","properties":{"formattedCitation":"(Mac Monagail et al., 2017)","plainCitation":"(Mac Monagail et al., 2017)","noteIndex":0},"citationItems":[{"id":377,"uris":["http://zotero.org/users/8766396/items/SECXL86I"],"itemData":{"id":377,"type":"article-journal","abstract":"Macroalgae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 1469-4433","issue":"4","journalAbbreviation":"European Journal of Phycology","language":"en","page":"371-390","source":"DOI.org (Crossref)","title":"Sustainable harvesting of wild seaweed resources","URL":"https://www.tandfonline.com/doi/full/10.1080/09670262.2017.1365273","volume":"52","author":[{"family":"Mac Monagail","given":"Michéal"},{"family":"Cornish","given":"Lynn"},{"family":"Morrison","given":"Liam"},{"family":"Araújo","given":"Rita"},{"family":"Critchley","given":"Alan T."}],"accessed":{"date-parts":[["2023",1,26]]},"issued":{"date-parts":[["2017",10,2]]}}}],"schema":"https://github.com/citation-style-language/schema/raw/master/csl-citation.json"} </w:instrText>
      </w:r>
      <w:r w:rsidR="00A60621" w:rsidDel="00C608C8">
        <w:fldChar w:fldCharType="separate"/>
      </w:r>
      <w:r w:rsidR="003A4382" w:rsidRPr="003A4382">
        <w:t>(Mac Monagail et al., 2017)</w:t>
      </w:r>
      <w:r w:rsidR="00A60621" w:rsidDel="00C608C8">
        <w:fldChar w:fldCharType="end"/>
      </w:r>
      <w:r w:rsidR="00C85240" w:rsidDel="00C608C8">
        <w:t xml:space="preserve">. </w:t>
      </w:r>
      <w:r w:rsidR="00C85240">
        <w:t>The traditional method of wild harvesting in Ireland involves manual cutting by foot during low tide, baling into 2-4 tonne ‘</w:t>
      </w:r>
      <w:proofErr w:type="spellStart"/>
      <w:r w:rsidR="00C85240">
        <w:t>climíní</w:t>
      </w:r>
      <w:proofErr w:type="spellEnd"/>
      <w:r w:rsidR="00C85240">
        <w:t xml:space="preserve">’, and towing by ‘currach’ (wooden row boat) to the nearest harbour </w:t>
      </w:r>
      <w:r w:rsidR="00F94118">
        <w:fldChar w:fldCharType="begin"/>
      </w:r>
      <w:r w:rsidR="003A4382">
        <w:instrText xml:space="preserve"> ADDIN ZOTERO_ITEM CSL_CITATION {"citationID":"RP65gNRh","properties":{"formattedCitation":"(Monagail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rsidR="00F94118">
        <w:fldChar w:fldCharType="separate"/>
      </w:r>
      <w:r w:rsidR="003A4382" w:rsidRPr="003A4382">
        <w:t>(Monagail and Morrison, 2020)</w:t>
      </w:r>
      <w:r w:rsidR="00F94118">
        <w:fldChar w:fldCharType="end"/>
      </w:r>
      <w:r w:rsidR="00F94118">
        <w:t xml:space="preserve">. </w:t>
      </w:r>
      <w:r w:rsidR="00C85240">
        <w:t xml:space="preserve">More recently, the boat and rake method has been introduced (Micheal Mac </w:t>
      </w:r>
      <w:proofErr w:type="spellStart"/>
      <w:r w:rsidR="00871472">
        <w:t>M</w:t>
      </w:r>
      <w:r w:rsidR="00C85240">
        <w:t>onagail</w:t>
      </w:r>
      <w:proofErr w:type="spellEnd"/>
      <w:r w:rsidR="00C85240">
        <w:t xml:space="preserve">, </w:t>
      </w:r>
      <w:proofErr w:type="spellStart"/>
      <w:r w:rsidR="00C85240">
        <w:t>Arramara</w:t>
      </w:r>
      <w:proofErr w:type="spellEnd"/>
      <w:r w:rsidR="00C85240">
        <w:t xml:space="preserve">, personal communication), where seaweed is harvested on small skiffs (4m) during high tide using a cutting rake </w:t>
      </w:r>
      <w:r w:rsidR="001001F3">
        <w:fldChar w:fldCharType="begin"/>
      </w:r>
      <w:r w:rsidR="003A4382">
        <w:instrText xml:space="preserve"> ADDIN ZOTERO_ITEM CSL_CITATION {"citationID":"sbMumXp6","properties":{"formattedCitation":"(Lauzon-Guay et al., 2021)","plainCitation":"(Lauzon-Guay et al., 2021)","noteIndex":0},"citationItems":[{"id":373,"uris":["http://zotero.org/users/8766396/items/UCS8CHPU"],"itemData":{"id":373,"type":"article-journal","abstract":"With the increasing demand for seaweed resources worldwide, management must ensure that the harvest of wild seaweed stocks is sustainable. We evaluate the impact of over 25 years of commercial harvesting of Ascophyllum nodosum in eastern Canada by comparing the biomass and height of the seaweed in the late 1990s to the late 2010s over a broad spatial scale spanning the provinces of Nova Scotia and New Brunswick. There has been no significant decrease in the biomass of A. nodosum in either province, and biomass has increased in some regions of New Brunswick during that period. The average height of A. nodosum has decreased by 7.8 cm in Nova Scotia while it increased by 13.8 cm in New Brunswick. Biomass of A. nodosum in unharvested sectors was 7% higher than that in harvested sectors while height of A. nodosum in unharvested sectors in New Brunswick is similar to the values observed in harvested sectors. Over the same period, water temperature has increased in both provinces and, in recent years, has at times exceeded the optimal growing temperature for A. nodosum within bays in Nova Scotia. We conclude that the current management and harvest of A. nodosum in eastern Canada are sustainable and maintain the biomass and height of A. nodosum beds but that control sites are necessary to offer adequate comparisons as environmental conditions are changing.","container-title":"Journal of Applied Phycology","DOI":"10.1007/s10811-021-02427-x","ISSN":"0921-8971, 1573-5176","issue":"3","journalAbbreviation":"J Appl Phycol","language":"en","page":"1695-1708","source":"DOI.org (Crossref)","title":"Biomass and height of Ascophyllum nodosum after two decades of continuous commercial harvesting in eastern Canada","URL":"https://link.springer.com/10.1007/s10811-021-02427-x","volume":"33","author":[{"family":"Lauzon-Guay","given":"Jean-Sébastien"},{"family":"Ugarte","given":"Raúl A."},{"family":"Morse","given":"Bryan L."},{"family":"Robertson","given":"Collette A."}],"accessed":{"date-parts":[["2023",1,26]]},"issued":{"date-parts":[["2021",6]]}}}],"schema":"https://github.com/citation-style-language/schema/raw/master/csl-citation.json"} </w:instrText>
      </w:r>
      <w:r w:rsidR="001001F3">
        <w:fldChar w:fldCharType="separate"/>
      </w:r>
      <w:r w:rsidR="003A4382" w:rsidRPr="003A4382">
        <w:t>(Lauzon-Guay et al., 2021)</w:t>
      </w:r>
      <w:r w:rsidR="001001F3">
        <w:fldChar w:fldCharType="end"/>
      </w:r>
      <w:r w:rsidR="00C85240">
        <w:t>.</w:t>
      </w:r>
      <w:r w:rsidR="00B93CFE">
        <w:t xml:space="preserve"> </w:t>
      </w:r>
      <w:r w:rsidR="00F965A1">
        <w:t xml:space="preserve">These manual cutting methods are inherently small-scale, with one harvester cutting an average of 1-4 tonnes of </w:t>
      </w:r>
      <w:r w:rsidR="00A937FE">
        <w:t>fresh</w:t>
      </w:r>
      <w:r w:rsidR="00F965A1">
        <w:t xml:space="preserve"> seaweed per day </w:t>
      </w:r>
      <w:r w:rsidR="001001F3">
        <w:fldChar w:fldCharType="begin"/>
      </w:r>
      <w:r w:rsidR="003A4382">
        <w:instrText xml:space="preserve"> ADDIN ZOTERO_ITEM CSL_CITATION {"citationID":"LkAQug85","properties":{"formattedCitation":"(Monagail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rsidR="001001F3">
        <w:fldChar w:fldCharType="separate"/>
      </w:r>
      <w:r w:rsidR="003A4382" w:rsidRPr="003A4382">
        <w:t>(Monagail and Morrison, 2020)</w:t>
      </w:r>
      <w:r w:rsidR="001001F3">
        <w:fldChar w:fldCharType="end"/>
      </w:r>
      <w:r w:rsidR="00F965A1">
        <w:t xml:space="preserve">. </w:t>
      </w:r>
      <w:r w:rsidR="00F965A1" w:rsidDel="0059433B">
        <w:t xml:space="preserve">To upscale production, mechanised harvesting systems </w:t>
      </w:r>
      <w:r w:rsidR="00E51406">
        <w:t>can be introduced</w:t>
      </w:r>
      <w:r w:rsidR="00F965A1" w:rsidDel="0059433B">
        <w:t xml:space="preserve"> </w:t>
      </w:r>
      <w:r w:rsidR="001001F3" w:rsidDel="0059433B">
        <w:fldChar w:fldCharType="begin"/>
      </w:r>
      <w:r w:rsidR="003A4382">
        <w:instrText xml:space="preserve"> ADDIN ZOTERO_ITEM CSL_CITATION {"citationID":"PW4TUqIp","properties":{"formattedCitation":"(Werner and Kraan, 2004)","plainCitation":"(Werner and Kraan, 2004)","noteIndex":0},"citationItems":[{"id":659,"uris":["http://zotero.org/users/8766396/items/NCZQP6TW"],"itemData":{"id":659,"type":"report","collection-title":"Marine Environment and Health Series","language":"en","number":"No. 17, 2004","publisher":"Marine Institute and Taighde Mara Teo","source":"Zotero","title":"Review of the potential mechanisation of kelp harvesting in Ireland","author":[{"family":"Werner","given":"Astrid"},{"family":"Kraan","given":"Stefan"}],"issued":{"date-parts":[["2004",10]]}}}],"schema":"https://github.com/citation-style-language/schema/raw/master/csl-citation.json"} </w:instrText>
      </w:r>
      <w:r w:rsidR="001001F3" w:rsidDel="0059433B">
        <w:fldChar w:fldCharType="separate"/>
      </w:r>
      <w:r w:rsidR="003A4382" w:rsidRPr="003A4382">
        <w:t>(Werner and Kraan, 2004)</w:t>
      </w:r>
      <w:r w:rsidR="001001F3" w:rsidDel="0059433B">
        <w:fldChar w:fldCharType="end"/>
      </w:r>
      <w:r w:rsidR="00F965A1" w:rsidDel="0059433B">
        <w:t xml:space="preserve">. </w:t>
      </w:r>
    </w:p>
    <w:p w14:paraId="71E03269" w14:textId="19AC4150" w:rsidR="004311A0" w:rsidRDefault="00E775D3" w:rsidP="00890D06">
      <w:pPr>
        <w:spacing w:after="240" w:line="480" w:lineRule="auto"/>
        <w:jc w:val="both"/>
      </w:pPr>
      <w:r>
        <w:t>Throughout Europe s</w:t>
      </w:r>
      <w:r w:rsidR="00F965A1">
        <w:t xml:space="preserve">everal mechanical harvesting methods are currently used </w:t>
      </w:r>
      <w:r w:rsidR="00252210">
        <w:fldChar w:fldCharType="begin"/>
      </w:r>
      <w:r w:rsidR="003A4382">
        <w:instrText xml:space="preserve"> ADDIN ZOTERO_ITEM CSL_CITATION {"citationID":"5G8oCVJA","properties":{"formattedCitation":"(netalgae.eu,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252210">
        <w:fldChar w:fldCharType="separate"/>
      </w:r>
      <w:r w:rsidR="003A4382" w:rsidRPr="003A4382">
        <w:t>(netalgae.eu, 2012)</w:t>
      </w:r>
      <w:r w:rsidR="00252210">
        <w:fldChar w:fldCharType="end"/>
      </w:r>
      <w:r w:rsidR="00F965A1">
        <w:t xml:space="preserve">. For harvesting of kelps such as </w:t>
      </w:r>
      <w:r w:rsidR="00F965A1">
        <w:rPr>
          <w:i/>
        </w:rPr>
        <w:t xml:space="preserve">Laminaria digitata </w:t>
      </w:r>
      <w:r w:rsidR="00F965A1">
        <w:t>and</w:t>
      </w:r>
      <w:r w:rsidR="00F965A1">
        <w:rPr>
          <w:i/>
        </w:rPr>
        <w:t xml:space="preserve"> Laminaria </w:t>
      </w:r>
      <w:proofErr w:type="spellStart"/>
      <w:r w:rsidR="00F965A1">
        <w:rPr>
          <w:i/>
        </w:rPr>
        <w:t>hyperborea</w:t>
      </w:r>
      <w:proofErr w:type="spellEnd"/>
      <w:r w:rsidR="00F965A1">
        <w:t>, a trawler implementing a rake-like device or a fishing vessel equipped with a rotating mechanical hook (‘</w:t>
      </w:r>
      <w:proofErr w:type="spellStart"/>
      <w:r w:rsidR="00F965A1">
        <w:t>scoubidou</w:t>
      </w:r>
      <w:proofErr w:type="spellEnd"/>
      <w:r w:rsidR="00F965A1">
        <w:t xml:space="preserve">’) can be used </w:t>
      </w:r>
      <w:r w:rsidR="00252210">
        <w:fldChar w:fldCharType="begin"/>
      </w:r>
      <w:r w:rsidR="003A4382">
        <w:instrText xml:space="preserve"> ADDIN ZOTERO_ITEM CSL_CITATION {"citationID":"eQ36j5rW","properties":{"formattedCitation":"(Mesnildrey et al., 2012)","plainCitation":"(Mesnildrey et al., 2012)","noteIndex":0},"citationItems":[{"id":574,"uris":["http://zotero.org/users/8766396/items/Z4L7PDCZ"],"itemData":{"id":574,"type":"report","genre":"Report Interreg program NETALGAE","language":"en","source":"Zotero","title":"Seaweed industry in France","URL":"https://institut-agro-rennes-angers.hal.science/hal-00840572","author":[{"family":"Mesnildrey","given":"Lucile"},{"family":"Jacob","given":"Céline"},{"family":"Frangoudes","given":"Katia"},{"family":"Reunavot","given":"Mélanie"},{"family":"Lesueur","given":"Marie"}],"issued":{"date-parts":[["2012"]]}}}],"schema":"https://github.com/citation-style-language/schema/raw/master/csl-citation.json"} </w:instrText>
      </w:r>
      <w:r w:rsidR="00252210">
        <w:fldChar w:fldCharType="separate"/>
      </w:r>
      <w:r w:rsidR="003A4382" w:rsidRPr="003A4382">
        <w:t>(Mesnildrey et al., 2012)</w:t>
      </w:r>
      <w:r w:rsidR="00252210">
        <w:fldChar w:fldCharType="end"/>
      </w:r>
      <w:r w:rsidR="00F965A1">
        <w:t xml:space="preserve">, while for </w:t>
      </w:r>
      <w:r w:rsidR="00F965A1" w:rsidRPr="00A23651">
        <w:t>rockweeds</w:t>
      </w:r>
      <w:r w:rsidR="00F965A1">
        <w:t xml:space="preserve"> such as </w:t>
      </w:r>
      <w:r w:rsidR="00F965A1">
        <w:rPr>
          <w:i/>
        </w:rPr>
        <w:t>Ascophyllum nodosum,</w:t>
      </w:r>
      <w:r w:rsidR="00F965A1">
        <w:t xml:space="preserve"> a vacuum-sucker </w:t>
      </w:r>
      <w:r w:rsidR="00E51406">
        <w:t xml:space="preserve">or paddle-wheel cutter </w:t>
      </w:r>
      <w:r w:rsidR="00F965A1">
        <w:t xml:space="preserve">can be used </w:t>
      </w:r>
      <w:r w:rsidR="005472F5">
        <w:fldChar w:fldCharType="begin"/>
      </w:r>
      <w:r w:rsidR="003A4382">
        <w:instrText xml:space="preserve"> ADDIN ZOTERO_ITEM CSL_CITATION {"citationID":"2HBJigoS","properties":{"formattedCitation":"(netalgae.eu,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5472F5">
        <w:fldChar w:fldCharType="separate"/>
      </w:r>
      <w:r w:rsidR="003A4382" w:rsidRPr="003A4382">
        <w:t>(netalgae.eu, 2012)</w:t>
      </w:r>
      <w:r w:rsidR="005472F5">
        <w:fldChar w:fldCharType="end"/>
      </w:r>
      <w:r w:rsidR="00F965A1">
        <w:t xml:space="preserve">. These large industrial harvesting machines can harvest up to 150 tonnes </w:t>
      </w:r>
      <w:r w:rsidR="006A0DCD">
        <w:t>FW</w:t>
      </w:r>
      <w:r w:rsidR="00F66D9B">
        <w:t xml:space="preserve"> </w:t>
      </w:r>
      <w:r w:rsidR="00F965A1">
        <w:t xml:space="preserve">per hour </w:t>
      </w:r>
      <w:r w:rsidR="00145BBC">
        <w:fldChar w:fldCharType="begin"/>
      </w:r>
      <w:r w:rsidR="003A4382">
        <w:instrText xml:space="preserve"> ADDIN ZOTERO_ITEM CSL_CITATION {"citationID":"6TWyZEPs","properties":{"formattedCitation":"(Vea and Ask, 2011)","plainCitation":"(Vea and Ask, 2011)","noteIndex":0},"citationItems":[{"id":682,"uris":["http://zotero.org/users/8766396/items/IL6PV2IW"],"itemData":{"id":682,"type":"article-journal","abstract":"The mechanized harvesting of Laminaria hyperborea in Norway began nearly 50 years ago. Based on a clear understanding of the ecology and life cycle of L. hyperborea as well as the ecosystem, a sustainable management program for the harvest was created with a 5-year cycle and rotating zones in fields as the foundation of the plan. This has allowed a steady annual harvest of 130,000–180,000 t wet weight, depending on market demand. In the last decade, the Norwegian government, working with industry and other stakeholders, has produced more refined policies/documents governing the harvest. This macroalgal harvest plan provides an excellent example for resource managers in other parts of the world laboring to create sustainable harvest management plans.","container-title":"Journal of Applied Phycology","DOI":"10.1007/s10811-010-9610-y","ISSN":"0921-8971, 1573-5176","issue":"3","journalAbbreviation":"J Appl Phycol","language":"en","page":"489-494","source":"DOI.org (Crossref)","title":"Creating a sustainable commercial harvest of Laminaria hyperborea, in Norway","URL":"http://link.springer.com/10.1007/s10811-010-9610-y","volume":"23","author":[{"family":"Vea","given":"Jostein"},{"family":"Ask","given":"Erick"}],"accessed":{"date-parts":[["2023",2,22]]},"issued":{"date-parts":[["2011",6]]}}}],"schema":"https://github.com/citation-style-language/schema/raw/master/csl-citation.json"} </w:instrText>
      </w:r>
      <w:r w:rsidR="00145BBC">
        <w:fldChar w:fldCharType="separate"/>
      </w:r>
      <w:r w:rsidR="003A4382" w:rsidRPr="003A4382">
        <w:t>(Vea and Ask, 2011)</w:t>
      </w:r>
      <w:r w:rsidR="00145BBC">
        <w:fldChar w:fldCharType="end"/>
      </w:r>
      <w:r w:rsidR="00026530">
        <w:t xml:space="preserve">, which can </w:t>
      </w:r>
      <w:r w:rsidR="00D833BA">
        <w:t xml:space="preserve">potentially </w:t>
      </w:r>
      <w:r w:rsidR="00026530">
        <w:t xml:space="preserve">improve the economics of seaweed production through increased yields </w:t>
      </w:r>
      <w:r w:rsidR="00026530">
        <w:fldChar w:fldCharType="begin"/>
      </w:r>
      <w:r w:rsidR="003A4382">
        <w:instrText xml:space="preserve"> ADDIN ZOTERO_ITEM CSL_CITATION {"citationID":"YxMbPDrY","properties":{"formattedCitation":"(EUMOFA - European Market Observatory for Fisheries and Aquaculture Products, 2023)","plainCitation":"(EUMOFA - European Market Observatory for Fisheries and Aquaculture Products, 2023)","noteIndex":0},"citationItems":[{"id":418,"uris":["http://zotero.org/users/8766396/items/M2P85ET6"],"itemData":{"id":418,"type":"report","event-place":"Luxembourg","publisher":"Publications Office of the European Union","publisher-place":"Luxembourg","title":"Blue Bioeconomy Report","URL":"https://www.eumofa.eu/blue-bioeconomy-report-2022","author":[{"family":"EUMOFA - European Market Observatory for Fisheries and Aquaculture Products","given":""}],"issued":{"date-parts":[["2023"]]}}}],"schema":"https://github.com/citation-style-language/schema/raw/master/csl-citation.json"} </w:instrText>
      </w:r>
      <w:r w:rsidR="00026530">
        <w:fldChar w:fldCharType="separate"/>
      </w:r>
      <w:r w:rsidR="003A4382" w:rsidRPr="003A4382">
        <w:t>(EUMOFA - European Market Observatory for Fisheries and Aquaculture Products, 2023)</w:t>
      </w:r>
      <w:r w:rsidR="00026530">
        <w:fldChar w:fldCharType="end"/>
      </w:r>
      <w:r w:rsidR="00F965A1">
        <w:t xml:space="preserve">. However, ecological concerns can arise in the scale-up of wild harvesting. Unsustainable cutting </w:t>
      </w:r>
      <w:r w:rsidR="00F965A1">
        <w:lastRenderedPageBreak/>
        <w:t xml:space="preserve">and overexploitation in some countries has historically led to the collapse of seaweed colonies, leading to substantial negative impacts on the local biodiversity </w:t>
      </w:r>
      <w:r w:rsidR="00402AD1">
        <w:fldChar w:fldCharType="begin"/>
      </w:r>
      <w:r w:rsidR="003A4382">
        <w:instrText xml:space="preserve"> ADDIN ZOTERO_ITEM CSL_CITATION {"citationID":"EykQTZmh","properties":{"formattedCitation":"(Mac Monagail et al., 2017)","plainCitation":"(Mac Monagail et al., 2017)","noteIndex":0},"citationItems":[{"id":377,"uris":["http://zotero.org/users/8766396/items/SECXL86I"],"itemData":{"id":377,"type":"article-journal","abstract":"Macroalgae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 1469-4433","issue":"4","journalAbbreviation":"European Journal of Phycology","language":"en","page":"371-390","source":"DOI.org (Crossref)","title":"Sustainable harvesting of wild seaweed resources","URL":"https://www.tandfonline.com/doi/full/10.1080/09670262.2017.1365273","volume":"52","author":[{"family":"Mac Monagail","given":"Michéal"},{"family":"Cornish","given":"Lynn"},{"family":"Morrison","given":"Liam"},{"family":"Araújo","given":"Rita"},{"family":"Critchley","given":"Alan T."}],"accessed":{"date-parts":[["2023",1,26]]},"issued":{"date-parts":[["2017",10,2]]}}}],"schema":"https://github.com/citation-style-language/schema/raw/master/csl-citation.json"} </w:instrText>
      </w:r>
      <w:r w:rsidR="00402AD1">
        <w:fldChar w:fldCharType="separate"/>
      </w:r>
      <w:r w:rsidR="003A4382" w:rsidRPr="003A4382">
        <w:t>(Mac Monagail et al., 2017)</w:t>
      </w:r>
      <w:r w:rsidR="00402AD1">
        <w:fldChar w:fldCharType="end"/>
      </w:r>
      <w:r w:rsidR="00F965A1">
        <w:t xml:space="preserve">. </w:t>
      </w:r>
    </w:p>
    <w:p w14:paraId="419C8BFE" w14:textId="1271C98F" w:rsidR="00DF7A81" w:rsidRDefault="000C53B7" w:rsidP="00890D06">
      <w:pPr>
        <w:spacing w:after="240" w:line="480" w:lineRule="auto"/>
        <w:jc w:val="both"/>
      </w:pPr>
      <w:r>
        <w:t>Due to concerns over overexploitation from wild harvesting</w:t>
      </w:r>
      <w:r w:rsidR="00F965A1">
        <w:t>, there has been an interest in increasing the proportion of cultivated seaweed (</w:t>
      </w:r>
      <w:r w:rsidR="00992975">
        <w:t xml:space="preserve">also known as seaweed </w:t>
      </w:r>
      <w:r w:rsidR="00F965A1">
        <w:t>aquaculture</w:t>
      </w:r>
      <w:r w:rsidR="00FE0DC4">
        <w:t xml:space="preserve"> or mariculture</w:t>
      </w:r>
      <w:r w:rsidR="00F965A1">
        <w:t xml:space="preserve">), which would not rely on natural stocks </w:t>
      </w:r>
      <w:r w:rsidR="00402AD1">
        <w:fldChar w:fldCharType="begin"/>
      </w:r>
      <w:r w:rsidR="003A4382">
        <w:instrText xml:space="preserve"> ADDIN ZOTERO_ITEM CSL_CITATION {"citationID":"xCtUIqwt","properties":{"formattedCitation":"(Walsh and Watson, 2011)","plainCitation":"(Walsh and Watson, 2011)","noteIndex":0},"citationItems":[{"id":144,"uris":["http://zotero.org/users/8766396/items/6KLPCNRC"],"itemData":{"id":144,"type":"report","publisher":"BIM","title":"A Market Analysis towards the Further Development of Seaweed Aquaculture in Ireland","URL":"https://www.seaweed.ie/irish_seaweed_contacts/doc/A%20Market%20Analysis%20towards%20the%20Further%20Development%20of%20Seaweed%20Aquaculture%20in%20Ireland.pdf","author":[{"family":"Walsh","given":"Mairtin"},{"family":"Watson","given":"Lucy"}],"issued":{"date-parts":[["2011"]]}}}],"schema":"https://github.com/citation-style-language/schema/raw/master/csl-citation.json"} </w:instrText>
      </w:r>
      <w:r w:rsidR="00402AD1">
        <w:fldChar w:fldCharType="separate"/>
      </w:r>
      <w:r w:rsidR="003A4382" w:rsidRPr="003A4382">
        <w:t>(Walsh and Watson, 2011)</w:t>
      </w:r>
      <w:r w:rsidR="00402AD1">
        <w:fldChar w:fldCharType="end"/>
      </w:r>
      <w:r w:rsidR="00F965A1">
        <w:t xml:space="preserve">. Several seaweed species grow well in the Irish climate </w:t>
      </w:r>
      <w:r w:rsidR="00131B25">
        <w:fldChar w:fldCharType="begin"/>
      </w:r>
      <w:r w:rsidR="003A4382">
        <w:instrText xml:space="preserve"> ADDIN ZOTERO_ITEM CSL_CITATION {"citationID":"D5PjPkUN","properties":{"formattedCitation":"(Reis et al., 2016)","plainCitation":"(Reis et al., 2016)","noteIndex":0},"citationItems":[{"id":140,"uris":["http://zotero.org/users/8766396/items/2ZNR9EMW"],"itemData":{"id":140,"type":"article-journal","container-title":"Ecological Indicators","DOI":"10.1016/j.ecoind.2016.03.041","page":"19-25","title":"Seaweed Alaria esculenta as a biomonitor species of metal contamination in Aughinish Bay (Ireland)","volume":"69","author":[{"family":"Reis","given":"P. A"},{"family":"Goncalves","given":"J"},{"family":"Abreu","given":"H"},{"family":"Pereira","given":"R"},{"family":"Benoit","given":"M"},{"family":"O'Mahony","given":"F"},{"family":"Connellan","given":"I"},{"family":"Maguire","given":"J"},{"family":"Ozorio","given":"R"}],"issued":{"date-parts":[["2016"]]}}}],"schema":"https://github.com/citation-style-language/schema/raw/master/csl-citation.json"} </w:instrText>
      </w:r>
      <w:r w:rsidR="00131B25">
        <w:fldChar w:fldCharType="separate"/>
      </w:r>
      <w:r w:rsidR="003A4382" w:rsidRPr="003A4382">
        <w:t>(Reis et al., 2016)</w:t>
      </w:r>
      <w:r w:rsidR="00131B25">
        <w:fldChar w:fldCharType="end"/>
      </w:r>
      <w:r w:rsidR="00F965A1">
        <w:t xml:space="preserve"> and small-scale cultivation is already underway (netalgae.eu, 2012). Seaweed aquaculture has also been hailed as an opportunity to create high-skilled jobs in rural, coastal communities </w:t>
      </w:r>
      <w:r w:rsidR="00131B25">
        <w:fldChar w:fldCharType="begin"/>
      </w:r>
      <w:r w:rsidR="003A4382">
        <w:instrText xml:space="preserve"> ADDIN ZOTERO_ITEM CSL_CITATION {"citationID":"8XOYEaqL","properties":{"formattedCitation":"(EUMOFA - European Market Observatory for Fisheries and Aquaculture Products, 2023)","plainCitation":"(EUMOFA - European Market Observatory for Fisheries and Aquaculture Products, 2023)","noteIndex":0},"citationItems":[{"id":418,"uris":["http://zotero.org/users/8766396/items/M2P85ET6"],"itemData":{"id":418,"type":"report","event-place":"Luxembourg","publisher":"Publications Office of the European Union","publisher-place":"Luxembourg","title":"Blue Bioeconomy Report","URL":"https://www.eumofa.eu/blue-bioeconomy-report-2022","author":[{"family":"EUMOFA - European Market Observatory for Fisheries and Aquaculture Products","given":""}],"issued":{"date-parts":[["2023"]]}}}],"schema":"https://github.com/citation-style-language/schema/raw/master/csl-citation.json"} </w:instrText>
      </w:r>
      <w:r w:rsidR="00131B25">
        <w:fldChar w:fldCharType="separate"/>
      </w:r>
      <w:r w:rsidR="003A4382" w:rsidRPr="003A4382">
        <w:t>(EUMOFA - European Market Observatory for Fisheries and Aquaculture Products, 2023)</w:t>
      </w:r>
      <w:r w:rsidR="00131B25">
        <w:fldChar w:fldCharType="end"/>
      </w:r>
      <w:r w:rsidR="00F965A1">
        <w:t xml:space="preserve">. However, the scale-up of cultivation in Irish waters also comes with potential trade-offs. Cultivation involves several additional life cycle stages prior to harvest, including hatchery operations, deployment and maintenance of longlines </w:t>
      </w:r>
      <w:r w:rsidR="004F651E">
        <w:fldChar w:fldCharType="begin"/>
      </w:r>
      <w:r w:rsidR="003A4382">
        <w:instrText xml:space="preserve"> ADDIN ZOTERO_ITEM CSL_CITATION {"citationID":"VizpTwr3","properties":{"formattedCitation":"(Collins et al., 2022)","plainCitation":"(Collins et al., 2022)","noteIndex":0},"citationItems":[{"id":313,"uris":["http://zotero.org/users/8766396/items/NYX8KD3B"],"itemData":{"id":313,"type":"article-journal","abstract":"This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schema":"https://github.com/citation-style-language/schema/raw/master/csl-citation.json"} </w:instrText>
      </w:r>
      <w:r w:rsidR="004F651E">
        <w:fldChar w:fldCharType="separate"/>
      </w:r>
      <w:r w:rsidR="003A4382" w:rsidRPr="003A4382">
        <w:t>(Collins et al., 2022)</w:t>
      </w:r>
      <w:r w:rsidR="004F651E">
        <w:fldChar w:fldCharType="end"/>
      </w:r>
      <w:r w:rsidR="00F965A1">
        <w:t xml:space="preserve">. This increases the economic costs compared to wild harvest </w:t>
      </w:r>
      <w:r w:rsidR="004F651E">
        <w:fldChar w:fldCharType="begin"/>
      </w:r>
      <w:r w:rsidR="003A4382">
        <w:instrText xml:space="preserve"> ADDIN ZOTERO_ITEM CSL_CITATION {"citationID":"m2gCeOGI","properties":{"formattedCitation":"(Dijkstra and Meyer, 2015)","plainCitation":"(Dijkstra and Meyer, 2015)","noteIndex":0},"citationItems":[{"id":412,"uris":["http://zotero.org/users/8766396/items/38ZAM9GP"],"itemData":{"id":412,"type":"report","abstract":"The Macro Cascade project aims to develop a cascading seaweed biorefinery concept. This production platform covers the whole valorisation chain starting from cultivation of sustainable cultivated macroalgae biomass (seaweed) up to the production of highly processed value added products. Task 6.2 of the Macro Cascade project aims to present a techno-economic assessment of the envisaged value chains.","collection-title":"Macro Cascade - Project H2020-BBI-PPP-2015-1","genre":"Deliverable","language":"en","number":"D6.2","source":"Zotero","title":"Techno-economic analysis of production and valorisation of seaweed","URL":"https://www.macrocascade.eu/wp-content/uploads/2020/04/MacroCascade-D6.2-Summary-1.pdf","author":[{"family":"Dijkstra","given":"Jan Wilco"},{"family":"Meyer","given":"Dick F"}],"issued":{"date-parts":[["2015"]]}}}],"schema":"https://github.com/citation-style-language/schema/raw/master/csl-citation.json"} </w:instrText>
      </w:r>
      <w:r w:rsidR="004F651E">
        <w:fldChar w:fldCharType="separate"/>
      </w:r>
      <w:r w:rsidR="003A4382" w:rsidRPr="003A4382">
        <w:t>(Dijkstra and Meyer, 2015)</w:t>
      </w:r>
      <w:r w:rsidR="004F651E">
        <w:fldChar w:fldCharType="end"/>
      </w:r>
      <w:r w:rsidR="00F965A1">
        <w:t xml:space="preserve"> as well as contributing to a significant environmental impact through infrastructure </w:t>
      </w:r>
      <w:r w:rsidR="002E4400">
        <w:t xml:space="preserve">demands </w:t>
      </w:r>
      <w:r w:rsidR="00840414">
        <w:fldChar w:fldCharType="begin"/>
      </w:r>
      <w:r w:rsidR="003A4382">
        <w:instrText xml:space="preserve"> ADDIN ZOTERO_ITEM CSL_CITATION {"citationID":"xTGVHgZR","properties":{"formattedCitation":"(Seghetta et al., 2017)","plainCitation":"(Seghetta et al., 2017)","noteIndex":0},"citationItems":[{"id":133,"uris":["http://zotero.org/users/8766396/items/ZXUIUT6N"],"itemData":{"id":133,"type":"article-journal","container-title":"Journal of Cleaner Production","DOI":"10.1016/j.clepro.2017.02.022","page":"1-15","title":"Seaweed as innovative feedstock for energy and feed - Evaluating the impacts through a Life Cycle Assessment","volume":"150","author":[{"family":"Seghetta","given":"M"},{"family":"Romeo","given":"D"},{"family":"D'Este","given":"M"},{"family":"Alvarado-Morales","given":"M"},{"family":"Angelidaki","given":"I"},{"family":"Bastianoni","given":"S"},{"family":"Thomsen","given":"M"}],"issued":{"date-parts":[["2017"]]}}}],"schema":"https://github.com/citation-style-language/schema/raw/master/csl-citation.json"} </w:instrText>
      </w:r>
      <w:r w:rsidR="00840414">
        <w:fldChar w:fldCharType="separate"/>
      </w:r>
      <w:r w:rsidR="003A4382" w:rsidRPr="003A4382">
        <w:t>(Seghetta et al., 2017)</w:t>
      </w:r>
      <w:r w:rsidR="00840414">
        <w:fldChar w:fldCharType="end"/>
      </w:r>
      <w:r w:rsidR="00F965A1">
        <w:t>.</w:t>
      </w:r>
      <w:r w:rsidR="005D5938">
        <w:t xml:space="preserve"> </w:t>
      </w:r>
      <w:r w:rsidR="00047E1A">
        <w:t>The large investment costs associated with s</w:t>
      </w:r>
      <w:r w:rsidR="00B5194E">
        <w:t xml:space="preserve">eaweed </w:t>
      </w:r>
      <w:r w:rsidR="006D72C4">
        <w:t xml:space="preserve">farm setup </w:t>
      </w:r>
      <w:r w:rsidR="00B5194E">
        <w:t xml:space="preserve">has been </w:t>
      </w:r>
      <w:r w:rsidR="002C2492">
        <w:t xml:space="preserve">cited as a key barrier </w:t>
      </w:r>
      <w:r w:rsidR="00167605">
        <w:t>limiting the upscaling of</w:t>
      </w:r>
      <w:r w:rsidR="003B0A5D">
        <w:t xml:space="preserve"> cultivation</w:t>
      </w:r>
      <w:r w:rsidR="00510531">
        <w:t xml:space="preserve"> practices</w:t>
      </w:r>
      <w:r w:rsidR="0094398C">
        <w:t xml:space="preserve">, </w:t>
      </w:r>
      <w:r w:rsidR="00E355DB">
        <w:t>as it limits the</w:t>
      </w:r>
      <w:r w:rsidR="00785B0A">
        <w:t xml:space="preserve"> customer</w:t>
      </w:r>
      <w:r w:rsidR="00E355DB">
        <w:t xml:space="preserve"> market to niche</w:t>
      </w:r>
      <w:r w:rsidR="002676EE">
        <w:t>,</w:t>
      </w:r>
      <w:r w:rsidR="00E355DB">
        <w:t xml:space="preserve"> high-value applications</w:t>
      </w:r>
      <w:r w:rsidR="00C54D63">
        <w:t xml:space="preserve"> that </w:t>
      </w:r>
      <w:r w:rsidR="00785B0A">
        <w:t xml:space="preserve">can afford </w:t>
      </w:r>
      <w:r w:rsidR="00C54D63">
        <w:t xml:space="preserve">the high </w:t>
      </w:r>
      <w:r w:rsidR="00785B0A">
        <w:t xml:space="preserve">price for cultivated </w:t>
      </w:r>
      <w:r w:rsidR="00B3684D">
        <w:t>s</w:t>
      </w:r>
      <w:r w:rsidR="00785B0A">
        <w:t>eaweed</w:t>
      </w:r>
      <w:r w:rsidR="003B0A5D">
        <w:t xml:space="preserve"> </w:t>
      </w:r>
      <w:r w:rsidR="003B0A5D">
        <w:fldChar w:fldCharType="begin"/>
      </w:r>
      <w:r w:rsidR="003B0A5D">
        <w:instrText xml:space="preserve"> ADDIN ZOTERO_ITEM CSL_CITATION {"citationID":"1qga19tJ","properties":{"formattedCitation":"(Cerca et al., 2023)","plainCitation":"(Cerca et al., 2023)","noteIndex":0},"citationItems":[{"id":497,"uris":["http://zotero.org/users/8766396/items/M7F7DY88"],"itemData":{"id":497,"type":"article-journal","abstract":"To address societal challenges and attend to the increasing demand for seaweed while avoiding the overexploitation of wild resources, the future expansion of the Irish seaweed industry depends on upscaling mac­ roalgal cultivation. Through an interdisciplinary research approach, this study aimed to conduct an in-depth investigation of the prospects of upscaling seaweed aquaculture in Ireland through the lens of sustainability management. The identification of responsibilities of emerging enterprises was aligned with socio-ecological dimensions of sustainability and found to be related to: 1) the natural environment, 2) the development of rural coastal communities, 3) the engagement with local actors and 4) the customer segment. Moreover, seaweed cultivation still faces many uncertainties and bottlenecks from the operational up to institutional levels. Distinct from seaweed collected from the wild, cultivated seaweed has more phases added to the supply chain cycle. This includes, for example, the optimal site selection, the granting of an aquaculture licence and potentially social licence to operate, seed supply, and optimal timing for cultivation or harvest depending on the species, pro­ cessing capacity and end-uses. The results contribute to an enhanced and holistic understanding of macroalgal cultivation in Ireland, as well as the social responsibility of emerging enterprises over socio-ecological systems and for the establishment of new supply chains based on seaweed. This can help to guide better decision-making of prospective growers, certification bodies, and policymakers in Ireland and beyond.","container-title":"Aquaculture","DOI":"10.1016/j.aquaculture.2022.738996","ISSN":"00448486","journalAbbreviation":"Aquaculture","language":"en","page":"738996","source":"DOI.org (Crossref)","title":"Responsible supply systems for macroalgae: Upscaling seaweed cultivation in Ireland","title-short":"Responsible supply systems for macroalgae","URL":"https://linkinghub.elsevier.com/retrieve/pii/S0044848622011139","volume":"563","author":[{"family":"Cerca","given":"Mariana"},{"family":"Sosa","given":"Amanda"},{"family":"Murphy","given":"Fionnuala"}],"accessed":{"date-parts":[["2023",2,10]]},"issued":{"date-parts":[["2023",1]]}}}],"schema":"https://github.com/citation-style-language/schema/raw/master/csl-citation.json"} </w:instrText>
      </w:r>
      <w:r w:rsidR="003B0A5D">
        <w:fldChar w:fldCharType="separate"/>
      </w:r>
      <w:r w:rsidR="003B0A5D" w:rsidRPr="003B0A5D">
        <w:t>(Cerca et al., 2023)</w:t>
      </w:r>
      <w:r w:rsidR="003B0A5D">
        <w:fldChar w:fldCharType="end"/>
      </w:r>
      <w:r w:rsidR="003B0A5D">
        <w:t>.</w:t>
      </w:r>
    </w:p>
    <w:p w14:paraId="419C8C00" w14:textId="7E5E9F30" w:rsidR="00DF7A81" w:rsidRDefault="005A0B45" w:rsidP="00890D06">
      <w:pPr>
        <w:spacing w:after="240" w:line="480" w:lineRule="auto"/>
        <w:jc w:val="both"/>
      </w:pPr>
      <w:proofErr w:type="gramStart"/>
      <w:r>
        <w:t>It is clear that while</w:t>
      </w:r>
      <w:proofErr w:type="gramEnd"/>
      <w:r>
        <w:t xml:space="preserve"> there are several pathways for seaweed production, each has both positive and negative impacts associated. </w:t>
      </w:r>
      <w:r w:rsidR="00F965A1">
        <w:t xml:space="preserve">It is therefore essential that the </w:t>
      </w:r>
      <w:r w:rsidR="00371797">
        <w:t xml:space="preserve">sustainability </w:t>
      </w:r>
      <w:r w:rsidR="000A1CA0">
        <w:t>of</w:t>
      </w:r>
      <w:r w:rsidR="00F965A1">
        <w:t xml:space="preserve"> </w:t>
      </w:r>
      <w:r w:rsidR="00D833BA">
        <w:t>these</w:t>
      </w:r>
      <w:r w:rsidR="00F965A1">
        <w:t xml:space="preserve"> pathways </w:t>
      </w:r>
      <w:proofErr w:type="gramStart"/>
      <w:r w:rsidR="00F965A1">
        <w:t>are</w:t>
      </w:r>
      <w:proofErr w:type="gramEnd"/>
      <w:r w:rsidR="00F965A1">
        <w:t xml:space="preserve"> assessed. Life cycle assessment is a well-known methodology for assessing the impacts of a product, process, or system, where environmental impacts can be quantified through environmental LCA (e-LCA), economic impacts through life cycle costing (LCC) and social impacts through social LCA (s-LCA) </w:t>
      </w:r>
      <w:r w:rsidR="00BD329C">
        <w:fldChar w:fldCharType="begin"/>
      </w:r>
      <w:r w:rsidR="003A4382">
        <w:instrText xml:space="preserve"> ADDIN ZOTERO_ITEM CSL_CITATION {"citationID":"HSFxZlrZ","properties":{"formattedCitation":"(UNEP/SETAC Life Cycle Initiative, 2011)","plainCitation":"(UNEP/SETAC Life Cycle Initiative, 2011)","noteIndex":0},"citationItems":[{"id":149,"uris":["http://zotero.org/users/8766396/items/W9F9PUMZ"],"itemData":{"id":149,"type":"report","title":"Towards a Life Cycle Sustainability Assessment: Making informed choices on products","URL":"https://www.lifecycleinitiative.org/wp-content/uploads/2012/12/2011%20-%20Towards%20LCSA.pdf","author":[{"family":"UNEP/SETAC Life Cycle Initiative","given":""}],"issued":{"date-parts":[["2011"]]}}}],"schema":"https://github.com/citation-style-language/schema/raw/master/csl-citation.json"} </w:instrText>
      </w:r>
      <w:r w:rsidR="00BD329C">
        <w:fldChar w:fldCharType="separate"/>
      </w:r>
      <w:r w:rsidR="003A4382" w:rsidRPr="003A4382">
        <w:t>(UNEP/SETAC Life Cycle Initiative, 2011)</w:t>
      </w:r>
      <w:r w:rsidR="00BD329C">
        <w:fldChar w:fldCharType="end"/>
      </w:r>
      <w:r w:rsidR="00F965A1">
        <w:t xml:space="preserve">. Life cycle assessment has indeed been used to assess the environmental sustainability of </w:t>
      </w:r>
      <w:r w:rsidR="00F76117">
        <w:t xml:space="preserve">European </w:t>
      </w:r>
      <w:r w:rsidR="00F965A1">
        <w:t xml:space="preserve">seaweed production systems </w:t>
      </w:r>
      <w:r w:rsidR="00456549">
        <w:fldChar w:fldCharType="begin"/>
      </w:r>
      <w:r w:rsidR="003A4382">
        <w:instrText xml:space="preserve"> ADDIN ZOTERO_ITEM CSL_CITATION {"citationID":"z5PTPK1r","properties":{"formattedCitation":"(Collins et al., 2022; Czyrnek-Deletre et al., 2017; Nilsson et al., 2022; Seghetta et al., 2017; Taelman et al., 2015; van Oirschot et al., 2017)","plainCitation":"(Collins et al., 2022; Czyrnek-Deletre et al., 2017; Nilsson et al., 2022; Seghetta et al., 2017; Taelman et al., 2015; van Oirschot et al., 2017)","noteIndex":0},"citationItems":[{"id":313,"uris":["http://zotero.org/users/8766396/items/NYX8KD3B"],"itemData":{"id":313,"type":"article-journal","abstract":"This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Pilar"},{"family":"Cabral","given":"Eduarda M."},{"family":"Tiwari","given":"Brijesh Kumar"}],"accessed":{"date-parts":[["2023",1,26]]},"issued":{"date-parts":[["2022",6]]}}},{"id":133,"uris":["http://zotero.org/users/8766396/items/ZXUIUT6N"],"itemData":{"id":133,"type":"article-journal","container-title":"Journal of Cleaner Production","DOI":"10.1016/j.clepro.2017.02.022","page":"1-15","title":"Seaweed as innovative feedstock for energy and feed - Evaluating the impacts through a Life Cycle Assessment","volume":"150","author":[{"family":"Seghetta","given":"M"},{"family":"Romeo","given":"D"},{"family":"D'Este","given":"M"}</w:instrText>
      </w:r>
      <w:r w:rsidR="003A4382" w:rsidRPr="00BB2CEB">
        <w:rPr>
          <w:lang w:val="sv-SE"/>
        </w:rPr>
        <w:instrText xml:space="preserve">,{"family":"Alvarado-Morales","given":"M"},{"family":"Angelidaki","given":"I"},{"family":"Bastianoni","given":"S"},{"family":"Thomsen","given":"M"}],"issued":{"date-parts":[["2017"]]}}},{"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Meester","given":"S"},{"family":"Dewulf","given":"J"}],"issued":{"date-parts":[["2015"]]}}},{"id":134,"uris":["http://zotero.org/users/8766396/items/NBFYWFZV"],"itemData":{"id":134,"type":"article-journal","container-title":"Algal Research","DOI":"10.1016/j.algal.2017.07.025","page":"43-54","title":"Explorative environmental life cycle assessment for system design of seaweed cultivation and drying","volume":"27","author":[{"family":"Oirschot","given":"R","non-dropping-particle":"van"},{"family":"Thomas","given":"J-B. E"},{"family":"Gröndahl","given":"F"},{"family":"Fortuin","given":"K. P. J"},{"family":"Brandenburg","given":"W"},{"family":"Potting","given":"J"}],"issued":{"date-parts":[["2017"]]}}}],"schema":"https://github.com/citation-style-language/schema/raw/master/csl-citation.json"} </w:instrText>
      </w:r>
      <w:r w:rsidR="00456549">
        <w:fldChar w:fldCharType="separate"/>
      </w:r>
      <w:r w:rsidR="003A4382" w:rsidRPr="00BB2CEB">
        <w:rPr>
          <w:lang w:val="sv-SE"/>
        </w:rPr>
        <w:t xml:space="preserve">(Collins et al., 2022; Czyrnek-Deletre et al., 2017; Nilsson et al., </w:t>
      </w:r>
      <w:r w:rsidR="003A4382" w:rsidRPr="00BB2CEB">
        <w:rPr>
          <w:lang w:val="sv-SE"/>
        </w:rPr>
        <w:lastRenderedPageBreak/>
        <w:t>2022; Seghetta et al., 2017; Taelman et al., 2015; van Oirschot et al., 2017)</w:t>
      </w:r>
      <w:r w:rsidR="00456549">
        <w:fldChar w:fldCharType="end"/>
      </w:r>
      <w:r w:rsidR="00F965A1" w:rsidRPr="00BB2CEB">
        <w:rPr>
          <w:lang w:val="sv-SE"/>
        </w:rPr>
        <w:t xml:space="preserve">. </w:t>
      </w:r>
      <w:r w:rsidR="00F965A1" w:rsidRPr="00E81263">
        <w:t xml:space="preserve">Economic sustainability has also been explored in several works </w:t>
      </w:r>
      <w:r w:rsidR="00BD329C">
        <w:fldChar w:fldCharType="begin"/>
      </w:r>
      <w:r w:rsidR="00DF2A58">
        <w:instrText xml:space="preserve"> ADDIN ZOTERO_ITEM CSL_CITATION {"citationID":"3QDKqeDF","properties":{"formattedCitation":"(Konda {\\i{}et al.}, 2015; Bak, Mols-Mortensen and Gregersen, 2018; Greene {\\i{}et al.}, 2020; Collins {\\i{}et al.}, 2022)","plainCitation":"(Konda et al., 2015; Bak, Mols-Mortensen and Gregersen, 2018; Greene et al., 2020; Collins et al., 2022)","dontUpdate":true,"noteIndex":0},"citationItems":[{"id":184,"uris":["http://zotero.org/users/8766396/items/7GX3R3Q4"],"itemData":{"id":184,"type":"article-journal","container-title":"Algal Research","DOI":"10.1016/j.algal.2018.05.001","page":"36-47","title":"Production method and cost of commercial-scale offshore cultivation of kelp in the Faroe Islands using multiple partial harvesting","volume":"33","author":[{"family":"Bak","given":"U. G"},{"family":"Mols-Mortensen","given":"A"},{"family":"Gregersen","given":"O"}],"issued":{"date-parts":[["2018"]]}}},{"id":313,"uris":["http://zotero.org/users/8766396/items/NYX8KD3B"],"itemData":{"id":313,"type":"article-journal","abstract":"This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id":204,"uris":["http://zotero.org/users/8766396/items/I6HZVHAX"],"itemData":{"id":204,"type":"article-journal","container-title":"Algal Research","DOI":"10.1016/j.algal.2020.102032","page":"102032","title":"Techno-economic analysis and global warming potential of a novel offshore macroalgae biorefinery","volume":"51","author":[{"family":"Greene","given":"J. M"},{"family":"Gulden","given":"J"},{"family":"Wood","given":"G"},{"family":"Huesemann","given":"M"},{"family":"Quinn","given":"J. C"}],"issued":{"date-parts":[["2020"]]}}},{"id":369,"uris":["http://zotero.org/users/8766396/items/B8SLAD87"],"itemData":{"id":369,"type":"article-journal","container-title":"BioEnergy Research","DOI":"10.1007/s12155-015-9594-1","ISSN":"1939-1234, 1939-1242","issue":"3","journalAbbreviation":"Bioenerg. Res.","language":"en","page":"1046-1056","source":"DOI.org (Crossref)","title":"An Investigation on the Economic Feasibility of Macroalgae as a Potential Feedstock for Biorefineries","URL":"http://link.springer.com/10.1007/s12155-015-9594-1","volume":"8","author":[{"family":"Konda","given":"N. V. S. N. Murthy"},{"family":"Singh","given":"Seema"},{"family":"Simmons","given":"Blake A."},{"family":"Klein-Marcuschamer","given":"Daniel"}],"accessed":{"date-parts":[["2023",1,26]]},"issued":{"date-parts":[["2015",9]]}}}],"schema":"https://github.com/citation-style-language/schema/raw/master/csl-citation.json"} </w:instrText>
      </w:r>
      <w:r w:rsidR="00BD329C">
        <w:fldChar w:fldCharType="separate"/>
      </w:r>
      <w:r w:rsidR="00BA13E3" w:rsidRPr="00BA13E3">
        <w:rPr>
          <w:szCs w:val="24"/>
        </w:rPr>
        <w:t xml:space="preserve">(Konda </w:t>
      </w:r>
      <w:r w:rsidR="00BA13E3" w:rsidRPr="00BA13E3">
        <w:rPr>
          <w:i/>
          <w:iCs/>
          <w:szCs w:val="24"/>
        </w:rPr>
        <w:t>et al.</w:t>
      </w:r>
      <w:r w:rsidR="00BA13E3" w:rsidRPr="00BA13E3">
        <w:rPr>
          <w:szCs w:val="24"/>
        </w:rPr>
        <w:t xml:space="preserve">, 2015; Bak, Mols-Mortensen and Gregersen, 2018; Collins </w:t>
      </w:r>
      <w:r w:rsidR="00BA13E3" w:rsidRPr="00BA13E3">
        <w:rPr>
          <w:i/>
          <w:iCs/>
          <w:szCs w:val="24"/>
        </w:rPr>
        <w:t>et al.</w:t>
      </w:r>
      <w:r w:rsidR="00BA13E3" w:rsidRPr="00BA13E3">
        <w:rPr>
          <w:szCs w:val="24"/>
        </w:rPr>
        <w:t>, 2022)</w:t>
      </w:r>
      <w:r w:rsidR="00BD329C">
        <w:fldChar w:fldCharType="end"/>
      </w:r>
      <w:r w:rsidR="00F965A1" w:rsidRPr="00E81263">
        <w:t xml:space="preserve">. </w:t>
      </w:r>
      <w:r w:rsidR="00F965A1">
        <w:t xml:space="preserve">However, these studies have only considered the impacts of seaweed cultivation, which only contributes to 0.5% of seaweed production in Europe </w:t>
      </w:r>
      <w:r w:rsidR="00207AEC">
        <w:fldChar w:fldCharType="begin"/>
      </w:r>
      <w:r w:rsidR="003A4382">
        <w:instrText xml:space="preserve"> ADDIN ZOTERO_ITEM CSL_CITATION {"citationID":"QMlEFTpt","properties":{"formattedCitation":"(Cai et al., 2021; CyberColloids, 2020)","plainCitation":"(Cai et al., 2021; CyberColloids, 2020)","noteIndex":0},"citationItems":[{"id":680,"uris":["http://zotero.org/users/8766396/items/P8AZYB48"],"itemData":{"id":680,"type":"report","publisher":"Bord Iascaigh Mhara [BIM]","title":"Scoping a seaweed biorefinery concept for Ireland","URL":"https://bim.ie/wp-content/uploads/2021/02/BIM-Scoping-a-seaweed-biorefinery-concept-for-Ireland.pdf","author":[{"literal":"CyberColloids"}],"issued":{"date-parts":[["2020",5]]}}},{"id":704,"uris":["http://zotero.org/users/8766396/items/62B8E692"],"itemData":{"id":704,"type":"book","collection-number":"No. 1229","collection-title":"FAO Fisheries and Aquaculture Circular","event-place":"Rome","ISBN":"978-92-5-134710-2","language":"en","note":"DOI: 10.4060/cb5670en","publisher":"FAO","publisher-place":"Rome","source":"DOI.org (Crossref)","title":"Seaweeds and microalgae: an overview for unlocking their potential in global aquaculture development","title-short":"Seaweeds and microalgae","URL":"http://www.fao.org/documents/card/en/c/cb5670en","author":[{"family":"Cai","given":"J"},{"family":"Lovatelli","given":"A"},{"family":"Aguilar-Manjarrez","given":"J"},{"family":"Cornish","given":"Lynn"},{"family":"Dabbadie","given":"L"},{"family":"Desrochers","given":"A"},{"family":"Diffey","given":"S"},{"family":"Garrido Gamarro","given":"E"},{"family":"Geehan","given":"J"},{"family":"Hurtado","given":"A"},{"family":"Lucente","given":"D"},{"family":"Mair","given":"G"},{"family":"Miao","given":"W"},{"family":"Potin","given":"P"},{"family":"Przybyla","given":"C"},{"family":"Reantaso","given":"M"},{"family":"Roubach","given":"R"},{"family":"Tauati","given":"M"},{"family":"Yuan","given":"X"}],"accessed":{"date-parts":[["2023",3,13]]},"issued":{"date-parts":[["2021",7,16]]}}}],"schema":"https://github.com/citation-style-language/schema/raw/master/csl-citation.json"} </w:instrText>
      </w:r>
      <w:r w:rsidR="00207AEC">
        <w:fldChar w:fldCharType="separate"/>
      </w:r>
      <w:r w:rsidR="003A4382" w:rsidRPr="003A4382">
        <w:t>(Cai et al., 2021; CyberColloids, 2020)</w:t>
      </w:r>
      <w:r w:rsidR="00207AEC">
        <w:fldChar w:fldCharType="end"/>
      </w:r>
      <w:r w:rsidR="00F965A1">
        <w:t xml:space="preserve">. No study has yet </w:t>
      </w:r>
      <w:r w:rsidR="00DE423D">
        <w:t>quantified</w:t>
      </w:r>
      <w:r w:rsidR="00F965A1">
        <w:t xml:space="preserve"> the </w:t>
      </w:r>
      <w:r w:rsidR="00F965A1" w:rsidRPr="00004F20">
        <w:t>environmental</w:t>
      </w:r>
      <w:r w:rsidR="00F965A1">
        <w:t xml:space="preserve"> impacts of the most common method of European seaweed production: wild harvesting. Furthermore, no studies have capture</w:t>
      </w:r>
      <w:r w:rsidR="00E63BAE">
        <w:t>d</w:t>
      </w:r>
      <w:r w:rsidR="00F965A1">
        <w:t xml:space="preserve"> the social impacts of seaweed production systems within a </w:t>
      </w:r>
      <w:r w:rsidR="00121931">
        <w:t xml:space="preserve">quantitative </w:t>
      </w:r>
      <w:r w:rsidR="00F965A1">
        <w:t xml:space="preserve">LCA framework. </w:t>
      </w:r>
      <w:r w:rsidR="00657DD4">
        <w:t xml:space="preserve">Finally, </w:t>
      </w:r>
      <w:r w:rsidR="00C60BCB">
        <w:t xml:space="preserve">while </w:t>
      </w:r>
      <w:r w:rsidR="000F2261">
        <w:t xml:space="preserve">reports have discussed the large potential for upscaling </w:t>
      </w:r>
      <w:r w:rsidR="000E39FC">
        <w:t>seaweed production in Europe</w:t>
      </w:r>
      <w:r w:rsidR="00B92E1D">
        <w:t xml:space="preserve"> </w:t>
      </w:r>
      <w:r w:rsidR="00F93689">
        <w:fldChar w:fldCharType="begin"/>
      </w:r>
      <w:r w:rsidR="003A4382">
        <w:instrText xml:space="preserve"> ADDIN ZOTERO_ITEM CSL_CITATION {"citationID":"m6R6GNQJ","properties":{"formattedCitation":"(Vincent et al., 2020)","plainCitation":"(Vincent et al., 2020)","noteIndex":0},"citationItems":[{"id":718,"uris":["http://zotero.org/users/8766396/items/2WTZZQ2X"],"itemData":{"id":718,"type":"report","publisher":"Seaweed for Europe","title":"Hidden champion of the ocean: Seaweed as a growth engine for a sustainable European future","URL":"https://www.seaweedeurope.com/wp-content/uploads/2020/10/Seaweed_for_Europe-Hidden_Champion_of_the_ocean-Report.pdf","author":[{"family":"Vincent","given":"A"},{"family":"Stanley","given":"A"},{"family":"Ring","given":"J"}],"issued":{"date-parts":[["2020"]]}}}],"schema":"https://github.com/citation-style-language/schema/raw/master/csl-citation.json"} </w:instrText>
      </w:r>
      <w:r w:rsidR="00F93689">
        <w:fldChar w:fldCharType="separate"/>
      </w:r>
      <w:r w:rsidR="003A4382" w:rsidRPr="003A4382">
        <w:t>(Vincent et al., 2020)</w:t>
      </w:r>
      <w:r w:rsidR="00F93689">
        <w:fldChar w:fldCharType="end"/>
      </w:r>
      <w:r w:rsidR="000F2261">
        <w:t xml:space="preserve">, </w:t>
      </w:r>
      <w:r w:rsidR="00F91EB0">
        <w:t xml:space="preserve">the </w:t>
      </w:r>
      <w:r w:rsidR="000E39FC">
        <w:t xml:space="preserve">realistic </w:t>
      </w:r>
      <w:r w:rsidR="00F91EB0">
        <w:t xml:space="preserve">limits to upscaling </w:t>
      </w:r>
      <w:r w:rsidR="00EE1CC2">
        <w:t xml:space="preserve">Irish seaweed production </w:t>
      </w:r>
      <w:r w:rsidR="00F91EB0">
        <w:t>have not been quantified.</w:t>
      </w:r>
    </w:p>
    <w:p w14:paraId="419C8C01" w14:textId="4D515C32" w:rsidR="00DF7A81" w:rsidRDefault="002D1AB2" w:rsidP="00890D06">
      <w:pPr>
        <w:spacing w:after="240" w:line="480" w:lineRule="auto"/>
        <w:jc w:val="both"/>
      </w:pPr>
      <w:r>
        <w:t>T</w:t>
      </w:r>
      <w:r w:rsidRPr="002D1AB2">
        <w:t>o achieve the 30</w:t>
      </w:r>
      <w:r w:rsidR="00A03891">
        <w:t>-</w:t>
      </w:r>
      <w:r w:rsidRPr="002D1AB2">
        <w:t>fold increase in seaweed production that would be needed to achieve the EU's 2030 targets</w:t>
      </w:r>
      <w:r>
        <w:t xml:space="preserve">, </w:t>
      </w:r>
      <w:r w:rsidR="00377F7C">
        <w:t xml:space="preserve">scale-up of seaweed production systems is </w:t>
      </w:r>
      <w:r w:rsidR="0077462F">
        <w:t>necessary</w:t>
      </w:r>
      <w:r w:rsidR="00377F7C">
        <w:t xml:space="preserve">. </w:t>
      </w:r>
      <w:r w:rsidR="00F965A1">
        <w:t>This study</w:t>
      </w:r>
      <w:r w:rsidR="008227FA">
        <w:t xml:space="preserve"> </w:t>
      </w:r>
      <w:r w:rsidR="003D6EB1">
        <w:t>aims to</w:t>
      </w:r>
      <w:r w:rsidR="00F965A1">
        <w:t xml:space="preserve"> </w:t>
      </w:r>
      <w:r w:rsidR="003D6EB1">
        <w:t xml:space="preserve">quantify and </w:t>
      </w:r>
      <w:r w:rsidR="00CC3F03">
        <w:t>compar</w:t>
      </w:r>
      <w:r w:rsidR="008227FA">
        <w:t>e</w:t>
      </w:r>
      <w:r w:rsidR="00FF4081">
        <w:t xml:space="preserve"> the </w:t>
      </w:r>
      <w:r w:rsidR="000E39FC">
        <w:t>environmental</w:t>
      </w:r>
      <w:r w:rsidR="003D6EB1">
        <w:t>,</w:t>
      </w:r>
      <w:r w:rsidR="00E61859">
        <w:t xml:space="preserve"> economic, </w:t>
      </w:r>
      <w:r w:rsidR="00FF4081">
        <w:t xml:space="preserve">and </w:t>
      </w:r>
      <w:r w:rsidR="00A139CD">
        <w:t xml:space="preserve">social </w:t>
      </w:r>
      <w:r w:rsidR="003D6EB1">
        <w:t>impacts</w:t>
      </w:r>
      <w:r w:rsidR="00F965A1">
        <w:t xml:space="preserve"> </w:t>
      </w:r>
      <w:r w:rsidR="00A82B7C">
        <w:t xml:space="preserve">of </w:t>
      </w:r>
      <w:r w:rsidR="000C18C3">
        <w:t>current and po</w:t>
      </w:r>
      <w:r w:rsidR="00CC0A67">
        <w:t>tential</w:t>
      </w:r>
      <w:r w:rsidR="000C18C3">
        <w:t xml:space="preserve"> future </w:t>
      </w:r>
      <w:r w:rsidR="003D6EB1">
        <w:t>seaweed production pathways</w:t>
      </w:r>
      <w:r w:rsidR="00E46AF4">
        <w:t xml:space="preserve"> in Ireland</w:t>
      </w:r>
      <w:r w:rsidR="00B9592C">
        <w:t xml:space="preserve"> which could be </w:t>
      </w:r>
      <w:r w:rsidR="00323684">
        <w:t>employed to meet European production targets</w:t>
      </w:r>
      <w:r w:rsidR="00F965A1">
        <w:t xml:space="preserve">. The framework </w:t>
      </w:r>
      <w:r w:rsidR="00AE0328">
        <w:t xml:space="preserve">is a life cycle sustainability assessment </w:t>
      </w:r>
      <w:r w:rsidR="00DA755E">
        <w:t xml:space="preserve">(LCSA) </w:t>
      </w:r>
      <w:r w:rsidR="00F965A1">
        <w:t>us</w:t>
      </w:r>
      <w:r w:rsidR="00AE0328">
        <w:t>ing</w:t>
      </w:r>
      <w:r w:rsidR="00F965A1">
        <w:t xml:space="preserve"> </w:t>
      </w:r>
      <w:r w:rsidR="00CF5788">
        <w:t>two</w:t>
      </w:r>
      <w:r w:rsidR="00F965A1">
        <w:t xml:space="preserve"> innovative life cycle assessment methodologies to determine the sustainability of the system: namely, exergetic LCA for comparing resource extraction from natural systems (wild harvesting) to resource consumption within human-made systems (cultivation), and a simplified social LCA for comparing each pathway’s contribution to human well-being. </w:t>
      </w:r>
      <w:r w:rsidR="0077462F">
        <w:t>T</w:t>
      </w:r>
      <w:r w:rsidR="00F965A1">
        <w:t xml:space="preserve">his paper not only aims to determine the most sustainable pathways for upscaling Irish seaweed production based on </w:t>
      </w:r>
      <w:r w:rsidR="00F965A1" w:rsidRPr="00765AAC">
        <w:t>environmental</w:t>
      </w:r>
      <w:r w:rsidR="004B1F0C" w:rsidRPr="00765AAC">
        <w:t>,</w:t>
      </w:r>
      <w:r w:rsidR="004B1F0C">
        <w:t xml:space="preserve"> economic,</w:t>
      </w:r>
      <w:r w:rsidR="00F965A1">
        <w:t xml:space="preserve"> and social criteria, but also </w:t>
      </w:r>
      <w:r w:rsidR="00C00115">
        <w:t xml:space="preserve">outlines </w:t>
      </w:r>
      <w:r w:rsidR="00F965A1">
        <w:t xml:space="preserve">a streamlined framework for </w:t>
      </w:r>
      <w:r w:rsidR="00DA0828">
        <w:t xml:space="preserve">holistically </w:t>
      </w:r>
      <w:r w:rsidR="00F965A1">
        <w:t xml:space="preserve">comparing bio-based </w:t>
      </w:r>
      <w:r w:rsidR="00891CCF">
        <w:t xml:space="preserve">production </w:t>
      </w:r>
      <w:r w:rsidR="00F965A1">
        <w:t>systems using simple determinable metrics.</w:t>
      </w:r>
      <w:r w:rsidR="00EA2072" w:rsidRPr="00EA2072">
        <w:t xml:space="preserve"> </w:t>
      </w:r>
    </w:p>
    <w:p w14:paraId="766B7696" w14:textId="034624FE" w:rsidR="005D61EC" w:rsidRPr="00A12379" w:rsidRDefault="00F965A1" w:rsidP="00890D06">
      <w:pPr>
        <w:pStyle w:val="Heading1"/>
        <w:numPr>
          <w:ilvl w:val="0"/>
          <w:numId w:val="12"/>
        </w:numPr>
        <w:spacing w:before="0" w:after="240" w:line="480" w:lineRule="auto"/>
        <w:rPr>
          <w:b/>
          <w:bCs/>
          <w:sz w:val="22"/>
          <w:szCs w:val="22"/>
        </w:rPr>
      </w:pPr>
      <w:bookmarkStart w:id="0" w:name="_Toc130974640"/>
      <w:bookmarkStart w:id="1" w:name="_Toc130974641"/>
      <w:bookmarkEnd w:id="0"/>
      <w:r w:rsidRPr="00A12379">
        <w:rPr>
          <w:b/>
          <w:bCs/>
          <w:sz w:val="22"/>
          <w:szCs w:val="22"/>
        </w:rPr>
        <w:lastRenderedPageBreak/>
        <w:t>Methodology</w:t>
      </w:r>
      <w:bookmarkEnd w:id="1"/>
    </w:p>
    <w:p w14:paraId="40120908" w14:textId="47646FCA" w:rsidR="005C4BD4" w:rsidRDefault="00121443" w:rsidP="00890D06">
      <w:pPr>
        <w:spacing w:after="240" w:line="480" w:lineRule="auto"/>
        <w:jc w:val="both"/>
      </w:pPr>
      <w:r>
        <w:t>This study assess</w:t>
      </w:r>
      <w:r w:rsidR="003310E0">
        <w:t>es</w:t>
      </w:r>
      <w:r>
        <w:t xml:space="preserve"> multiple scale-up pathways for Irish seaweed production based on </w:t>
      </w:r>
      <w:r w:rsidR="00541608">
        <w:t>environmental</w:t>
      </w:r>
      <w:r w:rsidR="00476F4A">
        <w:t>, economic,</w:t>
      </w:r>
      <w:r w:rsidR="004426F4">
        <w:t xml:space="preserve"> </w:t>
      </w:r>
      <w:r>
        <w:t xml:space="preserve">and social criteria. </w:t>
      </w:r>
      <w:r w:rsidR="002E6283">
        <w:t xml:space="preserve">First, the methodology used to measure </w:t>
      </w:r>
      <w:r w:rsidR="0054377C">
        <w:t xml:space="preserve">the </w:t>
      </w:r>
      <w:r w:rsidR="00541608">
        <w:t>environmental</w:t>
      </w:r>
      <w:r w:rsidR="0054377C">
        <w:t xml:space="preserve">, economic, and social impacts of different </w:t>
      </w:r>
      <w:r w:rsidR="00CC7AB2">
        <w:t xml:space="preserve">wild harvesting and cultivation </w:t>
      </w:r>
      <w:r w:rsidR="0054377C">
        <w:t>pathways</w:t>
      </w:r>
      <w:r w:rsidR="002E6283">
        <w:t xml:space="preserve"> is outlined</w:t>
      </w:r>
      <w:r w:rsidR="0054377C">
        <w:t xml:space="preserve">. </w:t>
      </w:r>
      <w:r w:rsidR="002E6283">
        <w:t xml:space="preserve">Then, the methodology for determining the limits to upscaling is discussed. </w:t>
      </w:r>
    </w:p>
    <w:p w14:paraId="242052A5" w14:textId="4A29F548" w:rsidR="00781270" w:rsidRPr="00781270" w:rsidRDefault="00781270" w:rsidP="00890D06">
      <w:pPr>
        <w:pStyle w:val="Heading2"/>
        <w:numPr>
          <w:ilvl w:val="1"/>
          <w:numId w:val="12"/>
        </w:numPr>
        <w:spacing w:before="0" w:after="240" w:line="480" w:lineRule="auto"/>
        <w:rPr>
          <w:b/>
          <w:bCs/>
          <w:sz w:val="22"/>
          <w:szCs w:val="22"/>
          <w:lang w:val="en-IE"/>
        </w:rPr>
      </w:pPr>
      <w:bookmarkStart w:id="2" w:name="_Toc130974642"/>
      <w:bookmarkStart w:id="3" w:name="_Toc130974643"/>
      <w:bookmarkStart w:id="4" w:name="_Toc130974644"/>
      <w:bookmarkStart w:id="5" w:name="_Toc130974645"/>
      <w:bookmarkStart w:id="6" w:name="_Toc130974646"/>
      <w:bookmarkStart w:id="7" w:name="_Toc130974647"/>
      <w:bookmarkStart w:id="8" w:name="_Toc130974648"/>
      <w:bookmarkStart w:id="9" w:name="_Toc130974649"/>
      <w:bookmarkStart w:id="10" w:name="_Toc130974650"/>
      <w:bookmarkStart w:id="11" w:name="_Toc130974651"/>
      <w:bookmarkStart w:id="12" w:name="_Toc130974652"/>
      <w:bookmarkStart w:id="13" w:name="_Toc130974653"/>
      <w:bookmarkStart w:id="14" w:name="_Toc130974654"/>
      <w:bookmarkStart w:id="15" w:name="_Toc130974655"/>
      <w:bookmarkStart w:id="16" w:name="_Toc130974656"/>
      <w:bookmarkStart w:id="17" w:name="_Toc130974657"/>
      <w:bookmarkStart w:id="18" w:name="_Toc130974658"/>
      <w:bookmarkStart w:id="19" w:name="_Toc130974659"/>
      <w:bookmarkStart w:id="20" w:name="_Toc130974660"/>
      <w:bookmarkStart w:id="21" w:name="_Toc130974661"/>
      <w:bookmarkStart w:id="22" w:name="_Toc130974662"/>
      <w:bookmarkStart w:id="23" w:name="_Toc130974663"/>
      <w:bookmarkStart w:id="24" w:name="_Toc130974664"/>
      <w:bookmarkStart w:id="25" w:name="_Toc130974665"/>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r>
        <w:rPr>
          <w:b/>
          <w:bCs/>
          <w:sz w:val="22"/>
          <w:szCs w:val="22"/>
          <w:lang w:val="en-IE"/>
        </w:rPr>
        <w:t xml:space="preserve">Quantifying </w:t>
      </w:r>
      <w:r w:rsidR="00541608">
        <w:rPr>
          <w:b/>
          <w:bCs/>
          <w:sz w:val="22"/>
          <w:szCs w:val="22"/>
          <w:lang w:val="en-IE"/>
        </w:rPr>
        <w:t>environmental</w:t>
      </w:r>
      <w:r w:rsidR="00164D01">
        <w:rPr>
          <w:b/>
          <w:bCs/>
          <w:sz w:val="22"/>
          <w:szCs w:val="22"/>
          <w:lang w:val="en-IE"/>
        </w:rPr>
        <w:t>,</w:t>
      </w:r>
      <w:r w:rsidR="00F43881" w:rsidRPr="00A12379">
        <w:rPr>
          <w:b/>
          <w:bCs/>
          <w:sz w:val="22"/>
          <w:szCs w:val="22"/>
          <w:lang w:val="en-IE"/>
        </w:rPr>
        <w:t xml:space="preserve"> </w:t>
      </w:r>
      <w:r w:rsidR="00164D01">
        <w:rPr>
          <w:b/>
          <w:bCs/>
          <w:sz w:val="22"/>
          <w:szCs w:val="22"/>
          <w:lang w:val="en-IE"/>
        </w:rPr>
        <w:t xml:space="preserve">economic, </w:t>
      </w:r>
      <w:r>
        <w:rPr>
          <w:b/>
          <w:bCs/>
          <w:sz w:val="22"/>
          <w:szCs w:val="22"/>
          <w:lang w:val="en-IE"/>
        </w:rPr>
        <w:t xml:space="preserve">and </w:t>
      </w:r>
      <w:r w:rsidRPr="004F6881">
        <w:rPr>
          <w:b/>
          <w:bCs/>
          <w:sz w:val="22"/>
          <w:szCs w:val="22"/>
          <w:lang w:val="en-IE"/>
        </w:rPr>
        <w:t>social</w:t>
      </w:r>
      <w:r>
        <w:rPr>
          <w:b/>
          <w:bCs/>
          <w:sz w:val="22"/>
          <w:szCs w:val="22"/>
          <w:lang w:val="en-IE"/>
        </w:rPr>
        <w:t xml:space="preserve"> </w:t>
      </w:r>
      <w:r w:rsidR="00F43881" w:rsidRPr="00A12379">
        <w:rPr>
          <w:b/>
          <w:bCs/>
          <w:sz w:val="22"/>
          <w:szCs w:val="22"/>
          <w:lang w:val="en-IE"/>
        </w:rPr>
        <w:t xml:space="preserve">impacts </w:t>
      </w:r>
      <w:r>
        <w:rPr>
          <w:b/>
          <w:bCs/>
          <w:sz w:val="22"/>
          <w:szCs w:val="22"/>
          <w:lang w:val="en-IE"/>
        </w:rPr>
        <w:t>through life cycle assessment</w:t>
      </w:r>
      <w:bookmarkEnd w:id="25"/>
    </w:p>
    <w:p w14:paraId="701746BD" w14:textId="50D07127" w:rsidR="003444ED" w:rsidRDefault="00FF37A0" w:rsidP="00890D06">
      <w:pPr>
        <w:spacing w:after="240" w:line="480" w:lineRule="auto"/>
        <w:jc w:val="both"/>
      </w:pPr>
      <w:r w:rsidRPr="00563123">
        <w:rPr>
          <w:rFonts w:eastAsia="Times New Roman"/>
          <w:color w:val="000000"/>
          <w:lang w:val="en-IE"/>
        </w:rPr>
        <w:t>To assess the impacts of</w:t>
      </w:r>
      <w:r w:rsidR="00060130" w:rsidRPr="00563123">
        <w:rPr>
          <w:rFonts w:eastAsia="Times New Roman"/>
          <w:color w:val="000000"/>
          <w:lang w:val="en-IE"/>
        </w:rPr>
        <w:t xml:space="preserve"> the different scale-up pathways</w:t>
      </w:r>
      <w:r w:rsidRPr="00563123">
        <w:rPr>
          <w:rFonts w:eastAsia="Times New Roman"/>
          <w:color w:val="000000"/>
          <w:lang w:val="en-IE"/>
        </w:rPr>
        <w:t>, life cycle assessment (LCA)</w:t>
      </w:r>
      <w:r w:rsidR="00060130" w:rsidRPr="00563123">
        <w:rPr>
          <w:rFonts w:eastAsia="Times New Roman"/>
          <w:color w:val="000000"/>
          <w:lang w:val="en-IE"/>
        </w:rPr>
        <w:t xml:space="preserve"> is used</w:t>
      </w:r>
      <w:r w:rsidRPr="00563123">
        <w:rPr>
          <w:rFonts w:eastAsia="Times New Roman"/>
          <w:color w:val="000000"/>
          <w:lang w:val="en-IE"/>
        </w:rPr>
        <w:t xml:space="preserve">. </w:t>
      </w:r>
      <w:r w:rsidR="00781270" w:rsidRPr="00563123">
        <w:t xml:space="preserve">Standardized LCA methodology is considered to have 4 steps: goal and scope definition, life cycle inventory creation, life cycle impact assessment, and interpretation </w:t>
      </w:r>
      <w:r w:rsidR="000C1EC3" w:rsidRPr="00563123">
        <w:fldChar w:fldCharType="begin"/>
      </w:r>
      <w:r w:rsidR="003A4382" w:rsidRPr="00563123">
        <w:instrText xml:space="preserve"> ADDIN ZOTERO_ITEM CSL_CITATION {"citationID":"I8sbcah9","properties":{"formattedCitation":"(ISO, 2006)","plainCitation":"(ISO, 2006)","noteIndex":0},"citationItems":[{"id":39,"uris":["http://zotero.org/users/8766396/items/ZJ7RC2KW"],"itemData":{"id":39,"type":"report","event-place":"Brussels, Belgium","number":"ISO 14040:2006","publisher":"European Committee for Standardization","publisher-place":"Brussels, Belgium","title":"Environmental Management - Life Cycle Assessment - Principles and Framework","author":[{"family":"ISO","given":""}],"issued":{"date-parts":[["2006"]]}}}],"schema":"https://github.com/citation-style-language/schema/raw/master/csl-citation.json"} </w:instrText>
      </w:r>
      <w:r w:rsidR="000C1EC3" w:rsidRPr="00563123">
        <w:fldChar w:fldCharType="separate"/>
      </w:r>
      <w:r w:rsidR="003A4382" w:rsidRPr="00563123">
        <w:t>(ISO, 2006)</w:t>
      </w:r>
      <w:r w:rsidR="000C1EC3" w:rsidRPr="00563123">
        <w:fldChar w:fldCharType="end"/>
      </w:r>
      <w:r w:rsidR="00781270" w:rsidRPr="00563123">
        <w:t xml:space="preserve">. </w:t>
      </w:r>
      <w:r w:rsidR="00781270" w:rsidRPr="00F87AAC">
        <w:t xml:space="preserve">Thus, this work will consider </w:t>
      </w:r>
      <w:r w:rsidR="00541608" w:rsidRPr="00F87AAC">
        <w:t>environmental</w:t>
      </w:r>
      <w:r w:rsidR="002E6283" w:rsidRPr="00F87AAC">
        <w:t>, economic,</w:t>
      </w:r>
      <w:r w:rsidR="00781270" w:rsidRPr="00F87AAC">
        <w:t xml:space="preserve"> and social impacts under a single LCA framework. </w:t>
      </w:r>
      <w:r w:rsidR="007E3B75" w:rsidRPr="00F87AAC">
        <w:t>In section</w:t>
      </w:r>
      <w:r w:rsidR="00F87AAC" w:rsidRPr="00D9599D">
        <w:t>s</w:t>
      </w:r>
      <w:r w:rsidR="007E3B75" w:rsidRPr="00F87AAC">
        <w:t xml:space="preserve"> 2.1</w:t>
      </w:r>
      <w:r w:rsidR="00563123" w:rsidRPr="00D9599D">
        <w:t>.1-2.1.3</w:t>
      </w:r>
      <w:r w:rsidR="007E3B75" w:rsidRPr="00F87AAC">
        <w:t xml:space="preserve">, </w:t>
      </w:r>
      <w:r w:rsidR="00563123" w:rsidRPr="00F87AAC">
        <w:t>the goals of the study will be discussed, justifying the chosen impact categories and methodologies to be used.</w:t>
      </w:r>
      <w:r w:rsidR="007E3B75" w:rsidRPr="00F87AAC">
        <w:t xml:space="preserve"> In section 2.1.</w:t>
      </w:r>
      <w:r w:rsidR="00563123" w:rsidRPr="00D9599D">
        <w:t>4</w:t>
      </w:r>
      <w:r w:rsidR="007E3B75" w:rsidRPr="00F87AAC">
        <w:t xml:space="preserve">, </w:t>
      </w:r>
      <w:r w:rsidR="00563123" w:rsidRPr="00D9599D">
        <w:t>the scope of the study will be defined, including the</w:t>
      </w:r>
      <w:r w:rsidR="0028380D">
        <w:t xml:space="preserve"> definition of the</w:t>
      </w:r>
      <w:r w:rsidR="00563123" w:rsidRPr="00D9599D">
        <w:t xml:space="preserve"> </w:t>
      </w:r>
      <w:r w:rsidR="0028380D">
        <w:t>production pathways and main assumptions considered</w:t>
      </w:r>
      <w:r w:rsidR="0028380D" w:rsidRPr="00F87AAC">
        <w:t xml:space="preserve">, </w:t>
      </w:r>
      <w:r w:rsidR="0004186A">
        <w:t xml:space="preserve">determination of </w:t>
      </w:r>
      <w:r w:rsidR="00563123" w:rsidRPr="00D9599D">
        <w:t xml:space="preserve">functional unit, and </w:t>
      </w:r>
      <w:r w:rsidR="0004186A">
        <w:t xml:space="preserve">setting of </w:t>
      </w:r>
      <w:r w:rsidR="007E3B75" w:rsidRPr="00F87AAC">
        <w:t>system boundaries</w:t>
      </w:r>
      <w:r w:rsidR="00563123" w:rsidRPr="00D9599D">
        <w:t>. In section 2.</w:t>
      </w:r>
      <w:r w:rsidR="00F87AAC" w:rsidRPr="00D9599D">
        <w:t>1.5, the</w:t>
      </w:r>
      <w:r w:rsidR="007E3B75" w:rsidRPr="00F87AAC">
        <w:t xml:space="preserve"> </w:t>
      </w:r>
      <w:r w:rsidR="00A90EEC">
        <w:t xml:space="preserve">system modelling and </w:t>
      </w:r>
      <w:r w:rsidR="00563123" w:rsidRPr="00D9599D">
        <w:t xml:space="preserve">life cycle </w:t>
      </w:r>
      <w:r w:rsidR="007E3B75" w:rsidRPr="00F87AAC">
        <w:t>inventory (inputs and outputs to the defined system</w:t>
      </w:r>
      <w:r w:rsidR="00A90EEC">
        <w:t>)</w:t>
      </w:r>
      <w:r w:rsidR="007E3B75" w:rsidRPr="00F87AAC">
        <w:t xml:space="preserve"> will be described. In section 2.1.</w:t>
      </w:r>
      <w:r w:rsidR="00563123" w:rsidRPr="00D9599D">
        <w:t>6</w:t>
      </w:r>
      <w:r w:rsidR="007E3B75" w:rsidRPr="00F87AAC">
        <w:t xml:space="preserve">, the calculations which convert the inventory inputs and outputs to the </w:t>
      </w:r>
      <w:r w:rsidR="00A90EEC">
        <w:t>chosen</w:t>
      </w:r>
      <w:r w:rsidR="007E3B75" w:rsidRPr="00F87AAC">
        <w:t xml:space="preserve"> impacts </w:t>
      </w:r>
      <w:r w:rsidR="00563123" w:rsidRPr="00D9599D">
        <w:t>will be</w:t>
      </w:r>
      <w:r w:rsidR="007E3B75" w:rsidRPr="00F87AAC">
        <w:t xml:space="preserve"> </w:t>
      </w:r>
      <w:r w:rsidR="00F87AAC" w:rsidRPr="00D9599D">
        <w:t>outlined</w:t>
      </w:r>
      <w:r w:rsidR="007E3B75" w:rsidRPr="00F87AAC">
        <w:t>. Finally, the results and discussion sections provide the interpretation of the LCA.</w:t>
      </w:r>
      <w:r w:rsidR="007E3B75">
        <w:t xml:space="preserve">  </w:t>
      </w:r>
    </w:p>
    <w:p w14:paraId="7285861C" w14:textId="6514E571" w:rsidR="007D5E28" w:rsidRPr="003444ED" w:rsidRDefault="00005D99" w:rsidP="00890D06">
      <w:pPr>
        <w:pStyle w:val="Heading3"/>
        <w:numPr>
          <w:ilvl w:val="2"/>
          <w:numId w:val="12"/>
        </w:numPr>
        <w:spacing w:before="0" w:after="240" w:line="480" w:lineRule="auto"/>
        <w:rPr>
          <w:b/>
          <w:bCs/>
          <w:color w:val="auto"/>
          <w:sz w:val="22"/>
          <w:szCs w:val="22"/>
        </w:rPr>
      </w:pPr>
      <w:bookmarkStart w:id="26" w:name="_Toc130974666"/>
      <w:r w:rsidRPr="003444ED">
        <w:rPr>
          <w:b/>
          <w:bCs/>
          <w:color w:val="auto"/>
          <w:sz w:val="22"/>
          <w:szCs w:val="22"/>
        </w:rPr>
        <w:t xml:space="preserve">Goal 1: Quantifying </w:t>
      </w:r>
      <w:r w:rsidR="00541608">
        <w:rPr>
          <w:b/>
          <w:bCs/>
          <w:color w:val="auto"/>
          <w:sz w:val="22"/>
          <w:szCs w:val="22"/>
        </w:rPr>
        <w:t>environmental</w:t>
      </w:r>
      <w:r w:rsidR="00541608" w:rsidRPr="003444ED">
        <w:rPr>
          <w:b/>
          <w:bCs/>
          <w:color w:val="auto"/>
          <w:sz w:val="22"/>
          <w:szCs w:val="22"/>
        </w:rPr>
        <w:t xml:space="preserve"> </w:t>
      </w:r>
      <w:proofErr w:type="gramStart"/>
      <w:r w:rsidRPr="003444ED">
        <w:rPr>
          <w:b/>
          <w:bCs/>
          <w:color w:val="auto"/>
          <w:sz w:val="22"/>
          <w:szCs w:val="22"/>
        </w:rPr>
        <w:t>impacts</w:t>
      </w:r>
      <w:bookmarkEnd w:id="26"/>
      <w:proofErr w:type="gramEnd"/>
    </w:p>
    <w:p w14:paraId="60F424BD" w14:textId="5C652C64" w:rsidR="00B632FF" w:rsidRPr="00577935" w:rsidRDefault="00D06DD1" w:rsidP="00890D06">
      <w:pPr>
        <w:spacing w:after="240" w:line="480" w:lineRule="auto"/>
        <w:jc w:val="both"/>
        <w:rPr>
          <w:color w:val="000000"/>
          <w:lang w:val="sv-SE"/>
        </w:rPr>
      </w:pPr>
      <w:r w:rsidRPr="00DA755E">
        <w:t xml:space="preserve">Environmental life cycle assessment </w:t>
      </w:r>
      <w:r w:rsidR="00FD7DEB" w:rsidRPr="00DA755E">
        <w:t>concerns</w:t>
      </w:r>
      <w:r w:rsidRPr="00DA755E">
        <w:t xml:space="preserve"> the environmental impacts of a product’s life cycle. </w:t>
      </w:r>
      <w:r w:rsidR="00E94D3B" w:rsidRPr="00DA755E">
        <w:t xml:space="preserve">Conventionally, environmental LCAs can assess two types of impacts: midpoint impacts, such as global warming potential, eutrophication, and human toxicity, or endpoint impacts, such as </w:t>
      </w:r>
      <w:r w:rsidR="00E94D3B" w:rsidRPr="00DA755E">
        <w:lastRenderedPageBreak/>
        <w:t xml:space="preserve">damage to human health and ecosystems </w:t>
      </w:r>
      <w:r w:rsidR="00C97784" w:rsidRPr="00DA755E">
        <w:fldChar w:fldCharType="begin"/>
      </w:r>
      <w:r w:rsidR="003A4382" w:rsidRPr="00DA755E">
        <w:instrText xml:space="preserve"> ADDIN ZOTERO_ITEM CSL_CITATION {"citationID":"DBUeRiqr","properties":{"formattedCitation":"(European Commission, 2010)","plainCitation":"(European Commission, 2010)","noteIndex":0},"citationItems":[{"id":66,"uris":["http://zotero.org/users/8766396/items/XYJKI5G5"],"itemData":{"id":66,"type":"book","edition":"1","event-place":"Luxembourg","ISBN":"978-92-79-19092-6","publisher":"Publications Office of the European Union","publisher-place":"Luxembourg","title":"Joint Research Centre - Institute for Environment and Sustainability: International Reference Life Cycle Data System (ILCD) Handbook - General guide for Life Cycle Assessment - Detailed guidance.","URL":"https://eplca.jrc.ec.europa.eu/uploads/ILCD-Handbook-General-guide-for-LCA-DETAILED-GUIDANCE-12March2010-ISBN-fin-v1.0-EN.pdf","author":[{"family":"European Commission","given":""}],"issued":{"date-parts":[["2010"]]}}}],"schema":"https://github.com/citation-style-language/schema/raw/master/csl-citation.json"} </w:instrText>
      </w:r>
      <w:r w:rsidR="00C97784" w:rsidRPr="00DA755E">
        <w:fldChar w:fldCharType="separate"/>
      </w:r>
      <w:r w:rsidR="003A4382" w:rsidRPr="00DA755E">
        <w:t>(European Commission, 2010)</w:t>
      </w:r>
      <w:r w:rsidR="00C97784" w:rsidRPr="00DA755E">
        <w:fldChar w:fldCharType="end"/>
      </w:r>
      <w:r w:rsidR="00E94D3B" w:rsidRPr="00DA755E">
        <w:t xml:space="preserve">. </w:t>
      </w:r>
      <w:r w:rsidR="003C3BFC" w:rsidRPr="009031D3">
        <w:rPr>
          <w:color w:val="000000"/>
        </w:rPr>
        <w:t>A</w:t>
      </w:r>
      <w:r w:rsidR="000B48AB" w:rsidRPr="009031D3">
        <w:rPr>
          <w:color w:val="000000"/>
        </w:rPr>
        <w:t xml:space="preserve">s climate change is a large concern for human society and thus mitigation is a main driver of bioeconomy development </w:t>
      </w:r>
      <w:r w:rsidR="000B48AB" w:rsidRPr="009031D3">
        <w:rPr>
          <w:color w:val="000000"/>
        </w:rPr>
        <w:fldChar w:fldCharType="begin"/>
      </w:r>
      <w:r w:rsidR="000B48AB" w:rsidRPr="009031D3">
        <w:rPr>
          <w:color w:val="000000"/>
        </w:rPr>
        <w:instrText xml:space="preserve"> ADDIN ZOTERO_ITEM CSL_CITATION {"citationID":"Jz1tZb2M","properties":{"formattedCitation":"(European Commission, 2018)","plainCitation":"(European Commission, 2018)","noteIndex":0},"citationItems":[{"id":64,"uris":["http://zotero.org/users/8766396/items/GZN9CVLU"],"itemData":{"id":64,"type":"book","event-place":"Luxembourg","ISBN":"978-92-79-97443-4","publisher":"Publications Office of the European Union","publisher-place":"Luxembourg","title":"Bioeconomy: the European way to use our natural resources - Action plan","URL":"https://ec.europa.eu/research/bioeconomy/pdf/ec_bioeconomy_booklet_2018.pdf","author":[{"family":"European Commission","given":""}],"issued":{"date-parts":[["2018"]]}}}],"schema":"https://github.com/citation-style-language/schema/raw/master/csl-citation.json"} </w:instrText>
      </w:r>
      <w:r w:rsidR="000B48AB" w:rsidRPr="009031D3">
        <w:rPr>
          <w:color w:val="000000"/>
        </w:rPr>
        <w:fldChar w:fldCharType="separate"/>
      </w:r>
      <w:r w:rsidR="000B48AB" w:rsidRPr="009031D3">
        <w:t>(European Commission, 2018)</w:t>
      </w:r>
      <w:r w:rsidR="000B48AB" w:rsidRPr="009031D3">
        <w:rPr>
          <w:color w:val="000000"/>
        </w:rPr>
        <w:fldChar w:fldCharType="end"/>
      </w:r>
      <w:r w:rsidR="000B48AB" w:rsidRPr="009031D3">
        <w:rPr>
          <w:color w:val="000000"/>
        </w:rPr>
        <w:t xml:space="preserve">, </w:t>
      </w:r>
      <w:r w:rsidR="003C3BFC" w:rsidRPr="009031D3">
        <w:rPr>
          <w:color w:val="000000"/>
        </w:rPr>
        <w:t xml:space="preserve">it is common for environmental LCAs to report the global warming potential (GWP) of a product. </w:t>
      </w:r>
      <w:r w:rsidR="00FA1634">
        <w:rPr>
          <w:color w:val="000000"/>
        </w:rPr>
        <w:t xml:space="preserve">There are several methodologies for determining GWP but </w:t>
      </w:r>
      <w:r w:rsidR="00D040FE" w:rsidRPr="00D9599D">
        <w:rPr>
          <w:color w:val="000000"/>
        </w:rPr>
        <w:t>it is generally measured through the quantification of greenhouse gas (GHG) emissions and the conversion of these emissions to carbon dioxide-equivalents (CO2-eq), using a specified time horizon</w:t>
      </w:r>
      <w:r w:rsidR="00D040FE">
        <w:rPr>
          <w:color w:val="000000"/>
        </w:rPr>
        <w:t xml:space="preserve"> </w:t>
      </w:r>
      <w:r w:rsidR="00577935">
        <w:rPr>
          <w:color w:val="000000"/>
        </w:rPr>
        <w:fldChar w:fldCharType="begin"/>
      </w:r>
      <w:r w:rsidR="00577935">
        <w:rPr>
          <w:color w:val="000000"/>
        </w:rPr>
        <w:instrText xml:space="preserve"> ADDIN ZOTERO_ITEM CSL_CITATION {"citationID":"EdM7FiCL","properties":{"formattedCitation":"(PR\\uc0\\u233{} Sustainability, 2020)","plainCitation":"(PRé Sustainability, 2020)","noteIndex":0},"citationItems":[{"id":742,"uris":["http://zotero.org/users/8766396/items/YT8GYWDP"],"itemData":{"id":742,"type":"document","publisher":"PRé Sustainability B.V.","title":"SimaPro database manual - Methods library. Version 4.15","author":[{"literal":"PRé Sustainability"}],"issued":{"date-parts":[["2020"]]}}}],"schema":"https://github.com/citation-style-language/schema/raw/master/csl-citation.json"} </w:instrText>
      </w:r>
      <w:r w:rsidR="00577935">
        <w:rPr>
          <w:color w:val="000000"/>
        </w:rPr>
        <w:fldChar w:fldCharType="separate"/>
      </w:r>
      <w:r w:rsidR="00577935" w:rsidRPr="00577935">
        <w:rPr>
          <w:szCs w:val="24"/>
        </w:rPr>
        <w:t>(PRé Sustainability, 2020)</w:t>
      </w:r>
      <w:r w:rsidR="00577935">
        <w:rPr>
          <w:color w:val="000000"/>
        </w:rPr>
        <w:fldChar w:fldCharType="end"/>
      </w:r>
      <w:r w:rsidR="00D040FE">
        <w:rPr>
          <w:color w:val="000000"/>
        </w:rPr>
        <w:t xml:space="preserve">. </w:t>
      </w:r>
      <w:r w:rsidR="00E34AC0" w:rsidRPr="00D9599D">
        <w:rPr>
          <w:color w:val="000000"/>
        </w:rPr>
        <w:t xml:space="preserve">Indeed, the GWP has been reported in </w:t>
      </w:r>
      <w:r w:rsidR="009031D3" w:rsidRPr="00D9599D">
        <w:rPr>
          <w:color w:val="000000"/>
        </w:rPr>
        <w:t>many</w:t>
      </w:r>
      <w:r w:rsidR="00E34AC0" w:rsidRPr="00D9599D">
        <w:rPr>
          <w:color w:val="000000"/>
        </w:rPr>
        <w:t xml:space="preserve"> LCAs found on seaweed production systems </w:t>
      </w:r>
      <w:r w:rsidR="00577935">
        <w:rPr>
          <w:color w:val="000000"/>
        </w:rPr>
        <w:fldChar w:fldCharType="begin"/>
      </w:r>
      <w:r w:rsidR="00577935">
        <w:rPr>
          <w:color w:val="000000"/>
        </w:rPr>
        <w:instrText xml:space="preserve"> ADDIN ZOTERO_ITEM CSL_CITATION {"citationID":"z5rJM8id","properties":{"formattedCitation":"(Collins et al., 2022; Czyrnek-Deletre et al., 2017; Greene et al., 2020; Nilsson et al., 2022; Seghetta et al., 2017; van Oirschot et al., 2017)","plainCitation":"(Collins et al., 2022; Czyrnek-Deletre et al., 2017; Greene et al., 2020; Nilsson et al., 2022; Seghetta et al., 2017; van Oirschot et al., 2017)","noteIndex":0},"citationItems":[{"id":313,"uris":["http://zotero.org/users/8766396/items/NYX8KD3B"],"itemData":{"id":313,"type":"article-journal","abstract":"This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D"}],"issued":{"date-parts":[["2017"]]}}},{"id":204,"uris":["http://zotero.org/users/8766396/items/I6HZVHAX"],"itemData":{"id":204,"type":"article-journal","container-title":"Algal Research","DOI":"10.1016/j.algal.2020.102032","page":"102032","title":"Techno-economic analysis and global warming potential of a novel offshore macroalgae biorefinery","volume":"51","author":[{"family":"Greene","given":"J. M"},{"family":"Gulden","given":"J"},{"family":"Wood","given":"G"},{"family":"Huesemann","given":"M"},{"family":"Quinn","given":"J. C"}],"issued":{"date-parts":[["2020"]]}}},{"id":387,"uris":["http://zotero.org/users/8766396/items/FYTF2INX"],"itemData":{"id":387,"type":"article-journal","abstract":"Blue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w:instrText>
      </w:r>
      <w:r w:rsidR="00577935" w:rsidRPr="00D9599D">
        <w:rPr>
          <w:color w:val="000000"/>
          <w:lang w:val="sv-SE"/>
        </w:rPr>
        <w:instrText>","given":"Eduarda M."},{"family":"Tiwari","given":"Brijesh Kumar"}],"accessed":{"date-parts":[["2023",1,26]]},"issued":{"date-parts":[["2</w:instrText>
      </w:r>
      <w:r w:rsidR="00577935" w:rsidRPr="00577935">
        <w:rPr>
          <w:color w:val="000000"/>
          <w:lang w:val="sv-SE"/>
        </w:rPr>
        <w:instrText xml:space="preserve">022",6]]}}},{"id":133,"uris":["http://zotero.org/users/8766396/items/ZXUIUT6N"],"itemData":{"id":133,"type":"article-journal","container-title":"Journal of Cleaner Production","DOI":"10.1016/j.clepro.2017.02.022","page":"1-15","title":"Seaweed as innovative feedstock for energy and feed - Evaluating the impacts through a Life Cycle Assessment","volume":"150","author":[{"family":"Seghetta","given":"M"},{"family":"Romeo","given":"D"},{"family":"D'Este","given":"M"},{"family":"Alvarado-Morales","given":"M"},{"family":"Angelidaki","given":"I"},{"family":"Bastianoni","given":"S"},{"family":"Thomsen","given":"M"}],"issued":{"date-parts":[["2017"]]}}},{"id":134,"uris":["http://zotero.org/users/8766396/items/NBFYWFZV"],"itemData":{"id":134,"type":"article-journal","container-title":"Algal Research","DOI":"10.1016/j.algal.2017.07.025","page":"43-54","title":"Explorative environmental life cycle assessment for system design of seaweed cultivation and drying","volume":"27","author":[{"family":"Oirschot","given":"R","non-dropping-particle":"van"},{"family":"Thomas","given":"J-B. E"},{"family":"Gröndahl","given":"F"},{"family":"Fortuin","given":"K. P. J"},{"family":"Brandenburg","given":"W"},{"family":"Potting","given":"J"}],"issued":{"date-parts":[["2017"]]}}}],"schema":"https://github.com/citation-style-language/schema/raw/master/csl-citation.json"} </w:instrText>
      </w:r>
      <w:r w:rsidR="00577935">
        <w:rPr>
          <w:color w:val="000000"/>
        </w:rPr>
        <w:fldChar w:fldCharType="separate"/>
      </w:r>
      <w:r w:rsidR="00577935" w:rsidRPr="00577935">
        <w:rPr>
          <w:lang w:val="sv-SE"/>
        </w:rPr>
        <w:t>(Collins et al., 2022; Czyrnek-Deletre et al., 2017; Greene et al., 2020; Nilsson et al., 2022; Seghetta et al., 2017; van Oirschot et al., 2017)</w:t>
      </w:r>
      <w:r w:rsidR="00577935">
        <w:rPr>
          <w:color w:val="000000"/>
        </w:rPr>
        <w:fldChar w:fldCharType="end"/>
      </w:r>
      <w:r w:rsidR="00E34AC0" w:rsidRPr="00D9599D">
        <w:rPr>
          <w:color w:val="000000"/>
          <w:lang w:val="sv-SE"/>
        </w:rPr>
        <w:t>.</w:t>
      </w:r>
      <w:r w:rsidR="009031D3" w:rsidRPr="00D9599D">
        <w:rPr>
          <w:color w:val="000000"/>
          <w:lang w:val="sv-SE"/>
        </w:rPr>
        <w:t xml:space="preserve"> </w:t>
      </w:r>
    </w:p>
    <w:p w14:paraId="058196AC" w14:textId="52C1D741" w:rsidR="005A35DC" w:rsidRPr="00CC4A77" w:rsidRDefault="000B48AB" w:rsidP="00FA1634">
      <w:pPr>
        <w:spacing w:after="240" w:line="480" w:lineRule="auto"/>
        <w:jc w:val="both"/>
        <w:rPr>
          <w:i/>
          <w:iCs/>
          <w:lang w:val="en-IE"/>
        </w:rPr>
      </w:pPr>
      <w:r w:rsidRPr="009031D3">
        <w:rPr>
          <w:color w:val="000000"/>
        </w:rPr>
        <w:t xml:space="preserve">However, climate change is not the only issue which is relevant to society. </w:t>
      </w:r>
      <w:r w:rsidR="0086303C">
        <w:rPr>
          <w:color w:val="000000"/>
        </w:rPr>
        <w:t xml:space="preserve">Overexploitation of both fossil and non-fossil resources puts significant pressure on biodiversity and ecosystem health, which in turn can have large consequences on society </w:t>
      </w:r>
      <w:r w:rsidR="00C00490">
        <w:rPr>
          <w:color w:val="000000"/>
        </w:rPr>
        <w:fldChar w:fldCharType="begin"/>
      </w:r>
      <w:r w:rsidR="00C00490">
        <w:rPr>
          <w:color w:val="000000"/>
        </w:rPr>
        <w:instrText xml:space="preserve"> ADDIN ZOTERO_ITEM CSL_CITATION {"citationID":"Ls9NYTXv","properties":{"formattedCitation":"(World Resources Forum, 2021)","plainCitation":"(World Resources Forum, 2021)","noteIndex":0},"citationItems":[{"id":747,"uris":["http://zotero.org/users/8766396/items/ICMATFAG"],"itemData":{"id":747,"type":"book","event-place":"Gallen, Switzerland","ISBN":"978-3-906177-32-8","publisher":"WRF Secretariat","publisher-place":"Gallen, Switzerland","title":"A Green Deal for Sustainable Resources - Conference Report","URL":"https://www.wrforum.org/wp-content/uploads/2022/06/WRF2021-Conference-Report-Final-version.pdf","author":[{"literal":"World Resources Forum"}],"issued":{"date-parts":[["2021"]]}}}],"schema":"https://github.com/citation-style-language/schema/raw/master/csl-citation.json"} </w:instrText>
      </w:r>
      <w:r w:rsidR="00C00490">
        <w:rPr>
          <w:color w:val="000000"/>
        </w:rPr>
        <w:fldChar w:fldCharType="separate"/>
      </w:r>
      <w:r w:rsidR="00C00490" w:rsidRPr="00C00490">
        <w:t>(World Resources Forum, 2021)</w:t>
      </w:r>
      <w:r w:rsidR="00C00490">
        <w:rPr>
          <w:color w:val="000000"/>
        </w:rPr>
        <w:fldChar w:fldCharType="end"/>
      </w:r>
      <w:r w:rsidR="0086303C">
        <w:rPr>
          <w:color w:val="000000"/>
        </w:rPr>
        <w:t xml:space="preserve">. </w:t>
      </w:r>
      <w:r w:rsidR="0086303C" w:rsidRPr="00D9599D">
        <w:rPr>
          <w:color w:val="000000"/>
        </w:rPr>
        <w:t>It is therefore of interest to measure the total resource demand of a system.</w:t>
      </w:r>
      <w:r w:rsidRPr="004D73B6">
        <w:rPr>
          <w:color w:val="000000"/>
        </w:rPr>
        <w:t xml:space="preserve"> </w:t>
      </w:r>
      <w:r w:rsidR="0086303C" w:rsidRPr="00D9599D">
        <w:rPr>
          <w:color w:val="000000"/>
        </w:rPr>
        <w:t>This can be quantified through c</w:t>
      </w:r>
      <w:r w:rsidR="0086303C" w:rsidRPr="00D9599D">
        <w:t xml:space="preserve">umulative energy demand (CED), which uses </w:t>
      </w:r>
      <w:r w:rsidR="00D54A09" w:rsidRPr="00D9599D">
        <w:t xml:space="preserve">the </w:t>
      </w:r>
      <w:r w:rsidR="004D73B6">
        <w:t xml:space="preserve">combined </w:t>
      </w:r>
      <w:r w:rsidR="0086303C" w:rsidRPr="00D9599D">
        <w:t xml:space="preserve">energy content </w:t>
      </w:r>
      <w:r w:rsidR="004D73B6" w:rsidRPr="00D9599D">
        <w:t xml:space="preserve">of resources </w:t>
      </w:r>
      <w:r w:rsidR="00D54A09" w:rsidRPr="00D9599D">
        <w:t xml:space="preserve">as a measurement of </w:t>
      </w:r>
      <w:r w:rsidR="004D73B6" w:rsidRPr="00D9599D">
        <w:t xml:space="preserve">total </w:t>
      </w:r>
      <w:r w:rsidR="00D54A09" w:rsidRPr="00D9599D">
        <w:t>resource consumption</w:t>
      </w:r>
      <w:r w:rsidR="0086303C" w:rsidRPr="00D9599D">
        <w:t xml:space="preserve"> </w:t>
      </w:r>
      <w:r w:rsidR="00C00490">
        <w:rPr>
          <w:highlight w:val="yellow"/>
        </w:rPr>
        <w:fldChar w:fldCharType="begin"/>
      </w:r>
      <w:r w:rsidR="00C00490">
        <w:rPr>
          <w:highlight w:val="yellow"/>
        </w:rPr>
        <w:instrText xml:space="preserve"> ADDIN ZOTERO_ITEM CSL_CITATION {"citationID":"Jx4kFcgW","properties":{"formattedCitation":"(PR\\uc0\\u233{} Sustainability, 2020)","plainCitation":"(PRé Sustainability, 2020)","noteIndex":0},"citationItems":[{"id":742,"uris":["http://zotero.org/users/8766396/items/YT8GYWDP"],"itemData":{"id":742,"type":"document","publisher":"PRé Sustainability B.V.","title":"SimaPro database manual - Methods library. Version 4.15","author":[{"literal":"PRé Sustainability"}],"issued":{"date-parts":[["2020"]]}}}],"schema":"https://github.com/citation-style-language/schema/raw/master/csl-citation.json"} </w:instrText>
      </w:r>
      <w:r w:rsidR="00C00490">
        <w:rPr>
          <w:highlight w:val="yellow"/>
        </w:rPr>
        <w:fldChar w:fldCharType="separate"/>
      </w:r>
      <w:r w:rsidR="00C00490" w:rsidRPr="00C00490">
        <w:rPr>
          <w:szCs w:val="24"/>
        </w:rPr>
        <w:t>(PRé Sustainability, 2020)</w:t>
      </w:r>
      <w:r w:rsidR="00C00490">
        <w:rPr>
          <w:highlight w:val="yellow"/>
        </w:rPr>
        <w:fldChar w:fldCharType="end"/>
      </w:r>
      <w:r w:rsidR="0086303C" w:rsidRPr="00D9599D">
        <w:t xml:space="preserve">. </w:t>
      </w:r>
      <w:r w:rsidR="004D73B6" w:rsidRPr="00D9599D">
        <w:t xml:space="preserve">While </w:t>
      </w:r>
      <w:r w:rsidR="005D411D" w:rsidRPr="00D9599D">
        <w:t>CED</w:t>
      </w:r>
      <w:r w:rsidR="004D73B6" w:rsidRPr="00D9599D">
        <w:t xml:space="preserve"> is </w:t>
      </w:r>
      <w:r w:rsidR="008014FD" w:rsidRPr="000245A5">
        <w:t>a good proxy for determining the environmental performance of products and processes</w:t>
      </w:r>
      <w:r w:rsidR="004D73B6" w:rsidRPr="000245A5">
        <w:t xml:space="preserve"> in systems which </w:t>
      </w:r>
      <w:r w:rsidR="005D411D" w:rsidRPr="000245A5">
        <w:t>are</w:t>
      </w:r>
      <w:r w:rsidR="004D73B6" w:rsidRPr="000245A5">
        <w:t xml:space="preserve"> mainly reliant on electricity and fuel use</w:t>
      </w:r>
      <w:r w:rsidR="000245A5" w:rsidRPr="000245A5">
        <w:t xml:space="preserve">, </w:t>
      </w:r>
      <w:r w:rsidR="005D411D" w:rsidRPr="00D9599D">
        <w:t>it</w:t>
      </w:r>
      <w:r w:rsidR="004D73B6" w:rsidRPr="00D9599D">
        <w:t xml:space="preserve"> does not include the impact of non-energetic resources such as minerals</w:t>
      </w:r>
      <w:r w:rsidR="005D411D" w:rsidRPr="00D9599D">
        <w:t>,</w:t>
      </w:r>
      <w:r w:rsidR="004D73B6" w:rsidRPr="00D9599D">
        <w:t xml:space="preserve"> metals</w:t>
      </w:r>
      <w:r w:rsidR="005D411D" w:rsidRPr="00D9599D">
        <w:t xml:space="preserve">, and freshwater, which leads to an underestimation of environmental impacts for some systems </w:t>
      </w:r>
      <w:r w:rsidR="000245A5" w:rsidRPr="00D9599D">
        <w:fldChar w:fldCharType="begin"/>
      </w:r>
      <w:r w:rsidR="00C00490" w:rsidRPr="00D9599D">
        <w:instrText xml:space="preserve"> ADDIN ZOTERO_ITEM CSL_CITATION {"citationID":"qxFOFZB1","properties":{"formattedCitation":"(B\\uc0\\u246{}sch et al., 2007)","plainCitation":"(Bösch et al., 2007)","noteIndex":0},"citationItems":[{"id":690,"uris":["http://zotero.org/users/8766396/items/839HXZUI"],"itemData":{"id":690,"type":"article-journal","container-title":"The International Journal of Life Cycle Assessment","DOI":"10.1065/lca2006.11.282","ISSN":"0948-3349, 1614-7502","issue":"3","journalAbbreviation":"Int J Life Cycle Assess","language":"en","page":"181-190","source":"DOI.org (Crossref)","title":"Applying cumulative exergy demand (CExD) indicators to the ecoinvent database","URL":"http://link.springer.com/10.1065/lca2006.11.282","volume":"12","author":[{"family":"Bösch","given":"Michael E."},{"family":"Hellweg","given":"Stefanie"},{"family":"Huijbregts","given":"Mark A. J."},{"family":"Frischknecht","given":"Rolf"}],"accessed":{"date-parts":[["2023",2,23]]},"issued":{"date-parts":[["2007",5]]}}}],"schema":"https://github.com/citation-style-language/schema/raw/master/csl-citation.json"} </w:instrText>
      </w:r>
      <w:r w:rsidR="000245A5" w:rsidRPr="00D9599D">
        <w:fldChar w:fldCharType="separate"/>
      </w:r>
      <w:r w:rsidR="00C00490" w:rsidRPr="00C00490">
        <w:rPr>
          <w:szCs w:val="24"/>
        </w:rPr>
        <w:t>(Bösch et al., 2007)</w:t>
      </w:r>
      <w:r w:rsidR="000245A5" w:rsidRPr="00D9599D">
        <w:fldChar w:fldCharType="end"/>
      </w:r>
      <w:r w:rsidR="004D73B6" w:rsidRPr="00D9599D">
        <w:t xml:space="preserve">. </w:t>
      </w:r>
      <w:r w:rsidR="005D411D" w:rsidRPr="00D9599D">
        <w:rPr>
          <w:rFonts w:eastAsia="Times New Roman"/>
          <w:color w:val="000000"/>
          <w:lang w:val="en-IE"/>
        </w:rPr>
        <w:t>To address this, the cumulative exergy demand (</w:t>
      </w:r>
      <w:proofErr w:type="spellStart"/>
      <w:r w:rsidR="005D411D" w:rsidRPr="00D9599D">
        <w:rPr>
          <w:rFonts w:eastAsia="Times New Roman"/>
          <w:color w:val="000000"/>
          <w:lang w:val="en-IE"/>
        </w:rPr>
        <w:t>CExD</w:t>
      </w:r>
      <w:proofErr w:type="spellEnd"/>
      <w:r w:rsidR="005D411D" w:rsidRPr="00D9599D">
        <w:rPr>
          <w:rFonts w:eastAsia="Times New Roman"/>
          <w:color w:val="000000"/>
          <w:lang w:val="en-IE"/>
        </w:rPr>
        <w:t>) method was developed</w:t>
      </w:r>
      <w:r w:rsidR="000245A5" w:rsidRPr="00D9599D">
        <w:t>, w</w:t>
      </w:r>
      <w:r w:rsidR="005D411D" w:rsidRPr="00D9599D">
        <w:t xml:space="preserve">here exergy can be defined as the measure of a system’s available energy. </w:t>
      </w:r>
      <w:r w:rsidR="00B632FF">
        <w:t>However, a key limitation in</w:t>
      </w:r>
      <w:r w:rsidR="008C114E">
        <w:t xml:space="preserve"> </w:t>
      </w:r>
      <w:r w:rsidR="000852EC">
        <w:t xml:space="preserve">the </w:t>
      </w:r>
      <w:proofErr w:type="spellStart"/>
      <w:r w:rsidR="000852EC">
        <w:t>CExD</w:t>
      </w:r>
      <w:proofErr w:type="spellEnd"/>
      <w:r w:rsidR="008C114E">
        <w:t xml:space="preserve"> method was the lack of consideration of land use </w:t>
      </w:r>
      <w:r w:rsidR="00981D5E" w:rsidRPr="004D73B6">
        <w:fldChar w:fldCharType="begin"/>
      </w:r>
      <w:r w:rsidR="003A4382" w:rsidRPr="004D73B6">
        <w:instrText xml:space="preserve"> ADDIN ZOTERO_ITEM CSL_CITATION {"citationID":"xZgNJS6E","properties":{"formattedCitation":"(Dewulf et al., 2007)","plainCitation":"(Dewulf et al., 2007)","noteIndex":0},"citationItems":[{"id":316,"uris":["http://zotero.org/users/8766396/items/82JIVGVU"],"itemData":{"id":316,"type":"article-journal","container-title":"Environmental Science &amp; Technology","DOI":"10.1021/es0711415","ISSN":"0013-936X, 1520-5851","issue":"24","journalAbbreviation":"Environ. Sci. Technol.","language":"en","page":"8477-8483","source":"DOI.org (Crossref)","title":"Cumulative Exergy Extraction from the Natural Environment (CEENE): a comprehensive Life Cycle Impact Assessment method for resource accounting","title-short":"Cumulative Exergy Extraction from the Natural Environment (CEENE)","URL":"https://pubs.acs.org/doi/10.1021/es0711415","volume":"41","author":[{"family":"Dewulf","given":"J."},{"family":"Bösch","given":"M. E."},{"family":"Meester","given":"B. De"},{"family":"Vorst","given":"G. Van","dropping-particle":"der"},{"family":"Langenhove","given":"H. Van"},{"family":"Hellweg","given":"S."},{"family":"Huijbregts","given":"M. A. J."}],"accessed":{"date-parts":[["2023",1,26]]},"issued":{"date-parts":[["2007",12,1]]}}}],"schema":"https://github.com/citation-style-language/schema/raw/master/csl-citation.json"} </w:instrText>
      </w:r>
      <w:r w:rsidR="00981D5E" w:rsidRPr="004D73B6">
        <w:fldChar w:fldCharType="separate"/>
      </w:r>
      <w:r w:rsidR="003A4382" w:rsidRPr="004D73B6">
        <w:t>(Dewulf et al., 2007)</w:t>
      </w:r>
      <w:r w:rsidR="00981D5E" w:rsidRPr="004D73B6">
        <w:fldChar w:fldCharType="end"/>
      </w:r>
      <w:r w:rsidR="00244331" w:rsidRPr="004D73B6">
        <w:t>.</w:t>
      </w:r>
      <w:r w:rsidR="008732F6" w:rsidRPr="008C114E">
        <w:t xml:space="preserve"> </w:t>
      </w:r>
      <w:r w:rsidR="00244331" w:rsidRPr="00B66C52">
        <w:t>The influence of l</w:t>
      </w:r>
      <w:r w:rsidR="008732F6" w:rsidRPr="00B66C52">
        <w:t xml:space="preserve">and use in particular </w:t>
      </w:r>
      <w:r w:rsidR="00110E41" w:rsidRPr="00B66C52">
        <w:t>has been</w:t>
      </w:r>
      <w:r w:rsidR="008732F6" w:rsidRPr="00B66C52">
        <w:t xml:space="preserve"> </w:t>
      </w:r>
      <w:r w:rsidR="0093139E" w:rsidRPr="00B66C52">
        <w:t xml:space="preserve">neglected or </w:t>
      </w:r>
      <w:r w:rsidR="00244331" w:rsidRPr="00B66C52">
        <w:t>undervalued in LCA studies, despite having a potentially large</w:t>
      </w:r>
      <w:r w:rsidR="008732F6" w:rsidRPr="00B66C52">
        <w:t xml:space="preserve"> influence on biodiversity loss and ecosystem health </w:t>
      </w:r>
      <w:r w:rsidR="00DF2A58" w:rsidRPr="00B66C52">
        <w:fldChar w:fldCharType="begin"/>
      </w:r>
      <w:r w:rsidR="003A4382" w:rsidRPr="00B66C52">
        <w:instrText xml:space="preserve"> ADDIN ZOTERO_ITEM CSL_CITATION {"citationID":"pbi7iOkj","properties":{"formattedCitation":"(Vidal-Legaz et al., 2016)","plainCitation":"(Vidal-Legaz et al., 2016)","noteIndex":0},"citationItems":[{"id":709,"uris":["http://zotero.org/users/8766396/items/2DKGX8MD"],"itemData":{"id":709,"type":"book","collection-title":"JRC Technical report","event-place":"Luxembourg","language":"en","publisher":"Publications Office of the European Union","publisher-place":"Luxembourg","source":"DOI.org (CSL JSON)","title":"Land-use related environmental indicators for Life Cycle Assessment","title-short":"Land-use related environmental indicators for life cycle assessment","URL":"https://data.europa.eu/doi/10.2788/905478","author":[{"family":"Vidal-Legaz","given":"B"},{"family":"Sala","given":"S"},{"family":"Antón","given":"A"},{"family":"Maia de Souza","given":"D"},{"family":"Nocita","given":"M"},{"family":"Putman","given":"B"},{"family":"Teixeira","given":"R. F. M"}],"accessed":{"date-parts":[["2023",3,24]]},"issued":{"date-parts":[["2016"]]}}}],"schema":"https://github.com/citation-style-language/schema/raw/master/csl-citation.json"} </w:instrText>
      </w:r>
      <w:r w:rsidR="00DF2A58" w:rsidRPr="00B66C52">
        <w:fldChar w:fldCharType="separate"/>
      </w:r>
      <w:r w:rsidR="003A4382" w:rsidRPr="00B66C52">
        <w:t>(Vidal-Legaz et al., 2016)</w:t>
      </w:r>
      <w:r w:rsidR="00DF2A58" w:rsidRPr="00B66C52">
        <w:fldChar w:fldCharType="end"/>
      </w:r>
      <w:r w:rsidR="008014FD" w:rsidRPr="00B66C52">
        <w:t>.</w:t>
      </w:r>
      <w:r w:rsidR="008014FD" w:rsidRPr="00B66C52">
        <w:rPr>
          <w:rFonts w:eastAsia="Times New Roman"/>
          <w:color w:val="000000"/>
          <w:lang w:val="en-IE"/>
        </w:rPr>
        <w:t xml:space="preserve"> </w:t>
      </w:r>
      <w:r w:rsidR="008C114E">
        <w:t>Thus, i</w:t>
      </w:r>
      <w:r w:rsidR="00D6620D" w:rsidRPr="00B66C52">
        <w:t xml:space="preserve">n 2007 </w:t>
      </w:r>
      <w:r w:rsidR="008014FD" w:rsidRPr="00B66C52">
        <w:t xml:space="preserve">the Cumulative Exergy Extraction from the Natural Environment (CEENE) method was developed, which </w:t>
      </w:r>
      <w:r w:rsidR="008014FD" w:rsidRPr="00B66C52">
        <w:lastRenderedPageBreak/>
        <w:t>quantif</w:t>
      </w:r>
      <w:r w:rsidR="000852EC">
        <w:t>ies</w:t>
      </w:r>
      <w:r w:rsidR="008014FD" w:rsidRPr="00B66C52">
        <w:t xml:space="preserve"> resource use from renewable and biomass resources by considering the net primary production of land </w:t>
      </w:r>
      <w:r w:rsidR="00545156" w:rsidRPr="00B66C52">
        <w:fldChar w:fldCharType="begin"/>
      </w:r>
      <w:r w:rsidR="003A4382" w:rsidRPr="00B66C52">
        <w:instrText xml:space="preserve"> ADDIN ZOTERO_ITEM CSL_CITATION {"citationID":"kh0o6IFi","properties":{"formattedCitation":"(Dewulf et al., 2007)","plainCitation":"(Dewulf et al., 2007)","noteIndex":0},"citationItems":[{"id":316,"uris":["http://zotero.org/users/8766396/items/82JIVGVU"],"itemData":{"id":316,"type":"article-journal","container-title":"Environmental Science &amp; Technology","DOI":"10.1021/es0711415","ISSN":"0013-936X, 1520-5851","issue":"24","journalAbbreviation":"Environ. Sci. Technol.","language":"en","page":"8477-8483","source":"DOI.org (Crossref)","title":"Cumulative Exergy Extraction from the Natural Environment (CEENE): a comprehensive Life Cycle Impact Assessment method for resource accounting","title-short":"Cumulative Exergy Extraction from the Natural Environment (CEENE)","URL":"https://pubs.acs.org/doi/10.1021/es0711415","volume":"41","author":[{"family":"Dewulf","given":"J."},{"family":"Bösch","given":"M. E."},{"family":"Meester","given":"B. De"},{"family":"Vorst","given":"G. Van","dropping-particle":"der"},{"family":"Langenhove","given":"H. Van"},{"family":"Hellweg","given":"S."},{"family":"Huijbregts","given":"M. A. J."}],"accessed":{"date-parts":[["2023",1,26]]},"issued":{"date-parts":[["2007",12,1]]}}}],"schema":"https://github.com/citation-style-language/schema/raw/master/csl-citation.json"} </w:instrText>
      </w:r>
      <w:r w:rsidR="00545156" w:rsidRPr="00B66C52">
        <w:fldChar w:fldCharType="separate"/>
      </w:r>
      <w:r w:rsidR="003A4382" w:rsidRPr="00B66C52">
        <w:t>(Dewulf et al., 2007)</w:t>
      </w:r>
      <w:r w:rsidR="00545156" w:rsidRPr="00B66C52">
        <w:fldChar w:fldCharType="end"/>
      </w:r>
      <w:r w:rsidR="008014FD" w:rsidRPr="00B66C52">
        <w:t xml:space="preserve">. </w:t>
      </w:r>
      <w:r w:rsidR="008732F6" w:rsidRPr="00B66C52">
        <w:t xml:space="preserve">This methodology is particularly appropriate for assessing impacts of products and systems within the bioeconomy, where large land use changes can be expected </w:t>
      </w:r>
      <w:r w:rsidR="0018476E" w:rsidRPr="00B66C52">
        <w:fldChar w:fldCharType="begin"/>
      </w:r>
      <w:r w:rsidR="003A4382" w:rsidRPr="00B66C52">
        <w:instrText xml:space="preserve"> ADDIN ZOTERO_ITEM CSL_CITATION {"citationID":"fN4SIgF2","properties":{"formattedCitation":"(Berndes et al., 2013)","plainCitation":"(Berndes et al., 2013)","noteIndex":0},"citationItems":[{"id":414,"uris":["http://zotero.org/users/8766396/items/JNS4NR9D"],"itemData":{"id":414,"type":"report","number":"IEA Bioenergy:ExCo:2011:04","publisher":"IEA Bioenergy","title":"Bioenergy, Land Use Change and Climate Change Mitigation: Background Technical Report","URL":"https://www.ieabioenergy.com/wp-content/uploads/2013/10/Bioenergy-Land-Use-Change-and-Climate-Change-Mitigation-Background-Technical-Report.pdf","author":[{"family":"Berndes","given":"G"},{"family":"Bird","given":"N"},{"family":"Cowie","given":"A"}],"issued":{"date-parts":[["2013"]]}}}],"schema":"https://github.com/citation-style-language/schema/raw/master/csl-citation.json"} </w:instrText>
      </w:r>
      <w:r w:rsidR="0018476E" w:rsidRPr="00B66C52">
        <w:fldChar w:fldCharType="separate"/>
      </w:r>
      <w:r w:rsidR="003A4382" w:rsidRPr="00B66C52">
        <w:t>(Berndes et al., 2013)</w:t>
      </w:r>
      <w:r w:rsidR="0018476E" w:rsidRPr="00B66C52">
        <w:fldChar w:fldCharType="end"/>
      </w:r>
      <w:r w:rsidR="008732F6" w:rsidRPr="00B66C52">
        <w:t xml:space="preserve">. </w:t>
      </w:r>
      <w:r w:rsidR="008014FD" w:rsidRPr="00B66C52" w:rsidDel="001803A4">
        <w:t xml:space="preserve">The methodology was later improved by Alvarenga et al. </w:t>
      </w:r>
      <w:r w:rsidR="00545156" w:rsidRPr="00B66C52" w:rsidDel="001803A4">
        <w:fldChar w:fldCharType="begin"/>
      </w:r>
      <w:r w:rsidR="00545156" w:rsidRPr="00B66C52" w:rsidDel="001803A4">
        <w:instrText xml:space="preserve"> ADDIN ZOTERO_ITEM CSL_CITATION {"citationID":"J1YjIXPf","properties":{"formattedCitation":"(2013)","plainCitation":"(2013)","noteIndex":0},"citationItems":[{"id":502,"uris":["http://zotero.org/users/8766396/items/58JJVC66"],"itemData":{"id":502,"type":"article-journal","abstract":"Purpose In life cycle assessment (LCA), literature suggests accounting for land as a resource either by what it delivers (e.g., biomass content) or the time and space needed to produce biomass (land occupation), in order to avoid doublecounting. This paper proposes and implements a new framework to calculate exergy-based spatial explicit characterization factors (CF) for land as a resource, which deals with both biomass and area occupied on the global scale.","container-title":"The International Journal of Life Cycle Assessment","DOI":"10.1007/s11367-013-0555-7","ISSN":"0948-3349, 1614-7502","issue":"5","journalAbbreviation":"Int J Life Cycle Assess","language":"en","page":"939-947","source":"DOI.org (Crossref)","title":"Exergy-based accounting for land as a natural resource in life cycle assessment","URL":"http://link.springer.com/10.1007/s11367-013-0555-7","volume":"18","author":[{"family":"Alvarenga","given":"Rodrigo A. F."},{"family":"Dewulf","given":"Jo"},{"family":"Van Langenhove","given":"Herman"},{"family":"Huijbregts","given":"Mark A. J."}],"accessed":{"date-parts":[["2023",2,22]]},"issued":{"date-parts":[["2013",6]]}},"label":"page","suppress-author":true}],"schema":"https://github.com/citation-style-language/schema/raw/master/csl-citation.json"} </w:instrText>
      </w:r>
      <w:r w:rsidR="00545156" w:rsidRPr="00B66C52" w:rsidDel="001803A4">
        <w:fldChar w:fldCharType="separate"/>
      </w:r>
      <w:r w:rsidR="003A4382" w:rsidRPr="00B66C52">
        <w:t>(2013)</w:t>
      </w:r>
      <w:r w:rsidR="00545156" w:rsidRPr="00B66C52" w:rsidDel="001803A4">
        <w:fldChar w:fldCharType="end"/>
      </w:r>
      <w:r w:rsidR="008014FD" w:rsidRPr="00B66C52" w:rsidDel="001803A4">
        <w:t xml:space="preserve"> by </w:t>
      </w:r>
      <w:r w:rsidR="00306BB4" w:rsidRPr="00B66C52">
        <w:t xml:space="preserve">differentiating between resources extracted from natural and human-made systems and by </w:t>
      </w:r>
      <w:r w:rsidR="008014FD" w:rsidRPr="00B66C52" w:rsidDel="001803A4">
        <w:t xml:space="preserve">adding spatially-explicit characterization factors (CFs) for land resources. </w:t>
      </w:r>
      <w:r w:rsidR="000852EC">
        <w:t xml:space="preserve">Additional improvements were made by </w:t>
      </w:r>
      <w:proofErr w:type="spellStart"/>
      <w:r w:rsidR="000852EC">
        <w:t>Taelman</w:t>
      </w:r>
      <w:proofErr w:type="spellEnd"/>
      <w:r w:rsidR="000852EC">
        <w:t xml:space="preserve"> et al. </w:t>
      </w:r>
      <w:r w:rsidR="00577935" w:rsidRPr="00D9599D">
        <w:fldChar w:fldCharType="begin"/>
      </w:r>
      <w:r w:rsidR="00577935" w:rsidRPr="00D9599D">
        <w:instrText xml:space="preserve"> ADDIN ZOTERO_ITEM CSL_CITATION {"citationID":"d3Y7aN3B","properties":{"formattedCitation":"(2014)","plainCitation":"(2014)","noteIndex":0},"citationItems":[{"id":395,"uris":["http://zotero.org/users/8766396/items/DM6N4SED"],"itemData":{"id":395,"type":"article-journal","container-title":"Resources, Conservation and Recycling","DOI":"10.1016/j.resconrec.2014.07.009","ISSN":"09213449","journalAbbreviation":"Resources, Conservation and Recycling","language":"en","page":"1-10","source":"DOI.org (Crossref)","title":"Accounting for the occupation of the marine environment as a natural resource in life cycle assessment: An exergy based approach","title-short":"Accounting for the occupation of the marine environment as a natural resource in life cycle assessment","URL":"https://linkinghub.elsevier.com/retrieve/pii/S0921344914001529","volume":"91","author":[{"family":"Taelman","given":"Sue Ellen"},{"family":"De Meester","given":"Steven"},{"family":"Schaubroeck","given":"Thomas"},{"family":"Sakshaug","given":"Egil"},{"family":"Alvarenga","given":"Rodrigo A.F."},{"family":"Dewulf","given":"Jo"}],"accessed":{"date-parts":[["2023",1,26]]},"issued":{"date-parts":[["2014",9]]}},"label":"page","suppress-author":true}],"schema":"https://github.com/citation-style-language/schema/raw/master/csl-citation.json"} </w:instrText>
      </w:r>
      <w:r w:rsidR="00577935" w:rsidRPr="00D9599D">
        <w:fldChar w:fldCharType="separate"/>
      </w:r>
      <w:r w:rsidR="00577935" w:rsidRPr="00D9599D">
        <w:t>(2014)</w:t>
      </w:r>
      <w:r w:rsidR="00577935" w:rsidRPr="00D9599D">
        <w:fldChar w:fldCharType="end"/>
      </w:r>
      <w:r w:rsidR="000852EC">
        <w:t xml:space="preserve">, who determined </w:t>
      </w:r>
      <w:r w:rsidR="00A86B8E" w:rsidRPr="00FA1634">
        <w:t xml:space="preserve">characterization factors for sea surface occupation (SSO) </w:t>
      </w:r>
      <w:r w:rsidR="000852EC" w:rsidRPr="00D9599D">
        <w:t>to quantify resource impacts from the marine environment</w:t>
      </w:r>
      <w:r w:rsidR="00FA1634" w:rsidRPr="00D9599D">
        <w:t>.</w:t>
      </w:r>
    </w:p>
    <w:p w14:paraId="07D2AAF6" w14:textId="274B7007" w:rsidR="00096180" w:rsidRPr="00D9599D" w:rsidRDefault="00FA1634" w:rsidP="00890D06">
      <w:pPr>
        <w:spacing w:after="240" w:line="480" w:lineRule="auto"/>
        <w:jc w:val="both"/>
        <w:rPr>
          <w:color w:val="000000"/>
        </w:rPr>
      </w:pPr>
      <w:r w:rsidRPr="00D9599D">
        <w:rPr>
          <w:lang w:val="en-IE"/>
        </w:rPr>
        <w:t>T</w:t>
      </w:r>
      <w:r w:rsidR="00B66C52" w:rsidRPr="005B44CC">
        <w:rPr>
          <w:lang w:val="en-IE"/>
        </w:rPr>
        <w:t xml:space="preserve">his </w:t>
      </w:r>
      <w:r w:rsidR="00D23FD2" w:rsidRPr="005B44CC">
        <w:rPr>
          <w:lang w:val="en-IE"/>
        </w:rPr>
        <w:t>work</w:t>
      </w:r>
      <w:r w:rsidR="00FD7DEB" w:rsidRPr="005B44CC">
        <w:rPr>
          <w:lang w:val="en-IE"/>
        </w:rPr>
        <w:t xml:space="preserve"> </w:t>
      </w:r>
      <w:r w:rsidR="00F87AAC" w:rsidRPr="00D9599D">
        <w:rPr>
          <w:lang w:val="en-IE"/>
        </w:rPr>
        <w:t xml:space="preserve">will </w:t>
      </w:r>
      <w:r w:rsidR="00D23FD2" w:rsidRPr="005B44CC">
        <w:rPr>
          <w:lang w:val="en-IE"/>
        </w:rPr>
        <w:t xml:space="preserve">use </w:t>
      </w:r>
      <w:r w:rsidR="003657EB" w:rsidRPr="005B44CC">
        <w:rPr>
          <w:lang w:val="en-IE"/>
        </w:rPr>
        <w:t>exerg</w:t>
      </w:r>
      <w:r w:rsidRPr="00D9599D">
        <w:rPr>
          <w:lang w:val="en-IE"/>
        </w:rPr>
        <w:t>etic analysis</w:t>
      </w:r>
      <w:r w:rsidR="003657EB" w:rsidRPr="005B44CC">
        <w:rPr>
          <w:lang w:val="en-IE"/>
        </w:rPr>
        <w:t xml:space="preserve"> to quantify the </w:t>
      </w:r>
      <w:r w:rsidR="00DA755E" w:rsidRPr="00D9599D">
        <w:rPr>
          <w:lang w:val="en-IE"/>
        </w:rPr>
        <w:t xml:space="preserve">total </w:t>
      </w:r>
      <w:r w:rsidR="003657EB" w:rsidRPr="005B44CC">
        <w:rPr>
          <w:lang w:val="en-IE"/>
        </w:rPr>
        <w:t xml:space="preserve">resource </w:t>
      </w:r>
      <w:r w:rsidR="00C761DE" w:rsidRPr="005B44CC">
        <w:rPr>
          <w:lang w:val="en-IE"/>
        </w:rPr>
        <w:t xml:space="preserve">intensity of </w:t>
      </w:r>
      <w:r w:rsidR="00670E88" w:rsidRPr="00D9599D">
        <w:rPr>
          <w:lang w:val="en-IE"/>
        </w:rPr>
        <w:t xml:space="preserve">seaweed </w:t>
      </w:r>
      <w:r w:rsidR="00C761DE" w:rsidRPr="005B44CC">
        <w:rPr>
          <w:lang w:val="en-IE"/>
        </w:rPr>
        <w:t>production pathways</w:t>
      </w:r>
      <w:r w:rsidRPr="00D9599D">
        <w:rPr>
          <w:lang w:val="en-IE"/>
        </w:rPr>
        <w:t xml:space="preserve">, using the </w:t>
      </w:r>
      <w:proofErr w:type="spellStart"/>
      <w:r w:rsidRPr="00D9599D">
        <w:rPr>
          <w:lang w:val="en-IE"/>
        </w:rPr>
        <w:t>CExD</w:t>
      </w:r>
      <w:proofErr w:type="spellEnd"/>
      <w:r w:rsidRPr="00D9599D">
        <w:rPr>
          <w:lang w:val="en-IE"/>
        </w:rPr>
        <w:t xml:space="preserve"> method for material and energy use and the CEENE method for land and sea surface use</w:t>
      </w:r>
      <w:r w:rsidR="00B66C52" w:rsidRPr="005B44CC">
        <w:rPr>
          <w:lang w:val="en-IE"/>
        </w:rPr>
        <w:t xml:space="preserve">. </w:t>
      </w:r>
      <w:r w:rsidRPr="00D9599D">
        <w:rPr>
          <w:color w:val="000000"/>
        </w:rPr>
        <w:t xml:space="preserve">Additionally, </w:t>
      </w:r>
      <w:r w:rsidR="005B44CC" w:rsidRPr="00D9599D">
        <w:rPr>
          <w:color w:val="000000"/>
        </w:rPr>
        <w:t xml:space="preserve">to allow for easier comparison with previous LCAs of seaweed production, </w:t>
      </w:r>
      <w:r w:rsidRPr="00D9599D">
        <w:rPr>
          <w:color w:val="000000"/>
        </w:rPr>
        <w:t xml:space="preserve">this work will </w:t>
      </w:r>
      <w:r w:rsidR="005B44CC" w:rsidRPr="00D9599D">
        <w:rPr>
          <w:color w:val="000000"/>
        </w:rPr>
        <w:t>determine</w:t>
      </w:r>
      <w:r w:rsidRPr="00D9599D">
        <w:rPr>
          <w:color w:val="000000"/>
        </w:rPr>
        <w:t xml:space="preserve"> climate change impacts based on the global warming potential of each production pathway.</w:t>
      </w:r>
      <w:r w:rsidRPr="005B44CC" w:rsidDel="000B48AB">
        <w:rPr>
          <w:color w:val="000000"/>
        </w:rPr>
        <w:t xml:space="preserve"> </w:t>
      </w:r>
    </w:p>
    <w:p w14:paraId="2BAF6596" w14:textId="09122D1E" w:rsidR="00164D01" w:rsidRDefault="00005D99" w:rsidP="00890D06">
      <w:pPr>
        <w:pStyle w:val="Heading3"/>
        <w:numPr>
          <w:ilvl w:val="2"/>
          <w:numId w:val="12"/>
        </w:numPr>
        <w:spacing w:before="0" w:after="240" w:line="480" w:lineRule="auto"/>
        <w:rPr>
          <w:b/>
          <w:bCs/>
          <w:color w:val="auto"/>
          <w:sz w:val="22"/>
          <w:szCs w:val="22"/>
        </w:rPr>
      </w:pPr>
      <w:bookmarkStart w:id="27" w:name="_Toc130974667"/>
      <w:r w:rsidRPr="003444ED">
        <w:rPr>
          <w:b/>
          <w:bCs/>
          <w:color w:val="auto"/>
          <w:sz w:val="22"/>
          <w:szCs w:val="22"/>
        </w:rPr>
        <w:t xml:space="preserve">Goal 2: Quantifying </w:t>
      </w:r>
      <w:r w:rsidR="00164D01">
        <w:rPr>
          <w:b/>
          <w:bCs/>
          <w:color w:val="auto"/>
          <w:sz w:val="22"/>
          <w:szCs w:val="22"/>
        </w:rPr>
        <w:t xml:space="preserve">economic </w:t>
      </w:r>
      <w:proofErr w:type="gramStart"/>
      <w:r w:rsidR="00164D01">
        <w:rPr>
          <w:b/>
          <w:bCs/>
          <w:color w:val="auto"/>
          <w:sz w:val="22"/>
          <w:szCs w:val="22"/>
        </w:rPr>
        <w:t>impacts</w:t>
      </w:r>
      <w:bookmarkEnd w:id="27"/>
      <w:proofErr w:type="gramEnd"/>
    </w:p>
    <w:p w14:paraId="08823F6A" w14:textId="333D1077" w:rsidR="00F87AAC" w:rsidRPr="00FA1634" w:rsidRDefault="001B7439" w:rsidP="0013087F">
      <w:pPr>
        <w:spacing w:after="240" w:line="480" w:lineRule="auto"/>
        <w:jc w:val="both"/>
      </w:pPr>
      <w:bookmarkStart w:id="28" w:name="_Hlk130460493"/>
      <w:r w:rsidRPr="00FA1634">
        <w:t xml:space="preserve">An economic life cycle assessment, or life cycle costing, refers to the </w:t>
      </w:r>
      <w:r w:rsidR="00895C5B" w:rsidRPr="00FA1634">
        <w:t>economic</w:t>
      </w:r>
      <w:r w:rsidRPr="00FA1634">
        <w:t xml:space="preserve"> </w:t>
      </w:r>
      <w:r w:rsidR="00895C5B" w:rsidRPr="00FA1634">
        <w:t>viability</w:t>
      </w:r>
      <w:r w:rsidRPr="00FA1634">
        <w:t xml:space="preserve"> of a project </w:t>
      </w:r>
      <w:r w:rsidR="00895C5B" w:rsidRPr="00FA1634">
        <w:t>over</w:t>
      </w:r>
      <w:r w:rsidRPr="00FA1634">
        <w:t xml:space="preserve"> its lifetime. </w:t>
      </w:r>
      <w:r w:rsidR="00AA44D0" w:rsidRPr="00FA1634">
        <w:t xml:space="preserve">First mentioned in the 1950s, </w:t>
      </w:r>
      <w:r w:rsidRPr="00FA1634">
        <w:t>LCC</w:t>
      </w:r>
      <w:r w:rsidR="00F87AAC" w:rsidRPr="00FA1634">
        <w:t xml:space="preserve"> is one of the oldest forms of life cycle thinking and </w:t>
      </w:r>
      <w:r w:rsidR="00EA59BA">
        <w:t xml:space="preserve">typically </w:t>
      </w:r>
      <w:r w:rsidRPr="00FA1634">
        <w:t>consider</w:t>
      </w:r>
      <w:r w:rsidR="00F87AAC" w:rsidRPr="00FA1634">
        <w:t>s</w:t>
      </w:r>
      <w:r w:rsidRPr="00FA1634">
        <w:t xml:space="preserve"> the total financial costs related to a product which are incurred on a private individual or organization</w:t>
      </w:r>
      <w:r w:rsidR="00895C5B" w:rsidRPr="00FA1634">
        <w:t xml:space="preserve"> </w:t>
      </w:r>
      <w:r w:rsidR="000D5E50" w:rsidRPr="00FA1634">
        <w:fldChar w:fldCharType="begin"/>
      </w:r>
      <w:r w:rsidR="00355F1B" w:rsidRPr="00FA1634">
        <w:instrText xml:space="preserve"> ADDIN ZOTERO_ITEM CSL_CITATION {"citationID":"zHxMunJD","properties":{"formattedCitation":"(UNEP/SETAC Life Cycle Initiative, 2011)","plainCitation":"(UNEP/SETAC Life Cycle Initiative, 2011)","noteIndex":0},"citationItems":[{"id":149,"uris":["http://zotero.org/users/8766396/items/W9F9PUMZ"],"itemData":{"id":149,"type":"report","title":"Towards a Life Cycle Sustainability Assessment: Making informed choices on products","URL":"https://www.lifecycleinitiative.org/wp-content/uploads/2012/12/2011%20-%20Towards%20LCSA.pdf","author":[{"family":"UNEP/SETAC Life Cycle Initiative","given":""}],"issued":{"date-parts":[["2011"]]}}}],"schema":"https://github.com/citation-style-language/schema/raw/master/csl-citation.json"} </w:instrText>
      </w:r>
      <w:r w:rsidR="000D5E50" w:rsidRPr="00FA1634">
        <w:fldChar w:fldCharType="separate"/>
      </w:r>
      <w:r w:rsidR="000D5E50" w:rsidRPr="00FA1634">
        <w:t>(UNEP/SETAC Life Cycle Initiative, 2011)</w:t>
      </w:r>
      <w:r w:rsidR="000D5E50" w:rsidRPr="00FA1634">
        <w:fldChar w:fldCharType="end"/>
      </w:r>
      <w:r w:rsidRPr="00FA1634">
        <w:t xml:space="preserve">. </w:t>
      </w:r>
      <w:r w:rsidR="00895C5B" w:rsidRPr="00FA1634">
        <w:t>In the case of a producer, the costs are related to production, and</w:t>
      </w:r>
      <w:r w:rsidR="009D619E" w:rsidRPr="00FA1634">
        <w:t xml:space="preserve"> can include both capital costs such as infrastructure, boats, and facilities, and operating costs such as chemicals, electricity, boat fuel, and labour</w:t>
      </w:r>
      <w:r w:rsidR="000D5E50" w:rsidRPr="00FA1634">
        <w:t>.</w:t>
      </w:r>
      <w:r w:rsidR="00EC2431" w:rsidRPr="00FA1634">
        <w:t xml:space="preserve"> </w:t>
      </w:r>
      <w:r w:rsidR="0013087F" w:rsidRPr="00FA1634">
        <w:t>T</w:t>
      </w:r>
      <w:r w:rsidR="000D5E50" w:rsidRPr="00FA1634">
        <w:t xml:space="preserve">hese costs are quantified based on the functional unit of the study, which </w:t>
      </w:r>
      <w:r w:rsidR="0013087F" w:rsidRPr="00FA1634">
        <w:t>in LCA</w:t>
      </w:r>
      <w:r w:rsidR="00F87AAC" w:rsidRPr="00FA1634">
        <w:t xml:space="preserve"> methodology</w:t>
      </w:r>
      <w:r w:rsidR="0013087F" w:rsidRPr="00FA1634">
        <w:t xml:space="preserve"> </w:t>
      </w:r>
      <w:r w:rsidR="000D5E50" w:rsidRPr="00FA1634">
        <w:t xml:space="preserve">is often the mass or energy value of the product </w:t>
      </w:r>
      <w:r w:rsidR="00355F1B" w:rsidRPr="00D9599D">
        <w:fldChar w:fldCharType="begin"/>
      </w:r>
      <w:r w:rsidR="00355F1B" w:rsidRPr="00D9599D">
        <w:instrText xml:space="preserve"> ADDIN ZOTERO_ITEM CSL_CITATION {"citationID":"KcggAMWW","properties":{"formattedCitation":"(ISO, 2006)","plainCitation":"(ISO, 2006)","noteIndex":0},"citationItems":[{"id":39,"uris":["http://zotero.org/users/8766396/items/ZJ7RC2KW"],"itemData":{"id":39,"type":"report","event-place":"Brussels, Belgium","number":"ISO 14040:2006","publisher":"European Committee for Standardization","publisher-place":"Brussels, Belgium","title":"Environmental Management - Life Cycle Assessment - Principles and Framework","author":[{"family":"ISO","given":""}],"issued":{"date-parts":[["2006"]]}}}],"schema":"https://github.com/citation-style-language/schema/raw/master/csl-citation.json"} </w:instrText>
      </w:r>
      <w:r w:rsidR="00355F1B" w:rsidRPr="00D9599D">
        <w:fldChar w:fldCharType="separate"/>
      </w:r>
      <w:r w:rsidR="00355F1B" w:rsidRPr="00D9599D">
        <w:t>(ISO, 2006)</w:t>
      </w:r>
      <w:r w:rsidR="00355F1B" w:rsidRPr="00D9599D">
        <w:fldChar w:fldCharType="end"/>
      </w:r>
      <w:r w:rsidR="000D5E50" w:rsidRPr="00FA1634">
        <w:t>.</w:t>
      </w:r>
      <w:r w:rsidR="000D5E50" w:rsidRPr="00D9599D">
        <w:t xml:space="preserve"> Indeed, a common method for evaluating the economic viability of a seaweed production system is through </w:t>
      </w:r>
      <w:r w:rsidR="000D5E50" w:rsidRPr="00D9599D">
        <w:lastRenderedPageBreak/>
        <w:t xml:space="preserve">calculating the </w:t>
      </w:r>
      <w:r w:rsidR="0013087F" w:rsidRPr="00FA1634">
        <w:t xml:space="preserve">total </w:t>
      </w:r>
      <w:r w:rsidR="000D5E50" w:rsidRPr="00D9599D">
        <w:t xml:space="preserve">production cost per unit mass </w:t>
      </w:r>
      <w:r w:rsidR="00355F1B" w:rsidRPr="00D9599D">
        <w:fldChar w:fldCharType="begin"/>
      </w:r>
      <w:r w:rsidR="00577935">
        <w:instrText xml:space="preserve"> ADDIN ZOTERO_ITEM CSL_CITATION {"citationID":"1Gf8ytBY","properties":{"formattedCitation":"(Bak et al., 2018; Coleman et al., 2022; Greene et al., 2020; Kite-Powell et al., 2022)","plainCitation":"(Bak et al., 2018; Coleman et al., 2022; Greene et al., 2020; Kite-Powell et al., 2022)","noteIndex":0},"citationItems":[{"id":184,"uris":["http://zotero.org/users/8766396/items/7GX3R3Q4"],"itemData":{"id":184,"type":"article-journal","container-title":"Algal Research","DOI":"10.1016/j.algal.2018.05.001","page":"36-47","title":"Production method and cost of commercial-scale offshore cultivation of kelp in the Faroe Islands using multiple partial harvesting","volume":"33","author":[{"family":"Bak","given":"U. G"},{"family":"Mols-Mortensen","given":"A"},{"family":"Gregersen","given":"O"}],"issued":{"date-parts":[["2018"]]}}},{"id":739,"uris":["http://zotero.org/users/8766396/items/79YYMHVW"],"itemData":{"id":739,"type":"article-journal","abstract":"To keep global surface warming below 1.5°C by 2100, the portfolio of cost-effective CDR technologies must expand. To evaluate the potential of macroalgae CDR, we developed a kelp aquaculture bio-techno-economic model in which large quantities of kelp would be farmed at an offshore site, transported to a deep water “sink site”, and then deposited below the sequestration horizon (1,000 m). We estimated the costs and associated emissions of nursery production, permitting, farm construction, ocean cultivation, biomass transport, and Monitoring, Reporting, and Verification (MRV) for a 1,000 acre (405 ha) “baseline” project located in the Gulf of Maine, USA. The baseline kelp CDR model applies current systems of kelp cultivation to deep water (100 m) exposed sites using best available modeling methods. We calculated the levelized unit costs of CO\n              2\n              eq sequestration (LCOC; $ tCO\n              2\n              eq\n              -1\n              ). Under baseline assumptions, LCOC was $17,048 tCO\n              2\n              eq\n              -1\n              . Despite annually sequestering 628 tCO\n              2\n              eq within kelp biomass at the sink site, the project was only able to net 244 C credits (tCO\n              2\n              eq) each year, a true sequestration “additionality” rate (AR) of 39% (i.e., the ratio of net C credits produced to gross C sequestered within kelp biomass). As a result of optimizing 18 key parameters for which we identified a range within the literature, LCOC fell to $1,257 tCO\n              2\n              eq\n              -1\n              and AR increased to 91%, demonstrating that substantial cost reductions could be achieved through process improvement and decarbonization of production supply chains. Kelp CDR may be limited by high production costs and energy intensive operations, as well as MRV uncertainty. To resolve these challenges, R&amp;amp;D must (1) de-risk farm designs that maximize lease space, (2) automate the seeding and harvest processes, (3) leverage selective breeding to increase yields, (4) assess the cost-benefit of gametophyte nursery culture as both a platform for selective breeding and driver of operating cost reductions, (5) decarbonize equipment supply chains, energy usage, and ocean cultivation by sourcing electricity from renewables and employing low GHG impact materials with long lifespans, and (6) develop low-cost and accurate MRV techniques for ocean-based CDR.","container-title":"Frontiers in Marine Science","DOI":"10.3389/fmars.2022.966304","ISSN":"2296-7745","journalAbbreviation":"Front. Mar. Sci.","page":"966304","source":"DOI.org (Crossref)","title":"Quantifying baseline costs and cataloging potential optimization strategies for kelp aquaculture carbon dioxide removal","URL":"https://www.frontiersin.org/articles/10.3389/fmars.2022.966304/full","volume":"9","author":[{"family":"Coleman","given":"Struan"},{"family":"Dewhurst","given":"Tobias"},{"family":"Fredriksson","given":"David W."},{"family":"St. Gelais","given":"Adam T."},{"family":"Cole","given":"Kelly L."},{"family":"MacNicoll","given":"Michael"},{"family":"Laufer","given":"Eric"},{"family":"Brady","given":"Damian C."}],"accessed":{"date-parts":[["2023",8,23]]},"issued":{"date-parts":[["2022",8,11]]}}},{"id":204,"uris":["http://zotero.org/users/8766396/items/I6HZVHAX"],"itemData":{"id":204,"type":"article-journal","container-title":"Algal Research","DOI":"10.1016/j.algal.2020.102032","page":"102032","title":"Techno-economic analysis and global warming potential of a novel offshore macroalgae biorefinery","volume":"51","author":[{"family":"Greene","given":"J. M"},{"family":"Gulden","given":"J"},{"family":"Wood","given":"G"},{"family":"Huesemann","given":"M"},{"family":"Quinn","given":"J. C"}],"issued":{"date-parts":[["2020"]]}}},{"id":368,"uris":["http://zotero.org/users/8766396/items/IVSY9AHP"],"itemData":{"id":368,"type":"article-journal","abstract":"Seaweed farming has the potential to produce feedstocks for many applications, including food, feeds, fertilizers, biostimulants, and biofuels. Seaweeds have advantages over land-based biomass in that they require no freshwater inputs and no allocation of arable land. To date, seaweed farming has not been practiced at scales relevant to meaningful biofuel production. Here we describe a techno-economic model of large-scale seaweed farms and its application to the cultivation of the cool temperate species Saccharina latissima (sugar kelp) and the tropical seaweed Eucheumatopsis isiformis. At farm scales of 1000 ha or more, our model suggests that farm gate production costs in waters up to 200 km from the onshore support base are likely to range between $200 and $300 per dry tonne. The model also suggests that production costs below $100 per dry tonne may be achievable in some settings, which would make these seaweeds economically competitive with land-based biofuel feedstocks. While encouraging, these model results and some assumptions on which they are based require further field validation.","container-title":"Applied Phycology","DOI":"10.1080/26388081.2022.2111271","ISSN":"2638-8081","issue":"1","journalAbbreviation":"Applied Phycology","language":"en","page":"435-445","source":"DOI.org (Crossref)","title":"Estimating production cost for large-scale seaweed farms","URL":"https://www.tandfonline.com/doi/full/10.1080/26388081.2022.2111271","volume":"3","author":[{"family":"Kite-Powell","given":"Hauke L."},{"family":"Ask","given":"Erick"},{"family":"Augyte","given":"Simona"},{"family":"Bailey","given":"David"},{"family":"Decker","given":"Julie"},{"family":"Goudey","given":"Clifford A."},{"family":"Grebe","given":"Gretchen"},{"family":"Li","given":"Yaoguang"},{"family":"Lindell","given":"Scott"},{"family":"Manganelli","given":"Domenic"},{"family":"Marty-Rivera","given":"Michael"},{"family":"Ng","given":"Crystal"},{"family":"Roberson","given":"Loretta"},{"family":"Stekoll","given":"Michael"},{"family":"Umanzor","given":"Schery"},{"family":"Yarish","given":"Charles"}],"accessed":{"date-parts":[["2023",1,26]]},"issued":{"date-parts":[["2022",12,31]]}}}],"schema":"https://github.com/citation-style-language/schema/raw/master/csl-citation.json"} </w:instrText>
      </w:r>
      <w:r w:rsidR="00355F1B" w:rsidRPr="00D9599D">
        <w:fldChar w:fldCharType="separate"/>
      </w:r>
      <w:r w:rsidR="00577935" w:rsidRPr="00577935">
        <w:t>(Bak et al., 2018; Coleman et al., 2022; Greene et al., 2020; Kite-Powell et al., 2022)</w:t>
      </w:r>
      <w:r w:rsidR="00355F1B" w:rsidRPr="00D9599D">
        <w:fldChar w:fldCharType="end"/>
      </w:r>
      <w:r w:rsidR="00895C5B" w:rsidRPr="00D9599D">
        <w:t xml:space="preserve">. </w:t>
      </w:r>
    </w:p>
    <w:p w14:paraId="5B013042" w14:textId="1B575F22" w:rsidR="00260326" w:rsidRPr="000A2A94" w:rsidRDefault="005D08B4" w:rsidP="00260326">
      <w:pPr>
        <w:spacing w:after="240" w:line="480" w:lineRule="auto"/>
        <w:jc w:val="both"/>
      </w:pPr>
      <w:r w:rsidRPr="00FA1634">
        <w:t xml:space="preserve">The unit production cost </w:t>
      </w:r>
      <w:r w:rsidR="00FA1634" w:rsidRPr="00D9599D">
        <w:t xml:space="preserve">can be </w:t>
      </w:r>
      <w:r w:rsidRPr="00FA1634">
        <w:t>translate</w:t>
      </w:r>
      <w:r w:rsidR="00FA1634" w:rsidRPr="00D9599D">
        <w:t>d</w:t>
      </w:r>
      <w:r w:rsidRPr="00FA1634">
        <w:t xml:space="preserve"> to </w:t>
      </w:r>
      <w:r w:rsidR="009D619E" w:rsidRPr="00FA1634">
        <w:t>the breakeven or minimum selling price (MSP)</w:t>
      </w:r>
      <w:r w:rsidR="003A2086" w:rsidRPr="00FA1634">
        <w:t xml:space="preserve">, which is the minimum price at which a product can be sold that will not result in economic losses to the company </w:t>
      </w:r>
      <w:r w:rsidR="007B110A" w:rsidRPr="00FA1634">
        <w:fldChar w:fldCharType="begin"/>
      </w:r>
      <w:r w:rsidR="003A4382" w:rsidRPr="00FA1634">
        <w:instrText xml:space="preserve"> ADDIN ZOTERO_ITEM CSL_CITATION {"citationID":"VCwr4bJj","properties":{"formattedCitation":"(Agricultural Marketing Resource Center, 2022)","plainCitation":"(Agricultural Marketing Resource Center, 2022)","noteIndex":0},"citationItems":[{"id":734,"uris":["http://zotero.org/users/8766396/items/FZVCB83F"],"itemData":{"id":734,"type":"post-weblog","container-title":"Business and Economic Concepts and Principles","title":"Breakeven Selling Price","URL":"https://www.agmrc.org/business-development/business-and-economic-concepts-and-principles/breakeven-selling-price","author":[{"literal":"Agricultural Marketing Resource Center"}],"issued":{"date-parts":[["2022"]]}}}],"schema":"https://github.com/citation-style-language/schema/raw/master/csl-citation.json"} </w:instrText>
      </w:r>
      <w:r w:rsidR="007B110A" w:rsidRPr="00FA1634">
        <w:fldChar w:fldCharType="separate"/>
      </w:r>
      <w:r w:rsidR="003A4382" w:rsidRPr="00FA1634">
        <w:t>(Agricultural Marketing Resource Center, 2022)</w:t>
      </w:r>
      <w:r w:rsidR="007B110A" w:rsidRPr="00FA1634">
        <w:fldChar w:fldCharType="end"/>
      </w:r>
      <w:r w:rsidR="003A2086" w:rsidRPr="00FA1634">
        <w:t xml:space="preserve">. </w:t>
      </w:r>
      <w:bookmarkEnd w:id="28"/>
      <w:r w:rsidR="00A248F6" w:rsidRPr="00D9599D">
        <w:t xml:space="preserve">Determining the </w:t>
      </w:r>
      <w:r w:rsidR="0013087F" w:rsidRPr="00D9599D">
        <w:t>MSP</w:t>
      </w:r>
      <w:r w:rsidR="00A248F6" w:rsidRPr="00D9599D">
        <w:t xml:space="preserve"> offers a way for business owners to determine at what market price seaweed harvesting is economically viable. </w:t>
      </w:r>
      <w:r w:rsidR="005D0814" w:rsidRPr="005B44CC">
        <w:t>T</w:t>
      </w:r>
      <w:r w:rsidR="00BE6DC4">
        <w:t>hus, t</w:t>
      </w:r>
      <w:r w:rsidR="005D0814" w:rsidRPr="005B44CC">
        <w:t xml:space="preserve">his work </w:t>
      </w:r>
      <w:r w:rsidR="00BE6DC4">
        <w:t xml:space="preserve">will </w:t>
      </w:r>
      <w:r w:rsidR="005D0814" w:rsidRPr="005B44CC">
        <w:t>determine</w:t>
      </w:r>
      <w:r w:rsidR="00BE6DC4">
        <w:t xml:space="preserve"> the</w:t>
      </w:r>
      <w:r w:rsidR="005D0814" w:rsidRPr="005B44CC">
        <w:t xml:space="preserve"> e</w:t>
      </w:r>
      <w:r w:rsidR="003A2086" w:rsidRPr="005B44CC">
        <w:t>conomic performance</w:t>
      </w:r>
      <w:r w:rsidR="00BE6DC4">
        <w:t xml:space="preserve"> of seaweed production pathways through quantification of</w:t>
      </w:r>
      <w:r w:rsidR="003A2086" w:rsidRPr="005B44CC">
        <w:t xml:space="preserve"> MSP </w:t>
      </w:r>
      <w:r w:rsidR="00BE6DC4">
        <w:t>and comparison with</w:t>
      </w:r>
      <w:r w:rsidR="003A2086" w:rsidRPr="005B44CC">
        <w:t xml:space="preserve"> the </w:t>
      </w:r>
      <w:r w:rsidR="00EC55E0" w:rsidRPr="005B44CC">
        <w:t>current market</w:t>
      </w:r>
      <w:r w:rsidR="003A2086" w:rsidRPr="005B44CC">
        <w:t xml:space="preserve"> selling price.</w:t>
      </w:r>
      <w:r w:rsidR="00E44801" w:rsidRPr="005B44CC">
        <w:t xml:space="preserve"> </w:t>
      </w:r>
      <w:r w:rsidR="00BE6DC4" w:rsidRPr="00CF0884">
        <w:t xml:space="preserve">In the case of seaweed, the market is highly uncertain, and prices are subject to fluctuations related to local and global supply and demand </w:t>
      </w:r>
      <w:r w:rsidR="00BE6DC4" w:rsidRPr="00CF0884">
        <w:fldChar w:fldCharType="begin"/>
      </w:r>
      <w:r w:rsidR="00BE6DC4" w:rsidRPr="00CF0884">
        <w:instrText xml:space="preserve"> ADDIN ZOTERO_ITEM CSL_CITATION {"citationID":"jdEFsRs0","properties":{"formattedCitation":"(Langford et al., 2022)","plainCitation":"(Langford et al., 2022)","noteIndex":0},"citationItems":[{"id":743,"uris":["http://zotero.org/users/8766396/items/XXVKCJHG"],"itemData":{"id":743,"type":"article-journal","container-title":"Aquaculture","DOI":"10.1016/j.aquaculture.2021.737828","ISSN":"00448486","journalAbbreviation":"Aquaculture","language":"en","page":"737828","source":"DOI.org (Crossref)","title":"Price analysis of the Indonesian carrageenan seaweed industry","URL":"https://linkinghub.elsevier.com/retrieve/pii/S0044848621014915","volume":"550","author":[{"family":"Langford","given":"Alexandra"},{"family":"Zhang","given":"Jing"},{"family":"Waldron","given":"Scott"},{"family":"Julianto","given":"Boedi"},{"family":"Siradjuddin","given":"Irsyadi"},{"family":"Neish","given":"Iain"},{"family":"Nuryartono","given":"Nunung"}],"accessed":{"date-parts":[["2023",8,23]]},"issued":{"date-parts":[["2022",3]]}}}],"schema":"https://github.com/citation-style-language/schema/raw/master/csl-citation.json"} </w:instrText>
      </w:r>
      <w:r w:rsidR="00BE6DC4" w:rsidRPr="00CF0884">
        <w:fldChar w:fldCharType="separate"/>
      </w:r>
      <w:r w:rsidR="00BE6DC4" w:rsidRPr="00CF0884">
        <w:t>(Langford et al., 2022)</w:t>
      </w:r>
      <w:r w:rsidR="00BE6DC4" w:rsidRPr="00CF0884">
        <w:fldChar w:fldCharType="end"/>
      </w:r>
      <w:r w:rsidR="00BE6DC4" w:rsidRPr="00CF0884">
        <w:t xml:space="preserve">. Consequently, </w:t>
      </w:r>
      <w:r w:rsidR="009766C4" w:rsidRPr="00FA1634">
        <w:t>that different types of seaweed have different selling prices</w:t>
      </w:r>
      <w:r w:rsidR="00F622EC" w:rsidRPr="00FA1634">
        <w:t xml:space="preserve"> in </w:t>
      </w:r>
      <w:r w:rsidR="007127BB" w:rsidRPr="00FA1634">
        <w:t>different geographical contexts</w:t>
      </w:r>
      <w:r w:rsidR="009766C4" w:rsidRPr="00FA1634">
        <w:t xml:space="preserve">; in 2019, the average global selling price of brown seaweeds was 0.42 €/kg FW, with an average selling price of approximately 0.33 €/kg FW for cultivated </w:t>
      </w:r>
      <w:r w:rsidR="009766C4" w:rsidRPr="00FA1634">
        <w:rPr>
          <w:i/>
          <w:iCs/>
        </w:rPr>
        <w:t>Laminaria</w:t>
      </w:r>
      <w:r w:rsidR="009766C4" w:rsidRPr="00FA1634">
        <w:t xml:space="preserve"> and </w:t>
      </w:r>
      <w:r w:rsidR="009766C4" w:rsidRPr="00FA1634">
        <w:rPr>
          <w:i/>
          <w:iCs/>
        </w:rPr>
        <w:t>Saccharina</w:t>
      </w:r>
      <w:r w:rsidR="009766C4" w:rsidRPr="00FA1634">
        <w:t xml:space="preserve"> species (kelps) </w:t>
      </w:r>
      <w:r w:rsidR="00657DBE" w:rsidRPr="00FA1634">
        <w:fldChar w:fldCharType="begin"/>
      </w:r>
      <w:r w:rsidR="003A4382" w:rsidRPr="00FA1634">
        <w:instrText xml:space="preserve"> ADDIN ZOTERO_ITEM CSL_CITATION {"citationID":"nKF6Oz8s","properties":{"formattedCitation":"(Cai et al., 2021)","plainCitation":"(Cai et al., 2021)","noteIndex":0},"citationItems":[{"id":704,"uris":["http://zotero.org/users/8766396/items/62B8E692"],"itemData":{"id":704,"type":"book","collection-number":"No. 1229","collection-title":"FAO Fisheries and Aquaculture Circular","event-place":"Rome","ISBN":"978-92-5-134710-2","language":"en","note":"DOI: 10.4060/cb5670en","publisher":"FAO","publisher-place":"Rome","source":"DOI.org (Crossref)","title":"Seaweeds and microalgae: an overview for unlocking their potential in global aquaculture development","title-short":"Seaweeds and microalgae","URL":"http://www.fao.org/documents/card/en/c/cb5670en","author":[{"family":"Cai","given":"J"},{"family":"Lovatelli","given":"A"},{"family":"Aguilar-Manjarrez","given":"J"},{"family":"Cornish","given":"Lynn"},{"family":"Dabbadie","given":"L"},{"family":"Desrochers","given":"A"},{"family":"Diffey","given":"S"},{"family":"Garrido Gamarro","given":"E"},{"family":"Geehan","given":"J"},{"family":"Hurtado","given":"A"},{"family":"Lucente","given":"D"},{"family":"Mair","given":"G"},{"family":"Miao","given":"W"},{"family":"Potin","given":"P"},{"family":"Przybyla","given":"C"},{"family":"Reantaso","given":"M"},{"family":"Roubach","given":"R"},{"family":"Tauati","given":"M"},{"family":"Yuan","given":"X"}],"accessed":{"date-parts":[["2023",3,13]]},"issued":{"date-parts":[["2021",7,16]]}}}],"schema":"https://github.com/citation-style-language/schema/raw/master/csl-citation.json"} </w:instrText>
      </w:r>
      <w:r w:rsidR="00657DBE" w:rsidRPr="00FA1634">
        <w:fldChar w:fldCharType="separate"/>
      </w:r>
      <w:r w:rsidR="003A4382" w:rsidRPr="00FA1634">
        <w:t>(Cai et al., 2021)</w:t>
      </w:r>
      <w:r w:rsidR="00657DBE" w:rsidRPr="00FA1634">
        <w:fldChar w:fldCharType="end"/>
      </w:r>
      <w:r w:rsidR="009766C4" w:rsidRPr="00FA1634">
        <w:t xml:space="preserve">. By contrast, the price of cultivated </w:t>
      </w:r>
      <w:r w:rsidR="007127BB" w:rsidRPr="00FA1634">
        <w:t>kelps</w:t>
      </w:r>
      <w:r w:rsidR="009766C4" w:rsidRPr="00FA1634">
        <w:t xml:space="preserve"> in Ireland </w:t>
      </w:r>
      <w:r w:rsidR="00554DA3" w:rsidRPr="00FA1634">
        <w:t>has been</w:t>
      </w:r>
      <w:r w:rsidR="009766C4" w:rsidRPr="00FA1634">
        <w:t xml:space="preserve"> estimated at about 1.00-1.50 €/kg FW </w:t>
      </w:r>
      <w:r w:rsidR="00963C01" w:rsidRPr="00FA1634">
        <w:fldChar w:fldCharType="begin"/>
      </w:r>
      <w:r w:rsidR="003A4382" w:rsidRPr="00FA1634">
        <w:instrText xml:space="preserve"> ADDIN ZOTERO_ITEM CSL_CITATION {"citationID":"IUs2iF1K","properties":{"formattedCitation":"(CyberColloids, 2020; Watson and Dring, 2013)","plainCitation":"(CyberColloids, 2020; Watson and Dring, 2013)","noteIndex":0},"citationItems":[{"id":733,"uris":["http://zotero.org/users/8766396/items/RH8X7PCZ"],"itemData":{"id":733,"type":"report","collection-title":"PBA/SW/07/001 (01), ‘Development and demonstration of viable hatchery and ongrowing methodologies for seaweed species with identified commercial potential’","language":"en","number":"Part 2","publisher":"Bord Iascaigh Mara [BIM]","source":"Zotero","title":"Business Plan for the Establishment of a Seaweed Hatchery and Grow-out Farm","URL":"https://epub.sub.uni-hamburg.de/epub/volltexte/2013/18806/pdf/Business_Plan_fot_the_Establishment_of_a_Seaweed_Hatchery_and_Grow_out_Farm.pdf","author":[{"family":"Watson","given":"Lucy"},{"family":"Dring","given":"Matthew"}],"issued":{"date-parts":[["2013"]]}}},{"id":680,"uris":["http://zotero.org/users/8766396/items/P8AZYB48"],"itemData":{"id":680,"type":"report","publisher":"Bord Iascaigh Mhara [BIM]","title":"Scoping a seaweed biorefinery concept for Ireland","URL":"https://bim.ie/wp-content/uploads/2021/02/BIM-Scoping-a-seaweed-biorefinery-concept-for-Ireland.pdf","author":[{"literal":"CyberColloids"}],"issued":{"date-parts":[["2020",5]]}}}],"schema":"https://github.com/citation-style-language/schema/raw/master/csl-citation.json"} </w:instrText>
      </w:r>
      <w:r w:rsidR="00963C01" w:rsidRPr="00FA1634">
        <w:fldChar w:fldCharType="separate"/>
      </w:r>
      <w:r w:rsidR="003A4382" w:rsidRPr="00FA1634">
        <w:t>(CyberColloids, 2020; Watson and Dring, 2013)</w:t>
      </w:r>
      <w:r w:rsidR="00963C01" w:rsidRPr="00FA1634">
        <w:fldChar w:fldCharType="end"/>
      </w:r>
      <w:r w:rsidR="009766C4" w:rsidRPr="00FA1634">
        <w:t xml:space="preserve">. While the value of wild harvested seaweed is not reported by the FAO </w:t>
      </w:r>
      <w:r w:rsidR="00334016" w:rsidRPr="00FA1634">
        <w:fldChar w:fldCharType="begin"/>
      </w:r>
      <w:r w:rsidR="003A4382" w:rsidRPr="00FA1634">
        <w:instrText xml:space="preserve"> ADDIN ZOTERO_ITEM CSL_CITATION {"citationID":"B5OQwDJm","properties":{"formattedCitation":"(European Commission, 2022b)","plainCitation":"(European Commission, 2022b)","noteIndex":0},"citationItems":[{"id":702,"uris":["http://zotero.org/users/8766396/items/MZ7ISILP"],"itemData":{"id":702,"type":"book","event-place":"Luxembourg","language":"eng","publisher":"Publications Office of the European Union","publisher-place":"Luxembourg","source":"DOI.org (CSL JSON)","title":"The EU Blue Economy Report. 2022.","URL":"https://data.europa.eu/doi/10.2771/793264","author":[{"literal":"European Commission"}],"accessed":{"date-parts":[["2023",3,10]]},"issued":{"date-parts":[["2022"]]}}}],"schema":"https://github.com/citation-style-language/schema/raw/master/csl-citation.json"} </w:instrText>
      </w:r>
      <w:r w:rsidR="00334016" w:rsidRPr="00FA1634">
        <w:fldChar w:fldCharType="separate"/>
      </w:r>
      <w:r w:rsidR="003A4382" w:rsidRPr="00FA1634">
        <w:t>(European Commission, 2022b)</w:t>
      </w:r>
      <w:r w:rsidR="00334016" w:rsidRPr="00FA1634">
        <w:fldChar w:fldCharType="end"/>
      </w:r>
      <w:r w:rsidR="009766C4" w:rsidRPr="00FA1634">
        <w:t xml:space="preserve">, selling prices have been reported from as low as 0.023 €/kg in Norway </w:t>
      </w:r>
      <w:r w:rsidR="009766C4" w:rsidRPr="00FA1634">
        <w:fldChar w:fldCharType="begin"/>
      </w:r>
      <w:r w:rsidR="003A4382" w:rsidRPr="00FA1634">
        <w:instrText xml:space="preserve"> ADDIN ZOTERO_ITEM CSL_CITATION {"citationID":"53e7rvax","properties":{"formattedCitation":"(Burrows et al., 2018)","plainCitation":"(Burrows et al., 2018)","noteIndex":0},"citationItems":[{"id":697,"uris":["http://zotero.org/users/8766396/items/MZAE5WBG"],"itemData":{"id":697,"type":"report","genre":"A report by SRSL for HIE","language":"en","source":"Zotero","title":"Wild seaweed harvesting as a diversification opportunity for fishermen","URL":"https://eprints.whiterose.ac.uk/137123/1/02376_WildWeed_Report_Clean_Issue.pdf","author":[{"family":"Burrows","given":"M"},{"family":"Fox","given":"C"},{"family":"Moore","given":"P"},{"family":"Smale","given":"D"},{"family":"Greenhill","given":"L"},{"family":"Martino","given":"S"}],"issued":{"date-parts":[["2018"]]}}}],"schema":"https://github.com/citation-style-language/schema/raw/master/csl-citation.json"} </w:instrText>
      </w:r>
      <w:r w:rsidR="009766C4" w:rsidRPr="00FA1634">
        <w:fldChar w:fldCharType="separate"/>
      </w:r>
      <w:r w:rsidR="003A4382" w:rsidRPr="00FA1634">
        <w:t>(Burrows et al., 2018)</w:t>
      </w:r>
      <w:r w:rsidR="009766C4" w:rsidRPr="00FA1634">
        <w:fldChar w:fldCharType="end"/>
      </w:r>
      <w:r w:rsidR="009766C4" w:rsidRPr="00FA1634">
        <w:t xml:space="preserve"> to as high as 0.365 €/kg in France </w:t>
      </w:r>
      <w:r w:rsidR="009766C4" w:rsidRPr="00FA1634">
        <w:fldChar w:fldCharType="begin"/>
      </w:r>
      <w:r w:rsidR="003A4382" w:rsidRPr="00FA1634">
        <w:instrText xml:space="preserve"> ADDIN ZOTERO_ITEM CSL_CITATION {"citationID":"3qp7ygv0","properties":{"formattedCitation":"(Dijkstra and Meyer, 2015)","plainCitation":"(Dijkstra and Meyer, 2015)","noteIndex":0},"citationItems":[{"id":412,"uris":["http://zotero.org/users/8766396/items/38ZAM9GP"],"itemData":{"id":412,"type":"report","abstract":"The Macro Cascade project aims to develop a cascading seaweed biorefinery concept. This production platform covers the whole valorisation chain starting from cultivation of sustainable cultivated macroalgae biomass (seaweed) up to the production of highly processed value added products. Task 6.2 of the Macro Cascade project aims to present a techno-economic assessment of the envisaged value chains.","collection-title":"Macro Cascade - Project H2020-BBI-PPP-2015-1","genre":"Deliverable","language":"en","number":"D6.2","source":"Zotero","title":"Techno-economic analysis of production and valorisation of seaweed","URL":"https://www.macrocascade.eu/wp-content/uploads/2020/04/MacroCascade-D6.2-Summary-1.pdf","author":[{"family":"Dijkstra","given":"Jan Wilco"},{"family":"Meyer","given":"Dick F"}],"issued":{"date-parts":[["2015"]]}}}],"schema":"https://github.com/citation-style-language/schema/raw/master/csl-citation.json"} </w:instrText>
      </w:r>
      <w:r w:rsidR="009766C4" w:rsidRPr="00FA1634">
        <w:fldChar w:fldCharType="separate"/>
      </w:r>
      <w:r w:rsidR="003A4382" w:rsidRPr="00FA1634">
        <w:t>(Dijkstra and Meyer, 2015)</w:t>
      </w:r>
      <w:r w:rsidR="009766C4" w:rsidRPr="00FA1634">
        <w:fldChar w:fldCharType="end"/>
      </w:r>
      <w:r w:rsidR="009766C4" w:rsidRPr="00FA1634">
        <w:t xml:space="preserve">. Based on import data from the Irish seaweed industry, it can be estimated that the selling price of wild harvested seaweed in Ireland is approximately 0.16 €/kg </w:t>
      </w:r>
      <w:r w:rsidR="00D56961" w:rsidRPr="00FA1634">
        <w:fldChar w:fldCharType="begin"/>
      </w:r>
      <w:r w:rsidR="003A4382" w:rsidRPr="00FA1634">
        <w:instrText xml:space="preserve"> ADDIN ZOTERO_ITEM CSL_CITATION {"citationID":"CllFRm04","properties":{"formattedCitation":"(CyberColloids, 2020)","plainCitation":"(CyberColloids, 2020)","noteIndex":0},"citationItems":[{"id":680,"uris":["http://zotero.org/users/8766396/items/P8AZYB48"],"itemData":{"id":680,"type":"report","publisher":"Bord Iascaigh Mhara [BIM]","title":"Scoping a seaweed biorefinery concept for Ireland","URL":"https://bim.ie/wp-content/uploads/2021/02/BIM-Scoping-a-seaweed-biorefinery-concept-for-Ireland.pdf","author":[{"literal":"CyberColloids"}],"issued":{"date-parts":[["2020",5]]}}}],"schema":"https://github.com/citation-style-language/schema/raw/master/csl-citation.json"} </w:instrText>
      </w:r>
      <w:r w:rsidR="00D56961" w:rsidRPr="00FA1634">
        <w:fldChar w:fldCharType="separate"/>
      </w:r>
      <w:r w:rsidR="003A4382" w:rsidRPr="00FA1634">
        <w:t>(CyberColloids, 2020)</w:t>
      </w:r>
      <w:r w:rsidR="00D56961" w:rsidRPr="00FA1634">
        <w:fldChar w:fldCharType="end"/>
      </w:r>
      <w:r w:rsidR="009766C4" w:rsidRPr="00FA1634">
        <w:t>.</w:t>
      </w:r>
      <w:r w:rsidR="009766C4" w:rsidRPr="000A2A94">
        <w:t xml:space="preserve"> </w:t>
      </w:r>
    </w:p>
    <w:p w14:paraId="419C8C0D" w14:textId="7D27FC84" w:rsidR="00DF7A81" w:rsidRPr="003444ED" w:rsidRDefault="00164D01" w:rsidP="00890D06">
      <w:pPr>
        <w:pStyle w:val="Heading3"/>
        <w:numPr>
          <w:ilvl w:val="2"/>
          <w:numId w:val="12"/>
        </w:numPr>
        <w:spacing w:before="0" w:after="240" w:line="480" w:lineRule="auto"/>
        <w:rPr>
          <w:b/>
          <w:bCs/>
          <w:color w:val="auto"/>
          <w:sz w:val="22"/>
          <w:szCs w:val="22"/>
        </w:rPr>
      </w:pPr>
      <w:bookmarkStart w:id="29" w:name="_Toc130974668"/>
      <w:r>
        <w:rPr>
          <w:b/>
          <w:bCs/>
          <w:color w:val="auto"/>
          <w:sz w:val="22"/>
          <w:szCs w:val="22"/>
        </w:rPr>
        <w:t xml:space="preserve">Goal 3: Quantifying </w:t>
      </w:r>
      <w:r w:rsidR="00005D99" w:rsidRPr="003444ED">
        <w:rPr>
          <w:b/>
          <w:bCs/>
          <w:color w:val="auto"/>
          <w:sz w:val="22"/>
          <w:szCs w:val="22"/>
        </w:rPr>
        <w:t xml:space="preserve">social </w:t>
      </w:r>
      <w:proofErr w:type="gramStart"/>
      <w:r w:rsidR="00005D99" w:rsidRPr="003444ED">
        <w:rPr>
          <w:b/>
          <w:bCs/>
          <w:color w:val="auto"/>
          <w:sz w:val="22"/>
          <w:szCs w:val="22"/>
        </w:rPr>
        <w:t>impacts</w:t>
      </w:r>
      <w:bookmarkEnd w:id="29"/>
      <w:proofErr w:type="gramEnd"/>
      <w:r w:rsidR="006B738A" w:rsidRPr="003444ED">
        <w:rPr>
          <w:b/>
          <w:bCs/>
          <w:color w:val="auto"/>
          <w:sz w:val="22"/>
          <w:szCs w:val="22"/>
        </w:rPr>
        <w:t xml:space="preserve"> </w:t>
      </w:r>
    </w:p>
    <w:p w14:paraId="419C8C0E" w14:textId="7D3DEE4D" w:rsidR="00DF7A81" w:rsidRPr="009624E8" w:rsidRDefault="00F965A1" w:rsidP="00890D06">
      <w:pPr>
        <w:spacing w:after="240" w:line="480" w:lineRule="auto"/>
        <w:jc w:val="both"/>
      </w:pPr>
      <w:r w:rsidRPr="009624E8">
        <w:t>Social life cycle assessment refers to the impacts of a product’s life cycle</w:t>
      </w:r>
      <w:r w:rsidR="00616347">
        <w:t xml:space="preserve"> on human wellbeing</w:t>
      </w:r>
      <w:r w:rsidRPr="009624E8">
        <w:t xml:space="preserve">. Therefore, the goal of any social LCA should be to determine a product, </w:t>
      </w:r>
      <w:proofErr w:type="gramStart"/>
      <w:r w:rsidRPr="009624E8">
        <w:t>process</w:t>
      </w:r>
      <w:proofErr w:type="gramEnd"/>
      <w:r w:rsidRPr="009624E8">
        <w:t xml:space="preserve"> or system’s impacts on human </w:t>
      </w:r>
      <w:r w:rsidR="00530D4E" w:rsidRPr="009624E8">
        <w:t>wellbeing</w:t>
      </w:r>
      <w:r w:rsidRPr="009624E8">
        <w:t xml:space="preserve">. Like e-LCA, several impact categories can be assessed in s-LCA, </w:t>
      </w:r>
      <w:r w:rsidRPr="009624E8">
        <w:lastRenderedPageBreak/>
        <w:t xml:space="preserve">including health and safety, discrimination, privacy, cultural heritage, fair competition, corruption, and engagement </w:t>
      </w:r>
      <w:r w:rsidR="004534ED" w:rsidRPr="009624E8">
        <w:fldChar w:fldCharType="begin"/>
      </w:r>
      <w:r w:rsidR="003A4382" w:rsidRPr="009624E8">
        <w:instrText xml:space="preserve"> ADDIN ZOTERO_ITEM CSL_CITATION {"citationID":"Qn8wRemJ","properties":{"formattedCitation":"(UNEP, 2009)","plainCitation":"(UNEP, 2009)","noteIndex":0},"citationItems":[{"id":150,"uris":["http://zotero.org/users/8766396/items/2VVJ29BY"],"itemData":{"id":150,"type":"book","ISBN":"978-92-807-3021-0","publisher":"UNEP/SETAC Life Cycle Initiative","title":"Guidelines for Social Life Cycle Assessment of Products","URL":"https://www.unep.org/resources/report/guidelines-social-life-cycle-assessment-products","author":[{"family":"UNEP","given":""}],"issued":{"date-parts":[["2009"]]}}}],"schema":"https://github.com/citation-style-language/schema/raw/master/csl-citation.json"} </w:instrText>
      </w:r>
      <w:r w:rsidR="004534ED" w:rsidRPr="009624E8">
        <w:fldChar w:fldCharType="separate"/>
      </w:r>
      <w:r w:rsidR="003A4382" w:rsidRPr="009624E8">
        <w:t>(UNEP, 2009)</w:t>
      </w:r>
      <w:r w:rsidR="004534ED" w:rsidRPr="009624E8">
        <w:fldChar w:fldCharType="end"/>
      </w:r>
      <w:r w:rsidRPr="009624E8">
        <w:t xml:space="preserve">. These categories are attributed to different societal groups or ‘stakeholders’, including workers, consumers, value chain actors, local communities and greater society </w:t>
      </w:r>
      <w:r w:rsidR="00413603" w:rsidRPr="009624E8">
        <w:fldChar w:fldCharType="begin"/>
      </w:r>
      <w:r w:rsidR="003A4382" w:rsidRPr="009624E8">
        <w:instrText xml:space="preserve"> ADDIN ZOTERO_ITEM CSL_CITATION {"citationID":"BbdguVkw","properties":{"formattedCitation":"(UNEP, 2009)","plainCitation":"(UNEP, 2009)","noteIndex":0},"citationItems":[{"id":150,"uris":["http://zotero.org/users/8766396/items/2VVJ29BY"],"itemData":{"id":150,"type":"book","ISBN":"978-92-807-3021-0","publisher":"UNEP/SETAC Life Cycle Initiative","title":"Guidelines for Social Life Cycle Assessment of Products","URL":"https://www.unep.org/resources/report/guidelines-social-life-cycle-assessment-products","author":[{"family":"UNEP","given":""}],"issued":{"date-parts":[["2009"]]}}}],"schema":"https://github.com/citation-style-language/schema/raw/master/csl-citation.json"} </w:instrText>
      </w:r>
      <w:r w:rsidR="00413603" w:rsidRPr="009624E8">
        <w:fldChar w:fldCharType="separate"/>
      </w:r>
      <w:r w:rsidR="003A4382" w:rsidRPr="009624E8">
        <w:t>(UNEP, 2009)</w:t>
      </w:r>
      <w:r w:rsidR="00413603" w:rsidRPr="009624E8">
        <w:fldChar w:fldCharType="end"/>
      </w:r>
      <w:r w:rsidRPr="009624E8">
        <w:t xml:space="preserve">. While interest in social LCA is increasing, there are still many methodological challenges, particularly with regards to the acquisition of social data and in the weight of different social impact categories </w:t>
      </w:r>
      <w:r w:rsidR="00413603" w:rsidRPr="009624E8">
        <w:fldChar w:fldCharType="begin"/>
      </w:r>
      <w:r w:rsidR="00191980" w:rsidRPr="009624E8">
        <w:instrText xml:space="preserve"> ADDIN ZOTERO_ITEM CSL_CITATION {"citationID":"NshGLrEP","properties":{"formattedCitation":"(Vance et al., 2022)","plainCitation":"(Vance et al., 2022)","noteIndex":0},"citationItems":[{"id":430,"uris":["http://zotero.org/users/8766396/items/4GTPYEVI"],"itemData":{"id":430,"type":"article-journal","abstract":"For stakeholders and decision makers within the bioeconomy, it is important that sustainability assessment methodologies be holistic, reliable, and accurate. Life cycle assessment (LCA) methodologies are well-known for their ability to avoid burden shifting by considering the impacts of a product, process, or system throughout the full life cycle. However, when it comes to assessing advanced multifunctional systems within the bioeconomy i.e. biorefineries, methodological challenges arise. Such issues are discussed at length in this review paper, which include the goal, scope, and allocation methods, land use considerations, handling of biogenic carbon and emissions, impacts assessed, simplification of feedstocks and processes, regionality, and future foreground and background systems. Furthermore, the review discusses challenges in capturing social and economic impacts with LCA methodologies, with social assessments lacking data and appropriate quantitative indicators and economic assessments lacking diversity in stakeholder and cost inclusivity. Finally, this review confirms the importance of temporal factors, regional differences, and integrating multidimensional approaches to sustain­ ability analysis, highlighting developing LCA methodologies which successfully address these areas. Methodol­ ogies to address spatial considerations include exergetic LCIA, natural capital assessment, and integration of supply chain modelling, while methodologies to address dynamic variability include process modelling inte­ gration, system dynamics modelling integration, agent-based modelling integration, consequential LCA, pro­ spective LCA, and dynamic LCIA. Finally, extended LCC, extended LCIA, and MCDA can address challenges identified in multidimensional sustainability integration.","container-title":"Renewable and Sustainable Energy Reviews","DOI":"10.1016/j.rser.2022.112259","ISSN":"13640321","journalAbbreviation":"Renewable and Sustainable Energy Reviews","language":"en","page":"112259","source":"DOI.org (Crossref)","title":"Space, time, and sustainability: The status and future of life cycle assessment frameworks for novel biorefinery systems","title-short":"Space, time, and sustainability","URL":"https://linkinghub.elsevier.com/retrieve/pii/S1364032122001800","volume":"159","author":[{"family":"Vance","given":"C."},{"family":"Sweeney","given":"J."},{"family":"Murphy","given":"F."}],"accessed":{"date-parts":[["2023",2,10]]},"issued":{"date-parts":[["2022",5]]}}}],"schema":"https://github.com/citation-style-language/schema/raw/master/csl-citation.json"} </w:instrText>
      </w:r>
      <w:r w:rsidR="00413603" w:rsidRPr="009624E8">
        <w:fldChar w:fldCharType="separate"/>
      </w:r>
      <w:r w:rsidR="00191980" w:rsidRPr="009624E8">
        <w:t>(Vance et al., 2022)</w:t>
      </w:r>
      <w:r w:rsidR="00413603" w:rsidRPr="009624E8">
        <w:fldChar w:fldCharType="end"/>
      </w:r>
      <w:r w:rsidRPr="009624E8">
        <w:t xml:space="preserve">. </w:t>
      </w:r>
      <w:r w:rsidR="00E51682">
        <w:t xml:space="preserve">To address this, </w:t>
      </w:r>
      <w:r w:rsidRPr="009624E8">
        <w:t xml:space="preserve">Weidema </w:t>
      </w:r>
      <w:r w:rsidR="00413603" w:rsidRPr="00577935">
        <w:fldChar w:fldCharType="begin"/>
      </w:r>
      <w:r w:rsidR="00577935" w:rsidRPr="00D9599D">
        <w:instrText xml:space="preserve"> ADDIN ZOTERO_ITEM CSL_CITATION {"citationID":"Dz8JPo7k","properties":{"formattedCitation":"(2018)","plainCitation":"(2018)","noteIndex":0},"citationItems":[{"id":284,"uris":["http://zotero.org/users/8766396/items/XLH4XYDX"],"itemData":{"id":284,"type":"article-journal","abstract":"Purpose The practicality of social footprinting is currently hampered by an excessive data requirement, a lack of focus on materiality of the impacts, and a lack of understanding of the main impact pathways (cause-effect relationships) for social and economic impacts. We propose a “streamlined” method to overcome these barriers without loss of comprehensiveness.","container-title":"The International Journal of Life Cycle Assessment","DOI":"10.1007/s11367-016-1172-z","ISSN":"0948-3349, 1614-7502","issue":"3","journalAbbreviation":"Int J Life Cycle Assess","language":"en","page":"700-709","source":"DOI.org (Crossref)","title":"The social footprint—a practical approach to comprehensive and consistent social LCA","URL":"http://link.springer.com/10.1007/s11367-016-1172-z","volume":"23","author":[{"family":"Weidema","given":"Bo P."}],"accessed":{"date-parts":[["2023",1,26]]},"issued":{"date-parts":[["2018",3]]}},"label":"page","suppress-author":true}],"schema":"https://github.com/citation-style-language/schema/raw/master/csl-citation.json"} </w:instrText>
      </w:r>
      <w:r w:rsidR="00413603" w:rsidRPr="00577935">
        <w:fldChar w:fldCharType="separate"/>
      </w:r>
      <w:r w:rsidR="00577935" w:rsidRPr="00D9599D">
        <w:t>(2018)</w:t>
      </w:r>
      <w:r w:rsidR="00413603" w:rsidRPr="00577935">
        <w:fldChar w:fldCharType="end"/>
      </w:r>
      <w:r w:rsidRPr="009624E8">
        <w:t xml:space="preserve"> suggested a method to streamline social </w:t>
      </w:r>
      <w:proofErr w:type="spellStart"/>
      <w:r w:rsidRPr="009624E8">
        <w:t>footprinting</w:t>
      </w:r>
      <w:proofErr w:type="spellEnd"/>
      <w:r w:rsidRPr="009624E8">
        <w:t xml:space="preserve"> through the use of global input-output data, finding that income inequality and missing governance were key factors in human wellbeing disparities between countries. This research </w:t>
      </w:r>
      <w:r w:rsidR="00546623" w:rsidRPr="009624E8">
        <w:t>has recently been</w:t>
      </w:r>
      <w:r w:rsidRPr="009624E8">
        <w:t xml:space="preserve"> further developed by adjusting the weight of impact categories based on subjective wellbeing research </w:t>
      </w:r>
      <w:r w:rsidR="00977969" w:rsidRPr="009624E8">
        <w:fldChar w:fldCharType="begin"/>
      </w:r>
      <w:r w:rsidR="003A4382" w:rsidRPr="009624E8">
        <w:instrText xml:space="preserve"> ADDIN ZOTERO_ITEM CSL_CITATION {"citationID":"l0hOCoer","properties":{"formattedCitation":"(Weidema, 2023)","plainCitation":"(Weidema, 2023)","noteIndex":0},"citationItems":[{"id":678,"uris":["http://zotero.org/users/8766396/items/LVC7GS5L"],"itemData":{"id":678,"type":"article-journal","container-title":"The International Journal of Life Cycle Assessment","DOI":"10.1007/s11367-022-02116-y","ISSN":"0948-3349, 1614-7502","issue":"1","journalAbbreviation":"Int J Life Cycle Assess","language":"en","page":"70-79","source":"DOI.org (Crossref)","title":"Adjusting the social footprint methodology based on findings of subjective wellbeing research","URL":"https://link.springer.com/10.1007/s11367-022-02116-y","volume":"28","author":[{"family":"Weidema","given":"Bo P."}],"accessed":{"date-parts":[["2023",2,22]]},"issued":{"date-parts":[["2023",1]]}}}],"schema":"https://github.com/citation-style-language/schema/raw/master/csl-citation.json"} </w:instrText>
      </w:r>
      <w:r w:rsidR="00977969" w:rsidRPr="009624E8">
        <w:fldChar w:fldCharType="separate"/>
      </w:r>
      <w:r w:rsidR="003A4382" w:rsidRPr="009624E8">
        <w:t>(Weidema, 2023)</w:t>
      </w:r>
      <w:r w:rsidR="00977969" w:rsidRPr="009624E8">
        <w:fldChar w:fldCharType="end"/>
      </w:r>
      <w:r w:rsidRPr="009624E8">
        <w:t xml:space="preserve">. </w:t>
      </w:r>
    </w:p>
    <w:p w14:paraId="29EAF7DE" w14:textId="0C8CC1E8" w:rsidR="00AA44D0" w:rsidRDefault="0063028C" w:rsidP="00890D06">
      <w:pPr>
        <w:spacing w:after="240" w:line="480" w:lineRule="auto"/>
        <w:jc w:val="both"/>
      </w:pPr>
      <w:r w:rsidRPr="00D9599D">
        <w:t xml:space="preserve">Subjective wellbeing </w:t>
      </w:r>
      <w:r w:rsidR="004F11DE">
        <w:t xml:space="preserve">is defined as </w:t>
      </w:r>
      <w:r w:rsidR="00E51682" w:rsidRPr="00D9599D">
        <w:t>“how people experience and evaluate their lives and specific domains and activities in their lives”</w:t>
      </w:r>
      <w:r w:rsidR="00374B61" w:rsidRPr="00D9599D">
        <w:t xml:space="preserve"> </w:t>
      </w:r>
      <w:r w:rsidR="00F82143" w:rsidRPr="00D9599D">
        <w:fldChar w:fldCharType="begin"/>
      </w:r>
      <w:r w:rsidR="00F82143" w:rsidRPr="00D9599D">
        <w:instrText xml:space="preserve"> ADDIN ZOTERO_ITEM CSL_CITATION {"citationID":"C8xd3fpt","properties":{"formattedCitation":"(Panel on Measuring Subjective Well-Being in a Policy-Relevant Framework et al., 2013)","plainCitation":"(Panel on Measuring Subjective Well-Being in a Policy-Relevant Framework et al., 2013)","noteIndex":0},"citationItems":[{"id":749,"uris":["http://zotero.org/users/8766396/items/ST5IQYL4"],"itemData":{"id":749,"type":"chapter","container-title":"Subjective Well-Being: Measuring Happiness, Suffering, and Other Dimensions of Experience [Internet]","event-place":"Washington DC, USA","publisher":"National Academies Press","publisher-place":"Washington DC, USA","title":"Introduction","URL":"https://www.ncbi.nlm.nih.gov/books/NBK179225/","author":[{"literal":"Panel on Measuring Subjective Well-Being in a Policy-Relevant Framework"},{"literal":"Committee on National Statistics"},{"literal":"Division on Behavioral and Social Sciences and Education"},{"literal":"National Research Council"},{"family":"Stone","given":"A. A"},{"family":"Mackie","given":"C"},{"literal":"editors"}],"issued":{"date-parts":[["2013"]]}}}],"schema":"https://github.com/citation-style-language/schema/raw/master/csl-citation.json"} </w:instrText>
      </w:r>
      <w:r w:rsidR="00F82143" w:rsidRPr="00D9599D">
        <w:fldChar w:fldCharType="separate"/>
      </w:r>
      <w:r w:rsidR="00F82143" w:rsidRPr="00D9599D">
        <w:t>(Panel on Measuring Subjective Well-Being in a Policy-Relevant Framework et al., 2013)</w:t>
      </w:r>
      <w:r w:rsidR="00F82143" w:rsidRPr="00D9599D">
        <w:fldChar w:fldCharType="end"/>
      </w:r>
      <w:r w:rsidR="00374B61">
        <w:t>.</w:t>
      </w:r>
      <w:r w:rsidR="004F11DE" w:rsidRPr="00D9599D">
        <w:t xml:space="preserve"> </w:t>
      </w:r>
      <w:r w:rsidRPr="0077093B">
        <w:t xml:space="preserve">The World Happiness Reports </w:t>
      </w:r>
      <w:r w:rsidR="00374B61">
        <w:t xml:space="preserve">are an extensive body of research </w:t>
      </w:r>
      <w:r w:rsidRPr="0077093B">
        <w:t>detail</w:t>
      </w:r>
      <w:r w:rsidR="00374B61">
        <w:t>ing</w:t>
      </w:r>
      <w:r w:rsidRPr="0077093B">
        <w:t xml:space="preserve"> the</w:t>
      </w:r>
      <w:r w:rsidR="00374B61">
        <w:t xml:space="preserve"> results of</w:t>
      </w:r>
      <w:r w:rsidRPr="0077093B">
        <w:t xml:space="preserve"> </w:t>
      </w:r>
      <w:r w:rsidR="00E51682">
        <w:t>subjective wellbeing research conducted</w:t>
      </w:r>
      <w:r w:rsidR="00374B61">
        <w:t xml:space="preserve"> since 2012</w:t>
      </w:r>
      <w:r w:rsidR="00E51682">
        <w:t xml:space="preserve"> through </w:t>
      </w:r>
      <w:r w:rsidRPr="0077093B">
        <w:t xml:space="preserve">the Gallup World Polls, where each year approximately 1,000 respondents per country are asked to rate their life satisfaction on the from 0 to 10, with 0 being the worst possible life and 10 being the best possible life </w:t>
      </w:r>
      <w:r w:rsidRPr="0077093B">
        <w:fldChar w:fldCharType="begin"/>
      </w:r>
      <w:r w:rsidR="00B70FF8">
        <w:instrText xml:space="preserve"> ADDIN ZOTERO_ITEM CSL_CITATION {"citationID":"k7LsPEGg","properties":{"formattedCitation":"(Helliwell et al., 2022)","plainCitation":"(Helliwell et al., 2022)","noteIndex":0},"citationItems":[{"id":408,"uris":["http://zotero.org/users/8766396/items/SX5Z6EIE"],"itemData":{"id":408,"type":"chapter","container-title":"World Happiness Report 2022","language":"en","source":"Zotero","title":"Happiness, Benevolence, and Trust During COVID-19 and Beyond","URL":"https://worldhappiness.report/","author":[{"family":"Helliwell","given":"John F"},{"family":"Wang","given":"Shun"},{"family":"Huang","given":"Haifang"},{"family":"Norton","given":"Max"}],"issued":{"date-parts":[["2022"]]}}}],"schema":"https://github.com/citation-style-language/schema/raw/master/csl-citation.json"} </w:instrText>
      </w:r>
      <w:r w:rsidRPr="0077093B">
        <w:fldChar w:fldCharType="separate"/>
      </w:r>
      <w:r w:rsidR="00B70FF8" w:rsidRPr="00B70FF8">
        <w:t>(Helliwell et al., 2022)</w:t>
      </w:r>
      <w:r w:rsidRPr="0077093B">
        <w:fldChar w:fldCharType="end"/>
      </w:r>
      <w:r w:rsidRPr="0077093B">
        <w:t xml:space="preserve">. The </w:t>
      </w:r>
      <w:r w:rsidR="00374B61">
        <w:t>life satisfaction</w:t>
      </w:r>
      <w:r w:rsidRPr="0077093B">
        <w:t xml:space="preserve"> ratings (referred to as the </w:t>
      </w:r>
      <w:proofErr w:type="spellStart"/>
      <w:r w:rsidRPr="0077093B">
        <w:t>Cantril</w:t>
      </w:r>
      <w:proofErr w:type="spellEnd"/>
      <w:r w:rsidRPr="0077093B">
        <w:t xml:space="preserve"> Ladder scale) are </w:t>
      </w:r>
      <w:r w:rsidR="00374B61">
        <w:t xml:space="preserve">then </w:t>
      </w:r>
      <w:r w:rsidRPr="0077093B">
        <w:t xml:space="preserve">analysed through statistical regressions relating them to country-specific variables such as GDP per capita, healthy life expectancy, and perceptions of corruption. For analysing individual wellbeing, the ratings are correlated to variables such as income, education, </w:t>
      </w:r>
      <w:r w:rsidRPr="0063028C">
        <w:t xml:space="preserve">employment status, </w:t>
      </w:r>
      <w:proofErr w:type="gramStart"/>
      <w:r w:rsidRPr="0077093B">
        <w:t>partnership</w:t>
      </w:r>
      <w:proofErr w:type="gramEnd"/>
      <w:r w:rsidRPr="0077093B">
        <w:t xml:space="preserve"> and health. </w:t>
      </w:r>
      <w:r w:rsidR="005B44CC" w:rsidRPr="00641A11">
        <w:t>The production of seaweed could contribute to several of these factors</w:t>
      </w:r>
      <w:r w:rsidR="005B44CC">
        <w:t>; s</w:t>
      </w:r>
      <w:r w:rsidR="005B44CC" w:rsidRPr="00641A11">
        <w:t xml:space="preserve">eaweed production has been highlighted as a key contributor to the blue economy and circular bioeconomy, both of which aim to promote nutritional wellness, environmental sustainability and rural job creation </w:t>
      </w:r>
      <w:r w:rsidR="00577935">
        <w:fldChar w:fldCharType="begin"/>
      </w:r>
      <w:r w:rsidR="00577935">
        <w:instrText xml:space="preserve"> ADDIN ZOTERO_ITEM CSL_CITATION {"citationID":"yWlKp8hj","properties":{"formattedCitation":"(EUMOFA - European Market Observatory for Fisheries and Aquaculture Products, 2023; European Commission, 2018)","plainCitation":"(EUMOFA - European Market Observatory for Fisheries and Aquaculture Products, 2023; European Commission, 2018)","noteIndex":0},"citationItems":[{"id":418,"uris":["http://zotero.org/users/8766396/items/M2P85ET6"],"itemData":{"id":418,"type":"report","event-place":"Luxembourg","publisher":"Publications Office of the European Union","publisher-place":"Luxembourg","title":"Blue Bioeconomy Report","URL":"https://www.eumofa.eu/blue-bioeconomy-report-2022","author":[{"family":"EUMOFA - European Market Observatory for Fisheries and Aquaculture Products","given":""}],"issued":{"date-parts":[["2023"]]}}},{"id":64,"uris":["http://zotero.org/users/8766396/items/GZN9CVLU"],"itemData":{"id":64,"type":"book","event-place":"Luxembourg","ISBN":"978-92-79-97443-4","publisher":"Publications Office of the European Union","publisher-place":"Luxembourg","title":"Bioeconomy: the European way to use our natural resources - Action plan","URL":"https://ec.europa.eu/research/bioeconomy/pdf/ec_bioeconomy_booklet_2018.pdf","author":[{"family":"European Commission","given":""}],"issued":{"date-parts":[["2018"]]}}}],"schema":"https://github.com/citation-style-language/schema/raw/master/csl-citation.json"} </w:instrText>
      </w:r>
      <w:r w:rsidR="00577935">
        <w:fldChar w:fldCharType="separate"/>
      </w:r>
      <w:r w:rsidR="00577935" w:rsidRPr="00577935">
        <w:t>(EUMOFA - European Market Observatory for Fisheries and Aquaculture Products, 2023; European Commission, 2018)</w:t>
      </w:r>
      <w:r w:rsidR="00577935">
        <w:fldChar w:fldCharType="end"/>
      </w:r>
      <w:r w:rsidR="005B44CC" w:rsidRPr="00641A11">
        <w:t xml:space="preserve">. This study focuses on </w:t>
      </w:r>
      <w:r w:rsidR="005B44CC" w:rsidRPr="00641A11">
        <w:lastRenderedPageBreak/>
        <w:t xml:space="preserve">the </w:t>
      </w:r>
      <w:r w:rsidR="005B44CC" w:rsidRPr="00D9599D">
        <w:t>work-related impacts of seaweed production pathways, using income and employment to quantify changes in human wellbeing.</w:t>
      </w:r>
      <w:r w:rsidR="00374B61" w:rsidRPr="00DD633F">
        <w:t xml:space="preserve"> </w:t>
      </w:r>
    </w:p>
    <w:p w14:paraId="355655D8" w14:textId="27B07743" w:rsidR="0038759C" w:rsidRPr="003444ED" w:rsidRDefault="0028380D" w:rsidP="00890D06">
      <w:pPr>
        <w:pStyle w:val="Heading3"/>
        <w:numPr>
          <w:ilvl w:val="2"/>
          <w:numId w:val="12"/>
        </w:numPr>
        <w:spacing w:before="0" w:after="240" w:line="480" w:lineRule="auto"/>
        <w:rPr>
          <w:b/>
          <w:bCs/>
          <w:color w:val="auto"/>
          <w:sz w:val="22"/>
          <w:szCs w:val="22"/>
        </w:rPr>
      </w:pPr>
      <w:bookmarkStart w:id="30" w:name="_Toc130974669"/>
      <w:r>
        <w:rPr>
          <w:b/>
          <w:bCs/>
          <w:color w:val="auto"/>
          <w:sz w:val="22"/>
          <w:szCs w:val="22"/>
        </w:rPr>
        <w:t>Scope: Considered pathways, f</w:t>
      </w:r>
      <w:r w:rsidR="00DD7E82">
        <w:rPr>
          <w:b/>
          <w:bCs/>
          <w:color w:val="auto"/>
          <w:sz w:val="22"/>
          <w:szCs w:val="22"/>
        </w:rPr>
        <w:t xml:space="preserve">unctional unit, </w:t>
      </w:r>
      <w:r w:rsidR="003444ED" w:rsidRPr="003444ED">
        <w:rPr>
          <w:b/>
          <w:bCs/>
          <w:color w:val="auto"/>
          <w:sz w:val="22"/>
          <w:szCs w:val="22"/>
        </w:rPr>
        <w:t>and s</w:t>
      </w:r>
      <w:r w:rsidR="00554C75" w:rsidRPr="003444ED">
        <w:rPr>
          <w:b/>
          <w:bCs/>
          <w:color w:val="auto"/>
          <w:sz w:val="22"/>
          <w:szCs w:val="22"/>
        </w:rPr>
        <w:t>ystem boundaries</w:t>
      </w:r>
      <w:bookmarkEnd w:id="30"/>
    </w:p>
    <w:p w14:paraId="4733C30F" w14:textId="65AD443D" w:rsidR="00854D08" w:rsidRDefault="00854D08" w:rsidP="00890D06">
      <w:pPr>
        <w:spacing w:after="240" w:line="480" w:lineRule="auto"/>
        <w:jc w:val="both"/>
      </w:pPr>
      <w:r>
        <w:t>S</w:t>
      </w:r>
      <w:r w:rsidR="00D56961">
        <w:t>ix</w:t>
      </w:r>
      <w:r>
        <w:t xml:space="preserve"> seaweed production </w:t>
      </w:r>
      <w:r w:rsidR="00A03895">
        <w:t>pathways</w:t>
      </w:r>
      <w:r>
        <w:t xml:space="preserve"> are considered</w:t>
      </w:r>
      <w:r w:rsidR="00A03895">
        <w:t xml:space="preserve"> within the scope of this study</w:t>
      </w:r>
      <w:r w:rsidR="003A1BCC">
        <w:t xml:space="preserve"> (Figure 1)</w:t>
      </w:r>
      <w:r>
        <w:t>:</w:t>
      </w:r>
    </w:p>
    <w:p w14:paraId="27CEF3D0" w14:textId="3E2A61FB" w:rsidR="00854D08" w:rsidRDefault="00854D08" w:rsidP="00890D06">
      <w:pPr>
        <w:numPr>
          <w:ilvl w:val="0"/>
          <w:numId w:val="2"/>
        </w:numPr>
        <w:spacing w:after="240" w:line="480" w:lineRule="auto"/>
        <w:jc w:val="both"/>
      </w:pPr>
      <w:r>
        <w:t>Wild harvesting: Manual cutting by foot</w:t>
      </w:r>
      <w:r w:rsidR="00C6152D">
        <w:t xml:space="preserve"> </w:t>
      </w:r>
      <w:r>
        <w:t>(W1)</w:t>
      </w:r>
    </w:p>
    <w:p w14:paraId="496C327A" w14:textId="7AFDB7D7" w:rsidR="00854D08" w:rsidRDefault="00854D08" w:rsidP="00890D06">
      <w:pPr>
        <w:numPr>
          <w:ilvl w:val="0"/>
          <w:numId w:val="2"/>
        </w:numPr>
        <w:spacing w:after="240" w:line="480" w:lineRule="auto"/>
        <w:jc w:val="both"/>
      </w:pPr>
      <w:r>
        <w:t>Wild harvesting: Manual cutting by boat and rake method</w:t>
      </w:r>
      <w:r w:rsidR="00C6152D">
        <w:t xml:space="preserve"> </w:t>
      </w:r>
      <w:r>
        <w:t>(W2)</w:t>
      </w:r>
    </w:p>
    <w:p w14:paraId="56D949D6" w14:textId="510122A9" w:rsidR="00854D08" w:rsidRDefault="00854D08" w:rsidP="00890D06">
      <w:pPr>
        <w:numPr>
          <w:ilvl w:val="0"/>
          <w:numId w:val="2"/>
        </w:numPr>
        <w:spacing w:after="240" w:line="480" w:lineRule="auto"/>
        <w:jc w:val="both"/>
      </w:pPr>
      <w:r>
        <w:t xml:space="preserve">Wild harvesting: Mechanical cutting by </w:t>
      </w:r>
      <w:r w:rsidR="00FE3974">
        <w:t xml:space="preserve">seaweed </w:t>
      </w:r>
      <w:r>
        <w:t>trawler (W3)</w:t>
      </w:r>
    </w:p>
    <w:p w14:paraId="68F27693" w14:textId="1FBD0EC0" w:rsidR="00854D08" w:rsidRPr="00F93689" w:rsidRDefault="00854D08" w:rsidP="00890D06">
      <w:pPr>
        <w:numPr>
          <w:ilvl w:val="0"/>
          <w:numId w:val="2"/>
        </w:numPr>
        <w:spacing w:after="240" w:line="480" w:lineRule="auto"/>
        <w:jc w:val="both"/>
      </w:pPr>
      <w:r>
        <w:t xml:space="preserve">Cultivation system: </w:t>
      </w:r>
      <w:r w:rsidRPr="00F93689">
        <w:t>small</w:t>
      </w:r>
      <w:r w:rsidR="004F6881" w:rsidRPr="00F93689">
        <w:t>-size farm</w:t>
      </w:r>
      <w:r w:rsidRPr="00F93689">
        <w:t xml:space="preserve"> (C1)</w:t>
      </w:r>
    </w:p>
    <w:p w14:paraId="38BBCB75" w14:textId="29A96C7E" w:rsidR="00854D08" w:rsidRPr="00D9599D" w:rsidRDefault="00854D08" w:rsidP="00890D06">
      <w:pPr>
        <w:numPr>
          <w:ilvl w:val="0"/>
          <w:numId w:val="2"/>
        </w:numPr>
        <w:spacing w:after="240" w:line="480" w:lineRule="auto"/>
        <w:jc w:val="both"/>
        <w:rPr>
          <w:lang w:val="en-IE"/>
        </w:rPr>
      </w:pPr>
      <w:r w:rsidRPr="00D9599D">
        <w:rPr>
          <w:lang w:val="en-IE"/>
        </w:rPr>
        <w:t>Cultivation system: medium</w:t>
      </w:r>
      <w:r w:rsidR="004F6881" w:rsidRPr="00D9599D">
        <w:rPr>
          <w:lang w:val="en-IE"/>
        </w:rPr>
        <w:t>-size farm</w:t>
      </w:r>
      <w:r w:rsidRPr="00D9599D">
        <w:rPr>
          <w:lang w:val="en-IE"/>
        </w:rPr>
        <w:t xml:space="preserve"> (C2)</w:t>
      </w:r>
    </w:p>
    <w:p w14:paraId="07B8AA89" w14:textId="525B858D" w:rsidR="00D06DD1" w:rsidRPr="00F93689" w:rsidRDefault="00854D08" w:rsidP="00890D06">
      <w:pPr>
        <w:numPr>
          <w:ilvl w:val="0"/>
          <w:numId w:val="2"/>
        </w:numPr>
        <w:spacing w:after="240" w:line="480" w:lineRule="auto"/>
        <w:jc w:val="both"/>
      </w:pPr>
      <w:r w:rsidRPr="00F93689">
        <w:t>Cultivation system: large</w:t>
      </w:r>
      <w:r w:rsidR="004F6881" w:rsidRPr="00F93689">
        <w:t>-size farm</w:t>
      </w:r>
      <w:r w:rsidRPr="00F93689">
        <w:t xml:space="preserve"> (C3)</w:t>
      </w:r>
    </w:p>
    <w:p w14:paraId="6A047587" w14:textId="57FA40AD" w:rsidR="00507E52" w:rsidRPr="00D9599D" w:rsidRDefault="0026348F" w:rsidP="00D9599D">
      <w:pPr>
        <w:spacing w:after="240" w:line="480" w:lineRule="auto"/>
        <w:jc w:val="both"/>
      </w:pPr>
      <w:r>
        <w:t>T</w:t>
      </w:r>
      <w:r w:rsidR="00507E52">
        <w:t>his study</w:t>
      </w:r>
      <w:r w:rsidR="00507E52" w:rsidRPr="00AF0BE4">
        <w:t xml:space="preserve"> will only consider </w:t>
      </w:r>
      <w:r w:rsidR="00507E52">
        <w:t xml:space="preserve">the production of brown seaweed species. </w:t>
      </w:r>
      <w:r w:rsidR="00507E52" w:rsidRPr="00E8441C">
        <w:t>While it is also possible for red and green seaweeds to grow naturally in Ireland</w:t>
      </w:r>
      <w:r w:rsidR="00507E52">
        <w:t xml:space="preserve"> </w:t>
      </w:r>
      <w:r w:rsidR="00507E52">
        <w:fldChar w:fldCharType="begin"/>
      </w:r>
      <w:r w:rsidR="00507E52">
        <w:instrText xml:space="preserve"> ADDIN ZOTERO_ITEM CSL_CITATION {"citationID":"K9GtzQo2","properties":{"formattedCitation":"(netalgae.eu,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507E52">
        <w:fldChar w:fldCharType="separate"/>
      </w:r>
      <w:r w:rsidR="00507E52" w:rsidRPr="003A4382">
        <w:t>(netalgae.eu, 2012)</w:t>
      </w:r>
      <w:r w:rsidR="00507E52">
        <w:fldChar w:fldCharType="end"/>
      </w:r>
      <w:r w:rsidR="00507E52" w:rsidRPr="00E8441C">
        <w:t xml:space="preserve">, there is currently no commercial </w:t>
      </w:r>
      <w:r w:rsidR="00507E52">
        <w:t>harvesting</w:t>
      </w:r>
      <w:r w:rsidR="00507E52" w:rsidRPr="00E8441C">
        <w:t xml:space="preserve"> of green </w:t>
      </w:r>
      <w:r w:rsidR="00507E52" w:rsidRPr="00554263">
        <w:t>seaweeds</w:t>
      </w:r>
      <w:r w:rsidR="00507E52" w:rsidRPr="0058492A">
        <w:t xml:space="preserve"> and very limited </w:t>
      </w:r>
      <w:r w:rsidR="00507E52">
        <w:t>harvesting</w:t>
      </w:r>
      <w:r w:rsidR="00507E52" w:rsidRPr="0058492A">
        <w:t xml:space="preserve"> (less than 1% of all seaweed produced in Ireland) of red seaweeds</w:t>
      </w:r>
      <w:r w:rsidR="00507E52" w:rsidRPr="00554263">
        <w:t xml:space="preserve"> </w:t>
      </w:r>
      <w:r w:rsidR="00507E52" w:rsidRPr="00554263">
        <w:fldChar w:fldCharType="begin"/>
      </w:r>
      <w:r w:rsidR="00507E52" w:rsidRPr="00554263">
        <w:instrText xml:space="preserve"> ADDIN ZOTERO_ITEM CSL_CITATION {"citationID":"CwRVxC33","properties":{"formattedCitation":"(Monagail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rsidR="00507E52" w:rsidRPr="00554263">
        <w:fldChar w:fldCharType="separate"/>
      </w:r>
      <w:r w:rsidR="00507E52" w:rsidRPr="00554263">
        <w:t>(Monagail and Morrison, 2020)</w:t>
      </w:r>
      <w:r w:rsidR="00507E52" w:rsidRPr="00554263">
        <w:fldChar w:fldCharType="end"/>
      </w:r>
      <w:r w:rsidR="00507E52" w:rsidRPr="00554263">
        <w:t xml:space="preserve">. </w:t>
      </w:r>
      <w:r w:rsidR="00507E52">
        <w:t>T</w:t>
      </w:r>
      <w:r w:rsidR="00507E52" w:rsidRPr="0058492A">
        <w:t xml:space="preserve">here is </w:t>
      </w:r>
      <w:r w:rsidR="00507E52">
        <w:t>increasing</w:t>
      </w:r>
      <w:r w:rsidR="00507E52" w:rsidRPr="0058492A">
        <w:t xml:space="preserve"> </w:t>
      </w:r>
      <w:r w:rsidR="00507E52">
        <w:t xml:space="preserve">interest in </w:t>
      </w:r>
      <w:r w:rsidR="00507E52" w:rsidRPr="0058492A">
        <w:t xml:space="preserve">cultivation </w:t>
      </w:r>
      <w:r w:rsidR="00507E52">
        <w:t>of</w:t>
      </w:r>
      <w:r w:rsidR="00507E52" w:rsidRPr="0058492A">
        <w:t xml:space="preserve"> green seaweeds such as </w:t>
      </w:r>
      <w:r w:rsidR="00507E52" w:rsidRPr="00507E52">
        <w:rPr>
          <w:i/>
          <w:iCs/>
        </w:rPr>
        <w:t>Ulva rigida</w:t>
      </w:r>
      <w:r w:rsidR="00507E52" w:rsidRPr="0058492A">
        <w:t xml:space="preserve"> and red seaweeds such as </w:t>
      </w:r>
      <w:proofErr w:type="spellStart"/>
      <w:r w:rsidR="00507E52" w:rsidRPr="00507E52">
        <w:rPr>
          <w:i/>
          <w:iCs/>
        </w:rPr>
        <w:t>Palmaria</w:t>
      </w:r>
      <w:proofErr w:type="spellEnd"/>
      <w:r w:rsidR="00507E52" w:rsidRPr="00507E52">
        <w:rPr>
          <w:i/>
          <w:iCs/>
        </w:rPr>
        <w:t xml:space="preserve"> </w:t>
      </w:r>
      <w:proofErr w:type="spellStart"/>
      <w:r w:rsidR="00507E52" w:rsidRPr="00507E52">
        <w:rPr>
          <w:i/>
          <w:iCs/>
        </w:rPr>
        <w:t>palmata</w:t>
      </w:r>
      <w:proofErr w:type="spellEnd"/>
      <w:r w:rsidR="00507E52" w:rsidRPr="0058492A">
        <w:t xml:space="preserve">, </w:t>
      </w:r>
      <w:r w:rsidR="00507E52" w:rsidRPr="00507E52">
        <w:rPr>
          <w:i/>
          <w:iCs/>
        </w:rPr>
        <w:t>Chondrus crispus</w:t>
      </w:r>
      <w:r w:rsidR="00507E52" w:rsidRPr="0058492A">
        <w:t xml:space="preserve">, and </w:t>
      </w:r>
      <w:proofErr w:type="spellStart"/>
      <w:r w:rsidR="00507E52" w:rsidRPr="00507E52">
        <w:rPr>
          <w:i/>
          <w:iCs/>
        </w:rPr>
        <w:t>Asparagopsis</w:t>
      </w:r>
      <w:proofErr w:type="spellEnd"/>
      <w:r w:rsidR="00507E52" w:rsidRPr="00507E52">
        <w:rPr>
          <w:i/>
          <w:iCs/>
        </w:rPr>
        <w:t xml:space="preserve"> </w:t>
      </w:r>
      <w:proofErr w:type="spellStart"/>
      <w:r w:rsidR="00507E52" w:rsidRPr="00507E52">
        <w:rPr>
          <w:i/>
          <w:iCs/>
        </w:rPr>
        <w:t>armata</w:t>
      </w:r>
      <w:proofErr w:type="spellEnd"/>
      <w:r w:rsidR="00507E52" w:rsidRPr="00507E52">
        <w:rPr>
          <w:i/>
          <w:iCs/>
        </w:rPr>
        <w:t xml:space="preserve"> </w:t>
      </w:r>
      <w:r w:rsidR="00507E52" w:rsidRPr="0058492A">
        <w:t>in Ireland</w:t>
      </w:r>
      <w:r w:rsidR="00507E52">
        <w:t>; however,</w:t>
      </w:r>
      <w:r w:rsidR="00507E52" w:rsidRPr="0058492A">
        <w:t xml:space="preserve"> </w:t>
      </w:r>
      <w:r w:rsidR="00507E52">
        <w:t>it is</w:t>
      </w:r>
      <w:r w:rsidR="00507E52" w:rsidRPr="0058492A">
        <w:t xml:space="preserve"> thus far limited to research trials </w:t>
      </w:r>
      <w:r w:rsidR="00E35FAC" w:rsidRPr="00D9599D">
        <w:fldChar w:fldCharType="begin"/>
      </w:r>
      <w:r w:rsidR="00E35FAC" w:rsidRPr="00D9599D">
        <w:instrText xml:space="preserve"> ADDIN ZOTERO_ITEM CSL_CITATION {"citationID":"Mp6qeqiS","properties":{"formattedCitation":"(BIM, 2023)","plainCitation":"(BIM, 2023)","noteIndex":0},"citationItems":[{"id":750,"uris":["http://zotero.org/users/8766396/items/SUYPYAWL"],"itemData":{"id":750,"type":"report","title":"Irish Macro-Algal Cultivation Strategy 2021-2030: Review of the Irish Seaweed Aquaculture Sector and Strategy for its Development to 2030","URL":"https://bim.ie/wp-content/uploads/2023/05/BIM-IMAS-Strategy.pdf","author":[{"literal":"BIM"}],"issued":{"date-parts":[["2023"]]}}}],"schema":"https://github.com/citation-style-language/schema/raw/master/csl-citation.json"} </w:instrText>
      </w:r>
      <w:r w:rsidR="00E35FAC" w:rsidRPr="00D9599D">
        <w:fldChar w:fldCharType="separate"/>
      </w:r>
      <w:r w:rsidR="00E35FAC" w:rsidRPr="00D9599D">
        <w:t>(BIM, 2023)</w:t>
      </w:r>
      <w:r w:rsidR="00E35FAC" w:rsidRPr="00D9599D">
        <w:fldChar w:fldCharType="end"/>
      </w:r>
      <w:r w:rsidR="00507E52">
        <w:t xml:space="preserve">, with </w:t>
      </w:r>
      <w:r w:rsidR="00507E52" w:rsidRPr="0058492A">
        <w:t>at-sea deployment thus far unsuccessful</w:t>
      </w:r>
      <w:r w:rsidR="00507E52">
        <w:t xml:space="preserve"> and on-land production uneconomical</w:t>
      </w:r>
      <w:r w:rsidR="00507E52" w:rsidRPr="0058492A">
        <w:t xml:space="preserve"> </w:t>
      </w:r>
      <w:r w:rsidR="00507E52" w:rsidRPr="0058492A">
        <w:fldChar w:fldCharType="begin"/>
      </w:r>
      <w:r w:rsidR="00507E52" w:rsidRPr="0058492A">
        <w:instrText xml:space="preserve"> ADDIN ZOTERO_ITEM CSL_CITATION {"citationID":"bruOgnLs","properties":{"formattedCitation":"(Watson and Dring, 2013)","plainCitation":"(Watson and Dring, 2013)","noteIndex":0},"citationItems":[{"id":733,"uris":["http://zotero.org/users/8766396/items/RH8X7PCZ"],"itemData":{"id":733,"type":"report","collection-title":"PBA/SW/07/001 (01), ‘Development and demonstration of viable hatchery and ongrowing methodologies for seaweed species with identified commercial potential’","language":"en","number":"Part 2","publisher":"Bord Iascaigh Mara [BIM]","source":"Zotero","title":"Business Plan for the Establishment of a Seaweed Hatchery and Grow-out Farm","URL":"https://epub.sub.uni-hamburg.de/epub/volltexte/2013/18806/pdf/Business_Plan_fot_the_Establishment_of_a_Seaweed_Hatchery_and_Grow_out_Farm.pdf","author":[{"family":"Watson","given":"Lucy"},{"family":"Dring","given":"Matthew"}],"issued":{"date-parts":[["2013"]]}}}],"schema":"https://github.com/citation-style-language/schema/raw/master/csl-citation.json"} </w:instrText>
      </w:r>
      <w:r w:rsidR="00507E52" w:rsidRPr="0058492A">
        <w:fldChar w:fldCharType="separate"/>
      </w:r>
      <w:r w:rsidR="00507E52" w:rsidRPr="0058492A">
        <w:t>(Watson and Dring, 2013)</w:t>
      </w:r>
      <w:r w:rsidR="00507E52" w:rsidRPr="0058492A">
        <w:fldChar w:fldCharType="end"/>
      </w:r>
      <w:r w:rsidR="00507E52" w:rsidRPr="0058492A">
        <w:t xml:space="preserve">. </w:t>
      </w:r>
      <w:r w:rsidR="00507E52" w:rsidRPr="008A0A6A">
        <w:t xml:space="preserve">Consequently, there is a lack of data on </w:t>
      </w:r>
      <w:r w:rsidR="00507E52">
        <w:t>commercial production pathways for the wild harvesting and cultivation of red and green seaweed species in Ireland</w:t>
      </w:r>
      <w:r w:rsidR="00507E52" w:rsidRPr="0058492A">
        <w:t xml:space="preserve">. </w:t>
      </w:r>
      <w:r w:rsidR="00507E52">
        <w:t xml:space="preserve">Second, this study will only consider brown species in the categories of rockweeds and kelps, where only rockweeds are considered for manual harvesting methods </w:t>
      </w:r>
      <w:r w:rsidR="00507E52">
        <w:lastRenderedPageBreak/>
        <w:t xml:space="preserve">(W1, W2) while only kelps are considered for mechanical wild harvesting (W3) or cultivation methods (C1, C2, C3). This is due to topographical and market considerations for seaweed harvesting as well as data availability. Rockweeds grow on rocky shores and can be harvested by foot during low tide or by boat during high tide; for this reason rockweeds are a clear choice for hand harvesting, as demonstrated by the fact that 95% of all seaweed currently harvested in Ireland is </w:t>
      </w:r>
      <w:r w:rsidR="00507E52" w:rsidRPr="00E8441C">
        <w:t xml:space="preserve">the rockweed </w:t>
      </w:r>
      <w:r w:rsidR="00507E52" w:rsidRPr="00507E52">
        <w:rPr>
          <w:i/>
          <w:iCs/>
        </w:rPr>
        <w:t>Ascophyllum nodosum</w:t>
      </w:r>
      <w:r w:rsidR="00507E52" w:rsidRPr="00E8441C">
        <w:t xml:space="preserve"> </w:t>
      </w:r>
      <w:r w:rsidR="00507E52" w:rsidRPr="00E8441C">
        <w:fldChar w:fldCharType="begin"/>
      </w:r>
      <w:r w:rsidR="00507E52">
        <w:instrText xml:space="preserve"> ADDIN ZOTERO_ITEM CSL_CITATION {"citationID":"8J4cYbIH","properties":{"formattedCitation":"(Monagail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rsidR="00507E52" w:rsidRPr="00E8441C">
        <w:fldChar w:fldCharType="separate"/>
      </w:r>
      <w:r w:rsidR="00507E52" w:rsidRPr="003A4382">
        <w:t>(Monagail and Morrison, 2020)</w:t>
      </w:r>
      <w:r w:rsidR="00507E52" w:rsidRPr="00E8441C">
        <w:fldChar w:fldCharType="end"/>
      </w:r>
      <w:r w:rsidR="00507E52" w:rsidRPr="00E8441C">
        <w:t>.</w:t>
      </w:r>
      <w:r w:rsidR="00507E52">
        <w:t xml:space="preserve"> On the other hand, kelp grows in dense beds at depths of up to 40 meters, making it difficult to access by foot </w:t>
      </w:r>
      <w:r w:rsidR="00507E52">
        <w:fldChar w:fldCharType="begin"/>
      </w:r>
      <w:r w:rsidR="00507E52">
        <w:instrText xml:space="preserve"> ADDIN ZOTERO_ITEM CSL_CITATION {"citationID":"VxqZltWf","properties":{"formattedCitation":"(netalgae.eu,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507E52">
        <w:fldChar w:fldCharType="separate"/>
      </w:r>
      <w:r w:rsidR="00507E52" w:rsidRPr="00C94A64">
        <w:t>(netalgae.eu, 2012)</w:t>
      </w:r>
      <w:r w:rsidR="00507E52">
        <w:fldChar w:fldCharType="end"/>
      </w:r>
      <w:r w:rsidR="00507E52">
        <w:t xml:space="preserve"> </w:t>
      </w:r>
      <w:r w:rsidR="00507E52" w:rsidRPr="00450E04">
        <w:t xml:space="preserve">but more accessible through mechanical harvesting means </w:t>
      </w:r>
      <w:r w:rsidR="00507E52" w:rsidRPr="00450E04">
        <w:fldChar w:fldCharType="begin"/>
      </w:r>
      <w:r w:rsidR="00507E52" w:rsidRPr="00450E04">
        <w:instrText xml:space="preserve"> ADDIN ZOTERO_ITEM CSL_CITATION {"citationID":"ogsTimX2","properties":{"formattedCitation":"(Werner and Kraan, 2004)","plainCitation":"(Werner and Kraan, 2004)","noteIndex":0},"citationItems":[{"id":659,"uris":["http://zotero.org/users/8766396/items/NCZQP6TW"],"itemData":{"id":659,"type":"report","collection-title":"Marine Environment and Health Series","language":"en","number":"No. 17, 2004","publisher":"Marine Institute and Taighde Mara Teo","source":"Zotero","title":"Review of the potential mechanisation of kelp harvesting in Ireland","author":[{"family":"Werner","given":"Astrid"},{"family":"Kraan","given":"Stefan"}],"issued":{"date-parts":[["2004",10]]}}}],"schema":"https://github.com/citation-style-language/schema/raw/master/csl-citation.json"} </w:instrText>
      </w:r>
      <w:r w:rsidR="00507E52" w:rsidRPr="00450E04">
        <w:fldChar w:fldCharType="separate"/>
      </w:r>
      <w:r w:rsidR="00507E52" w:rsidRPr="00450E04">
        <w:t>(Werner and Kraan, 2004)</w:t>
      </w:r>
      <w:r w:rsidR="00507E52" w:rsidRPr="00450E04">
        <w:fldChar w:fldCharType="end"/>
      </w:r>
      <w:r w:rsidR="00507E52" w:rsidRPr="00450E04">
        <w:t xml:space="preserve">. While it is also possible to mechanically harvest rockweeds with devices such as vacuum suckers, there is a lack of data on the adoption of these methods and their impacts and thus it is not considered. Conversely, while it is possible to manually harvest Irish kelps in the form of storm cast kelp rods </w:t>
      </w:r>
      <w:r w:rsidR="00507E52" w:rsidRPr="00450E04">
        <w:fldChar w:fldCharType="begin"/>
      </w:r>
      <w:r w:rsidR="00507E52" w:rsidRPr="00450E04">
        <w:instrText xml:space="preserve"> ADDIN ZOTERO_ITEM CSL_CITATION {"citationID":"VamaENvR","properties":{"formattedCitation":"(Monagail and Morrison, 2020)","plainCitation":"(Monagail and Morrison, 2020)","noteIndex":0},"citationItems":[{"id":374,"uris":["http://zotero.org/users/8766396/items/F32JEI8B"],"itemData":{"id":374,"type":"article-journal","abstract":"The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Mac"},{"family":"Morrison","given":"Liam"}],"accessed":{"date-parts":[["2023",1,26]]},"issued":{"date-parts":[["2020",4]]}}}],"schema":"https://github.com/citation-style-language/schema/raw/master/csl-citation.json"} </w:instrText>
      </w:r>
      <w:r w:rsidR="00507E52" w:rsidRPr="00450E04">
        <w:fldChar w:fldCharType="separate"/>
      </w:r>
      <w:r w:rsidR="00507E52" w:rsidRPr="00450E04">
        <w:t>(Monagail and Morrison, 2020)</w:t>
      </w:r>
      <w:r w:rsidR="00507E52" w:rsidRPr="00450E04">
        <w:fldChar w:fldCharType="end"/>
      </w:r>
      <w:r w:rsidR="00507E52" w:rsidRPr="00450E04">
        <w:t xml:space="preserve">, this is a relatively small proportion (5%) of the Irish market and, as it comprises of dead and decaying material, it has limited potential uses. Regarding cultivation, only kelps are considered as the majority of seaweed currently cultivated in Ireland are kelp species such as </w:t>
      </w:r>
      <w:r w:rsidR="00507E52" w:rsidRPr="00507E52">
        <w:rPr>
          <w:i/>
          <w:iCs/>
        </w:rPr>
        <w:t>Alaria esculenta</w:t>
      </w:r>
      <w:r w:rsidR="00507E52" w:rsidRPr="00450E04">
        <w:t xml:space="preserve">, </w:t>
      </w:r>
      <w:r w:rsidR="00507E52" w:rsidRPr="00507E52">
        <w:rPr>
          <w:i/>
          <w:iCs/>
        </w:rPr>
        <w:t>Laminaria digitata</w:t>
      </w:r>
      <w:r w:rsidR="00507E52" w:rsidRPr="00450E04">
        <w:t xml:space="preserve">, or </w:t>
      </w:r>
      <w:r w:rsidR="00507E52" w:rsidRPr="00507E52">
        <w:rPr>
          <w:i/>
          <w:iCs/>
        </w:rPr>
        <w:t xml:space="preserve">Saccharina </w:t>
      </w:r>
      <w:proofErr w:type="spellStart"/>
      <w:r w:rsidR="00507E52" w:rsidRPr="00507E52">
        <w:rPr>
          <w:i/>
          <w:iCs/>
        </w:rPr>
        <w:t>latissima</w:t>
      </w:r>
      <w:proofErr w:type="spellEnd"/>
      <w:r w:rsidR="00507E52" w:rsidRPr="00450E04">
        <w:t xml:space="preserve"> </w:t>
      </w:r>
      <w:r w:rsidR="00507E52" w:rsidRPr="00450E04">
        <w:fldChar w:fldCharType="begin"/>
      </w:r>
      <w:r w:rsidR="00507E52" w:rsidRPr="00450E04">
        <w:instrText xml:space="preserve"> ADDIN ZOTERO_ITEM CSL_CITATION {"citationID":"T2JZB3pn","properties":{"formattedCitation":"(CyberColloids, 2020)","plainCitation":"(CyberColloids, 2020)","noteIndex":0},"citationItems":[{"id":680,"uris":["http://zotero.org/users/8766396/items/P8AZYB48"],"itemData":{"id":680,"type":"report","publisher":"Bord Iascaigh Mhara [BIM]","title":"Scoping a seaweed biorefinery concept for Ireland","URL":"https://bim.ie/wp-content/uploads/2021/02/BIM-Scoping-a-seaweed-biorefinery-concept-for-Ireland.pdf","author":[{"literal":"CyberColloids"}],"issued":{"date-parts":[["2020",5]]}}}],"schema":"https://github.com/citation-style-language/schema/raw/master/csl-citation.json"} </w:instrText>
      </w:r>
      <w:r w:rsidR="00507E52" w:rsidRPr="00450E04">
        <w:fldChar w:fldCharType="separate"/>
      </w:r>
      <w:r w:rsidR="00507E52" w:rsidRPr="00450E04">
        <w:t>(</w:t>
      </w:r>
      <w:proofErr w:type="spellStart"/>
      <w:r w:rsidR="00507E52" w:rsidRPr="00450E04">
        <w:t>CyberColloids</w:t>
      </w:r>
      <w:proofErr w:type="spellEnd"/>
      <w:r w:rsidR="00507E52" w:rsidRPr="00450E04">
        <w:t>, 2020)</w:t>
      </w:r>
      <w:r w:rsidR="00507E52" w:rsidRPr="00450E04">
        <w:fldChar w:fldCharType="end"/>
      </w:r>
      <w:r w:rsidR="00507E52" w:rsidRPr="00450E04">
        <w:t xml:space="preserve">. It is possible to cultivate rockweeds such as </w:t>
      </w:r>
      <w:r w:rsidR="00507E52" w:rsidRPr="00507E52">
        <w:rPr>
          <w:i/>
          <w:iCs/>
        </w:rPr>
        <w:t>Fucus species</w:t>
      </w:r>
      <w:r w:rsidR="00507E52" w:rsidRPr="00450E04">
        <w:t xml:space="preserve">; however this is thus far not done in Ireland </w:t>
      </w:r>
      <w:r w:rsidR="00E35FAC" w:rsidRPr="00D9599D">
        <w:fldChar w:fldCharType="begin"/>
      </w:r>
      <w:r w:rsidR="00E35FAC" w:rsidRPr="00D9599D">
        <w:instrText xml:space="preserve"> ADDIN ZOTERO_ITEM CSL_CITATION {"citationID":"yarhlq9i","properties":{"formattedCitation":"(BIM, 2023)","plainCitation":"(BIM, 2023)","noteIndex":0},"citationItems":[{"id":750,"uris":["http://zotero.org/users/8766396/items/SUYPYAWL"],"itemData":{"id":750,"type":"report","title":"Irish Macro-Algal Cultivation Strategy 2021-2030: Review of the Irish Seaweed Aquaculture Sector and Strategy for its Development to 2030","URL":"https://bim.ie/wp-content/uploads/2023/05/BIM-IMAS-Strategy.pdf","author":[{"literal":"BIM"}],"issued":{"date-parts":[["2023"]]}}}],"schema":"https://github.com/citation-style-language/schema/raw/master/csl-citation.json"} </w:instrText>
      </w:r>
      <w:r w:rsidR="00E35FAC" w:rsidRPr="00D9599D">
        <w:fldChar w:fldCharType="separate"/>
      </w:r>
      <w:r w:rsidR="00E35FAC" w:rsidRPr="00D9599D">
        <w:t>(BIM, 2023)</w:t>
      </w:r>
      <w:r w:rsidR="00E35FAC" w:rsidRPr="00D9599D">
        <w:fldChar w:fldCharType="end"/>
      </w:r>
      <w:r w:rsidR="00507E52" w:rsidRPr="00D9599D">
        <w:t>.</w:t>
      </w:r>
    </w:p>
    <w:p w14:paraId="00A602D3" w14:textId="4AFB7CD8" w:rsidR="00834A03" w:rsidRDefault="00264FD6" w:rsidP="00890D06">
      <w:pPr>
        <w:spacing w:after="240" w:line="480" w:lineRule="auto"/>
        <w:jc w:val="both"/>
      </w:pPr>
      <w:r>
        <w:t xml:space="preserve">The functional unit chosen is kg seaweed fresh weight (FW) at </w:t>
      </w:r>
      <w:r w:rsidR="00793CE0">
        <w:t xml:space="preserve">port or </w:t>
      </w:r>
      <w:r>
        <w:t xml:space="preserve">harbour. </w:t>
      </w:r>
      <w:r w:rsidR="00F965A1" w:rsidRPr="00D06DD1">
        <w:t xml:space="preserve">As the study does not model the impacts of the use </w:t>
      </w:r>
      <w:r w:rsidR="00D06DD1">
        <w:t xml:space="preserve">and </w:t>
      </w:r>
      <w:r w:rsidR="00D9744F">
        <w:t xml:space="preserve">end-of-life </w:t>
      </w:r>
      <w:r w:rsidR="00F965A1" w:rsidRPr="00D06DD1">
        <w:t xml:space="preserve">of the product, the LCA </w:t>
      </w:r>
      <w:r w:rsidRPr="00D06DD1">
        <w:t>is</w:t>
      </w:r>
      <w:r w:rsidR="00F965A1" w:rsidRPr="00D06DD1">
        <w:t xml:space="preserve"> cradle-to-gate. </w:t>
      </w:r>
      <w:r w:rsidR="00B632FF">
        <w:t xml:space="preserve">For mechanical kelp harvesting, the Norwegian-style kelp trawler is considered, as this is the most widely and successfully used method in Europe </w:t>
      </w:r>
      <w:r w:rsidR="00B632FF">
        <w:fldChar w:fldCharType="begin"/>
      </w:r>
      <w:r w:rsidR="00B632FF">
        <w:instrText xml:space="preserve"> ADDIN ZOTERO_ITEM CSL_CITATION {"citationID":"rDTK4mMK","properties":{"formattedCitation":"(netalgae.eu,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B632FF">
        <w:fldChar w:fldCharType="separate"/>
      </w:r>
      <w:r w:rsidR="00B632FF" w:rsidRPr="00191980">
        <w:t>(netalgae.eu, 2012)</w:t>
      </w:r>
      <w:r w:rsidR="00B632FF">
        <w:fldChar w:fldCharType="end"/>
      </w:r>
      <w:r w:rsidR="00B632FF">
        <w:t xml:space="preserve">. </w:t>
      </w:r>
      <w:proofErr w:type="gramStart"/>
      <w:r w:rsidR="008748DE" w:rsidRPr="00507E52">
        <w:t xml:space="preserve">In </w:t>
      </w:r>
      <w:r w:rsidR="00B7712B">
        <w:t>order to</w:t>
      </w:r>
      <w:proofErr w:type="gramEnd"/>
      <w:r w:rsidR="00B7712B">
        <w:t xml:space="preserve"> easily differentiate </w:t>
      </w:r>
      <w:r w:rsidR="008748DE" w:rsidRPr="00507E52">
        <w:t xml:space="preserve">the cultivation pathways, </w:t>
      </w:r>
      <w:r w:rsidR="00B7712B">
        <w:t>the three farm types are referred to as small-size (C1), medium-size (C2), and large-size (C3) based on their effective cultivation area</w:t>
      </w:r>
      <w:r w:rsidR="00E35FAC">
        <w:t xml:space="preserve"> (1.1 ha, 4.4 ha, and 17.6 ha, respectively)</w:t>
      </w:r>
      <w:r w:rsidR="00B7712B">
        <w:t>. T</w:t>
      </w:r>
      <w:r w:rsidR="008748DE" w:rsidRPr="00507E52">
        <w:t xml:space="preserve">he classification is relative, as indeed there are theoretical concepts which consider much larger scale farms of over 1000 ha </w:t>
      </w:r>
      <w:r w:rsidR="008748DE" w:rsidRPr="00507E52">
        <w:fldChar w:fldCharType="begin"/>
      </w:r>
      <w:r w:rsidR="008748DE" w:rsidRPr="00507E52">
        <w:instrText xml:space="preserve"> ADDIN ZOTERO_ITEM CSL_CITATION {"citationID":"wgs4Gj5g","properties":{"formattedCitation":"(Kite-Powell et al., 2022)","plainCitation":"(Kite-Powell et al., 2022)","noteIndex":0},"citationItems":[{"id":368,"uris":["http://zotero.org/users/8766396/items/IVSY9AHP"],"itemData":{"id":368,"type":"article-journal","abstract":"Seaweed farming has the potential to produce feedstocks for many applications, including food, feeds, fertilizers, biostimulants, and biofuels. Seaweeds have advantages over land-based biomass in that they require no freshwater inputs and no allocation of arable land. To date, seaweed farming has not been practiced at scales relevant to meaningful biofuel production. Here we describe a techno-economic model of large-scale seaweed farms and its application to the cultivation of the cool temperate species Saccharina latissima (sugar kelp) and the tropical seaweed Eucheumatopsis isiformis. At farm scales of 1000 ha or more, our model suggests that farm gate production costs in waters up to 200 km from the onshore support base are likely to range between $200 and $300 per dry tonne. The model also suggests that production costs below $100 per dry tonne may be achievable in some settings, which would make these seaweeds economically competitive with land-based biofuel feedstocks. While encouraging, these model results and some assumptions on which they are based require further field validation.","container-title":"Applied Phycology","DOI":"10.1080/26388081.2022.2111271","ISSN":"2638-8081","issue":"1","journalAbbreviation":"Applied Phycology","language":"en","page":"435-445","source":"DOI.org (Crossref)","title":"Estimating production cost for large-scale seaweed farms","URL":"https://www.tandfonline.com/doi/full/10.1080/26388081.2022.2111271","volume":"3","author":[{"family":"Kite-Powell","given":"Hauke L."},{"family":"Ask","given":"Erick"},{"family":"Augyte","given":"Simona"},{"family":"Bailey","given":"David"},{"family":"Decker","given":"Julie"},{"family":"Goudey","given":"Clifford A."},{"family":"Grebe","given":"Gretchen"},{"family":"Li","given":"Yaoguang"},{"family":"Lindell","given":"Scott"},{"family":"Manganelli","given":"Domenic"},{"family":"Marty-Rivera","given":"Michael"},{"family":"Ng","given":"Crystal"},{"family":"Roberson","given":"Loretta"},{"family":"Stekoll","given":"Michael"},{"family":"Umanzor","given":"Schery"},{"family":"Yarish","given":"Charles"}],"accessed":{"date-parts":[["2023",1,26]]},"issued":{"date-parts":[["2022",12,31]]}}}],"schema":"https://github.com/citation-style-language/schema/raw/master/csl-citation.json"} </w:instrText>
      </w:r>
      <w:r w:rsidR="008748DE" w:rsidRPr="00507E52">
        <w:fldChar w:fldCharType="separate"/>
      </w:r>
      <w:r w:rsidR="008748DE" w:rsidRPr="00507E52">
        <w:t>(Kite-Powell et al., 2022)</w:t>
      </w:r>
      <w:r w:rsidR="008748DE" w:rsidRPr="00507E52">
        <w:fldChar w:fldCharType="end"/>
      </w:r>
      <w:r w:rsidR="008748DE" w:rsidRPr="00507E52">
        <w:t xml:space="preserve">. However, </w:t>
      </w:r>
      <w:r w:rsidR="00AC4CD2">
        <w:t xml:space="preserve">at present </w:t>
      </w:r>
      <w:r w:rsidR="008748DE" w:rsidRPr="00507E52">
        <w:lastRenderedPageBreak/>
        <w:t xml:space="preserve">the average licensed area for cultivation in Ireland is 10 ha, with effective area being used for cultivation being typically less </w:t>
      </w:r>
      <w:r w:rsidR="00E35FAC" w:rsidRPr="00D9599D">
        <w:fldChar w:fldCharType="begin"/>
      </w:r>
      <w:r w:rsidR="00E35FAC" w:rsidRPr="00D9599D">
        <w:instrText xml:space="preserve"> ADDIN ZOTERO_ITEM CSL_CITATION {"citationID":"p94CIPXM","properties":{"formattedCitation":"(BIM, 2023)","plainCitation":"(BIM, 2023)","noteIndex":0},"citationItems":[{"id":750,"uris":["http://zotero.org/users/8766396/items/SUYPYAWL"],"itemData":{"id":750,"type":"report","title":"Irish Macro-Algal Cultivation Strategy 2021-2030: Review of the Irish Seaweed Aquaculture Sector and Strategy for its Development to 2030","URL":"https://bim.ie/wp-content/uploads/2023/05/BIM-IMAS-Strategy.pdf","author":[{"literal":"BIM"}],"issued":{"date-parts":[["2023"]]}}}],"schema":"https://github.com/citation-style-language/schema/raw/master/csl-citation.json"} </w:instrText>
      </w:r>
      <w:r w:rsidR="00E35FAC" w:rsidRPr="00D9599D">
        <w:fldChar w:fldCharType="separate"/>
      </w:r>
      <w:r w:rsidR="00E35FAC" w:rsidRPr="00D9599D">
        <w:t>(BIM, 2023)</w:t>
      </w:r>
      <w:r w:rsidR="00E35FAC" w:rsidRPr="00D9599D">
        <w:fldChar w:fldCharType="end"/>
      </w:r>
      <w:r w:rsidR="008748DE" w:rsidRPr="00D9599D">
        <w:t xml:space="preserve">. The </w:t>
      </w:r>
      <w:r w:rsidR="00B7712B">
        <w:t>sizes are</w:t>
      </w:r>
      <w:r w:rsidR="008748DE" w:rsidRPr="00D9599D">
        <w:t xml:space="preserve"> therefore relevant to the Irish context.</w:t>
      </w:r>
      <w:r w:rsidR="008748DE" w:rsidRPr="00563E22">
        <w:t xml:space="preserve"> </w:t>
      </w:r>
      <w:r w:rsidR="00EA59BA">
        <w:t>I</w:t>
      </w:r>
      <w:r w:rsidR="0066745A">
        <w:t xml:space="preserve">t is assumed that </w:t>
      </w:r>
      <w:r w:rsidR="00B7712B">
        <w:t xml:space="preserve">all </w:t>
      </w:r>
      <w:r w:rsidR="0070032D">
        <w:t xml:space="preserve">cultivation sites are supplied by existing hatcheries, thus </w:t>
      </w:r>
      <w:r w:rsidR="00D06DD1" w:rsidRPr="00D06DD1">
        <w:t xml:space="preserve">construction of the hatchery facilities is not included. </w:t>
      </w:r>
      <w:r w:rsidR="00834CCE">
        <w:t>The lifetime of the system is assumed to be 20 years.</w:t>
      </w:r>
      <w:r w:rsidR="00834A03" w:rsidRPr="00834A03">
        <w:t xml:space="preserve"> </w:t>
      </w:r>
    </w:p>
    <w:p w14:paraId="0A9EE7AE" w14:textId="542F62F9" w:rsidR="00E53C2C" w:rsidRDefault="0095625A" w:rsidP="00890D06">
      <w:pPr>
        <w:spacing w:after="240" w:line="480" w:lineRule="auto"/>
        <w:jc w:val="both"/>
      </w:pPr>
      <w:r>
        <w:rPr>
          <w:noProof/>
        </w:rPr>
        <w:drawing>
          <wp:inline distT="0" distB="0" distL="0" distR="0" wp14:anchorId="212DD5BE" wp14:editId="304FE294">
            <wp:extent cx="5819775" cy="402219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0">
                      <a:extLst>
                        <a:ext uri="{28A0092B-C50C-407E-A947-70E740481C1C}">
                          <a14:useLocalDpi xmlns:a14="http://schemas.microsoft.com/office/drawing/2010/main" val="0"/>
                        </a:ext>
                      </a:extLst>
                    </a:blip>
                    <a:stretch>
                      <a:fillRect/>
                    </a:stretch>
                  </pic:blipFill>
                  <pic:spPr>
                    <a:xfrm>
                      <a:off x="0" y="0"/>
                      <a:ext cx="5829335" cy="4028806"/>
                    </a:xfrm>
                    <a:prstGeom prst="rect">
                      <a:avLst/>
                    </a:prstGeom>
                  </pic:spPr>
                </pic:pic>
              </a:graphicData>
            </a:graphic>
          </wp:inline>
        </w:drawing>
      </w:r>
    </w:p>
    <w:p w14:paraId="29E7D911" w14:textId="4E4E0D96" w:rsidR="00E53C2C" w:rsidRPr="00D06DD1" w:rsidDel="00481473" w:rsidRDefault="00E53C2C" w:rsidP="00890D06">
      <w:pPr>
        <w:spacing w:after="240" w:line="480" w:lineRule="auto"/>
        <w:jc w:val="both"/>
      </w:pPr>
      <w:r w:rsidRPr="00E0777F">
        <w:t xml:space="preserve">Figure 1: </w:t>
      </w:r>
      <w:r w:rsidR="00E0777F" w:rsidRPr="00E0777F">
        <w:t>Proc</w:t>
      </w:r>
      <w:r w:rsidR="00E0777F">
        <w:t>esses considered within the system boundary for each production pathway.</w:t>
      </w:r>
    </w:p>
    <w:p w14:paraId="419C8C8B" w14:textId="3CD3D385" w:rsidR="00DF7A81" w:rsidRPr="000A2445" w:rsidRDefault="00811244" w:rsidP="00890D06">
      <w:pPr>
        <w:pStyle w:val="Heading3"/>
        <w:numPr>
          <w:ilvl w:val="2"/>
          <w:numId w:val="12"/>
        </w:numPr>
        <w:spacing w:before="0" w:after="240" w:line="480" w:lineRule="auto"/>
        <w:rPr>
          <w:b/>
          <w:bCs/>
          <w:color w:val="auto"/>
          <w:sz w:val="22"/>
          <w:szCs w:val="22"/>
        </w:rPr>
      </w:pPr>
      <w:bookmarkStart w:id="31" w:name="_Toc130974670"/>
      <w:r w:rsidRPr="000A2445" w:rsidDel="00834A03">
        <w:rPr>
          <w:b/>
          <w:bCs/>
          <w:color w:val="auto"/>
          <w:sz w:val="22"/>
          <w:szCs w:val="22"/>
        </w:rPr>
        <w:t>S</w:t>
      </w:r>
      <w:r w:rsidRPr="000A2445">
        <w:rPr>
          <w:b/>
          <w:bCs/>
          <w:color w:val="auto"/>
          <w:sz w:val="22"/>
          <w:szCs w:val="22"/>
        </w:rPr>
        <w:t xml:space="preserve">ystem description and </w:t>
      </w:r>
      <w:r w:rsidR="004D3707">
        <w:rPr>
          <w:b/>
          <w:bCs/>
          <w:color w:val="auto"/>
          <w:sz w:val="22"/>
          <w:szCs w:val="22"/>
        </w:rPr>
        <w:t>life cycle inventory</w:t>
      </w:r>
      <w:r w:rsidRPr="000A2445">
        <w:rPr>
          <w:b/>
          <w:bCs/>
          <w:color w:val="auto"/>
          <w:sz w:val="22"/>
          <w:szCs w:val="22"/>
        </w:rPr>
        <w:t xml:space="preserve"> modelling</w:t>
      </w:r>
      <w:bookmarkEnd w:id="31"/>
    </w:p>
    <w:p w14:paraId="2BBA8F14" w14:textId="5CB67A07" w:rsidR="00FE6D86" w:rsidRDefault="00F965A1" w:rsidP="00890D06">
      <w:pPr>
        <w:spacing w:after="240" w:line="480" w:lineRule="auto"/>
        <w:jc w:val="both"/>
      </w:pPr>
      <w:r>
        <w:t xml:space="preserve">Data on wild harvesting </w:t>
      </w:r>
      <w:r w:rsidR="00264FD6">
        <w:t>i</w:t>
      </w:r>
      <w:r>
        <w:t xml:space="preserve">s collected from </w:t>
      </w:r>
      <w:r w:rsidR="005E57AB">
        <w:t>primary</w:t>
      </w:r>
      <w:r>
        <w:t xml:space="preserve"> (Micheal Mac </w:t>
      </w:r>
      <w:proofErr w:type="spellStart"/>
      <w:r w:rsidR="00C54FE1">
        <w:t>M</w:t>
      </w:r>
      <w:r>
        <w:t>onagail</w:t>
      </w:r>
      <w:proofErr w:type="spellEnd"/>
      <w:r>
        <w:t xml:space="preserve">, </w:t>
      </w:r>
      <w:proofErr w:type="spellStart"/>
      <w:r>
        <w:t>Arramara</w:t>
      </w:r>
      <w:proofErr w:type="spellEnd"/>
      <w:r>
        <w:t xml:space="preserve">, personal communication) and secondary </w:t>
      </w:r>
      <w:r w:rsidR="005E57AB">
        <w:t>sources</w:t>
      </w:r>
      <w:r>
        <w:t xml:space="preserve"> </w:t>
      </w:r>
      <w:r w:rsidR="00C54FE1">
        <w:fldChar w:fldCharType="begin"/>
      </w:r>
      <w:r w:rsidR="003A4382">
        <w:instrText xml:space="preserve"> ADDIN ZOTERO_ITEM CSL_CITATION {"citationID":"Qev4mBfq","properties":{"formattedCitation":"(Guiry and Morrison, 2013; Lauzon-Guay et al., 2021; Mac Monagail et al., 2017; Monagail and Morrison, 2020; Steen et al., 2016; Vea and Ask, 2011)","plainCitation":"(Guiry and Morrison, 2013; Lauzon-Guay et al., 2021; Mac Monagail et al., 2017; Monagail and Morrison, 2020; Steen et al., 2016; Vea and Ask, 2011)","noteIndex":0},"citationItems":[{"id":357,"uris":["http://zotero.org/users/8766396/items/I4SSLI7A"],"itemData":{"id":357,"type":"article-journal","abstract":"Ireland has a long history of seaweed utilisation, with accounts of its use as a food dating to at least the twelfth century. Arramara Teoranta (literally “Seagoods Ltd.”) was established by the Irish Government in the late 1940s to continue the long tradition of sustainable seaweed harvesting in the west of Ireland, which began with kelp ash production from kelp kilns around 1700 and which continued sporadically until 1948. Initially, Arramara purchased dried sea rods (Laminaria hyperborea) and kelp fronds (mostly Saccharina latissima) and these were exported for alginate production in Scotland. Kelps were gradually replaced by Ascophyllum nodosum, a perennial wrack found in the intertidal of the North Atlantic and which is particularly common on sheltered shores in the west of Ireland. This wrack has been cut sustainably by hand in Ireland since at least the late 1940s. Figures for annual production from the main purchaser, Arramara, show that 2,000–7,000 dry weight tons (about 8,000–28,000 wet tons) have been cut in Ireland each year from 1964 to date. Whilst exports for alginate production ceased in 2009, 5,000–6,000 dry weight tons are currently being produced for the animal feed, horticulture, aquaculture, and cosmetics markets.","container-title":"Journal of Applied Phycology","DOI":"10.1007/s10811-013-0027-2","ISSN":"0921-8971, 1573-5176","issue":"6","journalAbbreviation":"J Appl Phycol","language":"en","page":"1823-1830","source":"DOI.org (Crossref)","title":"The sustainable harvesting of Ascophyllum nodosum (Fucaceae, Phaeophyceae) in Ireland, with notes on the collection and use of some other brown algae","URL":"http://link.springer.com/10.1007/s10811-013-0027-2","volume":"25","author":[{"family":"Guiry","given":"Michael D."},{"family":"Morrison","given":"Liam"}],"accessed":{"date-parts":[["2023",1,26]]},"issued":{"date-parts":[["2013",12]]}}},{"id":373,"uris":["http://zotero.org/users/8766396/items/UCS8CHPU"],"itemData":{"id":373,"type":"article-journal","abstract":"With the increasing demand for seaweed resources worldwide, management must ensure that the harvest of wild seaweed stocks is sustainable. We evaluate the impact of over 25 years of commercial harvesting of Ascophyllum nodosum in eastern Canada by comparing the biomass and height of the seaweed in the late 1990s to the late 2010s over a broad spatial scale spanning the provinces of Nova Scotia and New Brunswick. There has been no significant decrease in the biomass of A. nodosum in either province, and biomass has increased in some regions of New Brunswick during that period. The average height of A. nodosum has decreased by 7.8 cm in Nova Scotia while it increased by 13.8 cm in New Brunswick. Biomass of A. nodosum in unharvested sectors was 7% higher than that in harvested sectors while height of A. nodosum in unharvested sectors in New Brunswick is similar to the values observed in harvested sectors. Over the same period, water temperature has increased in both provinces and, in recent years, has at times exceeded the optimal growing temperature for A. nodosum within bays in Nova Scotia. We conclude that the current management and harvest of A. nodosum in eastern Canada are sustainable and maintain the biomass and height of A. nodosum beds but that control sites are necessary to offer adequate comparisons as environmental conditions are changing.","container-title":"Journal of Applied Phycology","DOI":"10.1007/s10811-021-02427-x","ISSN":"0921-8971, 1573-5176","issue":"3","journalAbbreviation":"J Appl Phycol","language":"en","page":"1695-1708","source":"DOI.org (Crossref)","title":"Biomass and height of Ascophyllum nodosum after two decades of continuous commercial harvesting in eastern Canada","URL":"https://link.springer.com/10.1007/s10811-021-02427-x","volume":"33","author":[{"family":"Lauzon-Guay","given":"Jean-Sébastien"},{"family":"Ugarte","given":"Raúl A."},{"family":"Morse","given":"Bryan L."},{"family":"Robertson","given":"Collette A."}],"accessed":{"date-parts":[["2023",1,26]]},"issued":{"date-parts":[["2021",6]]}}},{"id":377,"uris":["http://zotero.org/users/8766396/items/SECXL86I"],"itemData":{"id":377,"type":"article-journal","abstract":"Macroalgae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 1469-4433","issue":"4","journalAbbreviation":"European Journal of Phycology","language":"en","page":"371-390","source":"DOI.org (Crossref)","title":"Sustainable harvesting of wild seaweed resources","URL":"https://www.tandfonline.com/doi/full/10.1080/09670262.2017.1365273","volume":"52","author":[{"family":"Mac Monagail","given":"Michéal"},{"family":"Cornish","given":"Lynn"},{"family":"Morrison","given":"Liam"},{"family":"Araújo","given":"Rita"},{"family":"Critchley","given":"Alan T."}],"accessed":{"date-parts":[["2023",1,26]]},"issued":{"date-parts":[["2017",10,2]]}}},{"id":374,"uris":["http://zotero.org/users/8766396/items/F32JEI8B"],"itemData":{"id":374,"type":"article-journal","abstract":"The harvesting of wild seaweeds continues to play an important cultural and socioeconomic role for many coastal communities on Ireland’s Atlantic seaboard. Although Irish waters contain a diverse and substantial benthic seaweed flora, only a few species are exploited commercially. Historically in Ireland, seaweed was commercially used as a raw material in the production of highvolume, low-value commodities such as animal feed and raw material for alginate production. Recently, with increasing acceptance of seaweed as a sea vegetable and its ever-increasing role as a raw material in the cosmetic and pharmaceutical industries, there has been a renewed vigour in the Irish seaweed industry particularly with new entrants into the human nutrition and cosmetic markets producing high-quality, high-value products. Although many of Ireland’s native seaweed species can be sustainably exploited if well managed, the fucoid Ascophyllum nodosum maintained its prominent role in the Irish seaweed industry. The traditional harvesting of A. nodosum in Ireland continues, although the recent introduction of new harvesting techniques, along with the expected expansion of the Irish seaweed cultivation sector, undoubtedly marks a shift in the Irish seaweed seascape. We focus here on the seaweed resources in Irish waters and how the industry has changed in the last 20 years.","container-title":"Journal of Applied Phycology","DOI":"10.1007/s10811-020-02067-7","ISSN":"0921-8971, 1573-5176","issue":"2","journalAbbreviation":"J Appl Phycol","language":"en","page":"1287-1300","source":"DOI.org (Crossref)","title":"The seaweed resources of Ireland: a twenty-first century perspective","title-short":"The seaweed resources of Ireland","URL":"http://link.springer.com/10.1007/s10811-020-02067-7","volume":"32","author":[{"family":"Monagail","given":"Michéal Mac"},{"family":"Morrison","given":"Liam"}],"accessed":{"date-parts":[["2023",1,26]]},"issued":{"date-parts":[["2020",4]]}}},{"id":628,"uris":["http://zotero.org/users/8766396/items/WMWTADFE"],"itemData":{"id":628,"type":"article-journal","abstract":"In 2010, harvesting of kelp (Laminaria hyperborea) was performed for the ﬁrst time in the county of Nord-Trøndelag, Norway. Underwater video surveys were performed just prior to harvesting and then on a yearly basis over a 4-year period to document the development of the kelp vegetation and sea urchin abundances. In addition, kelp plants were collected before harvesting and then again 4 years later for measurements of plant morphology, age, cortical growth and epiphytes. After 4 years, L. hyperborea had regained its dominance at the harvested sites, however, plant age, sizes and epiphytes were still below pre-harvesting levels. However, the kelp biomass appeared restored 4 years after harvesting, because of the high density of the recovering kelp vegetation. Furthermore, measurements of the cortical growth zones in transverse section of the stipes of the recovering kelp plants showed a higher growth rate during the post-harvesting period, than in plants from pristine kelp beds. Abundance of sea urchins was low during the entire monitoring period and grazing effects on the recovering kelp vegetation, at the harvested sites, appeared to be small. Interestingly, the age structure of plants collected 4 years after harvesting showed that kelp recruits present as understory vegetation prior to harvesting, must have contributed substantially to the restocking of kelp. However, the density of understory kelp recruits 4 years after harvesting was signiﬁcantly lower than it had been prior to harvesting, and this may lead to a slower recovery if future harvests occur before the stocks of understory kelp recruits are restored.","container-title":"ICES Journal of Marine Science: Journal du Conseil","DOI":"10.1093/icesjms/fsw130","ISSN":"1054-3139, 1095-9289","issue":"10","journalAbbreviation":"ICES J. Mar. Sci.","language":"en","page":"2708-2720","source":"DOI.org (Crossref)","title":"Regrowth after kelp harvesting in Nord-Trøndelag, Norway","URL":"https://academic.oup.com/icesjms/article-lookup/doi/10.1093/icesjms/fsw130","volume":"73","author":[{"family":"Steen","given":"Henning"},{"family":"Moy","given":"Frithjof E."},{"family":"Bodvin","given":"Torjan"},{"family":"Husa","given":"Vivian"}],"accessed":{"date-parts":[["2023",2,22]]},"issued":{"date-parts":[["2016",11]]}}},{"id":682,"uris":["http://zotero.org/users/8766396/items/IL6PV2IW"],"itemData":{"id":682,"type":"article-journal","abstract":"The mechanized harvesting of Laminaria hyperborea in Norway began nearly 50 years ago. Based on a clear understanding of the ecology and life cycle of L. hyperborea as well as the ecosystem, a sustainable management program for the harvest was created with a 5-year cycle and rotating zones in fields as the foundation of the plan. This has allowed a steady annual harvest of 130,000–180,000 t wet weight, depending on market demand. In the last decade, the Norwegian government, working with industry and other stakeholders, has produced more refined policies/documents governing the harvest. This macroalgal harvest plan provides an excellent example for resource managers in other parts of the world laboring to create sustainable harvest management plans.","container-title":"Journal of Applied Phycology","DOI":"10.1007/s10811-010-9610-y","ISSN":"0921-8971, 1573-5176","issue":"3","journalAbbreviation":"J Appl Phycol","language":"en","page":"489-494","source":"DOI.org (Crossref)","title":"Creating a sustainable commercial harvest of Laminaria hyperborea, in Norway","URL":"http://link.springer.com/10.1007/s10811-010-9610-y","volume":"23","author":[{"family":"Vea","given":"Jostein"},{"family":"Ask","given":"Erick"}],"accessed":{"date-parts":[["2023",2,22]]},"issued":{"date-parts":[["2011",6]]}}}],"schema":"https://github.com/citation-style-language/schema/raw/master/csl-citation.json"} </w:instrText>
      </w:r>
      <w:r w:rsidR="00C54FE1">
        <w:fldChar w:fldCharType="separate"/>
      </w:r>
      <w:r w:rsidR="003A4382" w:rsidRPr="003A4382">
        <w:t>(Guiry and Morrison, 2013; Lauzon-Guay et al., 2021; Mac Monagail et al., 2017; Monagail and Morrison, 2020; Steen et al., 2016; Vea and Ask, 2011)</w:t>
      </w:r>
      <w:r w:rsidR="00C54FE1">
        <w:fldChar w:fldCharType="end"/>
      </w:r>
      <w:r w:rsidR="0028442A">
        <w:t>.</w:t>
      </w:r>
      <w:r>
        <w:t xml:space="preserve"> </w:t>
      </w:r>
      <w:r w:rsidRPr="008748DE">
        <w:t xml:space="preserve">Data for cultivation </w:t>
      </w:r>
      <w:r w:rsidR="00264FD6" w:rsidRPr="008748DE">
        <w:t>i</w:t>
      </w:r>
      <w:r w:rsidRPr="008748DE">
        <w:t xml:space="preserve">s collected from </w:t>
      </w:r>
      <w:r w:rsidR="00B61EA3" w:rsidRPr="008748DE">
        <w:t xml:space="preserve">primary data </w:t>
      </w:r>
      <w:r w:rsidR="008748DE" w:rsidRPr="00D9599D">
        <w:t xml:space="preserve">from previous research </w:t>
      </w:r>
      <w:r w:rsidR="008748DE" w:rsidRPr="008748DE">
        <w:fldChar w:fldCharType="begin"/>
      </w:r>
      <w:r w:rsidR="008748DE" w:rsidRPr="008748DE">
        <w:instrText xml:space="preserve"> ADDIN ZOTERO_ITEM CSL_CITATION {"citationID":"TYFiDLz3","properties":{"formattedCitation":"(Collins et al., 2022)","plainCitation":"(Collins et al., 2022)","noteIndex":0},"citationItems":[{"id":313,"uris":["http://zotero.org/users/8766396/items/NYX8KD3B"],"itemData":{"id":313,"type":"article-journal","abstract":"This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schema":"https://github.com/citation-style-language/schema/raw/master/csl-citation.json"} </w:instrText>
      </w:r>
      <w:r w:rsidR="008748DE" w:rsidRPr="008748DE">
        <w:fldChar w:fldCharType="separate"/>
      </w:r>
      <w:r w:rsidR="008748DE" w:rsidRPr="008748DE">
        <w:t>(Collins et al., 2022)</w:t>
      </w:r>
      <w:r w:rsidR="008748DE" w:rsidRPr="008748DE">
        <w:fldChar w:fldCharType="end"/>
      </w:r>
      <w:r w:rsidR="008748DE" w:rsidRPr="00D9599D">
        <w:t xml:space="preserve"> and</w:t>
      </w:r>
      <w:r w:rsidRPr="008748DE">
        <w:t xml:space="preserve"> from literature </w:t>
      </w:r>
      <w:r w:rsidR="0028442A" w:rsidRPr="008748DE">
        <w:fldChar w:fldCharType="begin"/>
      </w:r>
      <w:r w:rsidR="003A4382" w:rsidRPr="008748DE">
        <w:instrText xml:space="preserve"> ADDIN ZOTERO_ITEM CSL_CITATION {"citationID":"gEy6rRnY","properties":{"formattedCitation":"(Nilsson et al., 2022; Taelman et al., 2015)","plainCitation":"(Nilsson et al., 2022; Taelman et al., 2015)","noteIndex":0},"citationItems":[{"id":387,"uris":["http://zotero.org/users/8766396/items/FYTF2INX"],"itemData":{"id":387,"type":"article-journal","abstract":"Blue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Pilar"},{"family":"Cabral","given":"Eduarda M."},{"family":"Tiwari","given":"Brijesh Kumar"}],"accessed":{"date-parts":[["2023",1,26]]},"issued":{"date-parts":[["2022",6]]}}},{"id":130,"uris":["http://zotero.org/users/8766396/items/BNZMX52M"],"itemData":{"id":130,"type":"article-journal","container-title":"Algal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Meester","given":"S"},{"family":"Dewulf","given":"J"}],"issued":{"date-parts":[["2015"]]}}}],"schema":"https://github.com/citation-style-language/schema/raw/master/csl-citation.json"} </w:instrText>
      </w:r>
      <w:r w:rsidR="0028442A" w:rsidRPr="008748DE">
        <w:fldChar w:fldCharType="separate"/>
      </w:r>
      <w:r w:rsidR="003A4382" w:rsidRPr="008748DE">
        <w:t>(Nilsson et al., 2022; Taelman et al., 2015)</w:t>
      </w:r>
      <w:r w:rsidR="0028442A" w:rsidRPr="008748DE">
        <w:fldChar w:fldCharType="end"/>
      </w:r>
      <w:r w:rsidRPr="008748DE">
        <w:t>.</w:t>
      </w:r>
      <w:r>
        <w:t xml:space="preserve"> </w:t>
      </w:r>
      <w:r w:rsidR="00D63AA6">
        <w:t>Background d</w:t>
      </w:r>
      <w:r w:rsidR="00436A77">
        <w:t xml:space="preserve">ata </w:t>
      </w:r>
      <w:r w:rsidR="00264FD6">
        <w:t>i</w:t>
      </w:r>
      <w:r w:rsidR="00436A77">
        <w:t xml:space="preserve">s modelled in </w:t>
      </w:r>
      <w:r w:rsidR="00436A77">
        <w:lastRenderedPageBreak/>
        <w:t xml:space="preserve">SimaPro 9.4 </w:t>
      </w:r>
      <w:r w:rsidR="0028442A">
        <w:fldChar w:fldCharType="begin"/>
      </w:r>
      <w:r w:rsidR="003A4382">
        <w:instrText xml:space="preserve"> ADDIN ZOTERO_ITEM CSL_CITATION {"citationID":"d7blTzjO","properties":{"formattedCitation":"(PR\\uc0\\u233{} Sustainability B.V., 2023)","plainCitation":"(PRé Sustainability B.V., 2023)","noteIndex":0},"citationItems":[{"id":481,"uris":["http://zotero.org/users/8766396/items/7MSIDHSC"],"itemData":{"id":481,"type":"software","title":"SimaPro","URL":"https://simapro.com/","version":"9.4","author":[{"literal":"PRé Sustainability B.V."}],"issued":{"date-parts":[["2023"]]}}}],"schema":"https://github.com/citation-style-language/schema/raw/master/csl-citation.json"} </w:instrText>
      </w:r>
      <w:r w:rsidR="0028442A">
        <w:fldChar w:fldCharType="separate"/>
      </w:r>
      <w:r w:rsidR="003A4382" w:rsidRPr="003A4382">
        <w:rPr>
          <w:szCs w:val="24"/>
        </w:rPr>
        <w:t>(PRé Sustainability B.V., 2023)</w:t>
      </w:r>
      <w:r w:rsidR="0028442A">
        <w:fldChar w:fldCharType="end"/>
      </w:r>
      <w:r w:rsidR="00436A77">
        <w:t xml:space="preserve"> using the </w:t>
      </w:r>
      <w:proofErr w:type="spellStart"/>
      <w:r w:rsidR="00436A77">
        <w:t>Ecoinvent</w:t>
      </w:r>
      <w:proofErr w:type="spellEnd"/>
      <w:r w:rsidR="00436A77">
        <w:t xml:space="preserve"> database </w:t>
      </w:r>
      <w:r w:rsidR="003A0A36">
        <w:fldChar w:fldCharType="begin"/>
      </w:r>
      <w:r w:rsidR="003A4382">
        <w:instrText xml:space="preserve"> ADDIN ZOTERO_ITEM CSL_CITATION {"citationID":"wsoYILVC","properties":{"formattedCitation":"(Weidema, B.P et al., 2013)","plainCitation":"(Weidema, B.P et al., 2013)","noteIndex":0},"citationItems":[{"id":471,"uris":["http://zotero.org/users/8766396/items/DNH7X7U4"],"itemData":{"id":471,"type":"report","event-place":"St Gallen","genre":"Data quality guideline for the ecoinvent database version 3","number":"ecoinvent report No. 1(v3)","publisher":"The ecoinvent Centre","publisher-place":"St Gallen","title":"Overview and methodology","author":[{"literal":"Weidema, B.P"},{"literal":"Bauer, C"},{"literal":"Hischier, R"},{"literal":"Mutel, C"},{"literal":"Nemecek, T"},{"literal":"Reinhard, J"},{"literal":"Vadenbo, C.O"},{"literal":"Wernet, G"}],"issued":{"date-parts":[["2013"]]}}}],"schema":"https://github.com/citation-style-language/schema/raw/master/csl-citation.json"} </w:instrText>
      </w:r>
      <w:r w:rsidR="003A0A36">
        <w:fldChar w:fldCharType="separate"/>
      </w:r>
      <w:r w:rsidR="003A4382" w:rsidRPr="003A4382">
        <w:t>(Weidema, B.P et al., 2013)</w:t>
      </w:r>
      <w:r w:rsidR="003A0A36">
        <w:fldChar w:fldCharType="end"/>
      </w:r>
      <w:r w:rsidR="00436A77">
        <w:t xml:space="preserve">. </w:t>
      </w:r>
    </w:p>
    <w:p w14:paraId="419C8C90" w14:textId="7D40AD60" w:rsidR="00DF7A81" w:rsidRPr="00FE6D86" w:rsidRDefault="00F965A1" w:rsidP="00890D06">
      <w:pPr>
        <w:pStyle w:val="ListParagraph"/>
        <w:numPr>
          <w:ilvl w:val="3"/>
          <w:numId w:val="12"/>
        </w:numPr>
        <w:spacing w:after="240" w:line="480" w:lineRule="auto"/>
        <w:jc w:val="both"/>
        <w:rPr>
          <w:b/>
          <w:bCs/>
          <w:iCs/>
        </w:rPr>
      </w:pPr>
      <w:r w:rsidRPr="00FE6D86">
        <w:rPr>
          <w:b/>
          <w:bCs/>
        </w:rPr>
        <w:t>Wild harvesting</w:t>
      </w:r>
    </w:p>
    <w:p w14:paraId="419C8CD6" w14:textId="5F74542E" w:rsidR="00DF7A81" w:rsidRDefault="00F965A1" w:rsidP="00890D06">
      <w:pPr>
        <w:spacing w:after="240" w:line="480" w:lineRule="auto"/>
        <w:jc w:val="both"/>
      </w:pPr>
      <w:r>
        <w:t xml:space="preserve">In this study three wild harvesting techniques </w:t>
      </w:r>
      <w:r w:rsidR="00D63AA6">
        <w:t>a</w:t>
      </w:r>
      <w:r>
        <w:t xml:space="preserve">re considered: hand cutting by foot (W1), the boat and rake method (W2), and a theoretical mechanical </w:t>
      </w:r>
      <w:r w:rsidR="00733198">
        <w:t xml:space="preserve">harvesting </w:t>
      </w:r>
      <w:r>
        <w:t xml:space="preserve">option (W3). </w:t>
      </w:r>
      <w:r w:rsidR="00D10720">
        <w:t xml:space="preserve">It is assumed that one </w:t>
      </w:r>
      <w:r w:rsidR="00D138FA">
        <w:t>hand</w:t>
      </w:r>
      <w:r w:rsidR="00D10720">
        <w:t xml:space="preserve"> harvester </w:t>
      </w:r>
      <w:r w:rsidR="00121BC5">
        <w:t xml:space="preserve">(W1 or W2) </w:t>
      </w:r>
      <w:r w:rsidR="00D10720">
        <w:t xml:space="preserve">working 8 hours a day can harvest 2 fresh tonnes of rockweeds </w:t>
      </w:r>
      <w:r w:rsidR="00D10720">
        <w:fldChar w:fldCharType="begin"/>
      </w:r>
      <w:r w:rsidR="003A4382">
        <w:instrText xml:space="preserve"> ADDIN ZOTERO_ITEM CSL_CITATION {"citationID":"yoB7MqNC","properties":{"formattedCitation":"(Mac Monagail et al., 2017)","plainCitation":"(Mac Monagail et al., 2017)","noteIndex":0},"citationItems":[{"id":377,"uris":["http://zotero.org/users/8766396/items/SECXL86I"],"itemData":{"id":377,"type":"article-journal","abstract":"Macroalgae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 1469-4433","issue":"4","journalAbbreviation":"European Journal of Phycology","language":"en","page":"371-390","source":"DOI.org (Crossref)","title":"Sustainable harvesting of wild seaweed resources","URL":"https://www.tandfonline.com/doi/full/10.1080/09670262.2017.1365273","volume":"52","author":[{"family":"Mac Monagail","given":"Michéal"},{"family":"Cornish","given":"Lynn"},{"family":"Morrison","given":"Liam"},{"family":"Araújo","given":"Rita"},{"family":"Critchley","given":"Alan T."}],"accessed":{"date-parts":[["2023",1,26]]},"issued":{"date-parts":[["2017",10,2]]}}}],"schema":"https://github.com/citation-style-language/schema/raw/master/csl-citation.json"} </w:instrText>
      </w:r>
      <w:r w:rsidR="00D10720">
        <w:fldChar w:fldCharType="separate"/>
      </w:r>
      <w:r w:rsidR="003A4382" w:rsidRPr="003A4382">
        <w:t>(Mac Monagail et al., 2017)</w:t>
      </w:r>
      <w:r w:rsidR="00D10720">
        <w:fldChar w:fldCharType="end"/>
      </w:r>
      <w:r w:rsidR="00D10720">
        <w:t xml:space="preserve">. For the </w:t>
      </w:r>
      <w:r w:rsidR="00490F35">
        <w:t xml:space="preserve">kelp </w:t>
      </w:r>
      <w:r w:rsidR="00D10720">
        <w:t>trawler</w:t>
      </w:r>
      <w:r w:rsidR="00121BC5">
        <w:t xml:space="preserve"> (W3)</w:t>
      </w:r>
      <w:r w:rsidR="00D10720">
        <w:t xml:space="preserve">, it is assumed that 50 tonnes/day could be harvested by a crew of three </w:t>
      </w:r>
      <w:r w:rsidR="00D10720">
        <w:fldChar w:fldCharType="begin"/>
      </w:r>
      <w:r w:rsidR="003A4382">
        <w:instrText xml:space="preserve"> ADDIN ZOTERO_ITEM CSL_CITATION {"citationID":"Zzr9XEWB","properties":{"formattedCitation":"(Vea and Ask, 2011)","plainCitation":"(Vea and Ask, 2011)","noteIndex":0},"citationItems":[{"id":682,"uris":["http://zotero.org/users/8766396/items/IL6PV2IW"],"itemData":{"id":682,"type":"article-journal","abstract":"The mechanized harvesting of Laminaria hyperborea in Norway began nearly 50 years ago. Based on a clear understanding of the ecology and life cycle of L. hyperborea as well as the ecosystem, a sustainable management program for the harvest was created with a 5-year cycle and rotating zones in fields as the foundation of the plan. This has allowed a steady annual harvest of 130,000–180,000 t wet weight, depending on market demand. In the last decade, the Norwegian government, working with industry and other stakeholders, has produced more refined policies/documents governing the harvest. This macroalgal harvest plan provides an excellent example for resource managers in other parts of the world laboring to create sustainable harvest management plans.","container-title":"Journal of Applied Phycology","DOI":"10.1007/s10811-010-9610-y","ISSN":"0921-8971, 1573-5176","issue":"3","journalAbbreviation":"J Appl Phycol","language":"en","page":"489-494","source":"DOI.org (Crossref)","title":"Creating a sustainable commercial harvest of Laminaria hyperborea, in Norway","URL":"http://link.springer.com/10.1007/s10811-010-9610-y","volume":"23","author":[{"family":"Vea","given":"Jostein"},{"family":"Ask","given":"Erick"}],"accessed":{"date-parts":[["2023",2,22]]},"issued":{"date-parts":[["2011",6]]}}}],"schema":"https://github.com/citation-style-language/schema/raw/master/csl-citation.json"} </w:instrText>
      </w:r>
      <w:r w:rsidR="00D10720">
        <w:fldChar w:fldCharType="separate"/>
      </w:r>
      <w:r w:rsidR="003A4382" w:rsidRPr="003A4382">
        <w:t>(Vea and Ask, 2011)</w:t>
      </w:r>
      <w:r w:rsidR="00D10720">
        <w:fldChar w:fldCharType="end"/>
      </w:r>
      <w:r w:rsidR="00D10720">
        <w:t>.</w:t>
      </w:r>
      <w:r w:rsidR="00F900BA">
        <w:t xml:space="preserve"> </w:t>
      </w:r>
      <w:r w:rsidR="002F18C9">
        <w:t xml:space="preserve">The capital equipment includes </w:t>
      </w:r>
      <w:r w:rsidR="002945AE">
        <w:t xml:space="preserve">the boat purchase </w:t>
      </w:r>
      <w:r w:rsidR="002F18C9">
        <w:t>(</w:t>
      </w:r>
      <w:r w:rsidR="002945AE">
        <w:t xml:space="preserve">skiff in </w:t>
      </w:r>
      <w:r w:rsidR="002F18C9">
        <w:t>W2</w:t>
      </w:r>
      <w:r w:rsidR="002945AE">
        <w:t>, trawler in W3</w:t>
      </w:r>
      <w:r w:rsidR="002F18C9">
        <w:t>)</w:t>
      </w:r>
      <w:r w:rsidR="002945AE">
        <w:t>, while annually purchased equipment includes knives, rakes,</w:t>
      </w:r>
      <w:r w:rsidR="000F07F9">
        <w:t xml:space="preserve"> and rope. </w:t>
      </w:r>
      <w:r w:rsidR="00D42789">
        <w:t>Boat fuel use</w:t>
      </w:r>
      <w:r w:rsidR="007D0C8B">
        <w:t xml:space="preserve"> is calculated based on boat traveling distan</w:t>
      </w:r>
      <w:r w:rsidR="007D0C8B" w:rsidRPr="00A90037">
        <w:t>ce and fuel efficiency</w:t>
      </w:r>
      <w:r w:rsidR="00CB550B" w:rsidRPr="00A90037">
        <w:t xml:space="preserve"> </w:t>
      </w:r>
      <w:r w:rsidR="006A0843" w:rsidRPr="00A90037">
        <w:t>(Supplementary material)</w:t>
      </w:r>
      <w:r w:rsidR="00D138FA" w:rsidRPr="00A90037">
        <w:t>.</w:t>
      </w:r>
      <w:r w:rsidR="00365845" w:rsidRPr="00A90037">
        <w:t xml:space="preserve"> </w:t>
      </w:r>
      <w:r w:rsidR="00F900BA" w:rsidRPr="00A90037">
        <w:t>The full LCI of considered equipment and energy inputs for each pathway are displayed in Tables S3-S5</w:t>
      </w:r>
      <w:r w:rsidR="00A90037">
        <w:t xml:space="preserve"> (Supplementary material)</w:t>
      </w:r>
      <w:r w:rsidR="00F900BA" w:rsidRPr="00A90037">
        <w:t>.</w:t>
      </w:r>
      <w:r w:rsidR="00F900BA">
        <w:t xml:space="preserve"> </w:t>
      </w:r>
    </w:p>
    <w:p w14:paraId="419C8CD7" w14:textId="5BAB47D9" w:rsidR="00DF7A81" w:rsidRPr="00C929AB" w:rsidRDefault="00F965A1" w:rsidP="00890D06">
      <w:pPr>
        <w:pStyle w:val="ListParagraph"/>
        <w:numPr>
          <w:ilvl w:val="3"/>
          <w:numId w:val="12"/>
        </w:numPr>
        <w:spacing w:after="240" w:line="480" w:lineRule="auto"/>
        <w:jc w:val="both"/>
        <w:rPr>
          <w:b/>
          <w:bCs/>
          <w:iCs/>
        </w:rPr>
      </w:pPr>
      <w:r w:rsidRPr="00C929AB">
        <w:rPr>
          <w:b/>
          <w:bCs/>
          <w:iCs/>
        </w:rPr>
        <w:t>Cultivation</w:t>
      </w:r>
    </w:p>
    <w:p w14:paraId="43F3153F" w14:textId="5E012F48" w:rsidR="00211A25" w:rsidRDefault="008748DE" w:rsidP="00890D06">
      <w:pPr>
        <w:spacing w:after="240" w:line="480" w:lineRule="auto"/>
        <w:jc w:val="both"/>
      </w:pPr>
      <w:r>
        <w:t>In t</w:t>
      </w:r>
      <w:r w:rsidR="007B7756">
        <w:t xml:space="preserve">his study </w:t>
      </w:r>
      <w:r>
        <w:t>the three cultivation pathways are modelled</w:t>
      </w:r>
      <w:r w:rsidR="007B7756">
        <w:t xml:space="preserve"> from independent studies on longline cultivation systems in Ireland. </w:t>
      </w:r>
      <w:r w:rsidR="00B632FF">
        <w:t xml:space="preserve">To appreciate the key differences in the LCI </w:t>
      </w:r>
      <w:r w:rsidR="00C32B5F">
        <w:t>between these three</w:t>
      </w:r>
      <w:r w:rsidR="00B632FF">
        <w:t xml:space="preserve"> stud</w:t>
      </w:r>
      <w:r w:rsidR="00C32B5F">
        <w:t>ies</w:t>
      </w:r>
      <w:r w:rsidR="00B632FF">
        <w:t>,</w:t>
      </w:r>
      <w:r w:rsidR="004D503A">
        <w:t xml:space="preserve"> </w:t>
      </w:r>
      <w:r w:rsidR="00C32B5F">
        <w:t xml:space="preserve">key </w:t>
      </w:r>
      <w:r w:rsidR="004D503A">
        <w:t xml:space="preserve">material and energy </w:t>
      </w:r>
      <w:r w:rsidR="00FE6D86">
        <w:t xml:space="preserve">input data </w:t>
      </w:r>
      <w:r w:rsidR="00C32B5F">
        <w:t xml:space="preserve">pertaining to each </w:t>
      </w:r>
      <w:r w:rsidR="00B632FF">
        <w:t>is displayed in Table 1</w:t>
      </w:r>
      <w:r w:rsidR="0047285E">
        <w:t xml:space="preserve">. </w:t>
      </w:r>
      <w:r w:rsidR="00211A25">
        <w:t xml:space="preserve">The full LCI for </w:t>
      </w:r>
      <w:r w:rsidR="00C32B5F">
        <w:t xml:space="preserve">the three </w:t>
      </w:r>
      <w:r w:rsidR="00211A25">
        <w:t xml:space="preserve">cultivation </w:t>
      </w:r>
      <w:r w:rsidR="00C32B5F">
        <w:t>pathways</w:t>
      </w:r>
      <w:r w:rsidR="00211A25">
        <w:t xml:space="preserve"> is available in Tables S6-S8 (Supplementary material).</w:t>
      </w:r>
    </w:p>
    <w:p w14:paraId="4D2FE674" w14:textId="11FD0C39" w:rsidR="004D503A" w:rsidRDefault="00F965A1" w:rsidP="004D503A">
      <w:pPr>
        <w:spacing w:after="240" w:line="480" w:lineRule="auto"/>
        <w:jc w:val="both"/>
      </w:pPr>
      <w:r>
        <w:t>For the small-</w:t>
      </w:r>
      <w:r w:rsidR="008748DE">
        <w:t xml:space="preserve">size </w:t>
      </w:r>
      <w:r>
        <w:t xml:space="preserve">seaweed farm </w:t>
      </w:r>
      <w:r w:rsidR="00436A77">
        <w:t>(C1)</w:t>
      </w:r>
      <w:r>
        <w:t>, the LCI builds upon previous research</w:t>
      </w:r>
      <w:r w:rsidR="008855DB">
        <w:t xml:space="preserve"> done in collaboration with Bantry Marine Research Station (BMRS), which operates a seaweed hatchery and cultivation site in Bantry</w:t>
      </w:r>
      <w:r w:rsidR="00211A25">
        <w:t xml:space="preserve"> Bay</w:t>
      </w:r>
      <w:r w:rsidR="008855DB">
        <w:t xml:space="preserve">, </w:t>
      </w:r>
      <w:r w:rsidR="00211A25">
        <w:t>Co</w:t>
      </w:r>
      <w:r w:rsidR="009F5983">
        <w:t>.</w:t>
      </w:r>
      <w:r w:rsidR="008855DB">
        <w:t xml:space="preserve"> Cork</w:t>
      </w:r>
      <w:r>
        <w:t xml:space="preserve"> </w:t>
      </w:r>
      <w:r w:rsidR="00991563">
        <w:fldChar w:fldCharType="begin"/>
      </w:r>
      <w:r w:rsidR="006843B7">
        <w:instrText xml:space="preserve"> ADDIN ZOTERO_ITEM CSL_CITATION {"citationID":"GPwDPvKR","properties":{"formattedCitation":"(Collins et al., 2022)","plainCitation":"(Collins et al., 2022)","noteIndex":0},"citationItems":[{"id":313,"uris":["http://zotero.org/users/8766396/items/NYX8KD3B"],"itemData":{"id":313,"type":"article-journal","abstract":"This paper examines the economic and environmental costs of seaweed cultivation (Alaria esculenta) in Ireland and evaluates the potential revenue made on the voluntary carbon offset market (VCOM). The life cycle assessment (LCA) results revealed the cultivation equipment with the polypropylene used for the cultivation lines contributes the highest share of impacts due to their replacement rate. This study suggests long-term employment of farm infrastructure and increased seaweed yield could enhance the environmental sustainability of the system. Moreover, life cycle costing (LCC) indicates the seaweed farm in Ireland is economically feasible over a 20-year lifespan. However, the revenue generated on the VCOM from the seaweed carbon assimilation was minimal, contributing to only 5% of the revenue. This study concludes that further development of the seaweed market with stabilized biomass prices and producing a range of viable products from seaweed biomass will be a major factor in the economic sustainability.","container-title":"Bioresource Technology","DOI":"10.1016/j.biortech.2021.126637","ISSN":"09608524","journalAbbreviation":"Bioresource Technology","language":"en","page":"126637","source":"DOI.org (Crossref)","title":"Economic and environmental sustainability analysis of seaweed farming: Monetizing carbon offsets of a brown algae cultivation system in Ireland","title-short":"Economic and environmental sustainability analysis of seaweed farming","URL":"https://linkinghub.elsevier.com/retrieve/pii/S0960852421019799","volume":"346","author":[{"family":"Collins","given":"Niall"},{"family":"Kumar Mediboyina","given":"Maneesh"},{"family":"Cerca","given":"Mariana"},{"family":"Vance","given":"Charlene"},{"family":"Murphy","given":"Fionnuala"}],"accessed":{"date-parts":[["2023",1,26]]},"issued":{"date-parts":[["2022",2]]}}}],"schema":"https://github.com/citation-style-language/schema/raw/master/csl-citation.json"} </w:instrText>
      </w:r>
      <w:r w:rsidR="00991563">
        <w:fldChar w:fldCharType="separate"/>
      </w:r>
      <w:r w:rsidR="003A4382" w:rsidRPr="003A4382">
        <w:t>(Collins et al., 2022)</w:t>
      </w:r>
      <w:r w:rsidR="00991563">
        <w:fldChar w:fldCharType="end"/>
      </w:r>
      <w:r>
        <w:t xml:space="preserve">. </w:t>
      </w:r>
      <w:r w:rsidR="00911AE7">
        <w:t xml:space="preserve">The </w:t>
      </w:r>
      <w:r w:rsidR="008855DB">
        <w:t xml:space="preserve">production </w:t>
      </w:r>
      <w:r w:rsidR="00911AE7">
        <w:t xml:space="preserve">process begins in April, when wild samples of the seaweed species are collected </w:t>
      </w:r>
      <w:r w:rsidR="008855DB">
        <w:t xml:space="preserve">locally </w:t>
      </w:r>
      <w:r w:rsidR="00911AE7">
        <w:t xml:space="preserve">and grown in a </w:t>
      </w:r>
      <w:r w:rsidR="008855DB">
        <w:t>hatchery on-site</w:t>
      </w:r>
      <w:r w:rsidR="00911AE7">
        <w:t xml:space="preserve">. </w:t>
      </w:r>
      <w:r w:rsidR="008855DB">
        <w:t>The</w:t>
      </w:r>
      <w:r w:rsidR="002766F9">
        <w:t xml:space="preserve"> 65 m2 hatchery can produce up to 100 km of seeded string</w:t>
      </w:r>
      <w:r w:rsidR="00211A25">
        <w:t xml:space="preserve"> per year</w:t>
      </w:r>
      <w:r w:rsidR="002766F9">
        <w:t xml:space="preserve">. In </w:t>
      </w:r>
      <w:r w:rsidR="0076211B">
        <w:t>the</w:t>
      </w:r>
      <w:r w:rsidR="002766F9">
        <w:t xml:space="preserve"> previous study it was found that 2.7 km of string was needed </w:t>
      </w:r>
      <w:r w:rsidR="008855DB">
        <w:t xml:space="preserve">per year </w:t>
      </w:r>
      <w:r w:rsidR="002766F9">
        <w:t xml:space="preserve">for </w:t>
      </w:r>
      <w:r w:rsidR="002D7682">
        <w:t>cultivation</w:t>
      </w:r>
      <w:r w:rsidR="002766F9">
        <w:t>.</w:t>
      </w:r>
      <w:r w:rsidR="00911AE7">
        <w:t xml:space="preserve"> </w:t>
      </w:r>
      <w:r w:rsidR="00E11174">
        <w:t>Thus</w:t>
      </w:r>
      <w:r w:rsidR="00AF0440">
        <w:t>,</w:t>
      </w:r>
      <w:r w:rsidR="00E11174">
        <w:t xml:space="preserve"> the equivalent </w:t>
      </w:r>
      <w:r w:rsidR="000E071A">
        <w:lastRenderedPageBreak/>
        <w:t>hatchery</w:t>
      </w:r>
      <w:r w:rsidR="00E11174">
        <w:t xml:space="preserve"> area to supply </w:t>
      </w:r>
      <w:r w:rsidR="000E071A">
        <w:t>C1 is 1.7</w:t>
      </w:r>
      <w:r w:rsidR="004D5D1C">
        <w:t>6</w:t>
      </w:r>
      <w:r w:rsidR="000E071A">
        <w:t xml:space="preserve"> m2 per year. </w:t>
      </w:r>
      <w:r w:rsidR="00E61760">
        <w:t xml:space="preserve">Deployment of the longlines occurs in </w:t>
      </w:r>
      <w:r w:rsidR="00724A20">
        <w:t>October</w:t>
      </w:r>
      <w:r w:rsidR="00125C52">
        <w:t xml:space="preserve">. </w:t>
      </w:r>
      <w:r w:rsidR="00CD767E">
        <w:t xml:space="preserve">The </w:t>
      </w:r>
      <w:r w:rsidR="004C3CE0">
        <w:t xml:space="preserve">effective </w:t>
      </w:r>
      <w:r w:rsidR="00CD767E">
        <w:t xml:space="preserve">cultivation </w:t>
      </w:r>
      <w:r w:rsidR="004C3CE0">
        <w:t xml:space="preserve">area </w:t>
      </w:r>
      <w:r w:rsidR="00CD767E">
        <w:t xml:space="preserve">is 1.1 ha and comprises of 11 longlines of 110 m each. </w:t>
      </w:r>
      <w:r w:rsidR="009B58BC">
        <w:t xml:space="preserve">According to primary data, </w:t>
      </w:r>
      <w:r w:rsidR="00E61760">
        <w:t xml:space="preserve">10 lines </w:t>
      </w:r>
      <w:r w:rsidR="00125C52">
        <w:t xml:space="preserve">can be deployed in a day </w:t>
      </w:r>
      <w:r w:rsidR="009B58BC">
        <w:t>with 1 driver and 1 crew member</w:t>
      </w:r>
      <w:r w:rsidR="00125C52">
        <w:t xml:space="preserve">. </w:t>
      </w:r>
      <w:r w:rsidR="00976064">
        <w:t>Deployment of the seeded string is done by</w:t>
      </w:r>
      <w:r w:rsidR="0014392D">
        <w:t xml:space="preserve"> 2</w:t>
      </w:r>
      <w:r w:rsidR="00976064">
        <w:t xml:space="preserve"> </w:t>
      </w:r>
      <w:r w:rsidR="0014392D">
        <w:t>technical personnel</w:t>
      </w:r>
      <w:r w:rsidR="008C6C7A">
        <w:t>, also at the rate of 10 lines per day.</w:t>
      </w:r>
      <w:r w:rsidR="0014392D">
        <w:t xml:space="preserve"> </w:t>
      </w:r>
      <w:r>
        <w:t>The growing period occurs from Nov-March</w:t>
      </w:r>
      <w:r w:rsidR="00AF0440">
        <w:t>,</w:t>
      </w:r>
      <w:r w:rsidR="008051DA">
        <w:t xml:space="preserve"> </w:t>
      </w:r>
      <w:r w:rsidR="000452D9">
        <w:t>where m</w:t>
      </w:r>
      <w:r>
        <w:t>aintenance on the longlines occurs once per month for the growth period</w:t>
      </w:r>
      <w:r w:rsidR="00D03A66">
        <w:t>.</w:t>
      </w:r>
      <w:r>
        <w:t xml:space="preserve"> Harvesting takes place once per year in early Spring</w:t>
      </w:r>
      <w:r w:rsidR="00686AD9">
        <w:t xml:space="preserve"> (between March-</w:t>
      </w:r>
      <w:r w:rsidR="00A248F6">
        <w:t>May</w:t>
      </w:r>
      <w:r w:rsidR="00686AD9">
        <w:t>, depending on weather conditions)</w:t>
      </w:r>
      <w:r>
        <w:t>. The current practice is to cut the seaweed from the lines manually</w:t>
      </w:r>
      <w:r w:rsidR="00D03A66">
        <w:t xml:space="preserve"> on a </w:t>
      </w:r>
      <w:r w:rsidR="00390D1F">
        <w:t>15m boat</w:t>
      </w:r>
      <w:r w:rsidR="005252AC">
        <w:t>, which takes 3 workers and 1 driver approximately 1 hour per line</w:t>
      </w:r>
      <w:r>
        <w:t xml:space="preserve">. </w:t>
      </w:r>
      <w:r w:rsidR="005252AC">
        <w:t xml:space="preserve">The seaweed is transferred </w:t>
      </w:r>
      <w:r w:rsidR="00EE775B">
        <w:t xml:space="preserve">from </w:t>
      </w:r>
      <w:r w:rsidR="004C1007">
        <w:t xml:space="preserve">boat to dock </w:t>
      </w:r>
      <w:r w:rsidR="005252AC">
        <w:t>using plastic boxes and a forklift</w:t>
      </w:r>
      <w:r w:rsidR="007739C9">
        <w:t xml:space="preserve">, which takes the </w:t>
      </w:r>
      <w:r w:rsidR="00452127">
        <w:t xml:space="preserve">workers an additional </w:t>
      </w:r>
      <w:r w:rsidR="007222B9">
        <w:t>2</w:t>
      </w:r>
      <w:r w:rsidR="00452127">
        <w:t xml:space="preserve"> hour</w:t>
      </w:r>
      <w:r w:rsidR="007222B9">
        <w:t>s</w:t>
      </w:r>
      <w:r w:rsidR="00452127">
        <w:t xml:space="preserve"> per </w:t>
      </w:r>
      <w:r w:rsidR="00745C15">
        <w:t>day</w:t>
      </w:r>
      <w:r w:rsidR="005252AC">
        <w:t xml:space="preserve">. </w:t>
      </w:r>
      <w:r w:rsidR="008F49F7">
        <w:t xml:space="preserve">Thus, the </w:t>
      </w:r>
      <w:r w:rsidR="000C3B7F">
        <w:t xml:space="preserve">harvesting </w:t>
      </w:r>
      <w:r w:rsidR="0033775B">
        <w:t xml:space="preserve">rate </w:t>
      </w:r>
      <w:r w:rsidR="000C3B7F">
        <w:t xml:space="preserve">is assumed to be </w:t>
      </w:r>
      <w:r w:rsidR="00ED086E">
        <w:t>6</w:t>
      </w:r>
      <w:r w:rsidR="008F49F7">
        <w:t xml:space="preserve"> lines per day. </w:t>
      </w:r>
    </w:p>
    <w:p w14:paraId="7B2F04E5" w14:textId="7E92F0AD" w:rsidR="008F125D" w:rsidRPr="004B4F35" w:rsidRDefault="00627099" w:rsidP="009624E8">
      <w:pPr>
        <w:spacing w:after="240" w:line="480" w:lineRule="auto"/>
        <w:jc w:val="both"/>
      </w:pPr>
      <w:r w:rsidRPr="004B4F35">
        <w:t>For the medium-</w:t>
      </w:r>
      <w:r w:rsidR="008748DE" w:rsidRPr="004B4F35">
        <w:t>s</w:t>
      </w:r>
      <w:r w:rsidR="008748DE">
        <w:t>ize</w:t>
      </w:r>
      <w:r w:rsidR="008748DE" w:rsidRPr="004B4F35">
        <w:t xml:space="preserve"> </w:t>
      </w:r>
      <w:r w:rsidRPr="004B4F35">
        <w:t>seaweed farm</w:t>
      </w:r>
      <w:r w:rsidR="00DF7A96" w:rsidRPr="004B4F35">
        <w:t xml:space="preserve"> (C2)</w:t>
      </w:r>
      <w:r w:rsidRPr="004B4F35">
        <w:t xml:space="preserve">, </w:t>
      </w:r>
      <w:r w:rsidR="00627042">
        <w:t>the LCI is based off secondary data</w:t>
      </w:r>
      <w:r w:rsidR="00F965A1" w:rsidRPr="004B4F35">
        <w:t xml:space="preserve"> from </w:t>
      </w:r>
      <w:r w:rsidR="00627042">
        <w:t xml:space="preserve">the study by </w:t>
      </w:r>
      <w:r w:rsidR="00F965A1" w:rsidRPr="004B4F35">
        <w:t xml:space="preserve">Nilsson et al. </w:t>
      </w:r>
      <w:r w:rsidR="00AC7209">
        <w:fldChar w:fldCharType="begin"/>
      </w:r>
      <w:r w:rsidR="00AC7209">
        <w:instrText xml:space="preserve"> ADDIN ZOTERO_ITEM CSL_CITATION {"citationID":"57xwGqLK","properties":{"formattedCitation":"(2022)","plainCitation":"(2022)","noteIndex":0},"citationItems":[{"id":387,"uris":["http://zotero.org/users/8766396/items/FYTF2INX"],"itemData":{"id":387,"type":"article-journal","abstract":"Blue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Pilar"},{"family":"Cabral","given":"Eduarda M."},{"family":"Tiwari","given":"Brijesh Kumar"}],"accessed":{"date-parts":[["2023",1,26]]},"issued":{"date-parts":[["2022",6]]}},"label":"page","suppress-author":true}],"schema":"https://github.com/citation-style-language/schema/raw/master/csl-citation.json"} </w:instrText>
      </w:r>
      <w:r w:rsidR="00AC7209">
        <w:fldChar w:fldCharType="separate"/>
      </w:r>
      <w:r w:rsidR="003A4382" w:rsidRPr="003A4382">
        <w:t>(2022)</w:t>
      </w:r>
      <w:r w:rsidR="00AC7209">
        <w:fldChar w:fldCharType="end"/>
      </w:r>
      <w:r w:rsidR="00211A25">
        <w:t xml:space="preserve">, which considers a seaweed cultivation site in </w:t>
      </w:r>
      <w:proofErr w:type="spellStart"/>
      <w:r w:rsidR="00211A25">
        <w:t>Blacksod</w:t>
      </w:r>
      <w:proofErr w:type="spellEnd"/>
      <w:r w:rsidR="00211A25">
        <w:t xml:space="preserve"> Bay, Co</w:t>
      </w:r>
      <w:r w:rsidR="009F5983">
        <w:t>.</w:t>
      </w:r>
      <w:r w:rsidR="00211A25">
        <w:t xml:space="preserve"> Mayo</w:t>
      </w:r>
      <w:r w:rsidR="00F965A1" w:rsidRPr="004B4F35">
        <w:t xml:space="preserve">. </w:t>
      </w:r>
      <w:r w:rsidR="00FE6294" w:rsidRPr="004B4F35">
        <w:t>As th</w:t>
      </w:r>
      <w:r w:rsidR="005C6EB1">
        <w:t xml:space="preserve">e literature </w:t>
      </w:r>
      <w:r w:rsidR="00FE6294" w:rsidRPr="004B4F35">
        <w:t xml:space="preserve">did not </w:t>
      </w:r>
      <w:r w:rsidR="005C6EB1">
        <w:t>report</w:t>
      </w:r>
      <w:r w:rsidR="00FE6294" w:rsidRPr="004B4F35">
        <w:t xml:space="preserve"> hatchery area, it </w:t>
      </w:r>
      <w:r w:rsidR="00E939F2">
        <w:t>i</w:t>
      </w:r>
      <w:r w:rsidR="00FE6294" w:rsidRPr="004B4F35">
        <w:t xml:space="preserve">s estimated based on the </w:t>
      </w:r>
      <w:r w:rsidR="00CB277D" w:rsidRPr="004B4F35">
        <w:t xml:space="preserve">amount of seeded string which would be needed </w:t>
      </w:r>
      <w:r w:rsidR="00D72791" w:rsidRPr="004B4F35">
        <w:t>for the</w:t>
      </w:r>
      <w:r w:rsidR="00CB277D" w:rsidRPr="004B4F35">
        <w:t xml:space="preserve"> </w:t>
      </w:r>
      <w:r w:rsidR="00FE6294" w:rsidRPr="004B4F35">
        <w:t xml:space="preserve">km of longlines </w:t>
      </w:r>
      <w:r w:rsidR="00CB277D" w:rsidRPr="004B4F35">
        <w:t>deployed</w:t>
      </w:r>
      <w:r w:rsidR="005C6EB1">
        <w:t xml:space="preserve"> (10.8 km)</w:t>
      </w:r>
      <w:r w:rsidR="00D72791" w:rsidRPr="004B4F35">
        <w:t>.</w:t>
      </w:r>
      <w:r w:rsidR="00CB277D" w:rsidRPr="004B4F35">
        <w:t xml:space="preserve"> </w:t>
      </w:r>
      <w:r w:rsidR="00DF7A96" w:rsidRPr="004B4F35">
        <w:t>Thus, the equivalent hatchery area to supply C</w:t>
      </w:r>
      <w:r w:rsidR="004D5D1C" w:rsidRPr="004B4F35">
        <w:t>2</w:t>
      </w:r>
      <w:r w:rsidR="00DF7A96" w:rsidRPr="004B4F35">
        <w:t xml:space="preserve"> is </w:t>
      </w:r>
      <w:r w:rsidR="000B4EE7" w:rsidRPr="004B4F35">
        <w:t>7.02</w:t>
      </w:r>
      <w:r w:rsidR="00DF7A96" w:rsidRPr="004B4F35">
        <w:t xml:space="preserve"> m2 per year. </w:t>
      </w:r>
      <w:r w:rsidR="0054664D" w:rsidRPr="004B4F35">
        <w:t xml:space="preserve">The </w:t>
      </w:r>
      <w:r w:rsidR="004C3CE0">
        <w:t xml:space="preserve">effective </w:t>
      </w:r>
      <w:r w:rsidR="0054664D" w:rsidRPr="004B4F35">
        <w:t xml:space="preserve">cultivation </w:t>
      </w:r>
      <w:r w:rsidR="004C3CE0">
        <w:t>area</w:t>
      </w:r>
      <w:r w:rsidR="004C3CE0" w:rsidRPr="004B4F35">
        <w:t xml:space="preserve"> </w:t>
      </w:r>
      <w:r w:rsidR="0054664D" w:rsidRPr="004B4F35">
        <w:t xml:space="preserve">is 4.4 ha and comprises of 11 longlines of 440 m each. </w:t>
      </w:r>
      <w:r w:rsidR="009C6C89" w:rsidRPr="004B4F35">
        <w:t xml:space="preserve">As in this case the longlines are 4 times the length of </w:t>
      </w:r>
      <w:r w:rsidR="000D29EF">
        <w:t>the small-</w:t>
      </w:r>
      <w:r w:rsidR="00BF29E7">
        <w:t>size farm’s</w:t>
      </w:r>
      <w:r w:rsidR="009C6C89" w:rsidRPr="004B4F35">
        <w:t xml:space="preserve">, it </w:t>
      </w:r>
      <w:r w:rsidR="00E939F2">
        <w:t>i</w:t>
      </w:r>
      <w:r w:rsidR="009C6C89" w:rsidRPr="004B4F35">
        <w:t>s assumed to take four times as long to deploy and harvest</w:t>
      </w:r>
      <w:r w:rsidR="00661310" w:rsidRPr="004B4F35">
        <w:t xml:space="preserve"> each longline</w:t>
      </w:r>
      <w:r w:rsidR="009C6C89" w:rsidRPr="004B4F35">
        <w:t xml:space="preserve">. </w:t>
      </w:r>
    </w:p>
    <w:p w14:paraId="4D0C603D" w14:textId="66281A0D" w:rsidR="00B47074" w:rsidRDefault="002169EA" w:rsidP="004D503A">
      <w:pPr>
        <w:spacing w:after="240" w:line="480" w:lineRule="auto"/>
        <w:jc w:val="both"/>
      </w:pPr>
      <w:r w:rsidRPr="004B4F35">
        <w:t>For the large-</w:t>
      </w:r>
      <w:r w:rsidR="008748DE" w:rsidRPr="004B4F35">
        <w:t>s</w:t>
      </w:r>
      <w:r w:rsidR="008748DE">
        <w:t>ize</w:t>
      </w:r>
      <w:r w:rsidR="008748DE" w:rsidRPr="004B4F35">
        <w:t xml:space="preserve"> </w:t>
      </w:r>
      <w:r w:rsidRPr="004B4F35">
        <w:t xml:space="preserve">seaweed farm (C3), secondary data was taken from </w:t>
      </w:r>
      <w:proofErr w:type="spellStart"/>
      <w:r w:rsidRPr="004B4F35">
        <w:t>Taelman</w:t>
      </w:r>
      <w:proofErr w:type="spellEnd"/>
      <w:r w:rsidRPr="004B4F35">
        <w:t xml:space="preserve"> et al. </w:t>
      </w:r>
      <w:r w:rsidR="00AC7209">
        <w:fldChar w:fldCharType="begin"/>
      </w:r>
      <w:r w:rsidR="00AC7209">
        <w:instrText xml:space="preserve"> ADDIN ZOTERO_ITEM CSL_CITATION {"citationID":"bZRcHt7t","properties":{"formattedCitation":"(2015)","plainCitation":"(2015)","noteIndex":0},"citationItems":[{"id":130,"uris":["http://zotero.org/users/8766396/items/BNZMX52M"],"itemData":{"id":130,"type":"article-journal","container-title":"Algal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Meester","given":"S"},{"family":"Dewulf","given":"J"}],"issued":{"date-parts":[["2015"]]}},"label":"page","suppress-author":true}],"schema":"https://github.com/citation-style-language/schema/raw/master/csl-citation.json"} </w:instrText>
      </w:r>
      <w:r w:rsidR="00AC7209">
        <w:fldChar w:fldCharType="separate"/>
      </w:r>
      <w:r w:rsidR="003A4382" w:rsidRPr="003A4382">
        <w:t>(2015)</w:t>
      </w:r>
      <w:r w:rsidR="00AC7209">
        <w:fldChar w:fldCharType="end"/>
      </w:r>
      <w:r w:rsidR="009F5983">
        <w:t>, which considers a hatchery in Carna, Co. Galway and a cultivation site in Ventry Harbour, Co. Kerry</w:t>
      </w:r>
      <w:r w:rsidRPr="004B4F35">
        <w:t xml:space="preserve">. </w:t>
      </w:r>
      <w:r w:rsidR="008B3224" w:rsidRPr="004B4F35">
        <w:t>The</w:t>
      </w:r>
      <w:r w:rsidRPr="004B4F35">
        <w:t xml:space="preserve"> hatchery area</w:t>
      </w:r>
      <w:r w:rsidR="008B3224" w:rsidRPr="004B4F35">
        <w:t xml:space="preserve"> </w:t>
      </w:r>
      <w:r w:rsidR="00661310" w:rsidRPr="004B4F35">
        <w:t>is reported to be 120</w:t>
      </w:r>
      <w:r w:rsidRPr="004B4F35">
        <w:t xml:space="preserve"> m2 per year. </w:t>
      </w:r>
      <w:r w:rsidR="0054664D" w:rsidRPr="004B4F35">
        <w:t xml:space="preserve">The </w:t>
      </w:r>
      <w:r w:rsidR="004C3CE0">
        <w:t xml:space="preserve">effective </w:t>
      </w:r>
      <w:r w:rsidR="0054664D" w:rsidRPr="004B4F35">
        <w:t xml:space="preserve">cultivation </w:t>
      </w:r>
      <w:r w:rsidR="004C3CE0">
        <w:t>area</w:t>
      </w:r>
      <w:r w:rsidR="004C3CE0" w:rsidRPr="004B4F35">
        <w:t xml:space="preserve"> </w:t>
      </w:r>
      <w:r w:rsidR="0054664D" w:rsidRPr="004B4F35">
        <w:t xml:space="preserve">is 17.6 ha and comprises of 45 longlines of 280 m each. </w:t>
      </w:r>
      <w:r w:rsidR="00661310" w:rsidRPr="004B4F35">
        <w:t>I</w:t>
      </w:r>
      <w:r w:rsidRPr="004B4F35">
        <w:t xml:space="preserve">t </w:t>
      </w:r>
      <w:r w:rsidR="00E939F2">
        <w:t>i</w:t>
      </w:r>
      <w:r w:rsidRPr="004B4F35">
        <w:t xml:space="preserve">s assumed to take </w:t>
      </w:r>
      <w:r w:rsidR="00661310" w:rsidRPr="004B4F35">
        <w:t>2.5</w:t>
      </w:r>
      <w:r w:rsidRPr="004B4F35">
        <w:t xml:space="preserve"> times as long to deploy and harvest</w:t>
      </w:r>
      <w:r w:rsidR="00661310" w:rsidRPr="004B4F35">
        <w:t xml:space="preserve"> each longline</w:t>
      </w:r>
      <w:r w:rsidR="00BF29E7">
        <w:t xml:space="preserve"> compared to the small-size farm</w:t>
      </w:r>
      <w:r w:rsidRPr="004B4F35">
        <w:t xml:space="preserve">. </w:t>
      </w:r>
    </w:p>
    <w:p w14:paraId="1BBA1C29" w14:textId="6410A02A" w:rsidR="004D503A" w:rsidRDefault="004D503A" w:rsidP="00D9599D">
      <w:pPr>
        <w:spacing w:after="240" w:line="480" w:lineRule="auto"/>
        <w:jc w:val="both"/>
      </w:pPr>
      <w:r>
        <w:lastRenderedPageBreak/>
        <w:t>Longline yield, or productivity, is a significant factor in the performance of longline cultivation systems. Even considering similar cultivation methods</w:t>
      </w:r>
      <w:r w:rsidR="00ED0CD0">
        <w:t>, locations,</w:t>
      </w:r>
      <w:r w:rsidR="008F125D">
        <w:t xml:space="preserve"> and</w:t>
      </w:r>
      <w:r>
        <w:t xml:space="preserve"> species, </w:t>
      </w:r>
      <w:r w:rsidR="00ED0CD0">
        <w:t xml:space="preserve">annual </w:t>
      </w:r>
      <w:r w:rsidR="0063028C">
        <w:t>productivity varies</w:t>
      </w:r>
      <w:r>
        <w:t xml:space="preserve"> widely. </w:t>
      </w:r>
      <w:r w:rsidRPr="00161FE7">
        <w:rPr>
          <w:rFonts w:eastAsia="Times New Roman"/>
          <w:color w:val="000000"/>
          <w:lang w:val="en-IE"/>
        </w:rPr>
        <w:t xml:space="preserve">Average </w:t>
      </w:r>
      <w:r w:rsidR="0063028C">
        <w:rPr>
          <w:rFonts w:eastAsia="Times New Roman"/>
          <w:color w:val="000000"/>
          <w:lang w:val="en-IE"/>
        </w:rPr>
        <w:t>productivity</w:t>
      </w:r>
      <w:r w:rsidRPr="00161FE7">
        <w:rPr>
          <w:rFonts w:eastAsia="Times New Roman"/>
          <w:color w:val="000000"/>
          <w:lang w:val="en-IE"/>
        </w:rPr>
        <w:t xml:space="preserve"> </w:t>
      </w:r>
      <w:r w:rsidRPr="0067761B">
        <w:rPr>
          <w:rFonts w:eastAsia="Times New Roman"/>
          <w:color w:val="000000"/>
          <w:lang w:val="en-IE"/>
        </w:rPr>
        <w:t xml:space="preserve">for </w:t>
      </w:r>
      <w:r w:rsidR="0067761B">
        <w:rPr>
          <w:rFonts w:eastAsia="Times New Roman"/>
          <w:color w:val="000000"/>
          <w:lang w:val="en-IE"/>
        </w:rPr>
        <w:t xml:space="preserve">cultivating </w:t>
      </w:r>
      <w:r w:rsidRPr="0067761B">
        <w:rPr>
          <w:rFonts w:eastAsia="Times New Roman"/>
          <w:i/>
          <w:iCs/>
          <w:color w:val="000000"/>
          <w:lang w:val="en-IE"/>
        </w:rPr>
        <w:t xml:space="preserve">S </w:t>
      </w:r>
      <w:proofErr w:type="spellStart"/>
      <w:r w:rsidRPr="0067761B">
        <w:rPr>
          <w:rFonts w:eastAsia="Times New Roman"/>
          <w:i/>
          <w:iCs/>
          <w:color w:val="000000"/>
          <w:lang w:val="en-IE"/>
        </w:rPr>
        <w:t>latissima</w:t>
      </w:r>
      <w:proofErr w:type="spellEnd"/>
      <w:r w:rsidRPr="0067761B">
        <w:rPr>
          <w:rFonts w:eastAsia="Times New Roman"/>
          <w:color w:val="000000"/>
          <w:lang w:val="en-IE"/>
        </w:rPr>
        <w:t xml:space="preserve"> in Ireland </w:t>
      </w:r>
      <w:r w:rsidR="00ED0CD0">
        <w:rPr>
          <w:rFonts w:eastAsia="Times New Roman"/>
          <w:color w:val="000000"/>
          <w:lang w:val="en-IE"/>
        </w:rPr>
        <w:t>is</w:t>
      </w:r>
      <w:r w:rsidRPr="00161FE7">
        <w:rPr>
          <w:rFonts w:eastAsia="Times New Roman"/>
          <w:color w:val="000000"/>
          <w:lang w:val="en-IE"/>
        </w:rPr>
        <w:t xml:space="preserve"> reported </w:t>
      </w:r>
      <w:r w:rsidR="00ED0CD0">
        <w:rPr>
          <w:rFonts w:eastAsia="Times New Roman"/>
          <w:color w:val="000000"/>
          <w:lang w:val="en-IE"/>
        </w:rPr>
        <w:t>as</w:t>
      </w:r>
      <w:r w:rsidRPr="00161FE7">
        <w:rPr>
          <w:rFonts w:eastAsia="Times New Roman"/>
          <w:color w:val="000000"/>
          <w:lang w:val="en-IE"/>
        </w:rPr>
        <w:t xml:space="preserve"> 8 kg </w:t>
      </w:r>
      <w:r>
        <w:rPr>
          <w:rFonts w:eastAsia="Times New Roman"/>
          <w:color w:val="000000"/>
          <w:lang w:val="en-IE"/>
        </w:rPr>
        <w:t>FW</w:t>
      </w:r>
      <w:r w:rsidRPr="00161FE7">
        <w:rPr>
          <w:rFonts w:eastAsia="Times New Roman"/>
          <w:color w:val="000000"/>
          <w:lang w:val="en-IE"/>
        </w:rPr>
        <w:t>/m longline</w:t>
      </w:r>
      <w:r w:rsidR="008F125D">
        <w:rPr>
          <w:rFonts w:eastAsia="Times New Roman"/>
          <w:color w:val="000000"/>
          <w:lang w:val="en-IE"/>
        </w:rPr>
        <w:t xml:space="preserve"> for the C2 farm</w:t>
      </w:r>
      <w:r w:rsidRPr="00161FE7">
        <w:rPr>
          <w:rFonts w:eastAsia="Times New Roman"/>
          <w:color w:val="000000"/>
          <w:lang w:val="en-IE"/>
        </w:rPr>
        <w:t xml:space="preserve"> </w:t>
      </w:r>
      <w:r>
        <w:rPr>
          <w:rFonts w:eastAsia="Times New Roman"/>
          <w:color w:val="000000"/>
          <w:lang w:val="en-IE"/>
        </w:rPr>
        <w:fldChar w:fldCharType="begin"/>
      </w:r>
      <w:r>
        <w:rPr>
          <w:rFonts w:eastAsia="Times New Roman"/>
          <w:color w:val="000000"/>
          <w:lang w:val="en-IE"/>
        </w:rPr>
        <w:instrText xml:space="preserve"> ADDIN ZOTERO_ITEM CSL_CITATION {"citationID":"BKPNc6HJ","properties":{"formattedCitation":"(Nilsson et al., 2022)","plainCitation":"(Nilsson et al., 2022)","noteIndex":0},"citationItems":[{"id":387,"uris":["http://zotero.org/users/8766396/items/FYTF2INX"],"itemData":{"id":387,"type":"article-journal","abstract":"Blue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Pilar"},{"family":"Cabral","given":"Eduarda M."},{"family":"Tiwari","given":"Brijesh Kumar"}],"accessed":{"date-parts":[["2023",1,26]]},"issued":{"date-parts":[["2022",6]]}}}],"schema":"https://github.com/citation-style-language/schema/raw/master/csl-citation.json"} </w:instrText>
      </w:r>
      <w:r>
        <w:rPr>
          <w:rFonts w:eastAsia="Times New Roman"/>
          <w:color w:val="000000"/>
          <w:lang w:val="en-IE"/>
        </w:rPr>
        <w:fldChar w:fldCharType="separate"/>
      </w:r>
      <w:r w:rsidRPr="00A85064">
        <w:t>(Nilsson et al., 2022)</w:t>
      </w:r>
      <w:r>
        <w:rPr>
          <w:rFonts w:eastAsia="Times New Roman"/>
          <w:color w:val="000000"/>
          <w:lang w:val="en-IE"/>
        </w:rPr>
        <w:fldChar w:fldCharType="end"/>
      </w:r>
      <w:r w:rsidRPr="00161FE7">
        <w:rPr>
          <w:rFonts w:eastAsia="Times New Roman"/>
          <w:color w:val="000000"/>
          <w:lang w:val="en-IE"/>
        </w:rPr>
        <w:t xml:space="preserve"> </w:t>
      </w:r>
      <w:r w:rsidR="00ED0CD0">
        <w:rPr>
          <w:rFonts w:eastAsia="Times New Roman"/>
          <w:color w:val="000000"/>
          <w:lang w:val="en-IE"/>
        </w:rPr>
        <w:t>and</w:t>
      </w:r>
      <w:r w:rsidRPr="00161FE7">
        <w:rPr>
          <w:rFonts w:eastAsia="Times New Roman"/>
          <w:color w:val="000000"/>
          <w:lang w:val="en-IE"/>
        </w:rPr>
        <w:t xml:space="preserve"> 25 kg FW/m longline</w:t>
      </w:r>
      <w:r w:rsidR="008F125D">
        <w:rPr>
          <w:rFonts w:eastAsia="Times New Roman"/>
          <w:color w:val="000000"/>
          <w:lang w:val="en-IE"/>
        </w:rPr>
        <w:t xml:space="preserve"> for the C3 farm</w:t>
      </w:r>
      <w:r w:rsidRPr="00161FE7">
        <w:rPr>
          <w:rFonts w:eastAsia="Times New Roman"/>
          <w:color w:val="000000"/>
          <w:lang w:val="en-IE"/>
        </w:rPr>
        <w:t xml:space="preserve"> </w:t>
      </w:r>
      <w:r w:rsidRPr="00161FE7">
        <w:rPr>
          <w:rFonts w:eastAsia="Times New Roman"/>
          <w:color w:val="000000"/>
          <w:lang w:val="en-IE"/>
        </w:rPr>
        <w:fldChar w:fldCharType="begin"/>
      </w:r>
      <w:r>
        <w:rPr>
          <w:rFonts w:eastAsia="Times New Roman"/>
          <w:color w:val="000000"/>
          <w:lang w:val="en-IE"/>
        </w:rPr>
        <w:instrText xml:space="preserve"> ADDIN ZOTERO_ITEM CSL_CITATION {"citationID":"pjVxMOlL","properties":{"formattedCitation":"(Taelman et al., 2015)","plainCitation":"(Taelman et al., 2015)","noteIndex":0},"citationItems":[{"id":130,"uris":["http://zotero.org/users/8766396/items/BNZMX52M"],"itemData":{"id":130,"type":"article-journal","container-title":"Algal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Meester","given":"S"},{"family":"Dewulf","given":"J"}],"issued":{"date-parts":[["2015"]]}}}],"schema":"https://github.com/citation-style-language/schema/raw/master/csl-citation.json"} </w:instrText>
      </w:r>
      <w:r w:rsidRPr="00161FE7">
        <w:rPr>
          <w:rFonts w:eastAsia="Times New Roman"/>
          <w:color w:val="000000"/>
          <w:lang w:val="en-IE"/>
        </w:rPr>
        <w:fldChar w:fldCharType="separate"/>
      </w:r>
      <w:r w:rsidRPr="00A85064">
        <w:t>(Taelman et al., 2015)</w:t>
      </w:r>
      <w:r w:rsidRPr="00161FE7">
        <w:rPr>
          <w:rFonts w:eastAsia="Times New Roman"/>
          <w:color w:val="000000"/>
          <w:lang w:val="en-IE"/>
        </w:rPr>
        <w:fldChar w:fldCharType="end"/>
      </w:r>
      <w:r>
        <w:rPr>
          <w:rFonts w:eastAsia="Times New Roman"/>
          <w:color w:val="000000"/>
          <w:lang w:val="en-IE"/>
        </w:rPr>
        <w:t xml:space="preserve">. </w:t>
      </w:r>
      <w:r w:rsidR="00ED0CD0">
        <w:t>P</w:t>
      </w:r>
      <w:r w:rsidR="008F125D">
        <w:t>rimary data f</w:t>
      </w:r>
      <w:r w:rsidR="00ED0CD0">
        <w:t>ro</w:t>
      </w:r>
      <w:r w:rsidR="008F125D">
        <w:t xml:space="preserve">m BMRS showed that </w:t>
      </w:r>
      <w:r w:rsidR="0063028C">
        <w:t>productivity</w:t>
      </w:r>
      <w:r>
        <w:t xml:space="preserve"> </w:t>
      </w:r>
      <w:r w:rsidRPr="0067761B">
        <w:rPr>
          <w:rFonts w:eastAsia="Times New Roman"/>
          <w:color w:val="000000"/>
          <w:lang w:val="en-IE"/>
        </w:rPr>
        <w:t xml:space="preserve">for </w:t>
      </w:r>
      <w:r w:rsidRPr="0067761B">
        <w:rPr>
          <w:rFonts w:eastAsia="Times New Roman"/>
          <w:i/>
          <w:iCs/>
          <w:color w:val="000000"/>
          <w:lang w:val="en-IE"/>
        </w:rPr>
        <w:t>A esculenta</w:t>
      </w:r>
      <w:r w:rsidRPr="00161FE7">
        <w:rPr>
          <w:rFonts w:eastAsia="Times New Roman"/>
          <w:color w:val="000000"/>
          <w:lang w:val="en-IE"/>
        </w:rPr>
        <w:t xml:space="preserve"> </w:t>
      </w:r>
      <w:r>
        <w:t>could vary from 6-1</w:t>
      </w:r>
      <w:r w:rsidR="0063028C">
        <w:t>8</w:t>
      </w:r>
      <w:r>
        <w:t xml:space="preserve"> kg/m longline, depending on the </w:t>
      </w:r>
      <w:r w:rsidR="008F125D">
        <w:t>weather conditions</w:t>
      </w:r>
      <w:r w:rsidR="0063028C">
        <w:t xml:space="preserve"> and nearby aquaculture activities</w:t>
      </w:r>
      <w:r>
        <w:t xml:space="preserve">. To compare the production pathways, the </w:t>
      </w:r>
      <w:r w:rsidR="0063028C">
        <w:t>productivity</w:t>
      </w:r>
      <w:r>
        <w:t xml:space="preserve"> of all cultivation systems was </w:t>
      </w:r>
      <w:r w:rsidR="00B7712B">
        <w:t>adjusted</w:t>
      </w:r>
      <w:r>
        <w:t xml:space="preserve"> to 12 kg FW/m longline. </w:t>
      </w:r>
    </w:p>
    <w:p w14:paraId="148CC52A" w14:textId="77777777" w:rsidR="00B47074" w:rsidRDefault="00B47074">
      <w:r>
        <w:br w:type="page"/>
      </w:r>
    </w:p>
    <w:tbl>
      <w:tblPr>
        <w:tblpPr w:leftFromText="180" w:rightFromText="180" w:vertAnchor="text" w:horzAnchor="margin" w:tblpY="541"/>
        <w:tblW w:w="9498" w:type="dxa"/>
        <w:tblLayout w:type="fixed"/>
        <w:tblLook w:val="04A0" w:firstRow="1" w:lastRow="0" w:firstColumn="1" w:lastColumn="0" w:noHBand="0" w:noVBand="1"/>
      </w:tblPr>
      <w:tblGrid>
        <w:gridCol w:w="3119"/>
        <w:gridCol w:w="1984"/>
        <w:gridCol w:w="2127"/>
        <w:gridCol w:w="2268"/>
      </w:tblGrid>
      <w:tr w:rsidR="00B47074" w:rsidRPr="008121D6" w:rsidDel="00E5369C" w14:paraId="76252F93" w14:textId="77777777" w:rsidTr="00D9599D">
        <w:trPr>
          <w:trHeight w:val="297"/>
        </w:trPr>
        <w:tc>
          <w:tcPr>
            <w:tcW w:w="3119" w:type="dxa"/>
            <w:tcBorders>
              <w:top w:val="single" w:sz="4" w:space="0" w:color="auto"/>
              <w:left w:val="single" w:sz="4" w:space="0" w:color="auto"/>
              <w:bottom w:val="single" w:sz="4" w:space="0" w:color="auto"/>
              <w:right w:val="single" w:sz="4" w:space="0" w:color="auto"/>
            </w:tcBorders>
            <w:vAlign w:val="center"/>
          </w:tcPr>
          <w:p w14:paraId="4DFBEF31"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lastRenderedPageBreak/>
              <w:t>Cultivation pathway</w:t>
            </w:r>
          </w:p>
        </w:tc>
        <w:tc>
          <w:tcPr>
            <w:tcW w:w="1984" w:type="dxa"/>
            <w:tcBorders>
              <w:top w:val="single" w:sz="4" w:space="0" w:color="auto"/>
              <w:left w:val="single" w:sz="4" w:space="0" w:color="auto"/>
              <w:bottom w:val="single" w:sz="4" w:space="0" w:color="auto"/>
              <w:right w:val="single" w:sz="4" w:space="0" w:color="auto"/>
            </w:tcBorders>
            <w:vAlign w:val="center"/>
          </w:tcPr>
          <w:p w14:paraId="5514095C"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C1</w:t>
            </w:r>
          </w:p>
        </w:tc>
        <w:tc>
          <w:tcPr>
            <w:tcW w:w="2127" w:type="dxa"/>
            <w:tcBorders>
              <w:top w:val="single" w:sz="4" w:space="0" w:color="auto"/>
              <w:left w:val="single" w:sz="4" w:space="0" w:color="auto"/>
              <w:bottom w:val="single" w:sz="4" w:space="0" w:color="auto"/>
              <w:right w:val="single" w:sz="4" w:space="0" w:color="auto"/>
            </w:tcBorders>
            <w:vAlign w:val="center"/>
          </w:tcPr>
          <w:p w14:paraId="7CB7F119"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C2</w:t>
            </w:r>
          </w:p>
        </w:tc>
        <w:tc>
          <w:tcPr>
            <w:tcW w:w="2268" w:type="dxa"/>
            <w:tcBorders>
              <w:top w:val="single" w:sz="4" w:space="0" w:color="auto"/>
              <w:left w:val="single" w:sz="4" w:space="0" w:color="auto"/>
              <w:bottom w:val="single" w:sz="4" w:space="0" w:color="auto"/>
              <w:right w:val="single" w:sz="4" w:space="0" w:color="auto"/>
            </w:tcBorders>
            <w:vAlign w:val="center"/>
          </w:tcPr>
          <w:p w14:paraId="37A954C1"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C3</w:t>
            </w:r>
          </w:p>
        </w:tc>
      </w:tr>
      <w:tr w:rsidR="00B47074" w:rsidRPr="008121D6" w:rsidDel="00E5369C" w14:paraId="520AFCF9" w14:textId="77777777" w:rsidTr="00D9599D">
        <w:trPr>
          <w:trHeight w:val="297"/>
        </w:trPr>
        <w:tc>
          <w:tcPr>
            <w:tcW w:w="3119" w:type="dxa"/>
            <w:tcBorders>
              <w:top w:val="single" w:sz="4" w:space="0" w:color="auto"/>
              <w:left w:val="single" w:sz="4" w:space="0" w:color="auto"/>
              <w:bottom w:val="single" w:sz="4" w:space="0" w:color="auto"/>
              <w:right w:val="single" w:sz="4" w:space="0" w:color="auto"/>
            </w:tcBorders>
            <w:vAlign w:val="center"/>
          </w:tcPr>
          <w:p w14:paraId="0B9F14D7"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Source data</w:t>
            </w:r>
          </w:p>
        </w:tc>
        <w:tc>
          <w:tcPr>
            <w:tcW w:w="1984" w:type="dxa"/>
            <w:tcBorders>
              <w:top w:val="single" w:sz="4" w:space="0" w:color="auto"/>
              <w:left w:val="single" w:sz="4" w:space="0" w:color="auto"/>
              <w:bottom w:val="single" w:sz="4" w:space="0" w:color="auto"/>
              <w:right w:val="single" w:sz="4" w:space="0" w:color="auto"/>
            </w:tcBorders>
            <w:vAlign w:val="center"/>
          </w:tcPr>
          <w:p w14:paraId="70EF2816"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Primary data</w:t>
            </w:r>
          </w:p>
        </w:tc>
        <w:tc>
          <w:tcPr>
            <w:tcW w:w="2127" w:type="dxa"/>
            <w:tcBorders>
              <w:top w:val="single" w:sz="4" w:space="0" w:color="auto"/>
              <w:left w:val="single" w:sz="4" w:space="0" w:color="auto"/>
              <w:bottom w:val="single" w:sz="4" w:space="0" w:color="auto"/>
              <w:right w:val="single" w:sz="4" w:space="0" w:color="auto"/>
            </w:tcBorders>
            <w:vAlign w:val="center"/>
          </w:tcPr>
          <w:p w14:paraId="21E1C5BC"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eastAsia="Times New Roman" w:hAnsi="Calibri" w:cs="Calibri"/>
                <w:b/>
                <w:bCs/>
                <w:color w:val="000000"/>
                <w:lang w:val="en-IE"/>
              </w:rPr>
              <w:t>Nilsson et al. (2022)</w:t>
            </w:r>
          </w:p>
        </w:tc>
        <w:tc>
          <w:tcPr>
            <w:tcW w:w="2268" w:type="dxa"/>
            <w:tcBorders>
              <w:top w:val="single" w:sz="4" w:space="0" w:color="auto"/>
              <w:left w:val="single" w:sz="4" w:space="0" w:color="auto"/>
              <w:bottom w:val="single" w:sz="4" w:space="0" w:color="auto"/>
              <w:right w:val="single" w:sz="4" w:space="0" w:color="auto"/>
            </w:tcBorders>
            <w:vAlign w:val="center"/>
          </w:tcPr>
          <w:p w14:paraId="6D6B8CF1"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proofErr w:type="spellStart"/>
            <w:r w:rsidRPr="00AD0C55" w:rsidDel="00E5369C">
              <w:rPr>
                <w:rFonts w:ascii="Calibri" w:eastAsia="Times New Roman" w:hAnsi="Calibri" w:cs="Calibri"/>
                <w:b/>
                <w:bCs/>
                <w:color w:val="000000"/>
                <w:lang w:val="en-IE"/>
              </w:rPr>
              <w:t>Taelman</w:t>
            </w:r>
            <w:proofErr w:type="spellEnd"/>
            <w:r w:rsidRPr="00AD0C55" w:rsidDel="00E5369C">
              <w:rPr>
                <w:rFonts w:ascii="Calibri" w:eastAsia="Times New Roman" w:hAnsi="Calibri" w:cs="Calibri"/>
                <w:b/>
                <w:bCs/>
                <w:color w:val="000000"/>
                <w:lang w:val="en-IE"/>
              </w:rPr>
              <w:t xml:space="preserve"> et al. (2015)</w:t>
            </w:r>
          </w:p>
        </w:tc>
      </w:tr>
      <w:tr w:rsidR="00B47074" w:rsidRPr="008121D6" w:rsidDel="00E5369C" w14:paraId="7CAEAB72" w14:textId="77777777" w:rsidTr="00D9599D">
        <w:trPr>
          <w:trHeight w:val="297"/>
        </w:trPr>
        <w:tc>
          <w:tcPr>
            <w:tcW w:w="9498" w:type="dxa"/>
            <w:gridSpan w:val="4"/>
            <w:tcBorders>
              <w:top w:val="single" w:sz="4" w:space="0" w:color="auto"/>
              <w:left w:val="single" w:sz="4" w:space="0" w:color="auto"/>
              <w:bottom w:val="single" w:sz="4" w:space="0" w:color="auto"/>
              <w:right w:val="single" w:sz="4" w:space="0" w:color="auto"/>
            </w:tcBorders>
            <w:vAlign w:val="center"/>
          </w:tcPr>
          <w:p w14:paraId="0A97CD61" w14:textId="77777777" w:rsidR="00B47074" w:rsidRPr="00B47074" w:rsidDel="00E5369C" w:rsidRDefault="00B47074" w:rsidP="00B47074">
            <w:pPr>
              <w:spacing w:after="240" w:line="240" w:lineRule="auto"/>
              <w:rPr>
                <w:rFonts w:ascii="Calibri" w:eastAsia="Times New Roman" w:hAnsi="Calibri" w:cs="Calibri"/>
                <w:b/>
                <w:bCs/>
                <w:color w:val="000000"/>
                <w:lang w:val="en-IE"/>
              </w:rPr>
            </w:pPr>
            <w:r w:rsidRPr="00B47074">
              <w:rPr>
                <w:rFonts w:ascii="Calibri" w:eastAsia="Times New Roman" w:hAnsi="Calibri" w:cs="Calibri"/>
                <w:b/>
                <w:bCs/>
                <w:color w:val="000000"/>
                <w:lang w:val="en-IE"/>
              </w:rPr>
              <w:t>Hatchery equipment</w:t>
            </w:r>
            <w:r w:rsidRPr="00AD0C55">
              <w:rPr>
                <w:rFonts w:ascii="Calibri" w:eastAsia="Times New Roman" w:hAnsi="Calibri" w:cs="Calibri"/>
                <w:b/>
                <w:bCs/>
                <w:color w:val="000000"/>
                <w:lang w:val="en-IE"/>
              </w:rPr>
              <w:t xml:space="preserve"> and chemicals</w:t>
            </w:r>
          </w:p>
        </w:tc>
      </w:tr>
      <w:tr w:rsidR="00B47074" w:rsidRPr="008121D6" w:rsidDel="00E5369C" w14:paraId="56811571" w14:textId="77777777" w:rsidTr="00D9599D">
        <w:trPr>
          <w:trHeight w:val="297"/>
        </w:trPr>
        <w:tc>
          <w:tcPr>
            <w:tcW w:w="3119" w:type="dxa"/>
            <w:tcBorders>
              <w:top w:val="single" w:sz="4" w:space="0" w:color="auto"/>
              <w:left w:val="single" w:sz="4" w:space="0" w:color="auto"/>
              <w:bottom w:val="single" w:sz="4" w:space="0" w:color="auto"/>
              <w:right w:val="single" w:sz="4" w:space="0" w:color="auto"/>
            </w:tcBorders>
            <w:vAlign w:val="center"/>
          </w:tcPr>
          <w:p w14:paraId="53F430DE" w14:textId="77777777"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sidRPr="00AD0C55">
              <w:rPr>
                <w:rFonts w:ascii="Calibri" w:hAnsi="Calibri" w:cs="Calibri"/>
                <w:color w:val="000000"/>
              </w:rPr>
              <w:t>Total (kg)</w:t>
            </w:r>
          </w:p>
        </w:tc>
        <w:tc>
          <w:tcPr>
            <w:tcW w:w="1984" w:type="dxa"/>
            <w:tcBorders>
              <w:top w:val="single" w:sz="4" w:space="0" w:color="auto"/>
              <w:left w:val="single" w:sz="4" w:space="0" w:color="auto"/>
              <w:bottom w:val="single" w:sz="4" w:space="0" w:color="auto"/>
              <w:right w:val="single" w:sz="4" w:space="0" w:color="auto"/>
            </w:tcBorders>
            <w:vAlign w:val="center"/>
          </w:tcPr>
          <w:p w14:paraId="5A03A99C" w14:textId="77777777" w:rsidR="00B47074" w:rsidRPr="008F125D" w:rsidDel="00E5369C" w:rsidRDefault="00B47074" w:rsidP="00B47074">
            <w:pPr>
              <w:spacing w:after="240" w:line="240" w:lineRule="auto"/>
              <w:rPr>
                <w:rFonts w:ascii="Calibri" w:eastAsia="Times New Roman" w:hAnsi="Calibri" w:cs="Calibri"/>
                <w:color w:val="000000"/>
                <w:highlight w:val="yellow"/>
                <w:lang w:val="en-IE"/>
              </w:rPr>
            </w:pPr>
            <w:r w:rsidRPr="008F125D">
              <w:rPr>
                <w:rFonts w:ascii="Calibri" w:hAnsi="Calibri" w:cs="Calibri"/>
                <w:color w:val="000000"/>
              </w:rPr>
              <w:t>2.18</w:t>
            </w:r>
          </w:p>
        </w:tc>
        <w:tc>
          <w:tcPr>
            <w:tcW w:w="2127" w:type="dxa"/>
            <w:tcBorders>
              <w:top w:val="single" w:sz="4" w:space="0" w:color="auto"/>
              <w:left w:val="single" w:sz="4" w:space="0" w:color="auto"/>
              <w:bottom w:val="single" w:sz="4" w:space="0" w:color="auto"/>
              <w:right w:val="single" w:sz="4" w:space="0" w:color="auto"/>
            </w:tcBorders>
            <w:vAlign w:val="center"/>
          </w:tcPr>
          <w:p w14:paraId="598EB444" w14:textId="6B991FDA" w:rsidR="00B47074" w:rsidRPr="008F125D" w:rsidDel="00E5369C" w:rsidRDefault="00554DE6"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24.20</w:t>
            </w:r>
          </w:p>
        </w:tc>
        <w:tc>
          <w:tcPr>
            <w:tcW w:w="2268" w:type="dxa"/>
            <w:tcBorders>
              <w:top w:val="single" w:sz="4" w:space="0" w:color="auto"/>
              <w:left w:val="single" w:sz="4" w:space="0" w:color="auto"/>
              <w:bottom w:val="single" w:sz="4" w:space="0" w:color="auto"/>
              <w:right w:val="single" w:sz="4" w:space="0" w:color="auto"/>
            </w:tcBorders>
            <w:vAlign w:val="center"/>
          </w:tcPr>
          <w:p w14:paraId="52A67270" w14:textId="2F9C2252" w:rsidR="00B47074" w:rsidRPr="008F125D" w:rsidDel="00E5369C" w:rsidRDefault="006D370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13.32</w:t>
            </w:r>
          </w:p>
        </w:tc>
      </w:tr>
      <w:tr w:rsidR="00B47074" w:rsidRPr="008121D6" w:rsidDel="00E5369C" w14:paraId="2A52CBDA" w14:textId="77777777" w:rsidTr="00D9599D">
        <w:trPr>
          <w:trHeight w:val="297"/>
        </w:trPr>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1207954" w14:textId="77777777" w:rsidR="00B47074" w:rsidRPr="00AD0C55" w:rsidDel="00E5369C" w:rsidRDefault="00B47074" w:rsidP="00B47074">
            <w:pPr>
              <w:spacing w:after="240" w:line="240" w:lineRule="auto"/>
              <w:rPr>
                <w:rFonts w:ascii="Calibri" w:eastAsia="Times New Roman" w:hAnsi="Calibri" w:cs="Calibri"/>
                <w:b/>
                <w:bCs/>
                <w:color w:val="000000"/>
                <w:lang w:val="en-IE"/>
              </w:rPr>
            </w:pPr>
            <w:r w:rsidRPr="00AD0C55">
              <w:rPr>
                <w:rFonts w:ascii="Calibri" w:eastAsia="Times New Roman" w:hAnsi="Calibri" w:cs="Calibri"/>
                <w:b/>
                <w:bCs/>
                <w:color w:val="000000"/>
                <w:lang w:val="en-IE"/>
              </w:rPr>
              <w:t>Hatchery electricity</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5DB46DC" w14:textId="77777777" w:rsidR="00B47074" w:rsidRPr="00AD0C55" w:rsidDel="00E5369C" w:rsidRDefault="00B47074" w:rsidP="00B47074">
            <w:pPr>
              <w:spacing w:after="240" w:line="240" w:lineRule="auto"/>
              <w:rPr>
                <w:rFonts w:ascii="Calibri" w:eastAsia="Times New Roman" w:hAnsi="Calibri" w:cs="Calibri"/>
                <w:b/>
                <w:bCs/>
                <w:color w:val="000000"/>
                <w:lang w:val="en-IE"/>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083A3A5F" w14:textId="77777777" w:rsidR="00B47074" w:rsidRPr="00AD0C55" w:rsidDel="00E5369C" w:rsidRDefault="00B47074" w:rsidP="00B47074">
            <w:pPr>
              <w:spacing w:after="240" w:line="240" w:lineRule="auto"/>
              <w:rPr>
                <w:rFonts w:ascii="Calibri" w:eastAsia="Times New Roman" w:hAnsi="Calibri" w:cs="Calibri"/>
                <w:b/>
                <w:bCs/>
                <w:color w:val="000000"/>
                <w:lang w:val="en-I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3CDDF6D3" w14:textId="77777777" w:rsidR="00B47074" w:rsidRPr="00AD0C55" w:rsidDel="00E5369C" w:rsidRDefault="00B47074" w:rsidP="00B47074">
            <w:pPr>
              <w:spacing w:after="240" w:line="240" w:lineRule="auto"/>
              <w:rPr>
                <w:rFonts w:ascii="Calibri" w:eastAsia="Times New Roman" w:hAnsi="Calibri" w:cs="Calibri"/>
                <w:b/>
                <w:bCs/>
                <w:color w:val="000000"/>
                <w:lang w:val="en-IE"/>
              </w:rPr>
            </w:pPr>
          </w:p>
        </w:tc>
      </w:tr>
      <w:tr w:rsidR="00B47074" w:rsidRPr="008121D6" w:rsidDel="00E5369C" w14:paraId="007BF2F1" w14:textId="77777777" w:rsidTr="00D9599D">
        <w:trPr>
          <w:trHeight w:val="297"/>
        </w:trPr>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56343CF" w14:textId="77777777" w:rsidR="00B47074" w:rsidRPr="00AD0C55" w:rsidDel="00E5369C" w:rsidRDefault="00B47074" w:rsidP="00B47074">
            <w:pPr>
              <w:spacing w:after="240" w:line="240" w:lineRule="auto"/>
              <w:rPr>
                <w:rFonts w:ascii="Calibri" w:eastAsia="Times New Roman" w:hAnsi="Calibri" w:cs="Calibri"/>
                <w:color w:val="000000"/>
                <w:lang w:val="en-IE"/>
              </w:rPr>
            </w:pPr>
            <w:r w:rsidRPr="00AD0C55">
              <w:rPr>
                <w:rFonts w:ascii="Calibri" w:hAnsi="Calibri" w:cs="Calibri"/>
                <w:color w:val="000000"/>
              </w:rPr>
              <w:t>Total (kWh)</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C2D3F55" w14:textId="77777777" w:rsidR="00B47074" w:rsidRPr="008F125D" w:rsidDel="00E5369C" w:rsidRDefault="00B47074" w:rsidP="00B47074">
            <w:pPr>
              <w:spacing w:after="240" w:line="240" w:lineRule="auto"/>
              <w:rPr>
                <w:rFonts w:ascii="Calibri" w:eastAsia="Times New Roman" w:hAnsi="Calibri" w:cs="Calibri"/>
                <w:color w:val="000000"/>
                <w:lang w:val="en-IE"/>
              </w:rPr>
            </w:pPr>
            <w:r w:rsidRPr="008F125D">
              <w:rPr>
                <w:rFonts w:ascii="Calibri" w:hAnsi="Calibri" w:cs="Calibri"/>
                <w:color w:val="000000"/>
              </w:rPr>
              <w:t>483.38</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EE35F45" w14:textId="77777777" w:rsidR="00B47074" w:rsidRPr="008F125D" w:rsidDel="00E5369C" w:rsidRDefault="00B47074" w:rsidP="00B47074">
            <w:pPr>
              <w:spacing w:after="240" w:line="240" w:lineRule="auto"/>
              <w:rPr>
                <w:rFonts w:ascii="Calibri" w:eastAsia="Times New Roman" w:hAnsi="Calibri" w:cs="Calibri"/>
                <w:color w:val="000000"/>
                <w:lang w:val="en-IE"/>
              </w:rPr>
            </w:pPr>
            <w:r w:rsidRPr="008F125D">
              <w:rPr>
                <w:rFonts w:ascii="Calibri" w:hAnsi="Calibri" w:cs="Calibri"/>
                <w:color w:val="000000"/>
              </w:rPr>
              <w:t>911.94</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33CAA72B" w14:textId="77777777" w:rsidR="00B47074" w:rsidRPr="008F125D" w:rsidDel="00E5369C" w:rsidRDefault="00B47074" w:rsidP="00B47074">
            <w:pPr>
              <w:spacing w:after="240" w:line="240" w:lineRule="auto"/>
              <w:rPr>
                <w:rFonts w:ascii="Calibri" w:eastAsia="Times New Roman" w:hAnsi="Calibri" w:cs="Calibri"/>
                <w:color w:val="000000"/>
                <w:lang w:val="en-IE"/>
              </w:rPr>
            </w:pPr>
            <w:r w:rsidRPr="008F125D">
              <w:rPr>
                <w:rFonts w:ascii="Calibri" w:hAnsi="Calibri" w:cs="Calibri"/>
                <w:color w:val="000000"/>
              </w:rPr>
              <w:t>2351.92</w:t>
            </w:r>
          </w:p>
        </w:tc>
      </w:tr>
      <w:tr w:rsidR="00B47074" w:rsidRPr="008121D6" w:rsidDel="00E5369C" w14:paraId="2D3ABCAA" w14:textId="77777777" w:rsidTr="00D9599D">
        <w:trPr>
          <w:trHeight w:val="297"/>
        </w:trPr>
        <w:tc>
          <w:tcPr>
            <w:tcW w:w="9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E23C49E" w14:textId="77777777" w:rsidR="00B47074" w:rsidRPr="00AD0C55" w:rsidDel="00E5369C" w:rsidRDefault="00B47074" w:rsidP="00B47074">
            <w:pPr>
              <w:spacing w:after="240" w:line="240" w:lineRule="auto"/>
              <w:rPr>
                <w:rFonts w:ascii="Times New Roman" w:eastAsia="Times New Roman" w:hAnsi="Times New Roman" w:cs="Times New Roman"/>
                <w:b/>
                <w:bCs/>
                <w:sz w:val="20"/>
                <w:szCs w:val="20"/>
                <w:lang w:val="en-IE"/>
              </w:rPr>
            </w:pPr>
            <w:r w:rsidRPr="00AD0C55" w:rsidDel="00E5369C">
              <w:rPr>
                <w:rFonts w:ascii="Calibri" w:hAnsi="Calibri" w:cs="Calibri"/>
                <w:b/>
                <w:bCs/>
                <w:color w:val="000000"/>
              </w:rPr>
              <w:t>Cultivation site equipment</w:t>
            </w:r>
          </w:p>
        </w:tc>
      </w:tr>
      <w:tr w:rsidR="00B47074" w:rsidRPr="008121D6" w:rsidDel="00E5369C" w14:paraId="4096FDE5" w14:textId="77777777" w:rsidTr="00D9599D">
        <w:trPr>
          <w:trHeight w:val="297"/>
        </w:trPr>
        <w:tc>
          <w:tcPr>
            <w:tcW w:w="3119" w:type="dxa"/>
            <w:tcBorders>
              <w:top w:val="single" w:sz="4" w:space="0" w:color="auto"/>
              <w:left w:val="single" w:sz="4" w:space="0" w:color="auto"/>
              <w:right w:val="single" w:sz="4" w:space="0" w:color="auto"/>
            </w:tcBorders>
            <w:vAlign w:val="center"/>
          </w:tcPr>
          <w:p w14:paraId="41648DE0"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Anchor blocks (concrete)</w:t>
            </w:r>
          </w:p>
        </w:tc>
        <w:tc>
          <w:tcPr>
            <w:tcW w:w="1984" w:type="dxa"/>
            <w:tcBorders>
              <w:top w:val="single" w:sz="4" w:space="0" w:color="auto"/>
              <w:left w:val="single" w:sz="4" w:space="0" w:color="auto"/>
              <w:right w:val="single" w:sz="4" w:space="0" w:color="auto"/>
            </w:tcBorders>
            <w:vAlign w:val="center"/>
          </w:tcPr>
          <w:p w14:paraId="49A3B0D7" w14:textId="42A3D830"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1089.00</w:t>
            </w:r>
          </w:p>
        </w:tc>
        <w:tc>
          <w:tcPr>
            <w:tcW w:w="2127" w:type="dxa"/>
            <w:tcBorders>
              <w:top w:val="single" w:sz="4" w:space="0" w:color="auto"/>
              <w:left w:val="single" w:sz="4" w:space="0" w:color="auto"/>
              <w:right w:val="single" w:sz="4" w:space="0" w:color="auto"/>
            </w:tcBorders>
            <w:vAlign w:val="center"/>
          </w:tcPr>
          <w:p w14:paraId="27C3FDD3" w14:textId="5AA85D47"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2117.98</w:t>
            </w:r>
          </w:p>
        </w:tc>
        <w:tc>
          <w:tcPr>
            <w:tcW w:w="2268" w:type="dxa"/>
            <w:tcBorders>
              <w:top w:val="single" w:sz="4" w:space="0" w:color="auto"/>
              <w:left w:val="single" w:sz="4" w:space="0" w:color="auto"/>
              <w:right w:val="single" w:sz="4" w:space="0" w:color="auto"/>
            </w:tcBorders>
            <w:vAlign w:val="center"/>
          </w:tcPr>
          <w:p w14:paraId="24ED59B3" w14:textId="4CD089A0"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352.24</w:t>
            </w:r>
          </w:p>
        </w:tc>
      </w:tr>
      <w:tr w:rsidR="00B47074" w:rsidRPr="008121D6" w:rsidDel="00E5369C" w14:paraId="3442BD5C" w14:textId="77777777" w:rsidTr="00D9599D">
        <w:trPr>
          <w:trHeight w:val="297"/>
        </w:trPr>
        <w:tc>
          <w:tcPr>
            <w:tcW w:w="3119" w:type="dxa"/>
            <w:tcBorders>
              <w:left w:val="single" w:sz="4" w:space="0" w:color="auto"/>
              <w:right w:val="single" w:sz="4" w:space="0" w:color="auto"/>
            </w:tcBorders>
            <w:vAlign w:val="center"/>
          </w:tcPr>
          <w:p w14:paraId="7B971A2C"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Mooring lines (nylon)</w:t>
            </w:r>
          </w:p>
        </w:tc>
        <w:tc>
          <w:tcPr>
            <w:tcW w:w="1984" w:type="dxa"/>
            <w:tcBorders>
              <w:left w:val="single" w:sz="4" w:space="0" w:color="auto"/>
              <w:right w:val="single" w:sz="4" w:space="0" w:color="auto"/>
            </w:tcBorders>
            <w:vAlign w:val="center"/>
          </w:tcPr>
          <w:p w14:paraId="6ED3FDF9" w14:textId="6E06A7E5"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159.43</w:t>
            </w:r>
          </w:p>
        </w:tc>
        <w:tc>
          <w:tcPr>
            <w:tcW w:w="2127" w:type="dxa"/>
            <w:tcBorders>
              <w:left w:val="single" w:sz="4" w:space="0" w:color="auto"/>
              <w:right w:val="single" w:sz="4" w:space="0" w:color="auto"/>
            </w:tcBorders>
            <w:vAlign w:val="center"/>
          </w:tcPr>
          <w:p w14:paraId="55C31A30" w14:textId="65E50B4D"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5.42</w:t>
            </w:r>
          </w:p>
        </w:tc>
        <w:tc>
          <w:tcPr>
            <w:tcW w:w="2268" w:type="dxa"/>
            <w:tcBorders>
              <w:left w:val="single" w:sz="4" w:space="0" w:color="auto"/>
              <w:right w:val="single" w:sz="4" w:space="0" w:color="auto"/>
            </w:tcBorders>
            <w:vAlign w:val="center"/>
          </w:tcPr>
          <w:p w14:paraId="38D09075" w14:textId="61CB2A6E"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393.72</w:t>
            </w:r>
          </w:p>
        </w:tc>
      </w:tr>
      <w:tr w:rsidR="00B47074" w:rsidRPr="008121D6" w:rsidDel="00E5369C" w14:paraId="5C9C1BDE" w14:textId="77777777" w:rsidTr="00D9599D">
        <w:trPr>
          <w:trHeight w:val="297"/>
        </w:trPr>
        <w:tc>
          <w:tcPr>
            <w:tcW w:w="3119" w:type="dxa"/>
            <w:tcBorders>
              <w:left w:val="single" w:sz="4" w:space="0" w:color="auto"/>
              <w:right w:val="single" w:sz="4" w:space="0" w:color="auto"/>
            </w:tcBorders>
            <w:vAlign w:val="center"/>
          </w:tcPr>
          <w:p w14:paraId="7F6738A0"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Longlines (nylon)</w:t>
            </w:r>
          </w:p>
        </w:tc>
        <w:tc>
          <w:tcPr>
            <w:tcW w:w="1984" w:type="dxa"/>
            <w:tcBorders>
              <w:left w:val="single" w:sz="4" w:space="0" w:color="auto"/>
              <w:right w:val="single" w:sz="4" w:space="0" w:color="auto"/>
            </w:tcBorders>
            <w:vAlign w:val="center"/>
          </w:tcPr>
          <w:p w14:paraId="35F459E5" w14:textId="6DFFADBC"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58.08</w:t>
            </w:r>
          </w:p>
        </w:tc>
        <w:tc>
          <w:tcPr>
            <w:tcW w:w="2127" w:type="dxa"/>
            <w:tcBorders>
              <w:left w:val="single" w:sz="4" w:space="0" w:color="auto"/>
              <w:right w:val="single" w:sz="4" w:space="0" w:color="auto"/>
            </w:tcBorders>
            <w:vAlign w:val="center"/>
          </w:tcPr>
          <w:p w14:paraId="7A29851F" w14:textId="46770F74"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12.78</w:t>
            </w:r>
          </w:p>
        </w:tc>
        <w:tc>
          <w:tcPr>
            <w:tcW w:w="2268" w:type="dxa"/>
            <w:tcBorders>
              <w:left w:val="single" w:sz="4" w:space="0" w:color="auto"/>
              <w:right w:val="single" w:sz="4" w:space="0" w:color="auto"/>
            </w:tcBorders>
            <w:vAlign w:val="center"/>
          </w:tcPr>
          <w:p w14:paraId="25E4FBC9" w14:textId="5EAE2BA3"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49.53</w:t>
            </w:r>
          </w:p>
        </w:tc>
      </w:tr>
      <w:tr w:rsidR="00B47074" w:rsidRPr="008121D6" w:rsidDel="00E5369C" w14:paraId="6919E468" w14:textId="77777777" w:rsidTr="00D9599D">
        <w:trPr>
          <w:trHeight w:val="297"/>
        </w:trPr>
        <w:tc>
          <w:tcPr>
            <w:tcW w:w="3119" w:type="dxa"/>
            <w:tcBorders>
              <w:left w:val="single" w:sz="4" w:space="0" w:color="auto"/>
              <w:right w:val="single" w:sz="4" w:space="0" w:color="auto"/>
            </w:tcBorders>
            <w:vAlign w:val="center"/>
          </w:tcPr>
          <w:p w14:paraId="6BE60949"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Culture string (nylon)</w:t>
            </w:r>
          </w:p>
        </w:tc>
        <w:tc>
          <w:tcPr>
            <w:tcW w:w="1984" w:type="dxa"/>
            <w:tcBorders>
              <w:left w:val="single" w:sz="4" w:space="0" w:color="auto"/>
              <w:right w:val="single" w:sz="4" w:space="0" w:color="auto"/>
            </w:tcBorders>
            <w:vAlign w:val="center"/>
          </w:tcPr>
          <w:p w14:paraId="72FF1619" w14:textId="01DED60C"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1.37</w:t>
            </w:r>
          </w:p>
        </w:tc>
        <w:tc>
          <w:tcPr>
            <w:tcW w:w="2127" w:type="dxa"/>
            <w:tcBorders>
              <w:left w:val="single" w:sz="4" w:space="0" w:color="auto"/>
              <w:right w:val="single" w:sz="4" w:space="0" w:color="auto"/>
            </w:tcBorders>
            <w:vAlign w:val="center"/>
          </w:tcPr>
          <w:p w14:paraId="3EFFC288" w14:textId="3AB53E22"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14.71</w:t>
            </w:r>
          </w:p>
        </w:tc>
        <w:tc>
          <w:tcPr>
            <w:tcW w:w="2268" w:type="dxa"/>
            <w:tcBorders>
              <w:left w:val="single" w:sz="4" w:space="0" w:color="auto"/>
              <w:right w:val="single" w:sz="4" w:space="0" w:color="auto"/>
            </w:tcBorders>
            <w:vAlign w:val="center"/>
          </w:tcPr>
          <w:p w14:paraId="74D6A236" w14:textId="45592D4C"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17.95</w:t>
            </w:r>
          </w:p>
        </w:tc>
      </w:tr>
      <w:tr w:rsidR="00B47074" w:rsidRPr="008121D6" w:rsidDel="00E5369C" w14:paraId="4735240A" w14:textId="77777777" w:rsidTr="00D9599D">
        <w:trPr>
          <w:trHeight w:val="297"/>
        </w:trPr>
        <w:tc>
          <w:tcPr>
            <w:tcW w:w="3119" w:type="dxa"/>
            <w:tcBorders>
              <w:left w:val="single" w:sz="4" w:space="0" w:color="auto"/>
              <w:right w:val="single" w:sz="4" w:space="0" w:color="auto"/>
            </w:tcBorders>
            <w:vAlign w:val="center"/>
          </w:tcPr>
          <w:p w14:paraId="215C4E1D"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Shackles and chains (steel)</w:t>
            </w:r>
          </w:p>
        </w:tc>
        <w:tc>
          <w:tcPr>
            <w:tcW w:w="1984" w:type="dxa"/>
            <w:tcBorders>
              <w:left w:val="single" w:sz="4" w:space="0" w:color="auto"/>
              <w:right w:val="single" w:sz="4" w:space="0" w:color="auto"/>
            </w:tcBorders>
            <w:vAlign w:val="center"/>
          </w:tcPr>
          <w:p w14:paraId="6D2D6A53" w14:textId="698ABC30"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2.86</w:t>
            </w:r>
          </w:p>
        </w:tc>
        <w:tc>
          <w:tcPr>
            <w:tcW w:w="2127" w:type="dxa"/>
            <w:tcBorders>
              <w:left w:val="single" w:sz="4" w:space="0" w:color="auto"/>
              <w:right w:val="single" w:sz="4" w:space="0" w:color="auto"/>
            </w:tcBorders>
            <w:vAlign w:val="center"/>
          </w:tcPr>
          <w:p w14:paraId="0254F069" w14:textId="7B86FBC5"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21.30</w:t>
            </w:r>
          </w:p>
        </w:tc>
        <w:tc>
          <w:tcPr>
            <w:tcW w:w="2268" w:type="dxa"/>
            <w:tcBorders>
              <w:left w:val="single" w:sz="4" w:space="0" w:color="auto"/>
              <w:right w:val="single" w:sz="4" w:space="0" w:color="auto"/>
            </w:tcBorders>
            <w:vAlign w:val="center"/>
          </w:tcPr>
          <w:p w14:paraId="0F97A22C" w14:textId="317F8881"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5546.02</w:t>
            </w:r>
          </w:p>
        </w:tc>
      </w:tr>
      <w:tr w:rsidR="00B47074" w:rsidRPr="008121D6" w:rsidDel="00E5369C" w14:paraId="50919A4E" w14:textId="77777777" w:rsidTr="00D9599D">
        <w:trPr>
          <w:trHeight w:val="297"/>
        </w:trPr>
        <w:tc>
          <w:tcPr>
            <w:tcW w:w="3119" w:type="dxa"/>
            <w:tcBorders>
              <w:left w:val="single" w:sz="4" w:space="0" w:color="auto"/>
              <w:right w:val="single" w:sz="4" w:space="0" w:color="auto"/>
            </w:tcBorders>
            <w:vAlign w:val="center"/>
          </w:tcPr>
          <w:p w14:paraId="5CB46AFF"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1A2B98" w:rsidDel="00E5369C">
              <w:rPr>
                <w:rFonts w:ascii="Calibri" w:eastAsia="Times New Roman" w:hAnsi="Calibri" w:cs="Calibri"/>
                <w:color w:val="000000"/>
                <w:lang w:val="en-IE"/>
              </w:rPr>
              <w:t>Buoys (plastic)</w:t>
            </w:r>
          </w:p>
        </w:tc>
        <w:tc>
          <w:tcPr>
            <w:tcW w:w="1984" w:type="dxa"/>
            <w:tcBorders>
              <w:left w:val="single" w:sz="4" w:space="0" w:color="auto"/>
              <w:right w:val="single" w:sz="4" w:space="0" w:color="auto"/>
            </w:tcBorders>
            <w:vAlign w:val="center"/>
          </w:tcPr>
          <w:p w14:paraId="1079B0E6" w14:textId="39F120A8"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145.20</w:t>
            </w:r>
          </w:p>
        </w:tc>
        <w:tc>
          <w:tcPr>
            <w:tcW w:w="2127" w:type="dxa"/>
            <w:tcBorders>
              <w:left w:val="single" w:sz="4" w:space="0" w:color="auto"/>
              <w:right w:val="single" w:sz="4" w:space="0" w:color="auto"/>
            </w:tcBorders>
            <w:vAlign w:val="center"/>
          </w:tcPr>
          <w:p w14:paraId="27842F7D" w14:textId="7FDD2A4B"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31.36</w:t>
            </w:r>
          </w:p>
        </w:tc>
        <w:tc>
          <w:tcPr>
            <w:tcW w:w="2268" w:type="dxa"/>
            <w:tcBorders>
              <w:left w:val="single" w:sz="4" w:space="0" w:color="auto"/>
              <w:right w:val="single" w:sz="4" w:space="0" w:color="auto"/>
            </w:tcBorders>
            <w:vAlign w:val="center"/>
          </w:tcPr>
          <w:p w14:paraId="151E9046" w14:textId="0CB98683"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968.65</w:t>
            </w:r>
          </w:p>
        </w:tc>
      </w:tr>
      <w:tr w:rsidR="00B47074" w:rsidRPr="008121D6" w:rsidDel="00E5369C" w14:paraId="33D54512" w14:textId="77777777" w:rsidTr="00D9599D">
        <w:trPr>
          <w:trHeight w:val="297"/>
        </w:trPr>
        <w:tc>
          <w:tcPr>
            <w:tcW w:w="3119" w:type="dxa"/>
            <w:tcBorders>
              <w:left w:val="single" w:sz="4" w:space="0" w:color="auto"/>
              <w:bottom w:val="single" w:sz="4" w:space="0" w:color="auto"/>
              <w:right w:val="single" w:sz="4" w:space="0" w:color="auto"/>
            </w:tcBorders>
            <w:vAlign w:val="center"/>
          </w:tcPr>
          <w:p w14:paraId="7CD98A1C" w14:textId="77777777" w:rsidR="00B47074" w:rsidRPr="00AD0C55" w:rsidDel="00E5369C" w:rsidRDefault="00B47074" w:rsidP="00B47074">
            <w:pPr>
              <w:spacing w:after="240" w:line="240" w:lineRule="auto"/>
              <w:rPr>
                <w:rFonts w:ascii="Times New Roman" w:eastAsia="Times New Roman" w:hAnsi="Times New Roman" w:cs="Times New Roman"/>
                <w:sz w:val="20"/>
                <w:szCs w:val="20"/>
                <w:lang w:val="en-IE"/>
              </w:rPr>
            </w:pPr>
            <w:r w:rsidRPr="00AD0C55" w:rsidDel="00E5369C">
              <w:rPr>
                <w:rFonts w:ascii="Calibri" w:eastAsia="Times New Roman" w:hAnsi="Calibri" w:cs="Calibri"/>
                <w:color w:val="000000"/>
                <w:lang w:val="en-IE"/>
              </w:rPr>
              <w:t>Total (kg)</w:t>
            </w:r>
          </w:p>
        </w:tc>
        <w:tc>
          <w:tcPr>
            <w:tcW w:w="1984" w:type="dxa"/>
            <w:tcBorders>
              <w:left w:val="single" w:sz="4" w:space="0" w:color="auto"/>
              <w:bottom w:val="single" w:sz="4" w:space="0" w:color="auto"/>
              <w:right w:val="single" w:sz="4" w:space="0" w:color="auto"/>
            </w:tcBorders>
            <w:vAlign w:val="center"/>
          </w:tcPr>
          <w:p w14:paraId="409443F7" w14:textId="3CBB91A7" w:rsidR="00B47074" w:rsidRPr="008F125D" w:rsidDel="00E5369C" w:rsidRDefault="00B47074" w:rsidP="00B47074">
            <w:pPr>
              <w:spacing w:after="240" w:line="240" w:lineRule="auto"/>
              <w:rPr>
                <w:rFonts w:ascii="Times New Roman" w:eastAsia="Times New Roman" w:hAnsi="Times New Roman" w:cs="Times New Roman"/>
                <w:sz w:val="20"/>
                <w:szCs w:val="20"/>
                <w:highlight w:val="yellow"/>
                <w:lang w:val="en-IE"/>
              </w:rPr>
            </w:pPr>
            <w:r w:rsidRPr="00D9599D">
              <w:rPr>
                <w:rFonts w:ascii="Calibri" w:hAnsi="Calibri" w:cs="Calibri"/>
                <w:color w:val="000000"/>
              </w:rPr>
              <w:t>1455.94</w:t>
            </w:r>
          </w:p>
        </w:tc>
        <w:tc>
          <w:tcPr>
            <w:tcW w:w="2127" w:type="dxa"/>
            <w:tcBorders>
              <w:left w:val="single" w:sz="4" w:space="0" w:color="auto"/>
              <w:bottom w:val="single" w:sz="4" w:space="0" w:color="auto"/>
              <w:right w:val="single" w:sz="4" w:space="0" w:color="auto"/>
            </w:tcBorders>
            <w:vAlign w:val="center"/>
          </w:tcPr>
          <w:p w14:paraId="130034DF" w14:textId="7179EE9E" w:rsidR="00B47074" w:rsidRPr="008F125D" w:rsidDel="00E5369C" w:rsidRDefault="00B47074" w:rsidP="00B47074">
            <w:pPr>
              <w:spacing w:after="240" w:line="240" w:lineRule="auto"/>
              <w:rPr>
                <w:rFonts w:ascii="Times New Roman" w:eastAsia="Times New Roman" w:hAnsi="Times New Roman" w:cs="Times New Roman"/>
                <w:sz w:val="20"/>
                <w:szCs w:val="20"/>
                <w:highlight w:val="yellow"/>
                <w:lang w:val="en-IE"/>
              </w:rPr>
            </w:pPr>
            <w:r w:rsidRPr="00D9599D">
              <w:rPr>
                <w:rFonts w:ascii="Calibri" w:hAnsi="Calibri" w:cs="Calibri"/>
                <w:color w:val="000000"/>
              </w:rPr>
              <w:t>2203.56</w:t>
            </w:r>
          </w:p>
        </w:tc>
        <w:tc>
          <w:tcPr>
            <w:tcW w:w="2268" w:type="dxa"/>
            <w:tcBorders>
              <w:left w:val="single" w:sz="4" w:space="0" w:color="auto"/>
              <w:bottom w:val="single" w:sz="4" w:space="0" w:color="auto"/>
              <w:right w:val="single" w:sz="4" w:space="0" w:color="auto"/>
            </w:tcBorders>
            <w:vAlign w:val="center"/>
          </w:tcPr>
          <w:p w14:paraId="09F91632" w14:textId="16970AA5" w:rsidR="00B47074" w:rsidRPr="008F125D" w:rsidDel="00E5369C" w:rsidRDefault="00B47074" w:rsidP="00B47074">
            <w:pPr>
              <w:spacing w:after="240" w:line="240" w:lineRule="auto"/>
              <w:rPr>
                <w:rFonts w:ascii="Times New Roman" w:eastAsia="Times New Roman" w:hAnsi="Times New Roman" w:cs="Times New Roman"/>
                <w:sz w:val="20"/>
                <w:szCs w:val="20"/>
                <w:highlight w:val="yellow"/>
                <w:lang w:val="en-IE"/>
              </w:rPr>
            </w:pPr>
            <w:r w:rsidRPr="00D9599D">
              <w:rPr>
                <w:rFonts w:ascii="Calibri" w:hAnsi="Calibri" w:cs="Calibri"/>
                <w:color w:val="000000"/>
              </w:rPr>
              <w:t>7328.11</w:t>
            </w:r>
          </w:p>
        </w:tc>
      </w:tr>
      <w:tr w:rsidR="00B47074" w:rsidRPr="008121D6" w:rsidDel="00E5369C" w14:paraId="5E69555E" w14:textId="77777777" w:rsidTr="00D9599D">
        <w:trPr>
          <w:trHeight w:val="297"/>
        </w:trPr>
        <w:tc>
          <w:tcPr>
            <w:tcW w:w="9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7C79344" w14:textId="77777777" w:rsidR="00B47074" w:rsidRPr="00AD0C55" w:rsidDel="00E5369C" w:rsidRDefault="00B47074" w:rsidP="00B47074">
            <w:pPr>
              <w:spacing w:after="240" w:line="240" w:lineRule="auto"/>
              <w:rPr>
                <w:rFonts w:ascii="Calibri" w:eastAsia="Times New Roman" w:hAnsi="Calibri" w:cs="Calibri"/>
                <w:b/>
                <w:bCs/>
                <w:highlight w:val="yellow"/>
                <w:lang w:val="en-IE"/>
              </w:rPr>
            </w:pPr>
            <w:r w:rsidRPr="00AD0C55" w:rsidDel="00E5369C">
              <w:rPr>
                <w:rFonts w:ascii="Calibri" w:eastAsia="Times New Roman" w:hAnsi="Calibri" w:cs="Calibri"/>
                <w:b/>
                <w:bCs/>
                <w:lang w:val="en-IE"/>
              </w:rPr>
              <w:t>Transport fuel use</w:t>
            </w:r>
          </w:p>
        </w:tc>
      </w:tr>
      <w:tr w:rsidR="00B47074" w:rsidRPr="008121D6" w:rsidDel="00E5369C" w14:paraId="55A3E1DE" w14:textId="77777777" w:rsidTr="00D9599D">
        <w:trPr>
          <w:trHeight w:val="297"/>
        </w:trPr>
        <w:tc>
          <w:tcPr>
            <w:tcW w:w="3119" w:type="dxa"/>
            <w:tcBorders>
              <w:top w:val="single" w:sz="4" w:space="0" w:color="auto"/>
              <w:left w:val="single" w:sz="4" w:space="0" w:color="auto"/>
              <w:right w:val="single" w:sz="4" w:space="0" w:color="auto"/>
            </w:tcBorders>
            <w:vAlign w:val="center"/>
          </w:tcPr>
          <w:p w14:paraId="09FCE3CC"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AE38F9" w:rsidDel="00E5369C">
              <w:rPr>
                <w:rFonts w:ascii="Calibri" w:hAnsi="Calibri" w:cs="Calibri"/>
                <w:color w:val="000000"/>
              </w:rPr>
              <w:t>Hatchery to cultivation site (kg)</w:t>
            </w:r>
          </w:p>
        </w:tc>
        <w:tc>
          <w:tcPr>
            <w:tcW w:w="1984" w:type="dxa"/>
            <w:tcBorders>
              <w:top w:val="single" w:sz="4" w:space="0" w:color="auto"/>
              <w:left w:val="single" w:sz="4" w:space="0" w:color="auto"/>
              <w:right w:val="single" w:sz="4" w:space="0" w:color="auto"/>
            </w:tcBorders>
            <w:vAlign w:val="center"/>
          </w:tcPr>
          <w:p w14:paraId="45BBCB1F" w14:textId="58D03F44"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0.00</w:t>
            </w:r>
          </w:p>
        </w:tc>
        <w:tc>
          <w:tcPr>
            <w:tcW w:w="2127" w:type="dxa"/>
            <w:tcBorders>
              <w:top w:val="single" w:sz="4" w:space="0" w:color="auto"/>
              <w:left w:val="single" w:sz="4" w:space="0" w:color="auto"/>
              <w:right w:val="single" w:sz="4" w:space="0" w:color="auto"/>
            </w:tcBorders>
            <w:vAlign w:val="center"/>
          </w:tcPr>
          <w:p w14:paraId="506C3F13" w14:textId="57E42BF8"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0.72</w:t>
            </w:r>
          </w:p>
        </w:tc>
        <w:tc>
          <w:tcPr>
            <w:tcW w:w="2268" w:type="dxa"/>
            <w:tcBorders>
              <w:top w:val="single" w:sz="4" w:space="0" w:color="auto"/>
              <w:left w:val="single" w:sz="4" w:space="0" w:color="auto"/>
              <w:right w:val="single" w:sz="4" w:space="0" w:color="auto"/>
            </w:tcBorders>
            <w:vAlign w:val="center"/>
          </w:tcPr>
          <w:p w14:paraId="63BC9B6F" w14:textId="7747733D"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2457.31</w:t>
            </w:r>
          </w:p>
        </w:tc>
      </w:tr>
      <w:tr w:rsidR="00B47074" w:rsidRPr="008121D6" w:rsidDel="00E5369C" w14:paraId="60C9F368" w14:textId="77777777" w:rsidTr="00D9599D">
        <w:trPr>
          <w:trHeight w:val="297"/>
        </w:trPr>
        <w:tc>
          <w:tcPr>
            <w:tcW w:w="3119" w:type="dxa"/>
            <w:tcBorders>
              <w:left w:val="single" w:sz="4" w:space="0" w:color="auto"/>
              <w:right w:val="single" w:sz="4" w:space="0" w:color="auto"/>
            </w:tcBorders>
            <w:vAlign w:val="center"/>
          </w:tcPr>
          <w:p w14:paraId="0B1CD4BF" w14:textId="77777777" w:rsidR="00B47074" w:rsidRPr="008121D6" w:rsidDel="00E5369C" w:rsidRDefault="00B47074" w:rsidP="00B47074">
            <w:pPr>
              <w:spacing w:after="240" w:line="240" w:lineRule="auto"/>
              <w:rPr>
                <w:rFonts w:ascii="Times New Roman" w:eastAsia="Times New Roman" w:hAnsi="Times New Roman" w:cs="Times New Roman"/>
                <w:sz w:val="20"/>
                <w:szCs w:val="20"/>
                <w:lang w:val="en-IE"/>
              </w:rPr>
            </w:pPr>
            <w:r w:rsidRPr="00AE38F9" w:rsidDel="00E5369C">
              <w:rPr>
                <w:rFonts w:ascii="Calibri" w:hAnsi="Calibri" w:cs="Calibri"/>
                <w:color w:val="000000"/>
              </w:rPr>
              <w:t>Deployment (kg)</w:t>
            </w:r>
          </w:p>
        </w:tc>
        <w:tc>
          <w:tcPr>
            <w:tcW w:w="1984" w:type="dxa"/>
            <w:tcBorders>
              <w:left w:val="single" w:sz="4" w:space="0" w:color="auto"/>
              <w:right w:val="single" w:sz="4" w:space="0" w:color="auto"/>
            </w:tcBorders>
            <w:vAlign w:val="center"/>
          </w:tcPr>
          <w:p w14:paraId="6C1A67B8" w14:textId="6DE312F3"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235.41</w:t>
            </w:r>
          </w:p>
        </w:tc>
        <w:tc>
          <w:tcPr>
            <w:tcW w:w="2127" w:type="dxa"/>
            <w:tcBorders>
              <w:left w:val="single" w:sz="4" w:space="0" w:color="auto"/>
              <w:right w:val="single" w:sz="4" w:space="0" w:color="auto"/>
            </w:tcBorders>
            <w:vAlign w:val="center"/>
          </w:tcPr>
          <w:p w14:paraId="4C09F0DC" w14:textId="27A4AF93"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356.22</w:t>
            </w:r>
          </w:p>
        </w:tc>
        <w:tc>
          <w:tcPr>
            <w:tcW w:w="2268" w:type="dxa"/>
            <w:tcBorders>
              <w:left w:val="single" w:sz="4" w:space="0" w:color="auto"/>
              <w:right w:val="single" w:sz="4" w:space="0" w:color="auto"/>
            </w:tcBorders>
            <w:vAlign w:val="center"/>
          </w:tcPr>
          <w:p w14:paraId="3469FADE" w14:textId="659D9A43" w:rsidR="00B47074" w:rsidRPr="00AD0C55" w:rsidDel="00E5369C" w:rsidRDefault="00B47074" w:rsidP="00B47074">
            <w:pPr>
              <w:spacing w:after="240" w:line="240" w:lineRule="auto"/>
              <w:rPr>
                <w:rFonts w:ascii="Times New Roman" w:eastAsia="Times New Roman" w:hAnsi="Times New Roman" w:cs="Times New Roman"/>
                <w:sz w:val="20"/>
                <w:szCs w:val="20"/>
                <w:highlight w:val="yellow"/>
                <w:lang w:val="en-IE"/>
              </w:rPr>
            </w:pPr>
            <w:r>
              <w:rPr>
                <w:rFonts w:ascii="Calibri" w:hAnsi="Calibri" w:cs="Calibri"/>
                <w:color w:val="000000"/>
              </w:rPr>
              <w:t>834.02</w:t>
            </w:r>
          </w:p>
        </w:tc>
      </w:tr>
      <w:tr w:rsidR="00B47074" w:rsidRPr="008121D6" w:rsidDel="00E5369C" w14:paraId="7E759613" w14:textId="77777777" w:rsidTr="00D9599D">
        <w:trPr>
          <w:trHeight w:val="297"/>
        </w:trPr>
        <w:tc>
          <w:tcPr>
            <w:tcW w:w="3119" w:type="dxa"/>
            <w:tcBorders>
              <w:left w:val="single" w:sz="4" w:space="0" w:color="auto"/>
              <w:right w:val="single" w:sz="4" w:space="0" w:color="auto"/>
            </w:tcBorders>
            <w:vAlign w:val="center"/>
          </w:tcPr>
          <w:p w14:paraId="3E8BD80A" w14:textId="77777777" w:rsidR="00B47074" w:rsidRPr="001A2B98" w:rsidDel="00E5369C" w:rsidRDefault="00B47074" w:rsidP="00B47074">
            <w:pPr>
              <w:spacing w:after="240" w:line="240" w:lineRule="auto"/>
              <w:rPr>
                <w:rFonts w:ascii="Calibri" w:eastAsia="Times New Roman" w:hAnsi="Calibri" w:cs="Calibri"/>
                <w:color w:val="000000"/>
                <w:lang w:val="en-IE"/>
              </w:rPr>
            </w:pPr>
            <w:r w:rsidRPr="00AE38F9" w:rsidDel="00E5369C">
              <w:rPr>
                <w:rFonts w:ascii="Calibri" w:hAnsi="Calibri" w:cs="Calibri"/>
                <w:color w:val="000000"/>
              </w:rPr>
              <w:t>Maintenance (kg)</w:t>
            </w:r>
          </w:p>
        </w:tc>
        <w:tc>
          <w:tcPr>
            <w:tcW w:w="1984" w:type="dxa"/>
            <w:tcBorders>
              <w:left w:val="single" w:sz="4" w:space="0" w:color="auto"/>
              <w:right w:val="single" w:sz="4" w:space="0" w:color="auto"/>
            </w:tcBorders>
            <w:vAlign w:val="center"/>
          </w:tcPr>
          <w:p w14:paraId="15EBC9C2" w14:textId="62F425A3"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334.11</w:t>
            </w:r>
          </w:p>
        </w:tc>
        <w:tc>
          <w:tcPr>
            <w:tcW w:w="2127" w:type="dxa"/>
            <w:tcBorders>
              <w:left w:val="single" w:sz="4" w:space="0" w:color="auto"/>
              <w:right w:val="single" w:sz="4" w:space="0" w:color="auto"/>
            </w:tcBorders>
            <w:vAlign w:val="center"/>
          </w:tcPr>
          <w:p w14:paraId="11A7CDF4" w14:textId="106A119E"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944.77</w:t>
            </w:r>
          </w:p>
        </w:tc>
        <w:tc>
          <w:tcPr>
            <w:tcW w:w="2268" w:type="dxa"/>
            <w:tcBorders>
              <w:left w:val="single" w:sz="4" w:space="0" w:color="auto"/>
              <w:right w:val="single" w:sz="4" w:space="0" w:color="auto"/>
            </w:tcBorders>
            <w:vAlign w:val="center"/>
          </w:tcPr>
          <w:p w14:paraId="6D94BF23" w14:textId="3F70D0ED"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2066.00</w:t>
            </w:r>
          </w:p>
        </w:tc>
      </w:tr>
      <w:tr w:rsidR="00B47074" w:rsidRPr="008121D6" w:rsidDel="00E5369C" w14:paraId="68C07461" w14:textId="77777777" w:rsidTr="00D9599D">
        <w:trPr>
          <w:trHeight w:val="297"/>
        </w:trPr>
        <w:tc>
          <w:tcPr>
            <w:tcW w:w="3119" w:type="dxa"/>
            <w:tcBorders>
              <w:left w:val="single" w:sz="4" w:space="0" w:color="auto"/>
              <w:right w:val="single" w:sz="4" w:space="0" w:color="auto"/>
            </w:tcBorders>
            <w:vAlign w:val="center"/>
          </w:tcPr>
          <w:p w14:paraId="000B5A8E" w14:textId="77777777" w:rsidR="00B47074" w:rsidRPr="001A2B98" w:rsidDel="00E5369C" w:rsidRDefault="00B47074" w:rsidP="00B47074">
            <w:pPr>
              <w:spacing w:after="240" w:line="240" w:lineRule="auto"/>
              <w:rPr>
                <w:rFonts w:ascii="Calibri" w:eastAsia="Times New Roman" w:hAnsi="Calibri" w:cs="Calibri"/>
                <w:color w:val="000000"/>
                <w:lang w:val="en-IE"/>
              </w:rPr>
            </w:pPr>
            <w:r w:rsidRPr="00AE38F9" w:rsidDel="00E5369C">
              <w:rPr>
                <w:rFonts w:ascii="Calibri" w:hAnsi="Calibri" w:cs="Calibri"/>
                <w:color w:val="000000"/>
              </w:rPr>
              <w:t>Harvesting (kg)</w:t>
            </w:r>
          </w:p>
        </w:tc>
        <w:tc>
          <w:tcPr>
            <w:tcW w:w="1984" w:type="dxa"/>
            <w:tcBorders>
              <w:left w:val="single" w:sz="4" w:space="0" w:color="auto"/>
              <w:right w:val="single" w:sz="4" w:space="0" w:color="auto"/>
            </w:tcBorders>
            <w:vAlign w:val="center"/>
          </w:tcPr>
          <w:p w14:paraId="4E9DB29B" w14:textId="7143F269"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57.53</w:t>
            </w:r>
          </w:p>
        </w:tc>
        <w:tc>
          <w:tcPr>
            <w:tcW w:w="2127" w:type="dxa"/>
            <w:tcBorders>
              <w:left w:val="single" w:sz="4" w:space="0" w:color="auto"/>
              <w:right w:val="single" w:sz="4" w:space="0" w:color="auto"/>
            </w:tcBorders>
            <w:vAlign w:val="center"/>
          </w:tcPr>
          <w:p w14:paraId="12D9C6EB" w14:textId="5CF44768"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287.50</w:t>
            </w:r>
          </w:p>
        </w:tc>
        <w:tc>
          <w:tcPr>
            <w:tcW w:w="2268" w:type="dxa"/>
            <w:tcBorders>
              <w:left w:val="single" w:sz="4" w:space="0" w:color="auto"/>
              <w:right w:val="single" w:sz="4" w:space="0" w:color="auto"/>
            </w:tcBorders>
            <w:vAlign w:val="center"/>
          </w:tcPr>
          <w:p w14:paraId="47B0E7FB" w14:textId="7D68720E" w:rsidR="00B47074" w:rsidRPr="00AD0C55" w:rsidDel="00E5369C" w:rsidRDefault="00B47074" w:rsidP="00B47074">
            <w:pPr>
              <w:spacing w:after="240" w:line="240" w:lineRule="auto"/>
              <w:rPr>
                <w:rFonts w:ascii="Calibri" w:eastAsia="Times New Roman" w:hAnsi="Calibri" w:cs="Calibri"/>
                <w:color w:val="000000"/>
                <w:highlight w:val="yellow"/>
                <w:lang w:val="en-IE"/>
              </w:rPr>
            </w:pPr>
            <w:r>
              <w:rPr>
                <w:rFonts w:ascii="Calibri" w:hAnsi="Calibri" w:cs="Calibri"/>
                <w:color w:val="000000"/>
              </w:rPr>
              <w:t>416.59</w:t>
            </w:r>
          </w:p>
        </w:tc>
      </w:tr>
      <w:tr w:rsidR="00B47074" w:rsidRPr="008121D6" w:rsidDel="00E5369C" w14:paraId="0F6524A4" w14:textId="77777777" w:rsidTr="00D9599D">
        <w:trPr>
          <w:trHeight w:val="297"/>
        </w:trPr>
        <w:tc>
          <w:tcPr>
            <w:tcW w:w="3119" w:type="dxa"/>
            <w:tcBorders>
              <w:left w:val="single" w:sz="4" w:space="0" w:color="auto"/>
              <w:bottom w:val="single" w:sz="4" w:space="0" w:color="auto"/>
              <w:right w:val="single" w:sz="4" w:space="0" w:color="auto"/>
            </w:tcBorders>
            <w:vAlign w:val="center"/>
          </w:tcPr>
          <w:p w14:paraId="3A3D922B" w14:textId="77777777" w:rsidR="00B47074" w:rsidRPr="00AD0C55" w:rsidDel="00E5369C" w:rsidRDefault="00B47074" w:rsidP="00B47074">
            <w:pPr>
              <w:spacing w:after="240" w:line="240" w:lineRule="auto"/>
              <w:rPr>
                <w:rFonts w:ascii="Calibri" w:eastAsia="Times New Roman" w:hAnsi="Calibri" w:cs="Calibri"/>
                <w:color w:val="000000"/>
                <w:lang w:val="en-IE"/>
              </w:rPr>
            </w:pPr>
            <w:r w:rsidRPr="00AD0C55" w:rsidDel="00E5369C">
              <w:rPr>
                <w:rFonts w:ascii="Calibri" w:hAnsi="Calibri" w:cs="Calibri"/>
                <w:color w:val="000000"/>
              </w:rPr>
              <w:t>Total (kg)</w:t>
            </w:r>
          </w:p>
        </w:tc>
        <w:tc>
          <w:tcPr>
            <w:tcW w:w="1984" w:type="dxa"/>
            <w:tcBorders>
              <w:left w:val="single" w:sz="4" w:space="0" w:color="auto"/>
              <w:bottom w:val="single" w:sz="4" w:space="0" w:color="auto"/>
              <w:right w:val="single" w:sz="4" w:space="0" w:color="auto"/>
            </w:tcBorders>
            <w:vAlign w:val="center"/>
          </w:tcPr>
          <w:p w14:paraId="671D48CC" w14:textId="0BF979AF" w:rsidR="00B47074" w:rsidRPr="008F125D" w:rsidDel="00E5369C" w:rsidRDefault="00B47074" w:rsidP="00B47074">
            <w:pPr>
              <w:spacing w:after="240" w:line="240" w:lineRule="auto"/>
              <w:rPr>
                <w:rFonts w:ascii="Calibri" w:eastAsia="Times New Roman" w:hAnsi="Calibri" w:cs="Calibri"/>
                <w:color w:val="000000"/>
                <w:highlight w:val="yellow"/>
                <w:lang w:val="en-IE"/>
              </w:rPr>
            </w:pPr>
            <w:r w:rsidRPr="00D9599D">
              <w:rPr>
                <w:rFonts w:ascii="Calibri" w:hAnsi="Calibri" w:cs="Calibri"/>
                <w:color w:val="000000"/>
              </w:rPr>
              <w:t>627.04</w:t>
            </w:r>
          </w:p>
        </w:tc>
        <w:tc>
          <w:tcPr>
            <w:tcW w:w="2127" w:type="dxa"/>
            <w:tcBorders>
              <w:left w:val="single" w:sz="4" w:space="0" w:color="auto"/>
              <w:bottom w:val="single" w:sz="4" w:space="0" w:color="auto"/>
              <w:right w:val="single" w:sz="4" w:space="0" w:color="auto"/>
            </w:tcBorders>
            <w:vAlign w:val="center"/>
          </w:tcPr>
          <w:p w14:paraId="697E9765" w14:textId="1C8193CB" w:rsidR="00B47074" w:rsidRPr="008F125D" w:rsidDel="00E5369C" w:rsidRDefault="00B47074" w:rsidP="00B47074">
            <w:pPr>
              <w:spacing w:after="240" w:line="240" w:lineRule="auto"/>
              <w:rPr>
                <w:rFonts w:ascii="Calibri" w:eastAsia="Times New Roman" w:hAnsi="Calibri" w:cs="Calibri"/>
                <w:color w:val="000000"/>
                <w:highlight w:val="yellow"/>
                <w:lang w:val="en-IE"/>
              </w:rPr>
            </w:pPr>
            <w:r w:rsidRPr="00D9599D">
              <w:rPr>
                <w:rFonts w:ascii="Calibri" w:hAnsi="Calibri" w:cs="Calibri"/>
                <w:color w:val="000000"/>
              </w:rPr>
              <w:t>1589.21</w:t>
            </w:r>
          </w:p>
        </w:tc>
        <w:tc>
          <w:tcPr>
            <w:tcW w:w="2268" w:type="dxa"/>
            <w:tcBorders>
              <w:left w:val="single" w:sz="4" w:space="0" w:color="auto"/>
              <w:bottom w:val="single" w:sz="4" w:space="0" w:color="auto"/>
              <w:right w:val="single" w:sz="4" w:space="0" w:color="auto"/>
            </w:tcBorders>
            <w:vAlign w:val="center"/>
          </w:tcPr>
          <w:p w14:paraId="3882DD00" w14:textId="19A57E7C" w:rsidR="00B47074" w:rsidRPr="008F125D" w:rsidDel="00E5369C" w:rsidRDefault="00B47074" w:rsidP="00B47074">
            <w:pPr>
              <w:spacing w:after="240" w:line="240" w:lineRule="auto"/>
              <w:rPr>
                <w:rFonts w:ascii="Calibri" w:eastAsia="Times New Roman" w:hAnsi="Calibri" w:cs="Calibri"/>
                <w:color w:val="000000"/>
                <w:highlight w:val="yellow"/>
                <w:lang w:val="en-IE"/>
              </w:rPr>
            </w:pPr>
            <w:r w:rsidRPr="00D9599D">
              <w:rPr>
                <w:rFonts w:ascii="Calibri" w:hAnsi="Calibri" w:cs="Calibri"/>
                <w:color w:val="000000"/>
              </w:rPr>
              <w:t>5773.91</w:t>
            </w:r>
          </w:p>
        </w:tc>
      </w:tr>
    </w:tbl>
    <w:p w14:paraId="2D21206E" w14:textId="42B562C8" w:rsidR="008E6ADF" w:rsidRDefault="00B47074" w:rsidP="00D9599D">
      <w:pPr>
        <w:spacing w:after="240" w:line="480" w:lineRule="auto"/>
      </w:pPr>
      <w:r w:rsidDel="009272D6">
        <w:t xml:space="preserve">Table </w:t>
      </w:r>
      <w:r w:rsidR="00B92DAE">
        <w:t>1</w:t>
      </w:r>
      <w:r w:rsidDel="009272D6">
        <w:t>: Ma</w:t>
      </w:r>
      <w:r>
        <w:t>in ma</w:t>
      </w:r>
      <w:r w:rsidDel="009272D6">
        <w:t xml:space="preserve">terial and </w:t>
      </w:r>
      <w:r>
        <w:t>energy</w:t>
      </w:r>
      <w:r w:rsidDel="009272D6">
        <w:t xml:space="preserve"> inputs </w:t>
      </w:r>
      <w:r>
        <w:t>per year for considered cultivation pathways</w:t>
      </w:r>
      <w:r w:rsidDel="009272D6">
        <w:t>.</w:t>
      </w:r>
    </w:p>
    <w:p w14:paraId="6B138CD8" w14:textId="77777777" w:rsidR="008E6ADF" w:rsidRDefault="008E6ADF" w:rsidP="00890D06">
      <w:pPr>
        <w:spacing w:after="240" w:line="480" w:lineRule="auto"/>
        <w:jc w:val="both"/>
      </w:pPr>
    </w:p>
    <w:p w14:paraId="24020CE2" w14:textId="77777777" w:rsidR="00B47074" w:rsidRDefault="00B47074" w:rsidP="00890D06">
      <w:pPr>
        <w:spacing w:after="240" w:line="480" w:lineRule="auto"/>
        <w:jc w:val="both"/>
      </w:pPr>
    </w:p>
    <w:p w14:paraId="419C8D20" w14:textId="67DC98BD" w:rsidR="00DF7A81" w:rsidRDefault="00F965A1" w:rsidP="00890D06">
      <w:pPr>
        <w:pStyle w:val="Heading3"/>
        <w:numPr>
          <w:ilvl w:val="2"/>
          <w:numId w:val="12"/>
        </w:numPr>
        <w:spacing w:before="0" w:after="240" w:line="480" w:lineRule="auto"/>
        <w:rPr>
          <w:b/>
          <w:bCs/>
          <w:color w:val="auto"/>
          <w:sz w:val="22"/>
          <w:szCs w:val="22"/>
        </w:rPr>
      </w:pPr>
      <w:bookmarkStart w:id="32" w:name="_Toc130974671"/>
      <w:bookmarkStart w:id="33" w:name="_Toc130974672"/>
      <w:bookmarkStart w:id="34" w:name="_Toc130974723"/>
      <w:bookmarkStart w:id="35" w:name="_Toc130974724"/>
      <w:bookmarkEnd w:id="32"/>
      <w:bookmarkEnd w:id="33"/>
      <w:bookmarkEnd w:id="34"/>
      <w:r w:rsidRPr="000A2445">
        <w:rPr>
          <w:b/>
          <w:bCs/>
          <w:color w:val="auto"/>
          <w:sz w:val="22"/>
          <w:szCs w:val="22"/>
        </w:rPr>
        <w:lastRenderedPageBreak/>
        <w:t>L</w:t>
      </w:r>
      <w:r w:rsidR="00B35342" w:rsidRPr="000A2445">
        <w:rPr>
          <w:b/>
          <w:bCs/>
          <w:color w:val="auto"/>
          <w:sz w:val="22"/>
          <w:szCs w:val="22"/>
        </w:rPr>
        <w:t>ife cycle impact assessment methods</w:t>
      </w:r>
      <w:bookmarkEnd w:id="35"/>
    </w:p>
    <w:p w14:paraId="13F67938" w14:textId="51235307" w:rsidR="00B92DAE" w:rsidRPr="00D9599D" w:rsidRDefault="00B92DAE" w:rsidP="00B92DAE">
      <w:pPr>
        <w:pStyle w:val="ListParagraph"/>
        <w:numPr>
          <w:ilvl w:val="3"/>
          <w:numId w:val="12"/>
        </w:numPr>
        <w:rPr>
          <w:b/>
          <w:bCs/>
        </w:rPr>
      </w:pPr>
      <w:r w:rsidRPr="00D9599D">
        <w:rPr>
          <w:b/>
          <w:bCs/>
        </w:rPr>
        <w:t>Environmental impact</w:t>
      </w:r>
      <w:r w:rsidR="004D3707">
        <w:rPr>
          <w:b/>
          <w:bCs/>
        </w:rPr>
        <w:t>s</w:t>
      </w:r>
    </w:p>
    <w:p w14:paraId="7E1C1F7B" w14:textId="77777777" w:rsidR="00B92DAE" w:rsidRPr="00D9599D" w:rsidRDefault="00B92DAE" w:rsidP="00D9599D"/>
    <w:p w14:paraId="228DD5B9" w14:textId="516271B7" w:rsidR="00AA460C" w:rsidRDefault="00CD18D1" w:rsidP="00890D06">
      <w:pPr>
        <w:spacing w:after="240" w:line="480" w:lineRule="auto"/>
        <w:jc w:val="both"/>
      </w:pPr>
      <w:r w:rsidRPr="009624E8">
        <w:t>As mentioned in section 2.</w:t>
      </w:r>
      <w:r w:rsidR="00960228" w:rsidRPr="009624E8">
        <w:t>1</w:t>
      </w:r>
      <w:r w:rsidRPr="009624E8">
        <w:t>.1, this study</w:t>
      </w:r>
      <w:r w:rsidR="00C83E6F" w:rsidRPr="009624E8">
        <w:t xml:space="preserve"> </w:t>
      </w:r>
      <w:r w:rsidRPr="009624E8">
        <w:t>use</w:t>
      </w:r>
      <w:r w:rsidR="0076211B" w:rsidRPr="009624E8">
        <w:t>s</w:t>
      </w:r>
      <w:r w:rsidRPr="009624E8">
        <w:t xml:space="preserve"> </w:t>
      </w:r>
      <w:r w:rsidR="00B66C52" w:rsidRPr="00D9599D">
        <w:t xml:space="preserve">global warming potential to evaluate the climate change impacts and </w:t>
      </w:r>
      <w:r w:rsidRPr="009624E8">
        <w:t>exergetic analysis to evaluate the resource intensity of wild harvesting and cultivation methods for seaweed production.</w:t>
      </w:r>
      <w:r w:rsidR="004B18C1" w:rsidRPr="009624E8">
        <w:t xml:space="preserve"> </w:t>
      </w:r>
      <w:r w:rsidR="00AA460C" w:rsidRPr="00CB5DF3" w:rsidDel="003C3BFC">
        <w:t xml:space="preserve">To calculate </w:t>
      </w:r>
      <w:r w:rsidR="00E34AC0">
        <w:t>GWP</w:t>
      </w:r>
      <w:r w:rsidR="00AA460C" w:rsidRPr="00CB5DF3" w:rsidDel="003C3BFC">
        <w:t xml:space="preserve">, the </w:t>
      </w:r>
      <w:r w:rsidR="00D040FE" w:rsidRPr="00CB5DF3" w:rsidDel="003C3BFC">
        <w:t>I</w:t>
      </w:r>
      <w:r w:rsidR="00D040FE">
        <w:t xml:space="preserve">nternational </w:t>
      </w:r>
      <w:r w:rsidR="00D040FE" w:rsidRPr="00CB5DF3" w:rsidDel="003C3BFC">
        <w:t>P</w:t>
      </w:r>
      <w:r w:rsidR="00D040FE">
        <w:t xml:space="preserve">anel on </w:t>
      </w:r>
      <w:r w:rsidR="00D040FE" w:rsidRPr="00CB5DF3" w:rsidDel="003C3BFC">
        <w:t>C</w:t>
      </w:r>
      <w:r w:rsidR="00D040FE">
        <w:t xml:space="preserve">limate </w:t>
      </w:r>
      <w:r w:rsidR="00D040FE" w:rsidRPr="00CB5DF3" w:rsidDel="003C3BFC">
        <w:t>C</w:t>
      </w:r>
      <w:r w:rsidR="00D040FE">
        <w:t>hange (</w:t>
      </w:r>
      <w:r w:rsidR="00CB5DF3" w:rsidRPr="00D9599D">
        <w:t>IPCC</w:t>
      </w:r>
      <w:r w:rsidR="00D040FE">
        <w:t>)</w:t>
      </w:r>
      <w:r w:rsidR="00CB5DF3" w:rsidRPr="00D9599D">
        <w:t xml:space="preserve"> 2013 </w:t>
      </w:r>
      <w:r w:rsidR="00B92DAE">
        <w:t xml:space="preserve">100a </w:t>
      </w:r>
      <w:r w:rsidR="00EE29AF" w:rsidRPr="00CB5DF3" w:rsidDel="003C3BFC">
        <w:t xml:space="preserve">methodology </w:t>
      </w:r>
      <w:r w:rsidR="00CB5DF3" w:rsidRPr="00D9599D">
        <w:t xml:space="preserve">is used, which is available </w:t>
      </w:r>
      <w:r w:rsidR="00CF105B">
        <w:t>through</w:t>
      </w:r>
      <w:r w:rsidR="00CB5DF3" w:rsidRPr="00D9599D">
        <w:t xml:space="preserve"> the SimaPro database</w:t>
      </w:r>
      <w:r w:rsidR="004C3CE4">
        <w:t xml:space="preserve"> </w:t>
      </w:r>
      <w:r w:rsidR="00E35FAC">
        <w:fldChar w:fldCharType="begin"/>
      </w:r>
      <w:r w:rsidR="00E35FAC">
        <w:instrText xml:space="preserve"> ADDIN ZOTERO_ITEM CSL_CITATION {"citationID":"ompBNeWP","properties":{"formattedCitation":"(PR\\uc0\\u233{} Sustainability, 2020)","plainCitation":"(PRé Sustainability, 2020)","noteIndex":0},"citationItems":[{"id":742,"uris":["http://zotero.org/users/8766396/items/YT8GYWDP"],"itemData":{"id":742,"type":"document","publisher":"PRé Sustainability B.V.","title":"SimaPro database manual - Methods library. Version 4.15","author":[{"literal":"PRé Sustainability"}],"issued":{"date-parts":[["2020"]]}}}],"schema":"https://github.com/citation-style-language/schema/raw/master/csl-citation.json"} </w:instrText>
      </w:r>
      <w:r w:rsidR="00E35FAC">
        <w:fldChar w:fldCharType="separate"/>
      </w:r>
      <w:r w:rsidR="00E35FAC" w:rsidRPr="00E35FAC">
        <w:rPr>
          <w:szCs w:val="24"/>
        </w:rPr>
        <w:t>(PRé Sustainability, 2020)</w:t>
      </w:r>
      <w:r w:rsidR="00E35FAC">
        <w:fldChar w:fldCharType="end"/>
      </w:r>
      <w:r w:rsidR="00CB5DF3" w:rsidRPr="00D9599D">
        <w:t xml:space="preserve">. The methodology </w:t>
      </w:r>
      <w:r w:rsidR="002A2DF0">
        <w:t>and equivalency factors are</w:t>
      </w:r>
      <w:r w:rsidR="00CB5DF3" w:rsidRPr="00D9599D">
        <w:t xml:space="preserve"> </w:t>
      </w:r>
      <w:r w:rsidR="00EE29AF" w:rsidRPr="00CB5DF3" w:rsidDel="003C3BFC">
        <w:t xml:space="preserve">outlined in the </w:t>
      </w:r>
      <w:r w:rsidR="00D040FE">
        <w:t>IPCC</w:t>
      </w:r>
      <w:r w:rsidR="00EE29AF" w:rsidRPr="00CB5DF3" w:rsidDel="003C3BFC">
        <w:t xml:space="preserve"> 5</w:t>
      </w:r>
      <w:r w:rsidR="00EE29AF" w:rsidRPr="00CB5DF3" w:rsidDel="003C3BFC">
        <w:rPr>
          <w:vertAlign w:val="superscript"/>
        </w:rPr>
        <w:t>th</w:t>
      </w:r>
      <w:r w:rsidR="00EE29AF" w:rsidRPr="00CB5DF3" w:rsidDel="003C3BFC">
        <w:t xml:space="preserve"> Assessment report</w:t>
      </w:r>
      <w:r w:rsidR="00AA460C" w:rsidRPr="00CB5DF3" w:rsidDel="003C3BFC">
        <w:t xml:space="preserve"> </w:t>
      </w:r>
      <w:r w:rsidR="00586DDA" w:rsidRPr="00CB5DF3" w:rsidDel="003C3BFC">
        <w:fldChar w:fldCharType="begin"/>
      </w:r>
      <w:r w:rsidR="003A4382" w:rsidRPr="00CB5DF3" w:rsidDel="003C3BFC">
        <w:instrText xml:space="preserve"> ADDIN ZOTERO_ITEM CSL_CITATION {"citationID":"D6ygu5rr","properties":{"formattedCitation":"(Myhre et al., 2013)","plainCitation":"(Myhre et al., 2013)","noteIndex":0},"citationItems":[{"id":723,"uris":["http://zotero.org/users/8766396/items/2WPWQ3FS"],"itemData":{"id":723,"type":"chapter","container-title":"Climate Change 2013: The Physical Science Basis. Contribution of Working Group I to the Fifth Assessment Report of the Intergovernmental Panel on Climate Change","event-place":"Cambridge, United Kingdom and New York, NY, USA","publisher":"Cambridge University Press","publisher-place":"Cambridge, United Kingdom and New York, NY, USA","title":"Anthropogenic and Natural Radiative Forcing","URL":"https://www.ipcc.ch/site/assets/uploads/2018/02/WG1AR5_Chapter08_FINAL.pdf","author":[{"family":"Myhre","given":"G"},{"family":"Shindell","given":"D"},{"family":"Breon","given":"F.-M"},{"family":"Collins","given":"W"},{"family":"Fuglestvedt","given":"J"},{"family":"Huang","given":"J"},{"family":"Koch","given":"D"},{"family":"Lamarque","given":"J.-F"},{"family":"Lee","given":"D"},{"family":"Mendoza","given":"B"},{"family":"Nakajima","given":"T"},{"family":"Robock","given":"A"},{"family":"Stephens","given":"G"},{"family":"Takemura","given":"T"},{"family":"Zhang","given":"H"}],"issued":{"date-parts":[["2013"]]}}}],"schema":"https://github.com/citation-style-language/schema/raw/master/csl-citation.json"} </w:instrText>
      </w:r>
      <w:r w:rsidR="00586DDA" w:rsidRPr="00CB5DF3" w:rsidDel="003C3BFC">
        <w:fldChar w:fldCharType="separate"/>
      </w:r>
      <w:r w:rsidR="003A4382" w:rsidRPr="00CB5DF3" w:rsidDel="003C3BFC">
        <w:t>(Myhre et al., 2013)</w:t>
      </w:r>
      <w:r w:rsidR="00586DDA" w:rsidRPr="00CB5DF3" w:rsidDel="003C3BFC">
        <w:fldChar w:fldCharType="end"/>
      </w:r>
      <w:r w:rsidR="00D040FE">
        <w:rPr>
          <w:color w:val="000000"/>
        </w:rPr>
        <w:t>.</w:t>
      </w:r>
      <w:r w:rsidR="00AA460C" w:rsidRPr="00CB5DF3">
        <w:t xml:space="preserve"> Seaweed cultivation is </w:t>
      </w:r>
      <w:r w:rsidR="0087005F" w:rsidRPr="00CB5DF3">
        <w:t xml:space="preserve">argued as having a high potential to sequester carbon as well as nutrients in coastal waters </w:t>
      </w:r>
      <w:r w:rsidR="007C555E" w:rsidRPr="00CB5DF3">
        <w:fldChar w:fldCharType="begin"/>
      </w:r>
      <w:r w:rsidR="003A4382" w:rsidRPr="00CB5DF3">
        <w:instrText xml:space="preserve"> ADDIN ZOTERO_ITEM CSL_CITATION {"citationID":"mKsLvC80","properties":{"formattedCitation":"(Vincent et al., 2020)","plainCitation":"(Vincent et al., 2020)","noteIndex":0},"citationItems":[{"id":718,"uris":["http://zotero.org/users/8766396/items/2WTZZQ2X"],"itemData":{"id":718,"type":"report","publisher":"Seaweed for Europe","title":"Hidden champion of the ocean: Seaweed as a growth engine for a sustainable European future","URL":"https://www.seaweedeurope.com/wp-content/uploads/2020/10/Seaweed_for_Europe-Hidden_Champion_of_the_ocean-Report.pdf","author":[{"family":"Vincent","given":"A"},{"family":"Stanley","given":"A"},{"family":"Ring","given":"J"}],"issued":{"date-parts":[["2020"]]}}}],"schema":"https://github.com/citation-style-language/schema/raw/master/csl-citation.json"} </w:instrText>
      </w:r>
      <w:r w:rsidR="007C555E" w:rsidRPr="00CB5DF3">
        <w:fldChar w:fldCharType="separate"/>
      </w:r>
      <w:r w:rsidR="003A4382" w:rsidRPr="00CB5DF3">
        <w:t>(Vincent et al., 2020)</w:t>
      </w:r>
      <w:r w:rsidR="007C555E" w:rsidRPr="00CB5DF3">
        <w:fldChar w:fldCharType="end"/>
      </w:r>
      <w:r w:rsidR="007C555E" w:rsidRPr="00CB5DF3">
        <w:t xml:space="preserve">; </w:t>
      </w:r>
      <w:r w:rsidR="006843B7" w:rsidRPr="00D9599D">
        <w:t xml:space="preserve">however, unless the seaweed is actively deposited in the deep sea </w:t>
      </w:r>
      <w:r w:rsidR="006843B7" w:rsidRPr="00D9599D">
        <w:fldChar w:fldCharType="begin"/>
      </w:r>
      <w:r w:rsidR="006843B7" w:rsidRPr="00D9599D">
        <w:instrText xml:space="preserve"> ADDIN ZOTERO_ITEM CSL_CITATION {"citationID":"RdYgYBul","properties":{"formattedCitation":"(Coleman et al., 2022)","plainCitation":"(Coleman et al., 2022)","noteIndex":0},"citationItems":[{"id":739,"uris":["http://zotero.org/users/8766396/items/79YYMHVW"],"itemData":{"id":739,"type":"article-journal","abstract":"To keep global surface warming below 1.5°C by 2100, the portfolio of cost-effective CDR technologies must expand. To evaluate the potential of macroalgae CDR, we developed a kelp aquaculture bio-techno-economic model in which large quantities of kelp would be farmed at an offshore site, transported to a deep water “sink site”, and then deposited below the sequestration horizon (1,000 m). We estimated the costs and associated emissions of nursery production, permitting, farm construction, ocean cultivation, biomass transport, and Monitoring, Reporting, and Verification (MRV) for a 1,000 acre (405 ha) “baseline” project located in the Gulf of Maine, USA. The baseline kelp CDR model applies current systems of kelp cultivation to deep water (100 m) exposed sites using best available modeling methods. We calculated the levelized unit costs of CO\n              2\n              eq sequestration (LCOC; $ tCO\n              2\n              eq\n              -1\n              ). Under baseline assumptions, LCOC was $17,048 tCO\n              2\n              eq\n              -1\n              . Despite annually sequestering 628 tCO\n              2\n              eq within kelp biomass at the sink site, the project was only able to net 244 C credits (tCO\n              2\n              eq) each year, a true sequestration “additionality” rate (AR) of 39% (i.e., the ratio of net C credits produced to gross C sequestered within kelp biomass). As a result of optimizing 18 key parameters for which we identified a range within the literature, LCOC fell to $1,257 tCO\n              2\n              eq\n              -1\n              and AR increased to 91%, demonstrating that substantial cost reductions could be achieved through process improvement and decarbonization of production supply chains. Kelp CDR may be limited by high production costs and energy intensive operations, as well as MRV uncertainty. To resolve these challenges, R&amp;amp;D must (1) de-risk farm designs that maximize lease space, (2) automate the seeding and harvest processes, (3) leverage selective breeding to increase yields, (4) assess the cost-benefit of gametophyte nursery culture as both a platform for selective breeding and driver of operating cost reductions, (5) decarbonize equipment supply chains, energy usage, and ocean cultivation by sourcing electricity from renewables and employing low GHG impact materials with long lifespans, and (6) develop low-cost and accurate MRV techniques for ocean-based CDR.","container-title":"Frontiers in Marine Science","DOI":"10.3389/fmars.2022.966304","ISSN":"2296-7745","journalAbbreviation":"Front. Mar. Sci.","page":"966304","source":"DOI.org (Crossref)","title":"Quantifying baseline costs and cataloging potential optimization strategies for kelp aquaculture carbon dioxide removal","URL":"https://www.frontiersin.org/articles/10.3389/fmars.2022.966304/full","volume":"9","author":[{"family":"Coleman","given":"Struan"},{"family":"Dewhurst","given":"Tobias"},{"family":"Fredriksson","given":"David W."},{"family":"St. Gelais","given":"Adam T."},{"family":"Cole","given":"Kelly L."},{"family":"MacNicoll","given":"Michael"},{"family":"Laufer","given":"Eric"},{"family":"Brady","given":"Damian C."}],"accessed":{"date-parts":[["2023",8,23]]},"issued":{"date-parts":[["2022",8,11]]}}}],"schema":"https://github.com/citation-style-language/schema/raw/master/csl-citation.json"} </w:instrText>
      </w:r>
      <w:r w:rsidR="006843B7" w:rsidRPr="00D9599D">
        <w:fldChar w:fldCharType="separate"/>
      </w:r>
      <w:r w:rsidR="006843B7" w:rsidRPr="00D9599D">
        <w:t>(Coleman et al., 2022)</w:t>
      </w:r>
      <w:r w:rsidR="006843B7" w:rsidRPr="00D9599D">
        <w:fldChar w:fldCharType="end"/>
      </w:r>
      <w:r w:rsidR="006843B7" w:rsidRPr="00D9599D">
        <w:t>, this carbon is eventually released back into the environment at the end-of-life of the seaweed product.</w:t>
      </w:r>
      <w:r w:rsidR="00954AE3" w:rsidRPr="006843B7">
        <w:t xml:space="preserve"> </w:t>
      </w:r>
      <w:r w:rsidR="006843B7" w:rsidRPr="00D9599D">
        <w:t xml:space="preserve">Thus, </w:t>
      </w:r>
      <w:r w:rsidR="00954AE3" w:rsidRPr="006843B7">
        <w:t>no CO2 sequestration is assumed.</w:t>
      </w:r>
    </w:p>
    <w:p w14:paraId="6033C1CB" w14:textId="1705FCEB" w:rsidR="0063028C" w:rsidRPr="00D504A8" w:rsidRDefault="0063028C" w:rsidP="0063028C">
      <w:pPr>
        <w:spacing w:after="240" w:line="480" w:lineRule="auto"/>
        <w:jc w:val="both"/>
      </w:pPr>
      <w:r w:rsidRPr="00D9599D">
        <w:t xml:space="preserve">To calculate the exergy demand, </w:t>
      </w:r>
      <w:r w:rsidR="00CF105B" w:rsidRPr="00D9599D">
        <w:t>several impact assessment methods are employed.</w:t>
      </w:r>
      <w:r w:rsidRPr="00D9599D">
        <w:t xml:space="preserve"> </w:t>
      </w:r>
      <w:r w:rsidRPr="00D504A8">
        <w:t>For capital equipment, chemical and material inputs, and transport-related energy use, the Cumulative Exergy Demand (</w:t>
      </w:r>
      <w:proofErr w:type="spellStart"/>
      <w:r w:rsidRPr="00D504A8">
        <w:t>CExD</w:t>
      </w:r>
      <w:proofErr w:type="spellEnd"/>
      <w:r w:rsidRPr="00D504A8">
        <w:t xml:space="preserve">) method is used </w:t>
      </w:r>
      <w:r w:rsidRPr="00D504A8">
        <w:fldChar w:fldCharType="begin"/>
      </w:r>
      <w:r w:rsidR="006843B7">
        <w:instrText xml:space="preserve"> ADDIN ZOTERO_ITEM CSL_CITATION {"citationID":"ivwim9Rk","properties":{"formattedCitation":"(B\\uc0\\u246{}sch et al., 2007)","plainCitation":"(Bösch et al., 2007)","noteIndex":0},"citationItems":[{"id":690,"uris":["http://zotero.org/users/8766396/items/839HXZUI"],"itemData":{"id":690,"type":"article-journal","container-title":"The International Journal of Life Cycle Assessment","DOI":"10.1065/lca2006.11.282","ISSN":"0948-3349, 1614-7502","issue":"3","journalAbbreviation":"Int J Life Cycle Assess","language":"en","page":"181-190","source":"DOI.org (Crossref)","title":"Applying cumulative exergy demand (CExD) indicators to the ecoinvent database","URL":"http://link.springer.com/10.1065/lca2006.11.282","volume":"12","author":[{"family":"Bösch","given":"Michael E."},{"family":"Hellweg","given":"Stefanie"},{"family":"Huijbregts","given":"Mark A. J."},{"family":"Frischknecht","given":"Rolf"}],"accessed":{"date-parts":[["2023",2,23]]},"issued":{"date-parts":[["2007",5]]}}}],"schema":"https://github.com/citation-style-language/schema/raw/master/csl-citation.json"} </w:instrText>
      </w:r>
      <w:r w:rsidRPr="00D504A8">
        <w:fldChar w:fldCharType="separate"/>
      </w:r>
      <w:r w:rsidRPr="00D504A8">
        <w:rPr>
          <w:szCs w:val="24"/>
        </w:rPr>
        <w:t>(Bösch et al., 2007)</w:t>
      </w:r>
      <w:r w:rsidRPr="00D504A8">
        <w:fldChar w:fldCharType="end"/>
      </w:r>
      <w:r w:rsidRPr="00D504A8">
        <w:t xml:space="preserve">, which is available through the SimaPro database. To quantify the impacts of natural resource extraction, the CEENE method is used. In the CEENE method </w:t>
      </w:r>
      <w:r w:rsidR="00BE6DC4" w:rsidRPr="00D9599D">
        <w:fldChar w:fldCharType="begin"/>
      </w:r>
      <w:r w:rsidR="00BE6DC4" w:rsidRPr="00D9599D">
        <w:instrText xml:space="preserve"> ADDIN ZOTERO_ITEM CSL_CITATION {"citationID":"NJ67egrm","properties":{"formattedCitation":"(Alvarenga et al., 2013)","plainCitation":"(Alvarenga et al., 2013)","noteIndex":0},"citationItems":[{"id":502,"uris":["http://zotero.org/users/8766396/items/58JJVC66"],"itemData":{"id":502,"type":"article-journal","abstract":"Purpose In life cycle assessment (LCA), literature suggests accounting for land as a resource either by what it delivers (e.g., biomass content) or the time and space needed to produce biomass (land occupation), in order to avoid doublecounting. This paper proposes and implements a new framework to calculate exergy-based spatial explicit characterization factors (CF) for land as a resource, which deals with both biomass and area occupied on the global scale.","container-title":"The International Journal of Life Cycle Assessment","DOI":"10.1007/s11367-013-0555-7","ISSN":"0948-3349, 1614-7502","issue":"5","journalAbbreviation":"Int J Life Cycle Assess","language":"en","page":"939-947","source":"DOI.org (Crossref)","title":"Exergy-based accounting for land as a natural resource in life cycle assessment","URL":"http://link.springer.com/10.1007/s11367-013-0555-7","volume":"18","author":[{"family":"Alvarenga","given":"Rodrigo A. F."},{"family":"Dewulf","given":"Jo"},{"family":"Van Langenhove","given":"Herman"},{"family":"Huijbregts","given":"Mark A. J."}],"accessed":{"date-parts":[["2023",2,22]]},"issued":{"date-parts":[["2013",6]]}}}],"schema":"https://github.com/citation-style-language/schema/raw/master/csl-citation.json"} </w:instrText>
      </w:r>
      <w:r w:rsidR="00BE6DC4" w:rsidRPr="00D9599D">
        <w:fldChar w:fldCharType="separate"/>
      </w:r>
      <w:r w:rsidR="00BE6DC4" w:rsidRPr="00D9599D">
        <w:t>(Alvarenga et al., 2013)</w:t>
      </w:r>
      <w:r w:rsidR="00BE6DC4" w:rsidRPr="00D9599D">
        <w:fldChar w:fldCharType="end"/>
      </w:r>
      <w:r w:rsidRPr="00D9599D">
        <w:t xml:space="preserve">, </w:t>
      </w:r>
      <w:r w:rsidRPr="00D504A8">
        <w:t xml:space="preserve">the impact of extracting biomass resources from the natural environment can be directly attributed to the exergy content of that resource, while the impact of cultivating biomass resources within a human-made system can be attributed to </w:t>
      </w:r>
      <w:r w:rsidRPr="00D504A8">
        <w:rPr>
          <w:lang w:val="en-IE"/>
        </w:rPr>
        <w:t>the net primary production (NPP) lost by land occupation (LO)</w:t>
      </w:r>
      <w:r w:rsidRPr="00D504A8">
        <w:t>:</w:t>
      </w:r>
    </w:p>
    <w:p w14:paraId="3C9E7CBC" w14:textId="77777777" w:rsidR="0063028C" w:rsidRPr="00D504A8" w:rsidRDefault="0063028C" w:rsidP="0063028C">
      <w:pPr>
        <w:spacing w:after="240" w:line="480" w:lineRule="auto"/>
        <w:jc w:val="both"/>
        <w:rPr>
          <w:lang w:val="en-IE"/>
        </w:rPr>
      </w:pPr>
      <m:oMath>
        <m:r>
          <w:rPr>
            <w:rFonts w:ascii="Cambria Math" w:hAnsi="Cambria Math"/>
            <w:lang w:val="en-IE"/>
          </w:rPr>
          <m:t xml:space="preserve">Impact </m:t>
        </m:r>
        <m:d>
          <m:dPr>
            <m:ctrlPr>
              <w:rPr>
                <w:rFonts w:ascii="Cambria Math" w:hAnsi="Cambria Math"/>
                <w:i/>
                <w:lang w:val="en-IE"/>
              </w:rPr>
            </m:ctrlPr>
          </m:dPr>
          <m:e>
            <m:f>
              <m:fPr>
                <m:ctrlPr>
                  <w:rPr>
                    <w:rFonts w:ascii="Cambria Math" w:hAnsi="Cambria Math"/>
                    <w:i/>
                    <w:lang w:val="en-IE"/>
                  </w:rPr>
                </m:ctrlPr>
              </m:fPr>
              <m:num>
                <m:r>
                  <w:rPr>
                    <w:rFonts w:ascii="Cambria Math" w:hAnsi="Cambria Math"/>
                    <w:lang w:val="en-IE"/>
                  </w:rPr>
                  <m:t>MJex</m:t>
                </m:r>
              </m:num>
              <m:den>
                <m:r>
                  <w:rPr>
                    <w:rFonts w:ascii="Cambria Math" w:hAnsi="Cambria Math"/>
                    <w:lang w:val="en-IE"/>
                  </w:rPr>
                  <m:t>year</m:t>
                </m:r>
              </m:den>
            </m:f>
          </m:e>
        </m:d>
        <m:r>
          <w:rPr>
            <w:rFonts w:ascii="Cambria Math" w:hAnsi="Cambria Math"/>
            <w:lang w:val="en-IE"/>
          </w:rPr>
          <m:t xml:space="preserve">= CF </m:t>
        </m:r>
        <m:d>
          <m:dPr>
            <m:ctrlPr>
              <w:rPr>
                <w:rFonts w:ascii="Cambria Math" w:hAnsi="Cambria Math"/>
                <w:i/>
                <w:lang w:val="en-IE"/>
              </w:rPr>
            </m:ctrlPr>
          </m:dPr>
          <m:e>
            <m:f>
              <m:fPr>
                <m:ctrlPr>
                  <w:rPr>
                    <w:rFonts w:ascii="Cambria Math" w:hAnsi="Cambria Math"/>
                    <w:i/>
                    <w:lang w:val="en-IE"/>
                  </w:rPr>
                </m:ctrlPr>
              </m:fPr>
              <m:num>
                <m:f>
                  <m:fPr>
                    <m:ctrlPr>
                      <w:rPr>
                        <w:rFonts w:ascii="Cambria Math" w:hAnsi="Cambria Math"/>
                        <w:i/>
                        <w:lang w:val="en-IE"/>
                      </w:rPr>
                    </m:ctrlPr>
                  </m:fPr>
                  <m:num>
                    <m:r>
                      <w:rPr>
                        <w:rFonts w:ascii="Cambria Math" w:hAnsi="Cambria Math"/>
                        <w:lang w:val="en-IE"/>
                      </w:rPr>
                      <m:t>MJex</m:t>
                    </m:r>
                  </m:num>
                  <m:den>
                    <m:r>
                      <w:rPr>
                        <w:rFonts w:ascii="Cambria Math" w:hAnsi="Cambria Math"/>
                        <w:lang w:val="en-IE"/>
                      </w:rPr>
                      <m:t>m2</m:t>
                    </m:r>
                  </m:den>
                </m:f>
              </m:num>
              <m:den>
                <m:r>
                  <w:rPr>
                    <w:rFonts w:ascii="Cambria Math" w:hAnsi="Cambria Math"/>
                    <w:lang w:val="en-IE"/>
                  </w:rPr>
                  <m:t>year</m:t>
                </m:r>
              </m:den>
            </m:f>
          </m:e>
        </m:d>
        <m:r>
          <w:rPr>
            <w:rFonts w:ascii="Cambria Math" w:hAnsi="Cambria Math"/>
            <w:lang w:val="en-IE"/>
          </w:rPr>
          <m:t xml:space="preserve"> * LO (m2)</m:t>
        </m:r>
      </m:oMath>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i/>
          <w:iCs/>
          <w:lang w:val="en-IE"/>
        </w:rPr>
        <w:t>(1)</w:t>
      </w:r>
    </w:p>
    <w:p w14:paraId="27241908" w14:textId="1B77D8FB" w:rsidR="0063028C" w:rsidRPr="00D504A8" w:rsidRDefault="00B947C9" w:rsidP="0063028C">
      <w:pPr>
        <w:spacing w:after="240" w:line="480" w:lineRule="auto"/>
        <w:jc w:val="both"/>
        <w:rPr>
          <w:i/>
          <w:iCs/>
          <w:lang w:val="en-IE"/>
        </w:rPr>
      </w:pPr>
      <w:r>
        <w:t xml:space="preserve">In this calculation, the characterization factor (CF) refers to the NPP in a specific location, as for example land occupation in a tropical rainforest has a different impact than land occupation in a </w:t>
      </w:r>
      <w:r>
        <w:lastRenderedPageBreak/>
        <w:t xml:space="preserve">desert </w:t>
      </w:r>
      <w:r w:rsidR="00BE6DC4">
        <w:fldChar w:fldCharType="begin"/>
      </w:r>
      <w:r w:rsidR="00BE6DC4">
        <w:instrText xml:space="preserve"> ADDIN ZOTERO_ITEM CSL_CITATION {"citationID":"hAuiCQRv","properties":{"formattedCitation":"(Alvarenga et al., 2013)","plainCitation":"(Alvarenga et al., 2013)","noteIndex":0},"citationItems":[{"id":502,"uris":["http://zotero.org/users/8766396/items/58JJVC66"],"itemData":{"id":502,"type":"article-journal","abstract":"Purpose In life cycle assessment (LCA), literature suggests accounting for land as a resource either by what it delivers (e.g., biomass content) or the time and space needed to produce biomass (land occupation), in order to avoid doublecounting. This paper proposes and implements a new framework to calculate exergy-based spatial explicit characterization factors (CF) for land as a resource, which deals with both biomass and area occupied on the global scale.","container-title":"The International Journal of Life Cycle Assessment","DOI":"10.1007/s11367-013-0555-7","ISSN":"0948-3349, 1614-7502","issue":"5","journalAbbreviation":"Int J Life Cycle Assess","language":"en","page":"939-947","source":"DOI.org (Crossref)","title":"Exergy-based accounting for land as a natural resource in life cycle assessment","URL":"http://link.springer.com/10.1007/s11367-013-0555-7","volume":"18","author":[{"family":"Alvarenga","given":"Rodrigo A. F."},{"family":"Dewulf","given":"Jo"},{"family":"Van Langenhove","given":"Herman"},{"family":"Huijbregts","given":"Mark A. J."}],"accessed":{"date-parts":[["2023",2,22]]},"issued":{"date-parts":[["2013",6]]}}}],"schema":"https://github.com/citation-style-language/schema/raw/master/csl-citation.json"} </w:instrText>
      </w:r>
      <w:r w:rsidR="00BE6DC4">
        <w:fldChar w:fldCharType="separate"/>
      </w:r>
      <w:r w:rsidR="00BE6DC4" w:rsidRPr="00BE6DC4">
        <w:t>(Alvarenga et al., 2013)</w:t>
      </w:r>
      <w:r w:rsidR="00BE6DC4">
        <w:fldChar w:fldCharType="end"/>
      </w:r>
      <w:r>
        <w:t xml:space="preserve">. </w:t>
      </w:r>
      <w:r w:rsidR="0063028C" w:rsidRPr="00B947C9">
        <w:t xml:space="preserve">A similar calculation </w:t>
      </w:r>
      <w:r>
        <w:t>is</w:t>
      </w:r>
      <w:r w:rsidR="0063028C" w:rsidRPr="00B947C9">
        <w:t xml:space="preserve"> applied to </w:t>
      </w:r>
      <w:r w:rsidR="00CF105B" w:rsidRPr="00B947C9">
        <w:t>resource extraction from the</w:t>
      </w:r>
      <w:r w:rsidR="0063028C" w:rsidRPr="00B947C9">
        <w:t xml:space="preserve"> marine environment </w:t>
      </w:r>
      <w:r w:rsidR="00CF105B" w:rsidRPr="00BE6DC4">
        <w:rPr>
          <w:rFonts w:eastAsia="Times New Roman"/>
          <w:color w:val="000000"/>
          <w:lang w:val="en-IE"/>
        </w:rPr>
        <w:fldChar w:fldCharType="begin"/>
      </w:r>
      <w:r w:rsidR="00BE6DC4" w:rsidRPr="00D9599D">
        <w:rPr>
          <w:rFonts w:eastAsia="Times New Roman"/>
          <w:color w:val="000000"/>
          <w:lang w:val="en-IE"/>
        </w:rPr>
        <w:instrText xml:space="preserve"> ADDIN ZOTERO_ITEM CSL_CITATION {"citationID":"RXLuk2hi","properties":{"formattedCitation":"(Taelman et al., 2014)","plainCitation":"(Taelman et al., 2014)","noteIndex":0},"citationItems":[{"id":395,"uris":["http://zotero.org/users/8766396/items/DM6N4SED"],"itemData":{"id":395,"type":"article-journal","container-title":"Resources, Conservation and Recycling","DOI":"10.1016/j.resconrec.2014.07.009","ISSN":"09213449","journalAbbreviation":"Resources, Conservation and Recycling","language":"en","page":"1-10","source":"DOI.org (Crossref)","title":"Accounting for the occupation of the marine environment as a natural resource in life cycle assessment: An exergy based approach","title-short":"Accounting for the occupation of the marine environment as a natural resource in life cycle assessment","URL":"https://linkinghub.elsevier.com/retrieve/pii/S0921344914001529","volume":"91","author":[{"family":"Taelman","given":"Sue Ellen"},{"family":"De Meester","given":"Steven"},{"family":"Schaubroeck","given":"Thomas"},{"family":"Sakshaug","given":"Egil"},{"family":"Alvarenga","given":"Rodrigo A.F."},{"family":"Dewulf","given":"Jo"}],"accessed":{"date-parts":[["2023",1,26]]},"issued":{"date-parts":[["2014",9]]}}}],"schema":"https://github.com/citation-style-language/schema/raw/master/csl-citation.json"} </w:instrText>
      </w:r>
      <w:r w:rsidR="00CF105B" w:rsidRPr="00BE6DC4">
        <w:rPr>
          <w:rFonts w:eastAsia="Times New Roman"/>
          <w:color w:val="000000"/>
          <w:lang w:val="en-IE"/>
        </w:rPr>
        <w:fldChar w:fldCharType="separate"/>
      </w:r>
      <w:r w:rsidR="00BE6DC4" w:rsidRPr="00D9599D">
        <w:t>(Taelman et al., 2014)</w:t>
      </w:r>
      <w:r w:rsidR="00CF105B" w:rsidRPr="00BE6DC4">
        <w:rPr>
          <w:rFonts w:eastAsia="Times New Roman"/>
          <w:color w:val="000000"/>
          <w:lang w:val="en-IE"/>
        </w:rPr>
        <w:fldChar w:fldCharType="end"/>
      </w:r>
      <w:r w:rsidR="0063028C" w:rsidRPr="00BE6DC4">
        <w:t xml:space="preserve">, </w:t>
      </w:r>
      <w:r w:rsidR="0063028C" w:rsidRPr="00B947C9">
        <w:t xml:space="preserve">where for resources extracted from human-made systems within the marine environment, </w:t>
      </w:r>
      <w:r w:rsidR="0063028C" w:rsidRPr="00B947C9">
        <w:rPr>
          <w:rFonts w:eastAsia="Times New Roman"/>
          <w:color w:val="000000"/>
          <w:lang w:val="en-IE"/>
        </w:rPr>
        <w:t xml:space="preserve">impacts can be attributed to sea surface occupation (SSO). Sea surface occupation is assumed to block sunlight penetration, thus reducing </w:t>
      </w:r>
      <w:r>
        <w:rPr>
          <w:rFonts w:eastAsia="Times New Roman"/>
          <w:color w:val="000000"/>
          <w:lang w:val="en-IE"/>
        </w:rPr>
        <w:t>NPP</w:t>
      </w:r>
      <w:r w:rsidR="0063028C" w:rsidRPr="00B947C9">
        <w:rPr>
          <w:rFonts w:eastAsia="Times New Roman"/>
          <w:color w:val="000000"/>
          <w:lang w:val="en-IE"/>
        </w:rPr>
        <w:t xml:space="preserve"> in that area. </w:t>
      </w:r>
      <w:r w:rsidR="0063028C" w:rsidRPr="00741DAA">
        <w:rPr>
          <w:rFonts w:eastAsia="Times New Roman"/>
          <w:color w:val="000000"/>
          <w:lang w:val="en-IE"/>
        </w:rPr>
        <w:t xml:space="preserve">On the other hand, in the case of marine environments there is oftentimes only a partial blocking of the total area, which leads to the need for calculating an occupation factor, </w:t>
      </w:r>
      <w:r w:rsidR="0063028C" w:rsidRPr="00741DAA">
        <w:rPr>
          <w:rFonts w:eastAsia="Times New Roman"/>
          <w:i/>
          <w:iCs/>
          <w:color w:val="000000"/>
          <w:lang w:val="en-IE"/>
        </w:rPr>
        <w:t>α</w:t>
      </w:r>
      <w:r w:rsidR="0063028C" w:rsidRPr="00741DAA">
        <w:rPr>
          <w:rFonts w:eastAsia="Times New Roman"/>
          <w:color w:val="000000"/>
          <w:lang w:val="en-IE"/>
        </w:rPr>
        <w:t xml:space="preserve"> </w:t>
      </w:r>
      <w:r w:rsidR="0063028C" w:rsidRPr="00BE6DC4">
        <w:rPr>
          <w:rFonts w:eastAsia="Times New Roman"/>
          <w:color w:val="000000"/>
          <w:lang w:val="en-IE"/>
        </w:rPr>
        <w:fldChar w:fldCharType="begin"/>
      </w:r>
      <w:r w:rsidR="00BE6DC4" w:rsidRPr="00D9599D">
        <w:rPr>
          <w:rFonts w:eastAsia="Times New Roman"/>
          <w:color w:val="000000"/>
          <w:lang w:val="en-IE"/>
        </w:rPr>
        <w:instrText xml:space="preserve"> ADDIN ZOTERO_ITEM CSL_CITATION {"citationID":"BVaVGw5V","properties":{"formattedCitation":"(Taelman et al., 2015)","plainCitation":"(Taelman et al., 2015)","noteIndex":0},"citationItems":[{"id":130,"uris":["http://zotero.org/users/8766396/items/BNZMX52M"],"itemData":{"id":130,"type":"article-journal","container-title":"Algal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Meester","given":"S"},{"family":"Dewulf","given":"J"}],"issued":{"date-parts":[["2015"]]}}}],"schema":"https://github.com/citation-style-language/schema/raw/master/csl-citation.json"} </w:instrText>
      </w:r>
      <w:r w:rsidR="0063028C" w:rsidRPr="00BE6DC4">
        <w:rPr>
          <w:rFonts w:eastAsia="Times New Roman"/>
          <w:color w:val="000000"/>
          <w:lang w:val="en-IE"/>
        </w:rPr>
        <w:fldChar w:fldCharType="separate"/>
      </w:r>
      <w:r w:rsidR="00BE6DC4" w:rsidRPr="00D9599D">
        <w:t>(Taelman et al., 2015)</w:t>
      </w:r>
      <w:r w:rsidR="0063028C" w:rsidRPr="00BE6DC4">
        <w:rPr>
          <w:rFonts w:eastAsia="Times New Roman"/>
          <w:color w:val="000000"/>
          <w:lang w:val="en-IE"/>
        </w:rPr>
        <w:fldChar w:fldCharType="end"/>
      </w:r>
      <w:r w:rsidR="0063028C" w:rsidRPr="00BE6DC4">
        <w:rPr>
          <w:rFonts w:eastAsia="Times New Roman"/>
          <w:color w:val="000000"/>
          <w:lang w:val="en-IE"/>
        </w:rPr>
        <w:t xml:space="preserve">. </w:t>
      </w:r>
      <w:r w:rsidR="0063028C" w:rsidRPr="00741DAA">
        <w:rPr>
          <w:rFonts w:eastAsia="Times New Roman"/>
          <w:color w:val="000000"/>
          <w:lang w:val="en-IE"/>
        </w:rPr>
        <w:t>Thus, the impact of sea surface occupation is calculated through the following equation:</w:t>
      </w:r>
    </w:p>
    <w:p w14:paraId="2EE10E7D" w14:textId="77777777" w:rsidR="0063028C" w:rsidRPr="00D504A8" w:rsidRDefault="0063028C" w:rsidP="0063028C">
      <w:pPr>
        <w:spacing w:after="240" w:line="480" w:lineRule="auto"/>
        <w:jc w:val="both"/>
        <w:rPr>
          <w:i/>
          <w:iCs/>
          <w:lang w:val="en-IE"/>
        </w:rPr>
      </w:pPr>
      <m:oMath>
        <m:r>
          <w:rPr>
            <w:rFonts w:ascii="Cambria Math" w:hAnsi="Cambria Math"/>
            <w:lang w:val="en-IE"/>
          </w:rPr>
          <m:t xml:space="preserve">Impact </m:t>
        </m:r>
        <m:d>
          <m:dPr>
            <m:ctrlPr>
              <w:rPr>
                <w:rFonts w:ascii="Cambria Math" w:hAnsi="Cambria Math"/>
                <w:i/>
                <w:lang w:val="en-IE"/>
              </w:rPr>
            </m:ctrlPr>
          </m:dPr>
          <m:e>
            <m:f>
              <m:fPr>
                <m:ctrlPr>
                  <w:rPr>
                    <w:rFonts w:ascii="Cambria Math" w:hAnsi="Cambria Math"/>
                    <w:i/>
                    <w:lang w:val="en-IE"/>
                  </w:rPr>
                </m:ctrlPr>
              </m:fPr>
              <m:num>
                <m:r>
                  <w:rPr>
                    <w:rFonts w:ascii="Cambria Math" w:hAnsi="Cambria Math"/>
                    <w:lang w:val="en-IE"/>
                  </w:rPr>
                  <m:t>MJex</m:t>
                </m:r>
              </m:num>
              <m:den>
                <m:r>
                  <w:rPr>
                    <w:rFonts w:ascii="Cambria Math" w:hAnsi="Cambria Math"/>
                    <w:lang w:val="en-IE"/>
                  </w:rPr>
                  <m:t>year</m:t>
                </m:r>
              </m:den>
            </m:f>
          </m:e>
        </m:d>
        <m:r>
          <w:rPr>
            <w:rFonts w:ascii="Cambria Math" w:hAnsi="Cambria Math"/>
            <w:lang w:val="en-IE"/>
          </w:rPr>
          <m:t xml:space="preserve">= CF </m:t>
        </m:r>
        <m:d>
          <m:dPr>
            <m:ctrlPr>
              <w:rPr>
                <w:rFonts w:ascii="Cambria Math" w:hAnsi="Cambria Math"/>
                <w:i/>
                <w:lang w:val="en-IE"/>
              </w:rPr>
            </m:ctrlPr>
          </m:dPr>
          <m:e>
            <m:f>
              <m:fPr>
                <m:ctrlPr>
                  <w:rPr>
                    <w:rFonts w:ascii="Cambria Math" w:hAnsi="Cambria Math"/>
                    <w:i/>
                    <w:lang w:val="en-IE"/>
                  </w:rPr>
                </m:ctrlPr>
              </m:fPr>
              <m:num>
                <m:f>
                  <m:fPr>
                    <m:ctrlPr>
                      <w:rPr>
                        <w:rFonts w:ascii="Cambria Math" w:hAnsi="Cambria Math"/>
                        <w:i/>
                        <w:lang w:val="en-IE"/>
                      </w:rPr>
                    </m:ctrlPr>
                  </m:fPr>
                  <m:num>
                    <m:r>
                      <w:rPr>
                        <w:rFonts w:ascii="Cambria Math" w:hAnsi="Cambria Math"/>
                        <w:lang w:val="en-IE"/>
                      </w:rPr>
                      <m:t>MJex</m:t>
                    </m:r>
                  </m:num>
                  <m:den>
                    <m:r>
                      <w:rPr>
                        <w:rFonts w:ascii="Cambria Math" w:hAnsi="Cambria Math"/>
                        <w:lang w:val="en-IE"/>
                      </w:rPr>
                      <m:t>m2</m:t>
                    </m:r>
                  </m:den>
                </m:f>
              </m:num>
              <m:den>
                <m:r>
                  <w:rPr>
                    <w:rFonts w:ascii="Cambria Math" w:hAnsi="Cambria Math"/>
                    <w:lang w:val="en-IE"/>
                  </w:rPr>
                  <m:t>year</m:t>
                </m:r>
              </m:den>
            </m:f>
          </m:e>
        </m:d>
        <m:r>
          <w:rPr>
            <w:rFonts w:ascii="Cambria Math" w:hAnsi="Cambria Math"/>
            <w:lang w:val="en-IE"/>
          </w:rPr>
          <m:t xml:space="preserve">* SSO </m:t>
        </m:r>
        <m:d>
          <m:dPr>
            <m:ctrlPr>
              <w:rPr>
                <w:rFonts w:ascii="Cambria Math" w:hAnsi="Cambria Math"/>
                <w:i/>
                <w:lang w:val="en-IE"/>
              </w:rPr>
            </m:ctrlPr>
          </m:dPr>
          <m:e>
            <m:r>
              <w:rPr>
                <w:rFonts w:ascii="Cambria Math" w:hAnsi="Cambria Math"/>
                <w:lang w:val="en-IE"/>
              </w:rPr>
              <m:t>m2</m:t>
            </m:r>
          </m:e>
        </m:d>
        <m:r>
          <w:rPr>
            <w:rFonts w:ascii="Cambria Math" w:hAnsi="Cambria Math"/>
            <w:lang w:val="en-IE"/>
          </w:rPr>
          <m:t>*</m:t>
        </m:r>
        <m:r>
          <w:rPr>
            <w:rFonts w:ascii="Cambria Math" w:eastAsia="Times New Roman" w:hAnsi="Cambria Math"/>
            <w:color w:val="000000"/>
            <w:lang w:val="en-IE"/>
          </w:rPr>
          <m:t>α</m:t>
        </m:r>
      </m:oMath>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lang w:val="en-IE"/>
        </w:rPr>
        <w:tab/>
      </w:r>
      <w:r w:rsidRPr="00D504A8">
        <w:rPr>
          <w:i/>
          <w:iCs/>
          <w:lang w:val="en-IE"/>
        </w:rPr>
        <w:t>(2)</w:t>
      </w:r>
    </w:p>
    <w:p w14:paraId="34F0310C" w14:textId="42B17DBC" w:rsidR="00CB5DF3" w:rsidRPr="00D9599D" w:rsidRDefault="00741DAA" w:rsidP="0063028C">
      <w:pPr>
        <w:spacing w:after="240" w:line="480" w:lineRule="auto"/>
        <w:jc w:val="both"/>
        <w:rPr>
          <w:rFonts w:eastAsia="Times New Roman"/>
          <w:color w:val="000000"/>
          <w:lang w:val="en-IE"/>
        </w:rPr>
      </w:pPr>
      <w:r>
        <w:rPr>
          <w:rFonts w:eastAsia="Times New Roman"/>
          <w:color w:val="000000"/>
          <w:lang w:val="en-IE"/>
        </w:rPr>
        <w:t xml:space="preserve">Again, a CF is applied which refers to the NPP in a specific marine location, which has been previously computed by </w:t>
      </w:r>
      <w:proofErr w:type="spellStart"/>
      <w:r>
        <w:rPr>
          <w:rFonts w:eastAsia="Times New Roman"/>
          <w:color w:val="000000"/>
          <w:lang w:val="en-IE"/>
        </w:rPr>
        <w:t>Taelman</w:t>
      </w:r>
      <w:proofErr w:type="spellEnd"/>
      <w:r>
        <w:rPr>
          <w:rFonts w:eastAsia="Times New Roman"/>
          <w:color w:val="000000"/>
          <w:lang w:val="en-IE"/>
        </w:rPr>
        <w:t xml:space="preserve"> et al. </w:t>
      </w:r>
      <w:r w:rsidR="00BE6DC4" w:rsidRPr="00D9599D">
        <w:rPr>
          <w:rFonts w:eastAsia="Times New Roman"/>
          <w:color w:val="000000"/>
          <w:lang w:val="en-IE"/>
        </w:rPr>
        <w:fldChar w:fldCharType="begin"/>
      </w:r>
      <w:r w:rsidR="00BE6DC4" w:rsidRPr="00D9599D">
        <w:rPr>
          <w:rFonts w:eastAsia="Times New Roman"/>
          <w:color w:val="000000"/>
          <w:lang w:val="en-IE"/>
        </w:rPr>
        <w:instrText xml:space="preserve"> ADDIN ZOTERO_ITEM CSL_CITATION {"citationID":"AtRv7NJL","properties":{"formattedCitation":"(2014)","plainCitation":"(2014)","noteIndex":0},"citationItems":[{"id":395,"uris":["http://zotero.org/users/8766396/items/DM6N4SED"],"itemData":{"id":395,"type":"article-journal","container-title":"Resources, Conservation and Recycling","DOI":"10.1016/j.resconrec.2014.07.009","ISSN":"09213449","journalAbbreviation":"Resources, Conservation and Recycling","language":"en","page":"1-10","source":"DOI.org (Crossref)","title":"Accounting for the occupation of the marine environment as a natural resource in life cycle assessment: An exergy based approach","title-short":"Accounting for the occupation of the marine environment as a natural resource in life cycle assessment","URL":"https://linkinghub.elsevier.com/retrieve/pii/S0921344914001529","volume":"91","author":[{"family":"Taelman","given":"Sue Ellen"},{"family":"De Meester","given":"Steven"},{"family":"Schaubroeck","given":"Thomas"},{"family":"Sakshaug","given":"Egil"},{"family":"Alvarenga","given":"Rodrigo A.F."},{"family":"Dewulf","given":"Jo"}],"accessed":{"date-parts":[["2023",1,26]]},"issued":{"date-parts":[["2014",9]]}},"label":"page","suppress-author":true}],"schema":"https://github.com/citation-style-language/schema/raw/master/csl-citation.json"} </w:instrText>
      </w:r>
      <w:r w:rsidR="00BE6DC4" w:rsidRPr="00D9599D">
        <w:rPr>
          <w:rFonts w:eastAsia="Times New Roman"/>
          <w:color w:val="000000"/>
          <w:lang w:val="en-IE"/>
        </w:rPr>
        <w:fldChar w:fldCharType="separate"/>
      </w:r>
      <w:r w:rsidR="00BE6DC4" w:rsidRPr="00D9599D">
        <w:t>(2014)</w:t>
      </w:r>
      <w:r w:rsidR="00BE6DC4" w:rsidRPr="00D9599D">
        <w:rPr>
          <w:rFonts w:eastAsia="Times New Roman"/>
          <w:color w:val="000000"/>
          <w:lang w:val="en-IE"/>
        </w:rPr>
        <w:fldChar w:fldCharType="end"/>
      </w:r>
      <w:r w:rsidRPr="00BE6DC4">
        <w:rPr>
          <w:rFonts w:eastAsia="Times New Roman"/>
          <w:color w:val="000000"/>
          <w:lang w:val="en-IE"/>
        </w:rPr>
        <w:t>.</w:t>
      </w:r>
      <w:r>
        <w:rPr>
          <w:rFonts w:eastAsia="Times New Roman"/>
          <w:color w:val="000000"/>
          <w:lang w:val="en-IE"/>
        </w:rPr>
        <w:t xml:space="preserve"> </w:t>
      </w:r>
      <w:r w:rsidR="0063028C" w:rsidRPr="009624E8">
        <w:t xml:space="preserve">For the wild harvesting pathways, it is assumed that the impact of natural resource extraction is equal to the exergetic value of seaweed at </w:t>
      </w:r>
      <w:r w:rsidR="00CF105B">
        <w:t>13.44 MJex/kg dry weight (DW), or 1.34</w:t>
      </w:r>
      <w:r w:rsidR="0063028C" w:rsidRPr="009624E8">
        <w:t xml:space="preserve"> MJex/kg </w:t>
      </w:r>
      <w:r w:rsidR="0063028C" w:rsidRPr="00471B18">
        <w:t>FW</w:t>
      </w:r>
      <w:r w:rsidR="00CF105B">
        <w:t xml:space="preserve"> </w:t>
      </w:r>
      <w:r w:rsidR="00CF105B" w:rsidRPr="009624E8">
        <w:fldChar w:fldCharType="begin"/>
      </w:r>
      <w:r w:rsidR="00CF105B" w:rsidRPr="009624E8">
        <w:instrText xml:space="preserve"> ADDIN ZOTERO_ITEM CSL_CITATION {"citationID":"CUvvPbEQ","properties":{"formattedCitation":"(Taelman et al., 2015)","plainCitation":"(Taelman et al., 2015)","noteIndex":0},"citationItems":[{"id":130,"uris":["http://zotero.org/users/8766396/items/BNZMX52M"],"itemData":{"id":130,"type":"article-journal","container-title":"Algal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Meester","given":"S"},{"family":"Dewulf","given":"J"}],"issued":{"date-parts":[["2015"]]}}}],"schema":"https://github.com/citation-style-language/schema/raw/master/csl-citation.json"} </w:instrText>
      </w:r>
      <w:r w:rsidR="00CF105B" w:rsidRPr="009624E8">
        <w:fldChar w:fldCharType="separate"/>
      </w:r>
      <w:r w:rsidR="00CF105B" w:rsidRPr="009624E8">
        <w:t>(Taelman et al., 2015)</w:t>
      </w:r>
      <w:r w:rsidR="00CF105B" w:rsidRPr="009624E8">
        <w:fldChar w:fldCharType="end"/>
      </w:r>
      <w:r w:rsidR="0063028C" w:rsidRPr="009624E8">
        <w:t xml:space="preserve">. For the cultivation pathways, </w:t>
      </w:r>
      <w:r>
        <w:t>equations 1 and 2 are used to determine the natural resource extraction</w:t>
      </w:r>
      <w:r w:rsidR="0063028C" w:rsidRPr="009624E8">
        <w:t xml:space="preserve">, where the characterization factors for Ireland are 25.7 MJex/m2 for land use </w:t>
      </w:r>
      <w:r w:rsidR="00BE6DC4">
        <w:fldChar w:fldCharType="begin"/>
      </w:r>
      <w:r w:rsidR="00BE6DC4">
        <w:instrText xml:space="preserve"> ADDIN ZOTERO_ITEM CSL_CITATION {"citationID":"FlkTxReX","properties":{"formattedCitation":"(Alvarenga et al., 2013)","plainCitation":"(Alvarenga et al., 2013)","noteIndex":0},"citationItems":[{"id":502,"uris":["http://zotero.org/users/8766396/items/58JJVC66"],"itemData":{"id":502,"type":"article-journal","abstract":"Purpose In life cycle assessment (LCA), literature suggests accounting for land as a resource either by what it delivers (e.g., biomass content) or the time and space needed to produce biomass (land occupation), in order to avoid doublecounting. This paper proposes and implements a new framework to calculate exergy-based spatial explicit characterization factors (CF) for land as a resource, which deals with both biomass and area occupied on the global scale.","container-title":"The International Journal of Life Cycle Assessment","DOI":"10.1007/s11367-013-0555-7","ISSN":"0948-3349, 1614-7502","issue":"5","journalAbbreviation":"Int J Life Cycle Assess","language":"en","page":"939-947","source":"DOI.org (Crossref)","title":"Exergy-based accounting for land as a natural resource in life cycle assessment","URL":"http://link.springer.com/10.1007/s11367-013-0555-7","volume":"18","author":[{"family":"Alvarenga","given":"Rodrigo A. F."},{"family":"Dewulf","given":"Jo"},{"family":"Van Langenhove","given":"Herman"},{"family":"Huijbregts","given":"Mark A. J."}],"accessed":{"date-parts":[["2023",2,22]]},"issued":{"date-parts":[["2013",6]]}}}],"schema":"https://github.com/citation-style-language/schema/raw/master/csl-citation.json"} </w:instrText>
      </w:r>
      <w:r w:rsidR="00BE6DC4">
        <w:fldChar w:fldCharType="separate"/>
      </w:r>
      <w:r w:rsidR="00BE6DC4" w:rsidRPr="00BE6DC4">
        <w:t>(Alvarenga et al., 2013)</w:t>
      </w:r>
      <w:r w:rsidR="00BE6DC4">
        <w:fldChar w:fldCharType="end"/>
      </w:r>
      <w:r w:rsidR="00AC4CD2">
        <w:t xml:space="preserve"> </w:t>
      </w:r>
      <w:r w:rsidR="0063028C" w:rsidRPr="009624E8">
        <w:t xml:space="preserve">and 22.7 MJex/m2 for sea surface use </w:t>
      </w:r>
      <w:r w:rsidR="0063028C" w:rsidRPr="00D9599D">
        <w:rPr>
          <w:strike/>
        </w:rPr>
        <w:fldChar w:fldCharType="begin"/>
      </w:r>
      <w:r w:rsidR="00BE6DC4" w:rsidRPr="00D9599D">
        <w:rPr>
          <w:strike/>
        </w:rPr>
        <w:instrText xml:space="preserve"> ADDIN ZOTERO_ITEM CSL_CITATION {"citationID":"WjpIWKbm","properties":{"formattedCitation":"(Taelman et al., 2014)","plainCitation":"(Taelman et al., 2014)","noteIndex":0},"citationItems":[{"id":395,"uris":["http://zotero.org/users/8766396/items/DM6N4SED"],"itemData":{"id":395,"type":"article-journal","container-title":"Resources, Conservation and Recycling","DOI":"10.1016/j.resconrec.2014.07.009","ISSN":"09213449","journalAbbreviation":"Resources, Conservation and Recycling","language":"en","page":"1-10","source":"DOI.org (Crossref)","title":"Accounting for the occupation of the marine environment as a natural resource in life cycle assessment: An exergy based approach","title-short":"Accounting for the occupation of the marine environment as a natural resource in life cycle assessment","URL":"https://linkinghub.elsevier.com/retrieve/pii/S0921344914001529","volume":"91","author":[{"family":"Taelman","given":"Sue Ellen"},{"family":"De Meester","given":"Steven"},{"family":"Schaubroeck","given":"Thomas"},{"family":"Sakshaug","given":"Egil"},{"family":"Alvarenga","given":"Rodrigo A.F."},{"family":"Dewulf","given":"Jo"}],"accessed":{"date-parts":[["2023",1,26]]},"issued":{"date-parts":[["2014",9]]}}}],"schema":"https://github.com/citation-style-language/schema/raw/master/csl-citation.json"} </w:instrText>
      </w:r>
      <w:r w:rsidR="0063028C" w:rsidRPr="00D9599D">
        <w:rPr>
          <w:strike/>
        </w:rPr>
        <w:fldChar w:fldCharType="separate"/>
      </w:r>
      <w:r w:rsidR="00BE6DC4" w:rsidRPr="00D9599D">
        <w:t>(Taelman et al., 2014)</w:t>
      </w:r>
      <w:r w:rsidR="0063028C" w:rsidRPr="00D9599D">
        <w:rPr>
          <w:strike/>
        </w:rPr>
        <w:fldChar w:fldCharType="end"/>
      </w:r>
      <w:r w:rsidR="0063028C" w:rsidRPr="009624E8">
        <w:t>. The occupation factor (</w:t>
      </w:r>
      <w:r w:rsidR="0063028C" w:rsidRPr="009624E8">
        <w:rPr>
          <w:rFonts w:eastAsia="Times New Roman"/>
          <w:i/>
          <w:iCs/>
          <w:color w:val="000000"/>
          <w:lang w:val="en-IE"/>
        </w:rPr>
        <w:t>α</w:t>
      </w:r>
      <w:r w:rsidR="0063028C" w:rsidRPr="009624E8">
        <w:rPr>
          <w:rFonts w:eastAsia="Times New Roman"/>
          <w:color w:val="000000"/>
          <w:lang w:val="en-IE"/>
        </w:rPr>
        <w:t>)</w:t>
      </w:r>
      <w:r w:rsidR="0063028C" w:rsidRPr="009624E8">
        <w:t xml:space="preserve"> is assumed to be 2.2% for all cultivation methods </w:t>
      </w:r>
      <w:r w:rsidR="0063028C" w:rsidRPr="009624E8">
        <w:fldChar w:fldCharType="begin"/>
      </w:r>
      <w:r w:rsidR="0063028C" w:rsidRPr="009624E8">
        <w:instrText xml:space="preserve"> ADDIN ZOTERO_ITEM CSL_CITATION {"citationID":"n9ys3ZAv","properties":{"formattedCitation":"(Taelman et al., 2015)","plainCitation":"(Taelman et al., 2015)","noteIndex":0},"citationItems":[{"id":130,"uris":["http://zotero.org/users/8766396/items/BNZMX52M"],"itemData":{"id":130,"type":"article-journal","container-title":"Algal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Meester","given":"S"},{"family":"Dewulf","given":"J"}],"issued":{"date-parts":[["2015"]]}}}],"schema":"https://github.com/citation-style-language/schema/raw/master/csl-citation.json"} </w:instrText>
      </w:r>
      <w:r w:rsidR="0063028C" w:rsidRPr="009624E8">
        <w:fldChar w:fldCharType="separate"/>
      </w:r>
      <w:r w:rsidR="0063028C" w:rsidRPr="009624E8">
        <w:t>(Taelman et al., 2015)</w:t>
      </w:r>
      <w:r w:rsidR="0063028C" w:rsidRPr="009624E8">
        <w:fldChar w:fldCharType="end"/>
      </w:r>
      <w:r w:rsidR="0063028C" w:rsidRPr="009624E8">
        <w:t xml:space="preserve">. While the cultivation pathways considered have different mooring configurations and thus their </w:t>
      </w:r>
      <w:r w:rsidR="0063028C" w:rsidRPr="009624E8">
        <w:rPr>
          <w:rFonts w:eastAsia="Times New Roman"/>
          <w:i/>
          <w:iCs/>
          <w:color w:val="000000"/>
          <w:lang w:val="en-IE"/>
        </w:rPr>
        <w:t>α</w:t>
      </w:r>
      <w:r w:rsidR="0063028C" w:rsidRPr="009624E8" w:rsidDel="004C3CE0">
        <w:t xml:space="preserve"> </w:t>
      </w:r>
      <w:r w:rsidR="0063028C" w:rsidRPr="009624E8">
        <w:t xml:space="preserve">could differ, from basic calculations it was determined that the difference would be minimal. </w:t>
      </w:r>
    </w:p>
    <w:p w14:paraId="54C1F45F" w14:textId="64F65C8B" w:rsidR="00B92DAE" w:rsidRPr="00D9599D" w:rsidRDefault="00B92DAE" w:rsidP="00D9599D">
      <w:pPr>
        <w:pStyle w:val="ListParagraph"/>
        <w:numPr>
          <w:ilvl w:val="3"/>
          <w:numId w:val="12"/>
        </w:numPr>
        <w:spacing w:after="240" w:line="480" w:lineRule="auto"/>
        <w:jc w:val="both"/>
        <w:rPr>
          <w:b/>
          <w:bCs/>
        </w:rPr>
      </w:pPr>
      <w:r w:rsidRPr="00D9599D">
        <w:rPr>
          <w:b/>
          <w:bCs/>
        </w:rPr>
        <w:t>Economic impacts</w:t>
      </w:r>
    </w:p>
    <w:p w14:paraId="208562BE" w14:textId="0AA3473A" w:rsidR="00AA44D0" w:rsidRPr="0013087F" w:rsidRDefault="004B18C1" w:rsidP="0063028C">
      <w:pPr>
        <w:spacing w:after="240" w:line="480" w:lineRule="auto"/>
        <w:jc w:val="both"/>
      </w:pPr>
      <w:r w:rsidRPr="008F6FEB">
        <w:rPr>
          <w:rFonts w:eastAsia="Times New Roman"/>
          <w:color w:val="000000"/>
          <w:lang w:val="en-IE"/>
        </w:rPr>
        <w:t>As discussed in section 2.</w:t>
      </w:r>
      <w:r w:rsidR="00960228" w:rsidRPr="008F6FEB">
        <w:rPr>
          <w:rFonts w:eastAsia="Times New Roman"/>
          <w:color w:val="000000"/>
          <w:lang w:val="en-IE"/>
        </w:rPr>
        <w:t>1</w:t>
      </w:r>
      <w:r w:rsidRPr="008F6FEB">
        <w:rPr>
          <w:rFonts w:eastAsia="Times New Roman"/>
          <w:color w:val="000000"/>
          <w:lang w:val="en-IE"/>
        </w:rPr>
        <w:t>.2, this study calculate</w:t>
      </w:r>
      <w:r w:rsidR="0089175C" w:rsidRPr="008F6FEB">
        <w:rPr>
          <w:rFonts w:eastAsia="Times New Roman"/>
          <w:color w:val="000000"/>
          <w:lang w:val="en-IE"/>
        </w:rPr>
        <w:t>s</w:t>
      </w:r>
      <w:r w:rsidRPr="008F6FEB">
        <w:rPr>
          <w:rFonts w:eastAsia="Times New Roman"/>
          <w:color w:val="000000"/>
          <w:lang w:val="en-IE"/>
        </w:rPr>
        <w:t xml:space="preserve"> the breakeven </w:t>
      </w:r>
      <w:r w:rsidR="00D84D30" w:rsidRPr="008F6FEB">
        <w:rPr>
          <w:rFonts w:eastAsia="Times New Roman"/>
          <w:color w:val="000000"/>
          <w:lang w:val="en-IE"/>
        </w:rPr>
        <w:t xml:space="preserve">or minimum </w:t>
      </w:r>
      <w:r w:rsidRPr="008F6FEB">
        <w:rPr>
          <w:rFonts w:eastAsia="Times New Roman"/>
          <w:color w:val="000000"/>
          <w:lang w:val="en-IE"/>
        </w:rPr>
        <w:t>selling price</w:t>
      </w:r>
      <w:r w:rsidR="00D84D30" w:rsidRPr="008F6FEB">
        <w:rPr>
          <w:rFonts w:eastAsia="Times New Roman"/>
          <w:color w:val="000000"/>
          <w:lang w:val="en-IE"/>
        </w:rPr>
        <w:t xml:space="preserve"> (MSP)</w:t>
      </w:r>
      <w:r w:rsidRPr="008F6FEB">
        <w:rPr>
          <w:rFonts w:eastAsia="Times New Roman"/>
          <w:color w:val="000000"/>
          <w:lang w:val="en-IE"/>
        </w:rPr>
        <w:t xml:space="preserve"> for each pathway by quantifying all </w:t>
      </w:r>
      <w:r w:rsidR="004177E9" w:rsidRPr="008F6FEB">
        <w:rPr>
          <w:rFonts w:eastAsia="Times New Roman"/>
          <w:color w:val="000000"/>
          <w:lang w:val="en-IE"/>
        </w:rPr>
        <w:t xml:space="preserve">annualised </w:t>
      </w:r>
      <w:r w:rsidRPr="008F6FEB">
        <w:rPr>
          <w:rFonts w:eastAsia="Times New Roman"/>
          <w:color w:val="000000"/>
          <w:lang w:val="en-IE"/>
        </w:rPr>
        <w:t xml:space="preserve">costs </w:t>
      </w:r>
      <w:r w:rsidR="004177E9" w:rsidRPr="008F6FEB">
        <w:rPr>
          <w:rFonts w:eastAsia="Times New Roman"/>
          <w:color w:val="000000"/>
          <w:lang w:val="en-IE"/>
        </w:rPr>
        <w:t>and dividing by annual production</w:t>
      </w:r>
      <w:r w:rsidRPr="008F6FEB">
        <w:rPr>
          <w:rFonts w:eastAsia="Times New Roman"/>
          <w:color w:val="000000"/>
          <w:lang w:val="en-IE"/>
        </w:rPr>
        <w:t xml:space="preserve">. </w:t>
      </w:r>
      <w:r w:rsidR="00AA44D0" w:rsidRPr="0013087F">
        <w:t>To calculate the MSP, the following formula can be used:</w:t>
      </w:r>
    </w:p>
    <w:p w14:paraId="3829CA65" w14:textId="6D2252AA" w:rsidR="00AA44D0" w:rsidRPr="0013087F" w:rsidRDefault="00AA44D0" w:rsidP="00AA44D0">
      <w:pPr>
        <w:spacing w:after="240" w:line="480" w:lineRule="auto"/>
        <w:jc w:val="both"/>
      </w:pPr>
      <m:oMath>
        <m:r>
          <w:rPr>
            <w:rFonts w:ascii="Cambria Math" w:hAnsi="Cambria Math"/>
          </w:rPr>
          <w:lastRenderedPageBreak/>
          <m:t xml:space="preserve">MSP </m:t>
        </m:r>
        <m:d>
          <m:dPr>
            <m:ctrlPr>
              <w:rPr>
                <w:rFonts w:ascii="Cambria Math" w:hAnsi="Cambria Math"/>
                <w:i/>
              </w:rPr>
            </m:ctrlPr>
          </m:dPr>
          <m:e>
            <m:f>
              <m:fPr>
                <m:ctrlPr>
                  <w:rPr>
                    <w:rFonts w:ascii="Cambria Math" w:hAnsi="Cambria Math"/>
                    <w:i/>
                  </w:rPr>
                </m:ctrlPr>
              </m:fPr>
              <m:num>
                <m:r>
                  <w:rPr>
                    <w:rFonts w:ascii="Cambria Math" w:hAnsi="Cambria Math"/>
                  </w:rPr>
                  <m:t>€</m:t>
                </m:r>
              </m:num>
              <m:den>
                <m:r>
                  <w:rPr>
                    <w:rFonts w:ascii="Cambria Math" w:hAnsi="Cambria Math"/>
                  </w:rPr>
                  <m:t>kg</m:t>
                </m:r>
              </m:den>
            </m:f>
          </m:e>
        </m:d>
        <m:r>
          <w:rPr>
            <w:rFonts w:ascii="Cambria Math" w:hAnsi="Cambria Math"/>
          </w:rPr>
          <m:t xml:space="preserve"> =(</m:t>
        </m:r>
        <m:f>
          <m:fPr>
            <m:ctrlPr>
              <w:rPr>
                <w:rFonts w:ascii="Cambria Math" w:hAnsi="Cambria Math"/>
                <w:i/>
              </w:rPr>
            </m:ctrlPr>
          </m:fPr>
          <m:num>
            <m:r>
              <w:rPr>
                <w:rFonts w:ascii="Cambria Math" w:hAnsi="Cambria Math"/>
              </w:rPr>
              <m:t>CAPEX +OPEX</m:t>
            </m:r>
          </m:num>
          <m:den>
            <m:r>
              <w:rPr>
                <w:rFonts w:ascii="Cambria Math" w:hAnsi="Cambria Math"/>
              </w:rPr>
              <m:t xml:space="preserve">PO </m:t>
            </m:r>
          </m:den>
        </m:f>
        <m:r>
          <w:rPr>
            <w:rFonts w:ascii="Cambria Math" w:hAnsi="Cambria Math"/>
          </w:rPr>
          <m:t xml:space="preserve">) </m:t>
        </m:r>
      </m:oMath>
      <w:r w:rsidRPr="0013087F">
        <w:tab/>
      </w:r>
      <w:r w:rsidRPr="0013087F">
        <w:tab/>
      </w:r>
      <w:r w:rsidRPr="0013087F">
        <w:tab/>
      </w:r>
      <w:r w:rsidRPr="0013087F">
        <w:tab/>
      </w:r>
      <w:r w:rsidRPr="0013087F">
        <w:tab/>
      </w:r>
      <w:r w:rsidRPr="0013087F">
        <w:tab/>
      </w:r>
      <w:r w:rsidR="0070039D">
        <w:tab/>
      </w:r>
      <w:r w:rsidR="0070039D">
        <w:tab/>
      </w:r>
      <w:r w:rsidR="0070039D">
        <w:tab/>
      </w:r>
      <w:r w:rsidRPr="0013087F">
        <w:rPr>
          <w:i/>
          <w:iCs/>
        </w:rPr>
        <w:t>(3)</w:t>
      </w:r>
    </w:p>
    <w:p w14:paraId="54C8F470" w14:textId="6CD791C5" w:rsidR="00942F33" w:rsidRDefault="00AA44D0" w:rsidP="00890D06">
      <w:pPr>
        <w:spacing w:after="240" w:line="480" w:lineRule="auto"/>
        <w:jc w:val="both"/>
      </w:pPr>
      <w:r w:rsidRPr="005D08B4">
        <w:t xml:space="preserve">Where </w:t>
      </w:r>
      <w:r w:rsidRPr="005D08B4">
        <w:rPr>
          <w:i/>
          <w:iCs/>
        </w:rPr>
        <w:t>C</w:t>
      </w:r>
      <w:r w:rsidRPr="0058492A">
        <w:rPr>
          <w:i/>
          <w:iCs/>
        </w:rPr>
        <w:t>APEX</w:t>
      </w:r>
      <w:r w:rsidRPr="005D08B4">
        <w:t xml:space="preserve"> is the total </w:t>
      </w:r>
      <w:r w:rsidRPr="0058492A">
        <w:t xml:space="preserve">annualized capital cost, </w:t>
      </w:r>
      <w:r w:rsidRPr="005D08B4">
        <w:rPr>
          <w:i/>
          <w:iCs/>
        </w:rPr>
        <w:t>O</w:t>
      </w:r>
      <w:r w:rsidRPr="0058492A">
        <w:rPr>
          <w:i/>
          <w:iCs/>
        </w:rPr>
        <w:t>PEX</w:t>
      </w:r>
      <w:r w:rsidRPr="005D08B4">
        <w:t xml:space="preserve"> is the annual operating cost</w:t>
      </w:r>
      <w:r w:rsidRPr="0058492A">
        <w:t xml:space="preserve">, </w:t>
      </w:r>
      <w:r w:rsidRPr="005D08B4">
        <w:t xml:space="preserve">and </w:t>
      </w:r>
      <w:r w:rsidRPr="005D08B4">
        <w:rPr>
          <w:i/>
          <w:iCs/>
        </w:rPr>
        <w:t>PO</w:t>
      </w:r>
      <w:r w:rsidRPr="005D08B4">
        <w:t xml:space="preserve"> is the average annual product output </w:t>
      </w:r>
      <w:r w:rsidRPr="00B70FF8">
        <w:fldChar w:fldCharType="begin"/>
      </w:r>
      <w:r w:rsidR="00B70FF8" w:rsidRPr="00D9599D">
        <w:instrText xml:space="preserve"> ADDIN ZOTERO_ITEM CSL_CITATION {"citationID":"n3DpiSsb","properties":{"formattedCitation":"(Bak et al., 2018)","plainCitation":"(Bak et al., 2018)","noteIndex":0},"citationItems":[{"id":184,"uris":["http://zotero.org/users/8766396/items/7GX3R3Q4"],"itemData":{"id":184,"type":"article-journal","container-title":"Algal Research","DOI":"10.1016/j.algal.2018.05.001","page":"36-47","title":"Production method and cost of commercial-scale offshore cultivation of kelp in the Faroe Islands using multiple partial harvesting","volume":"33","author":[{"family":"Bak","given":"U. G"},{"family":"Mols-Mortensen","given":"A"},{"family":"Gregersen","given":"O"}],"issued":{"date-parts":[["2018"]]}}}],"schema":"https://github.com/citation-style-language/schema/raw/master/csl-citation.json"} </w:instrText>
      </w:r>
      <w:r w:rsidRPr="00B70FF8">
        <w:fldChar w:fldCharType="separate"/>
      </w:r>
      <w:r w:rsidR="00B70FF8" w:rsidRPr="00D9599D">
        <w:t>(Bak et al., 2018)</w:t>
      </w:r>
      <w:r w:rsidRPr="00B70FF8">
        <w:fldChar w:fldCharType="end"/>
      </w:r>
      <w:r w:rsidRPr="005D08B4">
        <w:t>.</w:t>
      </w:r>
      <w:r w:rsidRPr="0058492A">
        <w:t xml:space="preserve"> </w:t>
      </w:r>
      <w:r w:rsidR="00942F33">
        <w:t>CAPEX is calculated with the following equation:</w:t>
      </w:r>
    </w:p>
    <w:p w14:paraId="25396A0E" w14:textId="169D4B1D" w:rsidR="00942F33" w:rsidRDefault="00B6036A" w:rsidP="00890D06">
      <w:pPr>
        <w:spacing w:after="240" w:line="480" w:lineRule="auto"/>
        <w:jc w:val="both"/>
      </w:pPr>
      <m:oMath>
        <m:r>
          <w:rPr>
            <w:rFonts w:ascii="Cambria Math" w:hAnsi="Cambria Math"/>
          </w:rPr>
          <m:t xml:space="preserve">CAPEX </m:t>
        </m:r>
        <m:d>
          <m:dPr>
            <m:ctrlPr>
              <w:rPr>
                <w:rFonts w:ascii="Cambria Math" w:hAnsi="Cambria Math"/>
                <w:i/>
              </w:rPr>
            </m:ctrlPr>
          </m:dPr>
          <m:e>
            <m:f>
              <m:fPr>
                <m:ctrlPr>
                  <w:rPr>
                    <w:rFonts w:ascii="Cambria Math" w:hAnsi="Cambria Math"/>
                    <w:i/>
                  </w:rPr>
                </m:ctrlPr>
              </m:fPr>
              <m:num>
                <m:r>
                  <w:rPr>
                    <w:rFonts w:ascii="Cambria Math" w:hAnsi="Cambria Math"/>
                  </w:rPr>
                  <m:t>€</m:t>
                </m:r>
              </m:num>
              <m:den>
                <m:r>
                  <w:rPr>
                    <w:rFonts w:ascii="Cambria Math" w:hAnsi="Cambria Math"/>
                  </w:rPr>
                  <m:t>year</m:t>
                </m:r>
              </m:den>
            </m:f>
          </m:e>
        </m:d>
        <m:r>
          <w:rPr>
            <w:rFonts w:ascii="Cambria Math" w:hAnsi="Cambria Math"/>
          </w:rPr>
          <m:t>=</m:t>
        </m:r>
        <m:f>
          <m:fPr>
            <m:ctrlPr>
              <w:rPr>
                <w:rFonts w:ascii="Cambria Math" w:hAnsi="Cambria Math"/>
                <w:i/>
              </w:rPr>
            </m:ctrlPr>
          </m:fPr>
          <m:num>
            <m:d>
              <m:dPr>
                <m:ctrlPr>
                  <w:rPr>
                    <w:rFonts w:ascii="Cambria Math" w:hAnsi="Cambria Math"/>
                    <w:i/>
                  </w:rPr>
                </m:ctrlPr>
              </m:dPr>
              <m:e>
                <m:r>
                  <w:rPr>
                    <w:rFonts w:ascii="Cambria Math" w:hAnsi="Cambria Math"/>
                  </w:rPr>
                  <m:t>C-eq</m:t>
                </m:r>
              </m:e>
            </m:d>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1+i</m:t>
                    </m:r>
                  </m:e>
                </m:d>
              </m:e>
              <m:sup>
                <m:r>
                  <w:rPr>
                    <w:rFonts w:ascii="Cambria Math" w:hAnsi="Cambria Math"/>
                  </w:rPr>
                  <m:t>lrp</m:t>
                </m:r>
              </m:sup>
            </m:sSup>
            <m:r>
              <w:rPr>
                <w:rFonts w:ascii="Cambria Math" w:hAnsi="Cambria Math"/>
              </w:rPr>
              <m:t>+eq-S</m:t>
            </m:r>
          </m:num>
          <m:den>
            <m:sSub>
              <m:sSubPr>
                <m:ctrlPr>
                  <w:rPr>
                    <w:rFonts w:ascii="Cambria Math" w:hAnsi="Cambria Math"/>
                    <w:i/>
                  </w:rPr>
                </m:ctrlPr>
              </m:sSubPr>
              <m:e>
                <m:r>
                  <w:rPr>
                    <w:rFonts w:ascii="Cambria Math" w:hAnsi="Cambria Math"/>
                  </w:rPr>
                  <m:t>life</m:t>
                </m:r>
              </m:e>
              <m:sub>
                <m:r>
                  <w:rPr>
                    <w:rFonts w:ascii="Cambria Math" w:hAnsi="Cambria Math"/>
                  </w:rPr>
                  <m:t>project</m:t>
                </m:r>
              </m:sub>
            </m:sSub>
          </m:den>
        </m:f>
      </m:oMath>
      <w:r w:rsidR="00E220CF">
        <w:tab/>
      </w:r>
      <w:r w:rsidR="00E220CF">
        <w:tab/>
      </w:r>
      <w:r w:rsidR="00E220CF">
        <w:tab/>
      </w:r>
      <w:r w:rsidR="00E220CF">
        <w:tab/>
      </w:r>
      <w:r w:rsidR="00E220CF">
        <w:tab/>
      </w:r>
      <w:r w:rsidR="00E220CF">
        <w:tab/>
      </w:r>
      <w:r w:rsidR="00E220CF">
        <w:tab/>
      </w:r>
      <w:r w:rsidR="00E220CF">
        <w:tab/>
      </w:r>
      <w:r w:rsidR="00E220CF" w:rsidRPr="00D9599D">
        <w:rPr>
          <w:i/>
          <w:iCs/>
        </w:rPr>
        <w:t>(4)</w:t>
      </w:r>
    </w:p>
    <w:p w14:paraId="757869A6" w14:textId="0C18EFAA" w:rsidR="008F6FEB" w:rsidRDefault="000B65F3" w:rsidP="008F6FEB">
      <w:pPr>
        <w:spacing w:after="240" w:line="480" w:lineRule="auto"/>
        <w:jc w:val="both"/>
      </w:pPr>
      <w:r w:rsidRPr="00D9599D">
        <w:t xml:space="preserve">Where </w:t>
      </w:r>
      <w:r w:rsidR="00360DDD" w:rsidRPr="00D9599D">
        <w:rPr>
          <w:i/>
          <w:iCs/>
        </w:rPr>
        <w:t>C</w:t>
      </w:r>
      <w:r w:rsidRPr="00D9599D">
        <w:t xml:space="preserve"> is the total cost of capital (buildings, equipment, vehicles), </w:t>
      </w:r>
      <w:proofErr w:type="spellStart"/>
      <w:r w:rsidR="00D95AD7" w:rsidRPr="00D9599D">
        <w:rPr>
          <w:i/>
          <w:iCs/>
        </w:rPr>
        <w:t>eq</w:t>
      </w:r>
      <w:proofErr w:type="spellEnd"/>
      <w:r w:rsidR="00D95AD7" w:rsidRPr="00D9599D">
        <w:t xml:space="preserve"> is owner equity, </w:t>
      </w:r>
      <w:proofErr w:type="spellStart"/>
      <w:r w:rsidR="00860004" w:rsidRPr="00D9599D">
        <w:rPr>
          <w:i/>
          <w:iCs/>
        </w:rPr>
        <w:t>i</w:t>
      </w:r>
      <w:proofErr w:type="spellEnd"/>
      <w:r w:rsidR="00860004" w:rsidRPr="00D9599D">
        <w:t xml:space="preserve"> is interest on loan repayment, </w:t>
      </w:r>
      <w:proofErr w:type="spellStart"/>
      <w:r w:rsidR="004062E8" w:rsidRPr="00D9599D">
        <w:rPr>
          <w:i/>
          <w:iCs/>
        </w:rPr>
        <w:t>lr</w:t>
      </w:r>
      <w:r w:rsidR="00860004" w:rsidRPr="00D9599D">
        <w:rPr>
          <w:i/>
          <w:iCs/>
        </w:rPr>
        <w:t>p</w:t>
      </w:r>
      <w:proofErr w:type="spellEnd"/>
      <w:r w:rsidRPr="00D9599D">
        <w:t xml:space="preserve"> </w:t>
      </w:r>
      <w:r w:rsidR="00860004" w:rsidRPr="00D9599D">
        <w:t xml:space="preserve">is </w:t>
      </w:r>
      <w:r w:rsidRPr="00D9599D">
        <w:t xml:space="preserve">loan </w:t>
      </w:r>
      <w:r w:rsidR="00860004" w:rsidRPr="00D9599D">
        <w:t>repayment period</w:t>
      </w:r>
      <w:r w:rsidRPr="00D9599D">
        <w:t xml:space="preserve">, </w:t>
      </w:r>
      <w:r w:rsidR="00360DDD" w:rsidRPr="00D9599D">
        <w:rPr>
          <w:i/>
          <w:iCs/>
        </w:rPr>
        <w:t>S</w:t>
      </w:r>
      <w:r w:rsidR="0032133E" w:rsidRPr="00D9599D">
        <w:t xml:space="preserve"> is the salvage value,</w:t>
      </w:r>
      <w:r w:rsidR="00D95AD7" w:rsidRPr="00D9599D">
        <w:t xml:space="preserve"> and</w:t>
      </w:r>
      <w:r w:rsidR="0032133E" w:rsidRPr="00D9599D">
        <w:t xml:space="preserve"> </w:t>
      </w:r>
      <m:oMath>
        <m:sSub>
          <m:sSubPr>
            <m:ctrlPr>
              <w:rPr>
                <w:rFonts w:ascii="Cambria Math" w:hAnsi="Cambria Math"/>
                <w:i/>
              </w:rPr>
            </m:ctrlPr>
          </m:sSubPr>
          <m:e>
            <m:r>
              <w:rPr>
                <w:rFonts w:ascii="Cambria Math" w:hAnsi="Cambria Math"/>
              </w:rPr>
              <m:t>life</m:t>
            </m:r>
          </m:e>
          <m:sub>
            <m:r>
              <w:rPr>
                <w:rFonts w:ascii="Cambria Math" w:hAnsi="Cambria Math"/>
              </w:rPr>
              <m:t>project</m:t>
            </m:r>
          </m:sub>
        </m:sSub>
      </m:oMath>
      <w:r w:rsidR="0032133E" w:rsidRPr="00D9599D">
        <w:t xml:space="preserve"> is the project lifetime</w:t>
      </w:r>
      <w:r w:rsidR="00360DDD" w:rsidRPr="00D9599D">
        <w:t xml:space="preserve"> </w:t>
      </w:r>
      <w:r w:rsidR="00B70FF8" w:rsidRPr="00D9599D">
        <w:fldChar w:fldCharType="begin"/>
      </w:r>
      <w:r w:rsidR="00B70FF8" w:rsidRPr="00D9599D">
        <w:instrText xml:space="preserve"> ADDIN ZOTERO_ITEM CSL_CITATION {"citationID":"dQJURDNR","properties":{"formattedCitation":"(Coker, 1995)","plainCitation":"(Coker, 1995)","noteIndex":0},"citationItems":[{"id":736,"uris":["http://zotero.org/users/8766396/items/AYDYWBN2"],"itemData":{"id":736,"type":"chapter","container-title":"Fortran Programs for Chemical Process Design, Analysis, and Simulation","language":"en","page":"721-776","source":"Zotero","title":"Engineering Economics","URL":"https://doi.org/10.1016/B978-088415280-4%2F50010-8","author":[{"family":"Coker","given":"A. K"}],"issued":{"date-parts":[["1995"]]}}}],"schema":"https://github.com/citation-style-language/schema/raw/master/csl-citation.json"} </w:instrText>
      </w:r>
      <w:r w:rsidR="00B70FF8" w:rsidRPr="00D9599D">
        <w:fldChar w:fldCharType="separate"/>
      </w:r>
      <w:r w:rsidR="00B70FF8" w:rsidRPr="00D9599D">
        <w:t>(Coker, 1995)</w:t>
      </w:r>
      <w:r w:rsidR="00B70FF8" w:rsidRPr="00D9599D">
        <w:fldChar w:fldCharType="end"/>
      </w:r>
      <w:r w:rsidRPr="00D9599D">
        <w:t xml:space="preserve">. </w:t>
      </w:r>
      <w:r w:rsidR="008F6FEB" w:rsidRPr="00D9599D">
        <w:t xml:space="preserve">It is assumed that the business owner has no equity and must take out a loan for the full cost of capital. </w:t>
      </w:r>
      <w:r w:rsidR="008F6FEB" w:rsidRPr="00B92DAE">
        <w:t xml:space="preserve">The capital </w:t>
      </w:r>
      <w:r w:rsidR="008F6FEB">
        <w:t>loan is</w:t>
      </w:r>
      <w:r w:rsidR="008F6FEB" w:rsidRPr="00B92DAE">
        <w:t xml:space="preserve"> </w:t>
      </w:r>
      <w:r w:rsidR="008F6FEB" w:rsidRPr="00544599">
        <w:t>considered to be repaid annually with</w:t>
      </w:r>
      <w:r w:rsidR="008F6FEB" w:rsidRPr="00B92DAE">
        <w:t xml:space="preserve"> an interest rate of </w:t>
      </w:r>
      <w:r w:rsidR="00CC27E5" w:rsidRPr="00D9599D">
        <w:t>6</w:t>
      </w:r>
      <w:r w:rsidR="008F6FEB" w:rsidRPr="00941940">
        <w:t>%</w:t>
      </w:r>
      <w:r w:rsidR="008F6FEB" w:rsidRPr="00B92DAE">
        <w:t xml:space="preserve"> </w:t>
      </w:r>
      <w:r w:rsidR="00D95AD7">
        <w:t xml:space="preserve">and a loan period of 7 years </w:t>
      </w:r>
      <w:r w:rsidR="00E35FAC" w:rsidRPr="00D9599D">
        <w:fldChar w:fldCharType="begin"/>
      </w:r>
      <w:r w:rsidR="00E35FAC" w:rsidRPr="00D9599D">
        <w:instrText xml:space="preserve"> ADDIN ZOTERO_ITEM CSL_CITATION {"citationID":"M2h7dCSW","properties":{"formattedCitation":"(Brennan, 2023)","plainCitation":"(Brennan, 2023)","noteIndex":0},"citationItems":[{"id":751,"uris":["http://zotero.org/users/8766396/items/SYJBVPBY"],"itemData":{"id":751,"type":"webpage","container-title":"The Irish Times","title":"Banks double business loan interest rates over past year","URL":"https://www.irishtimes.com/business/financial-services/2023/07/12/banks-double-business-loan-interest-rates-over-past-year/","author":[{"family":"Brennan","given":"Joe"}],"issued":{"date-parts":[["2023"]]}}}],"schema":"https://github.com/citation-style-language/schema/raw/master/csl-citation.json"} </w:instrText>
      </w:r>
      <w:r w:rsidR="00E35FAC" w:rsidRPr="00D9599D">
        <w:fldChar w:fldCharType="separate"/>
      </w:r>
      <w:r w:rsidR="00E35FAC" w:rsidRPr="00D9599D">
        <w:t>(Brennan, 2023)</w:t>
      </w:r>
      <w:r w:rsidR="00E35FAC" w:rsidRPr="00D9599D">
        <w:fldChar w:fldCharType="end"/>
      </w:r>
      <w:r w:rsidR="008F6FEB" w:rsidRPr="00D9599D">
        <w:t xml:space="preserve">. It is assumed that capital equipment depreciation follows the straight-line method, </w:t>
      </w:r>
      <w:proofErr w:type="gramStart"/>
      <w:r w:rsidR="008F6FEB" w:rsidRPr="00D9599D">
        <w:t>i.e.</w:t>
      </w:r>
      <w:proofErr w:type="gramEnd"/>
      <w:r w:rsidR="008F6FEB" w:rsidRPr="00D9599D">
        <w:t xml:space="preserve"> the reduction in salvage value over each year is equal to the capital cost of the equipment divided </w:t>
      </w:r>
      <w:r w:rsidR="003F4652">
        <w:t>by</w:t>
      </w:r>
      <w:r w:rsidR="008F6FEB" w:rsidRPr="00D9599D">
        <w:t xml:space="preserve"> </w:t>
      </w:r>
      <w:r w:rsidR="00360DDD">
        <w:t>equipment</w:t>
      </w:r>
      <w:r w:rsidR="008F6FEB" w:rsidRPr="00D9599D">
        <w:t xml:space="preserve"> lifetime</w:t>
      </w:r>
      <w:r w:rsidR="003F4652">
        <w:t xml:space="preserve">. </w:t>
      </w:r>
      <w:r w:rsidR="008F6FEB">
        <w:t xml:space="preserve">OPEX is calculated with the following equation: </w:t>
      </w:r>
    </w:p>
    <w:p w14:paraId="08C51D41" w14:textId="563CB74F" w:rsidR="00941940" w:rsidRPr="0070039D" w:rsidRDefault="00941940" w:rsidP="00941940">
      <w:pPr>
        <w:spacing w:after="240" w:line="480" w:lineRule="auto"/>
        <w:jc w:val="both"/>
      </w:pPr>
      <m:oMath>
        <m:r>
          <w:rPr>
            <w:rFonts w:ascii="Cambria Math" w:hAnsi="Cambria Math"/>
          </w:rPr>
          <m:t xml:space="preserve">OPEX </m:t>
        </m:r>
        <m:d>
          <m:dPr>
            <m:ctrlPr>
              <w:rPr>
                <w:rFonts w:ascii="Cambria Math" w:hAnsi="Cambria Math"/>
                <w:i/>
              </w:rPr>
            </m:ctrlPr>
          </m:dPr>
          <m:e>
            <m:f>
              <m:fPr>
                <m:ctrlPr>
                  <w:rPr>
                    <w:rFonts w:ascii="Cambria Math" w:hAnsi="Cambria Math"/>
                    <w:i/>
                  </w:rPr>
                </m:ctrlPr>
              </m:fPr>
              <m:num>
                <m:r>
                  <w:rPr>
                    <w:rFonts w:ascii="Cambria Math" w:hAnsi="Cambria Math"/>
                  </w:rPr>
                  <m:t>€</m:t>
                </m:r>
              </m:num>
              <m:den>
                <m:r>
                  <w:rPr>
                    <w:rFonts w:ascii="Cambria Math" w:hAnsi="Cambria Math"/>
                  </w:rPr>
                  <m:t>year</m:t>
                </m:r>
              </m:den>
            </m:f>
          </m:e>
        </m:d>
        <m:r>
          <w:rPr>
            <w:rFonts w:ascii="Cambria Math" w:hAnsi="Cambria Math"/>
          </w:rPr>
          <m:t>=exp+m+r+ins+lic+lab+tax</m:t>
        </m:r>
      </m:oMath>
      <w:r w:rsidRPr="0070039D">
        <w:tab/>
      </w:r>
      <w:r w:rsidRPr="0070039D">
        <w:tab/>
      </w:r>
      <w:r w:rsidRPr="0070039D">
        <w:tab/>
      </w:r>
      <w:r w:rsidRPr="0070039D">
        <w:tab/>
      </w:r>
      <w:r w:rsidRPr="0070039D">
        <w:tab/>
      </w:r>
      <w:r w:rsidRPr="0070039D">
        <w:tab/>
      </w:r>
      <w:r w:rsidRPr="0070039D">
        <w:rPr>
          <w:i/>
          <w:iCs/>
        </w:rPr>
        <w:t>(5)</w:t>
      </w:r>
    </w:p>
    <w:p w14:paraId="69EB2BD3" w14:textId="5D1BEC27" w:rsidR="00351937" w:rsidRPr="008F6FEB" w:rsidRDefault="008F6FEB" w:rsidP="008F6FEB">
      <w:pPr>
        <w:spacing w:after="240" w:line="480" w:lineRule="auto"/>
        <w:jc w:val="both"/>
      </w:pPr>
      <w:r w:rsidRPr="00D9599D">
        <w:t xml:space="preserve">Where </w:t>
      </w:r>
      <w:r w:rsidR="003A0F3C" w:rsidRPr="00D9599D">
        <w:rPr>
          <w:i/>
          <w:iCs/>
        </w:rPr>
        <w:t>exp</w:t>
      </w:r>
      <w:r w:rsidRPr="00D9599D">
        <w:t xml:space="preserve"> is material and utilit</w:t>
      </w:r>
      <w:r w:rsidR="003A0F3C" w:rsidRPr="00D9599D">
        <w:t>y expenses</w:t>
      </w:r>
      <w:r w:rsidRPr="00D9599D">
        <w:t xml:space="preserve">, </w:t>
      </w:r>
      <w:r w:rsidR="00E0336B" w:rsidRPr="00D9599D">
        <w:rPr>
          <w:i/>
          <w:iCs/>
        </w:rPr>
        <w:t>m</w:t>
      </w:r>
      <w:r w:rsidRPr="00D9599D">
        <w:t xml:space="preserve"> is maintenance of capital equipment, </w:t>
      </w:r>
      <w:r w:rsidR="003A0F3C" w:rsidRPr="00D9599D">
        <w:rPr>
          <w:i/>
          <w:iCs/>
        </w:rPr>
        <w:t>r</w:t>
      </w:r>
      <w:r w:rsidR="003A0F3C" w:rsidRPr="00D9599D">
        <w:t xml:space="preserve"> is rental fees, </w:t>
      </w:r>
      <w:r w:rsidR="00E0336B" w:rsidRPr="00D9599D">
        <w:rPr>
          <w:i/>
          <w:iCs/>
        </w:rPr>
        <w:t>i</w:t>
      </w:r>
      <w:r w:rsidRPr="00D9599D">
        <w:rPr>
          <w:i/>
          <w:iCs/>
        </w:rPr>
        <w:t>ns</w:t>
      </w:r>
      <w:r w:rsidRPr="00D9599D">
        <w:t xml:space="preserve"> </w:t>
      </w:r>
      <w:proofErr w:type="gramStart"/>
      <w:r w:rsidRPr="00D9599D">
        <w:t>is</w:t>
      </w:r>
      <w:proofErr w:type="gramEnd"/>
      <w:r w:rsidRPr="00D9599D">
        <w:t xml:space="preserve"> insurance</w:t>
      </w:r>
      <w:r w:rsidR="003A0F3C" w:rsidRPr="00D9599D">
        <w:t xml:space="preserve"> fees</w:t>
      </w:r>
      <w:r w:rsidRPr="00D9599D">
        <w:t xml:space="preserve">, </w:t>
      </w:r>
      <w:proofErr w:type="spellStart"/>
      <w:r w:rsidR="003A0F3C" w:rsidRPr="00D9599D">
        <w:rPr>
          <w:i/>
          <w:iCs/>
        </w:rPr>
        <w:t>lic</w:t>
      </w:r>
      <w:proofErr w:type="spellEnd"/>
      <w:r w:rsidR="003A0F3C" w:rsidRPr="00D9599D">
        <w:t xml:space="preserve"> is license fees, </w:t>
      </w:r>
      <w:r w:rsidR="00E0336B" w:rsidRPr="00D9599D">
        <w:rPr>
          <w:i/>
          <w:iCs/>
        </w:rPr>
        <w:t>lab</w:t>
      </w:r>
      <w:r w:rsidRPr="00D9599D">
        <w:t xml:space="preserve"> is labour, and </w:t>
      </w:r>
      <w:r w:rsidR="00E0336B" w:rsidRPr="00D9599D">
        <w:rPr>
          <w:i/>
          <w:iCs/>
        </w:rPr>
        <w:t>t</w:t>
      </w:r>
      <w:r w:rsidRPr="00D9599D">
        <w:rPr>
          <w:i/>
          <w:iCs/>
        </w:rPr>
        <w:t>ax</w:t>
      </w:r>
      <w:r w:rsidRPr="00D9599D">
        <w:t xml:space="preserve"> is taxes</w:t>
      </w:r>
      <w:r w:rsidR="00E05DF1" w:rsidRPr="00D9599D">
        <w:t>. Material and utilities expenses, maintenance, rental, insurance and license fees, and taxes are calculated based on data available from literature</w:t>
      </w:r>
      <w:r w:rsidR="00A53C4E" w:rsidRPr="00D9599D">
        <w:t xml:space="preserve"> (</w:t>
      </w:r>
      <w:r w:rsidR="001C67D3">
        <w:t xml:space="preserve">Table S10, </w:t>
      </w:r>
      <w:r w:rsidR="00A53C4E" w:rsidRPr="00D9599D">
        <w:t xml:space="preserve">Supplementary material). </w:t>
      </w:r>
      <w:r w:rsidR="00A53C4E">
        <w:t>Labour</w:t>
      </w:r>
      <w:r w:rsidR="00A53C4E" w:rsidRPr="00B92DAE">
        <w:t xml:space="preserve"> </w:t>
      </w:r>
      <w:r w:rsidR="00310756" w:rsidRPr="00B92DAE">
        <w:t>costs are calculated from the perspective of the business owner</w:t>
      </w:r>
      <w:r w:rsidR="007000E8">
        <w:t xml:space="preserve">. </w:t>
      </w:r>
      <w:r w:rsidR="00AB5B54" w:rsidRPr="00B92DAE">
        <w:t>In</w:t>
      </w:r>
      <w:r w:rsidR="00310756" w:rsidRPr="00B92DAE">
        <w:t xml:space="preserve"> the case of </w:t>
      </w:r>
      <w:r w:rsidR="00D84D30" w:rsidRPr="00B92DAE">
        <w:t>self-employment</w:t>
      </w:r>
      <w:r w:rsidR="007D1AB4" w:rsidRPr="00B92DAE">
        <w:t xml:space="preserve"> or individually-owned businesses</w:t>
      </w:r>
      <w:r w:rsidR="00406418" w:rsidRPr="00B92DAE">
        <w:t xml:space="preserve">, </w:t>
      </w:r>
      <w:r w:rsidR="00AB5B54" w:rsidRPr="00B92DAE">
        <w:t xml:space="preserve">the </w:t>
      </w:r>
      <w:r w:rsidR="00D84D30" w:rsidRPr="00B92DAE">
        <w:t xml:space="preserve">business </w:t>
      </w:r>
      <w:r w:rsidR="007D1AB4" w:rsidRPr="00B92DAE">
        <w:t xml:space="preserve">income is equivalent to individual income </w:t>
      </w:r>
      <w:r w:rsidR="003A0340" w:rsidRPr="00B92DAE">
        <w:fldChar w:fldCharType="begin"/>
      </w:r>
      <w:r w:rsidR="003A4382" w:rsidRPr="00B92DAE">
        <w:instrText xml:space="preserve"> ADDIN ZOTERO_ITEM CSL_CITATION {"citationID":"3ExTlSst","properties":{"formattedCitation":"(Sherman, 2020)","plainCitation":"(Sherman, 2020)","noteIndex":0},"citationItems":[{"id":737,"uris":["http://zotero.org/users/8766396/items/PR2SHJ3K"],"itemData":{"id":737,"type":"webpage","container-title":"CHRON.","title":"Can a Company Owner Be Considered an Employee?","URL":"https://smallbusiness.chron.com/can-company-owner-considered-employee-19157.html","author":[{"family":"Sherman","given":"F"}],"issued":{"date-parts":[["2020"]]}}}],"schema":"https://github.com/citation-style-language/schema/raw/master/csl-citation.json"} </w:instrText>
      </w:r>
      <w:r w:rsidR="003A0340" w:rsidRPr="00B92DAE">
        <w:fldChar w:fldCharType="separate"/>
      </w:r>
      <w:r w:rsidR="003A4382" w:rsidRPr="00B92DAE">
        <w:t>(Sherman, 2020)</w:t>
      </w:r>
      <w:r w:rsidR="003A0340" w:rsidRPr="00B92DAE">
        <w:fldChar w:fldCharType="end"/>
      </w:r>
      <w:r w:rsidR="007D1AB4" w:rsidRPr="00B92DAE">
        <w:t>.</w:t>
      </w:r>
      <w:r w:rsidR="00AB5B54" w:rsidRPr="00B92DAE">
        <w:t xml:space="preserve"> </w:t>
      </w:r>
      <w:r w:rsidR="007D1AB4" w:rsidRPr="00B92DAE">
        <w:t xml:space="preserve">Thus, when considering economic viability, the business owner </w:t>
      </w:r>
      <w:r w:rsidR="00D84D30" w:rsidRPr="00B92DAE">
        <w:t xml:space="preserve">should account for all </w:t>
      </w:r>
      <w:r w:rsidR="0017421A" w:rsidRPr="00B92DAE">
        <w:t xml:space="preserve">operating </w:t>
      </w:r>
      <w:r w:rsidR="00D84D30" w:rsidRPr="00B92DAE">
        <w:t xml:space="preserve">costs from </w:t>
      </w:r>
      <w:r w:rsidR="0017421A" w:rsidRPr="00B92DAE">
        <w:t xml:space="preserve">purchased products and </w:t>
      </w:r>
      <w:r w:rsidR="00FC3764" w:rsidRPr="00B92DAE">
        <w:t>services but</w:t>
      </w:r>
      <w:r w:rsidR="00D84D30" w:rsidRPr="00B92DAE">
        <w:t xml:space="preserve"> also for their own </w:t>
      </w:r>
      <w:r w:rsidR="007D1AB4" w:rsidRPr="00B92DAE">
        <w:t>salary</w:t>
      </w:r>
      <w:r w:rsidR="00D84D30" w:rsidRPr="00B92DAE">
        <w:t xml:space="preserve">. </w:t>
      </w:r>
      <w:r w:rsidR="0017421A" w:rsidRPr="00B92DAE">
        <w:t>For this study</w:t>
      </w:r>
      <w:r w:rsidR="00FC3764" w:rsidRPr="00B92DAE">
        <w:t>,</w:t>
      </w:r>
      <w:r w:rsidR="0017421A" w:rsidRPr="00B92DAE">
        <w:t xml:space="preserve"> it is assumed that </w:t>
      </w:r>
      <w:r w:rsidR="00AB5B54" w:rsidRPr="00B92DAE">
        <w:lastRenderedPageBreak/>
        <w:t>all</w:t>
      </w:r>
      <w:r w:rsidR="0017421A" w:rsidRPr="00B92DAE">
        <w:t xml:space="preserve"> wild harvesters </w:t>
      </w:r>
      <w:r w:rsidR="00FC3764" w:rsidRPr="00B92DAE">
        <w:t>are self-employed</w:t>
      </w:r>
      <w:r w:rsidR="007D1AB4" w:rsidRPr="00B92DAE">
        <w:t>,</w:t>
      </w:r>
      <w:r w:rsidR="00FC3764" w:rsidRPr="00B92DAE">
        <w:t xml:space="preserve"> and </w:t>
      </w:r>
      <w:r w:rsidR="0017421A" w:rsidRPr="00B92DAE">
        <w:t xml:space="preserve">aim to earn a full-time equivalent (FTE) salary of 40,000 €/year. In the case of cultivation, it is also assumed that the hatchery and cultivation site are </w:t>
      </w:r>
      <w:r w:rsidR="007A18AB" w:rsidRPr="00B92DAE">
        <w:t>individually owned</w:t>
      </w:r>
      <w:r w:rsidR="0017421A" w:rsidRPr="00B92DAE">
        <w:t xml:space="preserve"> businesses. The hatchery scientist is assumed to be the owner of the </w:t>
      </w:r>
      <w:r w:rsidR="00FC3764" w:rsidRPr="00B92DAE">
        <w:t>hatchery and</w:t>
      </w:r>
      <w:r w:rsidR="0017421A" w:rsidRPr="00B92DAE">
        <w:t xml:space="preserve"> aims to earn </w:t>
      </w:r>
      <w:r w:rsidR="00FC3764" w:rsidRPr="00B92DAE">
        <w:t xml:space="preserve">an FTE salary of </w:t>
      </w:r>
      <w:r w:rsidR="0017421A" w:rsidRPr="00B92DAE">
        <w:t>5</w:t>
      </w:r>
      <w:r w:rsidR="00F93689" w:rsidRPr="00B92DAE">
        <w:t>5</w:t>
      </w:r>
      <w:r w:rsidR="0017421A" w:rsidRPr="00B92DAE">
        <w:t xml:space="preserve">,000 €/year. The deployment site is owned by a cultivation manager, </w:t>
      </w:r>
      <w:r w:rsidR="00024A80" w:rsidRPr="00B92DAE">
        <w:t xml:space="preserve">who </w:t>
      </w:r>
      <w:r w:rsidR="0017421A" w:rsidRPr="00B92DAE">
        <w:t xml:space="preserve">aims to earn </w:t>
      </w:r>
      <w:r w:rsidR="00FC3764" w:rsidRPr="00B92DAE">
        <w:t xml:space="preserve">an FTE salary of </w:t>
      </w:r>
      <w:r w:rsidR="0017421A" w:rsidRPr="00B92DAE">
        <w:t>50,000 €/year.</w:t>
      </w:r>
      <w:r w:rsidR="00A90C76" w:rsidRPr="00B92DAE">
        <w:t xml:space="preserve"> </w:t>
      </w:r>
      <w:r w:rsidR="00917202" w:rsidRPr="00B92DAE">
        <w:t>For all other labourers needed (towboat driver, deployment and harvesting boat driver, and additional crew members), wages are assumed based on average salaries for a given labour type</w:t>
      </w:r>
      <w:r w:rsidR="005819E8" w:rsidRPr="00B92DAE">
        <w:t xml:space="preserve"> </w:t>
      </w:r>
      <w:r w:rsidR="005819E8" w:rsidRPr="00B92DAE">
        <w:fldChar w:fldCharType="begin"/>
      </w:r>
      <w:r w:rsidR="005819E8" w:rsidRPr="00B92DAE">
        <w:instrText xml:space="preserve"> ADDIN ZOTERO_ITEM CSL_CITATION {"citationID":"IOgeNuxj","properties":{"formattedCitation":"(PayScale, Inc., 2023)","plainCitation":"(PayScale, Inc., 2023)","noteIndex":0},"citationItems":[{"id":692,"uris":["http://zotero.org/users/8766396/items/APJ9V9BS"],"itemData":{"id":692,"type":"webpage","title":"Salary Data &amp; Career Research Center (Ireland)","URL":"https://www.payscale.com/research/IE/Country=Ireland/Salary","author":[{"literal":"PayScale, Inc."}],"issued":{"date-parts":[["2023"]]}}}],"schema":"https://github.com/citation-style-language/schema/raw/master/csl-citation.json"} </w:instrText>
      </w:r>
      <w:r w:rsidR="005819E8" w:rsidRPr="00B92DAE">
        <w:fldChar w:fldCharType="separate"/>
      </w:r>
      <w:r w:rsidR="005819E8" w:rsidRPr="00B92DAE">
        <w:t>(PayScale, Inc., 2023)</w:t>
      </w:r>
      <w:r w:rsidR="005819E8" w:rsidRPr="00B92DAE">
        <w:fldChar w:fldCharType="end"/>
      </w:r>
      <w:r w:rsidR="00917202" w:rsidRPr="00B92DAE">
        <w:t>.</w:t>
      </w:r>
    </w:p>
    <w:p w14:paraId="5CF59079" w14:textId="497C52E2" w:rsidR="00B92DAE" w:rsidRPr="00D9599D" w:rsidRDefault="00B92DAE" w:rsidP="00D9599D">
      <w:pPr>
        <w:pStyle w:val="ListParagraph"/>
        <w:numPr>
          <w:ilvl w:val="3"/>
          <w:numId w:val="12"/>
        </w:numPr>
        <w:spacing w:after="240" w:line="480" w:lineRule="auto"/>
        <w:jc w:val="both"/>
        <w:rPr>
          <w:b/>
          <w:bCs/>
        </w:rPr>
      </w:pPr>
      <w:r w:rsidRPr="00D9599D">
        <w:rPr>
          <w:b/>
          <w:bCs/>
        </w:rPr>
        <w:t>Social impacts</w:t>
      </w:r>
    </w:p>
    <w:p w14:paraId="7D1295BB" w14:textId="75B9A1D7" w:rsidR="00C42FC0" w:rsidRDefault="0054664D" w:rsidP="009624E8">
      <w:pPr>
        <w:spacing w:after="240" w:line="480" w:lineRule="auto"/>
        <w:jc w:val="both"/>
      </w:pPr>
      <w:r w:rsidRPr="00E0336B">
        <w:t xml:space="preserve">As </w:t>
      </w:r>
      <w:r w:rsidR="00BB5844" w:rsidRPr="00E0336B">
        <w:t xml:space="preserve">discussed </w:t>
      </w:r>
      <w:r w:rsidRPr="00E0336B">
        <w:t>in section 2.</w:t>
      </w:r>
      <w:r w:rsidR="00090E36" w:rsidRPr="00E0336B">
        <w:t>1</w:t>
      </w:r>
      <w:r w:rsidRPr="00E0336B">
        <w:t>.</w:t>
      </w:r>
      <w:r w:rsidR="004C1822" w:rsidRPr="00E0336B">
        <w:t>3</w:t>
      </w:r>
      <w:r w:rsidRPr="00E0336B">
        <w:t xml:space="preserve">, this study also </w:t>
      </w:r>
      <w:r w:rsidR="00BB5844" w:rsidRPr="00E0336B">
        <w:t xml:space="preserve">evaluates </w:t>
      </w:r>
      <w:r w:rsidRPr="00E0336B">
        <w:t xml:space="preserve">the contribution of seaweed production to </w:t>
      </w:r>
      <w:r w:rsidR="00BB5844" w:rsidRPr="00E0336B">
        <w:t>social sustainability by determining the increase in</w:t>
      </w:r>
      <w:r w:rsidRPr="00E0336B">
        <w:t xml:space="preserve"> wellbeing of the workers it employs. </w:t>
      </w:r>
      <w:r w:rsidR="008E7C59">
        <w:t>To calculate the relative change in wellbeing induced by the seaweed industry, i</w:t>
      </w:r>
      <w:r w:rsidR="00C42FC0">
        <w:t xml:space="preserve">t is first important to identify a baseline for the potential seaweed worker. </w:t>
      </w:r>
      <w:r w:rsidR="008E7C59">
        <w:t xml:space="preserve">For this study it is assumed that all workers were previously unemployed and without income. Two justifications are given for this assumption. First, </w:t>
      </w:r>
      <w:r w:rsidR="002B2888">
        <w:t>a</w:t>
      </w:r>
      <w:r w:rsidR="002B2888" w:rsidRPr="00986E38" w:rsidDel="00834A03">
        <w:t xml:space="preserve"> </w:t>
      </w:r>
      <w:r w:rsidR="002B2888">
        <w:t xml:space="preserve">main </w:t>
      </w:r>
      <w:r w:rsidR="002B2888" w:rsidRPr="00986E38" w:rsidDel="00834A03">
        <w:t>goal of developing the bioeconomy is to develop the rural economy</w:t>
      </w:r>
      <w:r w:rsidR="002B2888" w:rsidRPr="0058492A">
        <w:t xml:space="preserve"> and create jobs </w:t>
      </w:r>
      <w:r w:rsidR="002B2888">
        <w:rPr>
          <w:color w:val="000000"/>
        </w:rPr>
        <w:fldChar w:fldCharType="begin"/>
      </w:r>
      <w:r w:rsidR="002B2888">
        <w:rPr>
          <w:color w:val="000000"/>
        </w:rPr>
        <w:instrText xml:space="preserve"> ADDIN ZOTERO_ITEM CSL_CITATION {"citationID":"sfOQice8","properties":{"formattedCitation":"(European Commission, 2018)","plainCitation":"(European Commission, 2018)","noteIndex":0},"citationItems":[{"id":64,"uris":["http://zotero.org/users/8766396/items/GZN9CVLU"],"itemData":{"id":64,"type":"book","event-place":"Luxembourg","ISBN":"978-92-79-97443-4","publisher":"Publications Office of the European Union","publisher-place":"Luxembourg","title":"Bioeconomy: the European way to use our natural resources - Action plan","URL":"https://ec.europa.eu/research/bioeconomy/pdf/ec_bioeconomy_booklet_2018.pdf","author":[{"family":"European Commission","given":""}],"issued":{"date-parts":[["2018"]]}}}],"schema":"https://github.com/citation-style-language/schema/raw/master/csl-citation.json"} </w:instrText>
      </w:r>
      <w:r w:rsidR="002B2888">
        <w:rPr>
          <w:color w:val="000000"/>
        </w:rPr>
        <w:fldChar w:fldCharType="separate"/>
      </w:r>
      <w:r w:rsidR="002B2888" w:rsidRPr="003A4382">
        <w:t>(European Commission, 2018)</w:t>
      </w:r>
      <w:r w:rsidR="002B2888">
        <w:rPr>
          <w:color w:val="000000"/>
        </w:rPr>
        <w:fldChar w:fldCharType="end"/>
      </w:r>
      <w:r w:rsidR="002B2888">
        <w:rPr>
          <w:color w:val="000000"/>
        </w:rPr>
        <w:t xml:space="preserve">. </w:t>
      </w:r>
      <w:r w:rsidR="002B2888">
        <w:t>W</w:t>
      </w:r>
      <w:r w:rsidR="00C42FC0" w:rsidRPr="0058492A">
        <w:t>hile unemployment rates in Ireland have decreased significantly in the past 10 years</w:t>
      </w:r>
      <w:r w:rsidR="00C42FC0">
        <w:t>,</w:t>
      </w:r>
      <w:r w:rsidR="00C42FC0" w:rsidRPr="0058492A">
        <w:t xml:space="preserve"> reach</w:t>
      </w:r>
      <w:r w:rsidR="00C42FC0">
        <w:t>ing</w:t>
      </w:r>
      <w:r w:rsidR="00C42FC0" w:rsidRPr="0058492A">
        <w:t xml:space="preserve"> 4.1% </w:t>
      </w:r>
      <w:r w:rsidR="00C42FC0">
        <w:t xml:space="preserve">(111,900 people) </w:t>
      </w:r>
      <w:r w:rsidR="00C42FC0" w:rsidRPr="0058492A">
        <w:t xml:space="preserve">as of July </w:t>
      </w:r>
      <w:r w:rsidR="00C42FC0" w:rsidRPr="00293148">
        <w:t>2023</w:t>
      </w:r>
      <w:r w:rsidR="00C42FC0" w:rsidRPr="00D9599D">
        <w:t xml:space="preserve"> </w:t>
      </w:r>
      <w:r w:rsidR="00293148" w:rsidRPr="00D9599D">
        <w:fldChar w:fldCharType="begin"/>
      </w:r>
      <w:r w:rsidR="00293148" w:rsidRPr="00D9599D">
        <w:instrText xml:space="preserve"> ADDIN ZOTERO_ITEM CSL_CITATION {"citationID":"ccWdfWeS","properties":{"formattedCitation":"(Central Statistics Office Ireland, 2023)","plainCitation":"(Central Statistics Office Ireland, 2023)","noteIndex":0},"citationItems":[{"id":752,"uris":["http://zotero.org/users/8766396/items/GFQU86QJ"],"itemData":{"id":752,"type":"webpage","title":"Monthly Unemployment July 2023","URL":"https://www.cso.ie/en/releasesandpublications/ep/p-mue/monthlyunemploymentjuly2023/","author":[{"literal":"Central Statistics Office Ireland"}],"issued":{"date-parts":[["2023"]]}}}],"schema":"https://github.com/citation-style-language/schema/raw/master/csl-citation.json"} </w:instrText>
      </w:r>
      <w:r w:rsidR="00293148" w:rsidRPr="00D9599D">
        <w:fldChar w:fldCharType="separate"/>
      </w:r>
      <w:r w:rsidR="00293148" w:rsidRPr="00D9599D">
        <w:t>(Central Statistics Office Ireland, 2023)</w:t>
      </w:r>
      <w:r w:rsidR="00293148" w:rsidRPr="00D9599D">
        <w:fldChar w:fldCharType="end"/>
      </w:r>
      <w:r w:rsidR="00C42FC0" w:rsidRPr="00D9599D">
        <w:t>,</w:t>
      </w:r>
      <w:r w:rsidR="00C42FC0" w:rsidRPr="00D9599D" w:rsidDel="00834A03">
        <w:t xml:space="preserve"> </w:t>
      </w:r>
      <w:r w:rsidR="00C42FC0">
        <w:t>unemployment tends to disproportionally affect rural areas</w:t>
      </w:r>
      <w:r w:rsidR="00C42FC0" w:rsidRPr="0058492A">
        <w:t xml:space="preserve"> </w:t>
      </w:r>
      <w:r w:rsidR="00C42FC0" w:rsidRPr="00986E38" w:rsidDel="00834A03">
        <w:fldChar w:fldCharType="begin"/>
      </w:r>
      <w:r w:rsidR="00C42FC0" w:rsidRPr="00986E38">
        <w:instrText xml:space="preserve"> ADDIN ZOTERO_ITEM CSL_CITATION {"citationID":"LjDD9OJl","properties":{"formattedCitation":"(Commission for the Economic Development of Rural Areas [CEDRA], 2017)","plainCitation":"(Commission for the Economic Development of Rural Areas [CEDRA], 2017)","noteIndex":0},"citationItems":[{"id":687,"uris":["http://zotero.org/users/8766396/items/ERPB6CNN"],"itemData":{"id":687,"type":"report","publisher":"Teagasc","title":"Energising Irelands Rural Economy","URL":"https://www.teagasc.ie/media/website/rural-economy/CEDRA_Report.pdf","author":[{"family":"Commission for the Economic Development of Rural Areas [CEDRA]","given":""}],"issued":{"date-parts":[["2017"]]}}}],"schema":"https://github.com/citation-style-language/schema/raw/master/csl-citation.json"} </w:instrText>
      </w:r>
      <w:r w:rsidR="00C42FC0" w:rsidRPr="00986E38" w:rsidDel="00834A03">
        <w:fldChar w:fldCharType="separate"/>
      </w:r>
      <w:r w:rsidR="00C42FC0" w:rsidRPr="00986E38">
        <w:t>(Commission for the Economic Development of Rural Areas [CEDRA], 2017)</w:t>
      </w:r>
      <w:r w:rsidR="00C42FC0" w:rsidRPr="00986E38" w:rsidDel="00834A03">
        <w:fldChar w:fldCharType="end"/>
      </w:r>
      <w:r w:rsidR="00C42FC0" w:rsidRPr="00986E38" w:rsidDel="00834A03">
        <w:t xml:space="preserve">. </w:t>
      </w:r>
      <w:r w:rsidR="002B2888">
        <w:rPr>
          <w:color w:val="000000"/>
        </w:rPr>
        <w:t>Second</w:t>
      </w:r>
      <w:r w:rsidR="008E7C59">
        <w:rPr>
          <w:color w:val="000000"/>
        </w:rPr>
        <w:t>,</w:t>
      </w:r>
      <w:r w:rsidR="002B2888">
        <w:rPr>
          <w:color w:val="000000"/>
        </w:rPr>
        <w:t xml:space="preserve"> </w:t>
      </w:r>
      <w:r w:rsidR="00B70FF8">
        <w:rPr>
          <w:color w:val="000000"/>
        </w:rPr>
        <w:t xml:space="preserve">it has long been understood that </w:t>
      </w:r>
      <w:r w:rsidR="008E7C59">
        <w:rPr>
          <w:color w:val="000000"/>
        </w:rPr>
        <w:t xml:space="preserve">income has a </w:t>
      </w:r>
      <w:r w:rsidR="002B2888">
        <w:rPr>
          <w:color w:val="000000"/>
        </w:rPr>
        <w:t>logarithmic</w:t>
      </w:r>
      <w:r w:rsidR="008E7C59">
        <w:rPr>
          <w:color w:val="000000"/>
        </w:rPr>
        <w:t xml:space="preserve"> relationship with </w:t>
      </w:r>
      <w:r w:rsidR="00B70FF8">
        <w:rPr>
          <w:color w:val="000000"/>
        </w:rPr>
        <w:t>wellbeing</w:t>
      </w:r>
      <w:r w:rsidR="002B2888">
        <w:rPr>
          <w:color w:val="000000"/>
        </w:rPr>
        <w:t xml:space="preserve"> </w:t>
      </w:r>
      <w:r w:rsidR="00B70FF8">
        <w:rPr>
          <w:color w:val="000000"/>
        </w:rPr>
        <w:fldChar w:fldCharType="begin"/>
      </w:r>
      <w:r w:rsidR="00B70FF8">
        <w:rPr>
          <w:color w:val="000000"/>
        </w:rPr>
        <w:instrText xml:space="preserve"> ADDIN ZOTERO_ITEM CSL_CITATION {"citationID":"CeDDKGR6","properties":{"formattedCitation":"(Helliwell et al., 2022)","plainCitation":"(Helliwell et al., 2022)","noteIndex":0},"citationItems":[{"id":408,"uris":["http://zotero.org/users/8766396/items/SX5Z6EIE"],"itemData":{"id":408,"type":"chapter","container-title":"World Happiness Report 2022","language":"en","source":"Zotero","title":"Happiness, Benevolence, and Trust During COVID-19 and Beyond","URL":"https://worldhappiness.report/","author":[{"family":"Helliwell","given":"John F"},{"family":"Wang","given":"Shun"},{"family":"Huang","given":"Haifang"},{"family":"Norton","given":"Max"}],"issued":{"date-parts":[["2022"]]}}}],"schema":"https://github.com/citation-style-language/schema/raw/master/csl-citation.json"} </w:instrText>
      </w:r>
      <w:r w:rsidR="00B70FF8">
        <w:rPr>
          <w:color w:val="000000"/>
        </w:rPr>
        <w:fldChar w:fldCharType="separate"/>
      </w:r>
      <w:r w:rsidR="00B70FF8" w:rsidRPr="00B70FF8">
        <w:t>(Helliwell et al., 2022)</w:t>
      </w:r>
      <w:r w:rsidR="00B70FF8">
        <w:rPr>
          <w:color w:val="000000"/>
        </w:rPr>
        <w:fldChar w:fldCharType="end"/>
      </w:r>
      <w:r w:rsidR="008E7C59">
        <w:rPr>
          <w:color w:val="000000"/>
        </w:rPr>
        <w:t xml:space="preserve">; i.e. </w:t>
      </w:r>
      <w:r w:rsidR="002B2888">
        <w:rPr>
          <w:color w:val="000000"/>
        </w:rPr>
        <w:t xml:space="preserve">an additional 1,000 € per month has a much higher utility to someone without other income compared to someone who already makes 10,000 €/month. </w:t>
      </w:r>
      <w:r w:rsidR="00C42FC0" w:rsidRPr="00D9599D" w:rsidDel="00834A03">
        <w:t xml:space="preserve">Thus, </w:t>
      </w:r>
      <w:r w:rsidR="002B2888">
        <w:t>the income from working in the seaweed industry would contribute much more to wellbeing for otherwise unemployed people</w:t>
      </w:r>
      <w:r w:rsidR="00B70FF8">
        <w:t>, and these individuals should be targeted to maximize the wellbeing potential of the industry</w:t>
      </w:r>
      <w:r w:rsidR="002B2888">
        <w:t>.</w:t>
      </w:r>
    </w:p>
    <w:p w14:paraId="29891101" w14:textId="751051E0" w:rsidR="009624E8" w:rsidRPr="003E0D2E" w:rsidRDefault="0070039D" w:rsidP="009624E8">
      <w:pPr>
        <w:spacing w:after="240" w:line="480" w:lineRule="auto"/>
        <w:jc w:val="both"/>
      </w:pPr>
      <w:r w:rsidRPr="00A222CE">
        <w:lastRenderedPageBreak/>
        <w:t xml:space="preserve">In the World Happiness Reports, </w:t>
      </w:r>
      <w:r>
        <w:t>it was found that not only do income and employment have significant impacts</w:t>
      </w:r>
      <w:r w:rsidRPr="00A222CE">
        <w:t xml:space="preserve"> on individual wellbeing</w:t>
      </w:r>
      <w:r w:rsidRPr="0058492A">
        <w:t xml:space="preserve"> </w:t>
      </w:r>
      <w:r>
        <w:fldChar w:fldCharType="begin"/>
      </w:r>
      <w:r>
        <w:instrText xml:space="preserve"> ADDIN ZOTERO_ITEM CSL_CITATION {"citationID":"5vjbCk8w","properties":{"formattedCitation":"(Clark et al., 2017)","plainCitation":"(Clark et al., 2017)","noteIndex":0},"citationItems":[{"id":302,"uris":["http://zotero.org/users/8766396/items/VFMZS2BY"],"itemData":{"id":302,"type":"chapter","container-title":"World Happiness Report 2017","language":"en","source":"Zotero","title":"The Key Determinants of Happiness and Misery","URL":"https://worldhappiness.report/","author":[{"family":"Clark","given":"Andrew E"},{"family":"Flèche","given":"Sarah"},{"family":"Layard","given":"Richard"},{"family":"Powdthavee","given":"Nattavudh"},{"family":"Ward","given":"George"}],"issued":{"date-parts":[["2017"]]}}}],"schema":"https://github.com/citation-style-language/schema/raw/master/csl-citation.json"} </w:instrText>
      </w:r>
      <w:r>
        <w:fldChar w:fldCharType="separate"/>
      </w:r>
      <w:r w:rsidRPr="00355F1B">
        <w:t>(Clark et al., 2017)</w:t>
      </w:r>
      <w:r>
        <w:fldChar w:fldCharType="end"/>
      </w:r>
      <w:r w:rsidR="00AC5072">
        <w:t>,</w:t>
      </w:r>
      <w:r w:rsidRPr="00A222CE">
        <w:t xml:space="preserve"> </w:t>
      </w:r>
      <w:r>
        <w:t>but</w:t>
      </w:r>
      <w:r w:rsidRPr="00A222CE">
        <w:t xml:space="preserve"> the type of employment </w:t>
      </w:r>
      <w:r>
        <w:t xml:space="preserve">(e.g. full-time, part-time) </w:t>
      </w:r>
      <w:r w:rsidRPr="00A222CE">
        <w:t>impacts life satisfaction levels</w:t>
      </w:r>
      <w:r w:rsidRPr="0058492A">
        <w:t>, and that th</w:t>
      </w:r>
      <w:r>
        <w:t>ose</w:t>
      </w:r>
      <w:r w:rsidRPr="0058492A">
        <w:t xml:space="preserve"> impacts differ regionally</w:t>
      </w:r>
      <w:r w:rsidRPr="00A222CE">
        <w:t xml:space="preserve"> </w:t>
      </w:r>
      <w:r w:rsidRPr="00A222CE">
        <w:fldChar w:fldCharType="begin"/>
      </w:r>
      <w:r w:rsidRPr="00A222CE">
        <w:instrText xml:space="preserve"> ADDIN ZOTERO_ITEM CSL_CITATION {"citationID":"cBoVXc8T","properties":{"formattedCitation":"(De Neve and Ward, 2017)","plainCitation":"(De Neve and Ward, 2017)","noteIndex":0},"citationItems":[{"id":404,"uris":["http://zotero.org/users/8766396/items/PIMQHFKI"],"itemData":{"id":404,"type":"chapter","container-title":"World Happiness Report 2017","language":"en","source":"Zotero","title":"Happiness at Work","URL":"https://worldhappiness.report/","author":[{"family":"De Neve","given":"Jan-Emmanuel"},{"family":"Ward","given":"George"}],"issued":{"date-parts":[["2017"]]}}}],"schema":"https://github.com/citation-style-language/schema/raw/master/csl-citation.json"} </w:instrText>
      </w:r>
      <w:r w:rsidRPr="00A222CE">
        <w:fldChar w:fldCharType="separate"/>
      </w:r>
      <w:r w:rsidRPr="00A222CE">
        <w:t>(De Neve and Ward, 2017)</w:t>
      </w:r>
      <w:r w:rsidRPr="00A222CE">
        <w:fldChar w:fldCharType="end"/>
      </w:r>
      <w:r w:rsidRPr="00A222CE">
        <w:t xml:space="preserve">. </w:t>
      </w:r>
      <w:r w:rsidR="009624E8">
        <w:t xml:space="preserve">Based on the correlations found between individual </w:t>
      </w:r>
      <w:r w:rsidR="00AC5072">
        <w:t>life satisfaction</w:t>
      </w:r>
      <w:r w:rsidR="009624E8">
        <w:t xml:space="preserve"> and income and employment </w:t>
      </w:r>
      <w:r w:rsidR="00C42FC0">
        <w:t xml:space="preserve">reported </w:t>
      </w:r>
      <w:r w:rsidR="00AC5072">
        <w:t>for 2017-2021</w:t>
      </w:r>
      <w:r w:rsidR="00C42FC0">
        <w:t xml:space="preserve"> </w:t>
      </w:r>
      <w:r w:rsidR="009624E8">
        <w:fldChar w:fldCharType="begin"/>
      </w:r>
      <w:r w:rsidR="009624E8">
        <w:instrText xml:space="preserve"> ADDIN ZOTERO_ITEM CSL_CITATION {"citationID":"e3dF6mWS","properties":{"formattedCitation":"(Helliwell et al., 2022)","plainCitation":"(Helliwell et al., 2022)","noteIndex":0},"citationItems":[{"id":408,"uris":["http://zotero.org/users/8766396/items/SX5Z6EIE"],"itemData":{"id":408,"type":"chapter","container-title":"World Happiness Report 2022","language":"en","source":"Zotero","title":"Happiness, Benevolence, and Trust During COVID-19 and Beyond","URL":"https://worldhappiness.report/","author":[{"family":"Helliwell","given":"John F"},{"family":"Wang","given":"Shun"},{"family":"Huang","given":"Haifang"},{"family":"Norton","given":"Max"}],"issued":{"date-parts":[["2022"]]}}}],"schema":"https://github.com/citation-style-language/schema/raw/master/csl-citation.json"} </w:instrText>
      </w:r>
      <w:r w:rsidR="009624E8">
        <w:fldChar w:fldCharType="separate"/>
      </w:r>
      <w:r w:rsidR="009624E8" w:rsidRPr="00355F1B">
        <w:t>(Helliwell et al., 2022)</w:t>
      </w:r>
      <w:r w:rsidR="009624E8">
        <w:fldChar w:fldCharType="end"/>
      </w:r>
      <w:r w:rsidR="009624E8">
        <w:t xml:space="preserve"> and adjusting for different types of employment based on data from </w:t>
      </w:r>
      <w:r w:rsidR="009624E8" w:rsidRPr="00A222CE">
        <w:t>Western European countries</w:t>
      </w:r>
      <w:r w:rsidR="009624E8">
        <w:t xml:space="preserve"> </w:t>
      </w:r>
      <w:r w:rsidR="009624E8">
        <w:fldChar w:fldCharType="begin"/>
      </w:r>
      <w:r w:rsidR="009624E8">
        <w:instrText xml:space="preserve"> ADDIN ZOTERO_ITEM CSL_CITATION {"citationID":"a6gRTDua","properties":{"formattedCitation":"(De Neve and Ward, 2017)","plainCitation":"(De Neve and Ward, 2017)","noteIndex":0},"citationItems":[{"id":404,"uris":["http://zotero.org/users/8766396/items/PIMQHFKI"],"itemData":{"id":404,"type":"chapter","container-title":"World Happiness Report 2017","language":"en","source":"Zotero","title":"Happiness at Work","URL":"https://worldhappiness.report/","author":[{"family":"De Neve","given":"Jan-Emmanuel"},{"family":"Ward","given":"George"}],"issued":{"date-parts":[["2017"]]}}}],"schema":"https://github.com/citation-style-language/schema/raw/master/csl-citation.json"} </w:instrText>
      </w:r>
      <w:r w:rsidR="009624E8">
        <w:fldChar w:fldCharType="separate"/>
      </w:r>
      <w:r w:rsidR="009624E8" w:rsidRPr="00355F1B">
        <w:t>(De Neve and Ward, 2017)</w:t>
      </w:r>
      <w:r w:rsidR="009624E8">
        <w:fldChar w:fldCharType="end"/>
      </w:r>
      <w:r w:rsidR="009624E8" w:rsidRPr="00A222CE">
        <w:t xml:space="preserve">, </w:t>
      </w:r>
      <w:r w:rsidR="009624E8">
        <w:t>the relative change in individual wellbeing</w:t>
      </w:r>
      <w:r w:rsidR="00AC5072">
        <w:t xml:space="preserve"> </w:t>
      </w:r>
      <m:oMath>
        <m:sSub>
          <m:sSubPr>
            <m:ctrlPr>
              <w:rPr>
                <w:rFonts w:ascii="Cambria Math" w:hAnsi="Cambria Math"/>
                <w:i/>
                <w:lang w:val="sv-SE"/>
              </w:rPr>
            </m:ctrlPr>
          </m:sSubPr>
          <m:e>
            <m:r>
              <w:rPr>
                <w:rFonts w:ascii="Cambria Math" w:hAnsi="Cambria Math"/>
              </w:rPr>
              <m:t>Δ</m:t>
            </m:r>
            <m:r>
              <w:rPr>
                <w:rFonts w:ascii="Cambria Math" w:hAnsi="Cambria Math"/>
                <w:lang w:val="sv-SE"/>
              </w:rPr>
              <m:t>WB</m:t>
            </m:r>
          </m:e>
          <m:sub>
            <m:r>
              <w:rPr>
                <w:rFonts w:ascii="Cambria Math" w:hAnsi="Cambria Math"/>
                <w:lang w:val="sv-SE"/>
              </w:rPr>
              <m:t>individual</m:t>
            </m:r>
          </m:sub>
        </m:sSub>
      </m:oMath>
      <w:r w:rsidR="009624E8">
        <w:t xml:space="preserve"> (measured </w:t>
      </w:r>
      <w:r w:rsidR="00AC5072">
        <w:t>through the</w:t>
      </w:r>
      <w:r w:rsidR="009624E8">
        <w:t xml:space="preserve"> </w:t>
      </w:r>
      <w:proofErr w:type="spellStart"/>
      <w:r w:rsidR="00AC5072">
        <w:t>Cantril</w:t>
      </w:r>
      <w:proofErr w:type="spellEnd"/>
      <w:r w:rsidR="00AC5072">
        <w:t xml:space="preserve"> ladder and hereby referred to as </w:t>
      </w:r>
      <w:r w:rsidR="009624E8">
        <w:t xml:space="preserve">happiness points </w:t>
      </w:r>
      <w:r w:rsidR="009624E8" w:rsidRPr="0058492A">
        <w:rPr>
          <w:i/>
          <w:iCs/>
        </w:rPr>
        <w:t>HP</w:t>
      </w:r>
      <w:r w:rsidR="009624E8">
        <w:t>) which is directly related to income and employment can be represented through the following equation</w:t>
      </w:r>
      <w:r w:rsidR="009624E8" w:rsidRPr="003E0D2E">
        <w:t>:</w:t>
      </w:r>
    </w:p>
    <w:p w14:paraId="0A5E1FA5" w14:textId="76FCC571" w:rsidR="009624E8" w:rsidRPr="003E0D2E" w:rsidRDefault="00EC17C6" w:rsidP="009624E8">
      <w:pPr>
        <w:spacing w:after="240" w:line="480" w:lineRule="auto"/>
        <w:jc w:val="both"/>
      </w:pPr>
      <m:oMath>
        <m:sSub>
          <m:sSubPr>
            <m:ctrlPr>
              <w:rPr>
                <w:rFonts w:ascii="Cambria Math" w:hAnsi="Cambria Math"/>
                <w:i/>
                <w:lang w:val="sv-SE"/>
              </w:rPr>
            </m:ctrlPr>
          </m:sSubPr>
          <m:e>
            <m:r>
              <w:rPr>
                <w:rFonts w:ascii="Cambria Math" w:hAnsi="Cambria Math"/>
              </w:rPr>
              <m:t>Δ</m:t>
            </m:r>
            <m:r>
              <w:rPr>
                <w:rFonts w:ascii="Cambria Math" w:hAnsi="Cambria Math"/>
                <w:lang w:val="sv-SE"/>
              </w:rPr>
              <m:t>WB</m:t>
            </m:r>
          </m:e>
          <m:sub>
            <m:r>
              <w:rPr>
                <w:rFonts w:ascii="Cambria Math" w:hAnsi="Cambria Math"/>
                <w:lang w:val="sv-SE"/>
              </w:rPr>
              <m:t>individual</m:t>
            </m:r>
          </m:sub>
        </m:sSub>
        <m:r>
          <w:rPr>
            <w:rFonts w:ascii="Cambria Math" w:hAnsi="Cambria Math"/>
          </w:rPr>
          <m:t xml:space="preserve"> (</m:t>
        </m:r>
        <m:f>
          <m:fPr>
            <m:ctrlPr>
              <w:rPr>
                <w:rFonts w:ascii="Cambria Math" w:hAnsi="Cambria Math"/>
                <w:i/>
              </w:rPr>
            </m:ctrlPr>
          </m:fPr>
          <m:num>
            <m:r>
              <w:rPr>
                <w:rFonts w:ascii="Cambria Math" w:hAnsi="Cambria Math"/>
              </w:rPr>
              <m:t>HP</m:t>
            </m:r>
          </m:num>
          <m:den>
            <m:r>
              <w:rPr>
                <w:rFonts w:ascii="Cambria Math" w:hAnsi="Cambria Math"/>
              </w:rPr>
              <m:t>worker</m:t>
            </m:r>
          </m:den>
        </m:f>
        <m:r>
          <w:rPr>
            <w:rFonts w:ascii="Cambria Math" w:hAnsi="Cambria Math"/>
          </w:rPr>
          <m:t>) = 0.125*</m:t>
        </m:r>
        <m:r>
          <w:rPr>
            <w:rFonts w:ascii="Cambria Math" w:hAnsi="Cambria Math"/>
            <w:lang w:val="sv-SE"/>
          </w:rPr>
          <m:t>log</m:t>
        </m:r>
        <m:d>
          <m:dPr>
            <m:ctrlPr>
              <w:rPr>
                <w:rFonts w:ascii="Cambria Math" w:hAnsi="Cambria Math"/>
                <w:i/>
                <w:lang w:val="sv-SE"/>
              </w:rPr>
            </m:ctrlPr>
          </m:dPr>
          <m:e>
            <m:r>
              <w:rPr>
                <w:rFonts w:ascii="Cambria Math" w:hAnsi="Cambria Math"/>
                <w:lang w:val="sv-SE"/>
              </w:rPr>
              <m:t>i</m:t>
            </m:r>
          </m:e>
        </m:d>
        <m:r>
          <w:rPr>
            <w:rFonts w:ascii="Cambria Math" w:hAnsi="Cambria Math"/>
          </w:rPr>
          <m:t>+ 0.478*</m:t>
        </m:r>
        <m:r>
          <w:rPr>
            <w:rFonts w:ascii="Cambria Math" w:hAnsi="Cambria Math"/>
            <w:lang w:val="sv-SE"/>
          </w:rPr>
          <m:t>e</m:t>
        </m:r>
        <m:r>
          <w:rPr>
            <w:rFonts w:ascii="Cambria Math" w:hAnsi="Cambria Math"/>
          </w:rPr>
          <m:t xml:space="preserve"> + 0.497*</m:t>
        </m:r>
        <m:r>
          <w:rPr>
            <w:rFonts w:ascii="Cambria Math" w:hAnsi="Cambria Math"/>
            <w:lang w:val="sv-SE"/>
          </w:rPr>
          <m:t>s</m:t>
        </m:r>
        <m:r>
          <w:rPr>
            <w:rFonts w:ascii="Cambria Math" w:hAnsi="Cambria Math"/>
          </w:rPr>
          <m:t xml:space="preserve"> + 0.544*</m:t>
        </m:r>
        <m:r>
          <w:rPr>
            <w:rFonts w:ascii="Cambria Math" w:hAnsi="Cambria Math"/>
            <w:lang w:val="sv-SE"/>
          </w:rPr>
          <m:t>n</m:t>
        </m:r>
        <m:r>
          <w:rPr>
            <w:rFonts w:ascii="Cambria Math" w:hAnsi="Cambria Math"/>
          </w:rPr>
          <m:t xml:space="preserve"> +0.304*</m:t>
        </m:r>
        <m:r>
          <w:rPr>
            <w:rFonts w:ascii="Cambria Math" w:hAnsi="Cambria Math"/>
            <w:lang w:val="sv-SE"/>
          </w:rPr>
          <m:t>m</m:t>
        </m:r>
        <m:r>
          <w:rPr>
            <w:rFonts w:ascii="Cambria Math" w:hAnsi="Cambria Math"/>
          </w:rPr>
          <m:t xml:space="preserve"> </m:t>
        </m:r>
      </m:oMath>
      <w:r w:rsidR="009624E8" w:rsidRPr="00D9599D">
        <w:rPr>
          <w:i/>
        </w:rPr>
        <w:t>(6)</w:t>
      </w:r>
    </w:p>
    <w:p w14:paraId="419C8D24" w14:textId="2E56C179" w:rsidR="00DF7A81" w:rsidRPr="0070039D" w:rsidRDefault="009624E8" w:rsidP="00890D06">
      <w:pPr>
        <w:spacing w:after="240" w:line="480" w:lineRule="auto"/>
        <w:jc w:val="both"/>
      </w:pPr>
      <w:r w:rsidRPr="003E0D2E">
        <w:t xml:space="preserve">Where </w:t>
      </w:r>
      <w:proofErr w:type="spellStart"/>
      <w:r w:rsidRPr="003E0D2E">
        <w:rPr>
          <w:i/>
        </w:rPr>
        <w:t>i</w:t>
      </w:r>
      <w:proofErr w:type="spellEnd"/>
      <w:r w:rsidRPr="003E0D2E">
        <w:t xml:space="preserve"> is the household income, </w:t>
      </w:r>
      <w:r w:rsidRPr="003E0D2E">
        <w:rPr>
          <w:i/>
        </w:rPr>
        <w:t>e</w:t>
      </w:r>
      <w:r w:rsidRPr="003E0D2E">
        <w:t xml:space="preserve"> is full-time employed, </w:t>
      </w:r>
      <w:r w:rsidRPr="003E0D2E">
        <w:rPr>
          <w:i/>
        </w:rPr>
        <w:t>s</w:t>
      </w:r>
      <w:r w:rsidRPr="003E0D2E">
        <w:t xml:space="preserve"> is full-time self-employed, </w:t>
      </w:r>
      <w:r w:rsidRPr="003E0D2E">
        <w:rPr>
          <w:i/>
        </w:rPr>
        <w:t>n</w:t>
      </w:r>
      <w:r w:rsidRPr="003E0D2E">
        <w:t xml:space="preserve"> is part-time employed and not seeking more hours, </w:t>
      </w:r>
      <w:r w:rsidRPr="003E0D2E">
        <w:rPr>
          <w:i/>
        </w:rPr>
        <w:t>m</w:t>
      </w:r>
      <w:r w:rsidRPr="003E0D2E">
        <w:t xml:space="preserve"> is part-time employed and seeking more hours, and the coefficients represent the average increase or decrease in happiness</w:t>
      </w:r>
      <w:r w:rsidR="00AC5072">
        <w:t xml:space="preserve"> points</w:t>
      </w:r>
      <w:r w:rsidRPr="003E0D2E">
        <w:t xml:space="preserve"> </w:t>
      </w:r>
      <w:r w:rsidR="0019364A">
        <w:t>related to</w:t>
      </w:r>
      <w:r w:rsidRPr="003E0D2E">
        <w:t xml:space="preserve"> those conditions. </w:t>
      </w:r>
      <w:r w:rsidR="002911FA">
        <w:t>In this equation</w:t>
      </w:r>
      <w:r w:rsidR="00AC5072">
        <w:t>,</w:t>
      </w:r>
      <w:r w:rsidR="002911FA">
        <w:t xml:space="preserve"> t</w:t>
      </w:r>
      <w:r w:rsidR="0019364A">
        <w:t xml:space="preserve">he income variable is numerical while the employment variables are </w:t>
      </w:r>
      <w:proofErr w:type="spellStart"/>
      <w:r w:rsidR="002911FA">
        <w:t>b</w:t>
      </w:r>
      <w:r w:rsidR="0019364A">
        <w:t>oolean</w:t>
      </w:r>
      <w:proofErr w:type="spellEnd"/>
      <w:r w:rsidR="0019364A">
        <w:t xml:space="preserve"> (</w:t>
      </w:r>
      <w:proofErr w:type="gramStart"/>
      <w:r w:rsidR="0019364A">
        <w:t>i.e.</w:t>
      </w:r>
      <w:proofErr w:type="gramEnd"/>
      <w:r w:rsidR="0019364A">
        <w:t xml:space="preserve"> 0 for not applicable and 1 for applicable).</w:t>
      </w:r>
      <w:r w:rsidRPr="003E0D2E">
        <w:t xml:space="preserve"> </w:t>
      </w:r>
      <w:r w:rsidR="00F965A1" w:rsidRPr="0070039D">
        <w:t xml:space="preserve">To calculate the overall increase in wellbeing </w:t>
      </w:r>
      <w:r w:rsidR="0070039D">
        <w:t xml:space="preserve">per production unit </w:t>
      </w:r>
      <w:r w:rsidR="00F965A1" w:rsidRPr="0070039D">
        <w:t xml:space="preserve">for a production pathway, the following equation is applied: </w:t>
      </w:r>
    </w:p>
    <w:p w14:paraId="419C8D25" w14:textId="0831BD70" w:rsidR="00DF7A81" w:rsidRPr="00132696" w:rsidRDefault="00EC17C6" w:rsidP="00890D06">
      <w:pPr>
        <w:spacing w:after="240" w:line="480" w:lineRule="auto"/>
        <w:jc w:val="both"/>
        <w:rPr>
          <w:i/>
        </w:rPr>
      </w:pPr>
      <m:oMath>
        <m:sSub>
          <m:sSubPr>
            <m:ctrlPr>
              <w:rPr>
                <w:rFonts w:ascii="Cambria Math" w:hAnsi="Cambria Math"/>
                <w:i/>
              </w:rPr>
            </m:ctrlPr>
          </m:sSubPr>
          <m:e>
            <m:r>
              <w:rPr>
                <w:rFonts w:ascii="Cambria Math" w:hAnsi="Cambria Math"/>
              </w:rPr>
              <m:t>WB</m:t>
            </m:r>
          </m:e>
          <m:sub>
            <m:r>
              <w:rPr>
                <w:rFonts w:ascii="Cambria Math" w:hAnsi="Cambria Math"/>
              </w:rPr>
              <m:t>total</m:t>
            </m:r>
          </m:sub>
        </m:sSub>
        <m:r>
          <w:rPr>
            <w:rFonts w:ascii="Cambria Math" w:hAnsi="Cambria Math"/>
          </w:rPr>
          <m:t xml:space="preserve"> (</m:t>
        </m:r>
        <m:f>
          <m:fPr>
            <m:ctrlPr>
              <w:rPr>
                <w:rFonts w:ascii="Cambria Math" w:hAnsi="Cambria Math"/>
                <w:i/>
              </w:rPr>
            </m:ctrlPr>
          </m:fPr>
          <m:num>
            <m:r>
              <w:rPr>
                <w:rFonts w:ascii="Cambria Math" w:hAnsi="Cambria Math"/>
              </w:rPr>
              <m:t>HP</m:t>
            </m:r>
          </m:num>
          <m:den>
            <m:r>
              <w:rPr>
                <w:rFonts w:ascii="Cambria Math" w:hAnsi="Cambria Math"/>
              </w:rPr>
              <m:t>kg</m:t>
            </m:r>
          </m:den>
        </m:f>
        <m:r>
          <w:rPr>
            <w:rFonts w:ascii="Cambria Math" w:hAnsi="Cambria Math"/>
          </w:rPr>
          <m:t xml:space="preserve">) = </m:t>
        </m:r>
        <m:r>
          <w:rPr>
            <w:rFonts w:ascii="Cambria Math" w:hAnsi="Cambria Math"/>
          </w:rPr>
          <m:t>Σ</m:t>
        </m:r>
        <m:r>
          <w:rPr>
            <w:rFonts w:ascii="Cambria Math" w:hAnsi="Cambria Math"/>
          </w:rPr>
          <m:t>(</m:t>
        </m:r>
        <m:r>
          <w:rPr>
            <w:rFonts w:ascii="Cambria Math" w:hAnsi="Cambria Math"/>
          </w:rPr>
          <m:t>p</m:t>
        </m:r>
        <m:r>
          <w:rPr>
            <w:rFonts w:ascii="Cambria Math" w:hAnsi="Cambria Math"/>
          </w:rPr>
          <m:t>*</m:t>
        </m:r>
        <m:r>
          <w:rPr>
            <w:rFonts w:ascii="Cambria Math" w:hAnsi="Cambria Math"/>
          </w:rPr>
          <m:t>Δ</m:t>
        </m:r>
        <m:sSub>
          <m:sSubPr>
            <m:ctrlPr>
              <w:rPr>
                <w:rFonts w:ascii="Cambria Math" w:hAnsi="Cambria Math"/>
                <w:i/>
              </w:rPr>
            </m:ctrlPr>
          </m:sSubPr>
          <m:e>
            <m:r>
              <w:rPr>
                <w:rFonts w:ascii="Cambria Math" w:hAnsi="Cambria Math"/>
              </w:rPr>
              <m:t>WB</m:t>
            </m:r>
          </m:e>
          <m:sub>
            <m:r>
              <w:rPr>
                <w:rFonts w:ascii="Cambria Math" w:hAnsi="Cambria Math"/>
              </w:rPr>
              <m:t>individual</m:t>
            </m:r>
          </m:sub>
        </m:sSub>
        <m:r>
          <w:rPr>
            <w:rFonts w:ascii="Cambria Math" w:hAnsi="Cambria Math"/>
          </w:rPr>
          <m:t>)</m:t>
        </m:r>
      </m:oMath>
      <w:r w:rsidR="00F965A1" w:rsidRPr="00132696">
        <w:rPr>
          <w:i/>
        </w:rPr>
        <w:tab/>
      </w:r>
      <w:r w:rsidR="00F965A1" w:rsidRPr="00132696">
        <w:rPr>
          <w:i/>
        </w:rPr>
        <w:tab/>
      </w:r>
      <w:r w:rsidR="00F965A1" w:rsidRPr="00132696">
        <w:rPr>
          <w:i/>
        </w:rPr>
        <w:tab/>
      </w:r>
      <w:r w:rsidR="00F965A1" w:rsidRPr="00132696">
        <w:rPr>
          <w:i/>
        </w:rPr>
        <w:tab/>
      </w:r>
      <w:r w:rsidR="00F965A1" w:rsidRPr="00132696">
        <w:rPr>
          <w:i/>
        </w:rPr>
        <w:tab/>
      </w:r>
      <w:r w:rsidR="00F965A1" w:rsidRPr="00132696">
        <w:rPr>
          <w:i/>
        </w:rPr>
        <w:tab/>
      </w:r>
      <w:r w:rsidR="00F965A1" w:rsidRPr="00132696">
        <w:rPr>
          <w:i/>
        </w:rPr>
        <w:tab/>
      </w:r>
      <w:r w:rsidR="00F965A1" w:rsidRPr="00132696">
        <w:rPr>
          <w:i/>
        </w:rPr>
        <w:tab/>
        <w:t>(</w:t>
      </w:r>
      <w:r w:rsidR="00834A03" w:rsidRPr="00132696">
        <w:rPr>
          <w:i/>
        </w:rPr>
        <w:t>7</w:t>
      </w:r>
      <w:r w:rsidR="00F965A1" w:rsidRPr="00132696">
        <w:rPr>
          <w:i/>
        </w:rPr>
        <w:t>)</w:t>
      </w:r>
    </w:p>
    <w:p w14:paraId="0D0D9EC5" w14:textId="0FF9FC52" w:rsidR="00D24168" w:rsidRDefault="00F965A1" w:rsidP="00890D06">
      <w:pPr>
        <w:spacing w:after="240" w:line="480" w:lineRule="auto"/>
        <w:jc w:val="both"/>
      </w:pPr>
      <w:r w:rsidRPr="00D24168">
        <w:t>Where</w:t>
      </w:r>
      <w:r w:rsidR="00FF435F" w:rsidRPr="00D24168">
        <w:t xml:space="preserve"> </w:t>
      </w:r>
      <m:oMath>
        <m:sSub>
          <m:sSubPr>
            <m:ctrlPr>
              <w:rPr>
                <w:rFonts w:ascii="Cambria Math" w:hAnsi="Cambria Math"/>
                <w:i/>
              </w:rPr>
            </m:ctrlPr>
          </m:sSubPr>
          <m:e>
            <m:r>
              <w:rPr>
                <w:rFonts w:ascii="Cambria Math" w:hAnsi="Cambria Math"/>
              </w:rPr>
              <m:t>WB</m:t>
            </m:r>
          </m:e>
          <m:sub>
            <m:r>
              <w:rPr>
                <w:rFonts w:ascii="Cambria Math" w:hAnsi="Cambria Math"/>
              </w:rPr>
              <m:t>total</m:t>
            </m:r>
          </m:sub>
        </m:sSub>
      </m:oMath>
      <w:r w:rsidRPr="00D24168">
        <w:t xml:space="preserve"> </w:t>
      </w:r>
      <w:r w:rsidR="00FF435F" w:rsidRPr="00D24168">
        <w:t xml:space="preserve">is the total increase in wellbeing, </w:t>
      </w:r>
      <w:r w:rsidRPr="00D24168">
        <w:rPr>
          <w:i/>
        </w:rPr>
        <w:t>p</w:t>
      </w:r>
      <w:r w:rsidRPr="00D24168">
        <w:t xml:space="preserve"> is the number of workers </w:t>
      </w:r>
      <w:r w:rsidR="00132696">
        <w:t xml:space="preserve">per kg FW </w:t>
      </w:r>
      <w:proofErr w:type="gramStart"/>
      <w:r w:rsidRPr="00D24168">
        <w:t>in a given</w:t>
      </w:r>
      <w:proofErr w:type="gramEnd"/>
      <w:r w:rsidRPr="00D24168">
        <w:t xml:space="preserve"> category</w:t>
      </w:r>
      <w:r w:rsidR="00132696">
        <w:t xml:space="preserve"> </w:t>
      </w:r>
      <w:r w:rsidR="008239CD" w:rsidRPr="00B7712B">
        <w:t xml:space="preserve">and </w:t>
      </w:r>
      <m:oMath>
        <m:r>
          <w:rPr>
            <w:rFonts w:ascii="Cambria Math" w:hAnsi="Cambria Math"/>
          </w:rPr>
          <m:t>Δ</m:t>
        </m:r>
        <m:sSub>
          <m:sSubPr>
            <m:ctrlPr>
              <w:rPr>
                <w:rFonts w:ascii="Cambria Math" w:hAnsi="Cambria Math"/>
                <w:i/>
              </w:rPr>
            </m:ctrlPr>
          </m:sSubPr>
          <m:e>
            <m:r>
              <w:rPr>
                <w:rFonts w:ascii="Cambria Math" w:hAnsi="Cambria Math"/>
              </w:rPr>
              <m:t>WB</m:t>
            </m:r>
          </m:e>
          <m:sub>
            <m:r>
              <w:rPr>
                <w:rFonts w:ascii="Cambria Math" w:hAnsi="Cambria Math"/>
              </w:rPr>
              <m:t>individual</m:t>
            </m:r>
          </m:sub>
        </m:sSub>
      </m:oMath>
      <w:r w:rsidR="008239CD" w:rsidRPr="00D24168">
        <w:t xml:space="preserve"> is the change in </w:t>
      </w:r>
      <w:r w:rsidR="0014244A" w:rsidRPr="00D24168">
        <w:t xml:space="preserve">individual </w:t>
      </w:r>
      <w:r w:rsidR="008239CD" w:rsidRPr="00D24168">
        <w:t xml:space="preserve">happiness points as calculated in equation </w:t>
      </w:r>
      <w:r w:rsidR="008239CD" w:rsidRPr="00132696">
        <w:rPr>
          <w:i/>
          <w:iCs/>
        </w:rPr>
        <w:t>(</w:t>
      </w:r>
      <w:r w:rsidR="00132696" w:rsidRPr="00D9599D">
        <w:rPr>
          <w:i/>
          <w:iCs/>
        </w:rPr>
        <w:t>6</w:t>
      </w:r>
      <w:r w:rsidR="008239CD" w:rsidRPr="00132696">
        <w:rPr>
          <w:i/>
          <w:iCs/>
        </w:rPr>
        <w:t>)</w:t>
      </w:r>
      <w:r w:rsidRPr="00132696">
        <w:t>.</w:t>
      </w:r>
      <w:r w:rsidR="007E2EBA" w:rsidRPr="00132696">
        <w:t xml:space="preserve"> </w:t>
      </w:r>
      <w:r w:rsidR="00132696" w:rsidRPr="00D9599D">
        <w:t>T</w:t>
      </w:r>
      <w:r w:rsidR="007E2EBA" w:rsidRPr="00132696">
        <w:t xml:space="preserve">he income and employment status </w:t>
      </w:r>
      <w:r w:rsidR="00A4661D" w:rsidRPr="00132696">
        <w:t>of</w:t>
      </w:r>
      <w:r w:rsidR="007E2EBA" w:rsidRPr="00132696">
        <w:t xml:space="preserve"> each worker is determined through the </w:t>
      </w:r>
      <w:r w:rsidR="00132696" w:rsidRPr="00D9599D">
        <w:t xml:space="preserve">salary and </w:t>
      </w:r>
      <w:r w:rsidR="007E2EBA" w:rsidRPr="00132696">
        <w:t xml:space="preserve">labour hours required per year for each job type. </w:t>
      </w:r>
      <w:r w:rsidR="002B2888">
        <w:t>A</w:t>
      </w:r>
      <w:r w:rsidR="002B2888" w:rsidRPr="00A90197" w:rsidDel="00834A03">
        <w:t xml:space="preserve">n important factor in the seaweed industry is that due to the seasonal nature of supply, most jobs are not full-time </w:t>
      </w:r>
      <w:r w:rsidR="002B2888" w:rsidRPr="00A90197" w:rsidDel="00834A03">
        <w:fldChar w:fldCharType="begin"/>
      </w:r>
      <w:r w:rsidR="002B2888" w:rsidRPr="00A90197">
        <w:instrText xml:space="preserve"> ADDIN ZOTERO_ITEM CSL_CITATION {"citationID":"eWZorNj0","properties":{"formattedCitation":"(netalgae.eu, 2012)","plainCitation":"(netalgae.eu, 2012)","noteIndex":0},"citationItems":[{"id":143,"uris":["http://zotero.org/users/8766396/items/YX76E5K9"],"itemData":{"id":143,"type":"report","publisher":"netalgae.eu","title":"Seaweed industry in Europe","URL":"https://www.seaweed.ie/irish_seaweed_contacts/doc/Filieres_12p_UK.pdf","author":[{"family":"netalgae.eu","given":""}],"issued":{"date-parts":[["2012"]]}}}],"schema":"https://github.com/citation-style-language/schema/raw/master/csl-citation.json"} </w:instrText>
      </w:r>
      <w:r w:rsidR="002B2888" w:rsidRPr="00A90197" w:rsidDel="00834A03">
        <w:fldChar w:fldCharType="separate"/>
      </w:r>
      <w:r w:rsidR="002B2888" w:rsidRPr="00A90197">
        <w:t>(netalgae.eu, 2012)</w:t>
      </w:r>
      <w:r w:rsidR="002B2888" w:rsidRPr="00A90197" w:rsidDel="00834A03">
        <w:fldChar w:fldCharType="end"/>
      </w:r>
      <w:r w:rsidR="002B2888" w:rsidRPr="00A90197" w:rsidDel="00834A03">
        <w:t xml:space="preserve">. </w:t>
      </w:r>
      <w:r w:rsidR="00132696">
        <w:lastRenderedPageBreak/>
        <w:t xml:space="preserve">However, </w:t>
      </w:r>
      <w:r w:rsidR="00132696" w:rsidRPr="00D9599D">
        <w:t>i</w:t>
      </w:r>
      <w:r w:rsidR="00132696" w:rsidRPr="00132696">
        <w:t xml:space="preserve">t </w:t>
      </w:r>
      <w:r w:rsidR="007E2EBA" w:rsidRPr="00132696">
        <w:t xml:space="preserve">is important to consider that upscaling within the seaweed industry could result in several changes to the current working conditions. First, multiple smaller-sized sites could be owned and managed by a single person; thus, for this study it is assumed that one owner can own and manage 10 small-size farms (C1), </w:t>
      </w:r>
      <w:r w:rsidR="00B84E02">
        <w:t>2.5</w:t>
      </w:r>
      <w:r w:rsidR="00B84E02" w:rsidRPr="00001B85">
        <w:t xml:space="preserve"> </w:t>
      </w:r>
      <w:r w:rsidR="007E2EBA" w:rsidRPr="00001B85">
        <w:t>medium-size farms</w:t>
      </w:r>
      <w:r w:rsidR="007E2EBA" w:rsidRPr="00132696">
        <w:t xml:space="preserve"> (C2), or 1 large-size farm (C3). Furthermore, while currently workers on cultivation sites are typically only needed </w:t>
      </w:r>
      <w:r w:rsidR="00A90037" w:rsidRPr="00132696">
        <w:t>a few</w:t>
      </w:r>
      <w:r w:rsidR="007E2EBA" w:rsidRPr="00132696">
        <w:t xml:space="preserve"> days</w:t>
      </w:r>
      <w:r w:rsidR="00A4661D" w:rsidRPr="00132696">
        <w:t xml:space="preserve"> per </w:t>
      </w:r>
      <w:r w:rsidR="007E2EBA" w:rsidRPr="00132696">
        <w:t xml:space="preserve">year (primary data), if there were significantly more seaweed farms in </w:t>
      </w:r>
      <w:r w:rsidR="00CF087B" w:rsidRPr="00132696">
        <w:t>Ireland</w:t>
      </w:r>
      <w:r w:rsidR="007E2EBA" w:rsidRPr="00132696">
        <w:t xml:space="preserve">, cultivation workers could be employed at </w:t>
      </w:r>
      <w:r w:rsidR="00CF087B" w:rsidRPr="00132696">
        <w:t>multiple</w:t>
      </w:r>
      <w:r w:rsidR="007E2EBA" w:rsidRPr="00132696">
        <w:t xml:space="preserve"> farms each year. This would significantly decrease the number of separate workers needed per </w:t>
      </w:r>
      <w:r w:rsidR="00CF087B" w:rsidRPr="00132696">
        <w:t xml:space="preserve">tonne </w:t>
      </w:r>
      <w:r w:rsidR="00A4661D" w:rsidRPr="00132696">
        <w:t xml:space="preserve">of </w:t>
      </w:r>
      <w:r w:rsidR="004A30DD" w:rsidRPr="00132696">
        <w:t>seaweed produced</w:t>
      </w:r>
      <w:r w:rsidR="007E2EBA" w:rsidRPr="00132696">
        <w:t xml:space="preserve"> as well as increase the individual working hours and thus income per </w:t>
      </w:r>
      <w:r w:rsidR="004A30DD" w:rsidRPr="00132696">
        <w:t xml:space="preserve">worker per </w:t>
      </w:r>
      <w:r w:rsidR="007E2EBA" w:rsidRPr="00132696">
        <w:t xml:space="preserve">year. For this study it is assumed that harvesters would be able to work for the entire harvesting season (4 months), deployment </w:t>
      </w:r>
      <w:r w:rsidR="004C3CE4">
        <w:t xml:space="preserve">workers </w:t>
      </w:r>
      <w:r w:rsidR="007E2EBA" w:rsidRPr="00132696">
        <w:t>could be employed between October-November (2 months)</w:t>
      </w:r>
      <w:r w:rsidR="004C3CE4">
        <w:t>, and</w:t>
      </w:r>
      <w:r w:rsidR="007E2EBA" w:rsidRPr="00132696">
        <w:t xml:space="preserve"> assistant cultivation scientists </w:t>
      </w:r>
      <w:r w:rsidR="004C3CE4">
        <w:t>could work</w:t>
      </w:r>
      <w:r w:rsidR="007E2EBA" w:rsidRPr="00132696">
        <w:t xml:space="preserve"> for the entire deployment and growth seasons (6 months). The number of workers for each pathway is displayed in Table S</w:t>
      </w:r>
      <w:r w:rsidR="00A90037" w:rsidRPr="00132696">
        <w:t>9 (Supplementary material)</w:t>
      </w:r>
      <w:r w:rsidR="007E2EBA" w:rsidRPr="00132696">
        <w:t>, as well as their FTE salaries and employment status.</w:t>
      </w:r>
    </w:p>
    <w:p w14:paraId="4B497DC0" w14:textId="3C82ED21" w:rsidR="003916E3" w:rsidRDefault="003916E3" w:rsidP="00890D06">
      <w:pPr>
        <w:pStyle w:val="Heading2"/>
        <w:numPr>
          <w:ilvl w:val="1"/>
          <w:numId w:val="12"/>
        </w:numPr>
        <w:spacing w:before="0" w:after="240" w:line="480" w:lineRule="auto"/>
        <w:rPr>
          <w:b/>
          <w:bCs/>
          <w:sz w:val="22"/>
          <w:szCs w:val="22"/>
        </w:rPr>
      </w:pPr>
      <w:bookmarkStart w:id="36" w:name="_Toc130974725"/>
      <w:r>
        <w:rPr>
          <w:b/>
          <w:bCs/>
          <w:sz w:val="22"/>
          <w:szCs w:val="22"/>
        </w:rPr>
        <w:t xml:space="preserve">Determining the </w:t>
      </w:r>
      <w:r w:rsidR="000475C3">
        <w:rPr>
          <w:b/>
          <w:bCs/>
          <w:sz w:val="22"/>
          <w:szCs w:val="22"/>
        </w:rPr>
        <w:t xml:space="preserve">feasibility </w:t>
      </w:r>
      <w:r w:rsidR="006E2B10">
        <w:rPr>
          <w:b/>
          <w:bCs/>
          <w:sz w:val="22"/>
          <w:szCs w:val="22"/>
        </w:rPr>
        <w:t xml:space="preserve">of </w:t>
      </w:r>
      <w:r w:rsidR="008A3108">
        <w:rPr>
          <w:b/>
          <w:bCs/>
          <w:sz w:val="22"/>
          <w:szCs w:val="22"/>
        </w:rPr>
        <w:t xml:space="preserve">upscaling Irish seaweed </w:t>
      </w:r>
      <w:r w:rsidR="006E2B10">
        <w:rPr>
          <w:b/>
          <w:bCs/>
          <w:sz w:val="22"/>
          <w:szCs w:val="22"/>
        </w:rPr>
        <w:t xml:space="preserve">production </w:t>
      </w:r>
      <w:r>
        <w:rPr>
          <w:b/>
          <w:bCs/>
          <w:sz w:val="22"/>
          <w:szCs w:val="22"/>
        </w:rPr>
        <w:t xml:space="preserve">to meet European </w:t>
      </w:r>
      <w:proofErr w:type="gramStart"/>
      <w:r>
        <w:rPr>
          <w:b/>
          <w:bCs/>
          <w:sz w:val="22"/>
          <w:szCs w:val="22"/>
        </w:rPr>
        <w:t>targets</w:t>
      </w:r>
      <w:bookmarkEnd w:id="36"/>
      <w:proofErr w:type="gramEnd"/>
    </w:p>
    <w:p w14:paraId="7D7B632E" w14:textId="697F1DD4" w:rsidR="00C60B93" w:rsidRDefault="00F14FA6" w:rsidP="00890D06">
      <w:pPr>
        <w:spacing w:after="240" w:line="480" w:lineRule="auto"/>
        <w:jc w:val="both"/>
      </w:pPr>
      <w:r>
        <w:t xml:space="preserve">As previously mentioned, the European Union aims to produce 8 million tonnes </w:t>
      </w:r>
      <w:r w:rsidR="00B82356">
        <w:t xml:space="preserve">FW </w:t>
      </w:r>
      <w:r>
        <w:t xml:space="preserve">of seaweed by </w:t>
      </w:r>
      <w:r w:rsidR="00D16E48">
        <w:t>2030</w:t>
      </w:r>
      <w:r w:rsidR="00C9594C">
        <w:t xml:space="preserve">, corresponding to a 30-fold increase in current </w:t>
      </w:r>
      <w:r w:rsidR="00171E06">
        <w:t xml:space="preserve">European </w:t>
      </w:r>
      <w:r w:rsidR="00C9594C">
        <w:t>production levels</w:t>
      </w:r>
      <w:r>
        <w:t xml:space="preserve"> </w:t>
      </w:r>
      <w:r w:rsidR="000D6E34">
        <w:fldChar w:fldCharType="begin"/>
      </w:r>
      <w:r w:rsidR="003A4382">
        <w:instrText xml:space="preserve"> ADDIN ZOTERO_ITEM CSL_CITATION {"citationID":"02VxAhwZ","properties":{"formattedCitation":"(European Commission, 2022a)","plainCitation":"(European Commission, 2022a)","noteIndex":0},"citationItems":[{"id":719,"uris":["http://zotero.org/users/8766396/items/RUI2S5ZF"],"itemData":{"id":719,"type":"report","event-place":"Brussels","genre":"Communication from the Commission to the European Parliament, the Council, the European Economic and Social Committee and the Committee of the Regions","number":"COM(2022) 592 final","publisher-place":"Brussels","title":"Towards a Strong and Sustainable EU Algae Sector","URL":"https://oceans-and-fisheries.ec.europa.eu/system/files/2022-11/COM-2022-592_en.pdf","author":[{"literal":"European Commission"}],"issued":{"date-parts":[["2022"]]}}}],"schema":"https://github.com/citation-style-language/schema/raw/master/csl-citation.json"} </w:instrText>
      </w:r>
      <w:r w:rsidR="000D6E34">
        <w:fldChar w:fldCharType="separate"/>
      </w:r>
      <w:r w:rsidR="003A4382" w:rsidRPr="003A4382">
        <w:t>(European Commission, 2022a)</w:t>
      </w:r>
      <w:r w:rsidR="000D6E34">
        <w:fldChar w:fldCharType="end"/>
      </w:r>
      <w:r>
        <w:t xml:space="preserve">. </w:t>
      </w:r>
      <w:r w:rsidR="00217071">
        <w:t xml:space="preserve">To meet this </w:t>
      </w:r>
      <w:r w:rsidR="0053766E">
        <w:t>goal,</w:t>
      </w:r>
      <w:r w:rsidR="002447C0">
        <w:t xml:space="preserve"> </w:t>
      </w:r>
      <w:r w:rsidR="00BC293A">
        <w:t xml:space="preserve">it can be assumed that Ireland would </w:t>
      </w:r>
      <w:r w:rsidR="00171E06">
        <w:t xml:space="preserve">also </w:t>
      </w:r>
      <w:r w:rsidR="00BC293A">
        <w:t>need to</w:t>
      </w:r>
      <w:r w:rsidR="00230E82">
        <w:t xml:space="preserve"> increase its current production by 30-fold, corresponding to a</w:t>
      </w:r>
      <w:r w:rsidR="0053766E">
        <w:t>n annual production of 9</w:t>
      </w:r>
      <w:r w:rsidR="00D65EC9">
        <w:t>00,000 tonnes</w:t>
      </w:r>
      <w:r w:rsidR="00B82356">
        <w:t xml:space="preserve"> FW</w:t>
      </w:r>
      <w:r w:rsidR="0032493E">
        <w:t xml:space="preserve">. </w:t>
      </w:r>
      <w:r w:rsidR="004C3CE4">
        <w:t>T</w:t>
      </w:r>
      <w:r w:rsidR="00E57C25">
        <w:t xml:space="preserve">here are practical barriers </w:t>
      </w:r>
      <w:r w:rsidR="00123D9C">
        <w:t>to scale</w:t>
      </w:r>
      <w:r w:rsidR="003C7C26">
        <w:t xml:space="preserve">-up </w:t>
      </w:r>
      <w:r w:rsidR="00123D9C">
        <w:t>which need to be considered</w:t>
      </w:r>
      <w:r w:rsidR="00E57C25">
        <w:t xml:space="preserve">. </w:t>
      </w:r>
      <w:r w:rsidR="00DE0E5C">
        <w:t>In the case of wild harvesting, scale-up potential is limited by the natural resource available in Ireland</w:t>
      </w:r>
      <w:r w:rsidR="00B82356">
        <w:t xml:space="preserve"> (ecological limit)</w:t>
      </w:r>
      <w:r w:rsidR="00DE0E5C">
        <w:t>. In the case of cultivation, scale-up potential is limited by sea surface availability</w:t>
      </w:r>
      <w:r w:rsidR="00B82356">
        <w:t xml:space="preserve"> (spatial limit)</w:t>
      </w:r>
      <w:r w:rsidR="00DE0E5C">
        <w:t xml:space="preserve">. </w:t>
      </w:r>
      <w:r w:rsidR="00C60B93">
        <w:t xml:space="preserve">These limitations should first be quantified and will be discussed in the following sections. Then, </w:t>
      </w:r>
      <w:r w:rsidR="00CF301D">
        <w:t xml:space="preserve">considering </w:t>
      </w:r>
      <w:r w:rsidR="00470BB5">
        <w:t xml:space="preserve">the future target of 900,000 tonnes </w:t>
      </w:r>
      <w:r w:rsidR="00B82356">
        <w:t xml:space="preserve">FW </w:t>
      </w:r>
      <w:r w:rsidR="008B67DE">
        <w:t xml:space="preserve">of Irish </w:t>
      </w:r>
      <w:r w:rsidR="00470BB5">
        <w:t xml:space="preserve">seaweed production/year, </w:t>
      </w:r>
      <w:r w:rsidR="00CF301D">
        <w:lastRenderedPageBreak/>
        <w:t>feasible</w:t>
      </w:r>
      <w:r w:rsidR="00A36E79">
        <w:t xml:space="preserve"> scenarios for meeting this target </w:t>
      </w:r>
      <w:r w:rsidR="00CF301D">
        <w:t>are identified</w:t>
      </w:r>
      <w:r w:rsidR="005819E8">
        <w:t xml:space="preserve"> in terms of resource availability</w:t>
      </w:r>
      <w:r w:rsidR="00CF301D">
        <w:t>. Finally,</w:t>
      </w:r>
      <w:r w:rsidR="00B42ED7">
        <w:t xml:space="preserve"> the </w:t>
      </w:r>
      <w:r w:rsidR="00F87C87">
        <w:t xml:space="preserve">environmental, economic, and social </w:t>
      </w:r>
      <w:r w:rsidR="00B42ED7">
        <w:t>impacts of the</w:t>
      </w:r>
      <w:r w:rsidR="00F87C87">
        <w:t>se</w:t>
      </w:r>
      <w:r w:rsidR="00B42ED7">
        <w:t xml:space="preserve"> feasible scenarios </w:t>
      </w:r>
      <w:r w:rsidR="00CF301D">
        <w:t>are determined</w:t>
      </w:r>
      <w:r w:rsidR="00B42ED7">
        <w:t>.</w:t>
      </w:r>
    </w:p>
    <w:p w14:paraId="1F4F8DB6" w14:textId="5C0A0EDB" w:rsidR="00134793" w:rsidRPr="000C53B7" w:rsidRDefault="00134793" w:rsidP="00890D06">
      <w:pPr>
        <w:pStyle w:val="Heading2"/>
        <w:numPr>
          <w:ilvl w:val="2"/>
          <w:numId w:val="12"/>
        </w:numPr>
        <w:spacing w:before="0" w:after="240" w:line="480" w:lineRule="auto"/>
        <w:rPr>
          <w:b/>
          <w:bCs/>
          <w:sz w:val="22"/>
          <w:szCs w:val="22"/>
        </w:rPr>
      </w:pPr>
      <w:bookmarkStart w:id="37" w:name="_Toc130974726"/>
      <w:r w:rsidRPr="00A12379">
        <w:rPr>
          <w:b/>
          <w:bCs/>
          <w:sz w:val="22"/>
          <w:szCs w:val="22"/>
        </w:rPr>
        <w:t xml:space="preserve">Assessing the </w:t>
      </w:r>
      <w:r w:rsidR="00576909">
        <w:rPr>
          <w:b/>
          <w:bCs/>
          <w:sz w:val="22"/>
          <w:szCs w:val="22"/>
        </w:rPr>
        <w:t>ecological</w:t>
      </w:r>
      <w:r>
        <w:rPr>
          <w:b/>
          <w:bCs/>
          <w:sz w:val="22"/>
          <w:szCs w:val="22"/>
        </w:rPr>
        <w:t xml:space="preserve"> </w:t>
      </w:r>
      <w:r w:rsidRPr="00A12379">
        <w:rPr>
          <w:b/>
          <w:bCs/>
          <w:sz w:val="22"/>
          <w:szCs w:val="22"/>
        </w:rPr>
        <w:t xml:space="preserve">limits of Irish </w:t>
      </w:r>
      <w:r w:rsidR="00576909">
        <w:rPr>
          <w:b/>
          <w:bCs/>
          <w:sz w:val="22"/>
          <w:szCs w:val="22"/>
        </w:rPr>
        <w:t>wild harvesting</w:t>
      </w:r>
      <w:bookmarkEnd w:id="37"/>
    </w:p>
    <w:p w14:paraId="70130A80" w14:textId="7A721D97" w:rsidR="00134793" w:rsidRDefault="00134793" w:rsidP="00890D06">
      <w:pPr>
        <w:spacing w:after="240" w:line="480" w:lineRule="auto"/>
        <w:jc w:val="both"/>
        <w:rPr>
          <w:rFonts w:eastAsia="Times New Roman"/>
          <w:color w:val="000000"/>
          <w:lang w:val="en-IE"/>
        </w:rPr>
      </w:pPr>
      <w:bookmarkStart w:id="38" w:name="_Hlk130465446"/>
      <w:r>
        <w:rPr>
          <w:rFonts w:eastAsia="Times New Roman"/>
          <w:color w:val="000000"/>
          <w:lang w:val="en-IE"/>
        </w:rPr>
        <w:t xml:space="preserve">For wild harvesting, the theoretical limit for seaweed production is based on the natural resource availability and the allowable exploitation rate of the resource, where the exploitation rate refers to how much of the total seaweed stock can be harvested per year without collapsing the entire seaweed colony or causing other ecological degradation </w:t>
      </w:r>
      <w:r w:rsidR="00A90037">
        <w:rPr>
          <w:rFonts w:eastAsia="Times New Roman"/>
          <w:color w:val="000000"/>
          <w:lang w:val="en-IE"/>
        </w:rPr>
        <w:fldChar w:fldCharType="begin"/>
      </w:r>
      <w:r w:rsidR="003A4382">
        <w:rPr>
          <w:rFonts w:eastAsia="Times New Roman"/>
          <w:color w:val="000000"/>
          <w:lang w:val="en-IE"/>
        </w:rPr>
        <w:instrText xml:space="preserve"> ADDIN ZOTERO_ITEM CSL_CITATION {"citationID":"v6sQdzcK","properties":{"formattedCitation":"(Mac Monagail et al., 2017)","plainCitation":"(Mac Monagail et al., 2017)","noteIndex":0},"citationItems":[{"id":377,"uris":["http://zotero.org/users/8766396/items/SECXL86I"],"itemData":{"id":377,"type":"article-journal","abstract":"Macroalgae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 1469-4433","issue":"4","journalAbbreviation":"European Journal of Phycology","language":"en","page":"371-390","source":"DOI.org (Crossref)","title":"Sustainable harvesting of wild seaweed resources","URL":"https://www.tandfonline.com/doi/full/10.1080/09670262.2017.1365273","volume":"52","author":[{"family":"Mac Monagail","given":"Michéal"},{"family":"Cornish","given":"Lynn"},{"family":"Morrison","given":"Liam"},{"family":"Araújo","given":"Rita"},{"family":"Critchley","given":"Alan T."}],"accessed":{"date-parts":[["2023",1,26]]},"issued":{"date-parts":[["2017",10,2]]}}}],"schema":"https://github.com/citation-style-language/schema/raw/master/csl-citation.json"} </w:instrText>
      </w:r>
      <w:r w:rsidR="00A90037">
        <w:rPr>
          <w:rFonts w:eastAsia="Times New Roman"/>
          <w:color w:val="000000"/>
          <w:lang w:val="en-IE"/>
        </w:rPr>
        <w:fldChar w:fldCharType="separate"/>
      </w:r>
      <w:r w:rsidR="003A4382" w:rsidRPr="003A4382">
        <w:t>(Mac Monagail et al., 2017)</w:t>
      </w:r>
      <w:r w:rsidR="00A90037">
        <w:rPr>
          <w:rFonts w:eastAsia="Times New Roman"/>
          <w:color w:val="000000"/>
          <w:lang w:val="en-IE"/>
        </w:rPr>
        <w:fldChar w:fldCharType="end"/>
      </w:r>
      <w:r>
        <w:rPr>
          <w:rFonts w:eastAsia="Times New Roman"/>
          <w:color w:val="000000"/>
          <w:lang w:val="en-IE"/>
        </w:rPr>
        <w:t>. the following calculation is used:</w:t>
      </w:r>
    </w:p>
    <w:p w14:paraId="2586D68C" w14:textId="618B42EC" w:rsidR="00134793" w:rsidRDefault="00134793" w:rsidP="00890D06">
      <w:pPr>
        <w:spacing w:after="240" w:line="480" w:lineRule="auto"/>
        <w:jc w:val="both"/>
        <w:rPr>
          <w:rFonts w:eastAsia="Times New Roman"/>
          <w:color w:val="000000"/>
          <w:lang w:val="en-IE"/>
        </w:rPr>
      </w:pPr>
      <m:oMath>
        <m:r>
          <w:rPr>
            <w:rFonts w:ascii="Cambria Math" w:eastAsia="Times New Roman" w:hAnsi="Cambria Math"/>
            <w:color w:val="000000"/>
            <w:lang w:val="en-IE"/>
          </w:rPr>
          <m:t xml:space="preserve">B </m:t>
        </m:r>
        <m:d>
          <m:dPr>
            <m:ctrlPr>
              <w:rPr>
                <w:rFonts w:ascii="Cambria Math" w:eastAsia="Times New Roman" w:hAnsi="Cambria Math"/>
                <w:i/>
                <w:color w:val="000000"/>
                <w:lang w:val="en-IE"/>
              </w:rPr>
            </m:ctrlPr>
          </m:dPr>
          <m:e>
            <m:f>
              <m:fPr>
                <m:ctrlPr>
                  <w:rPr>
                    <w:rFonts w:ascii="Cambria Math" w:eastAsia="Times New Roman" w:hAnsi="Cambria Math"/>
                    <w:i/>
                    <w:color w:val="000000"/>
                    <w:lang w:val="en-IE"/>
                  </w:rPr>
                </m:ctrlPr>
              </m:fPr>
              <m:num>
                <m:r>
                  <w:rPr>
                    <w:rFonts w:ascii="Cambria Math" w:eastAsia="Times New Roman" w:hAnsi="Cambria Math"/>
                    <w:color w:val="000000"/>
                    <w:lang w:val="en-IE"/>
                  </w:rPr>
                  <m:t>tonnes FW</m:t>
                </m:r>
              </m:num>
              <m:den>
                <m:r>
                  <w:rPr>
                    <w:rFonts w:ascii="Cambria Math" w:eastAsia="Times New Roman" w:hAnsi="Cambria Math"/>
                    <w:color w:val="000000"/>
                    <w:lang w:val="en-IE"/>
                  </w:rPr>
                  <m:t>year</m:t>
                </m:r>
              </m:den>
            </m:f>
          </m:e>
        </m:d>
        <m:r>
          <w:rPr>
            <w:rFonts w:ascii="Cambria Math" w:eastAsia="Times New Roman" w:hAnsi="Cambria Math"/>
            <w:color w:val="000000"/>
            <w:lang w:val="en-IE"/>
          </w:rPr>
          <m:t xml:space="preserve">=A </m:t>
        </m:r>
        <m:d>
          <m:dPr>
            <m:ctrlPr>
              <w:rPr>
                <w:rFonts w:ascii="Cambria Math" w:eastAsia="Times New Roman" w:hAnsi="Cambria Math"/>
                <w:i/>
                <w:color w:val="000000"/>
                <w:lang w:val="en-IE"/>
              </w:rPr>
            </m:ctrlPr>
          </m:dPr>
          <m:e>
            <m:r>
              <w:rPr>
                <w:rFonts w:ascii="Cambria Math" w:eastAsia="Times New Roman" w:hAnsi="Cambria Math"/>
                <w:color w:val="000000"/>
                <w:lang w:val="en-IE"/>
              </w:rPr>
              <m:t>tonnes FW</m:t>
            </m:r>
          </m:e>
        </m:d>
        <m:r>
          <w:rPr>
            <w:rFonts w:ascii="Cambria Math" w:eastAsia="Times New Roman" w:hAnsi="Cambria Math"/>
            <w:color w:val="000000"/>
            <w:lang w:val="en-IE"/>
          </w:rPr>
          <m:t>* E (</m:t>
        </m:r>
        <m:f>
          <m:fPr>
            <m:ctrlPr>
              <w:rPr>
                <w:rFonts w:ascii="Cambria Math" w:eastAsia="Times New Roman" w:hAnsi="Cambria Math"/>
                <w:i/>
                <w:color w:val="000000"/>
                <w:lang w:val="en-IE"/>
              </w:rPr>
            </m:ctrlPr>
          </m:fPr>
          <m:num>
            <m:r>
              <w:rPr>
                <w:rFonts w:ascii="Cambria Math" w:eastAsia="Times New Roman" w:hAnsi="Cambria Math"/>
                <w:color w:val="000000"/>
                <w:lang w:val="en-IE"/>
              </w:rPr>
              <m:t>%</m:t>
            </m:r>
          </m:num>
          <m:den>
            <m:r>
              <w:rPr>
                <w:rFonts w:ascii="Cambria Math" w:eastAsia="Times New Roman" w:hAnsi="Cambria Math"/>
                <w:color w:val="000000"/>
                <w:lang w:val="en-IE"/>
              </w:rPr>
              <m:t>year</m:t>
            </m:r>
          </m:den>
        </m:f>
        <m:r>
          <w:rPr>
            <w:rFonts w:ascii="Cambria Math" w:eastAsia="Times New Roman" w:hAnsi="Cambria Math"/>
            <w:color w:val="000000"/>
            <w:lang w:val="en-IE"/>
          </w:rPr>
          <m:t>)</m:t>
        </m:r>
      </m:oMath>
      <w:r>
        <w:rPr>
          <w:rFonts w:eastAsia="Times New Roman"/>
          <w:color w:val="000000"/>
          <w:lang w:val="en-IE"/>
        </w:rPr>
        <w:tab/>
      </w:r>
      <w:r>
        <w:rPr>
          <w:rFonts w:eastAsia="Times New Roman"/>
          <w:color w:val="000000"/>
          <w:lang w:val="en-IE"/>
        </w:rPr>
        <w:tab/>
      </w:r>
      <w:r>
        <w:rPr>
          <w:rFonts w:eastAsia="Times New Roman"/>
          <w:color w:val="000000"/>
          <w:lang w:val="en-IE"/>
        </w:rPr>
        <w:tab/>
      </w:r>
      <w:r>
        <w:rPr>
          <w:rFonts w:eastAsia="Times New Roman"/>
          <w:color w:val="000000"/>
          <w:lang w:val="en-IE"/>
        </w:rPr>
        <w:tab/>
      </w:r>
      <w:r>
        <w:rPr>
          <w:rFonts w:eastAsia="Times New Roman"/>
          <w:color w:val="000000"/>
          <w:lang w:val="en-IE"/>
        </w:rPr>
        <w:tab/>
      </w:r>
      <w:r>
        <w:rPr>
          <w:rFonts w:eastAsia="Times New Roman"/>
          <w:color w:val="000000"/>
          <w:lang w:val="en-IE"/>
        </w:rPr>
        <w:tab/>
      </w:r>
      <w:r>
        <w:rPr>
          <w:rFonts w:eastAsia="Times New Roman"/>
          <w:color w:val="000000"/>
          <w:lang w:val="en-IE"/>
        </w:rPr>
        <w:tab/>
      </w:r>
      <w:r w:rsidRPr="00686C65">
        <w:rPr>
          <w:rFonts w:eastAsia="Times New Roman"/>
          <w:i/>
          <w:iCs/>
          <w:color w:val="000000"/>
          <w:lang w:val="en-IE"/>
        </w:rPr>
        <w:t>(</w:t>
      </w:r>
      <w:r w:rsidR="00834A03">
        <w:rPr>
          <w:rFonts w:eastAsia="Times New Roman"/>
          <w:i/>
          <w:iCs/>
          <w:color w:val="000000"/>
          <w:lang w:val="en-IE"/>
        </w:rPr>
        <w:t>8</w:t>
      </w:r>
      <w:r w:rsidRPr="00686C65">
        <w:rPr>
          <w:rFonts w:eastAsia="Times New Roman"/>
          <w:i/>
          <w:iCs/>
          <w:color w:val="000000"/>
          <w:lang w:val="en-IE"/>
        </w:rPr>
        <w:t>)</w:t>
      </w:r>
    </w:p>
    <w:p w14:paraId="48BEC8D2" w14:textId="036EDCFA" w:rsidR="00134793" w:rsidRPr="005A7916" w:rsidRDefault="00134793" w:rsidP="00890D06">
      <w:pPr>
        <w:spacing w:after="240" w:line="480" w:lineRule="auto"/>
        <w:jc w:val="both"/>
        <w:rPr>
          <w:rFonts w:eastAsia="Times New Roman"/>
          <w:color w:val="000000"/>
        </w:rPr>
      </w:pPr>
      <w:r w:rsidRPr="005A7916">
        <w:rPr>
          <w:rFonts w:eastAsia="Times New Roman"/>
          <w:color w:val="000000"/>
          <w:lang w:val="en-IE"/>
        </w:rPr>
        <w:t xml:space="preserve">Where </w:t>
      </w:r>
      <w:r w:rsidRPr="00D9599D">
        <w:rPr>
          <w:rFonts w:eastAsia="Times New Roman"/>
          <w:i/>
          <w:iCs/>
          <w:color w:val="000000"/>
          <w:lang w:val="en-IE"/>
        </w:rPr>
        <w:t>B</w:t>
      </w:r>
      <w:r w:rsidRPr="005A7916">
        <w:rPr>
          <w:rFonts w:eastAsia="Times New Roman"/>
          <w:color w:val="000000"/>
          <w:lang w:val="en-IE"/>
        </w:rPr>
        <w:t xml:space="preserve"> is the harvestable biomass, </w:t>
      </w:r>
      <w:r w:rsidRPr="00D9599D">
        <w:rPr>
          <w:rFonts w:eastAsia="Times New Roman"/>
          <w:i/>
          <w:iCs/>
          <w:color w:val="000000"/>
          <w:lang w:val="en-IE"/>
        </w:rPr>
        <w:t>A</w:t>
      </w:r>
      <w:r w:rsidRPr="005A7916">
        <w:rPr>
          <w:rFonts w:eastAsia="Times New Roman"/>
          <w:color w:val="000000"/>
          <w:lang w:val="en-IE"/>
        </w:rPr>
        <w:t xml:space="preserve"> is the total resource availability, and </w:t>
      </w:r>
      <w:r w:rsidRPr="00D9599D">
        <w:rPr>
          <w:rFonts w:eastAsia="Times New Roman"/>
          <w:i/>
          <w:iCs/>
          <w:color w:val="000000"/>
          <w:lang w:val="en-IE"/>
        </w:rPr>
        <w:t>E</w:t>
      </w:r>
      <w:r w:rsidRPr="005A7916">
        <w:rPr>
          <w:rFonts w:eastAsia="Times New Roman"/>
          <w:color w:val="000000"/>
          <w:lang w:val="en-IE"/>
        </w:rPr>
        <w:t xml:space="preserve"> is the allowable exploitation rate (% total biomass allowed to be harvested per year).</w:t>
      </w:r>
      <w:r w:rsidR="00EC7065" w:rsidRPr="005A7916">
        <w:rPr>
          <w:rFonts w:eastAsia="Times New Roman"/>
          <w:color w:val="000000"/>
          <w:lang w:val="en-IE"/>
        </w:rPr>
        <w:t xml:space="preserve"> </w:t>
      </w:r>
      <w:r w:rsidR="00A90037" w:rsidRPr="005A7916">
        <w:rPr>
          <w:rFonts w:eastAsia="Times New Roman"/>
          <w:color w:val="000000"/>
          <w:lang w:val="en-IE"/>
        </w:rPr>
        <w:t xml:space="preserve">The total resource availability is </w:t>
      </w:r>
      <w:r w:rsidR="007417CF" w:rsidRPr="005A7916">
        <w:rPr>
          <w:rFonts w:eastAsia="Times New Roman"/>
          <w:color w:val="000000"/>
          <w:lang w:val="en-IE"/>
        </w:rPr>
        <w:t xml:space="preserve">determined based on field sampling studies, and the exploitation rate is determined based on ecological recovery studies </w:t>
      </w:r>
      <w:r w:rsidR="00A90037" w:rsidRPr="005A7916">
        <w:rPr>
          <w:rFonts w:eastAsia="Times New Roman"/>
          <w:color w:val="000000"/>
          <w:lang w:val="en-IE"/>
        </w:rPr>
        <w:t xml:space="preserve">(Supplementary material). </w:t>
      </w:r>
    </w:p>
    <w:p w14:paraId="1F2E4C22" w14:textId="5C803147" w:rsidR="00576909" w:rsidRPr="005A7916" w:rsidRDefault="00576909" w:rsidP="00890D06">
      <w:pPr>
        <w:pStyle w:val="Heading2"/>
        <w:numPr>
          <w:ilvl w:val="2"/>
          <w:numId w:val="12"/>
        </w:numPr>
        <w:spacing w:before="0" w:after="240" w:line="480" w:lineRule="auto"/>
        <w:rPr>
          <w:b/>
          <w:bCs/>
        </w:rPr>
      </w:pPr>
      <w:bookmarkStart w:id="39" w:name="_Toc130974727"/>
      <w:bookmarkEnd w:id="38"/>
      <w:r w:rsidRPr="005A7916">
        <w:rPr>
          <w:b/>
          <w:bCs/>
          <w:sz w:val="22"/>
          <w:szCs w:val="22"/>
        </w:rPr>
        <w:t>Assessing the spatial limits of Irish cultivation</w:t>
      </w:r>
      <w:bookmarkEnd w:id="39"/>
    </w:p>
    <w:p w14:paraId="03DB5838" w14:textId="048E9E09" w:rsidR="00134793" w:rsidRPr="005A7916" w:rsidRDefault="00134793" w:rsidP="00890D06">
      <w:pPr>
        <w:spacing w:after="240" w:line="480" w:lineRule="auto"/>
        <w:jc w:val="both"/>
        <w:rPr>
          <w:rFonts w:eastAsia="Times New Roman"/>
          <w:color w:val="000000"/>
          <w:lang w:val="en-IE"/>
        </w:rPr>
      </w:pPr>
      <w:r w:rsidRPr="005A7916">
        <w:rPr>
          <w:rFonts w:eastAsia="Times New Roman"/>
          <w:color w:val="000000"/>
          <w:lang w:val="en-IE"/>
        </w:rPr>
        <w:t>For cultivation, it is assumed that the theoretical limit for seaweed production is the licensable sea surface area of Ireland. The following equation is used:</w:t>
      </w:r>
    </w:p>
    <w:p w14:paraId="10D415E4" w14:textId="7CA3BC55" w:rsidR="00134793" w:rsidRPr="005A7916" w:rsidRDefault="00134793" w:rsidP="00890D06">
      <w:pPr>
        <w:spacing w:after="240" w:line="480" w:lineRule="auto"/>
        <w:jc w:val="both"/>
        <w:rPr>
          <w:rFonts w:eastAsia="Times New Roman"/>
          <w:color w:val="000000"/>
          <w:lang w:val="en-IE"/>
        </w:rPr>
      </w:pPr>
      <m:oMath>
        <m:r>
          <w:rPr>
            <w:rFonts w:ascii="Cambria Math" w:eastAsia="Times New Roman" w:hAnsi="Cambria Math"/>
            <w:color w:val="000000"/>
            <w:lang w:val="en-IE"/>
          </w:rPr>
          <m:t xml:space="preserve">B </m:t>
        </m:r>
        <m:d>
          <m:dPr>
            <m:ctrlPr>
              <w:rPr>
                <w:rFonts w:ascii="Cambria Math" w:eastAsia="Times New Roman" w:hAnsi="Cambria Math"/>
                <w:i/>
                <w:color w:val="000000"/>
                <w:lang w:val="en-IE"/>
              </w:rPr>
            </m:ctrlPr>
          </m:dPr>
          <m:e>
            <m:f>
              <m:fPr>
                <m:ctrlPr>
                  <w:rPr>
                    <w:rFonts w:ascii="Cambria Math" w:eastAsia="Times New Roman" w:hAnsi="Cambria Math"/>
                    <w:i/>
                    <w:color w:val="000000"/>
                    <w:lang w:val="en-IE"/>
                  </w:rPr>
                </m:ctrlPr>
              </m:fPr>
              <m:num>
                <m:r>
                  <w:rPr>
                    <w:rFonts w:ascii="Cambria Math" w:eastAsia="Times New Roman" w:hAnsi="Cambria Math"/>
                    <w:color w:val="000000"/>
                    <w:lang w:val="en-IE"/>
                  </w:rPr>
                  <m:t>tonnes FW</m:t>
                </m:r>
              </m:num>
              <m:den>
                <m:r>
                  <w:rPr>
                    <w:rFonts w:ascii="Cambria Math" w:eastAsia="Times New Roman" w:hAnsi="Cambria Math"/>
                    <w:color w:val="000000"/>
                    <w:lang w:val="en-IE"/>
                  </w:rPr>
                  <m:t>year</m:t>
                </m:r>
              </m:den>
            </m:f>
          </m:e>
        </m:d>
        <m:r>
          <w:rPr>
            <w:rFonts w:ascii="Cambria Math" w:eastAsia="Times New Roman" w:hAnsi="Cambria Math"/>
            <w:color w:val="000000"/>
            <w:lang w:val="en-IE"/>
          </w:rPr>
          <m:t xml:space="preserve">=S </m:t>
        </m:r>
        <m:d>
          <m:dPr>
            <m:ctrlPr>
              <w:rPr>
                <w:rFonts w:ascii="Cambria Math" w:eastAsia="Times New Roman" w:hAnsi="Cambria Math"/>
                <w:i/>
                <w:color w:val="000000"/>
                <w:lang w:val="en-IE"/>
              </w:rPr>
            </m:ctrlPr>
          </m:dPr>
          <m:e>
            <m:r>
              <w:rPr>
                <w:rFonts w:ascii="Cambria Math" w:eastAsia="Times New Roman" w:hAnsi="Cambria Math"/>
                <w:color w:val="000000"/>
                <w:lang w:val="en-IE"/>
              </w:rPr>
              <m:t>ha</m:t>
            </m:r>
          </m:e>
        </m:d>
        <m:r>
          <w:rPr>
            <w:rFonts w:ascii="Cambria Math" w:eastAsia="Times New Roman" w:hAnsi="Cambria Math"/>
            <w:color w:val="000000"/>
            <w:lang w:val="en-IE"/>
          </w:rPr>
          <m:t>* P (</m:t>
        </m:r>
        <m:f>
          <m:fPr>
            <m:ctrlPr>
              <w:rPr>
                <w:rFonts w:ascii="Cambria Math" w:eastAsia="Times New Roman" w:hAnsi="Cambria Math"/>
                <w:i/>
                <w:color w:val="000000"/>
                <w:lang w:val="en-IE"/>
              </w:rPr>
            </m:ctrlPr>
          </m:fPr>
          <m:num>
            <m:r>
              <w:rPr>
                <w:rFonts w:ascii="Cambria Math" w:eastAsia="Times New Roman" w:hAnsi="Cambria Math"/>
                <w:color w:val="000000"/>
                <w:lang w:val="en-IE"/>
              </w:rPr>
              <m:t>tonnes FW</m:t>
            </m:r>
          </m:num>
          <m:den>
            <m:r>
              <w:rPr>
                <w:rFonts w:ascii="Cambria Math" w:eastAsia="Times New Roman" w:hAnsi="Cambria Math"/>
                <w:color w:val="000000"/>
                <w:lang w:val="en-IE"/>
              </w:rPr>
              <m:t>ha*year</m:t>
            </m:r>
          </m:den>
        </m:f>
        <m:r>
          <w:rPr>
            <w:rFonts w:ascii="Cambria Math" w:eastAsia="Times New Roman" w:hAnsi="Cambria Math"/>
            <w:color w:val="000000"/>
            <w:lang w:val="en-IE"/>
          </w:rPr>
          <m:t>)</m:t>
        </m:r>
      </m:oMath>
      <w:r w:rsidRPr="005A7916">
        <w:rPr>
          <w:rFonts w:eastAsia="Times New Roman"/>
          <w:color w:val="000000"/>
          <w:lang w:val="en-IE"/>
        </w:rPr>
        <w:tab/>
      </w:r>
      <w:r w:rsidRPr="005A7916">
        <w:rPr>
          <w:rFonts w:eastAsia="Times New Roman"/>
          <w:color w:val="000000"/>
          <w:lang w:val="en-IE"/>
        </w:rPr>
        <w:tab/>
      </w:r>
      <w:r w:rsidRPr="005A7916">
        <w:rPr>
          <w:rFonts w:eastAsia="Times New Roman"/>
          <w:color w:val="000000"/>
          <w:lang w:val="en-IE"/>
        </w:rPr>
        <w:tab/>
      </w:r>
      <w:r w:rsidRPr="005A7916">
        <w:rPr>
          <w:rFonts w:eastAsia="Times New Roman"/>
          <w:color w:val="000000"/>
          <w:lang w:val="en-IE"/>
        </w:rPr>
        <w:tab/>
      </w:r>
      <w:r w:rsidRPr="005A7916">
        <w:rPr>
          <w:rFonts w:eastAsia="Times New Roman"/>
          <w:color w:val="000000"/>
          <w:lang w:val="en-IE"/>
        </w:rPr>
        <w:tab/>
      </w:r>
      <w:r w:rsidRPr="005A7916">
        <w:rPr>
          <w:rFonts w:eastAsia="Times New Roman"/>
          <w:color w:val="000000"/>
          <w:lang w:val="en-IE"/>
        </w:rPr>
        <w:tab/>
      </w:r>
      <w:r w:rsidRPr="005A7916">
        <w:rPr>
          <w:rFonts w:eastAsia="Times New Roman"/>
          <w:color w:val="000000"/>
          <w:lang w:val="en-IE"/>
        </w:rPr>
        <w:tab/>
      </w:r>
      <w:r w:rsidRPr="005A7916">
        <w:rPr>
          <w:rFonts w:eastAsia="Times New Roman"/>
          <w:i/>
          <w:iCs/>
          <w:color w:val="000000"/>
          <w:lang w:val="en-IE"/>
        </w:rPr>
        <w:t>(</w:t>
      </w:r>
      <w:r w:rsidR="00834A03" w:rsidRPr="005A7916">
        <w:rPr>
          <w:rFonts w:eastAsia="Times New Roman"/>
          <w:i/>
          <w:iCs/>
          <w:color w:val="000000"/>
          <w:lang w:val="en-IE"/>
        </w:rPr>
        <w:t>9</w:t>
      </w:r>
      <w:r w:rsidRPr="005A7916">
        <w:rPr>
          <w:rFonts w:eastAsia="Times New Roman"/>
          <w:i/>
          <w:iCs/>
          <w:color w:val="000000"/>
          <w:lang w:val="en-IE"/>
        </w:rPr>
        <w:t>)</w:t>
      </w:r>
    </w:p>
    <w:p w14:paraId="5BF6DC08" w14:textId="0D8A0C26" w:rsidR="00134793" w:rsidRDefault="00134793" w:rsidP="00890D06">
      <w:pPr>
        <w:spacing w:after="240" w:line="480" w:lineRule="auto"/>
        <w:jc w:val="both"/>
        <w:rPr>
          <w:rFonts w:eastAsia="Times New Roman"/>
          <w:color w:val="000000"/>
          <w:lang w:val="en-IE"/>
        </w:rPr>
      </w:pPr>
      <w:r w:rsidRPr="005A7916">
        <w:rPr>
          <w:rFonts w:eastAsia="Times New Roman"/>
          <w:color w:val="000000"/>
          <w:lang w:val="en-IE"/>
        </w:rPr>
        <w:t xml:space="preserve">Where </w:t>
      </w:r>
      <w:r w:rsidRPr="00D9599D">
        <w:rPr>
          <w:rFonts w:eastAsia="Times New Roman"/>
          <w:i/>
          <w:iCs/>
          <w:color w:val="000000"/>
          <w:lang w:val="en-IE"/>
        </w:rPr>
        <w:t>B</w:t>
      </w:r>
      <w:r w:rsidRPr="005A7916">
        <w:rPr>
          <w:rFonts w:eastAsia="Times New Roman"/>
          <w:color w:val="000000"/>
          <w:lang w:val="en-IE"/>
        </w:rPr>
        <w:t xml:space="preserve"> is the harvestable biomass, </w:t>
      </w:r>
      <w:r w:rsidRPr="00D9599D">
        <w:rPr>
          <w:rFonts w:eastAsia="Times New Roman"/>
          <w:i/>
          <w:iCs/>
          <w:color w:val="000000"/>
          <w:lang w:val="en-IE"/>
        </w:rPr>
        <w:t>S</w:t>
      </w:r>
      <w:r w:rsidRPr="005A7916">
        <w:rPr>
          <w:rFonts w:eastAsia="Times New Roman"/>
          <w:color w:val="000000"/>
          <w:lang w:val="en-IE"/>
        </w:rPr>
        <w:t xml:space="preserve"> is the total sea surface availability, and </w:t>
      </w:r>
      <w:r w:rsidR="00674618" w:rsidRPr="00D9599D">
        <w:rPr>
          <w:rFonts w:eastAsia="Times New Roman"/>
          <w:i/>
          <w:iCs/>
          <w:color w:val="000000"/>
          <w:lang w:val="en-IE"/>
        </w:rPr>
        <w:t>P</w:t>
      </w:r>
      <w:r w:rsidR="00674618" w:rsidRPr="005A7916">
        <w:rPr>
          <w:rFonts w:eastAsia="Times New Roman"/>
          <w:color w:val="000000"/>
          <w:lang w:val="en-IE"/>
        </w:rPr>
        <w:t xml:space="preserve"> </w:t>
      </w:r>
      <w:r w:rsidRPr="005A7916">
        <w:rPr>
          <w:rFonts w:eastAsia="Times New Roman"/>
          <w:color w:val="000000"/>
          <w:lang w:val="en-IE"/>
        </w:rPr>
        <w:t xml:space="preserve">is the </w:t>
      </w:r>
      <w:r w:rsidR="00267B65">
        <w:rPr>
          <w:rFonts w:eastAsia="Times New Roman"/>
          <w:color w:val="000000"/>
          <w:lang w:val="en-IE"/>
        </w:rPr>
        <w:t>specific</w:t>
      </w:r>
      <w:r w:rsidR="00267B65" w:rsidRPr="005A7916">
        <w:rPr>
          <w:rFonts w:eastAsia="Times New Roman"/>
          <w:color w:val="000000"/>
          <w:lang w:val="en-IE"/>
        </w:rPr>
        <w:t xml:space="preserve"> </w:t>
      </w:r>
      <w:r w:rsidR="00267B65">
        <w:rPr>
          <w:rFonts w:eastAsia="Times New Roman"/>
          <w:color w:val="000000"/>
          <w:lang w:val="en-IE"/>
        </w:rPr>
        <w:t>productivity</w:t>
      </w:r>
      <w:r w:rsidRPr="005A7916">
        <w:rPr>
          <w:rFonts w:eastAsia="Times New Roman"/>
          <w:color w:val="000000"/>
          <w:lang w:val="en-IE"/>
        </w:rPr>
        <w:t xml:space="preserve"> for cultivated seaweed.</w:t>
      </w:r>
      <w:r w:rsidR="00F804BF" w:rsidRPr="005A7916">
        <w:rPr>
          <w:rFonts w:eastAsia="Times New Roman"/>
          <w:color w:val="000000"/>
          <w:lang w:val="en-IE"/>
        </w:rPr>
        <w:t xml:space="preserve"> </w:t>
      </w:r>
      <w:r w:rsidR="005A7916" w:rsidRPr="005A7916">
        <w:rPr>
          <w:rFonts w:eastAsia="Times New Roman"/>
          <w:color w:val="000000"/>
          <w:lang w:val="en-IE"/>
        </w:rPr>
        <w:t xml:space="preserve">The total sea surface availability is determined based on Ireland’s </w:t>
      </w:r>
      <w:r w:rsidR="005A7916">
        <w:rPr>
          <w:rFonts w:eastAsia="Times New Roman"/>
          <w:color w:val="000000"/>
          <w:lang w:val="en-IE"/>
        </w:rPr>
        <w:t xml:space="preserve">unutilised </w:t>
      </w:r>
      <w:r w:rsidR="005A7916" w:rsidRPr="005A7916">
        <w:rPr>
          <w:rFonts w:eastAsia="Times New Roman"/>
          <w:color w:val="000000"/>
          <w:lang w:val="en-IE"/>
        </w:rPr>
        <w:t xml:space="preserve">sea area, and the </w:t>
      </w:r>
      <w:r w:rsidR="00176727" w:rsidRPr="00267B65">
        <w:rPr>
          <w:rFonts w:eastAsia="Times New Roman"/>
          <w:color w:val="000000"/>
          <w:lang w:val="en-IE"/>
        </w:rPr>
        <w:t xml:space="preserve">specific </w:t>
      </w:r>
      <w:r w:rsidR="00267B65" w:rsidRPr="00D9599D">
        <w:rPr>
          <w:rFonts w:eastAsia="Times New Roman"/>
          <w:color w:val="000000"/>
          <w:lang w:val="en-IE"/>
        </w:rPr>
        <w:t>productivity</w:t>
      </w:r>
      <w:r w:rsidR="005A7916" w:rsidRPr="00267B65">
        <w:rPr>
          <w:rFonts w:eastAsia="Times New Roman"/>
          <w:color w:val="000000"/>
          <w:lang w:val="en-IE"/>
        </w:rPr>
        <w:t xml:space="preserve"> is determined based on </w:t>
      </w:r>
      <w:r w:rsidR="00B632FF" w:rsidRPr="00D9599D">
        <w:rPr>
          <w:rFonts w:eastAsia="Times New Roman"/>
          <w:color w:val="000000"/>
          <w:lang w:val="en-IE"/>
        </w:rPr>
        <w:t xml:space="preserve">longline </w:t>
      </w:r>
      <w:r w:rsidR="00267B65">
        <w:rPr>
          <w:rFonts w:eastAsia="Times New Roman"/>
          <w:color w:val="000000"/>
          <w:lang w:val="en-IE"/>
        </w:rPr>
        <w:t>productivity</w:t>
      </w:r>
      <w:r w:rsidR="00B632FF" w:rsidRPr="00D9599D">
        <w:rPr>
          <w:rFonts w:eastAsia="Times New Roman"/>
          <w:color w:val="000000"/>
          <w:lang w:val="en-IE"/>
        </w:rPr>
        <w:t xml:space="preserve"> </w:t>
      </w:r>
      <w:r w:rsidR="00674618">
        <w:rPr>
          <w:rFonts w:eastAsia="Times New Roman"/>
          <w:color w:val="000000"/>
          <w:lang w:val="en-IE"/>
        </w:rPr>
        <w:t>and density</w:t>
      </w:r>
      <w:r w:rsidR="00B632FF" w:rsidRPr="00D9599D">
        <w:rPr>
          <w:rFonts w:eastAsia="Times New Roman"/>
          <w:color w:val="000000"/>
          <w:lang w:val="en-IE"/>
        </w:rPr>
        <w:t xml:space="preserve"> </w:t>
      </w:r>
      <w:r w:rsidR="005A7916" w:rsidRPr="00267B65">
        <w:rPr>
          <w:rFonts w:eastAsia="Times New Roman"/>
          <w:color w:val="000000"/>
          <w:lang w:val="en-IE"/>
        </w:rPr>
        <w:t>(Supplementary material).</w:t>
      </w:r>
    </w:p>
    <w:p w14:paraId="419C8D29" w14:textId="496DABFE" w:rsidR="00DF7A81" w:rsidRDefault="00F965A1" w:rsidP="00890D06">
      <w:pPr>
        <w:pStyle w:val="Heading1"/>
        <w:numPr>
          <w:ilvl w:val="0"/>
          <w:numId w:val="12"/>
        </w:numPr>
        <w:spacing w:before="0" w:after="240" w:line="480" w:lineRule="auto"/>
        <w:rPr>
          <w:b/>
          <w:bCs/>
          <w:sz w:val="22"/>
          <w:szCs w:val="22"/>
        </w:rPr>
      </w:pPr>
      <w:bookmarkStart w:id="40" w:name="_Toc130974729"/>
      <w:bookmarkStart w:id="41" w:name="_Toc130974730"/>
      <w:bookmarkEnd w:id="40"/>
      <w:r w:rsidRPr="00B35342">
        <w:rPr>
          <w:b/>
          <w:bCs/>
          <w:sz w:val="22"/>
          <w:szCs w:val="22"/>
        </w:rPr>
        <w:lastRenderedPageBreak/>
        <w:t>Results</w:t>
      </w:r>
      <w:bookmarkEnd w:id="41"/>
    </w:p>
    <w:p w14:paraId="367935E9" w14:textId="558A8A98" w:rsidR="0026348F" w:rsidRDefault="0026348F" w:rsidP="00EC17C6">
      <w:pPr>
        <w:spacing w:line="480" w:lineRule="auto"/>
        <w:jc w:val="both"/>
      </w:pPr>
      <w:r>
        <w:t xml:space="preserve">In this section, the </w:t>
      </w:r>
      <w:r w:rsidR="00D95F57">
        <w:t>environmental, econom</w:t>
      </w:r>
      <w:r w:rsidR="00A90B3F">
        <w:t>ic</w:t>
      </w:r>
      <w:r w:rsidR="00D95F57">
        <w:t xml:space="preserve">, and social impacts of Irish seaweed production are presented. </w:t>
      </w:r>
      <w:r w:rsidR="00E82D24">
        <w:t xml:space="preserve">Section 3.1 describes the impacts </w:t>
      </w:r>
      <w:r w:rsidR="0031132E">
        <w:t>from each production pathwa</w:t>
      </w:r>
      <w:r w:rsidR="000D163A">
        <w:t>y</w:t>
      </w:r>
      <w:r w:rsidR="0031132E">
        <w:t xml:space="preserve"> </w:t>
      </w:r>
      <w:r w:rsidR="00E82D24">
        <w:t xml:space="preserve">while section 3.2 describes the impacts of </w:t>
      </w:r>
      <w:r w:rsidR="00006DD5">
        <w:t xml:space="preserve">combined pathways </w:t>
      </w:r>
      <w:r w:rsidR="0031132E">
        <w:t>to reach a future</w:t>
      </w:r>
      <w:r w:rsidR="00E82D24">
        <w:t xml:space="preserve"> production</w:t>
      </w:r>
      <w:r w:rsidR="0031132E">
        <w:t xml:space="preserve"> target of 900,000 tonnes FW/year</w:t>
      </w:r>
      <w:r w:rsidR="00E82D24">
        <w:t>.</w:t>
      </w:r>
    </w:p>
    <w:p w14:paraId="7BCD8B07" w14:textId="77777777" w:rsidR="0026348F" w:rsidRPr="00EC17C6" w:rsidRDefault="0026348F" w:rsidP="00EC17C6"/>
    <w:p w14:paraId="149FB200" w14:textId="62ACE7BF" w:rsidR="00A12379" w:rsidRDefault="00355099" w:rsidP="00890D06">
      <w:pPr>
        <w:pStyle w:val="Heading2"/>
        <w:numPr>
          <w:ilvl w:val="1"/>
          <w:numId w:val="12"/>
        </w:numPr>
        <w:spacing w:before="0" w:after="240" w:line="480" w:lineRule="auto"/>
        <w:rPr>
          <w:b/>
          <w:bCs/>
          <w:sz w:val="22"/>
          <w:szCs w:val="22"/>
        </w:rPr>
      </w:pPr>
      <w:bookmarkStart w:id="42" w:name="_Toc130974731"/>
      <w:bookmarkStart w:id="43" w:name="_Toc130974732"/>
      <w:bookmarkStart w:id="44" w:name="_Toc130974733"/>
      <w:bookmarkStart w:id="45" w:name="_Toc130974734"/>
      <w:bookmarkStart w:id="46" w:name="_Toc130974735"/>
      <w:bookmarkStart w:id="47" w:name="_Toc130974736"/>
      <w:bookmarkStart w:id="48" w:name="_Toc130974737"/>
      <w:bookmarkStart w:id="49" w:name="_Toc130974738"/>
      <w:bookmarkStart w:id="50" w:name="_Toc130974739"/>
      <w:bookmarkStart w:id="51" w:name="_Toc130974740"/>
      <w:bookmarkStart w:id="52" w:name="_Toc130974781"/>
      <w:bookmarkStart w:id="53" w:name="_Toc130974782"/>
      <w:bookmarkStart w:id="54" w:name="_Toc130974811"/>
      <w:bookmarkStart w:id="55" w:name="_Toc130974812"/>
      <w:bookmarkStart w:id="56" w:name="_Toc130974813"/>
      <w:bookmarkEnd w:id="42"/>
      <w:bookmarkEnd w:id="43"/>
      <w:bookmarkEnd w:id="44"/>
      <w:bookmarkEnd w:id="45"/>
      <w:bookmarkEnd w:id="46"/>
      <w:bookmarkEnd w:id="47"/>
      <w:bookmarkEnd w:id="48"/>
      <w:bookmarkEnd w:id="49"/>
      <w:bookmarkEnd w:id="50"/>
      <w:bookmarkEnd w:id="51"/>
      <w:bookmarkEnd w:id="52"/>
      <w:bookmarkEnd w:id="53"/>
      <w:bookmarkEnd w:id="54"/>
      <w:bookmarkEnd w:id="55"/>
      <w:r>
        <w:rPr>
          <w:b/>
          <w:bCs/>
          <w:sz w:val="22"/>
          <w:szCs w:val="22"/>
        </w:rPr>
        <w:t xml:space="preserve">Quantifying the </w:t>
      </w:r>
      <w:r w:rsidR="004F6881">
        <w:rPr>
          <w:b/>
          <w:bCs/>
          <w:sz w:val="22"/>
          <w:szCs w:val="22"/>
        </w:rPr>
        <w:t>environmental</w:t>
      </w:r>
      <w:r w:rsidR="00834A03">
        <w:rPr>
          <w:b/>
          <w:bCs/>
          <w:sz w:val="22"/>
          <w:szCs w:val="22"/>
        </w:rPr>
        <w:t>, economic,</w:t>
      </w:r>
      <w:r>
        <w:rPr>
          <w:b/>
          <w:bCs/>
          <w:sz w:val="22"/>
          <w:szCs w:val="22"/>
        </w:rPr>
        <w:t xml:space="preserve"> </w:t>
      </w:r>
      <w:r w:rsidR="00014738">
        <w:rPr>
          <w:b/>
          <w:bCs/>
          <w:sz w:val="22"/>
          <w:szCs w:val="22"/>
        </w:rPr>
        <w:t xml:space="preserve">and social </w:t>
      </w:r>
      <w:r>
        <w:rPr>
          <w:b/>
          <w:bCs/>
          <w:sz w:val="22"/>
          <w:szCs w:val="22"/>
        </w:rPr>
        <w:t xml:space="preserve">impacts </w:t>
      </w:r>
      <w:r w:rsidR="00005D99">
        <w:rPr>
          <w:b/>
          <w:bCs/>
          <w:sz w:val="22"/>
          <w:szCs w:val="22"/>
        </w:rPr>
        <w:t>of production pathways</w:t>
      </w:r>
      <w:bookmarkEnd w:id="56"/>
    </w:p>
    <w:p w14:paraId="3909A944" w14:textId="6D03786A" w:rsidR="009F7BE5" w:rsidRPr="00B82356" w:rsidRDefault="00EB4AF9" w:rsidP="00890D06">
      <w:pPr>
        <w:spacing w:after="240" w:line="480" w:lineRule="auto"/>
        <w:jc w:val="both"/>
        <w:rPr>
          <w:color w:val="000000"/>
        </w:rPr>
      </w:pPr>
      <w:r w:rsidRPr="000F3EC3">
        <w:t>Figure</w:t>
      </w:r>
      <w:r w:rsidR="008861FE" w:rsidRPr="000F3EC3">
        <w:t>s</w:t>
      </w:r>
      <w:r w:rsidRPr="000F3EC3">
        <w:t xml:space="preserve"> </w:t>
      </w:r>
      <w:r w:rsidR="007E4F6F" w:rsidRPr="000F3EC3">
        <w:t>2</w:t>
      </w:r>
      <w:r w:rsidRPr="000F3EC3">
        <w:t xml:space="preserve"> </w:t>
      </w:r>
      <w:r w:rsidR="005B1F14" w:rsidRPr="000F3EC3">
        <w:t xml:space="preserve">and 3 </w:t>
      </w:r>
      <w:r w:rsidRPr="000F3EC3">
        <w:t xml:space="preserve">display the </w:t>
      </w:r>
      <w:r w:rsidR="008861FE" w:rsidRPr="000F3EC3">
        <w:t xml:space="preserve">exergy </w:t>
      </w:r>
      <w:r w:rsidR="00927B95" w:rsidRPr="000F3EC3">
        <w:t xml:space="preserve">demand </w:t>
      </w:r>
      <w:r w:rsidR="00522820" w:rsidRPr="000F3EC3">
        <w:t>and global warming potential</w:t>
      </w:r>
      <w:r w:rsidR="0025719E" w:rsidRPr="000F3EC3">
        <w:t xml:space="preserve"> (GWP)</w:t>
      </w:r>
      <w:r w:rsidR="00522820" w:rsidRPr="000F3EC3">
        <w:t xml:space="preserve"> </w:t>
      </w:r>
      <w:r w:rsidR="00B03BEA" w:rsidRPr="000F3EC3">
        <w:t xml:space="preserve">for the 6 </w:t>
      </w:r>
      <w:r w:rsidR="00AC64BA" w:rsidRPr="000F3EC3">
        <w:t>production pathways</w:t>
      </w:r>
      <w:r w:rsidR="00B03BEA" w:rsidRPr="000F3EC3">
        <w:t xml:space="preserve"> considering a functional unit of 1 kg </w:t>
      </w:r>
      <w:r w:rsidR="00E414E2" w:rsidRPr="000F3EC3">
        <w:t xml:space="preserve">FW </w:t>
      </w:r>
      <w:r w:rsidR="00B2400A" w:rsidRPr="000F3EC3">
        <w:t xml:space="preserve">seaweed at harbour. </w:t>
      </w:r>
      <w:r w:rsidR="00B9619E" w:rsidRPr="000F3EC3">
        <w:t xml:space="preserve">For the wild harvesting </w:t>
      </w:r>
      <w:r w:rsidR="00FA3D32">
        <w:t>pathways</w:t>
      </w:r>
      <w:r w:rsidR="00FA3D32" w:rsidRPr="000F3EC3">
        <w:t xml:space="preserve"> </w:t>
      </w:r>
      <w:r w:rsidR="00B9619E" w:rsidRPr="000F3EC3">
        <w:t xml:space="preserve">(W1, W2, W3), natural resource use </w:t>
      </w:r>
      <w:r w:rsidR="000B7461" w:rsidRPr="000F3EC3">
        <w:t xml:space="preserve">(extraction of seaweed from the natural environment) </w:t>
      </w:r>
      <w:r w:rsidR="00B9619E" w:rsidRPr="000F3EC3">
        <w:t>dominates total exergy use</w:t>
      </w:r>
      <w:r w:rsidR="00AB46BD" w:rsidRPr="000F3EC3">
        <w:t xml:space="preserve">. Despite this, </w:t>
      </w:r>
      <w:r w:rsidR="00A85375" w:rsidRPr="000F3EC3">
        <w:t xml:space="preserve">manual wild harvesting </w:t>
      </w:r>
      <w:r w:rsidR="002411DA" w:rsidRPr="000F3EC3">
        <w:t xml:space="preserve">methods (W1 and W2) </w:t>
      </w:r>
      <w:r w:rsidR="00EE041D">
        <w:t>are found to have the</w:t>
      </w:r>
      <w:r w:rsidR="00A85375" w:rsidRPr="000F3EC3">
        <w:t xml:space="preserve"> low</w:t>
      </w:r>
      <w:r w:rsidR="00EE041D">
        <w:t>est</w:t>
      </w:r>
      <w:r w:rsidR="00A85375" w:rsidRPr="000F3EC3">
        <w:t xml:space="preserve"> resource intensity</w:t>
      </w:r>
      <w:r w:rsidR="00EE041D">
        <w:t xml:space="preserve"> of all pathways</w:t>
      </w:r>
      <w:r w:rsidR="00A85375" w:rsidRPr="000F3EC3">
        <w:t xml:space="preserve"> (</w:t>
      </w:r>
      <w:r w:rsidR="00DF0A4E">
        <w:t>1.75</w:t>
      </w:r>
      <w:r w:rsidR="00A74A62">
        <w:t>-2.00</w:t>
      </w:r>
      <w:r w:rsidR="00A85375" w:rsidRPr="000F3EC3">
        <w:t xml:space="preserve"> MJex/kg FW).</w:t>
      </w:r>
      <w:r w:rsidR="00B9619E" w:rsidRPr="000F3EC3">
        <w:t xml:space="preserve"> </w:t>
      </w:r>
      <w:r w:rsidR="002411DA" w:rsidRPr="000F3EC3">
        <w:t>In</w:t>
      </w:r>
      <w:r w:rsidR="00A85375" w:rsidRPr="000F3EC3">
        <w:t xml:space="preserve"> the case of mechanical trawling (W3), resource use increases significantly (</w:t>
      </w:r>
      <w:r w:rsidR="00A74A62">
        <w:t>3.50</w:t>
      </w:r>
      <w:r w:rsidR="00A85375" w:rsidRPr="000F3EC3">
        <w:t xml:space="preserve"> MJex/kg FW), due to </w:t>
      </w:r>
      <w:r w:rsidR="002411DA" w:rsidRPr="000F3EC3">
        <w:t xml:space="preserve">more </w:t>
      </w:r>
      <w:r w:rsidR="000B7461" w:rsidRPr="000F3EC3">
        <w:t xml:space="preserve">transport </w:t>
      </w:r>
      <w:r w:rsidR="002411DA" w:rsidRPr="000F3EC3">
        <w:t xml:space="preserve">fuel required to </w:t>
      </w:r>
      <w:r w:rsidR="00CA2112" w:rsidRPr="000F3EC3">
        <w:t xml:space="preserve">travel to and </w:t>
      </w:r>
      <w:r w:rsidR="000B7461" w:rsidRPr="000F3EC3">
        <w:t>from</w:t>
      </w:r>
      <w:r w:rsidR="00CA2112" w:rsidRPr="000F3EC3">
        <w:t xml:space="preserve"> kelp beds</w:t>
      </w:r>
      <w:r w:rsidR="006B55E0" w:rsidRPr="000F3EC3">
        <w:t xml:space="preserve"> and for trawling itself</w:t>
      </w:r>
      <w:r w:rsidR="00A85375" w:rsidRPr="000F3EC3">
        <w:t xml:space="preserve">. </w:t>
      </w:r>
      <w:r w:rsidR="00CA2112" w:rsidRPr="000F3EC3">
        <w:t>F</w:t>
      </w:r>
      <w:r w:rsidR="00B9619E" w:rsidRPr="000F3EC3">
        <w:t xml:space="preserve">or the cultivation </w:t>
      </w:r>
      <w:r w:rsidR="009F7BE5">
        <w:t>pathways</w:t>
      </w:r>
      <w:r w:rsidR="009F7BE5" w:rsidRPr="000F3EC3">
        <w:t xml:space="preserve"> </w:t>
      </w:r>
      <w:r w:rsidR="00B9619E" w:rsidRPr="000F3EC3">
        <w:t xml:space="preserve">(C1, C2, C3), </w:t>
      </w:r>
      <w:r w:rsidR="000F4A93">
        <w:t>capital equipment</w:t>
      </w:r>
      <w:r w:rsidR="00B9619E" w:rsidRPr="000F3EC3">
        <w:t xml:space="preserve">, </w:t>
      </w:r>
      <w:r w:rsidR="00EE041D">
        <w:t>chemicals, nutrients</w:t>
      </w:r>
      <w:r w:rsidR="009F7BE5">
        <w:t>,</w:t>
      </w:r>
      <w:r w:rsidR="00EE041D">
        <w:t xml:space="preserve"> and fresh water</w:t>
      </w:r>
      <w:r w:rsidR="00B9619E" w:rsidRPr="000F3EC3">
        <w:t xml:space="preserve"> use as well as transport are </w:t>
      </w:r>
      <w:r w:rsidR="00CA2112" w:rsidRPr="000F3EC3">
        <w:t>the largest exergy users</w:t>
      </w:r>
      <w:r w:rsidR="00B9619E" w:rsidRPr="000F3EC3">
        <w:t>.</w:t>
      </w:r>
      <w:r w:rsidR="00760DA5" w:rsidRPr="000F3EC3">
        <w:t xml:space="preserve"> </w:t>
      </w:r>
      <w:r w:rsidR="00EE041D" w:rsidRPr="00D9599D">
        <w:t xml:space="preserve">However, the resource intensity varies significantly among cultivation </w:t>
      </w:r>
      <w:r w:rsidR="00FA3D32" w:rsidRPr="00D9599D">
        <w:t>pathways</w:t>
      </w:r>
      <w:r w:rsidR="00267B65">
        <w:t xml:space="preserve"> (2.30-5.95 MJex/kg FW), with the </w:t>
      </w:r>
      <w:r w:rsidR="009F7BE5" w:rsidRPr="00D9599D">
        <w:t>medium-size farm (</w:t>
      </w:r>
      <w:r w:rsidR="00EE041D" w:rsidRPr="00D9599D">
        <w:t>C2</w:t>
      </w:r>
      <w:r w:rsidR="009F7BE5" w:rsidRPr="00D9599D">
        <w:t xml:space="preserve">) </w:t>
      </w:r>
      <w:r w:rsidR="00267B65">
        <w:t xml:space="preserve">performing the best and </w:t>
      </w:r>
      <w:r w:rsidR="009F7BE5" w:rsidRPr="00D9599D">
        <w:t>the small-size farm</w:t>
      </w:r>
      <w:r w:rsidR="00EE041D" w:rsidRPr="00D9599D">
        <w:t xml:space="preserve"> </w:t>
      </w:r>
      <w:r w:rsidR="009F7BE5" w:rsidRPr="00D9599D">
        <w:t>(</w:t>
      </w:r>
      <w:r w:rsidR="00760DA5" w:rsidRPr="009F7BE5">
        <w:t>C1</w:t>
      </w:r>
      <w:r w:rsidR="009F7BE5" w:rsidRPr="00D9599D">
        <w:t>)</w:t>
      </w:r>
      <w:r w:rsidR="00267B65">
        <w:t xml:space="preserve"> performing the worst</w:t>
      </w:r>
      <w:r w:rsidR="00FA3D32" w:rsidRPr="00D9599D">
        <w:t xml:space="preserve">. </w:t>
      </w:r>
      <w:r w:rsidR="0025719E" w:rsidRPr="009F7BE5">
        <w:rPr>
          <w:color w:val="000000"/>
        </w:rPr>
        <w:t xml:space="preserve">A similar pattern can be seen for GWP, </w:t>
      </w:r>
      <w:r w:rsidR="008E5388" w:rsidRPr="009F7BE5">
        <w:rPr>
          <w:color w:val="000000"/>
        </w:rPr>
        <w:t xml:space="preserve">where </w:t>
      </w:r>
      <w:r w:rsidR="00F2036F" w:rsidRPr="009F7BE5">
        <w:rPr>
          <w:color w:val="000000"/>
        </w:rPr>
        <w:t>manual wild harvesting</w:t>
      </w:r>
      <w:r w:rsidR="00BA07AC">
        <w:rPr>
          <w:color w:val="000000"/>
        </w:rPr>
        <w:t xml:space="preserve"> pathways</w:t>
      </w:r>
      <w:r w:rsidR="00F2036F" w:rsidRPr="009F7BE5">
        <w:rPr>
          <w:color w:val="000000"/>
        </w:rPr>
        <w:t xml:space="preserve"> (W1 and W2)</w:t>
      </w:r>
      <w:r w:rsidR="00F06317" w:rsidRPr="009F7BE5">
        <w:rPr>
          <w:color w:val="000000"/>
        </w:rPr>
        <w:t xml:space="preserve"> </w:t>
      </w:r>
      <w:r w:rsidR="00F2036F" w:rsidRPr="009F7BE5">
        <w:rPr>
          <w:color w:val="000000"/>
        </w:rPr>
        <w:t>are found to have the lowest GWP (0.03-0.04 kg CO2-eq/kg FW)</w:t>
      </w:r>
      <w:r w:rsidR="00EE041D" w:rsidRPr="00D9599D">
        <w:rPr>
          <w:color w:val="000000"/>
        </w:rPr>
        <w:t xml:space="preserve">, followed by the </w:t>
      </w:r>
      <w:r w:rsidR="009F7BE5" w:rsidRPr="00D9599D">
        <w:rPr>
          <w:color w:val="000000"/>
        </w:rPr>
        <w:t>medium-size seaweed farm</w:t>
      </w:r>
      <w:r w:rsidR="00EE041D" w:rsidRPr="00D9599D">
        <w:rPr>
          <w:color w:val="000000"/>
        </w:rPr>
        <w:t xml:space="preserve"> (0.12 kg CO2-eq/kg FW), mechanical wild harvesting (</w:t>
      </w:r>
      <w:r w:rsidR="009F7BE5" w:rsidRPr="00D9599D">
        <w:rPr>
          <w:color w:val="000000"/>
        </w:rPr>
        <w:t>0.14 kg CO2-eq/kg FW)</w:t>
      </w:r>
      <w:r w:rsidR="00EE041D" w:rsidRPr="00D9599D">
        <w:rPr>
          <w:color w:val="000000"/>
        </w:rPr>
        <w:t xml:space="preserve">, </w:t>
      </w:r>
      <w:r w:rsidR="009F7BE5" w:rsidRPr="00D9599D">
        <w:rPr>
          <w:color w:val="000000"/>
        </w:rPr>
        <w:t>large-size seaweed farm (0.26 kg CO2-eq/kg FW), and small-size seaweed farm</w:t>
      </w:r>
      <w:r w:rsidR="00EE041D" w:rsidRPr="00D9599D">
        <w:rPr>
          <w:color w:val="000000"/>
        </w:rPr>
        <w:t xml:space="preserve"> (0.35 kg CO2-eq/kg FW)</w:t>
      </w:r>
      <w:r w:rsidR="00F2036F" w:rsidRPr="009F7BE5">
        <w:rPr>
          <w:color w:val="000000"/>
        </w:rPr>
        <w:t xml:space="preserve">. </w:t>
      </w:r>
      <w:r w:rsidR="008F7CF0">
        <w:rPr>
          <w:color w:val="000000"/>
        </w:rPr>
        <w:t xml:space="preserve"> </w:t>
      </w:r>
    </w:p>
    <w:p w14:paraId="419C8D2A" w14:textId="392F691A" w:rsidR="00DF7A81" w:rsidRDefault="000628B8" w:rsidP="00D9599D">
      <w:pPr>
        <w:spacing w:after="240" w:line="480" w:lineRule="auto"/>
        <w:jc w:val="both"/>
      </w:pPr>
      <w:r>
        <w:rPr>
          <w:noProof/>
        </w:rPr>
        <w:lastRenderedPageBreak/>
        <w:drawing>
          <wp:inline distT="0" distB="0" distL="0" distR="0" wp14:anchorId="154D9646" wp14:editId="5ACDCB9F">
            <wp:extent cx="5943600" cy="2647950"/>
            <wp:effectExtent l="0" t="0" r="0" b="0"/>
            <wp:docPr id="150098311" name="Chart 1">
              <a:extLst xmlns:a="http://schemas.openxmlformats.org/drawingml/2006/main">
                <a:ext uri="{FF2B5EF4-FFF2-40B4-BE49-F238E27FC236}">
                  <a16:creationId xmlns:a16="http://schemas.microsoft.com/office/drawing/2014/main" id="{9D38BBA5-8C48-6DB6-9F51-16B15F475E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F15EAF7" w14:textId="30CFA044" w:rsidR="00355099" w:rsidRDefault="00F965A1" w:rsidP="00890D06">
      <w:pPr>
        <w:spacing w:after="240" w:line="480" w:lineRule="auto"/>
      </w:pPr>
      <w:r>
        <w:t xml:space="preserve">Figure </w:t>
      </w:r>
      <w:r w:rsidR="007E4F6F">
        <w:t>2</w:t>
      </w:r>
      <w:r>
        <w:t xml:space="preserve">: </w:t>
      </w:r>
      <w:r w:rsidR="00E3669B">
        <w:t>Exergy demand</w:t>
      </w:r>
      <w:r>
        <w:t xml:space="preserve"> (</w:t>
      </w:r>
      <w:r w:rsidR="00D26702">
        <w:t>MJex</w:t>
      </w:r>
      <w:r>
        <w:t>) of production pathways considering a functional unit of kg seaweed fresh weight.</w:t>
      </w:r>
    </w:p>
    <w:p w14:paraId="2B3A92E8" w14:textId="28442021" w:rsidR="00522820" w:rsidRDefault="00991B71" w:rsidP="00890D06">
      <w:pPr>
        <w:spacing w:after="240" w:line="480" w:lineRule="auto"/>
        <w:rPr>
          <w:noProof/>
        </w:rPr>
      </w:pPr>
      <w:r w:rsidRPr="00991B71">
        <w:rPr>
          <w:noProof/>
        </w:rPr>
        <w:t xml:space="preserve"> </w:t>
      </w:r>
      <w:r w:rsidR="0098442A">
        <w:rPr>
          <w:noProof/>
        </w:rPr>
        <w:drawing>
          <wp:inline distT="0" distB="0" distL="0" distR="0" wp14:anchorId="5ACDCB9F" wp14:editId="6B525CC0">
            <wp:extent cx="5915025" cy="2743200"/>
            <wp:effectExtent l="0" t="0" r="9525" b="0"/>
            <wp:docPr id="20374232" name="Chart 1">
              <a:extLst xmlns:a="http://schemas.openxmlformats.org/drawingml/2006/main">
                <a:ext uri="{FF2B5EF4-FFF2-40B4-BE49-F238E27FC236}">
                  <a16:creationId xmlns:a16="http://schemas.microsoft.com/office/drawing/2014/main" id="{49F6838D-7E70-4A9B-84E7-7677873835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6B8955E" w14:textId="5ED96023" w:rsidR="00522820" w:rsidRDefault="00522820" w:rsidP="00890D06">
      <w:pPr>
        <w:spacing w:after="240" w:line="480" w:lineRule="auto"/>
        <w:rPr>
          <w:b/>
          <w:bCs/>
        </w:rPr>
      </w:pPr>
      <w:r>
        <w:t xml:space="preserve">Figure 3: </w:t>
      </w:r>
      <w:r w:rsidR="00312FB9">
        <w:t>Global warming potential</w:t>
      </w:r>
      <w:r>
        <w:t xml:space="preserve"> (kg CO2-eq) </w:t>
      </w:r>
      <w:r w:rsidR="00E3669B">
        <w:t>of production pathways considering</w:t>
      </w:r>
      <w:r w:rsidR="009C27A2">
        <w:t xml:space="preserve"> </w:t>
      </w:r>
      <w:r>
        <w:t>a functional unit of kg seaweed fresh weight</w:t>
      </w:r>
      <w:r w:rsidR="00081AF4">
        <w:t>.</w:t>
      </w:r>
    </w:p>
    <w:p w14:paraId="1CC96956" w14:textId="0564B805" w:rsidR="00C04E1F" w:rsidRPr="00C04E1F" w:rsidRDefault="00346FEF" w:rsidP="00890D06">
      <w:pPr>
        <w:spacing w:after="240" w:line="480" w:lineRule="auto"/>
        <w:jc w:val="both"/>
      </w:pPr>
      <w:r w:rsidRPr="00F75C56">
        <w:lastRenderedPageBreak/>
        <w:t xml:space="preserve">Figures </w:t>
      </w:r>
      <w:r w:rsidR="00522820" w:rsidRPr="00F75C56">
        <w:t>4</w:t>
      </w:r>
      <w:r w:rsidRPr="00F75C56">
        <w:t xml:space="preserve"> and </w:t>
      </w:r>
      <w:r w:rsidR="00522820" w:rsidRPr="00F75C56">
        <w:t>5</w:t>
      </w:r>
      <w:r w:rsidRPr="00F75C56">
        <w:t xml:space="preserve"> display the minimum selling price </w:t>
      </w:r>
      <w:r w:rsidR="004C4E00" w:rsidRPr="00F75C56">
        <w:t xml:space="preserve">(MSP) </w:t>
      </w:r>
      <w:r w:rsidR="008A5B3A" w:rsidRPr="00F75C56">
        <w:t xml:space="preserve">and potential increase in wellbeing </w:t>
      </w:r>
      <w:r w:rsidR="004C4E00" w:rsidRPr="00F75C56">
        <w:t xml:space="preserve">(WB) </w:t>
      </w:r>
      <w:r w:rsidR="00AC64BA" w:rsidRPr="00F75C56">
        <w:t xml:space="preserve">per kg </w:t>
      </w:r>
      <w:r w:rsidR="004C4E00" w:rsidRPr="00F75C56">
        <w:t xml:space="preserve">seaweed FW </w:t>
      </w:r>
      <w:r w:rsidR="00AC64BA" w:rsidRPr="00F75C56">
        <w:t>for the 6 production pathways</w:t>
      </w:r>
      <w:r w:rsidR="004C4E00" w:rsidRPr="00F75C56">
        <w:t>.</w:t>
      </w:r>
      <w:r w:rsidRPr="00F75C56">
        <w:t xml:space="preserve"> </w:t>
      </w:r>
      <w:r w:rsidR="00B13280">
        <w:t xml:space="preserve">The main cost for manual wild harvesting (W1 and W2) is labour. </w:t>
      </w:r>
      <w:r w:rsidR="00D937FC" w:rsidRPr="00F75C56">
        <w:t xml:space="preserve">Due to the need </w:t>
      </w:r>
      <w:r w:rsidR="00F629B2" w:rsidRPr="00F75C56">
        <w:t>to</w:t>
      </w:r>
      <w:r w:rsidR="00D937FC" w:rsidRPr="00F75C56">
        <w:t xml:space="preserve"> </w:t>
      </w:r>
      <w:r w:rsidR="00B91269" w:rsidRPr="00F75C56">
        <w:t>hi</w:t>
      </w:r>
      <w:r w:rsidR="00F629B2" w:rsidRPr="00F75C56">
        <w:t>re the</w:t>
      </w:r>
      <w:r w:rsidR="00B91269" w:rsidRPr="00F75C56">
        <w:t xml:space="preserve"> towing boat</w:t>
      </w:r>
      <w:r w:rsidR="00F629B2" w:rsidRPr="00F75C56">
        <w:t xml:space="preserve">, the wild harvester harvesting by </w:t>
      </w:r>
      <w:r w:rsidR="00BF6E5D" w:rsidRPr="00F75C56">
        <w:t>foot</w:t>
      </w:r>
      <w:r w:rsidR="00F629B2" w:rsidRPr="00F75C56">
        <w:t xml:space="preserve"> (W1) has </w:t>
      </w:r>
      <w:r w:rsidR="00267B65">
        <w:t xml:space="preserve">slightly </w:t>
      </w:r>
      <w:r w:rsidR="00E54813" w:rsidRPr="00F75C56">
        <w:t>higher costs</w:t>
      </w:r>
      <w:r w:rsidR="00F629B2" w:rsidRPr="00F75C56">
        <w:t xml:space="preserve"> </w:t>
      </w:r>
      <w:r w:rsidR="00E3669B">
        <w:t xml:space="preserve">(0.12 €/kg FW) </w:t>
      </w:r>
      <w:r w:rsidR="00F629B2" w:rsidRPr="00F75C56">
        <w:t>compared to the</w:t>
      </w:r>
      <w:r w:rsidR="00B91269" w:rsidRPr="00F75C56">
        <w:t xml:space="preserve"> </w:t>
      </w:r>
      <w:r w:rsidR="003B59F4" w:rsidRPr="00F75C56">
        <w:t>wild harvester harvest</w:t>
      </w:r>
      <w:r w:rsidR="00D937FC" w:rsidRPr="00F75C56">
        <w:t>ing</w:t>
      </w:r>
      <w:r w:rsidR="003B59F4" w:rsidRPr="00F75C56">
        <w:t xml:space="preserve"> by boat and rake (W2)</w:t>
      </w:r>
      <w:r w:rsidR="00B13280">
        <w:t xml:space="preserve"> (0.11 €/kg FW)</w:t>
      </w:r>
      <w:r w:rsidR="00F629B2" w:rsidRPr="00F75C56">
        <w:t>.</w:t>
      </w:r>
      <w:r w:rsidR="003B59F4" w:rsidRPr="00F75C56">
        <w:t xml:space="preserve"> </w:t>
      </w:r>
      <w:r w:rsidR="00B13280">
        <w:t>B</w:t>
      </w:r>
      <w:r w:rsidR="00736673" w:rsidRPr="00F75C56">
        <w:t xml:space="preserve">oth </w:t>
      </w:r>
      <w:r w:rsidR="00BF6E5D" w:rsidRPr="00F75C56">
        <w:t>manual</w:t>
      </w:r>
      <w:r w:rsidR="005F1EE7" w:rsidRPr="00F75C56">
        <w:t xml:space="preserve"> harvesting pathways </w:t>
      </w:r>
      <w:r w:rsidR="00086252" w:rsidRPr="00F75C56">
        <w:t>have a lower MSP than</w:t>
      </w:r>
      <w:r w:rsidR="00616A2B" w:rsidRPr="00F75C56">
        <w:t xml:space="preserve"> mechanical harvesting</w:t>
      </w:r>
      <w:r w:rsidR="00C51270" w:rsidRPr="00F75C56">
        <w:t xml:space="preserve"> (W3)</w:t>
      </w:r>
      <w:r w:rsidR="00B13280">
        <w:t xml:space="preserve"> (0.16 €/kg FW)</w:t>
      </w:r>
      <w:r w:rsidR="00616A2B" w:rsidRPr="00F75C56">
        <w:t xml:space="preserve">, </w:t>
      </w:r>
      <w:r w:rsidR="003C0AB1" w:rsidRPr="00F75C56">
        <w:t>due to</w:t>
      </w:r>
      <w:r w:rsidR="00616A2B" w:rsidRPr="00F75C56">
        <w:t xml:space="preserve"> the </w:t>
      </w:r>
      <w:r w:rsidR="003C0AB1" w:rsidRPr="00F75C56">
        <w:t xml:space="preserve">high </w:t>
      </w:r>
      <w:r w:rsidR="009F7BE5">
        <w:t xml:space="preserve">capital and </w:t>
      </w:r>
      <w:r w:rsidR="00F97810" w:rsidRPr="00F75C56">
        <w:t>fuel</w:t>
      </w:r>
      <w:r w:rsidR="00DA5123" w:rsidRPr="00F75C56">
        <w:t xml:space="preserve"> </w:t>
      </w:r>
      <w:r w:rsidR="00616A2B" w:rsidRPr="00F75C56">
        <w:t>cost</w:t>
      </w:r>
      <w:r w:rsidR="00DA5123" w:rsidRPr="00F75C56">
        <w:t>s</w:t>
      </w:r>
      <w:r w:rsidR="00616A2B" w:rsidRPr="00F75C56">
        <w:t xml:space="preserve"> of </w:t>
      </w:r>
      <w:r w:rsidR="00DA5123" w:rsidRPr="00F75C56">
        <w:t xml:space="preserve">the </w:t>
      </w:r>
      <w:r w:rsidR="007E5A54" w:rsidRPr="00F75C56">
        <w:t xml:space="preserve">seaweed </w:t>
      </w:r>
      <w:r w:rsidR="00616A2B" w:rsidRPr="00F75C56">
        <w:t xml:space="preserve">trawler. </w:t>
      </w:r>
      <w:r w:rsidR="00030684" w:rsidRPr="00F75C56">
        <w:t xml:space="preserve">Nevertheless, all </w:t>
      </w:r>
      <w:r w:rsidR="00DA1C38" w:rsidRPr="00F75C56">
        <w:t xml:space="preserve">wild harvesting pathways </w:t>
      </w:r>
      <w:r w:rsidR="00EE7917" w:rsidRPr="00F75C56">
        <w:t>ar</w:t>
      </w:r>
      <w:r w:rsidR="00DA1C38" w:rsidRPr="00F75C56">
        <w:t xml:space="preserve">e found to be economically viable at an estimated market selling price of €0.16/kg FW. </w:t>
      </w:r>
      <w:r w:rsidR="00B13280">
        <w:t>A</w:t>
      </w:r>
      <w:r w:rsidR="00B35816" w:rsidRPr="00F75C56">
        <w:t xml:space="preserve">ll cultivation pathways </w:t>
      </w:r>
      <w:r w:rsidR="00EE7917" w:rsidRPr="00F75C56">
        <w:t>a</w:t>
      </w:r>
      <w:r w:rsidR="00B35816" w:rsidRPr="00F75C56">
        <w:t>re found to have significantly higher production costs than wild harvesting</w:t>
      </w:r>
      <w:r w:rsidR="00E3669B">
        <w:t xml:space="preserve"> (</w:t>
      </w:r>
      <w:r w:rsidR="00F36A83">
        <w:t>1.05</w:t>
      </w:r>
      <w:r w:rsidR="00B13280">
        <w:t>-</w:t>
      </w:r>
      <w:r w:rsidR="00F36A83">
        <w:t>1.80</w:t>
      </w:r>
      <w:r w:rsidR="00B13280">
        <w:t xml:space="preserve"> €/kg FW)</w:t>
      </w:r>
      <w:r w:rsidR="00B35816" w:rsidRPr="00F75C56">
        <w:t xml:space="preserve">, </w:t>
      </w:r>
      <w:r w:rsidR="00641466" w:rsidRPr="00F75C56">
        <w:t xml:space="preserve">with major cost contributions from capital equipment, boat fuel, and </w:t>
      </w:r>
      <w:r w:rsidR="006202F3" w:rsidRPr="00F75C56">
        <w:t xml:space="preserve">labour. </w:t>
      </w:r>
      <w:r w:rsidR="000C796E" w:rsidRPr="00B13280">
        <w:t xml:space="preserve">Only </w:t>
      </w:r>
      <w:r w:rsidR="002B70FC" w:rsidRPr="00B13280">
        <w:t>the</w:t>
      </w:r>
      <w:r w:rsidR="000C796E" w:rsidRPr="00B13280">
        <w:t xml:space="preserve"> </w:t>
      </w:r>
      <w:r w:rsidR="00B13280" w:rsidRPr="00D9599D">
        <w:t>medium-size</w:t>
      </w:r>
      <w:r w:rsidR="000C796E" w:rsidRPr="00B13280">
        <w:t xml:space="preserve"> farm</w:t>
      </w:r>
      <w:r w:rsidR="00B13280" w:rsidRPr="00D9599D">
        <w:t xml:space="preserve"> (C2)</w:t>
      </w:r>
      <w:r w:rsidR="000C796E" w:rsidRPr="00B13280">
        <w:t xml:space="preserve"> </w:t>
      </w:r>
      <w:r w:rsidR="00EE7917" w:rsidRPr="00B13280">
        <w:t>is</w:t>
      </w:r>
      <w:r w:rsidR="000C796E" w:rsidRPr="00B13280">
        <w:t xml:space="preserve"> </w:t>
      </w:r>
      <w:r w:rsidR="00E3669B" w:rsidRPr="00D9599D">
        <w:t xml:space="preserve">found to be </w:t>
      </w:r>
      <w:r w:rsidR="000C796E" w:rsidRPr="00B13280">
        <w:t xml:space="preserve">economically viable </w:t>
      </w:r>
      <w:r w:rsidR="0014171A" w:rsidRPr="00B13280">
        <w:t xml:space="preserve">at </w:t>
      </w:r>
      <w:r w:rsidR="00E3669B" w:rsidRPr="00D9599D">
        <w:t xml:space="preserve">the </w:t>
      </w:r>
      <w:r w:rsidR="00B13280" w:rsidRPr="00D9599D">
        <w:t xml:space="preserve">current </w:t>
      </w:r>
      <w:r w:rsidR="00E3669B" w:rsidRPr="00D9599D">
        <w:t>Irish</w:t>
      </w:r>
      <w:r w:rsidR="00E3669B" w:rsidRPr="00B13280">
        <w:t xml:space="preserve"> </w:t>
      </w:r>
      <w:r w:rsidR="000C796E" w:rsidRPr="00B13280">
        <w:t>market selling price</w:t>
      </w:r>
      <w:r w:rsidR="0014171A" w:rsidRPr="00B13280">
        <w:t xml:space="preserve"> of 1.00</w:t>
      </w:r>
      <w:r w:rsidR="00E3669B" w:rsidRPr="00D9599D">
        <w:t>-1.50</w:t>
      </w:r>
      <w:r w:rsidR="00B13280" w:rsidRPr="00D9599D">
        <w:t xml:space="preserve"> €</w:t>
      </w:r>
      <w:r w:rsidR="00922DE7" w:rsidRPr="00B13280">
        <w:t>/kg FW</w:t>
      </w:r>
      <w:r w:rsidR="000C796E" w:rsidRPr="00B13280">
        <w:t xml:space="preserve">, </w:t>
      </w:r>
      <w:r w:rsidR="00B13280" w:rsidRPr="00D9599D">
        <w:t xml:space="preserve">and none of the farms are competitive with the global selling price of 0.33-0.42 €/kg FW. </w:t>
      </w:r>
      <w:r w:rsidR="003A1ED8" w:rsidRPr="00B13280">
        <w:t>However</w:t>
      </w:r>
      <w:r w:rsidR="009C447F" w:rsidRPr="00B13280">
        <w:t xml:space="preserve">, </w:t>
      </w:r>
      <w:r w:rsidR="003A1ED8" w:rsidRPr="00B13280">
        <w:t xml:space="preserve">as </w:t>
      </w:r>
      <w:r w:rsidR="00F87EF2" w:rsidRPr="00B13280">
        <w:t>cultivation</w:t>
      </w:r>
      <w:r w:rsidR="00C51270" w:rsidRPr="00B13280">
        <w:t xml:space="preserve"> pathways are much more labour intensive than wild harvesting</w:t>
      </w:r>
      <w:r w:rsidR="004478FC" w:rsidRPr="00B13280">
        <w:t xml:space="preserve"> pathways</w:t>
      </w:r>
      <w:r w:rsidR="00897654" w:rsidRPr="00B13280">
        <w:t xml:space="preserve">, </w:t>
      </w:r>
      <w:r w:rsidR="003A1ED8" w:rsidRPr="00B13280">
        <w:t>they contribute</w:t>
      </w:r>
      <w:r w:rsidR="00897654" w:rsidRPr="00B13280">
        <w:t xml:space="preserve"> </w:t>
      </w:r>
      <w:r w:rsidR="00F87EF2" w:rsidRPr="00B13280">
        <w:t>much more to social wellbeing</w:t>
      </w:r>
      <w:r w:rsidR="00C6687B" w:rsidRPr="00B13280">
        <w:t xml:space="preserve">. </w:t>
      </w:r>
      <w:r w:rsidR="00F87EF2" w:rsidRPr="0003488E">
        <w:t>T</w:t>
      </w:r>
      <w:r w:rsidR="005056CD" w:rsidRPr="0003488E">
        <w:t xml:space="preserve">he maximum increase in wellbeing </w:t>
      </w:r>
      <w:r w:rsidR="00F87EF2" w:rsidRPr="0003488E">
        <w:t xml:space="preserve">is </w:t>
      </w:r>
      <w:r w:rsidR="005056CD" w:rsidRPr="0003488E">
        <w:t xml:space="preserve">attributed to the </w:t>
      </w:r>
      <w:r w:rsidR="0003488E" w:rsidRPr="00D9599D">
        <w:t>small</w:t>
      </w:r>
      <w:r w:rsidR="005056CD" w:rsidRPr="0003488E">
        <w:t>-s</w:t>
      </w:r>
      <w:r w:rsidR="00F75C56" w:rsidRPr="0003488E">
        <w:t>ize</w:t>
      </w:r>
      <w:r w:rsidR="005056CD" w:rsidRPr="0003488E">
        <w:t xml:space="preserve"> </w:t>
      </w:r>
      <w:r w:rsidR="00F75C56" w:rsidRPr="0003488E">
        <w:t>farm</w:t>
      </w:r>
      <w:r w:rsidR="0003488E" w:rsidRPr="00D9599D">
        <w:t xml:space="preserve"> (C1)</w:t>
      </w:r>
      <w:r w:rsidR="00B13280" w:rsidRPr="00D9599D">
        <w:t xml:space="preserve"> </w:t>
      </w:r>
      <w:r w:rsidR="00F75C56" w:rsidRPr="0003488E">
        <w:t>(</w:t>
      </w:r>
      <w:r w:rsidR="00D45DDB">
        <w:t>20.59</w:t>
      </w:r>
      <w:r w:rsidR="00544A48" w:rsidRPr="0003488E">
        <w:t xml:space="preserve"> HP/kg FW</w:t>
      </w:r>
      <w:r w:rsidR="00F75C56" w:rsidRPr="0003488E">
        <w:t>)</w:t>
      </w:r>
      <w:r w:rsidR="00544A48" w:rsidRPr="0003488E">
        <w:t xml:space="preserve"> followed by the </w:t>
      </w:r>
      <w:r w:rsidR="00D45DDB">
        <w:t>medium</w:t>
      </w:r>
      <w:r w:rsidR="00544A48" w:rsidRPr="0003488E">
        <w:t>-size farm</w:t>
      </w:r>
      <w:r w:rsidR="00B13280" w:rsidRPr="00D9599D">
        <w:t xml:space="preserve"> </w:t>
      </w:r>
      <w:r w:rsidR="0003488E" w:rsidRPr="00D9599D">
        <w:t>(C</w:t>
      </w:r>
      <w:r w:rsidR="00E71969">
        <w:t>2</w:t>
      </w:r>
      <w:r w:rsidR="0003488E" w:rsidRPr="00D9599D">
        <w:t>)</w:t>
      </w:r>
      <w:r w:rsidR="00544A48" w:rsidRPr="0003488E">
        <w:t xml:space="preserve"> (</w:t>
      </w:r>
      <w:r w:rsidR="0003488E" w:rsidRPr="00D9599D">
        <w:t>1</w:t>
      </w:r>
      <w:r w:rsidR="009D1419">
        <w:t xml:space="preserve">9.24 </w:t>
      </w:r>
      <w:r w:rsidR="00544A48" w:rsidRPr="0003488E">
        <w:t>HP/kg FW)</w:t>
      </w:r>
      <w:r w:rsidR="00147CE9" w:rsidRPr="0003488E">
        <w:t xml:space="preserve"> and large-size farm </w:t>
      </w:r>
      <w:r w:rsidR="0003488E" w:rsidRPr="00D9599D">
        <w:t>(C</w:t>
      </w:r>
      <w:r w:rsidR="00E71969">
        <w:t>3</w:t>
      </w:r>
      <w:r w:rsidR="0003488E" w:rsidRPr="00D9599D">
        <w:t xml:space="preserve">) </w:t>
      </w:r>
      <w:r w:rsidR="00147CE9" w:rsidRPr="0003488E">
        <w:t>(</w:t>
      </w:r>
      <w:r w:rsidR="0003488E" w:rsidRPr="00D9599D">
        <w:t>1</w:t>
      </w:r>
      <w:r w:rsidR="00E71969">
        <w:t>8.53</w:t>
      </w:r>
      <w:r w:rsidR="004878BE" w:rsidRPr="0003488E">
        <w:t xml:space="preserve"> HP/kg FW)</w:t>
      </w:r>
      <w:r w:rsidR="00544A48" w:rsidRPr="0003488E">
        <w:t xml:space="preserve">. </w:t>
      </w:r>
      <w:r w:rsidR="004878BE" w:rsidRPr="00B13280">
        <w:t xml:space="preserve">Of the wild harvesting pathways, harvesting by foot (W1) is found to </w:t>
      </w:r>
      <w:r w:rsidR="00C21D51" w:rsidRPr="00B13280">
        <w:t>cause</w:t>
      </w:r>
      <w:r w:rsidR="004878BE" w:rsidRPr="00B13280">
        <w:t xml:space="preserve"> the highest</w:t>
      </w:r>
      <w:r w:rsidR="00C21D51" w:rsidRPr="00B13280">
        <w:t xml:space="preserve"> increase in wellbeing (</w:t>
      </w:r>
      <w:r w:rsidR="009D1419">
        <w:t>5.45</w:t>
      </w:r>
      <w:r w:rsidR="00C21D51" w:rsidRPr="00B13280">
        <w:t xml:space="preserve"> HP/kg FW)</w:t>
      </w:r>
      <w:r w:rsidR="00327419" w:rsidRPr="00B13280">
        <w:t>, with</w:t>
      </w:r>
      <w:r w:rsidR="00C21D51" w:rsidRPr="00B13280">
        <w:t xml:space="preserve"> </w:t>
      </w:r>
      <w:r w:rsidR="00AF16BD" w:rsidRPr="00B13280">
        <w:t xml:space="preserve">the boat and rake method (W2) </w:t>
      </w:r>
      <w:r w:rsidR="00327419" w:rsidRPr="00B13280">
        <w:t>having</w:t>
      </w:r>
      <w:r w:rsidR="00AF16BD" w:rsidRPr="00B13280">
        <w:t xml:space="preserve"> a </w:t>
      </w:r>
      <w:r w:rsidR="005056CD" w:rsidRPr="00B13280">
        <w:t xml:space="preserve">slightly </w:t>
      </w:r>
      <w:r w:rsidR="00AF16BD" w:rsidRPr="00B13280">
        <w:t xml:space="preserve">lower potential for wellbeing increase </w:t>
      </w:r>
      <w:r w:rsidR="001D4D9A" w:rsidRPr="00B13280">
        <w:t>(</w:t>
      </w:r>
      <w:r w:rsidR="009D1419">
        <w:t>5.01</w:t>
      </w:r>
      <w:r w:rsidR="001D4D9A" w:rsidRPr="00B13280">
        <w:t xml:space="preserve"> HP/kg FW)</w:t>
      </w:r>
      <w:r w:rsidR="00AF16BD" w:rsidRPr="00B13280">
        <w:t xml:space="preserve">. </w:t>
      </w:r>
      <w:r w:rsidR="00E6725E" w:rsidRPr="00B13280">
        <w:t xml:space="preserve">Finally, mechanical </w:t>
      </w:r>
      <w:r w:rsidR="00AF16BD" w:rsidRPr="00B13280">
        <w:t xml:space="preserve">harvesting (W3) </w:t>
      </w:r>
      <w:r w:rsidR="008378E4" w:rsidRPr="00B13280">
        <w:t xml:space="preserve">creates the least jobs and therefore </w:t>
      </w:r>
      <w:r w:rsidR="00736112" w:rsidRPr="00B13280">
        <w:t>has the lowest</w:t>
      </w:r>
      <w:r w:rsidR="00AF16BD" w:rsidRPr="00B13280">
        <w:t xml:space="preserve"> potential </w:t>
      </w:r>
      <w:r w:rsidR="00736112" w:rsidRPr="00B13280">
        <w:t xml:space="preserve">for increasing </w:t>
      </w:r>
      <w:r w:rsidR="00AF16BD" w:rsidRPr="00B13280">
        <w:t xml:space="preserve">wellbeing </w:t>
      </w:r>
      <w:r w:rsidR="00310384" w:rsidRPr="00B13280">
        <w:t>(</w:t>
      </w:r>
      <w:r w:rsidR="00736112" w:rsidRPr="00B13280">
        <w:t>0.</w:t>
      </w:r>
      <w:r w:rsidR="00FC546A">
        <w:t>60</w:t>
      </w:r>
      <w:r w:rsidR="00736112" w:rsidRPr="00B13280">
        <w:t xml:space="preserve"> HP/kg FW</w:t>
      </w:r>
      <w:r w:rsidR="00310384" w:rsidRPr="00B13280">
        <w:t>).</w:t>
      </w:r>
      <w:r w:rsidR="00310384">
        <w:t xml:space="preserve"> </w:t>
      </w:r>
    </w:p>
    <w:p w14:paraId="5864104A" w14:textId="03F450FE" w:rsidR="00904F04" w:rsidRDefault="00974767" w:rsidP="00890D06">
      <w:pPr>
        <w:spacing w:after="240" w:line="480" w:lineRule="auto"/>
        <w:rPr>
          <w:noProof/>
        </w:rPr>
      </w:pPr>
      <w:r w:rsidRPr="00974767">
        <w:rPr>
          <w:noProof/>
        </w:rPr>
        <w:lastRenderedPageBreak/>
        <w:t xml:space="preserve"> </w:t>
      </w:r>
      <w:r w:rsidR="002C5C4D">
        <w:rPr>
          <w:noProof/>
        </w:rPr>
        <w:drawing>
          <wp:inline distT="0" distB="0" distL="0" distR="0" wp14:anchorId="3F2E25CD" wp14:editId="5D007289">
            <wp:extent cx="5924550" cy="2667000"/>
            <wp:effectExtent l="0" t="0" r="0" b="0"/>
            <wp:docPr id="1833812958" name="Chart 1">
              <a:extLst xmlns:a="http://schemas.openxmlformats.org/drawingml/2006/main">
                <a:ext uri="{FF2B5EF4-FFF2-40B4-BE49-F238E27FC236}">
                  <a16:creationId xmlns:a16="http://schemas.microsoft.com/office/drawing/2014/main" id="{EC2A2325-DECD-4CB0-9C83-699479FE84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C61A41" w14:textId="14B751CF" w:rsidR="00904F04" w:rsidRDefault="00904F04" w:rsidP="00890D06">
      <w:pPr>
        <w:spacing w:after="240" w:line="480" w:lineRule="auto"/>
      </w:pPr>
      <w:r>
        <w:t xml:space="preserve">Figure </w:t>
      </w:r>
      <w:r w:rsidR="00E6725E">
        <w:t>4</w:t>
      </w:r>
      <w:r>
        <w:t xml:space="preserve">: </w:t>
      </w:r>
      <w:r w:rsidR="008B702E">
        <w:t xml:space="preserve">Minimum selling price (€) </w:t>
      </w:r>
      <w:r w:rsidR="008B702E" w:rsidRPr="00A33EFA">
        <w:t>of production pathways considering a functional unit of kg seaweed fresh weight.</w:t>
      </w:r>
    </w:p>
    <w:p w14:paraId="419C8D2C" w14:textId="24269A54" w:rsidR="00DF7A81" w:rsidRDefault="00920C4F" w:rsidP="00890D06">
      <w:pPr>
        <w:spacing w:after="240" w:line="480" w:lineRule="auto"/>
      </w:pPr>
      <w:r w:rsidRPr="00920C4F">
        <w:rPr>
          <w:noProof/>
        </w:rPr>
        <w:t xml:space="preserve"> </w:t>
      </w:r>
      <w:r>
        <w:rPr>
          <w:noProof/>
        </w:rPr>
        <w:drawing>
          <wp:inline distT="0" distB="0" distL="0" distR="0" wp14:anchorId="23A26233" wp14:editId="6C2E0677">
            <wp:extent cx="5876925" cy="2743200"/>
            <wp:effectExtent l="0" t="0" r="9525" b="0"/>
            <wp:docPr id="1733882958" name="Chart 1">
              <a:extLst xmlns:a="http://schemas.openxmlformats.org/drawingml/2006/main">
                <a:ext uri="{FF2B5EF4-FFF2-40B4-BE49-F238E27FC236}">
                  <a16:creationId xmlns:a16="http://schemas.microsoft.com/office/drawing/2014/main" id="{29986CEB-DA2A-4260-ACC2-A47C8B4045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9C8D31" w14:textId="036D584B" w:rsidR="00DF7A81" w:rsidRDefault="00F965A1" w:rsidP="00890D06">
      <w:pPr>
        <w:spacing w:after="240" w:line="480" w:lineRule="auto"/>
      </w:pPr>
      <w:r w:rsidRPr="00A33EFA">
        <w:t xml:space="preserve">Figure </w:t>
      </w:r>
      <w:r w:rsidR="00E6725E">
        <w:t>5</w:t>
      </w:r>
      <w:r w:rsidRPr="00A33EFA">
        <w:t>: Human wellbeing impacts (</w:t>
      </w:r>
      <w:r w:rsidR="00586373">
        <w:t>HP</w:t>
      </w:r>
      <w:r w:rsidRPr="00A33EFA">
        <w:t>) of production pathways considering a functional unit of kg seaweed fresh weight.</w:t>
      </w:r>
    </w:p>
    <w:p w14:paraId="4AEB94A7" w14:textId="0E0A0BD7" w:rsidR="00834A03" w:rsidRPr="00834A03" w:rsidRDefault="00561344" w:rsidP="00890D06">
      <w:pPr>
        <w:pStyle w:val="Heading2"/>
        <w:numPr>
          <w:ilvl w:val="1"/>
          <w:numId w:val="12"/>
        </w:numPr>
        <w:spacing w:before="0" w:after="240" w:line="480" w:lineRule="auto"/>
        <w:rPr>
          <w:b/>
          <w:bCs/>
          <w:sz w:val="22"/>
          <w:szCs w:val="22"/>
        </w:rPr>
      </w:pPr>
      <w:bookmarkStart w:id="57" w:name="_Toc130974814"/>
      <w:r>
        <w:rPr>
          <w:b/>
          <w:bCs/>
          <w:sz w:val="22"/>
          <w:szCs w:val="22"/>
        </w:rPr>
        <w:lastRenderedPageBreak/>
        <w:t xml:space="preserve">Determining the </w:t>
      </w:r>
      <w:r w:rsidR="003304A6">
        <w:rPr>
          <w:b/>
          <w:bCs/>
          <w:sz w:val="22"/>
          <w:szCs w:val="22"/>
        </w:rPr>
        <w:t xml:space="preserve">feasibility </w:t>
      </w:r>
      <w:r>
        <w:rPr>
          <w:b/>
          <w:bCs/>
          <w:sz w:val="22"/>
          <w:szCs w:val="22"/>
        </w:rPr>
        <w:t>of</w:t>
      </w:r>
      <w:r w:rsidR="008A3108">
        <w:rPr>
          <w:b/>
          <w:bCs/>
          <w:sz w:val="22"/>
          <w:szCs w:val="22"/>
        </w:rPr>
        <w:t xml:space="preserve"> upscaling</w:t>
      </w:r>
      <w:r>
        <w:rPr>
          <w:b/>
          <w:bCs/>
          <w:sz w:val="22"/>
          <w:szCs w:val="22"/>
        </w:rPr>
        <w:t xml:space="preserve"> </w:t>
      </w:r>
      <w:r w:rsidR="008A3108">
        <w:rPr>
          <w:b/>
          <w:bCs/>
          <w:sz w:val="22"/>
          <w:szCs w:val="22"/>
        </w:rPr>
        <w:t xml:space="preserve">Irish </w:t>
      </w:r>
      <w:r>
        <w:rPr>
          <w:b/>
          <w:bCs/>
          <w:sz w:val="22"/>
          <w:szCs w:val="22"/>
        </w:rPr>
        <w:t>s</w:t>
      </w:r>
      <w:r w:rsidR="003916E3">
        <w:rPr>
          <w:b/>
          <w:bCs/>
          <w:sz w:val="22"/>
          <w:szCs w:val="22"/>
        </w:rPr>
        <w:t xml:space="preserve">eaweed production </w:t>
      </w:r>
      <w:r>
        <w:rPr>
          <w:b/>
          <w:bCs/>
          <w:sz w:val="22"/>
          <w:szCs w:val="22"/>
        </w:rPr>
        <w:t xml:space="preserve">to meet European </w:t>
      </w:r>
      <w:proofErr w:type="gramStart"/>
      <w:r>
        <w:rPr>
          <w:b/>
          <w:bCs/>
          <w:sz w:val="22"/>
          <w:szCs w:val="22"/>
        </w:rPr>
        <w:t>targets</w:t>
      </w:r>
      <w:bookmarkEnd w:id="57"/>
      <w:proofErr w:type="gramEnd"/>
    </w:p>
    <w:p w14:paraId="40F2F8B1" w14:textId="6969F8F1" w:rsidR="00031408" w:rsidRPr="0050792D" w:rsidRDefault="005A7916" w:rsidP="00890D06">
      <w:pPr>
        <w:spacing w:after="240" w:line="480" w:lineRule="auto"/>
        <w:jc w:val="both"/>
        <w:rPr>
          <w:lang w:val="en-IE"/>
        </w:rPr>
      </w:pPr>
      <w:r w:rsidRPr="0050792D">
        <w:rPr>
          <w:lang w:val="en-IE"/>
        </w:rPr>
        <w:t>The total resource availability of rockweeds and kelps in Ireland is estimated at 302,024 and 1,100,753 tonnes FW, respectively. Assuming an exploitation rate of 25% for manual rockweed harvesting and an exploitation rate of 15% for mechanically harvested kelp, the limits to Irish seaweed production</w:t>
      </w:r>
      <w:r w:rsidR="00AB328A" w:rsidRPr="0050792D">
        <w:rPr>
          <w:lang w:val="en-IE"/>
        </w:rPr>
        <w:t xml:space="preserve"> fro</w:t>
      </w:r>
      <w:r w:rsidR="001F1994" w:rsidRPr="0050792D">
        <w:rPr>
          <w:lang w:val="en-IE"/>
        </w:rPr>
        <w:t>m wild harvesting</w:t>
      </w:r>
      <w:r w:rsidRPr="0050792D">
        <w:rPr>
          <w:lang w:val="en-IE"/>
        </w:rPr>
        <w:t xml:space="preserve"> are 75,506 tonnes FW</w:t>
      </w:r>
      <w:r w:rsidR="001F1994" w:rsidRPr="0050792D">
        <w:rPr>
          <w:lang w:val="en-IE"/>
        </w:rPr>
        <w:t>/year</w:t>
      </w:r>
      <w:r w:rsidRPr="0050792D">
        <w:rPr>
          <w:lang w:val="en-IE"/>
        </w:rPr>
        <w:t xml:space="preserve"> for rockweeds and 165,113 tonnes FW</w:t>
      </w:r>
      <w:r w:rsidR="001F1994" w:rsidRPr="0050792D">
        <w:rPr>
          <w:lang w:val="en-IE"/>
        </w:rPr>
        <w:t>/year</w:t>
      </w:r>
      <w:r w:rsidRPr="0050792D">
        <w:rPr>
          <w:lang w:val="en-IE"/>
        </w:rPr>
        <w:t xml:space="preserve"> for kelps</w:t>
      </w:r>
      <w:r w:rsidR="000E1F8D">
        <w:rPr>
          <w:lang w:val="en-IE"/>
        </w:rPr>
        <w:t xml:space="preserve">, resulting in a </w:t>
      </w:r>
      <w:r w:rsidR="00355838">
        <w:rPr>
          <w:lang w:val="en-IE"/>
        </w:rPr>
        <w:t>total</w:t>
      </w:r>
      <w:r w:rsidR="000E1F8D">
        <w:rPr>
          <w:lang w:val="en-IE"/>
        </w:rPr>
        <w:t xml:space="preserve"> wild harvest of 240,</w:t>
      </w:r>
      <w:r w:rsidR="004C3CE4">
        <w:rPr>
          <w:lang w:val="en-IE"/>
        </w:rPr>
        <w:t xml:space="preserve">619 </w:t>
      </w:r>
      <w:r w:rsidR="000E1F8D">
        <w:rPr>
          <w:lang w:val="en-IE"/>
        </w:rPr>
        <w:t>tonnes</w:t>
      </w:r>
      <w:r w:rsidR="00355838">
        <w:rPr>
          <w:lang w:val="en-IE"/>
        </w:rPr>
        <w:t xml:space="preserve"> FW</w:t>
      </w:r>
      <w:r w:rsidRPr="0050792D">
        <w:rPr>
          <w:lang w:val="en-IE"/>
        </w:rPr>
        <w:t xml:space="preserve">. </w:t>
      </w:r>
      <w:r w:rsidR="00C619AF" w:rsidRPr="0050792D">
        <w:rPr>
          <w:lang w:val="en-IE"/>
        </w:rPr>
        <w:t xml:space="preserve">The total Irish sea surface area within 22km of the shoreline is approximately 150,000 km2. However, it is estimated that 25% of this area is currently being utilised for other purposes. The total available sea surface area </w:t>
      </w:r>
      <w:r w:rsidR="00AB328A" w:rsidRPr="0050792D">
        <w:rPr>
          <w:lang w:val="en-IE"/>
        </w:rPr>
        <w:t xml:space="preserve">for upscaling seaweed cultivation </w:t>
      </w:r>
      <w:r w:rsidR="00C619AF" w:rsidRPr="0050792D">
        <w:rPr>
          <w:lang w:val="en-IE"/>
        </w:rPr>
        <w:t>is there</w:t>
      </w:r>
      <w:r w:rsidR="0001449C" w:rsidRPr="0050792D">
        <w:rPr>
          <w:lang w:val="en-IE"/>
        </w:rPr>
        <w:t>fore</w:t>
      </w:r>
      <w:r w:rsidR="00C619AF" w:rsidRPr="0050792D">
        <w:rPr>
          <w:lang w:val="en-IE"/>
        </w:rPr>
        <w:t xml:space="preserve"> estimated at 112,500 km2. </w:t>
      </w:r>
      <w:r w:rsidR="00C619AF" w:rsidRPr="0003488E">
        <w:rPr>
          <w:lang w:val="en-IE"/>
        </w:rPr>
        <w:t xml:space="preserve">Based on a specific </w:t>
      </w:r>
      <w:r w:rsidR="0003488E" w:rsidRPr="00D9599D">
        <w:rPr>
          <w:lang w:val="en-IE"/>
        </w:rPr>
        <w:t>productivity</w:t>
      </w:r>
      <w:r w:rsidR="00C619AF" w:rsidRPr="0003488E">
        <w:rPr>
          <w:lang w:val="en-IE"/>
        </w:rPr>
        <w:t xml:space="preserve"> of 13.2 tonnes FW/ha/year, the limit to Irish seaweed production from cultivation is estimated at 148,500,000 tonnes FW/year.</w:t>
      </w:r>
      <w:r w:rsidR="00C619AF" w:rsidRPr="0050792D">
        <w:rPr>
          <w:lang w:val="en-IE"/>
        </w:rPr>
        <w:t xml:space="preserve"> </w:t>
      </w:r>
    </w:p>
    <w:p w14:paraId="387BC48D" w14:textId="1FC2A318" w:rsidR="00041F33" w:rsidRDefault="00390FCD" w:rsidP="00890D06">
      <w:pPr>
        <w:spacing w:after="240" w:line="480" w:lineRule="auto"/>
        <w:jc w:val="both"/>
      </w:pPr>
      <w:r w:rsidRPr="0050792D">
        <w:rPr>
          <w:lang w:val="en-IE"/>
        </w:rPr>
        <w:t>The estimated harvestable biomass</w:t>
      </w:r>
      <w:r w:rsidR="00031408" w:rsidRPr="0050792D">
        <w:rPr>
          <w:lang w:val="en-IE"/>
        </w:rPr>
        <w:t xml:space="preserve"> from cultivation</w:t>
      </w:r>
      <w:r w:rsidR="00C619AF" w:rsidRPr="0050792D">
        <w:rPr>
          <w:lang w:val="en-IE"/>
        </w:rPr>
        <w:t xml:space="preserve"> is well above the defined target for seaweed production</w:t>
      </w:r>
      <w:r w:rsidR="0073044D" w:rsidRPr="0050792D">
        <w:t xml:space="preserve"> of 900,000 tonnes FW/year</w:t>
      </w:r>
      <w:r w:rsidR="00311E82" w:rsidRPr="0050792D">
        <w:t xml:space="preserve">, meaning 100% of future production </w:t>
      </w:r>
      <w:r w:rsidR="004972F0" w:rsidRPr="0050792D">
        <w:t>can</w:t>
      </w:r>
      <w:r w:rsidR="00311E82" w:rsidRPr="0050792D">
        <w:t xml:space="preserve"> come from </w:t>
      </w:r>
      <w:r w:rsidR="000F6B1E" w:rsidRPr="0050792D">
        <w:t>cultivation</w:t>
      </w:r>
      <w:r w:rsidR="00C619AF" w:rsidRPr="0050792D">
        <w:rPr>
          <w:lang w:val="en-IE"/>
        </w:rPr>
        <w:t>.</w:t>
      </w:r>
      <w:r w:rsidRPr="0050792D">
        <w:t xml:space="preserve"> </w:t>
      </w:r>
      <w:r w:rsidR="00311E82" w:rsidRPr="0050792D">
        <w:t>On the other hand</w:t>
      </w:r>
      <w:r w:rsidR="003255B8" w:rsidRPr="0050792D">
        <w:t xml:space="preserve">, no more than </w:t>
      </w:r>
      <w:r w:rsidR="008A3B52" w:rsidRPr="0050792D">
        <w:t>26.74</w:t>
      </w:r>
      <w:r w:rsidR="003255B8" w:rsidRPr="0050792D">
        <w:t>%</w:t>
      </w:r>
      <w:r w:rsidR="005B70F8">
        <w:t xml:space="preserve"> </w:t>
      </w:r>
      <w:r w:rsidR="004B7DF8">
        <w:t>(</w:t>
      </w:r>
      <w:r w:rsidR="005B70F8">
        <w:rPr>
          <w:lang w:val="en-IE"/>
        </w:rPr>
        <w:t>240,61</w:t>
      </w:r>
      <w:r w:rsidR="000E1F8D">
        <w:rPr>
          <w:lang w:val="en-IE"/>
        </w:rPr>
        <w:t>9</w:t>
      </w:r>
      <w:r w:rsidR="005B70F8">
        <w:rPr>
          <w:lang w:val="en-IE"/>
        </w:rPr>
        <w:t xml:space="preserve"> tonnes</w:t>
      </w:r>
      <w:r w:rsidR="004C3CE4">
        <w:rPr>
          <w:lang w:val="en-IE"/>
        </w:rPr>
        <w:t xml:space="preserve"> FW</w:t>
      </w:r>
      <w:r w:rsidR="005B70F8">
        <w:rPr>
          <w:lang w:val="en-IE"/>
        </w:rPr>
        <w:t>)</w:t>
      </w:r>
      <w:r w:rsidR="003255B8" w:rsidRPr="0050792D">
        <w:t xml:space="preserve"> of total production </w:t>
      </w:r>
      <w:r w:rsidR="004972F0" w:rsidRPr="0050792D">
        <w:t>can</w:t>
      </w:r>
      <w:r w:rsidR="003255B8" w:rsidRPr="0050792D">
        <w:t xml:space="preserve"> sustainably come from wild harvesting. Furthermore, </w:t>
      </w:r>
      <w:r w:rsidR="00E47509">
        <w:t>wild harvesting pathways are limited</w:t>
      </w:r>
      <w:r w:rsidR="008027E7">
        <w:t xml:space="preserve"> by</w:t>
      </w:r>
      <w:r w:rsidR="003255B8" w:rsidRPr="0050792D">
        <w:t xml:space="preserve"> the </w:t>
      </w:r>
      <w:r w:rsidR="00955120">
        <w:t>differing availability</w:t>
      </w:r>
      <w:r w:rsidR="003255B8" w:rsidRPr="0050792D">
        <w:t xml:space="preserve"> of </w:t>
      </w:r>
      <w:r w:rsidR="00B61EA3" w:rsidRPr="0050792D">
        <w:t>rockweed</w:t>
      </w:r>
      <w:r w:rsidR="003255B8" w:rsidRPr="0050792D">
        <w:t xml:space="preserve"> and kelp resources </w:t>
      </w:r>
      <w:r w:rsidR="00315793">
        <w:t>in Ireland</w:t>
      </w:r>
      <w:r w:rsidR="000A7894">
        <w:t xml:space="preserve"> </w:t>
      </w:r>
      <w:r w:rsidR="00B961F2">
        <w:t>(Figure 6)</w:t>
      </w:r>
      <w:r w:rsidR="007169A0" w:rsidRPr="0050792D">
        <w:t xml:space="preserve">. </w:t>
      </w:r>
      <w:r w:rsidR="00355838">
        <w:t>A</w:t>
      </w:r>
      <w:r w:rsidR="00277118">
        <w:t xml:space="preserve"> </w:t>
      </w:r>
      <w:r w:rsidR="00AF426E" w:rsidRPr="0050792D">
        <w:t>20% contribution of wild harvesting to</w:t>
      </w:r>
      <w:r w:rsidR="005B70F8">
        <w:t xml:space="preserve"> the</w:t>
      </w:r>
      <w:r w:rsidR="00AF426E" w:rsidRPr="0050792D">
        <w:t xml:space="preserve"> total </w:t>
      </w:r>
      <w:r w:rsidR="005B70F8">
        <w:t xml:space="preserve">900,000 tonnes </w:t>
      </w:r>
      <w:r w:rsidR="004C3CE4">
        <w:t xml:space="preserve">FW </w:t>
      </w:r>
      <w:r w:rsidR="00CA16AC">
        <w:t xml:space="preserve">annual </w:t>
      </w:r>
      <w:r w:rsidR="00AF426E" w:rsidRPr="0050792D">
        <w:t xml:space="preserve">production </w:t>
      </w:r>
      <w:r w:rsidR="00277118">
        <w:t xml:space="preserve">is </w:t>
      </w:r>
      <w:r w:rsidR="00A10C98" w:rsidRPr="0050792D">
        <w:t>only</w:t>
      </w:r>
      <w:r w:rsidR="00AF426E" w:rsidRPr="0050792D">
        <w:t xml:space="preserve"> possible if </w:t>
      </w:r>
      <w:r w:rsidR="000D26EB">
        <w:t>less than 42% (75,600 tonnes</w:t>
      </w:r>
      <w:r w:rsidR="004C3CE4">
        <w:t xml:space="preserve"> FW</w:t>
      </w:r>
      <w:r w:rsidR="000D26EB">
        <w:t xml:space="preserve">) </w:t>
      </w:r>
      <w:r w:rsidR="006B1C03" w:rsidRPr="0050792D">
        <w:t xml:space="preserve">of the wild harvested resource </w:t>
      </w:r>
      <w:r w:rsidR="000D26EB">
        <w:t>comes from rockweeds</w:t>
      </w:r>
      <w:r w:rsidR="000D26EB" w:rsidRPr="0050792D" w:rsidDel="001079B0">
        <w:t xml:space="preserve"> </w:t>
      </w:r>
      <w:r w:rsidR="000D26EB">
        <w:t xml:space="preserve">and </w:t>
      </w:r>
      <w:r w:rsidR="00E233EE">
        <w:t xml:space="preserve">no more than </w:t>
      </w:r>
      <w:r w:rsidR="002035E0">
        <w:t>92% (165,600 tonnes</w:t>
      </w:r>
      <w:r w:rsidR="004C3CE4">
        <w:t xml:space="preserve"> FW</w:t>
      </w:r>
      <w:r w:rsidR="002035E0">
        <w:t xml:space="preserve">) </w:t>
      </w:r>
      <w:r w:rsidR="00AF426E" w:rsidRPr="0050792D">
        <w:t>c</w:t>
      </w:r>
      <w:r w:rsidR="00A10C98" w:rsidRPr="0050792D">
        <w:t>o</w:t>
      </w:r>
      <w:r w:rsidR="00AF426E" w:rsidRPr="0050792D">
        <w:t>me</w:t>
      </w:r>
      <w:r w:rsidR="00A10C98" w:rsidRPr="0050792D">
        <w:t>s</w:t>
      </w:r>
      <w:r w:rsidR="00AF426E" w:rsidRPr="0050792D">
        <w:t xml:space="preserve"> from </w:t>
      </w:r>
      <w:r w:rsidR="001E3591" w:rsidRPr="0050792D">
        <w:t xml:space="preserve">the </w:t>
      </w:r>
      <w:r w:rsidR="00AF426E" w:rsidRPr="0050792D">
        <w:t xml:space="preserve">harvesting </w:t>
      </w:r>
      <w:r w:rsidR="001E3591" w:rsidRPr="0050792D">
        <w:t xml:space="preserve">of </w:t>
      </w:r>
      <w:r w:rsidR="00AF426E" w:rsidRPr="0050792D">
        <w:t>kelps</w:t>
      </w:r>
      <w:r w:rsidR="00E233EE">
        <w:t>.</w:t>
      </w:r>
      <w:r w:rsidR="00F80694">
        <w:t xml:space="preserve"> </w:t>
      </w:r>
      <w:r w:rsidR="00355838">
        <w:t>A</w:t>
      </w:r>
      <w:r w:rsidR="00756152">
        <w:t xml:space="preserve"> </w:t>
      </w:r>
      <w:r w:rsidR="003255B8" w:rsidRPr="0050792D">
        <w:t xml:space="preserve">10% </w:t>
      </w:r>
      <w:r w:rsidR="004D693C" w:rsidRPr="0050792D">
        <w:t>contribution of wild harvesting to</w:t>
      </w:r>
      <w:r w:rsidR="003255B8" w:rsidRPr="0050792D">
        <w:t xml:space="preserve"> total production</w:t>
      </w:r>
      <w:r w:rsidR="00277118">
        <w:t xml:space="preserve"> is only </w:t>
      </w:r>
      <w:r w:rsidR="008C4C41">
        <w:t>possible if</w:t>
      </w:r>
      <w:r w:rsidR="008C4C41" w:rsidRPr="0050792D">
        <w:t xml:space="preserve"> </w:t>
      </w:r>
      <w:r w:rsidR="008A466B">
        <w:t>no more than 84% (75,600 tonnes</w:t>
      </w:r>
      <w:r w:rsidR="004C3CE4">
        <w:t xml:space="preserve"> FW</w:t>
      </w:r>
      <w:r w:rsidR="008A466B">
        <w:t xml:space="preserve">) </w:t>
      </w:r>
      <w:r w:rsidR="006B1C03" w:rsidRPr="0050792D">
        <w:t xml:space="preserve">of the wild harvested resource </w:t>
      </w:r>
      <w:r w:rsidR="006B1C03">
        <w:t>come</w:t>
      </w:r>
      <w:r w:rsidR="008C4C41">
        <w:t>s</w:t>
      </w:r>
      <w:r w:rsidR="006B1C03">
        <w:t xml:space="preserve"> from </w:t>
      </w:r>
      <w:r w:rsidR="00BE1F0C">
        <w:t>rockweed harvesting</w:t>
      </w:r>
      <w:r w:rsidR="003255B8" w:rsidRPr="0050792D">
        <w:t xml:space="preserve">. </w:t>
      </w:r>
    </w:p>
    <w:p w14:paraId="587ED591" w14:textId="78530815" w:rsidR="0050792D" w:rsidRDefault="00B66ED5" w:rsidP="00890D06">
      <w:pPr>
        <w:spacing w:after="240" w:line="480" w:lineRule="auto"/>
        <w:jc w:val="both"/>
      </w:pPr>
      <w:r>
        <w:rPr>
          <w:noProof/>
        </w:rPr>
        <w:lastRenderedPageBreak/>
        <w:drawing>
          <wp:inline distT="0" distB="0" distL="0" distR="0" wp14:anchorId="746878E4" wp14:editId="2CE0DB48">
            <wp:extent cx="5960084" cy="2676525"/>
            <wp:effectExtent l="0" t="0" r="3175" b="0"/>
            <wp:docPr id="1291433066" name="Picture 1291433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433066" name="Picture 1291433066"/>
                    <pic:cNvPicPr/>
                  </pic:nvPicPr>
                  <pic:blipFill rotWithShape="1">
                    <a:blip r:embed="rId15">
                      <a:extLst>
                        <a:ext uri="{28A0092B-C50C-407E-A947-70E740481C1C}">
                          <a14:useLocalDpi xmlns:a14="http://schemas.microsoft.com/office/drawing/2010/main" val="0"/>
                        </a:ext>
                      </a:extLst>
                    </a:blip>
                    <a:srcRect t="2196" b="2351"/>
                    <a:stretch/>
                  </pic:blipFill>
                  <pic:spPr bwMode="auto">
                    <a:xfrm>
                      <a:off x="0" y="0"/>
                      <a:ext cx="5961743" cy="2677270"/>
                    </a:xfrm>
                    <a:prstGeom prst="rect">
                      <a:avLst/>
                    </a:prstGeom>
                    <a:ln>
                      <a:noFill/>
                    </a:ln>
                    <a:extLst>
                      <a:ext uri="{53640926-AAD7-44D8-BBD7-CCE9431645EC}">
                        <a14:shadowObscured xmlns:a14="http://schemas.microsoft.com/office/drawing/2010/main"/>
                      </a:ext>
                    </a:extLst>
                  </pic:spPr>
                </pic:pic>
              </a:graphicData>
            </a:graphic>
          </wp:inline>
        </w:drawing>
      </w:r>
    </w:p>
    <w:p w14:paraId="34E93DC0" w14:textId="31C1C76E" w:rsidR="00355979" w:rsidDel="00B66ED5" w:rsidRDefault="00355979" w:rsidP="00890D06">
      <w:pPr>
        <w:spacing w:after="240" w:line="480" w:lineRule="auto"/>
      </w:pPr>
      <w:r w:rsidDel="00B66ED5">
        <w:t xml:space="preserve">Figure 6: </w:t>
      </w:r>
      <w:r w:rsidR="00890560">
        <w:t>S</w:t>
      </w:r>
      <w:r w:rsidDel="00B66ED5">
        <w:t xml:space="preserve">cale-up potential </w:t>
      </w:r>
      <w:r w:rsidR="00890560">
        <w:t xml:space="preserve">for Irish seaweed </w:t>
      </w:r>
      <w:r w:rsidR="0036616A">
        <w:t>wild harvesting</w:t>
      </w:r>
      <w:r w:rsidR="008A7193">
        <w:t>, considering</w:t>
      </w:r>
      <w:r w:rsidDel="00B66ED5">
        <w:t xml:space="preserve"> % </w:t>
      </w:r>
      <w:r w:rsidR="008A7193">
        <w:t>contribution of wild harvesting</w:t>
      </w:r>
      <w:r w:rsidR="0002216B">
        <w:t xml:space="preserve"> </w:t>
      </w:r>
      <w:r w:rsidR="008A7193">
        <w:t>to</w:t>
      </w:r>
      <w:r>
        <w:t xml:space="preserve"> </w:t>
      </w:r>
      <w:r w:rsidDel="00B66ED5">
        <w:t xml:space="preserve">total </w:t>
      </w:r>
      <w:r w:rsidR="00E312A6">
        <w:t xml:space="preserve">annual </w:t>
      </w:r>
      <w:r w:rsidDel="00B66ED5">
        <w:t xml:space="preserve">production </w:t>
      </w:r>
      <w:r w:rsidR="000B7E2A">
        <w:t>target</w:t>
      </w:r>
      <w:r w:rsidR="00DF667C">
        <w:t xml:space="preserve"> </w:t>
      </w:r>
      <w:r w:rsidR="008A7193">
        <w:t xml:space="preserve">and % contribution of rockweeds </w:t>
      </w:r>
      <w:r w:rsidR="0002216B">
        <w:t>and</w:t>
      </w:r>
      <w:r w:rsidR="008A7193">
        <w:t xml:space="preserve"> kelp</w:t>
      </w:r>
      <w:r w:rsidR="0056168C">
        <w:t>s</w:t>
      </w:r>
      <w:r w:rsidR="008A7193">
        <w:t xml:space="preserve"> to total wild </w:t>
      </w:r>
      <w:r w:rsidR="0056168C">
        <w:t>harvested resource</w:t>
      </w:r>
      <w:r w:rsidDel="00B66ED5">
        <w:t>.</w:t>
      </w:r>
    </w:p>
    <w:p w14:paraId="7546A24F" w14:textId="0C4FC7BB" w:rsidR="00E471CB" w:rsidRDefault="00355838" w:rsidP="00890D06">
      <w:pPr>
        <w:spacing w:after="240" w:line="480" w:lineRule="auto"/>
        <w:jc w:val="both"/>
      </w:pPr>
      <w:r>
        <w:t>C</w:t>
      </w:r>
      <w:r w:rsidRPr="0050792D">
        <w:t>onsider</w:t>
      </w:r>
      <w:r>
        <w:t>ing</w:t>
      </w:r>
      <w:r w:rsidRPr="0050792D">
        <w:t xml:space="preserve"> </w:t>
      </w:r>
      <w:r w:rsidR="00972F7A">
        <w:t>the limitations of wild harvest</w:t>
      </w:r>
      <w:r>
        <w:t>ing</w:t>
      </w:r>
      <w:r w:rsidR="00972F7A">
        <w:t xml:space="preserve"> as a % of total seaweed production</w:t>
      </w:r>
      <w:r>
        <w:t xml:space="preserve"> and rockweeds and kelps as a % of total wild harvesting, several feasible scenarios can be defined (Table 2)</w:t>
      </w:r>
      <w:r w:rsidR="00A105F0">
        <w:t xml:space="preserve">. </w:t>
      </w:r>
      <w:r w:rsidR="00292A09">
        <w:t xml:space="preserve">As previously discussed, wild harvesting of rockweeds is conducted through manual methods (W1 or W2), while kelp beds are harvested through mechanical means (W3). Cultivated production can come from any of the cultivation pathways (C1, C2, or C3). </w:t>
      </w:r>
      <w:r w:rsidR="00A105F0">
        <w:t>To reduce the number of scenarios</w:t>
      </w:r>
      <w:r w:rsidR="00972F7A">
        <w:t xml:space="preserve">, </w:t>
      </w:r>
      <w:r w:rsidR="00A105F0">
        <w:t xml:space="preserve">the highest and lowest possible </w:t>
      </w:r>
      <w:r w:rsidR="00972F7A">
        <w:t>inclusion of kelps and rockweeds</w:t>
      </w:r>
      <w:r w:rsidR="00A105F0">
        <w:t xml:space="preserve"> is assumed</w:t>
      </w:r>
      <w:r w:rsidR="00972F7A">
        <w:t xml:space="preserve"> for each</w:t>
      </w:r>
      <w:r w:rsidR="00957154">
        <w:t xml:space="preserve"> i.e. for </w:t>
      </w:r>
      <w:r w:rsidR="00731700">
        <w:t xml:space="preserve">20% contribution of wild harvesting to the total production target, </w:t>
      </w:r>
      <w:r w:rsidR="00DF4340">
        <w:t>harvesting of rockweeds</w:t>
      </w:r>
      <w:r w:rsidR="00731700">
        <w:t xml:space="preserve"> </w:t>
      </w:r>
      <w:r w:rsidR="00297F28">
        <w:t xml:space="preserve">(W1 or W2) </w:t>
      </w:r>
      <w:r w:rsidR="00731700">
        <w:t>can contribute</w:t>
      </w:r>
      <w:r w:rsidR="001B355D">
        <w:t xml:space="preserve"> up to 40% while </w:t>
      </w:r>
      <w:r w:rsidR="00DF4340">
        <w:t>harvesting of kelps</w:t>
      </w:r>
      <w:r w:rsidR="00972F7A">
        <w:t>,</w:t>
      </w:r>
      <w:r w:rsidR="001B355D">
        <w:t xml:space="preserve"> </w:t>
      </w:r>
      <w:r w:rsidR="00297F28">
        <w:t xml:space="preserve">(W3) </w:t>
      </w:r>
      <w:r w:rsidR="001B355D">
        <w:t>can contribute up to 90%</w:t>
      </w:r>
      <w:r w:rsidR="001848D6">
        <w:t>, w</w:t>
      </w:r>
      <w:r w:rsidR="00972F7A">
        <w:t>ith</w:t>
      </w:r>
      <w:r w:rsidR="001848D6">
        <w:t xml:space="preserve"> the </w:t>
      </w:r>
      <w:r w:rsidR="00CF3AB1">
        <w:t xml:space="preserve">remaining </w:t>
      </w:r>
      <w:r w:rsidR="001848D6">
        <w:t xml:space="preserve">80% contribution </w:t>
      </w:r>
      <w:r w:rsidR="00972F7A">
        <w:t xml:space="preserve">being provided by </w:t>
      </w:r>
      <w:r w:rsidR="001848D6">
        <w:t>cultivation from 100% C1</w:t>
      </w:r>
      <w:r w:rsidR="003A7AA6">
        <w:t>-type farms</w:t>
      </w:r>
      <w:r w:rsidR="001848D6">
        <w:t>, 100% C2</w:t>
      </w:r>
      <w:r w:rsidR="003A7AA6">
        <w:t>-type farms</w:t>
      </w:r>
      <w:r w:rsidR="001848D6">
        <w:t xml:space="preserve"> or 100% C3</w:t>
      </w:r>
      <w:r w:rsidR="003A7AA6">
        <w:t>-type</w:t>
      </w:r>
      <w:r w:rsidR="001848D6">
        <w:t xml:space="preserve"> farms</w:t>
      </w:r>
      <w:r w:rsidR="00890560">
        <w:t>.</w:t>
      </w:r>
      <w:r w:rsidR="00A105F0">
        <w:t xml:space="preserve"> </w:t>
      </w:r>
      <w:r w:rsidRPr="00D9599D">
        <w:t>Figure 7</w:t>
      </w:r>
      <w:r w:rsidR="00260229" w:rsidRPr="00AD1811">
        <w:t xml:space="preserve"> </w:t>
      </w:r>
      <w:r w:rsidR="00260229" w:rsidRPr="003A7AA6">
        <w:t xml:space="preserve">displays the environmental, </w:t>
      </w:r>
      <w:proofErr w:type="gramStart"/>
      <w:r w:rsidR="00260229" w:rsidRPr="003A7AA6">
        <w:t>economic</w:t>
      </w:r>
      <w:proofErr w:type="gramEnd"/>
      <w:r w:rsidR="00260229" w:rsidRPr="003A7AA6">
        <w:t xml:space="preserve"> and social impacts of the considered scenarios.</w:t>
      </w:r>
      <w:r w:rsidR="00EA7C77" w:rsidRPr="003A7AA6">
        <w:t xml:space="preserve"> The </w:t>
      </w:r>
      <w:r w:rsidR="00D9360F" w:rsidRPr="003A7AA6">
        <w:t xml:space="preserve">scenario with the worst </w:t>
      </w:r>
      <w:r w:rsidR="008C602C">
        <w:t>environmental performance (</w:t>
      </w:r>
      <w:r w:rsidR="0092717B">
        <w:t>highest e</w:t>
      </w:r>
      <w:r w:rsidR="008C602C">
        <w:t xml:space="preserve">xergy demand and GWP) but best social performance (highest HP) is C1, which considers scale-up with 100% </w:t>
      </w:r>
      <w:r w:rsidR="00AD1811">
        <w:t>production</w:t>
      </w:r>
      <w:r w:rsidR="0092717B">
        <w:t xml:space="preserve"> from </w:t>
      </w:r>
      <w:r w:rsidR="008C602C">
        <w:t xml:space="preserve">C1-type farms. </w:t>
      </w:r>
      <w:r w:rsidR="0092717B">
        <w:t xml:space="preserve">The worst social </w:t>
      </w:r>
      <w:r w:rsidR="0092717B">
        <w:lastRenderedPageBreak/>
        <w:t>performance is from A1</w:t>
      </w:r>
      <w:r w:rsidR="00A301FA">
        <w:t>2</w:t>
      </w:r>
      <w:r w:rsidR="0092717B">
        <w:t xml:space="preserve">, the scenario with </w:t>
      </w:r>
      <w:r w:rsidR="00AD1811">
        <w:t>20% production from wild harvesting (</w:t>
      </w:r>
      <w:r w:rsidR="0092717B">
        <w:t>2% from W</w:t>
      </w:r>
      <w:r w:rsidR="00A301FA">
        <w:t>2</w:t>
      </w:r>
      <w:r w:rsidR="0092717B">
        <w:t>, 18% from W3</w:t>
      </w:r>
      <w:r w:rsidR="00AD1811">
        <w:t>)</w:t>
      </w:r>
      <w:r w:rsidR="0092717B">
        <w:t xml:space="preserve"> and 80% production from C</w:t>
      </w:r>
      <w:r w:rsidR="00A301FA">
        <w:t>3</w:t>
      </w:r>
      <w:r w:rsidR="00AD1811">
        <w:t>-type farms</w:t>
      </w:r>
      <w:r w:rsidR="0092717B">
        <w:t xml:space="preserve">. </w:t>
      </w:r>
      <w:r w:rsidR="008C602C">
        <w:t xml:space="preserve">Scenario B5, which </w:t>
      </w:r>
      <w:r w:rsidR="0092717B">
        <w:t xml:space="preserve">considers 10% </w:t>
      </w:r>
      <w:r w:rsidR="00AD1811">
        <w:t xml:space="preserve">production from </w:t>
      </w:r>
      <w:r w:rsidR="0092717B">
        <w:t xml:space="preserve">wild harvesting </w:t>
      </w:r>
      <w:r w:rsidR="00AD1811">
        <w:t>(8% from W2, 2% from W3)</w:t>
      </w:r>
      <w:r w:rsidR="0092717B">
        <w:t xml:space="preserve"> and 90% </w:t>
      </w:r>
      <w:r w:rsidR="00AD1811">
        <w:t>production</w:t>
      </w:r>
      <w:r w:rsidR="0092717B">
        <w:t xml:space="preserve"> </w:t>
      </w:r>
      <w:r w:rsidR="00AD1811">
        <w:t xml:space="preserve">from </w:t>
      </w:r>
      <w:r w:rsidR="0092717B">
        <w:t>C2-type farms, has the best environmental performance. The best</w:t>
      </w:r>
      <w:r w:rsidR="008C602C">
        <w:t xml:space="preserve"> </w:t>
      </w:r>
      <w:r w:rsidR="00D9360F" w:rsidRPr="003A7AA6">
        <w:t xml:space="preserve">economic performance </w:t>
      </w:r>
      <w:r w:rsidR="0092717B">
        <w:t xml:space="preserve">(lowest MSP) </w:t>
      </w:r>
      <w:r w:rsidR="00D9360F" w:rsidRPr="003A7AA6">
        <w:t xml:space="preserve">is </w:t>
      </w:r>
      <w:r w:rsidR="0092717B">
        <w:t xml:space="preserve">from scenario A5, which has 8% production from W2, 12% production from W3, and the remaining </w:t>
      </w:r>
      <w:r w:rsidR="00AD1811">
        <w:t xml:space="preserve">80% </w:t>
      </w:r>
      <w:r w:rsidR="0092717B">
        <w:t xml:space="preserve">production </w:t>
      </w:r>
      <w:r w:rsidR="00AD1811">
        <w:t>from</w:t>
      </w:r>
      <w:r w:rsidR="0092717B">
        <w:t xml:space="preserve"> C2-type farms. The worst economic performance is from C3, which considers 100% production from C3-type farms. </w:t>
      </w:r>
    </w:p>
    <w:p w14:paraId="62041855" w14:textId="4CF7C96A" w:rsidR="00FE572F" w:rsidRPr="00D9599D" w:rsidRDefault="0017349A" w:rsidP="00D9599D">
      <w:pPr>
        <w:rPr>
          <w:highlight w:val="yellow"/>
        </w:rPr>
      </w:pPr>
      <w:r w:rsidRPr="00C03212">
        <w:t xml:space="preserve">Table </w:t>
      </w:r>
      <w:r w:rsidR="00C03212">
        <w:t>2</w:t>
      </w:r>
      <w:r w:rsidRPr="00005340">
        <w:t xml:space="preserve">: </w:t>
      </w:r>
      <w:r w:rsidR="00FE572F">
        <w:t>Name and description of each scale-up scenario.</w:t>
      </w:r>
    </w:p>
    <w:tbl>
      <w:tblPr>
        <w:tblW w:w="8455" w:type="dxa"/>
        <w:jc w:val="center"/>
        <w:tblLayout w:type="fixed"/>
        <w:tblLook w:val="04A0" w:firstRow="1" w:lastRow="0" w:firstColumn="1" w:lastColumn="0" w:noHBand="0" w:noVBand="1"/>
      </w:tblPr>
      <w:tblGrid>
        <w:gridCol w:w="1000"/>
        <w:gridCol w:w="1155"/>
        <w:gridCol w:w="1260"/>
        <w:gridCol w:w="1260"/>
        <w:gridCol w:w="1260"/>
        <w:gridCol w:w="1260"/>
        <w:gridCol w:w="1260"/>
      </w:tblGrid>
      <w:tr w:rsidR="008C602C" w:rsidRPr="00FE572F" w14:paraId="5E7F462F" w14:textId="07841118" w:rsidTr="00156A1D">
        <w:trPr>
          <w:trHeight w:val="301"/>
          <w:jc w:val="center"/>
        </w:trPr>
        <w:tc>
          <w:tcPr>
            <w:tcW w:w="1000" w:type="dxa"/>
            <w:vMerge w:val="restart"/>
            <w:tcBorders>
              <w:top w:val="single" w:sz="4" w:space="0" w:color="auto"/>
              <w:left w:val="single" w:sz="4" w:space="0" w:color="auto"/>
              <w:bottom w:val="single" w:sz="4" w:space="0" w:color="auto"/>
              <w:right w:val="nil"/>
            </w:tcBorders>
            <w:shd w:val="clear" w:color="auto" w:fill="auto"/>
            <w:noWrap/>
            <w:vAlign w:val="bottom"/>
            <w:hideMark/>
          </w:tcPr>
          <w:p w14:paraId="3D6FAC87" w14:textId="77777777" w:rsidR="008C602C" w:rsidRPr="00544599" w:rsidRDefault="008C602C" w:rsidP="00544599">
            <w:pPr>
              <w:spacing w:line="240" w:lineRule="auto"/>
              <w:rPr>
                <w:rFonts w:ascii="Calibri" w:eastAsia="Times New Roman" w:hAnsi="Calibri" w:cs="Calibri"/>
                <w:b/>
                <w:bCs/>
                <w:color w:val="000000"/>
                <w:lang w:val="en-IE"/>
              </w:rPr>
            </w:pPr>
            <w:r w:rsidRPr="00544599">
              <w:rPr>
                <w:rFonts w:ascii="Calibri" w:eastAsia="Times New Roman" w:hAnsi="Calibri" w:cs="Calibri"/>
                <w:b/>
                <w:bCs/>
                <w:color w:val="000000"/>
                <w:lang w:val="en-IE"/>
              </w:rPr>
              <w:t>Scenario name</w:t>
            </w:r>
          </w:p>
        </w:tc>
        <w:tc>
          <w:tcPr>
            <w:tcW w:w="7455" w:type="dxa"/>
            <w:gridSpan w:val="6"/>
            <w:tcBorders>
              <w:top w:val="single" w:sz="4" w:space="0" w:color="auto"/>
              <w:left w:val="single" w:sz="4" w:space="0" w:color="auto"/>
              <w:bottom w:val="single" w:sz="4" w:space="0" w:color="000000"/>
              <w:right w:val="single" w:sz="4" w:space="0" w:color="auto"/>
            </w:tcBorders>
          </w:tcPr>
          <w:p w14:paraId="7177E57B" w14:textId="70EC66B5" w:rsidR="008C602C" w:rsidRDefault="008C602C" w:rsidP="00544599">
            <w:pPr>
              <w:spacing w:line="240" w:lineRule="auto"/>
              <w:rPr>
                <w:rFonts w:ascii="Calibri" w:eastAsia="Times New Roman" w:hAnsi="Calibri" w:cs="Calibri"/>
                <w:b/>
                <w:bCs/>
                <w:color w:val="000000"/>
                <w:lang w:val="en-IE"/>
              </w:rPr>
            </w:pPr>
            <w:r>
              <w:rPr>
                <w:rFonts w:ascii="Calibri" w:eastAsia="Times New Roman" w:hAnsi="Calibri" w:cs="Calibri"/>
                <w:b/>
                <w:bCs/>
                <w:color w:val="000000"/>
                <w:lang w:val="en-IE"/>
              </w:rPr>
              <w:t>% of total production</w:t>
            </w:r>
          </w:p>
        </w:tc>
      </w:tr>
      <w:tr w:rsidR="008C602C" w:rsidRPr="00FE572F" w14:paraId="6F3D8FC8" w14:textId="1FAB8DC1" w:rsidTr="00D9599D">
        <w:trPr>
          <w:trHeight w:val="264"/>
          <w:jc w:val="center"/>
        </w:trPr>
        <w:tc>
          <w:tcPr>
            <w:tcW w:w="1000" w:type="dxa"/>
            <w:vMerge/>
            <w:tcBorders>
              <w:top w:val="nil"/>
              <w:left w:val="single" w:sz="4" w:space="0" w:color="auto"/>
              <w:bottom w:val="single" w:sz="4" w:space="0" w:color="auto"/>
              <w:right w:val="nil"/>
            </w:tcBorders>
            <w:vAlign w:val="center"/>
            <w:hideMark/>
          </w:tcPr>
          <w:p w14:paraId="53B44ECB" w14:textId="77777777" w:rsidR="008C602C" w:rsidRPr="00FE572F" w:rsidRDefault="008C602C" w:rsidP="008C602C">
            <w:pPr>
              <w:spacing w:line="240" w:lineRule="auto"/>
              <w:rPr>
                <w:rFonts w:ascii="Calibri" w:eastAsia="Times New Roman" w:hAnsi="Calibri" w:cs="Calibri"/>
                <w:color w:val="000000"/>
                <w:lang w:val="en-IE"/>
              </w:rPr>
            </w:pPr>
          </w:p>
        </w:tc>
        <w:tc>
          <w:tcPr>
            <w:tcW w:w="1155" w:type="dxa"/>
            <w:tcBorders>
              <w:top w:val="single" w:sz="4" w:space="0" w:color="auto"/>
              <w:left w:val="single" w:sz="4" w:space="0" w:color="auto"/>
              <w:bottom w:val="single" w:sz="4" w:space="0" w:color="auto"/>
              <w:right w:val="single" w:sz="4" w:space="0" w:color="auto"/>
            </w:tcBorders>
            <w:vAlign w:val="bottom"/>
          </w:tcPr>
          <w:p w14:paraId="131BF111" w14:textId="29D0D525"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W1</w:t>
            </w:r>
          </w:p>
        </w:tc>
        <w:tc>
          <w:tcPr>
            <w:tcW w:w="1260" w:type="dxa"/>
            <w:tcBorders>
              <w:top w:val="single" w:sz="4" w:space="0" w:color="auto"/>
              <w:left w:val="single" w:sz="4" w:space="0" w:color="auto"/>
              <w:bottom w:val="single" w:sz="4" w:space="0" w:color="auto"/>
              <w:right w:val="single" w:sz="4" w:space="0" w:color="auto"/>
            </w:tcBorders>
            <w:vAlign w:val="bottom"/>
          </w:tcPr>
          <w:p w14:paraId="1AD8BD0E" w14:textId="4B8DA41D"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W2</w:t>
            </w:r>
          </w:p>
        </w:tc>
        <w:tc>
          <w:tcPr>
            <w:tcW w:w="1260" w:type="dxa"/>
            <w:tcBorders>
              <w:top w:val="single" w:sz="4" w:space="0" w:color="auto"/>
              <w:left w:val="single" w:sz="4" w:space="0" w:color="auto"/>
              <w:bottom w:val="single" w:sz="4" w:space="0" w:color="auto"/>
              <w:right w:val="single" w:sz="4" w:space="0" w:color="auto"/>
            </w:tcBorders>
            <w:vAlign w:val="bottom"/>
          </w:tcPr>
          <w:p w14:paraId="72E4E661" w14:textId="13DDC4CE"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W3</w:t>
            </w:r>
          </w:p>
        </w:tc>
        <w:tc>
          <w:tcPr>
            <w:tcW w:w="1260" w:type="dxa"/>
            <w:tcBorders>
              <w:top w:val="single" w:sz="4" w:space="0" w:color="auto"/>
              <w:left w:val="single" w:sz="4" w:space="0" w:color="auto"/>
              <w:bottom w:val="single" w:sz="4" w:space="0" w:color="auto"/>
              <w:right w:val="single" w:sz="4" w:space="0" w:color="auto"/>
            </w:tcBorders>
            <w:vAlign w:val="bottom"/>
          </w:tcPr>
          <w:p w14:paraId="526715DE" w14:textId="3DD3C543"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C1</w:t>
            </w:r>
          </w:p>
        </w:tc>
        <w:tc>
          <w:tcPr>
            <w:tcW w:w="1260" w:type="dxa"/>
            <w:tcBorders>
              <w:top w:val="single" w:sz="4" w:space="0" w:color="auto"/>
              <w:left w:val="single" w:sz="4" w:space="0" w:color="auto"/>
              <w:bottom w:val="single" w:sz="4" w:space="0" w:color="auto"/>
              <w:right w:val="single" w:sz="4" w:space="0" w:color="auto"/>
            </w:tcBorders>
            <w:vAlign w:val="bottom"/>
          </w:tcPr>
          <w:p w14:paraId="1369F883" w14:textId="00437E8D"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C2</w:t>
            </w:r>
          </w:p>
        </w:tc>
        <w:tc>
          <w:tcPr>
            <w:tcW w:w="1260" w:type="dxa"/>
            <w:tcBorders>
              <w:top w:val="single" w:sz="4" w:space="0" w:color="auto"/>
              <w:left w:val="single" w:sz="4" w:space="0" w:color="auto"/>
              <w:bottom w:val="single" w:sz="4" w:space="0" w:color="auto"/>
              <w:right w:val="single" w:sz="4" w:space="0" w:color="auto"/>
            </w:tcBorders>
            <w:vAlign w:val="bottom"/>
          </w:tcPr>
          <w:p w14:paraId="636F736F" w14:textId="385A8738" w:rsidR="008C602C" w:rsidRPr="00FE572F" w:rsidRDefault="008C602C" w:rsidP="008C602C">
            <w:pPr>
              <w:spacing w:line="240" w:lineRule="auto"/>
              <w:rPr>
                <w:rFonts w:ascii="Calibri" w:eastAsia="Times New Roman" w:hAnsi="Calibri" w:cs="Calibri"/>
                <w:b/>
                <w:bCs/>
                <w:color w:val="000000"/>
                <w:lang w:val="en-IE"/>
              </w:rPr>
            </w:pPr>
            <w:r w:rsidRPr="006226F4">
              <w:rPr>
                <w:rFonts w:ascii="Calibri" w:eastAsia="Times New Roman" w:hAnsi="Calibri" w:cs="Calibri"/>
                <w:color w:val="000000"/>
                <w:sz w:val="20"/>
                <w:szCs w:val="20"/>
                <w:lang w:val="en-IE"/>
              </w:rPr>
              <w:t>C3</w:t>
            </w:r>
          </w:p>
        </w:tc>
      </w:tr>
      <w:tr w:rsidR="008C602C" w:rsidRPr="00FE572F" w14:paraId="77E8967F" w14:textId="45AC4BDB" w:rsidTr="00D9599D">
        <w:trPr>
          <w:trHeight w:val="301"/>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14:paraId="27C1DA07"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A1</w:t>
            </w:r>
          </w:p>
        </w:tc>
        <w:tc>
          <w:tcPr>
            <w:tcW w:w="1155" w:type="dxa"/>
            <w:tcBorders>
              <w:top w:val="single" w:sz="4" w:space="0" w:color="auto"/>
              <w:left w:val="single" w:sz="4" w:space="0" w:color="auto"/>
              <w:bottom w:val="nil"/>
              <w:right w:val="single" w:sz="4" w:space="0" w:color="auto"/>
            </w:tcBorders>
            <w:vAlign w:val="bottom"/>
          </w:tcPr>
          <w:p w14:paraId="24A4ABCE" w14:textId="0402385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single" w:sz="4" w:space="0" w:color="auto"/>
              <w:left w:val="single" w:sz="4" w:space="0" w:color="auto"/>
              <w:bottom w:val="nil"/>
              <w:right w:val="single" w:sz="4" w:space="0" w:color="auto"/>
            </w:tcBorders>
            <w:vAlign w:val="bottom"/>
          </w:tcPr>
          <w:p w14:paraId="3CE1A296" w14:textId="6437AD3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single" w:sz="4" w:space="0" w:color="auto"/>
              <w:left w:val="single" w:sz="4" w:space="0" w:color="auto"/>
              <w:bottom w:val="nil"/>
              <w:right w:val="single" w:sz="4" w:space="0" w:color="auto"/>
            </w:tcBorders>
            <w:vAlign w:val="bottom"/>
          </w:tcPr>
          <w:p w14:paraId="4BA271A2" w14:textId="46FD8B8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single" w:sz="4" w:space="0" w:color="auto"/>
              <w:left w:val="single" w:sz="4" w:space="0" w:color="auto"/>
              <w:bottom w:val="nil"/>
              <w:right w:val="single" w:sz="4" w:space="0" w:color="auto"/>
            </w:tcBorders>
            <w:vAlign w:val="bottom"/>
          </w:tcPr>
          <w:p w14:paraId="31EE3855" w14:textId="07DF4EE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single" w:sz="4" w:space="0" w:color="auto"/>
              <w:left w:val="single" w:sz="4" w:space="0" w:color="auto"/>
              <w:bottom w:val="nil"/>
              <w:right w:val="single" w:sz="4" w:space="0" w:color="auto"/>
            </w:tcBorders>
            <w:vAlign w:val="bottom"/>
          </w:tcPr>
          <w:p w14:paraId="7DE6E4ED" w14:textId="1CE2D3F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single" w:sz="4" w:space="0" w:color="auto"/>
              <w:left w:val="single" w:sz="4" w:space="0" w:color="auto"/>
              <w:bottom w:val="nil"/>
              <w:right w:val="single" w:sz="4" w:space="0" w:color="auto"/>
            </w:tcBorders>
            <w:vAlign w:val="bottom"/>
          </w:tcPr>
          <w:p w14:paraId="1DE9462B" w14:textId="44EAF26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7832632E" w14:textId="1935B305"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30E29088"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A2</w:t>
            </w:r>
          </w:p>
        </w:tc>
        <w:tc>
          <w:tcPr>
            <w:tcW w:w="1155" w:type="dxa"/>
            <w:tcBorders>
              <w:top w:val="nil"/>
              <w:left w:val="single" w:sz="4" w:space="0" w:color="auto"/>
              <w:bottom w:val="nil"/>
              <w:right w:val="single" w:sz="4" w:space="0" w:color="auto"/>
            </w:tcBorders>
            <w:vAlign w:val="bottom"/>
          </w:tcPr>
          <w:p w14:paraId="634C603E" w14:textId="0462A92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7717AE4E" w14:textId="57FED13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8AFD653" w14:textId="65AD2BB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nil"/>
              <w:left w:val="single" w:sz="4" w:space="0" w:color="auto"/>
              <w:bottom w:val="nil"/>
              <w:right w:val="single" w:sz="4" w:space="0" w:color="auto"/>
            </w:tcBorders>
            <w:vAlign w:val="bottom"/>
          </w:tcPr>
          <w:p w14:paraId="2CBDE4DA" w14:textId="3F729AD7"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C2180A9" w14:textId="2AAB0D0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6C51B5EC" w14:textId="7F1EFCE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39604DD8" w14:textId="15BD1978"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4013D8EB"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A3</w:t>
            </w:r>
          </w:p>
        </w:tc>
        <w:tc>
          <w:tcPr>
            <w:tcW w:w="1155" w:type="dxa"/>
            <w:tcBorders>
              <w:top w:val="nil"/>
              <w:left w:val="single" w:sz="4" w:space="0" w:color="auto"/>
              <w:bottom w:val="nil"/>
              <w:right w:val="single" w:sz="4" w:space="0" w:color="auto"/>
            </w:tcBorders>
            <w:vAlign w:val="bottom"/>
          </w:tcPr>
          <w:p w14:paraId="38A24F70" w14:textId="62DA5CA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69786E35" w14:textId="6E21480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8715A96" w14:textId="0DD470A9"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nil"/>
              <w:left w:val="single" w:sz="4" w:space="0" w:color="auto"/>
              <w:bottom w:val="nil"/>
              <w:right w:val="single" w:sz="4" w:space="0" w:color="auto"/>
            </w:tcBorders>
            <w:vAlign w:val="bottom"/>
          </w:tcPr>
          <w:p w14:paraId="1FACE477" w14:textId="29F2C7A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286D874" w14:textId="61E23DB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A2A9508" w14:textId="3F666C79"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r>
      <w:tr w:rsidR="008C602C" w:rsidRPr="00FE572F" w14:paraId="5EF0C7BF" w14:textId="2EA44B45"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3E9738F3"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A4</w:t>
            </w:r>
          </w:p>
        </w:tc>
        <w:tc>
          <w:tcPr>
            <w:tcW w:w="1155" w:type="dxa"/>
            <w:tcBorders>
              <w:top w:val="nil"/>
              <w:left w:val="single" w:sz="4" w:space="0" w:color="auto"/>
              <w:bottom w:val="nil"/>
              <w:right w:val="single" w:sz="4" w:space="0" w:color="auto"/>
            </w:tcBorders>
            <w:vAlign w:val="bottom"/>
          </w:tcPr>
          <w:p w14:paraId="144A1508" w14:textId="575C336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869A37E" w14:textId="072BC66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20735009" w14:textId="3567907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nil"/>
              <w:left w:val="single" w:sz="4" w:space="0" w:color="auto"/>
              <w:bottom w:val="nil"/>
              <w:right w:val="single" w:sz="4" w:space="0" w:color="auto"/>
            </w:tcBorders>
            <w:vAlign w:val="bottom"/>
          </w:tcPr>
          <w:p w14:paraId="02D2279D" w14:textId="611F369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6FE8571A" w14:textId="057F4D7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F6273C3" w14:textId="7FCC016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42FB4799" w14:textId="3EFFC84C"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562BDED3"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A5</w:t>
            </w:r>
          </w:p>
        </w:tc>
        <w:tc>
          <w:tcPr>
            <w:tcW w:w="1155" w:type="dxa"/>
            <w:tcBorders>
              <w:top w:val="nil"/>
              <w:left w:val="single" w:sz="4" w:space="0" w:color="auto"/>
              <w:bottom w:val="nil"/>
              <w:right w:val="single" w:sz="4" w:space="0" w:color="auto"/>
            </w:tcBorders>
            <w:vAlign w:val="bottom"/>
          </w:tcPr>
          <w:p w14:paraId="4DAC2198" w14:textId="505DF20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41C3B86" w14:textId="3F1BDAD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4F691BFD" w14:textId="2AA6C56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nil"/>
              <w:left w:val="single" w:sz="4" w:space="0" w:color="auto"/>
              <w:bottom w:val="nil"/>
              <w:right w:val="single" w:sz="4" w:space="0" w:color="auto"/>
            </w:tcBorders>
            <w:vAlign w:val="bottom"/>
          </w:tcPr>
          <w:p w14:paraId="0E6387BD" w14:textId="5AEF670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5B3D7E2" w14:textId="2D4FEE8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0F6DF5DC" w14:textId="6E7F78D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4735FE7C" w14:textId="087DBD09"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3CF698B7"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A6</w:t>
            </w:r>
          </w:p>
        </w:tc>
        <w:tc>
          <w:tcPr>
            <w:tcW w:w="1155" w:type="dxa"/>
            <w:tcBorders>
              <w:top w:val="nil"/>
              <w:left w:val="single" w:sz="4" w:space="0" w:color="auto"/>
              <w:bottom w:val="nil"/>
              <w:right w:val="single" w:sz="4" w:space="0" w:color="auto"/>
            </w:tcBorders>
            <w:vAlign w:val="bottom"/>
          </w:tcPr>
          <w:p w14:paraId="7382D36D" w14:textId="2B4C3709"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CEB8E1B" w14:textId="25E8273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102BB7B3" w14:textId="563545B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12%</w:t>
            </w:r>
          </w:p>
        </w:tc>
        <w:tc>
          <w:tcPr>
            <w:tcW w:w="1260" w:type="dxa"/>
            <w:tcBorders>
              <w:top w:val="nil"/>
              <w:left w:val="single" w:sz="4" w:space="0" w:color="auto"/>
              <w:bottom w:val="nil"/>
              <w:right w:val="single" w:sz="4" w:space="0" w:color="auto"/>
            </w:tcBorders>
            <w:vAlign w:val="bottom"/>
          </w:tcPr>
          <w:p w14:paraId="78330B8A" w14:textId="54C15EE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AC9BA04" w14:textId="19632F7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07F20AB1" w14:textId="0D21D19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r>
      <w:tr w:rsidR="008C602C" w:rsidRPr="00FE572F" w14:paraId="141EC735" w14:textId="6B90D69B"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7D70C8BD"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A7</w:t>
            </w:r>
          </w:p>
        </w:tc>
        <w:tc>
          <w:tcPr>
            <w:tcW w:w="1155" w:type="dxa"/>
            <w:tcBorders>
              <w:top w:val="nil"/>
              <w:left w:val="single" w:sz="4" w:space="0" w:color="auto"/>
              <w:bottom w:val="nil"/>
              <w:right w:val="single" w:sz="4" w:space="0" w:color="auto"/>
            </w:tcBorders>
            <w:vAlign w:val="bottom"/>
          </w:tcPr>
          <w:p w14:paraId="002481F0" w14:textId="6573298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00040D02" w14:textId="0E0D3AC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B176582" w14:textId="2C9474C7"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0B9E064B" w14:textId="5650CEA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2E85DBE4" w14:textId="7513FC9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0517CBD" w14:textId="1ACECBC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3C421B9C" w14:textId="312B405E"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7BCD01B6"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A8</w:t>
            </w:r>
          </w:p>
        </w:tc>
        <w:tc>
          <w:tcPr>
            <w:tcW w:w="1155" w:type="dxa"/>
            <w:tcBorders>
              <w:top w:val="nil"/>
              <w:left w:val="single" w:sz="4" w:space="0" w:color="auto"/>
              <w:bottom w:val="nil"/>
              <w:right w:val="single" w:sz="4" w:space="0" w:color="auto"/>
            </w:tcBorders>
            <w:vAlign w:val="bottom"/>
          </w:tcPr>
          <w:p w14:paraId="00F9B8D6" w14:textId="0A6B984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107532FD" w14:textId="5CBDF4F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45E41AE5" w14:textId="7E6ACC3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5AE8928A" w14:textId="622A48A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3512A97" w14:textId="0B33134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3BDBD7E5" w14:textId="4176688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50270B60" w14:textId="7BF63B63"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4F29F2A9"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A9</w:t>
            </w:r>
          </w:p>
        </w:tc>
        <w:tc>
          <w:tcPr>
            <w:tcW w:w="1155" w:type="dxa"/>
            <w:tcBorders>
              <w:top w:val="nil"/>
              <w:left w:val="single" w:sz="4" w:space="0" w:color="auto"/>
              <w:bottom w:val="nil"/>
              <w:right w:val="single" w:sz="4" w:space="0" w:color="auto"/>
            </w:tcBorders>
            <w:vAlign w:val="bottom"/>
          </w:tcPr>
          <w:p w14:paraId="08238B31" w14:textId="7693BFB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42C8CF76" w14:textId="1D2E47F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4DCD776" w14:textId="138C887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5742B05E" w14:textId="115BB84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05144F2" w14:textId="06B9A2D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8CEB4AF" w14:textId="1AA7B45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r>
      <w:tr w:rsidR="008C602C" w:rsidRPr="00FE572F" w14:paraId="71598719" w14:textId="6CF65CF6"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04EC31C1"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A10</w:t>
            </w:r>
          </w:p>
        </w:tc>
        <w:tc>
          <w:tcPr>
            <w:tcW w:w="1155" w:type="dxa"/>
            <w:tcBorders>
              <w:top w:val="nil"/>
              <w:left w:val="single" w:sz="4" w:space="0" w:color="auto"/>
              <w:bottom w:val="nil"/>
              <w:right w:val="single" w:sz="4" w:space="0" w:color="auto"/>
            </w:tcBorders>
            <w:vAlign w:val="bottom"/>
          </w:tcPr>
          <w:p w14:paraId="418C2F4E" w14:textId="2EBD6E7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D9F6F6E" w14:textId="3443289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058A9E83" w14:textId="0F79EC0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31EFC867" w14:textId="5360659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42593CD5" w14:textId="3427242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47F8DC5" w14:textId="5CA2F07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582DBEBC" w14:textId="5C6EA8F7"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12A0B336"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A11</w:t>
            </w:r>
          </w:p>
        </w:tc>
        <w:tc>
          <w:tcPr>
            <w:tcW w:w="1155" w:type="dxa"/>
            <w:tcBorders>
              <w:top w:val="nil"/>
              <w:left w:val="single" w:sz="4" w:space="0" w:color="auto"/>
              <w:bottom w:val="nil"/>
              <w:right w:val="single" w:sz="4" w:space="0" w:color="auto"/>
            </w:tcBorders>
            <w:vAlign w:val="bottom"/>
          </w:tcPr>
          <w:p w14:paraId="1BF61346" w14:textId="71F0E31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467F69E" w14:textId="4144067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1BCE9AC3" w14:textId="69B84C9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6013EF06" w14:textId="5E5FC68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C54E2E0" w14:textId="1B50ECD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c>
          <w:tcPr>
            <w:tcW w:w="1260" w:type="dxa"/>
            <w:tcBorders>
              <w:top w:val="nil"/>
              <w:left w:val="single" w:sz="4" w:space="0" w:color="auto"/>
              <w:bottom w:val="nil"/>
              <w:right w:val="single" w:sz="4" w:space="0" w:color="auto"/>
            </w:tcBorders>
            <w:vAlign w:val="bottom"/>
          </w:tcPr>
          <w:p w14:paraId="7F90685D" w14:textId="0A99960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22FB2EC6" w14:textId="6200B271"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6DFB2276"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A12</w:t>
            </w:r>
          </w:p>
        </w:tc>
        <w:tc>
          <w:tcPr>
            <w:tcW w:w="1155" w:type="dxa"/>
            <w:tcBorders>
              <w:top w:val="nil"/>
              <w:left w:val="single" w:sz="4" w:space="0" w:color="auto"/>
              <w:bottom w:val="nil"/>
              <w:right w:val="single" w:sz="4" w:space="0" w:color="auto"/>
            </w:tcBorders>
            <w:vAlign w:val="bottom"/>
          </w:tcPr>
          <w:p w14:paraId="3589DC52" w14:textId="411D08F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F81566D" w14:textId="11EDF30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73552516" w14:textId="7092153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18%</w:t>
            </w:r>
          </w:p>
        </w:tc>
        <w:tc>
          <w:tcPr>
            <w:tcW w:w="1260" w:type="dxa"/>
            <w:tcBorders>
              <w:top w:val="nil"/>
              <w:left w:val="single" w:sz="4" w:space="0" w:color="auto"/>
              <w:bottom w:val="nil"/>
              <w:right w:val="single" w:sz="4" w:space="0" w:color="auto"/>
            </w:tcBorders>
            <w:vAlign w:val="bottom"/>
          </w:tcPr>
          <w:p w14:paraId="247CB867" w14:textId="2F448A2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4FCA803A" w14:textId="73745287"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6A60F7B" w14:textId="508F01D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80%</w:t>
            </w:r>
          </w:p>
        </w:tc>
      </w:tr>
      <w:tr w:rsidR="008C602C" w:rsidRPr="00FE572F" w14:paraId="7583C786" w14:textId="4BACB66D"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193E2CB6"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B1</w:t>
            </w:r>
          </w:p>
        </w:tc>
        <w:tc>
          <w:tcPr>
            <w:tcW w:w="1155" w:type="dxa"/>
            <w:tcBorders>
              <w:top w:val="nil"/>
              <w:left w:val="single" w:sz="4" w:space="0" w:color="auto"/>
              <w:bottom w:val="nil"/>
              <w:right w:val="single" w:sz="4" w:space="0" w:color="auto"/>
            </w:tcBorders>
            <w:vAlign w:val="bottom"/>
          </w:tcPr>
          <w:p w14:paraId="1EEC75A9" w14:textId="1947B98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39FED2EA" w14:textId="6FA550F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4296A00" w14:textId="3421487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63D45A7D" w14:textId="7BE6B50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3BDF5E25" w14:textId="5CBAE02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032B9686" w14:textId="0835E42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3E36FA25" w14:textId="3A3A476E"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5B8A55B1"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B2</w:t>
            </w:r>
          </w:p>
        </w:tc>
        <w:tc>
          <w:tcPr>
            <w:tcW w:w="1155" w:type="dxa"/>
            <w:tcBorders>
              <w:top w:val="nil"/>
              <w:left w:val="single" w:sz="4" w:space="0" w:color="auto"/>
              <w:bottom w:val="nil"/>
              <w:right w:val="single" w:sz="4" w:space="0" w:color="auto"/>
            </w:tcBorders>
            <w:vAlign w:val="bottom"/>
          </w:tcPr>
          <w:p w14:paraId="437AD5B5" w14:textId="167E778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71936D4F" w14:textId="0CBD055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6D3F1A6" w14:textId="4A83698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3BEA5B26" w14:textId="2E74F28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8D31C01" w14:textId="5788261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05E6496E" w14:textId="1D2B0BE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558B8C26" w14:textId="6E9BA61F"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5E272C7D"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B3</w:t>
            </w:r>
          </w:p>
        </w:tc>
        <w:tc>
          <w:tcPr>
            <w:tcW w:w="1155" w:type="dxa"/>
            <w:tcBorders>
              <w:top w:val="nil"/>
              <w:left w:val="single" w:sz="4" w:space="0" w:color="auto"/>
              <w:bottom w:val="nil"/>
              <w:right w:val="single" w:sz="4" w:space="0" w:color="auto"/>
            </w:tcBorders>
            <w:vAlign w:val="bottom"/>
          </w:tcPr>
          <w:p w14:paraId="7DA78702" w14:textId="1774E0A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7A60C098" w14:textId="79DA6B6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85DEA7A" w14:textId="4B577CB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35F9013E" w14:textId="7657CC0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440F70F" w14:textId="213BCD37"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B52E7C5" w14:textId="0E3C7D57"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r>
      <w:tr w:rsidR="008C602C" w:rsidRPr="00FE572F" w14:paraId="75AD6021" w14:textId="26924AEF"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658C72CE"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B4</w:t>
            </w:r>
          </w:p>
        </w:tc>
        <w:tc>
          <w:tcPr>
            <w:tcW w:w="1155" w:type="dxa"/>
            <w:tcBorders>
              <w:top w:val="nil"/>
              <w:left w:val="single" w:sz="4" w:space="0" w:color="auto"/>
              <w:bottom w:val="nil"/>
              <w:right w:val="single" w:sz="4" w:space="0" w:color="auto"/>
            </w:tcBorders>
            <w:vAlign w:val="bottom"/>
          </w:tcPr>
          <w:p w14:paraId="772826B9" w14:textId="41A13B9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07355067" w14:textId="6177C02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318E7504" w14:textId="4A14AAF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412BF9E9" w14:textId="15F04C3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5551688C" w14:textId="3EA84BB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F24A5C4" w14:textId="596EA49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7722E5B0" w14:textId="2BF8210D"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174DD80A"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B5</w:t>
            </w:r>
          </w:p>
        </w:tc>
        <w:tc>
          <w:tcPr>
            <w:tcW w:w="1155" w:type="dxa"/>
            <w:tcBorders>
              <w:top w:val="nil"/>
              <w:left w:val="single" w:sz="4" w:space="0" w:color="auto"/>
              <w:bottom w:val="nil"/>
              <w:right w:val="single" w:sz="4" w:space="0" w:color="auto"/>
            </w:tcBorders>
            <w:vAlign w:val="bottom"/>
          </w:tcPr>
          <w:p w14:paraId="114AB4F6" w14:textId="04AD3CA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3B8EB62" w14:textId="04FBA51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7E48C08F" w14:textId="44F80F9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48101846" w14:textId="7B7BA15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918C92F" w14:textId="50EAA136"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76EB0BA1" w14:textId="54377D7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7ADDA24F" w14:textId="322A0D7C"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10D27844"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B6</w:t>
            </w:r>
          </w:p>
        </w:tc>
        <w:tc>
          <w:tcPr>
            <w:tcW w:w="1155" w:type="dxa"/>
            <w:tcBorders>
              <w:top w:val="nil"/>
              <w:left w:val="single" w:sz="4" w:space="0" w:color="auto"/>
              <w:bottom w:val="nil"/>
              <w:right w:val="single" w:sz="4" w:space="0" w:color="auto"/>
            </w:tcBorders>
            <w:vAlign w:val="bottom"/>
          </w:tcPr>
          <w:p w14:paraId="5E3972B7" w14:textId="6FD4364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3183239" w14:textId="3B3461D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8%</w:t>
            </w:r>
          </w:p>
        </w:tc>
        <w:tc>
          <w:tcPr>
            <w:tcW w:w="1260" w:type="dxa"/>
            <w:tcBorders>
              <w:top w:val="nil"/>
              <w:left w:val="single" w:sz="4" w:space="0" w:color="auto"/>
              <w:bottom w:val="nil"/>
              <w:right w:val="single" w:sz="4" w:space="0" w:color="auto"/>
            </w:tcBorders>
            <w:vAlign w:val="bottom"/>
          </w:tcPr>
          <w:p w14:paraId="4666AC4B" w14:textId="639B748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2%</w:t>
            </w:r>
          </w:p>
        </w:tc>
        <w:tc>
          <w:tcPr>
            <w:tcW w:w="1260" w:type="dxa"/>
            <w:tcBorders>
              <w:top w:val="nil"/>
              <w:left w:val="single" w:sz="4" w:space="0" w:color="auto"/>
              <w:bottom w:val="nil"/>
              <w:right w:val="single" w:sz="4" w:space="0" w:color="auto"/>
            </w:tcBorders>
            <w:vAlign w:val="bottom"/>
          </w:tcPr>
          <w:p w14:paraId="6BEC890B" w14:textId="5DD1B0E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2541A67" w14:textId="507BD28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F85986A" w14:textId="394750C4"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r>
      <w:tr w:rsidR="008C602C" w:rsidRPr="00FE572F" w14:paraId="5BEC896A" w14:textId="033500CA"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23A89807"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B7</w:t>
            </w:r>
          </w:p>
        </w:tc>
        <w:tc>
          <w:tcPr>
            <w:tcW w:w="1155" w:type="dxa"/>
            <w:tcBorders>
              <w:top w:val="nil"/>
              <w:left w:val="single" w:sz="4" w:space="0" w:color="auto"/>
              <w:bottom w:val="nil"/>
              <w:right w:val="single" w:sz="4" w:space="0" w:color="auto"/>
            </w:tcBorders>
            <w:vAlign w:val="bottom"/>
          </w:tcPr>
          <w:p w14:paraId="6A0915EB" w14:textId="7FF247F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39D9116" w14:textId="0CC0BE7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DB9D9CD" w14:textId="59583B0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w:t>
            </w:r>
          </w:p>
        </w:tc>
        <w:tc>
          <w:tcPr>
            <w:tcW w:w="1260" w:type="dxa"/>
            <w:tcBorders>
              <w:top w:val="nil"/>
              <w:left w:val="single" w:sz="4" w:space="0" w:color="auto"/>
              <w:bottom w:val="nil"/>
              <w:right w:val="single" w:sz="4" w:space="0" w:color="auto"/>
            </w:tcBorders>
            <w:vAlign w:val="bottom"/>
          </w:tcPr>
          <w:p w14:paraId="4DE54FEF" w14:textId="28DDDDF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236BF68A" w14:textId="62999683"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FDDC59A" w14:textId="392FFF80"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4875714A" w14:textId="79F2A1FF"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1C608EB0"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B8</w:t>
            </w:r>
          </w:p>
        </w:tc>
        <w:tc>
          <w:tcPr>
            <w:tcW w:w="1155" w:type="dxa"/>
            <w:tcBorders>
              <w:top w:val="nil"/>
              <w:left w:val="single" w:sz="4" w:space="0" w:color="auto"/>
              <w:bottom w:val="nil"/>
              <w:right w:val="single" w:sz="4" w:space="0" w:color="auto"/>
            </w:tcBorders>
            <w:vAlign w:val="bottom"/>
          </w:tcPr>
          <w:p w14:paraId="41AA7126" w14:textId="01699829"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031D5B16" w14:textId="4AFF1B6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1B17ACCD" w14:textId="37CA6B2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w:t>
            </w:r>
          </w:p>
        </w:tc>
        <w:tc>
          <w:tcPr>
            <w:tcW w:w="1260" w:type="dxa"/>
            <w:tcBorders>
              <w:top w:val="nil"/>
              <w:left w:val="single" w:sz="4" w:space="0" w:color="auto"/>
              <w:bottom w:val="nil"/>
              <w:right w:val="single" w:sz="4" w:space="0" w:color="auto"/>
            </w:tcBorders>
            <w:vAlign w:val="bottom"/>
          </w:tcPr>
          <w:p w14:paraId="764D00F9" w14:textId="6B7E63D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6C3DB9FB" w14:textId="6AC99F79"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c>
          <w:tcPr>
            <w:tcW w:w="1260" w:type="dxa"/>
            <w:tcBorders>
              <w:top w:val="nil"/>
              <w:left w:val="single" w:sz="4" w:space="0" w:color="auto"/>
              <w:bottom w:val="nil"/>
              <w:right w:val="single" w:sz="4" w:space="0" w:color="auto"/>
            </w:tcBorders>
            <w:vAlign w:val="bottom"/>
          </w:tcPr>
          <w:p w14:paraId="1714C640" w14:textId="53F7D9C5"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5C4995BF" w14:textId="130646AA"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5C880E6E"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B9</w:t>
            </w:r>
          </w:p>
        </w:tc>
        <w:tc>
          <w:tcPr>
            <w:tcW w:w="1155" w:type="dxa"/>
            <w:tcBorders>
              <w:top w:val="nil"/>
              <w:left w:val="single" w:sz="4" w:space="0" w:color="auto"/>
              <w:bottom w:val="nil"/>
              <w:right w:val="single" w:sz="4" w:space="0" w:color="auto"/>
            </w:tcBorders>
            <w:vAlign w:val="bottom"/>
          </w:tcPr>
          <w:p w14:paraId="62A75BED" w14:textId="666A3B4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4FF046B4" w14:textId="1471BF8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CA03926" w14:textId="6ACE887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w:t>
            </w:r>
          </w:p>
        </w:tc>
        <w:tc>
          <w:tcPr>
            <w:tcW w:w="1260" w:type="dxa"/>
            <w:tcBorders>
              <w:top w:val="nil"/>
              <w:left w:val="single" w:sz="4" w:space="0" w:color="auto"/>
              <w:bottom w:val="nil"/>
              <w:right w:val="single" w:sz="4" w:space="0" w:color="auto"/>
            </w:tcBorders>
            <w:vAlign w:val="bottom"/>
          </w:tcPr>
          <w:p w14:paraId="19BD3F13" w14:textId="1056544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2D1B12F" w14:textId="5AEC558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1875893" w14:textId="379AE4A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90%</w:t>
            </w:r>
          </w:p>
        </w:tc>
      </w:tr>
      <w:tr w:rsidR="008C602C" w:rsidRPr="00FE572F" w14:paraId="6367FD69" w14:textId="705DED05"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0E02956F"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C1</w:t>
            </w:r>
          </w:p>
        </w:tc>
        <w:tc>
          <w:tcPr>
            <w:tcW w:w="1155" w:type="dxa"/>
            <w:tcBorders>
              <w:top w:val="nil"/>
              <w:left w:val="single" w:sz="4" w:space="0" w:color="auto"/>
              <w:bottom w:val="nil"/>
              <w:right w:val="single" w:sz="4" w:space="0" w:color="auto"/>
            </w:tcBorders>
            <w:vAlign w:val="bottom"/>
          </w:tcPr>
          <w:p w14:paraId="133438B5" w14:textId="4C43B49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4353E4AF" w14:textId="5C74B6D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FECE805" w14:textId="04980F3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E8DCF00" w14:textId="588D273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100%</w:t>
            </w:r>
          </w:p>
        </w:tc>
        <w:tc>
          <w:tcPr>
            <w:tcW w:w="1260" w:type="dxa"/>
            <w:tcBorders>
              <w:top w:val="nil"/>
              <w:left w:val="single" w:sz="4" w:space="0" w:color="auto"/>
              <w:bottom w:val="nil"/>
              <w:right w:val="single" w:sz="4" w:space="0" w:color="auto"/>
            </w:tcBorders>
            <w:vAlign w:val="bottom"/>
          </w:tcPr>
          <w:p w14:paraId="5E5ACF20" w14:textId="3A257E0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5CC8F7A2" w14:textId="4B61D79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32E29AB0" w14:textId="24D0E91B" w:rsidTr="00D9599D">
        <w:trPr>
          <w:trHeight w:val="301"/>
          <w:jc w:val="center"/>
        </w:trPr>
        <w:tc>
          <w:tcPr>
            <w:tcW w:w="1000" w:type="dxa"/>
            <w:tcBorders>
              <w:top w:val="nil"/>
              <w:left w:val="single" w:sz="4" w:space="0" w:color="auto"/>
              <w:bottom w:val="nil"/>
              <w:right w:val="single" w:sz="4" w:space="0" w:color="auto"/>
            </w:tcBorders>
            <w:shd w:val="clear" w:color="auto" w:fill="auto"/>
            <w:noWrap/>
            <w:vAlign w:val="bottom"/>
            <w:hideMark/>
          </w:tcPr>
          <w:p w14:paraId="277181C2"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C2</w:t>
            </w:r>
          </w:p>
        </w:tc>
        <w:tc>
          <w:tcPr>
            <w:tcW w:w="1155" w:type="dxa"/>
            <w:tcBorders>
              <w:top w:val="nil"/>
              <w:left w:val="single" w:sz="4" w:space="0" w:color="auto"/>
              <w:bottom w:val="nil"/>
              <w:right w:val="single" w:sz="4" w:space="0" w:color="auto"/>
            </w:tcBorders>
            <w:vAlign w:val="bottom"/>
          </w:tcPr>
          <w:p w14:paraId="4A964F59" w14:textId="0397D8E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2C360BFC" w14:textId="7367E53C"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04AEC302" w14:textId="73D2232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3F7BE165" w14:textId="5F9BB92E"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nil"/>
              <w:right w:val="single" w:sz="4" w:space="0" w:color="auto"/>
            </w:tcBorders>
            <w:vAlign w:val="bottom"/>
          </w:tcPr>
          <w:p w14:paraId="7D8B6FD2" w14:textId="741BF918"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100%</w:t>
            </w:r>
          </w:p>
        </w:tc>
        <w:tc>
          <w:tcPr>
            <w:tcW w:w="1260" w:type="dxa"/>
            <w:tcBorders>
              <w:top w:val="nil"/>
              <w:left w:val="single" w:sz="4" w:space="0" w:color="auto"/>
              <w:bottom w:val="nil"/>
              <w:right w:val="single" w:sz="4" w:space="0" w:color="auto"/>
            </w:tcBorders>
            <w:vAlign w:val="bottom"/>
          </w:tcPr>
          <w:p w14:paraId="694DC246" w14:textId="702FF052"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r>
      <w:tr w:rsidR="008C602C" w:rsidRPr="00FE572F" w14:paraId="7CBF3FD6" w14:textId="6722E25A" w:rsidTr="00D9599D">
        <w:trPr>
          <w:trHeight w:val="301"/>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A552E06" w14:textId="77777777" w:rsidR="008C602C" w:rsidRPr="00FE572F" w:rsidRDefault="008C602C" w:rsidP="008C602C">
            <w:pPr>
              <w:spacing w:line="240" w:lineRule="auto"/>
              <w:rPr>
                <w:rFonts w:ascii="Calibri" w:eastAsia="Times New Roman" w:hAnsi="Calibri" w:cs="Calibri"/>
                <w:color w:val="000000"/>
                <w:lang w:val="en-IE"/>
              </w:rPr>
            </w:pPr>
            <w:r w:rsidRPr="00FE572F">
              <w:rPr>
                <w:rFonts w:ascii="Calibri" w:eastAsia="Times New Roman" w:hAnsi="Calibri" w:cs="Calibri"/>
                <w:color w:val="000000"/>
                <w:lang w:val="en-IE"/>
              </w:rPr>
              <w:t>C3</w:t>
            </w:r>
          </w:p>
        </w:tc>
        <w:tc>
          <w:tcPr>
            <w:tcW w:w="1155" w:type="dxa"/>
            <w:tcBorders>
              <w:top w:val="nil"/>
              <w:left w:val="single" w:sz="4" w:space="0" w:color="auto"/>
              <w:bottom w:val="single" w:sz="4" w:space="0" w:color="auto"/>
              <w:right w:val="single" w:sz="4" w:space="0" w:color="auto"/>
            </w:tcBorders>
            <w:vAlign w:val="bottom"/>
          </w:tcPr>
          <w:p w14:paraId="5013A066" w14:textId="7A237B7D"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single" w:sz="4" w:space="0" w:color="auto"/>
              <w:right w:val="single" w:sz="4" w:space="0" w:color="auto"/>
            </w:tcBorders>
            <w:vAlign w:val="bottom"/>
          </w:tcPr>
          <w:p w14:paraId="4F2F8C99" w14:textId="3E45546F"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single" w:sz="4" w:space="0" w:color="auto"/>
              <w:right w:val="single" w:sz="4" w:space="0" w:color="auto"/>
            </w:tcBorders>
            <w:vAlign w:val="bottom"/>
          </w:tcPr>
          <w:p w14:paraId="452629D5" w14:textId="04C5011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single" w:sz="4" w:space="0" w:color="auto"/>
              <w:right w:val="single" w:sz="4" w:space="0" w:color="auto"/>
            </w:tcBorders>
            <w:vAlign w:val="bottom"/>
          </w:tcPr>
          <w:p w14:paraId="641FAB31" w14:textId="14C69B61"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single" w:sz="4" w:space="0" w:color="auto"/>
              <w:right w:val="single" w:sz="4" w:space="0" w:color="auto"/>
            </w:tcBorders>
            <w:vAlign w:val="bottom"/>
          </w:tcPr>
          <w:p w14:paraId="40527841" w14:textId="2243A68A"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0%</w:t>
            </w:r>
          </w:p>
        </w:tc>
        <w:tc>
          <w:tcPr>
            <w:tcW w:w="1260" w:type="dxa"/>
            <w:tcBorders>
              <w:top w:val="nil"/>
              <w:left w:val="single" w:sz="4" w:space="0" w:color="auto"/>
              <w:bottom w:val="single" w:sz="4" w:space="0" w:color="auto"/>
              <w:right w:val="single" w:sz="4" w:space="0" w:color="auto"/>
            </w:tcBorders>
            <w:vAlign w:val="bottom"/>
          </w:tcPr>
          <w:p w14:paraId="36DC1C1F" w14:textId="1858CEDB" w:rsidR="008C602C" w:rsidRPr="00FE572F" w:rsidRDefault="008C602C" w:rsidP="008C602C">
            <w:pPr>
              <w:spacing w:line="240" w:lineRule="auto"/>
              <w:rPr>
                <w:rFonts w:ascii="Calibri" w:eastAsia="Times New Roman" w:hAnsi="Calibri" w:cs="Calibri"/>
                <w:color w:val="000000"/>
                <w:lang w:val="en-IE"/>
              </w:rPr>
            </w:pPr>
            <w:r w:rsidRPr="006226F4">
              <w:rPr>
                <w:rFonts w:ascii="Calibri" w:eastAsia="Times New Roman" w:hAnsi="Calibri" w:cs="Calibri"/>
                <w:color w:val="000000"/>
                <w:sz w:val="20"/>
                <w:szCs w:val="20"/>
                <w:lang w:val="en-IE"/>
              </w:rPr>
              <w:t>100%</w:t>
            </w:r>
          </w:p>
        </w:tc>
      </w:tr>
    </w:tbl>
    <w:p w14:paraId="2C079233" w14:textId="77777777" w:rsidR="0075513E" w:rsidRDefault="00C03212">
      <w:pPr>
        <w:spacing w:after="240" w:line="480" w:lineRule="auto"/>
        <w:jc w:val="both"/>
      </w:pPr>
      <w:r>
        <w:rPr>
          <w:noProof/>
        </w:rPr>
        <w:lastRenderedPageBreak/>
        <w:drawing>
          <wp:inline distT="0" distB="0" distL="0" distR="0" wp14:anchorId="01990FF8" wp14:editId="57B4C3B5">
            <wp:extent cx="5943600" cy="3928678"/>
            <wp:effectExtent l="0" t="0" r="0" b="0"/>
            <wp:docPr id="2524140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414010" name="Picture 1"/>
                    <pic:cNvPicPr/>
                  </pic:nvPicPr>
                  <pic:blipFill>
                    <a:blip r:embed="rId16">
                      <a:extLst>
                        <a:ext uri="{28A0092B-C50C-407E-A947-70E740481C1C}">
                          <a14:useLocalDpi xmlns:a14="http://schemas.microsoft.com/office/drawing/2010/main" val="0"/>
                        </a:ext>
                      </a:extLst>
                    </a:blip>
                    <a:stretch>
                      <a:fillRect/>
                    </a:stretch>
                  </pic:blipFill>
                  <pic:spPr>
                    <a:xfrm>
                      <a:off x="0" y="0"/>
                      <a:ext cx="5974558" cy="3949141"/>
                    </a:xfrm>
                    <a:prstGeom prst="rect">
                      <a:avLst/>
                    </a:prstGeom>
                  </pic:spPr>
                </pic:pic>
              </a:graphicData>
            </a:graphic>
          </wp:inline>
        </w:drawing>
      </w:r>
    </w:p>
    <w:p w14:paraId="4E531870" w14:textId="597F431A" w:rsidR="004127ED" w:rsidRDefault="00FE572F" w:rsidP="00D9599D">
      <w:pPr>
        <w:spacing w:after="240" w:line="480" w:lineRule="auto"/>
        <w:jc w:val="both"/>
      </w:pPr>
      <w:r>
        <w:t xml:space="preserve">Figure 7: </w:t>
      </w:r>
      <w:r w:rsidR="00C03212">
        <w:t xml:space="preserve">Average </w:t>
      </w:r>
      <w:r w:rsidR="00367213" w:rsidRPr="00005340">
        <w:t>MJex</w:t>
      </w:r>
      <w:r w:rsidR="00B46A91">
        <w:t>/</w:t>
      </w:r>
      <w:r w:rsidR="00C03212">
        <w:t>kg</w:t>
      </w:r>
      <w:r w:rsidR="00B46A91">
        <w:t xml:space="preserve"> FW</w:t>
      </w:r>
      <w:r w:rsidR="00367213" w:rsidRPr="00005340">
        <w:t xml:space="preserve"> (</w:t>
      </w:r>
      <w:r w:rsidR="00B46A91">
        <w:t>a</w:t>
      </w:r>
      <w:r w:rsidR="00367213" w:rsidRPr="00005340">
        <w:t>), kg CO2-eq</w:t>
      </w:r>
      <w:r w:rsidR="00B46A91">
        <w:t>/</w:t>
      </w:r>
      <w:r w:rsidR="00C03212">
        <w:t>kg</w:t>
      </w:r>
      <w:r w:rsidR="00B46A91">
        <w:t xml:space="preserve"> FW</w:t>
      </w:r>
      <w:r w:rsidR="00367213" w:rsidRPr="00005340">
        <w:t xml:space="preserve"> (</w:t>
      </w:r>
      <w:r w:rsidR="00B46A91">
        <w:t>b</w:t>
      </w:r>
      <w:r w:rsidR="00367213" w:rsidRPr="00005340">
        <w:t xml:space="preserve">), </w:t>
      </w:r>
      <w:r w:rsidR="008677AC" w:rsidRPr="00005340">
        <w:t>€/</w:t>
      </w:r>
      <w:r w:rsidR="00C03212">
        <w:t>kg</w:t>
      </w:r>
      <w:r w:rsidR="00C03212" w:rsidRPr="00005340">
        <w:t xml:space="preserve"> </w:t>
      </w:r>
      <w:r w:rsidR="00B46A91">
        <w:t xml:space="preserve">FW </w:t>
      </w:r>
      <w:r w:rsidR="008677AC" w:rsidRPr="00005340">
        <w:t>(</w:t>
      </w:r>
      <w:r w:rsidR="00B46A91">
        <w:t>c</w:t>
      </w:r>
      <w:r w:rsidR="008677AC" w:rsidRPr="00005340">
        <w:t>), and HP</w:t>
      </w:r>
      <w:r w:rsidR="00B46A91">
        <w:t>/</w:t>
      </w:r>
      <w:r w:rsidR="00C03212">
        <w:t>kg</w:t>
      </w:r>
      <w:r w:rsidR="00B46A91">
        <w:t xml:space="preserve"> FW</w:t>
      </w:r>
      <w:r w:rsidR="008677AC" w:rsidRPr="00005340">
        <w:t xml:space="preserve"> (</w:t>
      </w:r>
      <w:r w:rsidR="00B46A91">
        <w:t>d</w:t>
      </w:r>
      <w:r w:rsidR="008677AC" w:rsidRPr="00005340">
        <w:t xml:space="preserve">) for </w:t>
      </w:r>
      <w:r>
        <w:t>each</w:t>
      </w:r>
      <w:r w:rsidR="008677AC" w:rsidRPr="00005340">
        <w:t xml:space="preserve"> scale-up scenario.</w:t>
      </w:r>
      <w:r w:rsidR="00880D46">
        <w:t xml:space="preserve"> </w:t>
      </w:r>
      <w:r w:rsidR="00B52D06">
        <w:t>Best and worst performing scenario indicated by striped diagonal</w:t>
      </w:r>
      <w:r w:rsidR="003D7E82">
        <w:t xml:space="preserve"> shading.</w:t>
      </w:r>
      <w:r w:rsidR="00DB7932" w:rsidRPr="00DB7932">
        <w:rPr>
          <w:noProof/>
        </w:rPr>
        <w:t xml:space="preserve"> </w:t>
      </w:r>
    </w:p>
    <w:p w14:paraId="419C8D81" w14:textId="08CE5E6E" w:rsidR="00DF7A81" w:rsidRPr="00406277" w:rsidRDefault="00F965A1" w:rsidP="00890D06">
      <w:pPr>
        <w:pStyle w:val="Heading1"/>
        <w:numPr>
          <w:ilvl w:val="0"/>
          <w:numId w:val="12"/>
        </w:numPr>
        <w:spacing w:before="0" w:after="240" w:line="480" w:lineRule="auto"/>
        <w:rPr>
          <w:b/>
          <w:bCs/>
          <w:sz w:val="22"/>
          <w:szCs w:val="22"/>
        </w:rPr>
      </w:pPr>
      <w:bookmarkStart w:id="58" w:name="_Toc130974815"/>
      <w:bookmarkStart w:id="59" w:name="_Toc130974816"/>
      <w:bookmarkEnd w:id="58"/>
      <w:r w:rsidRPr="00406277">
        <w:rPr>
          <w:b/>
          <w:bCs/>
          <w:sz w:val="22"/>
          <w:szCs w:val="22"/>
        </w:rPr>
        <w:t>Discussion</w:t>
      </w:r>
      <w:bookmarkEnd w:id="59"/>
    </w:p>
    <w:p w14:paraId="6432D0C3" w14:textId="73BDFC56" w:rsidR="00BF1E23" w:rsidRDefault="00832458" w:rsidP="00890D06">
      <w:pPr>
        <w:spacing w:after="240" w:line="480" w:lineRule="auto"/>
        <w:jc w:val="both"/>
      </w:pPr>
      <w:r w:rsidRPr="00D84831">
        <w:t>In this study, s</w:t>
      </w:r>
      <w:r w:rsidR="00F965A1" w:rsidRPr="00D84831">
        <w:t xml:space="preserve">everal seaweed </w:t>
      </w:r>
      <w:r w:rsidRPr="00D84831">
        <w:t>production pathways</w:t>
      </w:r>
      <w:r w:rsidR="005C7EC9">
        <w:t xml:space="preserve"> </w:t>
      </w:r>
      <w:r w:rsidR="00F965A1" w:rsidRPr="00D84831">
        <w:t xml:space="preserve">were </w:t>
      </w:r>
      <w:r w:rsidR="0003488E">
        <w:t xml:space="preserve">compared based on </w:t>
      </w:r>
      <w:r w:rsidR="0008523A" w:rsidRPr="00D84831">
        <w:t>environmental</w:t>
      </w:r>
      <w:r w:rsidR="00722AD1" w:rsidRPr="00D84831">
        <w:t>, economic, and social</w:t>
      </w:r>
      <w:r w:rsidR="00F965A1" w:rsidRPr="00D84831">
        <w:t xml:space="preserve"> impacts. </w:t>
      </w:r>
      <w:r w:rsidR="00825F24">
        <w:t xml:space="preserve">Despite </w:t>
      </w:r>
      <w:r w:rsidR="00EA4173">
        <w:t xml:space="preserve">the </w:t>
      </w:r>
      <w:r w:rsidR="00AE2841">
        <w:t>direct</w:t>
      </w:r>
      <w:r w:rsidR="00EA4173">
        <w:t xml:space="preserve"> extraction of </w:t>
      </w:r>
      <w:r w:rsidR="00794DD8">
        <w:t>biomass</w:t>
      </w:r>
      <w:r w:rsidR="00AE2841">
        <w:t xml:space="preserve"> from the environment</w:t>
      </w:r>
      <w:r w:rsidR="00825F24">
        <w:t xml:space="preserve">, </w:t>
      </w:r>
      <w:r w:rsidR="00AE2841">
        <w:t>environmental impacts of manual w</w:t>
      </w:r>
      <w:r w:rsidR="00AE2841" w:rsidRPr="00D84831">
        <w:t>ild harvesting methods</w:t>
      </w:r>
      <w:r w:rsidR="00AE2841">
        <w:t xml:space="preserve"> (W1 and W2) were found to be quite low. </w:t>
      </w:r>
      <w:r w:rsidR="00EA4173">
        <w:t>However, both</w:t>
      </w:r>
      <w:r w:rsidR="00825F24">
        <w:t xml:space="preserve"> </w:t>
      </w:r>
      <w:r w:rsidR="003657EB">
        <w:t>exergy demand</w:t>
      </w:r>
      <w:r w:rsidR="00825F24">
        <w:t xml:space="preserve"> and global warming potential </w:t>
      </w:r>
      <w:r w:rsidR="00EA4173">
        <w:t>were found to be significantly higher in the mechanical wild harvesting pathway (W3)</w:t>
      </w:r>
      <w:r w:rsidR="00C771D4">
        <w:t xml:space="preserve"> due to </w:t>
      </w:r>
      <w:r w:rsidR="00D57D2A">
        <w:t xml:space="preserve">diesel </w:t>
      </w:r>
      <w:r w:rsidR="00443DBF">
        <w:t xml:space="preserve">fuel use in </w:t>
      </w:r>
      <w:r w:rsidR="00BF2FFF">
        <w:t>the trawler</w:t>
      </w:r>
      <w:r w:rsidR="00825F24">
        <w:t xml:space="preserve">. </w:t>
      </w:r>
      <w:r w:rsidR="00825F24" w:rsidRPr="00D84831">
        <w:t xml:space="preserve">Mechanization in agriculture has been shown to have negative impacts on the environment through increased greenhouse gas emissions </w:t>
      </w:r>
      <w:r w:rsidR="00825F24" w:rsidRPr="00D84831">
        <w:fldChar w:fldCharType="begin"/>
      </w:r>
      <w:r w:rsidR="003A4382">
        <w:instrText xml:space="preserve"> ADDIN ZOTERO_ITEM CSL_CITATION {"citationID":"iyLLihtx","properties":{"formattedCitation":"(Aguilera et al., 2019)","plainCitation":"(Aguilera et al., 2019)","noteIndex":0},"citationItems":[{"id":666,"uris":["http://zotero.org/users/8766396/items/M58FHMQS"],"itemData":{"id":666,"type":"article-journal","container-title":"Journal of Cleaner Production","DOI":"10.1016/j.jclepro.2019.02.247","ISSN":"09596526","journalAbbreviation":"Journal of Cleaner Production","language":"en","page":"295-305","source":"DOI.org (Crossref)","title":"From animals to machines. The impact of mechanization on the carbon footprint of traction in Spanish agriculture: 1900–2014","title-short":"From animals to machines. The impact of mechanization on the carbon footprint of traction in Spanish agriculture","URL":"https://linkinghub.elsevier.com/retrieve/pii/S0959652619306523","volume":"221","author":[{"family":"Aguilera","given":"Eduardo"},{"family":"Guzmán","given":"Gloria I."},{"family":"González de Molina","given":"Manuel"},{"family":"Soto","given":"David"},{"family":"Infante-Amate","given":"Juan"}],"accessed":{"date-parts":[["2023",2,22]]},"issued":{"date-parts":[["2019",6]]}}}],"schema":"https://github.com/citation-style-language/schema/raw/master/csl-citation.json"} </w:instrText>
      </w:r>
      <w:r w:rsidR="00825F24" w:rsidRPr="00D84831">
        <w:fldChar w:fldCharType="separate"/>
      </w:r>
      <w:r w:rsidR="003A4382" w:rsidRPr="003A4382">
        <w:t>(Aguilera et al., 2019)</w:t>
      </w:r>
      <w:r w:rsidR="00825F24" w:rsidRPr="00D84831">
        <w:fldChar w:fldCharType="end"/>
      </w:r>
      <w:r w:rsidR="00825F24" w:rsidRPr="00D84831">
        <w:t>, and our results confirm</w:t>
      </w:r>
      <w:r w:rsidR="006A2A76">
        <w:t>ed</w:t>
      </w:r>
      <w:r w:rsidR="00825F24" w:rsidRPr="00D84831">
        <w:t xml:space="preserve"> </w:t>
      </w:r>
      <w:r w:rsidR="00825F24" w:rsidRPr="00D84831">
        <w:lastRenderedPageBreak/>
        <w:t xml:space="preserve">that the marine environment reflects the same trend. </w:t>
      </w:r>
      <w:r w:rsidR="00BF1E23">
        <w:t>A</w:t>
      </w:r>
      <w:r w:rsidR="00BF1E23" w:rsidRPr="00D84831">
        <w:t xml:space="preserve">ll </w:t>
      </w:r>
      <w:r w:rsidR="00BF1E23">
        <w:t xml:space="preserve">wild harvesting </w:t>
      </w:r>
      <w:r w:rsidR="00BF1E23" w:rsidRPr="00D84831">
        <w:t xml:space="preserve">pathways were found to be economically viable, with the lowest MSP found from the boat and rake method (W2), followed by manual harvesting by foot (W1) and mechanical harvesting (W3). However, </w:t>
      </w:r>
      <w:proofErr w:type="gramStart"/>
      <w:r w:rsidR="00BF1E23" w:rsidRPr="00D84831">
        <w:t xml:space="preserve">all </w:t>
      </w:r>
      <w:r w:rsidR="00BF1E23">
        <w:t>of</w:t>
      </w:r>
      <w:proofErr w:type="gramEnd"/>
      <w:r w:rsidR="00BF1E23">
        <w:t xml:space="preserve"> these </w:t>
      </w:r>
      <w:r w:rsidR="00BF1E23" w:rsidRPr="00D84831">
        <w:t>pathways contribute</w:t>
      </w:r>
      <w:r w:rsidR="00BF1E23">
        <w:t>d</w:t>
      </w:r>
      <w:r w:rsidR="00BF1E23" w:rsidRPr="00D84831">
        <w:t xml:space="preserve"> little to social wellbeing, with harvesting by foot (W1) contributing the most, and mechanical harvesting (W3) contributing the least.</w:t>
      </w:r>
      <w:r w:rsidR="00BF1E23">
        <w:t xml:space="preserve"> Interestingly, the poorer performance of the mechanical harvesting method W3 </w:t>
      </w:r>
      <w:r w:rsidR="00BF1E23" w:rsidRPr="00D84831">
        <w:t>contradict</w:t>
      </w:r>
      <w:r w:rsidR="00BF1E23">
        <w:t>s</w:t>
      </w:r>
      <w:r w:rsidR="00BF1E23" w:rsidRPr="00D84831">
        <w:t xml:space="preserve"> the idea that pathways which reduce labour necessarily reduce costs</w:t>
      </w:r>
      <w:r w:rsidR="00BF1E23">
        <w:t xml:space="preserve"> overall</w:t>
      </w:r>
      <w:r w:rsidR="00BF1E23" w:rsidRPr="00D84831">
        <w:t xml:space="preserve"> </w:t>
      </w:r>
      <w:r w:rsidR="00BF1E23" w:rsidRPr="00D84831">
        <w:fldChar w:fldCharType="begin"/>
      </w:r>
      <w:r w:rsidR="00BF1E23">
        <w:instrText xml:space="preserve"> ADDIN ZOTERO_ITEM CSL_CITATION {"citationID":"M7yQemze","properties":{"formattedCitation":"(Czyrnek-Deletre et al., 2017; Dijkstra and Meyer, 2015)","plainCitation":"(Czyrnek-Deletre et al., 2017; Dijkstra and Meyer, 2015)","noteIndex":0},"citationItems":[{"id":131,"uris":["http://zotero.org/users/8766396/items/6DYKJMA4"],"itemData":{"id":131,"type":"article-journal","container-title":"Applied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D"}],"issued":{"date-parts":[["2017"]]}}},{"id":412,"uris":["http://zotero.org/users/8766396/items/38ZAM9GP"],"itemData":{"id":412,"type":"report","abstract":"The Macro Cascade project aims to develop a cascading seaweed biorefinery concept. This production platform covers the whole valorisation chain starting from cultivation of sustainable cultivated macroalgae biomass (seaweed) up to the production of highly processed value added products. Task 6.2 of the Macro Cascade project aims to present a techno-economic assessment of the envisaged value chains.","collection-title":"Macro Cascade - Project H2020-BBI-PPP-2015-1","genre":"Deliverable","language":"en","number":"D6.2","source":"Zotero","title":"Techno-economic analysis of production and valorisation of seaweed","URL":"https://www.macrocascade.eu/wp-content/uploads/2020/04/MacroCascade-D6.2-Summary-1.pdf","author":[{"family":"Dijkstra","given":"Jan Wilco"},{"family":"Meyer","given":"Dick F"}],"issued":{"date-parts":[["2015"]]}}}],"schema":"https://github.com/citation-style-language/schema/raw/master/csl-citation.json"} </w:instrText>
      </w:r>
      <w:r w:rsidR="00BF1E23" w:rsidRPr="00D84831">
        <w:fldChar w:fldCharType="separate"/>
      </w:r>
      <w:r w:rsidR="00BF1E23" w:rsidRPr="003A4382">
        <w:t>(Czyrnek-Deletre et al., 2017; Dijkstra and Meyer, 2015)</w:t>
      </w:r>
      <w:r w:rsidR="00BF1E23" w:rsidRPr="00D84831">
        <w:fldChar w:fldCharType="end"/>
      </w:r>
      <w:r w:rsidR="00BF1E23">
        <w:t>.</w:t>
      </w:r>
      <w:r w:rsidR="00BF1E23" w:rsidRPr="00D84831">
        <w:t xml:space="preserve"> </w:t>
      </w:r>
      <w:r w:rsidR="00BF1E23">
        <w:t>W</w:t>
      </w:r>
      <w:r w:rsidR="00BF1E23" w:rsidRPr="00D84831">
        <w:t xml:space="preserve">hile mechanical harvesting </w:t>
      </w:r>
      <w:r w:rsidR="00BF1E23">
        <w:t>was found to</w:t>
      </w:r>
      <w:r w:rsidR="00BF1E23" w:rsidRPr="00D84831">
        <w:t xml:space="preserve"> reduce the costs associated with labour, it </w:t>
      </w:r>
      <w:r w:rsidR="00BF1E23">
        <w:t xml:space="preserve">would also </w:t>
      </w:r>
      <w:r w:rsidR="00BF1E23" w:rsidRPr="00D84831">
        <w:t>require the use of large, specialised boats which increases the costs associated with capital equipment and fuel. This reflects the findings of Burrows et al. (2018), who discussed the difficulties of implementing economically feasible mechanical wild harvesting scenarios in Scotland</w:t>
      </w:r>
      <w:r w:rsidR="00BF1E23">
        <w:t>.</w:t>
      </w:r>
    </w:p>
    <w:p w14:paraId="357F9090" w14:textId="3C3CFB5C" w:rsidR="00782CE7" w:rsidRDefault="0052694C" w:rsidP="00AD1811">
      <w:pPr>
        <w:spacing w:after="240" w:line="480" w:lineRule="auto"/>
        <w:jc w:val="both"/>
      </w:pPr>
      <w:r>
        <w:t>Compared to wild harvesting methods, the c</w:t>
      </w:r>
      <w:r w:rsidR="00631DFE">
        <w:t xml:space="preserve">ultivation pathways </w:t>
      </w:r>
      <w:r w:rsidR="00C522FC">
        <w:t xml:space="preserve">(C1-C3) </w:t>
      </w:r>
      <w:r w:rsidR="00631DFE">
        <w:t xml:space="preserve">had a much higher labour demand and as such could contribute much more to social wellbeing increases; however, </w:t>
      </w:r>
      <w:r w:rsidR="00482237">
        <w:t xml:space="preserve">cultivation pathways </w:t>
      </w:r>
      <w:r w:rsidR="00A000AD">
        <w:t>also ha</w:t>
      </w:r>
      <w:r w:rsidR="007E1997">
        <w:t>d</w:t>
      </w:r>
      <w:r w:rsidR="00A000AD">
        <w:t xml:space="preserve"> significantly higher </w:t>
      </w:r>
      <w:r w:rsidR="00631DFE">
        <w:t xml:space="preserve">environmental and economic impacts. </w:t>
      </w:r>
      <w:r w:rsidR="004F0765">
        <w:t xml:space="preserve">Transport was found to be a significant contributor to </w:t>
      </w:r>
      <w:r w:rsidR="00562BB8">
        <w:t>environmental and economic impacts in cultivation</w:t>
      </w:r>
      <w:r w:rsidR="0087570E">
        <w:t xml:space="preserve">. </w:t>
      </w:r>
      <w:r w:rsidR="00D574D9">
        <w:t xml:space="preserve">Capital equipment </w:t>
      </w:r>
      <w:r w:rsidR="003E1121">
        <w:t xml:space="preserve">– particularly that used in deployment - </w:t>
      </w:r>
      <w:r w:rsidR="00D574D9">
        <w:t>was also a significant contributor</w:t>
      </w:r>
      <w:r w:rsidR="007E2453">
        <w:t>,</w:t>
      </w:r>
      <w:r w:rsidR="00D574D9">
        <w:t xml:space="preserve"> as well as the most variable amongst cultivation pathways</w:t>
      </w:r>
      <w:r w:rsidR="003E1121">
        <w:t xml:space="preserve"> (Table S11, Supplementary </w:t>
      </w:r>
      <w:r w:rsidR="001F0197">
        <w:t>material</w:t>
      </w:r>
      <w:r w:rsidR="003E1121">
        <w:t>)</w:t>
      </w:r>
      <w:r w:rsidR="00D574D9">
        <w:t xml:space="preserve">. </w:t>
      </w:r>
      <w:r w:rsidR="00A56446">
        <w:t xml:space="preserve">Generally, </w:t>
      </w:r>
      <w:r w:rsidR="007E2453">
        <w:t xml:space="preserve">it was </w:t>
      </w:r>
      <w:r w:rsidR="00110DE3">
        <w:t xml:space="preserve">found that </w:t>
      </w:r>
      <w:r w:rsidR="00F203CA">
        <w:t>environmental and economic impacts decrease</w:t>
      </w:r>
      <w:r w:rsidR="0010293E">
        <w:t>d</w:t>
      </w:r>
      <w:r w:rsidR="00F203CA">
        <w:t xml:space="preserve"> as </w:t>
      </w:r>
      <w:r w:rsidR="00C61BDB">
        <w:t xml:space="preserve">the </w:t>
      </w:r>
      <w:r w:rsidR="00F203CA">
        <w:t xml:space="preserve">amount </w:t>
      </w:r>
      <w:r w:rsidR="009B335F">
        <w:t xml:space="preserve">of </w:t>
      </w:r>
      <w:r w:rsidR="0010293E">
        <w:t xml:space="preserve">deployment </w:t>
      </w:r>
      <w:r w:rsidR="009B335F">
        <w:t>equipment used decrease</w:t>
      </w:r>
      <w:r w:rsidR="0010293E">
        <w:t>d</w:t>
      </w:r>
      <w:r w:rsidR="009B335F">
        <w:t xml:space="preserve">. </w:t>
      </w:r>
      <w:r w:rsidR="0077272C">
        <w:t xml:space="preserve">For instance, </w:t>
      </w:r>
      <w:r w:rsidR="008D5D7E">
        <w:t xml:space="preserve">C2 </w:t>
      </w:r>
      <w:r w:rsidR="002B6D1F">
        <w:t xml:space="preserve">used the least </w:t>
      </w:r>
      <w:r w:rsidR="00307BBB">
        <w:t xml:space="preserve">deployment equipment (0.038 kg/kg FW) and </w:t>
      </w:r>
      <w:r w:rsidR="008D5D7E">
        <w:t xml:space="preserve">performed the best in terms of </w:t>
      </w:r>
      <w:r w:rsidR="0077272C">
        <w:t xml:space="preserve">both </w:t>
      </w:r>
      <w:r w:rsidR="008D5D7E">
        <w:t>environmental and economic impacts</w:t>
      </w:r>
      <w:r w:rsidR="00200A08">
        <w:t>.</w:t>
      </w:r>
      <w:r w:rsidR="008D5D7E">
        <w:t xml:space="preserve"> </w:t>
      </w:r>
      <w:r w:rsidR="00F36A63">
        <w:t xml:space="preserve">However, the type of equipment used </w:t>
      </w:r>
      <w:r w:rsidR="00841598">
        <w:t>was</w:t>
      </w:r>
      <w:r w:rsidR="00F36A63">
        <w:t xml:space="preserve"> also important</w:t>
      </w:r>
      <w:r w:rsidR="00F10C53">
        <w:t>;</w:t>
      </w:r>
      <w:r w:rsidR="00AE2CB9">
        <w:t xml:space="preserve"> </w:t>
      </w:r>
      <w:r w:rsidR="00F10C53">
        <w:t>w</w:t>
      </w:r>
      <w:r w:rsidR="00FF2AF8">
        <w:t xml:space="preserve">hile </w:t>
      </w:r>
      <w:r w:rsidR="00D75519">
        <w:t xml:space="preserve">C2 and C3 </w:t>
      </w:r>
      <w:r w:rsidR="007D0AD6">
        <w:t>used</w:t>
      </w:r>
      <w:r w:rsidR="00D75519">
        <w:t xml:space="preserve"> </w:t>
      </w:r>
      <w:r w:rsidR="00BA4407">
        <w:t xml:space="preserve">a </w:t>
      </w:r>
      <w:r w:rsidR="00D75519">
        <w:t xml:space="preserve">comparable </w:t>
      </w:r>
      <w:r w:rsidR="00BA4407">
        <w:t xml:space="preserve">amount of </w:t>
      </w:r>
      <w:r w:rsidR="00D75519">
        <w:t xml:space="preserve">deployment equipment </w:t>
      </w:r>
      <w:r w:rsidR="00195275">
        <w:t xml:space="preserve">per functional unit </w:t>
      </w:r>
      <w:r w:rsidR="00FD1F22">
        <w:t>(</w:t>
      </w:r>
      <w:r w:rsidR="00D75519">
        <w:t>0.038 and 0.048 kg/kg FW, respectively</w:t>
      </w:r>
      <w:r w:rsidR="00FD1F22">
        <w:t>)</w:t>
      </w:r>
      <w:r w:rsidR="00D75519">
        <w:t xml:space="preserve">, </w:t>
      </w:r>
      <w:r w:rsidR="00195275">
        <w:t>C3 had significantly higher impacts than C2</w:t>
      </w:r>
      <w:r w:rsidR="00A94DD0">
        <w:t>.</w:t>
      </w:r>
      <w:r w:rsidR="00BA4407">
        <w:t xml:space="preserve"> </w:t>
      </w:r>
      <w:r w:rsidR="003C3849">
        <w:t xml:space="preserve">Regarding economic </w:t>
      </w:r>
      <w:r w:rsidR="00226164">
        <w:t>costs</w:t>
      </w:r>
      <w:r w:rsidR="00A94DD0">
        <w:t>, C3</w:t>
      </w:r>
      <w:r w:rsidR="00BA4407">
        <w:t xml:space="preserve"> </w:t>
      </w:r>
      <w:r w:rsidR="00226164">
        <w:t>performed even worse</w:t>
      </w:r>
      <w:r w:rsidR="00BA4407">
        <w:t xml:space="preserve"> than C1</w:t>
      </w:r>
      <w:r w:rsidR="00982837">
        <w:t>,</w:t>
      </w:r>
      <w:r w:rsidR="005E58C1">
        <w:t xml:space="preserve"> despite</w:t>
      </w:r>
      <w:r w:rsidR="00982837">
        <w:t xml:space="preserve"> C1</w:t>
      </w:r>
      <w:r w:rsidR="005E58C1">
        <w:t xml:space="preserve"> using</w:t>
      </w:r>
      <w:r w:rsidR="006553BA">
        <w:t xml:space="preserve"> significantly more deployment equipment (0.100 kg/kg FW)</w:t>
      </w:r>
      <w:r w:rsidR="00195275">
        <w:t xml:space="preserve">. </w:t>
      </w:r>
      <w:r w:rsidR="00F07C44" w:rsidRPr="00460393">
        <w:t>C3 was designed quite differently to C1 and C2</w:t>
      </w:r>
      <w:r w:rsidR="00200A08">
        <w:t xml:space="preserve"> as it </w:t>
      </w:r>
      <w:r w:rsidR="00F07C44" w:rsidRPr="00460393">
        <w:t>us</w:t>
      </w:r>
      <w:r w:rsidR="00200A08">
        <w:t>ed</w:t>
      </w:r>
      <w:r w:rsidR="00F07C44" w:rsidRPr="00460393">
        <w:t xml:space="preserve"> significant</w:t>
      </w:r>
      <w:r w:rsidR="00200A08">
        <w:t>ly higher</w:t>
      </w:r>
      <w:r w:rsidR="00F07C44" w:rsidRPr="00460393">
        <w:t xml:space="preserve"> amounts of steel</w:t>
      </w:r>
      <w:r w:rsidR="00134D4B">
        <w:t>,</w:t>
      </w:r>
      <w:r w:rsidR="00F07C44" w:rsidRPr="00460393">
        <w:t xml:space="preserve"> </w:t>
      </w:r>
      <w:r w:rsidR="00AE2CB9">
        <w:t xml:space="preserve">which </w:t>
      </w:r>
      <w:r w:rsidR="00AE2CB9">
        <w:lastRenderedPageBreak/>
        <w:t>ha</w:t>
      </w:r>
      <w:r w:rsidR="00A175CB">
        <w:t>s</w:t>
      </w:r>
      <w:r w:rsidR="00AE2CB9">
        <w:t xml:space="preserve"> a significantly higher </w:t>
      </w:r>
      <w:r w:rsidR="008936C4">
        <w:t xml:space="preserve">environmental footprint and </w:t>
      </w:r>
      <w:r w:rsidR="00AE2CB9">
        <w:t>unit price (</w:t>
      </w:r>
      <w:r w:rsidR="00607998">
        <w:t xml:space="preserve">1.84 kg CO2-eq/kg and </w:t>
      </w:r>
      <w:r w:rsidR="00AE2CB9">
        <w:t>13.59 €/kg</w:t>
      </w:r>
      <w:r w:rsidR="00607998">
        <w:t>)</w:t>
      </w:r>
      <w:r w:rsidR="00AE2CB9">
        <w:t xml:space="preserve"> </w:t>
      </w:r>
      <w:r w:rsidR="00982837">
        <w:t>compared to</w:t>
      </w:r>
      <w:r w:rsidR="00200A08">
        <w:t xml:space="preserve"> the concrete </w:t>
      </w:r>
      <w:r w:rsidR="00BC60CE">
        <w:t xml:space="preserve">blocks (0.16 kg CO2-eq/kg and 0.33 €/kg) </w:t>
      </w:r>
      <w:r w:rsidR="00200A08">
        <w:t>used by C1 and C2</w:t>
      </w:r>
      <w:r w:rsidR="00F07C44" w:rsidRPr="00460393">
        <w:t xml:space="preserve">. </w:t>
      </w:r>
      <w:r w:rsidR="006C14C0" w:rsidRPr="00457597">
        <w:t xml:space="preserve">These insights reveal the large impact of farm design on </w:t>
      </w:r>
      <w:r w:rsidR="00A54902" w:rsidRPr="00457597">
        <w:t>both environmental and economic impacts of seaweed cultivation.</w:t>
      </w:r>
      <w:r w:rsidR="00A54902">
        <w:t xml:space="preserve"> </w:t>
      </w:r>
      <w:r w:rsidR="0059101F" w:rsidRPr="002A2DF0">
        <w:t xml:space="preserve">Indeed, </w:t>
      </w:r>
      <w:r w:rsidR="00E50F48" w:rsidRPr="002A2DF0">
        <w:t xml:space="preserve">some </w:t>
      </w:r>
      <w:r w:rsidR="00794DD8">
        <w:t xml:space="preserve">studies on </w:t>
      </w:r>
      <w:r w:rsidR="009204C2" w:rsidRPr="002A2DF0">
        <w:t xml:space="preserve">seaweed </w:t>
      </w:r>
      <w:r w:rsidR="00EF6B59" w:rsidRPr="002A2DF0">
        <w:t xml:space="preserve">cultivation </w:t>
      </w:r>
      <w:r w:rsidR="00EF6B59" w:rsidRPr="002A2DF0">
        <w:fldChar w:fldCharType="begin"/>
      </w:r>
      <w:r w:rsidR="00EF6B59" w:rsidRPr="002A2DF0">
        <w:instrText xml:space="preserve"> ADDIN ZOTERO_ITEM CSL_CITATION {"citationID":"vizaSTe4","properties":{"formattedCitation":"(Taelman et al., 2015; van Oirschot et al., 2017)","plainCitation":"(Taelman et al., 2015; van Oirschot et al., 2017)","noteIndex":0},"citationItems":[{"id":130,"uris":["http://zotero.org/users/8766396/items/BNZMX52M"],"itemData":{"id":130,"type":"article-journal","container-title":"Algal Research","DOI":"10.1016/j.algal.2015.06.018","page":"173-183","title":"Comparative environmental life cycle assessment of two seaweed cultivation systems in North West Europe with a focus on quantifying sea surface occupation","volume":"11","author":[{"family":"Taelman","given":"S. E"},{"family":"Champenois","given":"J"},{"family":"Edwards","given":"M. D"},{"family":"De Meester","given":"S"},{"family":"Dewulf","given":"J"}],"issued":{"date-parts":[["2015"]]}}},{"id":134,"uris":["http://zotero.org/users/8766396/items/NBFYWFZV"],"itemData":{"id":134,"type":"article-journal","container-title":"Algal Research","DOI":"10.1016/j.algal.2017.07.025","page":"43-54","title":"Explorative environmental life cycle assessment for system design of seaweed cultivation and drying","volume":"27","author":[{"family":"Oirschot","given":"R","non-dropping-particle":"van"},{"family":"Thomas","given":"J-B. E"},{"family":"Gröndahl","given":"F"},{"family":"Fortuin","given":"K. P. J"},{"family":"Brandenburg","given":"W"},{"family":"Potting","given":"J"}],"issued":{"date-parts":[["2017"]]}}}],"schema":"https://github.com/citation-style-language/schema/raw/master/csl-citation.json"} </w:instrText>
      </w:r>
      <w:r w:rsidR="00EF6B59" w:rsidRPr="002A2DF0">
        <w:fldChar w:fldCharType="separate"/>
      </w:r>
      <w:r w:rsidR="00EF6B59" w:rsidRPr="002A2DF0">
        <w:t>(Taelman et al., 2015; van Oirschot et al., 2017)</w:t>
      </w:r>
      <w:r w:rsidR="00EF6B59" w:rsidRPr="002A2DF0">
        <w:fldChar w:fldCharType="end"/>
      </w:r>
      <w:r w:rsidR="00EF6B59" w:rsidRPr="002A2DF0">
        <w:t xml:space="preserve">, </w:t>
      </w:r>
      <w:r w:rsidR="00794DD8">
        <w:t>and</w:t>
      </w:r>
      <w:r w:rsidR="00E50F48" w:rsidRPr="002A2DF0">
        <w:t xml:space="preserve"> </w:t>
      </w:r>
      <w:r w:rsidR="00EF6B59" w:rsidRPr="002A2DF0">
        <w:t xml:space="preserve">other offshore applications such as wind and wave energy farms </w:t>
      </w:r>
      <w:r w:rsidR="00EF6B59" w:rsidRPr="002A2DF0">
        <w:fldChar w:fldCharType="begin"/>
      </w:r>
      <w:r w:rsidR="00EF6B59" w:rsidRPr="002A2DF0">
        <w:instrText xml:space="preserve"> ADDIN ZOTERO_ITEM CSL_CITATION {"citationID":"3JZm6Wdi","properties":{"formattedCitation":"(Patel et al., 2019; Vance et al., 2019)","plainCitation":"(Patel et al., 2019; Vance et al., 2019)","noteIndex":0},"citationItems":[{"id":663,"uris":["http://zotero.org/users/8766396/items/UZBNWIGI"],"itemData":{"id":663,"type":"article-journal","container-title":"Energy Procedia","DOI":"10.1016/j.egypro.2019.01.233","ISSN":"18766102","journalAbbreviation":"Energy Procedia","language":"en","page":"940-946","source":"DOI.org (Crossref)","title":"Layout optimization of a wind farm using geometric pattern-based approach","URL":"https://linkinghub.elsevier.com/retrieve/pii/S1876610219302449","volume":"158","author":[{"family":"Patel","given":"Jaydeep"},{"family":"Savsani","given":"Vimal"},{"family":"Patel","given":"Vivek"},{"family":"Patel","given":"Rajesh"}],"accessed":{"date-parts":[["2023",2,22]]},"issued":{"date-parts":[["2019",2]]}}},{"id":662,"uris":["http://zotero.org/users/8766396/items/REF737S4"],"itemData":{"id":662,"type":"paper-conference","abstract":"Abstract\n            The study presents analyses of key parameters that affect the performance of the point absorbing wave energy converter (WEC). Performance is assessed by running hydrodynamic and structural response simulations and calculating the power absorption of the WEC and fatigue damage in the mooring lines from the output data. The baseline model of the WEC input to the simulation is modelled after the WaveEL 3.0 device, designed by Waves4Power and installed in Runde, Norway. Simulations are run for single buoy and small array configurations, varying environmental conditions, mooring system, and WEC buoy shaft length. Environmental conditions are chosen to reflect locations studied as potential future installation sites. Select configurations are further analyzed through an analysis of LCOE and LCA. The results show that optimal mooring line geometry depends on water depth, and that optimal shaft length depends on the average sea conditions at the location. The array simulations show that small WEC separating distances will limit the mooring line length, which will result in lower power absorption and lower fatigue lives in the mooring lines. The LCOE shows that the four-buoy array configuration is the most profitable, and both the LCOE and LCA show that the main process contribution to climate change and the total product cost is the manufacturing of the WEC buoy itself. The research in this study demonstrates the importance of using simulations to make effective WEC design choices for a given environment.","container-title":"Volume 10: Ocean Renewable Energy","DOI":"10.1115/OMAE2019-95138","event-place":"Glasgow, Scotland, UK","event-title":"ASME 2019 38th International Conference on Ocean, Offshore and Arctic Engineering","ISBN":"978-0-7918-5889-9","page":"V010T09A022","publisher":"American Society of Mechanical Engineers","publisher-place":"Glasgow, Scotland, UK","source":"DOI.org (Crossref)","title":"Making Effective WEC Design Choices Based on Simulation and Analysis","URL":"https://asmedigitalcollection.asme.org/OMAE/proceedings/OMAE2019/58899/Glasgow,%20Scotland,%20UK/1068252","author":[{"family":"Vance","given":"Charlene"},{"family":"Ringsberg","given":"Jonas W."},{"family":"Yang","given":"Shun-Han"}],"accessed":{"date-parts":[["2023",2,22]]},"issued":{"date-parts":[["2019",6,9]]}}}],"schema":"https://github.com/citation-style-language/schema/raw/master/csl-citation.json"} </w:instrText>
      </w:r>
      <w:r w:rsidR="00EF6B59" w:rsidRPr="002A2DF0">
        <w:fldChar w:fldCharType="separate"/>
      </w:r>
      <w:r w:rsidR="00EF6B59" w:rsidRPr="002A2DF0">
        <w:t>(Patel et al., 2019; Vance et al., 2019)</w:t>
      </w:r>
      <w:r w:rsidR="00EF6B59" w:rsidRPr="002A2DF0">
        <w:fldChar w:fldCharType="end"/>
      </w:r>
      <w:r w:rsidR="00EF6B59" w:rsidRPr="002A2DF0">
        <w:t xml:space="preserve">, </w:t>
      </w:r>
      <w:r w:rsidR="00794DD8">
        <w:t xml:space="preserve">have </w:t>
      </w:r>
      <w:r w:rsidR="004C4E43" w:rsidRPr="002A2DF0">
        <w:t>indicate</w:t>
      </w:r>
      <w:r w:rsidR="00794DD8">
        <w:t>d</w:t>
      </w:r>
      <w:r w:rsidR="004C4E43" w:rsidRPr="002A2DF0">
        <w:t xml:space="preserve"> that there is a large potential</w:t>
      </w:r>
      <w:r w:rsidR="00F72587" w:rsidRPr="002A2DF0">
        <w:t xml:space="preserve"> to</w:t>
      </w:r>
      <w:r w:rsidR="004C4E43" w:rsidRPr="002A2DF0">
        <w:t xml:space="preserve"> </w:t>
      </w:r>
      <w:r w:rsidR="00E30DD5" w:rsidRPr="002A2DF0">
        <w:t xml:space="preserve">reduce </w:t>
      </w:r>
      <w:r w:rsidR="00D412C4" w:rsidRPr="002A2DF0">
        <w:t xml:space="preserve">environmental </w:t>
      </w:r>
      <w:r w:rsidR="00D81D45">
        <w:t xml:space="preserve">and economic </w:t>
      </w:r>
      <w:r w:rsidR="00D412C4" w:rsidRPr="002A2DF0">
        <w:t xml:space="preserve">impacts by </w:t>
      </w:r>
      <w:r w:rsidR="00701B74" w:rsidRPr="002A2DF0">
        <w:t>optimising the location</w:t>
      </w:r>
      <w:r w:rsidR="007A3EB0" w:rsidRPr="002A2DF0">
        <w:t xml:space="preserve">, configuration, and design of </w:t>
      </w:r>
      <w:r w:rsidR="00794DD8">
        <w:t>off-shore installations</w:t>
      </w:r>
      <w:r w:rsidR="005D012C" w:rsidRPr="002A2DF0">
        <w:t xml:space="preserve">. </w:t>
      </w:r>
      <w:r w:rsidR="00794DD8">
        <w:t xml:space="preserve">It is therefore suggested that future cultivation sites be optimally located and designed to </w:t>
      </w:r>
      <w:r w:rsidR="001F0197">
        <w:t>optimize</w:t>
      </w:r>
      <w:r w:rsidR="00794DD8">
        <w:t xml:space="preserve"> the equipment and </w:t>
      </w:r>
      <w:r w:rsidR="001F0197">
        <w:t xml:space="preserve">reduce the </w:t>
      </w:r>
      <w:r w:rsidR="007E2453">
        <w:t>transport</w:t>
      </w:r>
      <w:r w:rsidR="00794DD8">
        <w:t xml:space="preserve"> needed per longline. </w:t>
      </w:r>
      <w:r w:rsidR="00762389">
        <w:t>Additional s</w:t>
      </w:r>
      <w:proofErr w:type="spellStart"/>
      <w:r w:rsidR="00452F63" w:rsidRPr="00413369" w:rsidDel="00BF2FFF">
        <w:rPr>
          <w:rFonts w:eastAsia="Times New Roman"/>
          <w:color w:val="000000"/>
          <w:lang w:val="en-IE"/>
        </w:rPr>
        <w:t>trategies</w:t>
      </w:r>
      <w:proofErr w:type="spellEnd"/>
      <w:r w:rsidR="00452F63" w:rsidRPr="00413369" w:rsidDel="00BF2FFF">
        <w:rPr>
          <w:rFonts w:eastAsia="Times New Roman"/>
          <w:color w:val="000000"/>
          <w:lang w:val="en-IE"/>
        </w:rPr>
        <w:t xml:space="preserve"> not considered in this study </w:t>
      </w:r>
      <w:r w:rsidR="00702D90" w:rsidDel="00BF2FFF">
        <w:rPr>
          <w:rFonts w:eastAsia="Times New Roman"/>
          <w:color w:val="000000"/>
          <w:lang w:val="en-IE"/>
        </w:rPr>
        <w:t xml:space="preserve">which could improve the </w:t>
      </w:r>
      <w:r w:rsidR="00AA3D5E">
        <w:rPr>
          <w:rFonts w:eastAsia="Times New Roman"/>
          <w:color w:val="000000"/>
          <w:lang w:val="en-IE"/>
        </w:rPr>
        <w:t xml:space="preserve">environmental and </w:t>
      </w:r>
      <w:r w:rsidR="00702D90" w:rsidDel="00BF2FFF">
        <w:rPr>
          <w:rFonts w:eastAsia="Times New Roman"/>
          <w:color w:val="000000"/>
          <w:lang w:val="en-IE"/>
        </w:rPr>
        <w:t xml:space="preserve">economic performance of cultivation </w:t>
      </w:r>
      <w:r w:rsidR="002F3E80" w:rsidDel="00BF2FFF">
        <w:rPr>
          <w:rFonts w:eastAsia="Times New Roman"/>
          <w:color w:val="000000"/>
          <w:lang w:val="en-IE"/>
        </w:rPr>
        <w:t xml:space="preserve">pathways </w:t>
      </w:r>
      <w:r w:rsidR="00452F63" w:rsidRPr="00413369" w:rsidDel="00BF2FFF">
        <w:rPr>
          <w:rFonts w:eastAsia="Times New Roman"/>
          <w:color w:val="000000"/>
          <w:lang w:val="en-IE"/>
        </w:rPr>
        <w:t xml:space="preserve">include </w:t>
      </w:r>
      <w:r w:rsidR="00631DFE">
        <w:rPr>
          <w:rFonts w:eastAsia="Times New Roman"/>
          <w:color w:val="000000"/>
          <w:lang w:val="en-IE"/>
        </w:rPr>
        <w:t>yield</w:t>
      </w:r>
      <w:r w:rsidR="00A9183C">
        <w:rPr>
          <w:rFonts w:eastAsia="Times New Roman"/>
          <w:color w:val="000000"/>
          <w:lang w:val="en-IE"/>
        </w:rPr>
        <w:t>-</w:t>
      </w:r>
      <w:r w:rsidR="00631DFE">
        <w:rPr>
          <w:rFonts w:eastAsia="Times New Roman"/>
          <w:color w:val="000000"/>
          <w:lang w:val="en-IE"/>
        </w:rPr>
        <w:t xml:space="preserve">improving methods such as </w:t>
      </w:r>
      <w:r w:rsidR="00452F63" w:rsidRPr="00413369" w:rsidDel="00BF2FFF">
        <w:rPr>
          <w:rFonts w:eastAsia="Times New Roman"/>
          <w:color w:val="000000"/>
          <w:lang w:val="en-IE"/>
        </w:rPr>
        <w:t xml:space="preserve">integrated multi-trophic aquaculture </w:t>
      </w:r>
      <w:r w:rsidR="00644BC5" w:rsidRPr="00413369" w:rsidDel="00BF2FFF">
        <w:rPr>
          <w:rFonts w:eastAsia="Times New Roman"/>
          <w:color w:val="000000"/>
          <w:lang w:val="en-IE"/>
        </w:rPr>
        <w:fldChar w:fldCharType="begin"/>
      </w:r>
      <w:r w:rsidR="003A4382" w:rsidDel="00BF2FFF">
        <w:rPr>
          <w:rFonts w:eastAsia="Times New Roman"/>
          <w:color w:val="000000"/>
          <w:lang w:val="en-IE"/>
        </w:rPr>
        <w:instrText xml:space="preserve"> ADDIN ZOTERO_ITEM CSL_CITATION {"citationID":"epSr2sn5","properties":{"formattedCitation":"(Czyrnek-Deletre et al., 2017)","plainCitation":"(Czyrnek-Deletre et al., 2017)","noteIndex":0},"citationItems":[{"id":131,"uris":["http://zotero.org/users/8766396/items/6DYKJMA4"],"itemData":{"id":131,"type":"article-journal","container-title":"Applied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D"}],"issued":{"date-parts":[["2017"]]}}}],"schema":"https://github.com/citation-style-language/schema/raw/master/csl-citation.json"} </w:instrText>
      </w:r>
      <w:r w:rsidR="00644BC5" w:rsidRPr="00413369" w:rsidDel="00BF2FFF">
        <w:rPr>
          <w:rFonts w:eastAsia="Times New Roman"/>
          <w:color w:val="000000"/>
          <w:lang w:val="en-IE"/>
        </w:rPr>
        <w:fldChar w:fldCharType="separate"/>
      </w:r>
      <w:r w:rsidR="003A4382" w:rsidRPr="003A4382" w:rsidDel="00BF2FFF">
        <w:t>(Czyrnek-Deletre et al., 2017)</w:t>
      </w:r>
      <w:r w:rsidR="00644BC5" w:rsidRPr="00413369" w:rsidDel="00BF2FFF">
        <w:rPr>
          <w:rFonts w:eastAsia="Times New Roman"/>
          <w:color w:val="000000"/>
          <w:lang w:val="en-IE"/>
        </w:rPr>
        <w:fldChar w:fldCharType="end"/>
      </w:r>
      <w:r w:rsidR="00452F63" w:rsidRPr="00413369" w:rsidDel="00BF2FFF">
        <w:rPr>
          <w:rFonts w:eastAsia="Times New Roman"/>
          <w:color w:val="000000"/>
          <w:lang w:val="en-IE"/>
        </w:rPr>
        <w:t xml:space="preserve">, </w:t>
      </w:r>
      <w:r w:rsidR="009D7EA4" w:rsidRPr="00413369" w:rsidDel="00BF2FFF">
        <w:rPr>
          <w:rFonts w:eastAsia="Times New Roman"/>
          <w:color w:val="000000"/>
          <w:lang w:val="en-IE"/>
        </w:rPr>
        <w:t xml:space="preserve">in </w:t>
      </w:r>
      <w:r w:rsidR="00452F63" w:rsidRPr="00413369" w:rsidDel="00BF2FFF">
        <w:rPr>
          <w:rFonts w:eastAsia="Times New Roman"/>
          <w:color w:val="000000"/>
          <w:lang w:val="en-IE"/>
        </w:rPr>
        <w:t xml:space="preserve">which </w:t>
      </w:r>
      <w:r w:rsidR="009D7EA4" w:rsidRPr="00413369" w:rsidDel="00BF2FFF">
        <w:rPr>
          <w:rFonts w:eastAsia="Times New Roman"/>
          <w:color w:val="000000"/>
          <w:lang w:val="en-IE"/>
        </w:rPr>
        <w:t>seaweed farms</w:t>
      </w:r>
      <w:r w:rsidR="00452F63" w:rsidRPr="00413369" w:rsidDel="00BF2FFF">
        <w:rPr>
          <w:rFonts w:eastAsia="Times New Roman"/>
          <w:color w:val="000000"/>
          <w:lang w:val="en-IE"/>
        </w:rPr>
        <w:t xml:space="preserve"> use </w:t>
      </w:r>
      <w:r w:rsidR="009D7EA4" w:rsidRPr="00413369" w:rsidDel="00BF2FFF">
        <w:rPr>
          <w:rFonts w:eastAsia="Times New Roman"/>
          <w:color w:val="000000"/>
          <w:lang w:val="en-IE"/>
        </w:rPr>
        <w:t>the nutrient effluent of nearby aquaculture production</w:t>
      </w:r>
      <w:r w:rsidR="00452F63" w:rsidRPr="00413369" w:rsidDel="00BF2FFF">
        <w:rPr>
          <w:rFonts w:eastAsia="Times New Roman"/>
          <w:color w:val="000000"/>
          <w:lang w:val="en-IE"/>
        </w:rPr>
        <w:t xml:space="preserve"> </w:t>
      </w:r>
      <w:r w:rsidR="009D7EA4" w:rsidRPr="00413369" w:rsidDel="00BF2FFF">
        <w:rPr>
          <w:rFonts w:eastAsia="Times New Roman"/>
          <w:color w:val="000000"/>
          <w:lang w:val="en-IE"/>
        </w:rPr>
        <w:t xml:space="preserve">to boost yields, and </w:t>
      </w:r>
      <w:r w:rsidR="00452F63" w:rsidRPr="00413369" w:rsidDel="00BF2FFF">
        <w:rPr>
          <w:rFonts w:eastAsia="Times New Roman"/>
          <w:color w:val="000000"/>
          <w:lang w:val="en-IE"/>
        </w:rPr>
        <w:t xml:space="preserve">multiple partial harvesting </w:t>
      </w:r>
      <w:r w:rsidR="00F515F4" w:rsidRPr="00413369" w:rsidDel="00BF2FFF">
        <w:rPr>
          <w:rFonts w:eastAsia="Times New Roman"/>
          <w:color w:val="000000"/>
          <w:lang w:val="en-IE"/>
        </w:rPr>
        <w:fldChar w:fldCharType="begin"/>
      </w:r>
      <w:r w:rsidR="003A4382" w:rsidDel="00BF2FFF">
        <w:rPr>
          <w:rFonts w:eastAsia="Times New Roman"/>
          <w:color w:val="000000"/>
          <w:lang w:val="en-IE"/>
        </w:rPr>
        <w:instrText xml:space="preserve"> ADDIN ZOTERO_ITEM CSL_CITATION {"citationID":"MhPaA3zn","properties":{"formattedCitation":"(Bak et al., 2018)","plainCitation":"(Bak et al., 2018)","noteIndex":0},"citationItems":[{"id":184,"uris":["http://zotero.org/users/8766396/items/7GX3R3Q4"],"itemData":{"id":184,"type":"article-journal","container-title":"Algal Research","DOI":"10.1016/j.algal.2018.05.001","page":"36-47","title":"Production method and cost of commercial-scale offshore cultivation of kelp in the Faroe Islands using multiple partial harvesting","volume":"33","author":[{"family":"Bak","given":"U. G"},{"family":"Mols-Mortensen","given":"A"},{"family":"Gregersen","given":"O"}],"issued":{"date-parts":[["2018"]]}}}],"schema":"https://github.com/citation-style-language/schema/raw/master/csl-citation.json"} </w:instrText>
      </w:r>
      <w:r w:rsidR="00F515F4" w:rsidRPr="00413369" w:rsidDel="00BF2FFF">
        <w:rPr>
          <w:rFonts w:eastAsia="Times New Roman"/>
          <w:color w:val="000000"/>
          <w:lang w:val="en-IE"/>
        </w:rPr>
        <w:fldChar w:fldCharType="separate"/>
      </w:r>
      <w:r w:rsidR="003A4382" w:rsidRPr="003A4382" w:rsidDel="00BF2FFF">
        <w:t>(Bak et al., 2018)</w:t>
      </w:r>
      <w:r w:rsidR="00F515F4" w:rsidRPr="00413369" w:rsidDel="00BF2FFF">
        <w:rPr>
          <w:rFonts w:eastAsia="Times New Roman"/>
          <w:color w:val="000000"/>
          <w:lang w:val="en-IE"/>
        </w:rPr>
        <w:fldChar w:fldCharType="end"/>
      </w:r>
      <w:r w:rsidR="00452F63" w:rsidRPr="00413369" w:rsidDel="00BF2FFF">
        <w:rPr>
          <w:rFonts w:eastAsia="Times New Roman"/>
          <w:color w:val="000000"/>
          <w:lang w:val="en-IE"/>
        </w:rPr>
        <w:t xml:space="preserve">, </w:t>
      </w:r>
      <w:r w:rsidR="009D7EA4" w:rsidRPr="00413369" w:rsidDel="00BF2FFF">
        <w:rPr>
          <w:rFonts w:eastAsia="Times New Roman"/>
          <w:color w:val="000000"/>
          <w:lang w:val="en-IE"/>
        </w:rPr>
        <w:t xml:space="preserve">in which longlines </w:t>
      </w:r>
      <w:r w:rsidR="00D43E1C" w:rsidRPr="00413369" w:rsidDel="00BF2FFF">
        <w:rPr>
          <w:rFonts w:eastAsia="Times New Roman"/>
          <w:color w:val="000000"/>
          <w:lang w:val="en-IE"/>
        </w:rPr>
        <w:t>remain in the sea year-round and harvesting take</w:t>
      </w:r>
      <w:r w:rsidR="00A9127C" w:rsidRPr="00413369" w:rsidDel="00BF2FFF">
        <w:rPr>
          <w:rFonts w:eastAsia="Times New Roman"/>
          <w:color w:val="000000"/>
          <w:lang w:val="en-IE"/>
        </w:rPr>
        <w:t>s</w:t>
      </w:r>
      <w:r w:rsidR="00D43E1C" w:rsidRPr="00413369" w:rsidDel="00BF2FFF">
        <w:rPr>
          <w:rFonts w:eastAsia="Times New Roman"/>
          <w:color w:val="000000"/>
          <w:lang w:val="en-IE"/>
        </w:rPr>
        <w:t xml:space="preserve"> place </w:t>
      </w:r>
      <w:r w:rsidR="00A9127C" w:rsidRPr="00413369" w:rsidDel="00BF2FFF">
        <w:rPr>
          <w:rFonts w:eastAsia="Times New Roman"/>
          <w:color w:val="000000"/>
          <w:lang w:val="en-IE"/>
        </w:rPr>
        <w:t>multiple</w:t>
      </w:r>
      <w:r w:rsidR="00D43E1C" w:rsidRPr="00413369" w:rsidDel="00BF2FFF">
        <w:rPr>
          <w:rFonts w:eastAsia="Times New Roman"/>
          <w:color w:val="000000"/>
          <w:lang w:val="en-IE"/>
        </w:rPr>
        <w:t xml:space="preserve"> times per year. </w:t>
      </w:r>
      <w:r w:rsidR="007E2453">
        <w:t>T</w:t>
      </w:r>
      <w:r w:rsidR="00AA3D5E">
        <w:t xml:space="preserve">he impact of </w:t>
      </w:r>
      <w:r w:rsidR="001F0197">
        <w:t>different types of</w:t>
      </w:r>
      <w:r w:rsidR="00AA3D5E">
        <w:t xml:space="preserve"> </w:t>
      </w:r>
      <w:r w:rsidR="001F0197">
        <w:t xml:space="preserve">deployment </w:t>
      </w:r>
      <w:r w:rsidR="00AA3D5E">
        <w:t xml:space="preserve">equipment on risk of damage and the impact of sustainable fuels on transport emissions and costs could </w:t>
      </w:r>
      <w:r w:rsidR="007E2453">
        <w:t xml:space="preserve">also </w:t>
      </w:r>
      <w:r w:rsidR="00AA3D5E">
        <w:t>be investigated in future studies.</w:t>
      </w:r>
      <w:r w:rsidR="00AA3D5E" w:rsidRPr="00AA3D5E">
        <w:t xml:space="preserve"> </w:t>
      </w:r>
    </w:p>
    <w:p w14:paraId="43644E66" w14:textId="15106DF1" w:rsidR="00504724" w:rsidRPr="00D9599D" w:rsidRDefault="002F3E80" w:rsidP="00890D06">
      <w:pPr>
        <w:spacing w:after="240" w:line="480" w:lineRule="auto"/>
        <w:jc w:val="both"/>
      </w:pPr>
      <w:r>
        <w:t>Although m</w:t>
      </w:r>
      <w:r w:rsidR="009E1907" w:rsidRPr="00D50F52">
        <w:t>any uncertainties exist regarding the future of seaweed production systems</w:t>
      </w:r>
      <w:r>
        <w:t xml:space="preserve">, Ireland’s </w:t>
      </w:r>
      <w:r w:rsidR="00BE3D60">
        <w:t xml:space="preserve">estimated </w:t>
      </w:r>
      <w:r>
        <w:t>wild harvest exploitation limit of</w:t>
      </w:r>
      <w:r w:rsidR="000751F0" w:rsidRPr="00D50F52">
        <w:t xml:space="preserve"> </w:t>
      </w:r>
      <w:r>
        <w:rPr>
          <w:lang w:val="en-IE"/>
        </w:rPr>
        <w:t>240,618 tonnes FW/year</w:t>
      </w:r>
      <w:r w:rsidRPr="00D50F52">
        <w:t xml:space="preserve"> </w:t>
      </w:r>
      <w:r>
        <w:t xml:space="preserve">means that the </w:t>
      </w:r>
      <w:r w:rsidR="000751F0" w:rsidRPr="00D50F52">
        <w:t xml:space="preserve">upscaling of current </w:t>
      </w:r>
      <w:r w:rsidR="00EA7493">
        <w:t xml:space="preserve">wild </w:t>
      </w:r>
      <w:r w:rsidR="000751F0" w:rsidRPr="00D50F52">
        <w:t xml:space="preserve">harvesting methods alone will not be sufficient to reach future production targets. </w:t>
      </w:r>
      <w:r w:rsidR="000751F0" w:rsidRPr="00D50F52">
        <w:rPr>
          <w:rFonts w:eastAsia="Times New Roman"/>
          <w:color w:val="000000"/>
          <w:lang w:val="en-IE"/>
        </w:rPr>
        <w:t>Furthermore, t</w:t>
      </w:r>
      <w:r w:rsidR="009E1907" w:rsidRPr="00D50F52">
        <w:rPr>
          <w:rFonts w:eastAsia="Times New Roman"/>
          <w:color w:val="000000"/>
          <w:lang w:val="en-IE"/>
        </w:rPr>
        <w:t xml:space="preserve">he Irish Government aims to increase the amount of Marine Protected Areas (MPAs) to 30% of Ireland’s marine area </w:t>
      </w:r>
      <w:r w:rsidR="009E1907" w:rsidRPr="00D50F52">
        <w:rPr>
          <w:rFonts w:eastAsia="Times New Roman"/>
          <w:color w:val="000000"/>
          <w:lang w:val="en-IE"/>
        </w:rPr>
        <w:fldChar w:fldCharType="begin"/>
      </w:r>
      <w:r w:rsidR="003A4382">
        <w:rPr>
          <w:rFonts w:eastAsia="Times New Roman"/>
          <w:color w:val="000000"/>
          <w:lang w:val="en-IE"/>
        </w:rPr>
        <w:instrText xml:space="preserve"> ADDIN ZOTERO_ITEM CSL_CITATION {"citationID":"w9LZz7IU","properties":{"formattedCitation":"(Department of Housing, Local Government and Heritage, 2022)","plainCitation":"(Department of Housing, Local Government and Heritage, 2022)","noteIndex":0},"citationItems":[{"id":672,"uris":["http://zotero.org/users/8766396/items/V6CGDMZI"],"itemData":{"id":672,"type":"article-newspaper","container-title":"Government of Ireland","title":"Ireland announces major boost in marine environmental protection to coincide with COP15","URL":"https://www.gov.ie/en/press-release/11656-ireland-announces-major-boost-in-marine-environmental-protection-at-cop15/","author":[{"literal":"Department of Housing, Local Government and Heritage"}],"issued":{"date-parts":[["2022"]]}}}],"schema":"https://github.com/citation-style-language/schema/raw/master/csl-citation.json"} </w:instrText>
      </w:r>
      <w:r w:rsidR="009E1907" w:rsidRPr="00D50F52">
        <w:rPr>
          <w:rFonts w:eastAsia="Times New Roman"/>
          <w:color w:val="000000"/>
          <w:lang w:val="en-IE"/>
        </w:rPr>
        <w:fldChar w:fldCharType="separate"/>
      </w:r>
      <w:r w:rsidR="003A4382" w:rsidRPr="003A4382">
        <w:t>(Department of Housing, Local Government and Heritage, 2022)</w:t>
      </w:r>
      <w:r w:rsidR="009E1907" w:rsidRPr="00D50F52">
        <w:rPr>
          <w:rFonts w:eastAsia="Times New Roman"/>
          <w:color w:val="000000"/>
          <w:lang w:val="en-IE"/>
        </w:rPr>
        <w:fldChar w:fldCharType="end"/>
      </w:r>
      <w:r w:rsidR="009E1907" w:rsidRPr="00D50F52">
        <w:rPr>
          <w:rFonts w:eastAsia="Times New Roman"/>
          <w:color w:val="000000"/>
          <w:lang w:val="en-IE"/>
        </w:rPr>
        <w:t xml:space="preserve">. This would certainly limit the wild harvesting potential, as activist groups have called for a ban of all mechanical harvesting in these areas </w:t>
      </w:r>
      <w:r w:rsidR="009E1907" w:rsidRPr="00D50F52">
        <w:rPr>
          <w:rFonts w:eastAsia="Times New Roman"/>
          <w:color w:val="000000"/>
          <w:lang w:val="en-IE"/>
        </w:rPr>
        <w:fldChar w:fldCharType="begin"/>
      </w:r>
      <w:r w:rsidR="003A4382">
        <w:rPr>
          <w:rFonts w:eastAsia="Times New Roman"/>
          <w:color w:val="000000"/>
          <w:lang w:val="en-IE"/>
        </w:rPr>
        <w:instrText xml:space="preserve"> ADDIN ZOTERO_ITEM CSL_CITATION {"citationID":"EnZlWhQU","properties":{"formattedCitation":"(Irish Wildlife Trust, 2017)","plainCitation":"(Irish Wildlife Trust, 2017)","noteIndex":0},"citationItems":[{"id":677,"uris":["http://zotero.org/users/8766396/items/XYAECRZE"],"itemData":{"id":677,"type":"document","publisher":"Irish Wildlife Trust","title":"The Irish Wilflife Trust Seaweed Harvesting Policy","URL":"https://iwt.ie/wp-content/uploads/2017/09/IWT-Seaweed-Harvesting-Policy.pdf","author":[{"literal":"Irish Wildlife Trust"}],"issued":{"date-parts":[["2017"]]}}}],"schema":"https://github.com/citation-style-language/schema/raw/master/csl-citation.json"} </w:instrText>
      </w:r>
      <w:r w:rsidR="009E1907" w:rsidRPr="00D50F52">
        <w:rPr>
          <w:rFonts w:eastAsia="Times New Roman"/>
          <w:color w:val="000000"/>
          <w:lang w:val="en-IE"/>
        </w:rPr>
        <w:fldChar w:fldCharType="separate"/>
      </w:r>
      <w:r w:rsidR="003A4382" w:rsidRPr="003A4382">
        <w:t>(Irish Wildlife Trust, 2017)</w:t>
      </w:r>
      <w:r w:rsidR="009E1907" w:rsidRPr="00D50F52">
        <w:rPr>
          <w:rFonts w:eastAsia="Times New Roman"/>
          <w:color w:val="000000"/>
          <w:lang w:val="en-IE"/>
        </w:rPr>
        <w:fldChar w:fldCharType="end"/>
      </w:r>
      <w:r w:rsidR="009E1907" w:rsidRPr="00D50F52">
        <w:rPr>
          <w:rFonts w:eastAsia="Times New Roman"/>
          <w:color w:val="000000"/>
          <w:lang w:val="en-IE"/>
        </w:rPr>
        <w:t xml:space="preserve">. </w:t>
      </w:r>
      <w:r w:rsidR="00702D90">
        <w:t xml:space="preserve">This </w:t>
      </w:r>
      <w:r w:rsidR="00F63EA8">
        <w:t xml:space="preserve">prompts the question of whether the European </w:t>
      </w:r>
      <w:r w:rsidR="002B5AEB">
        <w:t xml:space="preserve">seaweed </w:t>
      </w:r>
      <w:r w:rsidR="00F63EA8">
        <w:t>production targets are</w:t>
      </w:r>
      <w:r w:rsidR="004042DE">
        <w:t xml:space="preserve"> </w:t>
      </w:r>
      <w:r w:rsidR="005D58FA">
        <w:t>warranted</w:t>
      </w:r>
      <w:r w:rsidR="0063651D">
        <w:t xml:space="preserve">. </w:t>
      </w:r>
      <w:r w:rsidR="004054F0">
        <w:t>To</w:t>
      </w:r>
      <w:r w:rsidR="004054F0" w:rsidRPr="008F4A90">
        <w:t xml:space="preserve"> meet </w:t>
      </w:r>
      <w:r w:rsidR="004054F0">
        <w:t xml:space="preserve">the </w:t>
      </w:r>
      <w:r w:rsidR="004054F0" w:rsidRPr="008F4A90">
        <w:lastRenderedPageBreak/>
        <w:t xml:space="preserve">European </w:t>
      </w:r>
      <w:r w:rsidR="004054F0">
        <w:t xml:space="preserve">Union’s ambitious 2030 </w:t>
      </w:r>
      <w:r w:rsidR="004054F0" w:rsidRPr="008F4A90">
        <w:t>targets, a significant proportion of</w:t>
      </w:r>
      <w:r w:rsidR="004054F0">
        <w:t xml:space="preserve"> future</w:t>
      </w:r>
      <w:r w:rsidR="004054F0" w:rsidRPr="008F4A90">
        <w:t xml:space="preserve"> Irish seaweed production w</w:t>
      </w:r>
      <w:r w:rsidR="004054F0">
        <w:t>ould</w:t>
      </w:r>
      <w:r w:rsidR="004054F0" w:rsidRPr="008F4A90">
        <w:t xml:space="preserve"> need to come from cultivation. </w:t>
      </w:r>
      <w:r w:rsidR="002B5AEB">
        <w:t xml:space="preserve">While </w:t>
      </w:r>
      <w:r w:rsidR="00E90B8B">
        <w:t>spatially</w:t>
      </w:r>
      <w:r w:rsidR="007B2F95">
        <w:t xml:space="preserve"> </w:t>
      </w:r>
      <w:r w:rsidR="002B5AEB">
        <w:t>feasible, the huge upscaling of cultivation would take considerable resources</w:t>
      </w:r>
      <w:r w:rsidR="004054F0">
        <w:t xml:space="preserve">, </w:t>
      </w:r>
      <w:r w:rsidR="00496063">
        <w:t>emit significant amounts of GHGs, and be very costly.</w:t>
      </w:r>
      <w:r w:rsidR="004054F0">
        <w:t xml:space="preserve"> </w:t>
      </w:r>
      <w:r w:rsidR="00496063">
        <w:t>More research on the influence of location and farm design</w:t>
      </w:r>
      <w:r w:rsidR="004054F0">
        <w:t xml:space="preserve"> should </w:t>
      </w:r>
      <w:r w:rsidR="00496063">
        <w:t xml:space="preserve">therefore </w:t>
      </w:r>
      <w:r w:rsidR="004054F0">
        <w:t xml:space="preserve">be </w:t>
      </w:r>
      <w:r w:rsidR="00496063">
        <w:t>conducted before such significant upscaling</w:t>
      </w:r>
      <w:r w:rsidR="004054F0">
        <w:t xml:space="preserve">. </w:t>
      </w:r>
      <w:r w:rsidR="00496063">
        <w:t xml:space="preserve">Additionally, consideration should be taken for the utility of the </w:t>
      </w:r>
      <w:proofErr w:type="gramStart"/>
      <w:r w:rsidR="00496063">
        <w:t>end product</w:t>
      </w:r>
      <w:proofErr w:type="gramEnd"/>
      <w:r w:rsidR="00496063">
        <w:t xml:space="preserve">, both from an environmental perspective and based on economic and societal value. </w:t>
      </w:r>
      <w:r w:rsidR="00AD0B67">
        <w:rPr>
          <w:rFonts w:eastAsia="Times New Roman"/>
          <w:color w:val="000000"/>
          <w:lang w:val="en-IE"/>
        </w:rPr>
        <w:t>Finally, the upscaling situation becomes even more complex when considering preservation pathways. Seaweed harvesting is highly seasonal</w:t>
      </w:r>
      <w:r w:rsidR="00B6583C">
        <w:rPr>
          <w:rFonts w:eastAsia="Times New Roman"/>
          <w:color w:val="000000"/>
          <w:lang w:val="en-IE"/>
        </w:rPr>
        <w:t xml:space="preserve"> with</w:t>
      </w:r>
      <w:r w:rsidR="00AD0B67">
        <w:rPr>
          <w:rFonts w:eastAsia="Times New Roman"/>
          <w:color w:val="000000"/>
          <w:lang w:val="en-IE"/>
        </w:rPr>
        <w:t xml:space="preserve"> large amounts of seaweed </w:t>
      </w:r>
      <w:r w:rsidR="00B6583C">
        <w:rPr>
          <w:rFonts w:eastAsia="Times New Roman"/>
          <w:color w:val="000000"/>
          <w:lang w:val="en-IE"/>
        </w:rPr>
        <w:t xml:space="preserve">simultaneously </w:t>
      </w:r>
      <w:r w:rsidR="00AD0B67">
        <w:rPr>
          <w:rFonts w:eastAsia="Times New Roman"/>
          <w:color w:val="000000"/>
          <w:lang w:val="en-IE"/>
        </w:rPr>
        <w:t>produced</w:t>
      </w:r>
      <w:r w:rsidR="00330AEA">
        <w:rPr>
          <w:rFonts w:eastAsia="Times New Roman"/>
          <w:color w:val="000000"/>
          <w:lang w:val="en-IE"/>
        </w:rPr>
        <w:t xml:space="preserve"> at the same time </w:t>
      </w:r>
      <w:r w:rsidR="00B6583C">
        <w:rPr>
          <w:rFonts w:eastAsia="Times New Roman"/>
          <w:color w:val="000000"/>
          <w:lang w:val="en-IE"/>
        </w:rPr>
        <w:t>once per year</w:t>
      </w:r>
      <w:r w:rsidR="00AD0B67">
        <w:rPr>
          <w:rFonts w:eastAsia="Times New Roman"/>
          <w:color w:val="000000"/>
          <w:lang w:val="en-IE"/>
        </w:rPr>
        <w:t>. A</w:t>
      </w:r>
      <w:r w:rsidR="00B6583C">
        <w:rPr>
          <w:rFonts w:eastAsia="Times New Roman"/>
          <w:color w:val="000000"/>
          <w:lang w:val="en-IE"/>
        </w:rPr>
        <w:t xml:space="preserve">s harvested seaweed needs to be preserved rapidly and as there exists a limited number of processing facilities in </w:t>
      </w:r>
      <w:r w:rsidR="00AD0B67">
        <w:rPr>
          <w:rFonts w:eastAsia="Times New Roman"/>
          <w:color w:val="000000"/>
          <w:lang w:val="en-IE"/>
        </w:rPr>
        <w:t xml:space="preserve">Ireland </w:t>
      </w:r>
      <w:r w:rsidR="00071125">
        <w:rPr>
          <w:rFonts w:eastAsia="Times New Roman"/>
          <w:color w:val="000000"/>
          <w:lang w:val="en-IE"/>
        </w:rPr>
        <w:fldChar w:fldCharType="begin"/>
      </w:r>
      <w:r w:rsidR="003A4382">
        <w:rPr>
          <w:rFonts w:eastAsia="Times New Roman"/>
          <w:color w:val="000000"/>
          <w:lang w:val="en-IE"/>
        </w:rPr>
        <w:instrText xml:space="preserve"> ADDIN ZOTERO_ITEM CSL_CITATION {"citationID":"IU5asyvY","properties":{"formattedCitation":"(Cerca et al., 2023)","plainCitation":"(Cerca et al., 2023)","noteIndex":0},"citationItems":[{"id":497,"uris":["http://zotero.org/users/8766396/items/M7F7DY88"],"itemData":{"id":497,"type":"article-journal","abstract":"To address societal challenges and attend to the increasing demand for seaweed while avoiding the overexploitation of wild resources, the future expansion of the Irish seaweed industry depends on upscaling mac­ roalgal cultivation. Through an interdisciplinary research approach, this study aimed to conduct an in-depth investigation of the prospects of upscaling seaweed aquaculture in Ireland through the lens of sustainability management. The identification of responsibilities of emerging enterprises was aligned with socio-ecological dimensions of sustainability and found to be related to: 1) the natural environment, 2) the development of rural coastal communities, 3) the engagement with local actors and 4) the customer segment. Moreover, seaweed cultivation still faces many uncertainties and bottlenecks from the operational up to institutional levels. Distinct from seaweed collected from the wild, cultivated seaweed has more phases added to the supply chain cycle. This includes, for example, the optimal site selection, the granting of an aquaculture licence and potentially social licence to operate, seed supply, and optimal timing for cultivation or harvest depending on the species, pro­ cessing capacity and end-uses. The results contribute to an enhanced and holistic understanding of macroalgal cultivation in Ireland, as well as the social responsibility of emerging enterprises over socio-ecological systems and for the establishment of new supply chains based on seaweed. This can help to guide better decision-making of prospective growers, certification bodies, and policymakers in Ireland and beyond.","container-title":"Aquaculture","DOI":"10.1016/j.aquaculture.2022.738996","ISSN":"00448486","journalAbbreviation":"Aquaculture","language":"en","page":"738996","source":"DOI.org (Crossref)","title":"Responsible supply systems for macroalgae: Upscaling seaweed cultivation in Ireland","title-short":"Responsible supply systems for macroalgae","URL":"https://linkinghub.elsevier.com/retrieve/pii/S0044848622011139","volume":"563","author":[{"family":"Cerca","given":"Mariana"},{"family":"Sosa","given":"Amanda"},{"family":"Murphy","given":"Fionnuala"}],"accessed":{"date-parts":[["2023",2,10]]},"issued":{"date-parts":[["2023",1]]}}}],"schema":"https://github.com/citation-style-language/schema/raw/master/csl-citation.json"} </w:instrText>
      </w:r>
      <w:r w:rsidR="00071125">
        <w:rPr>
          <w:rFonts w:eastAsia="Times New Roman"/>
          <w:color w:val="000000"/>
          <w:lang w:val="en-IE"/>
        </w:rPr>
        <w:fldChar w:fldCharType="separate"/>
      </w:r>
      <w:r w:rsidR="003A4382" w:rsidRPr="003A4382">
        <w:t>(Cerca et al., 2023)</w:t>
      </w:r>
      <w:r w:rsidR="00071125">
        <w:rPr>
          <w:rFonts w:eastAsia="Times New Roman"/>
          <w:color w:val="000000"/>
          <w:lang w:val="en-IE"/>
        </w:rPr>
        <w:fldChar w:fldCharType="end"/>
      </w:r>
      <w:r w:rsidR="00B6583C">
        <w:rPr>
          <w:rFonts w:eastAsia="Times New Roman"/>
          <w:color w:val="000000"/>
          <w:lang w:val="en-IE"/>
        </w:rPr>
        <w:t xml:space="preserve">, preservation will </w:t>
      </w:r>
      <w:r w:rsidR="00330AEA">
        <w:rPr>
          <w:rFonts w:eastAsia="Times New Roman"/>
          <w:color w:val="000000"/>
          <w:lang w:val="en-IE"/>
        </w:rPr>
        <w:t xml:space="preserve">pose </w:t>
      </w:r>
      <w:r w:rsidR="00B6583C">
        <w:rPr>
          <w:rFonts w:eastAsia="Times New Roman"/>
          <w:color w:val="000000"/>
          <w:lang w:val="en-IE"/>
        </w:rPr>
        <w:t>a significant upscaling bottleneck</w:t>
      </w:r>
      <w:r w:rsidR="00AD0B67">
        <w:rPr>
          <w:rFonts w:eastAsia="Times New Roman"/>
          <w:color w:val="000000"/>
          <w:lang w:val="en-IE"/>
        </w:rPr>
        <w:t>. Furthermore, the currently established drying</w:t>
      </w:r>
      <w:r w:rsidR="00330AEA">
        <w:rPr>
          <w:rFonts w:eastAsia="Times New Roman"/>
          <w:color w:val="000000"/>
          <w:lang w:val="en-IE"/>
        </w:rPr>
        <w:t xml:space="preserve"> preservation method</w:t>
      </w:r>
      <w:r w:rsidR="00AD0B67">
        <w:rPr>
          <w:rFonts w:eastAsia="Times New Roman"/>
          <w:color w:val="000000"/>
          <w:lang w:val="en-IE"/>
        </w:rPr>
        <w:t xml:space="preserve"> is energy intensive and thus </w:t>
      </w:r>
      <w:r w:rsidR="00330AEA">
        <w:rPr>
          <w:rFonts w:eastAsia="Times New Roman"/>
          <w:color w:val="000000"/>
          <w:lang w:val="en-IE"/>
        </w:rPr>
        <w:t xml:space="preserve">has </w:t>
      </w:r>
      <w:r w:rsidR="00AD0B67">
        <w:rPr>
          <w:rFonts w:eastAsia="Times New Roman"/>
          <w:color w:val="000000"/>
          <w:lang w:val="en-IE"/>
        </w:rPr>
        <w:t xml:space="preserve">high environmental </w:t>
      </w:r>
      <w:r w:rsidR="00330AEA">
        <w:rPr>
          <w:rFonts w:eastAsia="Times New Roman"/>
          <w:color w:val="000000"/>
          <w:lang w:val="en-IE"/>
        </w:rPr>
        <w:t xml:space="preserve">impacts </w:t>
      </w:r>
      <w:r w:rsidR="00AD0B67">
        <w:rPr>
          <w:rFonts w:eastAsia="Times New Roman"/>
          <w:color w:val="000000"/>
          <w:lang w:val="en-IE"/>
        </w:rPr>
        <w:t xml:space="preserve">and economic </w:t>
      </w:r>
      <w:r w:rsidR="00330AEA">
        <w:rPr>
          <w:rFonts w:eastAsia="Times New Roman"/>
          <w:color w:val="000000"/>
          <w:lang w:val="en-IE"/>
        </w:rPr>
        <w:t>costs.</w:t>
      </w:r>
      <w:r w:rsidR="00AD0B67">
        <w:rPr>
          <w:rFonts w:eastAsia="Times New Roman"/>
          <w:color w:val="000000"/>
          <w:lang w:val="en-IE"/>
        </w:rPr>
        <w:t xml:space="preserve"> Upscaling of seaweed production therefore requires not only consideration of alternative production pathways, but also of alternative preservation pat</w:t>
      </w:r>
      <w:r w:rsidR="00234F52">
        <w:rPr>
          <w:rFonts w:eastAsia="Times New Roman"/>
          <w:color w:val="000000"/>
          <w:lang w:val="en-IE"/>
        </w:rPr>
        <w:t>hways</w:t>
      </w:r>
      <w:r w:rsidR="00D2666F">
        <w:rPr>
          <w:rFonts w:eastAsia="Times New Roman"/>
          <w:color w:val="000000"/>
          <w:lang w:val="en-IE"/>
        </w:rPr>
        <w:t xml:space="preserve"> and supply chains</w:t>
      </w:r>
      <w:r w:rsidR="00234F52">
        <w:rPr>
          <w:rFonts w:eastAsia="Times New Roman"/>
          <w:color w:val="000000"/>
          <w:lang w:val="en-IE"/>
        </w:rPr>
        <w:t>.</w:t>
      </w:r>
      <w:r w:rsidR="00451F40">
        <w:rPr>
          <w:rFonts w:eastAsia="Times New Roman"/>
          <w:color w:val="000000"/>
          <w:lang w:val="en-IE"/>
        </w:rPr>
        <w:t xml:space="preserve"> </w:t>
      </w:r>
      <w:r w:rsidR="00DF4408">
        <w:rPr>
          <w:rFonts w:eastAsia="Times New Roman"/>
          <w:color w:val="000000"/>
          <w:lang w:val="en-IE"/>
        </w:rPr>
        <w:t>Environmental and economic i</w:t>
      </w:r>
      <w:r w:rsidR="008325EB">
        <w:rPr>
          <w:rFonts w:eastAsia="Times New Roman"/>
          <w:color w:val="000000"/>
          <w:lang w:val="en-IE"/>
        </w:rPr>
        <w:t>mpacts of preservation methods</w:t>
      </w:r>
      <w:r w:rsidR="00451F40">
        <w:rPr>
          <w:rFonts w:eastAsia="Times New Roman"/>
          <w:color w:val="000000"/>
          <w:lang w:val="en-IE"/>
        </w:rPr>
        <w:t xml:space="preserve"> ha</w:t>
      </w:r>
      <w:r w:rsidR="008325EB">
        <w:rPr>
          <w:rFonts w:eastAsia="Times New Roman"/>
          <w:color w:val="000000"/>
          <w:lang w:val="en-IE"/>
        </w:rPr>
        <w:t>ve</w:t>
      </w:r>
      <w:r w:rsidR="00451F40">
        <w:rPr>
          <w:rFonts w:eastAsia="Times New Roman"/>
          <w:color w:val="000000"/>
          <w:lang w:val="en-IE"/>
        </w:rPr>
        <w:t xml:space="preserve"> been assessed in previous studies</w:t>
      </w:r>
      <w:r w:rsidR="005B4085">
        <w:rPr>
          <w:rFonts w:eastAsia="Times New Roman"/>
          <w:color w:val="000000"/>
          <w:lang w:val="en-IE"/>
        </w:rPr>
        <w:t xml:space="preserve"> </w:t>
      </w:r>
      <w:r w:rsidR="005B4085">
        <w:rPr>
          <w:rFonts w:eastAsia="Times New Roman"/>
          <w:color w:val="000000"/>
          <w:lang w:val="en-IE"/>
        </w:rPr>
        <w:fldChar w:fldCharType="begin"/>
      </w:r>
      <w:r w:rsidR="003A4382">
        <w:rPr>
          <w:rFonts w:eastAsia="Times New Roman"/>
          <w:color w:val="000000"/>
          <w:lang w:val="en-IE"/>
        </w:rPr>
        <w:instrText xml:space="preserve"> ADDIN ZOTERO_ITEM CSL_CITATION {"citationID":"0CwWkEEa","properties":{"formattedCitation":"(Czyrnek-Deletre et al., 2017; Dijkstra and Meyer, 2015; Nilsson et al., 2022; Seghetta et al., 2017; van Oirschot et al., 2017)","plainCitation":"(Czyrnek-Deletre et al., 2017; Dijkstra and Meyer, 2015; Nilsson et al., 2022; Seghetta et al., 2017; van Oirschot et al., 2017)","noteIndex":0},"citationItems":[{"id":387,"uris":["http://zotero.org/users/8766396/items/FYTF2INX"],"itemData":{"id":387,"type":"article-journal","abstract":"Blue Economy is seen as an essential contributor to a sustainable development, and it is an important part of the EU Green Deal. Seaweed plays a key role in the Blue Economy as a source of food, feed, and feedstock for biorefineries. Today, the largest part of global seaweed production is based in Asia, but there is also a growing interest in seaweed production in Europe. However, more knowledge on the environmental impacts is needed to ensure sustainable growth of the sector. Seaweed can be used in biorefineries to produce a variety of products for food and non-food applications. The aim of this paper was to perform a life cycle assessment (LCA) of a seaweed value-chain, including seaweed cultivation and production into sodium alginate, biodegradable materials, biogas, and fertilizer in a biorefinery setting. The LCA included 19 environmental impact categories but focused on climate change. The seaweed Saccharina latissima was cultivated and processed in Ireland. Sodium alginate was then extracted by means of ultrasound-assisted extraction, a novel extraction technology. Cellulosic residues produced after the extraction were used for the production of films used as a packaging material. Residues that remain after the production of the films were sent to anaerobic digestion to achieve a no-waste concept. For seaweed cultivation, fuel use and drying of seaweed biomass were the main environmental hot spots; and for the alginate extraction process, the yield and purification after extraction were the main hot spots. Overall, the results of this paper showed that the seaweed-based biorefinery has the potential to be sustainable, but several improvements are necessary before it is competitive with land-based systems.","container-title":"Algal Research","DOI":"10.1016/j.algal.2022.102725","ISSN":"22119264","journalAbbreviation":"Algal Research","language":"en","page":"102725","source":"DOI.org (Crossref)","title":"Life cycle assessment of a seaweed-based biorefinery concept for production of food, materials, and energy","URL":"https://linkinghub.elsevier.com/retrieve/pii/S2211926422000960","volume":"65","author":[{"family":"Nilsson","given":"Anna Ekman"},{"family":"Bergman","given":"Kristina"},{"family":"Gomez Barrio","given":"Laura Pilar"},{"family":"Cabral","given":"Eduarda M."},{"family":"Tiwari","given":"Brijesh Kumar"}],"accessed":{"date-parts":[["2023",1,26]]},"issued":{"date-parts":[["2022",6]]}}},{"id":134,"uris":["http://zotero.org/users/8766396/items/NBFYWFZV"],"itemData":{"id":134,"type":"article-journal","container-title":"Algal Research","DOI":"10.1016/j.algal.2017.07.025","page":"43-54","title":"Explorative environmental life cycle assessment for system design of seaweed cultivation and drying","volume":"27","author":[{"family":"Oirschot","given":"R","non-dropping-particle":"van"},{"family":"Thomas","given":"J-B. E"},{"family":"Gröndahl","given":"F"},{"family":"Fortuin","given":"K. P. J"},{"family":"Brandenburg","given":"W"},{"family":"Potting","given":"J"}],"issued":{"date-parts":[["2017"]]}}},{"id":133,"uris":["http://zotero.org/users/8766396/items/ZXUIUT6N"],"itemData":{"id":133,"type":"article-journal","container-title":"Journal of Cleaner Production","DOI":"10.1016/j.clepro.2017.02.022","page":"1-15","title":"Seaweed as innovative feedstock for energy and feed - Evaluating the impacts through a Life Cycle Assessment","volume":"150","author":[{"family":"Seghetta","given":"M"},{"family":"Romeo","given":"D"},{"family":"D'Este","given":"M"},{"family":"Alvarado-Morales","given":"M"},{"family":"Angelidaki","given":"I"},{"family":"Bastianoni","given":"S"},{"family":"Thomsen","given":"M"}],"issued":{"date-parts":[["2017"]]}}},{"id":131,"uris":["http://zotero.org/users/8766396/items/6DYKJMA4"],"itemData":{"id":131,"type":"article-journal","container-title":"Applied Energy","DOI":"10.1016/j.apenergy.2017.03.129","page":"34-50","title":"Life cycle assessment of seaweed biomethane, generated from seaweed sourced from integrated multi-trophic aquaculture in temperate oceanic climates","volume":"196","author":[{"family":"Czyrnek-Deletre","given":"M. M"},{"family":"Rocca","given":"S"},{"family":"Agostini","given":"A"},{"family":"Giuntoli","given":"J"},{"family":"Murphy","given":"J. D"}],"issued":{"date-parts":[["2017"]]}}},{"id":412,"uris":["http://zotero.org/users/8766396/items/38ZAM9GP"],"itemData":{"id":412,"type":"report","abstract":"The Macro Cascade project aims to develop a cascading seaweed biorefinery concept. This production platform covers the whole valorisation chain starting from cultivation of sustainable cultivated macroalgae biomass (seaweed) up to the production of highly processed value added products. Task 6.2 of the Macro Cascade project aims to present a techno-economic assessment of the envisaged value chains.","collection-title":"Macro Cascade - Project H2020-BBI-PPP-2015-1","genre":"Deliverable","language":"en","number":"D6.2","source":"Zotero","title":"Techno-economic analysis of production and valorisation of seaweed","URL":"https://www.macrocascade.eu/wp-content/uploads/2020/04/MacroCascade-D6.2-Summary-1.pdf","author":[{"family":"Dijkstra","given":"Jan Wilco"},{"family":"Meyer","given":"Dick F"}],"issued":{"date-parts":[["2015"]]}}}],"schema":"https://github.com/citation-style-language/schema/raw/master/csl-citation.json"} </w:instrText>
      </w:r>
      <w:r w:rsidR="005B4085">
        <w:rPr>
          <w:rFonts w:eastAsia="Times New Roman"/>
          <w:color w:val="000000"/>
          <w:lang w:val="en-IE"/>
        </w:rPr>
        <w:fldChar w:fldCharType="separate"/>
      </w:r>
      <w:r w:rsidR="003A4382" w:rsidRPr="003A4382">
        <w:rPr>
          <w:lang w:val="en-IE"/>
        </w:rPr>
        <w:t>(Czyrnek-Deletre et al., 2017; Dijkstra and Meyer, 2015; Nilsson et al., 2022; Seghetta et al., 2017; van Oirschot et al., 2017)</w:t>
      </w:r>
      <w:r w:rsidR="005B4085">
        <w:rPr>
          <w:rFonts w:eastAsia="Times New Roman"/>
          <w:color w:val="000000"/>
          <w:lang w:val="en-IE"/>
        </w:rPr>
        <w:fldChar w:fldCharType="end"/>
      </w:r>
      <w:r w:rsidR="00AC1E6B">
        <w:rPr>
          <w:rFonts w:eastAsia="Times New Roman"/>
          <w:color w:val="000000"/>
          <w:lang w:val="en-IE"/>
        </w:rPr>
        <w:t xml:space="preserve">, however, </w:t>
      </w:r>
      <w:r w:rsidR="00DF4408">
        <w:rPr>
          <w:rFonts w:eastAsia="Times New Roman"/>
          <w:color w:val="000000"/>
          <w:lang w:val="en-IE"/>
        </w:rPr>
        <w:t xml:space="preserve">social impacts, </w:t>
      </w:r>
      <w:r w:rsidR="00AC1E6B">
        <w:rPr>
          <w:rFonts w:eastAsia="Times New Roman"/>
          <w:color w:val="000000"/>
          <w:lang w:val="en-IE"/>
        </w:rPr>
        <w:t>the feasibility of scal</w:t>
      </w:r>
      <w:r w:rsidR="008325EB">
        <w:rPr>
          <w:rFonts w:eastAsia="Times New Roman"/>
          <w:color w:val="000000"/>
          <w:lang w:val="en-IE"/>
        </w:rPr>
        <w:t>ing</w:t>
      </w:r>
      <w:r w:rsidR="00AC1E6B">
        <w:rPr>
          <w:rFonts w:eastAsia="Times New Roman"/>
          <w:color w:val="000000"/>
          <w:lang w:val="en-IE"/>
        </w:rPr>
        <w:t xml:space="preserve"> up, </w:t>
      </w:r>
      <w:r w:rsidR="00CC4345">
        <w:rPr>
          <w:rFonts w:eastAsia="Times New Roman"/>
          <w:color w:val="000000"/>
          <w:lang w:val="en-IE"/>
        </w:rPr>
        <w:t>and</w:t>
      </w:r>
      <w:r w:rsidR="00CF490E">
        <w:rPr>
          <w:rFonts w:eastAsia="Times New Roman"/>
          <w:color w:val="000000"/>
          <w:lang w:val="en-IE"/>
        </w:rPr>
        <w:t xml:space="preserve"> the effectiveness of different methods </w:t>
      </w:r>
      <w:r w:rsidR="007A789E">
        <w:rPr>
          <w:rFonts w:eastAsia="Times New Roman"/>
          <w:color w:val="000000"/>
          <w:lang w:val="en-IE"/>
        </w:rPr>
        <w:t>in</w:t>
      </w:r>
      <w:r w:rsidR="007A2FCD">
        <w:rPr>
          <w:rFonts w:eastAsia="Times New Roman"/>
          <w:color w:val="000000"/>
          <w:lang w:val="en-IE"/>
        </w:rPr>
        <w:t xml:space="preserve"> preserving product </w:t>
      </w:r>
      <w:r w:rsidR="007A789E">
        <w:rPr>
          <w:rFonts w:eastAsia="Times New Roman"/>
          <w:color w:val="000000"/>
          <w:lang w:val="en-IE"/>
        </w:rPr>
        <w:t>qualities</w:t>
      </w:r>
      <w:r w:rsidR="007A2FCD">
        <w:rPr>
          <w:rFonts w:eastAsia="Times New Roman"/>
          <w:color w:val="000000"/>
          <w:lang w:val="en-IE"/>
        </w:rPr>
        <w:t>,</w:t>
      </w:r>
      <w:r w:rsidR="00AC1E6B">
        <w:rPr>
          <w:rFonts w:eastAsia="Times New Roman"/>
          <w:color w:val="000000"/>
          <w:lang w:val="en-IE"/>
        </w:rPr>
        <w:t xml:space="preserve"> </w:t>
      </w:r>
      <w:r w:rsidR="00CC4345">
        <w:rPr>
          <w:rFonts w:eastAsia="Times New Roman"/>
          <w:color w:val="000000"/>
          <w:lang w:val="en-IE"/>
        </w:rPr>
        <w:t>could be topics of future stud</w:t>
      </w:r>
      <w:r w:rsidR="00330AEA">
        <w:rPr>
          <w:rFonts w:eastAsia="Times New Roman"/>
          <w:color w:val="000000"/>
          <w:lang w:val="en-IE"/>
        </w:rPr>
        <w:t>ies</w:t>
      </w:r>
      <w:r w:rsidR="007A789E">
        <w:rPr>
          <w:rFonts w:eastAsia="Times New Roman"/>
          <w:color w:val="000000"/>
          <w:lang w:val="en-IE"/>
        </w:rPr>
        <w:t>.</w:t>
      </w:r>
      <w:r w:rsidR="00854E0D" w:rsidRPr="00014FAD">
        <w:rPr>
          <w:highlight w:val="yellow"/>
        </w:rPr>
        <w:t xml:space="preserve"> </w:t>
      </w:r>
    </w:p>
    <w:p w14:paraId="419C8DD9" w14:textId="249CFC9F" w:rsidR="00DF7A81" w:rsidRPr="003E4C95" w:rsidRDefault="00F965A1" w:rsidP="00890D06">
      <w:pPr>
        <w:pStyle w:val="Heading1"/>
        <w:numPr>
          <w:ilvl w:val="0"/>
          <w:numId w:val="12"/>
        </w:numPr>
        <w:spacing w:before="0" w:after="240" w:line="480" w:lineRule="auto"/>
        <w:rPr>
          <w:b/>
          <w:bCs/>
          <w:sz w:val="22"/>
          <w:szCs w:val="22"/>
        </w:rPr>
      </w:pPr>
      <w:bookmarkStart w:id="60" w:name="_heading=h.4d34og8" w:colFirst="0" w:colLast="0"/>
      <w:bookmarkStart w:id="61" w:name="_Toc130974817"/>
      <w:bookmarkEnd w:id="60"/>
      <w:r w:rsidRPr="003E4C95">
        <w:rPr>
          <w:b/>
          <w:bCs/>
          <w:sz w:val="22"/>
          <w:szCs w:val="22"/>
        </w:rPr>
        <w:t>Conclusion</w:t>
      </w:r>
      <w:bookmarkEnd w:id="61"/>
    </w:p>
    <w:p w14:paraId="7634D3EA" w14:textId="0854A03D" w:rsidR="00F93689" w:rsidRPr="0040341B" w:rsidRDefault="00724F16" w:rsidP="00957CD0">
      <w:pPr>
        <w:spacing w:after="240" w:line="480" w:lineRule="auto"/>
        <w:jc w:val="both"/>
      </w:pPr>
      <w:r w:rsidRPr="00813C71">
        <w:rPr>
          <w:rFonts w:eastAsia="Calibri"/>
        </w:rPr>
        <w:t>This study determines the environmental</w:t>
      </w:r>
      <w:r w:rsidR="00007BCD" w:rsidRPr="00813C71">
        <w:rPr>
          <w:rFonts w:eastAsia="Calibri"/>
        </w:rPr>
        <w:t>, economic,</w:t>
      </w:r>
      <w:r w:rsidRPr="00813C71">
        <w:rPr>
          <w:rFonts w:eastAsia="Calibri"/>
        </w:rPr>
        <w:t xml:space="preserve"> and social impacts of </w:t>
      </w:r>
      <w:r w:rsidR="00F12035" w:rsidRPr="00813C71">
        <w:rPr>
          <w:rFonts w:eastAsia="Calibri"/>
        </w:rPr>
        <w:t>Irish seaweed production</w:t>
      </w:r>
      <w:r w:rsidR="00F101E7" w:rsidRPr="00813C71">
        <w:rPr>
          <w:rFonts w:eastAsia="Calibri"/>
        </w:rPr>
        <w:t xml:space="preserve"> pathways</w:t>
      </w:r>
      <w:r w:rsidR="00BF5EBD" w:rsidRPr="00813C71">
        <w:rPr>
          <w:rFonts w:eastAsia="Calibri"/>
        </w:rPr>
        <w:t xml:space="preserve"> which could be employed to meet future production targets</w:t>
      </w:r>
      <w:r w:rsidR="004B112A" w:rsidRPr="00813C71">
        <w:rPr>
          <w:rFonts w:eastAsia="Calibri"/>
        </w:rPr>
        <w:t xml:space="preserve">. </w:t>
      </w:r>
      <w:r w:rsidR="009A6988" w:rsidRPr="00813C71">
        <w:rPr>
          <w:rFonts w:eastAsia="Calibri"/>
        </w:rPr>
        <w:t>W</w:t>
      </w:r>
      <w:r w:rsidR="00151730" w:rsidRPr="00813C71">
        <w:rPr>
          <w:rFonts w:eastAsia="Calibri"/>
        </w:rPr>
        <w:t xml:space="preserve">ild harvesting is less </w:t>
      </w:r>
      <w:r w:rsidR="00007BCD" w:rsidRPr="00813C71">
        <w:rPr>
          <w:rFonts w:eastAsia="Calibri"/>
        </w:rPr>
        <w:t>costly</w:t>
      </w:r>
      <w:r w:rsidR="00891E87" w:rsidRPr="00813C71">
        <w:rPr>
          <w:rFonts w:eastAsia="Calibri"/>
        </w:rPr>
        <w:t xml:space="preserve"> </w:t>
      </w:r>
      <w:r w:rsidR="00151730" w:rsidRPr="00813C71">
        <w:rPr>
          <w:rFonts w:eastAsia="Calibri"/>
        </w:rPr>
        <w:t>than seaweed cultivation</w:t>
      </w:r>
      <w:r w:rsidR="009A6988" w:rsidRPr="00813C71">
        <w:rPr>
          <w:rFonts w:eastAsia="Calibri"/>
        </w:rPr>
        <w:t xml:space="preserve"> and is found to be economically viable for all pathways</w:t>
      </w:r>
      <w:r w:rsidR="001916E0" w:rsidRPr="00813C71">
        <w:rPr>
          <w:rFonts w:eastAsia="Calibri"/>
        </w:rPr>
        <w:t>.</w:t>
      </w:r>
      <w:r w:rsidR="00151730" w:rsidRPr="00813C71">
        <w:rPr>
          <w:rFonts w:eastAsia="Calibri"/>
        </w:rPr>
        <w:t xml:space="preserve"> </w:t>
      </w:r>
      <w:r w:rsidR="004165AB" w:rsidRPr="00813C71">
        <w:rPr>
          <w:rFonts w:eastAsia="Calibri"/>
        </w:rPr>
        <w:t xml:space="preserve">Furthermore, despite the direct extraction of natural resources, manual wild harvesting pathways </w:t>
      </w:r>
      <w:r w:rsidR="008F258A">
        <w:rPr>
          <w:rFonts w:eastAsia="Calibri"/>
        </w:rPr>
        <w:t>are</w:t>
      </w:r>
      <w:r w:rsidR="00522259" w:rsidRPr="00813C71">
        <w:rPr>
          <w:rFonts w:eastAsia="Calibri"/>
        </w:rPr>
        <w:t xml:space="preserve"> found to have relatively low environmental impacts</w:t>
      </w:r>
      <w:r w:rsidR="004165AB" w:rsidRPr="00813C71">
        <w:rPr>
          <w:rFonts w:eastAsia="Calibri"/>
        </w:rPr>
        <w:t xml:space="preserve">. </w:t>
      </w:r>
      <w:r w:rsidR="00E32850" w:rsidRPr="00813C71">
        <w:rPr>
          <w:rFonts w:eastAsia="Calibri"/>
        </w:rPr>
        <w:t>M</w:t>
      </w:r>
      <w:r w:rsidR="009A6988" w:rsidRPr="00813C71">
        <w:rPr>
          <w:rFonts w:eastAsia="Calibri"/>
        </w:rPr>
        <w:t xml:space="preserve">echanisation of wild harvesting </w:t>
      </w:r>
      <w:r w:rsidR="00E32850" w:rsidRPr="00813C71">
        <w:rPr>
          <w:rFonts w:eastAsia="Calibri"/>
        </w:rPr>
        <w:t xml:space="preserve">decreases social benefits </w:t>
      </w:r>
      <w:r w:rsidR="009343E4" w:rsidRPr="00813C71">
        <w:rPr>
          <w:rFonts w:eastAsia="Calibri"/>
        </w:rPr>
        <w:t xml:space="preserve">(less labour demand) </w:t>
      </w:r>
      <w:r w:rsidR="00E32850" w:rsidRPr="00813C71">
        <w:rPr>
          <w:rFonts w:eastAsia="Calibri"/>
        </w:rPr>
        <w:t xml:space="preserve">while </w:t>
      </w:r>
      <w:r w:rsidR="009A6988" w:rsidRPr="00813C71">
        <w:rPr>
          <w:rFonts w:eastAsia="Calibri"/>
        </w:rPr>
        <w:t>increas</w:t>
      </w:r>
      <w:r w:rsidR="00E32850" w:rsidRPr="00813C71">
        <w:rPr>
          <w:rFonts w:eastAsia="Calibri"/>
        </w:rPr>
        <w:t>ing</w:t>
      </w:r>
      <w:r w:rsidR="009A6988" w:rsidRPr="00813C71">
        <w:rPr>
          <w:rFonts w:eastAsia="Calibri"/>
        </w:rPr>
        <w:t xml:space="preserve"> environmental impacts </w:t>
      </w:r>
      <w:r w:rsidR="00622912" w:rsidRPr="00813C71">
        <w:rPr>
          <w:rFonts w:eastAsia="Calibri"/>
        </w:rPr>
        <w:t xml:space="preserve">and costs </w:t>
      </w:r>
      <w:r w:rsidR="009343E4" w:rsidRPr="00813C71">
        <w:rPr>
          <w:rFonts w:eastAsia="Calibri"/>
        </w:rPr>
        <w:lastRenderedPageBreak/>
        <w:t xml:space="preserve">(more fuel demand) </w:t>
      </w:r>
      <w:r w:rsidR="009A6988" w:rsidRPr="00813C71">
        <w:rPr>
          <w:rFonts w:eastAsia="Calibri"/>
        </w:rPr>
        <w:t>compared to manual wild harvesting methods</w:t>
      </w:r>
      <w:r w:rsidR="00E32850" w:rsidRPr="00813C71">
        <w:rPr>
          <w:rFonts w:eastAsia="Calibri"/>
        </w:rPr>
        <w:t xml:space="preserve">; however, </w:t>
      </w:r>
      <w:r w:rsidR="009343E4" w:rsidRPr="00813C71">
        <w:rPr>
          <w:rFonts w:eastAsia="Calibri"/>
        </w:rPr>
        <w:t>as it provides access to wild kelp resources</w:t>
      </w:r>
      <w:r w:rsidR="00CF276F">
        <w:rPr>
          <w:rFonts w:eastAsia="Calibri"/>
        </w:rPr>
        <w:t>,</w:t>
      </w:r>
      <w:r w:rsidR="009343E4" w:rsidRPr="00813C71">
        <w:rPr>
          <w:rFonts w:eastAsia="Calibri"/>
        </w:rPr>
        <w:t xml:space="preserve"> it</w:t>
      </w:r>
      <w:r w:rsidR="00BF5EBD" w:rsidRPr="00813C71">
        <w:rPr>
          <w:rFonts w:eastAsia="Calibri"/>
        </w:rPr>
        <w:t xml:space="preserve"> may be needed to meet future production targets.</w:t>
      </w:r>
      <w:r w:rsidR="009A6988" w:rsidRPr="00813C71">
        <w:rPr>
          <w:rFonts w:eastAsia="Calibri"/>
        </w:rPr>
        <w:t xml:space="preserve"> </w:t>
      </w:r>
      <w:r w:rsidR="00CF276F">
        <w:rPr>
          <w:rFonts w:eastAsia="Calibri"/>
        </w:rPr>
        <w:t>S</w:t>
      </w:r>
      <w:r w:rsidR="00F52304">
        <w:rPr>
          <w:rFonts w:eastAsia="Calibri"/>
        </w:rPr>
        <w:t>eaweed cultivation</w:t>
      </w:r>
      <w:r w:rsidR="00CF276F">
        <w:rPr>
          <w:rFonts w:eastAsia="Calibri"/>
        </w:rPr>
        <w:t>, on the other hand,</w:t>
      </w:r>
      <w:r w:rsidR="00F52304">
        <w:rPr>
          <w:rFonts w:eastAsia="Calibri"/>
        </w:rPr>
        <w:t xml:space="preserve"> has a better social performance</w:t>
      </w:r>
      <w:r w:rsidR="00F52304" w:rsidRPr="00813C71">
        <w:rPr>
          <w:rFonts w:eastAsia="Calibri"/>
        </w:rPr>
        <w:t xml:space="preserve"> compared to wild harvesting</w:t>
      </w:r>
      <w:r w:rsidR="00F52304">
        <w:rPr>
          <w:rFonts w:eastAsia="Calibri"/>
        </w:rPr>
        <w:t xml:space="preserve"> </w:t>
      </w:r>
      <w:r w:rsidR="00AA3D2B">
        <w:rPr>
          <w:rFonts w:eastAsia="Calibri"/>
        </w:rPr>
        <w:t>through the</w:t>
      </w:r>
      <w:r w:rsidR="00F52304">
        <w:rPr>
          <w:rFonts w:eastAsia="Calibri"/>
        </w:rPr>
        <w:t xml:space="preserve"> creati</w:t>
      </w:r>
      <w:r w:rsidR="00AA3D2B">
        <w:rPr>
          <w:rFonts w:eastAsia="Calibri"/>
        </w:rPr>
        <w:t>on</w:t>
      </w:r>
      <w:r w:rsidR="00F52304">
        <w:rPr>
          <w:rFonts w:eastAsia="Calibri"/>
        </w:rPr>
        <w:t xml:space="preserve"> </w:t>
      </w:r>
      <w:r w:rsidR="00AA3D2B">
        <w:rPr>
          <w:rFonts w:eastAsia="Calibri"/>
        </w:rPr>
        <w:t xml:space="preserve">of </w:t>
      </w:r>
      <w:r w:rsidR="00F52304">
        <w:rPr>
          <w:rFonts w:eastAsia="Calibri"/>
        </w:rPr>
        <w:t>more jobs</w:t>
      </w:r>
      <w:r w:rsidR="00F52304" w:rsidRPr="00813C71">
        <w:rPr>
          <w:rFonts w:eastAsia="Calibri"/>
        </w:rPr>
        <w:t xml:space="preserve">. </w:t>
      </w:r>
      <w:r w:rsidR="00F52304">
        <w:rPr>
          <w:rFonts w:eastAsia="Calibri"/>
        </w:rPr>
        <w:t>However, d</w:t>
      </w:r>
      <w:r w:rsidR="002A73B6" w:rsidRPr="00813C71">
        <w:rPr>
          <w:rFonts w:eastAsia="Calibri"/>
        </w:rPr>
        <w:t>ue to infrastructure and transport needs</w:t>
      </w:r>
      <w:r w:rsidR="009343E4" w:rsidRPr="00813C71">
        <w:rPr>
          <w:rFonts w:eastAsia="Calibri"/>
        </w:rPr>
        <w:t>,</w:t>
      </w:r>
      <w:r w:rsidR="002A73B6" w:rsidRPr="00813C71">
        <w:rPr>
          <w:rFonts w:eastAsia="Calibri"/>
        </w:rPr>
        <w:t xml:space="preserve"> s</w:t>
      </w:r>
      <w:r w:rsidR="00622912" w:rsidRPr="00813C71">
        <w:rPr>
          <w:rFonts w:eastAsia="Calibri"/>
        </w:rPr>
        <w:t>eaweed cultivation</w:t>
      </w:r>
      <w:r w:rsidR="0093193A">
        <w:rPr>
          <w:rFonts w:eastAsia="Calibri"/>
        </w:rPr>
        <w:t xml:space="preserve"> </w:t>
      </w:r>
      <w:r w:rsidR="0052298A" w:rsidRPr="00813C71">
        <w:rPr>
          <w:rFonts w:eastAsia="Calibri"/>
        </w:rPr>
        <w:t xml:space="preserve">has high environmental </w:t>
      </w:r>
      <w:r w:rsidR="0093193A">
        <w:rPr>
          <w:rFonts w:eastAsia="Calibri"/>
        </w:rPr>
        <w:t xml:space="preserve">and economic </w:t>
      </w:r>
      <w:r w:rsidR="0052298A" w:rsidRPr="00813C71">
        <w:rPr>
          <w:rFonts w:eastAsia="Calibri"/>
        </w:rPr>
        <w:t>costs</w:t>
      </w:r>
      <w:r w:rsidR="001073AF">
        <w:rPr>
          <w:rFonts w:eastAsia="Calibri"/>
        </w:rPr>
        <w:t>.</w:t>
      </w:r>
      <w:r w:rsidR="00622912" w:rsidRPr="00813C71">
        <w:rPr>
          <w:rFonts w:eastAsia="Calibri"/>
        </w:rPr>
        <w:t xml:space="preserve"> </w:t>
      </w:r>
      <w:r w:rsidR="0093193A">
        <w:rPr>
          <w:rFonts w:eastAsia="Calibri"/>
        </w:rPr>
        <w:t>While</w:t>
      </w:r>
      <w:r w:rsidR="001073AF">
        <w:rPr>
          <w:rFonts w:eastAsia="Calibri"/>
        </w:rPr>
        <w:t xml:space="preserve"> </w:t>
      </w:r>
      <w:r w:rsidR="000A2493">
        <w:rPr>
          <w:rFonts w:eastAsia="Calibri"/>
        </w:rPr>
        <w:t>seaweed cultivation is only found to be economically viable at higher selling prices</w:t>
      </w:r>
      <w:r w:rsidR="0093193A">
        <w:rPr>
          <w:rFonts w:eastAsia="Calibri"/>
        </w:rPr>
        <w:t xml:space="preserve">, it is essential </w:t>
      </w:r>
      <w:r w:rsidR="00330AEA">
        <w:rPr>
          <w:rFonts w:eastAsia="Calibri"/>
        </w:rPr>
        <w:t>if a significant upscale in production is required</w:t>
      </w:r>
      <w:r w:rsidR="000A2493">
        <w:rPr>
          <w:rFonts w:eastAsia="Calibri"/>
        </w:rPr>
        <w:t>.</w:t>
      </w:r>
      <w:r w:rsidR="0025214F">
        <w:rPr>
          <w:rFonts w:eastAsia="Calibri"/>
        </w:rPr>
        <w:t xml:space="preserve"> </w:t>
      </w:r>
      <w:r w:rsidR="0025214F" w:rsidRPr="00911747">
        <w:rPr>
          <w:rFonts w:eastAsia="Calibri"/>
        </w:rPr>
        <w:t xml:space="preserve">Thus, the choice of farm location, configuration, and size are essential to </w:t>
      </w:r>
      <w:r w:rsidR="004C3CE4">
        <w:rPr>
          <w:rFonts w:eastAsia="Calibri"/>
        </w:rPr>
        <w:t>influencing</w:t>
      </w:r>
      <w:r w:rsidR="004C3CE4" w:rsidRPr="00911747">
        <w:rPr>
          <w:rFonts w:eastAsia="Calibri"/>
        </w:rPr>
        <w:t xml:space="preserve"> </w:t>
      </w:r>
      <w:r w:rsidR="0025214F" w:rsidRPr="00911747">
        <w:rPr>
          <w:rFonts w:eastAsia="Calibri"/>
        </w:rPr>
        <w:t>the overall impacts of the sector</w:t>
      </w:r>
      <w:r w:rsidR="00CB6AB1">
        <w:rPr>
          <w:rFonts w:eastAsia="Calibri"/>
        </w:rPr>
        <w:t>.</w:t>
      </w:r>
      <w:r w:rsidR="007068CA">
        <w:rPr>
          <w:rFonts w:eastAsia="Calibri"/>
        </w:rPr>
        <w:t xml:space="preserve"> </w:t>
      </w:r>
      <w:r w:rsidR="00F965A1" w:rsidRPr="00142E77">
        <w:rPr>
          <w:rFonts w:eastAsia="Calibri"/>
        </w:rPr>
        <w:t xml:space="preserve">While trade-offs are inevitable and thus there is not objective answer as to which is the most sustainable option, the </w:t>
      </w:r>
      <w:r w:rsidR="00D70347" w:rsidRPr="00142E77">
        <w:rPr>
          <w:rFonts w:eastAsia="Calibri"/>
        </w:rPr>
        <w:t xml:space="preserve">hope is that the </w:t>
      </w:r>
      <w:r w:rsidR="00F965A1" w:rsidRPr="00142E77">
        <w:rPr>
          <w:rFonts w:eastAsia="Calibri"/>
        </w:rPr>
        <w:t xml:space="preserve">results provided </w:t>
      </w:r>
      <w:r w:rsidR="007068CA" w:rsidRPr="00142E77">
        <w:rPr>
          <w:rFonts w:eastAsia="Calibri"/>
        </w:rPr>
        <w:t xml:space="preserve">in this study </w:t>
      </w:r>
      <w:r w:rsidR="00F965A1" w:rsidRPr="00142E77">
        <w:rPr>
          <w:rFonts w:eastAsia="Calibri"/>
        </w:rPr>
        <w:t>can help stakeholders make informed decisions</w:t>
      </w:r>
      <w:r w:rsidR="00D70347" w:rsidRPr="00142E77">
        <w:rPr>
          <w:rFonts w:eastAsia="Calibri"/>
        </w:rPr>
        <w:t xml:space="preserve"> </w:t>
      </w:r>
      <w:r w:rsidR="00142E77" w:rsidRPr="00142E77">
        <w:rPr>
          <w:rFonts w:eastAsia="Calibri"/>
        </w:rPr>
        <w:t>for the developing industry</w:t>
      </w:r>
      <w:r w:rsidR="00FD129F" w:rsidRPr="00142E77">
        <w:rPr>
          <w:rFonts w:eastAsia="Calibri"/>
        </w:rPr>
        <w:t>.</w:t>
      </w:r>
    </w:p>
    <w:p w14:paraId="7DB4463D" w14:textId="68CE2D4A" w:rsidR="007A789E" w:rsidRDefault="007A789E" w:rsidP="00957CD0">
      <w:pPr>
        <w:pStyle w:val="Heading1"/>
        <w:numPr>
          <w:ilvl w:val="0"/>
          <w:numId w:val="12"/>
        </w:numPr>
        <w:spacing w:before="0" w:after="240" w:line="480" w:lineRule="auto"/>
        <w:rPr>
          <w:b/>
          <w:bCs/>
          <w:sz w:val="22"/>
          <w:szCs w:val="22"/>
        </w:rPr>
      </w:pPr>
      <w:bookmarkStart w:id="62" w:name="_heading=h.2s8eyo1" w:colFirst="0" w:colLast="0"/>
      <w:bookmarkStart w:id="63" w:name="_Toc130974818"/>
      <w:bookmarkEnd w:id="62"/>
      <w:r>
        <w:rPr>
          <w:b/>
          <w:bCs/>
          <w:sz w:val="22"/>
          <w:szCs w:val="22"/>
        </w:rPr>
        <w:t>Acknowledgements</w:t>
      </w:r>
    </w:p>
    <w:p w14:paraId="48AC54E3" w14:textId="3BCFEBD6" w:rsidR="007A789E" w:rsidRPr="00D2666F" w:rsidRDefault="00D2666F" w:rsidP="00957CD0">
      <w:pPr>
        <w:spacing w:after="240" w:line="480" w:lineRule="auto"/>
        <w:jc w:val="both"/>
        <w:rPr>
          <w:lang w:val="en-IE"/>
        </w:rPr>
      </w:pPr>
      <w:r>
        <w:t xml:space="preserve">This research was supported by the European Union’s Horizon 2020 research and innovation programme </w:t>
      </w:r>
      <w:proofErr w:type="spellStart"/>
      <w:r>
        <w:t>AgRefine</w:t>
      </w:r>
      <w:proofErr w:type="spellEnd"/>
      <w:r>
        <w:t xml:space="preserve"> under the Marie </w:t>
      </w:r>
      <w:proofErr w:type="spellStart"/>
      <w:r>
        <w:t>Skłodowska</w:t>
      </w:r>
      <w:proofErr w:type="spellEnd"/>
      <w:r>
        <w:t>-Curie grant agreement No 860477.</w:t>
      </w:r>
      <w:r w:rsidR="00B003DA">
        <w:t xml:space="preserve"> </w:t>
      </w:r>
      <w:r w:rsidR="00033E3E">
        <w:t>Sincerest thanks</w:t>
      </w:r>
      <w:r w:rsidR="00B003DA">
        <w:t xml:space="preserve"> to Micheal Mac </w:t>
      </w:r>
      <w:proofErr w:type="spellStart"/>
      <w:r w:rsidR="00B003DA">
        <w:t>Monagail</w:t>
      </w:r>
      <w:proofErr w:type="spellEnd"/>
      <w:r w:rsidR="0035632F">
        <w:t xml:space="preserve">, </w:t>
      </w:r>
      <w:r w:rsidR="00033E3E">
        <w:rPr>
          <w:rFonts w:eastAsia="Times New Roman"/>
        </w:rPr>
        <w:t>Máirtín</w:t>
      </w:r>
      <w:r w:rsidR="0035632F">
        <w:t xml:space="preserve"> </w:t>
      </w:r>
      <w:proofErr w:type="gramStart"/>
      <w:r w:rsidR="0035632F">
        <w:t>Walsh</w:t>
      </w:r>
      <w:proofErr w:type="gramEnd"/>
      <w:r w:rsidR="0035632F">
        <w:t xml:space="preserve"> and </w:t>
      </w:r>
      <w:r w:rsidR="00C40191" w:rsidRPr="00C40191">
        <w:t xml:space="preserve">Máire Ní </w:t>
      </w:r>
      <w:proofErr w:type="spellStart"/>
      <w:r w:rsidR="00C40191" w:rsidRPr="00C40191">
        <w:t>Éinniú</w:t>
      </w:r>
      <w:proofErr w:type="spellEnd"/>
      <w:r w:rsidR="0035632F">
        <w:t xml:space="preserve"> for </w:t>
      </w:r>
      <w:r w:rsidR="00134AD0">
        <w:t xml:space="preserve">helpful </w:t>
      </w:r>
      <w:r w:rsidR="000F71E6">
        <w:t xml:space="preserve">discussions and </w:t>
      </w:r>
      <w:r w:rsidR="00134AD0">
        <w:t>insight into the Irish seaweed industry.</w:t>
      </w:r>
    </w:p>
    <w:p w14:paraId="419C8DDD" w14:textId="7F3DB777" w:rsidR="00DF7A81" w:rsidRPr="003E4C95" w:rsidRDefault="00F965A1" w:rsidP="00957CD0">
      <w:pPr>
        <w:pStyle w:val="Heading1"/>
        <w:numPr>
          <w:ilvl w:val="0"/>
          <w:numId w:val="12"/>
        </w:numPr>
        <w:spacing w:before="0" w:after="240" w:line="480" w:lineRule="auto"/>
        <w:rPr>
          <w:b/>
          <w:bCs/>
          <w:sz w:val="22"/>
          <w:szCs w:val="22"/>
        </w:rPr>
      </w:pPr>
      <w:r w:rsidRPr="003E4C95">
        <w:rPr>
          <w:b/>
          <w:bCs/>
          <w:sz w:val="22"/>
          <w:szCs w:val="22"/>
        </w:rPr>
        <w:t>References</w:t>
      </w:r>
      <w:bookmarkEnd w:id="63"/>
    </w:p>
    <w:p w14:paraId="55ED217F" w14:textId="77777777" w:rsidR="00496063" w:rsidRDefault="00C23D66" w:rsidP="00496063">
      <w:pPr>
        <w:pStyle w:val="Bibliography"/>
      </w:pPr>
      <w:r>
        <w:rPr>
          <w:i/>
        </w:rPr>
        <w:fldChar w:fldCharType="begin"/>
      </w:r>
      <w:r w:rsidR="00496063">
        <w:rPr>
          <w:i/>
          <w:lang w:val="en-IE"/>
        </w:rPr>
        <w:instrText xml:space="preserve"> ADDIN ZOTERO_BIBL {"uncited":[],"omitted":[],"custom":[]} CSL_BIBLIOGRAPHY </w:instrText>
      </w:r>
      <w:r>
        <w:rPr>
          <w:i/>
        </w:rPr>
        <w:fldChar w:fldCharType="separate"/>
      </w:r>
      <w:r w:rsidR="00496063">
        <w:t>Agricultural Marketing Resource Center, 2022. Breakeven Selling Price. Bus. Econ. Concepts Princ. URL https://www.agmrc.org/business-development/business-and-economic-concepts-and-principles/breakeven-selling-price</w:t>
      </w:r>
    </w:p>
    <w:p w14:paraId="052ADFA7" w14:textId="77777777" w:rsidR="00496063" w:rsidRDefault="00496063" w:rsidP="00496063">
      <w:pPr>
        <w:pStyle w:val="Bibliography"/>
      </w:pPr>
      <w:r w:rsidRPr="00D9599D">
        <w:rPr>
          <w:lang w:val="sv-SE"/>
        </w:rPr>
        <w:t xml:space="preserve">Aguilera, E., Guzmán, G.I., González de Molina, M., Soto, D., Infante-Amate, J., 2019. </w:t>
      </w:r>
      <w:r>
        <w:t>From animals to machines. The impact of mechanization on the carbon footprint of traction in Spanish agriculture: 1900–2014. J. Clean. Prod. 221, 295–305. https://doi.org/10.1016/j.jclepro.2019.02.247</w:t>
      </w:r>
    </w:p>
    <w:p w14:paraId="58D2CD54" w14:textId="77777777" w:rsidR="00496063" w:rsidRDefault="00496063" w:rsidP="00496063">
      <w:pPr>
        <w:pStyle w:val="Bibliography"/>
      </w:pPr>
      <w:r>
        <w:t>Alvarenga, R.A.F., Dewulf, J., Van Langenhove, H., Huijbregts, M.A.J., 2013. Exergy-based accounting for land as a natural resource in life cycle assessment. Int. J. Life Cycle Assess. 18, 939–947. https://doi.org/10.1007/s11367-013-0555-7</w:t>
      </w:r>
    </w:p>
    <w:p w14:paraId="2A1BEA2E" w14:textId="77777777" w:rsidR="00496063" w:rsidRDefault="00496063" w:rsidP="00496063">
      <w:pPr>
        <w:pStyle w:val="Bibliography"/>
      </w:pPr>
      <w:r>
        <w:t>Bak, U.G., Mols-Mortensen, A., Gregersen, O., 2018. Production method and cost of commercial-scale offshore cultivation of kelp in the Faroe Islands using multiple partial harvesting. Algal Res. 33, 36–47. https://doi.org/10.1016/j.algal.2018.05.001</w:t>
      </w:r>
    </w:p>
    <w:p w14:paraId="0BF3B850" w14:textId="77777777" w:rsidR="00496063" w:rsidRDefault="00496063" w:rsidP="00496063">
      <w:pPr>
        <w:pStyle w:val="Bibliography"/>
      </w:pPr>
      <w:r>
        <w:lastRenderedPageBreak/>
        <w:t>Berndes, G., Bird, N., Cowie, A., 2013. Bioenergy, Land Use Change and Climate Change Mitigation: Background Technical Report (No. IEA Bioenergy:ExCo:2011:04). IEA Bioenergy.</w:t>
      </w:r>
    </w:p>
    <w:p w14:paraId="1FF2811F" w14:textId="77777777" w:rsidR="00496063" w:rsidRDefault="00496063" w:rsidP="00496063">
      <w:pPr>
        <w:pStyle w:val="Bibliography"/>
      </w:pPr>
      <w:r>
        <w:t>BIM, 2023. Irish Macro-Algal Cultivation Strategy 2021-2030: Review of the Irish Seaweed Aquaculture Sector and Strategy for its Development to 2030.</w:t>
      </w:r>
    </w:p>
    <w:p w14:paraId="3550549C" w14:textId="77777777" w:rsidR="00496063" w:rsidRDefault="00496063" w:rsidP="00496063">
      <w:pPr>
        <w:pStyle w:val="Bibliography"/>
      </w:pPr>
      <w:r>
        <w:t>Bösch, M.E., Hellweg, S., Huijbregts, M.A.J., Frischknecht, R., 2007. Applying cumulative exergy demand (CExD) indicators to the ecoinvent database. Int. J. Life Cycle Assess. 12, 181–190. https://doi.org/10.1065/lca2006.11.282</w:t>
      </w:r>
    </w:p>
    <w:p w14:paraId="65CAB00C" w14:textId="77777777" w:rsidR="00496063" w:rsidRDefault="00496063" w:rsidP="00496063">
      <w:pPr>
        <w:pStyle w:val="Bibliography"/>
      </w:pPr>
      <w:r>
        <w:t>Brennan, J., 2023. Banks double business loan interest rates over past year [WWW Document]. Ir. Times. URL https://www.irishtimes.com/business/financial-services/2023/07/12/banks-double-business-loan-interest-rates-over-past-year/</w:t>
      </w:r>
    </w:p>
    <w:p w14:paraId="2BD0B239" w14:textId="77777777" w:rsidR="00496063" w:rsidRDefault="00496063" w:rsidP="00496063">
      <w:pPr>
        <w:pStyle w:val="Bibliography"/>
      </w:pPr>
      <w:r>
        <w:t>Burrows, M., Fox, C., Moore, P., Smale, D., Greenhill, L., Martino, S., 2018. Wild seaweed harvesting as a diversification opportunity for fishermen (A report by SRSL for HIE).</w:t>
      </w:r>
    </w:p>
    <w:p w14:paraId="005203D6" w14:textId="77777777" w:rsidR="00496063" w:rsidRDefault="00496063" w:rsidP="00496063">
      <w:pPr>
        <w:pStyle w:val="Bibliography"/>
      </w:pPr>
      <w:r>
        <w:t>Cai, J., Lovatelli, A., Aguilar-Manjarrez, J., Cornish, L., Dabbadie, L., Desrochers, A., Diffey, S., Garrido Gamarro, E., Geehan, J., Hurtado, A., Lucente, D., Mair, G., Miao, W., Potin, P., Przybyla, C., Reantaso, M., Roubach, R., Tauati, M., Yuan, X., 2021. Seaweeds and microalgae: an overview for unlocking their potential in global aquaculture development, FAO Fisheries and Aquaculture Circular. FAO, Rome. https://doi.org/10.4060/cb5670en</w:t>
      </w:r>
    </w:p>
    <w:p w14:paraId="6569D506" w14:textId="77777777" w:rsidR="00496063" w:rsidRPr="00D9599D" w:rsidRDefault="00496063" w:rsidP="00496063">
      <w:pPr>
        <w:pStyle w:val="Bibliography"/>
        <w:rPr>
          <w:lang w:val="sv-SE"/>
        </w:rPr>
      </w:pPr>
      <w:r>
        <w:t xml:space="preserve">Central Statistics Office Ireland, 2023. Monthly Unemployment July 2023 [WWW Document]. </w:t>
      </w:r>
      <w:r w:rsidRPr="00D9599D">
        <w:rPr>
          <w:lang w:val="sv-SE"/>
        </w:rPr>
        <w:t>URL https://www.cso.ie/en/releasesandpublications/ep/p-mue/monthlyunemploymentjuly2023/</w:t>
      </w:r>
    </w:p>
    <w:p w14:paraId="281E2E6F" w14:textId="77777777" w:rsidR="00496063" w:rsidRDefault="00496063" w:rsidP="00496063">
      <w:pPr>
        <w:pStyle w:val="Bibliography"/>
      </w:pPr>
      <w:r>
        <w:t>Cerca, M., Sosa, A., Murphy, F., 2023. Responsible supply systems for macroalgae: Upscaling seaweed cultivation in Ireland. Aquaculture 563, 738996. https://doi.org/10.1016/j.aquaculture.2022.738996</w:t>
      </w:r>
    </w:p>
    <w:p w14:paraId="28E825BA" w14:textId="77777777" w:rsidR="00496063" w:rsidRDefault="00496063" w:rsidP="00496063">
      <w:pPr>
        <w:pStyle w:val="Bibliography"/>
      </w:pPr>
      <w:r>
        <w:t>Clark, A.E., Flèche, S., Layard, R., Powdthavee, N., Ward, G., 2017. The Key Determinants of Happiness and Misery, in: World Happiness Report 2017.</w:t>
      </w:r>
    </w:p>
    <w:p w14:paraId="6CFC1C65" w14:textId="77777777" w:rsidR="00496063" w:rsidRDefault="00496063" w:rsidP="00496063">
      <w:pPr>
        <w:pStyle w:val="Bibliography"/>
      </w:pPr>
      <w:r>
        <w:t>Coker, A.K., 1995. Engineering Economics, in: Fortran Programs for Chemical Process Design, Analysis, and Simulation. pp. 721–776.</w:t>
      </w:r>
    </w:p>
    <w:p w14:paraId="1EDA4801" w14:textId="77777777" w:rsidR="00496063" w:rsidRDefault="00496063" w:rsidP="00496063">
      <w:pPr>
        <w:pStyle w:val="Bibliography"/>
      </w:pPr>
      <w:r>
        <w:t>Coleman, S., Dewhurst, T., Fredriksson, D.W., St. Gelais, A.T., Cole, K.L., MacNicoll, M., Laufer, E., Brady, D.C., 2022. Quantifying baseline costs and cataloging potential optimization strategies for kelp aquaculture carbon dioxide removal. Front. Mar. Sci. 9, 966304. https://doi.org/10.3389/fmars.2022.966304</w:t>
      </w:r>
    </w:p>
    <w:p w14:paraId="370904D6" w14:textId="77777777" w:rsidR="00496063" w:rsidRDefault="00496063" w:rsidP="00496063">
      <w:pPr>
        <w:pStyle w:val="Bibliography"/>
      </w:pPr>
      <w:r>
        <w:t>Collins, N., Kumar Mediboyina, M., Cerca, M., Vance, C., Murphy, F., 2022. Economic and environmental sustainability analysis of seaweed farming: Monetizing carbon offsets of a brown algae cultivation system in Ireland. Bioresour. Technol. 346, 126637. https://doi.org/10.1016/j.biortech.2021.126637</w:t>
      </w:r>
    </w:p>
    <w:p w14:paraId="700B619A" w14:textId="77777777" w:rsidR="00496063" w:rsidRDefault="00496063" w:rsidP="00496063">
      <w:pPr>
        <w:pStyle w:val="Bibliography"/>
      </w:pPr>
      <w:r>
        <w:t>Commission for the Economic Development of Rural Areas [CEDRA], 2017. Energising Irelands Rural Economy. Teagasc.</w:t>
      </w:r>
    </w:p>
    <w:p w14:paraId="7FAC454E" w14:textId="77777777" w:rsidR="00496063" w:rsidRDefault="00496063" w:rsidP="00496063">
      <w:pPr>
        <w:pStyle w:val="Bibliography"/>
      </w:pPr>
      <w:r>
        <w:t>CyberColloids, 2020. Scoping a seaweed biorefinery concept for Ireland. Bord Iascaigh Mhara [BIM].</w:t>
      </w:r>
    </w:p>
    <w:p w14:paraId="0EEBC4FD" w14:textId="77777777" w:rsidR="00496063" w:rsidRDefault="00496063" w:rsidP="00496063">
      <w:pPr>
        <w:pStyle w:val="Bibliography"/>
      </w:pPr>
      <w:r>
        <w:t>Czyrnek-Deletre, M.M., Rocca, S., Agostini, A., Giuntoli, J., Murphy, J.D., 2017. Life cycle assessment of seaweed biomethane, generated from seaweed sourced from integrated multi-trophic aquaculture in temperate oceanic climates. Appl. Energy 196, 34–50. https://doi.org/10.1016/j.apenergy.2017.03.129</w:t>
      </w:r>
    </w:p>
    <w:p w14:paraId="05F0D6EF" w14:textId="77777777" w:rsidR="00496063" w:rsidRDefault="00496063" w:rsidP="00496063">
      <w:pPr>
        <w:pStyle w:val="Bibliography"/>
      </w:pPr>
      <w:r>
        <w:t>De Neve, J.-E., Ward, G., 2017. Happiness at Work, in: World Happiness Report 2017.</w:t>
      </w:r>
    </w:p>
    <w:p w14:paraId="03724B12" w14:textId="77777777" w:rsidR="00496063" w:rsidRDefault="00496063" w:rsidP="00496063">
      <w:pPr>
        <w:pStyle w:val="Bibliography"/>
      </w:pPr>
      <w:r>
        <w:t>Department of Housing, Local Government and Heritage, 2022. Ireland announces major boost in marine environmental protection to coincide with COP15. Gov. Irel.</w:t>
      </w:r>
    </w:p>
    <w:p w14:paraId="52B6A683" w14:textId="77777777" w:rsidR="00496063" w:rsidRDefault="00496063" w:rsidP="00496063">
      <w:pPr>
        <w:pStyle w:val="Bibliography"/>
      </w:pPr>
      <w:r>
        <w:t>Dewulf, J., Bösch, M.E., Meester, B.D., Vorst, G.V. der, Langenhove, H.V., Hellweg, S., Huijbregts, M.A.J., 2007. Cumulative Exergy Extraction from the Natural Environment (CEENE): a comprehensive Life Cycle Impact Assessment method for resource accounting. Environ. Sci. Technol. 41, 8477–8483. https://doi.org/10.1021/es0711415</w:t>
      </w:r>
    </w:p>
    <w:p w14:paraId="441ED98A" w14:textId="77777777" w:rsidR="00496063" w:rsidRDefault="00496063" w:rsidP="00496063">
      <w:pPr>
        <w:pStyle w:val="Bibliography"/>
      </w:pPr>
      <w:r>
        <w:lastRenderedPageBreak/>
        <w:t>Dijkstra, J.W., Meyer, D.F., 2015. Techno-economic analysis of production and valorisation of seaweed (Deliverable No. D6.2), Macro Cascade - Project H2020-BBI-PPP-2015-1.</w:t>
      </w:r>
    </w:p>
    <w:p w14:paraId="6E8C56D3" w14:textId="77777777" w:rsidR="00496063" w:rsidRDefault="00496063" w:rsidP="00496063">
      <w:pPr>
        <w:pStyle w:val="Bibliography"/>
      </w:pPr>
      <w:r>
        <w:t>EUMOFA - European Market Observatory for Fisheries and Aquaculture Products, 2023. Blue Bioeconomy Report. Publications Office of the European Union, Luxembourg.</w:t>
      </w:r>
    </w:p>
    <w:p w14:paraId="18EBD8BC" w14:textId="77777777" w:rsidR="00496063" w:rsidRDefault="00496063" w:rsidP="00496063">
      <w:pPr>
        <w:pStyle w:val="Bibliography"/>
      </w:pPr>
      <w:r>
        <w:t>European Commission, 2022a. Towards a Strong and Sustainable EU Algae Sector (Communication from the Commission to the European Parliament, the Council, the European Economic and Social Committee and the Committee of the Regions No. COM(2022) 592 final). Brussels.</w:t>
      </w:r>
    </w:p>
    <w:p w14:paraId="2AE67658" w14:textId="77777777" w:rsidR="00496063" w:rsidRDefault="00496063" w:rsidP="00496063">
      <w:pPr>
        <w:pStyle w:val="Bibliography"/>
      </w:pPr>
      <w:r>
        <w:t>European Commission, 2022b. The EU Blue Economy Report. 2022. Publications Office of the European Union, Luxembourg.</w:t>
      </w:r>
    </w:p>
    <w:p w14:paraId="6656E3D6" w14:textId="77777777" w:rsidR="00496063" w:rsidRDefault="00496063" w:rsidP="00496063">
      <w:pPr>
        <w:pStyle w:val="Bibliography"/>
      </w:pPr>
      <w:r>
        <w:t>European Commission, 2018. Bioeconomy: the European way to use our natural resources - Action plan. Publications Office of the European Union, Luxembourg.</w:t>
      </w:r>
    </w:p>
    <w:p w14:paraId="2E6F68BA" w14:textId="77777777" w:rsidR="00496063" w:rsidRDefault="00496063" w:rsidP="00496063">
      <w:pPr>
        <w:pStyle w:val="Bibliography"/>
      </w:pPr>
      <w:r>
        <w:t>European Commission, 2010. Joint Research Centre - Institute for Environment and Sustainability: International Reference Life Cycle Data System (ILCD) Handbook - General guide for Life Cycle Assessment - Detailed guidance., 1st ed. Publications Office of the European Union, Luxembourg.</w:t>
      </w:r>
    </w:p>
    <w:p w14:paraId="03117533" w14:textId="77777777" w:rsidR="00496063" w:rsidRDefault="00496063" w:rsidP="00496063">
      <w:pPr>
        <w:pStyle w:val="Bibliography"/>
      </w:pPr>
      <w:r>
        <w:t>FAO, 2022. The State of World Fisheries and Aquaculture 2022. Towards Blue Transformation. FAO, Rome.</w:t>
      </w:r>
    </w:p>
    <w:p w14:paraId="4FC9DFE5" w14:textId="77777777" w:rsidR="00496063" w:rsidRDefault="00496063" w:rsidP="00496063">
      <w:pPr>
        <w:pStyle w:val="Bibliography"/>
      </w:pPr>
      <w:r>
        <w:t>Greene, J.M., Gulden, J., Wood, G., Huesemann, M., Quinn, J.C., 2020. Techno-economic analysis and global warming potential of a novel offshore macroalgae biorefinery. Algal Res. 51, 102032. https://doi.org/10.1016/j.algal.2020.102032</w:t>
      </w:r>
    </w:p>
    <w:p w14:paraId="0E9F4125" w14:textId="77777777" w:rsidR="00496063" w:rsidRDefault="00496063" w:rsidP="00496063">
      <w:pPr>
        <w:pStyle w:val="Bibliography"/>
      </w:pPr>
      <w:r>
        <w:t>Guiry, M.D., Morrison, L., 2013. The sustainable harvesting of Ascophyllum nodosum (Fucaceae, Phaeophyceae) in Ireland, with notes on the collection and use of some other brown algae. J. Appl. Phycol. 25, 1823–1830. https://doi.org/10.1007/s10811-013-0027-2</w:t>
      </w:r>
    </w:p>
    <w:p w14:paraId="0E92D09B" w14:textId="77777777" w:rsidR="00496063" w:rsidRDefault="00496063" w:rsidP="00496063">
      <w:pPr>
        <w:pStyle w:val="Bibliography"/>
      </w:pPr>
      <w:r>
        <w:t>Helliwell, J.F., Wang, S., Huang, H., Norton, M., 2022. Happiness, Benevolence, and Trust During COVID-19 and Beyond, in: World Happiness Report 2022.</w:t>
      </w:r>
    </w:p>
    <w:p w14:paraId="31598B93" w14:textId="77777777" w:rsidR="00496063" w:rsidRDefault="00496063" w:rsidP="00496063">
      <w:pPr>
        <w:pStyle w:val="Bibliography"/>
      </w:pPr>
      <w:r>
        <w:t>Irish Wildlife Trust, 2017. The Irish Wilflife Trust Seaweed Harvesting Policy.</w:t>
      </w:r>
    </w:p>
    <w:p w14:paraId="534C41E5" w14:textId="77777777" w:rsidR="00496063" w:rsidRDefault="00496063" w:rsidP="00496063">
      <w:pPr>
        <w:pStyle w:val="Bibliography"/>
      </w:pPr>
      <w:r>
        <w:t>ISO, 2006. Environmental Management - Life Cycle Assessment - Principles and Framework (No. ISO 14040:2006). European Committee for Standardization, Brussels, Belgium.</w:t>
      </w:r>
    </w:p>
    <w:p w14:paraId="2F88D093" w14:textId="77777777" w:rsidR="00496063" w:rsidRDefault="00496063" w:rsidP="00496063">
      <w:pPr>
        <w:pStyle w:val="Bibliography"/>
      </w:pPr>
      <w:r>
        <w:t>Kite-Powell, H.L., Ask, E., Augyte, S., Bailey, D., Decker, J., Goudey, C.A., Grebe, G., Li, Y., Lindell, S., Manganelli, D., Marty-Rivera, M., Ng, C., Roberson, L., Stekoll, M., Umanzor, S., Yarish, C., 2022. Estimating production cost for large-scale seaweed farms. Appl. Phycol. 3, 435–445. https://doi.org/10.1080/26388081.2022.2111271</w:t>
      </w:r>
    </w:p>
    <w:p w14:paraId="2EB65DD6" w14:textId="77777777" w:rsidR="00496063" w:rsidRDefault="00496063" w:rsidP="00496063">
      <w:pPr>
        <w:pStyle w:val="Bibliography"/>
      </w:pPr>
      <w:r>
        <w:t>Konda, N.V.S.N.M., Singh, S., Simmons, B.A., Klein-Marcuschamer, D., 2015. An Investigation on the Economic Feasibility of Macroalgae as a Potential Feedstock for Biorefineries. BioEnergy Res. 8, 1046–1056. https://doi.org/10.1007/s12155-015-9594-1</w:t>
      </w:r>
    </w:p>
    <w:p w14:paraId="253AAAB1" w14:textId="77777777" w:rsidR="00496063" w:rsidRDefault="00496063" w:rsidP="00496063">
      <w:pPr>
        <w:pStyle w:val="Bibliography"/>
      </w:pPr>
      <w:r>
        <w:t>Langford, A., Zhang, J., Waldron, S., Julianto, B., Siradjuddin, I., Neish, I., Nuryartono, N., 2022. Price analysis of the Indonesian carrageenan seaweed industry. Aquaculture 550, 737828. https://doi.org/10.1016/j.aquaculture.2021.737828</w:t>
      </w:r>
    </w:p>
    <w:p w14:paraId="56B31ADF" w14:textId="77777777" w:rsidR="00496063" w:rsidRDefault="00496063" w:rsidP="00496063">
      <w:pPr>
        <w:pStyle w:val="Bibliography"/>
      </w:pPr>
      <w:r>
        <w:t>Lauzon-Guay, J.-S., Ugarte, R.A., Morse, B.L., Robertson, C.A., 2021. Biomass and height of Ascophyllum nodosum after two decades of continuous commercial harvesting in eastern Canada. J. Appl. Phycol. 33, 1695–1708. https://doi.org/10.1007/s10811-021-02427-x</w:t>
      </w:r>
    </w:p>
    <w:p w14:paraId="301ABD4C" w14:textId="77777777" w:rsidR="00496063" w:rsidRDefault="00496063" w:rsidP="00496063">
      <w:pPr>
        <w:pStyle w:val="Bibliography"/>
      </w:pPr>
      <w:r>
        <w:t>Mac Monagail, M., Cornish, L., Morrison, L., Araújo, R., Critchley, A.T., 2017. Sustainable harvesting of wild seaweed resources. Eur. J. Phycol. 52, 371–390. https://doi.org/10.1080/09670262.2017.1365273</w:t>
      </w:r>
    </w:p>
    <w:p w14:paraId="0CDCCFC0" w14:textId="77777777" w:rsidR="00496063" w:rsidRDefault="00496063" w:rsidP="00496063">
      <w:pPr>
        <w:pStyle w:val="Bibliography"/>
      </w:pPr>
      <w:r>
        <w:t>Mesnildrey, L., Jacob, C., Frangoudes, K., Reunavot, M., Lesueur, M., 2012. Seaweed industry in France (Report Interreg program NETALGAE).</w:t>
      </w:r>
    </w:p>
    <w:p w14:paraId="0E1AA2A3" w14:textId="77777777" w:rsidR="00496063" w:rsidRDefault="00496063" w:rsidP="00496063">
      <w:pPr>
        <w:pStyle w:val="Bibliography"/>
      </w:pPr>
      <w:r>
        <w:lastRenderedPageBreak/>
        <w:t>Monagail, M.M., Morrison, L., 2020. The seaweed resources of Ireland: a twenty-first century perspective. J. Appl. Phycol. 32, 1287–1300. https://doi.org/10.1007/s10811-020-02067-7</w:t>
      </w:r>
    </w:p>
    <w:p w14:paraId="2EDE0F4C" w14:textId="77777777" w:rsidR="00496063" w:rsidRDefault="00496063" w:rsidP="00496063">
      <w:pPr>
        <w:pStyle w:val="Bibliography"/>
      </w:pPr>
      <w:r>
        <w:t>Myhre, G., Shindell, D., Breon, F.-M., Collins, W., Fuglestvedt, J., Huang, J., Koch, D., Lamarque, J.-F., Lee, D., Mendoza, B., Nakajima, T., Robock, A., Stephens, G., Takemura, T., Zhang, H., 2013. Anthropogenic and Natural Radiative Forcing, in: Climate Change 2013: The Physical Science Basis. Contribution of Working Group I to the Fifth Assessment Report of the Intergovernmental Panel on Climate Change. Cambridge University Press, Cambridge, United Kingdom and New York, NY, USA.</w:t>
      </w:r>
    </w:p>
    <w:p w14:paraId="17FDA669" w14:textId="77777777" w:rsidR="00496063" w:rsidRDefault="00496063" w:rsidP="00496063">
      <w:pPr>
        <w:pStyle w:val="Bibliography"/>
      </w:pPr>
      <w:r>
        <w:t>netalgae.eu, 2012. Seaweed industry in Europe. netalgae.eu.</w:t>
      </w:r>
    </w:p>
    <w:p w14:paraId="78E5CEC7" w14:textId="77777777" w:rsidR="00496063" w:rsidRDefault="00496063" w:rsidP="00496063">
      <w:pPr>
        <w:pStyle w:val="Bibliography"/>
      </w:pPr>
      <w:r>
        <w:t>Nilsson, A.E., Bergman, K., Gomez Barrio, L.P., Cabral, E.M., Tiwari, B.K., 2022. Life cycle assessment of a seaweed-based biorefinery concept for production of food, materials, and energy. Algal Res. 65, 102725. https://doi.org/10.1016/j.algal.2022.102725</w:t>
      </w:r>
    </w:p>
    <w:p w14:paraId="233A90D2" w14:textId="77777777" w:rsidR="00496063" w:rsidRDefault="00496063" w:rsidP="00496063">
      <w:pPr>
        <w:pStyle w:val="Bibliography"/>
      </w:pPr>
      <w:r>
        <w:t>North Sea Farmers, Mountainview Research, 2021. Market potential report for cultivated seaweeds in existing seaweed food markets, Interreg 2 seas ValgOrize project.</w:t>
      </w:r>
    </w:p>
    <w:p w14:paraId="18D28AC1" w14:textId="77777777" w:rsidR="00496063" w:rsidRDefault="00496063" w:rsidP="00496063">
      <w:pPr>
        <w:pStyle w:val="Bibliography"/>
      </w:pPr>
      <w:r>
        <w:t>Panel on Measuring Subjective Well-Being in a Policy-Relevant Framework, Committee on National Statistics, Division on Behavioral and Social Sciences and Education, National Research Council, Stone, A.A., Mackie, C., editors, 2013. Introduction, in: Subjective Well-Being: Measuring Happiness, Suffering, and Other Dimensions of Experience [Internet]. National Academies Press, Washington DC, USA.</w:t>
      </w:r>
    </w:p>
    <w:p w14:paraId="6021C602" w14:textId="77777777" w:rsidR="00496063" w:rsidRDefault="00496063" w:rsidP="00496063">
      <w:pPr>
        <w:pStyle w:val="Bibliography"/>
      </w:pPr>
      <w:r>
        <w:t>Patel, J., Savsani, V., Patel, V., Patel, R., 2019. Layout optimization of a wind farm using geometric pattern-based approach. Energy Procedia 158, 940–946. https://doi.org/10.1016/j.egypro.2019.01.233</w:t>
      </w:r>
    </w:p>
    <w:p w14:paraId="0AB627E7" w14:textId="77777777" w:rsidR="00496063" w:rsidRDefault="00496063" w:rsidP="00496063">
      <w:pPr>
        <w:pStyle w:val="Bibliography"/>
      </w:pPr>
      <w:r>
        <w:t>PayScale, Inc., 2023. Salary Data &amp; Career Research Center (Ireland) [WWW Document]. URL https://www.payscale.com/research/IE/Country=Ireland/Salary</w:t>
      </w:r>
    </w:p>
    <w:p w14:paraId="09256EFC" w14:textId="77777777" w:rsidR="00496063" w:rsidRDefault="00496063" w:rsidP="00496063">
      <w:pPr>
        <w:pStyle w:val="Bibliography"/>
      </w:pPr>
      <w:r>
        <w:t>PRé Sustainability, 2020. SimaPro database manual - Methods library. Version 4.15.</w:t>
      </w:r>
    </w:p>
    <w:p w14:paraId="7C1F7782" w14:textId="77777777" w:rsidR="00496063" w:rsidRDefault="00496063" w:rsidP="00496063">
      <w:pPr>
        <w:pStyle w:val="Bibliography"/>
      </w:pPr>
      <w:r>
        <w:t>PRé Sustainability B.V., 2023. SimaPro.</w:t>
      </w:r>
    </w:p>
    <w:p w14:paraId="5E38BEBF" w14:textId="77777777" w:rsidR="00496063" w:rsidRDefault="00496063" w:rsidP="00496063">
      <w:pPr>
        <w:pStyle w:val="Bibliography"/>
      </w:pPr>
      <w:r>
        <w:t>Reis, P.A., Goncalves, J., Abreu, H., Pereira, R., Benoit, M., O’Mahony, F., Connellan, I., Maguire, J., Ozorio, R., 2016. Seaweed Alaria esculenta as a biomonitor species of metal contamination in Aughinish Bay (Ireland). Ecol. Indic. 69, 19–25. https://doi.org/10.1016/j.ecoind.2016.03.041</w:t>
      </w:r>
    </w:p>
    <w:p w14:paraId="41FA7D6D" w14:textId="77777777" w:rsidR="00496063" w:rsidRDefault="00496063" w:rsidP="00496063">
      <w:pPr>
        <w:pStyle w:val="Bibliography"/>
      </w:pPr>
      <w:r>
        <w:t>Seghetta, M., Romeo, D., D’Este, M., Alvarado-Morales, M., Angelidaki, I., Bastianoni, S., Thomsen, M., 2017. Seaweed as innovative feedstock for energy and feed - Evaluating the impacts through a Life Cycle Assessment. J. Clean. Prod. 150, 1–15. https://doi.org/10.1016/j.clepro.2017.02.022</w:t>
      </w:r>
    </w:p>
    <w:p w14:paraId="41AAA8D9" w14:textId="77777777" w:rsidR="00496063" w:rsidRDefault="00496063" w:rsidP="00496063">
      <w:pPr>
        <w:pStyle w:val="Bibliography"/>
      </w:pPr>
      <w:r>
        <w:t>Sherman, F., 2020. Can a Company Owner Be Considered an Employee? [WWW Document]. CHRON. URL https://smallbusiness.chron.com/can-company-owner-considered-employee-19157.html</w:t>
      </w:r>
    </w:p>
    <w:p w14:paraId="4B1C5609" w14:textId="77777777" w:rsidR="00496063" w:rsidRDefault="00496063" w:rsidP="00496063">
      <w:pPr>
        <w:pStyle w:val="Bibliography"/>
      </w:pPr>
      <w:r>
        <w:t>Steen, H., Moy, F.E., Bodvin, T., Husa, V., 2016. Regrowth after kelp harvesting in Nord-Trøndelag, Norway. ICES J. Mar. Sci. J. Cons. 73, 2708–2720. https://doi.org/10.1093/icesjms/fsw130</w:t>
      </w:r>
    </w:p>
    <w:p w14:paraId="191D82DF" w14:textId="77777777" w:rsidR="00496063" w:rsidRDefault="00496063" w:rsidP="00496063">
      <w:pPr>
        <w:pStyle w:val="Bibliography"/>
      </w:pPr>
      <w:r>
        <w:t>Taelman, S.E., Champenois, J., Edwards, M.D., De Meester, S., Dewulf, J., 2015. Comparative environmental life cycle assessment of two seaweed cultivation systems in North West Europe with a focus on quantifying sea surface occupation. Algal Res. 11, 173–183. https://doi.org/10.1016/j.algal.2015.06.018</w:t>
      </w:r>
    </w:p>
    <w:p w14:paraId="1C325232" w14:textId="77777777" w:rsidR="00496063" w:rsidRDefault="00496063" w:rsidP="00496063">
      <w:pPr>
        <w:pStyle w:val="Bibliography"/>
      </w:pPr>
      <w:r>
        <w:t>Taelman, S.E., De Meester, S., Schaubroeck, T., Sakshaug, E., Alvarenga, R.A.F., Dewulf, J., 2014. Accounting for the occupation of the marine environment as a natural resource in life cycle assessment: An exergy based approach. Resour. Conserv. Recycl. 91, 1–10. https://doi.org/10.1016/j.resconrec.2014.07.009</w:t>
      </w:r>
    </w:p>
    <w:p w14:paraId="51880FF2" w14:textId="77777777" w:rsidR="00496063" w:rsidRDefault="00496063" w:rsidP="00496063">
      <w:pPr>
        <w:pStyle w:val="Bibliography"/>
      </w:pPr>
      <w:r>
        <w:t>UNEP, 2009. Guidelines for Social Life Cycle Assessment of Products. UNEP/SETAC Life Cycle Initiative.</w:t>
      </w:r>
    </w:p>
    <w:p w14:paraId="6BD89133" w14:textId="77777777" w:rsidR="00496063" w:rsidRDefault="00496063" w:rsidP="00496063">
      <w:pPr>
        <w:pStyle w:val="Bibliography"/>
      </w:pPr>
      <w:r>
        <w:lastRenderedPageBreak/>
        <w:t>UNEP/SETAC Life Cycle Initiative, 2011. Towards a Life Cycle Sustainability Assessment: Making informed choices on products.</w:t>
      </w:r>
    </w:p>
    <w:p w14:paraId="6E474D02" w14:textId="77777777" w:rsidR="00496063" w:rsidRDefault="00496063" w:rsidP="00496063">
      <w:pPr>
        <w:pStyle w:val="Bibliography"/>
      </w:pPr>
      <w:r>
        <w:t>van Oirschot, R., Thomas, J.-B.E., Gröndahl, F., Fortuin, K.P.J., Brandenburg, W., Potting, J., 2017. Explorative environmental life cycle assessment for system design of seaweed cultivation and drying. Algal Res. 27, 43–54. https://doi.org/10.1016/j.algal.2017.07.025</w:t>
      </w:r>
    </w:p>
    <w:p w14:paraId="40622CC1" w14:textId="77777777" w:rsidR="00496063" w:rsidRDefault="00496063" w:rsidP="00496063">
      <w:pPr>
        <w:pStyle w:val="Bibliography"/>
      </w:pPr>
      <w:r>
        <w:t>Vance, C., Ringsberg, J.W., Yang, S.-H., 2019. Making Effective WEC Design Choices Based on Simulation and Analysis, in: Volume 10: Ocean Renewable Energy. Presented at the ASME 2019 38th International Conference on Ocean, Offshore and Arctic Engineering, American Society of Mechanical Engineers, Glasgow, Scotland, UK, p. V010T09A022. https://doi.org/10.1115/OMAE2019-95138</w:t>
      </w:r>
    </w:p>
    <w:p w14:paraId="115BB8AA" w14:textId="77777777" w:rsidR="00496063" w:rsidRDefault="00496063" w:rsidP="00496063">
      <w:pPr>
        <w:pStyle w:val="Bibliography"/>
      </w:pPr>
      <w:r>
        <w:t>Vance, C., Sweeney, J., Murphy, F., 2022. Space, time, and sustainability: The status and future of life cycle assessment frameworks for novel biorefinery systems. Renew. Sustain. Energy Rev. 159, 112259. https://doi.org/10.1016/j.rser.2022.112259</w:t>
      </w:r>
    </w:p>
    <w:p w14:paraId="06C80F5A" w14:textId="77777777" w:rsidR="00496063" w:rsidRDefault="00496063" w:rsidP="00496063">
      <w:pPr>
        <w:pStyle w:val="Bibliography"/>
      </w:pPr>
      <w:r>
        <w:t>Vea, J., Ask, E., 2011. Creating a sustainable commercial harvest of Laminaria hyperborea, in Norway. J. Appl. Phycol. 23, 489–494. https://doi.org/10.1007/s10811-010-9610-y</w:t>
      </w:r>
    </w:p>
    <w:p w14:paraId="4401AF03" w14:textId="77777777" w:rsidR="00496063" w:rsidRDefault="00496063" w:rsidP="00496063">
      <w:pPr>
        <w:pStyle w:val="Bibliography"/>
      </w:pPr>
      <w:r>
        <w:t>Vidal-Legaz, B., Sala, S., Antón, A., Maia de Souza, D., Nocita, M., Putman, B., Teixeira, R.F.M., 2016. Land-use related environmental indicators for Life Cycle Assessment, JRC Technical report. Publications Office of the European Union, Luxembourg.</w:t>
      </w:r>
    </w:p>
    <w:p w14:paraId="0FA3CC3A" w14:textId="77777777" w:rsidR="00496063" w:rsidRDefault="00496063" w:rsidP="00496063">
      <w:pPr>
        <w:pStyle w:val="Bibliography"/>
      </w:pPr>
      <w:r>
        <w:t>Vincent, A., Stanley, A., Ring, J., 2020. Hidden champion of the ocean: Seaweed as a growth engine for a sustainable European future. Seaweed for Europe.</w:t>
      </w:r>
    </w:p>
    <w:p w14:paraId="19DE8126" w14:textId="77777777" w:rsidR="00496063" w:rsidRDefault="00496063" w:rsidP="00496063">
      <w:pPr>
        <w:pStyle w:val="Bibliography"/>
      </w:pPr>
      <w:r>
        <w:t>Walsh, M., Watson, L., 2011. A Market Analysis towards the Further Development of Seaweed Aquaculture in Ireland. BIM.</w:t>
      </w:r>
    </w:p>
    <w:p w14:paraId="080D4B80" w14:textId="77777777" w:rsidR="00496063" w:rsidRDefault="00496063" w:rsidP="00496063">
      <w:pPr>
        <w:pStyle w:val="Bibliography"/>
      </w:pPr>
      <w:r>
        <w:t>Watson, L., Dring, M., 2013. Business Plan for the Establishment of a Seaweed Hatchery and Grow-out Farm (No. Part 2), PBA/SW/07/001 (01), ‘Development and demonstration of viable hatchery and ongrowing methodologies for seaweed species with identified commercial potential.’ Bord Iascaigh Mara [BIM].</w:t>
      </w:r>
    </w:p>
    <w:p w14:paraId="011625ED" w14:textId="77777777" w:rsidR="00496063" w:rsidRDefault="00496063" w:rsidP="00496063">
      <w:pPr>
        <w:pStyle w:val="Bibliography"/>
      </w:pPr>
      <w:r>
        <w:t>Weidema, B.P., 2023. Adjusting the social footprint methodology based on findings of subjective wellbeing research. Int. J. Life Cycle Assess. 28, 70–79. https://doi.org/10.1007/s11367-022-02116-y</w:t>
      </w:r>
    </w:p>
    <w:p w14:paraId="49B99FF5" w14:textId="77777777" w:rsidR="00496063" w:rsidRPr="00D9599D" w:rsidRDefault="00496063" w:rsidP="00496063">
      <w:pPr>
        <w:pStyle w:val="Bibliography"/>
        <w:rPr>
          <w:lang w:val="de-AT"/>
        </w:rPr>
      </w:pPr>
      <w:r>
        <w:t xml:space="preserve">Weidema, B.P., 2018. The social footprint—a practical approach to comprehensive and consistent social LCA. Int. J. Life Cycle Assess. </w:t>
      </w:r>
      <w:r w:rsidRPr="00D9599D">
        <w:rPr>
          <w:lang w:val="de-AT"/>
        </w:rPr>
        <w:t>23, 700–709. https://doi.org/10.1007/s11367-016-1172-z</w:t>
      </w:r>
    </w:p>
    <w:p w14:paraId="713A4FF2" w14:textId="77777777" w:rsidR="00496063" w:rsidRDefault="00496063" w:rsidP="00496063">
      <w:pPr>
        <w:pStyle w:val="Bibliography"/>
      </w:pPr>
      <w:r w:rsidRPr="00D9599D">
        <w:rPr>
          <w:lang w:val="de-AT"/>
        </w:rPr>
        <w:t xml:space="preserve">Weidema, B.P, Bauer, C, Hischier, R, Mutel, C, Nemecek, T, Reinhard, J, Vadenbo, C.O, Wernet, G, 2013. </w:t>
      </w:r>
      <w:r>
        <w:t>Overview and methodology (Data quality guideline for the ecoinvent database version 3 No. ecoinvent report No. 1(v3)). The ecoinvent Centre, St Gallen.</w:t>
      </w:r>
    </w:p>
    <w:p w14:paraId="6519E954" w14:textId="77777777" w:rsidR="00496063" w:rsidRDefault="00496063" w:rsidP="00496063">
      <w:pPr>
        <w:pStyle w:val="Bibliography"/>
      </w:pPr>
      <w:r>
        <w:t>Werner, A., Kraan, S., 2004. Review of the potential mechanisation of kelp harvesting in Ireland (No. No. 17, 2004), Marine Environment and Health Series. Marine Institute and Taighde Mara Teo.</w:t>
      </w:r>
    </w:p>
    <w:p w14:paraId="2E192371" w14:textId="77777777" w:rsidR="00496063" w:rsidRDefault="00496063" w:rsidP="00496063">
      <w:pPr>
        <w:pStyle w:val="Bibliography"/>
      </w:pPr>
      <w:r>
        <w:t>World Resources Forum, 2021. A Green Deal for Sustainable Resources - Conference Report. WRF Secretariat, Gallen, Switzerland.</w:t>
      </w:r>
    </w:p>
    <w:p w14:paraId="419C8DDE" w14:textId="3DE543C5" w:rsidR="00DF7A81" w:rsidRDefault="00C23D66" w:rsidP="007C54A3">
      <w:pPr>
        <w:spacing w:line="480" w:lineRule="auto"/>
        <w:rPr>
          <w:i/>
        </w:rPr>
      </w:pPr>
      <w:r>
        <w:rPr>
          <w:i/>
        </w:rPr>
        <w:fldChar w:fldCharType="end"/>
      </w:r>
    </w:p>
    <w:sectPr w:rsidR="00DF7A81" w:rsidSect="00670E88">
      <w:footerReference w:type="default" r:id="rId17"/>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464E5" w14:textId="77777777" w:rsidR="00E01A64" w:rsidRDefault="00E01A64">
      <w:pPr>
        <w:spacing w:line="240" w:lineRule="auto"/>
      </w:pPr>
      <w:r>
        <w:separator/>
      </w:r>
    </w:p>
  </w:endnote>
  <w:endnote w:type="continuationSeparator" w:id="0">
    <w:p w14:paraId="7C7ADD07" w14:textId="77777777" w:rsidR="00E01A64" w:rsidRDefault="00E01A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C8DEA" w14:textId="635A3F95" w:rsidR="00DF7A81" w:rsidRDefault="00F965A1">
    <w:pPr>
      <w:jc w:val="right"/>
    </w:pPr>
    <w:r>
      <w:fldChar w:fldCharType="begin"/>
    </w:r>
    <w:r>
      <w:instrText>PAGE</w:instrText>
    </w:r>
    <w:r>
      <w:fldChar w:fldCharType="separate"/>
    </w:r>
    <w:r w:rsidR="00DF7673">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46614" w14:textId="77777777" w:rsidR="00E01A64" w:rsidRDefault="00E01A64">
      <w:pPr>
        <w:spacing w:line="240" w:lineRule="auto"/>
      </w:pPr>
      <w:r>
        <w:separator/>
      </w:r>
    </w:p>
  </w:footnote>
  <w:footnote w:type="continuationSeparator" w:id="0">
    <w:p w14:paraId="086B29E8" w14:textId="77777777" w:rsidR="00E01A64" w:rsidRDefault="00E01A6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0AE9"/>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52A48E9"/>
    <w:multiLevelType w:val="hybridMultilevel"/>
    <w:tmpl w:val="1ED8BF44"/>
    <w:lvl w:ilvl="0" w:tplc="F642F2B2">
      <w:start w:val="24"/>
      <w:numFmt w:val="bullet"/>
      <w:lvlText w:val="-"/>
      <w:lvlJc w:val="left"/>
      <w:pPr>
        <w:ind w:left="720" w:hanging="360"/>
      </w:pPr>
      <w:rPr>
        <w:rFonts w:ascii="Arial" w:eastAsia="Arial"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5397FC6"/>
    <w:multiLevelType w:val="hybridMultilevel"/>
    <w:tmpl w:val="42C2877A"/>
    <w:lvl w:ilvl="0" w:tplc="FC4EE3A6">
      <w:start w:val="1"/>
      <w:numFmt w:val="bullet"/>
      <w:lvlText w:val="-"/>
      <w:lvlJc w:val="left"/>
      <w:pPr>
        <w:tabs>
          <w:tab w:val="num" w:pos="720"/>
        </w:tabs>
        <w:ind w:left="720" w:hanging="360"/>
      </w:pPr>
      <w:rPr>
        <w:rFonts w:ascii="Arial" w:hAnsi="Arial" w:hint="default"/>
      </w:rPr>
    </w:lvl>
    <w:lvl w:ilvl="1" w:tplc="D4BE1B7A" w:tentative="1">
      <w:start w:val="1"/>
      <w:numFmt w:val="bullet"/>
      <w:lvlText w:val="-"/>
      <w:lvlJc w:val="left"/>
      <w:pPr>
        <w:tabs>
          <w:tab w:val="num" w:pos="1440"/>
        </w:tabs>
        <w:ind w:left="1440" w:hanging="360"/>
      </w:pPr>
      <w:rPr>
        <w:rFonts w:ascii="Arial" w:hAnsi="Arial" w:hint="default"/>
      </w:rPr>
    </w:lvl>
    <w:lvl w:ilvl="2" w:tplc="702221F0" w:tentative="1">
      <w:start w:val="1"/>
      <w:numFmt w:val="bullet"/>
      <w:lvlText w:val="-"/>
      <w:lvlJc w:val="left"/>
      <w:pPr>
        <w:tabs>
          <w:tab w:val="num" w:pos="2160"/>
        </w:tabs>
        <w:ind w:left="2160" w:hanging="360"/>
      </w:pPr>
      <w:rPr>
        <w:rFonts w:ascii="Arial" w:hAnsi="Arial" w:hint="default"/>
      </w:rPr>
    </w:lvl>
    <w:lvl w:ilvl="3" w:tplc="57BC2CF2" w:tentative="1">
      <w:start w:val="1"/>
      <w:numFmt w:val="bullet"/>
      <w:lvlText w:val="-"/>
      <w:lvlJc w:val="left"/>
      <w:pPr>
        <w:tabs>
          <w:tab w:val="num" w:pos="2880"/>
        </w:tabs>
        <w:ind w:left="2880" w:hanging="360"/>
      </w:pPr>
      <w:rPr>
        <w:rFonts w:ascii="Arial" w:hAnsi="Arial" w:hint="default"/>
      </w:rPr>
    </w:lvl>
    <w:lvl w:ilvl="4" w:tplc="A078C4CA" w:tentative="1">
      <w:start w:val="1"/>
      <w:numFmt w:val="bullet"/>
      <w:lvlText w:val="-"/>
      <w:lvlJc w:val="left"/>
      <w:pPr>
        <w:tabs>
          <w:tab w:val="num" w:pos="3600"/>
        </w:tabs>
        <w:ind w:left="3600" w:hanging="360"/>
      </w:pPr>
      <w:rPr>
        <w:rFonts w:ascii="Arial" w:hAnsi="Arial" w:hint="default"/>
      </w:rPr>
    </w:lvl>
    <w:lvl w:ilvl="5" w:tplc="EFEE3DA8" w:tentative="1">
      <w:start w:val="1"/>
      <w:numFmt w:val="bullet"/>
      <w:lvlText w:val="-"/>
      <w:lvlJc w:val="left"/>
      <w:pPr>
        <w:tabs>
          <w:tab w:val="num" w:pos="4320"/>
        </w:tabs>
        <w:ind w:left="4320" w:hanging="360"/>
      </w:pPr>
      <w:rPr>
        <w:rFonts w:ascii="Arial" w:hAnsi="Arial" w:hint="default"/>
      </w:rPr>
    </w:lvl>
    <w:lvl w:ilvl="6" w:tplc="AA82BF02" w:tentative="1">
      <w:start w:val="1"/>
      <w:numFmt w:val="bullet"/>
      <w:lvlText w:val="-"/>
      <w:lvlJc w:val="left"/>
      <w:pPr>
        <w:tabs>
          <w:tab w:val="num" w:pos="5040"/>
        </w:tabs>
        <w:ind w:left="5040" w:hanging="360"/>
      </w:pPr>
      <w:rPr>
        <w:rFonts w:ascii="Arial" w:hAnsi="Arial" w:hint="default"/>
      </w:rPr>
    </w:lvl>
    <w:lvl w:ilvl="7" w:tplc="582C2210" w:tentative="1">
      <w:start w:val="1"/>
      <w:numFmt w:val="bullet"/>
      <w:lvlText w:val="-"/>
      <w:lvlJc w:val="left"/>
      <w:pPr>
        <w:tabs>
          <w:tab w:val="num" w:pos="5760"/>
        </w:tabs>
        <w:ind w:left="5760" w:hanging="360"/>
      </w:pPr>
      <w:rPr>
        <w:rFonts w:ascii="Arial" w:hAnsi="Arial" w:hint="default"/>
      </w:rPr>
    </w:lvl>
    <w:lvl w:ilvl="8" w:tplc="39247CE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FA40C2"/>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24E67BC"/>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9296538"/>
    <w:multiLevelType w:val="multilevel"/>
    <w:tmpl w:val="A510E9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D8D59AA"/>
    <w:multiLevelType w:val="multilevel"/>
    <w:tmpl w:val="FEE89222"/>
    <w:lvl w:ilvl="0">
      <w:start w:val="1"/>
      <w:numFmt w:val="none"/>
      <w:lvlText w:val="1."/>
      <w:lvlJc w:val="left"/>
      <w:pPr>
        <w:ind w:left="360" w:hanging="360"/>
      </w:pPr>
      <w:rPr>
        <w:rFonts w:hint="default"/>
        <w:u w:val="none"/>
      </w:rPr>
    </w:lvl>
    <w:lvl w:ilvl="1">
      <w:start w:val="1"/>
      <w:numFmt w:val="decimal"/>
      <w:lvlText w:val="%11.%2."/>
      <w:lvlJc w:val="left"/>
      <w:pPr>
        <w:ind w:left="792" w:hanging="432"/>
      </w:pPr>
      <w:rPr>
        <w:rFonts w:hint="default"/>
        <w:u w:val="none"/>
      </w:rPr>
    </w:lvl>
    <w:lvl w:ilvl="2">
      <w:start w:val="1"/>
      <w:numFmt w:val="decimal"/>
      <w:lvlText w:val="%11.%2.%3."/>
      <w:lvlJc w:val="left"/>
      <w:pPr>
        <w:ind w:left="1224" w:hanging="504"/>
      </w:pPr>
      <w:rPr>
        <w:rFonts w:hint="default"/>
        <w:u w:val="none"/>
      </w:rPr>
    </w:lvl>
    <w:lvl w:ilvl="3">
      <w:start w:val="1"/>
      <w:numFmt w:val="decimal"/>
      <w:lvlText w:val="%1.%2.%3.%4."/>
      <w:lvlJc w:val="left"/>
      <w:pPr>
        <w:ind w:left="1728" w:hanging="648"/>
      </w:pPr>
      <w:rPr>
        <w:rFonts w:hint="default"/>
        <w:u w:val="none"/>
      </w:rPr>
    </w:lvl>
    <w:lvl w:ilvl="4">
      <w:start w:val="1"/>
      <w:numFmt w:val="decimal"/>
      <w:lvlText w:val="%11.%2.%3.%4.%5."/>
      <w:lvlJc w:val="left"/>
      <w:pPr>
        <w:ind w:left="2232" w:hanging="792"/>
      </w:pPr>
      <w:rPr>
        <w:rFonts w:hint="default"/>
        <w:u w:val="none"/>
      </w:rPr>
    </w:lvl>
    <w:lvl w:ilvl="5">
      <w:start w:val="1"/>
      <w:numFmt w:val="decimal"/>
      <w:lvlText w:val="%11.%2.%3.%4.%5.%6."/>
      <w:lvlJc w:val="left"/>
      <w:pPr>
        <w:ind w:left="2736" w:hanging="936"/>
      </w:pPr>
      <w:rPr>
        <w:rFonts w:hint="default"/>
        <w:u w:val="none"/>
      </w:rPr>
    </w:lvl>
    <w:lvl w:ilvl="6">
      <w:start w:val="1"/>
      <w:numFmt w:val="decimal"/>
      <w:lvlText w:val="%11.%2.%3.%4.%5.%6.%7."/>
      <w:lvlJc w:val="left"/>
      <w:pPr>
        <w:ind w:left="3240" w:hanging="1080"/>
      </w:pPr>
      <w:rPr>
        <w:rFonts w:hint="default"/>
        <w:u w:val="none"/>
      </w:rPr>
    </w:lvl>
    <w:lvl w:ilvl="7">
      <w:start w:val="1"/>
      <w:numFmt w:val="decimal"/>
      <w:lvlText w:val="%11.%2.%3.%4.%5.%6.%7.%8."/>
      <w:lvlJc w:val="left"/>
      <w:pPr>
        <w:ind w:left="3744" w:hanging="1224"/>
      </w:pPr>
      <w:rPr>
        <w:rFonts w:hint="default"/>
        <w:u w:val="none"/>
      </w:rPr>
    </w:lvl>
    <w:lvl w:ilvl="8">
      <w:start w:val="1"/>
      <w:numFmt w:val="decimal"/>
      <w:lvlText w:val="%11.%2.%3.%4.%5.%6.%7.%8.%9."/>
      <w:lvlJc w:val="left"/>
      <w:pPr>
        <w:ind w:left="4320" w:hanging="1440"/>
      </w:pPr>
      <w:rPr>
        <w:rFonts w:hint="default"/>
        <w:u w:val="none"/>
      </w:rPr>
    </w:lvl>
  </w:abstractNum>
  <w:abstractNum w:abstractNumId="7" w15:restartNumberingAfterBreak="0">
    <w:nsid w:val="24D40697"/>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B161E04"/>
    <w:multiLevelType w:val="multilevel"/>
    <w:tmpl w:val="99EA2B32"/>
    <w:lvl w:ilvl="0">
      <w:start w:val="2"/>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B756316"/>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DAD1193"/>
    <w:multiLevelType w:val="multilevel"/>
    <w:tmpl w:val="F02424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EFA6CFF"/>
    <w:multiLevelType w:val="multilevel"/>
    <w:tmpl w:val="A42CC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4A3D0C"/>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7B72BAB"/>
    <w:multiLevelType w:val="multilevel"/>
    <w:tmpl w:val="99EA2B32"/>
    <w:lvl w:ilvl="0">
      <w:start w:val="2"/>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DBD2ADF"/>
    <w:multiLevelType w:val="hybridMultilevel"/>
    <w:tmpl w:val="E8245CE4"/>
    <w:lvl w:ilvl="0" w:tplc="1809000F">
      <w:start w:val="1"/>
      <w:numFmt w:val="decimal"/>
      <w:lvlText w:val="%1."/>
      <w:lvlJc w:val="left"/>
      <w:pPr>
        <w:ind w:left="720" w:hanging="360"/>
      </w:pPr>
      <w:rPr>
        <w:rFonts w:hint="default"/>
        <w:b w:val="0"/>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43D75AA1"/>
    <w:multiLevelType w:val="hybridMultilevel"/>
    <w:tmpl w:val="D1AE7C2C"/>
    <w:lvl w:ilvl="0" w:tplc="DCE863D2">
      <w:start w:val="8"/>
      <w:numFmt w:val="bullet"/>
      <w:lvlText w:val=""/>
      <w:lvlJc w:val="left"/>
      <w:pPr>
        <w:ind w:left="720" w:hanging="360"/>
      </w:pPr>
      <w:rPr>
        <w:rFonts w:ascii="Wingdings" w:eastAsia="Times New Roman" w:hAnsi="Wingdings"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5C625DE7"/>
    <w:multiLevelType w:val="hybridMultilevel"/>
    <w:tmpl w:val="339E9DB2"/>
    <w:lvl w:ilvl="0" w:tplc="2B5A89DC">
      <w:start w:val="2"/>
      <w:numFmt w:val="decimal"/>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17" w15:restartNumberingAfterBreak="0">
    <w:nsid w:val="6C332CE6"/>
    <w:multiLevelType w:val="multilevel"/>
    <w:tmpl w:val="34E0D2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D117969"/>
    <w:multiLevelType w:val="multilevel"/>
    <w:tmpl w:val="99EA2B32"/>
    <w:lvl w:ilvl="0">
      <w:start w:val="2"/>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19649DC"/>
    <w:multiLevelType w:val="multilevel"/>
    <w:tmpl w:val="6C767D4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sz w:val="22"/>
        <w:szCs w:val="22"/>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7901870"/>
    <w:multiLevelType w:val="multilevel"/>
    <w:tmpl w:val="5992C0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8854A39"/>
    <w:multiLevelType w:val="multilevel"/>
    <w:tmpl w:val="3C8C56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983897988">
    <w:abstractNumId w:val="10"/>
  </w:num>
  <w:num w:numId="2" w16cid:durableId="581987250">
    <w:abstractNumId w:val="5"/>
  </w:num>
  <w:num w:numId="3" w16cid:durableId="2062631558">
    <w:abstractNumId w:val="21"/>
  </w:num>
  <w:num w:numId="4" w16cid:durableId="539823516">
    <w:abstractNumId w:val="20"/>
  </w:num>
  <w:num w:numId="5" w16cid:durableId="488520231">
    <w:abstractNumId w:val="6"/>
  </w:num>
  <w:num w:numId="6" w16cid:durableId="1318343222">
    <w:abstractNumId w:val="18"/>
  </w:num>
  <w:num w:numId="7" w16cid:durableId="1749040716">
    <w:abstractNumId w:val="13"/>
  </w:num>
  <w:num w:numId="8" w16cid:durableId="1709719713">
    <w:abstractNumId w:val="16"/>
  </w:num>
  <w:num w:numId="9" w16cid:durableId="1315449285">
    <w:abstractNumId w:val="8"/>
  </w:num>
  <w:num w:numId="10" w16cid:durableId="23484277">
    <w:abstractNumId w:val="11"/>
  </w:num>
  <w:num w:numId="11" w16cid:durableId="473958315">
    <w:abstractNumId w:val="15"/>
  </w:num>
  <w:num w:numId="12" w16cid:durableId="705376983">
    <w:abstractNumId w:val="19"/>
  </w:num>
  <w:num w:numId="13" w16cid:durableId="2007393786">
    <w:abstractNumId w:val="1"/>
  </w:num>
  <w:num w:numId="14" w16cid:durableId="754548160">
    <w:abstractNumId w:val="17"/>
  </w:num>
  <w:num w:numId="15" w16cid:durableId="382172223">
    <w:abstractNumId w:val="3"/>
  </w:num>
  <w:num w:numId="16" w16cid:durableId="616525153">
    <w:abstractNumId w:val="12"/>
  </w:num>
  <w:num w:numId="17" w16cid:durableId="1584022866">
    <w:abstractNumId w:val="4"/>
  </w:num>
  <w:num w:numId="18" w16cid:durableId="659966386">
    <w:abstractNumId w:val="2"/>
  </w:num>
  <w:num w:numId="19" w16cid:durableId="302929551">
    <w:abstractNumId w:val="7"/>
  </w:num>
  <w:num w:numId="20" w16cid:durableId="1047606960">
    <w:abstractNumId w:val="0"/>
  </w:num>
  <w:num w:numId="21" w16cid:durableId="151794847">
    <w:abstractNumId w:val="9"/>
  </w:num>
  <w:num w:numId="22" w16cid:durableId="11537224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A81"/>
    <w:rsid w:val="0000096E"/>
    <w:rsid w:val="00000AF4"/>
    <w:rsid w:val="00000DD2"/>
    <w:rsid w:val="000016C1"/>
    <w:rsid w:val="00001B85"/>
    <w:rsid w:val="00001C53"/>
    <w:rsid w:val="00002620"/>
    <w:rsid w:val="0000384B"/>
    <w:rsid w:val="00004BE2"/>
    <w:rsid w:val="00004F20"/>
    <w:rsid w:val="00005340"/>
    <w:rsid w:val="000056DD"/>
    <w:rsid w:val="000057F5"/>
    <w:rsid w:val="00005D99"/>
    <w:rsid w:val="00005E37"/>
    <w:rsid w:val="00006B9A"/>
    <w:rsid w:val="00006DD5"/>
    <w:rsid w:val="00007377"/>
    <w:rsid w:val="00007997"/>
    <w:rsid w:val="00007B82"/>
    <w:rsid w:val="00007BCD"/>
    <w:rsid w:val="00010419"/>
    <w:rsid w:val="0001057A"/>
    <w:rsid w:val="00010591"/>
    <w:rsid w:val="000107CA"/>
    <w:rsid w:val="00010BF3"/>
    <w:rsid w:val="0001139D"/>
    <w:rsid w:val="00011EF8"/>
    <w:rsid w:val="000120C7"/>
    <w:rsid w:val="00013D08"/>
    <w:rsid w:val="0001449C"/>
    <w:rsid w:val="00014738"/>
    <w:rsid w:val="00014FAD"/>
    <w:rsid w:val="00015A4B"/>
    <w:rsid w:val="00016CAD"/>
    <w:rsid w:val="000171FB"/>
    <w:rsid w:val="00020C75"/>
    <w:rsid w:val="0002216B"/>
    <w:rsid w:val="000223BC"/>
    <w:rsid w:val="0002256B"/>
    <w:rsid w:val="00023790"/>
    <w:rsid w:val="000238DA"/>
    <w:rsid w:val="000240C7"/>
    <w:rsid w:val="00024226"/>
    <w:rsid w:val="000245A5"/>
    <w:rsid w:val="00024A80"/>
    <w:rsid w:val="00024B2D"/>
    <w:rsid w:val="00024E8F"/>
    <w:rsid w:val="00025DE2"/>
    <w:rsid w:val="00026190"/>
    <w:rsid w:val="00026530"/>
    <w:rsid w:val="0002677E"/>
    <w:rsid w:val="00027F2B"/>
    <w:rsid w:val="00030684"/>
    <w:rsid w:val="00030D2D"/>
    <w:rsid w:val="00031210"/>
    <w:rsid w:val="00031408"/>
    <w:rsid w:val="00031799"/>
    <w:rsid w:val="00033E3E"/>
    <w:rsid w:val="00033F8F"/>
    <w:rsid w:val="0003488E"/>
    <w:rsid w:val="00034B6B"/>
    <w:rsid w:val="00034EDC"/>
    <w:rsid w:val="00035086"/>
    <w:rsid w:val="00035CEF"/>
    <w:rsid w:val="00037CB0"/>
    <w:rsid w:val="00037EC6"/>
    <w:rsid w:val="0004186A"/>
    <w:rsid w:val="00041F33"/>
    <w:rsid w:val="00042138"/>
    <w:rsid w:val="00042396"/>
    <w:rsid w:val="00043013"/>
    <w:rsid w:val="00043A19"/>
    <w:rsid w:val="00043D6F"/>
    <w:rsid w:val="000449B0"/>
    <w:rsid w:val="000452D9"/>
    <w:rsid w:val="0004607E"/>
    <w:rsid w:val="00046314"/>
    <w:rsid w:val="0004671C"/>
    <w:rsid w:val="000475C3"/>
    <w:rsid w:val="00047E1A"/>
    <w:rsid w:val="000507AE"/>
    <w:rsid w:val="00050F69"/>
    <w:rsid w:val="00052A3A"/>
    <w:rsid w:val="0005319C"/>
    <w:rsid w:val="00053765"/>
    <w:rsid w:val="00053911"/>
    <w:rsid w:val="00053ACF"/>
    <w:rsid w:val="00054836"/>
    <w:rsid w:val="00054E36"/>
    <w:rsid w:val="00055B15"/>
    <w:rsid w:val="00057E5F"/>
    <w:rsid w:val="00060044"/>
    <w:rsid w:val="00060130"/>
    <w:rsid w:val="0006018D"/>
    <w:rsid w:val="00061482"/>
    <w:rsid w:val="00061B66"/>
    <w:rsid w:val="00061C75"/>
    <w:rsid w:val="000628B8"/>
    <w:rsid w:val="000634F5"/>
    <w:rsid w:val="00064632"/>
    <w:rsid w:val="00064B5C"/>
    <w:rsid w:val="00064FDD"/>
    <w:rsid w:val="000651E9"/>
    <w:rsid w:val="000658FD"/>
    <w:rsid w:val="00066B96"/>
    <w:rsid w:val="000707B9"/>
    <w:rsid w:val="00071125"/>
    <w:rsid w:val="0007259E"/>
    <w:rsid w:val="00072C3C"/>
    <w:rsid w:val="000737FF"/>
    <w:rsid w:val="000740B4"/>
    <w:rsid w:val="000741B7"/>
    <w:rsid w:val="00074847"/>
    <w:rsid w:val="000751F0"/>
    <w:rsid w:val="000756B0"/>
    <w:rsid w:val="0007690E"/>
    <w:rsid w:val="00077E29"/>
    <w:rsid w:val="0008054C"/>
    <w:rsid w:val="000805B6"/>
    <w:rsid w:val="00081559"/>
    <w:rsid w:val="0008196A"/>
    <w:rsid w:val="00081AF4"/>
    <w:rsid w:val="0008523A"/>
    <w:rsid w:val="00085285"/>
    <w:rsid w:val="000852EC"/>
    <w:rsid w:val="00086252"/>
    <w:rsid w:val="000877D0"/>
    <w:rsid w:val="00090E36"/>
    <w:rsid w:val="00091617"/>
    <w:rsid w:val="0009196D"/>
    <w:rsid w:val="00092E0B"/>
    <w:rsid w:val="00094072"/>
    <w:rsid w:val="000944DC"/>
    <w:rsid w:val="00095290"/>
    <w:rsid w:val="00096180"/>
    <w:rsid w:val="00097127"/>
    <w:rsid w:val="00097C0F"/>
    <w:rsid w:val="000A056C"/>
    <w:rsid w:val="000A067E"/>
    <w:rsid w:val="000A19E7"/>
    <w:rsid w:val="000A1CA0"/>
    <w:rsid w:val="000A1FBA"/>
    <w:rsid w:val="000A2445"/>
    <w:rsid w:val="000A2493"/>
    <w:rsid w:val="000A2A94"/>
    <w:rsid w:val="000A3951"/>
    <w:rsid w:val="000A3B13"/>
    <w:rsid w:val="000A3F15"/>
    <w:rsid w:val="000A4301"/>
    <w:rsid w:val="000A4C41"/>
    <w:rsid w:val="000A52AF"/>
    <w:rsid w:val="000A5FF3"/>
    <w:rsid w:val="000A7894"/>
    <w:rsid w:val="000A7F38"/>
    <w:rsid w:val="000B065E"/>
    <w:rsid w:val="000B09F9"/>
    <w:rsid w:val="000B131E"/>
    <w:rsid w:val="000B2306"/>
    <w:rsid w:val="000B2B0E"/>
    <w:rsid w:val="000B343D"/>
    <w:rsid w:val="000B4348"/>
    <w:rsid w:val="000B48AB"/>
    <w:rsid w:val="000B4EE7"/>
    <w:rsid w:val="000B5B52"/>
    <w:rsid w:val="000B65F3"/>
    <w:rsid w:val="000B6781"/>
    <w:rsid w:val="000B7461"/>
    <w:rsid w:val="000B7790"/>
    <w:rsid w:val="000B7E2A"/>
    <w:rsid w:val="000C034A"/>
    <w:rsid w:val="000C0C8C"/>
    <w:rsid w:val="000C0E9F"/>
    <w:rsid w:val="000C18C3"/>
    <w:rsid w:val="000C1EC3"/>
    <w:rsid w:val="000C3480"/>
    <w:rsid w:val="000C3822"/>
    <w:rsid w:val="000C3B7F"/>
    <w:rsid w:val="000C3E5C"/>
    <w:rsid w:val="000C3F55"/>
    <w:rsid w:val="000C4C47"/>
    <w:rsid w:val="000C53B7"/>
    <w:rsid w:val="000C5CF4"/>
    <w:rsid w:val="000C75D7"/>
    <w:rsid w:val="000C796E"/>
    <w:rsid w:val="000C7C6C"/>
    <w:rsid w:val="000C7F77"/>
    <w:rsid w:val="000D10BA"/>
    <w:rsid w:val="000D163A"/>
    <w:rsid w:val="000D26EB"/>
    <w:rsid w:val="000D29EF"/>
    <w:rsid w:val="000D3C5D"/>
    <w:rsid w:val="000D3F8B"/>
    <w:rsid w:val="000D4695"/>
    <w:rsid w:val="000D4FB6"/>
    <w:rsid w:val="000D531C"/>
    <w:rsid w:val="000D5961"/>
    <w:rsid w:val="000D5E50"/>
    <w:rsid w:val="000D6A66"/>
    <w:rsid w:val="000D6AFB"/>
    <w:rsid w:val="000D6E34"/>
    <w:rsid w:val="000D73EE"/>
    <w:rsid w:val="000E071A"/>
    <w:rsid w:val="000E08B5"/>
    <w:rsid w:val="000E10B8"/>
    <w:rsid w:val="000E1F8D"/>
    <w:rsid w:val="000E230E"/>
    <w:rsid w:val="000E2CDB"/>
    <w:rsid w:val="000E2EB1"/>
    <w:rsid w:val="000E399D"/>
    <w:rsid w:val="000E39FC"/>
    <w:rsid w:val="000E6561"/>
    <w:rsid w:val="000E760A"/>
    <w:rsid w:val="000F07DC"/>
    <w:rsid w:val="000F07E9"/>
    <w:rsid w:val="000F07F9"/>
    <w:rsid w:val="000F17A0"/>
    <w:rsid w:val="000F221E"/>
    <w:rsid w:val="000F2261"/>
    <w:rsid w:val="000F2811"/>
    <w:rsid w:val="000F2A04"/>
    <w:rsid w:val="000F2A51"/>
    <w:rsid w:val="000F2DEB"/>
    <w:rsid w:val="000F39C2"/>
    <w:rsid w:val="000F3EC3"/>
    <w:rsid w:val="000F4A93"/>
    <w:rsid w:val="000F50CB"/>
    <w:rsid w:val="000F539B"/>
    <w:rsid w:val="000F55FD"/>
    <w:rsid w:val="000F5CB9"/>
    <w:rsid w:val="000F5FE0"/>
    <w:rsid w:val="000F6150"/>
    <w:rsid w:val="000F6B1E"/>
    <w:rsid w:val="000F6D3B"/>
    <w:rsid w:val="000F71E6"/>
    <w:rsid w:val="000F7747"/>
    <w:rsid w:val="000F7B9F"/>
    <w:rsid w:val="001001F3"/>
    <w:rsid w:val="001010EF"/>
    <w:rsid w:val="001014AA"/>
    <w:rsid w:val="00101C95"/>
    <w:rsid w:val="00101F38"/>
    <w:rsid w:val="00101F6E"/>
    <w:rsid w:val="0010293E"/>
    <w:rsid w:val="00102F88"/>
    <w:rsid w:val="001033EE"/>
    <w:rsid w:val="001041D4"/>
    <w:rsid w:val="00104C9D"/>
    <w:rsid w:val="0010520D"/>
    <w:rsid w:val="00105F7E"/>
    <w:rsid w:val="0010649A"/>
    <w:rsid w:val="00106F05"/>
    <w:rsid w:val="001073AF"/>
    <w:rsid w:val="001075D1"/>
    <w:rsid w:val="001079B0"/>
    <w:rsid w:val="00107DC1"/>
    <w:rsid w:val="001100D5"/>
    <w:rsid w:val="0011030F"/>
    <w:rsid w:val="00110DE3"/>
    <w:rsid w:val="00110E41"/>
    <w:rsid w:val="00110E8E"/>
    <w:rsid w:val="001126B7"/>
    <w:rsid w:val="001127E3"/>
    <w:rsid w:val="00112D6B"/>
    <w:rsid w:val="001131DC"/>
    <w:rsid w:val="001141F6"/>
    <w:rsid w:val="0011591E"/>
    <w:rsid w:val="00115B0E"/>
    <w:rsid w:val="001211A7"/>
    <w:rsid w:val="00121443"/>
    <w:rsid w:val="00121931"/>
    <w:rsid w:val="00121BC5"/>
    <w:rsid w:val="00123540"/>
    <w:rsid w:val="00123849"/>
    <w:rsid w:val="00123D9C"/>
    <w:rsid w:val="00124FA6"/>
    <w:rsid w:val="00125C52"/>
    <w:rsid w:val="00125F12"/>
    <w:rsid w:val="001267CC"/>
    <w:rsid w:val="00126F1E"/>
    <w:rsid w:val="00130202"/>
    <w:rsid w:val="0013027B"/>
    <w:rsid w:val="001307FB"/>
    <w:rsid w:val="0013087F"/>
    <w:rsid w:val="00131411"/>
    <w:rsid w:val="001314AE"/>
    <w:rsid w:val="00131B25"/>
    <w:rsid w:val="00132696"/>
    <w:rsid w:val="00132B46"/>
    <w:rsid w:val="00134793"/>
    <w:rsid w:val="00134AD0"/>
    <w:rsid w:val="00134CD0"/>
    <w:rsid w:val="00134D4B"/>
    <w:rsid w:val="00135DB3"/>
    <w:rsid w:val="00136B1B"/>
    <w:rsid w:val="00137226"/>
    <w:rsid w:val="00137AE6"/>
    <w:rsid w:val="00137E31"/>
    <w:rsid w:val="0014171A"/>
    <w:rsid w:val="0014236F"/>
    <w:rsid w:val="0014237A"/>
    <w:rsid w:val="0014244A"/>
    <w:rsid w:val="00142E77"/>
    <w:rsid w:val="0014392D"/>
    <w:rsid w:val="001439A4"/>
    <w:rsid w:val="00143FD4"/>
    <w:rsid w:val="0014549D"/>
    <w:rsid w:val="00145BBC"/>
    <w:rsid w:val="00146967"/>
    <w:rsid w:val="00146E1A"/>
    <w:rsid w:val="001474F1"/>
    <w:rsid w:val="00147512"/>
    <w:rsid w:val="00147C9F"/>
    <w:rsid w:val="00147CE9"/>
    <w:rsid w:val="00150362"/>
    <w:rsid w:val="0015044D"/>
    <w:rsid w:val="00150B8A"/>
    <w:rsid w:val="00151087"/>
    <w:rsid w:val="00151730"/>
    <w:rsid w:val="001519DA"/>
    <w:rsid w:val="001543DA"/>
    <w:rsid w:val="001543E2"/>
    <w:rsid w:val="001552F2"/>
    <w:rsid w:val="00155F57"/>
    <w:rsid w:val="00157266"/>
    <w:rsid w:val="00157771"/>
    <w:rsid w:val="001602A0"/>
    <w:rsid w:val="00161D15"/>
    <w:rsid w:val="0016299F"/>
    <w:rsid w:val="00163F42"/>
    <w:rsid w:val="00164D01"/>
    <w:rsid w:val="00166636"/>
    <w:rsid w:val="001666E0"/>
    <w:rsid w:val="001671B6"/>
    <w:rsid w:val="00167605"/>
    <w:rsid w:val="00170DB0"/>
    <w:rsid w:val="00171290"/>
    <w:rsid w:val="0017185A"/>
    <w:rsid w:val="00171AF4"/>
    <w:rsid w:val="00171C34"/>
    <w:rsid w:val="00171E06"/>
    <w:rsid w:val="0017212A"/>
    <w:rsid w:val="00172E46"/>
    <w:rsid w:val="0017349A"/>
    <w:rsid w:val="00173862"/>
    <w:rsid w:val="00173DDC"/>
    <w:rsid w:val="00173F68"/>
    <w:rsid w:val="0017421A"/>
    <w:rsid w:val="00174442"/>
    <w:rsid w:val="00174850"/>
    <w:rsid w:val="00174AC5"/>
    <w:rsid w:val="00175128"/>
    <w:rsid w:val="00176727"/>
    <w:rsid w:val="00176A57"/>
    <w:rsid w:val="0017797F"/>
    <w:rsid w:val="001800F2"/>
    <w:rsid w:val="001803A4"/>
    <w:rsid w:val="0018065C"/>
    <w:rsid w:val="00180A13"/>
    <w:rsid w:val="00180AB9"/>
    <w:rsid w:val="00180FE6"/>
    <w:rsid w:val="001812C5"/>
    <w:rsid w:val="001825A1"/>
    <w:rsid w:val="00182D1E"/>
    <w:rsid w:val="00182DEA"/>
    <w:rsid w:val="0018476E"/>
    <w:rsid w:val="0018487F"/>
    <w:rsid w:val="001848D6"/>
    <w:rsid w:val="00184F1B"/>
    <w:rsid w:val="00185577"/>
    <w:rsid w:val="00186050"/>
    <w:rsid w:val="001869A2"/>
    <w:rsid w:val="00190101"/>
    <w:rsid w:val="00190307"/>
    <w:rsid w:val="00191489"/>
    <w:rsid w:val="001916E0"/>
    <w:rsid w:val="00191980"/>
    <w:rsid w:val="00192086"/>
    <w:rsid w:val="00192AE7"/>
    <w:rsid w:val="00192FD4"/>
    <w:rsid w:val="00193623"/>
    <w:rsid w:val="0019364A"/>
    <w:rsid w:val="0019489C"/>
    <w:rsid w:val="00195060"/>
    <w:rsid w:val="00195275"/>
    <w:rsid w:val="0019539C"/>
    <w:rsid w:val="001959AA"/>
    <w:rsid w:val="001966B5"/>
    <w:rsid w:val="00196C50"/>
    <w:rsid w:val="00197A8A"/>
    <w:rsid w:val="001A2616"/>
    <w:rsid w:val="001A26EE"/>
    <w:rsid w:val="001A2B98"/>
    <w:rsid w:val="001A2DD3"/>
    <w:rsid w:val="001A33BE"/>
    <w:rsid w:val="001A3763"/>
    <w:rsid w:val="001A3A3D"/>
    <w:rsid w:val="001A4088"/>
    <w:rsid w:val="001A40CB"/>
    <w:rsid w:val="001A493E"/>
    <w:rsid w:val="001A4AD0"/>
    <w:rsid w:val="001A5165"/>
    <w:rsid w:val="001A542A"/>
    <w:rsid w:val="001A5D6A"/>
    <w:rsid w:val="001A60B2"/>
    <w:rsid w:val="001A60C3"/>
    <w:rsid w:val="001A63DC"/>
    <w:rsid w:val="001A7BF8"/>
    <w:rsid w:val="001B0CE3"/>
    <w:rsid w:val="001B0EC4"/>
    <w:rsid w:val="001B143D"/>
    <w:rsid w:val="001B1768"/>
    <w:rsid w:val="001B349D"/>
    <w:rsid w:val="001B355D"/>
    <w:rsid w:val="001B35B9"/>
    <w:rsid w:val="001B3A4C"/>
    <w:rsid w:val="001B434E"/>
    <w:rsid w:val="001B4487"/>
    <w:rsid w:val="001B5563"/>
    <w:rsid w:val="001B7439"/>
    <w:rsid w:val="001B7902"/>
    <w:rsid w:val="001C0614"/>
    <w:rsid w:val="001C0BAE"/>
    <w:rsid w:val="001C11C8"/>
    <w:rsid w:val="001C11D0"/>
    <w:rsid w:val="001C1248"/>
    <w:rsid w:val="001C12C3"/>
    <w:rsid w:val="001C1453"/>
    <w:rsid w:val="001C26BE"/>
    <w:rsid w:val="001C5B87"/>
    <w:rsid w:val="001C67D3"/>
    <w:rsid w:val="001C7BCC"/>
    <w:rsid w:val="001C7F6B"/>
    <w:rsid w:val="001D100A"/>
    <w:rsid w:val="001D1718"/>
    <w:rsid w:val="001D1795"/>
    <w:rsid w:val="001D2B6A"/>
    <w:rsid w:val="001D3418"/>
    <w:rsid w:val="001D3E5B"/>
    <w:rsid w:val="001D4068"/>
    <w:rsid w:val="001D42D4"/>
    <w:rsid w:val="001D4AEB"/>
    <w:rsid w:val="001D4D9A"/>
    <w:rsid w:val="001D5BCE"/>
    <w:rsid w:val="001D7658"/>
    <w:rsid w:val="001E02AA"/>
    <w:rsid w:val="001E099C"/>
    <w:rsid w:val="001E1367"/>
    <w:rsid w:val="001E1B55"/>
    <w:rsid w:val="001E2792"/>
    <w:rsid w:val="001E3339"/>
    <w:rsid w:val="001E3591"/>
    <w:rsid w:val="001E46A6"/>
    <w:rsid w:val="001E4C41"/>
    <w:rsid w:val="001E4D46"/>
    <w:rsid w:val="001E5ED6"/>
    <w:rsid w:val="001E67B3"/>
    <w:rsid w:val="001F00AD"/>
    <w:rsid w:val="001F0197"/>
    <w:rsid w:val="001F15B6"/>
    <w:rsid w:val="001F1994"/>
    <w:rsid w:val="001F1E3D"/>
    <w:rsid w:val="001F3784"/>
    <w:rsid w:val="001F3872"/>
    <w:rsid w:val="001F4092"/>
    <w:rsid w:val="001F567F"/>
    <w:rsid w:val="001F699D"/>
    <w:rsid w:val="001F6A36"/>
    <w:rsid w:val="001F710D"/>
    <w:rsid w:val="0020033B"/>
    <w:rsid w:val="00200A08"/>
    <w:rsid w:val="00201004"/>
    <w:rsid w:val="0020133D"/>
    <w:rsid w:val="00201645"/>
    <w:rsid w:val="00201D08"/>
    <w:rsid w:val="00202C73"/>
    <w:rsid w:val="002035E0"/>
    <w:rsid w:val="0020360B"/>
    <w:rsid w:val="002039C9"/>
    <w:rsid w:val="00203DB2"/>
    <w:rsid w:val="0020439D"/>
    <w:rsid w:val="00204C0D"/>
    <w:rsid w:val="00204E57"/>
    <w:rsid w:val="00205C6A"/>
    <w:rsid w:val="00206C96"/>
    <w:rsid w:val="0020715A"/>
    <w:rsid w:val="00207AEC"/>
    <w:rsid w:val="0021031C"/>
    <w:rsid w:val="002107E1"/>
    <w:rsid w:val="00210AF4"/>
    <w:rsid w:val="00211A25"/>
    <w:rsid w:val="00212BA0"/>
    <w:rsid w:val="00213447"/>
    <w:rsid w:val="00214901"/>
    <w:rsid w:val="00214D51"/>
    <w:rsid w:val="002169EA"/>
    <w:rsid w:val="00217071"/>
    <w:rsid w:val="00220FFD"/>
    <w:rsid w:val="00221940"/>
    <w:rsid w:val="002236C8"/>
    <w:rsid w:val="002242A8"/>
    <w:rsid w:val="00224349"/>
    <w:rsid w:val="002251E2"/>
    <w:rsid w:val="00225697"/>
    <w:rsid w:val="00226164"/>
    <w:rsid w:val="00226B97"/>
    <w:rsid w:val="00226E95"/>
    <w:rsid w:val="00226EA9"/>
    <w:rsid w:val="002305E6"/>
    <w:rsid w:val="00230C35"/>
    <w:rsid w:val="00230E82"/>
    <w:rsid w:val="00231192"/>
    <w:rsid w:val="002313ED"/>
    <w:rsid w:val="00231B1D"/>
    <w:rsid w:val="00231C1D"/>
    <w:rsid w:val="0023295A"/>
    <w:rsid w:val="00232EB7"/>
    <w:rsid w:val="00233E4F"/>
    <w:rsid w:val="00234F52"/>
    <w:rsid w:val="002353B3"/>
    <w:rsid w:val="00236419"/>
    <w:rsid w:val="00237197"/>
    <w:rsid w:val="00237990"/>
    <w:rsid w:val="00240530"/>
    <w:rsid w:val="00240688"/>
    <w:rsid w:val="00240C0E"/>
    <w:rsid w:val="00240D60"/>
    <w:rsid w:val="002411DA"/>
    <w:rsid w:val="00241BA0"/>
    <w:rsid w:val="00241EE3"/>
    <w:rsid w:val="00241FC8"/>
    <w:rsid w:val="0024247D"/>
    <w:rsid w:val="0024266A"/>
    <w:rsid w:val="002426E7"/>
    <w:rsid w:val="00242BDD"/>
    <w:rsid w:val="00242D54"/>
    <w:rsid w:val="00242EBB"/>
    <w:rsid w:val="002434D8"/>
    <w:rsid w:val="00243517"/>
    <w:rsid w:val="00243B5A"/>
    <w:rsid w:val="00244331"/>
    <w:rsid w:val="002447C0"/>
    <w:rsid w:val="00244E4E"/>
    <w:rsid w:val="00245159"/>
    <w:rsid w:val="002456C3"/>
    <w:rsid w:val="00245C00"/>
    <w:rsid w:val="00247E8F"/>
    <w:rsid w:val="00247E94"/>
    <w:rsid w:val="00250696"/>
    <w:rsid w:val="002513FA"/>
    <w:rsid w:val="0025214F"/>
    <w:rsid w:val="00252210"/>
    <w:rsid w:val="0025232B"/>
    <w:rsid w:val="0025269E"/>
    <w:rsid w:val="00254115"/>
    <w:rsid w:val="00254E94"/>
    <w:rsid w:val="00255350"/>
    <w:rsid w:val="002557F6"/>
    <w:rsid w:val="00255837"/>
    <w:rsid w:val="0025593C"/>
    <w:rsid w:val="002567F8"/>
    <w:rsid w:val="002569AA"/>
    <w:rsid w:val="00256CBA"/>
    <w:rsid w:val="0025719E"/>
    <w:rsid w:val="00257AE5"/>
    <w:rsid w:val="00260229"/>
    <w:rsid w:val="00260326"/>
    <w:rsid w:val="00261396"/>
    <w:rsid w:val="002616F6"/>
    <w:rsid w:val="00261E6A"/>
    <w:rsid w:val="00261F5D"/>
    <w:rsid w:val="00262823"/>
    <w:rsid w:val="00262F3E"/>
    <w:rsid w:val="00263466"/>
    <w:rsid w:val="0026348F"/>
    <w:rsid w:val="002635A7"/>
    <w:rsid w:val="00264D88"/>
    <w:rsid w:val="00264D90"/>
    <w:rsid w:val="00264FD6"/>
    <w:rsid w:val="0026524E"/>
    <w:rsid w:val="00265DE4"/>
    <w:rsid w:val="00266121"/>
    <w:rsid w:val="002661F7"/>
    <w:rsid w:val="002676EE"/>
    <w:rsid w:val="00267B65"/>
    <w:rsid w:val="00267D9B"/>
    <w:rsid w:val="0027046F"/>
    <w:rsid w:val="00271C55"/>
    <w:rsid w:val="00272AC9"/>
    <w:rsid w:val="00272C22"/>
    <w:rsid w:val="00272EE2"/>
    <w:rsid w:val="00272FC1"/>
    <w:rsid w:val="00273031"/>
    <w:rsid w:val="00273691"/>
    <w:rsid w:val="002736A8"/>
    <w:rsid w:val="002736D9"/>
    <w:rsid w:val="00273715"/>
    <w:rsid w:val="002746B9"/>
    <w:rsid w:val="00274C08"/>
    <w:rsid w:val="0027551F"/>
    <w:rsid w:val="00275BC7"/>
    <w:rsid w:val="00275E95"/>
    <w:rsid w:val="002765BA"/>
    <w:rsid w:val="00276675"/>
    <w:rsid w:val="002766F9"/>
    <w:rsid w:val="00276CD6"/>
    <w:rsid w:val="00277103"/>
    <w:rsid w:val="00277118"/>
    <w:rsid w:val="002772B6"/>
    <w:rsid w:val="002775EA"/>
    <w:rsid w:val="002776DF"/>
    <w:rsid w:val="002779B8"/>
    <w:rsid w:val="002819AC"/>
    <w:rsid w:val="00281CD1"/>
    <w:rsid w:val="00282993"/>
    <w:rsid w:val="0028380D"/>
    <w:rsid w:val="00283C3F"/>
    <w:rsid w:val="0028442A"/>
    <w:rsid w:val="00284B1F"/>
    <w:rsid w:val="00285121"/>
    <w:rsid w:val="0028660D"/>
    <w:rsid w:val="00290A29"/>
    <w:rsid w:val="002911FA"/>
    <w:rsid w:val="002913DC"/>
    <w:rsid w:val="00291F95"/>
    <w:rsid w:val="00292A09"/>
    <w:rsid w:val="00293148"/>
    <w:rsid w:val="0029341D"/>
    <w:rsid w:val="00293421"/>
    <w:rsid w:val="00293598"/>
    <w:rsid w:val="0029373E"/>
    <w:rsid w:val="002945AE"/>
    <w:rsid w:val="00295B7F"/>
    <w:rsid w:val="002977C1"/>
    <w:rsid w:val="00297B2E"/>
    <w:rsid w:val="00297F28"/>
    <w:rsid w:val="002A0054"/>
    <w:rsid w:val="002A1127"/>
    <w:rsid w:val="002A1358"/>
    <w:rsid w:val="002A20F9"/>
    <w:rsid w:val="002A2512"/>
    <w:rsid w:val="002A2A6E"/>
    <w:rsid w:val="002A2DF0"/>
    <w:rsid w:val="002A330B"/>
    <w:rsid w:val="002A3350"/>
    <w:rsid w:val="002A3D26"/>
    <w:rsid w:val="002A4C04"/>
    <w:rsid w:val="002A5BC2"/>
    <w:rsid w:val="002A66E2"/>
    <w:rsid w:val="002A67A7"/>
    <w:rsid w:val="002A696A"/>
    <w:rsid w:val="002A710E"/>
    <w:rsid w:val="002A73B6"/>
    <w:rsid w:val="002A772F"/>
    <w:rsid w:val="002A79FD"/>
    <w:rsid w:val="002B2888"/>
    <w:rsid w:val="002B29EF"/>
    <w:rsid w:val="002B45A7"/>
    <w:rsid w:val="002B4F62"/>
    <w:rsid w:val="002B5AEB"/>
    <w:rsid w:val="002B5FD3"/>
    <w:rsid w:val="002B687E"/>
    <w:rsid w:val="002B6A1A"/>
    <w:rsid w:val="002B6A22"/>
    <w:rsid w:val="002B6D1F"/>
    <w:rsid w:val="002B70FC"/>
    <w:rsid w:val="002B77EC"/>
    <w:rsid w:val="002C01AC"/>
    <w:rsid w:val="002C0BC4"/>
    <w:rsid w:val="002C0EA7"/>
    <w:rsid w:val="002C17A5"/>
    <w:rsid w:val="002C2492"/>
    <w:rsid w:val="002C34B7"/>
    <w:rsid w:val="002C3FA9"/>
    <w:rsid w:val="002C45A0"/>
    <w:rsid w:val="002C5C4D"/>
    <w:rsid w:val="002C5C72"/>
    <w:rsid w:val="002C5F40"/>
    <w:rsid w:val="002C75DB"/>
    <w:rsid w:val="002D16AF"/>
    <w:rsid w:val="002D16D6"/>
    <w:rsid w:val="002D1AB2"/>
    <w:rsid w:val="002D1C4D"/>
    <w:rsid w:val="002D2263"/>
    <w:rsid w:val="002D235A"/>
    <w:rsid w:val="002D2740"/>
    <w:rsid w:val="002D2EC1"/>
    <w:rsid w:val="002D3343"/>
    <w:rsid w:val="002D3D73"/>
    <w:rsid w:val="002D420E"/>
    <w:rsid w:val="002D4D60"/>
    <w:rsid w:val="002D596C"/>
    <w:rsid w:val="002D63E0"/>
    <w:rsid w:val="002D7682"/>
    <w:rsid w:val="002D77C3"/>
    <w:rsid w:val="002E0FF8"/>
    <w:rsid w:val="002E1C78"/>
    <w:rsid w:val="002E22C5"/>
    <w:rsid w:val="002E2F00"/>
    <w:rsid w:val="002E3CBE"/>
    <w:rsid w:val="002E3DC7"/>
    <w:rsid w:val="002E4400"/>
    <w:rsid w:val="002E4CD0"/>
    <w:rsid w:val="002E4FA6"/>
    <w:rsid w:val="002E4FC5"/>
    <w:rsid w:val="002E5371"/>
    <w:rsid w:val="002E6283"/>
    <w:rsid w:val="002E6661"/>
    <w:rsid w:val="002F09FA"/>
    <w:rsid w:val="002F138A"/>
    <w:rsid w:val="002F181C"/>
    <w:rsid w:val="002F18C9"/>
    <w:rsid w:val="002F26B0"/>
    <w:rsid w:val="002F2F32"/>
    <w:rsid w:val="002F348E"/>
    <w:rsid w:val="002F3E80"/>
    <w:rsid w:val="002F4F02"/>
    <w:rsid w:val="002F4F45"/>
    <w:rsid w:val="002F63EB"/>
    <w:rsid w:val="002F6868"/>
    <w:rsid w:val="002F6F13"/>
    <w:rsid w:val="002F70B2"/>
    <w:rsid w:val="002F7609"/>
    <w:rsid w:val="003032CC"/>
    <w:rsid w:val="00303DC9"/>
    <w:rsid w:val="00303F93"/>
    <w:rsid w:val="00305960"/>
    <w:rsid w:val="00305B0E"/>
    <w:rsid w:val="00305BD4"/>
    <w:rsid w:val="00306624"/>
    <w:rsid w:val="0030671F"/>
    <w:rsid w:val="00306867"/>
    <w:rsid w:val="00306BB4"/>
    <w:rsid w:val="00307240"/>
    <w:rsid w:val="003078E6"/>
    <w:rsid w:val="00307BBB"/>
    <w:rsid w:val="00307CFF"/>
    <w:rsid w:val="00310384"/>
    <w:rsid w:val="00310756"/>
    <w:rsid w:val="00310843"/>
    <w:rsid w:val="0031132E"/>
    <w:rsid w:val="0031185B"/>
    <w:rsid w:val="00311DF0"/>
    <w:rsid w:val="00311E82"/>
    <w:rsid w:val="00312901"/>
    <w:rsid w:val="00312FB9"/>
    <w:rsid w:val="0031327B"/>
    <w:rsid w:val="00313346"/>
    <w:rsid w:val="003136B9"/>
    <w:rsid w:val="00313E67"/>
    <w:rsid w:val="0031534C"/>
    <w:rsid w:val="0031535F"/>
    <w:rsid w:val="003154DD"/>
    <w:rsid w:val="00315793"/>
    <w:rsid w:val="00315DB3"/>
    <w:rsid w:val="00315E89"/>
    <w:rsid w:val="00317A38"/>
    <w:rsid w:val="00320267"/>
    <w:rsid w:val="003206AB"/>
    <w:rsid w:val="00320BD0"/>
    <w:rsid w:val="0032133E"/>
    <w:rsid w:val="00321496"/>
    <w:rsid w:val="00321788"/>
    <w:rsid w:val="00321BDE"/>
    <w:rsid w:val="00323684"/>
    <w:rsid w:val="0032493E"/>
    <w:rsid w:val="003255B8"/>
    <w:rsid w:val="0032690F"/>
    <w:rsid w:val="00327412"/>
    <w:rsid w:val="00327419"/>
    <w:rsid w:val="003301BC"/>
    <w:rsid w:val="003304A6"/>
    <w:rsid w:val="00330AEA"/>
    <w:rsid w:val="00330E39"/>
    <w:rsid w:val="003310E0"/>
    <w:rsid w:val="00332847"/>
    <w:rsid w:val="00332F7D"/>
    <w:rsid w:val="00333148"/>
    <w:rsid w:val="0033391A"/>
    <w:rsid w:val="00334016"/>
    <w:rsid w:val="00334660"/>
    <w:rsid w:val="003347F6"/>
    <w:rsid w:val="003349C9"/>
    <w:rsid w:val="00335D34"/>
    <w:rsid w:val="00336597"/>
    <w:rsid w:val="0033774F"/>
    <w:rsid w:val="0033775B"/>
    <w:rsid w:val="003377C9"/>
    <w:rsid w:val="00337F90"/>
    <w:rsid w:val="0034062B"/>
    <w:rsid w:val="003411CE"/>
    <w:rsid w:val="00341DFE"/>
    <w:rsid w:val="003434FD"/>
    <w:rsid w:val="003438E3"/>
    <w:rsid w:val="00343C87"/>
    <w:rsid w:val="003444ED"/>
    <w:rsid w:val="00344F22"/>
    <w:rsid w:val="0034614D"/>
    <w:rsid w:val="00346FEF"/>
    <w:rsid w:val="003473F9"/>
    <w:rsid w:val="00347648"/>
    <w:rsid w:val="00351937"/>
    <w:rsid w:val="00351C52"/>
    <w:rsid w:val="00351EAD"/>
    <w:rsid w:val="00352F86"/>
    <w:rsid w:val="0035346A"/>
    <w:rsid w:val="003544D2"/>
    <w:rsid w:val="003549F3"/>
    <w:rsid w:val="00354EDB"/>
    <w:rsid w:val="00355099"/>
    <w:rsid w:val="003551C9"/>
    <w:rsid w:val="00355589"/>
    <w:rsid w:val="00355838"/>
    <w:rsid w:val="00355979"/>
    <w:rsid w:val="00355F1B"/>
    <w:rsid w:val="0035632F"/>
    <w:rsid w:val="0035683F"/>
    <w:rsid w:val="00356AF5"/>
    <w:rsid w:val="003574B2"/>
    <w:rsid w:val="003579A9"/>
    <w:rsid w:val="00360B87"/>
    <w:rsid w:val="00360B90"/>
    <w:rsid w:val="00360D9C"/>
    <w:rsid w:val="00360DDD"/>
    <w:rsid w:val="00361818"/>
    <w:rsid w:val="00362699"/>
    <w:rsid w:val="003628C2"/>
    <w:rsid w:val="003638AF"/>
    <w:rsid w:val="00365068"/>
    <w:rsid w:val="003653F4"/>
    <w:rsid w:val="003657EB"/>
    <w:rsid w:val="00365845"/>
    <w:rsid w:val="0036616A"/>
    <w:rsid w:val="00366AC6"/>
    <w:rsid w:val="00366EF1"/>
    <w:rsid w:val="00367213"/>
    <w:rsid w:val="003675F4"/>
    <w:rsid w:val="00367DCB"/>
    <w:rsid w:val="00371086"/>
    <w:rsid w:val="0037116B"/>
    <w:rsid w:val="00371797"/>
    <w:rsid w:val="00372DEF"/>
    <w:rsid w:val="00373037"/>
    <w:rsid w:val="00373086"/>
    <w:rsid w:val="00374B61"/>
    <w:rsid w:val="00375908"/>
    <w:rsid w:val="00375C4D"/>
    <w:rsid w:val="00376295"/>
    <w:rsid w:val="003767E6"/>
    <w:rsid w:val="00376ECE"/>
    <w:rsid w:val="00377D65"/>
    <w:rsid w:val="00377F7C"/>
    <w:rsid w:val="00380480"/>
    <w:rsid w:val="00380F72"/>
    <w:rsid w:val="00380F75"/>
    <w:rsid w:val="00381471"/>
    <w:rsid w:val="003815D1"/>
    <w:rsid w:val="00381F58"/>
    <w:rsid w:val="0038214C"/>
    <w:rsid w:val="00382BC7"/>
    <w:rsid w:val="00383C1F"/>
    <w:rsid w:val="00384FCA"/>
    <w:rsid w:val="003857E6"/>
    <w:rsid w:val="00386411"/>
    <w:rsid w:val="0038660A"/>
    <w:rsid w:val="00386BE2"/>
    <w:rsid w:val="00386EC6"/>
    <w:rsid w:val="003870D0"/>
    <w:rsid w:val="0038759C"/>
    <w:rsid w:val="00387F5B"/>
    <w:rsid w:val="00387FAA"/>
    <w:rsid w:val="0039050F"/>
    <w:rsid w:val="00390D12"/>
    <w:rsid w:val="00390D1F"/>
    <w:rsid w:val="00390FCA"/>
    <w:rsid w:val="00390FCD"/>
    <w:rsid w:val="003913FF"/>
    <w:rsid w:val="003916E3"/>
    <w:rsid w:val="00391747"/>
    <w:rsid w:val="00391E92"/>
    <w:rsid w:val="00392115"/>
    <w:rsid w:val="00393154"/>
    <w:rsid w:val="00393DA9"/>
    <w:rsid w:val="00393E72"/>
    <w:rsid w:val="00394325"/>
    <w:rsid w:val="00394A5E"/>
    <w:rsid w:val="00394CE8"/>
    <w:rsid w:val="00395C63"/>
    <w:rsid w:val="0039666D"/>
    <w:rsid w:val="00397292"/>
    <w:rsid w:val="00397873"/>
    <w:rsid w:val="003A0340"/>
    <w:rsid w:val="003A03D9"/>
    <w:rsid w:val="003A0A36"/>
    <w:rsid w:val="003A0F3C"/>
    <w:rsid w:val="003A1A87"/>
    <w:rsid w:val="003A1BCC"/>
    <w:rsid w:val="003A1C1A"/>
    <w:rsid w:val="003A1ED8"/>
    <w:rsid w:val="003A2086"/>
    <w:rsid w:val="003A2107"/>
    <w:rsid w:val="003A2365"/>
    <w:rsid w:val="003A23C4"/>
    <w:rsid w:val="003A2D51"/>
    <w:rsid w:val="003A3631"/>
    <w:rsid w:val="003A4382"/>
    <w:rsid w:val="003A442E"/>
    <w:rsid w:val="003A4AD7"/>
    <w:rsid w:val="003A4C2C"/>
    <w:rsid w:val="003A4D04"/>
    <w:rsid w:val="003A5044"/>
    <w:rsid w:val="003A58B2"/>
    <w:rsid w:val="003A5E06"/>
    <w:rsid w:val="003A64CE"/>
    <w:rsid w:val="003A727F"/>
    <w:rsid w:val="003A73FB"/>
    <w:rsid w:val="003A7AA6"/>
    <w:rsid w:val="003A7B16"/>
    <w:rsid w:val="003B0234"/>
    <w:rsid w:val="003B0A5D"/>
    <w:rsid w:val="003B10EF"/>
    <w:rsid w:val="003B15E4"/>
    <w:rsid w:val="003B1B40"/>
    <w:rsid w:val="003B219C"/>
    <w:rsid w:val="003B2837"/>
    <w:rsid w:val="003B34F0"/>
    <w:rsid w:val="003B3F82"/>
    <w:rsid w:val="003B4592"/>
    <w:rsid w:val="003B59F4"/>
    <w:rsid w:val="003B612C"/>
    <w:rsid w:val="003B61E2"/>
    <w:rsid w:val="003B6C61"/>
    <w:rsid w:val="003B6F98"/>
    <w:rsid w:val="003C0AB1"/>
    <w:rsid w:val="003C125F"/>
    <w:rsid w:val="003C13B1"/>
    <w:rsid w:val="003C3849"/>
    <w:rsid w:val="003C3B48"/>
    <w:rsid w:val="003C3BFC"/>
    <w:rsid w:val="003C446F"/>
    <w:rsid w:val="003C52D9"/>
    <w:rsid w:val="003C5913"/>
    <w:rsid w:val="003C7969"/>
    <w:rsid w:val="003C7C26"/>
    <w:rsid w:val="003D03D0"/>
    <w:rsid w:val="003D139D"/>
    <w:rsid w:val="003D1874"/>
    <w:rsid w:val="003D212F"/>
    <w:rsid w:val="003D269D"/>
    <w:rsid w:val="003D32E5"/>
    <w:rsid w:val="003D481A"/>
    <w:rsid w:val="003D4EB7"/>
    <w:rsid w:val="003D5665"/>
    <w:rsid w:val="003D5BA3"/>
    <w:rsid w:val="003D5E9B"/>
    <w:rsid w:val="003D68A6"/>
    <w:rsid w:val="003D6C4D"/>
    <w:rsid w:val="003D6EB1"/>
    <w:rsid w:val="003D73E3"/>
    <w:rsid w:val="003D7C47"/>
    <w:rsid w:val="003D7E82"/>
    <w:rsid w:val="003E0610"/>
    <w:rsid w:val="003E0D2E"/>
    <w:rsid w:val="003E1121"/>
    <w:rsid w:val="003E1E0E"/>
    <w:rsid w:val="003E1E74"/>
    <w:rsid w:val="003E21B5"/>
    <w:rsid w:val="003E2330"/>
    <w:rsid w:val="003E3928"/>
    <w:rsid w:val="003E4C95"/>
    <w:rsid w:val="003E5682"/>
    <w:rsid w:val="003E5F65"/>
    <w:rsid w:val="003E69BC"/>
    <w:rsid w:val="003E76CE"/>
    <w:rsid w:val="003E7B93"/>
    <w:rsid w:val="003F1045"/>
    <w:rsid w:val="003F193F"/>
    <w:rsid w:val="003F24D0"/>
    <w:rsid w:val="003F3035"/>
    <w:rsid w:val="003F4652"/>
    <w:rsid w:val="003F4D21"/>
    <w:rsid w:val="003F566D"/>
    <w:rsid w:val="003F5E05"/>
    <w:rsid w:val="003F6819"/>
    <w:rsid w:val="003F687D"/>
    <w:rsid w:val="003F77EF"/>
    <w:rsid w:val="003F7A06"/>
    <w:rsid w:val="003F7B35"/>
    <w:rsid w:val="00400149"/>
    <w:rsid w:val="004018F8"/>
    <w:rsid w:val="004027CA"/>
    <w:rsid w:val="0040296B"/>
    <w:rsid w:val="00402AD1"/>
    <w:rsid w:val="0040341B"/>
    <w:rsid w:val="00403BBD"/>
    <w:rsid w:val="004042DE"/>
    <w:rsid w:val="004045DC"/>
    <w:rsid w:val="004054F0"/>
    <w:rsid w:val="004057B0"/>
    <w:rsid w:val="00405A3A"/>
    <w:rsid w:val="00406277"/>
    <w:rsid w:val="004062E8"/>
    <w:rsid w:val="00406418"/>
    <w:rsid w:val="004069C0"/>
    <w:rsid w:val="00407134"/>
    <w:rsid w:val="004071FE"/>
    <w:rsid w:val="0041006E"/>
    <w:rsid w:val="0041149F"/>
    <w:rsid w:val="004127ED"/>
    <w:rsid w:val="00413369"/>
    <w:rsid w:val="00413603"/>
    <w:rsid w:val="00413F3D"/>
    <w:rsid w:val="004141E8"/>
    <w:rsid w:val="00415D98"/>
    <w:rsid w:val="0041629D"/>
    <w:rsid w:val="004165AB"/>
    <w:rsid w:val="00416B88"/>
    <w:rsid w:val="00417154"/>
    <w:rsid w:val="004177E9"/>
    <w:rsid w:val="00417FD1"/>
    <w:rsid w:val="004237BE"/>
    <w:rsid w:val="0042419F"/>
    <w:rsid w:val="004251C4"/>
    <w:rsid w:val="00425DBB"/>
    <w:rsid w:val="00430C00"/>
    <w:rsid w:val="004311A0"/>
    <w:rsid w:val="00432700"/>
    <w:rsid w:val="00432DDA"/>
    <w:rsid w:val="0043336F"/>
    <w:rsid w:val="0043430C"/>
    <w:rsid w:val="0043468E"/>
    <w:rsid w:val="004347C4"/>
    <w:rsid w:val="00436A77"/>
    <w:rsid w:val="00437270"/>
    <w:rsid w:val="00437959"/>
    <w:rsid w:val="004379BA"/>
    <w:rsid w:val="00437C4F"/>
    <w:rsid w:val="00441C71"/>
    <w:rsid w:val="0044203B"/>
    <w:rsid w:val="004426F4"/>
    <w:rsid w:val="00443A4C"/>
    <w:rsid w:val="00443CBF"/>
    <w:rsid w:val="00443DBF"/>
    <w:rsid w:val="00445A7B"/>
    <w:rsid w:val="00445C7B"/>
    <w:rsid w:val="004465A9"/>
    <w:rsid w:val="00446778"/>
    <w:rsid w:val="00446D4A"/>
    <w:rsid w:val="004478FC"/>
    <w:rsid w:val="00447986"/>
    <w:rsid w:val="00447AE1"/>
    <w:rsid w:val="00447CC2"/>
    <w:rsid w:val="0045126A"/>
    <w:rsid w:val="00451303"/>
    <w:rsid w:val="00451A9E"/>
    <w:rsid w:val="00451C3B"/>
    <w:rsid w:val="00451F40"/>
    <w:rsid w:val="00452127"/>
    <w:rsid w:val="00452690"/>
    <w:rsid w:val="00452737"/>
    <w:rsid w:val="00452AD4"/>
    <w:rsid w:val="00452F63"/>
    <w:rsid w:val="004534ED"/>
    <w:rsid w:val="00453E59"/>
    <w:rsid w:val="00453F35"/>
    <w:rsid w:val="004542A9"/>
    <w:rsid w:val="0045545B"/>
    <w:rsid w:val="0045554A"/>
    <w:rsid w:val="004555AE"/>
    <w:rsid w:val="00455606"/>
    <w:rsid w:val="00456385"/>
    <w:rsid w:val="00456543"/>
    <w:rsid w:val="00456549"/>
    <w:rsid w:val="0045659B"/>
    <w:rsid w:val="00456BC2"/>
    <w:rsid w:val="004573FC"/>
    <w:rsid w:val="00457597"/>
    <w:rsid w:val="00457635"/>
    <w:rsid w:val="00460306"/>
    <w:rsid w:val="0046046F"/>
    <w:rsid w:val="00460E48"/>
    <w:rsid w:val="004625F8"/>
    <w:rsid w:val="004639D8"/>
    <w:rsid w:val="00463B54"/>
    <w:rsid w:val="00464061"/>
    <w:rsid w:val="004643B7"/>
    <w:rsid w:val="00464F09"/>
    <w:rsid w:val="0046523A"/>
    <w:rsid w:val="0046582E"/>
    <w:rsid w:val="00465A84"/>
    <w:rsid w:val="00465CFA"/>
    <w:rsid w:val="004660F1"/>
    <w:rsid w:val="00466924"/>
    <w:rsid w:val="00467123"/>
    <w:rsid w:val="00467AD8"/>
    <w:rsid w:val="00467E19"/>
    <w:rsid w:val="00470206"/>
    <w:rsid w:val="004707B7"/>
    <w:rsid w:val="00470BB5"/>
    <w:rsid w:val="00471375"/>
    <w:rsid w:val="004714DC"/>
    <w:rsid w:val="00471F4F"/>
    <w:rsid w:val="0047221F"/>
    <w:rsid w:val="00472701"/>
    <w:rsid w:val="0047285E"/>
    <w:rsid w:val="00472A2F"/>
    <w:rsid w:val="00474213"/>
    <w:rsid w:val="00474E0A"/>
    <w:rsid w:val="00475158"/>
    <w:rsid w:val="004755AC"/>
    <w:rsid w:val="0047562D"/>
    <w:rsid w:val="004761BF"/>
    <w:rsid w:val="00476376"/>
    <w:rsid w:val="00476494"/>
    <w:rsid w:val="00476557"/>
    <w:rsid w:val="00476A0E"/>
    <w:rsid w:val="00476AB8"/>
    <w:rsid w:val="00476F4A"/>
    <w:rsid w:val="00477122"/>
    <w:rsid w:val="00477A50"/>
    <w:rsid w:val="00481410"/>
    <w:rsid w:val="00481473"/>
    <w:rsid w:val="004819BD"/>
    <w:rsid w:val="00481B86"/>
    <w:rsid w:val="00482237"/>
    <w:rsid w:val="004823FB"/>
    <w:rsid w:val="0048351C"/>
    <w:rsid w:val="00483CC5"/>
    <w:rsid w:val="00486318"/>
    <w:rsid w:val="004878BE"/>
    <w:rsid w:val="00487A64"/>
    <w:rsid w:val="00490F35"/>
    <w:rsid w:val="00491765"/>
    <w:rsid w:val="00491EAF"/>
    <w:rsid w:val="0049221F"/>
    <w:rsid w:val="00492358"/>
    <w:rsid w:val="00492881"/>
    <w:rsid w:val="00492D88"/>
    <w:rsid w:val="00492E57"/>
    <w:rsid w:val="00493D4C"/>
    <w:rsid w:val="00494856"/>
    <w:rsid w:val="004952AD"/>
    <w:rsid w:val="00495641"/>
    <w:rsid w:val="004956C6"/>
    <w:rsid w:val="00496063"/>
    <w:rsid w:val="00496515"/>
    <w:rsid w:val="0049669C"/>
    <w:rsid w:val="0049675B"/>
    <w:rsid w:val="00496A37"/>
    <w:rsid w:val="00496A8A"/>
    <w:rsid w:val="0049702C"/>
    <w:rsid w:val="004972F0"/>
    <w:rsid w:val="00497390"/>
    <w:rsid w:val="004975E4"/>
    <w:rsid w:val="00497C13"/>
    <w:rsid w:val="004A1308"/>
    <w:rsid w:val="004A1AE2"/>
    <w:rsid w:val="004A30DD"/>
    <w:rsid w:val="004A378C"/>
    <w:rsid w:val="004A48A9"/>
    <w:rsid w:val="004A4923"/>
    <w:rsid w:val="004A53DE"/>
    <w:rsid w:val="004A5F52"/>
    <w:rsid w:val="004A69D7"/>
    <w:rsid w:val="004A7C75"/>
    <w:rsid w:val="004A7E62"/>
    <w:rsid w:val="004B0231"/>
    <w:rsid w:val="004B112A"/>
    <w:rsid w:val="004B1741"/>
    <w:rsid w:val="004B18C1"/>
    <w:rsid w:val="004B1E61"/>
    <w:rsid w:val="004B1F0C"/>
    <w:rsid w:val="004B2BE3"/>
    <w:rsid w:val="004B2D79"/>
    <w:rsid w:val="004B2E9E"/>
    <w:rsid w:val="004B4EA8"/>
    <w:rsid w:val="004B4F35"/>
    <w:rsid w:val="004B656C"/>
    <w:rsid w:val="004B736E"/>
    <w:rsid w:val="004B753E"/>
    <w:rsid w:val="004B7A1C"/>
    <w:rsid w:val="004B7DF8"/>
    <w:rsid w:val="004C0A6F"/>
    <w:rsid w:val="004C0B09"/>
    <w:rsid w:val="004C1007"/>
    <w:rsid w:val="004C106E"/>
    <w:rsid w:val="004C114F"/>
    <w:rsid w:val="004C1822"/>
    <w:rsid w:val="004C1F92"/>
    <w:rsid w:val="004C24BC"/>
    <w:rsid w:val="004C2EF8"/>
    <w:rsid w:val="004C32E2"/>
    <w:rsid w:val="004C3A56"/>
    <w:rsid w:val="004C3CB8"/>
    <w:rsid w:val="004C3CE0"/>
    <w:rsid w:val="004C3CE4"/>
    <w:rsid w:val="004C459B"/>
    <w:rsid w:val="004C4E00"/>
    <w:rsid w:val="004C4E43"/>
    <w:rsid w:val="004C52DD"/>
    <w:rsid w:val="004C670B"/>
    <w:rsid w:val="004C69F6"/>
    <w:rsid w:val="004C6CE8"/>
    <w:rsid w:val="004C6DEF"/>
    <w:rsid w:val="004C7645"/>
    <w:rsid w:val="004C7E12"/>
    <w:rsid w:val="004D012A"/>
    <w:rsid w:val="004D0465"/>
    <w:rsid w:val="004D0E8C"/>
    <w:rsid w:val="004D170E"/>
    <w:rsid w:val="004D1C0D"/>
    <w:rsid w:val="004D213C"/>
    <w:rsid w:val="004D29F8"/>
    <w:rsid w:val="004D3370"/>
    <w:rsid w:val="004D3707"/>
    <w:rsid w:val="004D441E"/>
    <w:rsid w:val="004D503A"/>
    <w:rsid w:val="004D5D1C"/>
    <w:rsid w:val="004D693C"/>
    <w:rsid w:val="004D6C58"/>
    <w:rsid w:val="004D73B6"/>
    <w:rsid w:val="004D74D5"/>
    <w:rsid w:val="004D771A"/>
    <w:rsid w:val="004D7ED1"/>
    <w:rsid w:val="004D7F35"/>
    <w:rsid w:val="004E06A9"/>
    <w:rsid w:val="004E0C9C"/>
    <w:rsid w:val="004E1C06"/>
    <w:rsid w:val="004E2EBE"/>
    <w:rsid w:val="004E393E"/>
    <w:rsid w:val="004E3A81"/>
    <w:rsid w:val="004E3E92"/>
    <w:rsid w:val="004E3F94"/>
    <w:rsid w:val="004E4AEC"/>
    <w:rsid w:val="004E59A3"/>
    <w:rsid w:val="004F0765"/>
    <w:rsid w:val="004F11DE"/>
    <w:rsid w:val="004F1CBC"/>
    <w:rsid w:val="004F2F6C"/>
    <w:rsid w:val="004F3AE9"/>
    <w:rsid w:val="004F3E1F"/>
    <w:rsid w:val="004F45D2"/>
    <w:rsid w:val="004F468C"/>
    <w:rsid w:val="004F494B"/>
    <w:rsid w:val="004F4E7A"/>
    <w:rsid w:val="004F651E"/>
    <w:rsid w:val="004F6881"/>
    <w:rsid w:val="004F6A58"/>
    <w:rsid w:val="004F7515"/>
    <w:rsid w:val="004F77E7"/>
    <w:rsid w:val="005000B8"/>
    <w:rsid w:val="005005F2"/>
    <w:rsid w:val="0050141D"/>
    <w:rsid w:val="005015FD"/>
    <w:rsid w:val="00501E66"/>
    <w:rsid w:val="005023CB"/>
    <w:rsid w:val="00502B94"/>
    <w:rsid w:val="00502BAF"/>
    <w:rsid w:val="00502E07"/>
    <w:rsid w:val="00503129"/>
    <w:rsid w:val="0050376E"/>
    <w:rsid w:val="00503BE9"/>
    <w:rsid w:val="00503D77"/>
    <w:rsid w:val="00503ED5"/>
    <w:rsid w:val="00504724"/>
    <w:rsid w:val="00504CAC"/>
    <w:rsid w:val="005056CD"/>
    <w:rsid w:val="00505F4E"/>
    <w:rsid w:val="00506140"/>
    <w:rsid w:val="005066DF"/>
    <w:rsid w:val="0050792D"/>
    <w:rsid w:val="00507B28"/>
    <w:rsid w:val="00507E52"/>
    <w:rsid w:val="00507EC9"/>
    <w:rsid w:val="00510531"/>
    <w:rsid w:val="00510740"/>
    <w:rsid w:val="0051114E"/>
    <w:rsid w:val="0051216C"/>
    <w:rsid w:val="00513F7D"/>
    <w:rsid w:val="005142CD"/>
    <w:rsid w:val="00514579"/>
    <w:rsid w:val="00514982"/>
    <w:rsid w:val="00514AB1"/>
    <w:rsid w:val="00515BA6"/>
    <w:rsid w:val="00517B35"/>
    <w:rsid w:val="00517EE1"/>
    <w:rsid w:val="005201CD"/>
    <w:rsid w:val="00520543"/>
    <w:rsid w:val="0052086F"/>
    <w:rsid w:val="0052099A"/>
    <w:rsid w:val="00520C31"/>
    <w:rsid w:val="00520D74"/>
    <w:rsid w:val="00520DEC"/>
    <w:rsid w:val="0052116F"/>
    <w:rsid w:val="00521CE8"/>
    <w:rsid w:val="00522259"/>
    <w:rsid w:val="00522820"/>
    <w:rsid w:val="0052298A"/>
    <w:rsid w:val="00523373"/>
    <w:rsid w:val="0052381D"/>
    <w:rsid w:val="0052393B"/>
    <w:rsid w:val="00524784"/>
    <w:rsid w:val="005252AC"/>
    <w:rsid w:val="005257DE"/>
    <w:rsid w:val="00526256"/>
    <w:rsid w:val="0052694C"/>
    <w:rsid w:val="0052739B"/>
    <w:rsid w:val="00530D4E"/>
    <w:rsid w:val="00531317"/>
    <w:rsid w:val="00532865"/>
    <w:rsid w:val="00532895"/>
    <w:rsid w:val="00535609"/>
    <w:rsid w:val="00535785"/>
    <w:rsid w:val="00535AB4"/>
    <w:rsid w:val="0053678D"/>
    <w:rsid w:val="0053766E"/>
    <w:rsid w:val="005377ED"/>
    <w:rsid w:val="00541315"/>
    <w:rsid w:val="00541608"/>
    <w:rsid w:val="00541F7B"/>
    <w:rsid w:val="005421B5"/>
    <w:rsid w:val="00542DB1"/>
    <w:rsid w:val="0054377C"/>
    <w:rsid w:val="00544A48"/>
    <w:rsid w:val="00545156"/>
    <w:rsid w:val="00546623"/>
    <w:rsid w:val="0054664D"/>
    <w:rsid w:val="00546AD8"/>
    <w:rsid w:val="00546C7A"/>
    <w:rsid w:val="005472F5"/>
    <w:rsid w:val="00547500"/>
    <w:rsid w:val="00547652"/>
    <w:rsid w:val="005476D1"/>
    <w:rsid w:val="0054794D"/>
    <w:rsid w:val="00547C35"/>
    <w:rsid w:val="0055026C"/>
    <w:rsid w:val="00550920"/>
    <w:rsid w:val="005527D5"/>
    <w:rsid w:val="005536A4"/>
    <w:rsid w:val="0055380F"/>
    <w:rsid w:val="00554263"/>
    <w:rsid w:val="00554B2D"/>
    <w:rsid w:val="00554C75"/>
    <w:rsid w:val="00554DA3"/>
    <w:rsid w:val="00554DE6"/>
    <w:rsid w:val="005561ED"/>
    <w:rsid w:val="0055620B"/>
    <w:rsid w:val="00556B24"/>
    <w:rsid w:val="005609FF"/>
    <w:rsid w:val="00561344"/>
    <w:rsid w:val="0056168C"/>
    <w:rsid w:val="005616B4"/>
    <w:rsid w:val="00562909"/>
    <w:rsid w:val="00562BA9"/>
    <w:rsid w:val="00562BB8"/>
    <w:rsid w:val="005630AF"/>
    <w:rsid w:val="00563123"/>
    <w:rsid w:val="00563283"/>
    <w:rsid w:val="00563E22"/>
    <w:rsid w:val="00563F9C"/>
    <w:rsid w:val="00565441"/>
    <w:rsid w:val="00565A57"/>
    <w:rsid w:val="00566A95"/>
    <w:rsid w:val="005671D2"/>
    <w:rsid w:val="00567ACA"/>
    <w:rsid w:val="00567EE8"/>
    <w:rsid w:val="0057358F"/>
    <w:rsid w:val="00573C0F"/>
    <w:rsid w:val="00575617"/>
    <w:rsid w:val="00576909"/>
    <w:rsid w:val="00576D65"/>
    <w:rsid w:val="005773B5"/>
    <w:rsid w:val="00577935"/>
    <w:rsid w:val="00580873"/>
    <w:rsid w:val="005808F0"/>
    <w:rsid w:val="005819E8"/>
    <w:rsid w:val="00581B1C"/>
    <w:rsid w:val="005820AF"/>
    <w:rsid w:val="00582FB6"/>
    <w:rsid w:val="00583597"/>
    <w:rsid w:val="00584106"/>
    <w:rsid w:val="005844F3"/>
    <w:rsid w:val="005859A2"/>
    <w:rsid w:val="0058616D"/>
    <w:rsid w:val="00586373"/>
    <w:rsid w:val="00586DDA"/>
    <w:rsid w:val="0059025C"/>
    <w:rsid w:val="00590362"/>
    <w:rsid w:val="00590A83"/>
    <w:rsid w:val="00590CE6"/>
    <w:rsid w:val="0059101F"/>
    <w:rsid w:val="00591715"/>
    <w:rsid w:val="005923B5"/>
    <w:rsid w:val="00592564"/>
    <w:rsid w:val="0059433B"/>
    <w:rsid w:val="00594B9A"/>
    <w:rsid w:val="005955DE"/>
    <w:rsid w:val="00596020"/>
    <w:rsid w:val="00596487"/>
    <w:rsid w:val="0059721D"/>
    <w:rsid w:val="005976B1"/>
    <w:rsid w:val="005A0B45"/>
    <w:rsid w:val="005A1873"/>
    <w:rsid w:val="005A2334"/>
    <w:rsid w:val="005A35DC"/>
    <w:rsid w:val="005A4180"/>
    <w:rsid w:val="005A4938"/>
    <w:rsid w:val="005A4DF8"/>
    <w:rsid w:val="005A57E5"/>
    <w:rsid w:val="005A57E6"/>
    <w:rsid w:val="005A5968"/>
    <w:rsid w:val="005A7916"/>
    <w:rsid w:val="005B01C5"/>
    <w:rsid w:val="005B070B"/>
    <w:rsid w:val="005B09B1"/>
    <w:rsid w:val="005B1F14"/>
    <w:rsid w:val="005B2598"/>
    <w:rsid w:val="005B32CF"/>
    <w:rsid w:val="005B4085"/>
    <w:rsid w:val="005B44CC"/>
    <w:rsid w:val="005B502C"/>
    <w:rsid w:val="005B53C1"/>
    <w:rsid w:val="005B70F8"/>
    <w:rsid w:val="005B733B"/>
    <w:rsid w:val="005B7352"/>
    <w:rsid w:val="005B738E"/>
    <w:rsid w:val="005B7F15"/>
    <w:rsid w:val="005C032A"/>
    <w:rsid w:val="005C2BB8"/>
    <w:rsid w:val="005C3381"/>
    <w:rsid w:val="005C3519"/>
    <w:rsid w:val="005C3C78"/>
    <w:rsid w:val="005C4BD4"/>
    <w:rsid w:val="005C55E5"/>
    <w:rsid w:val="005C63A5"/>
    <w:rsid w:val="005C66B3"/>
    <w:rsid w:val="005C6EB1"/>
    <w:rsid w:val="005C74DF"/>
    <w:rsid w:val="005C74E7"/>
    <w:rsid w:val="005C7EC9"/>
    <w:rsid w:val="005D012C"/>
    <w:rsid w:val="005D0814"/>
    <w:rsid w:val="005D08B4"/>
    <w:rsid w:val="005D1D1B"/>
    <w:rsid w:val="005D23C2"/>
    <w:rsid w:val="005D25BD"/>
    <w:rsid w:val="005D27FC"/>
    <w:rsid w:val="005D2DA7"/>
    <w:rsid w:val="005D411D"/>
    <w:rsid w:val="005D41FC"/>
    <w:rsid w:val="005D51BF"/>
    <w:rsid w:val="005D58FA"/>
    <w:rsid w:val="005D5938"/>
    <w:rsid w:val="005D60F3"/>
    <w:rsid w:val="005D61EC"/>
    <w:rsid w:val="005D62CB"/>
    <w:rsid w:val="005D6B85"/>
    <w:rsid w:val="005D7A57"/>
    <w:rsid w:val="005E04C6"/>
    <w:rsid w:val="005E04ED"/>
    <w:rsid w:val="005E1282"/>
    <w:rsid w:val="005E12FE"/>
    <w:rsid w:val="005E1D02"/>
    <w:rsid w:val="005E1D0F"/>
    <w:rsid w:val="005E2FB6"/>
    <w:rsid w:val="005E3596"/>
    <w:rsid w:val="005E3ACE"/>
    <w:rsid w:val="005E3D88"/>
    <w:rsid w:val="005E57AB"/>
    <w:rsid w:val="005E58C1"/>
    <w:rsid w:val="005E6A57"/>
    <w:rsid w:val="005E6CFB"/>
    <w:rsid w:val="005E6FE9"/>
    <w:rsid w:val="005E7CA0"/>
    <w:rsid w:val="005E7FBE"/>
    <w:rsid w:val="005F0CB2"/>
    <w:rsid w:val="005F1B01"/>
    <w:rsid w:val="005F1EE7"/>
    <w:rsid w:val="005F291B"/>
    <w:rsid w:val="005F2A32"/>
    <w:rsid w:val="005F2AC1"/>
    <w:rsid w:val="005F331E"/>
    <w:rsid w:val="005F36D3"/>
    <w:rsid w:val="005F37D2"/>
    <w:rsid w:val="005F3D0A"/>
    <w:rsid w:val="005F45E2"/>
    <w:rsid w:val="005F47CB"/>
    <w:rsid w:val="005F4C4D"/>
    <w:rsid w:val="005F5863"/>
    <w:rsid w:val="005F6706"/>
    <w:rsid w:val="005F6D91"/>
    <w:rsid w:val="006008C6"/>
    <w:rsid w:val="00601726"/>
    <w:rsid w:val="00601AA2"/>
    <w:rsid w:val="006025EA"/>
    <w:rsid w:val="00603A86"/>
    <w:rsid w:val="0060622C"/>
    <w:rsid w:val="00606638"/>
    <w:rsid w:val="0060670B"/>
    <w:rsid w:val="00607998"/>
    <w:rsid w:val="006109E8"/>
    <w:rsid w:val="006118B5"/>
    <w:rsid w:val="00611D1A"/>
    <w:rsid w:val="0061207C"/>
    <w:rsid w:val="006137A7"/>
    <w:rsid w:val="0061489B"/>
    <w:rsid w:val="00615378"/>
    <w:rsid w:val="00616347"/>
    <w:rsid w:val="00616A2B"/>
    <w:rsid w:val="006172F8"/>
    <w:rsid w:val="0061768F"/>
    <w:rsid w:val="00617DB5"/>
    <w:rsid w:val="00617F59"/>
    <w:rsid w:val="006202F3"/>
    <w:rsid w:val="00621F02"/>
    <w:rsid w:val="006222CD"/>
    <w:rsid w:val="006226F4"/>
    <w:rsid w:val="00622912"/>
    <w:rsid w:val="00622C7E"/>
    <w:rsid w:val="00622E6D"/>
    <w:rsid w:val="006239FC"/>
    <w:rsid w:val="00623E18"/>
    <w:rsid w:val="00624DAD"/>
    <w:rsid w:val="0062568F"/>
    <w:rsid w:val="0062587A"/>
    <w:rsid w:val="006264B2"/>
    <w:rsid w:val="00627042"/>
    <w:rsid w:val="00627099"/>
    <w:rsid w:val="006270DC"/>
    <w:rsid w:val="00627186"/>
    <w:rsid w:val="006275A8"/>
    <w:rsid w:val="00630043"/>
    <w:rsid w:val="0063028C"/>
    <w:rsid w:val="006312E3"/>
    <w:rsid w:val="00631CCF"/>
    <w:rsid w:val="00631DFE"/>
    <w:rsid w:val="00631FD2"/>
    <w:rsid w:val="00632BF4"/>
    <w:rsid w:val="00632FD2"/>
    <w:rsid w:val="00634421"/>
    <w:rsid w:val="0063573A"/>
    <w:rsid w:val="00635A5E"/>
    <w:rsid w:val="0063605D"/>
    <w:rsid w:val="006364F7"/>
    <w:rsid w:val="0063651D"/>
    <w:rsid w:val="006372C9"/>
    <w:rsid w:val="00637ABC"/>
    <w:rsid w:val="00637FE7"/>
    <w:rsid w:val="006407ED"/>
    <w:rsid w:val="00640B65"/>
    <w:rsid w:val="00640F26"/>
    <w:rsid w:val="00641466"/>
    <w:rsid w:val="006414D4"/>
    <w:rsid w:val="00641F06"/>
    <w:rsid w:val="006422BE"/>
    <w:rsid w:val="0064314D"/>
    <w:rsid w:val="00643251"/>
    <w:rsid w:val="006438B4"/>
    <w:rsid w:val="0064410C"/>
    <w:rsid w:val="0064434B"/>
    <w:rsid w:val="00644BC5"/>
    <w:rsid w:val="00645147"/>
    <w:rsid w:val="006474FC"/>
    <w:rsid w:val="0065004B"/>
    <w:rsid w:val="00650563"/>
    <w:rsid w:val="0065064C"/>
    <w:rsid w:val="0065114D"/>
    <w:rsid w:val="00652550"/>
    <w:rsid w:val="00652B8C"/>
    <w:rsid w:val="006530C0"/>
    <w:rsid w:val="00653130"/>
    <w:rsid w:val="006535AC"/>
    <w:rsid w:val="00653D6B"/>
    <w:rsid w:val="00653DE1"/>
    <w:rsid w:val="00653E5A"/>
    <w:rsid w:val="00654EC1"/>
    <w:rsid w:val="00655265"/>
    <w:rsid w:val="006553BA"/>
    <w:rsid w:val="00655AF4"/>
    <w:rsid w:val="00655B23"/>
    <w:rsid w:val="006565D4"/>
    <w:rsid w:val="00656711"/>
    <w:rsid w:val="00656F65"/>
    <w:rsid w:val="00657DBE"/>
    <w:rsid w:val="00657DD4"/>
    <w:rsid w:val="006610BB"/>
    <w:rsid w:val="00661310"/>
    <w:rsid w:val="00662567"/>
    <w:rsid w:val="00663327"/>
    <w:rsid w:val="00663C74"/>
    <w:rsid w:val="00663F8C"/>
    <w:rsid w:val="00664615"/>
    <w:rsid w:val="00664B23"/>
    <w:rsid w:val="00664F78"/>
    <w:rsid w:val="006661CF"/>
    <w:rsid w:val="00666E37"/>
    <w:rsid w:val="00666F0B"/>
    <w:rsid w:val="0066745A"/>
    <w:rsid w:val="00670E88"/>
    <w:rsid w:val="0067184F"/>
    <w:rsid w:val="00671AD1"/>
    <w:rsid w:val="00672162"/>
    <w:rsid w:val="006723AE"/>
    <w:rsid w:val="00672F0A"/>
    <w:rsid w:val="0067419A"/>
    <w:rsid w:val="00674618"/>
    <w:rsid w:val="0067489D"/>
    <w:rsid w:val="00675C21"/>
    <w:rsid w:val="00675FCD"/>
    <w:rsid w:val="00676971"/>
    <w:rsid w:val="006771A7"/>
    <w:rsid w:val="0067761B"/>
    <w:rsid w:val="006807DB"/>
    <w:rsid w:val="00680A81"/>
    <w:rsid w:val="00680D1B"/>
    <w:rsid w:val="00680F1B"/>
    <w:rsid w:val="0068164E"/>
    <w:rsid w:val="0068265F"/>
    <w:rsid w:val="006833D1"/>
    <w:rsid w:val="006843B7"/>
    <w:rsid w:val="00684A1A"/>
    <w:rsid w:val="00684D7F"/>
    <w:rsid w:val="0068586D"/>
    <w:rsid w:val="00685BB3"/>
    <w:rsid w:val="00685C27"/>
    <w:rsid w:val="00685C9E"/>
    <w:rsid w:val="00685D2D"/>
    <w:rsid w:val="00686AD9"/>
    <w:rsid w:val="00686C65"/>
    <w:rsid w:val="00686C8D"/>
    <w:rsid w:val="006912E5"/>
    <w:rsid w:val="00691D51"/>
    <w:rsid w:val="00691D52"/>
    <w:rsid w:val="00693B8C"/>
    <w:rsid w:val="00693FBD"/>
    <w:rsid w:val="006947CE"/>
    <w:rsid w:val="00694D6A"/>
    <w:rsid w:val="006A01E3"/>
    <w:rsid w:val="006A0225"/>
    <w:rsid w:val="006A0843"/>
    <w:rsid w:val="006A0CCF"/>
    <w:rsid w:val="006A0DCD"/>
    <w:rsid w:val="006A0E29"/>
    <w:rsid w:val="006A1AF1"/>
    <w:rsid w:val="006A2A76"/>
    <w:rsid w:val="006A4EA6"/>
    <w:rsid w:val="006A5319"/>
    <w:rsid w:val="006A6552"/>
    <w:rsid w:val="006A6B15"/>
    <w:rsid w:val="006B16C8"/>
    <w:rsid w:val="006B1C03"/>
    <w:rsid w:val="006B1D89"/>
    <w:rsid w:val="006B2112"/>
    <w:rsid w:val="006B21A8"/>
    <w:rsid w:val="006B2614"/>
    <w:rsid w:val="006B28F1"/>
    <w:rsid w:val="006B3E91"/>
    <w:rsid w:val="006B547E"/>
    <w:rsid w:val="006B55E0"/>
    <w:rsid w:val="006B5AB4"/>
    <w:rsid w:val="006B735B"/>
    <w:rsid w:val="006B738A"/>
    <w:rsid w:val="006C018B"/>
    <w:rsid w:val="006C01C9"/>
    <w:rsid w:val="006C0F44"/>
    <w:rsid w:val="006C11A7"/>
    <w:rsid w:val="006C14C0"/>
    <w:rsid w:val="006C2603"/>
    <w:rsid w:val="006C3585"/>
    <w:rsid w:val="006C3A85"/>
    <w:rsid w:val="006C3B54"/>
    <w:rsid w:val="006C3E09"/>
    <w:rsid w:val="006C3EEC"/>
    <w:rsid w:val="006C4294"/>
    <w:rsid w:val="006C47D3"/>
    <w:rsid w:val="006C6831"/>
    <w:rsid w:val="006D021A"/>
    <w:rsid w:val="006D07D5"/>
    <w:rsid w:val="006D0984"/>
    <w:rsid w:val="006D0D65"/>
    <w:rsid w:val="006D2FA1"/>
    <w:rsid w:val="006D3704"/>
    <w:rsid w:val="006D3DFA"/>
    <w:rsid w:val="006D6992"/>
    <w:rsid w:val="006D7282"/>
    <w:rsid w:val="006D72C4"/>
    <w:rsid w:val="006D7C2E"/>
    <w:rsid w:val="006D7CC6"/>
    <w:rsid w:val="006E0250"/>
    <w:rsid w:val="006E0406"/>
    <w:rsid w:val="006E228E"/>
    <w:rsid w:val="006E2B10"/>
    <w:rsid w:val="006E2C4C"/>
    <w:rsid w:val="006E2C6C"/>
    <w:rsid w:val="006E2E7D"/>
    <w:rsid w:val="006E3352"/>
    <w:rsid w:val="006E37A3"/>
    <w:rsid w:val="006E5CDE"/>
    <w:rsid w:val="006E74CD"/>
    <w:rsid w:val="006E7EF6"/>
    <w:rsid w:val="006F0B62"/>
    <w:rsid w:val="006F0F8B"/>
    <w:rsid w:val="006F0FB4"/>
    <w:rsid w:val="006F3835"/>
    <w:rsid w:val="006F40EC"/>
    <w:rsid w:val="006F4421"/>
    <w:rsid w:val="006F640B"/>
    <w:rsid w:val="006F6B51"/>
    <w:rsid w:val="006F6DCF"/>
    <w:rsid w:val="006F6F80"/>
    <w:rsid w:val="006F7F7C"/>
    <w:rsid w:val="007000E8"/>
    <w:rsid w:val="0070032D"/>
    <w:rsid w:val="0070039D"/>
    <w:rsid w:val="007005A9"/>
    <w:rsid w:val="007012E5"/>
    <w:rsid w:val="00701B74"/>
    <w:rsid w:val="00701DD8"/>
    <w:rsid w:val="00701FA1"/>
    <w:rsid w:val="007028A1"/>
    <w:rsid w:val="00702D90"/>
    <w:rsid w:val="007033B2"/>
    <w:rsid w:val="00703454"/>
    <w:rsid w:val="0070349F"/>
    <w:rsid w:val="00703551"/>
    <w:rsid w:val="00703BD5"/>
    <w:rsid w:val="007047B4"/>
    <w:rsid w:val="007068CA"/>
    <w:rsid w:val="00706AD3"/>
    <w:rsid w:val="00706BC1"/>
    <w:rsid w:val="007073B1"/>
    <w:rsid w:val="00707D2F"/>
    <w:rsid w:val="00710A73"/>
    <w:rsid w:val="00710D64"/>
    <w:rsid w:val="00711C24"/>
    <w:rsid w:val="007127BB"/>
    <w:rsid w:val="00712A06"/>
    <w:rsid w:val="00712F15"/>
    <w:rsid w:val="00713A3C"/>
    <w:rsid w:val="007149AA"/>
    <w:rsid w:val="00714C16"/>
    <w:rsid w:val="007167AC"/>
    <w:rsid w:val="007169A0"/>
    <w:rsid w:val="00716DCD"/>
    <w:rsid w:val="0071735F"/>
    <w:rsid w:val="00720004"/>
    <w:rsid w:val="007202C5"/>
    <w:rsid w:val="007213EF"/>
    <w:rsid w:val="00721FAF"/>
    <w:rsid w:val="007222B9"/>
    <w:rsid w:val="0072282A"/>
    <w:rsid w:val="00722AD1"/>
    <w:rsid w:val="00722EEA"/>
    <w:rsid w:val="007244C5"/>
    <w:rsid w:val="007247A1"/>
    <w:rsid w:val="00724A20"/>
    <w:rsid w:val="00724E6D"/>
    <w:rsid w:val="00724F16"/>
    <w:rsid w:val="00727637"/>
    <w:rsid w:val="00727825"/>
    <w:rsid w:val="0073044D"/>
    <w:rsid w:val="00730A24"/>
    <w:rsid w:val="00731675"/>
    <w:rsid w:val="00731700"/>
    <w:rsid w:val="00733198"/>
    <w:rsid w:val="00733493"/>
    <w:rsid w:val="00734711"/>
    <w:rsid w:val="00734D07"/>
    <w:rsid w:val="00735159"/>
    <w:rsid w:val="007353CF"/>
    <w:rsid w:val="007356EA"/>
    <w:rsid w:val="00736112"/>
    <w:rsid w:val="00736673"/>
    <w:rsid w:val="00740930"/>
    <w:rsid w:val="007409D5"/>
    <w:rsid w:val="00740E00"/>
    <w:rsid w:val="00741752"/>
    <w:rsid w:val="007417CF"/>
    <w:rsid w:val="00741DAA"/>
    <w:rsid w:val="00742282"/>
    <w:rsid w:val="007428CF"/>
    <w:rsid w:val="0074297D"/>
    <w:rsid w:val="00742F49"/>
    <w:rsid w:val="00745C15"/>
    <w:rsid w:val="00745C44"/>
    <w:rsid w:val="00745CFC"/>
    <w:rsid w:val="00745D9E"/>
    <w:rsid w:val="00745F4C"/>
    <w:rsid w:val="00746E51"/>
    <w:rsid w:val="00747769"/>
    <w:rsid w:val="00751F74"/>
    <w:rsid w:val="00752F73"/>
    <w:rsid w:val="00753107"/>
    <w:rsid w:val="00753FE2"/>
    <w:rsid w:val="0075513E"/>
    <w:rsid w:val="00755435"/>
    <w:rsid w:val="00756060"/>
    <w:rsid w:val="00756152"/>
    <w:rsid w:val="00756E85"/>
    <w:rsid w:val="00756F7A"/>
    <w:rsid w:val="007577DC"/>
    <w:rsid w:val="00757C49"/>
    <w:rsid w:val="0076082C"/>
    <w:rsid w:val="00760951"/>
    <w:rsid w:val="00760DA5"/>
    <w:rsid w:val="00760EE8"/>
    <w:rsid w:val="007614AF"/>
    <w:rsid w:val="00761835"/>
    <w:rsid w:val="0076211B"/>
    <w:rsid w:val="00762389"/>
    <w:rsid w:val="00762A04"/>
    <w:rsid w:val="00762E3F"/>
    <w:rsid w:val="00764A86"/>
    <w:rsid w:val="007654CF"/>
    <w:rsid w:val="007654FB"/>
    <w:rsid w:val="00765723"/>
    <w:rsid w:val="00765AAC"/>
    <w:rsid w:val="00765B1F"/>
    <w:rsid w:val="00766C06"/>
    <w:rsid w:val="007674D2"/>
    <w:rsid w:val="0077272C"/>
    <w:rsid w:val="00772900"/>
    <w:rsid w:val="007729E3"/>
    <w:rsid w:val="007731A7"/>
    <w:rsid w:val="00773555"/>
    <w:rsid w:val="00773834"/>
    <w:rsid w:val="007739C9"/>
    <w:rsid w:val="0077462F"/>
    <w:rsid w:val="00775E90"/>
    <w:rsid w:val="0077629B"/>
    <w:rsid w:val="0077663C"/>
    <w:rsid w:val="00776A51"/>
    <w:rsid w:val="00776EF1"/>
    <w:rsid w:val="00780035"/>
    <w:rsid w:val="00780C84"/>
    <w:rsid w:val="00781216"/>
    <w:rsid w:val="00781270"/>
    <w:rsid w:val="0078159C"/>
    <w:rsid w:val="00781723"/>
    <w:rsid w:val="00781AA5"/>
    <w:rsid w:val="007822AA"/>
    <w:rsid w:val="00782CE7"/>
    <w:rsid w:val="00782F6F"/>
    <w:rsid w:val="007831E5"/>
    <w:rsid w:val="00783C3E"/>
    <w:rsid w:val="00784408"/>
    <w:rsid w:val="00785160"/>
    <w:rsid w:val="00785B0A"/>
    <w:rsid w:val="00785D34"/>
    <w:rsid w:val="00786906"/>
    <w:rsid w:val="00786B33"/>
    <w:rsid w:val="00786BC9"/>
    <w:rsid w:val="00787A81"/>
    <w:rsid w:val="007914ED"/>
    <w:rsid w:val="007916B5"/>
    <w:rsid w:val="00791D8B"/>
    <w:rsid w:val="00791E21"/>
    <w:rsid w:val="007921E6"/>
    <w:rsid w:val="007932C0"/>
    <w:rsid w:val="00793CE0"/>
    <w:rsid w:val="00794DD8"/>
    <w:rsid w:val="00794EF7"/>
    <w:rsid w:val="00795D09"/>
    <w:rsid w:val="00796C24"/>
    <w:rsid w:val="0079713E"/>
    <w:rsid w:val="00797460"/>
    <w:rsid w:val="007A17EF"/>
    <w:rsid w:val="007A18AB"/>
    <w:rsid w:val="007A23FF"/>
    <w:rsid w:val="007A2FCD"/>
    <w:rsid w:val="007A31FF"/>
    <w:rsid w:val="007A32E2"/>
    <w:rsid w:val="007A36C1"/>
    <w:rsid w:val="007A3759"/>
    <w:rsid w:val="007A3A97"/>
    <w:rsid w:val="007A3EB0"/>
    <w:rsid w:val="007A70E3"/>
    <w:rsid w:val="007A777F"/>
    <w:rsid w:val="007A789E"/>
    <w:rsid w:val="007B08EC"/>
    <w:rsid w:val="007B0BD3"/>
    <w:rsid w:val="007B110A"/>
    <w:rsid w:val="007B2F95"/>
    <w:rsid w:val="007B44ED"/>
    <w:rsid w:val="007B490D"/>
    <w:rsid w:val="007B4E7B"/>
    <w:rsid w:val="007B58E9"/>
    <w:rsid w:val="007B5A3E"/>
    <w:rsid w:val="007B5D39"/>
    <w:rsid w:val="007B67FD"/>
    <w:rsid w:val="007B7756"/>
    <w:rsid w:val="007C0517"/>
    <w:rsid w:val="007C13E3"/>
    <w:rsid w:val="007C19AC"/>
    <w:rsid w:val="007C292E"/>
    <w:rsid w:val="007C2BBC"/>
    <w:rsid w:val="007C3184"/>
    <w:rsid w:val="007C43C5"/>
    <w:rsid w:val="007C4FC5"/>
    <w:rsid w:val="007C523B"/>
    <w:rsid w:val="007C53B9"/>
    <w:rsid w:val="007C54A3"/>
    <w:rsid w:val="007C555E"/>
    <w:rsid w:val="007C5799"/>
    <w:rsid w:val="007C63CA"/>
    <w:rsid w:val="007C6A78"/>
    <w:rsid w:val="007C6E21"/>
    <w:rsid w:val="007C7B2D"/>
    <w:rsid w:val="007D025B"/>
    <w:rsid w:val="007D0597"/>
    <w:rsid w:val="007D0960"/>
    <w:rsid w:val="007D0AD6"/>
    <w:rsid w:val="007D0C8B"/>
    <w:rsid w:val="007D1AB4"/>
    <w:rsid w:val="007D396E"/>
    <w:rsid w:val="007D467D"/>
    <w:rsid w:val="007D474F"/>
    <w:rsid w:val="007D5E28"/>
    <w:rsid w:val="007D5E58"/>
    <w:rsid w:val="007D70EE"/>
    <w:rsid w:val="007D7100"/>
    <w:rsid w:val="007D7307"/>
    <w:rsid w:val="007D741B"/>
    <w:rsid w:val="007D7879"/>
    <w:rsid w:val="007E08E1"/>
    <w:rsid w:val="007E0CD4"/>
    <w:rsid w:val="007E0F7C"/>
    <w:rsid w:val="007E1997"/>
    <w:rsid w:val="007E2295"/>
    <w:rsid w:val="007E235E"/>
    <w:rsid w:val="007E2453"/>
    <w:rsid w:val="007E2EBA"/>
    <w:rsid w:val="007E3660"/>
    <w:rsid w:val="007E3B75"/>
    <w:rsid w:val="007E4147"/>
    <w:rsid w:val="007E415E"/>
    <w:rsid w:val="007E4D39"/>
    <w:rsid w:val="007E4F6F"/>
    <w:rsid w:val="007E5A54"/>
    <w:rsid w:val="007E5F11"/>
    <w:rsid w:val="007E615D"/>
    <w:rsid w:val="007E6AED"/>
    <w:rsid w:val="007E76E5"/>
    <w:rsid w:val="007F03F6"/>
    <w:rsid w:val="007F0521"/>
    <w:rsid w:val="007F1F3D"/>
    <w:rsid w:val="007F233A"/>
    <w:rsid w:val="007F2C8C"/>
    <w:rsid w:val="007F3F32"/>
    <w:rsid w:val="007F4AB3"/>
    <w:rsid w:val="007F4EAE"/>
    <w:rsid w:val="007F52F2"/>
    <w:rsid w:val="007F618E"/>
    <w:rsid w:val="007F630B"/>
    <w:rsid w:val="007F7EDE"/>
    <w:rsid w:val="008014FD"/>
    <w:rsid w:val="00801C7C"/>
    <w:rsid w:val="0080206D"/>
    <w:rsid w:val="008024C8"/>
    <w:rsid w:val="008024F7"/>
    <w:rsid w:val="00802584"/>
    <w:rsid w:val="008027E7"/>
    <w:rsid w:val="00802801"/>
    <w:rsid w:val="00803B5E"/>
    <w:rsid w:val="008045F8"/>
    <w:rsid w:val="00804DF9"/>
    <w:rsid w:val="00804F8A"/>
    <w:rsid w:val="008050E4"/>
    <w:rsid w:val="008051DA"/>
    <w:rsid w:val="00805B22"/>
    <w:rsid w:val="00805E41"/>
    <w:rsid w:val="008066F5"/>
    <w:rsid w:val="00806820"/>
    <w:rsid w:val="00806FF8"/>
    <w:rsid w:val="0081070D"/>
    <w:rsid w:val="00811244"/>
    <w:rsid w:val="00811480"/>
    <w:rsid w:val="00811745"/>
    <w:rsid w:val="008121D6"/>
    <w:rsid w:val="00812B1D"/>
    <w:rsid w:val="00812CE4"/>
    <w:rsid w:val="00813318"/>
    <w:rsid w:val="00813AAB"/>
    <w:rsid w:val="00813C71"/>
    <w:rsid w:val="00813DE3"/>
    <w:rsid w:val="00814691"/>
    <w:rsid w:val="00814CB6"/>
    <w:rsid w:val="0081500F"/>
    <w:rsid w:val="00815B9A"/>
    <w:rsid w:val="00815F4E"/>
    <w:rsid w:val="0081670A"/>
    <w:rsid w:val="00816D5D"/>
    <w:rsid w:val="008202BD"/>
    <w:rsid w:val="00821410"/>
    <w:rsid w:val="008214F4"/>
    <w:rsid w:val="008227FA"/>
    <w:rsid w:val="008228C2"/>
    <w:rsid w:val="00822A20"/>
    <w:rsid w:val="008239CD"/>
    <w:rsid w:val="00823B95"/>
    <w:rsid w:val="0082464A"/>
    <w:rsid w:val="008247AD"/>
    <w:rsid w:val="00825A32"/>
    <w:rsid w:val="00825F24"/>
    <w:rsid w:val="00827080"/>
    <w:rsid w:val="0082794F"/>
    <w:rsid w:val="00827E70"/>
    <w:rsid w:val="00827EED"/>
    <w:rsid w:val="00831719"/>
    <w:rsid w:val="00831BDB"/>
    <w:rsid w:val="00832458"/>
    <w:rsid w:val="008325EB"/>
    <w:rsid w:val="008333FD"/>
    <w:rsid w:val="00833485"/>
    <w:rsid w:val="00833796"/>
    <w:rsid w:val="00834A03"/>
    <w:rsid w:val="00834CCE"/>
    <w:rsid w:val="00835ED3"/>
    <w:rsid w:val="00836BA4"/>
    <w:rsid w:val="00836ED0"/>
    <w:rsid w:val="008373A0"/>
    <w:rsid w:val="008378A8"/>
    <w:rsid w:val="008378E4"/>
    <w:rsid w:val="0083791E"/>
    <w:rsid w:val="00840414"/>
    <w:rsid w:val="00840A22"/>
    <w:rsid w:val="00841598"/>
    <w:rsid w:val="00841B36"/>
    <w:rsid w:val="0084281A"/>
    <w:rsid w:val="00842B74"/>
    <w:rsid w:val="00843DF1"/>
    <w:rsid w:val="008448F0"/>
    <w:rsid w:val="008455B1"/>
    <w:rsid w:val="0084564E"/>
    <w:rsid w:val="0084598B"/>
    <w:rsid w:val="00846868"/>
    <w:rsid w:val="00846897"/>
    <w:rsid w:val="00846B2A"/>
    <w:rsid w:val="00847D89"/>
    <w:rsid w:val="008500F3"/>
    <w:rsid w:val="0085018E"/>
    <w:rsid w:val="00850B32"/>
    <w:rsid w:val="00850DA3"/>
    <w:rsid w:val="008526DC"/>
    <w:rsid w:val="0085318E"/>
    <w:rsid w:val="008531B1"/>
    <w:rsid w:val="008533E1"/>
    <w:rsid w:val="0085417B"/>
    <w:rsid w:val="00854A92"/>
    <w:rsid w:val="00854D08"/>
    <w:rsid w:val="00854E0D"/>
    <w:rsid w:val="00855B35"/>
    <w:rsid w:val="00856749"/>
    <w:rsid w:val="00857258"/>
    <w:rsid w:val="00857527"/>
    <w:rsid w:val="008579FC"/>
    <w:rsid w:val="00860004"/>
    <w:rsid w:val="0086066D"/>
    <w:rsid w:val="00861A11"/>
    <w:rsid w:val="0086205F"/>
    <w:rsid w:val="008621AC"/>
    <w:rsid w:val="0086303C"/>
    <w:rsid w:val="008638E2"/>
    <w:rsid w:val="00863E91"/>
    <w:rsid w:val="00864475"/>
    <w:rsid w:val="00864A98"/>
    <w:rsid w:val="008658BC"/>
    <w:rsid w:val="0086623D"/>
    <w:rsid w:val="008677AC"/>
    <w:rsid w:val="00867C07"/>
    <w:rsid w:val="0087005F"/>
    <w:rsid w:val="008706CA"/>
    <w:rsid w:val="0087085E"/>
    <w:rsid w:val="00871472"/>
    <w:rsid w:val="00871512"/>
    <w:rsid w:val="008720A8"/>
    <w:rsid w:val="00872372"/>
    <w:rsid w:val="00872AC8"/>
    <w:rsid w:val="00872FB6"/>
    <w:rsid w:val="008732F6"/>
    <w:rsid w:val="00873688"/>
    <w:rsid w:val="00873B63"/>
    <w:rsid w:val="00873E61"/>
    <w:rsid w:val="008748DE"/>
    <w:rsid w:val="008749AE"/>
    <w:rsid w:val="0087510D"/>
    <w:rsid w:val="00875160"/>
    <w:rsid w:val="0087570E"/>
    <w:rsid w:val="00875920"/>
    <w:rsid w:val="008763C1"/>
    <w:rsid w:val="00876C67"/>
    <w:rsid w:val="0087720B"/>
    <w:rsid w:val="00880D46"/>
    <w:rsid w:val="008813F1"/>
    <w:rsid w:val="0088240B"/>
    <w:rsid w:val="00882B53"/>
    <w:rsid w:val="00882F73"/>
    <w:rsid w:val="0088345D"/>
    <w:rsid w:val="00883949"/>
    <w:rsid w:val="0088396C"/>
    <w:rsid w:val="0088424F"/>
    <w:rsid w:val="008855DB"/>
    <w:rsid w:val="008861FE"/>
    <w:rsid w:val="008868F6"/>
    <w:rsid w:val="00890560"/>
    <w:rsid w:val="00890838"/>
    <w:rsid w:val="00890D06"/>
    <w:rsid w:val="0089175C"/>
    <w:rsid w:val="00891CCF"/>
    <w:rsid w:val="00891E6A"/>
    <w:rsid w:val="00891E7B"/>
    <w:rsid w:val="00891E87"/>
    <w:rsid w:val="00891F3C"/>
    <w:rsid w:val="008936C4"/>
    <w:rsid w:val="0089370B"/>
    <w:rsid w:val="0089395E"/>
    <w:rsid w:val="008948B0"/>
    <w:rsid w:val="00894A1D"/>
    <w:rsid w:val="00894B8F"/>
    <w:rsid w:val="008956B7"/>
    <w:rsid w:val="00895C5B"/>
    <w:rsid w:val="00895E5A"/>
    <w:rsid w:val="00896BD1"/>
    <w:rsid w:val="00896BE5"/>
    <w:rsid w:val="00897374"/>
    <w:rsid w:val="00897654"/>
    <w:rsid w:val="00897749"/>
    <w:rsid w:val="00897898"/>
    <w:rsid w:val="008A12A8"/>
    <w:rsid w:val="008A253C"/>
    <w:rsid w:val="008A2B94"/>
    <w:rsid w:val="008A30E8"/>
    <w:rsid w:val="008A3108"/>
    <w:rsid w:val="008A3B52"/>
    <w:rsid w:val="008A4024"/>
    <w:rsid w:val="008A466B"/>
    <w:rsid w:val="008A50E1"/>
    <w:rsid w:val="008A5610"/>
    <w:rsid w:val="008A5B3A"/>
    <w:rsid w:val="008A7193"/>
    <w:rsid w:val="008A7B19"/>
    <w:rsid w:val="008A7CE5"/>
    <w:rsid w:val="008A7F9C"/>
    <w:rsid w:val="008B0398"/>
    <w:rsid w:val="008B09DE"/>
    <w:rsid w:val="008B2825"/>
    <w:rsid w:val="008B308F"/>
    <w:rsid w:val="008B3224"/>
    <w:rsid w:val="008B4160"/>
    <w:rsid w:val="008B67A4"/>
    <w:rsid w:val="008B67DE"/>
    <w:rsid w:val="008B6CE9"/>
    <w:rsid w:val="008B702E"/>
    <w:rsid w:val="008B7D50"/>
    <w:rsid w:val="008C0BC5"/>
    <w:rsid w:val="008C0EB9"/>
    <w:rsid w:val="008C103E"/>
    <w:rsid w:val="008C114E"/>
    <w:rsid w:val="008C1A08"/>
    <w:rsid w:val="008C2BE6"/>
    <w:rsid w:val="008C34DE"/>
    <w:rsid w:val="008C37BA"/>
    <w:rsid w:val="008C3E59"/>
    <w:rsid w:val="008C40EC"/>
    <w:rsid w:val="008C4A39"/>
    <w:rsid w:val="008C4BD8"/>
    <w:rsid w:val="008C4C41"/>
    <w:rsid w:val="008C4EA8"/>
    <w:rsid w:val="008C5575"/>
    <w:rsid w:val="008C602C"/>
    <w:rsid w:val="008C6C7A"/>
    <w:rsid w:val="008C7FCB"/>
    <w:rsid w:val="008C7FE7"/>
    <w:rsid w:val="008D06BF"/>
    <w:rsid w:val="008D1796"/>
    <w:rsid w:val="008D21AA"/>
    <w:rsid w:val="008D21D7"/>
    <w:rsid w:val="008D243F"/>
    <w:rsid w:val="008D2815"/>
    <w:rsid w:val="008D34AE"/>
    <w:rsid w:val="008D4868"/>
    <w:rsid w:val="008D4C9B"/>
    <w:rsid w:val="008D542E"/>
    <w:rsid w:val="008D5D7E"/>
    <w:rsid w:val="008D6A5B"/>
    <w:rsid w:val="008D75CF"/>
    <w:rsid w:val="008E14CE"/>
    <w:rsid w:val="008E2EB7"/>
    <w:rsid w:val="008E3FD9"/>
    <w:rsid w:val="008E4655"/>
    <w:rsid w:val="008E4992"/>
    <w:rsid w:val="008E5268"/>
    <w:rsid w:val="008E5388"/>
    <w:rsid w:val="008E5C3E"/>
    <w:rsid w:val="008E6AA9"/>
    <w:rsid w:val="008E6ADF"/>
    <w:rsid w:val="008E7C59"/>
    <w:rsid w:val="008E7D6E"/>
    <w:rsid w:val="008F125D"/>
    <w:rsid w:val="008F1859"/>
    <w:rsid w:val="008F193A"/>
    <w:rsid w:val="008F1966"/>
    <w:rsid w:val="008F258A"/>
    <w:rsid w:val="008F3208"/>
    <w:rsid w:val="008F49F7"/>
    <w:rsid w:val="008F4A90"/>
    <w:rsid w:val="008F4D55"/>
    <w:rsid w:val="008F5611"/>
    <w:rsid w:val="008F5D40"/>
    <w:rsid w:val="008F62E4"/>
    <w:rsid w:val="008F63BB"/>
    <w:rsid w:val="008F6B45"/>
    <w:rsid w:val="008F6FEB"/>
    <w:rsid w:val="008F7CF0"/>
    <w:rsid w:val="009001E6"/>
    <w:rsid w:val="009003FB"/>
    <w:rsid w:val="00900926"/>
    <w:rsid w:val="00900E02"/>
    <w:rsid w:val="00902241"/>
    <w:rsid w:val="00902457"/>
    <w:rsid w:val="00903189"/>
    <w:rsid w:val="009031D3"/>
    <w:rsid w:val="009037E5"/>
    <w:rsid w:val="0090386A"/>
    <w:rsid w:val="00904734"/>
    <w:rsid w:val="009049E5"/>
    <w:rsid w:val="00904F04"/>
    <w:rsid w:val="00906A72"/>
    <w:rsid w:val="00906F76"/>
    <w:rsid w:val="00907531"/>
    <w:rsid w:val="00910D18"/>
    <w:rsid w:val="00911747"/>
    <w:rsid w:val="00911AE7"/>
    <w:rsid w:val="00911CED"/>
    <w:rsid w:val="00912358"/>
    <w:rsid w:val="00913F85"/>
    <w:rsid w:val="00914685"/>
    <w:rsid w:val="00914694"/>
    <w:rsid w:val="00914B1C"/>
    <w:rsid w:val="0091504C"/>
    <w:rsid w:val="00915FEE"/>
    <w:rsid w:val="0091613E"/>
    <w:rsid w:val="0091644A"/>
    <w:rsid w:val="00916800"/>
    <w:rsid w:val="00917202"/>
    <w:rsid w:val="00917598"/>
    <w:rsid w:val="009177CB"/>
    <w:rsid w:val="00917ED1"/>
    <w:rsid w:val="00920313"/>
    <w:rsid w:val="0092042C"/>
    <w:rsid w:val="009204C2"/>
    <w:rsid w:val="00920C4F"/>
    <w:rsid w:val="00921831"/>
    <w:rsid w:val="009222C3"/>
    <w:rsid w:val="00922B42"/>
    <w:rsid w:val="00922DE7"/>
    <w:rsid w:val="00923860"/>
    <w:rsid w:val="009245A0"/>
    <w:rsid w:val="00924F51"/>
    <w:rsid w:val="009255DF"/>
    <w:rsid w:val="00925F0D"/>
    <w:rsid w:val="00926926"/>
    <w:rsid w:val="0092717B"/>
    <w:rsid w:val="009272D6"/>
    <w:rsid w:val="00927950"/>
    <w:rsid w:val="00927B95"/>
    <w:rsid w:val="0093139E"/>
    <w:rsid w:val="00931452"/>
    <w:rsid w:val="0093193A"/>
    <w:rsid w:val="009335C0"/>
    <w:rsid w:val="0093360F"/>
    <w:rsid w:val="00933848"/>
    <w:rsid w:val="009343E4"/>
    <w:rsid w:val="0093459A"/>
    <w:rsid w:val="00934DE8"/>
    <w:rsid w:val="00936881"/>
    <w:rsid w:val="00936F35"/>
    <w:rsid w:val="00937197"/>
    <w:rsid w:val="00937BD8"/>
    <w:rsid w:val="00941940"/>
    <w:rsid w:val="009420AD"/>
    <w:rsid w:val="00942A1E"/>
    <w:rsid w:val="00942F33"/>
    <w:rsid w:val="009438AB"/>
    <w:rsid w:val="0094398C"/>
    <w:rsid w:val="009447E6"/>
    <w:rsid w:val="0094595E"/>
    <w:rsid w:val="00946D94"/>
    <w:rsid w:val="00946EDC"/>
    <w:rsid w:val="00951291"/>
    <w:rsid w:val="00951B7C"/>
    <w:rsid w:val="00951D9E"/>
    <w:rsid w:val="00952BEB"/>
    <w:rsid w:val="00953314"/>
    <w:rsid w:val="00953412"/>
    <w:rsid w:val="00954A74"/>
    <w:rsid w:val="00954AE3"/>
    <w:rsid w:val="00955120"/>
    <w:rsid w:val="009551B2"/>
    <w:rsid w:val="00955317"/>
    <w:rsid w:val="0095562F"/>
    <w:rsid w:val="0095577E"/>
    <w:rsid w:val="00955832"/>
    <w:rsid w:val="00956142"/>
    <w:rsid w:val="0095625A"/>
    <w:rsid w:val="009565D6"/>
    <w:rsid w:val="00957154"/>
    <w:rsid w:val="00957274"/>
    <w:rsid w:val="00957CD0"/>
    <w:rsid w:val="00960228"/>
    <w:rsid w:val="00960C4C"/>
    <w:rsid w:val="009616BC"/>
    <w:rsid w:val="00961EB8"/>
    <w:rsid w:val="00962241"/>
    <w:rsid w:val="009624E8"/>
    <w:rsid w:val="009632A9"/>
    <w:rsid w:val="00963C01"/>
    <w:rsid w:val="00964070"/>
    <w:rsid w:val="009642DE"/>
    <w:rsid w:val="0096431D"/>
    <w:rsid w:val="009643E8"/>
    <w:rsid w:val="00964703"/>
    <w:rsid w:val="0096481A"/>
    <w:rsid w:val="00964DE0"/>
    <w:rsid w:val="009651C4"/>
    <w:rsid w:val="009661CE"/>
    <w:rsid w:val="009664F8"/>
    <w:rsid w:val="00966869"/>
    <w:rsid w:val="00967559"/>
    <w:rsid w:val="00967628"/>
    <w:rsid w:val="00971227"/>
    <w:rsid w:val="00971350"/>
    <w:rsid w:val="00972D1E"/>
    <w:rsid w:val="00972F7A"/>
    <w:rsid w:val="00972F7F"/>
    <w:rsid w:val="00973047"/>
    <w:rsid w:val="00974767"/>
    <w:rsid w:val="00976064"/>
    <w:rsid w:val="00976075"/>
    <w:rsid w:val="009766C4"/>
    <w:rsid w:val="00976AA7"/>
    <w:rsid w:val="00976C7E"/>
    <w:rsid w:val="0097742A"/>
    <w:rsid w:val="00977969"/>
    <w:rsid w:val="009800F9"/>
    <w:rsid w:val="009809A2"/>
    <w:rsid w:val="00980F18"/>
    <w:rsid w:val="00981174"/>
    <w:rsid w:val="00981412"/>
    <w:rsid w:val="00981438"/>
    <w:rsid w:val="00981D5E"/>
    <w:rsid w:val="009820D0"/>
    <w:rsid w:val="00982837"/>
    <w:rsid w:val="00982A9F"/>
    <w:rsid w:val="00984089"/>
    <w:rsid w:val="0098442A"/>
    <w:rsid w:val="00984E86"/>
    <w:rsid w:val="00985311"/>
    <w:rsid w:val="00985752"/>
    <w:rsid w:val="00986120"/>
    <w:rsid w:val="00986555"/>
    <w:rsid w:val="009865B4"/>
    <w:rsid w:val="00986BA9"/>
    <w:rsid w:val="00986E38"/>
    <w:rsid w:val="00990251"/>
    <w:rsid w:val="009913BE"/>
    <w:rsid w:val="00991563"/>
    <w:rsid w:val="00991B71"/>
    <w:rsid w:val="00992746"/>
    <w:rsid w:val="00992975"/>
    <w:rsid w:val="00992C24"/>
    <w:rsid w:val="00994C13"/>
    <w:rsid w:val="00996112"/>
    <w:rsid w:val="00996192"/>
    <w:rsid w:val="009962C3"/>
    <w:rsid w:val="00996C47"/>
    <w:rsid w:val="00996E70"/>
    <w:rsid w:val="0099787E"/>
    <w:rsid w:val="00997F0B"/>
    <w:rsid w:val="00997FAE"/>
    <w:rsid w:val="009A00DD"/>
    <w:rsid w:val="009A1206"/>
    <w:rsid w:val="009A1B75"/>
    <w:rsid w:val="009A204A"/>
    <w:rsid w:val="009A287B"/>
    <w:rsid w:val="009A2999"/>
    <w:rsid w:val="009A52D5"/>
    <w:rsid w:val="009A55DF"/>
    <w:rsid w:val="009A621D"/>
    <w:rsid w:val="009A631F"/>
    <w:rsid w:val="009A64D6"/>
    <w:rsid w:val="009A658F"/>
    <w:rsid w:val="009A66C5"/>
    <w:rsid w:val="009A6988"/>
    <w:rsid w:val="009A756F"/>
    <w:rsid w:val="009A77D7"/>
    <w:rsid w:val="009A7A0F"/>
    <w:rsid w:val="009A7CB4"/>
    <w:rsid w:val="009B20FA"/>
    <w:rsid w:val="009B22B5"/>
    <w:rsid w:val="009B335F"/>
    <w:rsid w:val="009B33B4"/>
    <w:rsid w:val="009B433C"/>
    <w:rsid w:val="009B568A"/>
    <w:rsid w:val="009B58BC"/>
    <w:rsid w:val="009B5AE3"/>
    <w:rsid w:val="009B6580"/>
    <w:rsid w:val="009B65AC"/>
    <w:rsid w:val="009C06D1"/>
    <w:rsid w:val="009C0F8D"/>
    <w:rsid w:val="009C12A7"/>
    <w:rsid w:val="009C27A2"/>
    <w:rsid w:val="009C339C"/>
    <w:rsid w:val="009C3F7C"/>
    <w:rsid w:val="009C447F"/>
    <w:rsid w:val="009C46C6"/>
    <w:rsid w:val="009C68B6"/>
    <w:rsid w:val="009C6B7B"/>
    <w:rsid w:val="009C6C89"/>
    <w:rsid w:val="009D0752"/>
    <w:rsid w:val="009D0AAE"/>
    <w:rsid w:val="009D0AD0"/>
    <w:rsid w:val="009D0B26"/>
    <w:rsid w:val="009D107B"/>
    <w:rsid w:val="009D1419"/>
    <w:rsid w:val="009D1E3B"/>
    <w:rsid w:val="009D34B3"/>
    <w:rsid w:val="009D3C25"/>
    <w:rsid w:val="009D4BB7"/>
    <w:rsid w:val="009D4DDB"/>
    <w:rsid w:val="009D50BB"/>
    <w:rsid w:val="009D619E"/>
    <w:rsid w:val="009D7EA4"/>
    <w:rsid w:val="009E0274"/>
    <w:rsid w:val="009E055D"/>
    <w:rsid w:val="009E0E5C"/>
    <w:rsid w:val="009E124E"/>
    <w:rsid w:val="009E14F1"/>
    <w:rsid w:val="009E1907"/>
    <w:rsid w:val="009E1D73"/>
    <w:rsid w:val="009E2E70"/>
    <w:rsid w:val="009E4EC7"/>
    <w:rsid w:val="009E4FAE"/>
    <w:rsid w:val="009E50F6"/>
    <w:rsid w:val="009E5739"/>
    <w:rsid w:val="009E6FC6"/>
    <w:rsid w:val="009E73F0"/>
    <w:rsid w:val="009E7901"/>
    <w:rsid w:val="009F0A11"/>
    <w:rsid w:val="009F15C0"/>
    <w:rsid w:val="009F3EA7"/>
    <w:rsid w:val="009F494C"/>
    <w:rsid w:val="009F5380"/>
    <w:rsid w:val="009F54CF"/>
    <w:rsid w:val="009F5983"/>
    <w:rsid w:val="009F5D9A"/>
    <w:rsid w:val="009F5EE2"/>
    <w:rsid w:val="009F7403"/>
    <w:rsid w:val="009F78DF"/>
    <w:rsid w:val="009F7BE5"/>
    <w:rsid w:val="00A000AD"/>
    <w:rsid w:val="00A02032"/>
    <w:rsid w:val="00A028CC"/>
    <w:rsid w:val="00A03891"/>
    <w:rsid w:val="00A03895"/>
    <w:rsid w:val="00A03927"/>
    <w:rsid w:val="00A0515F"/>
    <w:rsid w:val="00A05614"/>
    <w:rsid w:val="00A05C2A"/>
    <w:rsid w:val="00A05EE7"/>
    <w:rsid w:val="00A07856"/>
    <w:rsid w:val="00A105F0"/>
    <w:rsid w:val="00A1085E"/>
    <w:rsid w:val="00A10C03"/>
    <w:rsid w:val="00A10C98"/>
    <w:rsid w:val="00A11388"/>
    <w:rsid w:val="00A11DEA"/>
    <w:rsid w:val="00A120FA"/>
    <w:rsid w:val="00A120FF"/>
    <w:rsid w:val="00A12379"/>
    <w:rsid w:val="00A128EC"/>
    <w:rsid w:val="00A13106"/>
    <w:rsid w:val="00A1335D"/>
    <w:rsid w:val="00A136C4"/>
    <w:rsid w:val="00A139CD"/>
    <w:rsid w:val="00A13F6B"/>
    <w:rsid w:val="00A1492E"/>
    <w:rsid w:val="00A14C6F"/>
    <w:rsid w:val="00A15111"/>
    <w:rsid w:val="00A151EE"/>
    <w:rsid w:val="00A155C8"/>
    <w:rsid w:val="00A16DD8"/>
    <w:rsid w:val="00A17466"/>
    <w:rsid w:val="00A175BD"/>
    <w:rsid w:val="00A175CB"/>
    <w:rsid w:val="00A176BA"/>
    <w:rsid w:val="00A203FB"/>
    <w:rsid w:val="00A21F98"/>
    <w:rsid w:val="00A222CE"/>
    <w:rsid w:val="00A23651"/>
    <w:rsid w:val="00A23D68"/>
    <w:rsid w:val="00A248F6"/>
    <w:rsid w:val="00A26683"/>
    <w:rsid w:val="00A26EFF"/>
    <w:rsid w:val="00A26FBE"/>
    <w:rsid w:val="00A301FA"/>
    <w:rsid w:val="00A33A4A"/>
    <w:rsid w:val="00A33EFA"/>
    <w:rsid w:val="00A356C2"/>
    <w:rsid w:val="00A36E79"/>
    <w:rsid w:val="00A36EDA"/>
    <w:rsid w:val="00A37254"/>
    <w:rsid w:val="00A41F06"/>
    <w:rsid w:val="00A420B7"/>
    <w:rsid w:val="00A42D22"/>
    <w:rsid w:val="00A4402D"/>
    <w:rsid w:val="00A4503B"/>
    <w:rsid w:val="00A45215"/>
    <w:rsid w:val="00A4586D"/>
    <w:rsid w:val="00A45D7E"/>
    <w:rsid w:val="00A4661D"/>
    <w:rsid w:val="00A47534"/>
    <w:rsid w:val="00A4766D"/>
    <w:rsid w:val="00A51BAB"/>
    <w:rsid w:val="00A51EEE"/>
    <w:rsid w:val="00A53134"/>
    <w:rsid w:val="00A53C4E"/>
    <w:rsid w:val="00A53D45"/>
    <w:rsid w:val="00A54354"/>
    <w:rsid w:val="00A548F5"/>
    <w:rsid w:val="00A54902"/>
    <w:rsid w:val="00A54BCC"/>
    <w:rsid w:val="00A550C7"/>
    <w:rsid w:val="00A55BD3"/>
    <w:rsid w:val="00A56446"/>
    <w:rsid w:val="00A5656B"/>
    <w:rsid w:val="00A56A48"/>
    <w:rsid w:val="00A57F88"/>
    <w:rsid w:val="00A6044F"/>
    <w:rsid w:val="00A60621"/>
    <w:rsid w:val="00A6179A"/>
    <w:rsid w:val="00A61B1B"/>
    <w:rsid w:val="00A62810"/>
    <w:rsid w:val="00A62863"/>
    <w:rsid w:val="00A63507"/>
    <w:rsid w:val="00A6354B"/>
    <w:rsid w:val="00A639A4"/>
    <w:rsid w:val="00A644EB"/>
    <w:rsid w:val="00A64800"/>
    <w:rsid w:val="00A64DCF"/>
    <w:rsid w:val="00A6563C"/>
    <w:rsid w:val="00A65ED3"/>
    <w:rsid w:val="00A672B0"/>
    <w:rsid w:val="00A67B78"/>
    <w:rsid w:val="00A701F6"/>
    <w:rsid w:val="00A7088C"/>
    <w:rsid w:val="00A72345"/>
    <w:rsid w:val="00A7253F"/>
    <w:rsid w:val="00A733F3"/>
    <w:rsid w:val="00A73BAE"/>
    <w:rsid w:val="00A74A62"/>
    <w:rsid w:val="00A74E15"/>
    <w:rsid w:val="00A75B6D"/>
    <w:rsid w:val="00A76BE4"/>
    <w:rsid w:val="00A76E8C"/>
    <w:rsid w:val="00A77117"/>
    <w:rsid w:val="00A77365"/>
    <w:rsid w:val="00A80BE9"/>
    <w:rsid w:val="00A81A13"/>
    <w:rsid w:val="00A81AE8"/>
    <w:rsid w:val="00A82B7C"/>
    <w:rsid w:val="00A82F44"/>
    <w:rsid w:val="00A830FE"/>
    <w:rsid w:val="00A83F58"/>
    <w:rsid w:val="00A8400A"/>
    <w:rsid w:val="00A848EB"/>
    <w:rsid w:val="00A85375"/>
    <w:rsid w:val="00A85E34"/>
    <w:rsid w:val="00A85F9A"/>
    <w:rsid w:val="00A865AF"/>
    <w:rsid w:val="00A86760"/>
    <w:rsid w:val="00A86B39"/>
    <w:rsid w:val="00A86B8E"/>
    <w:rsid w:val="00A8792A"/>
    <w:rsid w:val="00A87EDC"/>
    <w:rsid w:val="00A90037"/>
    <w:rsid w:val="00A9040D"/>
    <w:rsid w:val="00A90B3F"/>
    <w:rsid w:val="00A90C76"/>
    <w:rsid w:val="00A90D5E"/>
    <w:rsid w:val="00A90EEC"/>
    <w:rsid w:val="00A9127C"/>
    <w:rsid w:val="00A9183C"/>
    <w:rsid w:val="00A9241A"/>
    <w:rsid w:val="00A937FE"/>
    <w:rsid w:val="00A94925"/>
    <w:rsid w:val="00A94D09"/>
    <w:rsid w:val="00A94DD0"/>
    <w:rsid w:val="00A95508"/>
    <w:rsid w:val="00A964DC"/>
    <w:rsid w:val="00A96967"/>
    <w:rsid w:val="00A96B39"/>
    <w:rsid w:val="00A9727F"/>
    <w:rsid w:val="00A974BC"/>
    <w:rsid w:val="00AA0A85"/>
    <w:rsid w:val="00AA0CCF"/>
    <w:rsid w:val="00AA279F"/>
    <w:rsid w:val="00AA39B7"/>
    <w:rsid w:val="00AA3D2B"/>
    <w:rsid w:val="00AA3D5E"/>
    <w:rsid w:val="00AA3D9D"/>
    <w:rsid w:val="00AA3EA8"/>
    <w:rsid w:val="00AA4449"/>
    <w:rsid w:val="00AA44D0"/>
    <w:rsid w:val="00AA4512"/>
    <w:rsid w:val="00AA460C"/>
    <w:rsid w:val="00AA57F5"/>
    <w:rsid w:val="00AA660A"/>
    <w:rsid w:val="00AB0606"/>
    <w:rsid w:val="00AB082F"/>
    <w:rsid w:val="00AB094C"/>
    <w:rsid w:val="00AB195B"/>
    <w:rsid w:val="00AB2862"/>
    <w:rsid w:val="00AB2F42"/>
    <w:rsid w:val="00AB2FDD"/>
    <w:rsid w:val="00AB328A"/>
    <w:rsid w:val="00AB3293"/>
    <w:rsid w:val="00AB382E"/>
    <w:rsid w:val="00AB3E7D"/>
    <w:rsid w:val="00AB46BD"/>
    <w:rsid w:val="00AB5669"/>
    <w:rsid w:val="00AB5B54"/>
    <w:rsid w:val="00AB6475"/>
    <w:rsid w:val="00AB6751"/>
    <w:rsid w:val="00AC1E6B"/>
    <w:rsid w:val="00AC1F11"/>
    <w:rsid w:val="00AC20BE"/>
    <w:rsid w:val="00AC3090"/>
    <w:rsid w:val="00AC3606"/>
    <w:rsid w:val="00AC360D"/>
    <w:rsid w:val="00AC4CD2"/>
    <w:rsid w:val="00AC5072"/>
    <w:rsid w:val="00AC56A6"/>
    <w:rsid w:val="00AC5DB7"/>
    <w:rsid w:val="00AC6110"/>
    <w:rsid w:val="00AC64BA"/>
    <w:rsid w:val="00AC675E"/>
    <w:rsid w:val="00AC6AD7"/>
    <w:rsid w:val="00AC7209"/>
    <w:rsid w:val="00AC75D6"/>
    <w:rsid w:val="00AC7A18"/>
    <w:rsid w:val="00AC7A77"/>
    <w:rsid w:val="00AC7B03"/>
    <w:rsid w:val="00AD0B32"/>
    <w:rsid w:val="00AD0B67"/>
    <w:rsid w:val="00AD1811"/>
    <w:rsid w:val="00AD189C"/>
    <w:rsid w:val="00AD26BD"/>
    <w:rsid w:val="00AD2A9A"/>
    <w:rsid w:val="00AD67B3"/>
    <w:rsid w:val="00AE0328"/>
    <w:rsid w:val="00AE0AA6"/>
    <w:rsid w:val="00AE0B17"/>
    <w:rsid w:val="00AE0CC5"/>
    <w:rsid w:val="00AE115F"/>
    <w:rsid w:val="00AE14E7"/>
    <w:rsid w:val="00AE17EB"/>
    <w:rsid w:val="00AE226D"/>
    <w:rsid w:val="00AE2841"/>
    <w:rsid w:val="00AE2CB9"/>
    <w:rsid w:val="00AE3532"/>
    <w:rsid w:val="00AE38F9"/>
    <w:rsid w:val="00AE43C4"/>
    <w:rsid w:val="00AE51CB"/>
    <w:rsid w:val="00AE55C8"/>
    <w:rsid w:val="00AE59CD"/>
    <w:rsid w:val="00AE68C3"/>
    <w:rsid w:val="00AE6E30"/>
    <w:rsid w:val="00AF0440"/>
    <w:rsid w:val="00AF0BE4"/>
    <w:rsid w:val="00AF1298"/>
    <w:rsid w:val="00AF16BD"/>
    <w:rsid w:val="00AF1BEB"/>
    <w:rsid w:val="00AF1E02"/>
    <w:rsid w:val="00AF22E5"/>
    <w:rsid w:val="00AF357F"/>
    <w:rsid w:val="00AF426E"/>
    <w:rsid w:val="00AF45C7"/>
    <w:rsid w:val="00AF4DA2"/>
    <w:rsid w:val="00AF560D"/>
    <w:rsid w:val="00AF6F3A"/>
    <w:rsid w:val="00B00211"/>
    <w:rsid w:val="00B003DA"/>
    <w:rsid w:val="00B01242"/>
    <w:rsid w:val="00B020D0"/>
    <w:rsid w:val="00B02F5A"/>
    <w:rsid w:val="00B0390F"/>
    <w:rsid w:val="00B03BEA"/>
    <w:rsid w:val="00B05121"/>
    <w:rsid w:val="00B0551D"/>
    <w:rsid w:val="00B05E31"/>
    <w:rsid w:val="00B06A07"/>
    <w:rsid w:val="00B10D14"/>
    <w:rsid w:val="00B12255"/>
    <w:rsid w:val="00B122D2"/>
    <w:rsid w:val="00B12C34"/>
    <w:rsid w:val="00B13280"/>
    <w:rsid w:val="00B132C2"/>
    <w:rsid w:val="00B14FF0"/>
    <w:rsid w:val="00B15138"/>
    <w:rsid w:val="00B15294"/>
    <w:rsid w:val="00B16DEE"/>
    <w:rsid w:val="00B16EE4"/>
    <w:rsid w:val="00B16F03"/>
    <w:rsid w:val="00B17CFE"/>
    <w:rsid w:val="00B20AF7"/>
    <w:rsid w:val="00B20C04"/>
    <w:rsid w:val="00B20EFB"/>
    <w:rsid w:val="00B212B9"/>
    <w:rsid w:val="00B21536"/>
    <w:rsid w:val="00B2400A"/>
    <w:rsid w:val="00B243E8"/>
    <w:rsid w:val="00B24800"/>
    <w:rsid w:val="00B24E0F"/>
    <w:rsid w:val="00B252D3"/>
    <w:rsid w:val="00B26316"/>
    <w:rsid w:val="00B2656F"/>
    <w:rsid w:val="00B27DBA"/>
    <w:rsid w:val="00B30760"/>
    <w:rsid w:val="00B30C50"/>
    <w:rsid w:val="00B32568"/>
    <w:rsid w:val="00B32771"/>
    <w:rsid w:val="00B3397F"/>
    <w:rsid w:val="00B33C7B"/>
    <w:rsid w:val="00B34003"/>
    <w:rsid w:val="00B342AB"/>
    <w:rsid w:val="00B34635"/>
    <w:rsid w:val="00B3463E"/>
    <w:rsid w:val="00B35342"/>
    <w:rsid w:val="00B35816"/>
    <w:rsid w:val="00B36188"/>
    <w:rsid w:val="00B3633F"/>
    <w:rsid w:val="00B36365"/>
    <w:rsid w:val="00B3681D"/>
    <w:rsid w:val="00B3684D"/>
    <w:rsid w:val="00B36B00"/>
    <w:rsid w:val="00B36F37"/>
    <w:rsid w:val="00B3738A"/>
    <w:rsid w:val="00B374A0"/>
    <w:rsid w:val="00B37A56"/>
    <w:rsid w:val="00B37BA5"/>
    <w:rsid w:val="00B40EF7"/>
    <w:rsid w:val="00B4183F"/>
    <w:rsid w:val="00B4236D"/>
    <w:rsid w:val="00B42D0C"/>
    <w:rsid w:val="00B42ED7"/>
    <w:rsid w:val="00B436EC"/>
    <w:rsid w:val="00B44903"/>
    <w:rsid w:val="00B455B0"/>
    <w:rsid w:val="00B45668"/>
    <w:rsid w:val="00B46A91"/>
    <w:rsid w:val="00B47074"/>
    <w:rsid w:val="00B4717C"/>
    <w:rsid w:val="00B471EB"/>
    <w:rsid w:val="00B50021"/>
    <w:rsid w:val="00B5194E"/>
    <w:rsid w:val="00B51B53"/>
    <w:rsid w:val="00B520E7"/>
    <w:rsid w:val="00B5275A"/>
    <w:rsid w:val="00B52A6C"/>
    <w:rsid w:val="00B52D06"/>
    <w:rsid w:val="00B52ECA"/>
    <w:rsid w:val="00B5427D"/>
    <w:rsid w:val="00B55C36"/>
    <w:rsid w:val="00B56C13"/>
    <w:rsid w:val="00B6036A"/>
    <w:rsid w:val="00B604C1"/>
    <w:rsid w:val="00B608A3"/>
    <w:rsid w:val="00B60C98"/>
    <w:rsid w:val="00B6129C"/>
    <w:rsid w:val="00B61EA3"/>
    <w:rsid w:val="00B6277A"/>
    <w:rsid w:val="00B62EB3"/>
    <w:rsid w:val="00B6329A"/>
    <w:rsid w:val="00B632FF"/>
    <w:rsid w:val="00B6354A"/>
    <w:rsid w:val="00B63567"/>
    <w:rsid w:val="00B652F3"/>
    <w:rsid w:val="00B6583C"/>
    <w:rsid w:val="00B6586B"/>
    <w:rsid w:val="00B658EE"/>
    <w:rsid w:val="00B66111"/>
    <w:rsid w:val="00B661FE"/>
    <w:rsid w:val="00B6669B"/>
    <w:rsid w:val="00B66C52"/>
    <w:rsid w:val="00B66ED5"/>
    <w:rsid w:val="00B67BA4"/>
    <w:rsid w:val="00B70673"/>
    <w:rsid w:val="00B70FF8"/>
    <w:rsid w:val="00B71131"/>
    <w:rsid w:val="00B72000"/>
    <w:rsid w:val="00B72137"/>
    <w:rsid w:val="00B72475"/>
    <w:rsid w:val="00B72C58"/>
    <w:rsid w:val="00B72D38"/>
    <w:rsid w:val="00B736F3"/>
    <w:rsid w:val="00B73FD5"/>
    <w:rsid w:val="00B75B7F"/>
    <w:rsid w:val="00B769C2"/>
    <w:rsid w:val="00B7712B"/>
    <w:rsid w:val="00B77508"/>
    <w:rsid w:val="00B7774A"/>
    <w:rsid w:val="00B80ECB"/>
    <w:rsid w:val="00B81DFF"/>
    <w:rsid w:val="00B82356"/>
    <w:rsid w:val="00B82894"/>
    <w:rsid w:val="00B82966"/>
    <w:rsid w:val="00B82F9C"/>
    <w:rsid w:val="00B82FCC"/>
    <w:rsid w:val="00B839F6"/>
    <w:rsid w:val="00B83AB2"/>
    <w:rsid w:val="00B8407F"/>
    <w:rsid w:val="00B843F1"/>
    <w:rsid w:val="00B84E02"/>
    <w:rsid w:val="00B850AA"/>
    <w:rsid w:val="00B8600E"/>
    <w:rsid w:val="00B8658D"/>
    <w:rsid w:val="00B871DB"/>
    <w:rsid w:val="00B87742"/>
    <w:rsid w:val="00B90A41"/>
    <w:rsid w:val="00B91269"/>
    <w:rsid w:val="00B91670"/>
    <w:rsid w:val="00B9198C"/>
    <w:rsid w:val="00B92DAE"/>
    <w:rsid w:val="00B92E1D"/>
    <w:rsid w:val="00B92EE9"/>
    <w:rsid w:val="00B930D6"/>
    <w:rsid w:val="00B93371"/>
    <w:rsid w:val="00B93CFE"/>
    <w:rsid w:val="00B946AF"/>
    <w:rsid w:val="00B947C9"/>
    <w:rsid w:val="00B9592C"/>
    <w:rsid w:val="00B95CFC"/>
    <w:rsid w:val="00B9619E"/>
    <w:rsid w:val="00B961F2"/>
    <w:rsid w:val="00B9710B"/>
    <w:rsid w:val="00B971CC"/>
    <w:rsid w:val="00B97794"/>
    <w:rsid w:val="00BA051C"/>
    <w:rsid w:val="00BA07AC"/>
    <w:rsid w:val="00BA085F"/>
    <w:rsid w:val="00BA13E3"/>
    <w:rsid w:val="00BA1884"/>
    <w:rsid w:val="00BA2A2D"/>
    <w:rsid w:val="00BA2C2A"/>
    <w:rsid w:val="00BA35A7"/>
    <w:rsid w:val="00BA4407"/>
    <w:rsid w:val="00BA46A2"/>
    <w:rsid w:val="00BA5722"/>
    <w:rsid w:val="00BA5A33"/>
    <w:rsid w:val="00BA6266"/>
    <w:rsid w:val="00BA7426"/>
    <w:rsid w:val="00BA7E57"/>
    <w:rsid w:val="00BB0124"/>
    <w:rsid w:val="00BB01F3"/>
    <w:rsid w:val="00BB0414"/>
    <w:rsid w:val="00BB0708"/>
    <w:rsid w:val="00BB08D0"/>
    <w:rsid w:val="00BB0A7C"/>
    <w:rsid w:val="00BB0BE3"/>
    <w:rsid w:val="00BB2240"/>
    <w:rsid w:val="00BB2AD4"/>
    <w:rsid w:val="00BB2B17"/>
    <w:rsid w:val="00BB2CEB"/>
    <w:rsid w:val="00BB3A83"/>
    <w:rsid w:val="00BB4147"/>
    <w:rsid w:val="00BB465A"/>
    <w:rsid w:val="00BB4BE4"/>
    <w:rsid w:val="00BB4E67"/>
    <w:rsid w:val="00BB52AA"/>
    <w:rsid w:val="00BB54B8"/>
    <w:rsid w:val="00BB5525"/>
    <w:rsid w:val="00BB5844"/>
    <w:rsid w:val="00BB5D31"/>
    <w:rsid w:val="00BB775F"/>
    <w:rsid w:val="00BC07BB"/>
    <w:rsid w:val="00BC25FA"/>
    <w:rsid w:val="00BC293A"/>
    <w:rsid w:val="00BC3DA0"/>
    <w:rsid w:val="00BC4001"/>
    <w:rsid w:val="00BC407C"/>
    <w:rsid w:val="00BC5758"/>
    <w:rsid w:val="00BC60CE"/>
    <w:rsid w:val="00BC6108"/>
    <w:rsid w:val="00BC797E"/>
    <w:rsid w:val="00BC798A"/>
    <w:rsid w:val="00BC7BDB"/>
    <w:rsid w:val="00BD0312"/>
    <w:rsid w:val="00BD08BA"/>
    <w:rsid w:val="00BD12D0"/>
    <w:rsid w:val="00BD1640"/>
    <w:rsid w:val="00BD2298"/>
    <w:rsid w:val="00BD2D35"/>
    <w:rsid w:val="00BD329C"/>
    <w:rsid w:val="00BD4AE9"/>
    <w:rsid w:val="00BD4C55"/>
    <w:rsid w:val="00BD4CB3"/>
    <w:rsid w:val="00BD5FE8"/>
    <w:rsid w:val="00BD72B9"/>
    <w:rsid w:val="00BD7931"/>
    <w:rsid w:val="00BE000A"/>
    <w:rsid w:val="00BE1491"/>
    <w:rsid w:val="00BE1F0C"/>
    <w:rsid w:val="00BE37ED"/>
    <w:rsid w:val="00BE3D60"/>
    <w:rsid w:val="00BE3DBF"/>
    <w:rsid w:val="00BE5762"/>
    <w:rsid w:val="00BE6A44"/>
    <w:rsid w:val="00BE6DC4"/>
    <w:rsid w:val="00BE6EF5"/>
    <w:rsid w:val="00BE724D"/>
    <w:rsid w:val="00BE781B"/>
    <w:rsid w:val="00BF050E"/>
    <w:rsid w:val="00BF080F"/>
    <w:rsid w:val="00BF1E23"/>
    <w:rsid w:val="00BF29E7"/>
    <w:rsid w:val="00BF2FFF"/>
    <w:rsid w:val="00BF318F"/>
    <w:rsid w:val="00BF3C99"/>
    <w:rsid w:val="00BF3CA0"/>
    <w:rsid w:val="00BF4EEB"/>
    <w:rsid w:val="00BF55ED"/>
    <w:rsid w:val="00BF5EBD"/>
    <w:rsid w:val="00BF664D"/>
    <w:rsid w:val="00BF6BB5"/>
    <w:rsid w:val="00BF6E5D"/>
    <w:rsid w:val="00BF793C"/>
    <w:rsid w:val="00BF7F61"/>
    <w:rsid w:val="00C00115"/>
    <w:rsid w:val="00C0013F"/>
    <w:rsid w:val="00C00490"/>
    <w:rsid w:val="00C0062B"/>
    <w:rsid w:val="00C03161"/>
    <w:rsid w:val="00C03212"/>
    <w:rsid w:val="00C03239"/>
    <w:rsid w:val="00C03923"/>
    <w:rsid w:val="00C03C83"/>
    <w:rsid w:val="00C03EEF"/>
    <w:rsid w:val="00C044B0"/>
    <w:rsid w:val="00C04E1F"/>
    <w:rsid w:val="00C05750"/>
    <w:rsid w:val="00C06D91"/>
    <w:rsid w:val="00C1046A"/>
    <w:rsid w:val="00C11EC4"/>
    <w:rsid w:val="00C125AD"/>
    <w:rsid w:val="00C128C8"/>
    <w:rsid w:val="00C13D20"/>
    <w:rsid w:val="00C16418"/>
    <w:rsid w:val="00C172C5"/>
    <w:rsid w:val="00C2001F"/>
    <w:rsid w:val="00C21D51"/>
    <w:rsid w:val="00C22112"/>
    <w:rsid w:val="00C22580"/>
    <w:rsid w:val="00C22DC7"/>
    <w:rsid w:val="00C23D66"/>
    <w:rsid w:val="00C25916"/>
    <w:rsid w:val="00C269E8"/>
    <w:rsid w:val="00C27B44"/>
    <w:rsid w:val="00C30B64"/>
    <w:rsid w:val="00C31203"/>
    <w:rsid w:val="00C31431"/>
    <w:rsid w:val="00C31615"/>
    <w:rsid w:val="00C31C52"/>
    <w:rsid w:val="00C325CD"/>
    <w:rsid w:val="00C32B5F"/>
    <w:rsid w:val="00C33045"/>
    <w:rsid w:val="00C34731"/>
    <w:rsid w:val="00C3487E"/>
    <w:rsid w:val="00C34A72"/>
    <w:rsid w:val="00C34BE8"/>
    <w:rsid w:val="00C36812"/>
    <w:rsid w:val="00C36D95"/>
    <w:rsid w:val="00C37996"/>
    <w:rsid w:val="00C379BD"/>
    <w:rsid w:val="00C40191"/>
    <w:rsid w:val="00C40AA6"/>
    <w:rsid w:val="00C42090"/>
    <w:rsid w:val="00C424C4"/>
    <w:rsid w:val="00C42FC0"/>
    <w:rsid w:val="00C43938"/>
    <w:rsid w:val="00C44D42"/>
    <w:rsid w:val="00C45BC8"/>
    <w:rsid w:val="00C463F2"/>
    <w:rsid w:val="00C46F2C"/>
    <w:rsid w:val="00C47939"/>
    <w:rsid w:val="00C5053B"/>
    <w:rsid w:val="00C5061E"/>
    <w:rsid w:val="00C506FA"/>
    <w:rsid w:val="00C51270"/>
    <w:rsid w:val="00C51CD7"/>
    <w:rsid w:val="00C522FC"/>
    <w:rsid w:val="00C5405A"/>
    <w:rsid w:val="00C54A57"/>
    <w:rsid w:val="00C54D63"/>
    <w:rsid w:val="00C54FE1"/>
    <w:rsid w:val="00C56BF1"/>
    <w:rsid w:val="00C56C77"/>
    <w:rsid w:val="00C56D2D"/>
    <w:rsid w:val="00C57633"/>
    <w:rsid w:val="00C57EEF"/>
    <w:rsid w:val="00C608C8"/>
    <w:rsid w:val="00C60B93"/>
    <w:rsid w:val="00C60BCB"/>
    <w:rsid w:val="00C6105A"/>
    <w:rsid w:val="00C6106E"/>
    <w:rsid w:val="00C61449"/>
    <w:rsid w:val="00C6152D"/>
    <w:rsid w:val="00C619AF"/>
    <w:rsid w:val="00C61BDB"/>
    <w:rsid w:val="00C61DE8"/>
    <w:rsid w:val="00C62622"/>
    <w:rsid w:val="00C62E26"/>
    <w:rsid w:val="00C63393"/>
    <w:rsid w:val="00C63F92"/>
    <w:rsid w:val="00C6413F"/>
    <w:rsid w:val="00C663B4"/>
    <w:rsid w:val="00C66656"/>
    <w:rsid w:val="00C66672"/>
    <w:rsid w:val="00C6687B"/>
    <w:rsid w:val="00C66DE8"/>
    <w:rsid w:val="00C71208"/>
    <w:rsid w:val="00C71DB2"/>
    <w:rsid w:val="00C72CC5"/>
    <w:rsid w:val="00C74148"/>
    <w:rsid w:val="00C74E62"/>
    <w:rsid w:val="00C75011"/>
    <w:rsid w:val="00C7537D"/>
    <w:rsid w:val="00C75DD7"/>
    <w:rsid w:val="00C75EA5"/>
    <w:rsid w:val="00C761DE"/>
    <w:rsid w:val="00C76819"/>
    <w:rsid w:val="00C771D4"/>
    <w:rsid w:val="00C776CF"/>
    <w:rsid w:val="00C778BA"/>
    <w:rsid w:val="00C77B26"/>
    <w:rsid w:val="00C77F38"/>
    <w:rsid w:val="00C80B01"/>
    <w:rsid w:val="00C81AF6"/>
    <w:rsid w:val="00C81C2F"/>
    <w:rsid w:val="00C82AC1"/>
    <w:rsid w:val="00C83E6F"/>
    <w:rsid w:val="00C85240"/>
    <w:rsid w:val="00C855E6"/>
    <w:rsid w:val="00C85FD9"/>
    <w:rsid w:val="00C86A4C"/>
    <w:rsid w:val="00C87181"/>
    <w:rsid w:val="00C87443"/>
    <w:rsid w:val="00C87FDA"/>
    <w:rsid w:val="00C90D05"/>
    <w:rsid w:val="00C929AB"/>
    <w:rsid w:val="00C93019"/>
    <w:rsid w:val="00C9353F"/>
    <w:rsid w:val="00C93C52"/>
    <w:rsid w:val="00C940CC"/>
    <w:rsid w:val="00C94314"/>
    <w:rsid w:val="00C94A64"/>
    <w:rsid w:val="00C9594C"/>
    <w:rsid w:val="00C9652B"/>
    <w:rsid w:val="00C96D05"/>
    <w:rsid w:val="00C974DD"/>
    <w:rsid w:val="00C97784"/>
    <w:rsid w:val="00C979E6"/>
    <w:rsid w:val="00C97F94"/>
    <w:rsid w:val="00CA02EA"/>
    <w:rsid w:val="00CA086D"/>
    <w:rsid w:val="00CA0879"/>
    <w:rsid w:val="00CA08F1"/>
    <w:rsid w:val="00CA0B68"/>
    <w:rsid w:val="00CA0DA2"/>
    <w:rsid w:val="00CA1086"/>
    <w:rsid w:val="00CA16AC"/>
    <w:rsid w:val="00CA1A7E"/>
    <w:rsid w:val="00CA20BA"/>
    <w:rsid w:val="00CA2112"/>
    <w:rsid w:val="00CA2F63"/>
    <w:rsid w:val="00CA3CF4"/>
    <w:rsid w:val="00CA50EC"/>
    <w:rsid w:val="00CA559A"/>
    <w:rsid w:val="00CA5BCE"/>
    <w:rsid w:val="00CA6858"/>
    <w:rsid w:val="00CA6C6F"/>
    <w:rsid w:val="00CA7B37"/>
    <w:rsid w:val="00CB0791"/>
    <w:rsid w:val="00CB128D"/>
    <w:rsid w:val="00CB2391"/>
    <w:rsid w:val="00CB277D"/>
    <w:rsid w:val="00CB3816"/>
    <w:rsid w:val="00CB3A0A"/>
    <w:rsid w:val="00CB4980"/>
    <w:rsid w:val="00CB4B40"/>
    <w:rsid w:val="00CB4DC7"/>
    <w:rsid w:val="00CB550B"/>
    <w:rsid w:val="00CB5DF1"/>
    <w:rsid w:val="00CB5DF3"/>
    <w:rsid w:val="00CB68E1"/>
    <w:rsid w:val="00CB6A1F"/>
    <w:rsid w:val="00CB6AB1"/>
    <w:rsid w:val="00CB78FF"/>
    <w:rsid w:val="00CB7BD3"/>
    <w:rsid w:val="00CB7D5D"/>
    <w:rsid w:val="00CC0A67"/>
    <w:rsid w:val="00CC27E5"/>
    <w:rsid w:val="00CC2A17"/>
    <w:rsid w:val="00CC2D20"/>
    <w:rsid w:val="00CC3F03"/>
    <w:rsid w:val="00CC4345"/>
    <w:rsid w:val="00CC4926"/>
    <w:rsid w:val="00CC4929"/>
    <w:rsid w:val="00CC4A77"/>
    <w:rsid w:val="00CC4E07"/>
    <w:rsid w:val="00CC5802"/>
    <w:rsid w:val="00CC704B"/>
    <w:rsid w:val="00CC7AB2"/>
    <w:rsid w:val="00CC7FC1"/>
    <w:rsid w:val="00CD0163"/>
    <w:rsid w:val="00CD041F"/>
    <w:rsid w:val="00CD04DA"/>
    <w:rsid w:val="00CD0ADC"/>
    <w:rsid w:val="00CD0FA1"/>
    <w:rsid w:val="00CD18D1"/>
    <w:rsid w:val="00CD372E"/>
    <w:rsid w:val="00CD52A9"/>
    <w:rsid w:val="00CD58BC"/>
    <w:rsid w:val="00CD611F"/>
    <w:rsid w:val="00CD63B5"/>
    <w:rsid w:val="00CD6576"/>
    <w:rsid w:val="00CD6D43"/>
    <w:rsid w:val="00CD767E"/>
    <w:rsid w:val="00CD7FDC"/>
    <w:rsid w:val="00CE014D"/>
    <w:rsid w:val="00CE17AD"/>
    <w:rsid w:val="00CE1CD5"/>
    <w:rsid w:val="00CE25D8"/>
    <w:rsid w:val="00CE267C"/>
    <w:rsid w:val="00CE30CC"/>
    <w:rsid w:val="00CE323B"/>
    <w:rsid w:val="00CE54F6"/>
    <w:rsid w:val="00CE6D0E"/>
    <w:rsid w:val="00CE7400"/>
    <w:rsid w:val="00CE79B3"/>
    <w:rsid w:val="00CF03E0"/>
    <w:rsid w:val="00CF087B"/>
    <w:rsid w:val="00CF0C25"/>
    <w:rsid w:val="00CF0CF3"/>
    <w:rsid w:val="00CF105B"/>
    <w:rsid w:val="00CF208A"/>
    <w:rsid w:val="00CF2345"/>
    <w:rsid w:val="00CF276F"/>
    <w:rsid w:val="00CF301D"/>
    <w:rsid w:val="00CF3AB1"/>
    <w:rsid w:val="00CF430C"/>
    <w:rsid w:val="00CF490E"/>
    <w:rsid w:val="00CF5788"/>
    <w:rsid w:val="00CF5F54"/>
    <w:rsid w:val="00CF7534"/>
    <w:rsid w:val="00CF7ECE"/>
    <w:rsid w:val="00D00452"/>
    <w:rsid w:val="00D011C7"/>
    <w:rsid w:val="00D029A5"/>
    <w:rsid w:val="00D03039"/>
    <w:rsid w:val="00D03364"/>
    <w:rsid w:val="00D03A66"/>
    <w:rsid w:val="00D03CB9"/>
    <w:rsid w:val="00D03FDA"/>
    <w:rsid w:val="00D040FE"/>
    <w:rsid w:val="00D06DD1"/>
    <w:rsid w:val="00D072FF"/>
    <w:rsid w:val="00D07301"/>
    <w:rsid w:val="00D07B9C"/>
    <w:rsid w:val="00D10459"/>
    <w:rsid w:val="00D10720"/>
    <w:rsid w:val="00D1100F"/>
    <w:rsid w:val="00D11D4B"/>
    <w:rsid w:val="00D12055"/>
    <w:rsid w:val="00D12598"/>
    <w:rsid w:val="00D12A54"/>
    <w:rsid w:val="00D12AC4"/>
    <w:rsid w:val="00D138FA"/>
    <w:rsid w:val="00D13FC3"/>
    <w:rsid w:val="00D14F02"/>
    <w:rsid w:val="00D15DB2"/>
    <w:rsid w:val="00D16060"/>
    <w:rsid w:val="00D1648D"/>
    <w:rsid w:val="00D16E48"/>
    <w:rsid w:val="00D179A2"/>
    <w:rsid w:val="00D227AE"/>
    <w:rsid w:val="00D22B70"/>
    <w:rsid w:val="00D23434"/>
    <w:rsid w:val="00D23CBC"/>
    <w:rsid w:val="00D23FD2"/>
    <w:rsid w:val="00D24168"/>
    <w:rsid w:val="00D24A67"/>
    <w:rsid w:val="00D24CEB"/>
    <w:rsid w:val="00D25425"/>
    <w:rsid w:val="00D2666F"/>
    <w:rsid w:val="00D26702"/>
    <w:rsid w:val="00D26C81"/>
    <w:rsid w:val="00D27E51"/>
    <w:rsid w:val="00D3045F"/>
    <w:rsid w:val="00D30C71"/>
    <w:rsid w:val="00D32E17"/>
    <w:rsid w:val="00D3317D"/>
    <w:rsid w:val="00D348FB"/>
    <w:rsid w:val="00D349C1"/>
    <w:rsid w:val="00D352D0"/>
    <w:rsid w:val="00D35394"/>
    <w:rsid w:val="00D36A32"/>
    <w:rsid w:val="00D37315"/>
    <w:rsid w:val="00D37BD1"/>
    <w:rsid w:val="00D407F5"/>
    <w:rsid w:val="00D41209"/>
    <w:rsid w:val="00D412C4"/>
    <w:rsid w:val="00D41D71"/>
    <w:rsid w:val="00D42117"/>
    <w:rsid w:val="00D423F3"/>
    <w:rsid w:val="00D42789"/>
    <w:rsid w:val="00D42804"/>
    <w:rsid w:val="00D43274"/>
    <w:rsid w:val="00D43360"/>
    <w:rsid w:val="00D43E1C"/>
    <w:rsid w:val="00D44629"/>
    <w:rsid w:val="00D44687"/>
    <w:rsid w:val="00D4553B"/>
    <w:rsid w:val="00D45ADB"/>
    <w:rsid w:val="00D45DDB"/>
    <w:rsid w:val="00D46E68"/>
    <w:rsid w:val="00D47000"/>
    <w:rsid w:val="00D47CC3"/>
    <w:rsid w:val="00D47D7C"/>
    <w:rsid w:val="00D47E91"/>
    <w:rsid w:val="00D47F5D"/>
    <w:rsid w:val="00D50F52"/>
    <w:rsid w:val="00D50FF2"/>
    <w:rsid w:val="00D523B6"/>
    <w:rsid w:val="00D52B59"/>
    <w:rsid w:val="00D53FB5"/>
    <w:rsid w:val="00D544E7"/>
    <w:rsid w:val="00D54A09"/>
    <w:rsid w:val="00D55871"/>
    <w:rsid w:val="00D55912"/>
    <w:rsid w:val="00D55D2F"/>
    <w:rsid w:val="00D5638D"/>
    <w:rsid w:val="00D56961"/>
    <w:rsid w:val="00D56F6E"/>
    <w:rsid w:val="00D574D9"/>
    <w:rsid w:val="00D57D2A"/>
    <w:rsid w:val="00D60119"/>
    <w:rsid w:val="00D60164"/>
    <w:rsid w:val="00D601AC"/>
    <w:rsid w:val="00D612A9"/>
    <w:rsid w:val="00D619F3"/>
    <w:rsid w:val="00D62347"/>
    <w:rsid w:val="00D63AA6"/>
    <w:rsid w:val="00D63E12"/>
    <w:rsid w:val="00D64881"/>
    <w:rsid w:val="00D64ED9"/>
    <w:rsid w:val="00D64EFF"/>
    <w:rsid w:val="00D65CDF"/>
    <w:rsid w:val="00D65E94"/>
    <w:rsid w:val="00D65EC9"/>
    <w:rsid w:val="00D6620D"/>
    <w:rsid w:val="00D66229"/>
    <w:rsid w:val="00D668A8"/>
    <w:rsid w:val="00D6697A"/>
    <w:rsid w:val="00D673E8"/>
    <w:rsid w:val="00D675C9"/>
    <w:rsid w:val="00D67D2A"/>
    <w:rsid w:val="00D67E5F"/>
    <w:rsid w:val="00D702D1"/>
    <w:rsid w:val="00D70347"/>
    <w:rsid w:val="00D71DAA"/>
    <w:rsid w:val="00D72791"/>
    <w:rsid w:val="00D73202"/>
    <w:rsid w:val="00D73501"/>
    <w:rsid w:val="00D7366F"/>
    <w:rsid w:val="00D73EAE"/>
    <w:rsid w:val="00D73EBE"/>
    <w:rsid w:val="00D74186"/>
    <w:rsid w:val="00D75519"/>
    <w:rsid w:val="00D75E56"/>
    <w:rsid w:val="00D80A99"/>
    <w:rsid w:val="00D81316"/>
    <w:rsid w:val="00D81D45"/>
    <w:rsid w:val="00D81EB5"/>
    <w:rsid w:val="00D82840"/>
    <w:rsid w:val="00D829BD"/>
    <w:rsid w:val="00D82C2B"/>
    <w:rsid w:val="00D833BA"/>
    <w:rsid w:val="00D84473"/>
    <w:rsid w:val="00D84831"/>
    <w:rsid w:val="00D84D30"/>
    <w:rsid w:val="00D86594"/>
    <w:rsid w:val="00D86F15"/>
    <w:rsid w:val="00D8788F"/>
    <w:rsid w:val="00D87ADF"/>
    <w:rsid w:val="00D9044D"/>
    <w:rsid w:val="00D90565"/>
    <w:rsid w:val="00D90822"/>
    <w:rsid w:val="00D90CFF"/>
    <w:rsid w:val="00D91909"/>
    <w:rsid w:val="00D91D1F"/>
    <w:rsid w:val="00D926DA"/>
    <w:rsid w:val="00D92E04"/>
    <w:rsid w:val="00D92E14"/>
    <w:rsid w:val="00D93051"/>
    <w:rsid w:val="00D935E5"/>
    <w:rsid w:val="00D9360F"/>
    <w:rsid w:val="00D937FC"/>
    <w:rsid w:val="00D94335"/>
    <w:rsid w:val="00D95296"/>
    <w:rsid w:val="00D95823"/>
    <w:rsid w:val="00D9599D"/>
    <w:rsid w:val="00D95AD7"/>
    <w:rsid w:val="00D95F57"/>
    <w:rsid w:val="00D9744F"/>
    <w:rsid w:val="00D979D5"/>
    <w:rsid w:val="00DA04CD"/>
    <w:rsid w:val="00DA0828"/>
    <w:rsid w:val="00DA1340"/>
    <w:rsid w:val="00DA1C38"/>
    <w:rsid w:val="00DA2139"/>
    <w:rsid w:val="00DA36D4"/>
    <w:rsid w:val="00DA42D3"/>
    <w:rsid w:val="00DA5123"/>
    <w:rsid w:val="00DA5816"/>
    <w:rsid w:val="00DA5A7D"/>
    <w:rsid w:val="00DA6671"/>
    <w:rsid w:val="00DA6F62"/>
    <w:rsid w:val="00DA755E"/>
    <w:rsid w:val="00DB0525"/>
    <w:rsid w:val="00DB1922"/>
    <w:rsid w:val="00DB23F4"/>
    <w:rsid w:val="00DB271C"/>
    <w:rsid w:val="00DB3704"/>
    <w:rsid w:val="00DB4BC8"/>
    <w:rsid w:val="00DB51C5"/>
    <w:rsid w:val="00DB5242"/>
    <w:rsid w:val="00DB547C"/>
    <w:rsid w:val="00DB653E"/>
    <w:rsid w:val="00DB7836"/>
    <w:rsid w:val="00DB7932"/>
    <w:rsid w:val="00DC0330"/>
    <w:rsid w:val="00DC0F0B"/>
    <w:rsid w:val="00DC189C"/>
    <w:rsid w:val="00DC207E"/>
    <w:rsid w:val="00DC2CA8"/>
    <w:rsid w:val="00DC2E38"/>
    <w:rsid w:val="00DC35C2"/>
    <w:rsid w:val="00DC4661"/>
    <w:rsid w:val="00DC6649"/>
    <w:rsid w:val="00DC6795"/>
    <w:rsid w:val="00DC6C02"/>
    <w:rsid w:val="00DC7442"/>
    <w:rsid w:val="00DC747A"/>
    <w:rsid w:val="00DC7892"/>
    <w:rsid w:val="00DD11B1"/>
    <w:rsid w:val="00DD12A7"/>
    <w:rsid w:val="00DD150A"/>
    <w:rsid w:val="00DD26A1"/>
    <w:rsid w:val="00DD2C6D"/>
    <w:rsid w:val="00DD32A9"/>
    <w:rsid w:val="00DD3C23"/>
    <w:rsid w:val="00DD3DCB"/>
    <w:rsid w:val="00DD4568"/>
    <w:rsid w:val="00DD487F"/>
    <w:rsid w:val="00DD6E6B"/>
    <w:rsid w:val="00DD7024"/>
    <w:rsid w:val="00DD79D0"/>
    <w:rsid w:val="00DD7B2F"/>
    <w:rsid w:val="00DD7BD2"/>
    <w:rsid w:val="00DD7E82"/>
    <w:rsid w:val="00DE0740"/>
    <w:rsid w:val="00DE0E5C"/>
    <w:rsid w:val="00DE2476"/>
    <w:rsid w:val="00DE423D"/>
    <w:rsid w:val="00DE4EB2"/>
    <w:rsid w:val="00DE51D1"/>
    <w:rsid w:val="00DE5685"/>
    <w:rsid w:val="00DE5BB1"/>
    <w:rsid w:val="00DE6486"/>
    <w:rsid w:val="00DE7147"/>
    <w:rsid w:val="00DF0A4E"/>
    <w:rsid w:val="00DF1290"/>
    <w:rsid w:val="00DF1532"/>
    <w:rsid w:val="00DF2A58"/>
    <w:rsid w:val="00DF2C76"/>
    <w:rsid w:val="00DF2E3C"/>
    <w:rsid w:val="00DF4340"/>
    <w:rsid w:val="00DF4408"/>
    <w:rsid w:val="00DF586E"/>
    <w:rsid w:val="00DF667C"/>
    <w:rsid w:val="00DF68F8"/>
    <w:rsid w:val="00DF6D54"/>
    <w:rsid w:val="00DF7673"/>
    <w:rsid w:val="00DF7A81"/>
    <w:rsid w:val="00DF7A96"/>
    <w:rsid w:val="00E0023E"/>
    <w:rsid w:val="00E007EB"/>
    <w:rsid w:val="00E00BB7"/>
    <w:rsid w:val="00E00D57"/>
    <w:rsid w:val="00E016C0"/>
    <w:rsid w:val="00E01A64"/>
    <w:rsid w:val="00E02122"/>
    <w:rsid w:val="00E022D2"/>
    <w:rsid w:val="00E022FC"/>
    <w:rsid w:val="00E03094"/>
    <w:rsid w:val="00E0336B"/>
    <w:rsid w:val="00E034ED"/>
    <w:rsid w:val="00E036EF"/>
    <w:rsid w:val="00E05B6E"/>
    <w:rsid w:val="00E05DF1"/>
    <w:rsid w:val="00E06207"/>
    <w:rsid w:val="00E06A22"/>
    <w:rsid w:val="00E06D33"/>
    <w:rsid w:val="00E0777F"/>
    <w:rsid w:val="00E07CD3"/>
    <w:rsid w:val="00E104D5"/>
    <w:rsid w:val="00E10C7B"/>
    <w:rsid w:val="00E11174"/>
    <w:rsid w:val="00E115D1"/>
    <w:rsid w:val="00E11A9A"/>
    <w:rsid w:val="00E11FF0"/>
    <w:rsid w:val="00E121FE"/>
    <w:rsid w:val="00E1283A"/>
    <w:rsid w:val="00E13774"/>
    <w:rsid w:val="00E15C5D"/>
    <w:rsid w:val="00E1610B"/>
    <w:rsid w:val="00E16411"/>
    <w:rsid w:val="00E168CE"/>
    <w:rsid w:val="00E16E12"/>
    <w:rsid w:val="00E17370"/>
    <w:rsid w:val="00E202CD"/>
    <w:rsid w:val="00E204E0"/>
    <w:rsid w:val="00E2058F"/>
    <w:rsid w:val="00E21444"/>
    <w:rsid w:val="00E219C9"/>
    <w:rsid w:val="00E21D08"/>
    <w:rsid w:val="00E220CF"/>
    <w:rsid w:val="00E233EE"/>
    <w:rsid w:val="00E24F60"/>
    <w:rsid w:val="00E26086"/>
    <w:rsid w:val="00E276E5"/>
    <w:rsid w:val="00E27BDC"/>
    <w:rsid w:val="00E30008"/>
    <w:rsid w:val="00E305BA"/>
    <w:rsid w:val="00E30DD5"/>
    <w:rsid w:val="00E31209"/>
    <w:rsid w:val="00E312A4"/>
    <w:rsid w:val="00E312A6"/>
    <w:rsid w:val="00E32850"/>
    <w:rsid w:val="00E32FC6"/>
    <w:rsid w:val="00E34AC0"/>
    <w:rsid w:val="00E34BE0"/>
    <w:rsid w:val="00E355DB"/>
    <w:rsid w:val="00E35A70"/>
    <w:rsid w:val="00E35FAC"/>
    <w:rsid w:val="00E3639A"/>
    <w:rsid w:val="00E3669B"/>
    <w:rsid w:val="00E369C9"/>
    <w:rsid w:val="00E375BB"/>
    <w:rsid w:val="00E376EE"/>
    <w:rsid w:val="00E37EB6"/>
    <w:rsid w:val="00E40017"/>
    <w:rsid w:val="00E40AC0"/>
    <w:rsid w:val="00E413C0"/>
    <w:rsid w:val="00E414E2"/>
    <w:rsid w:val="00E4264E"/>
    <w:rsid w:val="00E42B3F"/>
    <w:rsid w:val="00E43616"/>
    <w:rsid w:val="00E437A0"/>
    <w:rsid w:val="00E43D4A"/>
    <w:rsid w:val="00E44801"/>
    <w:rsid w:val="00E44A81"/>
    <w:rsid w:val="00E46975"/>
    <w:rsid w:val="00E46AF4"/>
    <w:rsid w:val="00E46E4A"/>
    <w:rsid w:val="00E470B9"/>
    <w:rsid w:val="00E471CB"/>
    <w:rsid w:val="00E47509"/>
    <w:rsid w:val="00E509A5"/>
    <w:rsid w:val="00E50F48"/>
    <w:rsid w:val="00E511B9"/>
    <w:rsid w:val="00E51406"/>
    <w:rsid w:val="00E51682"/>
    <w:rsid w:val="00E5168E"/>
    <w:rsid w:val="00E52B11"/>
    <w:rsid w:val="00E532C3"/>
    <w:rsid w:val="00E5369C"/>
    <w:rsid w:val="00E536F4"/>
    <w:rsid w:val="00E53C2C"/>
    <w:rsid w:val="00E5474F"/>
    <w:rsid w:val="00E54813"/>
    <w:rsid w:val="00E54BAB"/>
    <w:rsid w:val="00E54F64"/>
    <w:rsid w:val="00E55D04"/>
    <w:rsid w:val="00E5686E"/>
    <w:rsid w:val="00E568E2"/>
    <w:rsid w:val="00E56D1C"/>
    <w:rsid w:val="00E57B88"/>
    <w:rsid w:val="00E57C25"/>
    <w:rsid w:val="00E57FA8"/>
    <w:rsid w:val="00E60148"/>
    <w:rsid w:val="00E61760"/>
    <w:rsid w:val="00E61859"/>
    <w:rsid w:val="00E62043"/>
    <w:rsid w:val="00E63BAE"/>
    <w:rsid w:val="00E63D06"/>
    <w:rsid w:val="00E63FA0"/>
    <w:rsid w:val="00E6506A"/>
    <w:rsid w:val="00E655DD"/>
    <w:rsid w:val="00E65B7B"/>
    <w:rsid w:val="00E66331"/>
    <w:rsid w:val="00E665EC"/>
    <w:rsid w:val="00E6725E"/>
    <w:rsid w:val="00E67993"/>
    <w:rsid w:val="00E71969"/>
    <w:rsid w:val="00E71C7C"/>
    <w:rsid w:val="00E724D1"/>
    <w:rsid w:val="00E72B39"/>
    <w:rsid w:val="00E734C5"/>
    <w:rsid w:val="00E752D1"/>
    <w:rsid w:val="00E759C2"/>
    <w:rsid w:val="00E75B69"/>
    <w:rsid w:val="00E769C2"/>
    <w:rsid w:val="00E76D06"/>
    <w:rsid w:val="00E76FE3"/>
    <w:rsid w:val="00E775D3"/>
    <w:rsid w:val="00E778EC"/>
    <w:rsid w:val="00E77CC6"/>
    <w:rsid w:val="00E77D4C"/>
    <w:rsid w:val="00E80FE6"/>
    <w:rsid w:val="00E81263"/>
    <w:rsid w:val="00E824B9"/>
    <w:rsid w:val="00E82D24"/>
    <w:rsid w:val="00E8327D"/>
    <w:rsid w:val="00E83314"/>
    <w:rsid w:val="00E8390B"/>
    <w:rsid w:val="00E84027"/>
    <w:rsid w:val="00E8441C"/>
    <w:rsid w:val="00E847CD"/>
    <w:rsid w:val="00E858BC"/>
    <w:rsid w:val="00E87110"/>
    <w:rsid w:val="00E87B3A"/>
    <w:rsid w:val="00E907BC"/>
    <w:rsid w:val="00E90B8B"/>
    <w:rsid w:val="00E9141E"/>
    <w:rsid w:val="00E91698"/>
    <w:rsid w:val="00E92184"/>
    <w:rsid w:val="00E9267E"/>
    <w:rsid w:val="00E926AB"/>
    <w:rsid w:val="00E931E7"/>
    <w:rsid w:val="00E932A5"/>
    <w:rsid w:val="00E9397D"/>
    <w:rsid w:val="00E939F2"/>
    <w:rsid w:val="00E944D4"/>
    <w:rsid w:val="00E94B75"/>
    <w:rsid w:val="00E94D3B"/>
    <w:rsid w:val="00E96110"/>
    <w:rsid w:val="00E97386"/>
    <w:rsid w:val="00EA0A22"/>
    <w:rsid w:val="00EA0CDF"/>
    <w:rsid w:val="00EA0FE6"/>
    <w:rsid w:val="00EA2072"/>
    <w:rsid w:val="00EA2497"/>
    <w:rsid w:val="00EA4173"/>
    <w:rsid w:val="00EA59BA"/>
    <w:rsid w:val="00EA5B43"/>
    <w:rsid w:val="00EA5CFD"/>
    <w:rsid w:val="00EA5F30"/>
    <w:rsid w:val="00EA5F3C"/>
    <w:rsid w:val="00EA7063"/>
    <w:rsid w:val="00EA7493"/>
    <w:rsid w:val="00EA753C"/>
    <w:rsid w:val="00EA7C77"/>
    <w:rsid w:val="00EB02DD"/>
    <w:rsid w:val="00EB086B"/>
    <w:rsid w:val="00EB126D"/>
    <w:rsid w:val="00EB33A0"/>
    <w:rsid w:val="00EB3CFA"/>
    <w:rsid w:val="00EB4AF9"/>
    <w:rsid w:val="00EB5B42"/>
    <w:rsid w:val="00EB5C6E"/>
    <w:rsid w:val="00EB5F69"/>
    <w:rsid w:val="00EB77A6"/>
    <w:rsid w:val="00EC0D67"/>
    <w:rsid w:val="00EC1556"/>
    <w:rsid w:val="00EC17C6"/>
    <w:rsid w:val="00EC2431"/>
    <w:rsid w:val="00EC24DA"/>
    <w:rsid w:val="00EC2C42"/>
    <w:rsid w:val="00EC2C43"/>
    <w:rsid w:val="00EC3100"/>
    <w:rsid w:val="00EC35E8"/>
    <w:rsid w:val="00EC4501"/>
    <w:rsid w:val="00EC512E"/>
    <w:rsid w:val="00EC55E0"/>
    <w:rsid w:val="00EC5776"/>
    <w:rsid w:val="00EC676C"/>
    <w:rsid w:val="00EC6DBA"/>
    <w:rsid w:val="00EC7065"/>
    <w:rsid w:val="00EC7BC9"/>
    <w:rsid w:val="00EC7C60"/>
    <w:rsid w:val="00ED086E"/>
    <w:rsid w:val="00ED0CD0"/>
    <w:rsid w:val="00ED1247"/>
    <w:rsid w:val="00ED3B3D"/>
    <w:rsid w:val="00ED3FA7"/>
    <w:rsid w:val="00ED41EC"/>
    <w:rsid w:val="00ED43E7"/>
    <w:rsid w:val="00ED4EF7"/>
    <w:rsid w:val="00ED63B7"/>
    <w:rsid w:val="00ED6535"/>
    <w:rsid w:val="00ED739F"/>
    <w:rsid w:val="00ED791D"/>
    <w:rsid w:val="00EE013D"/>
    <w:rsid w:val="00EE0210"/>
    <w:rsid w:val="00EE041D"/>
    <w:rsid w:val="00EE1231"/>
    <w:rsid w:val="00EE1486"/>
    <w:rsid w:val="00EE173F"/>
    <w:rsid w:val="00EE1CC2"/>
    <w:rsid w:val="00EE211C"/>
    <w:rsid w:val="00EE23CD"/>
    <w:rsid w:val="00EE280F"/>
    <w:rsid w:val="00EE29AF"/>
    <w:rsid w:val="00EE312D"/>
    <w:rsid w:val="00EE325C"/>
    <w:rsid w:val="00EE3630"/>
    <w:rsid w:val="00EE36CA"/>
    <w:rsid w:val="00EE3C9B"/>
    <w:rsid w:val="00EE42D2"/>
    <w:rsid w:val="00EE4385"/>
    <w:rsid w:val="00EE49D8"/>
    <w:rsid w:val="00EE5BED"/>
    <w:rsid w:val="00EE775B"/>
    <w:rsid w:val="00EE7917"/>
    <w:rsid w:val="00EF01B6"/>
    <w:rsid w:val="00EF0C19"/>
    <w:rsid w:val="00EF1507"/>
    <w:rsid w:val="00EF15A3"/>
    <w:rsid w:val="00EF422F"/>
    <w:rsid w:val="00EF65F7"/>
    <w:rsid w:val="00EF6976"/>
    <w:rsid w:val="00EF6A47"/>
    <w:rsid w:val="00EF6B59"/>
    <w:rsid w:val="00EF7C8E"/>
    <w:rsid w:val="00F01390"/>
    <w:rsid w:val="00F01BBB"/>
    <w:rsid w:val="00F01D3C"/>
    <w:rsid w:val="00F02155"/>
    <w:rsid w:val="00F03D19"/>
    <w:rsid w:val="00F03E5D"/>
    <w:rsid w:val="00F04A3D"/>
    <w:rsid w:val="00F04AA3"/>
    <w:rsid w:val="00F04CD7"/>
    <w:rsid w:val="00F0578B"/>
    <w:rsid w:val="00F058FB"/>
    <w:rsid w:val="00F05E86"/>
    <w:rsid w:val="00F060AC"/>
    <w:rsid w:val="00F06317"/>
    <w:rsid w:val="00F0650F"/>
    <w:rsid w:val="00F06F94"/>
    <w:rsid w:val="00F078EB"/>
    <w:rsid w:val="00F07C44"/>
    <w:rsid w:val="00F101E7"/>
    <w:rsid w:val="00F108E5"/>
    <w:rsid w:val="00F10C53"/>
    <w:rsid w:val="00F11276"/>
    <w:rsid w:val="00F116CC"/>
    <w:rsid w:val="00F12035"/>
    <w:rsid w:val="00F1204C"/>
    <w:rsid w:val="00F138FB"/>
    <w:rsid w:val="00F13F9A"/>
    <w:rsid w:val="00F14D82"/>
    <w:rsid w:val="00F14FA6"/>
    <w:rsid w:val="00F153D0"/>
    <w:rsid w:val="00F17182"/>
    <w:rsid w:val="00F179B0"/>
    <w:rsid w:val="00F2036F"/>
    <w:rsid w:val="00F203CA"/>
    <w:rsid w:val="00F2084A"/>
    <w:rsid w:val="00F2165B"/>
    <w:rsid w:val="00F23D9C"/>
    <w:rsid w:val="00F24342"/>
    <w:rsid w:val="00F254F5"/>
    <w:rsid w:val="00F25BD4"/>
    <w:rsid w:val="00F2622A"/>
    <w:rsid w:val="00F27E58"/>
    <w:rsid w:val="00F3102C"/>
    <w:rsid w:val="00F312D6"/>
    <w:rsid w:val="00F33D91"/>
    <w:rsid w:val="00F33EBD"/>
    <w:rsid w:val="00F345C9"/>
    <w:rsid w:val="00F354BE"/>
    <w:rsid w:val="00F35B98"/>
    <w:rsid w:val="00F362A8"/>
    <w:rsid w:val="00F367AC"/>
    <w:rsid w:val="00F36A48"/>
    <w:rsid w:val="00F36A63"/>
    <w:rsid w:val="00F36A83"/>
    <w:rsid w:val="00F36CB5"/>
    <w:rsid w:val="00F36E3F"/>
    <w:rsid w:val="00F4144D"/>
    <w:rsid w:val="00F42389"/>
    <w:rsid w:val="00F43881"/>
    <w:rsid w:val="00F43E5F"/>
    <w:rsid w:val="00F43EDF"/>
    <w:rsid w:val="00F43F13"/>
    <w:rsid w:val="00F4431C"/>
    <w:rsid w:val="00F45784"/>
    <w:rsid w:val="00F45832"/>
    <w:rsid w:val="00F506AE"/>
    <w:rsid w:val="00F515F4"/>
    <w:rsid w:val="00F52304"/>
    <w:rsid w:val="00F52968"/>
    <w:rsid w:val="00F52F6F"/>
    <w:rsid w:val="00F53553"/>
    <w:rsid w:val="00F53C22"/>
    <w:rsid w:val="00F53C5A"/>
    <w:rsid w:val="00F5473B"/>
    <w:rsid w:val="00F54B59"/>
    <w:rsid w:val="00F55799"/>
    <w:rsid w:val="00F563F8"/>
    <w:rsid w:val="00F56D69"/>
    <w:rsid w:val="00F57AD4"/>
    <w:rsid w:val="00F57D82"/>
    <w:rsid w:val="00F60CAC"/>
    <w:rsid w:val="00F60D3D"/>
    <w:rsid w:val="00F60FCA"/>
    <w:rsid w:val="00F62258"/>
    <w:rsid w:val="00F622EC"/>
    <w:rsid w:val="00F625ED"/>
    <w:rsid w:val="00F629B2"/>
    <w:rsid w:val="00F62FA5"/>
    <w:rsid w:val="00F6329A"/>
    <w:rsid w:val="00F63EA8"/>
    <w:rsid w:val="00F6473F"/>
    <w:rsid w:val="00F64752"/>
    <w:rsid w:val="00F6491A"/>
    <w:rsid w:val="00F64C3E"/>
    <w:rsid w:val="00F650FF"/>
    <w:rsid w:val="00F65AB9"/>
    <w:rsid w:val="00F65E07"/>
    <w:rsid w:val="00F66158"/>
    <w:rsid w:val="00F66D9B"/>
    <w:rsid w:val="00F6774A"/>
    <w:rsid w:val="00F67861"/>
    <w:rsid w:val="00F67A13"/>
    <w:rsid w:val="00F71061"/>
    <w:rsid w:val="00F71E2A"/>
    <w:rsid w:val="00F72587"/>
    <w:rsid w:val="00F72691"/>
    <w:rsid w:val="00F72E3B"/>
    <w:rsid w:val="00F73020"/>
    <w:rsid w:val="00F7459C"/>
    <w:rsid w:val="00F74DF7"/>
    <w:rsid w:val="00F75252"/>
    <w:rsid w:val="00F75C56"/>
    <w:rsid w:val="00F76117"/>
    <w:rsid w:val="00F76B1F"/>
    <w:rsid w:val="00F76BB9"/>
    <w:rsid w:val="00F76C6A"/>
    <w:rsid w:val="00F775F6"/>
    <w:rsid w:val="00F804BF"/>
    <w:rsid w:val="00F80694"/>
    <w:rsid w:val="00F80708"/>
    <w:rsid w:val="00F80BED"/>
    <w:rsid w:val="00F81307"/>
    <w:rsid w:val="00F81EAC"/>
    <w:rsid w:val="00F82143"/>
    <w:rsid w:val="00F823C1"/>
    <w:rsid w:val="00F82733"/>
    <w:rsid w:val="00F82D08"/>
    <w:rsid w:val="00F82E55"/>
    <w:rsid w:val="00F835E3"/>
    <w:rsid w:val="00F83A41"/>
    <w:rsid w:val="00F83A7F"/>
    <w:rsid w:val="00F84ABC"/>
    <w:rsid w:val="00F85192"/>
    <w:rsid w:val="00F86CBF"/>
    <w:rsid w:val="00F878A0"/>
    <w:rsid w:val="00F87AAC"/>
    <w:rsid w:val="00F87C87"/>
    <w:rsid w:val="00F87EF2"/>
    <w:rsid w:val="00F900BA"/>
    <w:rsid w:val="00F9022C"/>
    <w:rsid w:val="00F90DA4"/>
    <w:rsid w:val="00F9166E"/>
    <w:rsid w:val="00F917F1"/>
    <w:rsid w:val="00F91EB0"/>
    <w:rsid w:val="00F926EA"/>
    <w:rsid w:val="00F93689"/>
    <w:rsid w:val="00F9406F"/>
    <w:rsid w:val="00F94118"/>
    <w:rsid w:val="00F95387"/>
    <w:rsid w:val="00F95566"/>
    <w:rsid w:val="00F965A1"/>
    <w:rsid w:val="00F96CB0"/>
    <w:rsid w:val="00F96E8D"/>
    <w:rsid w:val="00F97810"/>
    <w:rsid w:val="00FA1634"/>
    <w:rsid w:val="00FA1D08"/>
    <w:rsid w:val="00FA282A"/>
    <w:rsid w:val="00FA3D32"/>
    <w:rsid w:val="00FA455B"/>
    <w:rsid w:val="00FA463F"/>
    <w:rsid w:val="00FA4BC3"/>
    <w:rsid w:val="00FA4D14"/>
    <w:rsid w:val="00FA543C"/>
    <w:rsid w:val="00FA5F5D"/>
    <w:rsid w:val="00FA7B5D"/>
    <w:rsid w:val="00FA7E06"/>
    <w:rsid w:val="00FB019E"/>
    <w:rsid w:val="00FB1214"/>
    <w:rsid w:val="00FB127E"/>
    <w:rsid w:val="00FB15D4"/>
    <w:rsid w:val="00FB1A38"/>
    <w:rsid w:val="00FB240F"/>
    <w:rsid w:val="00FB45CD"/>
    <w:rsid w:val="00FB4CD8"/>
    <w:rsid w:val="00FB5768"/>
    <w:rsid w:val="00FB5F9F"/>
    <w:rsid w:val="00FB63CE"/>
    <w:rsid w:val="00FB66ED"/>
    <w:rsid w:val="00FB6757"/>
    <w:rsid w:val="00FB6B45"/>
    <w:rsid w:val="00FB72AF"/>
    <w:rsid w:val="00FB78B7"/>
    <w:rsid w:val="00FB797F"/>
    <w:rsid w:val="00FC0BA6"/>
    <w:rsid w:val="00FC17D5"/>
    <w:rsid w:val="00FC1D3B"/>
    <w:rsid w:val="00FC2CCE"/>
    <w:rsid w:val="00FC366E"/>
    <w:rsid w:val="00FC3722"/>
    <w:rsid w:val="00FC3764"/>
    <w:rsid w:val="00FC5045"/>
    <w:rsid w:val="00FC546A"/>
    <w:rsid w:val="00FC6250"/>
    <w:rsid w:val="00FC659F"/>
    <w:rsid w:val="00FC6763"/>
    <w:rsid w:val="00FC7F5F"/>
    <w:rsid w:val="00FD1032"/>
    <w:rsid w:val="00FD129F"/>
    <w:rsid w:val="00FD163F"/>
    <w:rsid w:val="00FD16F7"/>
    <w:rsid w:val="00FD1CE4"/>
    <w:rsid w:val="00FD1F22"/>
    <w:rsid w:val="00FD295E"/>
    <w:rsid w:val="00FD2AA9"/>
    <w:rsid w:val="00FD2DF6"/>
    <w:rsid w:val="00FD3064"/>
    <w:rsid w:val="00FD30EC"/>
    <w:rsid w:val="00FD56F8"/>
    <w:rsid w:val="00FD61D2"/>
    <w:rsid w:val="00FD6C55"/>
    <w:rsid w:val="00FD74CB"/>
    <w:rsid w:val="00FD7C59"/>
    <w:rsid w:val="00FD7DEB"/>
    <w:rsid w:val="00FE08F1"/>
    <w:rsid w:val="00FE0BD8"/>
    <w:rsid w:val="00FE0DC4"/>
    <w:rsid w:val="00FE1EFE"/>
    <w:rsid w:val="00FE3974"/>
    <w:rsid w:val="00FE3E7A"/>
    <w:rsid w:val="00FE4533"/>
    <w:rsid w:val="00FE4E71"/>
    <w:rsid w:val="00FE5498"/>
    <w:rsid w:val="00FE572F"/>
    <w:rsid w:val="00FE6294"/>
    <w:rsid w:val="00FE67CD"/>
    <w:rsid w:val="00FE6D86"/>
    <w:rsid w:val="00FE7B3B"/>
    <w:rsid w:val="00FE7B79"/>
    <w:rsid w:val="00FE7BBF"/>
    <w:rsid w:val="00FF0C83"/>
    <w:rsid w:val="00FF1117"/>
    <w:rsid w:val="00FF16D8"/>
    <w:rsid w:val="00FF2484"/>
    <w:rsid w:val="00FF2AC2"/>
    <w:rsid w:val="00FF2AF8"/>
    <w:rsid w:val="00FF37A0"/>
    <w:rsid w:val="00FF39B1"/>
    <w:rsid w:val="00FF3CB4"/>
    <w:rsid w:val="00FF4081"/>
    <w:rsid w:val="00FF435F"/>
    <w:rsid w:val="00FF46D0"/>
    <w:rsid w:val="00FF47C6"/>
    <w:rsid w:val="00FF4C5E"/>
    <w:rsid w:val="00FF4CF2"/>
    <w:rsid w:val="00FF58B9"/>
    <w:rsid w:val="00FF6D60"/>
    <w:rsid w:val="00FF70FB"/>
    <w:rsid w:val="00FF71AB"/>
    <w:rsid w:val="00FF74B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C8BDC"/>
  <w15:docId w15:val="{CF03E977-368D-4A04-A0BE-B6C6B4A43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I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unhideWhenUsed/>
    <w:rsid w:val="003D68A6"/>
    <w:pPr>
      <w:spacing w:before="100" w:beforeAutospacing="1" w:after="100" w:afterAutospacing="1" w:line="240" w:lineRule="auto"/>
    </w:pPr>
    <w:rPr>
      <w:rFonts w:ascii="Times New Roman" w:eastAsia="Times New Roman" w:hAnsi="Times New Roman" w:cs="Times New Roman"/>
      <w:sz w:val="24"/>
      <w:szCs w:val="24"/>
      <w:lang w:val="en-IE"/>
    </w:rPr>
  </w:style>
  <w:style w:type="character" w:styleId="PlaceholderText">
    <w:name w:val="Placeholder Text"/>
    <w:basedOn w:val="DefaultParagraphFont"/>
    <w:uiPriority w:val="99"/>
    <w:semiHidden/>
    <w:rsid w:val="006F7F7C"/>
    <w:rPr>
      <w:color w:val="808080"/>
    </w:rPr>
  </w:style>
  <w:style w:type="paragraph" w:styleId="ListParagraph">
    <w:name w:val="List Paragraph"/>
    <w:basedOn w:val="Normal"/>
    <w:uiPriority w:val="34"/>
    <w:qFormat/>
    <w:rsid w:val="00121443"/>
    <w:pPr>
      <w:ind w:left="720"/>
      <w:contextualSpacing/>
    </w:pPr>
  </w:style>
  <w:style w:type="paragraph" w:styleId="CommentSubject">
    <w:name w:val="annotation subject"/>
    <w:basedOn w:val="CommentText"/>
    <w:next w:val="CommentText"/>
    <w:link w:val="CommentSubjectChar"/>
    <w:uiPriority w:val="99"/>
    <w:semiHidden/>
    <w:unhideWhenUsed/>
    <w:rsid w:val="00492358"/>
    <w:rPr>
      <w:b/>
      <w:bCs/>
    </w:rPr>
  </w:style>
  <w:style w:type="character" w:customStyle="1" w:styleId="CommentSubjectChar">
    <w:name w:val="Comment Subject Char"/>
    <w:basedOn w:val="CommentTextChar"/>
    <w:link w:val="CommentSubject"/>
    <w:uiPriority w:val="99"/>
    <w:semiHidden/>
    <w:rsid w:val="00492358"/>
    <w:rPr>
      <w:b/>
      <w:bCs/>
      <w:sz w:val="20"/>
      <w:szCs w:val="20"/>
    </w:rPr>
  </w:style>
  <w:style w:type="paragraph" w:styleId="TOCHeading">
    <w:name w:val="TOC Heading"/>
    <w:basedOn w:val="Heading1"/>
    <w:next w:val="Normal"/>
    <w:uiPriority w:val="39"/>
    <w:unhideWhenUsed/>
    <w:qFormat/>
    <w:rsid w:val="00A12379"/>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2">
    <w:name w:val="toc 2"/>
    <w:basedOn w:val="Normal"/>
    <w:next w:val="Normal"/>
    <w:autoRedefine/>
    <w:uiPriority w:val="39"/>
    <w:unhideWhenUsed/>
    <w:rsid w:val="00245159"/>
    <w:pPr>
      <w:tabs>
        <w:tab w:val="left" w:pos="880"/>
        <w:tab w:val="right" w:leader="dot" w:pos="9350"/>
      </w:tabs>
      <w:spacing w:after="100" w:line="259" w:lineRule="auto"/>
      <w:ind w:left="220"/>
    </w:pPr>
    <w:rPr>
      <w:rFonts w:asciiTheme="minorHAnsi" w:eastAsiaTheme="minorEastAsia" w:hAnsiTheme="minorHAnsi" w:cs="Times New Roman"/>
      <w:lang w:val="en-US" w:eastAsia="en-US"/>
    </w:rPr>
  </w:style>
  <w:style w:type="paragraph" w:styleId="TOC1">
    <w:name w:val="toc 1"/>
    <w:basedOn w:val="Normal"/>
    <w:next w:val="Normal"/>
    <w:autoRedefine/>
    <w:uiPriority w:val="39"/>
    <w:unhideWhenUsed/>
    <w:rsid w:val="00781723"/>
    <w:pPr>
      <w:tabs>
        <w:tab w:val="left" w:pos="440"/>
        <w:tab w:val="right" w:leader="dot" w:pos="9350"/>
      </w:tabs>
      <w:spacing w:after="100" w:line="259" w:lineRule="auto"/>
    </w:pPr>
    <w:rPr>
      <w:rFonts w:asciiTheme="minorHAnsi" w:eastAsiaTheme="minorEastAsia" w:hAnsiTheme="minorHAnsi" w:cs="Times New Roman"/>
      <w:lang w:val="en-US" w:eastAsia="en-US"/>
    </w:rPr>
  </w:style>
  <w:style w:type="paragraph" w:styleId="TOC3">
    <w:name w:val="toc 3"/>
    <w:basedOn w:val="Normal"/>
    <w:next w:val="Normal"/>
    <w:autoRedefine/>
    <w:uiPriority w:val="39"/>
    <w:unhideWhenUsed/>
    <w:rsid w:val="00245159"/>
    <w:pPr>
      <w:tabs>
        <w:tab w:val="left" w:pos="1320"/>
        <w:tab w:val="right" w:leader="dot" w:pos="9350"/>
      </w:tabs>
      <w:spacing w:after="100" w:line="259" w:lineRule="auto"/>
      <w:ind w:left="440"/>
    </w:pPr>
    <w:rPr>
      <w:rFonts w:asciiTheme="minorHAnsi" w:eastAsiaTheme="minorEastAsia" w:hAnsiTheme="minorHAnsi" w:cs="Times New Roman"/>
      <w:lang w:val="en-US" w:eastAsia="en-US"/>
    </w:rPr>
  </w:style>
  <w:style w:type="character" w:styleId="Hyperlink">
    <w:name w:val="Hyperlink"/>
    <w:basedOn w:val="DefaultParagraphFont"/>
    <w:uiPriority w:val="99"/>
    <w:unhideWhenUsed/>
    <w:rsid w:val="00A12379"/>
    <w:rPr>
      <w:color w:val="0000FF" w:themeColor="hyperlink"/>
      <w:u w:val="single"/>
    </w:rPr>
  </w:style>
  <w:style w:type="character" w:styleId="UnresolvedMention">
    <w:name w:val="Unresolved Mention"/>
    <w:basedOn w:val="DefaultParagraphFont"/>
    <w:uiPriority w:val="99"/>
    <w:semiHidden/>
    <w:unhideWhenUsed/>
    <w:rsid w:val="000449B0"/>
    <w:rPr>
      <w:color w:val="605E5C"/>
      <w:shd w:val="clear" w:color="auto" w:fill="E1DFDD"/>
    </w:rPr>
  </w:style>
  <w:style w:type="character" w:styleId="FollowedHyperlink">
    <w:name w:val="FollowedHyperlink"/>
    <w:basedOn w:val="DefaultParagraphFont"/>
    <w:uiPriority w:val="99"/>
    <w:semiHidden/>
    <w:unhideWhenUsed/>
    <w:rsid w:val="00BB0BE3"/>
    <w:rPr>
      <w:color w:val="800080" w:themeColor="followedHyperlink"/>
      <w:u w:val="single"/>
    </w:rPr>
  </w:style>
  <w:style w:type="table" w:styleId="TableGrid">
    <w:name w:val="Table Grid"/>
    <w:basedOn w:val="TableNormal"/>
    <w:uiPriority w:val="39"/>
    <w:rsid w:val="00B374A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C23D66"/>
    <w:pPr>
      <w:spacing w:line="240" w:lineRule="auto"/>
      <w:ind w:left="720" w:hanging="720"/>
    </w:pPr>
  </w:style>
  <w:style w:type="paragraph" w:styleId="Revision">
    <w:name w:val="Revision"/>
    <w:hidden/>
    <w:uiPriority w:val="99"/>
    <w:semiHidden/>
    <w:rsid w:val="00240C0E"/>
    <w:pPr>
      <w:spacing w:line="240" w:lineRule="auto"/>
    </w:pPr>
  </w:style>
  <w:style w:type="paragraph" w:styleId="Header">
    <w:name w:val="header"/>
    <w:basedOn w:val="Normal"/>
    <w:link w:val="HeaderChar"/>
    <w:uiPriority w:val="99"/>
    <w:unhideWhenUsed/>
    <w:rsid w:val="00452737"/>
    <w:pPr>
      <w:tabs>
        <w:tab w:val="center" w:pos="4513"/>
        <w:tab w:val="right" w:pos="9026"/>
      </w:tabs>
      <w:spacing w:line="240" w:lineRule="auto"/>
    </w:pPr>
  </w:style>
  <w:style w:type="character" w:customStyle="1" w:styleId="HeaderChar">
    <w:name w:val="Header Char"/>
    <w:basedOn w:val="DefaultParagraphFont"/>
    <w:link w:val="Header"/>
    <w:uiPriority w:val="99"/>
    <w:rsid w:val="00452737"/>
  </w:style>
  <w:style w:type="paragraph" w:styleId="Footer">
    <w:name w:val="footer"/>
    <w:basedOn w:val="Normal"/>
    <w:link w:val="FooterChar"/>
    <w:uiPriority w:val="99"/>
    <w:unhideWhenUsed/>
    <w:rsid w:val="00452737"/>
    <w:pPr>
      <w:tabs>
        <w:tab w:val="center" w:pos="4513"/>
        <w:tab w:val="right" w:pos="9026"/>
      </w:tabs>
      <w:spacing w:line="240" w:lineRule="auto"/>
    </w:pPr>
  </w:style>
  <w:style w:type="character" w:customStyle="1" w:styleId="FooterChar">
    <w:name w:val="Footer Char"/>
    <w:basedOn w:val="DefaultParagraphFont"/>
    <w:link w:val="Footer"/>
    <w:uiPriority w:val="99"/>
    <w:rsid w:val="00452737"/>
  </w:style>
  <w:style w:type="character" w:styleId="LineNumber">
    <w:name w:val="line number"/>
    <w:basedOn w:val="DefaultParagraphFont"/>
    <w:uiPriority w:val="99"/>
    <w:semiHidden/>
    <w:unhideWhenUsed/>
    <w:rsid w:val="00476A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4617">
      <w:bodyDiv w:val="1"/>
      <w:marLeft w:val="0"/>
      <w:marRight w:val="0"/>
      <w:marTop w:val="0"/>
      <w:marBottom w:val="0"/>
      <w:divBdr>
        <w:top w:val="none" w:sz="0" w:space="0" w:color="auto"/>
        <w:left w:val="none" w:sz="0" w:space="0" w:color="auto"/>
        <w:bottom w:val="none" w:sz="0" w:space="0" w:color="auto"/>
        <w:right w:val="none" w:sz="0" w:space="0" w:color="auto"/>
      </w:divBdr>
    </w:div>
    <w:div w:id="40987378">
      <w:bodyDiv w:val="1"/>
      <w:marLeft w:val="0"/>
      <w:marRight w:val="0"/>
      <w:marTop w:val="0"/>
      <w:marBottom w:val="0"/>
      <w:divBdr>
        <w:top w:val="none" w:sz="0" w:space="0" w:color="auto"/>
        <w:left w:val="none" w:sz="0" w:space="0" w:color="auto"/>
        <w:bottom w:val="none" w:sz="0" w:space="0" w:color="auto"/>
        <w:right w:val="none" w:sz="0" w:space="0" w:color="auto"/>
      </w:divBdr>
    </w:div>
    <w:div w:id="41758925">
      <w:bodyDiv w:val="1"/>
      <w:marLeft w:val="0"/>
      <w:marRight w:val="0"/>
      <w:marTop w:val="0"/>
      <w:marBottom w:val="0"/>
      <w:divBdr>
        <w:top w:val="none" w:sz="0" w:space="0" w:color="auto"/>
        <w:left w:val="none" w:sz="0" w:space="0" w:color="auto"/>
        <w:bottom w:val="none" w:sz="0" w:space="0" w:color="auto"/>
        <w:right w:val="none" w:sz="0" w:space="0" w:color="auto"/>
      </w:divBdr>
    </w:div>
    <w:div w:id="140082942">
      <w:bodyDiv w:val="1"/>
      <w:marLeft w:val="0"/>
      <w:marRight w:val="0"/>
      <w:marTop w:val="0"/>
      <w:marBottom w:val="0"/>
      <w:divBdr>
        <w:top w:val="none" w:sz="0" w:space="0" w:color="auto"/>
        <w:left w:val="none" w:sz="0" w:space="0" w:color="auto"/>
        <w:bottom w:val="none" w:sz="0" w:space="0" w:color="auto"/>
        <w:right w:val="none" w:sz="0" w:space="0" w:color="auto"/>
      </w:divBdr>
    </w:div>
    <w:div w:id="172840455">
      <w:bodyDiv w:val="1"/>
      <w:marLeft w:val="0"/>
      <w:marRight w:val="0"/>
      <w:marTop w:val="0"/>
      <w:marBottom w:val="0"/>
      <w:divBdr>
        <w:top w:val="none" w:sz="0" w:space="0" w:color="auto"/>
        <w:left w:val="none" w:sz="0" w:space="0" w:color="auto"/>
        <w:bottom w:val="none" w:sz="0" w:space="0" w:color="auto"/>
        <w:right w:val="none" w:sz="0" w:space="0" w:color="auto"/>
      </w:divBdr>
    </w:div>
    <w:div w:id="215750144">
      <w:bodyDiv w:val="1"/>
      <w:marLeft w:val="0"/>
      <w:marRight w:val="0"/>
      <w:marTop w:val="0"/>
      <w:marBottom w:val="0"/>
      <w:divBdr>
        <w:top w:val="none" w:sz="0" w:space="0" w:color="auto"/>
        <w:left w:val="none" w:sz="0" w:space="0" w:color="auto"/>
        <w:bottom w:val="none" w:sz="0" w:space="0" w:color="auto"/>
        <w:right w:val="none" w:sz="0" w:space="0" w:color="auto"/>
      </w:divBdr>
    </w:div>
    <w:div w:id="299191488">
      <w:bodyDiv w:val="1"/>
      <w:marLeft w:val="0"/>
      <w:marRight w:val="0"/>
      <w:marTop w:val="0"/>
      <w:marBottom w:val="0"/>
      <w:divBdr>
        <w:top w:val="none" w:sz="0" w:space="0" w:color="auto"/>
        <w:left w:val="none" w:sz="0" w:space="0" w:color="auto"/>
        <w:bottom w:val="none" w:sz="0" w:space="0" w:color="auto"/>
        <w:right w:val="none" w:sz="0" w:space="0" w:color="auto"/>
      </w:divBdr>
    </w:div>
    <w:div w:id="343408962">
      <w:bodyDiv w:val="1"/>
      <w:marLeft w:val="0"/>
      <w:marRight w:val="0"/>
      <w:marTop w:val="0"/>
      <w:marBottom w:val="0"/>
      <w:divBdr>
        <w:top w:val="none" w:sz="0" w:space="0" w:color="auto"/>
        <w:left w:val="none" w:sz="0" w:space="0" w:color="auto"/>
        <w:bottom w:val="none" w:sz="0" w:space="0" w:color="auto"/>
        <w:right w:val="none" w:sz="0" w:space="0" w:color="auto"/>
      </w:divBdr>
    </w:div>
    <w:div w:id="363990272">
      <w:bodyDiv w:val="1"/>
      <w:marLeft w:val="0"/>
      <w:marRight w:val="0"/>
      <w:marTop w:val="0"/>
      <w:marBottom w:val="0"/>
      <w:divBdr>
        <w:top w:val="none" w:sz="0" w:space="0" w:color="auto"/>
        <w:left w:val="none" w:sz="0" w:space="0" w:color="auto"/>
        <w:bottom w:val="none" w:sz="0" w:space="0" w:color="auto"/>
        <w:right w:val="none" w:sz="0" w:space="0" w:color="auto"/>
      </w:divBdr>
    </w:div>
    <w:div w:id="404494391">
      <w:bodyDiv w:val="1"/>
      <w:marLeft w:val="0"/>
      <w:marRight w:val="0"/>
      <w:marTop w:val="0"/>
      <w:marBottom w:val="0"/>
      <w:divBdr>
        <w:top w:val="none" w:sz="0" w:space="0" w:color="auto"/>
        <w:left w:val="none" w:sz="0" w:space="0" w:color="auto"/>
        <w:bottom w:val="none" w:sz="0" w:space="0" w:color="auto"/>
        <w:right w:val="none" w:sz="0" w:space="0" w:color="auto"/>
      </w:divBdr>
    </w:div>
    <w:div w:id="440148866">
      <w:bodyDiv w:val="1"/>
      <w:marLeft w:val="0"/>
      <w:marRight w:val="0"/>
      <w:marTop w:val="0"/>
      <w:marBottom w:val="0"/>
      <w:divBdr>
        <w:top w:val="none" w:sz="0" w:space="0" w:color="auto"/>
        <w:left w:val="none" w:sz="0" w:space="0" w:color="auto"/>
        <w:bottom w:val="none" w:sz="0" w:space="0" w:color="auto"/>
        <w:right w:val="none" w:sz="0" w:space="0" w:color="auto"/>
      </w:divBdr>
    </w:div>
    <w:div w:id="483468994">
      <w:bodyDiv w:val="1"/>
      <w:marLeft w:val="0"/>
      <w:marRight w:val="0"/>
      <w:marTop w:val="0"/>
      <w:marBottom w:val="0"/>
      <w:divBdr>
        <w:top w:val="none" w:sz="0" w:space="0" w:color="auto"/>
        <w:left w:val="none" w:sz="0" w:space="0" w:color="auto"/>
        <w:bottom w:val="none" w:sz="0" w:space="0" w:color="auto"/>
        <w:right w:val="none" w:sz="0" w:space="0" w:color="auto"/>
      </w:divBdr>
    </w:div>
    <w:div w:id="566886468">
      <w:bodyDiv w:val="1"/>
      <w:marLeft w:val="0"/>
      <w:marRight w:val="0"/>
      <w:marTop w:val="0"/>
      <w:marBottom w:val="0"/>
      <w:divBdr>
        <w:top w:val="none" w:sz="0" w:space="0" w:color="auto"/>
        <w:left w:val="none" w:sz="0" w:space="0" w:color="auto"/>
        <w:bottom w:val="none" w:sz="0" w:space="0" w:color="auto"/>
        <w:right w:val="none" w:sz="0" w:space="0" w:color="auto"/>
      </w:divBdr>
    </w:div>
    <w:div w:id="658996052">
      <w:bodyDiv w:val="1"/>
      <w:marLeft w:val="0"/>
      <w:marRight w:val="0"/>
      <w:marTop w:val="0"/>
      <w:marBottom w:val="0"/>
      <w:divBdr>
        <w:top w:val="none" w:sz="0" w:space="0" w:color="auto"/>
        <w:left w:val="none" w:sz="0" w:space="0" w:color="auto"/>
        <w:bottom w:val="none" w:sz="0" w:space="0" w:color="auto"/>
        <w:right w:val="none" w:sz="0" w:space="0" w:color="auto"/>
      </w:divBdr>
      <w:divsChild>
        <w:div w:id="1048603980">
          <w:marLeft w:val="0"/>
          <w:marRight w:val="0"/>
          <w:marTop w:val="0"/>
          <w:marBottom w:val="200"/>
          <w:divBdr>
            <w:top w:val="none" w:sz="0" w:space="0" w:color="auto"/>
            <w:left w:val="none" w:sz="0" w:space="0" w:color="auto"/>
            <w:bottom w:val="none" w:sz="0" w:space="0" w:color="auto"/>
            <w:right w:val="none" w:sz="0" w:space="0" w:color="auto"/>
          </w:divBdr>
        </w:div>
      </w:divsChild>
    </w:div>
    <w:div w:id="735785932">
      <w:bodyDiv w:val="1"/>
      <w:marLeft w:val="0"/>
      <w:marRight w:val="0"/>
      <w:marTop w:val="0"/>
      <w:marBottom w:val="0"/>
      <w:divBdr>
        <w:top w:val="none" w:sz="0" w:space="0" w:color="auto"/>
        <w:left w:val="none" w:sz="0" w:space="0" w:color="auto"/>
        <w:bottom w:val="none" w:sz="0" w:space="0" w:color="auto"/>
        <w:right w:val="none" w:sz="0" w:space="0" w:color="auto"/>
      </w:divBdr>
    </w:div>
    <w:div w:id="801464894">
      <w:bodyDiv w:val="1"/>
      <w:marLeft w:val="0"/>
      <w:marRight w:val="0"/>
      <w:marTop w:val="0"/>
      <w:marBottom w:val="0"/>
      <w:divBdr>
        <w:top w:val="none" w:sz="0" w:space="0" w:color="auto"/>
        <w:left w:val="none" w:sz="0" w:space="0" w:color="auto"/>
        <w:bottom w:val="none" w:sz="0" w:space="0" w:color="auto"/>
        <w:right w:val="none" w:sz="0" w:space="0" w:color="auto"/>
      </w:divBdr>
    </w:div>
    <w:div w:id="1074814361">
      <w:bodyDiv w:val="1"/>
      <w:marLeft w:val="0"/>
      <w:marRight w:val="0"/>
      <w:marTop w:val="0"/>
      <w:marBottom w:val="0"/>
      <w:divBdr>
        <w:top w:val="none" w:sz="0" w:space="0" w:color="auto"/>
        <w:left w:val="none" w:sz="0" w:space="0" w:color="auto"/>
        <w:bottom w:val="none" w:sz="0" w:space="0" w:color="auto"/>
        <w:right w:val="none" w:sz="0" w:space="0" w:color="auto"/>
      </w:divBdr>
    </w:div>
    <w:div w:id="1270313159">
      <w:bodyDiv w:val="1"/>
      <w:marLeft w:val="0"/>
      <w:marRight w:val="0"/>
      <w:marTop w:val="0"/>
      <w:marBottom w:val="0"/>
      <w:divBdr>
        <w:top w:val="none" w:sz="0" w:space="0" w:color="auto"/>
        <w:left w:val="none" w:sz="0" w:space="0" w:color="auto"/>
        <w:bottom w:val="none" w:sz="0" w:space="0" w:color="auto"/>
        <w:right w:val="none" w:sz="0" w:space="0" w:color="auto"/>
      </w:divBdr>
    </w:div>
    <w:div w:id="1291204900">
      <w:bodyDiv w:val="1"/>
      <w:marLeft w:val="0"/>
      <w:marRight w:val="0"/>
      <w:marTop w:val="0"/>
      <w:marBottom w:val="0"/>
      <w:divBdr>
        <w:top w:val="none" w:sz="0" w:space="0" w:color="auto"/>
        <w:left w:val="none" w:sz="0" w:space="0" w:color="auto"/>
        <w:bottom w:val="none" w:sz="0" w:space="0" w:color="auto"/>
        <w:right w:val="none" w:sz="0" w:space="0" w:color="auto"/>
      </w:divBdr>
    </w:div>
    <w:div w:id="1372803876">
      <w:bodyDiv w:val="1"/>
      <w:marLeft w:val="0"/>
      <w:marRight w:val="0"/>
      <w:marTop w:val="0"/>
      <w:marBottom w:val="0"/>
      <w:divBdr>
        <w:top w:val="none" w:sz="0" w:space="0" w:color="auto"/>
        <w:left w:val="none" w:sz="0" w:space="0" w:color="auto"/>
        <w:bottom w:val="none" w:sz="0" w:space="0" w:color="auto"/>
        <w:right w:val="none" w:sz="0" w:space="0" w:color="auto"/>
      </w:divBdr>
    </w:div>
    <w:div w:id="1509176632">
      <w:bodyDiv w:val="1"/>
      <w:marLeft w:val="0"/>
      <w:marRight w:val="0"/>
      <w:marTop w:val="0"/>
      <w:marBottom w:val="0"/>
      <w:divBdr>
        <w:top w:val="none" w:sz="0" w:space="0" w:color="auto"/>
        <w:left w:val="none" w:sz="0" w:space="0" w:color="auto"/>
        <w:bottom w:val="none" w:sz="0" w:space="0" w:color="auto"/>
        <w:right w:val="none" w:sz="0" w:space="0" w:color="auto"/>
      </w:divBdr>
    </w:div>
    <w:div w:id="1604344123">
      <w:bodyDiv w:val="1"/>
      <w:marLeft w:val="0"/>
      <w:marRight w:val="0"/>
      <w:marTop w:val="0"/>
      <w:marBottom w:val="0"/>
      <w:divBdr>
        <w:top w:val="none" w:sz="0" w:space="0" w:color="auto"/>
        <w:left w:val="none" w:sz="0" w:space="0" w:color="auto"/>
        <w:bottom w:val="none" w:sz="0" w:space="0" w:color="auto"/>
        <w:right w:val="none" w:sz="0" w:space="0" w:color="auto"/>
      </w:divBdr>
    </w:div>
    <w:div w:id="1691175480">
      <w:bodyDiv w:val="1"/>
      <w:marLeft w:val="0"/>
      <w:marRight w:val="0"/>
      <w:marTop w:val="0"/>
      <w:marBottom w:val="0"/>
      <w:divBdr>
        <w:top w:val="none" w:sz="0" w:space="0" w:color="auto"/>
        <w:left w:val="none" w:sz="0" w:space="0" w:color="auto"/>
        <w:bottom w:val="none" w:sz="0" w:space="0" w:color="auto"/>
        <w:right w:val="none" w:sz="0" w:space="0" w:color="auto"/>
      </w:divBdr>
    </w:div>
    <w:div w:id="1870603911">
      <w:bodyDiv w:val="1"/>
      <w:marLeft w:val="0"/>
      <w:marRight w:val="0"/>
      <w:marTop w:val="0"/>
      <w:marBottom w:val="0"/>
      <w:divBdr>
        <w:top w:val="none" w:sz="0" w:space="0" w:color="auto"/>
        <w:left w:val="none" w:sz="0" w:space="0" w:color="auto"/>
        <w:bottom w:val="none" w:sz="0" w:space="0" w:color="auto"/>
        <w:right w:val="none" w:sz="0" w:space="0" w:color="auto"/>
      </w:divBdr>
    </w:div>
    <w:div w:id="19596765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image" Target="media/image2.JPG"/><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charlene.vance@ucdconnect.ie" TargetMode="Externa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0e3860abf73e7233/Documents/Paper%20-%20upscaling%20seaweed%20production/Bantry%20Seaweed%20LCA_2023-08-2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harl\OneDrive\Documents\Paper%20-%20upscaling%20seaweed%20production\Bantry%20Seaweed%20LCA_2023-08-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0e3860abf73e7233/Documents/Paper%20-%20upscaling%20seaweed%20production/Bantry%20Seaweed%20LCA_2023-08-2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0e3860abf73e7233/Documents/Paper%20-%20upscaling%20seaweed%20production/Bantry%20Seaweed%20LCA_2023-08-29.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'Ecological impacts'!$A$31</c:f>
              <c:strCache>
                <c:ptCount val="1"/>
                <c:pt idx="0">
                  <c:v>Capital equipment, chemicals, nutrients and fresh water use</c:v>
                </c:pt>
              </c:strCache>
            </c:strRef>
          </c:tx>
          <c:spPr>
            <a:solidFill>
              <a:schemeClr val="accent1"/>
            </a:solidFill>
            <a:ln>
              <a:noFill/>
            </a:ln>
            <a:effectLst/>
          </c:spPr>
          <c:invertIfNegative val="0"/>
          <c:dLbls>
            <c:delete val="1"/>
          </c:dLbls>
          <c:cat>
            <c:strLit>
              <c:ptCount val="6"/>
              <c:pt idx="0">
                <c:v>W1</c:v>
              </c:pt>
              <c:pt idx="1">
                <c:v>W2</c:v>
              </c:pt>
              <c:pt idx="2">
                <c:v>W3</c:v>
              </c:pt>
              <c:pt idx="3">
                <c:v>C1</c:v>
              </c:pt>
              <c:pt idx="4">
                <c:v>C2</c:v>
              </c:pt>
              <c:pt idx="5">
                <c:v>C3</c:v>
              </c:pt>
            </c:strLit>
          </c:cat>
          <c:val>
            <c:numRef>
              <c:f>'Ecological impacts'!$B$31:$G$31</c:f>
              <c:numCache>
                <c:formatCode>General</c:formatCode>
                <c:ptCount val="6"/>
                <c:pt idx="0">
                  <c:v>1.7430599999999997E-2</c:v>
                </c:pt>
                <c:pt idx="1">
                  <c:v>5.8594000000000007E-3</c:v>
                </c:pt>
                <c:pt idx="2">
                  <c:v>1.16E-3</c:v>
                </c:pt>
                <c:pt idx="3">
                  <c:v>2.9233815426997247</c:v>
                </c:pt>
                <c:pt idx="4">
                  <c:v>0.27538068181818209</c:v>
                </c:pt>
                <c:pt idx="5">
                  <c:v>1.7257100661375664</c:v>
                </c:pt>
              </c:numCache>
            </c:numRef>
          </c:val>
          <c:extLst>
            <c:ext xmlns:c16="http://schemas.microsoft.com/office/drawing/2014/chart" uri="{C3380CC4-5D6E-409C-BE32-E72D297353CC}">
              <c16:uniqueId val="{00000000-3755-46E9-B12F-1029DD361E4A}"/>
            </c:ext>
          </c:extLst>
        </c:ser>
        <c:ser>
          <c:idx val="1"/>
          <c:order val="1"/>
          <c:tx>
            <c:strRef>
              <c:f>'Ecological impacts'!$A$32</c:f>
              <c:strCache>
                <c:ptCount val="1"/>
                <c:pt idx="0">
                  <c:v>Electricity use</c:v>
                </c:pt>
              </c:strCache>
            </c:strRef>
          </c:tx>
          <c:spPr>
            <a:solidFill>
              <a:schemeClr val="accent2"/>
            </a:solidFill>
            <a:ln>
              <a:noFill/>
            </a:ln>
            <a:effectLst/>
          </c:spPr>
          <c:invertIfNegative val="0"/>
          <c:dLbls>
            <c:delete val="1"/>
          </c:dLbls>
          <c:cat>
            <c:strLit>
              <c:ptCount val="6"/>
              <c:pt idx="0">
                <c:v>W1</c:v>
              </c:pt>
              <c:pt idx="1">
                <c:v>W2</c:v>
              </c:pt>
              <c:pt idx="2">
                <c:v>W3</c:v>
              </c:pt>
              <c:pt idx="3">
                <c:v>C1</c:v>
              </c:pt>
              <c:pt idx="4">
                <c:v>C2</c:v>
              </c:pt>
              <c:pt idx="5">
                <c:v>C3</c:v>
              </c:pt>
            </c:strLit>
          </c:cat>
          <c:val>
            <c:numRef>
              <c:f>'Ecological impacts'!$B$32:$G$32</c:f>
              <c:numCache>
                <c:formatCode>General</c:formatCode>
                <c:ptCount val="6"/>
                <c:pt idx="0">
                  <c:v>0</c:v>
                </c:pt>
                <c:pt idx="1">
                  <c:v>0</c:v>
                </c:pt>
                <c:pt idx="2">
                  <c:v>0</c:v>
                </c:pt>
                <c:pt idx="3">
                  <c:v>0.30320247933884298</c:v>
                </c:pt>
                <c:pt idx="4">
                  <c:v>0.14290633608815426</c:v>
                </c:pt>
                <c:pt idx="5">
                  <c:v>0.1417718253968254</c:v>
                </c:pt>
              </c:numCache>
            </c:numRef>
          </c:val>
          <c:extLst>
            <c:ext xmlns:c16="http://schemas.microsoft.com/office/drawing/2014/chart" uri="{C3380CC4-5D6E-409C-BE32-E72D297353CC}">
              <c16:uniqueId val="{00000001-3755-46E9-B12F-1029DD361E4A}"/>
            </c:ext>
          </c:extLst>
        </c:ser>
        <c:ser>
          <c:idx val="2"/>
          <c:order val="2"/>
          <c:tx>
            <c:strRef>
              <c:f>'Ecological impacts'!$A$33</c:f>
              <c:strCache>
                <c:ptCount val="1"/>
                <c:pt idx="0">
                  <c:v>Transport</c:v>
                </c:pt>
              </c:strCache>
            </c:strRef>
          </c:tx>
          <c:spPr>
            <a:solidFill>
              <a:schemeClr val="accent3"/>
            </a:solidFill>
            <a:ln>
              <a:noFill/>
            </a:ln>
            <a:effectLst/>
          </c:spPr>
          <c:invertIfNegative val="0"/>
          <c:dLbls>
            <c:delete val="1"/>
          </c:dLbls>
          <c:cat>
            <c:strLit>
              <c:ptCount val="6"/>
              <c:pt idx="0">
                <c:v>W1</c:v>
              </c:pt>
              <c:pt idx="1">
                <c:v>W2</c:v>
              </c:pt>
              <c:pt idx="2">
                <c:v>W3</c:v>
              </c:pt>
              <c:pt idx="3">
                <c:v>C1</c:v>
              </c:pt>
              <c:pt idx="4">
                <c:v>C2</c:v>
              </c:pt>
              <c:pt idx="5">
                <c:v>C3</c:v>
              </c:pt>
            </c:strLit>
          </c:cat>
          <c:val>
            <c:numRef>
              <c:f>'Ecological impacts'!$B$33:$G$33</c:f>
              <c:numCache>
                <c:formatCode>General</c:formatCode>
                <c:ptCount val="6"/>
                <c:pt idx="0">
                  <c:v>0.64056940000000007</c:v>
                </c:pt>
                <c:pt idx="1">
                  <c:v>0.39914060000000001</c:v>
                </c:pt>
                <c:pt idx="2">
                  <c:v>2.1588400000000001</c:v>
                </c:pt>
                <c:pt idx="3">
                  <c:v>2.3381542699724518</c:v>
                </c:pt>
                <c:pt idx="4">
                  <c:v>1.4928700068870522</c:v>
                </c:pt>
                <c:pt idx="5">
                  <c:v>2.07010582010582</c:v>
                </c:pt>
              </c:numCache>
            </c:numRef>
          </c:val>
          <c:extLst>
            <c:ext xmlns:c16="http://schemas.microsoft.com/office/drawing/2014/chart" uri="{C3380CC4-5D6E-409C-BE32-E72D297353CC}">
              <c16:uniqueId val="{00000002-3755-46E9-B12F-1029DD361E4A}"/>
            </c:ext>
          </c:extLst>
        </c:ser>
        <c:ser>
          <c:idx val="3"/>
          <c:order val="3"/>
          <c:tx>
            <c:strRef>
              <c:f>'Ecological impacts'!$A$30</c:f>
              <c:strCache>
                <c:ptCount val="1"/>
                <c:pt idx="0">
                  <c:v>Natural resources, land and sea surface use</c:v>
                </c:pt>
              </c:strCache>
            </c:strRef>
          </c:tx>
          <c:spPr>
            <a:solidFill>
              <a:srgbClr val="FFC000"/>
            </a:solidFill>
            <a:ln>
              <a:noFill/>
            </a:ln>
            <a:effectLst/>
          </c:spPr>
          <c:invertIfNegative val="0"/>
          <c:dLbls>
            <c:delete val="1"/>
          </c:dLbls>
          <c:cat>
            <c:strLit>
              <c:ptCount val="6"/>
              <c:pt idx="0">
                <c:v>W1</c:v>
              </c:pt>
              <c:pt idx="1">
                <c:v>W2</c:v>
              </c:pt>
              <c:pt idx="2">
                <c:v>W3</c:v>
              </c:pt>
              <c:pt idx="3">
                <c:v>C1</c:v>
              </c:pt>
              <c:pt idx="4">
                <c:v>C2</c:v>
              </c:pt>
              <c:pt idx="5">
                <c:v>C3</c:v>
              </c:pt>
            </c:strLit>
          </c:cat>
          <c:val>
            <c:numRef>
              <c:f>'Ecological impacts'!$B$30:$G$30</c:f>
              <c:numCache>
                <c:formatCode>General</c:formatCode>
                <c:ptCount val="6"/>
                <c:pt idx="0">
                  <c:v>1.3440000000000001</c:v>
                </c:pt>
                <c:pt idx="1">
                  <c:v>1.3440000000000001</c:v>
                </c:pt>
                <c:pt idx="2">
                  <c:v>1.3440000000000001</c:v>
                </c:pt>
                <c:pt idx="3">
                  <c:v>0.38912010321728935</c:v>
                </c:pt>
                <c:pt idx="4">
                  <c:v>0.38912010321728935</c:v>
                </c:pt>
                <c:pt idx="5">
                  <c:v>0.61485807980599638</c:v>
                </c:pt>
              </c:numCache>
            </c:numRef>
          </c:val>
          <c:extLst>
            <c:ext xmlns:c16="http://schemas.microsoft.com/office/drawing/2014/chart" uri="{C3380CC4-5D6E-409C-BE32-E72D297353CC}">
              <c16:uniqueId val="{00000003-3755-46E9-B12F-1029DD361E4A}"/>
            </c:ext>
          </c:extLst>
        </c:ser>
        <c:dLbls>
          <c:showLegendKey val="0"/>
          <c:showVal val="1"/>
          <c:showCatName val="0"/>
          <c:showSerName val="0"/>
          <c:showPercent val="0"/>
          <c:showBubbleSize val="0"/>
        </c:dLbls>
        <c:gapWidth val="150"/>
        <c:overlap val="100"/>
        <c:axId val="595485328"/>
        <c:axId val="595481584"/>
      </c:barChart>
      <c:scatterChart>
        <c:scatterStyle val="lineMarker"/>
        <c:varyColors val="0"/>
        <c:ser>
          <c:idx val="4"/>
          <c:order val="4"/>
          <c:tx>
            <c:v>Total</c:v>
          </c:tx>
          <c:spPr>
            <a:ln w="25400" cap="rnd">
              <a:noFill/>
              <a:round/>
            </a:ln>
            <a:effectLst/>
          </c:spPr>
          <c:marker>
            <c:symbol val="x"/>
            <c:size val="5"/>
            <c:spPr>
              <a:noFill/>
              <a:ln w="12700">
                <a:solidFill>
                  <a:srgbClr val="FF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yVal>
            <c:numRef>
              <c:f>'Ecological impacts'!$B$34:$G$34</c:f>
              <c:numCache>
                <c:formatCode>0.00</c:formatCode>
                <c:ptCount val="6"/>
                <c:pt idx="0">
                  <c:v>2.0020000000000002</c:v>
                </c:pt>
                <c:pt idx="1">
                  <c:v>1.7490000000000001</c:v>
                </c:pt>
                <c:pt idx="2">
                  <c:v>3.5040000000000004</c:v>
                </c:pt>
                <c:pt idx="3">
                  <c:v>5.9538583952283082</c:v>
                </c:pt>
                <c:pt idx="4">
                  <c:v>2.3002771280106775</c:v>
                </c:pt>
                <c:pt idx="5">
                  <c:v>4.5524457914462086</c:v>
                </c:pt>
              </c:numCache>
            </c:numRef>
          </c:yVal>
          <c:smooth val="0"/>
          <c:extLst>
            <c:ext xmlns:c16="http://schemas.microsoft.com/office/drawing/2014/chart" uri="{C3380CC4-5D6E-409C-BE32-E72D297353CC}">
              <c16:uniqueId val="{00000004-3755-46E9-B12F-1029DD361E4A}"/>
            </c:ext>
          </c:extLst>
        </c:ser>
        <c:dLbls>
          <c:showLegendKey val="0"/>
          <c:showVal val="0"/>
          <c:showCatName val="0"/>
          <c:showSerName val="0"/>
          <c:showPercent val="0"/>
          <c:showBubbleSize val="0"/>
        </c:dLbls>
        <c:axId val="595485328"/>
        <c:axId val="595481584"/>
      </c:scatterChart>
      <c:catAx>
        <c:axId val="595485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481584"/>
        <c:crosses val="autoZero"/>
        <c:auto val="1"/>
        <c:lblAlgn val="ctr"/>
        <c:lblOffset val="100"/>
        <c:noMultiLvlLbl val="0"/>
      </c:catAx>
      <c:valAx>
        <c:axId val="595481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MJex/kg seaweed (FW)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4853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2"/>
          <c:order val="0"/>
          <c:tx>
            <c:strRef>
              <c:f>'Ecological impacts'!$A$73</c:f>
              <c:strCache>
                <c:ptCount val="1"/>
                <c:pt idx="0">
                  <c:v>Capital equipment, chemicals, nutrients and fresh water use</c:v>
                </c:pt>
              </c:strCache>
            </c:strRef>
          </c:tx>
          <c:spPr>
            <a:solidFill>
              <a:schemeClr val="accent1"/>
            </a:solidFill>
            <a:ln>
              <a:noFill/>
            </a:ln>
            <a:effectLst/>
          </c:spPr>
          <c:invertIfNegative val="0"/>
          <c:cat>
            <c:strLit>
              <c:ptCount val="6"/>
              <c:pt idx="0">
                <c:v>W1</c:v>
              </c:pt>
              <c:pt idx="1">
                <c:v>W2</c:v>
              </c:pt>
              <c:pt idx="2">
                <c:v>W3</c:v>
              </c:pt>
              <c:pt idx="3">
                <c:v>C1</c:v>
              </c:pt>
              <c:pt idx="4">
                <c:v>C2</c:v>
              </c:pt>
              <c:pt idx="5">
                <c:v>C3</c:v>
              </c:pt>
            </c:strLit>
          </c:cat>
          <c:val>
            <c:numRef>
              <c:f>'Ecological impacts'!$B$73:$G$73</c:f>
              <c:numCache>
                <c:formatCode>General</c:formatCode>
                <c:ptCount val="6"/>
                <c:pt idx="0">
                  <c:v>7.4056999999999997E-4</c:v>
                </c:pt>
                <c:pt idx="1">
                  <c:v>2.9280300000000001E-4</c:v>
                </c:pt>
                <c:pt idx="2">
                  <c:v>7.5500000000000006E-5</c:v>
                </c:pt>
                <c:pt idx="3">
                  <c:v>0.17516778999999999</c:v>
                </c:pt>
                <c:pt idx="4">
                  <c:v>1.6601350000000001E-2</c:v>
                </c:pt>
                <c:pt idx="5">
                  <c:v>0.113901752</c:v>
                </c:pt>
              </c:numCache>
            </c:numRef>
          </c:val>
          <c:extLst>
            <c:ext xmlns:c16="http://schemas.microsoft.com/office/drawing/2014/chart" uri="{C3380CC4-5D6E-409C-BE32-E72D297353CC}">
              <c16:uniqueId val="{00000000-4883-4179-97CF-8949096F8FDB}"/>
            </c:ext>
          </c:extLst>
        </c:ser>
        <c:ser>
          <c:idx val="1"/>
          <c:order val="1"/>
          <c:tx>
            <c:strRef>
              <c:f>'Ecological impacts'!$A$74</c:f>
              <c:strCache>
                <c:ptCount val="1"/>
                <c:pt idx="0">
                  <c:v>Electricity use</c:v>
                </c:pt>
              </c:strCache>
            </c:strRef>
          </c:tx>
          <c:spPr>
            <a:solidFill>
              <a:schemeClr val="accent2"/>
            </a:solidFill>
            <a:ln>
              <a:noFill/>
            </a:ln>
            <a:effectLst/>
          </c:spPr>
          <c:invertIfNegative val="0"/>
          <c:cat>
            <c:strLit>
              <c:ptCount val="6"/>
              <c:pt idx="0">
                <c:v>W1</c:v>
              </c:pt>
              <c:pt idx="1">
                <c:v>W2</c:v>
              </c:pt>
              <c:pt idx="2">
                <c:v>W3</c:v>
              </c:pt>
              <c:pt idx="3">
                <c:v>C1</c:v>
              </c:pt>
              <c:pt idx="4">
                <c:v>C2</c:v>
              </c:pt>
              <c:pt idx="5">
                <c:v>C3</c:v>
              </c:pt>
            </c:strLit>
          </c:cat>
          <c:val>
            <c:numRef>
              <c:f>'Ecological impacts'!$B$74:$G$74</c:f>
              <c:numCache>
                <c:formatCode>General</c:formatCode>
                <c:ptCount val="6"/>
                <c:pt idx="0">
                  <c:v>0</c:v>
                </c:pt>
                <c:pt idx="1">
                  <c:v>0</c:v>
                </c:pt>
                <c:pt idx="2">
                  <c:v>0</c:v>
                </c:pt>
                <c:pt idx="3">
                  <c:v>1.67E-2</c:v>
                </c:pt>
                <c:pt idx="4">
                  <c:v>7.6299999999999996E-3</c:v>
                </c:pt>
                <c:pt idx="5">
                  <c:v>7.5581300000000006E-3</c:v>
                </c:pt>
              </c:numCache>
            </c:numRef>
          </c:val>
          <c:extLst>
            <c:ext xmlns:c16="http://schemas.microsoft.com/office/drawing/2014/chart" uri="{C3380CC4-5D6E-409C-BE32-E72D297353CC}">
              <c16:uniqueId val="{00000001-4883-4179-97CF-8949096F8FDB}"/>
            </c:ext>
          </c:extLst>
        </c:ser>
        <c:ser>
          <c:idx val="0"/>
          <c:order val="2"/>
          <c:tx>
            <c:strRef>
              <c:f>'Ecological impacts'!$A$75</c:f>
              <c:strCache>
                <c:ptCount val="1"/>
                <c:pt idx="0">
                  <c:v>Transport</c:v>
                </c:pt>
              </c:strCache>
            </c:strRef>
          </c:tx>
          <c:spPr>
            <a:solidFill>
              <a:schemeClr val="accent3"/>
            </a:solidFill>
            <a:ln>
              <a:noFill/>
            </a:ln>
            <a:effectLst/>
          </c:spPr>
          <c:invertIfNegative val="0"/>
          <c:cat>
            <c:strLit>
              <c:ptCount val="6"/>
              <c:pt idx="0">
                <c:v>W1</c:v>
              </c:pt>
              <c:pt idx="1">
                <c:v>W2</c:v>
              </c:pt>
              <c:pt idx="2">
                <c:v>W3</c:v>
              </c:pt>
              <c:pt idx="3">
                <c:v>C1</c:v>
              </c:pt>
              <c:pt idx="4">
                <c:v>C2</c:v>
              </c:pt>
              <c:pt idx="5">
                <c:v>C3</c:v>
              </c:pt>
            </c:strLit>
          </c:cat>
          <c:val>
            <c:numRef>
              <c:f>'Ecological impacts'!$B$75:$G$75</c:f>
              <c:numCache>
                <c:formatCode>General</c:formatCode>
                <c:ptCount val="6"/>
                <c:pt idx="0">
                  <c:v>4.2459429999999999E-2</c:v>
                </c:pt>
                <c:pt idx="1">
                  <c:v>2.6407197E-2</c:v>
                </c:pt>
                <c:pt idx="2">
                  <c:v>0.14292449999999998</c:v>
                </c:pt>
                <c:pt idx="3">
                  <c:v>0.15513220999999999</c:v>
                </c:pt>
                <c:pt idx="4">
                  <c:v>9.976865E-2</c:v>
                </c:pt>
                <c:pt idx="5">
                  <c:v>0.13754011800000002</c:v>
                </c:pt>
              </c:numCache>
            </c:numRef>
          </c:val>
          <c:extLst>
            <c:ext xmlns:c16="http://schemas.microsoft.com/office/drawing/2014/chart" uri="{C3380CC4-5D6E-409C-BE32-E72D297353CC}">
              <c16:uniqueId val="{00000002-4883-4179-97CF-8949096F8FDB}"/>
            </c:ext>
          </c:extLst>
        </c:ser>
        <c:dLbls>
          <c:showLegendKey val="0"/>
          <c:showVal val="0"/>
          <c:showCatName val="0"/>
          <c:showSerName val="0"/>
          <c:showPercent val="0"/>
          <c:showBubbleSize val="0"/>
        </c:dLbls>
        <c:gapWidth val="150"/>
        <c:overlap val="100"/>
        <c:axId val="595485328"/>
        <c:axId val="595481584"/>
      </c:barChart>
      <c:scatterChart>
        <c:scatterStyle val="lineMarker"/>
        <c:varyColors val="0"/>
        <c:ser>
          <c:idx val="4"/>
          <c:order val="3"/>
          <c:tx>
            <c:v>Total</c:v>
          </c:tx>
          <c:spPr>
            <a:ln w="25400" cap="rnd">
              <a:noFill/>
              <a:round/>
            </a:ln>
            <a:effectLst/>
          </c:spPr>
          <c:marker>
            <c:symbol val="x"/>
            <c:size val="5"/>
            <c:spPr>
              <a:noFill/>
              <a:ln w="12700">
                <a:solidFill>
                  <a:srgbClr val="FF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yVal>
            <c:numRef>
              <c:f>'Ecological impacts'!$B$76:$G$76</c:f>
              <c:numCache>
                <c:formatCode>0.00</c:formatCode>
                <c:ptCount val="6"/>
                <c:pt idx="0">
                  <c:v>4.3200000000000002E-2</c:v>
                </c:pt>
                <c:pt idx="1">
                  <c:v>2.6700000000000002E-2</c:v>
                </c:pt>
                <c:pt idx="2">
                  <c:v>0.14299999999999999</c:v>
                </c:pt>
                <c:pt idx="3">
                  <c:v>0.34699999999999998</c:v>
                </c:pt>
                <c:pt idx="4">
                  <c:v>0.124</c:v>
                </c:pt>
                <c:pt idx="5">
                  <c:v>0.25900000000000001</c:v>
                </c:pt>
              </c:numCache>
            </c:numRef>
          </c:yVal>
          <c:smooth val="0"/>
          <c:extLst>
            <c:ext xmlns:c16="http://schemas.microsoft.com/office/drawing/2014/chart" uri="{C3380CC4-5D6E-409C-BE32-E72D297353CC}">
              <c16:uniqueId val="{00000003-4883-4179-97CF-8949096F8FDB}"/>
            </c:ext>
          </c:extLst>
        </c:ser>
        <c:dLbls>
          <c:showLegendKey val="0"/>
          <c:showVal val="0"/>
          <c:showCatName val="0"/>
          <c:showSerName val="0"/>
          <c:showPercent val="0"/>
          <c:showBubbleSize val="0"/>
        </c:dLbls>
        <c:axId val="595485328"/>
        <c:axId val="595481584"/>
      </c:scatterChart>
      <c:catAx>
        <c:axId val="595485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481584"/>
        <c:crosses val="autoZero"/>
        <c:auto val="1"/>
        <c:lblAlgn val="ctr"/>
        <c:lblOffset val="100"/>
        <c:noMultiLvlLbl val="0"/>
      </c:catAx>
      <c:valAx>
        <c:axId val="595481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kg CO2-eq/kg seaweed (FW)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4853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MSP!$A$27</c:f>
              <c:strCache>
                <c:ptCount val="1"/>
                <c:pt idx="0">
                  <c:v>Capital equipment loans and interest</c:v>
                </c:pt>
              </c:strCache>
            </c:strRef>
          </c:tx>
          <c:spPr>
            <a:solidFill>
              <a:schemeClr val="accent1"/>
            </a:solidFill>
            <a:ln>
              <a:noFill/>
            </a:ln>
            <a:effectLst/>
          </c:spPr>
          <c:invertIfNegative val="0"/>
          <c:dLbls>
            <c:delete val="1"/>
          </c:dLbls>
          <c:cat>
            <c:strLit>
              <c:ptCount val="6"/>
              <c:pt idx="0">
                <c:v>W1</c:v>
              </c:pt>
              <c:pt idx="1">
                <c:v>W2</c:v>
              </c:pt>
              <c:pt idx="2">
                <c:v>W3</c:v>
              </c:pt>
              <c:pt idx="3">
                <c:v>C1</c:v>
              </c:pt>
              <c:pt idx="4">
                <c:v>C2</c:v>
              </c:pt>
              <c:pt idx="5">
                <c:v>C3</c:v>
              </c:pt>
            </c:strLit>
          </c:cat>
          <c:val>
            <c:numRef>
              <c:f>MSP!$B$27:$G$27</c:f>
              <c:numCache>
                <c:formatCode>0.00</c:formatCode>
                <c:ptCount val="6"/>
                <c:pt idx="0">
                  <c:v>0</c:v>
                </c:pt>
                <c:pt idx="1">
                  <c:v>1.4878048780487805E-3</c:v>
                </c:pt>
                <c:pt idx="2">
                  <c:v>3.9268292682926829E-2</c:v>
                </c:pt>
                <c:pt idx="3">
                  <c:v>0.39042015922865009</c:v>
                </c:pt>
                <c:pt idx="4">
                  <c:v>3.4144764137835806E-2</c:v>
                </c:pt>
                <c:pt idx="5">
                  <c:v>0.80015152367731601</c:v>
                </c:pt>
              </c:numCache>
            </c:numRef>
          </c:val>
          <c:extLst>
            <c:ext xmlns:c16="http://schemas.microsoft.com/office/drawing/2014/chart" uri="{C3380CC4-5D6E-409C-BE32-E72D297353CC}">
              <c16:uniqueId val="{00000000-FFFF-460B-9015-E077DF5280FD}"/>
            </c:ext>
          </c:extLst>
        </c:ser>
        <c:ser>
          <c:idx val="1"/>
          <c:order val="1"/>
          <c:tx>
            <c:strRef>
              <c:f>MSP!$A$28</c:f>
              <c:strCache>
                <c:ptCount val="1"/>
                <c:pt idx="0">
                  <c:v>Annually purchased equipment, licenses and utilities</c:v>
                </c:pt>
              </c:strCache>
            </c:strRef>
          </c:tx>
          <c:spPr>
            <a:solidFill>
              <a:schemeClr val="accent2"/>
            </a:solidFill>
            <a:ln>
              <a:noFill/>
            </a:ln>
            <a:effectLst/>
          </c:spPr>
          <c:invertIfNegative val="0"/>
          <c:dLbls>
            <c:delete val="1"/>
          </c:dLbls>
          <c:cat>
            <c:strLit>
              <c:ptCount val="6"/>
              <c:pt idx="0">
                <c:v>W1</c:v>
              </c:pt>
              <c:pt idx="1">
                <c:v>W2</c:v>
              </c:pt>
              <c:pt idx="2">
                <c:v>W3</c:v>
              </c:pt>
              <c:pt idx="3">
                <c:v>C1</c:v>
              </c:pt>
              <c:pt idx="4">
                <c:v>C2</c:v>
              </c:pt>
              <c:pt idx="5">
                <c:v>C3</c:v>
              </c:pt>
            </c:strLit>
          </c:cat>
          <c:val>
            <c:numRef>
              <c:f>MSP!$B$28:$G$28</c:f>
              <c:numCache>
                <c:formatCode>0.00</c:formatCode>
                <c:ptCount val="6"/>
                <c:pt idx="0">
                  <c:v>7.5884146341463413E-3</c:v>
                </c:pt>
                <c:pt idx="1">
                  <c:v>4.0853658536585364E-4</c:v>
                </c:pt>
                <c:pt idx="2">
                  <c:v>2.4390243902439026E-5</c:v>
                </c:pt>
                <c:pt idx="3">
                  <c:v>5.3620211845730029E-2</c:v>
                </c:pt>
                <c:pt idx="4">
                  <c:v>1.9050872016264903E-2</c:v>
                </c:pt>
                <c:pt idx="5">
                  <c:v>5.2340476972576599E-3</c:v>
                </c:pt>
              </c:numCache>
            </c:numRef>
          </c:val>
          <c:extLst>
            <c:ext xmlns:c16="http://schemas.microsoft.com/office/drawing/2014/chart" uri="{C3380CC4-5D6E-409C-BE32-E72D297353CC}">
              <c16:uniqueId val="{00000001-FFFF-460B-9015-E077DF5280FD}"/>
            </c:ext>
          </c:extLst>
        </c:ser>
        <c:ser>
          <c:idx val="2"/>
          <c:order val="2"/>
          <c:tx>
            <c:strRef>
              <c:f>MSP!$A$29</c:f>
              <c:strCache>
                <c:ptCount val="1"/>
                <c:pt idx="0">
                  <c:v>Boat rental, maintenance, insurance and fuel</c:v>
                </c:pt>
              </c:strCache>
            </c:strRef>
          </c:tx>
          <c:spPr>
            <a:solidFill>
              <a:schemeClr val="accent3"/>
            </a:solidFill>
            <a:ln>
              <a:noFill/>
            </a:ln>
            <a:effectLst/>
          </c:spPr>
          <c:invertIfNegative val="0"/>
          <c:dLbls>
            <c:delete val="1"/>
          </c:dLbls>
          <c:cat>
            <c:strLit>
              <c:ptCount val="6"/>
              <c:pt idx="0">
                <c:v>W1</c:v>
              </c:pt>
              <c:pt idx="1">
                <c:v>W2</c:v>
              </c:pt>
              <c:pt idx="2">
                <c:v>W3</c:v>
              </c:pt>
              <c:pt idx="3">
                <c:v>C1</c:v>
              </c:pt>
              <c:pt idx="4">
                <c:v>C2</c:v>
              </c:pt>
              <c:pt idx="5">
                <c:v>C3</c:v>
              </c:pt>
            </c:strLit>
          </c:cat>
          <c:val>
            <c:numRef>
              <c:f>MSP!$B$29:$G$29</c:f>
              <c:numCache>
                <c:formatCode>0.00</c:formatCode>
                <c:ptCount val="6"/>
                <c:pt idx="0">
                  <c:v>2.138542652757992E-2</c:v>
                </c:pt>
                <c:pt idx="1">
                  <c:v>1.5680926067073175E-2</c:v>
                </c:pt>
                <c:pt idx="2">
                  <c:v>0.10663766535418215</c:v>
                </c:pt>
                <c:pt idx="3">
                  <c:v>0.37732507863939196</c:v>
                </c:pt>
                <c:pt idx="4">
                  <c:v>0.33179581656800111</c:v>
                </c:pt>
                <c:pt idx="5">
                  <c:v>0.34950855632556566</c:v>
                </c:pt>
              </c:numCache>
            </c:numRef>
          </c:val>
          <c:extLst>
            <c:ext xmlns:c16="http://schemas.microsoft.com/office/drawing/2014/chart" uri="{C3380CC4-5D6E-409C-BE32-E72D297353CC}">
              <c16:uniqueId val="{00000002-FFFF-460B-9015-E077DF5280FD}"/>
            </c:ext>
          </c:extLst>
        </c:ser>
        <c:ser>
          <c:idx val="3"/>
          <c:order val="3"/>
          <c:tx>
            <c:strRef>
              <c:f>MSP!$A$30</c:f>
              <c:strCache>
                <c:ptCount val="1"/>
                <c:pt idx="0">
                  <c:v>Hired labour</c:v>
                </c:pt>
              </c:strCache>
            </c:strRef>
          </c:tx>
          <c:spPr>
            <a:solidFill>
              <a:schemeClr val="accent4"/>
            </a:solidFill>
            <a:ln>
              <a:noFill/>
            </a:ln>
            <a:effectLst/>
          </c:spPr>
          <c:invertIfNegative val="0"/>
          <c:dLbls>
            <c:delete val="1"/>
          </c:dLbls>
          <c:cat>
            <c:strLit>
              <c:ptCount val="6"/>
              <c:pt idx="0">
                <c:v>W1</c:v>
              </c:pt>
              <c:pt idx="1">
                <c:v>W2</c:v>
              </c:pt>
              <c:pt idx="2">
                <c:v>W3</c:v>
              </c:pt>
              <c:pt idx="3">
                <c:v>C1</c:v>
              </c:pt>
              <c:pt idx="4">
                <c:v>C2</c:v>
              </c:pt>
              <c:pt idx="5">
                <c:v>C3</c:v>
              </c:pt>
            </c:strLit>
          </c:cat>
          <c:val>
            <c:numRef>
              <c:f>MSP!$B$30:$G$30</c:f>
              <c:numCache>
                <c:formatCode>0.00</c:formatCode>
                <c:ptCount val="6"/>
                <c:pt idx="0">
                  <c:v>1.2340119173444848E-3</c:v>
                </c:pt>
                <c:pt idx="1">
                  <c:v>0</c:v>
                </c:pt>
                <c:pt idx="2">
                  <c:v>0</c:v>
                </c:pt>
                <c:pt idx="3">
                  <c:v>0.28895092120430615</c:v>
                </c:pt>
                <c:pt idx="4">
                  <c:v>0.26010223120958131</c:v>
                </c:pt>
                <c:pt idx="5">
                  <c:v>0.25212664779879473</c:v>
                </c:pt>
              </c:numCache>
            </c:numRef>
          </c:val>
          <c:extLst>
            <c:ext xmlns:c16="http://schemas.microsoft.com/office/drawing/2014/chart" uri="{C3380CC4-5D6E-409C-BE32-E72D297353CC}">
              <c16:uniqueId val="{00000003-FFFF-460B-9015-E077DF5280FD}"/>
            </c:ext>
          </c:extLst>
        </c:ser>
        <c:ser>
          <c:idx val="4"/>
          <c:order val="4"/>
          <c:tx>
            <c:strRef>
              <c:f>MSP!$A$31</c:f>
              <c:strCache>
                <c:ptCount val="1"/>
                <c:pt idx="0">
                  <c:v>Business owner income/own labour</c:v>
                </c:pt>
              </c:strCache>
            </c:strRef>
          </c:tx>
          <c:spPr>
            <a:solidFill>
              <a:srgbClr val="7030A0"/>
            </a:solidFill>
            <a:ln>
              <a:noFill/>
            </a:ln>
            <a:effectLst/>
          </c:spPr>
          <c:invertIfNegative val="0"/>
          <c:dLbls>
            <c:delete val="1"/>
          </c:dLbls>
          <c:cat>
            <c:strLit>
              <c:ptCount val="6"/>
              <c:pt idx="0">
                <c:v>W1</c:v>
              </c:pt>
              <c:pt idx="1">
                <c:v>W2</c:v>
              </c:pt>
              <c:pt idx="2">
                <c:v>W3</c:v>
              </c:pt>
              <c:pt idx="3">
                <c:v>C1</c:v>
              </c:pt>
              <c:pt idx="4">
                <c:v>C2</c:v>
              </c:pt>
              <c:pt idx="5">
                <c:v>C3</c:v>
              </c:pt>
            </c:strLit>
          </c:cat>
          <c:val>
            <c:numRef>
              <c:f>MSP!$B$31:$G$31</c:f>
              <c:numCache>
                <c:formatCode>0.00</c:formatCode>
                <c:ptCount val="6"/>
                <c:pt idx="0">
                  <c:v>8.5106382978723402E-2</c:v>
                </c:pt>
                <c:pt idx="1">
                  <c:v>8.5106382978723402E-2</c:v>
                </c:pt>
                <c:pt idx="2">
                  <c:v>1.021276595744681E-2</c:v>
                </c:pt>
                <c:pt idx="3">
                  <c:v>0.34435261707988996</c:v>
                </c:pt>
                <c:pt idx="4">
                  <c:v>0.34435261707988979</c:v>
                </c:pt>
                <c:pt idx="5">
                  <c:v>0.33068783068783081</c:v>
                </c:pt>
              </c:numCache>
            </c:numRef>
          </c:val>
          <c:extLst>
            <c:ext xmlns:c16="http://schemas.microsoft.com/office/drawing/2014/chart" uri="{C3380CC4-5D6E-409C-BE32-E72D297353CC}">
              <c16:uniqueId val="{00000004-FFFF-460B-9015-E077DF5280FD}"/>
            </c:ext>
          </c:extLst>
        </c:ser>
        <c:ser>
          <c:idx val="5"/>
          <c:order val="5"/>
          <c:tx>
            <c:strRef>
              <c:f>MSP!$A$32</c:f>
              <c:strCache>
                <c:ptCount val="1"/>
                <c:pt idx="0">
                  <c:v>Taxes</c:v>
                </c:pt>
              </c:strCache>
            </c:strRef>
          </c:tx>
          <c:spPr>
            <a:solidFill>
              <a:schemeClr val="accent6"/>
            </a:solidFill>
            <a:ln>
              <a:noFill/>
            </a:ln>
            <a:effectLst/>
          </c:spPr>
          <c:invertIfNegative val="0"/>
          <c:dLbls>
            <c:delete val="1"/>
          </c:dLbls>
          <c:cat>
            <c:strLit>
              <c:ptCount val="6"/>
              <c:pt idx="0">
                <c:v>W1</c:v>
              </c:pt>
              <c:pt idx="1">
                <c:v>W2</c:v>
              </c:pt>
              <c:pt idx="2">
                <c:v>W3</c:v>
              </c:pt>
              <c:pt idx="3">
                <c:v>C1</c:v>
              </c:pt>
              <c:pt idx="4">
                <c:v>C2</c:v>
              </c:pt>
              <c:pt idx="5">
                <c:v>C3</c:v>
              </c:pt>
            </c:strLit>
          </c:cat>
          <c:val>
            <c:numRef>
              <c:f>MSP!$B$32:$G$32</c:f>
              <c:numCache>
                <c:formatCode>0.00</c:formatCode>
                <c:ptCount val="6"/>
                <c:pt idx="0">
                  <c:v>8.6340394896067887E-3</c:v>
                </c:pt>
                <c:pt idx="1">
                  <c:v>8.5106382978723423E-3</c:v>
                </c:pt>
                <c:pt idx="2">
                  <c:v>1.021276595744681E-3</c:v>
                </c:pt>
                <c:pt idx="3">
                  <c:v>6.3330353828419603E-2</c:v>
                </c:pt>
                <c:pt idx="4">
                  <c:v>6.044548482894712E-2</c:v>
                </c:pt>
                <c:pt idx="5">
                  <c:v>5.828144784866255E-2</c:v>
                </c:pt>
              </c:numCache>
            </c:numRef>
          </c:val>
          <c:extLst>
            <c:ext xmlns:c16="http://schemas.microsoft.com/office/drawing/2014/chart" uri="{C3380CC4-5D6E-409C-BE32-E72D297353CC}">
              <c16:uniqueId val="{00000005-FFFF-460B-9015-E077DF5280FD}"/>
            </c:ext>
          </c:extLst>
        </c:ser>
        <c:dLbls>
          <c:showLegendKey val="0"/>
          <c:showVal val="1"/>
          <c:showCatName val="0"/>
          <c:showSerName val="0"/>
          <c:showPercent val="0"/>
          <c:showBubbleSize val="0"/>
        </c:dLbls>
        <c:gapWidth val="150"/>
        <c:overlap val="100"/>
        <c:axId val="434563247"/>
        <c:axId val="149395247"/>
      </c:barChart>
      <c:scatterChart>
        <c:scatterStyle val="lineMarker"/>
        <c:varyColors val="0"/>
        <c:ser>
          <c:idx val="7"/>
          <c:order val="6"/>
          <c:tx>
            <c:v>Total</c:v>
          </c:tx>
          <c:spPr>
            <a:ln w="25400" cap="rnd">
              <a:noFill/>
              <a:round/>
            </a:ln>
            <a:effectLst/>
          </c:spPr>
          <c:marker>
            <c:symbol val="x"/>
            <c:size val="5"/>
            <c:spPr>
              <a:noFill/>
              <a:ln w="12700">
                <a:solidFill>
                  <a:srgbClr val="FF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yVal>
            <c:numRef>
              <c:f>MSP!$B$35:$G$35</c:f>
              <c:numCache>
                <c:formatCode>0.00</c:formatCode>
                <c:ptCount val="6"/>
                <c:pt idx="0">
                  <c:v>0.12394827554740093</c:v>
                </c:pt>
                <c:pt idx="1">
                  <c:v>0.11119428880708356</c:v>
                </c:pt>
                <c:pt idx="2">
                  <c:v>0.15716439083420292</c:v>
                </c:pt>
                <c:pt idx="3">
                  <c:v>1.5179993418263877</c:v>
                </c:pt>
                <c:pt idx="4">
                  <c:v>1.0498917858405201</c:v>
                </c:pt>
                <c:pt idx="5">
                  <c:v>1.7959900540354274</c:v>
                </c:pt>
              </c:numCache>
            </c:numRef>
          </c:yVal>
          <c:smooth val="0"/>
          <c:extLst>
            <c:ext xmlns:c16="http://schemas.microsoft.com/office/drawing/2014/chart" uri="{C3380CC4-5D6E-409C-BE32-E72D297353CC}">
              <c16:uniqueId val="{00000006-FFFF-460B-9015-E077DF5280FD}"/>
            </c:ext>
          </c:extLst>
        </c:ser>
        <c:dLbls>
          <c:showLegendKey val="0"/>
          <c:showVal val="0"/>
          <c:showCatName val="0"/>
          <c:showSerName val="0"/>
          <c:showPercent val="0"/>
          <c:showBubbleSize val="0"/>
        </c:dLbls>
        <c:axId val="434563247"/>
        <c:axId val="149395247"/>
      </c:scatterChart>
      <c:catAx>
        <c:axId val="4345632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395247"/>
        <c:crosses val="autoZero"/>
        <c:auto val="1"/>
        <c:lblAlgn val="ctr"/>
        <c:lblOffset val="100"/>
        <c:noMultiLvlLbl val="0"/>
      </c:catAx>
      <c:valAx>
        <c:axId val="1493952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€/kg seaweed (FW)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4563247"/>
        <c:crosses val="autoZero"/>
        <c:crossBetween val="between"/>
        <c:majorUnit val="0.4"/>
      </c:valAx>
      <c:spPr>
        <a:noFill/>
        <a:ln>
          <a:noFill/>
        </a:ln>
        <a:effectLst/>
      </c:spPr>
    </c:plotArea>
    <c:legend>
      <c:legendPos val="r"/>
      <c:layout>
        <c:manualLayout>
          <c:xMode val="edge"/>
          <c:yMode val="edge"/>
          <c:x val="0.64625831146106738"/>
          <c:y val="4.5450455056754269E-2"/>
          <c:w val="0.33707502187226596"/>
          <c:h val="0.855402742959636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1"/>
          <c:order val="0"/>
          <c:tx>
            <c:strRef>
              <c:f>'Social impact'!$A$39</c:f>
              <c:strCache>
                <c:ptCount val="1"/>
                <c:pt idx="0">
                  <c:v>Hired workers</c:v>
                </c:pt>
              </c:strCache>
            </c:strRef>
          </c:tx>
          <c:spPr>
            <a:solidFill>
              <a:schemeClr val="accent4"/>
            </a:solidFill>
            <a:ln>
              <a:noFill/>
            </a:ln>
            <a:effectLst/>
          </c:spPr>
          <c:invertIfNegative val="0"/>
          <c:dLbls>
            <c:delete val="1"/>
          </c:dLbls>
          <c:cat>
            <c:strRef>
              <c:f>'Social impact'!$B$33:$G$33</c:f>
              <c:strCache>
                <c:ptCount val="6"/>
                <c:pt idx="0">
                  <c:v>W1</c:v>
                </c:pt>
                <c:pt idx="1">
                  <c:v>W2</c:v>
                </c:pt>
                <c:pt idx="2">
                  <c:v>W3</c:v>
                </c:pt>
                <c:pt idx="3">
                  <c:v>C1</c:v>
                </c:pt>
                <c:pt idx="4">
                  <c:v>C2</c:v>
                </c:pt>
                <c:pt idx="5">
                  <c:v>C3</c:v>
                </c:pt>
              </c:strCache>
            </c:strRef>
          </c:cat>
          <c:val>
            <c:numRef>
              <c:f>'Social impact'!$B$39:$G$39</c:f>
              <c:numCache>
                <c:formatCode>0.00</c:formatCode>
                <c:ptCount val="6"/>
                <c:pt idx="0">
                  <c:v>0.4373600001463358</c:v>
                </c:pt>
                <c:pt idx="1">
                  <c:v>0</c:v>
                </c:pt>
                <c:pt idx="2">
                  <c:v>0</c:v>
                </c:pt>
                <c:pt idx="3">
                  <c:v>11.091488483673631</c:v>
                </c:pt>
                <c:pt idx="4">
                  <c:v>9.7428271353462623</c:v>
                </c:pt>
                <c:pt idx="5">
                  <c:v>9.3277516720778468</c:v>
                </c:pt>
              </c:numCache>
            </c:numRef>
          </c:val>
          <c:extLst>
            <c:ext xmlns:c16="http://schemas.microsoft.com/office/drawing/2014/chart" uri="{C3380CC4-5D6E-409C-BE32-E72D297353CC}">
              <c16:uniqueId val="{00000000-E083-4483-A8A6-79CE72CD8854}"/>
            </c:ext>
          </c:extLst>
        </c:ser>
        <c:ser>
          <c:idx val="0"/>
          <c:order val="1"/>
          <c:tx>
            <c:strRef>
              <c:f>'Social impact'!$A$38</c:f>
              <c:strCache>
                <c:ptCount val="1"/>
                <c:pt idx="0">
                  <c:v>Self-employed/business owners</c:v>
                </c:pt>
              </c:strCache>
            </c:strRef>
          </c:tx>
          <c:spPr>
            <a:solidFill>
              <a:srgbClr val="7030A0"/>
            </a:solidFill>
            <a:ln>
              <a:noFill/>
            </a:ln>
            <a:effectLst/>
          </c:spPr>
          <c:invertIfNegative val="0"/>
          <c:dLbls>
            <c:delete val="1"/>
          </c:dLbls>
          <c:cat>
            <c:strRef>
              <c:f>'Social impact'!$B$33:$G$33</c:f>
              <c:strCache>
                <c:ptCount val="6"/>
                <c:pt idx="0">
                  <c:v>W1</c:v>
                </c:pt>
                <c:pt idx="1">
                  <c:v>W2</c:v>
                </c:pt>
                <c:pt idx="2">
                  <c:v>W3</c:v>
                </c:pt>
                <c:pt idx="3">
                  <c:v>C1</c:v>
                </c:pt>
                <c:pt idx="4">
                  <c:v>C2</c:v>
                </c:pt>
                <c:pt idx="5">
                  <c:v>C3</c:v>
                </c:pt>
              </c:strCache>
            </c:strRef>
          </c:cat>
          <c:val>
            <c:numRef>
              <c:f>'Social impact'!$B$38:$G$38</c:f>
              <c:numCache>
                <c:formatCode>0.00</c:formatCode>
                <c:ptCount val="6"/>
                <c:pt idx="0">
                  <c:v>5.0128094370731278</c:v>
                </c:pt>
                <c:pt idx="1">
                  <c:v>5.0128094370731278</c:v>
                </c:pt>
                <c:pt idx="2">
                  <c:v>0.60153713244877527</c:v>
                </c:pt>
                <c:pt idx="3">
                  <c:v>9.494135615099399</c:v>
                </c:pt>
                <c:pt idx="4">
                  <c:v>9.494135615099399</c:v>
                </c:pt>
                <c:pt idx="5">
                  <c:v>9.1977815849324713</c:v>
                </c:pt>
              </c:numCache>
            </c:numRef>
          </c:val>
          <c:extLst>
            <c:ext xmlns:c16="http://schemas.microsoft.com/office/drawing/2014/chart" uri="{C3380CC4-5D6E-409C-BE32-E72D297353CC}">
              <c16:uniqueId val="{00000001-E083-4483-A8A6-79CE72CD8854}"/>
            </c:ext>
          </c:extLst>
        </c:ser>
        <c:dLbls>
          <c:showLegendKey val="0"/>
          <c:showVal val="1"/>
          <c:showCatName val="0"/>
          <c:showSerName val="0"/>
          <c:showPercent val="0"/>
          <c:showBubbleSize val="0"/>
        </c:dLbls>
        <c:gapWidth val="150"/>
        <c:overlap val="100"/>
        <c:axId val="1757375727"/>
        <c:axId val="277734015"/>
      </c:barChart>
      <c:scatterChart>
        <c:scatterStyle val="lineMarker"/>
        <c:varyColors val="0"/>
        <c:ser>
          <c:idx val="2"/>
          <c:order val="2"/>
          <c:tx>
            <c:strRef>
              <c:f>'Social impact'!$A$40</c:f>
              <c:strCache>
                <c:ptCount val="1"/>
                <c:pt idx="0">
                  <c:v>Total</c:v>
                </c:pt>
              </c:strCache>
            </c:strRef>
          </c:tx>
          <c:spPr>
            <a:ln w="25400" cap="rnd">
              <a:noFill/>
              <a:round/>
            </a:ln>
            <a:effectLst/>
          </c:spPr>
          <c:marker>
            <c:symbol val="x"/>
            <c:size val="5"/>
            <c:spPr>
              <a:noFill/>
              <a:ln w="12700">
                <a:solidFill>
                  <a:srgbClr val="FF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yVal>
            <c:numRef>
              <c:f>'Social impact'!$B$40:$G$40</c:f>
              <c:numCache>
                <c:formatCode>0.00</c:formatCode>
                <c:ptCount val="6"/>
                <c:pt idx="0">
                  <c:v>5.4501694372194631</c:v>
                </c:pt>
                <c:pt idx="1">
                  <c:v>5.0128094370731278</c:v>
                </c:pt>
                <c:pt idx="2">
                  <c:v>0.60153713244877527</c:v>
                </c:pt>
                <c:pt idx="3">
                  <c:v>20.585624098773032</c:v>
                </c:pt>
                <c:pt idx="4">
                  <c:v>19.236962750445663</c:v>
                </c:pt>
                <c:pt idx="5">
                  <c:v>18.525533257010316</c:v>
                </c:pt>
              </c:numCache>
            </c:numRef>
          </c:yVal>
          <c:smooth val="0"/>
          <c:extLst>
            <c:ext xmlns:c16="http://schemas.microsoft.com/office/drawing/2014/chart" uri="{C3380CC4-5D6E-409C-BE32-E72D297353CC}">
              <c16:uniqueId val="{00000002-E083-4483-A8A6-79CE72CD8854}"/>
            </c:ext>
          </c:extLst>
        </c:ser>
        <c:dLbls>
          <c:showLegendKey val="0"/>
          <c:showVal val="0"/>
          <c:showCatName val="0"/>
          <c:showSerName val="0"/>
          <c:showPercent val="0"/>
          <c:showBubbleSize val="0"/>
        </c:dLbls>
        <c:axId val="1757375727"/>
        <c:axId val="277734015"/>
      </c:scatterChart>
      <c:catAx>
        <c:axId val="1757375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7734015"/>
        <c:crosses val="autoZero"/>
        <c:auto val="1"/>
        <c:lblAlgn val="ctr"/>
        <c:lblOffset val="100"/>
        <c:noMultiLvlLbl val="0"/>
      </c:catAx>
      <c:valAx>
        <c:axId val="2777340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HP/kg</a:t>
                </a:r>
                <a:r>
                  <a:rPr lang="en-IE" baseline="0"/>
                  <a:t> seaweed (FW)</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737572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GbghDToDFwFQXfjnKIl+lqckjow==">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</go:docsCustomData>
</go:gDocsCustomXmlDataStorage>
</file>

<file path=customXml/itemProps1.xml><?xml version="1.0" encoding="utf-8"?>
<ds:datastoreItem xmlns:ds="http://schemas.openxmlformats.org/officeDocument/2006/customXml" ds:itemID="{CB0A4FFC-ABB2-4ADB-896A-BC3F4F7C8ED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42489</Words>
  <Characters>242193</Characters>
  <Application>Microsoft Office Word</Application>
  <DocSecurity>0</DocSecurity>
  <Lines>2018</Lines>
  <Paragraphs>568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Charlene V</dc:creator>
  <cp:lastModifiedBy>Charlene V</cp:lastModifiedBy>
  <cp:revision>3</cp:revision>
  <cp:lastPrinted>2023-03-01T10:04:00Z</cp:lastPrinted>
  <dcterms:created xsi:type="dcterms:W3CDTF">2023-10-12T10:56:00Z</dcterms:created>
  <dcterms:modified xsi:type="dcterms:W3CDTF">2023-10-12T10:57:00Z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id="QJGpZWNh"/&gt;&lt;style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