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681B6C" w14:textId="50B2F5F7" w:rsidR="0034047B" w:rsidRPr="006D292D" w:rsidRDefault="0034047B" w:rsidP="00985C43">
      <w:pPr>
        <w:pStyle w:val="Body"/>
        <w:spacing w:after="0" w:line="240" w:lineRule="auto"/>
        <w:rPr>
          <w:rFonts w:ascii="Arial" w:eastAsia="Arial" w:hAnsi="Arial" w:cs="Arial"/>
          <w:b/>
          <w:bCs/>
          <w:sz w:val="24"/>
          <w:szCs w:val="24"/>
        </w:rPr>
      </w:pPr>
    </w:p>
    <w:p w14:paraId="20429C84" w14:textId="77777777" w:rsidR="00AD2283" w:rsidRPr="006D292D" w:rsidRDefault="00AD2283" w:rsidP="0034047B">
      <w:pPr>
        <w:pStyle w:val="Body"/>
        <w:rPr>
          <w:rFonts w:ascii="Arial" w:eastAsia="Arial" w:hAnsi="Arial" w:cs="Arial"/>
          <w:b/>
          <w:bCs/>
          <w:sz w:val="24"/>
          <w:szCs w:val="24"/>
        </w:rPr>
      </w:pPr>
    </w:p>
    <w:p w14:paraId="753A82F3" w14:textId="77777777" w:rsidR="00985C43" w:rsidRPr="006D292D" w:rsidRDefault="00985C43" w:rsidP="00985C43">
      <w:pPr>
        <w:spacing w:line="276" w:lineRule="auto"/>
        <w:jc w:val="center"/>
        <w:rPr>
          <w:rFonts w:ascii="Arial" w:hAnsi="Arial" w:cs="Arial"/>
        </w:rPr>
      </w:pPr>
      <w:r w:rsidRPr="006D292D">
        <w:rPr>
          <w:rFonts w:ascii="Arial" w:hAnsi="Arial" w:cs="Arial"/>
          <w:noProof/>
          <w:lang w:eastAsia="en-IE"/>
        </w:rPr>
        <w:drawing>
          <wp:inline distT="0" distB="0" distL="0" distR="0" wp14:anchorId="2545FBD6" wp14:editId="08DB03A8">
            <wp:extent cx="2109886" cy="1176020"/>
            <wp:effectExtent l="0" t="0" r="5080" b="5080"/>
            <wp:docPr id="1" name="Picture 1"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icon&#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30035" cy="1187251"/>
                    </a:xfrm>
                    <a:prstGeom prst="rect">
                      <a:avLst/>
                    </a:prstGeom>
                  </pic:spPr>
                </pic:pic>
              </a:graphicData>
            </a:graphic>
          </wp:inline>
        </w:drawing>
      </w:r>
    </w:p>
    <w:p w14:paraId="60BE986A" w14:textId="63962ED5" w:rsidR="00985C43" w:rsidRPr="006D292D" w:rsidRDefault="00985C43" w:rsidP="00985C43">
      <w:pPr>
        <w:spacing w:line="276" w:lineRule="auto"/>
        <w:jc w:val="center"/>
        <w:rPr>
          <w:rFonts w:ascii="Arial" w:hAnsi="Arial" w:cs="Arial"/>
        </w:rPr>
      </w:pPr>
    </w:p>
    <w:p w14:paraId="4F74A7CB" w14:textId="7270B669" w:rsidR="00985C43" w:rsidRPr="005E1317" w:rsidRDefault="005E1317" w:rsidP="00985C43">
      <w:pPr>
        <w:pBdr>
          <w:bottom w:val="single" w:sz="12" w:space="1" w:color="auto"/>
        </w:pBdr>
        <w:jc w:val="center"/>
        <w:rPr>
          <w:rFonts w:ascii="Arial" w:hAnsi="Arial" w:cs="Arial"/>
          <w:b/>
          <w:iCs/>
          <w:color w:val="004C93"/>
          <w:sz w:val="44"/>
          <w:szCs w:val="44"/>
          <w:lang w:val="en-GB"/>
        </w:rPr>
      </w:pPr>
      <w:r w:rsidRPr="005E1317">
        <w:rPr>
          <w:rFonts w:ascii="Arial" w:hAnsi="Arial" w:cs="Arial"/>
          <w:b/>
          <w:iCs/>
          <w:color w:val="004C93"/>
          <w:sz w:val="44"/>
          <w:szCs w:val="44"/>
          <w:lang w:val="en-GB"/>
        </w:rPr>
        <w:t xml:space="preserve">Deprescribing </w:t>
      </w:r>
      <w:r w:rsidR="001B322D">
        <w:rPr>
          <w:rFonts w:ascii="Arial" w:hAnsi="Arial" w:cs="Arial"/>
          <w:b/>
          <w:iCs/>
          <w:color w:val="004C93"/>
          <w:sz w:val="44"/>
          <w:szCs w:val="44"/>
          <w:lang w:val="en-GB"/>
        </w:rPr>
        <w:t>in General Practice</w:t>
      </w:r>
    </w:p>
    <w:p w14:paraId="4955ED23" w14:textId="77777777" w:rsidR="00985C43" w:rsidRPr="006D292D" w:rsidRDefault="00985C43" w:rsidP="00985C43">
      <w:pPr>
        <w:pBdr>
          <w:bottom w:val="single" w:sz="12" w:space="1" w:color="auto"/>
        </w:pBdr>
        <w:jc w:val="center"/>
        <w:rPr>
          <w:rFonts w:ascii="Arial" w:hAnsi="Arial" w:cs="Arial"/>
          <w:b/>
          <w:iCs/>
          <w:color w:val="004C93"/>
          <w:lang w:val="en-GB"/>
        </w:rPr>
      </w:pPr>
    </w:p>
    <w:p w14:paraId="0077421E" w14:textId="77777777" w:rsidR="00985C43" w:rsidRPr="006D292D" w:rsidRDefault="00985C43" w:rsidP="00985C43">
      <w:pPr>
        <w:pStyle w:val="Normal1"/>
        <w:spacing w:after="120" w:line="276" w:lineRule="auto"/>
        <w:jc w:val="center"/>
        <w:rPr>
          <w:rFonts w:ascii="Arial" w:eastAsia="Calibri" w:hAnsi="Arial" w:cs="Arial"/>
          <w:color w:val="76923C"/>
          <w:lang w:val="en-IE"/>
        </w:rPr>
      </w:pPr>
    </w:p>
    <w:p w14:paraId="7A3029AC" w14:textId="77777777" w:rsidR="00985C43" w:rsidRPr="006D292D" w:rsidRDefault="00985C43" w:rsidP="00985C43">
      <w:pPr>
        <w:pStyle w:val="Normal1"/>
        <w:spacing w:after="120" w:line="276" w:lineRule="auto"/>
        <w:jc w:val="center"/>
        <w:rPr>
          <w:rFonts w:ascii="Arial" w:eastAsia="Calibri" w:hAnsi="Arial" w:cs="Arial"/>
          <w:color w:val="76923C"/>
          <w:lang w:val="en-IE"/>
        </w:rPr>
      </w:pPr>
      <w:r w:rsidRPr="006D292D">
        <w:rPr>
          <w:rFonts w:ascii="Arial" w:eastAsia="Calibri" w:hAnsi="Arial" w:cs="Arial"/>
          <w:color w:val="76923C"/>
          <w:lang w:val="en-IE"/>
        </w:rPr>
        <w:t>Quality and Safety in Practice Committee</w:t>
      </w:r>
    </w:p>
    <w:p w14:paraId="24BBB535" w14:textId="77777777" w:rsidR="00985C43" w:rsidRPr="006D292D" w:rsidRDefault="00985C43" w:rsidP="00985C43">
      <w:pPr>
        <w:pStyle w:val="Normal1"/>
        <w:spacing w:after="120" w:line="276" w:lineRule="auto"/>
        <w:jc w:val="center"/>
        <w:rPr>
          <w:rFonts w:ascii="Arial" w:eastAsia="Calibri" w:hAnsi="Arial" w:cs="Arial"/>
          <w:color w:val="76923C"/>
          <w:lang w:val="en-IE"/>
        </w:rPr>
      </w:pPr>
    </w:p>
    <w:p w14:paraId="50236BB9" w14:textId="77777777" w:rsidR="00985C43" w:rsidRPr="006D292D" w:rsidRDefault="00985C43" w:rsidP="00985C43">
      <w:pPr>
        <w:pStyle w:val="Normal1"/>
        <w:spacing w:after="120" w:line="276" w:lineRule="auto"/>
        <w:jc w:val="center"/>
        <w:rPr>
          <w:rFonts w:ascii="Arial" w:eastAsia="Calibri" w:hAnsi="Arial" w:cs="Arial"/>
          <w:color w:val="76923C"/>
          <w:lang w:val="en-IE"/>
        </w:rPr>
      </w:pPr>
    </w:p>
    <w:p w14:paraId="79E87E42" w14:textId="77777777" w:rsidR="00985C43" w:rsidRPr="006D292D" w:rsidRDefault="00985C43" w:rsidP="00985C43">
      <w:pPr>
        <w:pStyle w:val="Normal1"/>
        <w:spacing w:after="120" w:line="276" w:lineRule="auto"/>
        <w:rPr>
          <w:rFonts w:ascii="Arial" w:eastAsia="Calibri" w:hAnsi="Arial" w:cs="Arial"/>
          <w:color w:val="76923C"/>
          <w:lang w:val="en-IE"/>
        </w:rPr>
      </w:pPr>
    </w:p>
    <w:p w14:paraId="674092F3" w14:textId="77777777" w:rsidR="00985C43" w:rsidRPr="006D292D" w:rsidRDefault="00985C43" w:rsidP="00985C43">
      <w:pPr>
        <w:pStyle w:val="Normal1"/>
        <w:spacing w:after="120" w:line="276" w:lineRule="auto"/>
        <w:jc w:val="center"/>
        <w:rPr>
          <w:rFonts w:ascii="Arial" w:eastAsia="Calibri" w:hAnsi="Arial" w:cs="Arial"/>
          <w:color w:val="76923C"/>
          <w:lang w:val="en-IE"/>
        </w:rPr>
      </w:pPr>
    </w:p>
    <w:p w14:paraId="3352608D" w14:textId="77777777" w:rsidR="00985C43" w:rsidRPr="006D292D" w:rsidRDefault="00985C43" w:rsidP="00985C43">
      <w:pPr>
        <w:spacing w:after="120"/>
        <w:jc w:val="center"/>
        <w:rPr>
          <w:rFonts w:ascii="Arial" w:hAnsi="Arial" w:cs="Arial"/>
          <w:b/>
          <w:color w:val="76923C"/>
          <w:lang w:val="ga-IE"/>
        </w:rPr>
      </w:pPr>
      <w:r w:rsidRPr="006D292D">
        <w:rPr>
          <w:rFonts w:ascii="Arial" w:hAnsi="Arial" w:cs="Arial"/>
          <w:b/>
          <w:color w:val="76923C"/>
          <w:lang w:val="ga-IE"/>
        </w:rPr>
        <w:t>AUTHORS</w:t>
      </w:r>
    </w:p>
    <w:p w14:paraId="3B2BC988" w14:textId="3ECC3A18" w:rsidR="00985C43" w:rsidRPr="00986C41" w:rsidRDefault="00985C43" w:rsidP="00985C43">
      <w:pPr>
        <w:jc w:val="center"/>
        <w:rPr>
          <w:rFonts w:ascii="Arial" w:hAnsi="Arial" w:cs="Arial"/>
          <w:bCs/>
          <w:i/>
          <w:color w:val="000000"/>
          <w:spacing w:val="2"/>
          <w:w w:val="103"/>
        </w:rPr>
      </w:pPr>
    </w:p>
    <w:p w14:paraId="4911869C" w14:textId="3F6E4A06" w:rsidR="005E1317" w:rsidRPr="00986C41" w:rsidRDefault="0024236B" w:rsidP="0024236B">
      <w:pPr>
        <w:jc w:val="center"/>
        <w:rPr>
          <w:rFonts w:ascii="Arial" w:hAnsi="Arial" w:cs="Arial"/>
          <w:bCs/>
          <w:iCs/>
          <w:color w:val="004C93"/>
          <w:lang w:val="en-GB"/>
        </w:rPr>
      </w:pPr>
      <w:r w:rsidRPr="00986C41">
        <w:rPr>
          <w:rFonts w:ascii="Arial" w:hAnsi="Arial" w:cs="Arial"/>
          <w:bCs/>
          <w:iCs/>
          <w:color w:val="004C93"/>
          <w:lang w:val="en-GB"/>
        </w:rPr>
        <w:t xml:space="preserve">Dr </w:t>
      </w:r>
      <w:r w:rsidR="005E1317" w:rsidRPr="00986C41">
        <w:rPr>
          <w:rFonts w:ascii="Arial" w:hAnsi="Arial" w:cs="Arial"/>
          <w:bCs/>
          <w:iCs/>
          <w:color w:val="004C93"/>
          <w:lang w:val="en-GB"/>
        </w:rPr>
        <w:t>Orla Cotter</w:t>
      </w:r>
      <w:r w:rsidR="0016703F" w:rsidRPr="00986C41">
        <w:rPr>
          <w:rFonts w:ascii="Arial" w:hAnsi="Arial" w:cs="Arial"/>
          <w:bCs/>
          <w:iCs/>
          <w:color w:val="004C93"/>
          <w:lang w:val="en-GB"/>
        </w:rPr>
        <w:t xml:space="preserve">, HSE </w:t>
      </w:r>
      <w:r w:rsidR="00E53FA4">
        <w:rPr>
          <w:rFonts w:ascii="Arial" w:hAnsi="Arial" w:cs="Arial"/>
          <w:bCs/>
          <w:iCs/>
          <w:color w:val="004C93"/>
          <w:lang w:val="en-GB"/>
        </w:rPr>
        <w:t xml:space="preserve">Post CST </w:t>
      </w:r>
      <w:r w:rsidR="0016703F" w:rsidRPr="00986C41">
        <w:rPr>
          <w:rFonts w:ascii="Arial" w:hAnsi="Arial" w:cs="Arial"/>
          <w:bCs/>
          <w:iCs/>
          <w:color w:val="004C93"/>
          <w:lang w:val="en-GB"/>
        </w:rPr>
        <w:t>GP Fellow in Medicines Optimisation</w:t>
      </w:r>
    </w:p>
    <w:p w14:paraId="121FE565" w14:textId="638A8B72" w:rsidR="00986C41" w:rsidRPr="00986C41" w:rsidRDefault="00986C41" w:rsidP="00986C41">
      <w:pPr>
        <w:jc w:val="center"/>
        <w:rPr>
          <w:rFonts w:ascii="Arial" w:hAnsi="Arial" w:cs="Arial"/>
          <w:bCs/>
          <w:iCs/>
          <w:color w:val="004C93"/>
          <w:lang w:val="en-GB"/>
        </w:rPr>
      </w:pPr>
      <w:r w:rsidRPr="00986C41">
        <w:rPr>
          <w:rFonts w:ascii="Arial" w:hAnsi="Arial" w:cs="Arial"/>
          <w:bCs/>
          <w:iCs/>
          <w:color w:val="004C93"/>
          <w:lang w:val="en-GB"/>
        </w:rPr>
        <w:t>Dr Anne Doherty, Consultant Liaison Psychiatrist, Mater Hospital</w:t>
      </w:r>
      <w:r w:rsidR="00296D3E">
        <w:rPr>
          <w:rFonts w:ascii="Arial" w:hAnsi="Arial" w:cs="Arial"/>
          <w:bCs/>
          <w:iCs/>
          <w:color w:val="004C93"/>
          <w:lang w:val="en-GB"/>
        </w:rPr>
        <w:t xml:space="preserve"> Dublin</w:t>
      </w:r>
      <w:r w:rsidRPr="00986C41">
        <w:rPr>
          <w:rFonts w:ascii="Arial" w:hAnsi="Arial" w:cs="Arial"/>
          <w:bCs/>
          <w:iCs/>
          <w:color w:val="004C93"/>
          <w:lang w:val="en-GB"/>
        </w:rPr>
        <w:t xml:space="preserve"> &amp; Associate Professor, University College Dublin</w:t>
      </w:r>
    </w:p>
    <w:p w14:paraId="6E44F0E0" w14:textId="410FDD82" w:rsidR="0024236B" w:rsidRPr="00986C41" w:rsidRDefault="0024236B" w:rsidP="005E1317">
      <w:pPr>
        <w:jc w:val="center"/>
        <w:rPr>
          <w:rFonts w:ascii="Arial" w:hAnsi="Arial" w:cs="Arial"/>
          <w:bCs/>
          <w:iCs/>
          <w:color w:val="004C93"/>
          <w:lang w:val="en-GB"/>
        </w:rPr>
      </w:pPr>
      <w:r w:rsidRPr="00986C41">
        <w:rPr>
          <w:rFonts w:ascii="Arial" w:hAnsi="Arial" w:cs="Arial"/>
          <w:bCs/>
          <w:iCs/>
          <w:color w:val="004C93"/>
          <w:lang w:val="en-GB"/>
        </w:rPr>
        <w:t>The National Medicines Information Centre</w:t>
      </w:r>
      <w:r w:rsidR="00F50914" w:rsidRPr="00986C41">
        <w:rPr>
          <w:rFonts w:ascii="Arial" w:hAnsi="Arial" w:cs="Arial"/>
          <w:bCs/>
          <w:iCs/>
          <w:color w:val="004C93"/>
          <w:lang w:val="en-GB"/>
        </w:rPr>
        <w:t>, St James’s Hospital, Dublin</w:t>
      </w:r>
    </w:p>
    <w:p w14:paraId="5CE5C403" w14:textId="77777777" w:rsidR="00986C41" w:rsidRPr="00986C41" w:rsidRDefault="00986C41" w:rsidP="00986C41">
      <w:pPr>
        <w:jc w:val="center"/>
        <w:rPr>
          <w:rFonts w:ascii="Arial" w:hAnsi="Arial" w:cs="Arial"/>
          <w:bCs/>
          <w:iCs/>
          <w:color w:val="004C93"/>
          <w:lang w:val="en-GB"/>
        </w:rPr>
      </w:pPr>
      <w:r w:rsidRPr="00986C41">
        <w:rPr>
          <w:rFonts w:ascii="Arial" w:hAnsi="Arial" w:cs="Arial"/>
          <w:bCs/>
          <w:iCs/>
          <w:color w:val="004C93"/>
          <w:lang w:val="en-GB"/>
        </w:rPr>
        <w:t>Professor Emma Wallace, Professor of General Practice, University College Cork</w:t>
      </w:r>
    </w:p>
    <w:p w14:paraId="367B49AC" w14:textId="39E1F448" w:rsidR="00AD2283" w:rsidRPr="006D292D" w:rsidRDefault="00AD2283" w:rsidP="00985C43">
      <w:pPr>
        <w:pStyle w:val="Body"/>
        <w:jc w:val="right"/>
        <w:rPr>
          <w:rFonts w:ascii="Arial" w:eastAsia="Arial" w:hAnsi="Arial" w:cs="Arial"/>
          <w:b/>
          <w:bCs/>
          <w:sz w:val="24"/>
          <w:szCs w:val="24"/>
        </w:rPr>
      </w:pPr>
    </w:p>
    <w:p w14:paraId="32C62909" w14:textId="77777777" w:rsidR="00AD2283" w:rsidRPr="006D292D" w:rsidRDefault="00AD2283" w:rsidP="0034047B">
      <w:pPr>
        <w:pStyle w:val="Body"/>
        <w:rPr>
          <w:rFonts w:ascii="Arial" w:eastAsia="Arial" w:hAnsi="Arial" w:cs="Arial"/>
          <w:b/>
          <w:bCs/>
          <w:sz w:val="24"/>
          <w:szCs w:val="24"/>
        </w:rPr>
      </w:pPr>
    </w:p>
    <w:p w14:paraId="7720FC75" w14:textId="77777777" w:rsidR="00AD2283" w:rsidRPr="006D292D" w:rsidRDefault="00AD2283" w:rsidP="0034047B">
      <w:pPr>
        <w:pStyle w:val="Body"/>
        <w:rPr>
          <w:rFonts w:ascii="Arial" w:eastAsia="Arial" w:hAnsi="Arial" w:cs="Arial"/>
          <w:b/>
          <w:bCs/>
          <w:sz w:val="24"/>
          <w:szCs w:val="24"/>
        </w:rPr>
      </w:pPr>
    </w:p>
    <w:p w14:paraId="47820B91" w14:textId="512A4069" w:rsidR="00AD2283" w:rsidRPr="006D292D" w:rsidRDefault="00AD2283">
      <w:pPr>
        <w:pStyle w:val="Body"/>
        <w:rPr>
          <w:rFonts w:ascii="Arial" w:eastAsia="Arial" w:hAnsi="Arial" w:cs="Arial"/>
          <w:b/>
          <w:bCs/>
          <w:sz w:val="24"/>
          <w:szCs w:val="24"/>
        </w:rPr>
      </w:pPr>
    </w:p>
    <w:p w14:paraId="5CF5DF46" w14:textId="5F83662E" w:rsidR="006D292D" w:rsidRPr="006D292D" w:rsidRDefault="006D292D">
      <w:pPr>
        <w:pStyle w:val="Body"/>
        <w:rPr>
          <w:rFonts w:ascii="Arial" w:eastAsia="Arial" w:hAnsi="Arial" w:cs="Arial"/>
          <w:b/>
          <w:bCs/>
          <w:sz w:val="24"/>
          <w:szCs w:val="24"/>
        </w:rPr>
      </w:pPr>
    </w:p>
    <w:p w14:paraId="17ADA0E2" w14:textId="6D37F2F1" w:rsidR="006D292D" w:rsidRDefault="006D292D">
      <w:pPr>
        <w:pStyle w:val="Body"/>
        <w:rPr>
          <w:rFonts w:ascii="Arial" w:eastAsia="Arial" w:hAnsi="Arial" w:cs="Arial"/>
          <w:b/>
          <w:bCs/>
          <w:sz w:val="24"/>
          <w:szCs w:val="24"/>
        </w:rPr>
      </w:pPr>
    </w:p>
    <w:p w14:paraId="166FFC97" w14:textId="6139FC34" w:rsidR="006609A8" w:rsidRDefault="006609A8">
      <w:pPr>
        <w:pStyle w:val="Body"/>
        <w:rPr>
          <w:rFonts w:ascii="Arial" w:eastAsia="Arial" w:hAnsi="Arial" w:cs="Arial"/>
          <w:b/>
          <w:bCs/>
          <w:sz w:val="24"/>
          <w:szCs w:val="24"/>
        </w:rPr>
      </w:pPr>
    </w:p>
    <w:p w14:paraId="088D3E72" w14:textId="2DA14FF1" w:rsidR="006609A8" w:rsidRDefault="006609A8">
      <w:pPr>
        <w:pStyle w:val="Body"/>
        <w:rPr>
          <w:rFonts w:ascii="Arial" w:eastAsia="Arial" w:hAnsi="Arial" w:cs="Arial"/>
          <w:b/>
          <w:bCs/>
          <w:sz w:val="24"/>
          <w:szCs w:val="24"/>
        </w:rPr>
      </w:pPr>
    </w:p>
    <w:p w14:paraId="208490B1" w14:textId="18AF9C5D" w:rsidR="006609A8" w:rsidRDefault="006609A8">
      <w:pPr>
        <w:pStyle w:val="Body"/>
        <w:rPr>
          <w:rFonts w:ascii="Arial" w:eastAsia="Arial" w:hAnsi="Arial" w:cs="Arial"/>
          <w:b/>
          <w:bCs/>
          <w:sz w:val="24"/>
          <w:szCs w:val="24"/>
        </w:rPr>
      </w:pPr>
    </w:p>
    <w:p w14:paraId="240E48E5" w14:textId="530F3A01" w:rsidR="006609A8" w:rsidRDefault="006609A8">
      <w:pPr>
        <w:pStyle w:val="Body"/>
        <w:rPr>
          <w:rFonts w:ascii="Arial" w:eastAsia="Arial" w:hAnsi="Arial" w:cs="Arial"/>
          <w:b/>
          <w:bCs/>
          <w:sz w:val="24"/>
          <w:szCs w:val="24"/>
        </w:rPr>
      </w:pPr>
    </w:p>
    <w:p w14:paraId="0A3116C7" w14:textId="77777777" w:rsidR="006609A8" w:rsidRDefault="006609A8">
      <w:pPr>
        <w:pStyle w:val="Body"/>
        <w:rPr>
          <w:rFonts w:ascii="Arial" w:eastAsia="Arial" w:hAnsi="Arial" w:cs="Arial"/>
          <w:b/>
          <w:bCs/>
          <w:sz w:val="24"/>
          <w:szCs w:val="24"/>
        </w:rPr>
      </w:pPr>
    </w:p>
    <w:p w14:paraId="7277FEC6" w14:textId="77777777" w:rsidR="001B322D" w:rsidRPr="006D292D" w:rsidRDefault="001B322D">
      <w:pPr>
        <w:pStyle w:val="Body"/>
        <w:rPr>
          <w:rFonts w:ascii="Arial" w:eastAsia="Arial" w:hAnsi="Arial" w:cs="Arial"/>
          <w:b/>
          <w:bCs/>
          <w:sz w:val="24"/>
          <w:szCs w:val="24"/>
        </w:rPr>
      </w:pPr>
    </w:p>
    <w:p w14:paraId="63028547" w14:textId="77777777" w:rsidR="00CF54C7" w:rsidRPr="006D292D" w:rsidRDefault="00CF54C7">
      <w:pPr>
        <w:pStyle w:val="Body"/>
        <w:rPr>
          <w:rFonts w:ascii="Arial" w:eastAsia="Arial Unicode MS" w:hAnsi="Arial" w:cs="Arial"/>
          <w:sz w:val="24"/>
          <w:szCs w:val="24"/>
        </w:rPr>
      </w:pPr>
    </w:p>
    <w:p w14:paraId="72BFD932" w14:textId="06DB6F86" w:rsidR="00CF54C7" w:rsidRPr="006D292D" w:rsidRDefault="0003003F" w:rsidP="00CF54C7">
      <w:pPr>
        <w:widowControl w:val="0"/>
        <w:tabs>
          <w:tab w:val="left" w:pos="1440"/>
        </w:tabs>
        <w:autoSpaceDE w:val="0"/>
        <w:spacing w:before="120" w:after="120" w:line="230" w:lineRule="exact"/>
        <w:ind w:right="352"/>
        <w:rPr>
          <w:rFonts w:ascii="Arial" w:hAnsi="Arial" w:cs="Arial"/>
          <w:b/>
          <w:bCs/>
          <w:color w:val="76923C"/>
          <w:lang w:val="en-GB"/>
        </w:rPr>
      </w:pPr>
      <w:r w:rsidRPr="006D292D">
        <w:rPr>
          <w:rFonts w:ascii="Arial" w:hAnsi="Arial" w:cs="Arial"/>
          <w:b/>
          <w:bCs/>
          <w:color w:val="76923C"/>
          <w:lang w:val="en-GB"/>
        </w:rPr>
        <w:t xml:space="preserve">Suggested </w:t>
      </w:r>
      <w:r w:rsidR="00CF54C7" w:rsidRPr="006D292D">
        <w:rPr>
          <w:rFonts w:ascii="Arial" w:hAnsi="Arial" w:cs="Arial"/>
          <w:b/>
          <w:bCs/>
          <w:color w:val="76923C"/>
          <w:lang w:val="en-GB"/>
        </w:rPr>
        <w:t>Cit</w:t>
      </w:r>
      <w:r w:rsidRPr="006D292D">
        <w:rPr>
          <w:rFonts w:ascii="Arial" w:hAnsi="Arial" w:cs="Arial"/>
          <w:b/>
          <w:bCs/>
          <w:color w:val="76923C"/>
          <w:lang w:val="en-GB"/>
        </w:rPr>
        <w:t>ation for</w:t>
      </w:r>
      <w:r w:rsidR="00CF54C7" w:rsidRPr="006D292D">
        <w:rPr>
          <w:rFonts w:ascii="Arial" w:hAnsi="Arial" w:cs="Arial"/>
          <w:b/>
          <w:bCs/>
          <w:color w:val="76923C"/>
          <w:lang w:val="en-GB"/>
        </w:rPr>
        <w:t xml:space="preserve"> Quick Reference Guide</w:t>
      </w:r>
      <w:r w:rsidRPr="006D292D">
        <w:rPr>
          <w:rFonts w:ascii="Arial" w:hAnsi="Arial" w:cs="Arial"/>
          <w:b/>
          <w:bCs/>
          <w:color w:val="76923C"/>
          <w:lang w:val="en-GB"/>
        </w:rPr>
        <w:t>:</w:t>
      </w:r>
    </w:p>
    <w:p w14:paraId="44FC3C4A" w14:textId="0D40150F" w:rsidR="00CF54C7" w:rsidRPr="006D292D" w:rsidRDefault="00CF54C7" w:rsidP="005E1317">
      <w:pPr>
        <w:spacing w:line="276" w:lineRule="auto"/>
        <w:rPr>
          <w:rFonts w:ascii="Arial" w:hAnsi="Arial" w:cs="Arial"/>
          <w:color w:val="000000"/>
          <w:spacing w:val="2"/>
          <w:w w:val="103"/>
        </w:rPr>
      </w:pPr>
      <w:r w:rsidRPr="006D292D">
        <w:rPr>
          <w:rFonts w:ascii="Arial" w:hAnsi="Arial" w:cs="Arial"/>
          <w:color w:val="000000"/>
          <w:spacing w:val="2"/>
          <w:w w:val="103"/>
        </w:rPr>
        <w:t>Irish College of General Practitioners</w:t>
      </w:r>
      <w:r w:rsidR="0003003F" w:rsidRPr="006D292D">
        <w:rPr>
          <w:rFonts w:ascii="Arial" w:hAnsi="Arial" w:cs="Arial"/>
          <w:color w:val="000000"/>
          <w:spacing w:val="2"/>
          <w:w w:val="103"/>
        </w:rPr>
        <w:t>.</w:t>
      </w:r>
      <w:r w:rsidRPr="006D292D">
        <w:rPr>
          <w:rFonts w:ascii="Arial" w:hAnsi="Arial" w:cs="Arial"/>
          <w:color w:val="000000"/>
          <w:spacing w:val="2"/>
          <w:w w:val="103"/>
        </w:rPr>
        <w:t xml:space="preserve"> </w:t>
      </w:r>
      <w:r w:rsidR="0003003F" w:rsidRPr="006D292D">
        <w:rPr>
          <w:rFonts w:ascii="Arial" w:hAnsi="Arial" w:cs="Arial"/>
          <w:color w:val="000000"/>
          <w:spacing w:val="2"/>
          <w:w w:val="103"/>
        </w:rPr>
        <w:t>[</w:t>
      </w:r>
      <w:r w:rsidR="005E1317" w:rsidRPr="005E1317">
        <w:rPr>
          <w:rFonts w:ascii="Arial" w:hAnsi="Arial" w:cs="Arial"/>
          <w:color w:val="000000"/>
          <w:spacing w:val="2"/>
          <w:w w:val="103"/>
        </w:rPr>
        <w:t>Deprescribing</w:t>
      </w:r>
      <w:r w:rsidR="001B322D">
        <w:rPr>
          <w:rFonts w:ascii="Arial" w:hAnsi="Arial" w:cs="Arial"/>
          <w:color w:val="000000"/>
          <w:spacing w:val="2"/>
          <w:w w:val="103"/>
        </w:rPr>
        <w:t xml:space="preserve"> in General Practice</w:t>
      </w:r>
      <w:r w:rsidR="0003003F" w:rsidRPr="006D292D">
        <w:rPr>
          <w:rFonts w:ascii="Arial" w:hAnsi="Arial" w:cs="Arial"/>
          <w:color w:val="000000"/>
          <w:spacing w:val="2"/>
          <w:w w:val="103"/>
        </w:rPr>
        <w:t>]</w:t>
      </w:r>
      <w:r w:rsidRPr="006D292D">
        <w:rPr>
          <w:rFonts w:ascii="Arial" w:hAnsi="Arial" w:cs="Arial"/>
          <w:color w:val="000000"/>
          <w:spacing w:val="2"/>
          <w:w w:val="103"/>
        </w:rPr>
        <w:t xml:space="preserve"> (ICGP QRG)</w:t>
      </w:r>
      <w:r w:rsidR="0003003F" w:rsidRPr="006D292D">
        <w:rPr>
          <w:rFonts w:ascii="Arial" w:hAnsi="Arial" w:cs="Arial"/>
          <w:color w:val="000000"/>
          <w:spacing w:val="2"/>
          <w:w w:val="103"/>
        </w:rPr>
        <w:t>, [</w:t>
      </w:r>
      <w:r w:rsidR="005E1317">
        <w:rPr>
          <w:rFonts w:ascii="Arial" w:hAnsi="Arial" w:cs="Arial"/>
          <w:color w:val="000000"/>
          <w:spacing w:val="2"/>
          <w:w w:val="103"/>
        </w:rPr>
        <w:t>2022</w:t>
      </w:r>
      <w:r w:rsidR="0003003F" w:rsidRPr="006D292D">
        <w:rPr>
          <w:rFonts w:ascii="Arial" w:hAnsi="Arial" w:cs="Arial"/>
          <w:color w:val="000000"/>
          <w:spacing w:val="2"/>
          <w:w w:val="103"/>
        </w:rPr>
        <w:t>]. Dublin: ICGP; [</w:t>
      </w:r>
      <w:r w:rsidR="005E1317">
        <w:rPr>
          <w:rFonts w:ascii="Arial" w:hAnsi="Arial" w:cs="Arial"/>
          <w:color w:val="000000"/>
          <w:spacing w:val="2"/>
          <w:w w:val="103"/>
        </w:rPr>
        <w:t>2022</w:t>
      </w:r>
      <w:r w:rsidR="0003003F" w:rsidRPr="006D292D">
        <w:rPr>
          <w:rFonts w:ascii="Arial" w:hAnsi="Arial" w:cs="Arial"/>
          <w:color w:val="000000"/>
          <w:spacing w:val="2"/>
          <w:w w:val="103"/>
        </w:rPr>
        <w:t>]</w:t>
      </w:r>
    </w:p>
    <w:p w14:paraId="53FF44F8" w14:textId="77777777" w:rsidR="00985C43" w:rsidRPr="006D292D" w:rsidRDefault="00985C43" w:rsidP="00CF54C7">
      <w:pPr>
        <w:pStyle w:val="NormalWeb"/>
        <w:spacing w:line="276" w:lineRule="auto"/>
        <w:rPr>
          <w:rFonts w:ascii="Arial" w:eastAsia="Times New Roman" w:hAnsi="Arial" w:cs="Arial"/>
          <w:color w:val="000000"/>
          <w:spacing w:val="2"/>
          <w:w w:val="103"/>
          <w:lang w:eastAsia="en-US"/>
        </w:rPr>
      </w:pPr>
    </w:p>
    <w:p w14:paraId="421BF821" w14:textId="3250FE52" w:rsidR="00CF54C7" w:rsidRPr="006D292D" w:rsidRDefault="00CF54C7" w:rsidP="00CF54C7">
      <w:pPr>
        <w:pStyle w:val="NormalWeb"/>
        <w:spacing w:line="276" w:lineRule="auto"/>
        <w:rPr>
          <w:rFonts w:ascii="Arial" w:eastAsia="Times New Roman" w:hAnsi="Arial" w:cs="Arial"/>
          <w:color w:val="000000"/>
          <w:spacing w:val="2"/>
          <w:w w:val="103"/>
          <w:lang w:eastAsia="en-US"/>
        </w:rPr>
      </w:pPr>
      <w:r w:rsidRPr="006D292D">
        <w:rPr>
          <w:rFonts w:ascii="Arial" w:eastAsia="Times New Roman" w:hAnsi="Arial" w:cs="Arial"/>
          <w:color w:val="000000"/>
          <w:spacing w:val="2"/>
          <w:w w:val="103"/>
          <w:lang w:eastAsia="en-US"/>
        </w:rPr>
        <w:t xml:space="preserve">Users wishing to use, reproduce or republish ICGP material for commercial purposes must seek prior approval for reproduction in any medium. Applicants for such permission should email </w:t>
      </w:r>
      <w:hyperlink r:id="rId9" w:history="1">
        <w:r w:rsidRPr="006D292D">
          <w:rPr>
            <w:rFonts w:ascii="Arial" w:eastAsia="Times New Roman" w:hAnsi="Arial" w:cs="Arial"/>
            <w:color w:val="000000"/>
            <w:spacing w:val="2"/>
            <w:w w:val="103"/>
            <w:lang w:eastAsia="en-US"/>
          </w:rPr>
          <w:t>qip@icgp.ie</w:t>
        </w:r>
      </w:hyperlink>
    </w:p>
    <w:p w14:paraId="25EBE13A" w14:textId="77777777" w:rsidR="00CF54C7" w:rsidRPr="006D292D" w:rsidRDefault="00CF54C7" w:rsidP="00CF54C7">
      <w:pPr>
        <w:widowControl w:val="0"/>
        <w:tabs>
          <w:tab w:val="left" w:pos="1440"/>
        </w:tabs>
        <w:autoSpaceDE w:val="0"/>
        <w:spacing w:before="120" w:after="120" w:line="230" w:lineRule="exact"/>
        <w:ind w:right="352"/>
        <w:rPr>
          <w:rFonts w:ascii="Arial" w:hAnsi="Arial" w:cs="Arial"/>
          <w:b/>
          <w:bCs/>
          <w:color w:val="76923C"/>
          <w:lang w:val="en-GB"/>
        </w:rPr>
      </w:pPr>
    </w:p>
    <w:p w14:paraId="652C37DF" w14:textId="77777777" w:rsidR="00CF54C7" w:rsidRPr="006D292D" w:rsidRDefault="00CF54C7" w:rsidP="00CF54C7">
      <w:pPr>
        <w:widowControl w:val="0"/>
        <w:tabs>
          <w:tab w:val="left" w:pos="1440"/>
        </w:tabs>
        <w:autoSpaceDE w:val="0"/>
        <w:spacing w:before="120" w:after="120" w:line="230" w:lineRule="exact"/>
        <w:ind w:right="352"/>
        <w:rPr>
          <w:rFonts w:ascii="Arial" w:hAnsi="Arial" w:cs="Arial"/>
          <w:b/>
          <w:bCs/>
          <w:color w:val="76923C"/>
        </w:rPr>
      </w:pPr>
      <w:r w:rsidRPr="006D292D">
        <w:rPr>
          <w:rFonts w:ascii="Arial" w:hAnsi="Arial" w:cs="Arial"/>
          <w:b/>
          <w:bCs/>
          <w:color w:val="76923C"/>
          <w:lang w:val="en-GB"/>
        </w:rPr>
        <w:t>Disclaimer and Waiver of Liability</w:t>
      </w:r>
    </w:p>
    <w:p w14:paraId="6C6862FD" w14:textId="77777777" w:rsidR="00CF54C7" w:rsidRPr="006D292D" w:rsidRDefault="00CF54C7" w:rsidP="00E5444B">
      <w:pPr>
        <w:pStyle w:val="NormalWeb"/>
        <w:spacing w:before="100" w:beforeAutospacing="1" w:after="100" w:afterAutospacing="1" w:line="360" w:lineRule="auto"/>
        <w:contextualSpacing/>
        <w:jc w:val="both"/>
        <w:rPr>
          <w:rFonts w:ascii="Arial" w:eastAsia="Times New Roman" w:hAnsi="Arial" w:cs="Arial"/>
          <w:color w:val="000000"/>
          <w:spacing w:val="2"/>
          <w:w w:val="103"/>
          <w:lang w:eastAsia="en-US"/>
        </w:rPr>
      </w:pPr>
      <w:r w:rsidRPr="006D292D">
        <w:rPr>
          <w:rFonts w:ascii="Arial" w:eastAsia="Times New Roman" w:hAnsi="Arial" w:cs="Arial"/>
          <w:color w:val="000000"/>
          <w:spacing w:val="2"/>
          <w:w w:val="103"/>
          <w:lang w:eastAsia="en-US"/>
        </w:rPr>
        <w:t xml:space="preserve">Whilst every effort has been made by the Quality and Safety in Practice Committee to ensure the accuracy of the information and material contained in this document, errors or omissions may occur in the content. This guide represents the view of the ICGP which was arrived at after careful consideration of the evidence available at time of publication. This quality of care may be dependent on the appropriate allocation of resources to practices involved in its delivery. Resource allocation by the state is variable depending on geographical location and individual practice circumstances. There are constraints in following the guide where the resources are not available to action certain aspects of the guide. Therefore, individual healthcare professionals will have to decide what is achievable within their resources particularly for vulnerable patient groups. The guide does not however override the individual responsibility of healthcare professionals to make decisions appropriate to the circumstances of individual patients in consultation with the patient and/or guardian or carer. The Quick Reference Guides are not policy documents. Feedback from local faculty and individual members on ease of implementation of these guides is welcomed. </w:t>
      </w:r>
      <w:bookmarkStart w:id="0" w:name="_Toc40790276"/>
    </w:p>
    <w:p w14:paraId="7BAA8336" w14:textId="77777777" w:rsidR="00CF54C7" w:rsidRPr="006D292D" w:rsidRDefault="00CF54C7" w:rsidP="00CF54C7">
      <w:pPr>
        <w:widowControl w:val="0"/>
        <w:tabs>
          <w:tab w:val="left" w:pos="1440"/>
        </w:tabs>
        <w:autoSpaceDE w:val="0"/>
        <w:spacing w:before="120" w:after="120" w:line="230" w:lineRule="exact"/>
        <w:ind w:right="352"/>
        <w:rPr>
          <w:rFonts w:ascii="Arial" w:hAnsi="Arial" w:cs="Arial"/>
          <w:b/>
          <w:bCs/>
          <w:color w:val="76923C"/>
          <w:lang w:val="en-GB"/>
        </w:rPr>
        <w:sectPr w:rsidR="00CF54C7" w:rsidRPr="006D292D" w:rsidSect="00CF54C7">
          <w:headerReference w:type="default" r:id="rId10"/>
          <w:footerReference w:type="default" r:id="rId11"/>
          <w:footerReference w:type="first" r:id="rId12"/>
          <w:pgSz w:w="11906" w:h="16838"/>
          <w:pgMar w:top="1440" w:right="1440" w:bottom="1440" w:left="1440" w:header="720" w:footer="720" w:gutter="0"/>
          <w:cols w:space="720"/>
          <w:docGrid w:linePitch="360"/>
        </w:sectPr>
      </w:pPr>
      <w:bookmarkStart w:id="1" w:name="_Toc42159014"/>
    </w:p>
    <w:p w14:paraId="0A92C83E" w14:textId="13F03552" w:rsidR="00CB240A" w:rsidRPr="006D292D" w:rsidRDefault="00CB240A" w:rsidP="00E5444B">
      <w:pPr>
        <w:widowControl w:val="0"/>
        <w:tabs>
          <w:tab w:val="left" w:pos="1440"/>
        </w:tabs>
        <w:autoSpaceDE w:val="0"/>
        <w:spacing w:before="120" w:after="120" w:line="360" w:lineRule="auto"/>
        <w:ind w:right="352"/>
        <w:rPr>
          <w:rFonts w:ascii="Arial" w:hAnsi="Arial" w:cs="Arial"/>
          <w:b/>
          <w:bCs/>
          <w:color w:val="76923C"/>
          <w:lang w:val="en-GB"/>
        </w:rPr>
      </w:pPr>
      <w:r w:rsidRPr="006D292D">
        <w:rPr>
          <w:rFonts w:ascii="Arial" w:hAnsi="Arial" w:cs="Arial"/>
          <w:b/>
          <w:bCs/>
          <w:color w:val="76923C"/>
          <w:lang w:val="en-GB"/>
        </w:rPr>
        <w:t>Evidence summary</w:t>
      </w:r>
    </w:p>
    <w:p w14:paraId="499899E7" w14:textId="03675B60" w:rsidR="00CF54C7" w:rsidRPr="006D292D" w:rsidRDefault="00CB240A" w:rsidP="006D292D">
      <w:pPr>
        <w:widowControl w:val="0"/>
        <w:tabs>
          <w:tab w:val="left" w:pos="1440"/>
        </w:tabs>
        <w:autoSpaceDE w:val="0"/>
        <w:spacing w:before="120" w:after="120" w:line="360" w:lineRule="auto"/>
        <w:ind w:right="352"/>
        <w:rPr>
          <w:rFonts w:ascii="Arial" w:hAnsi="Arial" w:cs="Arial"/>
          <w:bCs/>
          <w:color w:val="000000" w:themeColor="text1"/>
          <w:lang w:val="en-GB"/>
        </w:rPr>
        <w:sectPr w:rsidR="00CF54C7" w:rsidRPr="006D292D" w:rsidSect="00CF54C7">
          <w:type w:val="continuous"/>
          <w:pgSz w:w="11906" w:h="16838"/>
          <w:pgMar w:top="1440" w:right="1440" w:bottom="1440" w:left="1440" w:header="720" w:footer="720" w:gutter="0"/>
          <w:cols w:space="720"/>
          <w:docGrid w:linePitch="360"/>
        </w:sectPr>
      </w:pPr>
      <w:r w:rsidRPr="006D292D">
        <w:rPr>
          <w:rFonts w:ascii="Arial" w:hAnsi="Arial" w:cs="Arial"/>
          <w:bCs/>
          <w:color w:val="000000" w:themeColor="text1"/>
          <w:lang w:val="en-GB"/>
        </w:rPr>
        <w:t xml:space="preserve">This is a review of the literature </w:t>
      </w:r>
      <w:r w:rsidR="004C731A" w:rsidRPr="006D292D">
        <w:rPr>
          <w:rFonts w:ascii="Arial" w:hAnsi="Arial" w:cs="Arial"/>
          <w:bCs/>
          <w:color w:val="000000" w:themeColor="text1"/>
          <w:lang w:val="en-GB"/>
        </w:rPr>
        <w:t>of</w:t>
      </w:r>
      <w:r w:rsidRPr="006D292D">
        <w:rPr>
          <w:rFonts w:ascii="Arial" w:hAnsi="Arial" w:cs="Arial"/>
          <w:bCs/>
          <w:color w:val="000000" w:themeColor="text1"/>
          <w:lang w:val="en-GB"/>
        </w:rPr>
        <w:t xml:space="preserve"> the relevant topic area. In the literature that is identified</w:t>
      </w:r>
      <w:r w:rsidR="00097028" w:rsidRPr="006D292D">
        <w:rPr>
          <w:rFonts w:ascii="Arial" w:hAnsi="Arial" w:cs="Arial"/>
          <w:bCs/>
          <w:color w:val="000000" w:themeColor="text1"/>
          <w:lang w:val="en-GB"/>
        </w:rPr>
        <w:t>,</w:t>
      </w:r>
      <w:r w:rsidRPr="006D292D">
        <w:rPr>
          <w:rFonts w:ascii="Arial" w:hAnsi="Arial" w:cs="Arial"/>
          <w:bCs/>
          <w:color w:val="000000" w:themeColor="text1"/>
          <w:lang w:val="en-GB"/>
        </w:rPr>
        <w:t xml:space="preserve"> where GRADE certainty of evidence is available, this will be presented. Systematic review evidence is presented where possibl</w:t>
      </w:r>
      <w:bookmarkEnd w:id="0"/>
      <w:bookmarkEnd w:id="1"/>
      <w:r w:rsidR="00B52B7B">
        <w:rPr>
          <w:rFonts w:ascii="Arial" w:hAnsi="Arial" w:cs="Arial"/>
          <w:bCs/>
          <w:color w:val="000000" w:themeColor="text1"/>
          <w:lang w:val="en-GB"/>
        </w:rPr>
        <w:t>e</w:t>
      </w:r>
    </w:p>
    <w:p w14:paraId="33BEAC96" w14:textId="77777777" w:rsidR="00CF54C7" w:rsidRPr="006D292D" w:rsidRDefault="00CF54C7" w:rsidP="00E5444B">
      <w:pPr>
        <w:spacing w:line="360" w:lineRule="auto"/>
        <w:rPr>
          <w:rFonts w:ascii="Arial" w:hAnsi="Arial" w:cs="Arial"/>
          <w:b/>
          <w:bCs/>
          <w:color w:val="76923C"/>
        </w:rPr>
        <w:sectPr w:rsidR="00CF54C7" w:rsidRPr="006D292D" w:rsidSect="00CF54C7">
          <w:type w:val="continuous"/>
          <w:pgSz w:w="11906" w:h="16838"/>
          <w:pgMar w:top="1440" w:right="1440" w:bottom="1440" w:left="1440" w:header="720" w:footer="720" w:gutter="0"/>
          <w:cols w:space="720"/>
          <w:docGrid w:linePitch="360"/>
        </w:sectPr>
      </w:pPr>
    </w:p>
    <w:p w14:paraId="6B46CA85" w14:textId="0BD54321" w:rsidR="00CF54C7" w:rsidRPr="006D292D" w:rsidRDefault="00CF54C7" w:rsidP="006D292D">
      <w:pPr>
        <w:spacing w:line="276" w:lineRule="auto"/>
        <w:rPr>
          <w:rFonts w:ascii="Arial" w:hAnsi="Arial" w:cs="Arial"/>
          <w:b/>
          <w:bCs/>
          <w:color w:val="76923C"/>
        </w:rPr>
        <w:sectPr w:rsidR="00CF54C7" w:rsidRPr="006D292D" w:rsidSect="00CF54C7">
          <w:type w:val="continuous"/>
          <w:pgSz w:w="11906" w:h="16838"/>
          <w:pgMar w:top="1440" w:right="1440" w:bottom="1440" w:left="1440" w:header="720" w:footer="720" w:gutter="0"/>
          <w:cols w:space="720"/>
          <w:docGrid w:linePitch="360"/>
        </w:sectPr>
      </w:pPr>
    </w:p>
    <w:p w14:paraId="6B8254E2" w14:textId="058A68BD" w:rsidR="003706D7" w:rsidRPr="006D292D" w:rsidRDefault="00985C43" w:rsidP="006D292D">
      <w:pPr>
        <w:pStyle w:val="Body"/>
        <w:rPr>
          <w:rFonts w:ascii="Arial" w:eastAsia="Arial Unicode MS" w:hAnsi="Arial" w:cs="Arial"/>
          <w:b/>
          <w:bCs/>
          <w:color w:val="538135" w:themeColor="accent6" w:themeShade="BF"/>
          <w:sz w:val="24"/>
          <w:szCs w:val="24"/>
        </w:rPr>
      </w:pPr>
      <w:r w:rsidRPr="006D292D">
        <w:rPr>
          <w:rFonts w:ascii="Arial" w:eastAsia="Arial Unicode MS" w:hAnsi="Arial" w:cs="Arial"/>
          <w:b/>
          <w:bCs/>
          <w:color w:val="538135" w:themeColor="accent6" w:themeShade="BF"/>
          <w:sz w:val="24"/>
          <w:szCs w:val="24"/>
        </w:rPr>
        <w:lastRenderedPageBreak/>
        <w:t>ICGP Quality and Safety in Practice Committee</w:t>
      </w:r>
    </w:p>
    <w:p w14:paraId="69E7BC4D" w14:textId="77777777" w:rsidR="00985C43" w:rsidRPr="006D292D" w:rsidRDefault="00985C43" w:rsidP="006D292D">
      <w:pPr>
        <w:pStyle w:val="Body"/>
        <w:rPr>
          <w:rFonts w:ascii="Arial" w:eastAsia="Arial Unicode MS" w:hAnsi="Arial" w:cs="Arial"/>
          <w:b/>
          <w:bCs/>
          <w:color w:val="538135" w:themeColor="accent6" w:themeShade="BF"/>
          <w:sz w:val="24"/>
          <w:szCs w:val="24"/>
        </w:rPr>
      </w:pPr>
      <w:r w:rsidRPr="006D292D">
        <w:rPr>
          <w:rFonts w:ascii="Arial" w:eastAsia="Arial Unicode MS" w:hAnsi="Arial" w:cs="Arial"/>
          <w:b/>
          <w:bCs/>
          <w:color w:val="538135" w:themeColor="accent6" w:themeShade="BF"/>
          <w:sz w:val="24"/>
          <w:szCs w:val="24"/>
        </w:rPr>
        <w:t xml:space="preserve">Correspondence </w:t>
      </w:r>
    </w:p>
    <w:p w14:paraId="7A2FD353" w14:textId="77777777" w:rsidR="00985C43" w:rsidRPr="006D292D" w:rsidRDefault="00985C43" w:rsidP="00985C43">
      <w:pPr>
        <w:spacing w:before="240" w:after="120" w:line="276" w:lineRule="auto"/>
        <w:rPr>
          <w:rFonts w:ascii="Arial" w:hAnsi="Arial" w:cs="Arial"/>
          <w:color w:val="0000FF" w:themeColor="hyperlink"/>
          <w:u w:val="single"/>
        </w:rPr>
      </w:pPr>
      <w:r w:rsidRPr="006D292D">
        <w:rPr>
          <w:rFonts w:ascii="Arial" w:hAnsi="Arial" w:cs="Arial"/>
        </w:rPr>
        <w:t xml:space="preserve">Please direct any queries to the following email address: </w:t>
      </w:r>
      <w:hyperlink r:id="rId13" w:history="1">
        <w:r w:rsidRPr="006D292D">
          <w:rPr>
            <w:rStyle w:val="Hyperlink"/>
            <w:rFonts w:ascii="Arial" w:hAnsi="Arial" w:cs="Arial"/>
          </w:rPr>
          <w:t>qip@icgp.ie</w:t>
        </w:r>
      </w:hyperlink>
    </w:p>
    <w:p w14:paraId="17CB12F0" w14:textId="77777777" w:rsidR="00985C43" w:rsidRPr="006D292D" w:rsidRDefault="00985C43" w:rsidP="00985C43">
      <w:pPr>
        <w:pStyle w:val="Body"/>
        <w:rPr>
          <w:rFonts w:ascii="Arial" w:eastAsia="Arial Unicode MS" w:hAnsi="Arial" w:cs="Arial"/>
          <w:sz w:val="24"/>
          <w:szCs w:val="24"/>
        </w:rPr>
      </w:pPr>
    </w:p>
    <w:p w14:paraId="64A2375C" w14:textId="6C46C4B7" w:rsidR="00985C43" w:rsidRDefault="00985C43" w:rsidP="00985C43">
      <w:pPr>
        <w:pStyle w:val="Body"/>
        <w:rPr>
          <w:rFonts w:ascii="Arial" w:eastAsia="Arial Unicode MS" w:hAnsi="Arial" w:cs="Arial"/>
          <w:b/>
          <w:bCs/>
          <w:color w:val="538135" w:themeColor="accent6" w:themeShade="BF"/>
          <w:sz w:val="24"/>
          <w:szCs w:val="24"/>
        </w:rPr>
      </w:pPr>
      <w:r w:rsidRPr="006D292D">
        <w:rPr>
          <w:rFonts w:ascii="Arial" w:eastAsia="Arial Unicode MS" w:hAnsi="Arial" w:cs="Arial"/>
          <w:b/>
          <w:bCs/>
          <w:color w:val="538135" w:themeColor="accent6" w:themeShade="BF"/>
          <w:sz w:val="24"/>
          <w:szCs w:val="24"/>
        </w:rPr>
        <w:t>Acknowledgements</w:t>
      </w:r>
    </w:p>
    <w:p w14:paraId="18437EAD" w14:textId="0A9AF9E8" w:rsidR="006609A8" w:rsidRPr="001B322D" w:rsidRDefault="006609A8" w:rsidP="006609A8">
      <w:pPr>
        <w:pStyle w:val="Body"/>
        <w:rPr>
          <w:rFonts w:ascii="Arial" w:eastAsia="Arial" w:hAnsi="Arial" w:cs="Arial"/>
          <w:bCs/>
          <w:sz w:val="24"/>
          <w:szCs w:val="24"/>
        </w:rPr>
      </w:pPr>
      <w:r w:rsidRPr="001B322D">
        <w:rPr>
          <w:rFonts w:ascii="Arial" w:eastAsia="Arial" w:hAnsi="Arial" w:cs="Arial"/>
          <w:bCs/>
          <w:sz w:val="24"/>
          <w:szCs w:val="24"/>
        </w:rPr>
        <w:t>This QRG has</w:t>
      </w:r>
      <w:r w:rsidR="00F735F8">
        <w:rPr>
          <w:rFonts w:ascii="Arial" w:eastAsia="Arial" w:hAnsi="Arial" w:cs="Arial"/>
          <w:bCs/>
          <w:sz w:val="24"/>
          <w:szCs w:val="24"/>
        </w:rPr>
        <w:t xml:space="preserve"> been supported through funding from;</w:t>
      </w:r>
    </w:p>
    <w:p w14:paraId="705F7708" w14:textId="5F8DC36F" w:rsidR="006609A8" w:rsidRPr="001B322D" w:rsidRDefault="006609A8" w:rsidP="006609A8">
      <w:pPr>
        <w:pStyle w:val="Body"/>
        <w:numPr>
          <w:ilvl w:val="0"/>
          <w:numId w:val="20"/>
        </w:numPr>
        <w:rPr>
          <w:rFonts w:ascii="Arial" w:eastAsia="Arial" w:hAnsi="Arial" w:cs="Arial"/>
          <w:bCs/>
          <w:sz w:val="24"/>
          <w:szCs w:val="24"/>
        </w:rPr>
      </w:pPr>
      <w:r w:rsidRPr="001B322D">
        <w:rPr>
          <w:rFonts w:ascii="Arial" w:eastAsia="Arial" w:hAnsi="Arial" w:cs="Arial"/>
          <w:bCs/>
          <w:sz w:val="24"/>
          <w:szCs w:val="24"/>
        </w:rPr>
        <w:t>Health Services Executive Post CST Fellowship Programme (Dr Orla Cotter)</w:t>
      </w:r>
    </w:p>
    <w:p w14:paraId="196652FD" w14:textId="77777777" w:rsidR="006609A8" w:rsidRPr="001B322D" w:rsidRDefault="006609A8" w:rsidP="006609A8">
      <w:pPr>
        <w:pStyle w:val="Body"/>
        <w:numPr>
          <w:ilvl w:val="0"/>
          <w:numId w:val="20"/>
        </w:numPr>
        <w:rPr>
          <w:rFonts w:ascii="Arial" w:eastAsia="Arial" w:hAnsi="Arial" w:cs="Arial"/>
          <w:bCs/>
          <w:sz w:val="24"/>
          <w:szCs w:val="24"/>
        </w:rPr>
      </w:pPr>
      <w:r w:rsidRPr="001B322D">
        <w:rPr>
          <w:rFonts w:ascii="Arial" w:eastAsia="Arial" w:hAnsi="Arial" w:cs="Arial"/>
          <w:bCs/>
          <w:sz w:val="24"/>
          <w:szCs w:val="24"/>
        </w:rPr>
        <w:t>Health Research Board Applied Partnership Award (grant award reference APA-2019-001) (PI: Prof Emma Wallace)</w:t>
      </w:r>
    </w:p>
    <w:p w14:paraId="71F58914" w14:textId="77777777" w:rsidR="006D292D" w:rsidRPr="006D292D" w:rsidRDefault="006D292D" w:rsidP="00985C43">
      <w:pPr>
        <w:pStyle w:val="Body"/>
        <w:rPr>
          <w:rFonts w:ascii="Arial" w:eastAsia="Arial Unicode MS" w:hAnsi="Arial" w:cs="Arial"/>
          <w:b/>
          <w:bCs/>
          <w:color w:val="538135" w:themeColor="accent6" w:themeShade="BF"/>
          <w:sz w:val="24"/>
          <w:szCs w:val="24"/>
        </w:rPr>
      </w:pPr>
    </w:p>
    <w:p w14:paraId="4CACB585" w14:textId="6B36D0BB" w:rsidR="00611FFB" w:rsidRPr="006D292D" w:rsidRDefault="00CF7CE7" w:rsidP="00985C43">
      <w:pPr>
        <w:pStyle w:val="Body"/>
        <w:rPr>
          <w:rFonts w:ascii="Arial" w:eastAsia="Arial Unicode MS" w:hAnsi="Arial" w:cs="Arial"/>
          <w:b/>
          <w:bCs/>
          <w:color w:val="538135" w:themeColor="accent6" w:themeShade="BF"/>
          <w:sz w:val="24"/>
          <w:szCs w:val="24"/>
        </w:rPr>
      </w:pPr>
      <w:r w:rsidRPr="006D292D">
        <w:rPr>
          <w:rFonts w:ascii="Arial" w:eastAsia="Arial Unicode MS" w:hAnsi="Arial" w:cs="Arial"/>
          <w:b/>
          <w:bCs/>
          <w:color w:val="538135" w:themeColor="accent6" w:themeShade="BF"/>
          <w:sz w:val="24"/>
          <w:szCs w:val="24"/>
        </w:rPr>
        <w:t>Conflicts of Interest</w:t>
      </w:r>
    </w:p>
    <w:p w14:paraId="068D27EA" w14:textId="5252BEA1" w:rsidR="007072C6" w:rsidRPr="005E1317" w:rsidRDefault="005E1317" w:rsidP="005E1317">
      <w:pPr>
        <w:spacing w:before="240" w:after="120" w:line="276" w:lineRule="auto"/>
        <w:rPr>
          <w:rFonts w:ascii="Arial" w:hAnsi="Arial" w:cs="Arial"/>
        </w:rPr>
      </w:pPr>
      <w:r w:rsidRPr="005E1317">
        <w:rPr>
          <w:rFonts w:ascii="Arial" w:hAnsi="Arial" w:cs="Arial"/>
        </w:rPr>
        <w:t>None known</w:t>
      </w:r>
    </w:p>
    <w:p w14:paraId="65C64804" w14:textId="44821391" w:rsidR="00985C43" w:rsidRPr="006D292D" w:rsidRDefault="00985C43" w:rsidP="006D292D">
      <w:pPr>
        <w:pStyle w:val="Body"/>
        <w:rPr>
          <w:rFonts w:ascii="Arial" w:eastAsia="Arial Unicode MS" w:hAnsi="Arial" w:cs="Arial"/>
          <w:b/>
          <w:bCs/>
          <w:color w:val="538135" w:themeColor="accent6" w:themeShade="BF"/>
          <w:sz w:val="24"/>
          <w:szCs w:val="24"/>
        </w:rPr>
      </w:pPr>
      <w:r w:rsidRPr="006D292D">
        <w:rPr>
          <w:rFonts w:ascii="Arial" w:eastAsia="Arial Unicode MS" w:hAnsi="Arial" w:cs="Arial"/>
          <w:b/>
          <w:bCs/>
          <w:color w:val="538135" w:themeColor="accent6" w:themeShade="BF"/>
          <w:sz w:val="24"/>
          <w:szCs w:val="24"/>
        </w:rPr>
        <w:t xml:space="preserve">List of Abbreviations </w:t>
      </w:r>
    </w:p>
    <w:p w14:paraId="4D35834F" w14:textId="209BC054" w:rsidR="00572023" w:rsidRDefault="00F9351B" w:rsidP="006D292D">
      <w:pPr>
        <w:pStyle w:val="Body"/>
        <w:rPr>
          <w:rFonts w:ascii="Arial" w:eastAsia="MS Mincho" w:hAnsi="Arial" w:cs="Arial"/>
          <w:bCs/>
          <w:lang w:eastAsia="ja-JP"/>
        </w:rPr>
      </w:pPr>
      <w:r>
        <w:rPr>
          <w:rFonts w:ascii="Arial" w:hAnsi="Arial" w:cs="Arial"/>
          <w:bCs/>
        </w:rPr>
        <w:t xml:space="preserve">PIP </w:t>
      </w:r>
      <w:r w:rsidR="00D97861">
        <w:rPr>
          <w:rFonts w:ascii="Arial" w:hAnsi="Arial" w:cs="Arial"/>
          <w:bCs/>
        </w:rPr>
        <w:tab/>
      </w:r>
      <w:r w:rsidR="00D97861">
        <w:rPr>
          <w:rFonts w:ascii="Arial" w:hAnsi="Arial" w:cs="Arial"/>
          <w:bCs/>
        </w:rPr>
        <w:tab/>
      </w:r>
      <w:r w:rsidR="00D97861">
        <w:rPr>
          <w:rFonts w:ascii="Arial" w:hAnsi="Arial" w:cs="Arial"/>
          <w:bCs/>
        </w:rPr>
        <w:tab/>
      </w:r>
      <w:r w:rsidR="00D97861">
        <w:rPr>
          <w:rFonts w:ascii="Arial" w:hAnsi="Arial" w:cs="Arial"/>
          <w:bCs/>
        </w:rPr>
        <w:tab/>
      </w:r>
      <w:r w:rsidR="00D97861">
        <w:rPr>
          <w:rFonts w:ascii="Arial" w:hAnsi="Arial" w:cs="Arial"/>
          <w:bCs/>
        </w:rPr>
        <w:tab/>
      </w:r>
      <w:r w:rsidR="00D97861">
        <w:rPr>
          <w:rFonts w:ascii="Arial" w:hAnsi="Arial" w:cs="Arial"/>
          <w:bCs/>
        </w:rPr>
        <w:tab/>
      </w:r>
      <w:r w:rsidR="00D97861">
        <w:rPr>
          <w:rFonts w:ascii="Arial" w:hAnsi="Arial" w:cs="Arial"/>
          <w:bCs/>
        </w:rPr>
        <w:tab/>
        <w:t>P</w:t>
      </w:r>
      <w:r w:rsidRPr="007565FD">
        <w:rPr>
          <w:rFonts w:ascii="Arial" w:hAnsi="Arial" w:cs="Arial"/>
          <w:bCs/>
        </w:rPr>
        <w:t xml:space="preserve">otentially </w:t>
      </w:r>
      <w:r w:rsidR="00D97861">
        <w:rPr>
          <w:rFonts w:ascii="Arial" w:hAnsi="Arial" w:cs="Arial"/>
          <w:bCs/>
        </w:rPr>
        <w:t>I</w:t>
      </w:r>
      <w:r w:rsidRPr="007565FD">
        <w:rPr>
          <w:rFonts w:ascii="Arial" w:hAnsi="Arial" w:cs="Arial"/>
          <w:bCs/>
        </w:rPr>
        <w:t>nappr</w:t>
      </w:r>
      <w:r>
        <w:rPr>
          <w:rFonts w:ascii="Arial" w:hAnsi="Arial" w:cs="Arial"/>
          <w:bCs/>
        </w:rPr>
        <w:t>opriate</w:t>
      </w:r>
      <w:r w:rsidRPr="0088034F">
        <w:t xml:space="preserve"> </w:t>
      </w:r>
      <w:r w:rsidR="00D97861">
        <w:rPr>
          <w:rFonts w:ascii="Arial" w:hAnsi="Arial" w:cs="Arial"/>
          <w:bCs/>
        </w:rPr>
        <w:t>P</w:t>
      </w:r>
      <w:r w:rsidRPr="007565FD">
        <w:rPr>
          <w:rFonts w:ascii="Arial" w:hAnsi="Arial" w:cs="Arial"/>
          <w:bCs/>
        </w:rPr>
        <w:t>rescribing</w:t>
      </w:r>
      <w:r w:rsidRPr="007565FD">
        <w:rPr>
          <w:rFonts w:ascii="Arial" w:eastAsia="MS Mincho" w:hAnsi="Arial" w:cs="Arial"/>
          <w:bCs/>
          <w:lang w:eastAsia="ja-JP"/>
        </w:rPr>
        <w:t xml:space="preserve"> </w:t>
      </w:r>
    </w:p>
    <w:p w14:paraId="2B9E299B" w14:textId="2D3F1DF7" w:rsidR="00F9351B" w:rsidRDefault="00D97861" w:rsidP="006D292D">
      <w:pPr>
        <w:pStyle w:val="Body"/>
        <w:rPr>
          <w:rFonts w:ascii="Arial" w:eastAsia="MS Mincho" w:hAnsi="Arial" w:cs="Arial"/>
          <w:bCs/>
          <w:lang w:eastAsia="ja-JP"/>
        </w:rPr>
      </w:pPr>
      <w:r>
        <w:rPr>
          <w:rFonts w:ascii="Arial" w:hAnsi="Arial" w:cs="Arial"/>
          <w:bCs/>
        </w:rPr>
        <w:t xml:space="preserve">ADRs </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t>A</w:t>
      </w:r>
      <w:r w:rsidR="00F9351B" w:rsidRPr="007565FD">
        <w:rPr>
          <w:rFonts w:ascii="Arial" w:hAnsi="Arial" w:cs="Arial"/>
          <w:bCs/>
        </w:rPr>
        <w:t xml:space="preserve">dverse </w:t>
      </w:r>
      <w:r>
        <w:rPr>
          <w:rFonts w:ascii="Arial" w:hAnsi="Arial" w:cs="Arial"/>
          <w:bCs/>
        </w:rPr>
        <w:t>D</w:t>
      </w:r>
      <w:r w:rsidR="00F9351B" w:rsidRPr="007565FD">
        <w:rPr>
          <w:rFonts w:ascii="Arial" w:hAnsi="Arial" w:cs="Arial"/>
          <w:bCs/>
        </w:rPr>
        <w:t xml:space="preserve">rug </w:t>
      </w:r>
      <w:r>
        <w:rPr>
          <w:rFonts w:ascii="Arial" w:hAnsi="Arial" w:cs="Arial"/>
          <w:bCs/>
        </w:rPr>
        <w:t>R</w:t>
      </w:r>
      <w:r w:rsidR="00F9351B" w:rsidRPr="007565FD">
        <w:rPr>
          <w:rFonts w:ascii="Arial" w:hAnsi="Arial" w:cs="Arial"/>
          <w:bCs/>
        </w:rPr>
        <w:t xml:space="preserve">eactions </w:t>
      </w:r>
    </w:p>
    <w:p w14:paraId="147C16E7" w14:textId="5E042966" w:rsidR="00F9351B" w:rsidRDefault="00250986" w:rsidP="006D292D">
      <w:pPr>
        <w:pStyle w:val="Body"/>
        <w:rPr>
          <w:rFonts w:ascii="Arial" w:eastAsia="MS Mincho" w:hAnsi="Arial" w:cs="Arial"/>
          <w:bCs/>
          <w:lang w:eastAsia="ja-JP"/>
        </w:rPr>
      </w:pPr>
      <w:r w:rsidRPr="007565FD">
        <w:rPr>
          <w:rFonts w:ascii="Arial" w:eastAsia="MS Mincho" w:hAnsi="Arial" w:cs="Arial"/>
          <w:bCs/>
          <w:lang w:eastAsia="ja-JP"/>
        </w:rPr>
        <w:t>P</w:t>
      </w:r>
      <w:r>
        <w:rPr>
          <w:rFonts w:ascii="Arial" w:eastAsia="MS Mincho" w:hAnsi="Arial" w:cs="Arial"/>
          <w:bCs/>
          <w:lang w:eastAsia="ja-JP"/>
        </w:rPr>
        <w:t>K</w:t>
      </w:r>
      <w:r w:rsidR="00DC61B6">
        <w:rPr>
          <w:rFonts w:ascii="Arial" w:eastAsia="MS Mincho" w:hAnsi="Arial" w:cs="Arial"/>
          <w:bCs/>
          <w:lang w:eastAsia="ja-JP"/>
        </w:rPr>
        <w:tab/>
      </w:r>
      <w:r w:rsidR="00DC61B6">
        <w:rPr>
          <w:rFonts w:ascii="Arial" w:eastAsia="MS Mincho" w:hAnsi="Arial" w:cs="Arial"/>
          <w:bCs/>
          <w:lang w:eastAsia="ja-JP"/>
        </w:rPr>
        <w:tab/>
      </w:r>
      <w:r w:rsidR="00DC61B6">
        <w:rPr>
          <w:rFonts w:ascii="Arial" w:eastAsia="MS Mincho" w:hAnsi="Arial" w:cs="Arial"/>
          <w:bCs/>
          <w:lang w:eastAsia="ja-JP"/>
        </w:rPr>
        <w:tab/>
      </w:r>
      <w:r w:rsidR="00DC61B6">
        <w:rPr>
          <w:rFonts w:ascii="Arial" w:eastAsia="MS Mincho" w:hAnsi="Arial" w:cs="Arial"/>
          <w:bCs/>
          <w:lang w:eastAsia="ja-JP"/>
        </w:rPr>
        <w:tab/>
      </w:r>
      <w:r w:rsidR="00DC61B6">
        <w:rPr>
          <w:rFonts w:ascii="Arial" w:eastAsia="MS Mincho" w:hAnsi="Arial" w:cs="Arial"/>
          <w:bCs/>
          <w:lang w:eastAsia="ja-JP"/>
        </w:rPr>
        <w:tab/>
      </w:r>
      <w:r w:rsidR="00DC61B6">
        <w:rPr>
          <w:rFonts w:ascii="Arial" w:eastAsia="MS Mincho" w:hAnsi="Arial" w:cs="Arial"/>
          <w:bCs/>
          <w:lang w:eastAsia="ja-JP"/>
        </w:rPr>
        <w:tab/>
      </w:r>
      <w:r w:rsidR="00DC61B6">
        <w:rPr>
          <w:rFonts w:ascii="Arial" w:eastAsia="MS Mincho" w:hAnsi="Arial" w:cs="Arial"/>
          <w:bCs/>
          <w:lang w:eastAsia="ja-JP"/>
        </w:rPr>
        <w:tab/>
        <w:t>P</w:t>
      </w:r>
      <w:r w:rsidRPr="007565FD">
        <w:rPr>
          <w:rFonts w:ascii="Arial" w:eastAsia="MS Mincho" w:hAnsi="Arial" w:cs="Arial"/>
          <w:bCs/>
          <w:lang w:eastAsia="ja-JP"/>
        </w:rPr>
        <w:t>harmacokinetic</w:t>
      </w:r>
    </w:p>
    <w:p w14:paraId="60B50F76" w14:textId="1538BFCA" w:rsidR="00DC61B6" w:rsidRDefault="00DC61B6" w:rsidP="006D292D">
      <w:pPr>
        <w:pStyle w:val="Body"/>
        <w:rPr>
          <w:rFonts w:ascii="Arial" w:eastAsia="MS Mincho" w:hAnsi="Arial" w:cs="Arial"/>
          <w:bCs/>
          <w:lang w:eastAsia="ja-JP"/>
        </w:rPr>
      </w:pPr>
      <w:r>
        <w:rPr>
          <w:rFonts w:ascii="Arial" w:eastAsia="MS Mincho" w:hAnsi="Arial" w:cs="Arial"/>
          <w:bCs/>
          <w:lang w:eastAsia="ja-JP"/>
        </w:rPr>
        <w:t>PD</w:t>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t>Pharmacodynamics</w:t>
      </w:r>
    </w:p>
    <w:p w14:paraId="3D225B42" w14:textId="69398769" w:rsidR="009D4CCA" w:rsidRDefault="009D4CCA" w:rsidP="006D292D">
      <w:pPr>
        <w:pStyle w:val="Body"/>
        <w:rPr>
          <w:rFonts w:ascii="Arial" w:hAnsi="Arial" w:cs="Arial"/>
        </w:rPr>
      </w:pPr>
      <w:r>
        <w:rPr>
          <w:rFonts w:ascii="Arial" w:eastAsia="MS Mincho" w:hAnsi="Arial" w:cs="Arial"/>
          <w:bCs/>
          <w:lang w:eastAsia="ja-JP"/>
        </w:rPr>
        <w:t>ADWE</w:t>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eastAsia="MS Mincho" w:hAnsi="Arial" w:cs="Arial"/>
          <w:bCs/>
          <w:lang w:eastAsia="ja-JP"/>
        </w:rPr>
        <w:tab/>
      </w:r>
      <w:r>
        <w:rPr>
          <w:rFonts w:ascii="Arial" w:hAnsi="Arial" w:cs="Arial"/>
        </w:rPr>
        <w:t>Adverse Drug Withdrawal Event</w:t>
      </w:r>
    </w:p>
    <w:p w14:paraId="491FC8B6" w14:textId="10B47208" w:rsidR="00EF5FBD" w:rsidRPr="00814BE6" w:rsidRDefault="00553882" w:rsidP="006D292D">
      <w:pPr>
        <w:pStyle w:val="Body"/>
        <w:rPr>
          <w:rFonts w:ascii="Arial" w:hAnsi="Arial" w:cs="Arial"/>
        </w:rPr>
      </w:pPr>
      <w:r>
        <w:rPr>
          <w:rFonts w:ascii="Arial" w:hAnsi="Arial" w:cs="Arial"/>
        </w:rPr>
        <w:t>HCPs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Healthcare Practitioners</w:t>
      </w:r>
      <w:r w:rsidR="00EF5FBD">
        <w:rPr>
          <w:rFonts w:ascii="Arial" w:hAnsi="Arial" w:cs="Arial"/>
          <w:bCs/>
        </w:rPr>
        <w:tab/>
      </w:r>
    </w:p>
    <w:p w14:paraId="68519E32" w14:textId="7CBB4E13" w:rsidR="00FE1687" w:rsidRDefault="00FE1687" w:rsidP="006D292D">
      <w:pPr>
        <w:pStyle w:val="Body"/>
        <w:rPr>
          <w:rFonts w:ascii="Arial" w:hAnsi="Arial" w:cs="Arial"/>
          <w:bCs/>
        </w:rPr>
      </w:pPr>
      <w:r>
        <w:rPr>
          <w:rFonts w:ascii="Arial" w:hAnsi="Arial" w:cs="Arial"/>
          <w:bCs/>
        </w:rPr>
        <w:t>PPIs</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t xml:space="preserve">Proton Pump Inhibitors </w:t>
      </w:r>
    </w:p>
    <w:p w14:paraId="38AF230B" w14:textId="3C5E7BAB" w:rsidR="0091519B" w:rsidRDefault="0091519B" w:rsidP="006D292D">
      <w:pPr>
        <w:pStyle w:val="Body"/>
        <w:rPr>
          <w:rFonts w:ascii="Arial" w:hAnsi="Arial" w:cs="Arial"/>
          <w:bCs/>
        </w:rPr>
      </w:pPr>
      <w:r>
        <w:rPr>
          <w:rFonts w:ascii="Arial" w:hAnsi="Arial" w:cs="Arial"/>
          <w:bCs/>
        </w:rPr>
        <w:t>NSAIDs</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t>Non-Steroidal Anti-Inflammatory Drugs</w:t>
      </w:r>
    </w:p>
    <w:p w14:paraId="38F7D1D3" w14:textId="53CB9A25" w:rsidR="00814BE6" w:rsidRDefault="00E26AED" w:rsidP="006D292D">
      <w:pPr>
        <w:pStyle w:val="Body"/>
        <w:rPr>
          <w:rFonts w:ascii="Arial" w:hAnsi="Arial" w:cs="Arial"/>
          <w:bCs/>
        </w:rPr>
      </w:pPr>
      <w:r>
        <w:rPr>
          <w:rFonts w:ascii="Arial" w:hAnsi="Arial" w:cs="Arial"/>
          <w:bCs/>
        </w:rPr>
        <w:t>GORD</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t xml:space="preserve">Gastro-oesophageal Reflux Disease </w:t>
      </w:r>
    </w:p>
    <w:p w14:paraId="44E565E4" w14:textId="006DBD94" w:rsidR="00814BE6" w:rsidRDefault="00814BE6" w:rsidP="006D292D">
      <w:pPr>
        <w:pStyle w:val="Body"/>
        <w:rPr>
          <w:rFonts w:ascii="Arial" w:hAnsi="Arial" w:cs="Arial"/>
          <w:bCs/>
        </w:rPr>
      </w:pPr>
      <w:r>
        <w:rPr>
          <w:rFonts w:ascii="Arial" w:hAnsi="Arial" w:cs="Arial"/>
          <w:bCs/>
        </w:rPr>
        <w:t>BZRAs</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t>B</w:t>
      </w:r>
      <w:r w:rsidRPr="000B0706">
        <w:rPr>
          <w:rFonts w:ascii="Arial" w:hAnsi="Arial" w:cs="Arial"/>
          <w:bCs/>
        </w:rPr>
        <w:t xml:space="preserve">enzodiazepine </w:t>
      </w:r>
      <w:r>
        <w:rPr>
          <w:rFonts w:ascii="Arial" w:hAnsi="Arial" w:cs="Arial"/>
          <w:bCs/>
        </w:rPr>
        <w:t>R</w:t>
      </w:r>
      <w:r w:rsidRPr="000B0706">
        <w:rPr>
          <w:rFonts w:ascii="Arial" w:hAnsi="Arial" w:cs="Arial"/>
          <w:bCs/>
        </w:rPr>
        <w:t xml:space="preserve">eceptor </w:t>
      </w:r>
      <w:r>
        <w:rPr>
          <w:rFonts w:ascii="Arial" w:hAnsi="Arial" w:cs="Arial"/>
          <w:bCs/>
        </w:rPr>
        <w:t>A</w:t>
      </w:r>
      <w:r w:rsidRPr="000B0706">
        <w:rPr>
          <w:rFonts w:ascii="Arial" w:hAnsi="Arial" w:cs="Arial"/>
          <w:bCs/>
        </w:rPr>
        <w:t>gonists</w:t>
      </w:r>
      <w:r>
        <w:rPr>
          <w:rFonts w:ascii="Arial" w:hAnsi="Arial" w:cs="Arial"/>
          <w:bCs/>
        </w:rPr>
        <w:t xml:space="preserve"> </w:t>
      </w:r>
    </w:p>
    <w:p w14:paraId="0D0E7AE2" w14:textId="49ADF87B" w:rsidR="002F5FDC" w:rsidRDefault="002F5FDC" w:rsidP="006D292D">
      <w:pPr>
        <w:pStyle w:val="Body"/>
        <w:rPr>
          <w:rFonts w:ascii="Arial" w:hAnsi="Arial" w:cs="Arial"/>
          <w:bCs/>
        </w:rPr>
      </w:pPr>
      <w:r>
        <w:rPr>
          <w:rFonts w:ascii="Roboto" w:hAnsi="Roboto"/>
          <w:shd w:val="clear" w:color="auto" w:fill="FFFFFF"/>
        </w:rPr>
        <w:t>STOPP</w:t>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t xml:space="preserve">Screening Tool of Older Persons' </w:t>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r>
      <w:r>
        <w:rPr>
          <w:rFonts w:ascii="Roboto" w:hAnsi="Roboto"/>
          <w:shd w:val="clear" w:color="auto" w:fill="FFFFFF"/>
        </w:rPr>
        <w:tab/>
        <w:t>potentially inappropriate Prescriptions</w:t>
      </w:r>
      <w:r>
        <w:rPr>
          <w:rFonts w:ascii="Arial" w:hAnsi="Arial" w:cs="Arial"/>
          <w:bCs/>
        </w:rPr>
        <w:t xml:space="preserve"> </w:t>
      </w:r>
    </w:p>
    <w:p w14:paraId="36A3B74B" w14:textId="77777777" w:rsidR="00FA16F1" w:rsidRPr="00867DD1" w:rsidRDefault="00FA16F1" w:rsidP="00FA16F1">
      <w:pPr>
        <w:pStyle w:val="Body"/>
        <w:rPr>
          <w:rFonts w:ascii="Roboto" w:hAnsi="Roboto"/>
          <w:shd w:val="clear" w:color="auto" w:fill="FFFFFF"/>
        </w:rPr>
      </w:pPr>
      <w:r>
        <w:rPr>
          <w:rFonts w:ascii="Arial" w:hAnsi="Arial" w:cs="Arial"/>
          <w:bCs/>
        </w:rPr>
        <w:t>START</w:t>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Pr>
          <w:rFonts w:ascii="Arial" w:hAnsi="Arial" w:cs="Arial"/>
          <w:bCs/>
        </w:rPr>
        <w:tab/>
      </w:r>
      <w:r w:rsidRPr="00867DD1">
        <w:rPr>
          <w:rFonts w:ascii="Roboto" w:hAnsi="Roboto"/>
          <w:shd w:val="clear" w:color="auto" w:fill="FFFFFF"/>
        </w:rPr>
        <w:t>Screening Tool to Alert Doctors to</w:t>
      </w:r>
    </w:p>
    <w:p w14:paraId="44ABAAB2" w14:textId="77777777" w:rsidR="00FA16F1" w:rsidRPr="00867DD1" w:rsidRDefault="00FA16F1" w:rsidP="00FA16F1">
      <w:pPr>
        <w:pStyle w:val="Body"/>
        <w:rPr>
          <w:rFonts w:ascii="Roboto" w:hAnsi="Roboto"/>
          <w:shd w:val="clear" w:color="auto" w:fill="FFFFFF"/>
        </w:rPr>
      </w:pPr>
      <w:r w:rsidRPr="00867DD1">
        <w:rPr>
          <w:rFonts w:ascii="Roboto" w:hAnsi="Roboto"/>
          <w:shd w:val="clear" w:color="auto" w:fill="FFFFFF"/>
        </w:rPr>
        <w:tab/>
      </w:r>
      <w:r w:rsidRPr="00867DD1">
        <w:rPr>
          <w:rFonts w:ascii="Roboto" w:hAnsi="Roboto"/>
          <w:shd w:val="clear" w:color="auto" w:fill="FFFFFF"/>
        </w:rPr>
        <w:tab/>
      </w:r>
      <w:r w:rsidRPr="00867DD1">
        <w:rPr>
          <w:rFonts w:ascii="Roboto" w:hAnsi="Roboto"/>
          <w:shd w:val="clear" w:color="auto" w:fill="FFFFFF"/>
        </w:rPr>
        <w:tab/>
      </w:r>
      <w:r w:rsidRPr="00867DD1">
        <w:rPr>
          <w:rFonts w:ascii="Roboto" w:hAnsi="Roboto"/>
          <w:shd w:val="clear" w:color="auto" w:fill="FFFFFF"/>
        </w:rPr>
        <w:tab/>
      </w:r>
      <w:r w:rsidRPr="00867DD1">
        <w:rPr>
          <w:rFonts w:ascii="Roboto" w:hAnsi="Roboto"/>
          <w:shd w:val="clear" w:color="auto" w:fill="FFFFFF"/>
        </w:rPr>
        <w:tab/>
      </w:r>
      <w:r w:rsidRPr="00867DD1">
        <w:rPr>
          <w:rFonts w:ascii="Roboto" w:hAnsi="Roboto"/>
          <w:shd w:val="clear" w:color="auto" w:fill="FFFFFF"/>
        </w:rPr>
        <w:tab/>
      </w:r>
      <w:r w:rsidRPr="00867DD1">
        <w:rPr>
          <w:rFonts w:ascii="Roboto" w:hAnsi="Roboto"/>
          <w:shd w:val="clear" w:color="auto" w:fill="FFFFFF"/>
        </w:rPr>
        <w:tab/>
        <w:t>Right Treatments</w:t>
      </w:r>
    </w:p>
    <w:p w14:paraId="41BB8353" w14:textId="08C05698" w:rsidR="00FA16F1" w:rsidRPr="00FA16F1" w:rsidRDefault="00FA16F1" w:rsidP="00FA16F1">
      <w:pPr>
        <w:pStyle w:val="Body"/>
        <w:rPr>
          <w:rFonts w:ascii="Arial" w:hAnsi="Arial" w:cs="Arial"/>
          <w:bCs/>
        </w:rPr>
      </w:pPr>
    </w:p>
    <w:p w14:paraId="54697506" w14:textId="77777777" w:rsidR="00DC61B6" w:rsidRDefault="00DC61B6" w:rsidP="006D292D">
      <w:pPr>
        <w:pStyle w:val="Body"/>
        <w:rPr>
          <w:rFonts w:ascii="Arial" w:eastAsia="MS Mincho" w:hAnsi="Arial" w:cs="Arial"/>
          <w:bCs/>
          <w:lang w:eastAsia="ja-JP"/>
        </w:rPr>
      </w:pPr>
    </w:p>
    <w:p w14:paraId="7BD3BFA2" w14:textId="77777777" w:rsidR="00250986" w:rsidRPr="00250986" w:rsidRDefault="00250986" w:rsidP="006D292D">
      <w:pPr>
        <w:pStyle w:val="Body"/>
        <w:rPr>
          <w:rFonts w:ascii="Arial" w:eastAsia="MS Mincho" w:hAnsi="Arial" w:cs="Arial"/>
          <w:bCs/>
          <w:lang w:eastAsia="ja-JP"/>
        </w:rPr>
      </w:pPr>
    </w:p>
    <w:p w14:paraId="311A903D" w14:textId="2D93795D" w:rsidR="004D77A4" w:rsidRDefault="004D77A4" w:rsidP="006D292D">
      <w:pPr>
        <w:pStyle w:val="Body"/>
        <w:rPr>
          <w:rFonts w:ascii="Arial" w:eastAsia="Arial Unicode MS" w:hAnsi="Arial" w:cs="Arial"/>
          <w:b/>
          <w:bCs/>
          <w:color w:val="538135" w:themeColor="accent6" w:themeShade="BF"/>
          <w:sz w:val="24"/>
          <w:szCs w:val="24"/>
        </w:rPr>
      </w:pPr>
    </w:p>
    <w:p w14:paraId="0DA3B32A" w14:textId="77777777" w:rsidR="00E53FA4" w:rsidRDefault="00E53FA4" w:rsidP="006D292D">
      <w:pPr>
        <w:pStyle w:val="Body"/>
        <w:rPr>
          <w:rFonts w:ascii="Arial" w:eastAsia="Arial Unicode MS" w:hAnsi="Arial" w:cs="Arial"/>
          <w:b/>
          <w:bCs/>
          <w:color w:val="538135" w:themeColor="accent6" w:themeShade="BF"/>
          <w:sz w:val="24"/>
          <w:szCs w:val="24"/>
        </w:rPr>
      </w:pPr>
    </w:p>
    <w:p w14:paraId="791A0024" w14:textId="1B30903F" w:rsidR="00572023" w:rsidRPr="006D292D" w:rsidRDefault="00572023" w:rsidP="006D292D">
      <w:pPr>
        <w:pStyle w:val="Body"/>
        <w:rPr>
          <w:rFonts w:ascii="Arial" w:eastAsia="Arial Unicode MS" w:hAnsi="Arial" w:cs="Arial"/>
          <w:b/>
          <w:bCs/>
          <w:color w:val="538135" w:themeColor="accent6" w:themeShade="BF"/>
          <w:sz w:val="24"/>
          <w:szCs w:val="24"/>
        </w:rPr>
      </w:pPr>
      <w:r w:rsidRPr="006D292D">
        <w:rPr>
          <w:rFonts w:ascii="Arial" w:eastAsia="Arial Unicode MS" w:hAnsi="Arial" w:cs="Arial"/>
          <w:b/>
          <w:bCs/>
          <w:color w:val="538135" w:themeColor="accent6" w:themeShade="BF"/>
          <w:sz w:val="24"/>
          <w:szCs w:val="24"/>
        </w:rPr>
        <w:lastRenderedPageBreak/>
        <w:t xml:space="preserve">Table of Contents </w:t>
      </w:r>
    </w:p>
    <w:p w14:paraId="3C5038E4" w14:textId="77777777" w:rsidR="00224225" w:rsidRPr="006D292D" w:rsidRDefault="00224225" w:rsidP="00985C43">
      <w:pPr>
        <w:widowControl w:val="0"/>
        <w:tabs>
          <w:tab w:val="left" w:pos="1440"/>
        </w:tabs>
        <w:autoSpaceDE w:val="0"/>
        <w:spacing w:before="120" w:after="120" w:line="230" w:lineRule="exact"/>
        <w:ind w:right="352"/>
        <w:rPr>
          <w:rFonts w:ascii="Arial" w:hAnsi="Arial" w:cs="Arial"/>
          <w:b/>
          <w:bCs/>
          <w:color w:val="76923C"/>
          <w:lang w:val="en-GB"/>
        </w:rPr>
      </w:pPr>
    </w:p>
    <w:p w14:paraId="4BF989EB" w14:textId="77777777" w:rsidR="005E1317" w:rsidRDefault="005E1317" w:rsidP="005E1317">
      <w:pPr>
        <w:spacing w:after="200" w:line="276" w:lineRule="auto"/>
        <w:outlineLvl w:val="0"/>
        <w:rPr>
          <w:rFonts w:ascii="Arial" w:eastAsia="Calibri" w:hAnsi="Arial" w:cs="Arial"/>
          <w:b/>
          <w:sz w:val="20"/>
          <w:szCs w:val="20"/>
        </w:rPr>
      </w:pPr>
      <w:r w:rsidRPr="00D92BD8">
        <w:rPr>
          <w:rFonts w:ascii="Arial" w:eastAsia="Calibri" w:hAnsi="Arial" w:cs="Arial"/>
          <w:sz w:val="22"/>
          <w:szCs w:val="22"/>
        </w:rPr>
        <w:t xml:space="preserve">                                                                                                                                            </w:t>
      </w:r>
      <w:r w:rsidRPr="00D92BD8">
        <w:rPr>
          <w:rFonts w:ascii="Arial" w:eastAsia="Calibri" w:hAnsi="Arial" w:cs="Arial"/>
          <w:b/>
          <w:sz w:val="20"/>
          <w:szCs w:val="20"/>
        </w:rPr>
        <w:t>Page</w:t>
      </w:r>
    </w:p>
    <w:p w14:paraId="3F2CE98B" w14:textId="77777777" w:rsidR="005E1317" w:rsidRPr="00D92BD8" w:rsidRDefault="005E1317" w:rsidP="005E1317">
      <w:pPr>
        <w:spacing w:after="200" w:line="276" w:lineRule="auto"/>
        <w:rPr>
          <w:rFonts w:ascii="Arial" w:eastAsia="Calibri" w:hAnsi="Arial" w:cs="Arial"/>
          <w:b/>
          <w:sz w:val="20"/>
          <w:szCs w:val="20"/>
        </w:rPr>
      </w:pPr>
    </w:p>
    <w:p w14:paraId="390845EC" w14:textId="39BF6805" w:rsidR="005E1317" w:rsidRPr="002742B1" w:rsidRDefault="005E1317" w:rsidP="005E1317">
      <w:pPr>
        <w:spacing w:after="200" w:line="276" w:lineRule="auto"/>
        <w:rPr>
          <w:rFonts w:ascii="Arial" w:eastAsia="Calibri" w:hAnsi="Arial" w:cs="Arial"/>
          <w:b/>
          <w:sz w:val="20"/>
          <w:szCs w:val="20"/>
        </w:rPr>
      </w:pPr>
      <w:r w:rsidRPr="002742B1">
        <w:rPr>
          <w:rFonts w:ascii="Arial" w:eastAsia="Calibri" w:hAnsi="Arial" w:cs="Arial"/>
          <w:b/>
          <w:sz w:val="20"/>
          <w:szCs w:val="20"/>
        </w:rPr>
        <w:t xml:space="preserve">1    </w:t>
      </w:r>
      <w:r>
        <w:rPr>
          <w:rFonts w:ascii="Arial" w:eastAsia="Calibri" w:hAnsi="Arial" w:cs="Arial"/>
          <w:b/>
          <w:sz w:val="20"/>
          <w:szCs w:val="20"/>
        </w:rPr>
        <w:tab/>
      </w:r>
      <w:r w:rsidRPr="002742B1">
        <w:rPr>
          <w:rFonts w:ascii="Arial" w:eastAsia="Calibri" w:hAnsi="Arial" w:cs="Arial"/>
          <w:b/>
          <w:sz w:val="20"/>
          <w:szCs w:val="20"/>
        </w:rPr>
        <w:t xml:space="preserve">Introduction </w:t>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sidR="004D77A4">
        <w:rPr>
          <w:rFonts w:ascii="Arial" w:eastAsia="Calibri" w:hAnsi="Arial" w:cs="Arial"/>
          <w:b/>
          <w:sz w:val="20"/>
          <w:szCs w:val="20"/>
        </w:rPr>
        <w:t>5</w:t>
      </w:r>
      <w:r>
        <w:rPr>
          <w:rFonts w:ascii="Arial" w:eastAsia="Calibri" w:hAnsi="Arial" w:cs="Arial"/>
          <w:b/>
          <w:sz w:val="20"/>
          <w:szCs w:val="20"/>
        </w:rPr>
        <w:br/>
      </w:r>
      <w:r w:rsidRPr="002742B1">
        <w:rPr>
          <w:rFonts w:ascii="Arial" w:eastAsia="Calibri" w:hAnsi="Arial" w:cs="Arial"/>
          <w:b/>
          <w:sz w:val="20"/>
          <w:szCs w:val="20"/>
        </w:rPr>
        <w:br/>
      </w:r>
      <w:r w:rsidRPr="002742B1">
        <w:rPr>
          <w:rFonts w:ascii="Arial" w:eastAsia="Calibri" w:hAnsi="Arial" w:cs="Arial"/>
          <w:sz w:val="20"/>
          <w:szCs w:val="20"/>
        </w:rPr>
        <w:t>1.1</w:t>
      </w:r>
      <w:r w:rsidRPr="002742B1">
        <w:rPr>
          <w:rFonts w:ascii="Arial" w:eastAsia="Calibri" w:hAnsi="Arial" w:cs="Arial"/>
          <w:b/>
          <w:sz w:val="20"/>
          <w:szCs w:val="20"/>
        </w:rPr>
        <w:t xml:space="preserve"> </w:t>
      </w:r>
      <w:r>
        <w:rPr>
          <w:rFonts w:ascii="Arial" w:eastAsia="Calibri" w:hAnsi="Arial" w:cs="Arial"/>
          <w:b/>
          <w:sz w:val="20"/>
          <w:szCs w:val="20"/>
        </w:rPr>
        <w:tab/>
      </w:r>
      <w:r w:rsidRPr="002742B1">
        <w:rPr>
          <w:rFonts w:ascii="Arial" w:eastAsia="Calibri" w:hAnsi="Arial" w:cs="Arial"/>
          <w:sz w:val="20"/>
          <w:szCs w:val="20"/>
        </w:rPr>
        <w:t>Background</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sidR="004D77A4">
        <w:rPr>
          <w:rFonts w:ascii="Arial" w:eastAsia="Calibri" w:hAnsi="Arial" w:cs="Arial"/>
          <w:sz w:val="20"/>
          <w:szCs w:val="20"/>
        </w:rPr>
        <w:t>5</w:t>
      </w:r>
      <w:r>
        <w:rPr>
          <w:rFonts w:ascii="Arial" w:eastAsia="Calibri" w:hAnsi="Arial" w:cs="Arial"/>
          <w:sz w:val="20"/>
          <w:szCs w:val="20"/>
        </w:rPr>
        <w:br/>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sidRPr="002742B1">
        <w:rPr>
          <w:rFonts w:ascii="Arial" w:eastAsia="Calibri" w:hAnsi="Arial" w:cs="Arial"/>
          <w:b/>
          <w:sz w:val="20"/>
          <w:szCs w:val="20"/>
        </w:rPr>
        <w:br/>
      </w:r>
      <w:r w:rsidRPr="002742B1">
        <w:rPr>
          <w:rFonts w:ascii="Arial" w:eastAsia="Calibri" w:hAnsi="Arial" w:cs="Arial"/>
          <w:sz w:val="20"/>
          <w:szCs w:val="20"/>
        </w:rPr>
        <w:t>1.2</w:t>
      </w:r>
      <w:r w:rsidRPr="002742B1">
        <w:rPr>
          <w:rFonts w:ascii="Arial" w:eastAsia="Calibri" w:hAnsi="Arial" w:cs="Arial"/>
          <w:b/>
          <w:sz w:val="20"/>
          <w:szCs w:val="20"/>
        </w:rPr>
        <w:t xml:space="preserve"> </w:t>
      </w:r>
      <w:r>
        <w:rPr>
          <w:rFonts w:ascii="Arial" w:eastAsia="Calibri" w:hAnsi="Arial" w:cs="Arial"/>
          <w:b/>
          <w:sz w:val="20"/>
          <w:szCs w:val="20"/>
        </w:rPr>
        <w:tab/>
      </w:r>
      <w:r w:rsidRPr="002742B1">
        <w:rPr>
          <w:rFonts w:ascii="Arial" w:eastAsia="Calibri" w:hAnsi="Arial" w:cs="Arial"/>
          <w:sz w:val="20"/>
          <w:szCs w:val="20"/>
        </w:rPr>
        <w:t>Aims of the Document</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sidR="004D77A4">
        <w:rPr>
          <w:rFonts w:ascii="Arial" w:eastAsia="Calibri" w:hAnsi="Arial" w:cs="Arial"/>
          <w:sz w:val="20"/>
          <w:szCs w:val="20"/>
        </w:rPr>
        <w:t>5</w:t>
      </w:r>
      <w:r>
        <w:rPr>
          <w:rFonts w:ascii="Arial" w:eastAsia="Calibri" w:hAnsi="Arial" w:cs="Arial"/>
          <w:sz w:val="20"/>
          <w:szCs w:val="20"/>
        </w:rPr>
        <w:br/>
      </w:r>
      <w:r w:rsidRPr="002742B1">
        <w:rPr>
          <w:rFonts w:ascii="Arial" w:eastAsia="Calibri" w:hAnsi="Arial" w:cs="Arial"/>
          <w:b/>
          <w:sz w:val="20"/>
          <w:szCs w:val="20"/>
        </w:rPr>
        <w:br/>
      </w:r>
      <w:r w:rsidRPr="002742B1">
        <w:rPr>
          <w:rFonts w:ascii="Arial" w:eastAsia="Calibri" w:hAnsi="Arial" w:cs="Arial"/>
          <w:sz w:val="20"/>
          <w:szCs w:val="20"/>
        </w:rPr>
        <w:t>1.3</w:t>
      </w:r>
      <w:r w:rsidRPr="002742B1">
        <w:rPr>
          <w:rFonts w:ascii="Arial" w:eastAsia="Calibri" w:hAnsi="Arial" w:cs="Arial"/>
          <w:b/>
          <w:sz w:val="20"/>
          <w:szCs w:val="20"/>
        </w:rPr>
        <w:t xml:space="preserve"> </w:t>
      </w:r>
      <w:r>
        <w:rPr>
          <w:rFonts w:ascii="Arial" w:eastAsia="Calibri" w:hAnsi="Arial" w:cs="Arial"/>
          <w:b/>
          <w:sz w:val="20"/>
          <w:szCs w:val="20"/>
        </w:rPr>
        <w:tab/>
      </w:r>
      <w:r w:rsidR="00AC1761">
        <w:rPr>
          <w:rFonts w:ascii="Arial" w:eastAsia="Calibri" w:hAnsi="Arial" w:cs="Arial"/>
          <w:sz w:val="20"/>
          <w:szCs w:val="20"/>
        </w:rPr>
        <w:t xml:space="preserve">Summary.                        </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sidR="004D77A4">
        <w:rPr>
          <w:rFonts w:ascii="Arial" w:eastAsia="Calibri" w:hAnsi="Arial" w:cs="Arial"/>
          <w:sz w:val="20"/>
          <w:szCs w:val="20"/>
        </w:rPr>
        <w:t>5</w:t>
      </w:r>
    </w:p>
    <w:p w14:paraId="0D6F5311" w14:textId="77777777" w:rsidR="005E1317" w:rsidRPr="002742B1" w:rsidRDefault="005E1317" w:rsidP="005E1317">
      <w:pPr>
        <w:spacing w:after="200" w:line="276" w:lineRule="auto"/>
        <w:ind w:left="360"/>
        <w:contextualSpacing/>
        <w:rPr>
          <w:rFonts w:ascii="Arial" w:eastAsia="Calibri" w:hAnsi="Arial" w:cs="Arial"/>
          <w:sz w:val="20"/>
          <w:szCs w:val="20"/>
        </w:rPr>
      </w:pPr>
    </w:p>
    <w:p w14:paraId="02D26EF9" w14:textId="1DB4A617" w:rsidR="005E1317" w:rsidRDefault="005E1317" w:rsidP="005E1317">
      <w:pPr>
        <w:spacing w:after="200" w:line="276" w:lineRule="auto"/>
        <w:rPr>
          <w:rFonts w:ascii="Arial" w:eastAsia="Calibri" w:hAnsi="Arial" w:cs="Arial"/>
          <w:sz w:val="20"/>
          <w:szCs w:val="20"/>
        </w:rPr>
      </w:pPr>
      <w:r w:rsidRPr="00AC1761">
        <w:rPr>
          <w:rFonts w:ascii="Arial" w:eastAsia="Calibri" w:hAnsi="Arial" w:cs="Arial"/>
          <w:b/>
          <w:sz w:val="20"/>
          <w:szCs w:val="20"/>
        </w:rPr>
        <w:t xml:space="preserve">2    </w:t>
      </w:r>
      <w:r w:rsidRPr="00AC1761">
        <w:rPr>
          <w:rFonts w:ascii="Arial" w:eastAsia="Calibri" w:hAnsi="Arial" w:cs="Arial"/>
          <w:b/>
          <w:sz w:val="20"/>
          <w:szCs w:val="20"/>
        </w:rPr>
        <w:tab/>
      </w:r>
      <w:r w:rsidR="00AC1761" w:rsidRPr="00AC1761">
        <w:rPr>
          <w:rFonts w:ascii="Arial" w:eastAsia="Calibri" w:hAnsi="Arial" w:cs="Arial"/>
          <w:b/>
          <w:sz w:val="20"/>
          <w:szCs w:val="20"/>
        </w:rPr>
        <w:t>Benefits and risks of Deprescribing</w:t>
      </w:r>
      <w:r w:rsidRPr="00AC1761">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sidRPr="00AC1761">
        <w:rPr>
          <w:rFonts w:ascii="Arial" w:eastAsia="Calibri" w:hAnsi="Arial" w:cs="Arial"/>
          <w:sz w:val="20"/>
          <w:szCs w:val="20"/>
        </w:rPr>
        <w:tab/>
      </w:r>
      <w:r w:rsidR="004D77A4" w:rsidRPr="00AC1761">
        <w:rPr>
          <w:rFonts w:ascii="Arial" w:eastAsia="Calibri" w:hAnsi="Arial" w:cs="Arial"/>
          <w:sz w:val="20"/>
          <w:szCs w:val="20"/>
        </w:rPr>
        <w:t>6</w:t>
      </w:r>
      <w:r>
        <w:rPr>
          <w:rFonts w:ascii="Arial" w:eastAsia="Calibri" w:hAnsi="Arial" w:cs="Arial"/>
          <w:b/>
          <w:i/>
          <w:sz w:val="20"/>
          <w:szCs w:val="20"/>
        </w:rPr>
        <w:br/>
      </w:r>
      <w:r>
        <w:rPr>
          <w:rFonts w:ascii="Arial" w:eastAsia="Calibri" w:hAnsi="Arial" w:cs="Arial"/>
          <w:sz w:val="20"/>
          <w:szCs w:val="20"/>
        </w:rPr>
        <w:tab/>
      </w:r>
      <w:r>
        <w:rPr>
          <w:rFonts w:ascii="Arial" w:eastAsia="Calibri" w:hAnsi="Arial" w:cs="Arial"/>
          <w:sz w:val="20"/>
          <w:szCs w:val="20"/>
        </w:rPr>
        <w:br/>
      </w:r>
      <w:r w:rsidRPr="00AC1689">
        <w:rPr>
          <w:rFonts w:ascii="Arial" w:eastAsia="Calibri" w:hAnsi="Arial" w:cs="Arial"/>
          <w:sz w:val="20"/>
          <w:szCs w:val="20"/>
        </w:rPr>
        <w:t>2.1</w:t>
      </w:r>
      <w:r>
        <w:rPr>
          <w:rFonts w:ascii="Arial" w:eastAsia="Calibri" w:hAnsi="Arial" w:cs="Arial"/>
          <w:sz w:val="20"/>
          <w:szCs w:val="20"/>
        </w:rPr>
        <w:tab/>
      </w:r>
      <w:r w:rsidR="00AC1761">
        <w:rPr>
          <w:rFonts w:ascii="Arial" w:eastAsia="Calibri" w:hAnsi="Arial" w:cs="Arial"/>
          <w:sz w:val="20"/>
          <w:szCs w:val="20"/>
        </w:rPr>
        <w:t>When should deprescribing be considered</w:t>
      </w:r>
      <w:r>
        <w:rPr>
          <w:rFonts w:ascii="Arial" w:eastAsia="Calibri" w:hAnsi="Arial" w:cs="Arial"/>
          <w:sz w:val="20"/>
          <w:szCs w:val="20"/>
        </w:rPr>
        <w:t xml:space="preserve">              </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sidR="00B52B7B">
        <w:rPr>
          <w:rFonts w:ascii="Arial" w:eastAsia="Calibri" w:hAnsi="Arial" w:cs="Arial"/>
          <w:sz w:val="20"/>
          <w:szCs w:val="20"/>
        </w:rPr>
        <w:t>6</w:t>
      </w:r>
      <w:r>
        <w:rPr>
          <w:rFonts w:ascii="Arial" w:eastAsia="Calibri" w:hAnsi="Arial" w:cs="Arial"/>
          <w:sz w:val="20"/>
          <w:szCs w:val="20"/>
        </w:rPr>
        <w:t xml:space="preserve">                                                                                                                               </w:t>
      </w:r>
      <w:r w:rsidRPr="004F0257">
        <w:rPr>
          <w:rFonts w:ascii="Arial" w:eastAsia="Calibri" w:hAnsi="Arial" w:cs="Arial"/>
          <w:sz w:val="20"/>
          <w:szCs w:val="20"/>
        </w:rPr>
        <w:br/>
      </w:r>
    </w:p>
    <w:p w14:paraId="2A6E5DD5" w14:textId="77777777" w:rsidR="00AC1761" w:rsidRDefault="005E1317" w:rsidP="005E1317">
      <w:pPr>
        <w:spacing w:after="200" w:line="276" w:lineRule="auto"/>
        <w:rPr>
          <w:rFonts w:ascii="Arial" w:eastAsia="Calibri" w:hAnsi="Arial" w:cs="Arial"/>
          <w:sz w:val="20"/>
          <w:szCs w:val="20"/>
        </w:rPr>
      </w:pPr>
      <w:r w:rsidRPr="00AC1689">
        <w:rPr>
          <w:rFonts w:ascii="Arial" w:eastAsia="Calibri" w:hAnsi="Arial" w:cs="Arial"/>
          <w:sz w:val="20"/>
          <w:szCs w:val="20"/>
        </w:rPr>
        <w:t>2.2</w:t>
      </w:r>
      <w:r>
        <w:rPr>
          <w:rFonts w:ascii="Arial" w:eastAsia="Calibri" w:hAnsi="Arial" w:cs="Arial"/>
          <w:sz w:val="20"/>
          <w:szCs w:val="20"/>
        </w:rPr>
        <w:t xml:space="preserve"> </w:t>
      </w:r>
      <w:r>
        <w:rPr>
          <w:rFonts w:ascii="Arial" w:eastAsia="Calibri" w:hAnsi="Arial" w:cs="Arial"/>
          <w:sz w:val="20"/>
          <w:szCs w:val="20"/>
        </w:rPr>
        <w:tab/>
      </w:r>
      <w:r w:rsidR="00AC1761">
        <w:rPr>
          <w:rFonts w:ascii="Arial" w:eastAsia="Calibri" w:hAnsi="Arial" w:cs="Arial"/>
          <w:sz w:val="20"/>
          <w:szCs w:val="20"/>
        </w:rPr>
        <w:t>Barriers</w:t>
      </w:r>
      <w:r>
        <w:rPr>
          <w:rFonts w:ascii="Arial" w:eastAsia="Calibri" w:hAnsi="Arial" w:cs="Arial"/>
          <w:sz w:val="20"/>
          <w:szCs w:val="20"/>
        </w:rPr>
        <w:t xml:space="preserve"> to Deprescribing</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sidR="00B52B7B">
        <w:rPr>
          <w:rFonts w:ascii="Arial" w:eastAsia="Calibri" w:hAnsi="Arial" w:cs="Arial"/>
          <w:sz w:val="20"/>
          <w:szCs w:val="20"/>
        </w:rPr>
        <w:t>6</w:t>
      </w:r>
      <w:r w:rsidRPr="00AC1689">
        <w:rPr>
          <w:rFonts w:ascii="Arial" w:eastAsia="Calibri" w:hAnsi="Arial" w:cs="Arial"/>
          <w:sz w:val="20"/>
          <w:szCs w:val="20"/>
        </w:rPr>
        <w:br/>
      </w:r>
      <w:r w:rsidRPr="00AC1689">
        <w:rPr>
          <w:rFonts w:ascii="Arial" w:eastAsia="Calibri" w:hAnsi="Arial" w:cs="Arial"/>
          <w:sz w:val="20"/>
          <w:szCs w:val="20"/>
        </w:rPr>
        <w:br/>
        <w:t>2.3</w:t>
      </w:r>
      <w:r>
        <w:rPr>
          <w:rFonts w:ascii="Arial" w:eastAsia="Calibri" w:hAnsi="Arial" w:cs="Arial"/>
          <w:sz w:val="20"/>
          <w:szCs w:val="20"/>
        </w:rPr>
        <w:tab/>
      </w:r>
      <w:r w:rsidR="00AC1761">
        <w:rPr>
          <w:rFonts w:ascii="Arial" w:eastAsia="Calibri" w:hAnsi="Arial" w:cs="Arial"/>
          <w:sz w:val="20"/>
          <w:szCs w:val="20"/>
        </w:rPr>
        <w:t>Approach to Deprescribing</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sidR="00AC1761">
        <w:rPr>
          <w:rFonts w:ascii="Arial" w:eastAsia="Calibri" w:hAnsi="Arial" w:cs="Arial"/>
          <w:sz w:val="20"/>
          <w:szCs w:val="20"/>
        </w:rPr>
        <w:t xml:space="preserve">                          </w:t>
      </w:r>
      <w:r>
        <w:rPr>
          <w:rFonts w:ascii="Arial" w:eastAsia="Calibri" w:hAnsi="Arial" w:cs="Arial"/>
          <w:sz w:val="20"/>
          <w:szCs w:val="20"/>
        </w:rPr>
        <w:tab/>
      </w:r>
      <w:r w:rsidR="003738DB">
        <w:rPr>
          <w:rFonts w:ascii="Arial" w:eastAsia="Calibri" w:hAnsi="Arial" w:cs="Arial"/>
          <w:sz w:val="20"/>
          <w:szCs w:val="20"/>
        </w:rPr>
        <w:t>8</w:t>
      </w:r>
      <w:r w:rsidRPr="00AC1689">
        <w:rPr>
          <w:rFonts w:ascii="Arial" w:eastAsia="Calibri" w:hAnsi="Arial" w:cs="Arial"/>
          <w:sz w:val="20"/>
          <w:szCs w:val="20"/>
        </w:rPr>
        <w:br/>
      </w:r>
      <w:r w:rsidRPr="00AC1689">
        <w:rPr>
          <w:rFonts w:ascii="Arial" w:eastAsia="Calibri" w:hAnsi="Arial" w:cs="Arial"/>
          <w:sz w:val="20"/>
          <w:szCs w:val="20"/>
        </w:rPr>
        <w:br/>
        <w:t>2.4</w:t>
      </w:r>
      <w:r>
        <w:rPr>
          <w:rFonts w:ascii="Arial" w:eastAsia="Calibri" w:hAnsi="Arial" w:cs="Arial"/>
          <w:sz w:val="20"/>
          <w:szCs w:val="20"/>
        </w:rPr>
        <w:tab/>
      </w:r>
      <w:r w:rsidR="00AC1761" w:rsidRPr="00AC1761">
        <w:rPr>
          <w:rFonts w:ascii="Arial" w:eastAsia="Calibri" w:hAnsi="Arial" w:cs="Arial"/>
          <w:bCs/>
          <w:sz w:val="20"/>
          <w:szCs w:val="20"/>
        </w:rPr>
        <w:t>Deprescribing of specific drugs</w:t>
      </w:r>
      <w:r w:rsidR="00AC1761" w:rsidRPr="00AC1761">
        <w:rPr>
          <w:rFonts w:ascii="Arial" w:eastAsia="Calibri" w:hAnsi="Arial" w:cs="Arial"/>
          <w:sz w:val="20"/>
          <w:szCs w:val="20"/>
        </w:rPr>
        <w:t xml:space="preserve"> </w:t>
      </w:r>
    </w:p>
    <w:p w14:paraId="5DF7F7FC" w14:textId="289D3C2F" w:rsidR="005E1317" w:rsidRPr="00AC1761" w:rsidRDefault="00AC1761" w:rsidP="005E1317">
      <w:pPr>
        <w:spacing w:after="200" w:line="276" w:lineRule="auto"/>
        <w:rPr>
          <w:rFonts w:ascii="Arial" w:eastAsia="Calibri" w:hAnsi="Arial" w:cs="Arial"/>
          <w:sz w:val="20"/>
          <w:szCs w:val="20"/>
        </w:rPr>
      </w:pPr>
      <w:r>
        <w:rPr>
          <w:rFonts w:ascii="Arial" w:eastAsia="Calibri" w:hAnsi="Arial" w:cs="Arial"/>
          <w:sz w:val="20"/>
          <w:szCs w:val="20"/>
        </w:rPr>
        <w:t>2.4.1     Deprescribing of Proton Pump Inhibitors (PPIs</w:t>
      </w:r>
      <w:r w:rsidR="006609A8">
        <w:rPr>
          <w:rFonts w:ascii="Arial" w:eastAsia="Calibri" w:hAnsi="Arial" w:cs="Arial"/>
          <w:sz w:val="20"/>
          <w:szCs w:val="20"/>
        </w:rPr>
        <w:t>)</w:t>
      </w:r>
      <w:r>
        <w:rPr>
          <w:rFonts w:ascii="Arial" w:eastAsia="Calibri" w:hAnsi="Arial" w:cs="Arial"/>
          <w:sz w:val="20"/>
          <w:szCs w:val="20"/>
        </w:rPr>
        <w:t xml:space="preserve">                            </w:t>
      </w:r>
      <w:r w:rsidR="005E1317">
        <w:rPr>
          <w:rFonts w:ascii="Arial" w:eastAsia="Calibri" w:hAnsi="Arial" w:cs="Arial"/>
          <w:sz w:val="20"/>
          <w:szCs w:val="20"/>
        </w:rPr>
        <w:tab/>
      </w:r>
      <w:r w:rsidR="005E1317">
        <w:rPr>
          <w:rFonts w:ascii="Arial" w:eastAsia="Calibri" w:hAnsi="Arial" w:cs="Arial"/>
          <w:sz w:val="20"/>
          <w:szCs w:val="20"/>
        </w:rPr>
        <w:tab/>
      </w:r>
      <w:r w:rsidR="005E1317">
        <w:rPr>
          <w:rFonts w:ascii="Arial" w:eastAsia="Calibri" w:hAnsi="Arial" w:cs="Arial"/>
          <w:sz w:val="20"/>
          <w:szCs w:val="20"/>
        </w:rPr>
        <w:tab/>
      </w:r>
      <w:r w:rsidR="005E1317">
        <w:rPr>
          <w:rFonts w:ascii="Arial" w:eastAsia="Calibri" w:hAnsi="Arial" w:cs="Arial"/>
          <w:sz w:val="20"/>
          <w:szCs w:val="20"/>
        </w:rPr>
        <w:tab/>
      </w:r>
      <w:r w:rsidR="003738DB">
        <w:rPr>
          <w:rFonts w:ascii="Arial" w:eastAsia="Calibri" w:hAnsi="Arial" w:cs="Arial"/>
          <w:sz w:val="20"/>
          <w:szCs w:val="20"/>
        </w:rPr>
        <w:t>8</w:t>
      </w:r>
      <w:r w:rsidR="005E1317" w:rsidRPr="00AC1689">
        <w:rPr>
          <w:rFonts w:ascii="Arial" w:eastAsia="Calibri" w:hAnsi="Arial" w:cs="Arial"/>
          <w:sz w:val="20"/>
          <w:szCs w:val="20"/>
        </w:rPr>
        <w:br/>
      </w:r>
      <w:r w:rsidR="005E1317" w:rsidRPr="009C466F">
        <w:rPr>
          <w:rFonts w:ascii="Arial" w:eastAsia="Calibri" w:hAnsi="Arial" w:cs="Arial"/>
          <w:sz w:val="20"/>
          <w:szCs w:val="20"/>
        </w:rPr>
        <w:br/>
        <w:t>2.</w:t>
      </w:r>
      <w:r>
        <w:rPr>
          <w:rFonts w:ascii="Arial" w:eastAsia="Calibri" w:hAnsi="Arial" w:cs="Arial"/>
          <w:sz w:val="20"/>
          <w:szCs w:val="20"/>
        </w:rPr>
        <w:t>4.2</w:t>
      </w:r>
      <w:r w:rsidR="005E1317" w:rsidRPr="009C466F">
        <w:rPr>
          <w:rFonts w:ascii="Arial" w:eastAsia="Calibri" w:hAnsi="Arial" w:cs="Arial"/>
          <w:sz w:val="20"/>
          <w:szCs w:val="20"/>
        </w:rPr>
        <w:tab/>
      </w:r>
      <w:r w:rsidRPr="00B41A0D">
        <w:rPr>
          <w:rFonts w:ascii="Arial" w:eastAsia="Calibri" w:hAnsi="Arial" w:cs="Arial"/>
          <w:sz w:val="20"/>
          <w:szCs w:val="20"/>
        </w:rPr>
        <w:t>Deprescribing of benzodiazepine receptor agonists</w:t>
      </w:r>
      <w:r>
        <w:rPr>
          <w:rFonts w:ascii="Arial" w:eastAsia="Calibri" w:hAnsi="Arial" w:cs="Arial"/>
          <w:sz w:val="20"/>
          <w:szCs w:val="20"/>
        </w:rPr>
        <w:t xml:space="preserve"> (BZRAs)                                              9                2.4.3     </w:t>
      </w:r>
      <w:r w:rsidR="005E1317" w:rsidRPr="009C466F">
        <w:rPr>
          <w:rFonts w:ascii="Arial" w:hAnsi="Arial" w:cs="Arial"/>
          <w:bCs/>
          <w:color w:val="000000"/>
          <w:sz w:val="20"/>
          <w:szCs w:val="20"/>
        </w:rPr>
        <w:t xml:space="preserve">Deprescribing of Non-Steroidal </w:t>
      </w:r>
      <w:r w:rsidR="00AD05C6" w:rsidRPr="009C466F">
        <w:rPr>
          <w:rFonts w:ascii="Arial" w:hAnsi="Arial" w:cs="Arial"/>
          <w:bCs/>
          <w:color w:val="000000"/>
          <w:sz w:val="20"/>
          <w:szCs w:val="20"/>
        </w:rPr>
        <w:t>Anti-inflammatory</w:t>
      </w:r>
      <w:r w:rsidR="005E1317" w:rsidRPr="009C466F">
        <w:rPr>
          <w:rFonts w:ascii="Arial" w:hAnsi="Arial" w:cs="Arial"/>
          <w:bCs/>
          <w:color w:val="000000"/>
          <w:sz w:val="20"/>
          <w:szCs w:val="20"/>
        </w:rPr>
        <w:t xml:space="preserve"> Drugs (NSAIDs)</w:t>
      </w:r>
      <w:r w:rsidR="005E1317">
        <w:rPr>
          <w:rFonts w:ascii="Arial" w:eastAsia="Calibri" w:hAnsi="Arial" w:cs="Arial"/>
          <w:b/>
          <w:i/>
          <w:sz w:val="20"/>
          <w:szCs w:val="20"/>
        </w:rPr>
        <w:tab/>
      </w:r>
      <w:r w:rsidR="005E1317">
        <w:rPr>
          <w:rFonts w:ascii="Arial" w:eastAsia="Calibri" w:hAnsi="Arial" w:cs="Arial"/>
          <w:b/>
          <w:i/>
          <w:sz w:val="20"/>
          <w:szCs w:val="20"/>
        </w:rPr>
        <w:tab/>
      </w:r>
      <w:r w:rsidR="005E1317">
        <w:rPr>
          <w:rFonts w:ascii="Arial" w:eastAsia="Calibri" w:hAnsi="Arial" w:cs="Arial"/>
          <w:b/>
          <w:i/>
          <w:sz w:val="20"/>
          <w:szCs w:val="20"/>
        </w:rPr>
        <w:tab/>
      </w:r>
      <w:r w:rsidR="003738DB">
        <w:rPr>
          <w:rFonts w:ascii="Arial" w:eastAsia="Calibri" w:hAnsi="Arial" w:cs="Arial"/>
          <w:bCs/>
          <w:iCs/>
          <w:sz w:val="20"/>
          <w:szCs w:val="20"/>
        </w:rPr>
        <w:t>9</w:t>
      </w:r>
    </w:p>
    <w:p w14:paraId="42D6CD9E" w14:textId="21715EAD" w:rsidR="0022432B" w:rsidRDefault="005E1317" w:rsidP="0022432B">
      <w:pPr>
        <w:spacing w:after="200" w:line="276" w:lineRule="auto"/>
        <w:rPr>
          <w:rFonts w:ascii="Arial" w:eastAsia="Calibri" w:hAnsi="Arial" w:cs="Arial"/>
          <w:b/>
          <w:iCs/>
          <w:sz w:val="20"/>
          <w:szCs w:val="20"/>
        </w:rPr>
      </w:pPr>
      <w:r>
        <w:rPr>
          <w:rFonts w:ascii="Arial" w:eastAsia="Calibri" w:hAnsi="Arial" w:cs="Arial"/>
          <w:bCs/>
          <w:iCs/>
          <w:sz w:val="20"/>
          <w:szCs w:val="20"/>
        </w:rPr>
        <w:t>2.</w:t>
      </w:r>
      <w:r w:rsidR="00AC1761">
        <w:rPr>
          <w:rFonts w:ascii="Arial" w:eastAsia="Calibri" w:hAnsi="Arial" w:cs="Arial"/>
          <w:bCs/>
          <w:iCs/>
          <w:sz w:val="20"/>
          <w:szCs w:val="20"/>
        </w:rPr>
        <w:t>4.4</w:t>
      </w:r>
      <w:r>
        <w:rPr>
          <w:rFonts w:ascii="Arial" w:eastAsia="Calibri" w:hAnsi="Arial" w:cs="Arial"/>
          <w:bCs/>
          <w:iCs/>
          <w:sz w:val="20"/>
          <w:szCs w:val="20"/>
        </w:rPr>
        <w:t xml:space="preserve">        </w:t>
      </w:r>
      <w:r w:rsidRPr="00FD07AA">
        <w:rPr>
          <w:rFonts w:ascii="Arial" w:eastAsia="Calibri" w:hAnsi="Arial" w:cs="Arial"/>
          <w:bCs/>
          <w:iCs/>
          <w:sz w:val="20"/>
          <w:szCs w:val="20"/>
        </w:rPr>
        <w:t>Deprescribing of Selective Serotonin Inhibitors (SSRIs)</w:t>
      </w:r>
      <w:r>
        <w:rPr>
          <w:rFonts w:ascii="Arial" w:eastAsia="Calibri" w:hAnsi="Arial" w:cs="Arial"/>
          <w:bCs/>
          <w:iCs/>
          <w:sz w:val="20"/>
          <w:szCs w:val="20"/>
        </w:rPr>
        <w:tab/>
      </w:r>
      <w:r>
        <w:rPr>
          <w:rFonts w:ascii="Arial" w:eastAsia="Calibri" w:hAnsi="Arial" w:cs="Arial"/>
          <w:bCs/>
          <w:iCs/>
          <w:sz w:val="20"/>
          <w:szCs w:val="20"/>
        </w:rPr>
        <w:tab/>
      </w:r>
      <w:r>
        <w:rPr>
          <w:rFonts w:ascii="Arial" w:eastAsia="Calibri" w:hAnsi="Arial" w:cs="Arial"/>
          <w:bCs/>
          <w:iCs/>
          <w:sz w:val="20"/>
          <w:szCs w:val="20"/>
        </w:rPr>
        <w:tab/>
      </w:r>
      <w:r>
        <w:rPr>
          <w:rFonts w:ascii="Arial" w:eastAsia="Calibri" w:hAnsi="Arial" w:cs="Arial"/>
          <w:bCs/>
          <w:iCs/>
          <w:sz w:val="20"/>
          <w:szCs w:val="20"/>
        </w:rPr>
        <w:tab/>
      </w:r>
      <w:r>
        <w:rPr>
          <w:rFonts w:ascii="Arial" w:eastAsia="Calibri" w:hAnsi="Arial" w:cs="Arial"/>
          <w:bCs/>
          <w:iCs/>
          <w:sz w:val="20"/>
          <w:szCs w:val="20"/>
        </w:rPr>
        <w:tab/>
        <w:t>1</w:t>
      </w:r>
      <w:r w:rsidR="003738DB">
        <w:rPr>
          <w:rFonts w:ascii="Arial" w:eastAsia="Calibri" w:hAnsi="Arial" w:cs="Arial"/>
          <w:bCs/>
          <w:iCs/>
          <w:sz w:val="20"/>
          <w:szCs w:val="20"/>
        </w:rPr>
        <w:t>0</w:t>
      </w:r>
      <w:r w:rsidRPr="009C466F">
        <w:rPr>
          <w:rFonts w:ascii="Arial" w:eastAsia="Calibri" w:hAnsi="Arial" w:cs="Arial"/>
          <w:b/>
          <w:i/>
          <w:sz w:val="20"/>
          <w:szCs w:val="20"/>
        </w:rPr>
        <w:br/>
      </w:r>
      <w:r>
        <w:rPr>
          <w:rFonts w:ascii="Arial" w:eastAsia="Calibri" w:hAnsi="Arial" w:cs="Arial"/>
          <w:b/>
          <w:i/>
          <w:sz w:val="20"/>
          <w:szCs w:val="20"/>
        </w:rPr>
        <w:br/>
      </w:r>
      <w:r>
        <w:rPr>
          <w:rFonts w:ascii="Arial" w:eastAsia="Calibri" w:hAnsi="Arial" w:cs="Arial"/>
          <w:b/>
          <w:iCs/>
          <w:sz w:val="20"/>
          <w:szCs w:val="20"/>
        </w:rPr>
        <w:t xml:space="preserve">3 </w:t>
      </w:r>
      <w:r>
        <w:rPr>
          <w:rFonts w:ascii="Arial" w:eastAsia="Calibri" w:hAnsi="Arial" w:cs="Arial"/>
          <w:b/>
          <w:iCs/>
          <w:sz w:val="20"/>
          <w:szCs w:val="20"/>
        </w:rPr>
        <w:tab/>
        <w:t>Summary</w:t>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r>
      <w:r>
        <w:rPr>
          <w:rFonts w:ascii="Arial" w:eastAsia="Calibri" w:hAnsi="Arial" w:cs="Arial"/>
          <w:b/>
          <w:iCs/>
          <w:sz w:val="20"/>
          <w:szCs w:val="20"/>
        </w:rPr>
        <w:tab/>
        <w:t>1</w:t>
      </w:r>
      <w:r w:rsidR="003738DB">
        <w:rPr>
          <w:rFonts w:ascii="Arial" w:eastAsia="Calibri" w:hAnsi="Arial" w:cs="Arial"/>
          <w:b/>
          <w:iCs/>
          <w:sz w:val="20"/>
          <w:szCs w:val="20"/>
        </w:rPr>
        <w:t>0</w:t>
      </w:r>
    </w:p>
    <w:p w14:paraId="1C1D7AFF" w14:textId="0292179D" w:rsidR="0022432B" w:rsidRPr="0022432B" w:rsidRDefault="0022432B" w:rsidP="0022432B">
      <w:pPr>
        <w:spacing w:after="200" w:line="276" w:lineRule="auto"/>
        <w:rPr>
          <w:rFonts w:ascii="Arial" w:eastAsia="Calibri" w:hAnsi="Arial" w:cs="Arial"/>
          <w:b/>
          <w:iCs/>
          <w:sz w:val="20"/>
          <w:szCs w:val="20"/>
        </w:rPr>
      </w:pPr>
      <w:r>
        <w:rPr>
          <w:rFonts w:ascii="Arial" w:eastAsia="Calibri" w:hAnsi="Arial" w:cs="Arial"/>
          <w:sz w:val="20"/>
          <w:szCs w:val="20"/>
        </w:rPr>
        <w:t>4</w:t>
      </w:r>
      <w:r w:rsidRPr="002742B1">
        <w:rPr>
          <w:rFonts w:ascii="Arial" w:eastAsia="Calibri" w:hAnsi="Arial" w:cs="Arial"/>
          <w:b/>
          <w:sz w:val="20"/>
          <w:szCs w:val="20"/>
        </w:rPr>
        <w:t xml:space="preserve">  </w:t>
      </w:r>
      <w:r w:rsidR="00A3564C">
        <w:rPr>
          <w:rFonts w:ascii="Arial" w:eastAsia="Calibri" w:hAnsi="Arial" w:cs="Arial"/>
          <w:b/>
          <w:sz w:val="20"/>
          <w:szCs w:val="20"/>
        </w:rPr>
        <w:t xml:space="preserve">        </w:t>
      </w:r>
      <w:r>
        <w:rPr>
          <w:rFonts w:ascii="Arial" w:eastAsia="Calibri" w:hAnsi="Arial" w:cs="Arial"/>
          <w:b/>
          <w:sz w:val="20"/>
          <w:szCs w:val="20"/>
        </w:rPr>
        <w:t xml:space="preserve"> </w:t>
      </w:r>
      <w:r w:rsidRPr="002742B1">
        <w:rPr>
          <w:rFonts w:ascii="Arial" w:eastAsia="Calibri" w:hAnsi="Arial" w:cs="Arial"/>
          <w:b/>
          <w:sz w:val="20"/>
          <w:szCs w:val="20"/>
        </w:rPr>
        <w:t>Appendices</w:t>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r>
      <w:r>
        <w:rPr>
          <w:rFonts w:ascii="Arial" w:eastAsia="Calibri" w:hAnsi="Arial" w:cs="Arial"/>
          <w:b/>
          <w:sz w:val="20"/>
          <w:szCs w:val="20"/>
        </w:rPr>
        <w:tab/>
        <w:t>11</w:t>
      </w:r>
      <w:r>
        <w:rPr>
          <w:rFonts w:ascii="Arial" w:eastAsia="Calibri" w:hAnsi="Arial" w:cs="Arial"/>
          <w:b/>
          <w:sz w:val="20"/>
          <w:szCs w:val="20"/>
        </w:rPr>
        <w:br/>
      </w:r>
    </w:p>
    <w:p w14:paraId="0F61A32B" w14:textId="1EE67530" w:rsidR="009E597E" w:rsidRDefault="0022432B" w:rsidP="0022432B">
      <w:pPr>
        <w:pStyle w:val="Body"/>
        <w:rPr>
          <w:rFonts w:ascii="Arial" w:hAnsi="Arial" w:cs="Arial"/>
          <w:sz w:val="20"/>
          <w:szCs w:val="20"/>
          <w:lang w:eastAsia="en-US"/>
        </w:rPr>
      </w:pPr>
      <w:r>
        <w:rPr>
          <w:rFonts w:ascii="Arial" w:hAnsi="Arial" w:cs="Arial"/>
          <w:sz w:val="20"/>
          <w:szCs w:val="20"/>
          <w:lang w:eastAsia="en-US"/>
        </w:rPr>
        <w:tab/>
      </w:r>
      <w:r w:rsidRPr="00AC1689">
        <w:rPr>
          <w:rFonts w:ascii="Arial" w:hAnsi="Arial" w:cs="Arial"/>
          <w:sz w:val="20"/>
          <w:szCs w:val="20"/>
          <w:lang w:eastAsia="en-US"/>
        </w:rPr>
        <w:t>Appendix 1</w:t>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t>1</w:t>
      </w:r>
      <w:r w:rsidR="009E597E">
        <w:rPr>
          <w:rFonts w:ascii="Arial" w:hAnsi="Arial" w:cs="Arial"/>
          <w:sz w:val="20"/>
          <w:szCs w:val="20"/>
          <w:lang w:eastAsia="en-US"/>
        </w:rPr>
        <w:t>2</w:t>
      </w:r>
    </w:p>
    <w:p w14:paraId="22379260" w14:textId="1549DFBA" w:rsidR="005E1317" w:rsidRPr="00AC1761" w:rsidRDefault="0022432B" w:rsidP="00AC1761">
      <w:pPr>
        <w:pStyle w:val="Body"/>
        <w:rPr>
          <w:rFonts w:ascii="Arial" w:hAnsi="Arial" w:cs="Arial"/>
          <w:sz w:val="20"/>
          <w:szCs w:val="20"/>
          <w:lang w:eastAsia="en-US"/>
        </w:rPr>
      </w:pPr>
      <w:r>
        <w:rPr>
          <w:rFonts w:ascii="Arial" w:hAnsi="Arial" w:cs="Arial"/>
          <w:sz w:val="20"/>
          <w:szCs w:val="20"/>
          <w:lang w:eastAsia="en-US"/>
        </w:rPr>
        <w:tab/>
        <w:t>Appendix 2</w:t>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r>
      <w:r>
        <w:rPr>
          <w:rFonts w:ascii="Arial" w:hAnsi="Arial" w:cs="Arial"/>
          <w:sz w:val="20"/>
          <w:szCs w:val="20"/>
          <w:lang w:eastAsia="en-US"/>
        </w:rPr>
        <w:tab/>
        <w:t>1</w:t>
      </w:r>
      <w:r w:rsidR="009E597E">
        <w:rPr>
          <w:rFonts w:ascii="Arial" w:hAnsi="Arial" w:cs="Arial"/>
          <w:sz w:val="20"/>
          <w:szCs w:val="20"/>
          <w:lang w:eastAsia="en-US"/>
        </w:rPr>
        <w:t>3</w:t>
      </w:r>
      <w:r w:rsidR="005E1317">
        <w:rPr>
          <w:rFonts w:ascii="Arial" w:hAnsi="Arial" w:cs="Arial"/>
          <w:sz w:val="20"/>
          <w:szCs w:val="20"/>
          <w:lang w:eastAsia="en-US"/>
        </w:rPr>
        <w:tab/>
      </w:r>
      <w:r w:rsidR="005E1317" w:rsidRPr="00AC1689">
        <w:rPr>
          <w:rFonts w:ascii="Arial" w:hAnsi="Arial" w:cs="Arial"/>
          <w:sz w:val="20"/>
          <w:szCs w:val="20"/>
          <w:lang w:eastAsia="en-US"/>
        </w:rPr>
        <w:t xml:space="preserve"> </w:t>
      </w:r>
    </w:p>
    <w:p w14:paraId="694CE753" w14:textId="2E969421" w:rsidR="00822F26" w:rsidRDefault="009E597E" w:rsidP="0022432B">
      <w:pPr>
        <w:spacing w:after="200" w:line="276" w:lineRule="auto"/>
        <w:rPr>
          <w:rFonts w:ascii="Arial" w:hAnsi="Arial" w:cs="Arial"/>
          <w:sz w:val="20"/>
          <w:szCs w:val="20"/>
        </w:rPr>
      </w:pPr>
      <w:r>
        <w:rPr>
          <w:rFonts w:ascii="Arial" w:eastAsia="Calibri" w:hAnsi="Arial" w:cs="Arial"/>
          <w:b/>
          <w:sz w:val="20"/>
          <w:szCs w:val="20"/>
        </w:rPr>
        <w:t>5</w:t>
      </w:r>
      <w:r w:rsidR="005E1317">
        <w:rPr>
          <w:rFonts w:ascii="Arial" w:eastAsia="Calibri" w:hAnsi="Arial" w:cs="Arial"/>
          <w:b/>
          <w:sz w:val="20"/>
          <w:szCs w:val="20"/>
        </w:rPr>
        <w:tab/>
      </w:r>
      <w:r w:rsidR="005E1317" w:rsidRPr="002742B1">
        <w:rPr>
          <w:rFonts w:ascii="Arial" w:eastAsia="Calibri" w:hAnsi="Arial" w:cs="Arial"/>
          <w:b/>
          <w:sz w:val="20"/>
          <w:szCs w:val="20"/>
        </w:rPr>
        <w:t xml:space="preserve">References </w:t>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sidR="005E1317">
        <w:rPr>
          <w:rFonts w:ascii="Arial" w:eastAsia="Calibri" w:hAnsi="Arial" w:cs="Arial"/>
          <w:b/>
          <w:sz w:val="20"/>
          <w:szCs w:val="20"/>
        </w:rPr>
        <w:tab/>
      </w:r>
      <w:r>
        <w:rPr>
          <w:rFonts w:ascii="Arial" w:eastAsia="Calibri" w:hAnsi="Arial" w:cs="Arial"/>
          <w:b/>
          <w:sz w:val="20"/>
          <w:szCs w:val="20"/>
        </w:rPr>
        <w:t>16</w:t>
      </w:r>
      <w:r w:rsidR="005E1317" w:rsidRPr="00AC1689">
        <w:rPr>
          <w:rFonts w:ascii="Arial" w:eastAsia="Calibri" w:hAnsi="Arial" w:cs="Arial"/>
          <w:sz w:val="20"/>
          <w:szCs w:val="20"/>
        </w:rPr>
        <w:br/>
        <w:t xml:space="preserve">      </w:t>
      </w:r>
      <w:r w:rsidR="005E1317">
        <w:rPr>
          <w:rFonts w:ascii="Arial" w:eastAsia="Calibri" w:hAnsi="Arial" w:cs="Arial"/>
          <w:sz w:val="20"/>
          <w:szCs w:val="20"/>
        </w:rPr>
        <w:tab/>
      </w:r>
      <w:r w:rsidR="005E1317" w:rsidRPr="00AC1689">
        <w:rPr>
          <w:rFonts w:ascii="Arial" w:eastAsia="Calibri" w:hAnsi="Arial" w:cs="Arial"/>
          <w:sz w:val="20"/>
          <w:szCs w:val="20"/>
        </w:rPr>
        <w:br/>
        <w:t xml:space="preserve">     </w:t>
      </w:r>
      <w:r w:rsidR="005E1317" w:rsidRPr="002742B1">
        <w:rPr>
          <w:rFonts w:ascii="Arial" w:eastAsia="Calibri" w:hAnsi="Arial" w:cs="Arial"/>
          <w:sz w:val="20"/>
          <w:szCs w:val="20"/>
        </w:rPr>
        <w:br/>
      </w:r>
      <w:r w:rsidR="008F1829">
        <w:rPr>
          <w:rFonts w:ascii="Arial" w:eastAsia="Calibri" w:hAnsi="Arial" w:cs="Arial"/>
          <w:b/>
          <w:sz w:val="20"/>
          <w:szCs w:val="20"/>
        </w:rPr>
        <w:br/>
      </w:r>
    </w:p>
    <w:p w14:paraId="06C06D4B" w14:textId="1F2D8321" w:rsidR="00C84CB0" w:rsidRDefault="00C84CB0" w:rsidP="006D292D">
      <w:pPr>
        <w:pStyle w:val="Body"/>
        <w:rPr>
          <w:rFonts w:ascii="Arial" w:hAnsi="Arial" w:cs="Arial"/>
          <w:sz w:val="20"/>
          <w:szCs w:val="20"/>
          <w:lang w:eastAsia="en-US"/>
        </w:rPr>
      </w:pPr>
    </w:p>
    <w:p w14:paraId="300C5B43" w14:textId="4FE7AC09" w:rsidR="00C84CB0" w:rsidRDefault="00C84CB0" w:rsidP="006D292D">
      <w:pPr>
        <w:pStyle w:val="Body"/>
        <w:rPr>
          <w:rFonts w:ascii="Arial" w:hAnsi="Arial" w:cs="Arial"/>
          <w:sz w:val="20"/>
          <w:szCs w:val="20"/>
          <w:lang w:eastAsia="en-US"/>
        </w:rPr>
      </w:pPr>
    </w:p>
    <w:p w14:paraId="05BFA419" w14:textId="77777777" w:rsidR="00093898" w:rsidRDefault="00093898" w:rsidP="006D292D">
      <w:pPr>
        <w:pStyle w:val="Body"/>
        <w:rPr>
          <w:rFonts w:ascii="Arial" w:hAnsi="Arial" w:cs="Arial"/>
          <w:sz w:val="20"/>
          <w:szCs w:val="20"/>
          <w:lang w:eastAsia="en-US"/>
        </w:rPr>
      </w:pPr>
    </w:p>
    <w:p w14:paraId="4C377238" w14:textId="77777777" w:rsidR="004D77A4" w:rsidRDefault="004D77A4" w:rsidP="00C84CB0">
      <w:pPr>
        <w:spacing w:after="120" w:line="276" w:lineRule="auto"/>
        <w:rPr>
          <w:rFonts w:ascii="Arial" w:eastAsia="Calibri" w:hAnsi="Arial" w:cs="Arial"/>
          <w:b/>
          <w:lang w:val="ga-IE"/>
        </w:rPr>
      </w:pPr>
    </w:p>
    <w:p w14:paraId="187DFC24" w14:textId="631C3559" w:rsidR="00C84CB0" w:rsidRDefault="00C84CB0" w:rsidP="00C84CB0">
      <w:pPr>
        <w:spacing w:after="120" w:line="276" w:lineRule="auto"/>
        <w:rPr>
          <w:rFonts w:ascii="Arial" w:eastAsia="Calibri" w:hAnsi="Arial" w:cs="Arial"/>
          <w:b/>
          <w:lang w:val="ga-IE"/>
        </w:rPr>
      </w:pPr>
      <w:r>
        <w:rPr>
          <w:rFonts w:ascii="Arial" w:eastAsia="Calibri" w:hAnsi="Arial" w:cs="Arial"/>
          <w:b/>
          <w:lang w:val="ga-IE"/>
        </w:rPr>
        <w:t>1. INTRODUCTION:</w:t>
      </w:r>
    </w:p>
    <w:p w14:paraId="343EAB73" w14:textId="64FF7388" w:rsidR="00C84CB0" w:rsidRDefault="00C84CB0" w:rsidP="00C84CB0">
      <w:pPr>
        <w:spacing w:after="120" w:line="276" w:lineRule="auto"/>
        <w:rPr>
          <w:rFonts w:ascii="Arial" w:eastAsia="Calibri" w:hAnsi="Arial" w:cs="Arial"/>
          <w:b/>
          <w:lang w:val="ga-IE"/>
        </w:rPr>
      </w:pPr>
      <w:r>
        <w:rPr>
          <w:rFonts w:ascii="Arial" w:eastAsia="Calibri" w:hAnsi="Arial" w:cs="Arial"/>
          <w:b/>
          <w:lang w:val="ga-IE"/>
        </w:rPr>
        <w:t>1.1 Back</w:t>
      </w:r>
      <w:r w:rsidR="0024236B">
        <w:rPr>
          <w:rFonts w:ascii="Arial" w:eastAsia="Calibri" w:hAnsi="Arial" w:cs="Arial"/>
          <w:b/>
          <w:lang w:val="ga-IE"/>
        </w:rPr>
        <w:t>g</w:t>
      </w:r>
      <w:r>
        <w:rPr>
          <w:rFonts w:ascii="Arial" w:eastAsia="Calibri" w:hAnsi="Arial" w:cs="Arial"/>
          <w:b/>
          <w:lang w:val="ga-IE"/>
        </w:rPr>
        <w:t>round:</w:t>
      </w:r>
    </w:p>
    <w:p w14:paraId="11558AE9" w14:textId="7A295E9A" w:rsidR="0024236B" w:rsidRDefault="0024236B" w:rsidP="0024236B">
      <w:pPr>
        <w:spacing w:after="120" w:line="276" w:lineRule="auto"/>
        <w:rPr>
          <w:rFonts w:ascii="Arial" w:eastAsia="Calibri" w:hAnsi="Arial" w:cs="Arial"/>
          <w:bCs/>
        </w:rPr>
      </w:pPr>
      <w:r>
        <w:rPr>
          <w:rFonts w:ascii="Arial" w:eastAsia="Calibri" w:hAnsi="Arial" w:cs="Arial"/>
          <w:bCs/>
        </w:rPr>
        <w:t>This Quick Reference Guide on Deprescribing is a collaboration between the HSE Post CST GP Fellowship in Medicines Optimisation (Dr Orla Cotter GP Fellow, Prof Emma Wallace, Academic supervisor) and the National Medicines Information Centre (NMIC), St James’s Hospital, Dublin. Excerpts from this guide have already been published as part of a NMIC bulletin (Overview of Deprescribing, Vol 28, No 3, 2022)</w:t>
      </w:r>
      <w:r w:rsidR="00DF0C7D">
        <w:rPr>
          <w:rFonts w:ascii="Arial" w:eastAsia="Calibri" w:hAnsi="Arial" w:cs="Arial"/>
          <w:bCs/>
        </w:rPr>
        <w:t>.</w:t>
      </w:r>
    </w:p>
    <w:p w14:paraId="52A78331" w14:textId="41205B26" w:rsidR="0024236B" w:rsidRPr="0024236B" w:rsidRDefault="0024236B" w:rsidP="0024236B">
      <w:pPr>
        <w:spacing w:after="120" w:line="276" w:lineRule="auto"/>
        <w:rPr>
          <w:rFonts w:ascii="Arial" w:eastAsia="Calibri" w:hAnsi="Arial" w:cs="Arial"/>
          <w:bCs/>
          <w:lang w:val="en-GB"/>
        </w:rPr>
      </w:pPr>
      <w:r w:rsidRPr="0024236B">
        <w:rPr>
          <w:rFonts w:ascii="Arial" w:eastAsia="Calibri" w:hAnsi="Arial" w:cs="Arial"/>
          <w:bCs/>
        </w:rPr>
        <w:t>Deprescribing can be defined as “the process of withdrawal of an inappropriate medicine, supervised by a healthcare professional with the goal of managing polypharmacy and improving outcomes”.</w:t>
      </w:r>
      <w:r w:rsidRPr="0024236B">
        <w:rPr>
          <w:rFonts w:ascii="Arial" w:eastAsia="Calibri" w:hAnsi="Arial" w:cs="Arial"/>
          <w:bCs/>
          <w:vertAlign w:val="superscript"/>
        </w:rPr>
        <w:t>1</w:t>
      </w:r>
      <w:r w:rsidRPr="0024236B">
        <w:rPr>
          <w:rFonts w:ascii="Arial" w:eastAsia="Calibri" w:hAnsi="Arial" w:cs="Arial"/>
          <w:bCs/>
          <w:lang w:val="en-GB"/>
        </w:rPr>
        <w:t xml:space="preserve"> Alternative terms used in the literature for deprescribing include </w:t>
      </w:r>
      <w:r w:rsidRPr="0024236B">
        <w:rPr>
          <w:rFonts w:ascii="Arial" w:eastAsia="Calibri" w:hAnsi="Arial" w:cs="Arial"/>
        </w:rPr>
        <w:t>rationalisation, de-escalation and withdrawal of medicines.</w:t>
      </w:r>
      <w:r w:rsidRPr="0024236B">
        <w:rPr>
          <w:rFonts w:ascii="Arial" w:eastAsia="Calibri" w:hAnsi="Arial" w:cs="Arial"/>
          <w:vertAlign w:val="superscript"/>
        </w:rPr>
        <w:t>1</w:t>
      </w:r>
    </w:p>
    <w:p w14:paraId="7F60DEAA" w14:textId="77777777" w:rsidR="0024236B" w:rsidRPr="0024236B" w:rsidRDefault="0024236B" w:rsidP="0024236B">
      <w:pPr>
        <w:spacing w:after="120" w:line="276" w:lineRule="auto"/>
        <w:rPr>
          <w:rFonts w:ascii="Arial" w:eastAsia="Calibri" w:hAnsi="Arial" w:cs="Arial"/>
          <w:bCs/>
        </w:rPr>
      </w:pPr>
      <w:r w:rsidRPr="0024236B">
        <w:rPr>
          <w:rFonts w:ascii="Arial" w:eastAsia="Calibri" w:hAnsi="Arial" w:cs="Arial"/>
          <w:bCs/>
          <w:lang w:val="en-GB"/>
        </w:rPr>
        <w:t>There are various reasons for stopping or reducing the dose of a medicine such as in patients who are: 1) approaching the end of life, 2) prescribed a medicine where an alternative therapy is more appropriate, 3) prescribed a medicine for an appropriate indication, which becomes inappropriate over time, 4) prescribed a medicine for the short-term which is continued long-term and 5) prescribed a medicine that is ineffective.</w:t>
      </w:r>
      <w:r w:rsidRPr="0024236B">
        <w:rPr>
          <w:rFonts w:ascii="Arial" w:eastAsia="Calibri" w:hAnsi="Arial" w:cs="Arial"/>
          <w:bCs/>
          <w:vertAlign w:val="superscript"/>
          <w:lang w:val="en-GB"/>
        </w:rPr>
        <w:t xml:space="preserve">2 </w:t>
      </w:r>
      <w:r w:rsidRPr="0024236B">
        <w:rPr>
          <w:rFonts w:ascii="Arial" w:eastAsia="Calibri" w:hAnsi="Arial" w:cs="Arial"/>
          <w:bCs/>
        </w:rPr>
        <w:t>The discontinuation of, or a reduction in the dose of a medicine requires careful clinical consideration, and can be just as challenging as the initiation of a medicine.</w:t>
      </w:r>
      <w:r w:rsidRPr="0024236B">
        <w:rPr>
          <w:rFonts w:ascii="Arial" w:eastAsia="Calibri" w:hAnsi="Arial" w:cs="Arial"/>
          <w:bCs/>
          <w:vertAlign w:val="superscript"/>
        </w:rPr>
        <w:t>2,3</w:t>
      </w:r>
      <w:r w:rsidRPr="0024236B">
        <w:rPr>
          <w:rFonts w:ascii="Arial" w:eastAsia="Calibri" w:hAnsi="Arial" w:cs="Arial"/>
          <w:bCs/>
        </w:rPr>
        <w:t xml:space="preserve"> Therefore, it is especially important to consider the benefits/risks of initiating medicines that may be difficult to discontinue (e.g. benzodiazepines).</w:t>
      </w:r>
      <w:r w:rsidRPr="0024236B">
        <w:rPr>
          <w:rFonts w:ascii="Arial" w:eastAsia="Calibri" w:hAnsi="Arial" w:cs="Arial"/>
          <w:bCs/>
          <w:vertAlign w:val="superscript"/>
        </w:rPr>
        <w:t>4</w:t>
      </w:r>
      <w:r w:rsidRPr="0024236B">
        <w:rPr>
          <w:rFonts w:ascii="Arial" w:eastAsia="Calibri" w:hAnsi="Arial" w:cs="Arial"/>
          <w:bCs/>
        </w:rPr>
        <w:t xml:space="preserve"> It can be particularly challenging discontinuing a medicine in circumstances where the GP becomes responsible for the long-term prescribing of a medicine which was initiated in secondary care, and where there is a lack of clarity on the indication and the intended duration of treatment.</w:t>
      </w:r>
      <w:r w:rsidRPr="0024236B">
        <w:rPr>
          <w:rFonts w:ascii="Arial" w:eastAsia="Calibri" w:hAnsi="Arial" w:cs="Arial"/>
          <w:bCs/>
          <w:vertAlign w:val="superscript"/>
        </w:rPr>
        <w:t xml:space="preserve">2 </w:t>
      </w:r>
    </w:p>
    <w:p w14:paraId="370003F8" w14:textId="3C17BDF6" w:rsidR="0024236B" w:rsidRPr="00E63900" w:rsidRDefault="0024236B" w:rsidP="00C84CB0">
      <w:pPr>
        <w:spacing w:after="120" w:line="276" w:lineRule="auto"/>
        <w:rPr>
          <w:rFonts w:ascii="Arial" w:eastAsia="Calibri" w:hAnsi="Arial" w:cs="Arial"/>
          <w:bCs/>
        </w:rPr>
      </w:pPr>
      <w:r w:rsidRPr="0024236B">
        <w:rPr>
          <w:rFonts w:ascii="Arial" w:eastAsia="Calibri" w:hAnsi="Arial" w:cs="Arial"/>
          <w:bCs/>
        </w:rPr>
        <w:t>The benefits and risks of deprescribing should be evaluated for the individual patient following a medication review.</w:t>
      </w:r>
      <w:r w:rsidRPr="0024236B">
        <w:rPr>
          <w:rFonts w:ascii="Arial" w:eastAsia="Calibri" w:hAnsi="Arial" w:cs="Arial"/>
          <w:bCs/>
          <w:vertAlign w:val="superscript"/>
        </w:rPr>
        <w:t>3,5,6</w:t>
      </w:r>
      <w:r w:rsidRPr="0024236B">
        <w:rPr>
          <w:rFonts w:ascii="Arial" w:eastAsia="Calibri" w:hAnsi="Arial" w:cs="Arial"/>
          <w:bCs/>
        </w:rPr>
        <w:t xml:space="preserve"> </w:t>
      </w:r>
    </w:p>
    <w:p w14:paraId="446C3507" w14:textId="67BD11C7" w:rsidR="00C84CB0" w:rsidRDefault="00C84CB0" w:rsidP="0024236B">
      <w:pPr>
        <w:autoSpaceDE w:val="0"/>
        <w:autoSpaceDN w:val="0"/>
        <w:adjustRightInd w:val="0"/>
        <w:rPr>
          <w:rFonts w:ascii="Arial" w:eastAsia="Calibri" w:hAnsi="Arial" w:cs="Arial"/>
          <w:b/>
          <w:sz w:val="20"/>
          <w:szCs w:val="20"/>
          <w:lang w:val="ga-IE"/>
        </w:rPr>
      </w:pPr>
      <w:r>
        <w:rPr>
          <w:rFonts w:ascii="Arial" w:hAnsi="Arial" w:cs="Arial"/>
          <w:bCs/>
        </w:rPr>
        <w:tab/>
      </w:r>
      <w:r>
        <w:rPr>
          <w:rFonts w:ascii="Arial" w:hAnsi="Arial" w:cs="Arial"/>
          <w:bCs/>
        </w:rPr>
        <w:tab/>
      </w:r>
    </w:p>
    <w:p w14:paraId="063B2E94" w14:textId="77777777" w:rsidR="00C84CB0" w:rsidRDefault="00C84CB0" w:rsidP="00C84CB0">
      <w:pPr>
        <w:spacing w:after="120" w:line="276" w:lineRule="auto"/>
        <w:rPr>
          <w:rFonts w:ascii="Arial" w:eastAsia="Calibri" w:hAnsi="Arial" w:cs="Arial"/>
          <w:b/>
          <w:sz w:val="20"/>
          <w:szCs w:val="20"/>
          <w:lang w:val="ga-IE"/>
        </w:rPr>
      </w:pPr>
      <w:r>
        <w:rPr>
          <w:rFonts w:ascii="Arial" w:eastAsia="Calibri" w:hAnsi="Arial" w:cs="Arial"/>
          <w:b/>
          <w:sz w:val="20"/>
          <w:szCs w:val="20"/>
          <w:lang w:val="ga-IE"/>
        </w:rPr>
        <w:t>1.2 Aims of the document</w:t>
      </w:r>
    </w:p>
    <w:p w14:paraId="6595BA44" w14:textId="606C0F3A" w:rsidR="00E63900" w:rsidRPr="00E63900" w:rsidRDefault="00C84CB0" w:rsidP="00E63900">
      <w:pPr>
        <w:spacing w:after="120" w:line="276" w:lineRule="auto"/>
        <w:rPr>
          <w:rFonts w:ascii="Arial" w:eastAsia="Calibri" w:hAnsi="Arial" w:cs="Arial"/>
          <w:bCs/>
        </w:rPr>
      </w:pPr>
      <w:r w:rsidRPr="00A30024">
        <w:rPr>
          <w:rFonts w:ascii="Arial" w:eastAsia="Calibri" w:hAnsi="Arial" w:cs="Arial"/>
          <w:bCs/>
          <w:lang w:val="ga-IE"/>
        </w:rPr>
        <w:t>This</w:t>
      </w:r>
      <w:r>
        <w:rPr>
          <w:rFonts w:ascii="Arial" w:eastAsia="Calibri" w:hAnsi="Arial" w:cs="Arial"/>
          <w:bCs/>
          <w:lang w:val="ga-IE"/>
        </w:rPr>
        <w:t xml:space="preserve"> Quick Reference Guide (QRG) will</w:t>
      </w:r>
      <w:r w:rsidR="00E63900" w:rsidRPr="0024236B">
        <w:rPr>
          <w:rFonts w:ascii="Arial" w:eastAsia="Calibri" w:hAnsi="Arial" w:cs="Arial"/>
          <w:bCs/>
        </w:rPr>
        <w:t xml:space="preserve"> give an overview of the process of deprescribing</w:t>
      </w:r>
      <w:r w:rsidR="00E63900">
        <w:rPr>
          <w:rFonts w:ascii="Arial" w:eastAsia="Calibri" w:hAnsi="Arial" w:cs="Arial"/>
          <w:bCs/>
        </w:rPr>
        <w:t>, the benefits and challenges</w:t>
      </w:r>
      <w:r w:rsidR="00E63900" w:rsidRPr="0024236B">
        <w:rPr>
          <w:rFonts w:ascii="Arial" w:eastAsia="Calibri" w:hAnsi="Arial" w:cs="Arial"/>
          <w:bCs/>
        </w:rPr>
        <w:t xml:space="preserve"> and provide some examples of how deprescribing </w:t>
      </w:r>
      <w:r w:rsidR="00E63900">
        <w:rPr>
          <w:rFonts w:ascii="Arial" w:eastAsia="Calibri" w:hAnsi="Arial" w:cs="Arial"/>
          <w:bCs/>
        </w:rPr>
        <w:t>could</w:t>
      </w:r>
      <w:r w:rsidR="00E63900" w:rsidRPr="0024236B">
        <w:rPr>
          <w:rFonts w:ascii="Arial" w:eastAsia="Calibri" w:hAnsi="Arial" w:cs="Arial"/>
          <w:bCs/>
        </w:rPr>
        <w:t xml:space="preserve"> be enacted</w:t>
      </w:r>
      <w:r w:rsidR="00FA17C4">
        <w:rPr>
          <w:rFonts w:ascii="Arial" w:eastAsia="Calibri" w:hAnsi="Arial" w:cs="Arial"/>
          <w:bCs/>
        </w:rPr>
        <w:t xml:space="preserve"> focussing on specific drugs</w:t>
      </w:r>
      <w:r w:rsidR="00E63900" w:rsidRPr="0024236B">
        <w:rPr>
          <w:rFonts w:ascii="Arial" w:eastAsia="Calibri" w:hAnsi="Arial" w:cs="Arial"/>
          <w:bCs/>
        </w:rPr>
        <w:t xml:space="preserve">. </w:t>
      </w:r>
    </w:p>
    <w:p w14:paraId="0CDF8854" w14:textId="77777777" w:rsidR="00C84CB0" w:rsidRDefault="00C84CB0" w:rsidP="00C84CB0">
      <w:pPr>
        <w:spacing w:after="120" w:line="276" w:lineRule="auto"/>
        <w:rPr>
          <w:rFonts w:ascii="Arial" w:eastAsia="Calibri" w:hAnsi="Arial" w:cs="Arial"/>
          <w:b/>
          <w:sz w:val="20"/>
          <w:szCs w:val="20"/>
          <w:lang w:val="ga-IE"/>
        </w:rPr>
      </w:pPr>
    </w:p>
    <w:p w14:paraId="767DA3FA" w14:textId="28AA7DB0" w:rsidR="00C84CB0" w:rsidRDefault="00C84CB0" w:rsidP="00C84CB0">
      <w:pPr>
        <w:spacing w:after="120" w:line="276" w:lineRule="auto"/>
        <w:rPr>
          <w:rFonts w:ascii="Arial" w:eastAsia="Calibri" w:hAnsi="Arial" w:cs="Arial"/>
          <w:b/>
          <w:sz w:val="20"/>
          <w:szCs w:val="20"/>
          <w:lang w:val="ga-IE"/>
        </w:rPr>
      </w:pPr>
      <w:r>
        <w:rPr>
          <w:rFonts w:ascii="Arial" w:eastAsia="Calibri" w:hAnsi="Arial" w:cs="Arial"/>
          <w:b/>
          <w:sz w:val="20"/>
          <w:szCs w:val="20"/>
          <w:lang w:val="ga-IE"/>
        </w:rPr>
        <w:t xml:space="preserve">1.3 </w:t>
      </w:r>
      <w:r w:rsidR="008E6BE6">
        <w:rPr>
          <w:rFonts w:ascii="Arial" w:eastAsia="Calibri" w:hAnsi="Arial" w:cs="Arial"/>
          <w:b/>
          <w:sz w:val="20"/>
          <w:szCs w:val="20"/>
          <w:lang w:val="ga-IE"/>
        </w:rPr>
        <w:t>Summary</w:t>
      </w:r>
    </w:p>
    <w:p w14:paraId="636D712C" w14:textId="77777777" w:rsidR="0018068C" w:rsidRPr="00E63900" w:rsidRDefault="0018068C" w:rsidP="00F1149C">
      <w:pPr>
        <w:pStyle w:val="ListParagraph"/>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240" w:lineRule="auto"/>
        <w:contextualSpacing/>
        <w:rPr>
          <w:rFonts w:ascii="Arial" w:eastAsia="MS Mincho" w:hAnsi="Arial" w:cs="Arial"/>
          <w:bCs/>
          <w:sz w:val="24"/>
          <w:lang w:val="en-GB" w:eastAsia="ja-JP"/>
        </w:rPr>
      </w:pPr>
      <w:r w:rsidRPr="00E63900">
        <w:rPr>
          <w:rFonts w:ascii="Arial" w:hAnsi="Arial" w:cs="Arial"/>
          <w:bCs/>
          <w:sz w:val="24"/>
        </w:rPr>
        <w:t>Deprescribing is the process of withdrawing inappropriate medication(s), supervised by a healthcare professional with the goal of managing polypharmacy and improving outcomes</w:t>
      </w:r>
    </w:p>
    <w:p w14:paraId="789B93CD" w14:textId="77777777" w:rsidR="0018068C" w:rsidRPr="00E63900" w:rsidRDefault="0018068C" w:rsidP="00F1149C">
      <w:pPr>
        <w:pStyle w:val="CommentText"/>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sz w:val="24"/>
          <w:szCs w:val="22"/>
        </w:rPr>
      </w:pPr>
      <w:r w:rsidRPr="00E63900">
        <w:rPr>
          <w:rFonts w:ascii="Arial" w:hAnsi="Arial" w:cs="Arial"/>
          <w:sz w:val="24"/>
          <w:szCs w:val="22"/>
        </w:rPr>
        <w:t xml:space="preserve">There is some evidence that deprescribing is effective in reducing </w:t>
      </w:r>
      <w:r w:rsidRPr="00E63900">
        <w:rPr>
          <w:rFonts w:ascii="Arial" w:hAnsi="Arial" w:cs="Arial"/>
          <w:bCs/>
          <w:sz w:val="24"/>
          <w:szCs w:val="22"/>
        </w:rPr>
        <w:t>potential inappropriate prescribing and preventing adverse drug reactions (ADRs),</w:t>
      </w:r>
      <w:r w:rsidRPr="00E63900" w:rsidDel="00C138CC">
        <w:rPr>
          <w:rFonts w:ascii="Arial" w:eastAsia="MS Mincho" w:hAnsi="Arial" w:cs="Arial"/>
          <w:bCs/>
          <w:sz w:val="24"/>
          <w:szCs w:val="22"/>
          <w:lang w:val="en-GB" w:eastAsia="ja-JP"/>
        </w:rPr>
        <w:t xml:space="preserve"> </w:t>
      </w:r>
      <w:r w:rsidRPr="00E63900">
        <w:rPr>
          <w:rFonts w:ascii="Arial" w:eastAsia="MS Mincho" w:hAnsi="Arial" w:cs="Arial"/>
          <w:bCs/>
          <w:sz w:val="24"/>
          <w:szCs w:val="22"/>
          <w:lang w:val="en-GB" w:eastAsia="ja-JP"/>
        </w:rPr>
        <w:t xml:space="preserve">as </w:t>
      </w:r>
      <w:r w:rsidRPr="00E63900">
        <w:rPr>
          <w:rFonts w:ascii="Arial" w:eastAsia="MS Mincho" w:hAnsi="Arial" w:cs="Arial"/>
          <w:bCs/>
          <w:sz w:val="24"/>
          <w:szCs w:val="22"/>
          <w:lang w:val="en-GB" w:eastAsia="ja-JP"/>
        </w:rPr>
        <w:lastRenderedPageBreak/>
        <w:t>well as reducing morbidity and healthcare resource utilisation as a result of ADRs</w:t>
      </w:r>
    </w:p>
    <w:p w14:paraId="636282EB" w14:textId="6F232383" w:rsidR="008E6BE6" w:rsidRPr="008E6BE6" w:rsidRDefault="0018068C" w:rsidP="00F1149C">
      <w:pPr>
        <w:pStyle w:val="ListParagraph"/>
        <w:numPr>
          <w:ilvl w:val="0"/>
          <w:numId w:val="18"/>
        </w:numPr>
        <w:autoSpaceDE w:val="0"/>
        <w:autoSpaceDN w:val="0"/>
        <w:adjustRightInd w:val="0"/>
        <w:spacing w:after="0" w:line="240" w:lineRule="auto"/>
        <w:contextualSpacing/>
        <w:jc w:val="both"/>
        <w:rPr>
          <w:rFonts w:ascii="Arial" w:eastAsia="MS Mincho" w:hAnsi="Arial" w:cs="Arial"/>
          <w:bCs/>
          <w:sz w:val="24"/>
          <w:lang w:val="en-GB" w:eastAsia="ja-JP"/>
        </w:rPr>
      </w:pPr>
      <w:r w:rsidRPr="00E63900">
        <w:rPr>
          <w:rFonts w:ascii="Arial" w:hAnsi="Arial" w:cs="Arial"/>
          <w:bCs/>
          <w:sz w:val="24"/>
        </w:rPr>
        <w:t xml:space="preserve">Deprescribing should be especially considered in older patients in the event of ADRs and </w:t>
      </w:r>
      <w:r w:rsidR="00FA17C4">
        <w:rPr>
          <w:rFonts w:ascii="Arial" w:hAnsi="Arial" w:cs="Arial"/>
          <w:bCs/>
          <w:sz w:val="24"/>
        </w:rPr>
        <w:t>for patients with limited life expectancy who are prescribed</w:t>
      </w:r>
      <w:r w:rsidRPr="00E63900">
        <w:rPr>
          <w:rFonts w:ascii="Arial" w:hAnsi="Arial" w:cs="Arial"/>
          <w:bCs/>
          <w:sz w:val="24"/>
        </w:rPr>
        <w:t xml:space="preserve"> preventative medications </w:t>
      </w:r>
    </w:p>
    <w:p w14:paraId="22AEE05E" w14:textId="77777777" w:rsidR="004D77A4" w:rsidRDefault="004D77A4" w:rsidP="006C1A75">
      <w:pPr>
        <w:autoSpaceDE w:val="0"/>
        <w:autoSpaceDN w:val="0"/>
        <w:adjustRightInd w:val="0"/>
        <w:rPr>
          <w:rFonts w:ascii="Arial" w:eastAsia="Calibri" w:hAnsi="Arial" w:cs="Arial"/>
          <w:b/>
          <w:bCs/>
        </w:rPr>
      </w:pPr>
    </w:p>
    <w:p w14:paraId="65DC3FDA" w14:textId="77777777" w:rsidR="004D77A4" w:rsidRDefault="004D77A4" w:rsidP="00C84CB0">
      <w:pPr>
        <w:autoSpaceDE w:val="0"/>
        <w:autoSpaceDN w:val="0"/>
        <w:adjustRightInd w:val="0"/>
        <w:ind w:left="-284"/>
        <w:rPr>
          <w:rFonts w:ascii="Arial" w:eastAsia="Calibri" w:hAnsi="Arial" w:cs="Arial"/>
          <w:b/>
          <w:bCs/>
        </w:rPr>
      </w:pPr>
    </w:p>
    <w:p w14:paraId="7D201B99" w14:textId="31D2FCC6" w:rsidR="00C84CB0" w:rsidRPr="00D76253" w:rsidRDefault="00C84CB0" w:rsidP="00C84CB0">
      <w:pPr>
        <w:autoSpaceDE w:val="0"/>
        <w:autoSpaceDN w:val="0"/>
        <w:adjustRightInd w:val="0"/>
        <w:ind w:left="-284"/>
        <w:rPr>
          <w:rFonts w:ascii="Arial" w:eastAsia="Calibri" w:hAnsi="Arial" w:cs="Arial"/>
          <w:b/>
          <w:bCs/>
        </w:rPr>
      </w:pPr>
      <w:r w:rsidRPr="00D76253">
        <w:rPr>
          <w:rFonts w:ascii="Arial" w:eastAsia="Calibri" w:hAnsi="Arial" w:cs="Arial"/>
          <w:b/>
          <w:bCs/>
        </w:rPr>
        <w:t xml:space="preserve">2.0 </w:t>
      </w:r>
      <w:r w:rsidR="00B626CF">
        <w:rPr>
          <w:rFonts w:ascii="Arial" w:eastAsia="Calibri" w:hAnsi="Arial" w:cs="Arial"/>
          <w:b/>
          <w:bCs/>
        </w:rPr>
        <w:t>BENEFITS</w:t>
      </w:r>
      <w:r w:rsidRPr="00D76253">
        <w:rPr>
          <w:rFonts w:ascii="Arial" w:eastAsia="Calibri" w:hAnsi="Arial" w:cs="Arial"/>
          <w:b/>
          <w:bCs/>
        </w:rPr>
        <w:t xml:space="preserve"> </w:t>
      </w:r>
      <w:r w:rsidR="00B626CF">
        <w:rPr>
          <w:rFonts w:ascii="Arial" w:eastAsia="Calibri" w:hAnsi="Arial" w:cs="Arial"/>
          <w:b/>
          <w:bCs/>
        </w:rPr>
        <w:t xml:space="preserve">AND RISKS </w:t>
      </w:r>
      <w:r w:rsidRPr="00D76253">
        <w:rPr>
          <w:rFonts w:ascii="Arial" w:eastAsia="Calibri" w:hAnsi="Arial" w:cs="Arial"/>
          <w:b/>
          <w:bCs/>
        </w:rPr>
        <w:t>OF DEPRESCRIBING</w:t>
      </w:r>
    </w:p>
    <w:p w14:paraId="53CFC8FF" w14:textId="77777777" w:rsidR="00C84CB0" w:rsidRPr="00D76253" w:rsidRDefault="00C84CB0" w:rsidP="00C84CB0">
      <w:pPr>
        <w:autoSpaceDE w:val="0"/>
        <w:autoSpaceDN w:val="0"/>
        <w:adjustRightInd w:val="0"/>
        <w:ind w:left="-284"/>
        <w:rPr>
          <w:rFonts w:ascii="Arial" w:eastAsia="Calibri" w:hAnsi="Arial" w:cs="Arial"/>
          <w:b/>
          <w:bCs/>
        </w:rPr>
      </w:pPr>
    </w:p>
    <w:p w14:paraId="57F3F6B2" w14:textId="0D6E3744" w:rsidR="00B626CF" w:rsidRPr="00B626CF" w:rsidRDefault="00B626CF" w:rsidP="00B626CF">
      <w:pPr>
        <w:autoSpaceDE w:val="0"/>
        <w:autoSpaceDN w:val="0"/>
        <w:adjustRightInd w:val="0"/>
        <w:ind w:left="-284"/>
        <w:rPr>
          <w:rFonts w:ascii="Arial" w:eastAsia="Calibri" w:hAnsi="Arial" w:cs="Arial"/>
          <w:bCs/>
          <w:vertAlign w:val="superscript"/>
          <w:lang w:val="en-GB"/>
        </w:rPr>
      </w:pPr>
      <w:r w:rsidRPr="00B626CF">
        <w:rPr>
          <w:rFonts w:ascii="Arial" w:eastAsia="Calibri" w:hAnsi="Arial" w:cs="Arial"/>
          <w:bCs/>
        </w:rPr>
        <w:t>There is some evidence that deprescribing is effective in reducing polypharmacy and potentially inappropriate prescribing (PIP),</w:t>
      </w:r>
      <w:r w:rsidRPr="00B626CF">
        <w:rPr>
          <w:rFonts w:ascii="Arial" w:eastAsia="Calibri" w:hAnsi="Arial" w:cs="Arial"/>
          <w:bCs/>
          <w:vertAlign w:val="superscript"/>
        </w:rPr>
        <w:t>7-10</w:t>
      </w:r>
      <w:r w:rsidRPr="00B626CF">
        <w:rPr>
          <w:rFonts w:ascii="Arial" w:eastAsia="Calibri" w:hAnsi="Arial" w:cs="Arial"/>
          <w:bCs/>
        </w:rPr>
        <w:t xml:space="preserve"> which are risk factors for adverse drug reactions (ADRs).</w:t>
      </w:r>
      <w:r w:rsidRPr="00B626CF">
        <w:rPr>
          <w:rFonts w:ascii="Arial" w:eastAsia="Calibri" w:hAnsi="Arial" w:cs="Arial"/>
          <w:bCs/>
          <w:vertAlign w:val="superscript"/>
        </w:rPr>
        <w:t>7,9,11-13</w:t>
      </w:r>
      <w:r w:rsidRPr="00B626CF">
        <w:rPr>
          <w:rFonts w:ascii="Arial" w:eastAsia="Calibri" w:hAnsi="Arial" w:cs="Arial"/>
          <w:bCs/>
          <w:lang w:val="en-GB"/>
        </w:rPr>
        <w:t xml:space="preserve"> </w:t>
      </w:r>
      <w:r w:rsidRPr="00B626CF">
        <w:rPr>
          <w:rFonts w:ascii="Arial" w:eastAsia="Calibri" w:hAnsi="Arial" w:cs="Arial"/>
          <w:bCs/>
        </w:rPr>
        <w:t>In Ireland</w:t>
      </w:r>
      <w:r w:rsidR="00AA5E50">
        <w:rPr>
          <w:rFonts w:ascii="Arial" w:eastAsia="Calibri" w:hAnsi="Arial" w:cs="Arial"/>
          <w:bCs/>
        </w:rPr>
        <w:t>,</w:t>
      </w:r>
      <w:r w:rsidRPr="00B626CF">
        <w:rPr>
          <w:rFonts w:ascii="Arial" w:eastAsia="Calibri" w:hAnsi="Arial" w:cs="Arial"/>
          <w:bCs/>
        </w:rPr>
        <w:t xml:space="preserve"> it is estimated that 20% of all adults aged ≥65 years are prescribed ≥10 repeat medicines, and that 5% are prescribed ≥15</w:t>
      </w:r>
      <w:r w:rsidR="00AA5E50">
        <w:rPr>
          <w:rFonts w:ascii="Arial" w:eastAsia="Calibri" w:hAnsi="Arial" w:cs="Arial"/>
          <w:bCs/>
        </w:rPr>
        <w:t xml:space="preserve"> medicines</w:t>
      </w:r>
      <w:r w:rsidRPr="00B626CF">
        <w:rPr>
          <w:rFonts w:ascii="Arial" w:eastAsia="Calibri" w:hAnsi="Arial" w:cs="Arial"/>
          <w:bCs/>
        </w:rPr>
        <w:t>.</w:t>
      </w:r>
      <w:r w:rsidRPr="00B626CF">
        <w:rPr>
          <w:rFonts w:ascii="Arial" w:eastAsia="Calibri" w:hAnsi="Arial" w:cs="Arial"/>
          <w:bCs/>
          <w:vertAlign w:val="superscript"/>
        </w:rPr>
        <w:t>14</w:t>
      </w:r>
      <w:r w:rsidRPr="00B626CF">
        <w:rPr>
          <w:rFonts w:ascii="Arial" w:eastAsia="Calibri" w:hAnsi="Arial" w:cs="Arial"/>
          <w:bCs/>
          <w:lang w:val="en-GB"/>
        </w:rPr>
        <w:t xml:space="preserve"> In high</w:t>
      </w:r>
      <w:r w:rsidR="00AA5E50">
        <w:rPr>
          <w:rFonts w:ascii="Arial" w:eastAsia="Calibri" w:hAnsi="Arial" w:cs="Arial"/>
          <w:bCs/>
          <w:lang w:val="en-GB"/>
        </w:rPr>
        <w:t>er</w:t>
      </w:r>
      <w:r w:rsidRPr="00B626CF">
        <w:rPr>
          <w:rFonts w:ascii="Arial" w:eastAsia="Calibri" w:hAnsi="Arial" w:cs="Arial"/>
          <w:bCs/>
          <w:lang w:val="en-GB"/>
        </w:rPr>
        <w:t xml:space="preserve"> risk populations, the risk of ADRs increases from 13% in a person taking 2 medicines, to 58% when taking ≥5 medicines, and to 82% when taking ≥7 medicines.</w:t>
      </w:r>
      <w:r w:rsidRPr="00B626CF">
        <w:rPr>
          <w:rFonts w:ascii="Arial" w:eastAsia="Calibri" w:hAnsi="Arial" w:cs="Arial"/>
          <w:bCs/>
          <w:vertAlign w:val="superscript"/>
          <w:lang w:val="en-GB"/>
        </w:rPr>
        <w:t xml:space="preserve">8 </w:t>
      </w:r>
      <w:r w:rsidRPr="00B626CF">
        <w:rPr>
          <w:rFonts w:ascii="Arial" w:eastAsia="Calibri" w:hAnsi="Arial" w:cs="Arial"/>
          <w:bCs/>
        </w:rPr>
        <w:t xml:space="preserve">Polypharmacy is a particular concern in older patients </w:t>
      </w:r>
      <w:r w:rsidRPr="00B626CF">
        <w:rPr>
          <w:rFonts w:ascii="Arial" w:eastAsia="Calibri" w:hAnsi="Arial" w:cs="Arial"/>
          <w:bCs/>
          <w:lang w:val="en-GB"/>
        </w:rPr>
        <w:t>as there may be a progressive decline in both hepatic and renal function which can affect the pharmacokinetic (PK) and</w:t>
      </w:r>
      <w:r>
        <w:rPr>
          <w:rFonts w:ascii="Arial" w:eastAsia="Calibri" w:hAnsi="Arial" w:cs="Arial"/>
          <w:bCs/>
          <w:lang w:val="en-GB"/>
        </w:rPr>
        <w:t xml:space="preserve"> </w:t>
      </w:r>
      <w:r w:rsidRPr="00B626CF">
        <w:rPr>
          <w:rFonts w:ascii="Arial" w:eastAsia="Calibri" w:hAnsi="Arial" w:cs="Arial"/>
          <w:bCs/>
          <w:lang w:val="en-GB"/>
        </w:rPr>
        <w:t>pharmacodynamic (PD) properties of many medicines, leading to an increased risk of ADRs.</w:t>
      </w:r>
      <w:r w:rsidRPr="00B626CF">
        <w:rPr>
          <w:rFonts w:ascii="Arial" w:eastAsia="Calibri" w:hAnsi="Arial" w:cs="Arial"/>
          <w:bCs/>
          <w:vertAlign w:val="superscript"/>
          <w:lang w:val="en-GB"/>
        </w:rPr>
        <w:t>7,11,13</w:t>
      </w:r>
      <w:r w:rsidRPr="00B626CF">
        <w:rPr>
          <w:rFonts w:ascii="Arial" w:eastAsia="Calibri" w:hAnsi="Arial" w:cs="Arial"/>
          <w:bCs/>
          <w:lang w:val="en-GB"/>
        </w:rPr>
        <w:t xml:space="preserve"> It is important to distinguish appropriate polypharmacy (e.g. secondary preventive therapy following a myocardial infarction) from problematic polypharmacy which can result in PIP.</w:t>
      </w:r>
      <w:r w:rsidRPr="00B626CF">
        <w:rPr>
          <w:rFonts w:ascii="Arial" w:eastAsia="Calibri" w:hAnsi="Arial" w:cs="Arial"/>
          <w:bCs/>
          <w:vertAlign w:val="superscript"/>
          <w:lang w:val="en-GB"/>
        </w:rPr>
        <w:t>7,15</w:t>
      </w:r>
    </w:p>
    <w:p w14:paraId="5CC690E1" w14:textId="77777777" w:rsidR="00B626CF" w:rsidRDefault="00B626CF" w:rsidP="00B626CF">
      <w:pPr>
        <w:autoSpaceDE w:val="0"/>
        <w:autoSpaceDN w:val="0"/>
        <w:adjustRightInd w:val="0"/>
        <w:ind w:left="-284"/>
        <w:rPr>
          <w:rFonts w:ascii="Arial" w:eastAsia="Calibri" w:hAnsi="Arial" w:cs="Arial"/>
          <w:bCs/>
          <w:lang w:val="en-GB"/>
        </w:rPr>
      </w:pPr>
    </w:p>
    <w:p w14:paraId="39332AF7" w14:textId="436726CD" w:rsidR="00B626CF" w:rsidRPr="00D34119" w:rsidRDefault="00B626CF" w:rsidP="00D34119">
      <w:pPr>
        <w:autoSpaceDE w:val="0"/>
        <w:autoSpaceDN w:val="0"/>
        <w:adjustRightInd w:val="0"/>
        <w:ind w:left="-284"/>
        <w:rPr>
          <w:rFonts w:ascii="Arial" w:eastAsia="Calibri" w:hAnsi="Arial" w:cs="Arial"/>
          <w:bCs/>
          <w:vertAlign w:val="superscript"/>
        </w:rPr>
      </w:pPr>
      <w:r w:rsidRPr="00B626CF">
        <w:rPr>
          <w:rFonts w:ascii="Arial" w:eastAsia="Calibri" w:hAnsi="Arial" w:cs="Arial"/>
          <w:bCs/>
          <w:lang w:val="en-GB"/>
        </w:rPr>
        <w:t xml:space="preserve">The prevalence of PIP, which varies in the literature, depends on the patient population and healthcare setting; </w:t>
      </w:r>
      <w:r w:rsidRPr="00B626CF">
        <w:rPr>
          <w:rFonts w:ascii="Arial" w:eastAsia="Calibri" w:hAnsi="Arial" w:cs="Arial"/>
          <w:bCs/>
        </w:rPr>
        <w:t>an Irish longitudinal study in the community which retrospectively collected data from 44 general practice records found the prevalence of PIP in adults &gt;65 years old (n=38,229) to be 51% using the Screening Tool of Older Persons Prescriptions (STOPP) criteria.</w:t>
      </w:r>
      <w:r w:rsidRPr="00B626CF">
        <w:rPr>
          <w:rFonts w:ascii="Arial" w:eastAsia="Calibri" w:hAnsi="Arial" w:cs="Arial"/>
          <w:bCs/>
          <w:vertAlign w:val="superscript"/>
        </w:rPr>
        <w:t>16</w:t>
      </w:r>
      <w:r w:rsidR="00D34119">
        <w:rPr>
          <w:rFonts w:ascii="Arial" w:eastAsia="Calibri" w:hAnsi="Arial" w:cs="Arial"/>
          <w:bCs/>
          <w:vertAlign w:val="superscript"/>
        </w:rPr>
        <w:t xml:space="preserve"> </w:t>
      </w:r>
      <w:r w:rsidRPr="00B626CF">
        <w:rPr>
          <w:rFonts w:ascii="Arial" w:eastAsia="Calibri" w:hAnsi="Arial" w:cs="Arial"/>
          <w:bCs/>
        </w:rPr>
        <w:t>Deprescribing, in addition to reducing polypharmacy and PIP</w:t>
      </w:r>
      <w:r w:rsidR="00D34119">
        <w:rPr>
          <w:rFonts w:ascii="Arial" w:eastAsia="Calibri" w:hAnsi="Arial" w:cs="Arial"/>
          <w:bCs/>
        </w:rPr>
        <w:t>,</w:t>
      </w:r>
      <w:r w:rsidRPr="00B626CF">
        <w:rPr>
          <w:rFonts w:ascii="Arial" w:eastAsia="Calibri" w:hAnsi="Arial" w:cs="Arial"/>
          <w:bCs/>
        </w:rPr>
        <w:t xml:space="preserve"> </w:t>
      </w:r>
      <w:r w:rsidR="00D34119">
        <w:rPr>
          <w:rFonts w:ascii="Arial" w:eastAsia="Calibri" w:hAnsi="Arial" w:cs="Arial"/>
          <w:bCs/>
        </w:rPr>
        <w:t>may also</w:t>
      </w:r>
      <w:r w:rsidRPr="00B626CF">
        <w:rPr>
          <w:rFonts w:ascii="Arial" w:eastAsia="Calibri" w:hAnsi="Arial" w:cs="Arial"/>
          <w:bCs/>
        </w:rPr>
        <w:t xml:space="preserve"> result in reduced morbidity and may reduce healthcare costs.</w:t>
      </w:r>
      <w:r w:rsidRPr="00B626CF">
        <w:rPr>
          <w:rFonts w:ascii="Arial" w:eastAsia="Calibri" w:hAnsi="Arial" w:cs="Arial"/>
          <w:bCs/>
          <w:vertAlign w:val="superscript"/>
        </w:rPr>
        <w:t xml:space="preserve">10,17 </w:t>
      </w:r>
      <w:r w:rsidRPr="00B626CF">
        <w:rPr>
          <w:rFonts w:ascii="Arial" w:eastAsia="Calibri" w:hAnsi="Arial" w:cs="Arial"/>
          <w:bCs/>
        </w:rPr>
        <w:t>Deprescribing may prevent ADRs occurring in older people, where it is estimated that approximately 10 to 25% of preventable hospital admissions are due to ADRs.</w:t>
      </w:r>
      <w:r w:rsidRPr="00B626CF">
        <w:rPr>
          <w:rFonts w:ascii="Arial" w:eastAsia="Calibri" w:hAnsi="Arial" w:cs="Arial"/>
          <w:bCs/>
          <w:vertAlign w:val="superscript"/>
        </w:rPr>
        <w:t>18,19</w:t>
      </w:r>
      <w:r w:rsidRPr="00B626CF">
        <w:rPr>
          <w:rFonts w:ascii="Arial" w:eastAsia="Calibri" w:hAnsi="Arial" w:cs="Arial"/>
          <w:bCs/>
        </w:rPr>
        <w:t xml:space="preserve"> A 2019 systematic review reported that deprescribing interventions based on medication reviews in older patients following a fall resulted in a relative risk reduction of 24% of further falls.</w:t>
      </w:r>
      <w:r w:rsidRPr="00B626CF">
        <w:rPr>
          <w:rFonts w:ascii="Arial" w:eastAsia="Calibri" w:hAnsi="Arial" w:cs="Arial"/>
          <w:bCs/>
          <w:vertAlign w:val="superscript"/>
        </w:rPr>
        <w:t>20</w:t>
      </w:r>
      <w:r w:rsidRPr="00B626CF">
        <w:rPr>
          <w:rFonts w:ascii="Arial" w:eastAsia="Calibri" w:hAnsi="Arial" w:cs="Arial"/>
          <w:bCs/>
        </w:rPr>
        <w:t xml:space="preserve"> </w:t>
      </w:r>
      <w:r w:rsidR="00D34119">
        <w:rPr>
          <w:rFonts w:ascii="Arial" w:eastAsia="Calibri" w:hAnsi="Arial" w:cs="Arial"/>
          <w:bCs/>
        </w:rPr>
        <w:t>E</w:t>
      </w:r>
      <w:r w:rsidRPr="00B626CF">
        <w:rPr>
          <w:rFonts w:ascii="Arial" w:eastAsia="Calibri" w:hAnsi="Arial" w:cs="Arial"/>
          <w:bCs/>
        </w:rPr>
        <w:t xml:space="preserve">vidence suggests that by discontinuing unnecessary medicines, deprescribing may improve overall </w:t>
      </w:r>
      <w:r w:rsidR="00D34119">
        <w:rPr>
          <w:rFonts w:ascii="Arial" w:eastAsia="Calibri" w:hAnsi="Arial" w:cs="Arial"/>
          <w:bCs/>
        </w:rPr>
        <w:t xml:space="preserve">patient </w:t>
      </w:r>
      <w:r w:rsidRPr="00B626CF">
        <w:rPr>
          <w:rFonts w:ascii="Arial" w:eastAsia="Calibri" w:hAnsi="Arial" w:cs="Arial"/>
          <w:bCs/>
        </w:rPr>
        <w:t>adherence to essential medicines.</w:t>
      </w:r>
      <w:r w:rsidRPr="00B626CF">
        <w:rPr>
          <w:rFonts w:ascii="Arial" w:eastAsia="Calibri" w:hAnsi="Arial" w:cs="Arial"/>
          <w:bCs/>
          <w:vertAlign w:val="superscript"/>
        </w:rPr>
        <w:t>21</w:t>
      </w:r>
    </w:p>
    <w:p w14:paraId="60ABF753" w14:textId="77777777" w:rsidR="00D34119" w:rsidRDefault="00D34119" w:rsidP="00B626CF">
      <w:pPr>
        <w:autoSpaceDE w:val="0"/>
        <w:autoSpaceDN w:val="0"/>
        <w:adjustRightInd w:val="0"/>
        <w:ind w:left="-284"/>
        <w:rPr>
          <w:rFonts w:ascii="Arial" w:eastAsia="Calibri" w:hAnsi="Arial" w:cs="Arial"/>
          <w:bCs/>
        </w:rPr>
      </w:pPr>
    </w:p>
    <w:p w14:paraId="2FC77ECC" w14:textId="2C9105B4" w:rsidR="00D34119" w:rsidRDefault="00B626CF" w:rsidP="00D34119">
      <w:pPr>
        <w:autoSpaceDE w:val="0"/>
        <w:autoSpaceDN w:val="0"/>
        <w:adjustRightInd w:val="0"/>
        <w:ind w:left="-284"/>
        <w:rPr>
          <w:rFonts w:ascii="Arial" w:eastAsia="Calibri" w:hAnsi="Arial" w:cs="Arial"/>
          <w:bCs/>
          <w:vertAlign w:val="superscript"/>
        </w:rPr>
      </w:pPr>
      <w:r w:rsidRPr="00B626CF">
        <w:rPr>
          <w:rFonts w:ascii="Arial" w:eastAsia="Calibri" w:hAnsi="Arial" w:cs="Arial"/>
          <w:bCs/>
        </w:rPr>
        <w:t>Evidence suggests that deprescribing is feasible and does not increase the risk of harm, however there may be a risk of relapse of symptoms.</w:t>
      </w:r>
      <w:r w:rsidRPr="00B626CF">
        <w:rPr>
          <w:rFonts w:ascii="Arial" w:eastAsia="Calibri" w:hAnsi="Arial" w:cs="Arial"/>
          <w:bCs/>
          <w:vertAlign w:val="superscript"/>
        </w:rPr>
        <w:t>5,10,13,22</w:t>
      </w:r>
      <w:r w:rsidRPr="00B626CF">
        <w:rPr>
          <w:rFonts w:ascii="Arial" w:eastAsia="Calibri" w:hAnsi="Arial" w:cs="Arial"/>
          <w:bCs/>
        </w:rPr>
        <w:t xml:space="preserve"> There is evidence that careful withdrawal in suitable older patients under close monitoring can be achieved for medicines such as antihypertensive drugs, psychotropic drugs and benzodiazepines without resulting in harm.</w:t>
      </w:r>
      <w:r w:rsidRPr="00B626CF">
        <w:rPr>
          <w:rFonts w:ascii="Arial" w:eastAsia="Calibri" w:hAnsi="Arial" w:cs="Arial"/>
          <w:bCs/>
          <w:vertAlign w:val="superscript"/>
        </w:rPr>
        <w:t>5,21,23-25</w:t>
      </w:r>
      <w:r w:rsidR="00D34119">
        <w:rPr>
          <w:rFonts w:ascii="Arial" w:eastAsia="Calibri" w:hAnsi="Arial" w:cs="Arial"/>
          <w:bCs/>
          <w:vertAlign w:val="superscript"/>
        </w:rPr>
        <w:t xml:space="preserve"> </w:t>
      </w:r>
      <w:r w:rsidRPr="00B626CF">
        <w:rPr>
          <w:rFonts w:ascii="Arial" w:eastAsia="Calibri" w:hAnsi="Arial" w:cs="Arial"/>
          <w:bCs/>
        </w:rPr>
        <w:t>While the discontinuation of most long-term potentially inappropriate medicines may produce little or no adverse effects for some patients, it can result in potential risks including increased patient anxiety and precipitation of an adverse drug withdrawal e</w:t>
      </w:r>
      <w:r>
        <w:rPr>
          <w:rFonts w:ascii="Arial" w:eastAsia="Calibri" w:hAnsi="Arial" w:cs="Arial"/>
          <w:bCs/>
        </w:rPr>
        <w:t>v</w:t>
      </w:r>
      <w:r w:rsidRPr="00B626CF">
        <w:rPr>
          <w:rFonts w:ascii="Arial" w:eastAsia="Calibri" w:hAnsi="Arial" w:cs="Arial"/>
          <w:bCs/>
        </w:rPr>
        <w:t>ent (ADWE).</w:t>
      </w:r>
      <w:r w:rsidRPr="00B626CF">
        <w:rPr>
          <w:rFonts w:ascii="Arial" w:eastAsia="Calibri" w:hAnsi="Arial" w:cs="Arial"/>
          <w:bCs/>
          <w:vertAlign w:val="superscript"/>
        </w:rPr>
        <w:t>3,26,27</w:t>
      </w:r>
      <w:r w:rsidRPr="00B626CF">
        <w:rPr>
          <w:rFonts w:ascii="Arial" w:eastAsia="Calibri" w:hAnsi="Arial" w:cs="Arial"/>
          <w:bCs/>
        </w:rPr>
        <w:t xml:space="preserve"> An ADWE can be defined as recurrence of the condition for which the medicine was prescribed or a physiological reaction to the medicine’s discontinuation;</w:t>
      </w:r>
      <w:r w:rsidRPr="00B626CF">
        <w:rPr>
          <w:rFonts w:ascii="Arial" w:eastAsia="Calibri" w:hAnsi="Arial" w:cs="Arial"/>
          <w:bCs/>
          <w:vertAlign w:val="superscript"/>
        </w:rPr>
        <w:t>28</w:t>
      </w:r>
      <w:r w:rsidRPr="00B626CF">
        <w:rPr>
          <w:rFonts w:ascii="Arial" w:eastAsia="Calibri" w:hAnsi="Arial" w:cs="Arial"/>
          <w:bCs/>
        </w:rPr>
        <w:t xml:space="preserve"> it can present as a physiological withdrawal reaction (e.g. ta</w:t>
      </w:r>
      <w:r>
        <w:rPr>
          <w:rFonts w:ascii="Arial" w:eastAsia="Calibri" w:hAnsi="Arial" w:cs="Arial"/>
          <w:bCs/>
        </w:rPr>
        <w:t>c</w:t>
      </w:r>
      <w:r w:rsidRPr="00B626CF">
        <w:rPr>
          <w:rFonts w:ascii="Arial" w:eastAsia="Calibri" w:hAnsi="Arial" w:cs="Arial"/>
          <w:bCs/>
        </w:rPr>
        <w:t xml:space="preserve">hycardia with beta-blocker discontinuation), appearance of new symptoms (e.g. sweating with antidepressant withdrawal), or exacerbation of an underlying condition </w:t>
      </w:r>
      <w:r>
        <w:rPr>
          <w:rFonts w:ascii="Arial" w:eastAsia="Calibri" w:hAnsi="Arial" w:cs="Arial"/>
          <w:bCs/>
        </w:rPr>
        <w:t>(e</w:t>
      </w:r>
      <w:r w:rsidRPr="00B626CF">
        <w:rPr>
          <w:rFonts w:ascii="Arial" w:eastAsia="Calibri" w:hAnsi="Arial" w:cs="Arial"/>
          <w:bCs/>
        </w:rPr>
        <w:t>.g. depression relapse after stopping antidepressants).</w:t>
      </w:r>
      <w:r w:rsidRPr="00B626CF">
        <w:rPr>
          <w:rFonts w:ascii="Arial" w:eastAsia="Calibri" w:hAnsi="Arial" w:cs="Arial"/>
          <w:bCs/>
          <w:vertAlign w:val="superscript"/>
        </w:rPr>
        <w:t>4,9</w:t>
      </w:r>
      <w:r w:rsidRPr="00B626CF">
        <w:rPr>
          <w:rFonts w:ascii="Arial" w:eastAsia="Calibri" w:hAnsi="Arial" w:cs="Arial"/>
          <w:bCs/>
        </w:rPr>
        <w:t xml:space="preserve"> There is evidence however that ADRs are far more prevalent than </w:t>
      </w:r>
      <w:r w:rsidRPr="00B626CF">
        <w:rPr>
          <w:rFonts w:ascii="Arial" w:eastAsia="Calibri" w:hAnsi="Arial" w:cs="Arial"/>
          <w:bCs/>
        </w:rPr>
        <w:lastRenderedPageBreak/>
        <w:t>ADWEs.</w:t>
      </w:r>
      <w:r w:rsidRPr="00B626CF">
        <w:rPr>
          <w:rFonts w:ascii="Arial" w:eastAsia="Calibri" w:hAnsi="Arial" w:cs="Arial"/>
          <w:bCs/>
          <w:vertAlign w:val="superscript"/>
        </w:rPr>
        <w:t>29</w:t>
      </w:r>
      <w:r w:rsidRPr="00B626CF">
        <w:rPr>
          <w:rFonts w:ascii="Arial" w:eastAsia="Calibri" w:hAnsi="Arial" w:cs="Arial"/>
          <w:bCs/>
        </w:rPr>
        <w:t xml:space="preserve"> A</w:t>
      </w:r>
      <w:r>
        <w:rPr>
          <w:rFonts w:ascii="Arial" w:eastAsia="Calibri" w:hAnsi="Arial" w:cs="Arial"/>
          <w:bCs/>
        </w:rPr>
        <w:t xml:space="preserve"> </w:t>
      </w:r>
      <w:r w:rsidRPr="00B626CF">
        <w:rPr>
          <w:rFonts w:ascii="Arial" w:eastAsia="Calibri" w:hAnsi="Arial" w:cs="Arial"/>
          <w:bCs/>
        </w:rPr>
        <w:t xml:space="preserve">randomised controlled trial of 51 Irish GP practices (n=404 patients), which compared structured medication review and deprescribing of medicines to </w:t>
      </w:r>
      <w:r w:rsidR="00D34119">
        <w:rPr>
          <w:rFonts w:ascii="Arial" w:eastAsia="Calibri" w:hAnsi="Arial" w:cs="Arial"/>
          <w:bCs/>
        </w:rPr>
        <w:t>routine</w:t>
      </w:r>
      <w:r w:rsidRPr="00B626CF">
        <w:rPr>
          <w:rFonts w:ascii="Arial" w:eastAsia="Calibri" w:hAnsi="Arial" w:cs="Arial"/>
          <w:bCs/>
        </w:rPr>
        <w:t xml:space="preserve"> care, reported a small but significant reduction in the number of medicines prescribed and &lt;2% resulted in ADWEs (including </w:t>
      </w:r>
      <w:r w:rsidR="00D34119">
        <w:rPr>
          <w:rFonts w:ascii="Arial" w:eastAsia="Calibri" w:hAnsi="Arial" w:cs="Arial"/>
          <w:bCs/>
        </w:rPr>
        <w:t xml:space="preserve">one </w:t>
      </w:r>
      <w:r w:rsidRPr="00B626CF">
        <w:rPr>
          <w:rFonts w:ascii="Arial" w:eastAsia="Calibri" w:hAnsi="Arial" w:cs="Arial"/>
          <w:bCs/>
        </w:rPr>
        <w:t>hospitalisation with depression relapse).</w:t>
      </w:r>
      <w:r w:rsidRPr="00B626CF">
        <w:rPr>
          <w:rFonts w:ascii="Arial" w:eastAsia="Calibri" w:hAnsi="Arial" w:cs="Arial"/>
          <w:bCs/>
          <w:vertAlign w:val="superscript"/>
        </w:rPr>
        <w:t xml:space="preserve">30 </w:t>
      </w:r>
      <w:r w:rsidRPr="00B626CF">
        <w:rPr>
          <w:rFonts w:ascii="Arial" w:eastAsia="Calibri" w:hAnsi="Arial" w:cs="Arial"/>
          <w:bCs/>
        </w:rPr>
        <w:t>Factors that are associated with an increased risk of ADWEs include long duration of use (e.g. benzodiazepines), higher doses (e.g. corticosteroids) and medicines with a short half-life (e.g. paroxetine).</w:t>
      </w:r>
      <w:r w:rsidRPr="00B626CF">
        <w:rPr>
          <w:rFonts w:ascii="Arial" w:eastAsia="Calibri" w:hAnsi="Arial" w:cs="Arial"/>
          <w:bCs/>
          <w:vertAlign w:val="superscript"/>
        </w:rPr>
        <w:t>9</w:t>
      </w:r>
    </w:p>
    <w:p w14:paraId="386D155E" w14:textId="77777777" w:rsidR="00D34119" w:rsidRDefault="00D34119" w:rsidP="00D34119">
      <w:pPr>
        <w:autoSpaceDE w:val="0"/>
        <w:autoSpaceDN w:val="0"/>
        <w:adjustRightInd w:val="0"/>
        <w:ind w:left="-284"/>
        <w:rPr>
          <w:rFonts w:ascii="Arial" w:hAnsi="Arial" w:cs="Arial"/>
          <w:b/>
          <w:bCs/>
          <w:szCs w:val="21"/>
        </w:rPr>
      </w:pPr>
    </w:p>
    <w:p w14:paraId="6AFD17A9" w14:textId="77777777" w:rsidR="00D34119" w:rsidRDefault="00C84CB0" w:rsidP="00D34119">
      <w:pPr>
        <w:autoSpaceDE w:val="0"/>
        <w:autoSpaceDN w:val="0"/>
        <w:adjustRightInd w:val="0"/>
        <w:ind w:left="-284"/>
        <w:rPr>
          <w:rFonts w:ascii="Arial" w:eastAsia="Calibri" w:hAnsi="Arial" w:cs="Arial"/>
          <w:bCs/>
          <w:vertAlign w:val="superscript"/>
        </w:rPr>
      </w:pPr>
      <w:r w:rsidRPr="00D2734D">
        <w:rPr>
          <w:rFonts w:ascii="Arial" w:hAnsi="Arial" w:cs="Arial"/>
          <w:b/>
          <w:bCs/>
          <w:szCs w:val="21"/>
        </w:rPr>
        <w:t>2.</w:t>
      </w:r>
      <w:r w:rsidR="00DF0C7D">
        <w:rPr>
          <w:rFonts w:ascii="Arial" w:hAnsi="Arial" w:cs="Arial"/>
          <w:b/>
          <w:bCs/>
          <w:szCs w:val="21"/>
        </w:rPr>
        <w:t>1</w:t>
      </w:r>
      <w:r w:rsidRPr="00D2734D">
        <w:rPr>
          <w:rFonts w:ascii="Arial" w:hAnsi="Arial" w:cs="Arial"/>
          <w:b/>
          <w:bCs/>
          <w:szCs w:val="21"/>
        </w:rPr>
        <w:t xml:space="preserve"> </w:t>
      </w:r>
      <w:r w:rsidR="00056E88">
        <w:rPr>
          <w:rFonts w:ascii="Arial" w:hAnsi="Arial" w:cs="Arial"/>
          <w:b/>
          <w:bCs/>
          <w:szCs w:val="21"/>
        </w:rPr>
        <w:t>When should deprescribing be considered?</w:t>
      </w:r>
    </w:p>
    <w:p w14:paraId="277F2A18" w14:textId="77777777" w:rsidR="00D34119" w:rsidRDefault="00D34119" w:rsidP="00D34119">
      <w:pPr>
        <w:autoSpaceDE w:val="0"/>
        <w:autoSpaceDN w:val="0"/>
        <w:adjustRightInd w:val="0"/>
        <w:ind w:left="-284"/>
        <w:rPr>
          <w:rFonts w:ascii="Arial" w:hAnsi="Arial" w:cs="Arial"/>
          <w:bCs/>
          <w:color w:val="000000" w:themeColor="text1"/>
          <w:szCs w:val="19"/>
        </w:rPr>
      </w:pPr>
    </w:p>
    <w:p w14:paraId="4C087A43" w14:textId="69FE2BF5" w:rsidR="00D34119" w:rsidRDefault="003C6F46" w:rsidP="00D34119">
      <w:pPr>
        <w:autoSpaceDE w:val="0"/>
        <w:autoSpaceDN w:val="0"/>
        <w:adjustRightInd w:val="0"/>
        <w:ind w:left="-284"/>
        <w:rPr>
          <w:rFonts w:ascii="Arial" w:eastAsia="Calibri" w:hAnsi="Arial" w:cs="Arial"/>
          <w:bCs/>
          <w:vertAlign w:val="superscript"/>
        </w:rPr>
      </w:pPr>
      <w:r w:rsidRPr="003C6F46">
        <w:rPr>
          <w:rFonts w:ascii="Arial" w:hAnsi="Arial" w:cs="Arial"/>
          <w:bCs/>
          <w:color w:val="000000" w:themeColor="text1"/>
          <w:szCs w:val="19"/>
        </w:rPr>
        <w:t>Deprescribing is a patient centred interventio</w:t>
      </w:r>
      <w:r w:rsidR="00BD0D07">
        <w:rPr>
          <w:rFonts w:ascii="Arial" w:hAnsi="Arial" w:cs="Arial"/>
          <w:bCs/>
          <w:color w:val="000000" w:themeColor="text1"/>
          <w:szCs w:val="19"/>
        </w:rPr>
        <w:t>n that</w:t>
      </w:r>
      <w:r w:rsidRPr="003C6F46">
        <w:rPr>
          <w:rFonts w:ascii="Arial" w:hAnsi="Arial" w:cs="Arial"/>
          <w:bCs/>
          <w:color w:val="000000" w:themeColor="text1"/>
          <w:szCs w:val="19"/>
        </w:rPr>
        <w:t xml:space="preserve"> requires shared decision making</w:t>
      </w:r>
      <w:r w:rsidR="00D34119">
        <w:rPr>
          <w:rFonts w:ascii="Arial" w:hAnsi="Arial" w:cs="Arial"/>
          <w:bCs/>
          <w:color w:val="000000" w:themeColor="text1"/>
          <w:szCs w:val="19"/>
        </w:rPr>
        <w:t xml:space="preserve"> between patients and clinicians</w:t>
      </w:r>
      <w:r w:rsidRPr="003C6F46">
        <w:rPr>
          <w:rFonts w:ascii="Arial" w:hAnsi="Arial" w:cs="Arial"/>
          <w:bCs/>
          <w:color w:val="000000" w:themeColor="text1"/>
          <w:szCs w:val="19"/>
        </w:rPr>
        <w:t xml:space="preserve"> and </w:t>
      </w:r>
      <w:r w:rsidR="00D34119">
        <w:rPr>
          <w:rFonts w:ascii="Arial" w:hAnsi="Arial" w:cs="Arial"/>
          <w:bCs/>
          <w:color w:val="000000" w:themeColor="text1"/>
          <w:szCs w:val="19"/>
        </w:rPr>
        <w:t xml:space="preserve">careful </w:t>
      </w:r>
      <w:r w:rsidRPr="003C6F46">
        <w:rPr>
          <w:rFonts w:ascii="Arial" w:hAnsi="Arial" w:cs="Arial"/>
          <w:bCs/>
          <w:color w:val="000000" w:themeColor="text1"/>
          <w:szCs w:val="19"/>
        </w:rPr>
        <w:t>monitoring for adverse effects.</w:t>
      </w:r>
      <w:r w:rsidRPr="003C6F46">
        <w:rPr>
          <w:rFonts w:ascii="Arial" w:hAnsi="Arial" w:cs="Arial"/>
          <w:bCs/>
          <w:color w:val="000000" w:themeColor="text1"/>
          <w:szCs w:val="19"/>
          <w:vertAlign w:val="superscript"/>
        </w:rPr>
        <w:t>21</w:t>
      </w:r>
      <w:r w:rsidRPr="003C6F46">
        <w:rPr>
          <w:rFonts w:ascii="Arial" w:eastAsia="MS Mincho" w:hAnsi="Arial" w:cs="Arial"/>
          <w:bCs/>
          <w:color w:val="000000" w:themeColor="text1"/>
          <w:szCs w:val="19"/>
          <w:lang w:val="en-GB" w:eastAsia="ja-JP"/>
        </w:rPr>
        <w:t xml:space="preserve"> </w:t>
      </w:r>
      <w:r w:rsidRPr="003C6F46">
        <w:rPr>
          <w:rFonts w:ascii="Arial" w:hAnsi="Arial" w:cs="Arial"/>
          <w:bCs/>
          <w:color w:val="000000" w:themeColor="text1"/>
          <w:szCs w:val="19"/>
        </w:rPr>
        <w:t>Deprescribing should be considered (especially in older patients) in the following scenarios: 1) patients presenting with a new symptom or clinical syndrome suggestive of an ADR (e.g. ankle oedema following initiation of a calcium channel blocker), 2) the use of preventative medicines</w:t>
      </w:r>
      <w:r w:rsidR="00D34119">
        <w:rPr>
          <w:rFonts w:ascii="Arial" w:hAnsi="Arial" w:cs="Arial"/>
          <w:bCs/>
          <w:color w:val="000000" w:themeColor="text1"/>
          <w:szCs w:val="19"/>
        </w:rPr>
        <w:t xml:space="preserve"> (e.g. statins)</w:t>
      </w:r>
      <w:r w:rsidRPr="003C6F46">
        <w:rPr>
          <w:rFonts w:ascii="Arial" w:hAnsi="Arial" w:cs="Arial"/>
          <w:bCs/>
          <w:color w:val="000000" w:themeColor="text1"/>
          <w:szCs w:val="19"/>
        </w:rPr>
        <w:t xml:space="preserve"> in patients with limited life expectancy or 3) patients receiving “high-risk” medicines or combinations (e.g. non-steroidal anti-inflammatory drugs [NSAIDs]).</w:t>
      </w:r>
      <w:r w:rsidRPr="003C6F46">
        <w:rPr>
          <w:rFonts w:ascii="Arial" w:hAnsi="Arial" w:cs="Arial"/>
          <w:bCs/>
          <w:color w:val="000000" w:themeColor="text1"/>
          <w:szCs w:val="19"/>
          <w:vertAlign w:val="superscript"/>
        </w:rPr>
        <w:t xml:space="preserve">21,31 </w:t>
      </w:r>
    </w:p>
    <w:p w14:paraId="512A6913" w14:textId="77777777" w:rsidR="00D34119" w:rsidRDefault="00D34119" w:rsidP="00D34119">
      <w:pPr>
        <w:autoSpaceDE w:val="0"/>
        <w:autoSpaceDN w:val="0"/>
        <w:adjustRightInd w:val="0"/>
        <w:ind w:left="-284"/>
        <w:rPr>
          <w:rFonts w:ascii="Arial" w:hAnsi="Arial" w:cs="Arial"/>
          <w:bCs/>
          <w:color w:val="000000" w:themeColor="text1"/>
          <w:szCs w:val="19"/>
        </w:rPr>
      </w:pPr>
    </w:p>
    <w:p w14:paraId="2A55F21B" w14:textId="4492FC90" w:rsidR="00D34119" w:rsidRDefault="003C6F46" w:rsidP="00D34119">
      <w:pPr>
        <w:autoSpaceDE w:val="0"/>
        <w:autoSpaceDN w:val="0"/>
        <w:adjustRightInd w:val="0"/>
        <w:ind w:left="-284"/>
        <w:rPr>
          <w:rFonts w:ascii="Arial" w:eastAsia="Calibri" w:hAnsi="Arial" w:cs="Arial"/>
          <w:bCs/>
          <w:vertAlign w:val="superscript"/>
        </w:rPr>
      </w:pPr>
      <w:r w:rsidRPr="003C6F46">
        <w:rPr>
          <w:rFonts w:ascii="Arial" w:hAnsi="Arial" w:cs="Arial"/>
          <w:bCs/>
          <w:color w:val="000000" w:themeColor="text1"/>
          <w:szCs w:val="19"/>
        </w:rPr>
        <w:t>A medical event such as a fall, an admission to hospital or a residential care facility, can also serve as a trigger for deprescribing,</w:t>
      </w:r>
      <w:r w:rsidRPr="003C6F46">
        <w:rPr>
          <w:rFonts w:ascii="Arial" w:hAnsi="Arial" w:cs="Arial"/>
          <w:bCs/>
          <w:color w:val="000000" w:themeColor="text1"/>
          <w:szCs w:val="19"/>
          <w:vertAlign w:val="superscript"/>
        </w:rPr>
        <w:t>27</w:t>
      </w:r>
      <w:r w:rsidRPr="003C6F46">
        <w:rPr>
          <w:rFonts w:ascii="Arial" w:hAnsi="Arial" w:cs="Arial"/>
          <w:bCs/>
          <w:color w:val="000000" w:themeColor="text1"/>
          <w:szCs w:val="19"/>
        </w:rPr>
        <w:t xml:space="preserve"> although deprescribing ideally occurs before an ADR occurs. Consideration should be given to the likelihood of meaningful benefit from preventative agents in an older cohort, </w:t>
      </w:r>
      <w:r w:rsidRPr="003C6F46">
        <w:rPr>
          <w:rFonts w:ascii="Arial" w:hAnsi="Arial" w:cs="Arial"/>
          <w:color w:val="000000" w:themeColor="text1"/>
          <w:szCs w:val="19"/>
        </w:rPr>
        <w:t>for example it requires 2 to 5 years of statin use to reduce the risk of stroke or myocardial infarction.</w:t>
      </w:r>
      <w:r w:rsidRPr="003C6F46">
        <w:rPr>
          <w:rFonts w:ascii="Arial" w:hAnsi="Arial" w:cs="Arial"/>
          <w:color w:val="000000" w:themeColor="text1"/>
          <w:szCs w:val="19"/>
          <w:vertAlign w:val="superscript"/>
        </w:rPr>
        <w:t>32</w:t>
      </w:r>
      <w:r w:rsidRPr="003C6F46">
        <w:rPr>
          <w:rStyle w:val="CommentReference"/>
          <w:rFonts w:ascii="Arial" w:hAnsi="Arial" w:cs="Arial"/>
          <w:color w:val="000000" w:themeColor="text1"/>
          <w:sz w:val="24"/>
          <w:szCs w:val="19"/>
        </w:rPr>
        <w:t xml:space="preserve"> </w:t>
      </w:r>
      <w:r w:rsidRPr="003C6F46">
        <w:rPr>
          <w:rFonts w:ascii="Arial" w:hAnsi="Arial" w:cs="Arial"/>
          <w:color w:val="000000" w:themeColor="text1"/>
          <w:szCs w:val="19"/>
        </w:rPr>
        <w:t>As the risk of ADRs from preventative drugs increase with age due to PK and PD changes, consideration should be given</w:t>
      </w:r>
      <w:r w:rsidR="00D34119">
        <w:rPr>
          <w:rFonts w:ascii="Arial" w:hAnsi="Arial" w:cs="Arial"/>
          <w:color w:val="000000" w:themeColor="text1"/>
          <w:szCs w:val="19"/>
        </w:rPr>
        <w:t>, in consultation with patients, to</w:t>
      </w:r>
      <w:r w:rsidRPr="003C6F46">
        <w:rPr>
          <w:rFonts w:ascii="Arial" w:hAnsi="Arial" w:cs="Arial"/>
          <w:color w:val="000000" w:themeColor="text1"/>
          <w:szCs w:val="19"/>
        </w:rPr>
        <w:t xml:space="preserve"> </w:t>
      </w:r>
      <w:r w:rsidR="00D34119">
        <w:rPr>
          <w:rFonts w:ascii="Arial" w:hAnsi="Arial" w:cs="Arial"/>
          <w:color w:val="000000" w:themeColor="text1"/>
          <w:szCs w:val="19"/>
        </w:rPr>
        <w:t xml:space="preserve">setting </w:t>
      </w:r>
      <w:r w:rsidRPr="003C6F46">
        <w:rPr>
          <w:rFonts w:ascii="Arial" w:hAnsi="Arial" w:cs="Arial"/>
          <w:color w:val="000000" w:themeColor="text1"/>
          <w:szCs w:val="19"/>
        </w:rPr>
        <w:t xml:space="preserve">realistic treatment objectives and </w:t>
      </w:r>
      <w:r w:rsidR="00D34119">
        <w:rPr>
          <w:rFonts w:ascii="Arial" w:hAnsi="Arial" w:cs="Arial"/>
          <w:color w:val="000000" w:themeColor="text1"/>
          <w:szCs w:val="19"/>
        </w:rPr>
        <w:t>weighing up the benefits and risks associated with</w:t>
      </w:r>
      <w:r w:rsidRPr="003C6F46">
        <w:rPr>
          <w:rFonts w:ascii="Arial" w:hAnsi="Arial" w:cs="Arial"/>
          <w:color w:val="000000" w:themeColor="text1"/>
          <w:szCs w:val="19"/>
        </w:rPr>
        <w:t xml:space="preserve"> the initiation or continuation of these agents.</w:t>
      </w:r>
      <w:r w:rsidRPr="003C6F46">
        <w:rPr>
          <w:rFonts w:ascii="Arial" w:hAnsi="Arial" w:cs="Arial"/>
          <w:color w:val="000000" w:themeColor="text1"/>
          <w:szCs w:val="19"/>
          <w:vertAlign w:val="superscript"/>
        </w:rPr>
        <w:t>33</w:t>
      </w:r>
      <w:r w:rsidRPr="003C6F46">
        <w:rPr>
          <w:rFonts w:ascii="Arial" w:hAnsi="Arial" w:cs="Arial"/>
          <w:color w:val="000000" w:themeColor="text1"/>
          <w:szCs w:val="19"/>
        </w:rPr>
        <w:t xml:space="preserve"> </w:t>
      </w:r>
    </w:p>
    <w:p w14:paraId="2C5B7F4E" w14:textId="77777777" w:rsidR="00D34119" w:rsidRDefault="00D34119" w:rsidP="00D34119">
      <w:pPr>
        <w:autoSpaceDE w:val="0"/>
        <w:autoSpaceDN w:val="0"/>
        <w:adjustRightInd w:val="0"/>
        <w:ind w:left="-284"/>
        <w:rPr>
          <w:rFonts w:ascii="Arial" w:hAnsi="Arial" w:cs="Arial"/>
          <w:bCs/>
          <w:color w:val="000000" w:themeColor="text1"/>
          <w:szCs w:val="19"/>
        </w:rPr>
      </w:pPr>
    </w:p>
    <w:p w14:paraId="3B3333CE" w14:textId="77777777" w:rsidR="00D34119" w:rsidRDefault="003C6F46" w:rsidP="00D34119">
      <w:pPr>
        <w:autoSpaceDE w:val="0"/>
        <w:autoSpaceDN w:val="0"/>
        <w:adjustRightInd w:val="0"/>
        <w:ind w:left="-284"/>
        <w:rPr>
          <w:rFonts w:ascii="Arial" w:eastAsia="Calibri" w:hAnsi="Arial" w:cs="Arial"/>
          <w:bCs/>
          <w:vertAlign w:val="superscript"/>
        </w:rPr>
      </w:pPr>
      <w:r w:rsidRPr="003C6F46">
        <w:rPr>
          <w:rFonts w:ascii="Arial" w:hAnsi="Arial" w:cs="Arial"/>
          <w:bCs/>
          <w:color w:val="000000" w:themeColor="text1"/>
          <w:szCs w:val="19"/>
        </w:rPr>
        <w:t>As discussed earlier, the discontinuation of a medicine that was started for an appropriate indication, that is no longer appropriate and/or for treatment that is no longer effective should be considered, even if these medicines are well tolerated.</w:t>
      </w:r>
      <w:r w:rsidRPr="003C6F46">
        <w:rPr>
          <w:rFonts w:ascii="Arial" w:hAnsi="Arial" w:cs="Arial"/>
          <w:bCs/>
          <w:color w:val="000000" w:themeColor="text1"/>
          <w:szCs w:val="19"/>
          <w:vertAlign w:val="superscript"/>
        </w:rPr>
        <w:t>21</w:t>
      </w:r>
      <w:r w:rsidRPr="003C6F46">
        <w:rPr>
          <w:rFonts w:ascii="Arial" w:hAnsi="Arial" w:cs="Arial"/>
          <w:bCs/>
          <w:color w:val="000000" w:themeColor="text1"/>
          <w:szCs w:val="19"/>
        </w:rPr>
        <w:t xml:space="preserve"> Examples of unnecessary continuation of medicines include gastroprotective proton pump inhibitors (PPIs) following cessation of non-steroidal anti-inflammatory drugs (NSAIDs) and analgesics for acute pain that has resolved (e.g. opioids).</w:t>
      </w:r>
      <w:r w:rsidRPr="003C6F46">
        <w:rPr>
          <w:rFonts w:ascii="Arial" w:hAnsi="Arial" w:cs="Arial"/>
          <w:bCs/>
          <w:color w:val="000000" w:themeColor="text1"/>
          <w:szCs w:val="19"/>
          <w:vertAlign w:val="superscript"/>
        </w:rPr>
        <w:t>4,21</w:t>
      </w:r>
    </w:p>
    <w:p w14:paraId="4B7AA9CC" w14:textId="77777777" w:rsidR="00D34119" w:rsidRDefault="00D34119" w:rsidP="00D34119">
      <w:pPr>
        <w:autoSpaceDE w:val="0"/>
        <w:autoSpaceDN w:val="0"/>
        <w:adjustRightInd w:val="0"/>
        <w:ind w:left="-284"/>
        <w:rPr>
          <w:rFonts w:ascii="Arial" w:hAnsi="Arial" w:cs="Arial"/>
          <w:bCs/>
          <w:color w:val="000000" w:themeColor="text1"/>
          <w:szCs w:val="19"/>
        </w:rPr>
      </w:pPr>
    </w:p>
    <w:p w14:paraId="1901B427" w14:textId="77777777" w:rsidR="00B92AE6" w:rsidRDefault="003C6F46" w:rsidP="00B92AE6">
      <w:pPr>
        <w:autoSpaceDE w:val="0"/>
        <w:autoSpaceDN w:val="0"/>
        <w:adjustRightInd w:val="0"/>
        <w:ind w:left="-284"/>
        <w:rPr>
          <w:rFonts w:ascii="Arial" w:eastAsia="Calibri" w:hAnsi="Arial" w:cs="Arial"/>
          <w:bCs/>
          <w:vertAlign w:val="superscript"/>
        </w:rPr>
      </w:pPr>
      <w:r w:rsidRPr="003C6F46">
        <w:rPr>
          <w:rFonts w:ascii="Arial" w:hAnsi="Arial" w:cs="Arial"/>
          <w:bCs/>
          <w:color w:val="000000" w:themeColor="text1"/>
          <w:szCs w:val="19"/>
        </w:rPr>
        <w:t>The deprescribing of a medicine may also be considered appropriate for patients taking medicines that are associated with dependence (e.g. benzodiazepines and z-drugs [BZRA] and opioids).</w:t>
      </w:r>
      <w:r w:rsidRPr="003C6F46">
        <w:rPr>
          <w:rFonts w:ascii="Arial" w:hAnsi="Arial" w:cs="Arial"/>
          <w:bCs/>
          <w:color w:val="000000" w:themeColor="text1"/>
          <w:szCs w:val="19"/>
          <w:vertAlign w:val="superscript"/>
        </w:rPr>
        <w:t xml:space="preserve">4 </w:t>
      </w:r>
      <w:r w:rsidRPr="003C6F46">
        <w:rPr>
          <w:rFonts w:ascii="Arial" w:hAnsi="Arial" w:cs="Arial"/>
          <w:bCs/>
          <w:color w:val="000000" w:themeColor="text1"/>
          <w:szCs w:val="19"/>
        </w:rPr>
        <w:t>As the deprescribing of these types of medicines can be challenging, it is important that before starting or continuing these medicines that all suitable management options including non-pharmacological therapies have been considered and discussed with the patient.</w:t>
      </w:r>
      <w:r w:rsidRPr="003C6F46">
        <w:rPr>
          <w:rFonts w:ascii="Arial" w:hAnsi="Arial" w:cs="Arial"/>
          <w:bCs/>
          <w:color w:val="000000" w:themeColor="text1"/>
          <w:szCs w:val="19"/>
          <w:vertAlign w:val="superscript"/>
        </w:rPr>
        <w:t>4</w:t>
      </w:r>
      <w:r w:rsidRPr="003C6F46">
        <w:rPr>
          <w:rFonts w:ascii="Arial" w:hAnsi="Arial" w:cs="Arial"/>
          <w:bCs/>
          <w:color w:val="000000" w:themeColor="text1"/>
          <w:szCs w:val="19"/>
        </w:rPr>
        <w:t xml:space="preserve"> The gradual withdrawal of antidepressants in individual patients with a resolved episode of depression and close follow-up may also be considered.</w:t>
      </w:r>
      <w:r w:rsidRPr="003C6F46">
        <w:rPr>
          <w:rFonts w:ascii="Arial" w:hAnsi="Arial" w:cs="Arial"/>
          <w:bCs/>
          <w:color w:val="000000" w:themeColor="text1"/>
          <w:szCs w:val="19"/>
          <w:vertAlign w:val="superscript"/>
        </w:rPr>
        <w:t>4</w:t>
      </w:r>
    </w:p>
    <w:p w14:paraId="63060FDE" w14:textId="77777777" w:rsidR="00B92AE6" w:rsidRDefault="00B92AE6" w:rsidP="00B92AE6">
      <w:pPr>
        <w:autoSpaceDE w:val="0"/>
        <w:autoSpaceDN w:val="0"/>
        <w:adjustRightInd w:val="0"/>
        <w:ind w:left="-284"/>
        <w:rPr>
          <w:rFonts w:ascii="Arial" w:hAnsi="Arial" w:cs="Arial"/>
          <w:b/>
          <w:bCs/>
          <w:color w:val="000000"/>
        </w:rPr>
      </w:pPr>
    </w:p>
    <w:p w14:paraId="2A4BE4C0" w14:textId="77777777" w:rsidR="00B92AE6" w:rsidRDefault="00C84CB0" w:rsidP="00B92AE6">
      <w:pPr>
        <w:autoSpaceDE w:val="0"/>
        <w:autoSpaceDN w:val="0"/>
        <w:adjustRightInd w:val="0"/>
        <w:ind w:left="-284"/>
        <w:rPr>
          <w:rFonts w:ascii="Arial" w:eastAsia="Calibri" w:hAnsi="Arial" w:cs="Arial"/>
          <w:bCs/>
          <w:vertAlign w:val="superscript"/>
        </w:rPr>
      </w:pPr>
      <w:r w:rsidRPr="00A36D65">
        <w:rPr>
          <w:rFonts w:ascii="Arial" w:hAnsi="Arial" w:cs="Arial"/>
          <w:b/>
          <w:bCs/>
          <w:color w:val="000000"/>
        </w:rPr>
        <w:t>2.</w:t>
      </w:r>
      <w:r w:rsidR="00DF0C7D">
        <w:rPr>
          <w:rFonts w:ascii="Arial" w:hAnsi="Arial" w:cs="Arial"/>
          <w:b/>
          <w:bCs/>
          <w:color w:val="000000"/>
        </w:rPr>
        <w:t>2</w:t>
      </w:r>
      <w:r w:rsidR="00056E88">
        <w:rPr>
          <w:rFonts w:ascii="Arial" w:hAnsi="Arial" w:cs="Arial"/>
          <w:b/>
          <w:bCs/>
          <w:color w:val="000000"/>
        </w:rPr>
        <w:t xml:space="preserve"> Barriers to deprescribing</w:t>
      </w:r>
    </w:p>
    <w:p w14:paraId="7D3C96C0" w14:textId="77777777" w:rsidR="00B92AE6" w:rsidRDefault="00B92AE6" w:rsidP="00B92AE6">
      <w:pPr>
        <w:autoSpaceDE w:val="0"/>
        <w:autoSpaceDN w:val="0"/>
        <w:adjustRightInd w:val="0"/>
        <w:ind w:left="-284"/>
        <w:rPr>
          <w:rFonts w:ascii="Arial" w:hAnsi="Arial" w:cs="Arial"/>
          <w:bCs/>
          <w:color w:val="000000" w:themeColor="text1"/>
          <w:szCs w:val="19"/>
        </w:rPr>
      </w:pPr>
    </w:p>
    <w:p w14:paraId="5B29A6BE" w14:textId="3BDD1D08" w:rsidR="00BA64E6" w:rsidRDefault="00056E88" w:rsidP="00BA64E6">
      <w:pPr>
        <w:autoSpaceDE w:val="0"/>
        <w:autoSpaceDN w:val="0"/>
        <w:adjustRightInd w:val="0"/>
        <w:ind w:left="-284"/>
        <w:rPr>
          <w:rFonts w:ascii="Arial" w:eastAsia="Calibri" w:hAnsi="Arial" w:cs="Arial"/>
          <w:bCs/>
          <w:vertAlign w:val="superscript"/>
        </w:rPr>
      </w:pPr>
      <w:r w:rsidRPr="00056E88">
        <w:rPr>
          <w:rFonts w:ascii="Arial" w:hAnsi="Arial" w:cs="Arial"/>
          <w:bCs/>
          <w:color w:val="000000" w:themeColor="text1"/>
          <w:szCs w:val="19"/>
        </w:rPr>
        <w:t>There are multiple barriers to deprescribing in primary care</w:t>
      </w:r>
      <w:r w:rsidRPr="00E53FA4">
        <w:rPr>
          <w:rFonts w:ascii="Arial" w:hAnsi="Arial" w:cs="Arial"/>
          <w:bCs/>
          <w:szCs w:val="19"/>
        </w:rPr>
        <w:t xml:space="preserve">. </w:t>
      </w:r>
      <w:r w:rsidRPr="00056E88">
        <w:rPr>
          <w:rFonts w:ascii="Arial" w:hAnsi="Arial" w:cs="Arial"/>
          <w:bCs/>
          <w:szCs w:val="19"/>
        </w:rPr>
        <w:t xml:space="preserve">These include time constraints </w:t>
      </w:r>
      <w:r w:rsidR="00BA64E6">
        <w:rPr>
          <w:rFonts w:ascii="Arial" w:hAnsi="Arial" w:cs="Arial"/>
          <w:bCs/>
          <w:szCs w:val="19"/>
        </w:rPr>
        <w:t>to complete</w:t>
      </w:r>
      <w:r w:rsidRPr="00056E88">
        <w:rPr>
          <w:rFonts w:ascii="Arial" w:hAnsi="Arial" w:cs="Arial"/>
          <w:bCs/>
          <w:szCs w:val="19"/>
        </w:rPr>
        <w:t xml:space="preserve"> a medication review, especially in clinically complex older patients with multimorbidity and polypharmacy who may have multiple prescribers.</w:t>
      </w:r>
      <w:r w:rsidRPr="00056E88">
        <w:rPr>
          <w:rFonts w:ascii="Arial" w:hAnsi="Arial" w:cs="Arial"/>
          <w:bCs/>
          <w:szCs w:val="19"/>
          <w:vertAlign w:val="superscript"/>
        </w:rPr>
        <w:t>21,25</w:t>
      </w:r>
      <w:r w:rsidRPr="00056E88">
        <w:rPr>
          <w:rFonts w:ascii="Arial" w:hAnsi="Arial" w:cs="Arial"/>
          <w:bCs/>
          <w:szCs w:val="19"/>
        </w:rPr>
        <w:t xml:space="preserve"> </w:t>
      </w:r>
      <w:r w:rsidRPr="00056E88">
        <w:rPr>
          <w:rFonts w:ascii="Arial" w:hAnsi="Arial" w:cs="Arial"/>
          <w:bCs/>
          <w:szCs w:val="19"/>
        </w:rPr>
        <w:lastRenderedPageBreak/>
        <w:t xml:space="preserve">There may be fragmented care </w:t>
      </w:r>
      <w:r w:rsidR="00BA64E6">
        <w:rPr>
          <w:rFonts w:ascii="Arial" w:hAnsi="Arial" w:cs="Arial"/>
          <w:bCs/>
          <w:szCs w:val="19"/>
        </w:rPr>
        <w:t>for</w:t>
      </w:r>
      <w:r w:rsidRPr="00056E88">
        <w:rPr>
          <w:rFonts w:ascii="Arial" w:hAnsi="Arial" w:cs="Arial"/>
          <w:bCs/>
          <w:szCs w:val="19"/>
        </w:rPr>
        <w:t xml:space="preserve"> patient</w:t>
      </w:r>
      <w:r w:rsidR="00BA64E6">
        <w:rPr>
          <w:rFonts w:ascii="Arial" w:hAnsi="Arial" w:cs="Arial"/>
          <w:bCs/>
          <w:szCs w:val="19"/>
        </w:rPr>
        <w:t>s</w:t>
      </w:r>
      <w:r w:rsidRPr="00056E88">
        <w:rPr>
          <w:rFonts w:ascii="Arial" w:hAnsi="Arial" w:cs="Arial"/>
          <w:bCs/>
          <w:szCs w:val="19"/>
        </w:rPr>
        <w:t xml:space="preserve"> across </w:t>
      </w:r>
      <w:r w:rsidR="00BA64E6">
        <w:rPr>
          <w:rFonts w:ascii="Arial" w:hAnsi="Arial" w:cs="Arial"/>
          <w:bCs/>
          <w:szCs w:val="19"/>
        </w:rPr>
        <w:t>the</w:t>
      </w:r>
      <w:r w:rsidR="00113FED">
        <w:rPr>
          <w:rFonts w:ascii="Arial" w:hAnsi="Arial" w:cs="Arial"/>
          <w:bCs/>
          <w:szCs w:val="19"/>
        </w:rPr>
        <w:t xml:space="preserve"> </w:t>
      </w:r>
      <w:r w:rsidRPr="00056E88">
        <w:rPr>
          <w:rFonts w:ascii="Arial" w:hAnsi="Arial" w:cs="Arial"/>
          <w:bCs/>
          <w:szCs w:val="19"/>
        </w:rPr>
        <w:t xml:space="preserve">primary and secondary care </w:t>
      </w:r>
      <w:r w:rsidR="00BA64E6">
        <w:rPr>
          <w:rFonts w:ascii="Arial" w:hAnsi="Arial" w:cs="Arial"/>
          <w:bCs/>
          <w:szCs w:val="19"/>
        </w:rPr>
        <w:t xml:space="preserve">interface </w:t>
      </w:r>
      <w:r w:rsidRPr="00056E88">
        <w:rPr>
          <w:rFonts w:ascii="Arial" w:hAnsi="Arial" w:cs="Arial"/>
          <w:bCs/>
          <w:szCs w:val="19"/>
        </w:rPr>
        <w:t>with communication difficulties (due to a lack of integrated IT system for a shared patient medication record) resulting in incomplete information of a patient’s medicines (e.g. indication and duration of therapy).</w:t>
      </w:r>
      <w:r w:rsidRPr="00056E88">
        <w:rPr>
          <w:rFonts w:ascii="Arial" w:hAnsi="Arial" w:cs="Arial"/>
          <w:bCs/>
          <w:szCs w:val="19"/>
          <w:vertAlign w:val="superscript"/>
        </w:rPr>
        <w:t>21,34,35</w:t>
      </w:r>
      <w:r w:rsidRPr="00056E88">
        <w:rPr>
          <w:rFonts w:ascii="Arial" w:hAnsi="Arial" w:cs="Arial"/>
          <w:bCs/>
          <w:szCs w:val="19"/>
        </w:rPr>
        <w:t xml:space="preserve"> A</w:t>
      </w:r>
      <w:r w:rsidRPr="00056E88">
        <w:rPr>
          <w:rFonts w:ascii="Arial" w:hAnsi="Arial" w:cs="Arial"/>
          <w:szCs w:val="19"/>
        </w:rPr>
        <w:t xml:space="preserve"> GP may be reluctant to discontinue a medication that was prescribed elsewhere, particularly if this was initiated by another prescriber (e.g. specialist in secondary/tertiary care).</w:t>
      </w:r>
      <w:r w:rsidRPr="00056E88">
        <w:rPr>
          <w:rFonts w:ascii="Arial" w:hAnsi="Arial" w:cs="Arial"/>
          <w:szCs w:val="19"/>
          <w:vertAlign w:val="superscript"/>
        </w:rPr>
        <w:t>2,9,22</w:t>
      </w:r>
      <w:r w:rsidRPr="00056E88">
        <w:rPr>
          <w:rFonts w:ascii="Arial" w:hAnsi="Arial" w:cs="Arial"/>
          <w:szCs w:val="19"/>
        </w:rPr>
        <w:t xml:space="preserve"> </w:t>
      </w:r>
      <w:r w:rsidRPr="00056E88">
        <w:rPr>
          <w:rFonts w:ascii="Arial" w:hAnsi="Arial" w:cs="Arial"/>
          <w:bCs/>
          <w:szCs w:val="19"/>
        </w:rPr>
        <w:t>There may also be uncertainty about the benefits and harms of discontinuing specific medicines and concern about ADWEs.</w:t>
      </w:r>
      <w:r w:rsidRPr="00056E88">
        <w:rPr>
          <w:rFonts w:ascii="Arial" w:hAnsi="Arial" w:cs="Arial"/>
          <w:bCs/>
          <w:szCs w:val="19"/>
          <w:vertAlign w:val="superscript"/>
        </w:rPr>
        <w:t>2,9,25</w:t>
      </w:r>
      <w:r w:rsidRPr="00056E88">
        <w:rPr>
          <w:rFonts w:ascii="Arial" w:hAnsi="Arial" w:cs="Arial"/>
          <w:szCs w:val="19"/>
          <w:vertAlign w:val="superscript"/>
        </w:rPr>
        <w:t xml:space="preserve"> </w:t>
      </w:r>
      <w:r w:rsidRPr="00056E88">
        <w:rPr>
          <w:rFonts w:ascii="Arial" w:hAnsi="Arial" w:cs="Arial"/>
          <w:szCs w:val="19"/>
        </w:rPr>
        <w:t xml:space="preserve">There </w:t>
      </w:r>
      <w:r w:rsidRPr="00056E88">
        <w:rPr>
          <w:rFonts w:ascii="Arial" w:hAnsi="Arial" w:cs="Arial"/>
          <w:bCs/>
          <w:szCs w:val="19"/>
        </w:rPr>
        <w:t>may be pressure to prescribe according to disease specific guidelines, which while intending to optimise care, may not be applicable to older multimorbid patients with polypharmacy.</w:t>
      </w:r>
      <w:r w:rsidRPr="00056E88">
        <w:rPr>
          <w:rFonts w:ascii="Arial" w:hAnsi="Arial" w:cs="Arial"/>
          <w:bCs/>
          <w:szCs w:val="19"/>
          <w:vertAlign w:val="superscript"/>
        </w:rPr>
        <w:t>2</w:t>
      </w:r>
      <w:r w:rsidRPr="00056E88">
        <w:rPr>
          <w:rFonts w:ascii="Arial" w:hAnsi="Arial" w:cs="Arial"/>
          <w:bCs/>
          <w:szCs w:val="19"/>
        </w:rPr>
        <w:t xml:space="preserve"> </w:t>
      </w:r>
    </w:p>
    <w:p w14:paraId="4A5E7BC8" w14:textId="77777777" w:rsidR="00BA64E6" w:rsidRDefault="00BA64E6" w:rsidP="00BA64E6">
      <w:pPr>
        <w:autoSpaceDE w:val="0"/>
        <w:autoSpaceDN w:val="0"/>
        <w:adjustRightInd w:val="0"/>
        <w:ind w:left="-284"/>
        <w:rPr>
          <w:rFonts w:ascii="Arial" w:hAnsi="Arial" w:cs="Arial"/>
          <w:bCs/>
          <w:szCs w:val="19"/>
        </w:rPr>
      </w:pPr>
    </w:p>
    <w:p w14:paraId="6A4CEDCA" w14:textId="77777777" w:rsidR="00BA64E6" w:rsidRDefault="00056E88" w:rsidP="00BA64E6">
      <w:pPr>
        <w:autoSpaceDE w:val="0"/>
        <w:autoSpaceDN w:val="0"/>
        <w:adjustRightInd w:val="0"/>
        <w:ind w:left="-284"/>
        <w:rPr>
          <w:rFonts w:ascii="Arial" w:eastAsia="Calibri" w:hAnsi="Arial" w:cs="Arial"/>
          <w:bCs/>
          <w:vertAlign w:val="superscript"/>
        </w:rPr>
      </w:pPr>
      <w:r w:rsidRPr="00056E88">
        <w:rPr>
          <w:rFonts w:ascii="Arial" w:hAnsi="Arial" w:cs="Arial"/>
          <w:bCs/>
          <w:szCs w:val="19"/>
        </w:rPr>
        <w:t xml:space="preserve">It is </w:t>
      </w:r>
      <w:r w:rsidR="00BA64E6">
        <w:rPr>
          <w:rFonts w:ascii="Arial" w:hAnsi="Arial" w:cs="Arial"/>
          <w:bCs/>
          <w:szCs w:val="19"/>
        </w:rPr>
        <w:t>essential</w:t>
      </w:r>
      <w:r w:rsidRPr="00056E88">
        <w:rPr>
          <w:rFonts w:ascii="Arial" w:hAnsi="Arial" w:cs="Arial"/>
          <w:bCs/>
          <w:szCs w:val="19"/>
        </w:rPr>
        <w:t xml:space="preserve"> to involve patients in the decision to discontinue medicines, and to get the patient’s views on the benefits and risks of the medicines.</w:t>
      </w:r>
      <w:r w:rsidRPr="00056E88">
        <w:rPr>
          <w:rFonts w:ascii="Arial" w:hAnsi="Arial" w:cs="Arial"/>
          <w:bCs/>
          <w:szCs w:val="19"/>
          <w:vertAlign w:val="superscript"/>
        </w:rPr>
        <w:t xml:space="preserve">9,27,36 </w:t>
      </w:r>
      <w:r w:rsidRPr="00056E88">
        <w:rPr>
          <w:rFonts w:ascii="Arial" w:hAnsi="Arial" w:cs="Arial"/>
          <w:bCs/>
          <w:szCs w:val="19"/>
        </w:rPr>
        <w:t>Patients may be reluctant to discontinue medicines if they think that the medicine is necessary for their condition, and in particular there may be resistance from patients to discontinue medicines that are associated with dependency,</w:t>
      </w:r>
      <w:r w:rsidRPr="00056E88">
        <w:rPr>
          <w:rFonts w:ascii="Arial" w:hAnsi="Arial" w:cs="Arial"/>
          <w:bCs/>
          <w:szCs w:val="19"/>
          <w:vertAlign w:val="superscript"/>
        </w:rPr>
        <w:t xml:space="preserve">27 </w:t>
      </w:r>
      <w:r w:rsidRPr="00056E88">
        <w:rPr>
          <w:rFonts w:ascii="Arial" w:hAnsi="Arial" w:cs="Arial"/>
          <w:bCs/>
          <w:szCs w:val="19"/>
        </w:rPr>
        <w:t>especially if there is difficulty getting access to non-pharmacological therapy.</w:t>
      </w:r>
      <w:r w:rsidRPr="00056E88">
        <w:rPr>
          <w:rFonts w:ascii="Arial" w:hAnsi="Arial" w:cs="Arial"/>
          <w:bCs/>
          <w:szCs w:val="19"/>
          <w:vertAlign w:val="superscript"/>
        </w:rPr>
        <w:t>4</w:t>
      </w:r>
      <w:r w:rsidRPr="00056E88">
        <w:rPr>
          <w:rFonts w:ascii="Arial" w:hAnsi="Arial" w:cs="Arial"/>
          <w:bCs/>
          <w:szCs w:val="19"/>
        </w:rPr>
        <w:t xml:space="preserve"> Patient engagement and education of the deprescribing process is important as these have been associated with positive outcomes.</w:t>
      </w:r>
      <w:r w:rsidRPr="00056E88">
        <w:rPr>
          <w:rFonts w:ascii="Arial" w:hAnsi="Arial" w:cs="Arial"/>
          <w:bCs/>
          <w:szCs w:val="19"/>
          <w:vertAlign w:val="superscript"/>
        </w:rPr>
        <w:t>25,37</w:t>
      </w:r>
    </w:p>
    <w:p w14:paraId="76C6BCB6" w14:textId="77777777" w:rsidR="00BA64E6" w:rsidRDefault="00BA64E6" w:rsidP="00BA64E6">
      <w:pPr>
        <w:autoSpaceDE w:val="0"/>
        <w:autoSpaceDN w:val="0"/>
        <w:adjustRightInd w:val="0"/>
        <w:ind w:left="-284"/>
        <w:rPr>
          <w:rFonts w:ascii="Arial" w:hAnsi="Arial" w:cs="Arial"/>
          <w:b/>
          <w:bCs/>
          <w:color w:val="000000"/>
        </w:rPr>
      </w:pPr>
    </w:p>
    <w:p w14:paraId="3DF618C2" w14:textId="77777777" w:rsidR="00BA64E6" w:rsidRDefault="00056E88" w:rsidP="00BA64E6">
      <w:pPr>
        <w:autoSpaceDE w:val="0"/>
        <w:autoSpaceDN w:val="0"/>
        <w:adjustRightInd w:val="0"/>
        <w:ind w:left="-284"/>
        <w:rPr>
          <w:rFonts w:ascii="Arial" w:eastAsia="Calibri" w:hAnsi="Arial" w:cs="Arial"/>
          <w:bCs/>
          <w:vertAlign w:val="superscript"/>
        </w:rPr>
      </w:pPr>
      <w:r>
        <w:rPr>
          <w:rFonts w:ascii="Arial" w:hAnsi="Arial" w:cs="Arial"/>
          <w:b/>
          <w:bCs/>
          <w:color w:val="000000"/>
        </w:rPr>
        <w:t>2.</w:t>
      </w:r>
      <w:r w:rsidR="00DF0C7D">
        <w:rPr>
          <w:rFonts w:ascii="Arial" w:hAnsi="Arial" w:cs="Arial"/>
          <w:b/>
          <w:bCs/>
          <w:color w:val="000000"/>
        </w:rPr>
        <w:t>3</w:t>
      </w:r>
      <w:r>
        <w:rPr>
          <w:rFonts w:ascii="Arial" w:hAnsi="Arial" w:cs="Arial"/>
          <w:b/>
          <w:bCs/>
          <w:color w:val="000000"/>
        </w:rPr>
        <w:t xml:space="preserve"> Approach to deprescribing </w:t>
      </w:r>
    </w:p>
    <w:p w14:paraId="724C3213" w14:textId="77777777" w:rsidR="00BA64E6" w:rsidRDefault="00BA64E6" w:rsidP="00BA64E6">
      <w:pPr>
        <w:autoSpaceDE w:val="0"/>
        <w:autoSpaceDN w:val="0"/>
        <w:adjustRightInd w:val="0"/>
        <w:ind w:left="-284"/>
        <w:rPr>
          <w:rFonts w:ascii="Arial" w:hAnsi="Arial" w:cs="Arial"/>
          <w:bCs/>
          <w:color w:val="000000" w:themeColor="text1"/>
        </w:rPr>
      </w:pPr>
    </w:p>
    <w:p w14:paraId="788FAB73" w14:textId="65BE76B7" w:rsidR="00BA64E6" w:rsidRDefault="00212A85" w:rsidP="00BA64E6">
      <w:pPr>
        <w:autoSpaceDE w:val="0"/>
        <w:autoSpaceDN w:val="0"/>
        <w:adjustRightInd w:val="0"/>
        <w:ind w:left="-284"/>
        <w:rPr>
          <w:rFonts w:ascii="Arial" w:eastAsia="Calibri" w:hAnsi="Arial" w:cs="Arial"/>
          <w:bCs/>
          <w:vertAlign w:val="superscript"/>
        </w:rPr>
      </w:pPr>
      <w:r w:rsidRPr="00212A85">
        <w:rPr>
          <w:rFonts w:ascii="Arial" w:hAnsi="Arial" w:cs="Arial"/>
          <w:bCs/>
          <w:color w:val="000000" w:themeColor="text1"/>
        </w:rPr>
        <w:t xml:space="preserve">The decision to discontinue a medicine can be quite challenging. </w:t>
      </w:r>
      <w:r w:rsidRPr="00212A85">
        <w:rPr>
          <w:rFonts w:ascii="Arial" w:eastAsia="Calibri" w:hAnsi="Arial" w:cs="Arial"/>
          <w:color w:val="000000" w:themeColor="text1"/>
          <w:lang w:eastAsia="en-IE"/>
        </w:rPr>
        <w:t xml:space="preserve">Factors to encourage deprescribing include a more prudent prescribing culture, tools to support deprescribing, shared decision-making and improved communication with patients and between </w:t>
      </w:r>
      <w:r w:rsidR="00BA64E6">
        <w:rPr>
          <w:rFonts w:ascii="Arial" w:eastAsia="Calibri" w:hAnsi="Arial" w:cs="Arial"/>
          <w:color w:val="000000" w:themeColor="text1"/>
          <w:lang w:eastAsia="en-IE"/>
        </w:rPr>
        <w:t>healthcare providers</w:t>
      </w:r>
      <w:r w:rsidRPr="00212A85">
        <w:rPr>
          <w:rFonts w:ascii="Arial" w:eastAsia="Calibri" w:hAnsi="Arial" w:cs="Arial"/>
          <w:color w:val="000000" w:themeColor="text1"/>
          <w:lang w:eastAsia="en-IE"/>
        </w:rPr>
        <w:t xml:space="preserve"> in different health settings.</w:t>
      </w:r>
      <w:r w:rsidRPr="00212A85">
        <w:rPr>
          <w:rFonts w:ascii="Arial" w:eastAsia="Calibri" w:hAnsi="Arial" w:cs="Arial"/>
          <w:color w:val="000000" w:themeColor="text1"/>
          <w:vertAlign w:val="superscript"/>
          <w:lang w:eastAsia="en-IE"/>
        </w:rPr>
        <w:t>21,34-37</w:t>
      </w:r>
      <w:r w:rsidRPr="00212A85">
        <w:rPr>
          <w:rFonts w:ascii="Arial" w:hAnsi="Arial" w:cs="Arial"/>
          <w:color w:val="000000" w:themeColor="text1"/>
        </w:rPr>
        <w:t xml:space="preserve"> </w:t>
      </w:r>
    </w:p>
    <w:p w14:paraId="419A39E5" w14:textId="77777777" w:rsidR="00BA64E6" w:rsidRDefault="00BA64E6" w:rsidP="00BA64E6">
      <w:pPr>
        <w:autoSpaceDE w:val="0"/>
        <w:autoSpaceDN w:val="0"/>
        <w:adjustRightInd w:val="0"/>
        <w:ind w:left="-284"/>
        <w:rPr>
          <w:rFonts w:ascii="Arial" w:hAnsi="Arial" w:cs="Arial"/>
          <w:bCs/>
          <w:color w:val="000000" w:themeColor="text1"/>
        </w:rPr>
      </w:pPr>
    </w:p>
    <w:p w14:paraId="66E77E01" w14:textId="5A00CEC8" w:rsidR="00212A85" w:rsidRPr="00BA64E6" w:rsidRDefault="00212A85" w:rsidP="00BA64E6">
      <w:pPr>
        <w:autoSpaceDE w:val="0"/>
        <w:autoSpaceDN w:val="0"/>
        <w:adjustRightInd w:val="0"/>
        <w:ind w:left="-284"/>
        <w:rPr>
          <w:rFonts w:ascii="Arial" w:eastAsia="Calibri" w:hAnsi="Arial" w:cs="Arial"/>
          <w:bCs/>
          <w:vertAlign w:val="superscript"/>
        </w:rPr>
      </w:pPr>
      <w:r w:rsidRPr="00212A85">
        <w:rPr>
          <w:rFonts w:ascii="Arial" w:hAnsi="Arial" w:cs="Arial"/>
          <w:bCs/>
          <w:color w:val="000000" w:themeColor="text1"/>
        </w:rPr>
        <w:t>Several deprescribing protocols have been developed, to assist clinicians in the process of deprescribing medications.</w:t>
      </w:r>
      <w:r w:rsidRPr="00212A85">
        <w:rPr>
          <w:rFonts w:ascii="Arial" w:hAnsi="Arial" w:cs="Arial"/>
          <w:bCs/>
          <w:color w:val="000000" w:themeColor="text1"/>
          <w:vertAlign w:val="superscript"/>
        </w:rPr>
        <w:t>21,38</w:t>
      </w:r>
      <w:r w:rsidRPr="00212A85">
        <w:rPr>
          <w:rFonts w:ascii="Arial" w:hAnsi="Arial" w:cs="Arial"/>
          <w:bCs/>
          <w:color w:val="000000" w:themeColor="text1"/>
        </w:rPr>
        <w:t xml:space="preserve"> Organisations that have published guidance include </w:t>
      </w:r>
      <w:hyperlink r:id="rId14" w:history="1">
        <w:r w:rsidRPr="00212A85">
          <w:rPr>
            <w:rStyle w:val="Hyperlink"/>
            <w:rFonts w:ascii="Arial" w:hAnsi="Arial" w:cs="Arial"/>
            <w:bCs/>
            <w:color w:val="000000" w:themeColor="text1"/>
          </w:rPr>
          <w:t>NHS Scotland</w:t>
        </w:r>
      </w:hyperlink>
      <w:r w:rsidRPr="00212A85">
        <w:rPr>
          <w:rFonts w:ascii="Arial" w:hAnsi="Arial" w:cs="Arial"/>
          <w:bCs/>
          <w:color w:val="000000" w:themeColor="text1"/>
        </w:rPr>
        <w:t>,</w:t>
      </w:r>
      <w:r w:rsidRPr="00212A85">
        <w:rPr>
          <w:rFonts w:ascii="Arial" w:hAnsi="Arial" w:cs="Arial"/>
          <w:bCs/>
          <w:color w:val="000000" w:themeColor="text1"/>
          <w:vertAlign w:val="superscript"/>
        </w:rPr>
        <w:t>33</w:t>
      </w:r>
      <w:r w:rsidRPr="00212A85">
        <w:rPr>
          <w:rFonts w:ascii="Arial" w:hAnsi="Arial" w:cs="Arial"/>
          <w:bCs/>
          <w:color w:val="000000" w:themeColor="text1"/>
        </w:rPr>
        <w:t xml:space="preserve"> </w:t>
      </w:r>
      <w:hyperlink r:id="rId15" w:history="1">
        <w:r w:rsidRPr="00212A85">
          <w:rPr>
            <w:rStyle w:val="Hyperlink"/>
            <w:rFonts w:ascii="Arial" w:hAnsi="Arial" w:cs="Arial"/>
            <w:bCs/>
            <w:color w:val="000000" w:themeColor="text1"/>
          </w:rPr>
          <w:t>the Canadian Deprescribing Network</w:t>
        </w:r>
      </w:hyperlink>
      <w:r w:rsidRPr="00212A85">
        <w:rPr>
          <w:rFonts w:ascii="Arial" w:hAnsi="Arial" w:cs="Arial"/>
          <w:bCs/>
          <w:color w:val="000000" w:themeColor="text1"/>
          <w:vertAlign w:val="superscript"/>
        </w:rPr>
        <w:t>39</w:t>
      </w:r>
      <w:r w:rsidRPr="00212A85">
        <w:rPr>
          <w:rFonts w:ascii="Arial" w:hAnsi="Arial" w:cs="Arial"/>
          <w:bCs/>
          <w:color w:val="000000" w:themeColor="text1"/>
        </w:rPr>
        <w:t xml:space="preserve"> and </w:t>
      </w:r>
      <w:hyperlink r:id="rId16" w:history="1">
        <w:r w:rsidRPr="00212A85">
          <w:rPr>
            <w:rStyle w:val="Hyperlink"/>
            <w:rFonts w:ascii="Arial" w:hAnsi="Arial" w:cs="Arial"/>
            <w:bCs/>
            <w:color w:val="000000" w:themeColor="text1"/>
          </w:rPr>
          <w:t>the Australian Deprescribing Network</w:t>
        </w:r>
      </w:hyperlink>
      <w:r w:rsidRPr="00212A85">
        <w:rPr>
          <w:rFonts w:ascii="Arial" w:hAnsi="Arial" w:cs="Arial"/>
          <w:bCs/>
          <w:color w:val="000000" w:themeColor="text1"/>
          <w:vertAlign w:val="superscript"/>
        </w:rPr>
        <w:t>40</w:t>
      </w:r>
      <w:r w:rsidRPr="00212A85">
        <w:rPr>
          <w:rFonts w:ascii="Arial" w:hAnsi="Arial" w:cs="Arial"/>
          <w:bCs/>
          <w:color w:val="000000" w:themeColor="text1"/>
        </w:rPr>
        <w:t xml:space="preserve"> (see </w:t>
      </w:r>
      <w:r w:rsidR="00C9766D">
        <w:rPr>
          <w:rFonts w:ascii="Arial" w:hAnsi="Arial" w:cs="Arial"/>
          <w:bCs/>
          <w:color w:val="000000" w:themeColor="text1"/>
        </w:rPr>
        <w:t>Appendix 1</w:t>
      </w:r>
      <w:r w:rsidRPr="00212A85">
        <w:rPr>
          <w:rFonts w:ascii="Arial" w:hAnsi="Arial" w:cs="Arial"/>
          <w:bCs/>
          <w:color w:val="000000" w:themeColor="text1"/>
        </w:rPr>
        <w:t xml:space="preserve">). A structured medication review, such as the NHS Scotland </w:t>
      </w:r>
      <w:r w:rsidRPr="00212A85">
        <w:rPr>
          <w:rFonts w:ascii="Arial" w:hAnsi="Arial" w:cs="Arial"/>
          <w:bCs/>
          <w:i/>
          <w:iCs/>
          <w:color w:val="000000" w:themeColor="text1"/>
        </w:rPr>
        <w:t>7 Steps</w:t>
      </w:r>
      <w:r w:rsidRPr="00212A85">
        <w:rPr>
          <w:rFonts w:ascii="Arial" w:hAnsi="Arial" w:cs="Arial"/>
          <w:bCs/>
          <w:color w:val="000000" w:themeColor="text1"/>
        </w:rPr>
        <w:t xml:space="preserve"> is an integral step in the process of deprescribing, which may identify the potential for preventable ADRs</w:t>
      </w:r>
      <w:r w:rsidR="00C9766D">
        <w:rPr>
          <w:rFonts w:ascii="Arial" w:hAnsi="Arial" w:cs="Arial"/>
          <w:bCs/>
          <w:color w:val="000000" w:themeColor="text1"/>
        </w:rPr>
        <w:t xml:space="preserve"> (see Appendix 2)</w:t>
      </w:r>
      <w:r w:rsidRPr="00212A85">
        <w:rPr>
          <w:rFonts w:ascii="Arial" w:hAnsi="Arial" w:cs="Arial"/>
          <w:bCs/>
          <w:color w:val="000000" w:themeColor="text1"/>
        </w:rPr>
        <w:t>.</w:t>
      </w:r>
      <w:r w:rsidRPr="00212A85">
        <w:rPr>
          <w:rFonts w:ascii="Arial" w:hAnsi="Arial" w:cs="Arial"/>
          <w:bCs/>
          <w:color w:val="000000" w:themeColor="text1"/>
          <w:vertAlign w:val="superscript"/>
        </w:rPr>
        <w:t xml:space="preserve">33 </w:t>
      </w:r>
      <w:r w:rsidRPr="00212A85">
        <w:rPr>
          <w:rFonts w:ascii="Arial" w:hAnsi="Arial" w:cs="Arial"/>
          <w:bCs/>
          <w:color w:val="000000" w:themeColor="text1"/>
        </w:rPr>
        <w:t>This 7 step review forms the basis for a current pilot study in several Irish practices, assessing pharmac</w:t>
      </w:r>
      <w:r w:rsidR="00531AF8">
        <w:rPr>
          <w:rFonts w:ascii="Arial" w:hAnsi="Arial" w:cs="Arial"/>
          <w:bCs/>
          <w:color w:val="000000" w:themeColor="text1"/>
        </w:rPr>
        <w:t>ist-</w:t>
      </w:r>
      <w:r w:rsidRPr="00212A85">
        <w:rPr>
          <w:rFonts w:ascii="Arial" w:hAnsi="Arial" w:cs="Arial"/>
          <w:bCs/>
          <w:color w:val="000000" w:themeColor="text1"/>
        </w:rPr>
        <w:t xml:space="preserve">led structured medication review in </w:t>
      </w:r>
      <w:r w:rsidR="00531AF8">
        <w:rPr>
          <w:rFonts w:ascii="Arial" w:hAnsi="Arial" w:cs="Arial"/>
          <w:bCs/>
          <w:color w:val="000000" w:themeColor="text1"/>
        </w:rPr>
        <w:t xml:space="preserve">aiming to </w:t>
      </w:r>
      <w:r w:rsidRPr="00212A85">
        <w:rPr>
          <w:rFonts w:ascii="Arial" w:hAnsi="Arial" w:cs="Arial"/>
          <w:bCs/>
          <w:color w:val="000000" w:themeColor="text1"/>
        </w:rPr>
        <w:t>reducing PIP in primary care.</w:t>
      </w:r>
      <w:r w:rsidRPr="00212A85">
        <w:rPr>
          <w:rFonts w:ascii="Arial" w:hAnsi="Arial" w:cs="Arial"/>
          <w:bCs/>
          <w:color w:val="000000" w:themeColor="text1"/>
          <w:vertAlign w:val="superscript"/>
        </w:rPr>
        <w:t xml:space="preserve">41 </w:t>
      </w:r>
      <w:r w:rsidRPr="00212A85">
        <w:rPr>
          <w:rFonts w:ascii="Arial" w:hAnsi="Arial" w:cs="Arial"/>
          <w:bCs/>
          <w:color w:val="000000" w:themeColor="text1"/>
        </w:rPr>
        <w:t>The third step of this process in particular may inform which medicines should be considered for deprescribing.</w:t>
      </w:r>
      <w:r w:rsidRPr="00212A85">
        <w:rPr>
          <w:rFonts w:ascii="Arial" w:hAnsi="Arial" w:cs="Arial"/>
          <w:bCs/>
          <w:color w:val="000000" w:themeColor="text1"/>
          <w:vertAlign w:val="superscript"/>
        </w:rPr>
        <w:t>33</w:t>
      </w:r>
      <w:r w:rsidRPr="00212A85">
        <w:rPr>
          <w:rFonts w:ascii="Arial" w:hAnsi="Arial" w:cs="Arial"/>
          <w:bCs/>
          <w:color w:val="000000" w:themeColor="text1"/>
        </w:rPr>
        <w:t xml:space="preserve"> This medication review</w:t>
      </w:r>
      <w:r w:rsidR="00C9766D">
        <w:rPr>
          <w:rFonts w:ascii="Arial" w:hAnsi="Arial" w:cs="Arial"/>
          <w:bCs/>
          <w:color w:val="000000" w:themeColor="text1"/>
        </w:rPr>
        <w:t xml:space="preserve"> approach</w:t>
      </w:r>
      <w:r w:rsidRPr="00212A85">
        <w:rPr>
          <w:rFonts w:ascii="Arial" w:hAnsi="Arial" w:cs="Arial"/>
          <w:bCs/>
          <w:color w:val="000000" w:themeColor="text1"/>
        </w:rPr>
        <w:t xml:space="preserve"> is outlined below in table 1.</w:t>
      </w:r>
    </w:p>
    <w:p w14:paraId="6B95E134" w14:textId="77777777" w:rsidR="00212A85" w:rsidRPr="006C1A75" w:rsidRDefault="00212A85" w:rsidP="00212A85">
      <w:pPr>
        <w:rPr>
          <w:rFonts w:ascii="Arial" w:hAnsi="Arial" w:cs="Arial"/>
          <w:b/>
          <w:color w:val="FF0000"/>
          <w:sz w:val="11"/>
          <w:szCs w:val="8"/>
        </w:rPr>
      </w:pPr>
    </w:p>
    <w:p w14:paraId="6FED6E64" w14:textId="6A876892" w:rsidR="00212A85" w:rsidRPr="006C1A75" w:rsidRDefault="00212A85" w:rsidP="00212A85">
      <w:pPr>
        <w:rPr>
          <w:rFonts w:ascii="Arial" w:hAnsi="Arial" w:cs="Arial"/>
          <w:b/>
          <w:color w:val="000000" w:themeColor="text1"/>
          <w:szCs w:val="19"/>
          <w:vertAlign w:val="superscript"/>
        </w:rPr>
      </w:pPr>
      <w:r w:rsidRPr="006C1A75">
        <w:rPr>
          <w:rFonts w:ascii="Arial" w:hAnsi="Arial" w:cs="Arial"/>
          <w:b/>
          <w:color w:val="000000" w:themeColor="text1"/>
          <w:szCs w:val="19"/>
        </w:rPr>
        <w:t xml:space="preserve">Table 1: </w:t>
      </w:r>
      <w:r w:rsidRPr="006C1A75">
        <w:rPr>
          <w:rFonts w:ascii="Arial" w:hAnsi="Arial" w:cs="Arial"/>
          <w:b/>
          <w:i/>
          <w:color w:val="000000" w:themeColor="text1"/>
          <w:szCs w:val="19"/>
        </w:rPr>
        <w:t>7 Steps</w:t>
      </w:r>
      <w:r w:rsidRPr="006C1A75">
        <w:rPr>
          <w:rFonts w:ascii="Arial" w:hAnsi="Arial" w:cs="Arial"/>
          <w:b/>
          <w:color w:val="000000" w:themeColor="text1"/>
          <w:szCs w:val="19"/>
        </w:rPr>
        <w:t xml:space="preserve"> Medication Review</w:t>
      </w:r>
      <w:r w:rsidR="00D44AF0">
        <w:rPr>
          <w:rFonts w:ascii="Arial" w:hAnsi="Arial" w:cs="Arial"/>
          <w:b/>
          <w:color w:val="000000" w:themeColor="text1"/>
          <w:szCs w:val="19"/>
          <w:vertAlign w:val="superscript"/>
        </w:rPr>
        <w:t xml:space="preserve"> 33</w:t>
      </w:r>
    </w:p>
    <w:tbl>
      <w:tblPr>
        <w:tblStyle w:val="TableGrid"/>
        <w:tblW w:w="0" w:type="auto"/>
        <w:shd w:val="clear" w:color="auto" w:fill="D9D9D9" w:themeFill="background1" w:themeFillShade="D9"/>
        <w:tblLook w:val="04A0" w:firstRow="1" w:lastRow="0" w:firstColumn="1" w:lastColumn="0" w:noHBand="0" w:noVBand="1"/>
      </w:tblPr>
      <w:tblGrid>
        <w:gridCol w:w="1271"/>
        <w:gridCol w:w="7513"/>
      </w:tblGrid>
      <w:tr w:rsidR="00212A85" w:rsidRPr="00784591" w14:paraId="78AF0E64" w14:textId="77777777" w:rsidTr="00531AF8">
        <w:tc>
          <w:tcPr>
            <w:tcW w:w="1271" w:type="dxa"/>
            <w:shd w:val="clear" w:color="auto" w:fill="D9D9D9" w:themeFill="background1" w:themeFillShade="D9"/>
          </w:tcPr>
          <w:p w14:paraId="02B0DEC1" w14:textId="77777777" w:rsidR="00212A85" w:rsidRPr="00531AF8" w:rsidRDefault="00212A85" w:rsidP="002B1C15">
            <w:pPr>
              <w:rPr>
                <w:rFonts w:ascii="Arial" w:hAnsi="Arial" w:cs="Arial"/>
                <w:b/>
                <w:bCs/>
                <w:szCs w:val="16"/>
              </w:rPr>
            </w:pPr>
            <w:r w:rsidRPr="00531AF8">
              <w:rPr>
                <w:rFonts w:ascii="Arial" w:hAnsi="Arial" w:cs="Arial"/>
                <w:b/>
                <w:bCs/>
                <w:szCs w:val="16"/>
              </w:rPr>
              <w:t>Step 1</w:t>
            </w:r>
          </w:p>
        </w:tc>
        <w:tc>
          <w:tcPr>
            <w:tcW w:w="7513" w:type="dxa"/>
            <w:shd w:val="clear" w:color="auto" w:fill="D9D9D9" w:themeFill="background1" w:themeFillShade="D9"/>
          </w:tcPr>
          <w:p w14:paraId="565E3F4B" w14:textId="77777777" w:rsidR="00212A85" w:rsidRPr="00531AF8" w:rsidRDefault="00212A85" w:rsidP="002B1C15">
            <w:pPr>
              <w:rPr>
                <w:rFonts w:ascii="Arial" w:hAnsi="Arial" w:cs="Arial"/>
                <w:szCs w:val="16"/>
              </w:rPr>
            </w:pPr>
            <w:r w:rsidRPr="00531AF8">
              <w:rPr>
                <w:rFonts w:ascii="Arial" w:hAnsi="Arial" w:cs="Arial"/>
                <w:szCs w:val="16"/>
              </w:rPr>
              <w:t>Review diagnoses and identify therapeutic objectives</w:t>
            </w:r>
          </w:p>
        </w:tc>
      </w:tr>
      <w:tr w:rsidR="00212A85" w:rsidRPr="00784591" w14:paraId="4955317D" w14:textId="77777777" w:rsidTr="00531AF8">
        <w:tc>
          <w:tcPr>
            <w:tcW w:w="1271" w:type="dxa"/>
            <w:shd w:val="clear" w:color="auto" w:fill="D9D9D9" w:themeFill="background1" w:themeFillShade="D9"/>
          </w:tcPr>
          <w:p w14:paraId="6EC8039E" w14:textId="77777777" w:rsidR="00212A85" w:rsidRPr="00531AF8" w:rsidRDefault="00212A85" w:rsidP="002B1C15">
            <w:pPr>
              <w:rPr>
                <w:rFonts w:ascii="Arial" w:hAnsi="Arial" w:cs="Arial"/>
                <w:b/>
                <w:bCs/>
                <w:szCs w:val="16"/>
              </w:rPr>
            </w:pPr>
            <w:r w:rsidRPr="00531AF8">
              <w:rPr>
                <w:rFonts w:ascii="Arial" w:hAnsi="Arial" w:cs="Arial"/>
                <w:b/>
                <w:bCs/>
                <w:szCs w:val="16"/>
              </w:rPr>
              <w:t>Step 2</w:t>
            </w:r>
          </w:p>
        </w:tc>
        <w:tc>
          <w:tcPr>
            <w:tcW w:w="7513" w:type="dxa"/>
            <w:shd w:val="clear" w:color="auto" w:fill="D9D9D9" w:themeFill="background1" w:themeFillShade="D9"/>
          </w:tcPr>
          <w:p w14:paraId="0A3FB6D1" w14:textId="77777777" w:rsidR="00212A85" w:rsidRPr="00531AF8" w:rsidRDefault="00212A85" w:rsidP="002B1C15">
            <w:pPr>
              <w:rPr>
                <w:rFonts w:ascii="Arial" w:hAnsi="Arial" w:cs="Arial"/>
                <w:szCs w:val="16"/>
              </w:rPr>
            </w:pPr>
            <w:r w:rsidRPr="00531AF8">
              <w:rPr>
                <w:rFonts w:ascii="Arial" w:hAnsi="Arial" w:cs="Arial"/>
                <w:szCs w:val="16"/>
              </w:rPr>
              <w:t>Identify essential drugs</w:t>
            </w:r>
          </w:p>
        </w:tc>
      </w:tr>
      <w:tr w:rsidR="00212A85" w:rsidRPr="00784591" w14:paraId="366F4ABC" w14:textId="77777777" w:rsidTr="00531AF8">
        <w:tc>
          <w:tcPr>
            <w:tcW w:w="1271" w:type="dxa"/>
            <w:shd w:val="clear" w:color="auto" w:fill="D9D9D9" w:themeFill="background1" w:themeFillShade="D9"/>
          </w:tcPr>
          <w:p w14:paraId="64585FC6" w14:textId="77777777" w:rsidR="00212A85" w:rsidRPr="00531AF8" w:rsidRDefault="00212A85" w:rsidP="002B1C15">
            <w:pPr>
              <w:rPr>
                <w:rFonts w:ascii="Arial" w:hAnsi="Arial" w:cs="Arial"/>
                <w:b/>
                <w:bCs/>
                <w:szCs w:val="16"/>
              </w:rPr>
            </w:pPr>
            <w:r w:rsidRPr="00531AF8">
              <w:rPr>
                <w:rFonts w:ascii="Arial" w:hAnsi="Arial" w:cs="Arial"/>
                <w:b/>
                <w:bCs/>
                <w:szCs w:val="16"/>
              </w:rPr>
              <w:t>Step 3</w:t>
            </w:r>
          </w:p>
        </w:tc>
        <w:tc>
          <w:tcPr>
            <w:tcW w:w="7513" w:type="dxa"/>
            <w:shd w:val="clear" w:color="auto" w:fill="D9D9D9" w:themeFill="background1" w:themeFillShade="D9"/>
          </w:tcPr>
          <w:p w14:paraId="2D5F2731" w14:textId="77777777" w:rsidR="00212A85" w:rsidRPr="00531AF8" w:rsidRDefault="00212A85" w:rsidP="002B1C15">
            <w:pPr>
              <w:rPr>
                <w:rFonts w:ascii="Arial" w:hAnsi="Arial" w:cs="Arial"/>
                <w:szCs w:val="16"/>
              </w:rPr>
            </w:pPr>
            <w:r w:rsidRPr="00531AF8">
              <w:rPr>
                <w:rFonts w:ascii="Arial" w:hAnsi="Arial" w:cs="Arial"/>
                <w:szCs w:val="16"/>
              </w:rPr>
              <w:t>Identify and review the continued need for drugs</w:t>
            </w:r>
          </w:p>
        </w:tc>
      </w:tr>
      <w:tr w:rsidR="00212A85" w:rsidRPr="00784591" w14:paraId="5DA74A57" w14:textId="77777777" w:rsidTr="00531AF8">
        <w:tc>
          <w:tcPr>
            <w:tcW w:w="1271" w:type="dxa"/>
            <w:shd w:val="clear" w:color="auto" w:fill="D9D9D9" w:themeFill="background1" w:themeFillShade="D9"/>
          </w:tcPr>
          <w:p w14:paraId="6692D028" w14:textId="77777777" w:rsidR="00212A85" w:rsidRPr="00531AF8" w:rsidRDefault="00212A85" w:rsidP="002B1C15">
            <w:pPr>
              <w:rPr>
                <w:rFonts w:ascii="Arial" w:hAnsi="Arial" w:cs="Arial"/>
                <w:b/>
                <w:bCs/>
                <w:szCs w:val="16"/>
              </w:rPr>
            </w:pPr>
            <w:r w:rsidRPr="00531AF8">
              <w:rPr>
                <w:rFonts w:ascii="Arial" w:hAnsi="Arial" w:cs="Arial"/>
                <w:b/>
                <w:bCs/>
                <w:szCs w:val="16"/>
              </w:rPr>
              <w:t>Step 4</w:t>
            </w:r>
          </w:p>
        </w:tc>
        <w:tc>
          <w:tcPr>
            <w:tcW w:w="7513" w:type="dxa"/>
            <w:shd w:val="clear" w:color="auto" w:fill="D9D9D9" w:themeFill="background1" w:themeFillShade="D9"/>
          </w:tcPr>
          <w:p w14:paraId="294881C6" w14:textId="77777777" w:rsidR="00212A85" w:rsidRPr="00531AF8" w:rsidRDefault="00212A85" w:rsidP="002B1C15">
            <w:pPr>
              <w:rPr>
                <w:rFonts w:ascii="Arial" w:hAnsi="Arial" w:cs="Arial"/>
                <w:szCs w:val="16"/>
              </w:rPr>
            </w:pPr>
            <w:r w:rsidRPr="00531AF8">
              <w:rPr>
                <w:rFonts w:ascii="Arial" w:hAnsi="Arial" w:cs="Arial"/>
                <w:szCs w:val="16"/>
              </w:rPr>
              <w:t>Identify the need for adding/intensifying drug therapy in order to achieve therapeutic objectives</w:t>
            </w:r>
          </w:p>
        </w:tc>
      </w:tr>
      <w:tr w:rsidR="00212A85" w:rsidRPr="00784591" w14:paraId="60CCEF6B" w14:textId="77777777" w:rsidTr="00531AF8">
        <w:tc>
          <w:tcPr>
            <w:tcW w:w="1271" w:type="dxa"/>
            <w:shd w:val="clear" w:color="auto" w:fill="D9D9D9" w:themeFill="background1" w:themeFillShade="D9"/>
          </w:tcPr>
          <w:p w14:paraId="75DBDB65" w14:textId="77777777" w:rsidR="00212A85" w:rsidRPr="00531AF8" w:rsidRDefault="00212A85" w:rsidP="002B1C15">
            <w:pPr>
              <w:rPr>
                <w:rFonts w:ascii="Arial" w:hAnsi="Arial" w:cs="Arial"/>
                <w:b/>
                <w:bCs/>
                <w:szCs w:val="16"/>
              </w:rPr>
            </w:pPr>
            <w:r w:rsidRPr="00531AF8">
              <w:rPr>
                <w:rFonts w:ascii="Arial" w:hAnsi="Arial" w:cs="Arial"/>
                <w:b/>
                <w:bCs/>
                <w:szCs w:val="16"/>
              </w:rPr>
              <w:t>Step 5</w:t>
            </w:r>
          </w:p>
        </w:tc>
        <w:tc>
          <w:tcPr>
            <w:tcW w:w="7513" w:type="dxa"/>
            <w:shd w:val="clear" w:color="auto" w:fill="D9D9D9" w:themeFill="background1" w:themeFillShade="D9"/>
          </w:tcPr>
          <w:p w14:paraId="0E7CB232" w14:textId="77777777" w:rsidR="00212A85" w:rsidRPr="00531AF8" w:rsidRDefault="00212A85" w:rsidP="002B1C15">
            <w:pPr>
              <w:rPr>
                <w:rFonts w:ascii="Arial" w:hAnsi="Arial" w:cs="Arial"/>
                <w:szCs w:val="16"/>
              </w:rPr>
            </w:pPr>
            <w:r w:rsidRPr="00531AF8">
              <w:rPr>
                <w:rFonts w:ascii="Arial" w:hAnsi="Arial" w:cs="Arial"/>
                <w:szCs w:val="16"/>
              </w:rPr>
              <w:t>Identify patient safety risks and identify adverse drug effects</w:t>
            </w:r>
          </w:p>
        </w:tc>
      </w:tr>
      <w:tr w:rsidR="00212A85" w:rsidRPr="00784591" w14:paraId="64A45B55" w14:textId="77777777" w:rsidTr="00531AF8">
        <w:tc>
          <w:tcPr>
            <w:tcW w:w="1271" w:type="dxa"/>
            <w:shd w:val="clear" w:color="auto" w:fill="D9D9D9" w:themeFill="background1" w:themeFillShade="D9"/>
          </w:tcPr>
          <w:p w14:paraId="3109D21C" w14:textId="77777777" w:rsidR="00212A85" w:rsidRPr="00531AF8" w:rsidRDefault="00212A85" w:rsidP="002B1C15">
            <w:pPr>
              <w:rPr>
                <w:rFonts w:ascii="Arial" w:hAnsi="Arial" w:cs="Arial"/>
                <w:b/>
                <w:bCs/>
                <w:szCs w:val="16"/>
              </w:rPr>
            </w:pPr>
            <w:r w:rsidRPr="00531AF8">
              <w:rPr>
                <w:rFonts w:ascii="Arial" w:hAnsi="Arial" w:cs="Arial"/>
                <w:b/>
                <w:bCs/>
                <w:szCs w:val="16"/>
              </w:rPr>
              <w:t>Step 6</w:t>
            </w:r>
          </w:p>
        </w:tc>
        <w:tc>
          <w:tcPr>
            <w:tcW w:w="7513" w:type="dxa"/>
            <w:shd w:val="clear" w:color="auto" w:fill="D9D9D9" w:themeFill="background1" w:themeFillShade="D9"/>
          </w:tcPr>
          <w:p w14:paraId="60CE47C6" w14:textId="77777777" w:rsidR="00212A85" w:rsidRPr="00531AF8" w:rsidRDefault="00212A85" w:rsidP="002B1C15">
            <w:pPr>
              <w:rPr>
                <w:rFonts w:ascii="Arial" w:hAnsi="Arial" w:cs="Arial"/>
                <w:szCs w:val="16"/>
              </w:rPr>
            </w:pPr>
            <w:r w:rsidRPr="00531AF8">
              <w:rPr>
                <w:rFonts w:ascii="Arial" w:hAnsi="Arial" w:cs="Arial"/>
                <w:szCs w:val="16"/>
              </w:rPr>
              <w:t>Identify unnecessarily costly drug therapy</w:t>
            </w:r>
          </w:p>
        </w:tc>
      </w:tr>
      <w:tr w:rsidR="00212A85" w:rsidRPr="00784591" w14:paraId="00045833" w14:textId="77777777" w:rsidTr="00531AF8">
        <w:tc>
          <w:tcPr>
            <w:tcW w:w="1271" w:type="dxa"/>
            <w:shd w:val="clear" w:color="auto" w:fill="D9D9D9" w:themeFill="background1" w:themeFillShade="D9"/>
          </w:tcPr>
          <w:p w14:paraId="1050B502" w14:textId="77777777" w:rsidR="00212A85" w:rsidRPr="00531AF8" w:rsidRDefault="00212A85" w:rsidP="002B1C15">
            <w:pPr>
              <w:rPr>
                <w:rFonts w:ascii="Arial" w:hAnsi="Arial" w:cs="Arial"/>
                <w:b/>
                <w:bCs/>
                <w:szCs w:val="16"/>
              </w:rPr>
            </w:pPr>
            <w:r w:rsidRPr="00531AF8">
              <w:rPr>
                <w:rFonts w:ascii="Arial" w:hAnsi="Arial" w:cs="Arial"/>
                <w:b/>
                <w:bCs/>
                <w:szCs w:val="16"/>
              </w:rPr>
              <w:t>Step 7</w:t>
            </w:r>
          </w:p>
        </w:tc>
        <w:tc>
          <w:tcPr>
            <w:tcW w:w="7513" w:type="dxa"/>
            <w:shd w:val="clear" w:color="auto" w:fill="D9D9D9" w:themeFill="background1" w:themeFillShade="D9"/>
          </w:tcPr>
          <w:p w14:paraId="033CBB23" w14:textId="77777777" w:rsidR="00212A85" w:rsidRPr="00531AF8" w:rsidRDefault="00212A85" w:rsidP="002B1C15">
            <w:pPr>
              <w:rPr>
                <w:rFonts w:ascii="Arial" w:hAnsi="Arial" w:cs="Arial"/>
                <w:szCs w:val="16"/>
              </w:rPr>
            </w:pPr>
            <w:r w:rsidRPr="00531AF8">
              <w:rPr>
                <w:rFonts w:ascii="Arial" w:hAnsi="Arial" w:cs="Arial"/>
                <w:szCs w:val="16"/>
              </w:rPr>
              <w:t>Ensure patient understands the outcomes of the review</w:t>
            </w:r>
          </w:p>
          <w:p w14:paraId="4BE3E40A" w14:textId="77777777" w:rsidR="00212A85" w:rsidRPr="00531AF8" w:rsidRDefault="00212A85" w:rsidP="002B1C15">
            <w:pPr>
              <w:rPr>
                <w:rFonts w:ascii="Arial" w:hAnsi="Arial" w:cs="Arial"/>
                <w:szCs w:val="16"/>
              </w:rPr>
            </w:pPr>
            <w:r w:rsidRPr="00531AF8">
              <w:rPr>
                <w:rFonts w:ascii="Arial" w:hAnsi="Arial" w:cs="Arial"/>
                <w:szCs w:val="16"/>
              </w:rPr>
              <w:t>Ensure drug therapy changes are tailored to patient preferences</w:t>
            </w:r>
          </w:p>
          <w:p w14:paraId="00B02191" w14:textId="77777777" w:rsidR="00212A85" w:rsidRPr="00531AF8" w:rsidRDefault="00212A85" w:rsidP="002B1C15">
            <w:pPr>
              <w:rPr>
                <w:rFonts w:ascii="Arial" w:hAnsi="Arial" w:cs="Arial"/>
                <w:szCs w:val="16"/>
              </w:rPr>
            </w:pPr>
            <w:r w:rsidRPr="00531AF8">
              <w:rPr>
                <w:rFonts w:ascii="Arial" w:hAnsi="Arial" w:cs="Arial"/>
                <w:szCs w:val="16"/>
              </w:rPr>
              <w:t>Agree and communicate plan</w:t>
            </w:r>
          </w:p>
        </w:tc>
      </w:tr>
    </w:tbl>
    <w:p w14:paraId="1A983408" w14:textId="77777777" w:rsidR="00212A85" w:rsidRDefault="00212A85" w:rsidP="00212A85">
      <w:pPr>
        <w:rPr>
          <w:rFonts w:ascii="Arial" w:hAnsi="Arial" w:cs="Arial"/>
          <w:bCs/>
          <w:szCs w:val="19"/>
        </w:rPr>
      </w:pPr>
    </w:p>
    <w:p w14:paraId="41B84990" w14:textId="2E6CAF92" w:rsidR="00212A85" w:rsidRPr="00212A85" w:rsidRDefault="00212A85" w:rsidP="00212A85">
      <w:pPr>
        <w:rPr>
          <w:rFonts w:ascii="Arial" w:hAnsi="Arial" w:cs="Arial"/>
          <w:bCs/>
          <w:szCs w:val="19"/>
        </w:rPr>
      </w:pPr>
      <w:r w:rsidRPr="00212A85">
        <w:rPr>
          <w:rFonts w:ascii="Arial" w:hAnsi="Arial" w:cs="Arial"/>
          <w:bCs/>
          <w:szCs w:val="19"/>
        </w:rPr>
        <w:lastRenderedPageBreak/>
        <w:t>There are several screening tools to help identify PIP (e.g. Screening Tool of Older Persons Prescriptions - STOPP, Screening Tool to Alert doctors to Right Treatments – START</w:t>
      </w:r>
      <w:r w:rsidRPr="00212A85">
        <w:rPr>
          <w:rFonts w:ascii="Arial" w:hAnsi="Arial" w:cs="Arial"/>
          <w:bCs/>
          <w:szCs w:val="19"/>
          <w:vertAlign w:val="superscript"/>
        </w:rPr>
        <w:t>42</w:t>
      </w:r>
      <w:r w:rsidRPr="00212A85">
        <w:rPr>
          <w:rFonts w:ascii="Arial" w:hAnsi="Arial" w:cs="Arial"/>
          <w:bCs/>
          <w:szCs w:val="19"/>
        </w:rPr>
        <w:t xml:space="preserve"> and Prescribing Optimally in Middle-aged People’s Treatments [PROMPT]).</w:t>
      </w:r>
      <w:r w:rsidRPr="00212A85">
        <w:rPr>
          <w:rFonts w:ascii="Arial" w:hAnsi="Arial" w:cs="Arial"/>
          <w:bCs/>
          <w:szCs w:val="19"/>
          <w:vertAlign w:val="superscript"/>
        </w:rPr>
        <w:t>43</w:t>
      </w:r>
      <w:r w:rsidRPr="00212A85">
        <w:rPr>
          <w:rFonts w:ascii="Arial" w:hAnsi="Arial" w:cs="Arial"/>
          <w:bCs/>
          <w:szCs w:val="19"/>
        </w:rPr>
        <w:t xml:space="preserve"> The aim of these tools is not deprescribing as such, however the screening tools can be a useful aid in reviewing a patient’s medications in order to identify potentially inappropriate medicines that could be deprescribed, although their use does not replace clinical judgement in individual cases. </w:t>
      </w:r>
      <w:r w:rsidRPr="00212A85">
        <w:rPr>
          <w:rFonts w:ascii="Arial" w:hAnsi="Arial" w:cs="Arial"/>
          <w:bCs/>
          <w:color w:val="000000" w:themeColor="text1"/>
          <w:szCs w:val="19"/>
        </w:rPr>
        <w:t>In certain circumstances, a potentially inappropriate medicine may actually be appropriate, if the benefits outweigh the risks or if following consultation with the patient a shared decision is made to continue its use.</w:t>
      </w:r>
      <w:r w:rsidRPr="00E53FA4">
        <w:rPr>
          <w:rFonts w:ascii="Arial" w:hAnsi="Arial" w:cs="Arial"/>
          <w:bCs/>
          <w:szCs w:val="19"/>
          <w:vertAlign w:val="superscript"/>
        </w:rPr>
        <w:t>5,9</w:t>
      </w:r>
      <w:r w:rsidRPr="00D508A9">
        <w:rPr>
          <w:rFonts w:ascii="Arial" w:hAnsi="Arial" w:cs="Arial"/>
          <w:bCs/>
          <w:szCs w:val="19"/>
        </w:rPr>
        <w:t xml:space="preserve"> </w:t>
      </w:r>
      <w:proofErr w:type="spellStart"/>
      <w:r w:rsidRPr="00212A85">
        <w:rPr>
          <w:rFonts w:ascii="Arial" w:hAnsi="Arial" w:cs="Arial"/>
          <w:bCs/>
          <w:szCs w:val="19"/>
        </w:rPr>
        <w:t>STOPPFrail</w:t>
      </w:r>
      <w:proofErr w:type="spellEnd"/>
      <w:r w:rsidRPr="00212A85">
        <w:rPr>
          <w:rFonts w:ascii="Arial" w:hAnsi="Arial" w:cs="Arial"/>
          <w:bCs/>
          <w:szCs w:val="19"/>
        </w:rPr>
        <w:t xml:space="preserve"> is a further tool that was developed to assist clinicians with deprescribing decisions in older people approaching end of life.</w:t>
      </w:r>
      <w:r w:rsidRPr="00212A85">
        <w:rPr>
          <w:rFonts w:ascii="Arial" w:hAnsi="Arial" w:cs="Arial"/>
          <w:bCs/>
          <w:szCs w:val="19"/>
          <w:vertAlign w:val="superscript"/>
        </w:rPr>
        <w:t>44-47</w:t>
      </w:r>
      <w:r w:rsidRPr="00212A85">
        <w:rPr>
          <w:rFonts w:ascii="Arial" w:hAnsi="Arial" w:cs="Arial"/>
          <w:bCs/>
          <w:szCs w:val="19"/>
        </w:rPr>
        <w:t xml:space="preserve"> </w:t>
      </w:r>
    </w:p>
    <w:p w14:paraId="458294D9" w14:textId="77777777" w:rsidR="00531AF8" w:rsidRDefault="00531AF8" w:rsidP="00212A85">
      <w:pPr>
        <w:rPr>
          <w:rFonts w:ascii="Arial" w:hAnsi="Arial" w:cs="Arial"/>
          <w:szCs w:val="19"/>
        </w:rPr>
      </w:pPr>
    </w:p>
    <w:p w14:paraId="1BE4833B" w14:textId="77777777" w:rsidR="00531AF8" w:rsidRDefault="00531AF8" w:rsidP="00212A85">
      <w:pPr>
        <w:rPr>
          <w:rFonts w:ascii="Arial" w:hAnsi="Arial" w:cs="Arial"/>
          <w:szCs w:val="19"/>
        </w:rPr>
      </w:pPr>
    </w:p>
    <w:p w14:paraId="265F23E2" w14:textId="288B285B" w:rsidR="00C42A65" w:rsidRPr="00F772D9" w:rsidRDefault="00212A85" w:rsidP="00C42A65">
      <w:pPr>
        <w:rPr>
          <w:rFonts w:ascii="Arial" w:hAnsi="Arial" w:cs="Arial"/>
          <w:szCs w:val="19"/>
        </w:rPr>
      </w:pPr>
      <w:r w:rsidRPr="00212A85">
        <w:rPr>
          <w:rFonts w:ascii="Arial" w:hAnsi="Arial" w:cs="Arial"/>
          <w:szCs w:val="19"/>
        </w:rPr>
        <w:t xml:space="preserve">Figure 1 provides an algorithm for how a medicine might be discontinued. </w:t>
      </w:r>
    </w:p>
    <w:p w14:paraId="60EED27C" w14:textId="77777777" w:rsidR="00C42A65" w:rsidRDefault="00C42A65" w:rsidP="00C42A65">
      <w:pPr>
        <w:rPr>
          <w:rFonts w:ascii="Arial" w:hAnsi="Arial" w:cs="Arial"/>
          <w:b/>
          <w:bCs/>
          <w:szCs w:val="19"/>
        </w:rPr>
      </w:pPr>
    </w:p>
    <w:p w14:paraId="1586344E" w14:textId="2AF054B8" w:rsidR="00C42A65" w:rsidRPr="00C42A65" w:rsidRDefault="00C42A65" w:rsidP="00C42A65">
      <w:pPr>
        <w:rPr>
          <w:rFonts w:ascii="Arial" w:hAnsi="Arial" w:cs="Arial"/>
          <w:b/>
          <w:szCs w:val="19"/>
        </w:rPr>
      </w:pPr>
      <w:r w:rsidRPr="00C42A65">
        <w:rPr>
          <w:rFonts w:ascii="Arial" w:hAnsi="Arial" w:cs="Arial"/>
          <w:b/>
          <w:bCs/>
          <w:szCs w:val="19"/>
        </w:rPr>
        <w:t>Figure 1: Algorithm for deciding order and mode in which drug use could be discontinued</w:t>
      </w:r>
      <w:r w:rsidRPr="00C42A65">
        <w:rPr>
          <w:rFonts w:ascii="Arial" w:hAnsi="Arial" w:cs="Arial"/>
          <w:b/>
          <w:bCs/>
          <w:szCs w:val="19"/>
          <w:vertAlign w:val="superscript"/>
        </w:rPr>
        <w:t>21</w:t>
      </w:r>
    </w:p>
    <w:p w14:paraId="58915632" w14:textId="77777777" w:rsidR="00C42A65" w:rsidRPr="00C42A65" w:rsidRDefault="00C42A65" w:rsidP="00C42A65">
      <w:pPr>
        <w:rPr>
          <w:rFonts w:ascii="Arial" w:hAnsi="Arial" w:cs="Arial"/>
          <w:b/>
          <w:szCs w:val="19"/>
        </w:rPr>
      </w:pPr>
      <w:r w:rsidRPr="00C42A65">
        <w:rPr>
          <w:rFonts w:ascii="Arial" w:hAnsi="Arial" w:cs="Arial"/>
          <w:b/>
          <w:bCs/>
          <w:noProof/>
          <w:szCs w:val="19"/>
          <w:lang w:eastAsia="en-IE"/>
        </w:rPr>
        <w:drawing>
          <wp:inline distT="0" distB="0" distL="0" distR="0" wp14:anchorId="3D76265C" wp14:editId="2ADACBF6">
            <wp:extent cx="4951562" cy="3053715"/>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of deprescribing algorithm.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987740" cy="3076027"/>
                    </a:xfrm>
                    <a:prstGeom prst="rect">
                      <a:avLst/>
                    </a:prstGeom>
                  </pic:spPr>
                </pic:pic>
              </a:graphicData>
            </a:graphic>
          </wp:inline>
        </w:drawing>
      </w:r>
    </w:p>
    <w:p w14:paraId="5AA4AF67" w14:textId="7077925D" w:rsidR="00C42A65" w:rsidRPr="00C42A65" w:rsidRDefault="00C42A65" w:rsidP="00C42A65">
      <w:pPr>
        <w:rPr>
          <w:rFonts w:ascii="Arial" w:hAnsi="Arial" w:cs="Arial"/>
          <w:sz w:val="21"/>
          <w:szCs w:val="19"/>
        </w:rPr>
      </w:pPr>
      <w:r>
        <w:rPr>
          <w:rFonts w:ascii="Arial" w:hAnsi="Arial" w:cs="Arial"/>
          <w:sz w:val="21"/>
          <w:szCs w:val="19"/>
        </w:rPr>
        <w:t xml:space="preserve">Ref: </w:t>
      </w:r>
      <w:r w:rsidRPr="00C42A65">
        <w:rPr>
          <w:rFonts w:ascii="Arial" w:hAnsi="Arial" w:cs="Arial"/>
          <w:sz w:val="21"/>
          <w:szCs w:val="19"/>
        </w:rPr>
        <w:t xml:space="preserve">Scott I, </w:t>
      </w:r>
      <w:proofErr w:type="spellStart"/>
      <w:r w:rsidRPr="00C42A65">
        <w:rPr>
          <w:rFonts w:ascii="Arial" w:hAnsi="Arial" w:cs="Arial"/>
          <w:sz w:val="21"/>
          <w:szCs w:val="19"/>
        </w:rPr>
        <w:t>Hilmer</w:t>
      </w:r>
      <w:proofErr w:type="spellEnd"/>
      <w:r w:rsidRPr="00C42A65">
        <w:rPr>
          <w:rFonts w:ascii="Arial" w:hAnsi="Arial" w:cs="Arial"/>
          <w:sz w:val="21"/>
          <w:szCs w:val="19"/>
        </w:rPr>
        <w:t xml:space="preserve"> S, Reeve E et al, Reducing Inappropriate Polypharmacy - The Process of Deprescribing, JAMA Internal Medicine 2015;175(5):827-834</w:t>
      </w:r>
    </w:p>
    <w:p w14:paraId="69B47090" w14:textId="77777777" w:rsidR="00C42A65" w:rsidRDefault="00C42A65" w:rsidP="00C42A65">
      <w:pPr>
        <w:rPr>
          <w:rFonts w:ascii="Arial" w:hAnsi="Arial" w:cs="Arial"/>
          <w:szCs w:val="19"/>
        </w:rPr>
      </w:pPr>
    </w:p>
    <w:p w14:paraId="5B32CE16" w14:textId="77777777" w:rsidR="00C42A65" w:rsidRDefault="00C42A65" w:rsidP="00C42A65">
      <w:pPr>
        <w:rPr>
          <w:rFonts w:ascii="Arial" w:hAnsi="Arial" w:cs="Arial"/>
          <w:szCs w:val="19"/>
        </w:rPr>
      </w:pPr>
    </w:p>
    <w:p w14:paraId="7AE9EA31" w14:textId="4A4F31B5" w:rsidR="00C42A65" w:rsidRPr="00C42A65" w:rsidRDefault="00C42A65" w:rsidP="00C42A65">
      <w:pPr>
        <w:rPr>
          <w:rFonts w:ascii="Arial" w:hAnsi="Arial" w:cs="Arial"/>
          <w:szCs w:val="19"/>
        </w:rPr>
      </w:pPr>
      <w:r w:rsidRPr="00C42A65">
        <w:rPr>
          <w:rFonts w:ascii="Arial" w:hAnsi="Arial" w:cs="Arial"/>
          <w:szCs w:val="19"/>
        </w:rPr>
        <w:t>It is important to get as much information as possible about the potentially inappropriate medicine such as 1) the original prescriber, indication and planned treatment duration, 2) whether the medicine is still effective, 3) whether the medicine was originally prescribed to treat an ADR of another medicine (e.g. prescribing cascade) and 4) whether alternative non-pharmacological options are available.</w:t>
      </w:r>
      <w:r w:rsidRPr="00C42A65">
        <w:rPr>
          <w:rFonts w:ascii="Arial" w:hAnsi="Arial" w:cs="Arial"/>
          <w:szCs w:val="19"/>
          <w:vertAlign w:val="superscript"/>
        </w:rPr>
        <w:t xml:space="preserve">21 </w:t>
      </w:r>
      <w:r w:rsidRPr="00C42A65">
        <w:rPr>
          <w:rFonts w:ascii="Arial" w:hAnsi="Arial" w:cs="Arial"/>
          <w:szCs w:val="19"/>
        </w:rPr>
        <w:t xml:space="preserve">If a number of potentially inappropriate medicines have been identified, one medicine should be deprescribed at a time so that any benefits </w:t>
      </w:r>
      <w:r w:rsidRPr="00C42A65">
        <w:rPr>
          <w:rFonts w:ascii="Arial" w:hAnsi="Arial" w:cs="Arial"/>
          <w:bCs/>
          <w:szCs w:val="19"/>
        </w:rPr>
        <w:t>(e.g. reduction in ADRs) and</w:t>
      </w:r>
      <w:r w:rsidRPr="00C42A65">
        <w:rPr>
          <w:rFonts w:ascii="Arial" w:hAnsi="Arial" w:cs="Arial"/>
          <w:szCs w:val="19"/>
        </w:rPr>
        <w:t xml:space="preserve"> harms (emergence of </w:t>
      </w:r>
      <w:r w:rsidRPr="00C42A65">
        <w:rPr>
          <w:rFonts w:ascii="Arial" w:hAnsi="Arial" w:cs="Arial"/>
          <w:bCs/>
          <w:szCs w:val="19"/>
        </w:rPr>
        <w:t>ADWEs)</w:t>
      </w:r>
      <w:r w:rsidRPr="00C42A65">
        <w:rPr>
          <w:rFonts w:ascii="Arial" w:hAnsi="Arial" w:cs="Arial"/>
          <w:szCs w:val="19"/>
        </w:rPr>
        <w:t xml:space="preserve"> can be attributed to the individual medicine.</w:t>
      </w:r>
      <w:r w:rsidRPr="00C42A65">
        <w:rPr>
          <w:rFonts w:ascii="Arial" w:hAnsi="Arial" w:cs="Arial"/>
          <w:szCs w:val="19"/>
          <w:vertAlign w:val="superscript"/>
        </w:rPr>
        <w:t xml:space="preserve">9,21 </w:t>
      </w:r>
      <w:r w:rsidRPr="00C42A65">
        <w:rPr>
          <w:rFonts w:ascii="Arial" w:hAnsi="Arial" w:cs="Arial"/>
          <w:szCs w:val="19"/>
        </w:rPr>
        <w:t>The order of discontinuation of medicines may depend on 1) those with the greatest harm and least benefit, 2) those with the lowest likelihood of ADWEs and 3) those that the patient is most likely to discontinue first.</w:t>
      </w:r>
      <w:r w:rsidRPr="00C42A65">
        <w:rPr>
          <w:rFonts w:ascii="Arial" w:hAnsi="Arial" w:cs="Arial"/>
          <w:szCs w:val="19"/>
          <w:vertAlign w:val="superscript"/>
        </w:rPr>
        <w:t xml:space="preserve">21 </w:t>
      </w:r>
      <w:r w:rsidRPr="00C42A65">
        <w:rPr>
          <w:rFonts w:ascii="Arial" w:hAnsi="Arial" w:cs="Arial"/>
          <w:szCs w:val="19"/>
        </w:rPr>
        <w:t>Patients should be informed of the risk of ADWEs and monitored for ADWEs following the deprescribing of a medicine.</w:t>
      </w:r>
      <w:r w:rsidRPr="00C42A65">
        <w:rPr>
          <w:rFonts w:ascii="Arial" w:hAnsi="Arial" w:cs="Arial"/>
          <w:szCs w:val="19"/>
          <w:vertAlign w:val="superscript"/>
        </w:rPr>
        <w:t>21,27</w:t>
      </w:r>
      <w:r w:rsidRPr="00C42A65">
        <w:rPr>
          <w:rFonts w:ascii="Arial" w:hAnsi="Arial" w:cs="Arial"/>
          <w:szCs w:val="19"/>
        </w:rPr>
        <w:t xml:space="preserve"> </w:t>
      </w:r>
    </w:p>
    <w:p w14:paraId="7CC5DE75" w14:textId="200920A5" w:rsidR="00056E88" w:rsidRPr="00F772D9" w:rsidRDefault="00C42A65" w:rsidP="00C84CB0">
      <w:pPr>
        <w:rPr>
          <w:rFonts w:ascii="Arial" w:hAnsi="Arial" w:cs="Arial"/>
          <w:szCs w:val="19"/>
        </w:rPr>
      </w:pPr>
      <w:r w:rsidRPr="00C42A65">
        <w:rPr>
          <w:rFonts w:ascii="Arial" w:hAnsi="Arial" w:cs="Arial"/>
          <w:szCs w:val="19"/>
        </w:rPr>
        <w:lastRenderedPageBreak/>
        <w:t>Gradual tapering of</w:t>
      </w:r>
      <w:r w:rsidR="00F57B52">
        <w:rPr>
          <w:rFonts w:ascii="Arial" w:hAnsi="Arial" w:cs="Arial"/>
          <w:szCs w:val="19"/>
        </w:rPr>
        <w:t xml:space="preserve"> certain</w:t>
      </w:r>
      <w:r w:rsidRPr="00C42A65">
        <w:rPr>
          <w:rFonts w:ascii="Arial" w:hAnsi="Arial" w:cs="Arial"/>
          <w:szCs w:val="19"/>
        </w:rPr>
        <w:t xml:space="preserve"> medicines (e.g. benzodiazepines), may reduce the risk of ADWEs.</w:t>
      </w:r>
      <w:r w:rsidRPr="00C42A65">
        <w:rPr>
          <w:rFonts w:ascii="Arial" w:hAnsi="Arial" w:cs="Arial"/>
          <w:szCs w:val="19"/>
          <w:vertAlign w:val="superscript"/>
        </w:rPr>
        <w:t>27</w:t>
      </w:r>
      <w:r w:rsidRPr="00C42A65">
        <w:rPr>
          <w:rFonts w:ascii="Arial" w:hAnsi="Arial" w:cs="Arial"/>
          <w:szCs w:val="19"/>
        </w:rPr>
        <w:t xml:space="preserve"> For certain medicines, where it is uncertain if a condition is a current problem (e.g. PPIs to manage reflux or analgesics to manage pain), the discontinuation of medicines should be on trial basis (with appropriate warnings about potential ADWEs) and recommencement of the medicine at a lower dose or an alternative medicine if symptoms recur.</w:t>
      </w:r>
      <w:r w:rsidRPr="00C42A65">
        <w:rPr>
          <w:rFonts w:ascii="Arial" w:hAnsi="Arial" w:cs="Arial"/>
          <w:szCs w:val="19"/>
          <w:vertAlign w:val="superscript"/>
        </w:rPr>
        <w:t xml:space="preserve">27 </w:t>
      </w:r>
    </w:p>
    <w:p w14:paraId="2B156E7C" w14:textId="77777777" w:rsidR="00056E88" w:rsidRDefault="00056E88" w:rsidP="00C84CB0">
      <w:pPr>
        <w:rPr>
          <w:rFonts w:ascii="Arial" w:hAnsi="Arial" w:cs="Arial"/>
          <w:b/>
          <w:bCs/>
          <w:color w:val="000000"/>
        </w:rPr>
      </w:pPr>
    </w:p>
    <w:p w14:paraId="291F572B" w14:textId="5764A8F2" w:rsidR="00C42A65" w:rsidRDefault="00C42A65" w:rsidP="00C84CB0">
      <w:pPr>
        <w:rPr>
          <w:rFonts w:ascii="Arial" w:hAnsi="Arial" w:cs="Arial"/>
          <w:b/>
          <w:bCs/>
          <w:color w:val="000000"/>
        </w:rPr>
      </w:pPr>
      <w:r>
        <w:rPr>
          <w:rFonts w:ascii="Arial" w:hAnsi="Arial" w:cs="Arial"/>
          <w:b/>
          <w:bCs/>
          <w:color w:val="000000"/>
        </w:rPr>
        <w:t>2.</w:t>
      </w:r>
      <w:r w:rsidR="00F772D9">
        <w:rPr>
          <w:rFonts w:ascii="Arial" w:hAnsi="Arial" w:cs="Arial"/>
          <w:b/>
          <w:bCs/>
          <w:color w:val="000000"/>
        </w:rPr>
        <w:t>4</w:t>
      </w:r>
      <w:r>
        <w:rPr>
          <w:rFonts w:ascii="Arial" w:hAnsi="Arial" w:cs="Arial"/>
          <w:b/>
          <w:bCs/>
          <w:color w:val="000000"/>
        </w:rPr>
        <w:t xml:space="preserve"> </w:t>
      </w:r>
      <w:r w:rsidR="00C84CB0" w:rsidRPr="00A36D65">
        <w:rPr>
          <w:rFonts w:ascii="Arial" w:hAnsi="Arial" w:cs="Arial"/>
          <w:b/>
          <w:bCs/>
          <w:color w:val="000000"/>
        </w:rPr>
        <w:t>Deprescribing of</w:t>
      </w:r>
      <w:r>
        <w:rPr>
          <w:rFonts w:ascii="Arial" w:hAnsi="Arial" w:cs="Arial"/>
          <w:b/>
          <w:bCs/>
          <w:color w:val="000000"/>
        </w:rPr>
        <w:t xml:space="preserve"> specific drugs</w:t>
      </w:r>
    </w:p>
    <w:p w14:paraId="2324B989" w14:textId="77777777" w:rsidR="00C42A65" w:rsidRDefault="00C42A65" w:rsidP="00C84CB0">
      <w:pPr>
        <w:rPr>
          <w:rFonts w:ascii="Arial" w:hAnsi="Arial" w:cs="Arial"/>
          <w:b/>
          <w:bCs/>
          <w:color w:val="000000"/>
        </w:rPr>
      </w:pPr>
    </w:p>
    <w:p w14:paraId="49F98474" w14:textId="0F252ED8" w:rsidR="00C84CB0" w:rsidRPr="00A36D65" w:rsidRDefault="00C42A65" w:rsidP="00C84CB0">
      <w:pPr>
        <w:rPr>
          <w:rFonts w:ascii="Arial" w:hAnsi="Arial" w:cs="Arial"/>
          <w:b/>
          <w:bCs/>
          <w:color w:val="000000"/>
        </w:rPr>
      </w:pPr>
      <w:r>
        <w:rPr>
          <w:rFonts w:ascii="Arial" w:hAnsi="Arial" w:cs="Arial"/>
          <w:b/>
          <w:bCs/>
          <w:color w:val="000000"/>
        </w:rPr>
        <w:t>2.</w:t>
      </w:r>
      <w:r w:rsidR="00F772D9">
        <w:rPr>
          <w:rFonts w:ascii="Arial" w:hAnsi="Arial" w:cs="Arial"/>
          <w:b/>
          <w:bCs/>
          <w:color w:val="000000"/>
        </w:rPr>
        <w:t>4</w:t>
      </w:r>
      <w:r>
        <w:rPr>
          <w:rFonts w:ascii="Arial" w:hAnsi="Arial" w:cs="Arial"/>
          <w:b/>
          <w:bCs/>
          <w:color w:val="000000"/>
        </w:rPr>
        <w:t>.1</w:t>
      </w:r>
      <w:r w:rsidR="00C84CB0" w:rsidRPr="00A36D65">
        <w:rPr>
          <w:rFonts w:ascii="Arial" w:hAnsi="Arial" w:cs="Arial"/>
          <w:b/>
          <w:bCs/>
          <w:color w:val="000000"/>
        </w:rPr>
        <w:t xml:space="preserve"> </w:t>
      </w:r>
      <w:r>
        <w:rPr>
          <w:rFonts w:ascii="Arial" w:hAnsi="Arial" w:cs="Arial"/>
          <w:b/>
          <w:bCs/>
          <w:color w:val="000000"/>
        </w:rPr>
        <w:t>P</w:t>
      </w:r>
      <w:r w:rsidR="00C84CB0" w:rsidRPr="00A36D65">
        <w:rPr>
          <w:rFonts w:ascii="Arial" w:hAnsi="Arial" w:cs="Arial"/>
          <w:b/>
          <w:bCs/>
          <w:color w:val="000000"/>
        </w:rPr>
        <w:t>roton pump inhibitors (PPIs)</w:t>
      </w:r>
    </w:p>
    <w:p w14:paraId="045B3621" w14:textId="77777777" w:rsidR="00C84CB0" w:rsidRDefault="00C84CB0" w:rsidP="00C84CB0">
      <w:pPr>
        <w:rPr>
          <w:rFonts w:ascii="Arial" w:hAnsi="Arial" w:cs="Arial"/>
        </w:rPr>
      </w:pPr>
    </w:p>
    <w:p w14:paraId="6919F0ED" w14:textId="132DAFA5" w:rsidR="00C42A65" w:rsidRPr="00C42A65" w:rsidRDefault="00C42A65" w:rsidP="00C42A65">
      <w:pPr>
        <w:rPr>
          <w:rFonts w:ascii="Arial" w:hAnsi="Arial" w:cs="Arial"/>
          <w:bCs/>
        </w:rPr>
      </w:pPr>
      <w:r w:rsidRPr="00C42A65">
        <w:rPr>
          <w:rFonts w:ascii="Arial" w:hAnsi="Arial" w:cs="Arial"/>
          <w:bCs/>
        </w:rPr>
        <w:t>PPIs which are recommended as a first-line treatment for gastro-oesophageal reflux disease (GORD) and other acid-related disorders, are amongst the most frequently prescribed medicines in primary care.</w:t>
      </w:r>
      <w:r w:rsidRPr="00C42A65">
        <w:rPr>
          <w:rFonts w:ascii="Arial" w:hAnsi="Arial" w:cs="Arial"/>
          <w:bCs/>
          <w:vertAlign w:val="superscript"/>
        </w:rPr>
        <w:t>48,49</w:t>
      </w:r>
      <w:r w:rsidRPr="00C42A65">
        <w:rPr>
          <w:rFonts w:ascii="Arial" w:hAnsi="Arial" w:cs="Arial"/>
          <w:bCs/>
        </w:rPr>
        <w:t xml:space="preserve"> Although PPIs are highly effective, long-term use of PPIs is associated with increased risks of ADRs (e.g. diarrhoea, vitamin B12 deficiency, </w:t>
      </w:r>
      <w:r w:rsidRPr="00C42A65">
        <w:rPr>
          <w:rFonts w:ascii="Arial" w:hAnsi="Arial" w:cs="Arial"/>
          <w:bCs/>
          <w:i/>
        </w:rPr>
        <w:t>C difficile</w:t>
      </w:r>
      <w:r w:rsidRPr="00C42A65">
        <w:rPr>
          <w:rFonts w:ascii="Arial" w:hAnsi="Arial" w:cs="Arial"/>
          <w:bCs/>
        </w:rPr>
        <w:t xml:space="preserve"> infection, increased risk of fractures and community-acquired pneumonia).</w:t>
      </w:r>
      <w:r w:rsidRPr="00C42A65">
        <w:rPr>
          <w:rFonts w:ascii="Arial" w:hAnsi="Arial" w:cs="Arial"/>
          <w:bCs/>
          <w:vertAlign w:val="superscript"/>
        </w:rPr>
        <w:t xml:space="preserve">48,49 </w:t>
      </w:r>
      <w:r w:rsidRPr="00C42A65">
        <w:rPr>
          <w:rFonts w:ascii="Arial" w:hAnsi="Arial" w:cs="Arial"/>
          <w:bCs/>
        </w:rPr>
        <w:t>It is recognised that there is a need to optimise prescribing of PPIs, as evidence suggests that PPIs are frequently overprescribed.</w:t>
      </w:r>
      <w:r w:rsidRPr="00C42A65">
        <w:rPr>
          <w:rFonts w:ascii="Arial" w:hAnsi="Arial" w:cs="Arial"/>
          <w:bCs/>
          <w:vertAlign w:val="superscript"/>
        </w:rPr>
        <w:t>48</w:t>
      </w:r>
      <w:r w:rsidRPr="00C42A65">
        <w:rPr>
          <w:rFonts w:ascii="Arial" w:hAnsi="Arial" w:cs="Arial"/>
          <w:b/>
          <w:bCs/>
        </w:rPr>
        <w:t xml:space="preserve"> </w:t>
      </w:r>
      <w:r w:rsidRPr="00C42A65">
        <w:rPr>
          <w:rFonts w:ascii="Arial" w:hAnsi="Arial" w:cs="Arial"/>
          <w:bCs/>
        </w:rPr>
        <w:t>Long-term potentially inappropriate use of PPIs also contributes to polypharmacy and increased healthcare expenditure.</w:t>
      </w:r>
      <w:r w:rsidRPr="00C42A65">
        <w:rPr>
          <w:rFonts w:ascii="Arial" w:hAnsi="Arial" w:cs="Arial"/>
          <w:bCs/>
          <w:vertAlign w:val="superscript"/>
        </w:rPr>
        <w:t>6</w:t>
      </w:r>
    </w:p>
    <w:p w14:paraId="233CA5C4" w14:textId="77777777" w:rsidR="00C42A65" w:rsidRPr="00C42A65" w:rsidRDefault="00C42A65" w:rsidP="00C42A65">
      <w:pPr>
        <w:rPr>
          <w:rFonts w:ascii="Arial" w:hAnsi="Arial" w:cs="Arial"/>
          <w:bCs/>
        </w:rPr>
      </w:pPr>
      <w:r w:rsidRPr="00C42A65">
        <w:rPr>
          <w:rFonts w:ascii="Arial" w:hAnsi="Arial" w:cs="Arial"/>
          <w:bCs/>
        </w:rPr>
        <w:t>The goals of deprescribing or discontinuing PPIs are to reduce medication burden and possible harm of continued therapy. As with any deprescribing intervention, it is important that the patient is involved in the decision to deprescribe and that the patient is aware of the need to undertake lifestyle measures e.g. avoidance of alcohol or specific foods which may precipitate symptoms.</w:t>
      </w:r>
      <w:r w:rsidRPr="00C42A65">
        <w:rPr>
          <w:rFonts w:ascii="Arial" w:hAnsi="Arial" w:cs="Arial"/>
          <w:bCs/>
          <w:vertAlign w:val="superscript"/>
        </w:rPr>
        <w:t xml:space="preserve">49,50 </w:t>
      </w:r>
      <w:hyperlink r:id="rId18" w:history="1">
        <w:r w:rsidRPr="00C42A65">
          <w:rPr>
            <w:rStyle w:val="Hyperlink"/>
            <w:rFonts w:ascii="Arial" w:hAnsi="Arial" w:cs="Arial"/>
            <w:bCs/>
            <w:i/>
          </w:rPr>
          <w:t>The Medicines Management Programme’s Preferred Drug document for PPIs and Prescribing Tips and Tools for PPIs for the treatment of GORD contains useful information including an algorithm for the deprescribing of PPIs</w:t>
        </w:r>
      </w:hyperlink>
      <w:r w:rsidRPr="00C42A65">
        <w:rPr>
          <w:rFonts w:ascii="Arial" w:hAnsi="Arial" w:cs="Arial"/>
          <w:bCs/>
          <w:i/>
        </w:rPr>
        <w:t>.</w:t>
      </w:r>
      <w:r w:rsidRPr="00C42A65">
        <w:rPr>
          <w:rFonts w:ascii="Arial" w:hAnsi="Arial" w:cs="Arial"/>
          <w:bCs/>
          <w:i/>
          <w:vertAlign w:val="superscript"/>
        </w:rPr>
        <w:t>50</w:t>
      </w:r>
    </w:p>
    <w:p w14:paraId="68B018BB" w14:textId="31070368" w:rsidR="00C42A65" w:rsidRPr="00C42A65" w:rsidRDefault="00C42A65" w:rsidP="00C42A65">
      <w:pPr>
        <w:rPr>
          <w:rFonts w:ascii="Arial" w:hAnsi="Arial" w:cs="Arial"/>
          <w:bCs/>
        </w:rPr>
      </w:pPr>
      <w:r w:rsidRPr="00C42A65">
        <w:rPr>
          <w:rFonts w:ascii="Arial" w:hAnsi="Arial" w:cs="Arial"/>
          <w:bCs/>
        </w:rPr>
        <w:t>As some patients experience withdrawal symptoms (e.g. dyspepsia symptoms) following deprescribing of PPIs, lowering the daily dose of a PPI is often the first step in stopping PPI therapy.</w:t>
      </w:r>
      <w:r w:rsidRPr="00C42A65">
        <w:rPr>
          <w:rFonts w:ascii="Arial" w:hAnsi="Arial" w:cs="Arial"/>
          <w:bCs/>
          <w:vertAlign w:val="superscript"/>
        </w:rPr>
        <w:t>49</w:t>
      </w:r>
      <w:r w:rsidRPr="00C42A65">
        <w:rPr>
          <w:rFonts w:ascii="Arial" w:hAnsi="Arial" w:cs="Arial"/>
          <w:bCs/>
        </w:rPr>
        <w:t xml:space="preserve"> The tapering of PPI treatment rather than abrupt cessation, has been suggested to minimise withdrawal symptoms, especially in patients who have been treated for longer duration and in those who have experienced symptom recurrence after PPI withdrawal.</w:t>
      </w:r>
      <w:r w:rsidRPr="00C42A65">
        <w:rPr>
          <w:rFonts w:ascii="Arial" w:hAnsi="Arial" w:cs="Arial"/>
          <w:bCs/>
          <w:vertAlign w:val="superscript"/>
        </w:rPr>
        <w:t>49</w:t>
      </w:r>
      <w:r w:rsidRPr="00C42A65">
        <w:rPr>
          <w:rFonts w:ascii="Arial" w:hAnsi="Arial" w:cs="Arial"/>
          <w:bCs/>
        </w:rPr>
        <w:t xml:space="preserve"> The use of an alginate may reduce the risk of dyspepsia symptoms.</w:t>
      </w:r>
      <w:r w:rsidRPr="00C42A65">
        <w:rPr>
          <w:rFonts w:ascii="Arial" w:hAnsi="Arial" w:cs="Arial"/>
          <w:bCs/>
          <w:vertAlign w:val="superscript"/>
        </w:rPr>
        <w:t>50</w:t>
      </w:r>
      <w:r w:rsidRPr="00C42A65">
        <w:rPr>
          <w:rFonts w:ascii="Arial" w:hAnsi="Arial" w:cs="Arial"/>
          <w:bCs/>
        </w:rPr>
        <w:t xml:space="preserve"> The evidence suggests that the success rate of deprescribing among patients with GORD increases when a step-down approach to on-demand use is taken rather than an abrupt discontinuation.</w:t>
      </w:r>
      <w:r w:rsidRPr="00C42A65">
        <w:rPr>
          <w:rFonts w:ascii="Arial" w:hAnsi="Arial" w:cs="Arial"/>
          <w:bCs/>
          <w:vertAlign w:val="superscript"/>
        </w:rPr>
        <w:t>49</w:t>
      </w:r>
      <w:r w:rsidRPr="00C42A65">
        <w:rPr>
          <w:rFonts w:ascii="Arial" w:hAnsi="Arial" w:cs="Arial"/>
          <w:bCs/>
        </w:rPr>
        <w:t xml:space="preserve"> </w:t>
      </w:r>
    </w:p>
    <w:p w14:paraId="5F4E220B" w14:textId="77777777" w:rsidR="00C42A65" w:rsidRDefault="00C42A65" w:rsidP="00C42A65">
      <w:pPr>
        <w:rPr>
          <w:rFonts w:ascii="Arial" w:hAnsi="Arial" w:cs="Arial"/>
          <w:bCs/>
        </w:rPr>
      </w:pPr>
    </w:p>
    <w:p w14:paraId="46B1B78B" w14:textId="5AB7FC12" w:rsidR="00C42A65" w:rsidRPr="00C42A65" w:rsidRDefault="00C42A65" w:rsidP="00C42A65">
      <w:pPr>
        <w:rPr>
          <w:rFonts w:ascii="Arial" w:hAnsi="Arial" w:cs="Arial"/>
          <w:bCs/>
        </w:rPr>
      </w:pPr>
      <w:r w:rsidRPr="00C42A65">
        <w:rPr>
          <w:rFonts w:ascii="Arial" w:hAnsi="Arial" w:cs="Arial"/>
          <w:bCs/>
        </w:rPr>
        <w:t>It should be noted however, that long-term PPI use can be appropriate, where there is a clear indication that the benefits outweigh the risks,</w:t>
      </w:r>
      <w:r w:rsidRPr="00C42A65">
        <w:rPr>
          <w:rFonts w:ascii="Arial" w:hAnsi="Arial" w:cs="Arial"/>
          <w:b/>
          <w:bCs/>
        </w:rPr>
        <w:t xml:space="preserve"> </w:t>
      </w:r>
      <w:r w:rsidRPr="00C42A65">
        <w:rPr>
          <w:rFonts w:ascii="Arial" w:hAnsi="Arial" w:cs="Arial"/>
          <w:bCs/>
        </w:rPr>
        <w:t>such as in patients with conditions including Barrett’s oesophagus, severe oesophagitis, documented history of bleeding gastrointestinal ulcers and NSAID use with bleeding risk factors (e.g. concomitant use of anticoagulants or antiplatelets).</w:t>
      </w:r>
      <w:r w:rsidRPr="00C42A65">
        <w:rPr>
          <w:rFonts w:ascii="Arial" w:hAnsi="Arial" w:cs="Arial"/>
          <w:bCs/>
          <w:vertAlign w:val="superscript"/>
        </w:rPr>
        <w:t>49-51</w:t>
      </w:r>
    </w:p>
    <w:p w14:paraId="655F22B4" w14:textId="77777777" w:rsidR="00C84CB0" w:rsidRDefault="00C84CB0" w:rsidP="00C84CB0">
      <w:pPr>
        <w:rPr>
          <w:rFonts w:ascii="Arial" w:hAnsi="Arial" w:cs="Arial"/>
          <w:b/>
          <w:bCs/>
          <w:szCs w:val="21"/>
        </w:rPr>
      </w:pPr>
    </w:p>
    <w:p w14:paraId="0DC3346D" w14:textId="56DB2274" w:rsidR="00C84CB0" w:rsidRDefault="00C84CB0" w:rsidP="00C84CB0">
      <w:pPr>
        <w:rPr>
          <w:rFonts w:ascii="Arial" w:hAnsi="Arial" w:cs="Arial"/>
          <w:b/>
          <w:bCs/>
          <w:color w:val="000000"/>
        </w:rPr>
      </w:pPr>
      <w:r>
        <w:rPr>
          <w:rFonts w:ascii="Arial" w:hAnsi="Arial" w:cs="Arial"/>
          <w:b/>
          <w:bCs/>
          <w:szCs w:val="21"/>
        </w:rPr>
        <w:t>2.</w:t>
      </w:r>
      <w:r w:rsidR="00F772D9">
        <w:rPr>
          <w:rFonts w:ascii="Arial" w:hAnsi="Arial" w:cs="Arial"/>
          <w:b/>
          <w:bCs/>
          <w:szCs w:val="21"/>
        </w:rPr>
        <w:t>4</w:t>
      </w:r>
      <w:r w:rsidR="00C42A65">
        <w:rPr>
          <w:rFonts w:ascii="Arial" w:hAnsi="Arial" w:cs="Arial"/>
          <w:b/>
          <w:bCs/>
          <w:szCs w:val="21"/>
        </w:rPr>
        <w:t>.2</w:t>
      </w:r>
      <w:r>
        <w:rPr>
          <w:rFonts w:ascii="Arial" w:hAnsi="Arial" w:cs="Arial"/>
          <w:b/>
          <w:bCs/>
          <w:szCs w:val="21"/>
        </w:rPr>
        <w:t xml:space="preserve"> </w:t>
      </w:r>
      <w:r w:rsidRPr="00A36D65">
        <w:rPr>
          <w:rFonts w:ascii="Arial" w:hAnsi="Arial" w:cs="Arial"/>
          <w:b/>
          <w:bCs/>
          <w:color w:val="000000"/>
        </w:rPr>
        <w:t>Deprescribing of benzodiazepine receptor agonists (BZRAs)</w:t>
      </w:r>
    </w:p>
    <w:p w14:paraId="0FAF21CD" w14:textId="4CB07815" w:rsidR="00C42A65" w:rsidRDefault="00C42A65" w:rsidP="00C84CB0">
      <w:pPr>
        <w:rPr>
          <w:rFonts w:ascii="Arial" w:hAnsi="Arial" w:cs="Arial"/>
          <w:b/>
          <w:bCs/>
          <w:color w:val="000000"/>
        </w:rPr>
      </w:pPr>
    </w:p>
    <w:p w14:paraId="6C5EF2D7" w14:textId="77777777" w:rsidR="00C42A65" w:rsidRDefault="00C42A65" w:rsidP="00C42A65">
      <w:pPr>
        <w:rPr>
          <w:rFonts w:ascii="Arial" w:hAnsi="Arial" w:cs="Arial"/>
          <w:bCs/>
          <w:color w:val="000000"/>
          <w:vertAlign w:val="superscript"/>
        </w:rPr>
      </w:pPr>
      <w:r w:rsidRPr="00C42A65">
        <w:rPr>
          <w:rFonts w:ascii="Arial" w:hAnsi="Arial" w:cs="Arial"/>
          <w:bCs/>
          <w:color w:val="000000"/>
        </w:rPr>
        <w:t>While the use of benzodiazepine receptor agonists (BZRAs) can be effective for the short-term management of acute severe anxiety or insomnia, long-term use of BZRAs is associated with problems including tolerance, dependence and withdrawal symptoms.</w:t>
      </w:r>
      <w:r w:rsidRPr="00C42A65">
        <w:rPr>
          <w:rFonts w:ascii="Arial" w:hAnsi="Arial" w:cs="Arial"/>
          <w:bCs/>
          <w:color w:val="000000"/>
          <w:vertAlign w:val="superscript"/>
        </w:rPr>
        <w:t>4,52,53</w:t>
      </w:r>
      <w:r w:rsidRPr="00C42A65">
        <w:rPr>
          <w:rFonts w:ascii="Arial" w:hAnsi="Arial" w:cs="Arial"/>
          <w:bCs/>
          <w:color w:val="000000"/>
        </w:rPr>
        <w:t xml:space="preserve"> The use of BZRAs is especially of concern in the older population as </w:t>
      </w:r>
      <w:r w:rsidRPr="00C42A65">
        <w:rPr>
          <w:rFonts w:ascii="Arial" w:hAnsi="Arial" w:cs="Arial"/>
          <w:bCs/>
          <w:color w:val="000000"/>
        </w:rPr>
        <w:lastRenderedPageBreak/>
        <w:t>they are associated with an increased risk of adverse effects including falls, drowsiness, cognitive impairment, hypotension and hip fractures.</w:t>
      </w:r>
      <w:r w:rsidRPr="00C42A65">
        <w:rPr>
          <w:rFonts w:ascii="Arial" w:hAnsi="Arial" w:cs="Arial"/>
          <w:bCs/>
          <w:color w:val="000000"/>
          <w:vertAlign w:val="superscript"/>
        </w:rPr>
        <w:t>53</w:t>
      </w:r>
      <w:r w:rsidRPr="00C42A65">
        <w:rPr>
          <w:rFonts w:ascii="Arial" w:hAnsi="Arial" w:cs="Arial"/>
          <w:bCs/>
          <w:color w:val="000000"/>
        </w:rPr>
        <w:t xml:space="preserve"> Therefore these medications should be prescribed with caution, at the lowest effective dose and for the shortest possible duration for the above indications.</w:t>
      </w:r>
      <w:r w:rsidRPr="00C42A65">
        <w:rPr>
          <w:rFonts w:ascii="Arial" w:hAnsi="Arial" w:cs="Arial"/>
          <w:bCs/>
          <w:color w:val="000000"/>
          <w:vertAlign w:val="superscript"/>
        </w:rPr>
        <w:t>4,53</w:t>
      </w:r>
      <w:r w:rsidRPr="00C42A65">
        <w:rPr>
          <w:rFonts w:ascii="Arial" w:hAnsi="Arial" w:cs="Arial"/>
          <w:bCs/>
          <w:color w:val="000000"/>
        </w:rPr>
        <w:t xml:space="preserve"> Regular medication reviews are recommended for those who are prescribed long-term BZRAs.</w:t>
      </w:r>
      <w:r w:rsidRPr="00C42A65">
        <w:rPr>
          <w:rFonts w:ascii="Arial" w:hAnsi="Arial" w:cs="Arial"/>
          <w:bCs/>
          <w:color w:val="000000"/>
          <w:vertAlign w:val="superscript"/>
        </w:rPr>
        <w:t xml:space="preserve">4,33,53 </w:t>
      </w:r>
    </w:p>
    <w:p w14:paraId="6B2C238D" w14:textId="77777777" w:rsidR="00C42A65" w:rsidRDefault="00C42A65" w:rsidP="00C42A65">
      <w:pPr>
        <w:rPr>
          <w:rFonts w:ascii="Arial" w:hAnsi="Arial" w:cs="Arial"/>
          <w:bCs/>
          <w:color w:val="000000"/>
        </w:rPr>
      </w:pPr>
    </w:p>
    <w:p w14:paraId="6A4B5132" w14:textId="05FB3D17" w:rsidR="00234033" w:rsidRDefault="00C42A65" w:rsidP="00C42A65">
      <w:pPr>
        <w:rPr>
          <w:rFonts w:ascii="Arial" w:hAnsi="Arial" w:cs="Arial"/>
          <w:bCs/>
          <w:color w:val="000000"/>
          <w:vertAlign w:val="superscript"/>
        </w:rPr>
      </w:pPr>
      <w:r w:rsidRPr="00C42A65">
        <w:rPr>
          <w:rFonts w:ascii="Arial" w:hAnsi="Arial" w:cs="Arial"/>
          <w:bCs/>
          <w:color w:val="000000"/>
        </w:rPr>
        <w:t>Analysis of Irish pharmacy claims on the General Medical Services (GMS) scheme data from 2019 indicated that of those patients who were dispensed BZRAs, approximately 15% of benzodiazepines and 27% of z-drugs (e.g. zopiclone and zolpidem) were dispensed for &gt;3 months during the 12-month period.</w:t>
      </w:r>
      <w:r w:rsidRPr="00C42A65">
        <w:rPr>
          <w:rFonts w:ascii="Arial" w:hAnsi="Arial" w:cs="Arial"/>
          <w:bCs/>
          <w:color w:val="000000"/>
          <w:vertAlign w:val="superscript"/>
        </w:rPr>
        <w:t>53</w:t>
      </w:r>
      <w:r w:rsidRPr="00C42A65">
        <w:rPr>
          <w:rFonts w:ascii="Arial" w:hAnsi="Arial" w:cs="Arial"/>
          <w:bCs/>
          <w:color w:val="000000"/>
        </w:rPr>
        <w:t xml:space="preserve"> The four most commonly dispensed BZRAs on the General Medical Services (GMS) Scheme in 2019 were zopiclone, zolpidem, diazepam and alprazolam.</w:t>
      </w:r>
      <w:r w:rsidRPr="00C42A65">
        <w:rPr>
          <w:rFonts w:ascii="Arial" w:hAnsi="Arial" w:cs="Arial"/>
          <w:bCs/>
          <w:color w:val="000000"/>
          <w:vertAlign w:val="superscript"/>
        </w:rPr>
        <w:t>53</w:t>
      </w:r>
    </w:p>
    <w:p w14:paraId="12635D12" w14:textId="77777777" w:rsidR="00234033" w:rsidRDefault="00234033" w:rsidP="00C42A65">
      <w:pPr>
        <w:rPr>
          <w:rFonts w:ascii="Arial" w:hAnsi="Arial" w:cs="Arial"/>
          <w:bCs/>
          <w:color w:val="000000"/>
          <w:vertAlign w:val="superscript"/>
        </w:rPr>
      </w:pPr>
    </w:p>
    <w:p w14:paraId="659629C7" w14:textId="08F63A7C" w:rsidR="00C42A65" w:rsidRDefault="000B3ACC" w:rsidP="00C42A65">
      <w:pPr>
        <w:rPr>
          <w:rFonts w:ascii="Arial" w:hAnsi="Arial" w:cs="Arial"/>
          <w:bCs/>
          <w:color w:val="000000"/>
          <w:vertAlign w:val="superscript"/>
        </w:rPr>
      </w:pPr>
      <w:hyperlink r:id="rId19" w:history="1">
        <w:r w:rsidR="00C42A65" w:rsidRPr="00C42A65">
          <w:rPr>
            <w:rStyle w:val="Hyperlink"/>
            <w:rFonts w:ascii="Arial" w:hAnsi="Arial" w:cs="Arial"/>
            <w:bCs/>
            <w:i/>
          </w:rPr>
          <w:t>The Medicines Management Programme’s Guidance on the appropriate prescribing of BZRAs for the treatment of anxiety and insomnia contains useful information including an algorithm for the deprescribing of BZRAs</w:t>
        </w:r>
      </w:hyperlink>
      <w:r w:rsidR="00C42A65" w:rsidRPr="00C42A65">
        <w:rPr>
          <w:rFonts w:ascii="Arial" w:hAnsi="Arial" w:cs="Arial"/>
          <w:bCs/>
          <w:color w:val="000000"/>
        </w:rPr>
        <w:t>.</w:t>
      </w:r>
      <w:r w:rsidR="00C42A65" w:rsidRPr="00C42A65">
        <w:rPr>
          <w:rFonts w:ascii="Arial" w:hAnsi="Arial" w:cs="Arial"/>
          <w:bCs/>
          <w:color w:val="000000"/>
          <w:vertAlign w:val="superscript"/>
        </w:rPr>
        <w:t>53</w:t>
      </w:r>
      <w:r w:rsidR="00234033">
        <w:rPr>
          <w:rFonts w:ascii="Arial" w:hAnsi="Arial" w:cs="Arial"/>
          <w:bCs/>
          <w:color w:val="000000"/>
          <w:vertAlign w:val="superscript"/>
        </w:rPr>
        <w:t xml:space="preserve"> </w:t>
      </w:r>
      <w:r w:rsidR="00234033">
        <w:rPr>
          <w:rFonts w:ascii="Arial" w:hAnsi="Arial" w:cs="Arial"/>
          <w:bCs/>
          <w:color w:val="000000"/>
        </w:rPr>
        <w:t xml:space="preserve">This national guidance was developed in collaboration with the ICGP. </w:t>
      </w:r>
      <w:r w:rsidR="00C42A65" w:rsidRPr="00C42A65">
        <w:rPr>
          <w:rFonts w:ascii="Arial" w:hAnsi="Arial" w:cs="Arial"/>
          <w:bCs/>
          <w:color w:val="000000"/>
        </w:rPr>
        <w:t>Appropriate patients should be invited to withdraw from long-term BZRA use, and provided with information regarding the harms associated with long-term use and the process of deprescribing.</w:t>
      </w:r>
      <w:r w:rsidR="00C42A65" w:rsidRPr="00C42A65">
        <w:rPr>
          <w:rFonts w:ascii="Arial" w:hAnsi="Arial" w:cs="Arial"/>
          <w:bCs/>
          <w:color w:val="000000"/>
          <w:vertAlign w:val="superscript"/>
        </w:rPr>
        <w:t xml:space="preserve">53 </w:t>
      </w:r>
      <w:r w:rsidR="00C42A65" w:rsidRPr="00C42A65">
        <w:rPr>
          <w:rFonts w:ascii="Arial" w:hAnsi="Arial" w:cs="Arial"/>
          <w:bCs/>
          <w:color w:val="000000"/>
        </w:rPr>
        <w:t xml:space="preserve">Evidence suggests that the deprescribing of benzodiazepines and other hypnotics is possible </w:t>
      </w:r>
      <w:r w:rsidR="00234033">
        <w:rPr>
          <w:rFonts w:ascii="Arial" w:hAnsi="Arial" w:cs="Arial"/>
          <w:bCs/>
          <w:color w:val="000000"/>
        </w:rPr>
        <w:t>for</w:t>
      </w:r>
      <w:r w:rsidR="00C42A65" w:rsidRPr="00C42A65">
        <w:rPr>
          <w:rFonts w:ascii="Arial" w:hAnsi="Arial" w:cs="Arial"/>
          <w:bCs/>
          <w:color w:val="000000"/>
        </w:rPr>
        <w:t xml:space="preserve"> many patients, however patient engagement is important.</w:t>
      </w:r>
      <w:r w:rsidR="00C42A65" w:rsidRPr="00C42A65">
        <w:rPr>
          <w:rFonts w:ascii="Arial" w:hAnsi="Arial" w:cs="Arial"/>
          <w:bCs/>
          <w:color w:val="000000"/>
          <w:vertAlign w:val="superscript"/>
        </w:rPr>
        <w:t>24,25,37</w:t>
      </w:r>
    </w:p>
    <w:p w14:paraId="6896B188" w14:textId="77777777" w:rsidR="00F772D9" w:rsidRPr="00C42A65" w:rsidRDefault="00F772D9" w:rsidP="00C42A65">
      <w:pPr>
        <w:rPr>
          <w:rFonts w:ascii="Arial" w:hAnsi="Arial" w:cs="Arial"/>
          <w:bCs/>
          <w:color w:val="000000"/>
          <w:vertAlign w:val="superscript"/>
        </w:rPr>
      </w:pPr>
    </w:p>
    <w:p w14:paraId="4CCD9FD1" w14:textId="175CCBC4" w:rsidR="00C42A65" w:rsidRDefault="00C42A65" w:rsidP="00C42A65">
      <w:pPr>
        <w:rPr>
          <w:rFonts w:ascii="Arial" w:hAnsi="Arial" w:cs="Arial"/>
          <w:bCs/>
          <w:color w:val="000000"/>
          <w:vertAlign w:val="superscript"/>
        </w:rPr>
      </w:pPr>
      <w:r w:rsidRPr="00C42A65">
        <w:rPr>
          <w:rFonts w:ascii="Arial" w:hAnsi="Arial" w:cs="Arial"/>
          <w:bCs/>
          <w:color w:val="000000"/>
        </w:rPr>
        <w:t>Short-term users of BZRAs (up to 4 weeks) can usually have their dose tapered within 2 to 4 weeks, long-term users however will need to have the BZRA withdrawn over a much longer period of several months or more.</w:t>
      </w:r>
      <w:r w:rsidRPr="00C42A65">
        <w:rPr>
          <w:rFonts w:ascii="Arial" w:hAnsi="Arial" w:cs="Arial"/>
          <w:bCs/>
          <w:color w:val="000000"/>
          <w:vertAlign w:val="superscript"/>
        </w:rPr>
        <w:t>53</w:t>
      </w:r>
      <w:r w:rsidRPr="00C42A65">
        <w:rPr>
          <w:rFonts w:ascii="Arial" w:hAnsi="Arial" w:cs="Arial"/>
          <w:bCs/>
          <w:color w:val="000000"/>
        </w:rPr>
        <w:t xml:space="preserve"> Abrupt withdrawal of BZRAs can result in confusion, toxic psychosis and convulsions, therefore it is important that withdrawal is managed correctly, with gradual tapering of doses.</w:t>
      </w:r>
      <w:r w:rsidRPr="00C42A65">
        <w:rPr>
          <w:rFonts w:ascii="Arial" w:hAnsi="Arial" w:cs="Arial"/>
          <w:bCs/>
          <w:color w:val="000000"/>
          <w:vertAlign w:val="superscript"/>
        </w:rPr>
        <w:t xml:space="preserve"> </w:t>
      </w:r>
    </w:p>
    <w:p w14:paraId="28FBA9D4" w14:textId="77777777" w:rsidR="00C42A65" w:rsidRPr="00C42A65" w:rsidRDefault="00C42A65" w:rsidP="00C84CB0">
      <w:pPr>
        <w:rPr>
          <w:rFonts w:ascii="Arial" w:hAnsi="Arial" w:cs="Arial"/>
          <w:bCs/>
          <w:color w:val="000000"/>
        </w:rPr>
      </w:pPr>
    </w:p>
    <w:p w14:paraId="11463719" w14:textId="74FE97C7" w:rsidR="00B1172E" w:rsidRDefault="00552CDD" w:rsidP="00552CDD">
      <w:pPr>
        <w:rPr>
          <w:rFonts w:ascii="Arial" w:hAnsi="Arial" w:cs="Arial"/>
          <w:bCs/>
          <w:color w:val="000000"/>
        </w:rPr>
      </w:pPr>
      <w:r w:rsidRPr="00552CDD">
        <w:rPr>
          <w:rFonts w:ascii="Arial" w:hAnsi="Arial" w:cs="Arial"/>
          <w:bCs/>
          <w:color w:val="000000"/>
        </w:rPr>
        <w:t>There are two approaches to facilitate dose reduction: (i) patients may have their current BZRA slowly withdrawn or (ii) patients may be switched to an equivalent dose of a long-acting slowly-metabolised benzodiazepine such as diazepam which is slowly tapered down.</w:t>
      </w:r>
      <w:r w:rsidR="00B1172E">
        <w:rPr>
          <w:rFonts w:ascii="Arial" w:hAnsi="Arial" w:cs="Arial"/>
          <w:bCs/>
          <w:color w:val="000000"/>
        </w:rPr>
        <w:t xml:space="preserve"> </w:t>
      </w:r>
      <w:proofErr w:type="spellStart"/>
      <w:r w:rsidR="00B1172E">
        <w:rPr>
          <w:rFonts w:ascii="Arial" w:hAnsi="Arial" w:cs="Arial"/>
          <w:bCs/>
          <w:color w:val="000000"/>
        </w:rPr>
        <w:t>MDCalc</w:t>
      </w:r>
      <w:r w:rsidR="00B1172E" w:rsidRPr="007159B0">
        <w:rPr>
          <w:rFonts w:ascii="Arial" w:hAnsi="Arial" w:cs="Arial"/>
          <w:bCs/>
          <w:color w:val="000000"/>
          <w:vertAlign w:val="superscript"/>
        </w:rPr>
        <w:t>TM</w:t>
      </w:r>
      <w:proofErr w:type="spellEnd"/>
      <w:r w:rsidR="00B1172E">
        <w:rPr>
          <w:rFonts w:ascii="Arial" w:hAnsi="Arial" w:cs="Arial"/>
          <w:bCs/>
          <w:color w:val="000000"/>
        </w:rPr>
        <w:t xml:space="preserve"> has a benzodiazepine conversion calculator that may support this process (See: </w:t>
      </w:r>
      <w:hyperlink r:id="rId20" w:history="1">
        <w:r w:rsidR="00B1172E" w:rsidRPr="00F053C7">
          <w:rPr>
            <w:rStyle w:val="Hyperlink"/>
            <w:rFonts w:ascii="Arial" w:hAnsi="Arial" w:cs="Arial"/>
            <w:bCs/>
          </w:rPr>
          <w:t>https://www.mdcalc.com/calc/10091/benzodiazepine-conversion-calculator</w:t>
        </w:r>
      </w:hyperlink>
      <w:r w:rsidR="00B1172E">
        <w:rPr>
          <w:rFonts w:ascii="Arial" w:hAnsi="Arial" w:cs="Arial"/>
          <w:bCs/>
          <w:color w:val="000000"/>
        </w:rPr>
        <w:t xml:space="preserve">). This is available via desktop version or app. </w:t>
      </w:r>
    </w:p>
    <w:p w14:paraId="23DCA13A" w14:textId="77777777" w:rsidR="00B1172E" w:rsidRDefault="00B1172E" w:rsidP="00552CDD">
      <w:pPr>
        <w:rPr>
          <w:rFonts w:ascii="Arial" w:hAnsi="Arial" w:cs="Arial"/>
          <w:bCs/>
          <w:color w:val="000000"/>
        </w:rPr>
      </w:pPr>
    </w:p>
    <w:p w14:paraId="767B19EB" w14:textId="0311D4F8" w:rsidR="00552CDD" w:rsidRDefault="00552CDD" w:rsidP="00552CDD">
      <w:pPr>
        <w:rPr>
          <w:rFonts w:ascii="Arial" w:hAnsi="Arial" w:cs="Arial"/>
          <w:bCs/>
          <w:color w:val="000000"/>
        </w:rPr>
      </w:pPr>
      <w:r w:rsidRPr="00552CDD">
        <w:rPr>
          <w:rFonts w:ascii="Arial" w:hAnsi="Arial" w:cs="Arial"/>
          <w:bCs/>
          <w:color w:val="000000"/>
        </w:rPr>
        <w:t>Box 1 summarises a suggested approach for managing patients who are suitable to stop BZRAs.</w:t>
      </w:r>
    </w:p>
    <w:p w14:paraId="3D655CF7" w14:textId="77777777" w:rsidR="00552CDD" w:rsidRPr="00552CDD" w:rsidRDefault="00552CDD" w:rsidP="00552CDD">
      <w:pPr>
        <w:rPr>
          <w:rFonts w:ascii="Arial" w:hAnsi="Arial" w:cs="Arial"/>
          <w:bCs/>
          <w:color w:val="000000"/>
        </w:rPr>
      </w:pPr>
    </w:p>
    <w:p w14:paraId="6B9E4B5F" w14:textId="77777777" w:rsidR="00552CDD" w:rsidRPr="00552CDD" w:rsidRDefault="00552CDD" w:rsidP="00552CDD">
      <w:pPr>
        <w:rPr>
          <w:rFonts w:ascii="Arial" w:hAnsi="Arial" w:cs="Arial"/>
          <w:b/>
          <w:bCs/>
          <w:color w:val="000000"/>
          <w:vertAlign w:val="superscript"/>
        </w:rPr>
      </w:pPr>
      <w:r w:rsidRPr="00552CDD">
        <w:rPr>
          <w:rFonts w:ascii="Arial" w:hAnsi="Arial" w:cs="Arial"/>
          <w:b/>
          <w:bCs/>
          <w:color w:val="000000"/>
        </w:rPr>
        <w:t>Box 1: A suggested approach for managing patients who want to stop BZRAs*</w:t>
      </w:r>
      <w:r w:rsidRPr="00552CDD">
        <w:rPr>
          <w:rFonts w:ascii="Arial" w:hAnsi="Arial" w:cs="Arial"/>
          <w:b/>
          <w:bCs/>
          <w:color w:val="000000"/>
          <w:vertAlign w:val="superscript"/>
        </w:rPr>
        <w:t>53,54</w:t>
      </w:r>
    </w:p>
    <w:tbl>
      <w:tblPr>
        <w:tblStyle w:val="TableGrid"/>
        <w:tblW w:w="9067" w:type="dxa"/>
        <w:tblLook w:val="04A0" w:firstRow="1" w:lastRow="0" w:firstColumn="1" w:lastColumn="0" w:noHBand="0" w:noVBand="1"/>
      </w:tblPr>
      <w:tblGrid>
        <w:gridCol w:w="9067"/>
      </w:tblGrid>
      <w:tr w:rsidR="00552CDD" w:rsidRPr="00552CDD" w14:paraId="543ED998" w14:textId="77777777" w:rsidTr="00F772D9">
        <w:tc>
          <w:tcPr>
            <w:tcW w:w="9067" w:type="dxa"/>
          </w:tcPr>
          <w:p w14:paraId="32BE7738" w14:textId="77777777" w:rsidR="00552CDD" w:rsidRPr="00552CDD" w:rsidRDefault="00552CDD" w:rsidP="00552CDD">
            <w:pPr>
              <w:rPr>
                <w:rFonts w:ascii="Arial" w:hAnsi="Arial" w:cs="Arial"/>
                <w:bCs/>
                <w:color w:val="000000"/>
              </w:rPr>
            </w:pPr>
            <w:r w:rsidRPr="00552CDD">
              <w:rPr>
                <w:rFonts w:ascii="Arial" w:hAnsi="Arial" w:cs="Arial"/>
                <w:bCs/>
                <w:color w:val="000000"/>
              </w:rPr>
              <w:t xml:space="preserve">Decide if the patient can reduce the dose and stop their current BZRA without switching to diazepam. </w:t>
            </w:r>
          </w:p>
          <w:p w14:paraId="4FF074FC" w14:textId="77777777" w:rsidR="00552CDD" w:rsidRPr="00552CDD" w:rsidRDefault="00552CDD" w:rsidP="00F1149C">
            <w:pPr>
              <w:numPr>
                <w:ilvl w:val="0"/>
                <w:numId w:val="16"/>
              </w:numPr>
              <w:rPr>
                <w:rFonts w:ascii="Arial" w:hAnsi="Arial" w:cs="Arial"/>
                <w:bCs/>
                <w:color w:val="000000"/>
              </w:rPr>
            </w:pPr>
            <w:r w:rsidRPr="00552CDD">
              <w:rPr>
                <w:rFonts w:ascii="Arial" w:hAnsi="Arial" w:cs="Arial"/>
                <w:bCs/>
                <w:color w:val="000000"/>
              </w:rPr>
              <w:t xml:space="preserve">Switching to diazepam should be considered for: </w:t>
            </w:r>
          </w:p>
          <w:p w14:paraId="56C4D8FD" w14:textId="77777777" w:rsidR="00552CDD" w:rsidRPr="00552CDD" w:rsidRDefault="00552CDD" w:rsidP="00F1149C">
            <w:pPr>
              <w:numPr>
                <w:ilvl w:val="1"/>
                <w:numId w:val="16"/>
              </w:numPr>
              <w:rPr>
                <w:rFonts w:ascii="Arial" w:hAnsi="Arial" w:cs="Arial"/>
                <w:bCs/>
                <w:color w:val="000000"/>
              </w:rPr>
            </w:pPr>
            <w:r w:rsidRPr="00552CDD">
              <w:rPr>
                <w:rFonts w:ascii="Arial" w:hAnsi="Arial" w:cs="Arial"/>
                <w:bCs/>
                <w:color w:val="000000"/>
              </w:rPr>
              <w:t>patients on short-acting potent benzodiazepines (alprazolam and lorazepam)</w:t>
            </w:r>
          </w:p>
          <w:p w14:paraId="58C53BE6" w14:textId="77777777" w:rsidR="00552CDD" w:rsidRPr="00552CDD" w:rsidRDefault="00552CDD" w:rsidP="00F1149C">
            <w:pPr>
              <w:numPr>
                <w:ilvl w:val="1"/>
                <w:numId w:val="16"/>
              </w:numPr>
              <w:rPr>
                <w:rFonts w:ascii="Arial" w:hAnsi="Arial" w:cs="Arial"/>
                <w:bCs/>
                <w:color w:val="000000"/>
              </w:rPr>
            </w:pPr>
            <w:r w:rsidRPr="00552CDD">
              <w:rPr>
                <w:rFonts w:ascii="Arial" w:hAnsi="Arial" w:cs="Arial"/>
                <w:bCs/>
                <w:color w:val="000000"/>
              </w:rPr>
              <w:t>patients using preparations that do not easily allow for small reductions in dose (alprazolam, flurazepam, lormetazepam)</w:t>
            </w:r>
          </w:p>
          <w:p w14:paraId="2197C62A" w14:textId="77777777" w:rsidR="00552CDD" w:rsidRPr="00552CDD" w:rsidRDefault="00552CDD" w:rsidP="00F1149C">
            <w:pPr>
              <w:numPr>
                <w:ilvl w:val="1"/>
                <w:numId w:val="16"/>
              </w:numPr>
              <w:rPr>
                <w:rFonts w:ascii="Arial" w:hAnsi="Arial" w:cs="Arial"/>
                <w:bCs/>
                <w:color w:val="000000"/>
              </w:rPr>
            </w:pPr>
            <w:r w:rsidRPr="00552CDD">
              <w:rPr>
                <w:rFonts w:ascii="Arial" w:hAnsi="Arial" w:cs="Arial"/>
                <w:bCs/>
                <w:color w:val="000000"/>
              </w:rPr>
              <w:t>patients experiencing difficulty or who are likely to experience difficulty withdrawing directly from temazepam, nitrazepam, or z-</w:t>
            </w:r>
            <w:r w:rsidRPr="00552CDD">
              <w:rPr>
                <w:rFonts w:ascii="Arial" w:hAnsi="Arial" w:cs="Arial"/>
                <w:bCs/>
                <w:color w:val="000000"/>
              </w:rPr>
              <w:lastRenderedPageBreak/>
              <w:t xml:space="preserve">drugs, due to a high degree of dependency (associated with long duration of treatment, high doses, and a history of anxiety problems). </w:t>
            </w:r>
          </w:p>
          <w:p w14:paraId="569A0A67" w14:textId="77777777" w:rsidR="00552CDD" w:rsidRPr="00552CDD" w:rsidRDefault="00552CDD" w:rsidP="00552CDD">
            <w:pPr>
              <w:rPr>
                <w:rFonts w:ascii="Arial" w:hAnsi="Arial" w:cs="Arial"/>
                <w:bCs/>
                <w:color w:val="000000"/>
              </w:rPr>
            </w:pPr>
          </w:p>
          <w:p w14:paraId="6E8E06C1" w14:textId="77777777" w:rsidR="00552CDD" w:rsidRPr="00552CDD" w:rsidRDefault="00552CDD" w:rsidP="00F1149C">
            <w:pPr>
              <w:numPr>
                <w:ilvl w:val="0"/>
                <w:numId w:val="16"/>
              </w:numPr>
              <w:rPr>
                <w:rFonts w:ascii="Arial" w:hAnsi="Arial" w:cs="Arial"/>
                <w:bCs/>
                <w:i/>
                <w:iCs/>
                <w:color w:val="000000"/>
                <w:u w:val="single"/>
              </w:rPr>
            </w:pPr>
            <w:r w:rsidRPr="00552CDD">
              <w:rPr>
                <w:rFonts w:ascii="Arial" w:hAnsi="Arial" w:cs="Arial"/>
                <w:bCs/>
                <w:color w:val="000000"/>
              </w:rPr>
              <w:t xml:space="preserve">Switch the patient to an equivalent dose of diazepam </w:t>
            </w:r>
            <w:hyperlink r:id="rId21" w:history="1">
              <w:r w:rsidRPr="00552CDD">
                <w:rPr>
                  <w:rStyle w:val="Hyperlink"/>
                  <w:rFonts w:ascii="Arial" w:hAnsi="Arial" w:cs="Arial"/>
                  <w:bCs/>
                  <w:i/>
                  <w:iCs/>
                </w:rPr>
                <w:t>(equivalent doses outlined in Medicines Management Programme Guidance on appropriate prescribing of BZRA for the treatment of anxiety and insomnia.</w:t>
              </w:r>
            </w:hyperlink>
            <w:r w:rsidRPr="00552CDD">
              <w:rPr>
                <w:rFonts w:ascii="Arial" w:hAnsi="Arial" w:cs="Arial"/>
                <w:bCs/>
                <w:i/>
                <w:iCs/>
                <w:color w:val="000000"/>
                <w:u w:val="single"/>
              </w:rPr>
              <w:t>)</w:t>
            </w:r>
          </w:p>
          <w:p w14:paraId="6CDD55B8" w14:textId="77777777" w:rsidR="00552CDD" w:rsidRDefault="00552CDD" w:rsidP="00552CDD">
            <w:pPr>
              <w:rPr>
                <w:rFonts w:ascii="Arial" w:hAnsi="Arial" w:cs="Arial"/>
                <w:bCs/>
                <w:color w:val="000000"/>
              </w:rPr>
            </w:pPr>
          </w:p>
          <w:p w14:paraId="59A6052F" w14:textId="21233A07" w:rsidR="00552CDD" w:rsidRPr="00552CDD" w:rsidRDefault="00552CDD" w:rsidP="00552CDD">
            <w:pPr>
              <w:rPr>
                <w:rFonts w:ascii="Arial" w:hAnsi="Arial" w:cs="Arial"/>
                <w:bCs/>
                <w:i/>
                <w:color w:val="000000"/>
              </w:rPr>
            </w:pPr>
            <w:r w:rsidRPr="00552CDD">
              <w:rPr>
                <w:rFonts w:ascii="Arial" w:hAnsi="Arial" w:cs="Arial"/>
                <w:bCs/>
                <w:i/>
                <w:color w:val="000000"/>
              </w:rPr>
              <w:t>Note: Seek specialist advice before switching to diazepam in patients with hepatic dysfunction as diazepam may accumulate to toxic levels in these individuals</w:t>
            </w:r>
          </w:p>
          <w:p w14:paraId="5121CBA4" w14:textId="77777777" w:rsidR="00552CDD" w:rsidRPr="00552CDD" w:rsidRDefault="00552CDD" w:rsidP="00552CDD">
            <w:pPr>
              <w:rPr>
                <w:rFonts w:ascii="Arial" w:hAnsi="Arial" w:cs="Arial"/>
                <w:bCs/>
                <w:color w:val="000000"/>
              </w:rPr>
            </w:pPr>
          </w:p>
          <w:p w14:paraId="188E3E2E" w14:textId="77777777" w:rsidR="00552CDD" w:rsidRPr="00552CDD" w:rsidRDefault="00552CDD" w:rsidP="00F1149C">
            <w:pPr>
              <w:numPr>
                <w:ilvl w:val="0"/>
                <w:numId w:val="16"/>
              </w:numPr>
              <w:rPr>
                <w:rFonts w:ascii="Arial" w:hAnsi="Arial" w:cs="Arial"/>
                <w:bCs/>
                <w:color w:val="000000"/>
              </w:rPr>
            </w:pPr>
            <w:r w:rsidRPr="00552CDD">
              <w:rPr>
                <w:rFonts w:ascii="Arial" w:hAnsi="Arial" w:cs="Arial"/>
                <w:bCs/>
                <w:color w:val="000000"/>
              </w:rPr>
              <w:t xml:space="preserve">If switching patient to diazepam, carry out gradually in a stepwise manner. Consider making the first switch in the night-time dose to avoid day time sedation </w:t>
            </w:r>
          </w:p>
          <w:p w14:paraId="23F417E5" w14:textId="77777777" w:rsidR="00552CDD" w:rsidRPr="00552CDD" w:rsidRDefault="00552CDD" w:rsidP="00552CDD">
            <w:pPr>
              <w:rPr>
                <w:rFonts w:ascii="Arial" w:hAnsi="Arial" w:cs="Arial"/>
                <w:bCs/>
                <w:color w:val="000000"/>
              </w:rPr>
            </w:pPr>
          </w:p>
          <w:p w14:paraId="664573F8" w14:textId="77777777" w:rsidR="00552CDD" w:rsidRPr="00552CDD" w:rsidRDefault="00552CDD" w:rsidP="00F1149C">
            <w:pPr>
              <w:numPr>
                <w:ilvl w:val="0"/>
                <w:numId w:val="16"/>
              </w:numPr>
              <w:rPr>
                <w:rFonts w:ascii="Arial" w:hAnsi="Arial" w:cs="Arial"/>
                <w:bCs/>
                <w:color w:val="000000"/>
              </w:rPr>
            </w:pPr>
            <w:r w:rsidRPr="00552CDD">
              <w:rPr>
                <w:rFonts w:ascii="Arial" w:hAnsi="Arial" w:cs="Arial"/>
                <w:bCs/>
                <w:color w:val="000000"/>
              </w:rPr>
              <w:t>Start dose withdrawal when conversion to diazepam is complete</w:t>
            </w:r>
          </w:p>
          <w:p w14:paraId="117EF1C0" w14:textId="77777777" w:rsidR="00552CDD" w:rsidRPr="00552CDD" w:rsidRDefault="00552CDD" w:rsidP="00552CDD">
            <w:pPr>
              <w:rPr>
                <w:rFonts w:ascii="Arial" w:hAnsi="Arial" w:cs="Arial"/>
                <w:bCs/>
                <w:color w:val="000000"/>
              </w:rPr>
            </w:pPr>
          </w:p>
          <w:p w14:paraId="4E0D0181" w14:textId="77777777" w:rsidR="00552CDD" w:rsidRPr="00552CDD" w:rsidRDefault="00552CDD" w:rsidP="00F1149C">
            <w:pPr>
              <w:numPr>
                <w:ilvl w:val="0"/>
                <w:numId w:val="16"/>
              </w:numPr>
              <w:rPr>
                <w:rFonts w:ascii="Arial" w:hAnsi="Arial" w:cs="Arial"/>
                <w:bCs/>
                <w:color w:val="000000"/>
              </w:rPr>
            </w:pPr>
            <w:r w:rsidRPr="00552CDD">
              <w:rPr>
                <w:rFonts w:ascii="Arial" w:hAnsi="Arial" w:cs="Arial"/>
                <w:bCs/>
                <w:color w:val="000000"/>
              </w:rPr>
              <w:t>Upon dose reduction of the patient’s current BZRA or diazepam, negotiate a gradual withdrawal schedule which is flexible. Be guided by the patient in making adjustments so that they remain comfortable with the withdrawal process</w:t>
            </w:r>
          </w:p>
          <w:p w14:paraId="63FF98E3" w14:textId="77777777" w:rsidR="00552CDD" w:rsidRPr="00552CDD" w:rsidRDefault="00552CDD" w:rsidP="00552CDD">
            <w:pPr>
              <w:rPr>
                <w:rFonts w:ascii="Arial" w:hAnsi="Arial" w:cs="Arial"/>
                <w:bCs/>
                <w:color w:val="000000"/>
              </w:rPr>
            </w:pPr>
          </w:p>
          <w:p w14:paraId="5F99334D" w14:textId="77777777" w:rsidR="00552CDD" w:rsidRPr="00552CDD" w:rsidRDefault="00552CDD" w:rsidP="00F1149C">
            <w:pPr>
              <w:numPr>
                <w:ilvl w:val="0"/>
                <w:numId w:val="16"/>
              </w:numPr>
              <w:rPr>
                <w:rFonts w:ascii="Arial" w:hAnsi="Arial" w:cs="Arial"/>
                <w:bCs/>
                <w:color w:val="000000"/>
              </w:rPr>
            </w:pPr>
            <w:r w:rsidRPr="00552CDD">
              <w:rPr>
                <w:rFonts w:ascii="Arial" w:hAnsi="Arial" w:cs="Arial"/>
                <w:bCs/>
                <w:color w:val="000000"/>
              </w:rPr>
              <w:t>Dose tapering such as a 5 - 10% reduction every 1 - 2 weeks, or an eighth of the dose fortnightly, with a slower reduction at lower doses. The rate of reduction should take into account the drug, dose and duration of treatment, as well as personal circumstances</w:t>
            </w:r>
          </w:p>
          <w:p w14:paraId="1351EDF6" w14:textId="77777777" w:rsidR="00552CDD" w:rsidRPr="00552CDD" w:rsidRDefault="00552CDD" w:rsidP="00F1149C">
            <w:pPr>
              <w:numPr>
                <w:ilvl w:val="1"/>
                <w:numId w:val="16"/>
              </w:numPr>
              <w:rPr>
                <w:rFonts w:ascii="Arial" w:hAnsi="Arial" w:cs="Arial"/>
                <w:bCs/>
                <w:color w:val="000000"/>
              </w:rPr>
            </w:pPr>
            <w:r w:rsidRPr="00552CDD">
              <w:rPr>
                <w:rFonts w:ascii="Arial" w:hAnsi="Arial" w:cs="Arial"/>
                <w:bCs/>
                <w:color w:val="000000"/>
              </w:rPr>
              <w:t>Titrate dose according to severity of withdrawal symptoms. If the patient experiences difficulties with a dose reduction, encourage them to persevere and suggest delaying the next reduction. Do not revert to a higher dose. Make future dose reductions in smaller steps if necessary</w:t>
            </w:r>
          </w:p>
          <w:p w14:paraId="4922B9CD" w14:textId="77777777" w:rsidR="00552CDD" w:rsidRPr="00552CDD" w:rsidRDefault="00552CDD" w:rsidP="00F1149C">
            <w:pPr>
              <w:numPr>
                <w:ilvl w:val="1"/>
                <w:numId w:val="16"/>
              </w:numPr>
              <w:rPr>
                <w:rFonts w:ascii="Arial" w:hAnsi="Arial" w:cs="Arial"/>
                <w:b/>
                <w:bCs/>
                <w:color w:val="000000"/>
              </w:rPr>
            </w:pPr>
            <w:r w:rsidRPr="00552CDD">
              <w:rPr>
                <w:rFonts w:ascii="Arial" w:hAnsi="Arial" w:cs="Arial"/>
                <w:bCs/>
                <w:color w:val="000000"/>
              </w:rPr>
              <w:t>Review frequently to detect and manage problems, and to provide advice and encouragement</w:t>
            </w:r>
          </w:p>
        </w:tc>
      </w:tr>
    </w:tbl>
    <w:p w14:paraId="0A2E7A2F" w14:textId="77777777" w:rsidR="00552CDD" w:rsidRPr="00552CDD" w:rsidRDefault="00552CDD" w:rsidP="00552CDD">
      <w:pPr>
        <w:rPr>
          <w:rFonts w:ascii="Arial" w:hAnsi="Arial" w:cs="Arial"/>
          <w:b/>
          <w:bCs/>
          <w:i/>
          <w:iCs/>
          <w:color w:val="000000"/>
          <w:sz w:val="22"/>
          <w:vertAlign w:val="superscript"/>
        </w:rPr>
      </w:pPr>
      <w:r w:rsidRPr="00552CDD">
        <w:rPr>
          <w:rFonts w:ascii="Arial" w:hAnsi="Arial" w:cs="Arial"/>
          <w:b/>
          <w:bCs/>
          <w:i/>
          <w:iCs/>
          <w:color w:val="000000"/>
          <w:sz w:val="22"/>
        </w:rPr>
        <w:lastRenderedPageBreak/>
        <w:t xml:space="preserve">*summarised from Medicines Management Programme guidance on appropriate prescribing of BZRAs for the treatment of anxiety and insomnia and the NICE CKS Benzodiazepine and z-drug withdrawal </w:t>
      </w:r>
    </w:p>
    <w:p w14:paraId="2D0FBC4A" w14:textId="24F44468" w:rsidR="00C84CB0" w:rsidRDefault="00C84CB0" w:rsidP="00C42A65">
      <w:pPr>
        <w:rPr>
          <w:rFonts w:ascii="Arial" w:hAnsi="Arial" w:cs="Arial"/>
          <w:bCs/>
        </w:rPr>
      </w:pPr>
    </w:p>
    <w:p w14:paraId="4FB73FA5" w14:textId="77777777" w:rsidR="00C84CB0" w:rsidRDefault="00C84CB0" w:rsidP="00C84CB0">
      <w:pPr>
        <w:pStyle w:val="CommentText"/>
        <w:rPr>
          <w:rFonts w:ascii="Arial" w:hAnsi="Arial" w:cs="Arial"/>
          <w:bCs/>
          <w:sz w:val="24"/>
          <w:szCs w:val="24"/>
        </w:rPr>
      </w:pPr>
    </w:p>
    <w:p w14:paraId="188F2687" w14:textId="49DB3292" w:rsidR="00C84CB0" w:rsidRDefault="00C84CB0" w:rsidP="00C84CB0">
      <w:pPr>
        <w:rPr>
          <w:rFonts w:ascii="Arial" w:hAnsi="Arial" w:cs="Arial"/>
          <w:b/>
          <w:color w:val="000000"/>
        </w:rPr>
      </w:pPr>
      <w:r w:rsidRPr="00A36D65">
        <w:rPr>
          <w:rFonts w:ascii="Arial" w:hAnsi="Arial" w:cs="Arial"/>
          <w:b/>
          <w:color w:val="000000"/>
        </w:rPr>
        <w:t>2.</w:t>
      </w:r>
      <w:r w:rsidR="00F772D9">
        <w:rPr>
          <w:rFonts w:ascii="Arial" w:hAnsi="Arial" w:cs="Arial"/>
          <w:b/>
          <w:color w:val="000000"/>
        </w:rPr>
        <w:t>4</w:t>
      </w:r>
      <w:r w:rsidR="00552CDD">
        <w:rPr>
          <w:rFonts w:ascii="Arial" w:hAnsi="Arial" w:cs="Arial"/>
          <w:b/>
          <w:color w:val="000000"/>
        </w:rPr>
        <w:t>.3</w:t>
      </w:r>
      <w:r w:rsidRPr="00A36D65">
        <w:rPr>
          <w:rFonts w:ascii="Arial" w:hAnsi="Arial" w:cs="Arial"/>
          <w:b/>
          <w:color w:val="000000"/>
        </w:rPr>
        <w:t xml:space="preserve"> Deprescribing of Non-Steroidal Anti-inflammatory Drugs (NSAIDs)</w:t>
      </w:r>
    </w:p>
    <w:p w14:paraId="5F0AFAC8" w14:textId="77777777" w:rsidR="00552CDD" w:rsidRPr="00A36D65" w:rsidRDefault="00552CDD" w:rsidP="00C84CB0">
      <w:pPr>
        <w:rPr>
          <w:rFonts w:ascii="Arial" w:hAnsi="Arial" w:cs="Arial"/>
          <w:b/>
          <w:color w:val="000000"/>
        </w:rPr>
      </w:pPr>
    </w:p>
    <w:p w14:paraId="69EA90B0" w14:textId="0856AF90" w:rsidR="00552CDD" w:rsidRDefault="00552CDD" w:rsidP="00552CDD">
      <w:pPr>
        <w:rPr>
          <w:rFonts w:ascii="Arial" w:hAnsi="Arial" w:cs="Arial"/>
          <w:bCs/>
          <w:color w:val="000000"/>
        </w:rPr>
      </w:pPr>
      <w:r w:rsidRPr="00552CDD">
        <w:rPr>
          <w:rFonts w:ascii="Arial" w:hAnsi="Arial" w:cs="Arial"/>
          <w:bCs/>
          <w:color w:val="000000"/>
        </w:rPr>
        <w:t>NSAIDs are associated with gastrointestinal, cardiac and renal adverse effects; older adults are at particular risk.</w:t>
      </w:r>
      <w:r w:rsidRPr="00552CDD">
        <w:rPr>
          <w:rFonts w:ascii="Arial" w:hAnsi="Arial" w:cs="Arial"/>
          <w:bCs/>
          <w:color w:val="000000"/>
          <w:vertAlign w:val="superscript"/>
        </w:rPr>
        <w:t>55-57</w:t>
      </w:r>
      <w:r w:rsidRPr="00552CDD">
        <w:rPr>
          <w:rFonts w:ascii="Arial" w:hAnsi="Arial" w:cs="Arial"/>
          <w:bCs/>
          <w:color w:val="000000"/>
        </w:rPr>
        <w:t xml:space="preserve"> There are circumstances where the use of NSAIDs is associated with significant risk, and should be avoided where possible (see table 2).</w:t>
      </w:r>
      <w:r w:rsidRPr="00552CDD">
        <w:rPr>
          <w:rFonts w:ascii="Arial" w:hAnsi="Arial" w:cs="Arial"/>
          <w:bCs/>
          <w:color w:val="000000"/>
          <w:vertAlign w:val="superscript"/>
        </w:rPr>
        <w:t>33</w:t>
      </w:r>
      <w:r w:rsidRPr="00552CDD">
        <w:rPr>
          <w:rFonts w:ascii="Arial" w:hAnsi="Arial" w:cs="Arial"/>
          <w:bCs/>
          <w:color w:val="000000"/>
        </w:rPr>
        <w:t xml:space="preserve"> An Irish study of PIP prevalence in primary care has found that the use of NSAIDs in patients with moderate-severe hypertension to be the most frequent potentially inappropriate drug, as per the STOPP criteria.</w:t>
      </w:r>
      <w:r w:rsidRPr="00552CDD">
        <w:rPr>
          <w:rFonts w:ascii="Arial" w:hAnsi="Arial" w:cs="Arial"/>
          <w:bCs/>
          <w:color w:val="000000"/>
          <w:vertAlign w:val="superscript"/>
        </w:rPr>
        <w:t>58</w:t>
      </w:r>
      <w:r w:rsidRPr="00552CDD">
        <w:rPr>
          <w:rFonts w:ascii="Arial" w:hAnsi="Arial" w:cs="Arial"/>
          <w:bCs/>
          <w:color w:val="000000"/>
        </w:rPr>
        <w:t xml:space="preserve"> </w:t>
      </w:r>
    </w:p>
    <w:p w14:paraId="0099E189" w14:textId="2A6DFD6B" w:rsidR="007F07B0" w:rsidRDefault="007F07B0" w:rsidP="00552CDD">
      <w:pPr>
        <w:rPr>
          <w:rFonts w:ascii="Arial" w:hAnsi="Arial" w:cs="Arial"/>
          <w:bCs/>
          <w:color w:val="000000"/>
        </w:rPr>
      </w:pPr>
    </w:p>
    <w:p w14:paraId="589FB1A3" w14:textId="016E8F4D" w:rsidR="007F07B0" w:rsidRDefault="007F07B0" w:rsidP="00552CDD">
      <w:pPr>
        <w:rPr>
          <w:rFonts w:ascii="Arial" w:hAnsi="Arial" w:cs="Arial"/>
          <w:bCs/>
          <w:color w:val="000000"/>
        </w:rPr>
      </w:pPr>
    </w:p>
    <w:p w14:paraId="097C26F0" w14:textId="7AEE6DDF" w:rsidR="007F07B0" w:rsidRDefault="007F07B0" w:rsidP="00552CDD">
      <w:pPr>
        <w:rPr>
          <w:rFonts w:ascii="Arial" w:hAnsi="Arial" w:cs="Arial"/>
          <w:bCs/>
          <w:color w:val="000000"/>
        </w:rPr>
      </w:pPr>
    </w:p>
    <w:p w14:paraId="27FA018E" w14:textId="3D1A7848" w:rsidR="007F07B0" w:rsidRDefault="007F07B0" w:rsidP="00552CDD">
      <w:pPr>
        <w:rPr>
          <w:rFonts w:ascii="Arial" w:hAnsi="Arial" w:cs="Arial"/>
          <w:bCs/>
          <w:color w:val="000000"/>
        </w:rPr>
      </w:pPr>
    </w:p>
    <w:p w14:paraId="3B8537E0" w14:textId="00BD5E6D" w:rsidR="007F07B0" w:rsidRDefault="007F07B0" w:rsidP="00552CDD">
      <w:pPr>
        <w:rPr>
          <w:rFonts w:ascii="Arial" w:hAnsi="Arial" w:cs="Arial"/>
          <w:bCs/>
          <w:color w:val="000000"/>
        </w:rPr>
      </w:pPr>
    </w:p>
    <w:p w14:paraId="7BDC2B19" w14:textId="486E646E" w:rsidR="007F07B0" w:rsidRDefault="007F07B0" w:rsidP="00552CDD">
      <w:pPr>
        <w:rPr>
          <w:rFonts w:ascii="Arial" w:hAnsi="Arial" w:cs="Arial"/>
          <w:bCs/>
          <w:color w:val="000000"/>
        </w:rPr>
      </w:pPr>
    </w:p>
    <w:p w14:paraId="4E0FA933" w14:textId="77777777" w:rsidR="007F07B0" w:rsidRDefault="007F07B0" w:rsidP="00552CDD">
      <w:pPr>
        <w:rPr>
          <w:rFonts w:ascii="Arial" w:hAnsi="Arial" w:cs="Arial"/>
          <w:bCs/>
          <w:color w:val="000000"/>
        </w:rPr>
      </w:pPr>
    </w:p>
    <w:p w14:paraId="69B7249C" w14:textId="32045927" w:rsidR="007F07B0" w:rsidRDefault="007F07B0" w:rsidP="00552CDD">
      <w:pPr>
        <w:rPr>
          <w:rFonts w:ascii="Arial" w:hAnsi="Arial" w:cs="Arial"/>
          <w:bCs/>
          <w:color w:val="000000"/>
        </w:rPr>
      </w:pPr>
    </w:p>
    <w:p w14:paraId="16F8A535" w14:textId="77777777" w:rsidR="007F07B0" w:rsidRPr="00552CDD" w:rsidRDefault="007F07B0" w:rsidP="007F07B0">
      <w:pPr>
        <w:rPr>
          <w:rFonts w:ascii="Arial" w:hAnsi="Arial" w:cs="Arial"/>
          <w:b/>
          <w:color w:val="000000"/>
          <w:vertAlign w:val="superscript"/>
        </w:rPr>
      </w:pPr>
      <w:r w:rsidRPr="00552CDD">
        <w:rPr>
          <w:rFonts w:ascii="Arial" w:hAnsi="Arial" w:cs="Arial"/>
          <w:b/>
          <w:color w:val="000000"/>
        </w:rPr>
        <w:t>Table 2: High risk use of NSAIDs</w:t>
      </w:r>
      <w:r w:rsidRPr="00552CDD">
        <w:rPr>
          <w:rFonts w:ascii="Arial" w:hAnsi="Arial" w:cs="Arial"/>
          <w:b/>
          <w:color w:val="000000"/>
          <w:vertAlign w:val="superscript"/>
        </w:rPr>
        <w:t>33</w:t>
      </w:r>
    </w:p>
    <w:tbl>
      <w:tblPr>
        <w:tblStyle w:val="TableGrid"/>
        <w:tblW w:w="0" w:type="auto"/>
        <w:tblLook w:val="04A0" w:firstRow="1" w:lastRow="0" w:firstColumn="1" w:lastColumn="0" w:noHBand="0" w:noVBand="1"/>
      </w:tblPr>
      <w:tblGrid>
        <w:gridCol w:w="2546"/>
        <w:gridCol w:w="6464"/>
      </w:tblGrid>
      <w:tr w:rsidR="007F07B0" w:rsidRPr="00552CDD" w14:paraId="0C0A5EE4" w14:textId="77777777" w:rsidTr="005F0BF9">
        <w:tc>
          <w:tcPr>
            <w:tcW w:w="2547" w:type="dxa"/>
            <w:shd w:val="clear" w:color="auto" w:fill="000000" w:themeFill="text1"/>
          </w:tcPr>
          <w:p w14:paraId="5BE69906" w14:textId="77777777" w:rsidR="007F07B0" w:rsidRPr="00552CDD" w:rsidRDefault="007F07B0" w:rsidP="005F0BF9">
            <w:pPr>
              <w:rPr>
                <w:rFonts w:ascii="Arial" w:hAnsi="Arial" w:cs="Arial"/>
                <w:b/>
                <w:color w:val="FFFFFF" w:themeColor="background1"/>
              </w:rPr>
            </w:pPr>
            <w:r w:rsidRPr="00552CDD">
              <w:rPr>
                <w:rFonts w:ascii="Arial" w:hAnsi="Arial" w:cs="Arial"/>
                <w:b/>
                <w:color w:val="FFFFFF" w:themeColor="background1"/>
              </w:rPr>
              <w:t>Adverse Drug Reaction</w:t>
            </w:r>
          </w:p>
        </w:tc>
        <w:tc>
          <w:tcPr>
            <w:tcW w:w="6469" w:type="dxa"/>
            <w:shd w:val="clear" w:color="auto" w:fill="000000" w:themeFill="text1"/>
          </w:tcPr>
          <w:p w14:paraId="388972EA" w14:textId="77777777" w:rsidR="007F07B0" w:rsidRPr="00552CDD" w:rsidRDefault="007F07B0" w:rsidP="005F0BF9">
            <w:pPr>
              <w:rPr>
                <w:rFonts w:ascii="Arial" w:hAnsi="Arial" w:cs="Arial"/>
                <w:b/>
                <w:color w:val="FFFFFF" w:themeColor="background1"/>
              </w:rPr>
            </w:pPr>
            <w:r w:rsidRPr="00552CDD">
              <w:rPr>
                <w:rFonts w:ascii="Arial" w:hAnsi="Arial" w:cs="Arial"/>
                <w:b/>
                <w:color w:val="FFFFFF" w:themeColor="background1"/>
              </w:rPr>
              <w:t>Risk factors include</w:t>
            </w:r>
          </w:p>
        </w:tc>
      </w:tr>
      <w:tr w:rsidR="007F07B0" w:rsidRPr="00552CDD" w14:paraId="6CF5E7A9" w14:textId="77777777" w:rsidTr="005F0BF9">
        <w:tc>
          <w:tcPr>
            <w:tcW w:w="2547" w:type="dxa"/>
            <w:shd w:val="clear" w:color="auto" w:fill="D9D9D9" w:themeFill="background1" w:themeFillShade="D9"/>
          </w:tcPr>
          <w:p w14:paraId="04E7092E" w14:textId="77777777" w:rsidR="007F07B0" w:rsidRPr="00552CDD" w:rsidRDefault="007F07B0" w:rsidP="005F0BF9">
            <w:pPr>
              <w:rPr>
                <w:rFonts w:ascii="Arial" w:hAnsi="Arial" w:cs="Arial"/>
                <w:b/>
                <w:color w:val="000000"/>
              </w:rPr>
            </w:pPr>
            <w:r w:rsidRPr="00552CDD">
              <w:rPr>
                <w:rFonts w:ascii="Arial" w:hAnsi="Arial" w:cs="Arial"/>
                <w:b/>
                <w:color w:val="000000"/>
              </w:rPr>
              <w:t>Gastrointestinal</w:t>
            </w:r>
          </w:p>
        </w:tc>
        <w:tc>
          <w:tcPr>
            <w:tcW w:w="6469" w:type="dxa"/>
            <w:shd w:val="clear" w:color="auto" w:fill="D9D9D9" w:themeFill="background1" w:themeFillShade="D9"/>
          </w:tcPr>
          <w:p w14:paraId="2E57CD9A" w14:textId="77777777" w:rsidR="007F07B0" w:rsidRPr="00552CDD" w:rsidRDefault="007F07B0" w:rsidP="005F0BF9">
            <w:pPr>
              <w:rPr>
                <w:rFonts w:ascii="Arial" w:hAnsi="Arial" w:cs="Arial"/>
                <w:color w:val="000000"/>
              </w:rPr>
            </w:pPr>
            <w:r w:rsidRPr="00552CDD">
              <w:rPr>
                <w:rFonts w:ascii="Arial" w:hAnsi="Arial" w:cs="Arial"/>
                <w:color w:val="000000"/>
              </w:rPr>
              <w:t>Age &gt;75 years</w:t>
            </w:r>
          </w:p>
          <w:p w14:paraId="79776702" w14:textId="77777777" w:rsidR="007F07B0" w:rsidRPr="00552CDD" w:rsidRDefault="007F07B0" w:rsidP="005F0BF9">
            <w:pPr>
              <w:rPr>
                <w:rFonts w:ascii="Arial" w:hAnsi="Arial" w:cs="Arial"/>
                <w:color w:val="000000"/>
              </w:rPr>
            </w:pPr>
            <w:r w:rsidRPr="00552CDD">
              <w:rPr>
                <w:rFonts w:ascii="Arial" w:hAnsi="Arial" w:cs="Arial"/>
                <w:color w:val="000000"/>
              </w:rPr>
              <w:t>History of gastrointestinal ulcer</w:t>
            </w:r>
          </w:p>
          <w:p w14:paraId="74B79E4D" w14:textId="77777777" w:rsidR="007F07B0" w:rsidRPr="00552CDD" w:rsidRDefault="007F07B0" w:rsidP="005F0BF9">
            <w:pPr>
              <w:rPr>
                <w:rFonts w:ascii="Arial" w:hAnsi="Arial" w:cs="Arial"/>
                <w:color w:val="000000"/>
              </w:rPr>
            </w:pPr>
            <w:r w:rsidRPr="00552CDD">
              <w:rPr>
                <w:rFonts w:ascii="Arial" w:hAnsi="Arial" w:cs="Arial"/>
                <w:color w:val="000000"/>
              </w:rPr>
              <w:t>Use with antiplatelets and anticoagulants, steroids and selective serotonin reuptake inhibitors</w:t>
            </w:r>
          </w:p>
          <w:p w14:paraId="4340E370" w14:textId="77777777" w:rsidR="007F07B0" w:rsidRPr="00552CDD" w:rsidRDefault="007F07B0" w:rsidP="005F0BF9">
            <w:pPr>
              <w:rPr>
                <w:rFonts w:ascii="Arial" w:hAnsi="Arial" w:cs="Arial"/>
                <w:color w:val="000000"/>
              </w:rPr>
            </w:pPr>
            <w:r w:rsidRPr="00552CDD">
              <w:rPr>
                <w:rFonts w:ascii="Arial" w:hAnsi="Arial" w:cs="Arial"/>
                <w:color w:val="000000"/>
              </w:rPr>
              <w:t>Heavy alcohol use</w:t>
            </w:r>
          </w:p>
          <w:p w14:paraId="2B621615" w14:textId="77777777" w:rsidR="007F07B0" w:rsidRPr="00552CDD" w:rsidRDefault="007F07B0" w:rsidP="005F0BF9">
            <w:pPr>
              <w:rPr>
                <w:rFonts w:ascii="Arial" w:hAnsi="Arial" w:cs="Arial"/>
                <w:i/>
                <w:color w:val="000000"/>
              </w:rPr>
            </w:pPr>
            <w:r w:rsidRPr="00552CDD">
              <w:rPr>
                <w:rFonts w:ascii="Arial" w:hAnsi="Arial" w:cs="Arial"/>
                <w:i/>
                <w:color w:val="000000"/>
              </w:rPr>
              <w:t>If NSAIDs are essential: Consider gastro-protection with a PPI</w:t>
            </w:r>
          </w:p>
        </w:tc>
      </w:tr>
      <w:tr w:rsidR="007F07B0" w:rsidRPr="00552CDD" w14:paraId="59D9FF9A" w14:textId="77777777" w:rsidTr="005F0BF9">
        <w:tc>
          <w:tcPr>
            <w:tcW w:w="2547" w:type="dxa"/>
            <w:shd w:val="clear" w:color="auto" w:fill="D9D9D9" w:themeFill="background1" w:themeFillShade="D9"/>
          </w:tcPr>
          <w:p w14:paraId="30C53BE7" w14:textId="77777777" w:rsidR="007F07B0" w:rsidRPr="00552CDD" w:rsidRDefault="007F07B0" w:rsidP="005F0BF9">
            <w:pPr>
              <w:rPr>
                <w:rFonts w:ascii="Arial" w:hAnsi="Arial" w:cs="Arial"/>
                <w:b/>
                <w:color w:val="000000"/>
              </w:rPr>
            </w:pPr>
            <w:r w:rsidRPr="00552CDD">
              <w:rPr>
                <w:rFonts w:ascii="Arial" w:hAnsi="Arial" w:cs="Arial"/>
                <w:b/>
                <w:color w:val="000000"/>
              </w:rPr>
              <w:t>Cardiovascular</w:t>
            </w:r>
          </w:p>
        </w:tc>
        <w:tc>
          <w:tcPr>
            <w:tcW w:w="6469" w:type="dxa"/>
            <w:shd w:val="clear" w:color="auto" w:fill="D9D9D9" w:themeFill="background1" w:themeFillShade="D9"/>
          </w:tcPr>
          <w:p w14:paraId="1997C9FD" w14:textId="77777777" w:rsidR="007F07B0" w:rsidRPr="00552CDD" w:rsidRDefault="007F07B0" w:rsidP="005F0BF9">
            <w:pPr>
              <w:rPr>
                <w:rFonts w:ascii="Arial" w:hAnsi="Arial" w:cs="Arial"/>
                <w:color w:val="000000"/>
              </w:rPr>
            </w:pPr>
            <w:r w:rsidRPr="00552CDD">
              <w:rPr>
                <w:rFonts w:ascii="Arial" w:hAnsi="Arial" w:cs="Arial"/>
                <w:color w:val="000000"/>
              </w:rPr>
              <w:t>CVD risk &gt;20%</w:t>
            </w:r>
          </w:p>
          <w:p w14:paraId="6F2CA3CF" w14:textId="77777777" w:rsidR="007F07B0" w:rsidRPr="00552CDD" w:rsidRDefault="007F07B0" w:rsidP="005F0BF9">
            <w:pPr>
              <w:rPr>
                <w:rFonts w:ascii="Arial" w:hAnsi="Arial" w:cs="Arial"/>
                <w:color w:val="000000"/>
              </w:rPr>
            </w:pPr>
            <w:r w:rsidRPr="00552CDD">
              <w:rPr>
                <w:rFonts w:ascii="Arial" w:hAnsi="Arial" w:cs="Arial"/>
                <w:color w:val="000000"/>
              </w:rPr>
              <w:t>Previous CVD events</w:t>
            </w:r>
          </w:p>
          <w:p w14:paraId="1E951F2F" w14:textId="77777777" w:rsidR="007F07B0" w:rsidRPr="00552CDD" w:rsidRDefault="007F07B0" w:rsidP="005F0BF9">
            <w:pPr>
              <w:rPr>
                <w:rFonts w:ascii="Arial" w:hAnsi="Arial" w:cs="Arial"/>
                <w:color w:val="000000"/>
              </w:rPr>
            </w:pPr>
            <w:r w:rsidRPr="00552CDD">
              <w:rPr>
                <w:rFonts w:ascii="Arial" w:hAnsi="Arial" w:cs="Arial"/>
                <w:color w:val="000000"/>
              </w:rPr>
              <w:t>Heart Failure</w:t>
            </w:r>
          </w:p>
        </w:tc>
      </w:tr>
      <w:tr w:rsidR="007F07B0" w:rsidRPr="00552CDD" w14:paraId="3D881ADF" w14:textId="77777777" w:rsidTr="005F0BF9">
        <w:tc>
          <w:tcPr>
            <w:tcW w:w="2547" w:type="dxa"/>
            <w:shd w:val="clear" w:color="auto" w:fill="D9D9D9" w:themeFill="background1" w:themeFillShade="D9"/>
          </w:tcPr>
          <w:p w14:paraId="1B2F9342" w14:textId="77777777" w:rsidR="007F07B0" w:rsidRPr="00552CDD" w:rsidRDefault="007F07B0" w:rsidP="005F0BF9">
            <w:pPr>
              <w:rPr>
                <w:rFonts w:ascii="Arial" w:hAnsi="Arial" w:cs="Arial"/>
                <w:b/>
                <w:color w:val="000000"/>
              </w:rPr>
            </w:pPr>
            <w:r w:rsidRPr="00552CDD">
              <w:rPr>
                <w:rFonts w:ascii="Arial" w:hAnsi="Arial" w:cs="Arial"/>
                <w:b/>
                <w:color w:val="000000"/>
              </w:rPr>
              <w:t>Renal</w:t>
            </w:r>
          </w:p>
        </w:tc>
        <w:tc>
          <w:tcPr>
            <w:tcW w:w="6469" w:type="dxa"/>
            <w:shd w:val="clear" w:color="auto" w:fill="D9D9D9" w:themeFill="background1" w:themeFillShade="D9"/>
          </w:tcPr>
          <w:p w14:paraId="0B311C6D" w14:textId="77777777" w:rsidR="007F07B0" w:rsidRPr="00552CDD" w:rsidRDefault="007F07B0" w:rsidP="005F0BF9">
            <w:pPr>
              <w:rPr>
                <w:rFonts w:ascii="Arial" w:hAnsi="Arial" w:cs="Arial"/>
                <w:color w:val="000000"/>
              </w:rPr>
            </w:pPr>
            <w:r w:rsidRPr="00552CDD">
              <w:rPr>
                <w:rFonts w:ascii="Arial" w:hAnsi="Arial" w:cs="Arial"/>
                <w:color w:val="000000"/>
              </w:rPr>
              <w:t>Age &gt;65 years</w:t>
            </w:r>
          </w:p>
          <w:p w14:paraId="761C4614" w14:textId="77777777" w:rsidR="007F07B0" w:rsidRPr="00552CDD" w:rsidRDefault="007F07B0" w:rsidP="005F0BF9">
            <w:pPr>
              <w:rPr>
                <w:rFonts w:ascii="Arial" w:hAnsi="Arial" w:cs="Arial"/>
                <w:color w:val="000000"/>
              </w:rPr>
            </w:pPr>
            <w:r w:rsidRPr="00552CDD">
              <w:rPr>
                <w:rFonts w:ascii="Arial" w:hAnsi="Arial" w:cs="Arial"/>
                <w:color w:val="000000"/>
              </w:rPr>
              <w:t>On angiotensin converting enzyme inhibitor, angiotensin II receptor antagonist and/or diuretics</w:t>
            </w:r>
          </w:p>
          <w:p w14:paraId="35B96E38" w14:textId="77777777" w:rsidR="007F07B0" w:rsidRPr="00552CDD" w:rsidRDefault="007F07B0" w:rsidP="005F0BF9">
            <w:pPr>
              <w:rPr>
                <w:rFonts w:ascii="Arial" w:hAnsi="Arial" w:cs="Arial"/>
                <w:color w:val="000000"/>
              </w:rPr>
            </w:pPr>
            <w:r w:rsidRPr="00552CDD">
              <w:rPr>
                <w:rFonts w:ascii="Arial" w:hAnsi="Arial" w:cs="Arial"/>
                <w:color w:val="000000"/>
              </w:rPr>
              <w:t>Chronic kidney disease or heart failure</w:t>
            </w:r>
          </w:p>
          <w:p w14:paraId="25C6250D" w14:textId="77777777" w:rsidR="007F07B0" w:rsidRPr="00552CDD" w:rsidRDefault="007F07B0" w:rsidP="005F0BF9">
            <w:pPr>
              <w:rPr>
                <w:rFonts w:ascii="Arial" w:hAnsi="Arial" w:cs="Arial"/>
                <w:i/>
                <w:color w:val="000000"/>
              </w:rPr>
            </w:pPr>
            <w:r w:rsidRPr="00552CDD">
              <w:rPr>
                <w:rFonts w:ascii="Arial" w:hAnsi="Arial" w:cs="Arial"/>
                <w:i/>
                <w:color w:val="000000"/>
              </w:rPr>
              <w:t>If NSAIDs are essential: Monitor eGFR; stop during intercurrent illness</w:t>
            </w:r>
          </w:p>
        </w:tc>
      </w:tr>
    </w:tbl>
    <w:p w14:paraId="297BAADD" w14:textId="77777777" w:rsidR="007F07B0" w:rsidRPr="00552CDD" w:rsidRDefault="007F07B0" w:rsidP="007F07B0">
      <w:pPr>
        <w:rPr>
          <w:rFonts w:ascii="Arial" w:hAnsi="Arial" w:cs="Arial"/>
          <w:b/>
          <w:bCs/>
          <w:color w:val="000000"/>
          <w:sz w:val="22"/>
        </w:rPr>
      </w:pPr>
      <w:r w:rsidRPr="00552CDD">
        <w:rPr>
          <w:rFonts w:ascii="Arial" w:hAnsi="Arial" w:cs="Arial"/>
          <w:b/>
          <w:bCs/>
          <w:color w:val="000000"/>
          <w:sz w:val="22"/>
        </w:rPr>
        <w:t>NSAID – non-steroidal anti-inflammatory drug; PPI – proton pump inhibitor; CVD cardiovascular disease; eGFR – estimated glomerular filtration rate</w:t>
      </w:r>
    </w:p>
    <w:p w14:paraId="6BDCF6E5" w14:textId="77777777" w:rsidR="007F07B0" w:rsidRDefault="007F07B0" w:rsidP="00552CDD">
      <w:pPr>
        <w:rPr>
          <w:rFonts w:ascii="Arial" w:hAnsi="Arial" w:cs="Arial"/>
          <w:bCs/>
          <w:color w:val="000000"/>
        </w:rPr>
      </w:pPr>
    </w:p>
    <w:p w14:paraId="3EB691AC" w14:textId="77777777" w:rsidR="007F07B0" w:rsidRPr="00552CDD" w:rsidRDefault="007F07B0" w:rsidP="00552CDD">
      <w:pPr>
        <w:rPr>
          <w:rFonts w:ascii="Arial" w:hAnsi="Arial" w:cs="Arial"/>
          <w:bCs/>
          <w:color w:val="000000"/>
        </w:rPr>
      </w:pPr>
    </w:p>
    <w:p w14:paraId="66BDAC51" w14:textId="3C9FA455" w:rsidR="00552CDD" w:rsidRDefault="00552CDD" w:rsidP="00552CDD">
      <w:pPr>
        <w:rPr>
          <w:rFonts w:ascii="Arial" w:hAnsi="Arial" w:cs="Arial"/>
          <w:bCs/>
          <w:color w:val="000000"/>
          <w:vertAlign w:val="superscript"/>
        </w:rPr>
      </w:pPr>
      <w:r w:rsidRPr="00552CDD">
        <w:rPr>
          <w:rFonts w:ascii="Arial" w:hAnsi="Arial" w:cs="Arial"/>
          <w:bCs/>
          <w:color w:val="000000"/>
        </w:rPr>
        <w:t xml:space="preserve">Where an NSAID is deemed necessary, it should be prescribed with caution and for the shortest time and </w:t>
      </w:r>
      <w:r w:rsidR="007F07B0">
        <w:rPr>
          <w:rFonts w:ascii="Arial" w:hAnsi="Arial" w:cs="Arial"/>
          <w:bCs/>
          <w:color w:val="000000"/>
        </w:rPr>
        <w:t xml:space="preserve">at the </w:t>
      </w:r>
      <w:r w:rsidRPr="00552CDD">
        <w:rPr>
          <w:rFonts w:ascii="Arial" w:hAnsi="Arial" w:cs="Arial"/>
          <w:bCs/>
          <w:color w:val="000000"/>
        </w:rPr>
        <w:t>lowest effective dose possible.</w:t>
      </w:r>
      <w:r w:rsidRPr="00552CDD">
        <w:rPr>
          <w:rFonts w:ascii="Arial" w:hAnsi="Arial" w:cs="Arial"/>
          <w:bCs/>
          <w:color w:val="000000"/>
          <w:vertAlign w:val="superscript"/>
        </w:rPr>
        <w:t>56,57</w:t>
      </w:r>
      <w:r w:rsidRPr="00552CDD">
        <w:rPr>
          <w:rFonts w:ascii="Arial" w:hAnsi="Arial" w:cs="Arial"/>
          <w:bCs/>
          <w:color w:val="000000"/>
        </w:rPr>
        <w:t xml:space="preserve"> The discontinuation of NSAIDs, particularly in chronic pain or inflammatory disorders can be particularly challenging in primary care. There is evidence for benefit of non-pharmacological interventions, such as physical activity, for the management of chronic pain.</w:t>
      </w:r>
      <w:r w:rsidRPr="00552CDD">
        <w:rPr>
          <w:rFonts w:ascii="Arial" w:hAnsi="Arial" w:cs="Arial"/>
          <w:bCs/>
          <w:color w:val="000000"/>
          <w:vertAlign w:val="superscript"/>
        </w:rPr>
        <w:t xml:space="preserve">55 </w:t>
      </w:r>
      <w:r w:rsidRPr="00552CDD">
        <w:rPr>
          <w:rFonts w:ascii="Arial" w:hAnsi="Arial" w:cs="Arial"/>
          <w:bCs/>
          <w:color w:val="000000"/>
        </w:rPr>
        <w:t>From a pharmacological perspective, alternatives (if necessary) include the use of topical NSAID preparations and non-NSAID oral analgesics.</w:t>
      </w:r>
      <w:r w:rsidRPr="00552CDD">
        <w:rPr>
          <w:rFonts w:ascii="Arial" w:hAnsi="Arial" w:cs="Arial"/>
          <w:bCs/>
          <w:color w:val="000000"/>
          <w:vertAlign w:val="superscript"/>
        </w:rPr>
        <w:t xml:space="preserve">55-57 </w:t>
      </w:r>
      <w:r w:rsidRPr="00552CDD">
        <w:rPr>
          <w:rFonts w:ascii="Arial" w:hAnsi="Arial" w:cs="Arial"/>
          <w:bCs/>
          <w:color w:val="000000"/>
        </w:rPr>
        <w:t>Consultation with the patient is of vital importance, and it may be that a shared decision is made to continue with an NSAID, after the patient has been made aware of the potential risks.</w:t>
      </w:r>
      <w:r w:rsidRPr="00552CDD">
        <w:rPr>
          <w:rFonts w:ascii="Arial" w:hAnsi="Arial" w:cs="Arial"/>
          <w:bCs/>
          <w:color w:val="000000"/>
          <w:vertAlign w:val="superscript"/>
        </w:rPr>
        <w:t>33</w:t>
      </w:r>
    </w:p>
    <w:p w14:paraId="07042446" w14:textId="732A320B" w:rsidR="00C84CB0" w:rsidRDefault="00C84CB0" w:rsidP="00552CDD">
      <w:pPr>
        <w:rPr>
          <w:rFonts w:ascii="Arial" w:hAnsi="Arial" w:cs="Arial"/>
          <w:b/>
          <w:bCs/>
          <w:szCs w:val="21"/>
        </w:rPr>
      </w:pPr>
      <w:r>
        <w:rPr>
          <w:rFonts w:ascii="Arial" w:hAnsi="Arial" w:cs="Arial"/>
          <w:b/>
          <w:bCs/>
          <w:color w:val="0000FF"/>
        </w:rPr>
        <w:tab/>
      </w:r>
    </w:p>
    <w:p w14:paraId="44F04BE0" w14:textId="0639CEEA" w:rsidR="00C84CB0" w:rsidRPr="0023001F" w:rsidRDefault="00C84CB0" w:rsidP="00C84CB0">
      <w:pPr>
        <w:rPr>
          <w:rFonts w:ascii="Arial" w:hAnsi="Arial" w:cs="Arial"/>
          <w:b/>
        </w:rPr>
      </w:pPr>
      <w:r w:rsidRPr="0023001F">
        <w:rPr>
          <w:rFonts w:ascii="Arial" w:hAnsi="Arial" w:cs="Arial"/>
          <w:b/>
        </w:rPr>
        <w:t>2.</w:t>
      </w:r>
      <w:r w:rsidR="00F772D9">
        <w:rPr>
          <w:rFonts w:ascii="Arial" w:hAnsi="Arial" w:cs="Arial"/>
          <w:b/>
        </w:rPr>
        <w:t>5.4</w:t>
      </w:r>
      <w:r w:rsidRPr="0023001F">
        <w:rPr>
          <w:rFonts w:ascii="Arial" w:hAnsi="Arial" w:cs="Arial"/>
          <w:b/>
        </w:rPr>
        <w:t xml:space="preserve"> Deprescribing of </w:t>
      </w:r>
      <w:r w:rsidR="00247BCC">
        <w:rPr>
          <w:rFonts w:ascii="Arial" w:hAnsi="Arial" w:cs="Arial"/>
          <w:b/>
        </w:rPr>
        <w:t>Selective Serotonin Reuptake Inhibitors (SSRIs) and</w:t>
      </w:r>
      <w:r w:rsidR="00247BCC" w:rsidRPr="0023001F" w:rsidDel="00247BCC">
        <w:rPr>
          <w:rFonts w:ascii="Arial" w:hAnsi="Arial" w:cs="Arial"/>
          <w:b/>
        </w:rPr>
        <w:t xml:space="preserve"> </w:t>
      </w:r>
      <w:r w:rsidR="00247BCC">
        <w:rPr>
          <w:rFonts w:ascii="Arial" w:hAnsi="Arial" w:cs="Arial"/>
          <w:b/>
          <w:bCs/>
          <w:color w:val="202124"/>
          <w:shd w:val="clear" w:color="auto" w:fill="FFFFFF"/>
        </w:rPr>
        <w:t>Serotonin and Norepinephrine Reuptake Inhibitors (SNRIs)</w:t>
      </w:r>
      <w:bookmarkStart w:id="2" w:name="_GoBack"/>
      <w:bookmarkEnd w:id="2"/>
    </w:p>
    <w:p w14:paraId="519B9DED" w14:textId="77777777" w:rsidR="00C84CB0" w:rsidRDefault="00C84CB0" w:rsidP="00C84CB0">
      <w:pPr>
        <w:rPr>
          <w:rFonts w:ascii="Arial" w:hAnsi="Arial" w:cs="Arial"/>
          <w:bCs/>
        </w:rPr>
      </w:pPr>
      <w:r>
        <w:rPr>
          <w:rFonts w:ascii="Arial" w:hAnsi="Arial" w:cs="Arial"/>
          <w:bCs/>
        </w:rPr>
        <w:tab/>
      </w:r>
    </w:p>
    <w:p w14:paraId="564DB3BF" w14:textId="751A6DBE" w:rsidR="009D09DF" w:rsidRDefault="00C84CB0" w:rsidP="00C84CB0">
      <w:pPr>
        <w:rPr>
          <w:rFonts w:ascii="Arial" w:hAnsi="Arial" w:cs="Arial"/>
          <w:bCs/>
        </w:rPr>
      </w:pPr>
      <w:r>
        <w:rPr>
          <w:rFonts w:ascii="Arial" w:hAnsi="Arial" w:cs="Arial"/>
          <w:bCs/>
        </w:rPr>
        <w:t>Antidepressant prescribing rates in Irish primary</w:t>
      </w:r>
      <w:r w:rsidR="001D35F8">
        <w:rPr>
          <w:rFonts w:ascii="Arial" w:hAnsi="Arial" w:cs="Arial"/>
          <w:bCs/>
        </w:rPr>
        <w:t xml:space="preserve"> care</w:t>
      </w:r>
      <w:r>
        <w:rPr>
          <w:rFonts w:ascii="Arial" w:hAnsi="Arial" w:cs="Arial"/>
          <w:bCs/>
        </w:rPr>
        <w:t xml:space="preserve"> </w:t>
      </w:r>
      <w:r w:rsidR="007F07B0">
        <w:rPr>
          <w:rFonts w:ascii="Arial" w:hAnsi="Arial" w:cs="Arial"/>
          <w:bCs/>
        </w:rPr>
        <w:t>are increasing</w:t>
      </w:r>
      <w:r>
        <w:rPr>
          <w:rFonts w:ascii="Arial" w:hAnsi="Arial" w:cs="Arial"/>
          <w:bCs/>
        </w:rPr>
        <w:t xml:space="preserve">; it is estimated that the </w:t>
      </w:r>
      <w:r w:rsidRPr="0066111B">
        <w:rPr>
          <w:rFonts w:ascii="Arial" w:hAnsi="Arial" w:cs="Arial"/>
          <w:bCs/>
        </w:rPr>
        <w:t xml:space="preserve">number </w:t>
      </w:r>
      <w:r>
        <w:rPr>
          <w:rFonts w:ascii="Arial" w:hAnsi="Arial" w:cs="Arial"/>
          <w:bCs/>
        </w:rPr>
        <w:t>of patients on the GMS Scheme</w:t>
      </w:r>
      <w:r w:rsidR="007F07B0">
        <w:rPr>
          <w:rFonts w:ascii="Arial" w:hAnsi="Arial" w:cs="Arial"/>
          <w:bCs/>
        </w:rPr>
        <w:t xml:space="preserve"> </w:t>
      </w:r>
      <w:r>
        <w:rPr>
          <w:rFonts w:ascii="Arial" w:hAnsi="Arial" w:cs="Arial"/>
          <w:bCs/>
        </w:rPr>
        <w:t xml:space="preserve">prescribed an antidepressant agent rose </w:t>
      </w:r>
      <w:r w:rsidRPr="0066111B">
        <w:rPr>
          <w:rFonts w:ascii="Arial" w:hAnsi="Arial" w:cs="Arial"/>
          <w:bCs/>
        </w:rPr>
        <w:t>from 9.4</w:t>
      </w:r>
      <w:r>
        <w:rPr>
          <w:rFonts w:ascii="Arial" w:hAnsi="Arial" w:cs="Arial"/>
          <w:bCs/>
        </w:rPr>
        <w:t xml:space="preserve">% in 2016 </w:t>
      </w:r>
      <w:r w:rsidRPr="0066111B">
        <w:rPr>
          <w:rFonts w:ascii="Arial" w:hAnsi="Arial" w:cs="Arial"/>
          <w:bCs/>
        </w:rPr>
        <w:t>to 12.3</w:t>
      </w:r>
      <w:r>
        <w:rPr>
          <w:rFonts w:ascii="Arial" w:hAnsi="Arial" w:cs="Arial"/>
          <w:bCs/>
        </w:rPr>
        <w:t xml:space="preserve">% in </w:t>
      </w:r>
      <w:r w:rsidRPr="0066111B">
        <w:rPr>
          <w:rFonts w:ascii="Arial" w:hAnsi="Arial" w:cs="Arial"/>
          <w:bCs/>
        </w:rPr>
        <w:t>2020</w:t>
      </w:r>
      <w:r w:rsidRPr="0044343F">
        <w:rPr>
          <w:rFonts w:ascii="Arial" w:hAnsi="Arial" w:cs="Arial"/>
          <w:bCs/>
          <w:color w:val="000000" w:themeColor="text1"/>
        </w:rPr>
        <w:t>.</w:t>
      </w:r>
      <w:r w:rsidR="00B409F2" w:rsidRPr="0044343F">
        <w:rPr>
          <w:rFonts w:ascii="Arial" w:hAnsi="Arial" w:cs="Arial"/>
          <w:color w:val="000000" w:themeColor="text1"/>
          <w:vertAlign w:val="superscript"/>
        </w:rPr>
        <w:t>59</w:t>
      </w:r>
      <w:r w:rsidRPr="0044343F">
        <w:rPr>
          <w:rFonts w:ascii="Arial" w:hAnsi="Arial" w:cs="Arial"/>
          <w:bCs/>
          <w:color w:val="000000" w:themeColor="text1"/>
          <w:vertAlign w:val="superscript"/>
        </w:rPr>
        <w:t xml:space="preserve"> </w:t>
      </w:r>
      <w:r w:rsidR="00F068D1" w:rsidRPr="0044343F">
        <w:rPr>
          <w:rFonts w:ascii="Arial" w:hAnsi="Arial" w:cs="Arial"/>
          <w:bCs/>
          <w:color w:val="000000" w:themeColor="text1"/>
        </w:rPr>
        <w:t xml:space="preserve"> </w:t>
      </w:r>
      <w:r>
        <w:rPr>
          <w:rFonts w:ascii="Arial" w:hAnsi="Arial" w:cs="Arial"/>
          <w:bCs/>
        </w:rPr>
        <w:t xml:space="preserve">Current </w:t>
      </w:r>
      <w:r w:rsidR="001D35F8">
        <w:rPr>
          <w:rFonts w:ascii="Arial" w:hAnsi="Arial" w:cs="Arial"/>
          <w:bCs/>
        </w:rPr>
        <w:t xml:space="preserve">UK </w:t>
      </w:r>
      <w:r>
        <w:rPr>
          <w:rFonts w:ascii="Arial" w:hAnsi="Arial" w:cs="Arial"/>
          <w:bCs/>
        </w:rPr>
        <w:t>National Institute of Clinical</w:t>
      </w:r>
      <w:r w:rsidR="00CC2C32">
        <w:rPr>
          <w:rFonts w:ascii="Arial" w:hAnsi="Arial" w:cs="Arial"/>
          <w:bCs/>
        </w:rPr>
        <w:t xml:space="preserve"> </w:t>
      </w:r>
      <w:r>
        <w:rPr>
          <w:rFonts w:ascii="Arial" w:hAnsi="Arial" w:cs="Arial"/>
          <w:bCs/>
        </w:rPr>
        <w:t>Excellence (NICE) guidance recommends patients continue antidepressant use for six months after remission for a first episode of depression, and for 2 years following a second and subsequent episode.</w:t>
      </w:r>
      <w:r w:rsidR="00B409F2">
        <w:rPr>
          <w:rFonts w:ascii="Arial" w:hAnsi="Arial" w:cs="Arial"/>
          <w:vertAlign w:val="superscript"/>
        </w:rPr>
        <w:t>60, 61</w:t>
      </w:r>
      <w:r w:rsidR="00F068D1" w:rsidRPr="00F068D1">
        <w:rPr>
          <w:rFonts w:ascii="Arial" w:hAnsi="Arial" w:cs="Arial"/>
          <w:bCs/>
          <w:color w:val="FF0000"/>
        </w:rPr>
        <w:t xml:space="preserve"> </w:t>
      </w:r>
      <w:r w:rsidRPr="00A36D65">
        <w:rPr>
          <w:rFonts w:ascii="Arial" w:hAnsi="Arial" w:cs="Arial"/>
          <w:color w:val="000000"/>
        </w:rPr>
        <w:t>A recent Cochrane review on antidepressant prescribing practices found that 30% to 50% of patients on long</w:t>
      </w:r>
      <w:r w:rsidRPr="00A36D65">
        <w:rPr>
          <w:rFonts w:ascii="Cambria Math" w:hAnsi="Cambria Math" w:cs="Cambria Math"/>
          <w:color w:val="000000"/>
        </w:rPr>
        <w:t>‐</w:t>
      </w:r>
      <w:r w:rsidRPr="00A36D65">
        <w:rPr>
          <w:rFonts w:ascii="Arial" w:hAnsi="Arial" w:cs="Arial"/>
          <w:color w:val="000000"/>
        </w:rPr>
        <w:t>term</w:t>
      </w:r>
      <w:r w:rsidR="00247BCC">
        <w:rPr>
          <w:rFonts w:ascii="Arial" w:hAnsi="Arial" w:cs="Arial"/>
          <w:color w:val="000000"/>
        </w:rPr>
        <w:t xml:space="preserve"> </w:t>
      </w:r>
      <w:r w:rsidRPr="00A36D65">
        <w:rPr>
          <w:rFonts w:ascii="Arial" w:hAnsi="Arial" w:cs="Arial"/>
          <w:color w:val="000000"/>
        </w:rPr>
        <w:t xml:space="preserve">antidepressants </w:t>
      </w:r>
      <w:r w:rsidR="007F07B0">
        <w:rPr>
          <w:rFonts w:ascii="Arial" w:hAnsi="Arial" w:cs="Arial"/>
          <w:color w:val="000000"/>
        </w:rPr>
        <w:t>did not have an</w:t>
      </w:r>
      <w:r w:rsidRPr="00A36D65">
        <w:rPr>
          <w:rFonts w:ascii="Arial" w:hAnsi="Arial" w:cs="Arial"/>
          <w:color w:val="000000"/>
        </w:rPr>
        <w:t xml:space="preserve"> evidence</w:t>
      </w:r>
      <w:r w:rsidRPr="00A36D65">
        <w:rPr>
          <w:rFonts w:ascii="Cambria Math" w:hAnsi="Cambria Math" w:cs="Cambria Math"/>
          <w:color w:val="000000"/>
        </w:rPr>
        <w:t>‐</w:t>
      </w:r>
      <w:r w:rsidRPr="00A36D65">
        <w:rPr>
          <w:rFonts w:ascii="Arial" w:hAnsi="Arial" w:cs="Arial"/>
          <w:color w:val="000000"/>
        </w:rPr>
        <w:t>based indication for their use</w:t>
      </w:r>
      <w:r>
        <w:rPr>
          <w:rFonts w:ascii="Arial" w:hAnsi="Arial" w:cs="Arial"/>
          <w:bCs/>
        </w:rPr>
        <w:t>.</w:t>
      </w:r>
      <w:r w:rsidR="00CC2C32">
        <w:rPr>
          <w:rFonts w:ascii="Arial" w:hAnsi="Arial" w:cs="Arial"/>
          <w:vertAlign w:val="superscript"/>
        </w:rPr>
        <w:t>62</w:t>
      </w:r>
      <w:r>
        <w:rPr>
          <w:rFonts w:ascii="Arial" w:hAnsi="Arial" w:cs="Arial"/>
          <w:bCs/>
        </w:rPr>
        <w:t xml:space="preserve"> </w:t>
      </w:r>
    </w:p>
    <w:p w14:paraId="4E6D40EE" w14:textId="5DCDFFC9" w:rsidR="009D09DF" w:rsidRDefault="009D09DF" w:rsidP="00C84CB0">
      <w:pPr>
        <w:rPr>
          <w:rFonts w:ascii="Arial" w:hAnsi="Arial" w:cs="Arial"/>
          <w:bCs/>
          <w:color w:val="FF0000"/>
        </w:rPr>
      </w:pPr>
    </w:p>
    <w:p w14:paraId="42DA9D6F" w14:textId="0EEC876E" w:rsidR="00F04B98" w:rsidRDefault="00F04B98" w:rsidP="00C84CB0">
      <w:pPr>
        <w:rPr>
          <w:rFonts w:ascii="Arial" w:hAnsi="Arial" w:cs="Arial"/>
          <w:bCs/>
          <w:color w:val="FF0000"/>
        </w:rPr>
      </w:pPr>
      <w:r w:rsidRPr="00787200">
        <w:rPr>
          <w:rFonts w:ascii="Arial" w:hAnsi="Arial" w:cs="Arial"/>
          <w:bCs/>
        </w:rPr>
        <w:lastRenderedPageBreak/>
        <w:t xml:space="preserve">Antidepressants may be prescribed for other psychiatric indications such as generalised anxiety disorder, obsessive compulsive disorder and severe mental illness including bipolar disorder and schizoaffective disorder. They may also be prescribed for a range of non-psychiatric indications including </w:t>
      </w:r>
      <w:r>
        <w:rPr>
          <w:rFonts w:ascii="Arial" w:hAnsi="Arial" w:cs="Arial"/>
          <w:color w:val="222222"/>
          <w:shd w:val="clear" w:color="auto" w:fill="FFFFFF"/>
        </w:rPr>
        <w:t>n</w:t>
      </w:r>
      <w:r w:rsidR="005E12AD">
        <w:rPr>
          <w:rFonts w:ascii="Arial" w:hAnsi="Arial" w:cs="Arial"/>
          <w:color w:val="222222"/>
          <w:shd w:val="clear" w:color="auto" w:fill="FFFFFF"/>
        </w:rPr>
        <w:t>europath</w:t>
      </w:r>
      <w:r>
        <w:rPr>
          <w:rFonts w:ascii="Arial" w:hAnsi="Arial" w:cs="Arial"/>
          <w:color w:val="222222"/>
          <w:shd w:val="clear" w:color="auto" w:fill="FFFFFF"/>
        </w:rPr>
        <w:t xml:space="preserve">ic pain, </w:t>
      </w:r>
      <w:r w:rsidR="005E12AD">
        <w:rPr>
          <w:rFonts w:ascii="Arial" w:hAnsi="Arial" w:cs="Arial"/>
          <w:color w:val="222222"/>
          <w:shd w:val="clear" w:color="auto" w:fill="FFFFFF"/>
        </w:rPr>
        <w:t>irritable bowel syndrome</w:t>
      </w:r>
      <w:r w:rsidR="00DE6FFE">
        <w:rPr>
          <w:rFonts w:ascii="Arial" w:hAnsi="Arial" w:cs="Arial"/>
          <w:color w:val="222222"/>
          <w:shd w:val="clear" w:color="auto" w:fill="FFFFFF"/>
        </w:rPr>
        <w:t xml:space="preserve"> and f</w:t>
      </w:r>
      <w:r>
        <w:rPr>
          <w:rFonts w:ascii="Arial" w:hAnsi="Arial" w:cs="Arial"/>
          <w:color w:val="222222"/>
          <w:shd w:val="clear" w:color="auto" w:fill="FFFFFF"/>
        </w:rPr>
        <w:t>ibromyalgia</w:t>
      </w:r>
      <w:r w:rsidR="00DE6FFE">
        <w:rPr>
          <w:rFonts w:ascii="Arial" w:hAnsi="Arial" w:cs="Arial"/>
          <w:color w:val="222222"/>
          <w:shd w:val="clear" w:color="auto" w:fill="FFFFFF"/>
        </w:rPr>
        <w:t>.</w:t>
      </w:r>
    </w:p>
    <w:p w14:paraId="1E4109D7" w14:textId="77777777" w:rsidR="00F04B98" w:rsidRDefault="00F04B98" w:rsidP="00C84CB0">
      <w:pPr>
        <w:rPr>
          <w:rFonts w:ascii="Arial" w:hAnsi="Arial" w:cs="Arial"/>
          <w:bCs/>
          <w:color w:val="FF0000"/>
        </w:rPr>
      </w:pPr>
    </w:p>
    <w:p w14:paraId="1F140633" w14:textId="77777777" w:rsidR="00E53FA4" w:rsidRDefault="00E53FA4" w:rsidP="00E53FA4">
      <w:pPr>
        <w:rPr>
          <w:rFonts w:ascii="Arial" w:hAnsi="Arial" w:cs="Arial"/>
        </w:rPr>
      </w:pPr>
      <w:r>
        <w:rPr>
          <w:rFonts w:ascii="Arial" w:hAnsi="Arial" w:cs="Arial"/>
          <w:bCs/>
        </w:rPr>
        <w:t xml:space="preserve">The most recent UK NICE guidance advises </w:t>
      </w:r>
      <w:r>
        <w:rPr>
          <w:rFonts w:ascii="Helvetica Neue" w:hAnsi="Helvetica Neue"/>
          <w:color w:val="0E0E0E"/>
          <w:shd w:val="clear" w:color="auto" w:fill="FAFAFB"/>
        </w:rPr>
        <w:t>people taking antidepressant medication to talk with the person who prescribed their medication (e.g. their GP or mental health professional) if they want to stop taking it.</w:t>
      </w:r>
      <w:r w:rsidRPr="009D09DF">
        <w:rPr>
          <w:rFonts w:ascii="Helvetica Neue" w:hAnsi="Helvetica Neue"/>
          <w:color w:val="0E0E0E"/>
          <w:shd w:val="clear" w:color="auto" w:fill="FAFAFB"/>
          <w:vertAlign w:val="superscript"/>
        </w:rPr>
        <w:t>60</w:t>
      </w:r>
      <w:r>
        <w:rPr>
          <w:rFonts w:ascii="Arial" w:hAnsi="Arial" w:cs="Arial"/>
          <w:color w:val="0E0E0E"/>
          <w:shd w:val="clear" w:color="auto" w:fill="FAFAFB"/>
        </w:rPr>
        <w:t xml:space="preserve"> </w:t>
      </w:r>
      <w:r w:rsidRPr="005C57A6">
        <w:rPr>
          <w:rFonts w:ascii="Arial" w:hAnsi="Arial" w:cs="Arial"/>
        </w:rPr>
        <w:t xml:space="preserve">The decision to discontinue an antidepressant medication should be made carefully weighing the risk of relapse against the risks of adverse effects due to unnecessary prescription (e.g. sexual dysfunction, hyponatraemia in older patients). </w:t>
      </w:r>
      <w:r>
        <w:rPr>
          <w:rFonts w:ascii="Arial" w:hAnsi="Arial" w:cs="Arial"/>
        </w:rPr>
        <w:t xml:space="preserve">Appendix 3 outlines an approach to deprescribing SSRIs/SNRIs which includes a first step in deciding which patients it may be appropriate to deprescribe. </w:t>
      </w:r>
      <w:r w:rsidRPr="005C57A6">
        <w:rPr>
          <w:rFonts w:ascii="Arial" w:hAnsi="Arial" w:cs="Arial"/>
        </w:rPr>
        <w:t>Particular caution is warranted where the patient has a severe recurrent depressive illness or obsessive compulsive disorder, and in patients with an affective psychosis. If the patient is under the care of a psychiatrist, any changes should be discussed with their psychiatrist in advance.</w:t>
      </w:r>
    </w:p>
    <w:p w14:paraId="57E688B1" w14:textId="3724EFE5" w:rsidR="00E53FA4" w:rsidRPr="005C57A6" w:rsidRDefault="00E53FA4" w:rsidP="00E53FA4">
      <w:pPr>
        <w:rPr>
          <w:rFonts w:ascii="Arial" w:hAnsi="Arial" w:cs="Arial"/>
        </w:rPr>
      </w:pPr>
      <w:r w:rsidRPr="005C57A6">
        <w:rPr>
          <w:rFonts w:ascii="Arial" w:hAnsi="Arial" w:cs="Arial"/>
        </w:rPr>
        <w:t xml:space="preserve"> </w:t>
      </w:r>
    </w:p>
    <w:p w14:paraId="57ADBB79" w14:textId="4DD6F874" w:rsidR="009D09DF" w:rsidRPr="00E53FA4" w:rsidRDefault="00E53FA4" w:rsidP="009D09DF">
      <w:pPr>
        <w:rPr>
          <w:rFonts w:ascii="Arial" w:hAnsi="Arial" w:cs="Arial"/>
          <w:color w:val="0E0E0E"/>
          <w:shd w:val="clear" w:color="auto" w:fill="FAFAFB"/>
        </w:rPr>
      </w:pPr>
      <w:r>
        <w:rPr>
          <w:rFonts w:ascii="Arial" w:hAnsi="Arial" w:cs="Arial"/>
          <w:bCs/>
        </w:rPr>
        <w:t>T</w:t>
      </w:r>
      <w:r w:rsidR="00C84CB0">
        <w:rPr>
          <w:rFonts w:ascii="Arial" w:hAnsi="Arial" w:cs="Arial"/>
          <w:bCs/>
        </w:rPr>
        <w:t xml:space="preserve">he abrupt cessation of SSRIs may lead to adverse withdrawal effects (ADWEs) including </w:t>
      </w:r>
      <w:r w:rsidR="00C84CB0" w:rsidRPr="00667FA1">
        <w:rPr>
          <w:rFonts w:ascii="Arial" w:hAnsi="Arial" w:cs="Arial"/>
          <w:bCs/>
        </w:rPr>
        <w:t>restlessness, sleep disturbance, unsteadiness, sweating, GI upset, altered sensation, irritability and anxiety</w:t>
      </w:r>
      <w:r w:rsidR="00C84CB0">
        <w:rPr>
          <w:rFonts w:ascii="Arial" w:hAnsi="Arial" w:cs="Arial"/>
          <w:bCs/>
        </w:rPr>
        <w:t>.</w:t>
      </w:r>
      <w:r w:rsidR="009D09DF">
        <w:rPr>
          <w:rFonts w:ascii="Arial" w:hAnsi="Arial" w:cs="Arial"/>
          <w:bCs/>
          <w:vertAlign w:val="superscript"/>
        </w:rPr>
        <w:t>60,63</w:t>
      </w:r>
      <w:r w:rsidR="00F068D1" w:rsidRPr="00F068D1">
        <w:rPr>
          <w:rFonts w:ascii="Arial" w:hAnsi="Arial" w:cs="Arial"/>
          <w:bCs/>
          <w:color w:val="FF0000"/>
          <w:vertAlign w:val="superscript"/>
        </w:rPr>
        <w:t xml:space="preserve"> </w:t>
      </w:r>
      <w:r w:rsidR="00C84CB0">
        <w:rPr>
          <w:rFonts w:ascii="Arial" w:hAnsi="Arial" w:cs="Arial"/>
          <w:bCs/>
        </w:rPr>
        <w:t>Patients who have been on antidepressants for longer periods, or at higher doses are most at risk for ADWEs.</w:t>
      </w:r>
      <w:r w:rsidR="00F068D1" w:rsidRPr="00F068D1">
        <w:rPr>
          <w:rFonts w:ascii="Arial" w:hAnsi="Arial" w:cs="Arial"/>
          <w:bCs/>
          <w:color w:val="FF0000"/>
          <w:vertAlign w:val="superscript"/>
        </w:rPr>
        <w:t xml:space="preserve"> </w:t>
      </w:r>
      <w:r w:rsidR="00C84CB0">
        <w:rPr>
          <w:rFonts w:ascii="Arial" w:hAnsi="Arial" w:cs="Arial"/>
          <w:bCs/>
        </w:rPr>
        <w:t xml:space="preserve">The inappropriate or premature discontinuation of SSRIs may lead to a relapse of </w:t>
      </w:r>
      <w:r w:rsidR="001D35F8">
        <w:rPr>
          <w:rFonts w:ascii="Arial" w:hAnsi="Arial" w:cs="Arial"/>
          <w:bCs/>
        </w:rPr>
        <w:t xml:space="preserve">depressive </w:t>
      </w:r>
      <w:r w:rsidR="00C84CB0">
        <w:rPr>
          <w:rFonts w:ascii="Arial" w:hAnsi="Arial" w:cs="Arial"/>
          <w:bCs/>
        </w:rPr>
        <w:t>symptoms.</w:t>
      </w:r>
      <w:r w:rsidR="009D09DF">
        <w:rPr>
          <w:rFonts w:ascii="Arial" w:hAnsi="Arial" w:cs="Arial"/>
          <w:bCs/>
          <w:vertAlign w:val="superscript"/>
        </w:rPr>
        <w:t>60</w:t>
      </w:r>
      <w:r w:rsidR="00F068D1" w:rsidRPr="00F068D1">
        <w:rPr>
          <w:rFonts w:ascii="Arial" w:hAnsi="Arial" w:cs="Arial"/>
          <w:bCs/>
          <w:color w:val="FF0000"/>
          <w:vertAlign w:val="superscript"/>
        </w:rPr>
        <w:t xml:space="preserve"> </w:t>
      </w:r>
      <w:r w:rsidR="00C84CB0">
        <w:rPr>
          <w:rFonts w:ascii="Arial" w:hAnsi="Arial" w:cs="Arial"/>
          <w:bCs/>
        </w:rPr>
        <w:t>It is vital therefore that patients on SSRIs are kept under review to assess their mental state and determine the ongoing need for</w:t>
      </w:r>
      <w:r w:rsidR="00D44AF0">
        <w:rPr>
          <w:rFonts w:ascii="Arial" w:hAnsi="Arial" w:cs="Arial"/>
          <w:bCs/>
        </w:rPr>
        <w:t xml:space="preserve"> drug</w:t>
      </w:r>
      <w:r w:rsidR="00C84CB0">
        <w:rPr>
          <w:rFonts w:ascii="Arial" w:hAnsi="Arial" w:cs="Arial"/>
          <w:bCs/>
        </w:rPr>
        <w:t xml:space="preserve"> therapy.</w:t>
      </w:r>
      <w:r w:rsidR="00C84CB0">
        <w:rPr>
          <w:rFonts w:ascii="Arial" w:hAnsi="Arial" w:cs="Arial"/>
          <w:bCs/>
          <w:vertAlign w:val="superscript"/>
        </w:rPr>
        <w:t xml:space="preserve"> </w:t>
      </w:r>
    </w:p>
    <w:p w14:paraId="2AD24663" w14:textId="775860D5" w:rsidR="00791FE2" w:rsidRDefault="00791FE2" w:rsidP="009D09DF"/>
    <w:p w14:paraId="1487BACD" w14:textId="2BECA435" w:rsidR="00791FE2" w:rsidRPr="00E53FA4" w:rsidRDefault="00791FE2" w:rsidP="009D09DF">
      <w:pPr>
        <w:rPr>
          <w:rFonts w:ascii="Arial" w:hAnsi="Arial" w:cs="Arial"/>
        </w:rPr>
      </w:pPr>
      <w:r w:rsidRPr="005C57A6">
        <w:rPr>
          <w:rFonts w:ascii="Arial" w:hAnsi="Arial" w:cs="Arial"/>
        </w:rPr>
        <w:t xml:space="preserve">The </w:t>
      </w:r>
      <w:r w:rsidR="00247BCC" w:rsidRPr="005C57A6">
        <w:rPr>
          <w:rFonts w:ascii="Arial" w:hAnsi="Arial" w:cs="Arial"/>
        </w:rPr>
        <w:t>UK Royal College of Psychiatry</w:t>
      </w:r>
      <w:r w:rsidRPr="005C57A6">
        <w:rPr>
          <w:rFonts w:ascii="Arial" w:hAnsi="Arial" w:cs="Arial"/>
        </w:rPr>
        <w:t xml:space="preserve"> recommends that a tapering plan is developed between the patient and the prescriber, and their most recent guidance from 2020 gives examples of tapering plans for more difficult deprescribing</w:t>
      </w:r>
      <w:r w:rsidR="00BD0D07" w:rsidRPr="005C57A6">
        <w:rPr>
          <w:rFonts w:ascii="Arial" w:hAnsi="Arial" w:cs="Arial"/>
        </w:rPr>
        <w:t xml:space="preserve"> scenarios</w:t>
      </w:r>
      <w:r w:rsidRPr="005C57A6">
        <w:rPr>
          <w:rFonts w:ascii="Arial" w:hAnsi="Arial" w:cs="Arial"/>
        </w:rPr>
        <w:t xml:space="preserve"> </w:t>
      </w:r>
      <w:r w:rsidRPr="00E53FA4">
        <w:rPr>
          <w:rFonts w:ascii="Arial" w:hAnsi="Arial" w:cs="Arial"/>
        </w:rPr>
        <w:t>(</w:t>
      </w:r>
      <w:r w:rsidR="00660D71" w:rsidRPr="00E53FA4">
        <w:rPr>
          <w:rFonts w:ascii="Arial" w:eastAsia="Arial Unicode MS" w:hAnsi="Arial" w:cs="Arial"/>
          <w:bdr w:val="nil"/>
          <w:lang w:val="en-US"/>
        </w:rPr>
        <w:t>https://www.rcpsych.ac.uk/mental-health/treatments-and-wellbeing/stopping-antidepressants</w:t>
      </w:r>
      <w:r w:rsidRPr="00E53FA4">
        <w:rPr>
          <w:rFonts w:ascii="Arial" w:hAnsi="Arial" w:cs="Arial"/>
        </w:rPr>
        <w:t xml:space="preserve">). </w:t>
      </w:r>
    </w:p>
    <w:p w14:paraId="5A0666DC" w14:textId="256FCF7F" w:rsidR="00C84CB0" w:rsidRPr="00BD0D07" w:rsidRDefault="00C84CB0" w:rsidP="00C84CB0">
      <w:pPr>
        <w:rPr>
          <w:rFonts w:ascii="Arial" w:hAnsi="Arial" w:cs="Arial"/>
          <w:bCs/>
          <w:color w:val="FF0000"/>
        </w:rPr>
      </w:pPr>
    </w:p>
    <w:p w14:paraId="239CE545" w14:textId="55144CB3" w:rsidR="001D35F8" w:rsidRDefault="001D35F8" w:rsidP="00C84CB0">
      <w:pPr>
        <w:rPr>
          <w:rFonts w:ascii="Arial" w:hAnsi="Arial" w:cs="Arial"/>
          <w:bCs/>
        </w:rPr>
      </w:pPr>
    </w:p>
    <w:p w14:paraId="02BC5FAB" w14:textId="66D8DD1A" w:rsidR="001D35F8" w:rsidRPr="00A36D65" w:rsidRDefault="001D35F8" w:rsidP="001D35F8">
      <w:pPr>
        <w:rPr>
          <w:rFonts w:ascii="Arial" w:hAnsi="Arial" w:cs="Arial"/>
          <w:b/>
          <w:color w:val="000000"/>
          <w:vertAlign w:val="superscript"/>
        </w:rPr>
      </w:pPr>
      <w:r>
        <w:rPr>
          <w:rFonts w:ascii="Arial" w:hAnsi="Arial" w:cs="Arial"/>
          <w:b/>
          <w:color w:val="000000"/>
        </w:rPr>
        <w:t xml:space="preserve">Box 2: </w:t>
      </w:r>
      <w:r w:rsidRPr="00A36D65">
        <w:rPr>
          <w:rFonts w:ascii="Arial" w:hAnsi="Arial" w:cs="Arial"/>
          <w:b/>
          <w:color w:val="000000"/>
        </w:rPr>
        <w:t>An approach to discontinuation SSRI</w:t>
      </w:r>
      <w:r w:rsidR="009E526E">
        <w:rPr>
          <w:rFonts w:ascii="Arial" w:hAnsi="Arial" w:cs="Arial"/>
          <w:b/>
          <w:color w:val="000000"/>
        </w:rPr>
        <w:t>s and SNRIs</w:t>
      </w:r>
      <w:r w:rsidRPr="00A36D65">
        <w:rPr>
          <w:rFonts w:ascii="Arial" w:hAnsi="Arial" w:cs="Arial"/>
          <w:b/>
          <w:color w:val="000000"/>
        </w:rPr>
        <w:t xml:space="preserve"> when they are no longer indicated</w:t>
      </w:r>
      <w:r w:rsidR="0044343F">
        <w:rPr>
          <w:rFonts w:ascii="Arial" w:hAnsi="Arial" w:cs="Arial"/>
          <w:b/>
          <w:color w:val="000000"/>
        </w:rPr>
        <w:t xml:space="preserve"> </w:t>
      </w:r>
      <w:r w:rsidR="0044343F" w:rsidRPr="0044343F">
        <w:rPr>
          <w:rFonts w:ascii="Arial" w:hAnsi="Arial" w:cs="Arial"/>
          <w:b/>
          <w:color w:val="000000"/>
          <w:vertAlign w:val="superscript"/>
        </w:rPr>
        <w:t>60,61</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3"/>
      </w:tblGrid>
      <w:tr w:rsidR="001D35F8" w:rsidRPr="00A36D65" w14:paraId="4DCDA3B8" w14:textId="77777777" w:rsidTr="00D44AF0">
        <w:tc>
          <w:tcPr>
            <w:tcW w:w="9493" w:type="dxa"/>
            <w:shd w:val="clear" w:color="auto" w:fill="auto"/>
          </w:tcPr>
          <w:p w14:paraId="30AC77DA" w14:textId="77777777" w:rsidR="009D09DF" w:rsidRPr="001E6B4B" w:rsidRDefault="001D35F8" w:rsidP="00F1149C">
            <w:pPr>
              <w:pStyle w:val="numbered-paragraph"/>
              <w:numPr>
                <w:ilvl w:val="0"/>
                <w:numId w:val="17"/>
              </w:numPr>
              <w:shd w:val="clear" w:color="auto" w:fill="FAFAFB"/>
              <w:spacing w:before="0" w:beforeAutospacing="0" w:after="180" w:afterAutospacing="0"/>
              <w:jc w:val="both"/>
              <w:rPr>
                <w:rFonts w:ascii="Arial" w:eastAsia="Calibri" w:hAnsi="Arial" w:cs="Arial"/>
                <w:color w:val="0E0E0E"/>
                <w:sz w:val="20"/>
                <w:szCs w:val="20"/>
                <w:shd w:val="clear" w:color="auto" w:fill="FAFAFB"/>
              </w:rPr>
            </w:pPr>
            <w:r w:rsidRPr="001E6B4B">
              <w:rPr>
                <w:rFonts w:ascii="Arial" w:eastAsia="Calibri" w:hAnsi="Arial" w:cs="Arial"/>
                <w:color w:val="0E0E0E"/>
                <w:sz w:val="20"/>
                <w:szCs w:val="20"/>
                <w:shd w:val="clear" w:color="auto" w:fill="FAFAFB"/>
              </w:rPr>
              <w:t>It should be explained to the patient, that the withdrawal symptoms when stopping or reducing antidepressants can be mild and self-limiting, there is substantial variation in people's experience, with symptoms lasting longer and being more severe for some patients</w:t>
            </w:r>
          </w:p>
          <w:p w14:paraId="6E88DC17" w14:textId="5C688468" w:rsidR="009D09DF" w:rsidRPr="001E6B4B" w:rsidRDefault="009D09DF" w:rsidP="00F1149C">
            <w:pPr>
              <w:pStyle w:val="numbered-paragraph"/>
              <w:numPr>
                <w:ilvl w:val="0"/>
                <w:numId w:val="17"/>
              </w:numPr>
              <w:shd w:val="clear" w:color="auto" w:fill="FAFAFB"/>
              <w:spacing w:before="0" w:beforeAutospacing="0" w:after="180" w:afterAutospacing="0"/>
              <w:jc w:val="both"/>
              <w:rPr>
                <w:rFonts w:ascii="Arial" w:eastAsia="Calibri" w:hAnsi="Arial" w:cs="Arial"/>
                <w:color w:val="0E0E0E"/>
                <w:sz w:val="20"/>
                <w:szCs w:val="20"/>
                <w:shd w:val="clear" w:color="auto" w:fill="FAFAFB"/>
              </w:rPr>
            </w:pPr>
            <w:r w:rsidRPr="001E6B4B">
              <w:rPr>
                <w:rFonts w:ascii="Arial" w:hAnsi="Arial" w:cs="Arial"/>
                <w:color w:val="0E0E0E"/>
                <w:sz w:val="21"/>
              </w:rPr>
              <w:t>When stopping a person's antidepressant medication:</w:t>
            </w:r>
          </w:p>
          <w:p w14:paraId="13703EF1" w14:textId="4B064A17" w:rsidR="009D09DF" w:rsidRPr="001E6B4B" w:rsidRDefault="009D09DF" w:rsidP="00F1149C">
            <w:pPr>
              <w:pStyle w:val="NormalWeb"/>
              <w:numPr>
                <w:ilvl w:val="1"/>
                <w:numId w:val="17"/>
              </w:numPr>
              <w:shd w:val="clear" w:color="auto" w:fill="FAFAFB"/>
              <w:spacing w:after="180" w:line="240" w:lineRule="auto"/>
              <w:rPr>
                <w:rFonts w:ascii="Arial" w:hAnsi="Arial" w:cs="Arial"/>
                <w:color w:val="0E0E0E"/>
                <w:sz w:val="21"/>
              </w:rPr>
            </w:pPr>
            <w:r w:rsidRPr="001E6B4B">
              <w:rPr>
                <w:rFonts w:ascii="Arial" w:hAnsi="Arial" w:cs="Arial"/>
                <w:color w:val="0E0E0E"/>
                <w:sz w:val="21"/>
              </w:rPr>
              <w:t>take into account the pharmacokinetic profile (for example, the half-life of the medication as antidepressants with a short half-life</w:t>
            </w:r>
            <w:r w:rsidR="0006352E" w:rsidRPr="001E6B4B">
              <w:rPr>
                <w:rFonts w:ascii="Arial" w:hAnsi="Arial" w:cs="Arial"/>
                <w:color w:val="0E0E0E"/>
                <w:sz w:val="21"/>
              </w:rPr>
              <w:t xml:space="preserve"> </w:t>
            </w:r>
            <w:r w:rsidR="009E526E" w:rsidRPr="001E6B4B">
              <w:rPr>
                <w:rFonts w:ascii="Arial" w:hAnsi="Arial" w:cs="Arial"/>
                <w:color w:val="0E0E0E"/>
                <w:sz w:val="21"/>
              </w:rPr>
              <w:t>(</w:t>
            </w:r>
            <w:r w:rsidR="005A196F">
              <w:rPr>
                <w:rFonts w:ascii="Arial" w:hAnsi="Arial" w:cs="Arial"/>
                <w:color w:val="0E0E0E"/>
                <w:sz w:val="21"/>
              </w:rPr>
              <w:t>[</w:t>
            </w:r>
            <w:r w:rsidR="0006352E" w:rsidRPr="001E6B4B">
              <w:rPr>
                <w:rFonts w:ascii="Arial" w:hAnsi="Arial" w:cs="Arial"/>
                <w:color w:val="0E0E0E"/>
                <w:sz w:val="21"/>
              </w:rPr>
              <w:t>especially paroxetine, and the SNRI</w:t>
            </w:r>
            <w:r w:rsidR="00791FE2" w:rsidRPr="001E6B4B">
              <w:rPr>
                <w:rFonts w:ascii="Arial" w:hAnsi="Arial" w:cs="Arial"/>
                <w:color w:val="0E0E0E"/>
                <w:sz w:val="21"/>
              </w:rPr>
              <w:t>s</w:t>
            </w:r>
            <w:r w:rsidR="0006352E" w:rsidRPr="001E6B4B">
              <w:rPr>
                <w:rFonts w:ascii="Arial" w:hAnsi="Arial" w:cs="Arial"/>
                <w:color w:val="0E0E0E"/>
                <w:sz w:val="21"/>
              </w:rPr>
              <w:t xml:space="preserve"> venlafaxine</w:t>
            </w:r>
            <w:r w:rsidR="00791FE2" w:rsidRPr="001E6B4B">
              <w:rPr>
                <w:rFonts w:ascii="Arial" w:hAnsi="Arial" w:cs="Arial"/>
                <w:color w:val="0E0E0E"/>
                <w:sz w:val="21"/>
              </w:rPr>
              <w:t xml:space="preserve"> and duloxetine</w:t>
            </w:r>
            <w:r w:rsidR="005A196F">
              <w:rPr>
                <w:rFonts w:ascii="Arial" w:hAnsi="Arial" w:cs="Arial"/>
                <w:color w:val="0E0E0E"/>
                <w:sz w:val="21"/>
              </w:rPr>
              <w:t>]</w:t>
            </w:r>
            <w:r w:rsidRPr="001E6B4B">
              <w:rPr>
                <w:rFonts w:ascii="Arial" w:hAnsi="Arial" w:cs="Arial"/>
                <w:color w:val="0E0E0E"/>
                <w:sz w:val="21"/>
              </w:rPr>
              <w:t xml:space="preserve"> will need to be tapered more slowly) and the duration of treatment</w:t>
            </w:r>
            <w:r w:rsidR="009E526E" w:rsidRPr="001E6B4B">
              <w:rPr>
                <w:rFonts w:ascii="Arial" w:hAnsi="Arial" w:cs="Arial"/>
                <w:color w:val="0E0E0E"/>
                <w:sz w:val="21"/>
              </w:rPr>
              <w:t>. (See Appendix 1 Risk of withdrawal symptoms with individual antidepressants; https://www.rcpsych.ac.uk/mental-health/treatments-and-wellbeing/stopping-antidepressants)</w:t>
            </w:r>
          </w:p>
          <w:p w14:paraId="542B5C45" w14:textId="0ED581DC" w:rsidR="009D09DF" w:rsidRPr="001E6B4B" w:rsidRDefault="009D09DF" w:rsidP="00F1149C">
            <w:pPr>
              <w:pStyle w:val="NormalWeb"/>
              <w:numPr>
                <w:ilvl w:val="1"/>
                <w:numId w:val="17"/>
              </w:numPr>
              <w:shd w:val="clear" w:color="auto" w:fill="FAFAFB"/>
              <w:spacing w:after="180" w:line="240" w:lineRule="auto"/>
              <w:rPr>
                <w:rFonts w:ascii="Arial" w:hAnsi="Arial" w:cs="Arial"/>
                <w:color w:val="0E0E0E"/>
                <w:sz w:val="21"/>
              </w:rPr>
            </w:pPr>
            <w:r w:rsidRPr="001E6B4B">
              <w:rPr>
                <w:rFonts w:ascii="Arial" w:hAnsi="Arial" w:cs="Arial"/>
                <w:color w:val="0E0E0E"/>
                <w:sz w:val="21"/>
              </w:rPr>
              <w:t xml:space="preserve">slowly reduce the dose to zero in a </w:t>
            </w:r>
            <w:r w:rsidR="00104298" w:rsidRPr="001E6B4B">
              <w:rPr>
                <w:rFonts w:ascii="Arial" w:hAnsi="Arial" w:cs="Arial"/>
                <w:color w:val="0E0E0E"/>
                <w:sz w:val="21"/>
              </w:rPr>
              <w:t>stepwise</w:t>
            </w:r>
            <w:r w:rsidRPr="001E6B4B">
              <w:rPr>
                <w:rFonts w:ascii="Arial" w:hAnsi="Arial" w:cs="Arial"/>
                <w:color w:val="0E0E0E"/>
                <w:sz w:val="21"/>
              </w:rPr>
              <w:t xml:space="preserve"> fashion, at each step prescribing a proportion of the previous dose </w:t>
            </w:r>
            <w:r w:rsidR="00C36F58">
              <w:rPr>
                <w:rFonts w:ascii="Arial" w:hAnsi="Arial" w:cs="Arial"/>
                <w:color w:val="0E0E0E"/>
                <w:sz w:val="21"/>
              </w:rPr>
              <w:t>(see Appendix 3</w:t>
            </w:r>
            <w:r w:rsidR="00104298">
              <w:rPr>
                <w:rFonts w:ascii="Arial" w:hAnsi="Arial" w:cs="Arial"/>
                <w:color w:val="0E0E0E"/>
                <w:sz w:val="21"/>
              </w:rPr>
              <w:t>: Deprescribing SSRIs</w:t>
            </w:r>
            <w:r w:rsidR="00A80567">
              <w:rPr>
                <w:rFonts w:ascii="Arial" w:hAnsi="Arial" w:cs="Arial"/>
                <w:color w:val="0E0E0E"/>
                <w:sz w:val="21"/>
              </w:rPr>
              <w:t>/SNRIs</w:t>
            </w:r>
            <w:r w:rsidR="00C36F58">
              <w:rPr>
                <w:rFonts w:ascii="Arial" w:hAnsi="Arial" w:cs="Arial"/>
                <w:color w:val="0E0E0E"/>
                <w:sz w:val="21"/>
              </w:rPr>
              <w:t>)</w:t>
            </w:r>
          </w:p>
          <w:p w14:paraId="1E7FB02A" w14:textId="3B08D74B" w:rsidR="009D09DF" w:rsidRPr="001E6B4B" w:rsidRDefault="009D09DF" w:rsidP="00F1149C">
            <w:pPr>
              <w:pStyle w:val="NormalWeb"/>
              <w:numPr>
                <w:ilvl w:val="1"/>
                <w:numId w:val="17"/>
              </w:numPr>
              <w:shd w:val="clear" w:color="auto" w:fill="FAFAFB"/>
              <w:spacing w:after="180" w:line="240" w:lineRule="auto"/>
              <w:rPr>
                <w:rFonts w:ascii="Arial" w:hAnsi="Arial" w:cs="Arial"/>
                <w:color w:val="0E0E0E"/>
                <w:sz w:val="21"/>
              </w:rPr>
            </w:pPr>
            <w:r w:rsidRPr="001E6B4B">
              <w:rPr>
                <w:rFonts w:ascii="Arial" w:hAnsi="Arial" w:cs="Arial"/>
                <w:color w:val="0E0E0E"/>
                <w:sz w:val="21"/>
              </w:rPr>
              <w:lastRenderedPageBreak/>
              <w:t xml:space="preserve">consider using smaller reductions (for example, </w:t>
            </w:r>
            <w:r w:rsidR="001E6B4B">
              <w:rPr>
                <w:rFonts w:ascii="Arial" w:hAnsi="Arial" w:cs="Arial"/>
                <w:color w:val="0E0E0E"/>
                <w:sz w:val="21"/>
              </w:rPr>
              <w:t>12.5</w:t>
            </w:r>
            <w:r w:rsidRPr="001E6B4B">
              <w:rPr>
                <w:rFonts w:ascii="Arial" w:hAnsi="Arial" w:cs="Arial"/>
                <w:color w:val="0E0E0E"/>
                <w:sz w:val="21"/>
              </w:rPr>
              <w:t>%) as the dose becomes lower</w:t>
            </w:r>
          </w:p>
          <w:p w14:paraId="239600B8" w14:textId="292DE45F" w:rsidR="009D09DF" w:rsidRPr="001E6B4B" w:rsidRDefault="009D09DF" w:rsidP="00F1149C">
            <w:pPr>
              <w:pStyle w:val="NormalWeb"/>
              <w:numPr>
                <w:ilvl w:val="1"/>
                <w:numId w:val="17"/>
              </w:numPr>
              <w:shd w:val="clear" w:color="auto" w:fill="FAFAFB"/>
              <w:spacing w:after="180" w:line="240" w:lineRule="auto"/>
              <w:rPr>
                <w:rFonts w:ascii="Arial" w:hAnsi="Arial" w:cs="Arial"/>
                <w:color w:val="0E0E0E"/>
                <w:sz w:val="21"/>
              </w:rPr>
            </w:pPr>
            <w:r w:rsidRPr="001E6B4B">
              <w:rPr>
                <w:rFonts w:ascii="Arial" w:hAnsi="Arial" w:cs="Arial"/>
                <w:color w:val="0E0E0E"/>
                <w:sz w:val="21"/>
              </w:rPr>
              <w:t>if, once very small doses have been reached, slow tapering cannot be achieved using tablets or capsules, consider using liquid preparations if available</w:t>
            </w:r>
            <w:r w:rsidR="00955988" w:rsidRPr="001E6B4B">
              <w:rPr>
                <w:rFonts w:ascii="Arial" w:hAnsi="Arial" w:cs="Arial"/>
                <w:color w:val="0E0E0E"/>
                <w:sz w:val="21"/>
              </w:rPr>
              <w:t xml:space="preserve"> (</w:t>
            </w:r>
            <w:r w:rsidR="009E526E" w:rsidRPr="001E6B4B">
              <w:rPr>
                <w:rFonts w:ascii="Arial" w:hAnsi="Arial" w:cs="Arial"/>
                <w:color w:val="0E0E0E"/>
                <w:sz w:val="21"/>
              </w:rPr>
              <w:t xml:space="preserve">e.g. </w:t>
            </w:r>
            <w:r w:rsidR="00955988" w:rsidRPr="001E6B4B">
              <w:rPr>
                <w:rFonts w:ascii="Arial" w:hAnsi="Arial" w:cs="Arial"/>
                <w:color w:val="0E0E0E"/>
                <w:sz w:val="21"/>
              </w:rPr>
              <w:t>citalopram)</w:t>
            </w:r>
          </w:p>
          <w:p w14:paraId="4CA654EE" w14:textId="77777777" w:rsidR="009D09DF" w:rsidRPr="001E6B4B" w:rsidRDefault="009D09DF" w:rsidP="00F1149C">
            <w:pPr>
              <w:pStyle w:val="NormalWeb"/>
              <w:numPr>
                <w:ilvl w:val="1"/>
                <w:numId w:val="17"/>
              </w:numPr>
              <w:shd w:val="clear" w:color="auto" w:fill="FAFAFB"/>
              <w:spacing w:after="180" w:line="240" w:lineRule="auto"/>
              <w:rPr>
                <w:rFonts w:ascii="Arial" w:hAnsi="Arial" w:cs="Arial"/>
                <w:color w:val="0E0E0E"/>
                <w:sz w:val="21"/>
              </w:rPr>
            </w:pPr>
            <w:r w:rsidRPr="001E6B4B">
              <w:rPr>
                <w:rFonts w:ascii="Arial" w:hAnsi="Arial" w:cs="Arial"/>
                <w:color w:val="0E0E0E"/>
                <w:sz w:val="21"/>
              </w:rPr>
              <w:t>ensure the speed and duration of withdrawal is led by and agreed with the person taking the prescribed medication, ensuring that any withdrawal symptoms have resolved or are tolerable before making the next dose reduction</w:t>
            </w:r>
          </w:p>
          <w:p w14:paraId="6F4DDB4D" w14:textId="4317B37B" w:rsidR="009D09DF" w:rsidRPr="001E6B4B" w:rsidRDefault="009D09DF" w:rsidP="00F1149C">
            <w:pPr>
              <w:pStyle w:val="NormalWeb"/>
              <w:numPr>
                <w:ilvl w:val="1"/>
                <w:numId w:val="17"/>
              </w:numPr>
              <w:shd w:val="clear" w:color="auto" w:fill="FAFAFB"/>
              <w:spacing w:after="180" w:line="240" w:lineRule="auto"/>
              <w:rPr>
                <w:rFonts w:ascii="Arial" w:hAnsi="Arial" w:cs="Arial"/>
                <w:color w:val="0E0E0E"/>
                <w:sz w:val="22"/>
              </w:rPr>
            </w:pPr>
            <w:r w:rsidRPr="001E6B4B">
              <w:rPr>
                <w:rFonts w:ascii="Arial" w:hAnsi="Arial" w:cs="Arial"/>
                <w:color w:val="0E0E0E"/>
                <w:sz w:val="21"/>
              </w:rPr>
              <w:t>recognise that withdrawal may take weeks or months to complete successfully.</w:t>
            </w:r>
          </w:p>
          <w:p w14:paraId="24043844" w14:textId="7BFD73A5" w:rsidR="009D09DF" w:rsidRPr="001E6B4B" w:rsidRDefault="009D09DF" w:rsidP="00F1149C">
            <w:pPr>
              <w:pStyle w:val="numbered-paragraph"/>
              <w:numPr>
                <w:ilvl w:val="0"/>
                <w:numId w:val="17"/>
              </w:numPr>
              <w:shd w:val="clear" w:color="auto" w:fill="FAFAFB"/>
              <w:spacing w:after="180"/>
              <w:jc w:val="both"/>
              <w:rPr>
                <w:rFonts w:ascii="Arial" w:eastAsia="Calibri" w:hAnsi="Arial" w:cs="Arial"/>
                <w:color w:val="0E0E0E"/>
                <w:sz w:val="20"/>
                <w:szCs w:val="20"/>
              </w:rPr>
            </w:pPr>
            <w:r w:rsidRPr="001E6B4B">
              <w:rPr>
                <w:rFonts w:ascii="Arial" w:eastAsia="Calibri" w:hAnsi="Arial" w:cs="Arial"/>
                <w:color w:val="0E0E0E"/>
                <w:sz w:val="20"/>
                <w:szCs w:val="20"/>
              </w:rPr>
              <w:t xml:space="preserve">Monitor and review people taking antidepressant medication while their dose is being reduced, both for withdrawal symptoms and the return of symptoms of depression. Base the frequency of monitoring on the person's clinical and support needs </w:t>
            </w:r>
            <w:r w:rsidR="00E9577B" w:rsidRPr="001E6B4B">
              <w:rPr>
                <w:rFonts w:ascii="Arial" w:eastAsia="Calibri" w:hAnsi="Arial" w:cs="Arial"/>
                <w:color w:val="0E0E0E"/>
                <w:sz w:val="20"/>
                <w:szCs w:val="20"/>
              </w:rPr>
              <w:t>(</w:t>
            </w:r>
            <w:r w:rsidRPr="001E6B4B">
              <w:rPr>
                <w:rFonts w:ascii="Arial" w:eastAsia="Calibri" w:hAnsi="Arial" w:cs="Arial"/>
                <w:color w:val="0E0E0E"/>
                <w:sz w:val="20"/>
                <w:szCs w:val="20"/>
              </w:rPr>
              <w:t>minimum of 2-4 weeks</w:t>
            </w:r>
            <w:r w:rsidR="00E9577B" w:rsidRPr="001E6B4B">
              <w:rPr>
                <w:rFonts w:ascii="Arial" w:eastAsia="Calibri" w:hAnsi="Arial" w:cs="Arial"/>
                <w:color w:val="0E0E0E"/>
                <w:sz w:val="20"/>
                <w:szCs w:val="20"/>
              </w:rPr>
              <w:t>)</w:t>
            </w:r>
          </w:p>
          <w:p w14:paraId="74AAC87C" w14:textId="2D0B2950" w:rsidR="001D35F8" w:rsidRPr="001E6B4B" w:rsidRDefault="001D35F8" w:rsidP="00F1149C">
            <w:pPr>
              <w:pStyle w:val="numbered-paragraph"/>
              <w:numPr>
                <w:ilvl w:val="0"/>
                <w:numId w:val="17"/>
              </w:numPr>
              <w:shd w:val="clear" w:color="auto" w:fill="FAFAFB"/>
              <w:spacing w:before="0" w:beforeAutospacing="0" w:after="180" w:afterAutospacing="0"/>
              <w:jc w:val="both"/>
              <w:rPr>
                <w:rFonts w:ascii="Arial" w:eastAsia="Calibri" w:hAnsi="Arial" w:cs="Arial"/>
                <w:color w:val="0E0E0E"/>
                <w:sz w:val="20"/>
                <w:szCs w:val="20"/>
              </w:rPr>
            </w:pPr>
            <w:r w:rsidRPr="001E6B4B">
              <w:rPr>
                <w:rFonts w:ascii="Arial" w:eastAsia="Calibri" w:hAnsi="Arial" w:cs="Arial"/>
                <w:color w:val="0E0E0E"/>
                <w:sz w:val="20"/>
                <w:szCs w:val="20"/>
              </w:rPr>
              <w:t>If t</w:t>
            </w:r>
            <w:r w:rsidR="009D09DF" w:rsidRPr="001E6B4B">
              <w:rPr>
                <w:rFonts w:ascii="Arial" w:eastAsia="Calibri" w:hAnsi="Arial" w:cs="Arial"/>
                <w:color w:val="0E0E0E"/>
                <w:sz w:val="20"/>
                <w:szCs w:val="20"/>
              </w:rPr>
              <w:t xml:space="preserve">he </w:t>
            </w:r>
            <w:r w:rsidRPr="001E6B4B">
              <w:rPr>
                <w:rFonts w:ascii="Arial" w:eastAsia="Calibri" w:hAnsi="Arial" w:cs="Arial"/>
                <w:color w:val="0E0E0E"/>
                <w:sz w:val="20"/>
                <w:szCs w:val="20"/>
              </w:rPr>
              <w:t>initial reduction is tolerated at the end of this monitoring period continue with reduction of the dose by the same proportion (based on last dose used) at the same rate (this may require the use of liquid formulation of certain antidepressants.)</w:t>
            </w:r>
          </w:p>
          <w:p w14:paraId="56DA305C" w14:textId="454A7BF9" w:rsidR="001D35F8" w:rsidRPr="001E6B4B" w:rsidRDefault="001D35F8" w:rsidP="00F1149C">
            <w:pPr>
              <w:pStyle w:val="numbered-paragraph"/>
              <w:numPr>
                <w:ilvl w:val="0"/>
                <w:numId w:val="17"/>
              </w:numPr>
              <w:shd w:val="clear" w:color="auto" w:fill="FAFAFB"/>
              <w:spacing w:before="0" w:beforeAutospacing="0" w:after="180" w:afterAutospacing="0"/>
              <w:jc w:val="both"/>
              <w:rPr>
                <w:rFonts w:ascii="Arial" w:eastAsia="Calibri" w:hAnsi="Arial" w:cs="Arial"/>
                <w:color w:val="0E0E0E"/>
                <w:sz w:val="20"/>
                <w:szCs w:val="20"/>
                <w:shd w:val="clear" w:color="auto" w:fill="FAFAFB"/>
              </w:rPr>
            </w:pPr>
            <w:r w:rsidRPr="001E6B4B">
              <w:rPr>
                <w:rFonts w:ascii="Arial" w:eastAsia="Calibri" w:hAnsi="Arial" w:cs="Arial"/>
                <w:color w:val="0E0E0E"/>
                <w:sz w:val="20"/>
                <w:szCs w:val="20"/>
              </w:rPr>
              <w:t xml:space="preserve">Inform the person that they should seek advice from their practitioner if they experience </w:t>
            </w:r>
            <w:r w:rsidRPr="001E6B4B">
              <w:rPr>
                <w:rFonts w:ascii="Arial" w:eastAsia="Calibri" w:hAnsi="Arial" w:cs="Arial"/>
                <w:color w:val="0E0E0E"/>
                <w:sz w:val="20"/>
                <w:szCs w:val="20"/>
                <w:shd w:val="clear" w:color="auto" w:fill="FAFAFB"/>
              </w:rPr>
              <w:t>significant discontinuation symptoms.</w:t>
            </w:r>
          </w:p>
          <w:p w14:paraId="5582E330" w14:textId="609EE52E" w:rsidR="00E9577B" w:rsidRPr="001E6B4B" w:rsidRDefault="00E9577B" w:rsidP="00F1149C">
            <w:pPr>
              <w:pStyle w:val="NormalWeb"/>
              <w:numPr>
                <w:ilvl w:val="0"/>
                <w:numId w:val="17"/>
              </w:numPr>
              <w:shd w:val="clear" w:color="auto" w:fill="FAFAFB"/>
              <w:spacing w:after="180" w:line="240" w:lineRule="auto"/>
              <w:rPr>
                <w:rFonts w:ascii="Arial" w:hAnsi="Arial" w:cs="Arial"/>
                <w:color w:val="0E0E0E"/>
                <w:sz w:val="21"/>
              </w:rPr>
            </w:pPr>
            <w:r w:rsidRPr="001E6B4B">
              <w:rPr>
                <w:rFonts w:ascii="Arial" w:hAnsi="Arial" w:cs="Arial"/>
                <w:color w:val="0E0E0E"/>
                <w:sz w:val="21"/>
              </w:rPr>
              <w:t xml:space="preserve">some commonly used SSRIs, such as paroxetine, are more likely to be associated with </w:t>
            </w:r>
            <w:r w:rsidR="00955988" w:rsidRPr="001E6B4B">
              <w:rPr>
                <w:rFonts w:ascii="Arial" w:hAnsi="Arial" w:cs="Arial"/>
                <w:color w:val="0E0E0E"/>
                <w:sz w:val="21"/>
              </w:rPr>
              <w:t xml:space="preserve">discontinuation </w:t>
            </w:r>
            <w:r w:rsidRPr="001E6B4B">
              <w:rPr>
                <w:rFonts w:ascii="Arial" w:hAnsi="Arial" w:cs="Arial"/>
                <w:color w:val="0E0E0E"/>
                <w:sz w:val="21"/>
              </w:rPr>
              <w:t>symptoms</w:t>
            </w:r>
            <w:r w:rsidR="0006352E" w:rsidRPr="001E6B4B">
              <w:rPr>
                <w:rFonts w:ascii="Arial" w:hAnsi="Arial" w:cs="Arial"/>
                <w:color w:val="0E0E0E"/>
                <w:sz w:val="21"/>
              </w:rPr>
              <w:t xml:space="preserve"> due to their shorter half-life</w:t>
            </w:r>
            <w:r w:rsidRPr="001E6B4B">
              <w:rPr>
                <w:rFonts w:ascii="Arial" w:hAnsi="Arial" w:cs="Arial"/>
                <w:color w:val="0E0E0E"/>
                <w:sz w:val="21"/>
              </w:rPr>
              <w:t>, so particular care is needed with them</w:t>
            </w:r>
          </w:p>
          <w:p w14:paraId="0B7E283F" w14:textId="77777777" w:rsidR="001D35F8" w:rsidRPr="001E6B4B" w:rsidRDefault="001D35F8" w:rsidP="00F1149C">
            <w:pPr>
              <w:pStyle w:val="numbered-paragraph"/>
              <w:numPr>
                <w:ilvl w:val="0"/>
                <w:numId w:val="17"/>
              </w:numPr>
              <w:shd w:val="clear" w:color="auto" w:fill="FAFAFB"/>
              <w:spacing w:before="0" w:beforeAutospacing="0" w:after="180" w:afterAutospacing="0"/>
              <w:jc w:val="both"/>
              <w:rPr>
                <w:rFonts w:ascii="Arial" w:eastAsia="Calibri" w:hAnsi="Arial" w:cs="Arial"/>
                <w:color w:val="0E0E0E"/>
                <w:sz w:val="20"/>
                <w:szCs w:val="20"/>
                <w:shd w:val="clear" w:color="auto" w:fill="FAFAFB"/>
              </w:rPr>
            </w:pPr>
            <w:r w:rsidRPr="001E6B4B">
              <w:rPr>
                <w:rFonts w:ascii="Arial" w:eastAsia="Calibri" w:hAnsi="Arial" w:cs="Arial"/>
                <w:color w:val="0E0E0E"/>
                <w:sz w:val="20"/>
                <w:szCs w:val="20"/>
                <w:shd w:val="clear" w:color="auto" w:fill="FAFAFB"/>
              </w:rPr>
              <w:t xml:space="preserve"> If discontinuation symptoms occur:</w:t>
            </w:r>
          </w:p>
          <w:p w14:paraId="01DA9ECE" w14:textId="77777777" w:rsidR="001D35F8" w:rsidRPr="001E6B4B" w:rsidRDefault="001D35F8" w:rsidP="00F1149C">
            <w:pPr>
              <w:pStyle w:val="numbered-paragraph"/>
              <w:numPr>
                <w:ilvl w:val="1"/>
                <w:numId w:val="17"/>
              </w:numPr>
              <w:shd w:val="clear" w:color="auto" w:fill="FAFAFB"/>
              <w:spacing w:before="0" w:beforeAutospacing="0" w:after="180" w:afterAutospacing="0"/>
              <w:jc w:val="both"/>
              <w:rPr>
                <w:rFonts w:ascii="Arial" w:eastAsia="Calibri" w:hAnsi="Arial" w:cs="Arial"/>
                <w:color w:val="0E0E0E"/>
                <w:sz w:val="20"/>
                <w:szCs w:val="20"/>
                <w:shd w:val="clear" w:color="auto" w:fill="FAFAFB"/>
              </w:rPr>
            </w:pPr>
            <w:r w:rsidRPr="001E6B4B">
              <w:rPr>
                <w:rFonts w:ascii="Arial" w:eastAsia="Calibri" w:hAnsi="Arial" w:cs="Arial"/>
                <w:color w:val="0E0E0E"/>
                <w:sz w:val="20"/>
                <w:szCs w:val="20"/>
                <w:shd w:val="clear" w:color="auto" w:fill="FAFAFB"/>
              </w:rPr>
              <w:t>Monitor symptoms and reassure the person if symptoms are mild</w:t>
            </w:r>
          </w:p>
          <w:p w14:paraId="2E60ACB0" w14:textId="1A7E98E8" w:rsidR="001D35F8" w:rsidRPr="001E6B4B" w:rsidRDefault="001D35F8" w:rsidP="00F1149C">
            <w:pPr>
              <w:pStyle w:val="numbered-paragraph"/>
              <w:numPr>
                <w:ilvl w:val="1"/>
                <w:numId w:val="17"/>
              </w:numPr>
              <w:shd w:val="clear" w:color="auto" w:fill="FAFAFB"/>
              <w:spacing w:before="0" w:beforeAutospacing="0" w:after="180" w:afterAutospacing="0"/>
              <w:jc w:val="both"/>
              <w:rPr>
                <w:rFonts w:ascii="Arial" w:eastAsia="Calibri" w:hAnsi="Arial" w:cs="Arial"/>
                <w:color w:val="0E0E0E"/>
                <w:sz w:val="20"/>
                <w:szCs w:val="20"/>
                <w:shd w:val="clear" w:color="auto" w:fill="FAFAFB"/>
              </w:rPr>
            </w:pPr>
            <w:r w:rsidRPr="001E6B4B">
              <w:rPr>
                <w:rFonts w:ascii="Arial" w:eastAsia="Calibri" w:hAnsi="Arial" w:cs="Arial"/>
                <w:color w:val="0E0E0E"/>
                <w:sz w:val="20"/>
                <w:szCs w:val="20"/>
                <w:shd w:val="clear" w:color="auto" w:fill="FAFAFB"/>
              </w:rPr>
              <w:t>Consider reintroducing the original antidepressant at the dose that was effective (or another antidepressant with a longer half-life from the same class</w:t>
            </w:r>
            <w:r w:rsidR="008D43CB" w:rsidRPr="001E6B4B">
              <w:rPr>
                <w:rFonts w:ascii="Arial" w:eastAsia="Calibri" w:hAnsi="Arial" w:cs="Arial"/>
                <w:color w:val="0E0E0E"/>
                <w:sz w:val="20"/>
                <w:szCs w:val="20"/>
                <w:shd w:val="clear" w:color="auto" w:fill="FAFAFB"/>
              </w:rPr>
              <w:t xml:space="preserve"> e.g. fluoxetine for SSRIs</w:t>
            </w:r>
            <w:r w:rsidRPr="001E6B4B">
              <w:rPr>
                <w:rFonts w:ascii="Arial" w:eastAsia="Calibri" w:hAnsi="Arial" w:cs="Arial"/>
                <w:color w:val="0E0E0E"/>
                <w:sz w:val="20"/>
                <w:szCs w:val="20"/>
                <w:shd w:val="clear" w:color="auto" w:fill="FAFAFB"/>
              </w:rPr>
              <w:t xml:space="preserve">) if symptoms are severe, and reduce the dose </w:t>
            </w:r>
            <w:r w:rsidR="00E9577B" w:rsidRPr="001E6B4B">
              <w:rPr>
                <w:rFonts w:ascii="Arial" w:eastAsia="Calibri" w:hAnsi="Arial" w:cs="Arial"/>
                <w:color w:val="0E0E0E"/>
                <w:sz w:val="20"/>
                <w:szCs w:val="20"/>
                <w:shd w:val="clear" w:color="auto" w:fill="FAFAFB"/>
              </w:rPr>
              <w:t xml:space="preserve">more </w:t>
            </w:r>
            <w:r w:rsidRPr="001E6B4B">
              <w:rPr>
                <w:rFonts w:ascii="Arial" w:eastAsia="Calibri" w:hAnsi="Arial" w:cs="Arial"/>
                <w:color w:val="0E0E0E"/>
                <w:sz w:val="20"/>
                <w:szCs w:val="20"/>
                <w:shd w:val="clear" w:color="auto" w:fill="FAFAFB"/>
              </w:rPr>
              <w:t>gradually while monitoring symptoms.</w:t>
            </w:r>
          </w:p>
        </w:tc>
      </w:tr>
    </w:tbl>
    <w:p w14:paraId="650EA421" w14:textId="43EA3EC9" w:rsidR="001D35F8" w:rsidRPr="0044343F" w:rsidRDefault="001D35F8" w:rsidP="001D35F8">
      <w:pPr>
        <w:rPr>
          <w:rFonts w:ascii="Arial" w:hAnsi="Arial" w:cs="Arial"/>
          <w:bCs/>
          <w:i/>
          <w:iCs/>
          <w:color w:val="000000" w:themeColor="text1"/>
          <w:sz w:val="16"/>
          <w:szCs w:val="16"/>
        </w:rPr>
      </w:pPr>
      <w:r w:rsidRPr="0044343F">
        <w:rPr>
          <w:rFonts w:ascii="Arial" w:hAnsi="Arial" w:cs="Arial"/>
          <w:bCs/>
          <w:color w:val="000000" w:themeColor="text1"/>
        </w:rPr>
        <w:lastRenderedPageBreak/>
        <w:t>*</w:t>
      </w:r>
      <w:r w:rsidRPr="0044343F">
        <w:rPr>
          <w:rFonts w:ascii="Arial" w:hAnsi="Arial" w:cs="Arial"/>
          <w:bCs/>
          <w:i/>
          <w:iCs/>
          <w:color w:val="000000" w:themeColor="text1"/>
          <w:sz w:val="16"/>
          <w:szCs w:val="16"/>
        </w:rPr>
        <w:t xml:space="preserve"> Summarised from </w:t>
      </w:r>
      <w:r w:rsidR="00B409F2" w:rsidRPr="0044343F">
        <w:rPr>
          <w:rFonts w:ascii="Arial" w:hAnsi="Arial" w:cs="Arial"/>
          <w:bCs/>
          <w:i/>
          <w:iCs/>
          <w:color w:val="000000" w:themeColor="text1"/>
          <w:sz w:val="16"/>
          <w:szCs w:val="16"/>
        </w:rPr>
        <w:t xml:space="preserve">National Institute of Clinical Excellence. </w:t>
      </w:r>
      <w:r w:rsidR="000B6CAB" w:rsidRPr="0044343F">
        <w:rPr>
          <w:rFonts w:ascii="Arial" w:hAnsi="Arial" w:cs="Arial"/>
          <w:bCs/>
          <w:i/>
          <w:iCs/>
          <w:color w:val="000000" w:themeColor="text1"/>
          <w:sz w:val="16"/>
          <w:szCs w:val="16"/>
        </w:rPr>
        <w:t>Depression in adults: treatment and management NICE guideline [NG222]Published: 29 June 2022 </w:t>
      </w:r>
      <w:r w:rsidR="00B409F2" w:rsidRPr="0044343F">
        <w:rPr>
          <w:rFonts w:ascii="Arial" w:hAnsi="Arial" w:cs="Arial"/>
          <w:bCs/>
          <w:i/>
          <w:iCs/>
          <w:color w:val="000000" w:themeColor="text1"/>
          <w:sz w:val="16"/>
          <w:szCs w:val="16"/>
        </w:rPr>
        <w:t xml:space="preserve">Available at: </w:t>
      </w:r>
      <w:hyperlink r:id="rId22" w:history="1">
        <w:r w:rsidR="000B6CAB" w:rsidRPr="0044343F">
          <w:rPr>
            <w:rStyle w:val="Hyperlink"/>
            <w:rFonts w:ascii="Arial" w:hAnsi="Arial" w:cs="Arial"/>
            <w:bCs/>
            <w:i/>
            <w:iCs/>
            <w:color w:val="000000" w:themeColor="text1"/>
            <w:sz w:val="16"/>
            <w:szCs w:val="16"/>
          </w:rPr>
          <w:t>https://www.nice.org.uk/guidance/ng222</w:t>
        </w:r>
      </w:hyperlink>
      <w:r w:rsidRPr="0044343F">
        <w:rPr>
          <w:rFonts w:ascii="Arial" w:hAnsi="Arial" w:cs="Arial"/>
          <w:bCs/>
          <w:i/>
          <w:iCs/>
          <w:color w:val="000000" w:themeColor="text1"/>
          <w:sz w:val="16"/>
          <w:szCs w:val="16"/>
        </w:rPr>
        <w:t xml:space="preserve"> and Taylor DM, Barnes TR, Young AH. The Maudsley Prescribing Guidelines in Psychiatry. 14th Edition. Wiley Blackwell, 2021</w:t>
      </w:r>
    </w:p>
    <w:p w14:paraId="42A4F6FD" w14:textId="5CC98B6F" w:rsidR="00C84CB0" w:rsidRDefault="00C84CB0" w:rsidP="00C84CB0">
      <w:pPr>
        <w:rPr>
          <w:rFonts w:ascii="Arial" w:hAnsi="Arial" w:cs="Arial"/>
          <w:bCs/>
        </w:rPr>
      </w:pPr>
    </w:p>
    <w:p w14:paraId="3AF719BC" w14:textId="77777777" w:rsidR="00D44AF0" w:rsidRDefault="00D44AF0" w:rsidP="00C84CB0">
      <w:pPr>
        <w:rPr>
          <w:rFonts w:ascii="Arial" w:hAnsi="Arial" w:cs="Arial"/>
          <w:bCs/>
        </w:rPr>
      </w:pPr>
    </w:p>
    <w:p w14:paraId="34137837" w14:textId="7377BE83" w:rsidR="00C84CB0" w:rsidRDefault="00C84CB0" w:rsidP="00C84CB0">
      <w:pPr>
        <w:rPr>
          <w:rFonts w:ascii="Arial" w:hAnsi="Arial" w:cs="Arial"/>
          <w:b/>
        </w:rPr>
      </w:pPr>
      <w:r w:rsidRPr="00DE5C17">
        <w:rPr>
          <w:rFonts w:ascii="Arial" w:hAnsi="Arial" w:cs="Arial"/>
          <w:b/>
        </w:rPr>
        <w:t>3</w:t>
      </w:r>
      <w:r w:rsidR="007F07B0">
        <w:rPr>
          <w:rFonts w:ascii="Arial" w:hAnsi="Arial" w:cs="Arial"/>
          <w:b/>
        </w:rPr>
        <w:t>.</w:t>
      </w:r>
      <w:r w:rsidRPr="00DE5C17">
        <w:rPr>
          <w:rFonts w:ascii="Arial" w:hAnsi="Arial" w:cs="Arial"/>
          <w:b/>
        </w:rPr>
        <w:t xml:space="preserve"> Summary</w:t>
      </w:r>
    </w:p>
    <w:p w14:paraId="69F7949E" w14:textId="07709CBE" w:rsidR="00C84CB0" w:rsidRPr="00281004" w:rsidRDefault="00281004" w:rsidP="00C84CB0">
      <w:pPr>
        <w:rPr>
          <w:rFonts w:ascii="Arial" w:hAnsi="Arial" w:cs="Arial"/>
        </w:rPr>
      </w:pPr>
      <w:r w:rsidRPr="00281004">
        <w:rPr>
          <w:rFonts w:ascii="Arial" w:hAnsi="Arial" w:cs="Arial"/>
          <w:bCs/>
        </w:rPr>
        <w:t xml:space="preserve">There is some evidence that deprescribing is effective in reducing potential inappropriate prescribing and preventing </w:t>
      </w:r>
      <w:r w:rsidR="002B1C15">
        <w:rPr>
          <w:rFonts w:ascii="Arial" w:hAnsi="Arial" w:cs="Arial"/>
          <w:bCs/>
        </w:rPr>
        <w:t>ADRs</w:t>
      </w:r>
      <w:r w:rsidRPr="00281004">
        <w:rPr>
          <w:rFonts w:ascii="Arial" w:hAnsi="Arial" w:cs="Arial"/>
          <w:bCs/>
        </w:rPr>
        <w:t>, as well as reducing</w:t>
      </w:r>
      <w:r w:rsidR="002B1C15">
        <w:rPr>
          <w:rFonts w:ascii="Arial" w:hAnsi="Arial" w:cs="Arial"/>
          <w:bCs/>
        </w:rPr>
        <w:t xml:space="preserve"> ADR-related</w:t>
      </w:r>
      <w:r w:rsidRPr="00281004">
        <w:rPr>
          <w:rFonts w:ascii="Arial" w:hAnsi="Arial" w:cs="Arial"/>
          <w:bCs/>
        </w:rPr>
        <w:t xml:space="preserve"> morbidity and healthcare resource utilisation</w:t>
      </w:r>
      <w:r w:rsidRPr="00281004">
        <w:rPr>
          <w:rFonts w:ascii="Arial" w:hAnsi="Arial" w:cs="Arial"/>
        </w:rPr>
        <w:t xml:space="preserve">. </w:t>
      </w:r>
      <w:r w:rsidR="002B1C15">
        <w:rPr>
          <w:rFonts w:ascii="Arial" w:hAnsi="Arial" w:cs="Arial"/>
          <w:bCs/>
        </w:rPr>
        <w:t>Deprescribing</w:t>
      </w:r>
      <w:r w:rsidR="00C84CB0" w:rsidRPr="00281004">
        <w:rPr>
          <w:rFonts w:ascii="Arial" w:hAnsi="Arial" w:cs="Arial"/>
          <w:bCs/>
        </w:rPr>
        <w:t xml:space="preserve"> requires shared decision making, informed patient consent and monitoring for adverse effects.</w:t>
      </w:r>
      <w:r w:rsidR="002B1C15">
        <w:rPr>
          <w:rFonts w:ascii="Arial" w:hAnsi="Arial" w:cs="Arial"/>
          <w:bCs/>
        </w:rPr>
        <w:t xml:space="preserve"> </w:t>
      </w:r>
      <w:r w:rsidR="00C84CB0" w:rsidRPr="00281004">
        <w:rPr>
          <w:rFonts w:ascii="Arial" w:hAnsi="Arial" w:cs="Arial"/>
          <w:bCs/>
        </w:rPr>
        <w:t>There are</w:t>
      </w:r>
      <w:r w:rsidR="00E53FA4">
        <w:rPr>
          <w:rFonts w:ascii="Arial" w:hAnsi="Arial" w:cs="Arial"/>
          <w:bCs/>
        </w:rPr>
        <w:t xml:space="preserve"> </w:t>
      </w:r>
      <w:r w:rsidR="00C84CB0" w:rsidRPr="00281004">
        <w:rPr>
          <w:rFonts w:ascii="Arial" w:hAnsi="Arial" w:cs="Arial"/>
          <w:bCs/>
        </w:rPr>
        <w:t xml:space="preserve">barriers to deprescribing in primary care, however a structured medication review process can identify therapeutic agents </w:t>
      </w:r>
      <w:r w:rsidR="0093355D">
        <w:rPr>
          <w:rFonts w:ascii="Arial" w:hAnsi="Arial" w:cs="Arial"/>
          <w:bCs/>
        </w:rPr>
        <w:t xml:space="preserve">to consider </w:t>
      </w:r>
      <w:r w:rsidR="00C84CB0" w:rsidRPr="00281004">
        <w:rPr>
          <w:rFonts w:ascii="Arial" w:hAnsi="Arial" w:cs="Arial"/>
          <w:bCs/>
        </w:rPr>
        <w:t>for deprescribing. Long term use of PPI, NSAID</w:t>
      </w:r>
      <w:r w:rsidRPr="00281004">
        <w:rPr>
          <w:rFonts w:ascii="Arial" w:hAnsi="Arial" w:cs="Arial"/>
          <w:bCs/>
        </w:rPr>
        <w:t>,</w:t>
      </w:r>
      <w:r w:rsidR="00C84CB0" w:rsidRPr="00281004">
        <w:rPr>
          <w:rFonts w:ascii="Arial" w:hAnsi="Arial" w:cs="Arial"/>
          <w:bCs/>
        </w:rPr>
        <w:t xml:space="preserve"> BZRA </w:t>
      </w:r>
      <w:r w:rsidRPr="00281004">
        <w:rPr>
          <w:rFonts w:ascii="Arial" w:hAnsi="Arial" w:cs="Arial"/>
          <w:bCs/>
        </w:rPr>
        <w:t>and SSRI</w:t>
      </w:r>
      <w:r w:rsidR="009E526E">
        <w:rPr>
          <w:rFonts w:ascii="Arial" w:hAnsi="Arial" w:cs="Arial"/>
          <w:bCs/>
        </w:rPr>
        <w:t>/SNRI</w:t>
      </w:r>
      <w:r w:rsidRPr="00281004">
        <w:rPr>
          <w:rFonts w:ascii="Arial" w:hAnsi="Arial" w:cs="Arial"/>
          <w:bCs/>
        </w:rPr>
        <w:t xml:space="preserve"> </w:t>
      </w:r>
      <w:r w:rsidR="00C84CB0" w:rsidRPr="00281004">
        <w:rPr>
          <w:rFonts w:ascii="Arial" w:hAnsi="Arial" w:cs="Arial"/>
          <w:bCs/>
        </w:rPr>
        <w:t xml:space="preserve">medications are recognised as common indicators of PIP in </w:t>
      </w:r>
      <w:r w:rsidR="007F07B0">
        <w:rPr>
          <w:rFonts w:ascii="Arial" w:hAnsi="Arial" w:cs="Arial"/>
          <w:bCs/>
        </w:rPr>
        <w:t>older people</w:t>
      </w:r>
      <w:r w:rsidR="00C84CB0" w:rsidRPr="00281004">
        <w:rPr>
          <w:rFonts w:ascii="Arial" w:hAnsi="Arial" w:cs="Arial"/>
          <w:bCs/>
        </w:rPr>
        <w:t>, and are highlighted as specific areas</w:t>
      </w:r>
      <w:r>
        <w:rPr>
          <w:rFonts w:ascii="Arial" w:hAnsi="Arial" w:cs="Arial"/>
          <w:bCs/>
        </w:rPr>
        <w:t xml:space="preserve"> to consider</w:t>
      </w:r>
      <w:r w:rsidR="00C84CB0" w:rsidRPr="00281004">
        <w:rPr>
          <w:rFonts w:ascii="Arial" w:hAnsi="Arial" w:cs="Arial"/>
          <w:bCs/>
        </w:rPr>
        <w:t xml:space="preserve"> deprescribing.</w:t>
      </w:r>
    </w:p>
    <w:p w14:paraId="5A0D6BE8" w14:textId="77777777" w:rsidR="00C84CB0" w:rsidRPr="00DE5C17" w:rsidRDefault="00C84CB0" w:rsidP="00C84CB0">
      <w:pPr>
        <w:rPr>
          <w:rFonts w:ascii="Arial" w:hAnsi="Arial" w:cs="Arial"/>
          <w:b/>
        </w:rPr>
      </w:pPr>
    </w:p>
    <w:p w14:paraId="22F2675B" w14:textId="2FE39B6E" w:rsidR="00D44AF0" w:rsidRDefault="00D44AF0" w:rsidP="00A84B3E">
      <w:pPr>
        <w:rPr>
          <w:rFonts w:ascii="Arial" w:hAnsi="Arial" w:cs="Arial"/>
          <w:b/>
          <w:bCs/>
          <w:szCs w:val="21"/>
        </w:rPr>
      </w:pPr>
    </w:p>
    <w:p w14:paraId="49CEA1E1" w14:textId="17250331" w:rsidR="00A80567" w:rsidRDefault="00A80567" w:rsidP="00A84B3E">
      <w:pPr>
        <w:rPr>
          <w:rFonts w:ascii="Arial" w:hAnsi="Arial" w:cs="Arial"/>
          <w:b/>
          <w:bCs/>
          <w:szCs w:val="21"/>
        </w:rPr>
      </w:pPr>
    </w:p>
    <w:p w14:paraId="01F82919" w14:textId="284D63B3" w:rsidR="00A80567" w:rsidRDefault="00A80567" w:rsidP="00A84B3E">
      <w:pPr>
        <w:rPr>
          <w:rFonts w:ascii="Arial" w:hAnsi="Arial" w:cs="Arial"/>
          <w:b/>
          <w:bCs/>
          <w:szCs w:val="21"/>
        </w:rPr>
      </w:pPr>
    </w:p>
    <w:p w14:paraId="3BF685AC" w14:textId="7B72F870" w:rsidR="00A80567" w:rsidRDefault="00A80567" w:rsidP="00A84B3E">
      <w:pPr>
        <w:rPr>
          <w:rFonts w:ascii="Arial" w:hAnsi="Arial" w:cs="Arial"/>
          <w:b/>
          <w:bCs/>
          <w:szCs w:val="21"/>
        </w:rPr>
      </w:pPr>
    </w:p>
    <w:p w14:paraId="04B1E28B" w14:textId="374C99BB" w:rsidR="00A80567" w:rsidRDefault="00A80567" w:rsidP="00A84B3E">
      <w:pPr>
        <w:rPr>
          <w:rFonts w:ascii="Arial" w:hAnsi="Arial" w:cs="Arial"/>
          <w:b/>
          <w:bCs/>
          <w:szCs w:val="21"/>
        </w:rPr>
      </w:pPr>
    </w:p>
    <w:p w14:paraId="10B26D5C" w14:textId="77777777" w:rsidR="00A80567" w:rsidRDefault="00A80567" w:rsidP="00A84B3E">
      <w:pPr>
        <w:rPr>
          <w:rFonts w:ascii="Arial" w:hAnsi="Arial" w:cs="Arial"/>
          <w:b/>
          <w:bCs/>
          <w:szCs w:val="21"/>
        </w:rPr>
      </w:pPr>
    </w:p>
    <w:p w14:paraId="5850112E" w14:textId="77777777" w:rsidR="00EB2208" w:rsidRDefault="00EB2208" w:rsidP="00A84B3E">
      <w:pPr>
        <w:rPr>
          <w:rFonts w:ascii="Arial" w:hAnsi="Arial" w:cs="Arial"/>
          <w:b/>
          <w:bCs/>
          <w:szCs w:val="21"/>
        </w:rPr>
      </w:pPr>
    </w:p>
    <w:p w14:paraId="664942A2" w14:textId="77777777" w:rsidR="007F07B0" w:rsidRDefault="007F07B0" w:rsidP="00A84B3E">
      <w:pPr>
        <w:rPr>
          <w:rFonts w:ascii="Arial" w:hAnsi="Arial" w:cs="Arial"/>
          <w:b/>
          <w:bCs/>
          <w:szCs w:val="21"/>
        </w:rPr>
      </w:pPr>
    </w:p>
    <w:p w14:paraId="7B08CA55" w14:textId="616FB09A" w:rsidR="00BC0290" w:rsidRDefault="00A84B3E" w:rsidP="00A84B3E">
      <w:pPr>
        <w:rPr>
          <w:rFonts w:ascii="Arial" w:hAnsi="Arial" w:cs="Arial"/>
          <w:b/>
          <w:bCs/>
          <w:szCs w:val="21"/>
        </w:rPr>
      </w:pPr>
      <w:r>
        <w:rPr>
          <w:rFonts w:ascii="Arial" w:hAnsi="Arial" w:cs="Arial"/>
          <w:b/>
          <w:bCs/>
          <w:szCs w:val="21"/>
        </w:rPr>
        <w:t xml:space="preserve">Appendix 1: Useful </w:t>
      </w:r>
      <w:r w:rsidR="00BC0290">
        <w:rPr>
          <w:rFonts w:ascii="Arial" w:hAnsi="Arial" w:cs="Arial"/>
          <w:b/>
          <w:bCs/>
          <w:szCs w:val="21"/>
        </w:rPr>
        <w:t>resources</w:t>
      </w:r>
    </w:p>
    <w:p w14:paraId="1304746E" w14:textId="77777777" w:rsidR="00BC0290" w:rsidRDefault="00BC0290" w:rsidP="00A84B3E">
      <w:pPr>
        <w:rPr>
          <w:rFonts w:ascii="Arial" w:hAnsi="Arial" w:cs="Arial"/>
          <w:b/>
          <w:bCs/>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7"/>
        <w:gridCol w:w="7003"/>
      </w:tblGrid>
      <w:tr w:rsidR="00A84B3E" w:rsidRPr="0098170E" w14:paraId="615843AE" w14:textId="77777777" w:rsidTr="002762FE">
        <w:tc>
          <w:tcPr>
            <w:tcW w:w="9010" w:type="dxa"/>
            <w:gridSpan w:val="2"/>
            <w:shd w:val="clear" w:color="auto" w:fill="000000"/>
          </w:tcPr>
          <w:p w14:paraId="10066B8A" w14:textId="582D7DBC" w:rsidR="00A84B3E" w:rsidRPr="00A36D65" w:rsidRDefault="00A84B3E" w:rsidP="002B1C15">
            <w:pPr>
              <w:jc w:val="both"/>
              <w:rPr>
                <w:rFonts w:ascii="Arial" w:eastAsia="Calibri" w:hAnsi="Arial" w:cs="Arial"/>
                <w:b/>
                <w:bCs/>
                <w:color w:val="FFFFFF"/>
              </w:rPr>
            </w:pPr>
            <w:r w:rsidRPr="00A36D65">
              <w:rPr>
                <w:rFonts w:ascii="Arial" w:eastAsia="Calibri" w:hAnsi="Arial" w:cs="Arial"/>
                <w:b/>
                <w:bCs/>
                <w:color w:val="FFFFFF"/>
              </w:rPr>
              <w:t xml:space="preserve">Tools </w:t>
            </w:r>
            <w:r w:rsidR="002762FE">
              <w:rPr>
                <w:rFonts w:ascii="Arial" w:eastAsia="Calibri" w:hAnsi="Arial" w:cs="Arial"/>
                <w:b/>
                <w:bCs/>
                <w:color w:val="FFFFFF"/>
              </w:rPr>
              <w:t>to support management of</w:t>
            </w:r>
            <w:r w:rsidRPr="00A36D65">
              <w:rPr>
                <w:rFonts w:ascii="Arial" w:eastAsia="Calibri" w:hAnsi="Arial" w:cs="Arial"/>
                <w:b/>
                <w:bCs/>
                <w:color w:val="FFFFFF"/>
              </w:rPr>
              <w:t xml:space="preserve"> polypharmacy</w:t>
            </w:r>
            <w:r w:rsidR="002762FE">
              <w:rPr>
                <w:rFonts w:ascii="Arial" w:eastAsia="Calibri" w:hAnsi="Arial" w:cs="Arial"/>
                <w:b/>
                <w:bCs/>
                <w:color w:val="FFFFFF"/>
              </w:rPr>
              <w:t xml:space="preserve">, </w:t>
            </w:r>
            <w:r w:rsidRPr="00A36D65">
              <w:rPr>
                <w:rFonts w:ascii="Arial" w:eastAsia="Calibri" w:hAnsi="Arial" w:cs="Arial"/>
                <w:b/>
                <w:bCs/>
                <w:color w:val="FFFFFF"/>
              </w:rPr>
              <w:t>potentially inappropriate prescribing</w:t>
            </w:r>
            <w:r w:rsidR="002762FE">
              <w:rPr>
                <w:rFonts w:ascii="Arial" w:eastAsia="Calibri" w:hAnsi="Arial" w:cs="Arial"/>
                <w:b/>
                <w:bCs/>
                <w:color w:val="FFFFFF"/>
              </w:rPr>
              <w:t xml:space="preserve"> and deprescribing</w:t>
            </w:r>
            <w:r w:rsidRPr="00A36D65">
              <w:rPr>
                <w:rFonts w:ascii="Arial" w:eastAsia="Calibri" w:hAnsi="Arial" w:cs="Arial"/>
                <w:b/>
                <w:bCs/>
                <w:color w:val="FFFFFF"/>
              </w:rPr>
              <w:t xml:space="preserve"> in Primary Care</w:t>
            </w:r>
          </w:p>
        </w:tc>
      </w:tr>
      <w:tr w:rsidR="00A84B3E" w:rsidRPr="0098170E" w14:paraId="472D36F6" w14:textId="77777777" w:rsidTr="002762FE">
        <w:trPr>
          <w:trHeight w:val="337"/>
        </w:trPr>
        <w:tc>
          <w:tcPr>
            <w:tcW w:w="3114" w:type="dxa"/>
            <w:shd w:val="clear" w:color="auto" w:fill="AEAAAA"/>
          </w:tcPr>
          <w:p w14:paraId="12294D0B" w14:textId="74578B2B" w:rsidR="00A84B3E" w:rsidRPr="002762FE" w:rsidRDefault="00A84B3E" w:rsidP="002B1C15">
            <w:pPr>
              <w:tabs>
                <w:tab w:val="left" w:pos="2797"/>
              </w:tabs>
              <w:jc w:val="both"/>
              <w:rPr>
                <w:rFonts w:ascii="Arial" w:eastAsia="Calibri" w:hAnsi="Arial" w:cs="Arial"/>
                <w:sz w:val="22"/>
                <w:szCs w:val="22"/>
              </w:rPr>
            </w:pPr>
            <w:r w:rsidRPr="002762FE">
              <w:rPr>
                <w:rFonts w:ascii="Arial" w:eastAsia="Calibri" w:hAnsi="Arial" w:cs="Arial"/>
                <w:sz w:val="22"/>
                <w:szCs w:val="22"/>
              </w:rPr>
              <w:t>STOPP/START v</w:t>
            </w:r>
            <w:r w:rsidR="0086041D">
              <w:rPr>
                <w:rFonts w:ascii="Arial" w:eastAsia="Calibri" w:hAnsi="Arial" w:cs="Arial"/>
                <w:sz w:val="22"/>
                <w:szCs w:val="22"/>
              </w:rPr>
              <w:t>-</w:t>
            </w:r>
            <w:r w:rsidRPr="002762FE">
              <w:rPr>
                <w:rFonts w:ascii="Arial" w:eastAsia="Calibri" w:hAnsi="Arial" w:cs="Arial"/>
                <w:sz w:val="22"/>
                <w:szCs w:val="22"/>
              </w:rPr>
              <w:t xml:space="preserve"> 2</w:t>
            </w:r>
            <w:r w:rsidRPr="002762FE">
              <w:rPr>
                <w:rFonts w:ascii="Arial" w:eastAsia="Calibri" w:hAnsi="Arial" w:cs="Arial"/>
                <w:sz w:val="22"/>
                <w:szCs w:val="22"/>
              </w:rPr>
              <w:tab/>
            </w:r>
          </w:p>
        </w:tc>
        <w:tc>
          <w:tcPr>
            <w:tcW w:w="5896" w:type="dxa"/>
            <w:shd w:val="clear" w:color="auto" w:fill="AEAAAA"/>
          </w:tcPr>
          <w:p w14:paraId="557D68E0" w14:textId="77777777" w:rsidR="00A84B3E" w:rsidRPr="002762FE" w:rsidRDefault="000B3ACC" w:rsidP="002B1C15">
            <w:pPr>
              <w:jc w:val="both"/>
              <w:rPr>
                <w:rFonts w:ascii="Arial" w:eastAsia="Calibri" w:hAnsi="Arial" w:cs="Arial"/>
                <w:sz w:val="22"/>
                <w:szCs w:val="22"/>
              </w:rPr>
            </w:pPr>
            <w:hyperlink r:id="rId23" w:history="1">
              <w:r w:rsidR="00A84B3E" w:rsidRPr="002762FE">
                <w:rPr>
                  <w:rStyle w:val="Hyperlink"/>
                  <w:rFonts w:ascii="Arial" w:eastAsia="Calibri" w:hAnsi="Arial" w:cs="Arial"/>
                  <w:sz w:val="22"/>
                  <w:szCs w:val="22"/>
                </w:rPr>
                <w:t>https://www.cgakit.com/m-2-stopp-start</w:t>
              </w:r>
            </w:hyperlink>
          </w:p>
        </w:tc>
      </w:tr>
      <w:tr w:rsidR="00A84B3E" w:rsidRPr="0098170E" w14:paraId="794EDDCF" w14:textId="77777777" w:rsidTr="002762FE">
        <w:tc>
          <w:tcPr>
            <w:tcW w:w="3114" w:type="dxa"/>
            <w:shd w:val="clear" w:color="auto" w:fill="AEAAAA"/>
          </w:tcPr>
          <w:p w14:paraId="2CA25030" w14:textId="619B4B7D" w:rsidR="00A84B3E" w:rsidRPr="002762FE" w:rsidRDefault="00A84B3E" w:rsidP="002B1C15">
            <w:pPr>
              <w:tabs>
                <w:tab w:val="left" w:pos="2797"/>
              </w:tabs>
              <w:jc w:val="both"/>
              <w:rPr>
                <w:rFonts w:ascii="Arial" w:eastAsia="Calibri" w:hAnsi="Arial" w:cs="Arial"/>
                <w:sz w:val="22"/>
                <w:szCs w:val="22"/>
              </w:rPr>
            </w:pPr>
            <w:r w:rsidRPr="002762FE">
              <w:rPr>
                <w:rFonts w:ascii="Arial" w:eastAsia="Calibri" w:hAnsi="Arial" w:cs="Arial"/>
                <w:sz w:val="22"/>
                <w:szCs w:val="22"/>
              </w:rPr>
              <w:t>PROMPT criteria</w:t>
            </w:r>
          </w:p>
        </w:tc>
        <w:tc>
          <w:tcPr>
            <w:tcW w:w="5896" w:type="dxa"/>
            <w:shd w:val="clear" w:color="auto" w:fill="AEAAAA"/>
          </w:tcPr>
          <w:p w14:paraId="69EB0C97" w14:textId="77777777" w:rsidR="00A84B3E" w:rsidRPr="002762FE" w:rsidRDefault="000B3ACC" w:rsidP="002B1C15">
            <w:pPr>
              <w:jc w:val="both"/>
              <w:rPr>
                <w:rFonts w:ascii="Arial" w:eastAsia="Calibri" w:hAnsi="Arial" w:cs="Arial"/>
                <w:color w:val="0563C1"/>
                <w:sz w:val="22"/>
                <w:szCs w:val="22"/>
                <w:u w:val="single"/>
              </w:rPr>
            </w:pPr>
            <w:hyperlink r:id="rId24" w:history="1">
              <w:r w:rsidR="00A84B3E" w:rsidRPr="002762FE">
                <w:rPr>
                  <w:rStyle w:val="Hyperlink"/>
                  <w:rFonts w:ascii="Arial" w:eastAsia="Calibri" w:hAnsi="Arial" w:cs="Arial"/>
                  <w:sz w:val="22"/>
                  <w:szCs w:val="22"/>
                </w:rPr>
                <w:t>https://bmchealthservres.biomedcentral.com/articles/10.1186/s12913-014-0484-6</w:t>
              </w:r>
            </w:hyperlink>
          </w:p>
        </w:tc>
      </w:tr>
      <w:tr w:rsidR="00A84B3E" w:rsidRPr="0098170E" w14:paraId="527D2036" w14:textId="77777777" w:rsidTr="002762FE">
        <w:tc>
          <w:tcPr>
            <w:tcW w:w="3114" w:type="dxa"/>
            <w:shd w:val="clear" w:color="auto" w:fill="AEAAAA"/>
          </w:tcPr>
          <w:p w14:paraId="61A0500C" w14:textId="43F67961" w:rsidR="00A84B3E" w:rsidRPr="002762FE" w:rsidRDefault="00A84B3E" w:rsidP="002B1C15">
            <w:pPr>
              <w:tabs>
                <w:tab w:val="left" w:pos="2797"/>
              </w:tabs>
              <w:jc w:val="both"/>
              <w:rPr>
                <w:rFonts w:ascii="Arial" w:eastAsia="Calibri" w:hAnsi="Arial" w:cs="Arial"/>
                <w:sz w:val="22"/>
                <w:szCs w:val="22"/>
                <w:vertAlign w:val="superscript"/>
              </w:rPr>
            </w:pPr>
            <w:r w:rsidRPr="002762FE">
              <w:rPr>
                <w:rFonts w:ascii="Arial" w:eastAsia="Calibri" w:hAnsi="Arial" w:cs="Arial"/>
                <w:sz w:val="22"/>
                <w:szCs w:val="22"/>
              </w:rPr>
              <w:t>NHS Scotland Polypharmacy Guidance Realistic Prescribing 3rd Edition 2018</w:t>
            </w:r>
          </w:p>
        </w:tc>
        <w:tc>
          <w:tcPr>
            <w:tcW w:w="5896" w:type="dxa"/>
            <w:shd w:val="clear" w:color="auto" w:fill="AEAAAA"/>
          </w:tcPr>
          <w:p w14:paraId="5E2BD451" w14:textId="77777777" w:rsidR="00A84B3E" w:rsidRPr="002762FE" w:rsidRDefault="000B3ACC" w:rsidP="002B1C15">
            <w:pPr>
              <w:jc w:val="both"/>
              <w:rPr>
                <w:rFonts w:ascii="Arial" w:eastAsia="Calibri" w:hAnsi="Arial" w:cs="Arial"/>
                <w:sz w:val="22"/>
                <w:szCs w:val="22"/>
              </w:rPr>
            </w:pPr>
            <w:hyperlink r:id="rId25" w:history="1">
              <w:r w:rsidR="00A84B3E" w:rsidRPr="002762FE">
                <w:rPr>
                  <w:rStyle w:val="Hyperlink"/>
                  <w:rFonts w:ascii="Arial" w:eastAsia="Calibri" w:hAnsi="Arial" w:cs="Arial"/>
                  <w:sz w:val="22"/>
                  <w:szCs w:val="22"/>
                </w:rPr>
                <w:t>https://www.therapeutics.scot.nhs.uk/wp-content/uploads/2018/04/Polypharmacy-Guidance-2018.pdf</w:t>
              </w:r>
            </w:hyperlink>
            <w:r w:rsidR="00A84B3E" w:rsidRPr="002762FE">
              <w:rPr>
                <w:rFonts w:ascii="Arial" w:eastAsia="Calibri" w:hAnsi="Arial" w:cs="Arial"/>
                <w:sz w:val="22"/>
                <w:szCs w:val="22"/>
              </w:rPr>
              <w:t xml:space="preserve"> </w:t>
            </w:r>
          </w:p>
        </w:tc>
      </w:tr>
      <w:tr w:rsidR="00A84B3E" w:rsidRPr="0098170E" w14:paraId="1FE0269C" w14:textId="77777777" w:rsidTr="002762FE">
        <w:tc>
          <w:tcPr>
            <w:tcW w:w="3114" w:type="dxa"/>
            <w:shd w:val="clear" w:color="auto" w:fill="AEAAAA"/>
          </w:tcPr>
          <w:p w14:paraId="254989F7" w14:textId="631B85F7" w:rsidR="00A84B3E" w:rsidRPr="002762FE" w:rsidRDefault="00A84B3E" w:rsidP="002B1C15">
            <w:pPr>
              <w:tabs>
                <w:tab w:val="left" w:pos="2797"/>
              </w:tabs>
              <w:jc w:val="both"/>
              <w:rPr>
                <w:rFonts w:ascii="Arial" w:eastAsia="Calibri" w:hAnsi="Arial" w:cs="Arial"/>
                <w:sz w:val="22"/>
                <w:szCs w:val="22"/>
              </w:rPr>
            </w:pPr>
            <w:r w:rsidRPr="002762FE">
              <w:rPr>
                <w:rFonts w:ascii="Arial" w:eastAsia="Calibri" w:hAnsi="Arial" w:cs="Arial"/>
                <w:sz w:val="22"/>
                <w:szCs w:val="22"/>
              </w:rPr>
              <w:t>NICE Guideline (NG56) Multimorbidity: clinical assessment and management 2016</w:t>
            </w:r>
          </w:p>
          <w:p w14:paraId="113E941D" w14:textId="77777777" w:rsidR="00A84B3E" w:rsidRPr="002762FE" w:rsidRDefault="00A84B3E" w:rsidP="002B1C15">
            <w:pPr>
              <w:tabs>
                <w:tab w:val="left" w:pos="2797"/>
              </w:tabs>
              <w:jc w:val="both"/>
              <w:rPr>
                <w:rFonts w:ascii="Arial" w:eastAsia="Calibri" w:hAnsi="Arial" w:cs="Arial"/>
                <w:sz w:val="22"/>
                <w:szCs w:val="22"/>
              </w:rPr>
            </w:pPr>
          </w:p>
        </w:tc>
        <w:tc>
          <w:tcPr>
            <w:tcW w:w="5896" w:type="dxa"/>
            <w:shd w:val="clear" w:color="auto" w:fill="AEAAAA"/>
          </w:tcPr>
          <w:p w14:paraId="28C4C5AC" w14:textId="77777777" w:rsidR="00A84B3E" w:rsidRPr="002762FE" w:rsidRDefault="000B3ACC" w:rsidP="002B1C15">
            <w:pPr>
              <w:tabs>
                <w:tab w:val="left" w:pos="2797"/>
              </w:tabs>
              <w:jc w:val="both"/>
              <w:rPr>
                <w:rFonts w:ascii="Arial" w:eastAsia="Calibri" w:hAnsi="Arial" w:cs="Arial"/>
                <w:sz w:val="22"/>
                <w:szCs w:val="22"/>
              </w:rPr>
            </w:pPr>
            <w:hyperlink r:id="rId26" w:history="1">
              <w:r w:rsidR="00A84B3E" w:rsidRPr="002762FE">
                <w:rPr>
                  <w:rStyle w:val="Hyperlink"/>
                  <w:rFonts w:ascii="Arial" w:eastAsia="Calibri" w:hAnsi="Arial" w:cs="Arial"/>
                  <w:sz w:val="22"/>
                  <w:szCs w:val="22"/>
                </w:rPr>
                <w:t>https://www.nice.org.uk/guidance/ng56</w:t>
              </w:r>
            </w:hyperlink>
          </w:p>
        </w:tc>
      </w:tr>
      <w:tr w:rsidR="00A84B3E" w:rsidRPr="0098170E" w14:paraId="4FDF3D60" w14:textId="77777777" w:rsidTr="002762FE">
        <w:tc>
          <w:tcPr>
            <w:tcW w:w="3114" w:type="dxa"/>
            <w:shd w:val="clear" w:color="auto" w:fill="AEAAAA"/>
          </w:tcPr>
          <w:p w14:paraId="75360151" w14:textId="0794660C" w:rsidR="00A84B3E" w:rsidRPr="002762FE" w:rsidRDefault="00A84B3E" w:rsidP="002B1C15">
            <w:pPr>
              <w:tabs>
                <w:tab w:val="left" w:pos="2797"/>
              </w:tabs>
              <w:jc w:val="both"/>
              <w:rPr>
                <w:rFonts w:ascii="Arial" w:eastAsia="Calibri" w:hAnsi="Arial" w:cs="Arial"/>
                <w:sz w:val="22"/>
                <w:szCs w:val="22"/>
              </w:rPr>
            </w:pPr>
            <w:r w:rsidRPr="002762FE">
              <w:rPr>
                <w:rFonts w:ascii="Arial" w:eastAsia="Calibri" w:hAnsi="Arial" w:cs="Arial"/>
                <w:sz w:val="22"/>
                <w:szCs w:val="22"/>
              </w:rPr>
              <w:t>Canadian Deprescribing network</w:t>
            </w:r>
          </w:p>
        </w:tc>
        <w:tc>
          <w:tcPr>
            <w:tcW w:w="5896" w:type="dxa"/>
            <w:shd w:val="clear" w:color="auto" w:fill="AEAAAA"/>
          </w:tcPr>
          <w:p w14:paraId="33DD67AE" w14:textId="77777777" w:rsidR="00A84B3E" w:rsidRPr="002762FE" w:rsidRDefault="000B3ACC" w:rsidP="002B1C15">
            <w:pPr>
              <w:tabs>
                <w:tab w:val="left" w:pos="2797"/>
              </w:tabs>
              <w:jc w:val="both"/>
              <w:rPr>
                <w:rFonts w:ascii="Arial" w:eastAsia="Calibri" w:hAnsi="Arial" w:cs="Arial"/>
                <w:sz w:val="22"/>
                <w:szCs w:val="22"/>
              </w:rPr>
            </w:pPr>
            <w:hyperlink r:id="rId27" w:history="1">
              <w:r w:rsidR="00A84B3E" w:rsidRPr="002762FE">
                <w:rPr>
                  <w:rStyle w:val="Hyperlink"/>
                  <w:rFonts w:ascii="Arial" w:eastAsia="Calibri" w:hAnsi="Arial" w:cs="Arial"/>
                  <w:sz w:val="22"/>
                  <w:szCs w:val="22"/>
                </w:rPr>
                <w:t>https://www.deprescribingnetwork.ca/</w:t>
              </w:r>
            </w:hyperlink>
            <w:r w:rsidR="00A84B3E" w:rsidRPr="002762FE">
              <w:rPr>
                <w:rFonts w:ascii="Arial" w:eastAsia="Calibri" w:hAnsi="Arial" w:cs="Arial"/>
                <w:sz w:val="22"/>
                <w:szCs w:val="22"/>
              </w:rPr>
              <w:t xml:space="preserve"> </w:t>
            </w:r>
          </w:p>
        </w:tc>
      </w:tr>
      <w:tr w:rsidR="002762FE" w:rsidRPr="0098170E" w14:paraId="71C43764" w14:textId="77777777" w:rsidTr="002762FE">
        <w:tc>
          <w:tcPr>
            <w:tcW w:w="3114" w:type="dxa"/>
            <w:shd w:val="clear" w:color="auto" w:fill="AEAAAA"/>
          </w:tcPr>
          <w:p w14:paraId="55980329" w14:textId="10976F81" w:rsidR="002762FE" w:rsidRPr="002762FE" w:rsidRDefault="002762FE" w:rsidP="002762FE">
            <w:pPr>
              <w:tabs>
                <w:tab w:val="left" w:pos="2797"/>
              </w:tabs>
              <w:jc w:val="both"/>
              <w:rPr>
                <w:rFonts w:ascii="Arial" w:eastAsia="Calibri" w:hAnsi="Arial" w:cs="Arial"/>
                <w:sz w:val="22"/>
                <w:szCs w:val="22"/>
              </w:rPr>
            </w:pPr>
            <w:r w:rsidRPr="002762FE">
              <w:rPr>
                <w:rFonts w:ascii="Arial" w:hAnsi="Arial" w:cs="Arial"/>
                <w:sz w:val="22"/>
                <w:szCs w:val="22"/>
              </w:rPr>
              <w:t>Australian Deprescribing Network</w:t>
            </w:r>
          </w:p>
        </w:tc>
        <w:tc>
          <w:tcPr>
            <w:tcW w:w="5896" w:type="dxa"/>
            <w:shd w:val="clear" w:color="auto" w:fill="AEAAAA"/>
          </w:tcPr>
          <w:p w14:paraId="43BE2CA9" w14:textId="1C9D71BF" w:rsidR="002762FE" w:rsidRPr="002762FE" w:rsidRDefault="000B3ACC" w:rsidP="002762FE">
            <w:pPr>
              <w:tabs>
                <w:tab w:val="left" w:pos="2797"/>
              </w:tabs>
              <w:jc w:val="both"/>
              <w:rPr>
                <w:rFonts w:ascii="Arial" w:hAnsi="Arial" w:cs="Arial"/>
                <w:sz w:val="22"/>
                <w:szCs w:val="22"/>
              </w:rPr>
            </w:pPr>
            <w:hyperlink r:id="rId28" w:history="1">
              <w:r w:rsidR="002762FE" w:rsidRPr="002762FE">
                <w:rPr>
                  <w:rStyle w:val="Hyperlink"/>
                  <w:rFonts w:ascii="Arial" w:hAnsi="Arial" w:cs="Arial"/>
                  <w:sz w:val="22"/>
                  <w:szCs w:val="22"/>
                </w:rPr>
                <w:t>https://www.australiandeprescribingnetwork.com.au/</w:t>
              </w:r>
            </w:hyperlink>
            <w:r w:rsidR="002762FE" w:rsidRPr="002762FE">
              <w:rPr>
                <w:rFonts w:ascii="Arial" w:hAnsi="Arial" w:cs="Arial"/>
                <w:sz w:val="22"/>
                <w:szCs w:val="22"/>
              </w:rPr>
              <w:t xml:space="preserve"> </w:t>
            </w:r>
          </w:p>
        </w:tc>
      </w:tr>
      <w:tr w:rsidR="009E526E" w:rsidRPr="0098170E" w14:paraId="162BE4FA" w14:textId="77777777" w:rsidTr="002762FE">
        <w:tc>
          <w:tcPr>
            <w:tcW w:w="3114" w:type="dxa"/>
            <w:shd w:val="clear" w:color="auto" w:fill="AEAAAA"/>
          </w:tcPr>
          <w:p w14:paraId="40DDDA54" w14:textId="289118C3" w:rsidR="009E526E" w:rsidRPr="002762FE" w:rsidRDefault="009E526E" w:rsidP="007159B0">
            <w:pPr>
              <w:rPr>
                <w:rFonts w:ascii="Arial" w:hAnsi="Arial" w:cs="Arial"/>
                <w:sz w:val="22"/>
                <w:szCs w:val="22"/>
              </w:rPr>
            </w:pPr>
            <w:r>
              <w:rPr>
                <w:rFonts w:ascii="Arial" w:hAnsi="Arial" w:cs="Arial"/>
                <w:sz w:val="22"/>
                <w:szCs w:val="22"/>
              </w:rPr>
              <w:t>UK Royal College Psychiatry</w:t>
            </w:r>
          </w:p>
        </w:tc>
        <w:tc>
          <w:tcPr>
            <w:tcW w:w="5896" w:type="dxa"/>
            <w:shd w:val="clear" w:color="auto" w:fill="AEAAAA"/>
          </w:tcPr>
          <w:p w14:paraId="4BAEA7DF" w14:textId="77777777" w:rsidR="009E526E" w:rsidRPr="007159B0" w:rsidRDefault="009E526E" w:rsidP="009E526E">
            <w:pPr>
              <w:rPr>
                <w:rFonts w:ascii="Arial" w:hAnsi="Arial" w:cs="Arial"/>
                <w:sz w:val="32"/>
              </w:rPr>
            </w:pPr>
            <w:r w:rsidRPr="007159B0">
              <w:rPr>
                <w:rFonts w:ascii="Arial" w:eastAsia="Arial Unicode MS" w:hAnsi="Arial" w:cs="Arial"/>
                <w:sz w:val="22"/>
                <w:szCs w:val="20"/>
                <w:bdr w:val="nil"/>
                <w:lang w:val="en-US"/>
              </w:rPr>
              <w:t>https://www.rcpsych.ac.uk/mental-health/treatments-and-wellbeing/stopping-antidepressants</w:t>
            </w:r>
          </w:p>
          <w:p w14:paraId="1A0D9578" w14:textId="77777777" w:rsidR="009E526E" w:rsidRDefault="009E526E" w:rsidP="002762FE">
            <w:pPr>
              <w:tabs>
                <w:tab w:val="left" w:pos="2797"/>
              </w:tabs>
              <w:jc w:val="both"/>
            </w:pPr>
          </w:p>
        </w:tc>
      </w:tr>
      <w:tr w:rsidR="002762FE" w:rsidRPr="0098170E" w14:paraId="77D1E712" w14:textId="77777777" w:rsidTr="002762FE">
        <w:tc>
          <w:tcPr>
            <w:tcW w:w="3114" w:type="dxa"/>
            <w:shd w:val="clear" w:color="auto" w:fill="AEAAAA"/>
          </w:tcPr>
          <w:p w14:paraId="0B06FFF8" w14:textId="256E149C" w:rsidR="002762FE" w:rsidRPr="002762FE" w:rsidRDefault="002762FE" w:rsidP="002762FE">
            <w:pPr>
              <w:tabs>
                <w:tab w:val="left" w:pos="2797"/>
              </w:tabs>
              <w:jc w:val="both"/>
              <w:rPr>
                <w:rFonts w:ascii="Arial" w:eastAsia="Calibri" w:hAnsi="Arial" w:cs="Arial"/>
                <w:sz w:val="22"/>
                <w:szCs w:val="22"/>
              </w:rPr>
            </w:pPr>
            <w:r w:rsidRPr="002762FE">
              <w:rPr>
                <w:rFonts w:ascii="Arial" w:hAnsi="Arial" w:cs="Arial"/>
                <w:sz w:val="22"/>
                <w:szCs w:val="22"/>
              </w:rPr>
              <w:t>NMIC Bulletin 2022 Volume 28 No 2</w:t>
            </w:r>
          </w:p>
        </w:tc>
        <w:tc>
          <w:tcPr>
            <w:tcW w:w="5896" w:type="dxa"/>
            <w:shd w:val="clear" w:color="auto" w:fill="AEAAAA"/>
          </w:tcPr>
          <w:p w14:paraId="26968751" w14:textId="0B1969D6" w:rsidR="002762FE" w:rsidRPr="002762FE" w:rsidRDefault="000B3ACC" w:rsidP="002762FE">
            <w:pPr>
              <w:tabs>
                <w:tab w:val="left" w:pos="2797"/>
              </w:tabs>
              <w:jc w:val="both"/>
              <w:rPr>
                <w:rFonts w:ascii="Arial" w:hAnsi="Arial" w:cs="Arial"/>
                <w:sz w:val="22"/>
                <w:szCs w:val="22"/>
              </w:rPr>
            </w:pPr>
            <w:hyperlink r:id="rId29" w:history="1">
              <w:r w:rsidR="002762FE" w:rsidRPr="002762FE">
                <w:rPr>
                  <w:rStyle w:val="Hyperlink"/>
                  <w:rFonts w:ascii="Arial" w:hAnsi="Arial" w:cs="Arial"/>
                  <w:sz w:val="22"/>
                  <w:szCs w:val="22"/>
                </w:rPr>
                <w:t>Optimising prescribing for patients with polypharmacy in primary care</w:t>
              </w:r>
            </w:hyperlink>
          </w:p>
        </w:tc>
      </w:tr>
    </w:tbl>
    <w:p w14:paraId="4CFBF245" w14:textId="77777777" w:rsidR="002F5778" w:rsidRDefault="002F5778" w:rsidP="002F5778">
      <w:pPr>
        <w:pStyle w:val="CommentText"/>
        <w:rPr>
          <w:rFonts w:ascii="Arial" w:hAnsi="Arial" w:cs="Arial"/>
          <w:b/>
          <w:sz w:val="24"/>
          <w:szCs w:val="24"/>
        </w:rPr>
      </w:pPr>
    </w:p>
    <w:p w14:paraId="1AF34054" w14:textId="77777777" w:rsidR="002F5778" w:rsidRDefault="002F5778">
      <w:pPr>
        <w:pBdr>
          <w:top w:val="nil"/>
          <w:left w:val="nil"/>
          <w:bottom w:val="nil"/>
          <w:right w:val="nil"/>
          <w:between w:val="nil"/>
          <w:bar w:val="nil"/>
        </w:pBdr>
        <w:rPr>
          <w:rFonts w:ascii="Arial" w:hAnsi="Arial" w:cs="Arial"/>
          <w:b/>
        </w:rPr>
      </w:pPr>
      <w:r>
        <w:rPr>
          <w:rFonts w:ascii="Arial" w:hAnsi="Arial" w:cs="Arial"/>
          <w:b/>
        </w:rPr>
        <w:br w:type="page"/>
      </w:r>
    </w:p>
    <w:p w14:paraId="1684A965" w14:textId="09DD4C73" w:rsidR="006D33E2" w:rsidRPr="00260E92" w:rsidRDefault="00096D23" w:rsidP="006D33E2">
      <w:pPr>
        <w:rPr>
          <w:rFonts w:ascii="Arial" w:hAnsi="Arial" w:cs="Arial"/>
          <w:bCs/>
          <w:vertAlign w:val="superscript"/>
        </w:rPr>
      </w:pPr>
      <w:r>
        <w:rPr>
          <w:rFonts w:ascii="Arial" w:hAnsi="Arial" w:cs="Arial"/>
          <w:b/>
        </w:rPr>
        <w:lastRenderedPageBreak/>
        <w:t>Appendix</w:t>
      </w:r>
      <w:r w:rsidR="006D33E2">
        <w:rPr>
          <w:rFonts w:ascii="Arial" w:hAnsi="Arial" w:cs="Arial"/>
          <w:b/>
        </w:rPr>
        <w:t xml:space="preserve"> 2</w:t>
      </w:r>
      <w:r w:rsidR="006D33E2" w:rsidRPr="005D0C56">
        <w:rPr>
          <w:rFonts w:ascii="Arial" w:hAnsi="Arial" w:cs="Arial"/>
          <w:b/>
        </w:rPr>
        <w:t xml:space="preserve">: The </w:t>
      </w:r>
      <w:r w:rsidR="006D33E2" w:rsidRPr="005D0C56">
        <w:rPr>
          <w:rFonts w:ascii="Arial" w:hAnsi="Arial" w:cs="Arial"/>
          <w:b/>
          <w:i/>
          <w:iCs/>
        </w:rPr>
        <w:t>7 Step</w:t>
      </w:r>
      <w:r w:rsidR="006D33E2" w:rsidRPr="005D0C56">
        <w:rPr>
          <w:rFonts w:ascii="Arial" w:hAnsi="Arial" w:cs="Arial"/>
          <w:b/>
        </w:rPr>
        <w:t xml:space="preserve"> structured medication review</w:t>
      </w:r>
    </w:p>
    <w:p w14:paraId="7A6345CE" w14:textId="77777777" w:rsidR="006D33E2" w:rsidRDefault="006D33E2" w:rsidP="006D33E2">
      <w:pPr>
        <w:rPr>
          <w:rFonts w:ascii="Arial" w:hAnsi="Arial" w:cs="Arial"/>
          <w:bCs/>
        </w:rPr>
      </w:pPr>
    </w:p>
    <w:tbl>
      <w:tblPr>
        <w:tblW w:w="0" w:type="auto"/>
        <w:tblInd w:w="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807"/>
        <w:gridCol w:w="6838"/>
      </w:tblGrid>
      <w:tr w:rsidR="006D33E2" w:rsidRPr="00A240F4" w14:paraId="55A06C87" w14:textId="77777777" w:rsidTr="002B1C15">
        <w:tc>
          <w:tcPr>
            <w:tcW w:w="1838" w:type="dxa"/>
            <w:shd w:val="clear" w:color="auto" w:fill="D9D9D9"/>
          </w:tcPr>
          <w:p w14:paraId="4D79DFEE"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1 Aim</w:t>
            </w:r>
          </w:p>
        </w:tc>
        <w:tc>
          <w:tcPr>
            <w:tcW w:w="7178" w:type="dxa"/>
            <w:shd w:val="clear" w:color="auto" w:fill="D9D9D9"/>
          </w:tcPr>
          <w:p w14:paraId="57907D1C" w14:textId="77777777" w:rsidR="006D33E2" w:rsidRPr="00A36D65" w:rsidRDefault="006D33E2" w:rsidP="002B1C15">
            <w:pPr>
              <w:jc w:val="both"/>
              <w:rPr>
                <w:rFonts w:ascii="Arial" w:eastAsia="Calibri" w:hAnsi="Arial" w:cs="Arial"/>
                <w:b/>
                <w:bCs/>
                <w:color w:val="000000"/>
                <w:sz w:val="20"/>
                <w:szCs w:val="20"/>
              </w:rPr>
            </w:pPr>
            <w:r w:rsidRPr="00A36D65">
              <w:rPr>
                <w:rFonts w:ascii="Arial" w:eastAsia="Calibri" w:hAnsi="Arial" w:cs="Arial"/>
                <w:b/>
                <w:color w:val="000000"/>
                <w:sz w:val="20"/>
                <w:szCs w:val="20"/>
              </w:rPr>
              <w:t>Review diagnoses and identify therapeutic objectives</w:t>
            </w:r>
          </w:p>
          <w:p w14:paraId="5D1C783B" w14:textId="77777777" w:rsidR="006D33E2" w:rsidRPr="00A36D65" w:rsidRDefault="006D33E2" w:rsidP="002B1C15">
            <w:pPr>
              <w:jc w:val="both"/>
              <w:rPr>
                <w:rFonts w:ascii="Arial" w:eastAsia="Calibri" w:hAnsi="Arial" w:cs="Arial"/>
                <w:i/>
                <w:iCs/>
                <w:sz w:val="20"/>
                <w:szCs w:val="20"/>
              </w:rPr>
            </w:pPr>
            <w:r w:rsidRPr="00A36D65">
              <w:rPr>
                <w:rFonts w:ascii="Arial" w:eastAsia="Calibri" w:hAnsi="Arial" w:cs="Arial"/>
                <w:i/>
                <w:iCs/>
                <w:sz w:val="20"/>
                <w:szCs w:val="20"/>
              </w:rPr>
              <w:t>What matters to the patient?</w:t>
            </w:r>
          </w:p>
          <w:p w14:paraId="283D6034"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Identify what matters to the patient and determine their understanding of treatment indications and objectives.</w:t>
            </w:r>
          </w:p>
        </w:tc>
      </w:tr>
      <w:tr w:rsidR="006D33E2" w:rsidRPr="00A240F4" w14:paraId="3DB82C2E" w14:textId="77777777" w:rsidTr="002B1C15">
        <w:tc>
          <w:tcPr>
            <w:tcW w:w="1838" w:type="dxa"/>
            <w:shd w:val="clear" w:color="auto" w:fill="D9D9D9"/>
          </w:tcPr>
          <w:p w14:paraId="06705562"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2 Need</w:t>
            </w:r>
          </w:p>
        </w:tc>
        <w:tc>
          <w:tcPr>
            <w:tcW w:w="7178" w:type="dxa"/>
            <w:shd w:val="clear" w:color="auto" w:fill="D9D9D9"/>
          </w:tcPr>
          <w:p w14:paraId="1E883804" w14:textId="77777777" w:rsidR="006D33E2" w:rsidRPr="00A36D65" w:rsidRDefault="006D33E2" w:rsidP="002B1C15">
            <w:pPr>
              <w:jc w:val="both"/>
              <w:rPr>
                <w:rFonts w:ascii="Arial" w:eastAsia="Calibri" w:hAnsi="Arial" w:cs="Arial"/>
                <w:b/>
                <w:color w:val="000000"/>
                <w:sz w:val="20"/>
                <w:szCs w:val="20"/>
              </w:rPr>
            </w:pPr>
            <w:r w:rsidRPr="00A36D65">
              <w:rPr>
                <w:rFonts w:ascii="Arial" w:eastAsia="Calibri" w:hAnsi="Arial" w:cs="Arial"/>
                <w:b/>
                <w:color w:val="000000"/>
                <w:sz w:val="20"/>
                <w:szCs w:val="20"/>
              </w:rPr>
              <w:t>Identify essential drugs (not to be stopped without specialist advice)</w:t>
            </w:r>
          </w:p>
          <w:p w14:paraId="6AD9B9C2"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Perform essential replacement function or prevent rapid symptomatic decline.</w:t>
            </w:r>
          </w:p>
        </w:tc>
      </w:tr>
      <w:tr w:rsidR="006D33E2" w:rsidRPr="00A240F4" w14:paraId="71442E6D" w14:textId="77777777" w:rsidTr="002B1C15">
        <w:tc>
          <w:tcPr>
            <w:tcW w:w="1838" w:type="dxa"/>
            <w:shd w:val="clear" w:color="auto" w:fill="D9D9D9"/>
          </w:tcPr>
          <w:p w14:paraId="5D83BF58"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3 Need</w:t>
            </w:r>
          </w:p>
        </w:tc>
        <w:tc>
          <w:tcPr>
            <w:tcW w:w="7178" w:type="dxa"/>
            <w:shd w:val="clear" w:color="auto" w:fill="D9D9D9"/>
          </w:tcPr>
          <w:p w14:paraId="22507C9F" w14:textId="77777777" w:rsidR="006D33E2" w:rsidRPr="00A36D65" w:rsidRDefault="006D33E2" w:rsidP="002B1C15">
            <w:pPr>
              <w:jc w:val="both"/>
              <w:rPr>
                <w:rFonts w:ascii="Arial" w:eastAsia="Calibri" w:hAnsi="Arial" w:cs="Arial"/>
                <w:b/>
                <w:bCs/>
                <w:color w:val="000000"/>
                <w:sz w:val="20"/>
                <w:szCs w:val="20"/>
              </w:rPr>
            </w:pPr>
            <w:r w:rsidRPr="00A36D65">
              <w:rPr>
                <w:rFonts w:ascii="Arial" w:eastAsia="Calibri" w:hAnsi="Arial" w:cs="Arial"/>
                <w:b/>
                <w:color w:val="000000"/>
                <w:sz w:val="20"/>
                <w:szCs w:val="20"/>
              </w:rPr>
              <w:t>Identify and review the (continued) need for drugs</w:t>
            </w:r>
          </w:p>
          <w:p w14:paraId="04C99796" w14:textId="77777777" w:rsidR="006D33E2" w:rsidRPr="00A36D65" w:rsidRDefault="006D33E2" w:rsidP="002B1C15">
            <w:pPr>
              <w:jc w:val="both"/>
              <w:rPr>
                <w:rFonts w:ascii="Arial" w:eastAsia="Calibri" w:hAnsi="Arial" w:cs="Arial"/>
                <w:i/>
                <w:iCs/>
                <w:sz w:val="20"/>
                <w:szCs w:val="20"/>
              </w:rPr>
            </w:pPr>
            <w:r w:rsidRPr="00A36D65">
              <w:rPr>
                <w:rFonts w:ascii="Arial" w:eastAsia="Calibri" w:hAnsi="Arial" w:cs="Arial"/>
                <w:i/>
                <w:iCs/>
                <w:sz w:val="20"/>
                <w:szCs w:val="20"/>
              </w:rPr>
              <w:t>Does the patient take unnecessary therapy?</w:t>
            </w:r>
          </w:p>
          <w:p w14:paraId="44C91555"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Identify drugs that had temporary indications, that are at higher than usual maintenance doses, that have limited benefit in general for the indication they are being used for and with limited benefit to the patient under review.</w:t>
            </w:r>
          </w:p>
        </w:tc>
      </w:tr>
      <w:tr w:rsidR="006D33E2" w:rsidRPr="00A240F4" w14:paraId="2A8E94CD" w14:textId="77777777" w:rsidTr="002B1C15">
        <w:tc>
          <w:tcPr>
            <w:tcW w:w="1838" w:type="dxa"/>
            <w:shd w:val="clear" w:color="auto" w:fill="D9D9D9"/>
          </w:tcPr>
          <w:p w14:paraId="5FB5EF8D"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4 Effectiveness</w:t>
            </w:r>
          </w:p>
        </w:tc>
        <w:tc>
          <w:tcPr>
            <w:tcW w:w="7178" w:type="dxa"/>
            <w:shd w:val="clear" w:color="auto" w:fill="D9D9D9"/>
          </w:tcPr>
          <w:p w14:paraId="61B3DA0C" w14:textId="77777777" w:rsidR="006D33E2" w:rsidRPr="00A36D65" w:rsidRDefault="006D33E2" w:rsidP="002B1C15">
            <w:pPr>
              <w:jc w:val="both"/>
              <w:rPr>
                <w:rFonts w:ascii="Arial" w:eastAsia="Calibri" w:hAnsi="Arial" w:cs="Arial"/>
                <w:b/>
                <w:color w:val="000000"/>
                <w:sz w:val="20"/>
                <w:szCs w:val="20"/>
              </w:rPr>
            </w:pPr>
            <w:r w:rsidRPr="00A36D65">
              <w:rPr>
                <w:rFonts w:ascii="Arial" w:eastAsia="Calibri" w:hAnsi="Arial" w:cs="Arial"/>
                <w:b/>
                <w:color w:val="000000"/>
                <w:sz w:val="20"/>
                <w:szCs w:val="20"/>
              </w:rPr>
              <w:t xml:space="preserve">Identify the need for adding/intensifying drug therapy in order to </w:t>
            </w:r>
          </w:p>
          <w:p w14:paraId="4BC0F8CB" w14:textId="77777777" w:rsidR="006D33E2" w:rsidRPr="00A36D65" w:rsidRDefault="006D33E2" w:rsidP="002B1C15">
            <w:pPr>
              <w:jc w:val="both"/>
              <w:rPr>
                <w:rFonts w:ascii="Arial" w:eastAsia="Calibri" w:hAnsi="Arial" w:cs="Arial"/>
                <w:b/>
                <w:color w:val="000000"/>
                <w:sz w:val="20"/>
                <w:szCs w:val="20"/>
              </w:rPr>
            </w:pPr>
            <w:r w:rsidRPr="00A36D65">
              <w:rPr>
                <w:rFonts w:ascii="Arial" w:eastAsia="Calibri" w:hAnsi="Arial" w:cs="Arial"/>
                <w:b/>
                <w:color w:val="000000"/>
                <w:sz w:val="20"/>
                <w:szCs w:val="20"/>
              </w:rPr>
              <w:t>achieve therapeutic objectives</w:t>
            </w:r>
          </w:p>
          <w:p w14:paraId="451555F1" w14:textId="77777777" w:rsidR="006D33E2" w:rsidRPr="00A36D65" w:rsidRDefault="006D33E2" w:rsidP="002B1C15">
            <w:pPr>
              <w:jc w:val="both"/>
              <w:rPr>
                <w:rFonts w:ascii="Arial" w:eastAsia="Calibri" w:hAnsi="Arial" w:cs="Arial"/>
                <w:i/>
                <w:iCs/>
                <w:sz w:val="20"/>
                <w:szCs w:val="20"/>
              </w:rPr>
            </w:pPr>
            <w:r w:rsidRPr="00A36D65">
              <w:rPr>
                <w:rFonts w:ascii="Arial" w:eastAsia="Calibri" w:hAnsi="Arial" w:cs="Arial"/>
                <w:i/>
                <w:iCs/>
                <w:sz w:val="20"/>
                <w:szCs w:val="20"/>
              </w:rPr>
              <w:t>Are therapeutic objectives being achieved?</w:t>
            </w:r>
          </w:p>
          <w:p w14:paraId="5E8EE25B"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Aim to achieve symptom control, biochemical and/or other clinical targets and prevention of disease progression/exacerbation</w:t>
            </w:r>
          </w:p>
        </w:tc>
      </w:tr>
      <w:tr w:rsidR="006D33E2" w:rsidRPr="00A240F4" w14:paraId="05533E8F" w14:textId="77777777" w:rsidTr="002B1C15">
        <w:tc>
          <w:tcPr>
            <w:tcW w:w="1838" w:type="dxa"/>
            <w:shd w:val="clear" w:color="auto" w:fill="D9D9D9"/>
          </w:tcPr>
          <w:p w14:paraId="3AEF4AD9"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5 Safety</w:t>
            </w:r>
          </w:p>
        </w:tc>
        <w:tc>
          <w:tcPr>
            <w:tcW w:w="7178" w:type="dxa"/>
            <w:shd w:val="clear" w:color="auto" w:fill="D9D9D9"/>
          </w:tcPr>
          <w:p w14:paraId="09174086" w14:textId="77777777" w:rsidR="006D33E2" w:rsidRPr="00A36D65" w:rsidRDefault="006D33E2" w:rsidP="002B1C15">
            <w:pPr>
              <w:jc w:val="both"/>
              <w:rPr>
                <w:rFonts w:ascii="Arial" w:eastAsia="Calibri" w:hAnsi="Arial" w:cs="Arial"/>
                <w:b/>
                <w:bCs/>
                <w:color w:val="000000"/>
                <w:sz w:val="20"/>
                <w:szCs w:val="20"/>
              </w:rPr>
            </w:pPr>
            <w:r w:rsidRPr="00A36D65">
              <w:rPr>
                <w:rFonts w:ascii="Arial" w:eastAsia="Calibri" w:hAnsi="Arial" w:cs="Arial"/>
                <w:b/>
                <w:color w:val="000000"/>
                <w:sz w:val="20"/>
                <w:szCs w:val="20"/>
              </w:rPr>
              <w:t>Identify patient safety risks and adverse drug effects</w:t>
            </w:r>
            <w:r w:rsidRPr="00A36D65">
              <w:rPr>
                <w:rFonts w:ascii="Arial" w:eastAsia="Calibri" w:hAnsi="Arial" w:cs="Arial"/>
                <w:b/>
                <w:bCs/>
                <w:color w:val="000000"/>
                <w:sz w:val="20"/>
                <w:szCs w:val="20"/>
              </w:rPr>
              <w:t xml:space="preserve"> </w:t>
            </w:r>
          </w:p>
          <w:p w14:paraId="5C13186A"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i/>
                <w:iCs/>
                <w:sz w:val="20"/>
                <w:szCs w:val="20"/>
              </w:rPr>
              <w:t>Does the patient have or is the patient at risk of ADRs/side effects</w:t>
            </w:r>
            <w:r w:rsidRPr="00A36D65">
              <w:rPr>
                <w:rFonts w:ascii="Arial" w:eastAsia="Calibri" w:hAnsi="Arial" w:cs="Arial"/>
                <w:sz w:val="20"/>
                <w:szCs w:val="20"/>
              </w:rPr>
              <w:t>?</w:t>
            </w:r>
          </w:p>
          <w:p w14:paraId="639C7C23"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Assess for potential drug-drug and drug-disease interactions, and the monitoring systems in place especially for high risk medications, assessing specific symptoms or laboratory markers, assessing for cumulative ADRs and the presence of prescribing cascades.</w:t>
            </w:r>
          </w:p>
        </w:tc>
      </w:tr>
      <w:tr w:rsidR="006D33E2" w:rsidRPr="00A240F4" w14:paraId="11AE35BF" w14:textId="77777777" w:rsidTr="002B1C15">
        <w:tc>
          <w:tcPr>
            <w:tcW w:w="1838" w:type="dxa"/>
            <w:shd w:val="clear" w:color="auto" w:fill="D9D9D9"/>
          </w:tcPr>
          <w:p w14:paraId="6593A061"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6 Efficiency</w:t>
            </w:r>
          </w:p>
        </w:tc>
        <w:tc>
          <w:tcPr>
            <w:tcW w:w="7178" w:type="dxa"/>
            <w:shd w:val="clear" w:color="auto" w:fill="D9D9D9"/>
          </w:tcPr>
          <w:p w14:paraId="6B7C9E6C" w14:textId="77777777" w:rsidR="006D33E2" w:rsidRPr="00A36D65" w:rsidRDefault="006D33E2" w:rsidP="002B1C15">
            <w:pPr>
              <w:jc w:val="both"/>
              <w:rPr>
                <w:rFonts w:ascii="Arial" w:eastAsia="Calibri" w:hAnsi="Arial" w:cs="Arial"/>
                <w:b/>
                <w:color w:val="000000"/>
                <w:sz w:val="20"/>
                <w:szCs w:val="20"/>
              </w:rPr>
            </w:pPr>
            <w:r w:rsidRPr="00A36D65">
              <w:rPr>
                <w:rFonts w:ascii="Arial" w:eastAsia="Calibri" w:hAnsi="Arial" w:cs="Arial"/>
                <w:b/>
                <w:color w:val="000000"/>
                <w:sz w:val="20"/>
                <w:szCs w:val="20"/>
              </w:rPr>
              <w:t xml:space="preserve">Identify unnecessarily costly drug therapy </w:t>
            </w:r>
          </w:p>
          <w:p w14:paraId="26D698BC" w14:textId="77777777" w:rsidR="006D33E2" w:rsidRPr="00A36D65" w:rsidRDefault="006D33E2" w:rsidP="002B1C15">
            <w:pPr>
              <w:jc w:val="both"/>
              <w:rPr>
                <w:rFonts w:ascii="Arial" w:eastAsia="Calibri" w:hAnsi="Arial" w:cs="Arial"/>
                <w:b/>
                <w:bCs/>
                <w:sz w:val="20"/>
                <w:szCs w:val="20"/>
              </w:rPr>
            </w:pPr>
            <w:r w:rsidRPr="00A36D65">
              <w:rPr>
                <w:rFonts w:ascii="Arial" w:eastAsia="Calibri" w:hAnsi="Arial" w:cs="Arial"/>
                <w:sz w:val="20"/>
                <w:szCs w:val="20"/>
              </w:rPr>
              <w:t>Consider if there is a more cost effective alternative balanced against effectiveness, safety and convenience</w:t>
            </w:r>
          </w:p>
        </w:tc>
      </w:tr>
      <w:tr w:rsidR="006D33E2" w:rsidRPr="00A240F4" w14:paraId="2359E9E3" w14:textId="77777777" w:rsidTr="002B1C15">
        <w:tc>
          <w:tcPr>
            <w:tcW w:w="1838" w:type="dxa"/>
            <w:shd w:val="clear" w:color="auto" w:fill="D9D9D9"/>
          </w:tcPr>
          <w:p w14:paraId="6350A4DF" w14:textId="77777777" w:rsidR="006D33E2" w:rsidRPr="00A36D65" w:rsidRDefault="006D33E2" w:rsidP="002B1C15">
            <w:pPr>
              <w:jc w:val="both"/>
              <w:rPr>
                <w:rFonts w:ascii="Arial" w:eastAsia="Calibri" w:hAnsi="Arial" w:cs="Arial"/>
                <w:sz w:val="20"/>
                <w:szCs w:val="20"/>
              </w:rPr>
            </w:pPr>
            <w:r w:rsidRPr="00A36D65">
              <w:rPr>
                <w:rFonts w:ascii="Arial" w:eastAsia="Calibri" w:hAnsi="Arial" w:cs="Arial"/>
                <w:sz w:val="20"/>
                <w:szCs w:val="20"/>
              </w:rPr>
              <w:t>7 Patient centred</w:t>
            </w:r>
          </w:p>
        </w:tc>
        <w:tc>
          <w:tcPr>
            <w:tcW w:w="7178" w:type="dxa"/>
            <w:shd w:val="clear" w:color="auto" w:fill="D9D9D9"/>
          </w:tcPr>
          <w:p w14:paraId="27D1D99A" w14:textId="77777777" w:rsidR="006D33E2" w:rsidRPr="00A36D65" w:rsidRDefault="006D33E2" w:rsidP="002B1C15">
            <w:pPr>
              <w:jc w:val="both"/>
              <w:rPr>
                <w:rFonts w:ascii="Arial" w:eastAsia="Calibri" w:hAnsi="Arial" w:cs="Arial"/>
                <w:b/>
                <w:color w:val="000000"/>
                <w:sz w:val="20"/>
                <w:szCs w:val="20"/>
              </w:rPr>
            </w:pPr>
            <w:r w:rsidRPr="00A36D65">
              <w:rPr>
                <w:rFonts w:ascii="Arial" w:eastAsia="Calibri" w:hAnsi="Arial" w:cs="Arial"/>
                <w:b/>
                <w:color w:val="000000"/>
                <w:sz w:val="20"/>
                <w:szCs w:val="20"/>
              </w:rPr>
              <w:t>Ensure patient understands the outcomes of the review, ensure drug therapy changes are tailored to patient preferences and agree plan.</w:t>
            </w:r>
          </w:p>
          <w:p w14:paraId="3895B393" w14:textId="77777777" w:rsidR="006D33E2" w:rsidRPr="00A36D65" w:rsidRDefault="006D33E2" w:rsidP="002B1C15">
            <w:pPr>
              <w:jc w:val="both"/>
              <w:rPr>
                <w:rFonts w:ascii="Arial" w:eastAsia="Calibri" w:hAnsi="Arial" w:cs="Arial"/>
                <w:i/>
                <w:iCs/>
                <w:sz w:val="20"/>
                <w:szCs w:val="20"/>
              </w:rPr>
            </w:pPr>
            <w:r w:rsidRPr="00A36D65">
              <w:rPr>
                <w:rFonts w:ascii="Arial" w:eastAsia="Calibri" w:hAnsi="Arial" w:cs="Arial"/>
                <w:i/>
                <w:iCs/>
                <w:sz w:val="20"/>
                <w:szCs w:val="20"/>
              </w:rPr>
              <w:t>Is the patient willing and able to take drug therapy as intended?</w:t>
            </w:r>
          </w:p>
          <w:p w14:paraId="6216E4F1" w14:textId="77777777" w:rsidR="006D33E2" w:rsidRPr="00A36D65" w:rsidRDefault="006D33E2" w:rsidP="002B1C15">
            <w:pPr>
              <w:jc w:val="both"/>
              <w:rPr>
                <w:rFonts w:ascii="Arial" w:eastAsia="Calibri" w:hAnsi="Arial" w:cs="Arial"/>
                <w:i/>
                <w:iCs/>
                <w:sz w:val="20"/>
                <w:szCs w:val="20"/>
              </w:rPr>
            </w:pPr>
            <w:r w:rsidRPr="00A36D65">
              <w:rPr>
                <w:rFonts w:ascii="Arial" w:eastAsia="Calibri" w:hAnsi="Arial" w:cs="Arial"/>
                <w:sz w:val="20"/>
                <w:szCs w:val="20"/>
              </w:rPr>
              <w:t>Determine that the patient understand the outcomes of the review, check if the medication is in a form the patient can take, if the patient will need any assistance and decide with the patient which medications have sufficient effect to consider continuation or discontinuation</w:t>
            </w:r>
          </w:p>
        </w:tc>
      </w:tr>
    </w:tbl>
    <w:p w14:paraId="2CD23284" w14:textId="673D71A5" w:rsidR="00A84B3E" w:rsidRPr="0093355D" w:rsidRDefault="00A84B3E" w:rsidP="0093355D">
      <w:pPr>
        <w:pBdr>
          <w:top w:val="nil"/>
          <w:left w:val="nil"/>
          <w:bottom w:val="nil"/>
          <w:right w:val="nil"/>
          <w:between w:val="nil"/>
          <w:bar w:val="nil"/>
        </w:pBdr>
        <w:rPr>
          <w:rFonts w:ascii="Arial" w:eastAsia="Arial Unicode MS" w:hAnsi="Arial" w:cs="Arial"/>
          <w:b/>
          <w:bdr w:val="nil"/>
          <w:lang w:val="en-US"/>
        </w:rPr>
      </w:pPr>
    </w:p>
    <w:p w14:paraId="03193310" w14:textId="78C8A588" w:rsidR="00A84B3E" w:rsidRDefault="00A84B3E" w:rsidP="006D292D">
      <w:pPr>
        <w:pStyle w:val="Body"/>
        <w:rPr>
          <w:rFonts w:ascii="Arial" w:hAnsi="Arial" w:cs="Arial"/>
          <w:sz w:val="24"/>
          <w:szCs w:val="24"/>
        </w:rPr>
      </w:pPr>
    </w:p>
    <w:p w14:paraId="44833F81" w14:textId="6971706F" w:rsidR="00A84B3E" w:rsidRDefault="00A84B3E" w:rsidP="006D292D">
      <w:pPr>
        <w:pStyle w:val="Body"/>
        <w:rPr>
          <w:rFonts w:ascii="Arial" w:hAnsi="Arial" w:cs="Arial"/>
          <w:sz w:val="24"/>
          <w:szCs w:val="24"/>
        </w:rPr>
      </w:pPr>
    </w:p>
    <w:p w14:paraId="3FF33096" w14:textId="6F9BB14C" w:rsidR="00787200" w:rsidRDefault="00787200" w:rsidP="006D292D">
      <w:pPr>
        <w:pStyle w:val="Body"/>
        <w:rPr>
          <w:rFonts w:ascii="Arial" w:hAnsi="Arial" w:cs="Arial"/>
          <w:sz w:val="24"/>
          <w:szCs w:val="24"/>
        </w:rPr>
      </w:pPr>
    </w:p>
    <w:p w14:paraId="42EDA366" w14:textId="31A26463" w:rsidR="00787200" w:rsidRDefault="00787200" w:rsidP="006D292D">
      <w:pPr>
        <w:pStyle w:val="Body"/>
        <w:rPr>
          <w:rFonts w:ascii="Arial" w:hAnsi="Arial" w:cs="Arial"/>
          <w:sz w:val="24"/>
          <w:szCs w:val="24"/>
        </w:rPr>
      </w:pPr>
    </w:p>
    <w:p w14:paraId="3DF1E5C2" w14:textId="04081B5F" w:rsidR="00787200" w:rsidRDefault="00787200" w:rsidP="006D292D">
      <w:pPr>
        <w:pStyle w:val="Body"/>
        <w:rPr>
          <w:rFonts w:ascii="Arial" w:hAnsi="Arial" w:cs="Arial"/>
          <w:sz w:val="24"/>
          <w:szCs w:val="24"/>
        </w:rPr>
      </w:pPr>
    </w:p>
    <w:p w14:paraId="460EC176" w14:textId="3F209D51" w:rsidR="00787200" w:rsidRDefault="00787200" w:rsidP="006D292D">
      <w:pPr>
        <w:pStyle w:val="Body"/>
        <w:rPr>
          <w:rFonts w:ascii="Arial" w:hAnsi="Arial" w:cs="Arial"/>
          <w:sz w:val="24"/>
          <w:szCs w:val="24"/>
        </w:rPr>
      </w:pPr>
    </w:p>
    <w:p w14:paraId="613FF0E9" w14:textId="6D09F53B" w:rsidR="00787200" w:rsidRDefault="00787200" w:rsidP="006D292D">
      <w:pPr>
        <w:pStyle w:val="Body"/>
        <w:rPr>
          <w:rFonts w:ascii="Arial" w:hAnsi="Arial" w:cs="Arial"/>
          <w:sz w:val="24"/>
          <w:szCs w:val="24"/>
        </w:rPr>
      </w:pPr>
    </w:p>
    <w:p w14:paraId="3211C96D" w14:textId="6F693123" w:rsidR="00787200" w:rsidRDefault="00787200" w:rsidP="006D292D">
      <w:pPr>
        <w:pStyle w:val="Body"/>
        <w:rPr>
          <w:rFonts w:ascii="Arial" w:hAnsi="Arial" w:cs="Arial"/>
          <w:sz w:val="24"/>
          <w:szCs w:val="24"/>
        </w:rPr>
      </w:pPr>
    </w:p>
    <w:p w14:paraId="318F040D" w14:textId="569B35C5" w:rsidR="00787200" w:rsidRDefault="00787200" w:rsidP="006D292D">
      <w:pPr>
        <w:pStyle w:val="Body"/>
        <w:rPr>
          <w:rFonts w:ascii="Arial" w:hAnsi="Arial" w:cs="Arial"/>
          <w:sz w:val="24"/>
          <w:szCs w:val="24"/>
        </w:rPr>
      </w:pPr>
    </w:p>
    <w:p w14:paraId="1B6AB89C" w14:textId="6838FDAE" w:rsidR="00787200" w:rsidRDefault="00787200" w:rsidP="006D292D">
      <w:pPr>
        <w:pStyle w:val="Body"/>
        <w:rPr>
          <w:rFonts w:ascii="Arial" w:hAnsi="Arial" w:cs="Arial"/>
          <w:sz w:val="24"/>
          <w:szCs w:val="24"/>
        </w:rPr>
      </w:pPr>
    </w:p>
    <w:p w14:paraId="6D68E136" w14:textId="6B94CF1F" w:rsidR="00787200" w:rsidRDefault="00787200" w:rsidP="006D292D">
      <w:pPr>
        <w:pStyle w:val="Body"/>
        <w:rPr>
          <w:rFonts w:ascii="Arial" w:hAnsi="Arial" w:cs="Arial"/>
          <w:sz w:val="24"/>
          <w:szCs w:val="24"/>
        </w:rPr>
      </w:pPr>
    </w:p>
    <w:p w14:paraId="46DAD7DD" w14:textId="77777777" w:rsidR="00787200" w:rsidRDefault="00787200" w:rsidP="006D292D">
      <w:pPr>
        <w:pStyle w:val="Body"/>
        <w:rPr>
          <w:rFonts w:ascii="Arial" w:hAnsi="Arial" w:cs="Arial"/>
          <w:sz w:val="24"/>
          <w:szCs w:val="24"/>
        </w:rPr>
      </w:pPr>
    </w:p>
    <w:p w14:paraId="2E7AAA89" w14:textId="16A84B0C" w:rsidR="00931C4C" w:rsidRPr="00A80567" w:rsidRDefault="00787200" w:rsidP="006D292D">
      <w:pPr>
        <w:pStyle w:val="Body"/>
        <w:rPr>
          <w:rFonts w:ascii="Arial" w:hAnsi="Arial" w:cs="Arial"/>
          <w:b/>
          <w:bCs/>
          <w:sz w:val="24"/>
          <w:szCs w:val="24"/>
        </w:rPr>
      </w:pPr>
      <w:r w:rsidRPr="00A80567">
        <w:rPr>
          <w:rFonts w:ascii="Arial" w:hAnsi="Arial" w:cs="Arial"/>
          <w:b/>
          <w:bCs/>
          <w:sz w:val="24"/>
          <w:szCs w:val="24"/>
        </w:rPr>
        <w:lastRenderedPageBreak/>
        <w:t>Appendix 3: Approach to deprescribing SSRIs/SNRIs</w:t>
      </w:r>
    </w:p>
    <w:p w14:paraId="1363744D" w14:textId="56931DDF" w:rsidR="00787200" w:rsidRDefault="00787200" w:rsidP="006D292D">
      <w:pPr>
        <w:pStyle w:val="Body"/>
        <w:rPr>
          <w:rFonts w:ascii="Arial" w:hAnsi="Arial" w:cs="Arial"/>
          <w:sz w:val="24"/>
          <w:szCs w:val="24"/>
        </w:rPr>
      </w:pPr>
      <w:r>
        <w:rPr>
          <w:noProof/>
        </w:rPr>
        <w:drawing>
          <wp:inline distT="0" distB="0" distL="0" distR="0" wp14:anchorId="64EDE90C" wp14:editId="3EBFACC6">
            <wp:extent cx="6159500" cy="3683000"/>
            <wp:effectExtent l="0" t="0" r="0"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30"/>
                    <a:stretch>
                      <a:fillRect/>
                    </a:stretch>
                  </pic:blipFill>
                  <pic:spPr>
                    <a:xfrm>
                      <a:off x="0" y="0"/>
                      <a:ext cx="6159500" cy="3683000"/>
                    </a:xfrm>
                    <a:prstGeom prst="rect">
                      <a:avLst/>
                    </a:prstGeom>
                  </pic:spPr>
                </pic:pic>
              </a:graphicData>
            </a:graphic>
          </wp:inline>
        </w:drawing>
      </w:r>
    </w:p>
    <w:p w14:paraId="2DB3E432" w14:textId="69461FF0" w:rsidR="00B409F2" w:rsidRDefault="00B409F2" w:rsidP="006D292D">
      <w:pPr>
        <w:pStyle w:val="Body"/>
        <w:rPr>
          <w:rFonts w:ascii="Arial" w:hAnsi="Arial" w:cs="Arial"/>
          <w:sz w:val="24"/>
          <w:szCs w:val="24"/>
        </w:rPr>
      </w:pPr>
    </w:p>
    <w:p w14:paraId="424428DB" w14:textId="4BE03E43" w:rsidR="00B409F2" w:rsidRDefault="00B409F2" w:rsidP="006D292D">
      <w:pPr>
        <w:pStyle w:val="Body"/>
        <w:rPr>
          <w:rFonts w:ascii="Arial" w:hAnsi="Arial" w:cs="Arial"/>
          <w:sz w:val="24"/>
          <w:szCs w:val="24"/>
        </w:rPr>
      </w:pPr>
    </w:p>
    <w:p w14:paraId="74C16EF9" w14:textId="3BCB301B" w:rsidR="00B409F2" w:rsidRDefault="00B409F2" w:rsidP="006D292D">
      <w:pPr>
        <w:pStyle w:val="Body"/>
        <w:rPr>
          <w:rFonts w:ascii="Arial" w:hAnsi="Arial" w:cs="Arial"/>
          <w:sz w:val="24"/>
          <w:szCs w:val="24"/>
        </w:rPr>
      </w:pPr>
    </w:p>
    <w:p w14:paraId="7D015A24" w14:textId="37EC0B38" w:rsidR="00B409F2" w:rsidRDefault="00B409F2" w:rsidP="006D292D">
      <w:pPr>
        <w:pStyle w:val="Body"/>
        <w:rPr>
          <w:rFonts w:ascii="Arial" w:hAnsi="Arial" w:cs="Arial"/>
          <w:sz w:val="24"/>
          <w:szCs w:val="24"/>
        </w:rPr>
      </w:pPr>
    </w:p>
    <w:p w14:paraId="75772BCC" w14:textId="77D823BF" w:rsidR="00B409F2" w:rsidRDefault="00B409F2" w:rsidP="006D292D">
      <w:pPr>
        <w:pStyle w:val="Body"/>
        <w:rPr>
          <w:rFonts w:ascii="Arial" w:hAnsi="Arial" w:cs="Arial"/>
          <w:sz w:val="24"/>
          <w:szCs w:val="24"/>
        </w:rPr>
      </w:pPr>
    </w:p>
    <w:p w14:paraId="39E0534B" w14:textId="6DE8364A" w:rsidR="00B409F2" w:rsidRDefault="00B409F2" w:rsidP="006D292D">
      <w:pPr>
        <w:pStyle w:val="Body"/>
        <w:rPr>
          <w:rFonts w:ascii="Arial" w:hAnsi="Arial" w:cs="Arial"/>
          <w:sz w:val="24"/>
          <w:szCs w:val="24"/>
        </w:rPr>
      </w:pPr>
    </w:p>
    <w:p w14:paraId="0077B11E" w14:textId="0AD285AC" w:rsidR="00B409F2" w:rsidRDefault="00B409F2" w:rsidP="006D292D">
      <w:pPr>
        <w:pStyle w:val="Body"/>
        <w:rPr>
          <w:rFonts w:ascii="Arial" w:hAnsi="Arial" w:cs="Arial"/>
          <w:sz w:val="24"/>
          <w:szCs w:val="24"/>
        </w:rPr>
      </w:pPr>
    </w:p>
    <w:p w14:paraId="495ECCAF" w14:textId="5CAD2CA9" w:rsidR="00B409F2" w:rsidRDefault="00B409F2" w:rsidP="006D292D">
      <w:pPr>
        <w:pStyle w:val="Body"/>
        <w:rPr>
          <w:rFonts w:ascii="Arial" w:hAnsi="Arial" w:cs="Arial"/>
          <w:sz w:val="24"/>
          <w:szCs w:val="24"/>
        </w:rPr>
      </w:pPr>
    </w:p>
    <w:p w14:paraId="7A9733F2" w14:textId="15B0C1FA" w:rsidR="00FC33C9" w:rsidRDefault="00FC33C9" w:rsidP="006D292D">
      <w:pPr>
        <w:pStyle w:val="Body"/>
        <w:rPr>
          <w:rFonts w:ascii="Arial" w:hAnsi="Arial" w:cs="Arial"/>
          <w:sz w:val="24"/>
          <w:szCs w:val="24"/>
        </w:rPr>
      </w:pPr>
    </w:p>
    <w:p w14:paraId="390E5F6C" w14:textId="776F96A3" w:rsidR="00FC33C9" w:rsidRDefault="00FC33C9" w:rsidP="006D292D">
      <w:pPr>
        <w:pStyle w:val="Body"/>
        <w:rPr>
          <w:rFonts w:ascii="Arial" w:hAnsi="Arial" w:cs="Arial"/>
          <w:sz w:val="24"/>
          <w:szCs w:val="24"/>
        </w:rPr>
      </w:pPr>
    </w:p>
    <w:p w14:paraId="0EF2D458" w14:textId="14C8E174" w:rsidR="00FC33C9" w:rsidRDefault="00FC33C9" w:rsidP="006D292D">
      <w:pPr>
        <w:pStyle w:val="Body"/>
        <w:rPr>
          <w:rFonts w:ascii="Arial" w:hAnsi="Arial" w:cs="Arial"/>
          <w:sz w:val="24"/>
          <w:szCs w:val="24"/>
        </w:rPr>
      </w:pPr>
    </w:p>
    <w:p w14:paraId="797DDC6E" w14:textId="6C7E5820" w:rsidR="00FC33C9" w:rsidRDefault="00FC33C9" w:rsidP="006D292D">
      <w:pPr>
        <w:pStyle w:val="Body"/>
        <w:rPr>
          <w:rFonts w:ascii="Arial" w:hAnsi="Arial" w:cs="Arial"/>
          <w:sz w:val="24"/>
          <w:szCs w:val="24"/>
        </w:rPr>
      </w:pPr>
    </w:p>
    <w:p w14:paraId="4607C0AE" w14:textId="3277B332" w:rsidR="00FC33C9" w:rsidRDefault="00FC33C9" w:rsidP="006D292D">
      <w:pPr>
        <w:pStyle w:val="Body"/>
        <w:rPr>
          <w:rFonts w:ascii="Arial" w:hAnsi="Arial" w:cs="Arial"/>
          <w:sz w:val="24"/>
          <w:szCs w:val="24"/>
        </w:rPr>
      </w:pPr>
    </w:p>
    <w:p w14:paraId="352252CA" w14:textId="00CEF01F" w:rsidR="00FC33C9" w:rsidRDefault="00FC33C9" w:rsidP="006D292D">
      <w:pPr>
        <w:pStyle w:val="Body"/>
        <w:rPr>
          <w:rFonts w:ascii="Arial" w:hAnsi="Arial" w:cs="Arial"/>
          <w:sz w:val="24"/>
          <w:szCs w:val="24"/>
        </w:rPr>
      </w:pPr>
    </w:p>
    <w:p w14:paraId="1DDE757C" w14:textId="77777777" w:rsidR="00FC33C9" w:rsidRDefault="00FC33C9" w:rsidP="006D292D">
      <w:pPr>
        <w:pStyle w:val="Body"/>
        <w:rPr>
          <w:rFonts w:ascii="Arial" w:hAnsi="Arial" w:cs="Arial"/>
          <w:sz w:val="24"/>
          <w:szCs w:val="24"/>
        </w:rPr>
      </w:pPr>
    </w:p>
    <w:p w14:paraId="12B045B2" w14:textId="0F6E8539" w:rsidR="00B409F2" w:rsidRDefault="00B409F2" w:rsidP="006D292D">
      <w:pPr>
        <w:pStyle w:val="Body"/>
        <w:rPr>
          <w:rFonts w:ascii="Arial" w:hAnsi="Arial" w:cs="Arial"/>
          <w:sz w:val="24"/>
          <w:szCs w:val="24"/>
        </w:rPr>
      </w:pPr>
    </w:p>
    <w:p w14:paraId="1DF9A118" w14:textId="297ED2F8" w:rsidR="00B409F2" w:rsidRPr="00B409F2" w:rsidRDefault="00B409F2" w:rsidP="006D292D">
      <w:pPr>
        <w:pStyle w:val="Body"/>
        <w:rPr>
          <w:rFonts w:ascii="Arial" w:hAnsi="Arial" w:cs="Arial"/>
          <w:b/>
          <w:sz w:val="24"/>
          <w:szCs w:val="24"/>
        </w:rPr>
      </w:pPr>
      <w:r w:rsidRPr="00B409F2">
        <w:rPr>
          <w:rFonts w:ascii="Arial" w:hAnsi="Arial" w:cs="Arial"/>
          <w:b/>
          <w:sz w:val="24"/>
          <w:szCs w:val="24"/>
        </w:rPr>
        <w:lastRenderedPageBreak/>
        <w:t>References</w:t>
      </w:r>
    </w:p>
    <w:p w14:paraId="26A581F7"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Reeve E, </w:t>
      </w:r>
      <w:proofErr w:type="spellStart"/>
      <w:r w:rsidRPr="00B409F2">
        <w:rPr>
          <w:rFonts w:ascii="Arial" w:hAnsi="Arial" w:cs="Arial"/>
        </w:rPr>
        <w:t>Gnjidic</w:t>
      </w:r>
      <w:proofErr w:type="spellEnd"/>
      <w:r w:rsidRPr="00B409F2">
        <w:rPr>
          <w:rFonts w:ascii="Arial" w:hAnsi="Arial" w:cs="Arial"/>
        </w:rPr>
        <w:t xml:space="preserve"> D, Long J, et al. A systematic review of the emerging definition of ‘deprescribing’ with network analysis: implications for future research and clinical practice. Br J </w:t>
      </w:r>
      <w:proofErr w:type="spellStart"/>
      <w:r w:rsidRPr="00B409F2">
        <w:rPr>
          <w:rFonts w:ascii="Arial" w:hAnsi="Arial" w:cs="Arial"/>
        </w:rPr>
        <w:t>Clin</w:t>
      </w:r>
      <w:proofErr w:type="spellEnd"/>
      <w:r w:rsidRPr="00B409F2">
        <w:rPr>
          <w:rFonts w:ascii="Arial" w:hAnsi="Arial" w:cs="Arial"/>
        </w:rPr>
        <w:t xml:space="preserve"> </w:t>
      </w:r>
      <w:proofErr w:type="spellStart"/>
      <w:r w:rsidRPr="00B409F2">
        <w:rPr>
          <w:rFonts w:ascii="Arial" w:hAnsi="Arial" w:cs="Arial"/>
        </w:rPr>
        <w:t>Pharmacol</w:t>
      </w:r>
      <w:proofErr w:type="spellEnd"/>
      <w:r w:rsidRPr="00B409F2">
        <w:rPr>
          <w:rFonts w:ascii="Arial" w:hAnsi="Arial" w:cs="Arial"/>
        </w:rPr>
        <w:t xml:space="preserve"> 2015;80:1254–68</w:t>
      </w:r>
    </w:p>
    <w:p w14:paraId="36779D80" w14:textId="77777777" w:rsidR="00B409F2" w:rsidRPr="00B409F2" w:rsidRDefault="00B409F2" w:rsidP="00F1149C">
      <w:pPr>
        <w:pStyle w:val="Body"/>
        <w:numPr>
          <w:ilvl w:val="0"/>
          <w:numId w:val="19"/>
        </w:numPr>
        <w:rPr>
          <w:rFonts w:ascii="Arial" w:hAnsi="Arial" w:cs="Arial"/>
        </w:rPr>
      </w:pPr>
      <w:r w:rsidRPr="00B409F2">
        <w:rPr>
          <w:rFonts w:ascii="Arial" w:hAnsi="Arial" w:cs="Arial"/>
        </w:rPr>
        <w:t>Department of Health and Social Care (UK.) Good for you, good for us, good for everybody: a plan to reduce overprescribing to make patient care safer, support the NHS and reduce carbon emissions, September 21. Available at: Good for you, good for us, good for everybody: a plan to reduce overprescribing to make patient care better and safer, support the NHS, and reduce carbon emissions (publishing.service.gov.uk)</w:t>
      </w:r>
    </w:p>
    <w:p w14:paraId="25E1F6E4"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Duncan P, </w:t>
      </w:r>
      <w:proofErr w:type="spellStart"/>
      <w:r w:rsidRPr="00B409F2">
        <w:rPr>
          <w:rFonts w:ascii="Arial" w:hAnsi="Arial" w:cs="Arial"/>
        </w:rPr>
        <w:t>Duerden</w:t>
      </w:r>
      <w:proofErr w:type="spellEnd"/>
      <w:r w:rsidRPr="00B409F2">
        <w:rPr>
          <w:rFonts w:ascii="Arial" w:hAnsi="Arial" w:cs="Arial"/>
        </w:rPr>
        <w:t xml:space="preserve"> M, Payne R, Deprescribing: a primary care perspective, Eur J Hosp Pharm 2017;24:37–42. doi:10.1136/ejhpharm-2016-000967</w:t>
      </w:r>
    </w:p>
    <w:p w14:paraId="68C955ED" w14:textId="77777777" w:rsidR="00B409F2" w:rsidRPr="00B409F2" w:rsidRDefault="00B409F2" w:rsidP="00F1149C">
      <w:pPr>
        <w:pStyle w:val="Body"/>
        <w:numPr>
          <w:ilvl w:val="0"/>
          <w:numId w:val="19"/>
        </w:numPr>
        <w:rPr>
          <w:rFonts w:ascii="Arial" w:hAnsi="Arial" w:cs="Arial"/>
        </w:rPr>
      </w:pPr>
      <w:r w:rsidRPr="00B409F2">
        <w:rPr>
          <w:rFonts w:ascii="Arial" w:hAnsi="Arial" w:cs="Arial"/>
        </w:rPr>
        <w:t>NICE Medicines associated with dependence or withdrawal symptoms: safe prescribing and withdrawal management for adults, NICE guideline, published 20</w:t>
      </w:r>
      <w:r w:rsidRPr="00B409F2">
        <w:rPr>
          <w:rFonts w:ascii="Arial" w:hAnsi="Arial" w:cs="Arial"/>
          <w:vertAlign w:val="superscript"/>
        </w:rPr>
        <w:t>th</w:t>
      </w:r>
      <w:r w:rsidRPr="00B409F2">
        <w:rPr>
          <w:rFonts w:ascii="Arial" w:hAnsi="Arial" w:cs="Arial"/>
        </w:rPr>
        <w:t xml:space="preserve"> April 2022, available at </w:t>
      </w:r>
      <w:hyperlink r:id="rId31" w:history="1">
        <w:r w:rsidRPr="00B409F2">
          <w:rPr>
            <w:rStyle w:val="Hyperlink"/>
            <w:rFonts w:ascii="Arial" w:hAnsi="Arial" w:cs="Arial"/>
          </w:rPr>
          <w:t>www.nice.org.uk/guidance/ng215</w:t>
        </w:r>
      </w:hyperlink>
      <w:r w:rsidRPr="00B409F2">
        <w:rPr>
          <w:rFonts w:ascii="Arial" w:hAnsi="Arial" w:cs="Arial"/>
        </w:rPr>
        <w:t xml:space="preserve"> (Accessed 30th April 2022)</w:t>
      </w:r>
    </w:p>
    <w:p w14:paraId="0EF261C8"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Page AT, Clifford RM, Potter K, Schwartz D, </w:t>
      </w:r>
      <w:proofErr w:type="spellStart"/>
      <w:r w:rsidRPr="00B409F2">
        <w:rPr>
          <w:rFonts w:ascii="Arial" w:hAnsi="Arial" w:cs="Arial"/>
        </w:rPr>
        <w:t>Etherton</w:t>
      </w:r>
      <w:proofErr w:type="spellEnd"/>
      <w:r w:rsidRPr="00B409F2">
        <w:rPr>
          <w:rFonts w:ascii="Arial" w:hAnsi="Arial" w:cs="Arial"/>
        </w:rPr>
        <w:t xml:space="preserve">-Beer CD. The feasibility and effect of deprescribing in older adults on mortality and health: a systematic review and meta-analysis. Br J </w:t>
      </w:r>
      <w:proofErr w:type="spellStart"/>
      <w:r w:rsidRPr="00B409F2">
        <w:rPr>
          <w:rFonts w:ascii="Arial" w:hAnsi="Arial" w:cs="Arial"/>
        </w:rPr>
        <w:t>Clin</w:t>
      </w:r>
      <w:proofErr w:type="spellEnd"/>
      <w:r w:rsidRPr="00B409F2">
        <w:rPr>
          <w:rFonts w:ascii="Arial" w:hAnsi="Arial" w:cs="Arial"/>
        </w:rPr>
        <w:t xml:space="preserve"> </w:t>
      </w:r>
      <w:proofErr w:type="spellStart"/>
      <w:r w:rsidRPr="00B409F2">
        <w:rPr>
          <w:rFonts w:ascii="Arial" w:hAnsi="Arial" w:cs="Arial"/>
        </w:rPr>
        <w:t>Pharmacol</w:t>
      </w:r>
      <w:proofErr w:type="spellEnd"/>
      <w:r w:rsidRPr="00B409F2">
        <w:rPr>
          <w:rFonts w:ascii="Arial" w:hAnsi="Arial" w:cs="Arial"/>
        </w:rPr>
        <w:t xml:space="preserve"> 2016;82:583-623</w:t>
      </w:r>
    </w:p>
    <w:p w14:paraId="039DF2BA"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Farrell B, </w:t>
      </w:r>
      <w:proofErr w:type="spellStart"/>
      <w:r w:rsidRPr="00B409F2">
        <w:rPr>
          <w:rFonts w:ascii="Arial" w:hAnsi="Arial" w:cs="Arial"/>
        </w:rPr>
        <w:t>Pottie</w:t>
      </w:r>
      <w:proofErr w:type="spellEnd"/>
      <w:r w:rsidRPr="00B409F2">
        <w:rPr>
          <w:rFonts w:ascii="Arial" w:hAnsi="Arial" w:cs="Arial"/>
        </w:rPr>
        <w:t xml:space="preserve"> K, Thompson W et al, Deprescribing proton pump inhibitors, Canadian Family Physician 2017;63:454-64</w:t>
      </w:r>
    </w:p>
    <w:p w14:paraId="5D757E78"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Irish College of General Practitioners. Medication Review: A Guide for GPs, 2020. Available at: </w:t>
      </w:r>
      <w:hyperlink r:id="rId32" w:history="1">
        <w:r w:rsidRPr="00B409F2">
          <w:rPr>
            <w:rStyle w:val="Hyperlink"/>
            <w:rFonts w:ascii="Arial" w:hAnsi="Arial" w:cs="Arial"/>
          </w:rPr>
          <w:t>https://www.icgp.ie/go/in_the_practice/quick_reference_guides/quick_reference_guides_qrg_/repeat_prescribing</w:t>
        </w:r>
      </w:hyperlink>
      <w:r w:rsidRPr="00B409F2">
        <w:rPr>
          <w:rFonts w:ascii="Arial" w:hAnsi="Arial" w:cs="Arial"/>
          <w:u w:val="single"/>
        </w:rPr>
        <w:t xml:space="preserve"> (Accessed 27th February 2022)</w:t>
      </w:r>
    </w:p>
    <w:p w14:paraId="7F81A492" w14:textId="77777777" w:rsidR="00B409F2" w:rsidRPr="00B409F2" w:rsidRDefault="00B409F2" w:rsidP="00F1149C">
      <w:pPr>
        <w:pStyle w:val="Body"/>
        <w:numPr>
          <w:ilvl w:val="0"/>
          <w:numId w:val="19"/>
        </w:numPr>
        <w:rPr>
          <w:rFonts w:ascii="Arial" w:hAnsi="Arial" w:cs="Arial"/>
        </w:rPr>
      </w:pPr>
      <w:r w:rsidRPr="00B409F2">
        <w:rPr>
          <w:rFonts w:ascii="Arial" w:hAnsi="Arial" w:cs="Arial"/>
        </w:rPr>
        <w:t>Goldberg R et al, Drug-Drug and Drug-Disease Interactions in the ED: Analysis of a High-Risk Population, American Journal Emergency Medicine 1996;14:447-450</w:t>
      </w:r>
    </w:p>
    <w:p w14:paraId="2B937338" w14:textId="77777777" w:rsidR="00B409F2" w:rsidRPr="00B409F2" w:rsidRDefault="00B409F2" w:rsidP="00F1149C">
      <w:pPr>
        <w:pStyle w:val="Body"/>
        <w:numPr>
          <w:ilvl w:val="0"/>
          <w:numId w:val="19"/>
        </w:numPr>
        <w:rPr>
          <w:rFonts w:ascii="Arial" w:hAnsi="Arial" w:cs="Arial"/>
        </w:rPr>
      </w:pPr>
      <w:r w:rsidRPr="00B409F2">
        <w:rPr>
          <w:rFonts w:ascii="Arial" w:hAnsi="Arial" w:cs="Arial"/>
        </w:rPr>
        <w:t>Kwan D, Farrell, Polypharmacy: optimising medication use in elderly patients, CGS Journal of Care 2014;4(1): 21-27</w:t>
      </w:r>
    </w:p>
    <w:p w14:paraId="52B800B0" w14:textId="77777777" w:rsidR="00B409F2" w:rsidRPr="00B409F2" w:rsidRDefault="00B409F2" w:rsidP="00F1149C">
      <w:pPr>
        <w:pStyle w:val="Body"/>
        <w:numPr>
          <w:ilvl w:val="0"/>
          <w:numId w:val="19"/>
        </w:numPr>
        <w:rPr>
          <w:rFonts w:ascii="Arial" w:hAnsi="Arial" w:cs="Arial"/>
        </w:rPr>
      </w:pPr>
      <w:r w:rsidRPr="00B409F2">
        <w:rPr>
          <w:rFonts w:ascii="Arial" w:hAnsi="Arial" w:cs="Arial"/>
        </w:rPr>
        <w:t>Ibrahim K, cox N, Stevenson J et al, A systematic review of the evidence for older interventions among older people loving with frailty, BMC Geriatrics 2021;21:258, doi.org/10.1186/s12877-021-02208-8</w:t>
      </w:r>
    </w:p>
    <w:p w14:paraId="77FF3581" w14:textId="77777777" w:rsidR="00B409F2" w:rsidRPr="00B409F2" w:rsidRDefault="00B409F2" w:rsidP="00F1149C">
      <w:pPr>
        <w:pStyle w:val="Body"/>
        <w:numPr>
          <w:ilvl w:val="0"/>
          <w:numId w:val="19"/>
        </w:numPr>
        <w:rPr>
          <w:rFonts w:ascii="Arial" w:hAnsi="Arial" w:cs="Arial"/>
        </w:rPr>
      </w:pPr>
      <w:r w:rsidRPr="00B409F2">
        <w:rPr>
          <w:rFonts w:ascii="Arial" w:hAnsi="Arial" w:cs="Arial"/>
        </w:rPr>
        <w:t>Steinman MA, Hanlon JT. Managing medications in clinically complex elders: “there’s got to be a happy medium”. JAMA 2010;304:1592-601</w:t>
      </w:r>
    </w:p>
    <w:p w14:paraId="14B48057"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Ferner</w:t>
      </w:r>
      <w:proofErr w:type="spellEnd"/>
      <w:r w:rsidRPr="00B409F2">
        <w:rPr>
          <w:rFonts w:ascii="Arial" w:hAnsi="Arial" w:cs="Arial"/>
        </w:rPr>
        <w:t xml:space="preserve"> R, </w:t>
      </w:r>
      <w:proofErr w:type="spellStart"/>
      <w:r w:rsidRPr="00B409F2">
        <w:rPr>
          <w:rFonts w:ascii="Arial" w:hAnsi="Arial" w:cs="Arial"/>
        </w:rPr>
        <w:t>McGettigan</w:t>
      </w:r>
      <w:proofErr w:type="spellEnd"/>
      <w:r w:rsidRPr="00B409F2">
        <w:rPr>
          <w:rFonts w:ascii="Arial" w:hAnsi="Arial" w:cs="Arial"/>
        </w:rPr>
        <w:t xml:space="preserve"> P, Adverse drug reactions, BMJ 2018;363:k4051</w:t>
      </w:r>
    </w:p>
    <w:p w14:paraId="6BAC416D" w14:textId="77777777" w:rsidR="00B409F2" w:rsidRPr="00B409F2" w:rsidRDefault="00B409F2" w:rsidP="00F1149C">
      <w:pPr>
        <w:pStyle w:val="Body"/>
        <w:numPr>
          <w:ilvl w:val="0"/>
          <w:numId w:val="19"/>
        </w:numPr>
        <w:rPr>
          <w:rFonts w:ascii="Arial" w:hAnsi="Arial" w:cs="Arial"/>
        </w:rPr>
      </w:pPr>
      <w:r w:rsidRPr="00B409F2">
        <w:rPr>
          <w:rFonts w:ascii="Arial" w:hAnsi="Arial" w:cs="Arial"/>
        </w:rPr>
        <w:t>Lavan A, O’Grady J, Gallagher P, Appropriate prescribing in the elderly: current perspectives, World Journal of Pharmacology 2015;4(2):193-209</w:t>
      </w:r>
    </w:p>
    <w:p w14:paraId="4A56D8CD" w14:textId="77777777" w:rsidR="00B409F2" w:rsidRPr="00B409F2" w:rsidRDefault="00B409F2" w:rsidP="00F1149C">
      <w:pPr>
        <w:pStyle w:val="Body"/>
        <w:numPr>
          <w:ilvl w:val="0"/>
          <w:numId w:val="19"/>
        </w:numPr>
        <w:rPr>
          <w:rFonts w:ascii="Arial" w:hAnsi="Arial" w:cs="Arial"/>
        </w:rPr>
      </w:pPr>
      <w:r w:rsidRPr="00B409F2">
        <w:rPr>
          <w:rFonts w:ascii="Arial" w:hAnsi="Arial" w:cs="Arial"/>
        </w:rPr>
        <w:t>Moriarty F, Hardy C, Bennett K, Smith SM, Fahey T. Trends and interaction of polypharmacy and potentially inappropriate prescribing in primary care over 15 years in Ireland: a repeated cross-sectional study. BMJ Open. 2015;5(9):e008656.</w:t>
      </w:r>
    </w:p>
    <w:p w14:paraId="00C80106"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OʼConnor</w:t>
      </w:r>
      <w:proofErr w:type="spellEnd"/>
      <w:r w:rsidRPr="00B409F2">
        <w:rPr>
          <w:rFonts w:ascii="Arial" w:hAnsi="Arial" w:cs="Arial"/>
        </w:rPr>
        <w:t xml:space="preserve"> M, Gallagher P, </w:t>
      </w:r>
      <w:proofErr w:type="spellStart"/>
      <w:r w:rsidRPr="00B409F2">
        <w:rPr>
          <w:rFonts w:ascii="Arial" w:hAnsi="Arial" w:cs="Arial"/>
        </w:rPr>
        <w:t>OʼMahony</w:t>
      </w:r>
      <w:proofErr w:type="spellEnd"/>
      <w:r w:rsidRPr="00B409F2">
        <w:rPr>
          <w:rFonts w:ascii="Arial" w:hAnsi="Arial" w:cs="Arial"/>
        </w:rPr>
        <w:t xml:space="preserve"> D. Inappropriate Prescribing. Drugs &amp; Aging. 2012;29(6):437-452.</w:t>
      </w:r>
    </w:p>
    <w:p w14:paraId="13DC00C6" w14:textId="77777777" w:rsidR="00B409F2" w:rsidRPr="00B409F2" w:rsidRDefault="00B409F2" w:rsidP="00F1149C">
      <w:pPr>
        <w:pStyle w:val="Body"/>
        <w:numPr>
          <w:ilvl w:val="0"/>
          <w:numId w:val="19"/>
        </w:numPr>
        <w:rPr>
          <w:rFonts w:ascii="Arial" w:hAnsi="Arial" w:cs="Arial"/>
        </w:rPr>
      </w:pPr>
      <w:r w:rsidRPr="00B409F2">
        <w:rPr>
          <w:rFonts w:ascii="Arial" w:hAnsi="Arial" w:cs="Arial"/>
        </w:rPr>
        <w:lastRenderedPageBreak/>
        <w:t>Pérez T, Moriarty F, Wallace E, McDowell R, Redmond P, Fahey T. Prevalence of potentially inappropriate prescribing in older people in primary care and its association with hospital admission: longitudinal study. BMJ. 2018;363:k4524</w:t>
      </w:r>
    </w:p>
    <w:p w14:paraId="7A166B3E" w14:textId="77777777" w:rsidR="00B409F2" w:rsidRPr="00B409F2" w:rsidRDefault="00B409F2" w:rsidP="00F1149C">
      <w:pPr>
        <w:pStyle w:val="Body"/>
        <w:numPr>
          <w:ilvl w:val="0"/>
          <w:numId w:val="19"/>
        </w:numPr>
        <w:rPr>
          <w:rFonts w:ascii="Arial" w:hAnsi="Arial" w:cs="Arial"/>
        </w:rPr>
      </w:pPr>
      <w:r w:rsidRPr="00B409F2">
        <w:rPr>
          <w:rFonts w:ascii="Arial" w:hAnsi="Arial" w:cs="Arial"/>
        </w:rPr>
        <w:t>Bloomfield H, Greer N, Linksy A et al, Deprescribing for community-dwelling older adults: a systematic review and meta-analysis, J Gen Intern Med 2020;35(11):3323-32</w:t>
      </w:r>
    </w:p>
    <w:p w14:paraId="491D2185" w14:textId="77777777" w:rsidR="00B409F2" w:rsidRPr="00B409F2" w:rsidRDefault="00B409F2" w:rsidP="00F1149C">
      <w:pPr>
        <w:pStyle w:val="Body"/>
        <w:numPr>
          <w:ilvl w:val="0"/>
          <w:numId w:val="19"/>
        </w:numPr>
        <w:rPr>
          <w:rFonts w:ascii="Arial" w:hAnsi="Arial" w:cs="Arial"/>
          <w:u w:val="single"/>
        </w:rPr>
      </w:pPr>
      <w:r w:rsidRPr="00B409F2">
        <w:rPr>
          <w:rFonts w:ascii="Arial" w:hAnsi="Arial" w:cs="Arial"/>
        </w:rPr>
        <w:t xml:space="preserve">Health Information and Quality Authority. Medication safety monitoring programme in public acute hospitals, January 2018.  </w:t>
      </w:r>
      <w:hyperlink r:id="rId33" w:history="1">
        <w:r w:rsidRPr="00B409F2">
          <w:rPr>
            <w:rStyle w:val="Hyperlink"/>
            <w:rFonts w:ascii="Arial" w:hAnsi="Arial" w:cs="Arial"/>
          </w:rPr>
          <w:t>Available at: https://www.hiqa.ie/sites/default/files/2018-01/Medication-Safety-Overview-Report.pdf</w:t>
        </w:r>
      </w:hyperlink>
      <w:r w:rsidRPr="00B409F2">
        <w:rPr>
          <w:rFonts w:ascii="Arial" w:hAnsi="Arial" w:cs="Arial"/>
          <w:u w:val="single"/>
        </w:rPr>
        <w:t xml:space="preserve"> (Accessed 28th February 2022)</w:t>
      </w:r>
    </w:p>
    <w:p w14:paraId="7D9BD470"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McDonnell PJ, Jacobs MR. Hospital admissions resulting from preventable adverse drug reactions. Ann </w:t>
      </w:r>
      <w:proofErr w:type="spellStart"/>
      <w:r w:rsidRPr="00B409F2">
        <w:rPr>
          <w:rFonts w:ascii="Arial" w:hAnsi="Arial" w:cs="Arial"/>
        </w:rPr>
        <w:t>Pharmacother</w:t>
      </w:r>
      <w:proofErr w:type="spellEnd"/>
      <w:r w:rsidRPr="00B409F2">
        <w:rPr>
          <w:rFonts w:ascii="Arial" w:hAnsi="Arial" w:cs="Arial"/>
        </w:rPr>
        <w:t xml:space="preserve">. 2002 Sep;36(9):1331-6. </w:t>
      </w:r>
      <w:proofErr w:type="spellStart"/>
      <w:r w:rsidRPr="00B409F2">
        <w:rPr>
          <w:rFonts w:ascii="Arial" w:hAnsi="Arial" w:cs="Arial"/>
        </w:rPr>
        <w:t>doi</w:t>
      </w:r>
      <w:proofErr w:type="spellEnd"/>
      <w:r w:rsidRPr="00B409F2">
        <w:rPr>
          <w:rFonts w:ascii="Arial" w:hAnsi="Arial" w:cs="Arial"/>
        </w:rPr>
        <w:t>: 10.1345/aph.1A333. PMID: 12196047</w:t>
      </w:r>
    </w:p>
    <w:p w14:paraId="5E31C6D2"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Kua</w:t>
      </w:r>
      <w:proofErr w:type="spellEnd"/>
      <w:r w:rsidRPr="00B409F2">
        <w:rPr>
          <w:rFonts w:ascii="Arial" w:hAnsi="Arial" w:cs="Arial"/>
        </w:rPr>
        <w:t xml:space="preserve"> C, </w:t>
      </w:r>
      <w:proofErr w:type="spellStart"/>
      <w:r w:rsidRPr="00B409F2">
        <w:rPr>
          <w:rFonts w:ascii="Arial" w:hAnsi="Arial" w:cs="Arial"/>
        </w:rPr>
        <w:t>Mak</w:t>
      </w:r>
      <w:proofErr w:type="spellEnd"/>
      <w:r w:rsidRPr="00B409F2">
        <w:rPr>
          <w:rFonts w:ascii="Arial" w:hAnsi="Arial" w:cs="Arial"/>
        </w:rPr>
        <w:t xml:space="preserve"> V, Huey Lee S. Health Outcomes of Deprescribing Interventions Among Older Residents in Nursing Homes: A Systematic Review and Meta-analysis. Journal of the American Medical Directors Association. 2019;20(3):362-372.e11.</w:t>
      </w:r>
    </w:p>
    <w:p w14:paraId="36A54320"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Scott I, </w:t>
      </w:r>
      <w:proofErr w:type="spellStart"/>
      <w:r w:rsidRPr="00B409F2">
        <w:rPr>
          <w:rFonts w:ascii="Arial" w:hAnsi="Arial" w:cs="Arial"/>
        </w:rPr>
        <w:t>Hilmer</w:t>
      </w:r>
      <w:proofErr w:type="spellEnd"/>
      <w:r w:rsidRPr="00B409F2">
        <w:rPr>
          <w:rFonts w:ascii="Arial" w:hAnsi="Arial" w:cs="Arial"/>
        </w:rPr>
        <w:t xml:space="preserve"> S, Reeve E et al, Reducing Inappropriate Polypharmacy - The Process of Deprescribing, JAMA Internal Medicine 2015;175(5):827-834</w:t>
      </w:r>
    </w:p>
    <w:p w14:paraId="7D0CFE7C"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Lie Theo S, Nam J, van </w:t>
      </w:r>
      <w:proofErr w:type="spellStart"/>
      <w:r w:rsidRPr="00B409F2">
        <w:rPr>
          <w:rFonts w:ascii="Arial" w:hAnsi="Arial" w:cs="Arial"/>
        </w:rPr>
        <w:t>Driel</w:t>
      </w:r>
      <w:proofErr w:type="spellEnd"/>
      <w:r w:rsidRPr="00B409F2">
        <w:rPr>
          <w:rFonts w:ascii="Arial" w:hAnsi="Arial" w:cs="Arial"/>
        </w:rPr>
        <w:t xml:space="preserve"> M et al, Effects of discontinuation of chronic medication in primary care, British Journal of General Practice 2018;doi.org/10.3399/bjgp18X699041</w:t>
      </w:r>
    </w:p>
    <w:p w14:paraId="768BCF68"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Iyer</w:t>
      </w:r>
      <w:proofErr w:type="spellEnd"/>
      <w:r w:rsidRPr="00B409F2">
        <w:rPr>
          <w:rFonts w:ascii="Arial" w:hAnsi="Arial" w:cs="Arial"/>
        </w:rPr>
        <w:t xml:space="preserve"> S, </w:t>
      </w:r>
      <w:proofErr w:type="spellStart"/>
      <w:r w:rsidRPr="00B409F2">
        <w:rPr>
          <w:rFonts w:ascii="Arial" w:hAnsi="Arial" w:cs="Arial"/>
        </w:rPr>
        <w:t>Naganathan</w:t>
      </w:r>
      <w:proofErr w:type="spellEnd"/>
      <w:r w:rsidRPr="00B409F2">
        <w:rPr>
          <w:rFonts w:ascii="Arial" w:hAnsi="Arial" w:cs="Arial"/>
        </w:rPr>
        <w:t xml:space="preserve"> V, McLachlan AJ, Le </w:t>
      </w:r>
      <w:proofErr w:type="spellStart"/>
      <w:r w:rsidRPr="00B409F2">
        <w:rPr>
          <w:rFonts w:ascii="Arial" w:hAnsi="Arial" w:cs="Arial"/>
        </w:rPr>
        <w:t>Couteur</w:t>
      </w:r>
      <w:proofErr w:type="spellEnd"/>
      <w:r w:rsidRPr="00B409F2">
        <w:rPr>
          <w:rFonts w:ascii="Arial" w:hAnsi="Arial" w:cs="Arial"/>
        </w:rPr>
        <w:t xml:space="preserve"> DG. Medication withdrawal trials in people aged 65 years and older: a systematic review. Drugs Aging 2008;25(12):1021-1031</w:t>
      </w:r>
    </w:p>
    <w:p w14:paraId="6CA0CC6E"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Reeve E, Ong M, Wu A et al, A systematic review of interventions to deprescribe benzodiazepine and other hypnotics among older people, </w:t>
      </w:r>
      <w:proofErr w:type="spellStart"/>
      <w:r w:rsidRPr="00B409F2">
        <w:rPr>
          <w:rFonts w:ascii="Arial" w:hAnsi="Arial" w:cs="Arial"/>
        </w:rPr>
        <w:t>Eur</w:t>
      </w:r>
      <w:proofErr w:type="spellEnd"/>
      <w:r w:rsidRPr="00B409F2">
        <w:rPr>
          <w:rFonts w:ascii="Arial" w:hAnsi="Arial" w:cs="Arial"/>
        </w:rPr>
        <w:t xml:space="preserve"> J </w:t>
      </w:r>
      <w:proofErr w:type="spellStart"/>
      <w:r w:rsidRPr="00B409F2">
        <w:rPr>
          <w:rFonts w:ascii="Arial" w:hAnsi="Arial" w:cs="Arial"/>
        </w:rPr>
        <w:t>Clin</w:t>
      </w:r>
      <w:proofErr w:type="spellEnd"/>
      <w:r w:rsidRPr="00B409F2">
        <w:rPr>
          <w:rFonts w:ascii="Arial" w:hAnsi="Arial" w:cs="Arial"/>
        </w:rPr>
        <w:t xml:space="preserve"> </w:t>
      </w:r>
      <w:proofErr w:type="spellStart"/>
      <w:r w:rsidRPr="00B409F2">
        <w:rPr>
          <w:rFonts w:ascii="Arial" w:hAnsi="Arial" w:cs="Arial"/>
        </w:rPr>
        <w:t>Pharmacol</w:t>
      </w:r>
      <w:proofErr w:type="spellEnd"/>
      <w:r w:rsidRPr="00B409F2">
        <w:rPr>
          <w:rFonts w:ascii="Arial" w:hAnsi="Arial" w:cs="Arial"/>
        </w:rPr>
        <w:t xml:space="preserve"> 2017;73(8):927-935</w:t>
      </w:r>
    </w:p>
    <w:p w14:paraId="6FCF7758" w14:textId="77777777" w:rsidR="00B409F2" w:rsidRPr="00B409F2" w:rsidRDefault="00B409F2" w:rsidP="00F1149C">
      <w:pPr>
        <w:pStyle w:val="Body"/>
        <w:numPr>
          <w:ilvl w:val="0"/>
          <w:numId w:val="19"/>
        </w:numPr>
        <w:rPr>
          <w:rFonts w:ascii="Arial" w:hAnsi="Arial" w:cs="Arial"/>
        </w:rPr>
      </w:pPr>
      <w:r w:rsidRPr="00B409F2">
        <w:rPr>
          <w:rFonts w:ascii="Arial" w:hAnsi="Arial" w:cs="Arial"/>
        </w:rPr>
        <w:t>Rasmussen AF, Poulsen SS, Oldenburg LI, the barriers and facilitators of different stakeholders when deprescribing benzodiazepine receptor agonists in older patients – a systematic review, Metabolites 2021;11,254. Doi.org/10.3390/metabo11040254</w:t>
      </w:r>
    </w:p>
    <w:p w14:paraId="05224DA7"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Harriman K, Howard, L., McCracken, R. Deprescribing medication for frail elderly patients in nursing homes: a survey of </w:t>
      </w:r>
      <w:proofErr w:type="spellStart"/>
      <w:r w:rsidRPr="00B409F2">
        <w:rPr>
          <w:rFonts w:ascii="Arial" w:hAnsi="Arial" w:cs="Arial"/>
        </w:rPr>
        <w:t>vancouver</w:t>
      </w:r>
      <w:proofErr w:type="spellEnd"/>
      <w:r w:rsidRPr="00B409F2">
        <w:rPr>
          <w:rFonts w:ascii="Arial" w:hAnsi="Arial" w:cs="Arial"/>
        </w:rPr>
        <w:t xml:space="preserve"> family physicians. British Columbia Medical Journal 2014 Nov;56(9):436-441</w:t>
      </w:r>
    </w:p>
    <w:p w14:paraId="1009BBB0"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Liacos M, Page A, </w:t>
      </w:r>
      <w:proofErr w:type="spellStart"/>
      <w:r w:rsidRPr="00B409F2">
        <w:rPr>
          <w:rFonts w:ascii="Arial" w:hAnsi="Arial" w:cs="Arial"/>
        </w:rPr>
        <w:t>Etherton</w:t>
      </w:r>
      <w:proofErr w:type="spellEnd"/>
      <w:r w:rsidRPr="00B409F2">
        <w:rPr>
          <w:rFonts w:ascii="Arial" w:hAnsi="Arial" w:cs="Arial"/>
        </w:rPr>
        <w:t>-Beer C. Deprescribing in older people. Australian Prescriber. 2020;43(4):114-120</w:t>
      </w:r>
    </w:p>
    <w:p w14:paraId="6072155E"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Graves T, Hanlon JT, </w:t>
      </w:r>
      <w:proofErr w:type="spellStart"/>
      <w:r w:rsidRPr="00B409F2">
        <w:rPr>
          <w:rFonts w:ascii="Arial" w:hAnsi="Arial" w:cs="Arial"/>
        </w:rPr>
        <w:t>Schmader</w:t>
      </w:r>
      <w:proofErr w:type="spellEnd"/>
      <w:r w:rsidRPr="00B409F2">
        <w:rPr>
          <w:rFonts w:ascii="Arial" w:hAnsi="Arial" w:cs="Arial"/>
        </w:rPr>
        <w:t xml:space="preserve"> KE, Landsman PB, Samsa GP, Pieper CF, et al. Adverse events after discontinuing medications in elderly outpatients. </w:t>
      </w:r>
      <w:proofErr w:type="spellStart"/>
      <w:r w:rsidRPr="00B409F2">
        <w:rPr>
          <w:rFonts w:ascii="Arial" w:hAnsi="Arial" w:cs="Arial"/>
        </w:rPr>
        <w:t>Arch.Intern.Med</w:t>
      </w:r>
      <w:proofErr w:type="spellEnd"/>
      <w:r w:rsidRPr="00B409F2">
        <w:rPr>
          <w:rFonts w:ascii="Arial" w:hAnsi="Arial" w:cs="Arial"/>
        </w:rPr>
        <w:t>. 1997 Oct 27;157(19):2205-2210</w:t>
      </w:r>
    </w:p>
    <w:p w14:paraId="13AAAD77"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Gerety</w:t>
      </w:r>
      <w:proofErr w:type="spellEnd"/>
      <w:r w:rsidRPr="00B409F2">
        <w:rPr>
          <w:rFonts w:ascii="Arial" w:hAnsi="Arial" w:cs="Arial"/>
        </w:rPr>
        <w:t xml:space="preserve"> MB, Cornell JE, </w:t>
      </w:r>
      <w:proofErr w:type="spellStart"/>
      <w:r w:rsidRPr="00B409F2">
        <w:rPr>
          <w:rFonts w:ascii="Arial" w:hAnsi="Arial" w:cs="Arial"/>
        </w:rPr>
        <w:t>Plichta</w:t>
      </w:r>
      <w:proofErr w:type="spellEnd"/>
      <w:r w:rsidRPr="00B409F2">
        <w:rPr>
          <w:rFonts w:ascii="Arial" w:hAnsi="Arial" w:cs="Arial"/>
        </w:rPr>
        <w:t xml:space="preserve"> DT, </w:t>
      </w:r>
      <w:proofErr w:type="spellStart"/>
      <w:r w:rsidRPr="00B409F2">
        <w:rPr>
          <w:rFonts w:ascii="Arial" w:hAnsi="Arial" w:cs="Arial"/>
        </w:rPr>
        <w:t>Eimer</w:t>
      </w:r>
      <w:proofErr w:type="spellEnd"/>
      <w:r w:rsidRPr="00B409F2">
        <w:rPr>
          <w:rFonts w:ascii="Arial" w:hAnsi="Arial" w:cs="Arial"/>
        </w:rPr>
        <w:t xml:space="preserve"> M. Adverse events related to drugs and drug withdrawal in nursing home residents. </w:t>
      </w:r>
      <w:proofErr w:type="spellStart"/>
      <w:r w:rsidRPr="00B409F2">
        <w:rPr>
          <w:rFonts w:ascii="Arial" w:hAnsi="Arial" w:cs="Arial"/>
        </w:rPr>
        <w:t>J.Am.Geriatr.Soc</w:t>
      </w:r>
      <w:proofErr w:type="spellEnd"/>
      <w:r w:rsidRPr="00B409F2">
        <w:rPr>
          <w:rFonts w:ascii="Arial" w:hAnsi="Arial" w:cs="Arial"/>
        </w:rPr>
        <w:t>. 1993 Dec;41(12):1326-1332</w:t>
      </w:r>
    </w:p>
    <w:p w14:paraId="15CD5A71"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McCarthy C, Clyne B, Boland F, Moriarty F, Flood M, Wallace E et al. GP-delivered medication review of polypharmacy, deprescribing, and patient priorities in older </w:t>
      </w:r>
      <w:r w:rsidRPr="00B409F2">
        <w:rPr>
          <w:rFonts w:ascii="Arial" w:hAnsi="Arial" w:cs="Arial"/>
        </w:rPr>
        <w:lastRenderedPageBreak/>
        <w:t>people with multimorbidity in Irish primary care (</w:t>
      </w:r>
      <w:proofErr w:type="spellStart"/>
      <w:r w:rsidRPr="00B409F2">
        <w:rPr>
          <w:rFonts w:ascii="Arial" w:hAnsi="Arial" w:cs="Arial"/>
        </w:rPr>
        <w:t>SPPiRE</w:t>
      </w:r>
      <w:proofErr w:type="spellEnd"/>
      <w:r w:rsidRPr="00B409F2">
        <w:rPr>
          <w:rFonts w:ascii="Arial" w:hAnsi="Arial" w:cs="Arial"/>
        </w:rPr>
        <w:t xml:space="preserve"> Study): A cluster randomised controlled trial. PLOS Medicine. 2022;19(1):e1003862</w:t>
      </w:r>
    </w:p>
    <w:p w14:paraId="02135AF9"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Krishnaswasmi</w:t>
      </w:r>
      <w:proofErr w:type="spellEnd"/>
      <w:r w:rsidRPr="00B409F2">
        <w:rPr>
          <w:rFonts w:ascii="Arial" w:hAnsi="Arial" w:cs="Arial"/>
        </w:rPr>
        <w:t xml:space="preserve"> A, Steinman M, Goyal P et al, Deprescribing in older adults with cardiovascular disease, Journal of the American College of Cardiology 2019;73(30):2584-2595</w:t>
      </w:r>
    </w:p>
    <w:p w14:paraId="3B95C598"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Holmes H, Min L, Yee M, </w:t>
      </w:r>
      <w:proofErr w:type="spellStart"/>
      <w:r w:rsidRPr="00B409F2">
        <w:rPr>
          <w:rFonts w:ascii="Arial" w:hAnsi="Arial" w:cs="Arial"/>
        </w:rPr>
        <w:t>Varadhan</w:t>
      </w:r>
      <w:proofErr w:type="spellEnd"/>
      <w:r w:rsidRPr="00B409F2">
        <w:rPr>
          <w:rFonts w:ascii="Arial" w:hAnsi="Arial" w:cs="Arial"/>
        </w:rPr>
        <w:t xml:space="preserve"> R, </w:t>
      </w:r>
      <w:proofErr w:type="spellStart"/>
      <w:r w:rsidRPr="00B409F2">
        <w:rPr>
          <w:rFonts w:ascii="Arial" w:hAnsi="Arial" w:cs="Arial"/>
        </w:rPr>
        <w:t>Basran</w:t>
      </w:r>
      <w:proofErr w:type="spellEnd"/>
      <w:r w:rsidRPr="00B409F2">
        <w:rPr>
          <w:rFonts w:ascii="Arial" w:hAnsi="Arial" w:cs="Arial"/>
        </w:rPr>
        <w:t xml:space="preserve"> J, Dale W et al. Rationalizing Prescribing for Older Patients with Multimorbidity: Considering Time to Benefit. Drugs &amp; Aging. 2013;30(9):655-666</w:t>
      </w:r>
    </w:p>
    <w:p w14:paraId="7BCA2877" w14:textId="77777777" w:rsidR="00B409F2" w:rsidRPr="00B409F2" w:rsidRDefault="00B409F2" w:rsidP="00F1149C">
      <w:pPr>
        <w:pStyle w:val="Body"/>
        <w:numPr>
          <w:ilvl w:val="0"/>
          <w:numId w:val="19"/>
        </w:numPr>
        <w:rPr>
          <w:rFonts w:ascii="Arial" w:hAnsi="Arial" w:cs="Arial"/>
        </w:rPr>
      </w:pPr>
      <w:r w:rsidRPr="00B409F2">
        <w:rPr>
          <w:rFonts w:ascii="Arial" w:hAnsi="Arial" w:cs="Arial"/>
        </w:rPr>
        <w:t>National Health Service Scotland. Polypharmacy Guidance Realistic Prescribing, 3rd Edition, 2018. Available at:</w:t>
      </w:r>
      <w:hyperlink r:id="rId34" w:history="1">
        <w:r w:rsidRPr="00B409F2">
          <w:rPr>
            <w:rStyle w:val="Hyperlink"/>
            <w:rFonts w:ascii="Arial" w:hAnsi="Arial" w:cs="Arial"/>
          </w:rPr>
          <w:t xml:space="preserve"> https://www.therapeutics.scot.nhs.uk/wp-content/uploads/2018/04/Polypharmacy-Guidance-2018.pdf</w:t>
        </w:r>
      </w:hyperlink>
      <w:r w:rsidRPr="00B409F2">
        <w:rPr>
          <w:rFonts w:ascii="Arial" w:hAnsi="Arial" w:cs="Arial"/>
          <w:u w:val="single"/>
        </w:rPr>
        <w:t xml:space="preserve"> (Accessed 28th February 2022)</w:t>
      </w:r>
    </w:p>
    <w:p w14:paraId="157F62AE" w14:textId="77777777" w:rsidR="00B409F2" w:rsidRPr="00B409F2" w:rsidRDefault="00B409F2" w:rsidP="00F1149C">
      <w:pPr>
        <w:pStyle w:val="Body"/>
        <w:numPr>
          <w:ilvl w:val="0"/>
          <w:numId w:val="19"/>
        </w:numPr>
        <w:rPr>
          <w:rFonts w:ascii="Arial" w:hAnsi="Arial" w:cs="Arial"/>
        </w:rPr>
      </w:pPr>
      <w:r w:rsidRPr="00B409F2">
        <w:rPr>
          <w:rFonts w:ascii="Arial" w:hAnsi="Arial" w:cs="Arial"/>
        </w:rPr>
        <w:t>Doherty A, Boland P, Reed J et al, Barriers and facilitators to deprescribing in primary care: a systematic review, BJGP Open 2020;4(3):bjgpopen20X101096.DOI:https://doi.org/10.3399/bjgpopen20X101096</w:t>
      </w:r>
    </w:p>
    <w:p w14:paraId="52F97404"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Specialist Pharmacy Service: Medicine Reconciliation in Primary Care: quality of information provided on discharge summaries, Medicines Use and Safety Team, 2018 Available at: </w:t>
      </w:r>
      <w:hyperlink r:id="rId35" w:history="1">
        <w:r w:rsidRPr="00B409F2">
          <w:rPr>
            <w:rStyle w:val="Hyperlink"/>
            <w:rFonts w:ascii="Arial" w:hAnsi="Arial" w:cs="Arial"/>
          </w:rPr>
          <w:t>https://discovery.ucl.ac.uk/id/eprint/10058418/1/Jani_Medicines%20reconciliation%20in%20primary%20care.%20A%20study%20evaluating%20the%20quality%20of%20medication-related%20information%20provided%20on%20discharge%20from%20secondary%20care_AAM.pdf</w:t>
        </w:r>
      </w:hyperlink>
      <w:r w:rsidRPr="00B409F2">
        <w:rPr>
          <w:rFonts w:ascii="Arial" w:hAnsi="Arial" w:cs="Arial"/>
          <w:u w:val="single"/>
        </w:rPr>
        <w:t xml:space="preserve"> (Accessed 28</w:t>
      </w:r>
      <w:r w:rsidRPr="00B409F2">
        <w:rPr>
          <w:rFonts w:ascii="Arial" w:hAnsi="Arial" w:cs="Arial"/>
          <w:u w:val="single"/>
          <w:vertAlign w:val="superscript"/>
        </w:rPr>
        <w:t>th</w:t>
      </w:r>
      <w:r w:rsidRPr="00B409F2">
        <w:rPr>
          <w:rFonts w:ascii="Arial" w:hAnsi="Arial" w:cs="Arial"/>
          <w:u w:val="single"/>
        </w:rPr>
        <w:t xml:space="preserve"> February 2022)</w:t>
      </w:r>
    </w:p>
    <w:p w14:paraId="46E4B03E"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Weir K, </w:t>
      </w:r>
      <w:proofErr w:type="spellStart"/>
      <w:r w:rsidRPr="00B409F2">
        <w:rPr>
          <w:rFonts w:ascii="Arial" w:hAnsi="Arial" w:cs="Arial"/>
        </w:rPr>
        <w:t>Ailabouni</w:t>
      </w:r>
      <w:proofErr w:type="spellEnd"/>
      <w:r w:rsidRPr="00B409F2">
        <w:rPr>
          <w:rFonts w:ascii="Arial" w:hAnsi="Arial" w:cs="Arial"/>
        </w:rPr>
        <w:t xml:space="preserve"> NJ, </w:t>
      </w:r>
      <w:proofErr w:type="spellStart"/>
      <w:r w:rsidRPr="00B409F2">
        <w:rPr>
          <w:rFonts w:ascii="Arial" w:hAnsi="Arial" w:cs="Arial"/>
        </w:rPr>
        <w:t>Scneider</w:t>
      </w:r>
      <w:proofErr w:type="spellEnd"/>
      <w:r w:rsidRPr="00B409F2">
        <w:rPr>
          <w:rFonts w:ascii="Arial" w:hAnsi="Arial" w:cs="Arial"/>
        </w:rPr>
        <w:t xml:space="preserve"> CR, et al, Consumer attitudes towards deprescribing: a systematic review and meta-analysis, Journals of </w:t>
      </w:r>
      <w:proofErr w:type="spellStart"/>
      <w:r w:rsidRPr="00B409F2">
        <w:rPr>
          <w:rFonts w:ascii="Arial" w:hAnsi="Arial" w:cs="Arial"/>
        </w:rPr>
        <w:t>Gerontology:Medical</w:t>
      </w:r>
      <w:proofErr w:type="spellEnd"/>
      <w:r w:rsidRPr="00B409F2">
        <w:rPr>
          <w:rFonts w:ascii="Arial" w:hAnsi="Arial" w:cs="Arial"/>
        </w:rPr>
        <w:t xml:space="preserve"> Sciences 2022;77(5):10201034</w:t>
      </w:r>
    </w:p>
    <w:p w14:paraId="4E4A1EDA"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deSouza</w:t>
      </w:r>
      <w:proofErr w:type="spellEnd"/>
      <w:r w:rsidRPr="00B409F2">
        <w:rPr>
          <w:rFonts w:ascii="Arial" w:hAnsi="Arial" w:cs="Arial"/>
        </w:rPr>
        <w:t xml:space="preserve"> Ribeiro PR, </w:t>
      </w:r>
      <w:proofErr w:type="spellStart"/>
      <w:r w:rsidRPr="00B409F2">
        <w:rPr>
          <w:rFonts w:ascii="Arial" w:hAnsi="Arial" w:cs="Arial"/>
        </w:rPr>
        <w:t>Schlindwein</w:t>
      </w:r>
      <w:proofErr w:type="spellEnd"/>
      <w:r w:rsidRPr="00B409F2">
        <w:rPr>
          <w:rFonts w:ascii="Arial" w:hAnsi="Arial" w:cs="Arial"/>
        </w:rPr>
        <w:t xml:space="preserve"> AD, Benzodiazepine deprescription strategies in chronic users: a systematic review, Fam </w:t>
      </w:r>
      <w:proofErr w:type="spellStart"/>
      <w:r w:rsidRPr="00B409F2">
        <w:rPr>
          <w:rFonts w:ascii="Arial" w:hAnsi="Arial" w:cs="Arial"/>
        </w:rPr>
        <w:t>Pract</w:t>
      </w:r>
      <w:proofErr w:type="spellEnd"/>
      <w:r w:rsidRPr="00B409F2">
        <w:rPr>
          <w:rFonts w:ascii="Arial" w:hAnsi="Arial" w:cs="Arial"/>
        </w:rPr>
        <w:t xml:space="preserve"> 2021;38(5):684-693</w:t>
      </w:r>
    </w:p>
    <w:p w14:paraId="0C8E735B" w14:textId="77777777" w:rsidR="00B409F2" w:rsidRPr="00B409F2" w:rsidRDefault="00B409F2" w:rsidP="00F1149C">
      <w:pPr>
        <w:pStyle w:val="Body"/>
        <w:numPr>
          <w:ilvl w:val="0"/>
          <w:numId w:val="19"/>
        </w:numPr>
        <w:rPr>
          <w:rFonts w:ascii="Arial" w:hAnsi="Arial" w:cs="Arial"/>
        </w:rPr>
      </w:pPr>
      <w:r w:rsidRPr="00B409F2">
        <w:rPr>
          <w:rFonts w:ascii="Arial" w:hAnsi="Arial" w:cs="Arial"/>
        </w:rPr>
        <w:t>Scott I, Anderson K, Freeman C, Review of structured guides for deprescribing, Eur J Hosp Pharm 2017;24:51-57</w:t>
      </w:r>
    </w:p>
    <w:p w14:paraId="4FEC1B96" w14:textId="77777777" w:rsidR="00B409F2" w:rsidRPr="00B409F2" w:rsidRDefault="00B409F2" w:rsidP="00F1149C">
      <w:pPr>
        <w:pStyle w:val="Body"/>
        <w:numPr>
          <w:ilvl w:val="0"/>
          <w:numId w:val="19"/>
        </w:numPr>
        <w:rPr>
          <w:rFonts w:ascii="Arial" w:hAnsi="Arial" w:cs="Arial"/>
          <w:u w:val="single"/>
        </w:rPr>
      </w:pPr>
      <w:r w:rsidRPr="00B409F2">
        <w:rPr>
          <w:rFonts w:ascii="Arial" w:hAnsi="Arial" w:cs="Arial"/>
        </w:rPr>
        <w:t xml:space="preserve">Canadian Deprescribing Network [Webpage] Available at: </w:t>
      </w:r>
      <w:hyperlink r:id="rId36" w:history="1">
        <w:r w:rsidRPr="00B409F2">
          <w:rPr>
            <w:rStyle w:val="Hyperlink"/>
            <w:rFonts w:ascii="Arial" w:hAnsi="Arial" w:cs="Arial"/>
          </w:rPr>
          <w:t>https://www.deprescribingnetwork.ca/</w:t>
        </w:r>
      </w:hyperlink>
      <w:r w:rsidRPr="00B409F2">
        <w:rPr>
          <w:rFonts w:ascii="Arial" w:hAnsi="Arial" w:cs="Arial"/>
        </w:rPr>
        <w:t xml:space="preserve"> (</w:t>
      </w:r>
      <w:r w:rsidRPr="00B409F2">
        <w:rPr>
          <w:rFonts w:ascii="Arial" w:hAnsi="Arial" w:cs="Arial"/>
          <w:u w:val="single"/>
        </w:rPr>
        <w:t>Accessed 15 March 2022)</w:t>
      </w:r>
    </w:p>
    <w:p w14:paraId="2FEB25CE" w14:textId="77777777" w:rsidR="00B409F2" w:rsidRPr="00B409F2" w:rsidRDefault="00B409F2" w:rsidP="00F1149C">
      <w:pPr>
        <w:pStyle w:val="Body"/>
        <w:numPr>
          <w:ilvl w:val="0"/>
          <w:numId w:val="19"/>
        </w:numPr>
        <w:rPr>
          <w:rFonts w:ascii="Arial" w:hAnsi="Arial" w:cs="Arial"/>
        </w:rPr>
      </w:pPr>
      <w:r w:rsidRPr="00B409F2">
        <w:rPr>
          <w:rFonts w:ascii="Arial" w:hAnsi="Arial" w:cs="Arial"/>
          <w:u w:val="single"/>
        </w:rPr>
        <w:t xml:space="preserve">Australian Deprescribing Network [Webpage] Available at: </w:t>
      </w:r>
      <w:hyperlink r:id="rId37" w:history="1">
        <w:r w:rsidRPr="00B409F2">
          <w:rPr>
            <w:rStyle w:val="Hyperlink"/>
            <w:rFonts w:ascii="Arial" w:hAnsi="Arial" w:cs="Arial"/>
          </w:rPr>
          <w:t>Australian Deprescribing Network |</w:t>
        </w:r>
      </w:hyperlink>
      <w:r w:rsidRPr="00B409F2">
        <w:rPr>
          <w:rFonts w:ascii="Arial" w:hAnsi="Arial" w:cs="Arial"/>
          <w:u w:val="single"/>
        </w:rPr>
        <w:t xml:space="preserve"> (Accessed 15 March 2022)</w:t>
      </w:r>
    </w:p>
    <w:p w14:paraId="6B162148" w14:textId="77777777" w:rsidR="00B409F2" w:rsidRPr="00B409F2" w:rsidRDefault="00B409F2" w:rsidP="00F1149C">
      <w:pPr>
        <w:pStyle w:val="Body"/>
        <w:numPr>
          <w:ilvl w:val="0"/>
          <w:numId w:val="19"/>
        </w:numPr>
        <w:rPr>
          <w:rFonts w:ascii="Arial" w:hAnsi="Arial" w:cs="Arial"/>
          <w:u w:val="single"/>
        </w:rPr>
      </w:pPr>
      <w:proofErr w:type="spellStart"/>
      <w:r w:rsidRPr="00B409F2">
        <w:rPr>
          <w:rFonts w:ascii="Arial" w:hAnsi="Arial" w:cs="Arial"/>
        </w:rPr>
        <w:t>iSimpathy</w:t>
      </w:r>
      <w:proofErr w:type="spellEnd"/>
      <w:r w:rsidRPr="00B409F2">
        <w:rPr>
          <w:rFonts w:ascii="Arial" w:hAnsi="Arial" w:cs="Arial"/>
        </w:rPr>
        <w:t xml:space="preserve"> Available at </w:t>
      </w:r>
      <w:hyperlink r:id="rId38" w:history="1">
        <w:r w:rsidRPr="00B409F2">
          <w:rPr>
            <w:rStyle w:val="Hyperlink"/>
            <w:rFonts w:ascii="Arial" w:hAnsi="Arial" w:cs="Arial"/>
          </w:rPr>
          <w:t>www.isimpathy.eu</w:t>
        </w:r>
      </w:hyperlink>
      <w:r w:rsidRPr="00B409F2">
        <w:rPr>
          <w:rFonts w:ascii="Arial" w:hAnsi="Arial" w:cs="Arial"/>
        </w:rPr>
        <w:t xml:space="preserve"> (Accessed 31</w:t>
      </w:r>
      <w:r w:rsidRPr="00B409F2">
        <w:rPr>
          <w:rFonts w:ascii="Arial" w:hAnsi="Arial" w:cs="Arial"/>
          <w:vertAlign w:val="superscript"/>
        </w:rPr>
        <w:t>st</w:t>
      </w:r>
      <w:r w:rsidRPr="00B409F2">
        <w:rPr>
          <w:rFonts w:ascii="Arial" w:hAnsi="Arial" w:cs="Arial"/>
        </w:rPr>
        <w:t xml:space="preserve"> May 2022)</w:t>
      </w:r>
    </w:p>
    <w:p w14:paraId="4B07B201" w14:textId="77777777" w:rsidR="00B409F2" w:rsidRPr="00B409F2" w:rsidRDefault="00B409F2" w:rsidP="00F1149C">
      <w:pPr>
        <w:pStyle w:val="Body"/>
        <w:numPr>
          <w:ilvl w:val="0"/>
          <w:numId w:val="19"/>
        </w:numPr>
        <w:rPr>
          <w:rFonts w:ascii="Arial" w:hAnsi="Arial" w:cs="Arial"/>
        </w:rPr>
      </w:pPr>
      <w:r w:rsidRPr="00B409F2">
        <w:rPr>
          <w:rFonts w:ascii="Arial" w:hAnsi="Arial" w:cs="Arial"/>
        </w:rPr>
        <w:t>O'Mahony D, O'Sullivan D, Byrne S, O'Connor M, Ryan C, Gallagher P. STOPP/START criteria for potentially inappropriate prescribing in older people: version 2. Age and Ageing. 2014;44(2):213-218</w:t>
      </w:r>
    </w:p>
    <w:p w14:paraId="0144AB1B" w14:textId="77777777" w:rsidR="00B409F2" w:rsidRPr="00B409F2" w:rsidRDefault="00B409F2" w:rsidP="00F1149C">
      <w:pPr>
        <w:pStyle w:val="Body"/>
        <w:numPr>
          <w:ilvl w:val="0"/>
          <w:numId w:val="19"/>
        </w:numPr>
        <w:rPr>
          <w:rFonts w:ascii="Arial" w:hAnsi="Arial" w:cs="Arial"/>
        </w:rPr>
      </w:pPr>
      <w:r w:rsidRPr="00B409F2">
        <w:rPr>
          <w:rFonts w:ascii="Arial" w:hAnsi="Arial" w:cs="Arial"/>
        </w:rPr>
        <w:t>Cooper J, Ryan C, Smith S, Wallace E, Bennett K, Cahir C et al. The development of the PROMPT (</w:t>
      </w:r>
      <w:proofErr w:type="spellStart"/>
      <w:r w:rsidRPr="00B409F2">
        <w:rPr>
          <w:rFonts w:ascii="Arial" w:hAnsi="Arial" w:cs="Arial"/>
        </w:rPr>
        <w:t>PRescribing</w:t>
      </w:r>
      <w:proofErr w:type="spellEnd"/>
      <w:r w:rsidRPr="00B409F2">
        <w:rPr>
          <w:rFonts w:ascii="Arial" w:hAnsi="Arial" w:cs="Arial"/>
        </w:rPr>
        <w:t xml:space="preserve"> Optimally in Middle-aged People’s Treatments) criteria. BMC Health Services Research. 2014;14(1)</w:t>
      </w:r>
    </w:p>
    <w:p w14:paraId="4264DD03" w14:textId="77777777" w:rsidR="00B409F2" w:rsidRPr="00B409F2" w:rsidRDefault="00B409F2" w:rsidP="00F1149C">
      <w:pPr>
        <w:pStyle w:val="Body"/>
        <w:numPr>
          <w:ilvl w:val="0"/>
          <w:numId w:val="19"/>
        </w:numPr>
        <w:rPr>
          <w:rFonts w:ascii="Arial" w:hAnsi="Arial" w:cs="Arial"/>
        </w:rPr>
      </w:pPr>
      <w:r w:rsidRPr="00B409F2">
        <w:rPr>
          <w:rFonts w:ascii="Arial" w:hAnsi="Arial" w:cs="Arial"/>
        </w:rPr>
        <w:lastRenderedPageBreak/>
        <w:t xml:space="preserve">Curtin D, Jennings E, Daunt R et al, Deprescribing in Older People Approaching End of Life: A Randomized Controlled Trial Using </w:t>
      </w:r>
      <w:proofErr w:type="spellStart"/>
      <w:r w:rsidRPr="00B409F2">
        <w:rPr>
          <w:rFonts w:ascii="Arial" w:hAnsi="Arial" w:cs="Arial"/>
        </w:rPr>
        <w:t>STOPPFrail</w:t>
      </w:r>
      <w:proofErr w:type="spellEnd"/>
      <w:r w:rsidRPr="00B409F2">
        <w:rPr>
          <w:rFonts w:ascii="Arial" w:hAnsi="Arial" w:cs="Arial"/>
        </w:rPr>
        <w:t xml:space="preserve"> Criteria, J Am </w:t>
      </w:r>
      <w:proofErr w:type="spellStart"/>
      <w:r w:rsidRPr="00B409F2">
        <w:rPr>
          <w:rFonts w:ascii="Arial" w:hAnsi="Arial" w:cs="Arial"/>
        </w:rPr>
        <w:t>Geriatr</w:t>
      </w:r>
      <w:proofErr w:type="spellEnd"/>
      <w:r w:rsidRPr="00B409F2">
        <w:rPr>
          <w:rFonts w:ascii="Arial" w:hAnsi="Arial" w:cs="Arial"/>
        </w:rPr>
        <w:t xml:space="preserve"> </w:t>
      </w:r>
      <w:proofErr w:type="spellStart"/>
      <w:r w:rsidRPr="00B409F2">
        <w:rPr>
          <w:rFonts w:ascii="Arial" w:hAnsi="Arial" w:cs="Arial"/>
        </w:rPr>
        <w:t>Soc</w:t>
      </w:r>
      <w:proofErr w:type="spellEnd"/>
      <w:r w:rsidRPr="00B409F2">
        <w:rPr>
          <w:rFonts w:ascii="Arial" w:hAnsi="Arial" w:cs="Arial"/>
        </w:rPr>
        <w:t xml:space="preserve"> 68:762-769, 2020</w:t>
      </w:r>
    </w:p>
    <w:p w14:paraId="327F8A64"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Curtin D, </w:t>
      </w:r>
      <w:proofErr w:type="spellStart"/>
      <w:r w:rsidRPr="00B409F2">
        <w:rPr>
          <w:rFonts w:ascii="Arial" w:hAnsi="Arial" w:cs="Arial"/>
        </w:rPr>
        <w:t>Dukelow</w:t>
      </w:r>
      <w:proofErr w:type="spellEnd"/>
      <w:r w:rsidRPr="00B409F2">
        <w:rPr>
          <w:rFonts w:ascii="Arial" w:hAnsi="Arial" w:cs="Arial"/>
        </w:rPr>
        <w:t xml:space="preserve"> T, James K et al, Deprescribing in multi-morbid older people with polypharmacy: agreement between </w:t>
      </w:r>
      <w:proofErr w:type="spellStart"/>
      <w:r w:rsidRPr="00B409F2">
        <w:rPr>
          <w:rFonts w:ascii="Arial" w:hAnsi="Arial" w:cs="Arial"/>
        </w:rPr>
        <w:t>STOPPFrail</w:t>
      </w:r>
      <w:proofErr w:type="spellEnd"/>
      <w:r w:rsidRPr="00B409F2">
        <w:rPr>
          <w:rFonts w:ascii="Arial" w:hAnsi="Arial" w:cs="Arial"/>
        </w:rPr>
        <w:t xml:space="preserve"> explicit criteria and gold standard deprescribing using standardised clinical cases, European Journal of Clinical Pharmacology 2019;75:427-432</w:t>
      </w:r>
    </w:p>
    <w:p w14:paraId="61ECFC83"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Lavan AH, Gallagher P, Parsons C, O’Mahony D. </w:t>
      </w:r>
      <w:proofErr w:type="spellStart"/>
      <w:r w:rsidRPr="00B409F2">
        <w:rPr>
          <w:rFonts w:ascii="Arial" w:hAnsi="Arial" w:cs="Arial"/>
        </w:rPr>
        <w:t>STOPPFrail</w:t>
      </w:r>
      <w:proofErr w:type="spellEnd"/>
      <w:r w:rsidRPr="00B409F2">
        <w:rPr>
          <w:rFonts w:ascii="Arial" w:hAnsi="Arial" w:cs="Arial"/>
        </w:rPr>
        <w:t xml:space="preserve"> (screening tool of older persons prescriptions in frail adults with limited life expectancy): consensus validation. Age Ageing 2017;46(4):600-607</w:t>
      </w:r>
    </w:p>
    <w:p w14:paraId="5BA013CA"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Lavan AH, Gallagher P, O’Mahony D. Inter-rater reliability of </w:t>
      </w:r>
      <w:proofErr w:type="spellStart"/>
      <w:r w:rsidRPr="00B409F2">
        <w:rPr>
          <w:rFonts w:ascii="Arial" w:hAnsi="Arial" w:cs="Arial"/>
        </w:rPr>
        <w:t>STOPPFrail</w:t>
      </w:r>
      <w:proofErr w:type="spellEnd"/>
      <w:r w:rsidRPr="00B409F2">
        <w:rPr>
          <w:rFonts w:ascii="Arial" w:hAnsi="Arial" w:cs="Arial"/>
        </w:rPr>
        <w:t xml:space="preserve"> [screening tool of older persons prescriptions in frail adults with limited life expectancy] criteria amongst 12 physicians. </w:t>
      </w:r>
      <w:proofErr w:type="spellStart"/>
      <w:r w:rsidRPr="00B409F2">
        <w:rPr>
          <w:rFonts w:ascii="Arial" w:hAnsi="Arial" w:cs="Arial"/>
        </w:rPr>
        <w:t>Eur</w:t>
      </w:r>
      <w:proofErr w:type="spellEnd"/>
      <w:r w:rsidRPr="00B409F2">
        <w:rPr>
          <w:rFonts w:ascii="Arial" w:hAnsi="Arial" w:cs="Arial"/>
        </w:rPr>
        <w:t xml:space="preserve"> J </w:t>
      </w:r>
      <w:proofErr w:type="spellStart"/>
      <w:r w:rsidRPr="00B409F2">
        <w:rPr>
          <w:rFonts w:ascii="Arial" w:hAnsi="Arial" w:cs="Arial"/>
        </w:rPr>
        <w:t>Clin</w:t>
      </w:r>
      <w:proofErr w:type="spellEnd"/>
      <w:r w:rsidRPr="00B409F2">
        <w:rPr>
          <w:rFonts w:ascii="Arial" w:hAnsi="Arial" w:cs="Arial"/>
        </w:rPr>
        <w:t xml:space="preserve"> </w:t>
      </w:r>
      <w:proofErr w:type="spellStart"/>
      <w:r w:rsidRPr="00B409F2">
        <w:rPr>
          <w:rFonts w:ascii="Arial" w:hAnsi="Arial" w:cs="Arial"/>
        </w:rPr>
        <w:t>Pharmacol</w:t>
      </w:r>
      <w:proofErr w:type="spellEnd"/>
      <w:r w:rsidRPr="00B409F2">
        <w:rPr>
          <w:rFonts w:ascii="Arial" w:hAnsi="Arial" w:cs="Arial"/>
        </w:rPr>
        <w:t>. 2018;74(3):331-338</w:t>
      </w:r>
    </w:p>
    <w:p w14:paraId="2724234C" w14:textId="77777777" w:rsidR="00B409F2" w:rsidRPr="00B409F2" w:rsidRDefault="00B409F2" w:rsidP="00F1149C">
      <w:pPr>
        <w:pStyle w:val="Body"/>
        <w:numPr>
          <w:ilvl w:val="0"/>
          <w:numId w:val="19"/>
        </w:numPr>
        <w:rPr>
          <w:rFonts w:ascii="Arial" w:hAnsi="Arial" w:cs="Arial"/>
        </w:rPr>
      </w:pPr>
      <w:r w:rsidRPr="00B409F2">
        <w:rPr>
          <w:rFonts w:ascii="Arial" w:hAnsi="Arial" w:cs="Arial"/>
        </w:rPr>
        <w:t>O’Mahony L, Yelverton E, Prescribing of Proton Pump Inhibitors in an Irish General Practice, Irish Medical Journal 2019;112(5):932</w:t>
      </w:r>
    </w:p>
    <w:p w14:paraId="306AD834"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Helgadottir</w:t>
      </w:r>
      <w:proofErr w:type="spellEnd"/>
      <w:r w:rsidRPr="00B409F2">
        <w:rPr>
          <w:rFonts w:ascii="Arial" w:hAnsi="Arial" w:cs="Arial"/>
        </w:rPr>
        <w:t xml:space="preserve"> H, </w:t>
      </w:r>
      <w:proofErr w:type="spellStart"/>
      <w:r w:rsidRPr="00B409F2">
        <w:rPr>
          <w:rFonts w:ascii="Arial" w:hAnsi="Arial" w:cs="Arial"/>
        </w:rPr>
        <w:t>Bjornsson</w:t>
      </w:r>
      <w:proofErr w:type="spellEnd"/>
      <w:r w:rsidRPr="00B409F2">
        <w:rPr>
          <w:rFonts w:ascii="Arial" w:hAnsi="Arial" w:cs="Arial"/>
        </w:rPr>
        <w:t xml:space="preserve"> E, Problems associated with deprescribing of proton pump inhibitors, International Journal of Molecular Sciences</w:t>
      </w:r>
    </w:p>
    <w:p w14:paraId="0DF50235"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Medicines Management Programme.  Preferred Drugs Proton pump inhibitors for the treatment of gastro-oesophageal reflux disease, July 2019. Available at: </w:t>
      </w:r>
      <w:hyperlink r:id="rId39" w:history="1">
        <w:r w:rsidRPr="00B409F2">
          <w:rPr>
            <w:rStyle w:val="Hyperlink"/>
            <w:rFonts w:ascii="Arial" w:hAnsi="Arial" w:cs="Arial"/>
          </w:rPr>
          <w:t>https://www.hse.ie/eng/services/publications/clinical-strategy-and-programmes/preferred-ppi-for-the-treatment-of-gord.pdf</w:t>
        </w:r>
      </w:hyperlink>
      <w:r w:rsidRPr="00B409F2">
        <w:rPr>
          <w:rFonts w:ascii="Arial" w:hAnsi="Arial" w:cs="Arial"/>
          <w:u w:val="single"/>
        </w:rPr>
        <w:t xml:space="preserve"> (Accessed 15th March 2022)</w:t>
      </w:r>
    </w:p>
    <w:p w14:paraId="0B627164"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Boghossian T, Rashid F, Thompson W, Welch V, </w:t>
      </w:r>
      <w:proofErr w:type="spellStart"/>
      <w:r w:rsidRPr="00B409F2">
        <w:rPr>
          <w:rFonts w:ascii="Arial" w:hAnsi="Arial" w:cs="Arial"/>
        </w:rPr>
        <w:t>Moayyedi</w:t>
      </w:r>
      <w:proofErr w:type="spellEnd"/>
      <w:r w:rsidRPr="00B409F2">
        <w:rPr>
          <w:rFonts w:ascii="Arial" w:hAnsi="Arial" w:cs="Arial"/>
        </w:rPr>
        <w:t xml:space="preserve"> P, Rojas-Fernandez C et al. Deprescribing versus continuation of chronic proton pump inhibitor use in adults. Cochrane Database of Systematic Reviews. 2017;.</w:t>
      </w:r>
    </w:p>
    <w:p w14:paraId="5AA4BD67" w14:textId="77777777" w:rsidR="00B409F2" w:rsidRPr="00B409F2" w:rsidRDefault="00B409F2" w:rsidP="00F1149C">
      <w:pPr>
        <w:pStyle w:val="Body"/>
        <w:numPr>
          <w:ilvl w:val="0"/>
          <w:numId w:val="19"/>
        </w:numPr>
        <w:rPr>
          <w:rFonts w:ascii="Arial" w:hAnsi="Arial" w:cs="Arial"/>
        </w:rPr>
      </w:pPr>
      <w:proofErr w:type="spellStart"/>
      <w:r w:rsidRPr="00B409F2">
        <w:rPr>
          <w:rFonts w:ascii="Arial" w:hAnsi="Arial" w:cs="Arial"/>
        </w:rPr>
        <w:t>Pottie</w:t>
      </w:r>
      <w:proofErr w:type="spellEnd"/>
      <w:r w:rsidRPr="00B409F2">
        <w:rPr>
          <w:rFonts w:ascii="Arial" w:hAnsi="Arial" w:cs="Arial"/>
        </w:rPr>
        <w:t xml:space="preserve"> K, Thompson W, Davies S et al, Deprescribing benzodiazepine receptor agonists, Canadian Family Physician 2018;64:339-351</w:t>
      </w:r>
    </w:p>
    <w:p w14:paraId="7D02FB78"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Medicines Management Programme – Guidance on appropriate prescribing of benzodiazepine and z drugs (BZRA) for the treatment of anxiety and insomnia (Version 1.1) February 2021 accessed from </w:t>
      </w:r>
      <w:hyperlink r:id="rId40" w:history="1">
        <w:r w:rsidRPr="00B409F2">
          <w:rPr>
            <w:rStyle w:val="Hyperlink"/>
            <w:rFonts w:ascii="Arial" w:hAnsi="Arial" w:cs="Arial"/>
          </w:rPr>
          <w:t>https://www.hse.ie/eng/about/who/cspd/ncps/medicines-management/bzra-for-anxiety-insomnia/guidance-on-appropriate-prescribing-of-bzra-feb-2021.pdf</w:t>
        </w:r>
      </w:hyperlink>
      <w:r w:rsidRPr="00B409F2">
        <w:rPr>
          <w:rFonts w:ascii="Arial" w:hAnsi="Arial" w:cs="Arial"/>
        </w:rPr>
        <w:t xml:space="preserve"> (Accessed 27th February 2022)</w:t>
      </w:r>
    </w:p>
    <w:p w14:paraId="76762FBD"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National Institute of Clinical Excellence, Clinical Knowledge Summary: Benzodiazepine and z-drug withdrawal. Available from: </w:t>
      </w:r>
      <w:hyperlink r:id="rId41" w:history="1">
        <w:r w:rsidRPr="00B409F2">
          <w:rPr>
            <w:rStyle w:val="Hyperlink"/>
            <w:rFonts w:ascii="Arial" w:hAnsi="Arial" w:cs="Arial"/>
          </w:rPr>
          <w:t>www.nice.org.uk</w:t>
        </w:r>
      </w:hyperlink>
      <w:r w:rsidRPr="00B409F2">
        <w:rPr>
          <w:rFonts w:ascii="Arial" w:hAnsi="Arial" w:cs="Arial"/>
        </w:rPr>
        <w:t xml:space="preserve"> (Accessed 15 March 2022)</w:t>
      </w:r>
    </w:p>
    <w:p w14:paraId="2F125D52" w14:textId="77777777" w:rsidR="00B409F2" w:rsidRPr="00B409F2" w:rsidRDefault="00B409F2" w:rsidP="00F1149C">
      <w:pPr>
        <w:pStyle w:val="Body"/>
        <w:numPr>
          <w:ilvl w:val="0"/>
          <w:numId w:val="19"/>
        </w:numPr>
        <w:rPr>
          <w:rFonts w:ascii="Arial" w:hAnsi="Arial" w:cs="Arial"/>
        </w:rPr>
      </w:pPr>
      <w:r w:rsidRPr="00B409F2">
        <w:rPr>
          <w:rFonts w:ascii="Arial" w:hAnsi="Arial" w:cs="Arial"/>
        </w:rPr>
        <w:t xml:space="preserve">NHS Scotland. Quality Prescribing for Chronic Pain, A Guide for Improvement 2008 – 2021. Available at: </w:t>
      </w:r>
      <w:hyperlink r:id="rId42" w:history="1">
        <w:r w:rsidRPr="00B409F2">
          <w:rPr>
            <w:rStyle w:val="Hyperlink"/>
            <w:rFonts w:ascii="Arial" w:hAnsi="Arial" w:cs="Arial"/>
          </w:rPr>
          <w:t>https://www.therapeutics.scot.nhs.uk/wp-content/uploads/2018/03/Strategy-Chronic-Pain-Quality-Prescribing-for-Chronic-Pain-2018.pdf</w:t>
        </w:r>
      </w:hyperlink>
      <w:r w:rsidRPr="00B409F2">
        <w:rPr>
          <w:rFonts w:ascii="Arial" w:hAnsi="Arial" w:cs="Arial"/>
          <w:u w:val="single"/>
        </w:rPr>
        <w:t xml:space="preserve"> </w:t>
      </w:r>
      <w:r w:rsidRPr="00B409F2">
        <w:rPr>
          <w:rFonts w:ascii="Arial" w:hAnsi="Arial" w:cs="Arial"/>
        </w:rPr>
        <w:t>(Accessed 27th February 2022)</w:t>
      </w:r>
    </w:p>
    <w:p w14:paraId="6E92EFC6" w14:textId="77777777" w:rsidR="00B409F2" w:rsidRPr="00B409F2" w:rsidRDefault="00B409F2" w:rsidP="00F1149C">
      <w:pPr>
        <w:pStyle w:val="Body"/>
        <w:numPr>
          <w:ilvl w:val="0"/>
          <w:numId w:val="19"/>
        </w:numPr>
        <w:rPr>
          <w:rFonts w:ascii="Arial" w:hAnsi="Arial" w:cs="Arial"/>
        </w:rPr>
      </w:pPr>
      <w:r w:rsidRPr="00B409F2">
        <w:rPr>
          <w:rFonts w:ascii="Arial" w:hAnsi="Arial" w:cs="Arial"/>
        </w:rPr>
        <w:t>Bradley M, Reducing the risk of NSAID related gastrointestinal problems: an update, Drug and Therapeutics Bulletin June 2020;58(6):89-92</w:t>
      </w:r>
    </w:p>
    <w:p w14:paraId="160568BB" w14:textId="77777777" w:rsidR="00B409F2" w:rsidRPr="00B409F2" w:rsidRDefault="00B409F2" w:rsidP="00F1149C">
      <w:pPr>
        <w:pStyle w:val="Body"/>
        <w:numPr>
          <w:ilvl w:val="0"/>
          <w:numId w:val="19"/>
        </w:numPr>
        <w:rPr>
          <w:rFonts w:ascii="Arial" w:hAnsi="Arial" w:cs="Arial"/>
        </w:rPr>
      </w:pPr>
      <w:r w:rsidRPr="00B409F2">
        <w:rPr>
          <w:rFonts w:ascii="Arial" w:hAnsi="Arial" w:cs="Arial"/>
        </w:rPr>
        <w:t>Machado G, Abdel-Shaheed C, Underwood M et al, Non-steroidal anti-inflammatory drugs (NSAIDs) for musculoskeletal pain, British Medical Journal 2021;372:n104</w:t>
      </w:r>
    </w:p>
    <w:p w14:paraId="688F93B1" w14:textId="733E4D82" w:rsidR="00B409F2" w:rsidRDefault="00B409F2" w:rsidP="00F1149C">
      <w:pPr>
        <w:pStyle w:val="Body"/>
        <w:numPr>
          <w:ilvl w:val="0"/>
          <w:numId w:val="19"/>
        </w:numPr>
        <w:rPr>
          <w:rFonts w:ascii="Arial" w:hAnsi="Arial" w:cs="Arial"/>
        </w:rPr>
      </w:pPr>
      <w:r w:rsidRPr="00B409F2">
        <w:rPr>
          <w:rFonts w:ascii="Arial" w:hAnsi="Arial" w:cs="Arial"/>
        </w:rPr>
        <w:lastRenderedPageBreak/>
        <w:t xml:space="preserve">Galvin R, Moriarty F, Cousins G, Cahir C, </w:t>
      </w:r>
      <w:proofErr w:type="spellStart"/>
      <w:r w:rsidRPr="00B409F2">
        <w:rPr>
          <w:rFonts w:ascii="Arial" w:hAnsi="Arial" w:cs="Arial"/>
        </w:rPr>
        <w:t>Motterlini</w:t>
      </w:r>
      <w:proofErr w:type="spellEnd"/>
      <w:r w:rsidRPr="00B409F2">
        <w:rPr>
          <w:rFonts w:ascii="Arial" w:hAnsi="Arial" w:cs="Arial"/>
        </w:rPr>
        <w:t xml:space="preserve"> N, Bradley M et al. Prevalence of potentially inappropriate prescribing and prescribing omissions in older Irish adults: findings from The Irish Longitudinal Study on Ageing study (TILDA). European Journal of Clinical Pharmacology. 2014;70(5):599-606</w:t>
      </w:r>
      <w:r>
        <w:rPr>
          <w:rFonts w:ascii="Arial" w:hAnsi="Arial" w:cs="Arial"/>
        </w:rPr>
        <w:t>.</w:t>
      </w:r>
    </w:p>
    <w:p w14:paraId="1CA1A7F3" w14:textId="77777777" w:rsidR="000B6CAB" w:rsidRPr="0044343F" w:rsidRDefault="00B409F2" w:rsidP="00F1149C">
      <w:pPr>
        <w:pStyle w:val="Body"/>
        <w:numPr>
          <w:ilvl w:val="0"/>
          <w:numId w:val="19"/>
        </w:numPr>
        <w:rPr>
          <w:rFonts w:ascii="Arial" w:hAnsi="Arial" w:cs="Arial"/>
          <w:color w:val="000000" w:themeColor="text1"/>
          <w:sz w:val="24"/>
          <w:szCs w:val="24"/>
        </w:rPr>
      </w:pPr>
      <w:r w:rsidRPr="0044343F">
        <w:rPr>
          <w:rFonts w:ascii="Arial" w:hAnsi="Arial" w:cs="Arial"/>
          <w:color w:val="000000" w:themeColor="text1"/>
        </w:rPr>
        <w:t>McCool A, Lukas K, Hayes P, Kelly D. Antidepressant medication prescribing patterns in Irish general practice from 2016 to 2020 to assess for long-term use. Irish Journal of Medical Science 2021.</w:t>
      </w:r>
    </w:p>
    <w:p w14:paraId="108D5F3D" w14:textId="6A83F8A9" w:rsidR="000B6CAB" w:rsidRPr="0044343F" w:rsidRDefault="00B409F2" w:rsidP="00F1149C">
      <w:pPr>
        <w:pStyle w:val="Body"/>
        <w:numPr>
          <w:ilvl w:val="0"/>
          <w:numId w:val="19"/>
        </w:numPr>
        <w:rPr>
          <w:rFonts w:ascii="Arial" w:hAnsi="Arial" w:cs="Arial"/>
          <w:color w:val="000000" w:themeColor="text1"/>
          <w:sz w:val="24"/>
          <w:szCs w:val="24"/>
        </w:rPr>
      </w:pPr>
      <w:r w:rsidRPr="0044343F">
        <w:rPr>
          <w:rFonts w:ascii="Arial" w:hAnsi="Arial" w:cs="Arial"/>
          <w:color w:val="000000" w:themeColor="text1"/>
        </w:rPr>
        <w:t xml:space="preserve">National Institute of Clinical Excellence. </w:t>
      </w:r>
      <w:r w:rsidR="000B6CAB" w:rsidRPr="0044343F">
        <w:rPr>
          <w:rFonts w:ascii="Arial" w:hAnsi="Arial" w:cs="Arial"/>
          <w:bCs/>
          <w:color w:val="000000" w:themeColor="text1"/>
        </w:rPr>
        <w:t xml:space="preserve">Depression in adults: treatment and management </w:t>
      </w:r>
      <w:r w:rsidR="000B6CAB" w:rsidRPr="0044343F">
        <w:rPr>
          <w:rStyle w:val="prod-title"/>
          <w:rFonts w:ascii="Arial" w:hAnsi="Arial" w:cs="Arial"/>
          <w:color w:val="000000" w:themeColor="text1"/>
        </w:rPr>
        <w:t>NICE guideline [NG222]</w:t>
      </w:r>
      <w:r w:rsidR="000B6CAB" w:rsidRPr="0044343F">
        <w:rPr>
          <w:rStyle w:val="published-date"/>
          <w:rFonts w:ascii="Arial" w:hAnsi="Arial" w:cs="Arial"/>
          <w:color w:val="000000" w:themeColor="text1"/>
        </w:rPr>
        <w:t>Published: 29 June 2022 </w:t>
      </w:r>
      <w:r w:rsidRPr="0044343F">
        <w:rPr>
          <w:rFonts w:ascii="Arial" w:hAnsi="Arial" w:cs="Arial"/>
          <w:color w:val="000000" w:themeColor="text1"/>
        </w:rPr>
        <w:t xml:space="preserve">Available at: </w:t>
      </w:r>
      <w:hyperlink r:id="rId43" w:history="1">
        <w:r w:rsidR="000B6CAB" w:rsidRPr="0044343F">
          <w:rPr>
            <w:rStyle w:val="Hyperlink"/>
            <w:rFonts w:ascii="Arial" w:hAnsi="Arial" w:cs="Arial"/>
            <w:color w:val="000000" w:themeColor="text1"/>
          </w:rPr>
          <w:t>https://www.nice.org.uk/guidance/ng222</w:t>
        </w:r>
      </w:hyperlink>
    </w:p>
    <w:p w14:paraId="17B9B087" w14:textId="77777777" w:rsidR="000B6CAB" w:rsidRPr="0044343F" w:rsidRDefault="00B409F2" w:rsidP="00F1149C">
      <w:pPr>
        <w:pStyle w:val="Body"/>
        <w:numPr>
          <w:ilvl w:val="0"/>
          <w:numId w:val="19"/>
        </w:numPr>
        <w:rPr>
          <w:rFonts w:ascii="Arial" w:hAnsi="Arial" w:cs="Arial"/>
          <w:color w:val="000000" w:themeColor="text1"/>
          <w:sz w:val="24"/>
          <w:szCs w:val="24"/>
        </w:rPr>
      </w:pPr>
      <w:r w:rsidRPr="0044343F">
        <w:rPr>
          <w:rFonts w:ascii="Arial" w:hAnsi="Arial" w:cs="Arial"/>
          <w:color w:val="000000" w:themeColor="text1"/>
        </w:rPr>
        <w:t>Taylor DM, Barnes TR, Young AH. The Maudsley Prescribing Guidelines in Psychiatry. 14</w:t>
      </w:r>
      <w:r w:rsidRPr="0044343F">
        <w:rPr>
          <w:rFonts w:ascii="Arial" w:hAnsi="Arial" w:cs="Arial"/>
          <w:color w:val="000000" w:themeColor="text1"/>
          <w:vertAlign w:val="superscript"/>
        </w:rPr>
        <w:t>th</w:t>
      </w:r>
      <w:r w:rsidRPr="0044343F">
        <w:rPr>
          <w:rFonts w:ascii="Arial" w:hAnsi="Arial" w:cs="Arial"/>
          <w:color w:val="000000" w:themeColor="text1"/>
        </w:rPr>
        <w:t xml:space="preserve"> Edition. Wiley Blackwell, 2021</w:t>
      </w:r>
      <w:r w:rsidR="000B6CAB" w:rsidRPr="0044343F">
        <w:rPr>
          <w:rFonts w:ascii="Arial" w:hAnsi="Arial" w:cs="Arial"/>
          <w:color w:val="000000" w:themeColor="text1"/>
        </w:rPr>
        <w:t>.</w:t>
      </w:r>
    </w:p>
    <w:p w14:paraId="5F6BE8CE" w14:textId="77777777" w:rsidR="000B6CAB" w:rsidRPr="0044343F" w:rsidRDefault="00B409F2" w:rsidP="00F1149C">
      <w:pPr>
        <w:pStyle w:val="Body"/>
        <w:numPr>
          <w:ilvl w:val="0"/>
          <w:numId w:val="19"/>
        </w:numPr>
        <w:rPr>
          <w:rFonts w:ascii="Arial" w:hAnsi="Arial" w:cs="Arial"/>
          <w:color w:val="000000" w:themeColor="text1"/>
          <w:sz w:val="24"/>
          <w:szCs w:val="24"/>
        </w:rPr>
      </w:pPr>
      <w:r w:rsidRPr="0044343F">
        <w:rPr>
          <w:rFonts w:ascii="Arial" w:hAnsi="Arial" w:cs="Arial"/>
          <w:color w:val="000000" w:themeColor="text1"/>
        </w:rPr>
        <w:t xml:space="preserve">Van Leeuwen E, van </w:t>
      </w:r>
      <w:proofErr w:type="spellStart"/>
      <w:r w:rsidRPr="0044343F">
        <w:rPr>
          <w:rFonts w:ascii="Arial" w:hAnsi="Arial" w:cs="Arial"/>
          <w:color w:val="000000" w:themeColor="text1"/>
        </w:rPr>
        <w:t>Driel</w:t>
      </w:r>
      <w:proofErr w:type="spellEnd"/>
      <w:r w:rsidRPr="0044343F">
        <w:rPr>
          <w:rFonts w:ascii="Arial" w:hAnsi="Arial" w:cs="Arial"/>
          <w:color w:val="000000" w:themeColor="text1"/>
        </w:rPr>
        <w:t xml:space="preserve"> M, Horowitz M, Kendrick T, Donald M, De Sutter A et al. Approaches for discontinuation versus continuation of long-term antidepressant use for depressive and anxiety disorders in adults. Cochrane Database of Systematic Reviews. 2021;2021(4).</w:t>
      </w:r>
    </w:p>
    <w:p w14:paraId="79FD5D3C" w14:textId="634B6B9A" w:rsidR="000B6CAB" w:rsidRPr="0044343F" w:rsidRDefault="000B6CAB" w:rsidP="00F1149C">
      <w:pPr>
        <w:pStyle w:val="Body"/>
        <w:numPr>
          <w:ilvl w:val="0"/>
          <w:numId w:val="19"/>
        </w:numPr>
        <w:rPr>
          <w:rFonts w:ascii="Arial" w:hAnsi="Arial" w:cs="Arial"/>
          <w:color w:val="000000" w:themeColor="text1"/>
          <w:sz w:val="24"/>
          <w:szCs w:val="24"/>
        </w:rPr>
      </w:pPr>
      <w:r w:rsidRPr="0044343F">
        <w:rPr>
          <w:rFonts w:ascii="Arial" w:hAnsi="Arial" w:cs="Arial"/>
          <w:color w:val="000000" w:themeColor="text1"/>
          <w:shd w:val="clear" w:color="auto" w:fill="FFFFFF"/>
        </w:rPr>
        <w:t xml:space="preserve">Fava GA, </w:t>
      </w:r>
      <w:proofErr w:type="spellStart"/>
      <w:r w:rsidRPr="0044343F">
        <w:rPr>
          <w:rFonts w:ascii="Arial" w:hAnsi="Arial" w:cs="Arial"/>
          <w:color w:val="000000" w:themeColor="text1"/>
          <w:shd w:val="clear" w:color="auto" w:fill="FFFFFF"/>
        </w:rPr>
        <w:t>Gatti</w:t>
      </w:r>
      <w:proofErr w:type="spellEnd"/>
      <w:r w:rsidRPr="0044343F">
        <w:rPr>
          <w:rFonts w:ascii="Arial" w:hAnsi="Arial" w:cs="Arial"/>
          <w:color w:val="000000" w:themeColor="text1"/>
          <w:shd w:val="clear" w:color="auto" w:fill="FFFFFF"/>
        </w:rPr>
        <w:t xml:space="preserve"> A, </w:t>
      </w:r>
      <w:proofErr w:type="spellStart"/>
      <w:r w:rsidRPr="0044343F">
        <w:rPr>
          <w:rFonts w:ascii="Arial" w:hAnsi="Arial" w:cs="Arial"/>
          <w:color w:val="000000" w:themeColor="text1"/>
          <w:shd w:val="clear" w:color="auto" w:fill="FFFFFF"/>
        </w:rPr>
        <w:t>Belaise</w:t>
      </w:r>
      <w:proofErr w:type="spellEnd"/>
      <w:r w:rsidRPr="0044343F">
        <w:rPr>
          <w:rFonts w:ascii="Arial" w:hAnsi="Arial" w:cs="Arial"/>
          <w:color w:val="000000" w:themeColor="text1"/>
          <w:shd w:val="clear" w:color="auto" w:fill="FFFFFF"/>
        </w:rPr>
        <w:t xml:space="preserve"> C, </w:t>
      </w:r>
      <w:proofErr w:type="spellStart"/>
      <w:r w:rsidRPr="0044343F">
        <w:rPr>
          <w:rFonts w:ascii="Arial" w:hAnsi="Arial" w:cs="Arial"/>
          <w:color w:val="000000" w:themeColor="text1"/>
          <w:shd w:val="clear" w:color="auto" w:fill="FFFFFF"/>
        </w:rPr>
        <w:t>Guidi</w:t>
      </w:r>
      <w:proofErr w:type="spellEnd"/>
      <w:r w:rsidRPr="0044343F">
        <w:rPr>
          <w:rFonts w:ascii="Arial" w:hAnsi="Arial" w:cs="Arial"/>
          <w:color w:val="000000" w:themeColor="text1"/>
          <w:shd w:val="clear" w:color="auto" w:fill="FFFFFF"/>
        </w:rPr>
        <w:t xml:space="preserve"> J, </w:t>
      </w:r>
      <w:proofErr w:type="spellStart"/>
      <w:r w:rsidRPr="0044343F">
        <w:rPr>
          <w:rFonts w:ascii="Arial" w:hAnsi="Arial" w:cs="Arial"/>
          <w:color w:val="000000" w:themeColor="text1"/>
          <w:shd w:val="clear" w:color="auto" w:fill="FFFFFF"/>
        </w:rPr>
        <w:t>Offidani</w:t>
      </w:r>
      <w:proofErr w:type="spellEnd"/>
      <w:r w:rsidRPr="0044343F">
        <w:rPr>
          <w:rFonts w:ascii="Arial" w:hAnsi="Arial" w:cs="Arial"/>
          <w:color w:val="000000" w:themeColor="text1"/>
          <w:shd w:val="clear" w:color="auto" w:fill="FFFFFF"/>
        </w:rPr>
        <w:t xml:space="preserve"> E. Withdrawal Symptoms after Selective Serotonin Reuptake Inhibitor Discontinuation: A Systematic Review. </w:t>
      </w:r>
      <w:proofErr w:type="spellStart"/>
      <w:r w:rsidRPr="0044343F">
        <w:rPr>
          <w:rFonts w:ascii="Arial" w:hAnsi="Arial" w:cs="Arial"/>
          <w:color w:val="000000" w:themeColor="text1"/>
          <w:shd w:val="clear" w:color="auto" w:fill="FFFFFF"/>
        </w:rPr>
        <w:t>Psychother</w:t>
      </w:r>
      <w:proofErr w:type="spellEnd"/>
      <w:r w:rsidRPr="0044343F">
        <w:rPr>
          <w:rFonts w:ascii="Arial" w:hAnsi="Arial" w:cs="Arial"/>
          <w:color w:val="000000" w:themeColor="text1"/>
          <w:shd w:val="clear" w:color="auto" w:fill="FFFFFF"/>
        </w:rPr>
        <w:t xml:space="preserve"> </w:t>
      </w:r>
      <w:proofErr w:type="spellStart"/>
      <w:r w:rsidRPr="0044343F">
        <w:rPr>
          <w:rFonts w:ascii="Arial" w:hAnsi="Arial" w:cs="Arial"/>
          <w:color w:val="000000" w:themeColor="text1"/>
          <w:shd w:val="clear" w:color="auto" w:fill="FFFFFF"/>
        </w:rPr>
        <w:t>Psychosom</w:t>
      </w:r>
      <w:proofErr w:type="spellEnd"/>
      <w:r w:rsidRPr="0044343F">
        <w:rPr>
          <w:rFonts w:ascii="Arial" w:hAnsi="Arial" w:cs="Arial"/>
          <w:color w:val="000000" w:themeColor="text1"/>
          <w:shd w:val="clear" w:color="auto" w:fill="FFFFFF"/>
        </w:rPr>
        <w:t xml:space="preserve">. 2015;84(2):72-81. </w:t>
      </w:r>
      <w:proofErr w:type="spellStart"/>
      <w:r w:rsidRPr="0044343F">
        <w:rPr>
          <w:rFonts w:ascii="Arial" w:hAnsi="Arial" w:cs="Arial"/>
          <w:color w:val="000000" w:themeColor="text1"/>
          <w:shd w:val="clear" w:color="auto" w:fill="FFFFFF"/>
        </w:rPr>
        <w:t>doi</w:t>
      </w:r>
      <w:proofErr w:type="spellEnd"/>
      <w:r w:rsidRPr="0044343F">
        <w:rPr>
          <w:rFonts w:ascii="Arial" w:hAnsi="Arial" w:cs="Arial"/>
          <w:color w:val="000000" w:themeColor="text1"/>
          <w:shd w:val="clear" w:color="auto" w:fill="FFFFFF"/>
        </w:rPr>
        <w:t xml:space="preserve">: 10.1159/000370338. </w:t>
      </w:r>
      <w:proofErr w:type="spellStart"/>
      <w:r w:rsidRPr="0044343F">
        <w:rPr>
          <w:rFonts w:ascii="Arial" w:hAnsi="Arial" w:cs="Arial"/>
          <w:color w:val="000000" w:themeColor="text1"/>
          <w:shd w:val="clear" w:color="auto" w:fill="FFFFFF"/>
        </w:rPr>
        <w:t>Epub</w:t>
      </w:r>
      <w:proofErr w:type="spellEnd"/>
      <w:r w:rsidRPr="0044343F">
        <w:rPr>
          <w:rFonts w:ascii="Arial" w:hAnsi="Arial" w:cs="Arial"/>
          <w:color w:val="000000" w:themeColor="text1"/>
          <w:shd w:val="clear" w:color="auto" w:fill="FFFFFF"/>
        </w:rPr>
        <w:t xml:space="preserve"> 2015 Feb 21. PMID: 25721705.</w:t>
      </w:r>
    </w:p>
    <w:p w14:paraId="35B6F46F" w14:textId="77777777" w:rsidR="000B6CAB" w:rsidRPr="00B409F2" w:rsidRDefault="000B6CAB" w:rsidP="009D09DF">
      <w:pPr>
        <w:pStyle w:val="Body"/>
        <w:rPr>
          <w:rFonts w:ascii="Arial" w:hAnsi="Arial" w:cs="Arial"/>
          <w:sz w:val="24"/>
          <w:szCs w:val="24"/>
        </w:rPr>
      </w:pPr>
    </w:p>
    <w:p w14:paraId="4C0F0547" w14:textId="774A55F9" w:rsidR="00931C4C" w:rsidRDefault="00931C4C" w:rsidP="006D292D">
      <w:pPr>
        <w:pStyle w:val="Body"/>
        <w:rPr>
          <w:rFonts w:ascii="Arial" w:hAnsi="Arial" w:cs="Arial"/>
          <w:sz w:val="24"/>
          <w:szCs w:val="24"/>
        </w:rPr>
      </w:pPr>
    </w:p>
    <w:p w14:paraId="79D121D9" w14:textId="670C6D5A" w:rsidR="00931C4C" w:rsidRDefault="00931C4C" w:rsidP="006D292D">
      <w:pPr>
        <w:pStyle w:val="Body"/>
        <w:rPr>
          <w:rFonts w:ascii="Arial" w:hAnsi="Arial" w:cs="Arial"/>
          <w:sz w:val="24"/>
          <w:szCs w:val="24"/>
        </w:rPr>
      </w:pPr>
    </w:p>
    <w:p w14:paraId="62CC08B5" w14:textId="487700FD" w:rsidR="00931C4C" w:rsidRDefault="00931C4C" w:rsidP="006D292D">
      <w:pPr>
        <w:pStyle w:val="Body"/>
        <w:rPr>
          <w:rFonts w:ascii="Arial" w:hAnsi="Arial" w:cs="Arial"/>
          <w:sz w:val="24"/>
          <w:szCs w:val="24"/>
        </w:rPr>
      </w:pPr>
    </w:p>
    <w:p w14:paraId="186DBFB5" w14:textId="45603568" w:rsidR="00931C4C" w:rsidRDefault="00931C4C" w:rsidP="006D292D">
      <w:pPr>
        <w:pStyle w:val="Body"/>
        <w:rPr>
          <w:rFonts w:ascii="Arial" w:hAnsi="Arial" w:cs="Arial"/>
          <w:sz w:val="24"/>
          <w:szCs w:val="24"/>
        </w:rPr>
      </w:pPr>
    </w:p>
    <w:p w14:paraId="16EDA888" w14:textId="36672367" w:rsidR="00931C4C" w:rsidRDefault="00931C4C" w:rsidP="006D292D">
      <w:pPr>
        <w:pStyle w:val="Body"/>
        <w:rPr>
          <w:rFonts w:ascii="Arial" w:hAnsi="Arial" w:cs="Arial"/>
          <w:sz w:val="24"/>
          <w:szCs w:val="24"/>
        </w:rPr>
      </w:pPr>
    </w:p>
    <w:p w14:paraId="2DC5F086" w14:textId="1DA910CF" w:rsidR="00931C4C" w:rsidRDefault="00931C4C" w:rsidP="006D292D">
      <w:pPr>
        <w:pStyle w:val="Body"/>
        <w:rPr>
          <w:rFonts w:ascii="Arial" w:hAnsi="Arial" w:cs="Arial"/>
          <w:sz w:val="24"/>
          <w:szCs w:val="24"/>
        </w:rPr>
      </w:pPr>
    </w:p>
    <w:p w14:paraId="79F69DA7" w14:textId="050B0250" w:rsidR="00931C4C" w:rsidRDefault="00931C4C" w:rsidP="006D292D">
      <w:pPr>
        <w:pStyle w:val="Body"/>
        <w:rPr>
          <w:rFonts w:ascii="Arial" w:hAnsi="Arial" w:cs="Arial"/>
          <w:sz w:val="24"/>
          <w:szCs w:val="24"/>
        </w:rPr>
      </w:pPr>
    </w:p>
    <w:p w14:paraId="1264673F" w14:textId="77777777" w:rsidR="00931C4C" w:rsidRPr="006D292D" w:rsidRDefault="00931C4C" w:rsidP="006D292D">
      <w:pPr>
        <w:pStyle w:val="Body"/>
        <w:rPr>
          <w:rFonts w:ascii="Arial" w:hAnsi="Arial" w:cs="Arial"/>
          <w:sz w:val="24"/>
          <w:szCs w:val="24"/>
        </w:rPr>
      </w:pPr>
    </w:p>
    <w:sectPr w:rsidR="00931C4C" w:rsidRPr="006D292D">
      <w:headerReference w:type="default" r:id="rId44"/>
      <w:footerReference w:type="default" r:id="rId45"/>
      <w:endnotePr>
        <w:numFmt w:val="decimal"/>
      </w:endnotePr>
      <w:pgSz w:w="11900" w:h="16840"/>
      <w:pgMar w:top="1440" w:right="1440" w:bottom="1440" w:left="1440" w:header="708"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8BA8F7" w14:textId="77777777" w:rsidR="000B3ACC" w:rsidRDefault="000B3ACC">
      <w:r>
        <w:separator/>
      </w:r>
    </w:p>
  </w:endnote>
  <w:endnote w:type="continuationSeparator" w:id="0">
    <w:p w14:paraId="7DD6971C" w14:textId="77777777" w:rsidR="000B3ACC" w:rsidRDefault="000B3A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Helvetica Neue">
    <w:altName w:val="Sylfaen"/>
    <w:panose1 w:val="02000503000000020004"/>
    <w:charset w:val="00"/>
    <w:family w:val="auto"/>
    <w:pitch w:val="variable"/>
    <w:sig w:usb0="E50002FF" w:usb1="500079DB" w:usb2="00000010" w:usb3="00000000" w:csb0="00000001"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Roboto">
    <w:altName w:val="Arial"/>
    <w:panose1 w:val="020B0604020202020204"/>
    <w:charset w:val="00"/>
    <w:family w:val="auto"/>
    <w:pitch w:val="variable"/>
    <w:sig w:usb0="E00002FF" w:usb1="5000205B" w:usb2="0000002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0F1A4" w14:textId="53B65D7F" w:rsidR="002B1C15" w:rsidRPr="00B635F0" w:rsidRDefault="002B1C15" w:rsidP="006D292D">
    <w:pPr>
      <w:pStyle w:val="Footer"/>
      <w:tabs>
        <w:tab w:val="right" w:pos="9900"/>
      </w:tabs>
      <w:rPr>
        <w:rFonts w:ascii="Tahoma" w:hAnsi="Tahoma" w:cs="Tahoma"/>
        <w:sz w:val="18"/>
        <w:szCs w:val="18"/>
      </w:rPr>
    </w:pPr>
    <w:r w:rsidRPr="00B635F0">
      <w:rPr>
        <w:rFonts w:ascii="Tahoma" w:hAnsi="Tahoma" w:cs="Tahoma"/>
        <w:sz w:val="18"/>
        <w:szCs w:val="18"/>
      </w:rPr>
      <w:t>P</w:t>
    </w:r>
    <w:r>
      <w:rPr>
        <w:rFonts w:ascii="Tahoma" w:hAnsi="Tahoma" w:cs="Tahoma"/>
        <w:sz w:val="18"/>
        <w:szCs w:val="18"/>
      </w:rPr>
      <w:t xml:space="preserve">ublished: </w:t>
    </w:r>
    <w:r w:rsidRPr="0021683F">
      <w:rPr>
        <w:rFonts w:ascii="Tahoma" w:hAnsi="Tahoma" w:cs="Tahoma"/>
        <w:i/>
        <w:sz w:val="18"/>
        <w:szCs w:val="18"/>
      </w:rPr>
      <w:t>Insert date</w:t>
    </w:r>
    <w:r w:rsidRPr="00B635F0">
      <w:rPr>
        <w:rFonts w:ascii="Tahoma" w:hAnsi="Tahoma" w:cs="Tahoma"/>
        <w:sz w:val="18"/>
        <w:szCs w:val="18"/>
      </w:rPr>
      <w:t xml:space="preserve">             </w:t>
    </w:r>
    <w:r>
      <w:rPr>
        <w:rFonts w:ascii="Tahoma" w:hAnsi="Tahoma" w:cs="Tahoma"/>
        <w:sz w:val="18"/>
        <w:szCs w:val="18"/>
      </w:rPr>
      <w:t xml:space="preserve">                        </w:t>
    </w:r>
    <w:r w:rsidRPr="00B635F0">
      <w:rPr>
        <w:rFonts w:ascii="Tahoma" w:hAnsi="Tahoma" w:cs="Tahoma"/>
        <w:sz w:val="18"/>
        <w:szCs w:val="18"/>
      </w:rPr>
      <w:t xml:space="preserve">                                                          Review due: </w:t>
    </w:r>
    <w:r w:rsidRPr="0021683F">
      <w:rPr>
        <w:rFonts w:ascii="Tahoma" w:hAnsi="Tahoma" w:cs="Tahoma"/>
        <w:i/>
        <w:sz w:val="18"/>
        <w:szCs w:val="18"/>
      </w:rPr>
      <w:t>Insert date</w:t>
    </w:r>
  </w:p>
  <w:p w14:paraId="173DA166" w14:textId="77777777" w:rsidR="002B1C15" w:rsidRDefault="002B1C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B3F702" w14:textId="1F70B02B" w:rsidR="002B1C15" w:rsidRPr="00B635F0" w:rsidRDefault="002B1C15" w:rsidP="0032044D">
    <w:pPr>
      <w:pStyle w:val="Footer"/>
      <w:tabs>
        <w:tab w:val="right" w:pos="9900"/>
      </w:tabs>
      <w:rPr>
        <w:rFonts w:ascii="Tahoma" w:hAnsi="Tahoma" w:cs="Tahoma"/>
        <w:sz w:val="18"/>
        <w:szCs w:val="18"/>
      </w:rPr>
    </w:pPr>
    <w:r w:rsidRPr="00B635F0">
      <w:rPr>
        <w:rFonts w:ascii="Tahoma" w:hAnsi="Tahoma" w:cs="Tahoma"/>
        <w:sz w:val="18"/>
        <w:szCs w:val="18"/>
      </w:rPr>
      <w:t>P</w:t>
    </w:r>
    <w:r>
      <w:rPr>
        <w:rFonts w:ascii="Tahoma" w:hAnsi="Tahoma" w:cs="Tahoma"/>
        <w:sz w:val="18"/>
        <w:szCs w:val="18"/>
      </w:rPr>
      <w:t xml:space="preserve">ublished: </w:t>
    </w:r>
    <w:r w:rsidRPr="0021683F">
      <w:rPr>
        <w:rFonts w:ascii="Tahoma" w:hAnsi="Tahoma" w:cs="Tahoma"/>
        <w:i/>
        <w:sz w:val="18"/>
        <w:szCs w:val="18"/>
      </w:rPr>
      <w:t>Insert date</w:t>
    </w:r>
    <w:r w:rsidRPr="00B635F0">
      <w:rPr>
        <w:rFonts w:ascii="Tahoma" w:hAnsi="Tahoma" w:cs="Tahoma"/>
        <w:sz w:val="18"/>
        <w:szCs w:val="18"/>
      </w:rPr>
      <w:t xml:space="preserve">             </w:t>
    </w:r>
    <w:r>
      <w:rPr>
        <w:rFonts w:ascii="Tahoma" w:hAnsi="Tahoma" w:cs="Tahoma"/>
        <w:sz w:val="18"/>
        <w:szCs w:val="18"/>
      </w:rPr>
      <w:t xml:space="preserve">                        </w:t>
    </w:r>
    <w:r w:rsidRPr="00B635F0">
      <w:rPr>
        <w:rFonts w:ascii="Tahoma" w:hAnsi="Tahoma" w:cs="Tahoma"/>
        <w:sz w:val="18"/>
        <w:szCs w:val="18"/>
      </w:rPr>
      <w:t xml:space="preserve">                                                          Review due: </w:t>
    </w:r>
    <w:r w:rsidRPr="0021683F">
      <w:rPr>
        <w:rFonts w:ascii="Tahoma" w:hAnsi="Tahoma" w:cs="Tahoma"/>
        <w:i/>
        <w:sz w:val="18"/>
        <w:szCs w:val="18"/>
      </w:rPr>
      <w:t>Insert date</w:t>
    </w:r>
  </w:p>
  <w:p w14:paraId="012BD8D9" w14:textId="77777777" w:rsidR="002B1C15" w:rsidRDefault="002B1C1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8525106"/>
      <w:docPartObj>
        <w:docPartGallery w:val="Page Numbers (Bottom of Page)"/>
        <w:docPartUnique/>
      </w:docPartObj>
    </w:sdtPr>
    <w:sdtEndPr>
      <w:rPr>
        <w:noProof/>
      </w:rPr>
    </w:sdtEndPr>
    <w:sdtContent>
      <w:p w14:paraId="171CEBF9" w14:textId="0DDCFA22" w:rsidR="002B1C15" w:rsidRDefault="002B1C15">
        <w:pPr>
          <w:pStyle w:val="Footer"/>
          <w:jc w:val="right"/>
        </w:pPr>
        <w:r>
          <w:fldChar w:fldCharType="begin"/>
        </w:r>
        <w:r>
          <w:instrText xml:space="preserve"> PAGE   \* MERGEFORMAT </w:instrText>
        </w:r>
        <w:r>
          <w:fldChar w:fldCharType="separate"/>
        </w:r>
        <w:r w:rsidR="007777F5">
          <w:rPr>
            <w:noProof/>
          </w:rPr>
          <w:t>23</w:t>
        </w:r>
        <w:r>
          <w:rPr>
            <w:noProof/>
          </w:rPr>
          <w:fldChar w:fldCharType="end"/>
        </w:r>
      </w:p>
    </w:sdtContent>
  </w:sdt>
  <w:p w14:paraId="6754993F" w14:textId="77777777" w:rsidR="002B1C15" w:rsidRDefault="002B1C15">
    <w:pPr>
      <w:pStyle w:val="Footer"/>
      <w:tabs>
        <w:tab w:val="clear" w:pos="9026"/>
        <w:tab w:val="right" w:pos="900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4BB10F" w14:textId="77777777" w:rsidR="000B3ACC" w:rsidRDefault="000B3ACC">
      <w:r>
        <w:separator/>
      </w:r>
    </w:p>
  </w:footnote>
  <w:footnote w:type="continuationSeparator" w:id="0">
    <w:p w14:paraId="3D2A48B9" w14:textId="77777777" w:rsidR="000B3ACC" w:rsidRDefault="000B3A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B6DF12" w14:textId="4E54BE4B" w:rsidR="002B1C15" w:rsidRDefault="002B1C15" w:rsidP="00CF7CE7">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BFD38" w14:textId="77777777" w:rsidR="002B1C15" w:rsidRDefault="002B1C15">
    <w:pPr>
      <w:pStyle w:val="Header"/>
      <w:tabs>
        <w:tab w:val="clear" w:pos="9026"/>
        <w:tab w:val="right" w:pos="9000"/>
      </w:tabs>
    </w:pPr>
    <w:r>
      <w:rPr>
        <w:noProof/>
        <w:lang w:val="en-IE"/>
      </w:rPr>
      <mc:AlternateContent>
        <mc:Choice Requires="wps">
          <w:drawing>
            <wp:anchor distT="152400" distB="152400" distL="152400" distR="152400" simplePos="0" relativeHeight="251658240" behindDoc="1" locked="0" layoutInCell="1" allowOverlap="1" wp14:anchorId="348188FA" wp14:editId="6870AD92">
              <wp:simplePos x="0" y="0"/>
              <wp:positionH relativeFrom="page">
                <wp:posOffset>1161415</wp:posOffset>
              </wp:positionH>
              <wp:positionV relativeFrom="page">
                <wp:posOffset>3774757</wp:posOffset>
              </wp:positionV>
              <wp:extent cx="5237480" cy="3142615"/>
              <wp:effectExtent l="344071" t="1391503" r="344071" b="1391503"/>
              <wp:wrapNone/>
              <wp:docPr id="1073741825" name="officeArt object"/>
              <wp:cNvGraphicFramePr/>
              <a:graphic xmlns:a="http://schemas.openxmlformats.org/drawingml/2006/main">
                <a:graphicData uri="http://schemas.microsoft.com/office/word/2010/wordprocessingShape">
                  <wps:wsp>
                    <wps:cNvSpPr txBox="1"/>
                    <wps:spPr>
                      <a:xfrm rot="18900000">
                        <a:off x="0" y="0"/>
                        <a:ext cx="5237480" cy="3142615"/>
                      </a:xfrm>
                      <a:prstGeom prst="rect">
                        <a:avLst/>
                      </a:prstGeom>
                      <a:noFill/>
                      <a:ln w="12700" cap="flat">
                        <a:noFill/>
                        <a:miter lim="400000"/>
                      </a:ln>
                      <a:effectLst/>
                    </wps:spPr>
                    <wps:txbx>
                      <w:txbxContent>
                        <w:p w14:paraId="1190FD65" w14:textId="77777777" w:rsidR="002B1C15" w:rsidRDefault="002B1C15">
                          <w:pPr>
                            <w:pStyle w:val="Caption"/>
                            <w:tabs>
                              <w:tab w:val="left" w:pos="1440"/>
                              <w:tab w:val="left" w:pos="2880"/>
                              <w:tab w:val="left" w:pos="4320"/>
                              <w:tab w:val="left" w:pos="5760"/>
                              <w:tab w:val="left" w:pos="7200"/>
                            </w:tabs>
                          </w:pPr>
                          <w:r>
                            <w:rPr>
                              <w:color w:val="C0C0C0"/>
                              <w:sz w:val="494"/>
                              <w:szCs w:val="494"/>
                              <w14:textFill>
                                <w14:solidFill>
                                  <w14:srgbClr w14:val="C0C0C0">
                                    <w14:alpha w14:val="50000"/>
                                  </w14:srgbClr>
                                </w14:solidFill>
                              </w14:textFill>
                            </w:rPr>
                            <w:t>DRAFT</w:t>
                          </w:r>
                        </w:p>
                      </w:txbxContent>
                    </wps:txbx>
                    <wps:bodyPr wrap="square" lIns="0" tIns="0" rIns="0" bIns="0" numCol="1" anchor="ctr">
                      <a:normAutofit/>
                    </wps:bodyPr>
                  </wps:wsp>
                </a:graphicData>
              </a:graphic>
            </wp:anchor>
          </w:drawing>
        </mc:Choice>
        <mc:Fallback>
          <w:pict>
            <v:shapetype w14:anchorId="348188FA" id="_x0000_t202" coordsize="21600,21600" o:spt="202" path="m,l,21600r21600,l21600,xe">
              <v:stroke joinstyle="miter"/>
              <v:path gradientshapeok="t" o:connecttype="rect"/>
            </v:shapetype>
            <v:shape id="officeArt object" o:spid="_x0000_s1026" type="#_x0000_t202" style="position:absolute;margin-left:91.45pt;margin-top:297.2pt;width:412.4pt;height:247.45pt;rotation:-45;z-index:-251658240;visibility:visible;mso-wrap-style:square;mso-wrap-distance-left:12pt;mso-wrap-distance-top:12pt;mso-wrap-distance-right:12pt;mso-wrap-distance-bottom:12pt;mso-position-horizontal:absolute;mso-position-horizontal-relative:page;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" filled="f" stroked="f" strokeweight="1pt">
              <v:stroke miterlimit="4"/>
              <v:textbox inset="0,0,0,0">
                <w:txbxContent>
                  <w:p w14:paraId="1190FD65" w14:textId="77777777" w:rsidR="002B1C15" w:rsidRDefault="002B1C15">
                    <w:pPr>
                      <w:pStyle w:val="Caption"/>
                      <w:tabs>
                        <w:tab w:val="left" w:pos="1440"/>
                        <w:tab w:val="left" w:pos="2880"/>
                        <w:tab w:val="left" w:pos="4320"/>
                        <w:tab w:val="left" w:pos="5760"/>
                        <w:tab w:val="left" w:pos="7200"/>
                      </w:tabs>
                    </w:pPr>
                    <w:r>
                      <w:rPr>
                        <w:color w:val="C0C0C0"/>
                        <w:sz w:val="494"/>
                        <w:szCs w:val="494"/>
                        <w14:textFill>
                          <w14:solidFill>
                            <w14:srgbClr w14:val="C0C0C0">
                              <w14:alpha w14:val="50000"/>
                            </w14:srgbClr>
                          </w14:solidFill>
                        </w14:textFill>
                      </w:rPr>
                      <w:t>DRAFT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51209"/>
    <w:multiLevelType w:val="hybridMultilevel"/>
    <w:tmpl w:val="11CC2468"/>
    <w:styleLink w:val="ImportedStyle16"/>
    <w:lvl w:ilvl="0" w:tplc="274AB2F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BE66FE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CD0CAB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1846384">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83E9E1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DBE9A2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34E57E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AE4229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A52376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E4D44E6"/>
    <w:multiLevelType w:val="hybridMultilevel"/>
    <w:tmpl w:val="D61225CE"/>
    <w:styleLink w:val="ImportedStyle4"/>
    <w:lvl w:ilvl="0" w:tplc="BF14E910">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6AA67A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12E8AC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294A5CA">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6DAEE5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EA0577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D6E4E7A">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A00636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1042C2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10251B58"/>
    <w:multiLevelType w:val="hybridMultilevel"/>
    <w:tmpl w:val="60BEE100"/>
    <w:styleLink w:val="ImportedStyle17"/>
    <w:lvl w:ilvl="0" w:tplc="79682D1A">
      <w:start w:val="1"/>
      <w:numFmt w:val="bullet"/>
      <w:lvlText w:val="·"/>
      <w:lvlJc w:val="left"/>
      <w:pPr>
        <w:ind w:left="4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8709BEC">
      <w:start w:val="1"/>
      <w:numFmt w:val="bullet"/>
      <w:lvlText w:val="o"/>
      <w:lvlJc w:val="left"/>
      <w:pPr>
        <w:ind w:left="149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BA051C4">
      <w:start w:val="1"/>
      <w:numFmt w:val="bullet"/>
      <w:lvlText w:val="▪"/>
      <w:lvlJc w:val="left"/>
      <w:pPr>
        <w:ind w:left="221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522836E">
      <w:start w:val="1"/>
      <w:numFmt w:val="bullet"/>
      <w:lvlText w:val="·"/>
      <w:lvlJc w:val="left"/>
      <w:pPr>
        <w:ind w:left="293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3B679A2">
      <w:start w:val="1"/>
      <w:numFmt w:val="bullet"/>
      <w:lvlText w:val="o"/>
      <w:lvlJc w:val="left"/>
      <w:pPr>
        <w:ind w:left="365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92E98DE">
      <w:start w:val="1"/>
      <w:numFmt w:val="bullet"/>
      <w:lvlText w:val="▪"/>
      <w:lvlJc w:val="left"/>
      <w:pPr>
        <w:ind w:left="437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E586062">
      <w:start w:val="1"/>
      <w:numFmt w:val="bullet"/>
      <w:lvlText w:val="·"/>
      <w:lvlJc w:val="left"/>
      <w:pPr>
        <w:ind w:left="509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B8E8450">
      <w:start w:val="1"/>
      <w:numFmt w:val="bullet"/>
      <w:lvlText w:val="o"/>
      <w:lvlJc w:val="left"/>
      <w:pPr>
        <w:ind w:left="581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27C0DB0">
      <w:start w:val="1"/>
      <w:numFmt w:val="bullet"/>
      <w:lvlText w:val="▪"/>
      <w:lvlJc w:val="left"/>
      <w:pPr>
        <w:ind w:left="653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18257785"/>
    <w:multiLevelType w:val="hybridMultilevel"/>
    <w:tmpl w:val="F98E4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B35960"/>
    <w:multiLevelType w:val="hybridMultilevel"/>
    <w:tmpl w:val="E9225B86"/>
    <w:styleLink w:val="ImportedStyle1"/>
    <w:lvl w:ilvl="0" w:tplc="93521D58">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698E38A">
      <w:start w:val="1"/>
      <w:numFmt w:val="bullet"/>
      <w:lvlText w:val="·"/>
      <w:lvlJc w:val="left"/>
      <w:pPr>
        <w:tabs>
          <w:tab w:val="left" w:pos="720"/>
        </w:tabs>
        <w:ind w:left="108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190F026">
      <w:start w:val="1"/>
      <w:numFmt w:val="bullet"/>
      <w:lvlText w:val="·"/>
      <w:lvlJc w:val="left"/>
      <w:pPr>
        <w:tabs>
          <w:tab w:val="left" w:pos="720"/>
        </w:tabs>
        <w:ind w:left="180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A7C2DC6">
      <w:start w:val="1"/>
      <w:numFmt w:val="bullet"/>
      <w:lvlText w:val="·"/>
      <w:lvlJc w:val="left"/>
      <w:pPr>
        <w:tabs>
          <w:tab w:val="left" w:pos="720"/>
        </w:tabs>
        <w:ind w:left="252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1A892B6">
      <w:start w:val="1"/>
      <w:numFmt w:val="bullet"/>
      <w:lvlText w:val="·"/>
      <w:lvlJc w:val="left"/>
      <w:pPr>
        <w:tabs>
          <w:tab w:val="left" w:pos="720"/>
        </w:tabs>
        <w:ind w:left="324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3A4FEB6">
      <w:start w:val="1"/>
      <w:numFmt w:val="bullet"/>
      <w:lvlText w:val="·"/>
      <w:lvlJc w:val="left"/>
      <w:pPr>
        <w:tabs>
          <w:tab w:val="left" w:pos="720"/>
        </w:tabs>
        <w:ind w:left="396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CC25028">
      <w:start w:val="1"/>
      <w:numFmt w:val="bullet"/>
      <w:lvlText w:val="·"/>
      <w:lvlJc w:val="left"/>
      <w:pPr>
        <w:tabs>
          <w:tab w:val="left" w:pos="720"/>
        </w:tabs>
        <w:ind w:left="468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7649624">
      <w:start w:val="1"/>
      <w:numFmt w:val="bullet"/>
      <w:lvlText w:val="·"/>
      <w:lvlJc w:val="left"/>
      <w:pPr>
        <w:tabs>
          <w:tab w:val="left" w:pos="720"/>
        </w:tabs>
        <w:ind w:left="540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83AF5FA">
      <w:start w:val="1"/>
      <w:numFmt w:val="bullet"/>
      <w:lvlText w:val="·"/>
      <w:lvlJc w:val="left"/>
      <w:pPr>
        <w:tabs>
          <w:tab w:val="left" w:pos="720"/>
        </w:tabs>
        <w:ind w:left="6120" w:hanging="360"/>
      </w:pPr>
      <w:rPr>
        <w:rFonts w:ascii="Symbol" w:eastAsia="Symbol" w:hAnsi="Symbol" w:cs="Symbol"/>
        <w:b w:val="0"/>
        <w:bCs w:val="0"/>
        <w:i w:val="0"/>
        <w:iCs w:val="0"/>
        <w:caps w:val="0"/>
        <w:smallCaps w:val="0"/>
        <w:strike w:val="0"/>
        <w:dstrike w:val="0"/>
        <w:color w:val="00000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353326CE"/>
    <w:multiLevelType w:val="hybridMultilevel"/>
    <w:tmpl w:val="BF746A7C"/>
    <w:styleLink w:val="ImportedStyle15"/>
    <w:lvl w:ilvl="0" w:tplc="726E4850">
      <w:start w:val="1"/>
      <w:numFmt w:val="bullet"/>
      <w:lvlText w:val="·"/>
      <w:lvlJc w:val="left"/>
      <w:pPr>
        <w:tabs>
          <w:tab w:val="left" w:pos="2433"/>
        </w:tabs>
        <w:ind w:left="720" w:hanging="4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B288F26">
      <w:start w:val="1"/>
      <w:numFmt w:val="bullet"/>
      <w:lvlText w:val="o"/>
      <w:lvlJc w:val="left"/>
      <w:pPr>
        <w:tabs>
          <w:tab w:val="left" w:pos="2433"/>
        </w:tabs>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8D4839A">
      <w:start w:val="1"/>
      <w:numFmt w:val="bullet"/>
      <w:lvlText w:val="▪"/>
      <w:lvlJc w:val="left"/>
      <w:pPr>
        <w:tabs>
          <w:tab w:val="left" w:pos="2433"/>
        </w:tabs>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29E1F96">
      <w:start w:val="1"/>
      <w:numFmt w:val="bullet"/>
      <w:lvlText w:val="·"/>
      <w:lvlJc w:val="left"/>
      <w:pPr>
        <w:tabs>
          <w:tab w:val="left" w:pos="2433"/>
        </w:tabs>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400E896">
      <w:start w:val="1"/>
      <w:numFmt w:val="bullet"/>
      <w:lvlText w:val="o"/>
      <w:lvlJc w:val="left"/>
      <w:pPr>
        <w:tabs>
          <w:tab w:val="left" w:pos="2433"/>
        </w:tabs>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B0E56A6">
      <w:start w:val="1"/>
      <w:numFmt w:val="bullet"/>
      <w:lvlText w:val="▪"/>
      <w:lvlJc w:val="left"/>
      <w:pPr>
        <w:tabs>
          <w:tab w:val="left" w:pos="2433"/>
        </w:tabs>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668B8FE">
      <w:start w:val="1"/>
      <w:numFmt w:val="bullet"/>
      <w:lvlText w:val="·"/>
      <w:lvlJc w:val="left"/>
      <w:pPr>
        <w:tabs>
          <w:tab w:val="left" w:pos="2433"/>
        </w:tabs>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A340C1A">
      <w:start w:val="1"/>
      <w:numFmt w:val="bullet"/>
      <w:lvlText w:val="o"/>
      <w:lvlJc w:val="left"/>
      <w:pPr>
        <w:tabs>
          <w:tab w:val="left" w:pos="2433"/>
        </w:tabs>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2980C66">
      <w:start w:val="1"/>
      <w:numFmt w:val="bullet"/>
      <w:lvlText w:val="▪"/>
      <w:lvlJc w:val="left"/>
      <w:pPr>
        <w:tabs>
          <w:tab w:val="left" w:pos="2433"/>
        </w:tabs>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38D455B7"/>
    <w:multiLevelType w:val="hybridMultilevel"/>
    <w:tmpl w:val="08E44CF4"/>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3D325ECD"/>
    <w:multiLevelType w:val="hybridMultilevel"/>
    <w:tmpl w:val="75746D48"/>
    <w:styleLink w:val="ImportedStyle5"/>
    <w:lvl w:ilvl="0" w:tplc="FBB63A6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FB494AE">
      <w:start w:val="1"/>
      <w:numFmt w:val="bullet"/>
      <w:lvlText w:val="·"/>
      <w:lvlJc w:val="left"/>
      <w:pPr>
        <w:ind w:left="10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02A2F02">
      <w:start w:val="1"/>
      <w:numFmt w:val="bullet"/>
      <w:lvlText w:val="·"/>
      <w:lvlJc w:val="left"/>
      <w:pPr>
        <w:ind w:left="180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DBC2750">
      <w:start w:val="1"/>
      <w:numFmt w:val="bullet"/>
      <w:lvlText w:val="·"/>
      <w:lvlJc w:val="left"/>
      <w:pPr>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F5A0EEE">
      <w:start w:val="1"/>
      <w:numFmt w:val="bullet"/>
      <w:lvlText w:val="·"/>
      <w:lvlJc w:val="left"/>
      <w:pPr>
        <w:ind w:left="32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3E4407E">
      <w:start w:val="1"/>
      <w:numFmt w:val="bullet"/>
      <w:lvlText w:val="·"/>
      <w:lvlJc w:val="left"/>
      <w:pPr>
        <w:ind w:left="39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5CE92E4">
      <w:start w:val="1"/>
      <w:numFmt w:val="bullet"/>
      <w:lvlText w:val="·"/>
      <w:lvlJc w:val="left"/>
      <w:pPr>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25C98C8">
      <w:start w:val="1"/>
      <w:numFmt w:val="bullet"/>
      <w:lvlText w:val="·"/>
      <w:lvlJc w:val="left"/>
      <w:pPr>
        <w:ind w:left="540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38EADE0">
      <w:start w:val="1"/>
      <w:numFmt w:val="bullet"/>
      <w:lvlText w:val="·"/>
      <w:lvlJc w:val="left"/>
      <w:pPr>
        <w:ind w:left="61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4FA07BBA"/>
    <w:multiLevelType w:val="hybridMultilevel"/>
    <w:tmpl w:val="A6707F1E"/>
    <w:styleLink w:val="ImportedStyle9"/>
    <w:lvl w:ilvl="0" w:tplc="401607DE">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DF4281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CD46D9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9E61184">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47A36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CB22F5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BE678C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6A850B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3F89BC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50476710"/>
    <w:multiLevelType w:val="hybridMultilevel"/>
    <w:tmpl w:val="3AA8A280"/>
    <w:styleLink w:val="ImportedStyle3"/>
    <w:lvl w:ilvl="0" w:tplc="7D025D4C">
      <w:start w:val="1"/>
      <w:numFmt w:val="bullet"/>
      <w:lvlText w:val="●"/>
      <w:lvlJc w:val="left"/>
      <w:pPr>
        <w:ind w:left="72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400FE12">
      <w:start w:val="1"/>
      <w:numFmt w:val="bullet"/>
      <w:lvlText w:val="o"/>
      <w:lvlJc w:val="left"/>
      <w:pPr>
        <w:ind w:left="144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8B6022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3ACAE0E">
      <w:start w:val="1"/>
      <w:numFmt w:val="bullet"/>
      <w:lvlText w:val="●"/>
      <w:lvlJc w:val="left"/>
      <w:pPr>
        <w:ind w:left="288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13636EC">
      <w:start w:val="1"/>
      <w:numFmt w:val="bullet"/>
      <w:lvlText w:val="o"/>
      <w:lvlJc w:val="left"/>
      <w:pPr>
        <w:ind w:left="360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932B89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6DC0E84">
      <w:start w:val="1"/>
      <w:numFmt w:val="bullet"/>
      <w:lvlText w:val="●"/>
      <w:lvlJc w:val="left"/>
      <w:pPr>
        <w:ind w:left="504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92C6ECA">
      <w:start w:val="1"/>
      <w:numFmt w:val="bullet"/>
      <w:lvlText w:val="o"/>
      <w:lvlJc w:val="left"/>
      <w:pPr>
        <w:ind w:left="5760" w:hanging="360"/>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070370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15:restartNumberingAfterBreak="0">
    <w:nsid w:val="566F23E4"/>
    <w:multiLevelType w:val="hybridMultilevel"/>
    <w:tmpl w:val="37C6257A"/>
    <w:styleLink w:val="ImportedStyle12"/>
    <w:lvl w:ilvl="0" w:tplc="0EAC262C">
      <w:start w:val="1"/>
      <w:numFmt w:val="bullet"/>
      <w:lvlText w:val="·"/>
      <w:lvlJc w:val="left"/>
      <w:pPr>
        <w:tabs>
          <w:tab w:val="left" w:pos="2433"/>
        </w:tabs>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4524396">
      <w:start w:val="1"/>
      <w:numFmt w:val="bullet"/>
      <w:lvlText w:val="o"/>
      <w:lvlJc w:val="left"/>
      <w:pPr>
        <w:tabs>
          <w:tab w:val="left" w:pos="2433"/>
        </w:tabs>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E6EB566">
      <w:start w:val="1"/>
      <w:numFmt w:val="bullet"/>
      <w:lvlText w:val="▪"/>
      <w:lvlJc w:val="left"/>
      <w:pPr>
        <w:tabs>
          <w:tab w:val="left" w:pos="2433"/>
        </w:tabs>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2BA4006">
      <w:start w:val="1"/>
      <w:numFmt w:val="bullet"/>
      <w:lvlText w:val="·"/>
      <w:lvlJc w:val="left"/>
      <w:pPr>
        <w:tabs>
          <w:tab w:val="left" w:pos="2433"/>
        </w:tabs>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95E9436">
      <w:start w:val="1"/>
      <w:numFmt w:val="bullet"/>
      <w:lvlText w:val="o"/>
      <w:lvlJc w:val="left"/>
      <w:pPr>
        <w:tabs>
          <w:tab w:val="left" w:pos="2433"/>
        </w:tabs>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DBEB622">
      <w:start w:val="1"/>
      <w:numFmt w:val="bullet"/>
      <w:lvlText w:val="▪"/>
      <w:lvlJc w:val="left"/>
      <w:pPr>
        <w:tabs>
          <w:tab w:val="left" w:pos="2433"/>
        </w:tabs>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A58DE54">
      <w:start w:val="1"/>
      <w:numFmt w:val="bullet"/>
      <w:lvlText w:val="·"/>
      <w:lvlJc w:val="left"/>
      <w:pPr>
        <w:tabs>
          <w:tab w:val="left" w:pos="2433"/>
        </w:tabs>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D401F58">
      <w:start w:val="1"/>
      <w:numFmt w:val="bullet"/>
      <w:lvlText w:val="o"/>
      <w:lvlJc w:val="left"/>
      <w:pPr>
        <w:tabs>
          <w:tab w:val="left" w:pos="2433"/>
        </w:tabs>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FDEEF3C">
      <w:start w:val="1"/>
      <w:numFmt w:val="bullet"/>
      <w:lvlText w:val="▪"/>
      <w:lvlJc w:val="left"/>
      <w:pPr>
        <w:tabs>
          <w:tab w:val="left" w:pos="2433"/>
        </w:tabs>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57287162"/>
    <w:multiLevelType w:val="hybridMultilevel"/>
    <w:tmpl w:val="399219A6"/>
    <w:styleLink w:val="ImportedStyle13"/>
    <w:lvl w:ilvl="0" w:tplc="74A0837E">
      <w:start w:val="1"/>
      <w:numFmt w:val="bullet"/>
      <w:lvlText w:val="·"/>
      <w:lvlJc w:val="left"/>
      <w:pPr>
        <w:tabs>
          <w:tab w:val="left" w:pos="2433"/>
        </w:tabs>
        <w:ind w:left="753" w:hanging="393"/>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A00EF8A">
      <w:start w:val="1"/>
      <w:numFmt w:val="bullet"/>
      <w:lvlText w:val="✓"/>
      <w:lvlJc w:val="left"/>
      <w:pPr>
        <w:tabs>
          <w:tab w:val="left" w:pos="2433"/>
        </w:tabs>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0044BC0">
      <w:start w:val="1"/>
      <w:numFmt w:val="bullet"/>
      <w:lvlText w:val="▪"/>
      <w:lvlJc w:val="left"/>
      <w:pPr>
        <w:tabs>
          <w:tab w:val="left" w:pos="2433"/>
        </w:tabs>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07C84E0">
      <w:start w:val="1"/>
      <w:numFmt w:val="bullet"/>
      <w:lvlText w:val="•"/>
      <w:lvlJc w:val="left"/>
      <w:pPr>
        <w:tabs>
          <w:tab w:val="left" w:pos="2433"/>
        </w:tabs>
        <w:ind w:left="28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CCCED9A">
      <w:start w:val="1"/>
      <w:numFmt w:val="bullet"/>
      <w:lvlText w:val="o"/>
      <w:lvlJc w:val="left"/>
      <w:pPr>
        <w:tabs>
          <w:tab w:val="left" w:pos="2433"/>
        </w:tabs>
        <w:ind w:left="3600" w:hanging="36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5741746">
      <w:start w:val="1"/>
      <w:numFmt w:val="bullet"/>
      <w:lvlText w:val="▪"/>
      <w:lvlJc w:val="left"/>
      <w:pPr>
        <w:tabs>
          <w:tab w:val="left" w:pos="2433"/>
        </w:tabs>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82E03E2">
      <w:start w:val="1"/>
      <w:numFmt w:val="bullet"/>
      <w:lvlText w:val="•"/>
      <w:lvlJc w:val="left"/>
      <w:pPr>
        <w:tabs>
          <w:tab w:val="left" w:pos="2433"/>
        </w:tabs>
        <w:ind w:left="50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A4000E2">
      <w:start w:val="1"/>
      <w:numFmt w:val="bullet"/>
      <w:lvlText w:val="o"/>
      <w:lvlJc w:val="left"/>
      <w:pPr>
        <w:tabs>
          <w:tab w:val="left" w:pos="2433"/>
        </w:tabs>
        <w:ind w:left="5760" w:hanging="360"/>
      </w:pPr>
      <w:rPr>
        <w:rFonts w:ascii="Wingdings" w:eastAsia="Wingdings" w:hAnsi="Wingdings" w:cs="Wingding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B0AEADC">
      <w:start w:val="1"/>
      <w:numFmt w:val="bullet"/>
      <w:lvlText w:val="▪"/>
      <w:lvlJc w:val="left"/>
      <w:pPr>
        <w:tabs>
          <w:tab w:val="left" w:pos="2433"/>
        </w:tabs>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 w15:restartNumberingAfterBreak="0">
    <w:nsid w:val="61E37E85"/>
    <w:multiLevelType w:val="hybridMultilevel"/>
    <w:tmpl w:val="3000DA74"/>
    <w:lvl w:ilvl="0" w:tplc="18090001">
      <w:start w:val="1"/>
      <w:numFmt w:val="bullet"/>
      <w:lvlText w:val=""/>
      <w:lvlJc w:val="left"/>
      <w:pPr>
        <w:ind w:left="1080" w:hanging="360"/>
      </w:pPr>
      <w:rPr>
        <w:rFonts w:ascii="Symbol" w:hAnsi="Symbol" w:hint="default"/>
      </w:rPr>
    </w:lvl>
    <w:lvl w:ilvl="1" w:tplc="18090003">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13" w15:restartNumberingAfterBreak="0">
    <w:nsid w:val="62093D1C"/>
    <w:multiLevelType w:val="hybridMultilevel"/>
    <w:tmpl w:val="40D460EA"/>
    <w:styleLink w:val="ImportedStyle10"/>
    <w:lvl w:ilvl="0" w:tplc="59E87DC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CAA620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33A1D1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1DC18CA">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110B71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02A7BD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682895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26E521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AA0FD6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621B02A6"/>
    <w:multiLevelType w:val="hybridMultilevel"/>
    <w:tmpl w:val="B4827E02"/>
    <w:styleLink w:val="ImportedStyle8"/>
    <w:lvl w:ilvl="0" w:tplc="A9327CE2">
      <w:start w:val="1"/>
      <w:numFmt w:val="bullet"/>
      <w:lvlText w:val="·"/>
      <w:lvlJc w:val="left"/>
      <w:pPr>
        <w:tabs>
          <w:tab w:val="left" w:pos="2353"/>
        </w:tabs>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75A275E">
      <w:start w:val="1"/>
      <w:numFmt w:val="bullet"/>
      <w:lvlText w:val="o"/>
      <w:lvlJc w:val="left"/>
      <w:pPr>
        <w:tabs>
          <w:tab w:val="left" w:pos="2353"/>
        </w:tabs>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4603F30">
      <w:start w:val="1"/>
      <w:numFmt w:val="bullet"/>
      <w:lvlText w:val="▪"/>
      <w:lvlJc w:val="left"/>
      <w:pPr>
        <w:tabs>
          <w:tab w:val="left" w:pos="2353"/>
        </w:tabs>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59411B2">
      <w:start w:val="1"/>
      <w:numFmt w:val="bullet"/>
      <w:lvlText w:val="·"/>
      <w:lvlJc w:val="left"/>
      <w:pPr>
        <w:tabs>
          <w:tab w:val="left" w:pos="2353"/>
        </w:tabs>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3EAF76A">
      <w:start w:val="1"/>
      <w:numFmt w:val="bullet"/>
      <w:lvlText w:val="o"/>
      <w:lvlJc w:val="left"/>
      <w:pPr>
        <w:tabs>
          <w:tab w:val="left" w:pos="2353"/>
        </w:tabs>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08691AC">
      <w:start w:val="1"/>
      <w:numFmt w:val="bullet"/>
      <w:lvlText w:val="▪"/>
      <w:lvlJc w:val="left"/>
      <w:pPr>
        <w:tabs>
          <w:tab w:val="left" w:pos="2353"/>
        </w:tabs>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E62223C">
      <w:start w:val="1"/>
      <w:numFmt w:val="bullet"/>
      <w:lvlText w:val="·"/>
      <w:lvlJc w:val="left"/>
      <w:pPr>
        <w:tabs>
          <w:tab w:val="left" w:pos="2353"/>
        </w:tabs>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A5A7EA2">
      <w:start w:val="1"/>
      <w:numFmt w:val="bullet"/>
      <w:lvlText w:val="o"/>
      <w:lvlJc w:val="left"/>
      <w:pPr>
        <w:tabs>
          <w:tab w:val="left" w:pos="2353"/>
        </w:tabs>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E4824FE">
      <w:start w:val="1"/>
      <w:numFmt w:val="bullet"/>
      <w:lvlText w:val="▪"/>
      <w:lvlJc w:val="left"/>
      <w:pPr>
        <w:tabs>
          <w:tab w:val="left" w:pos="2353"/>
        </w:tabs>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641C50AB"/>
    <w:multiLevelType w:val="hybridMultilevel"/>
    <w:tmpl w:val="E9CE0A3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6C177AA8"/>
    <w:multiLevelType w:val="hybridMultilevel"/>
    <w:tmpl w:val="8068AF88"/>
    <w:styleLink w:val="ImportedStyle14"/>
    <w:lvl w:ilvl="0" w:tplc="A7CA9794">
      <w:start w:val="1"/>
      <w:numFmt w:val="bullet"/>
      <w:lvlText w:val="·"/>
      <w:lvlJc w:val="left"/>
      <w:pPr>
        <w:tabs>
          <w:tab w:val="left" w:pos="2433"/>
        </w:tabs>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8F2DF7A">
      <w:start w:val="1"/>
      <w:numFmt w:val="bullet"/>
      <w:lvlText w:val="·"/>
      <w:lvlJc w:val="left"/>
      <w:pPr>
        <w:tabs>
          <w:tab w:val="left" w:pos="2433"/>
        </w:tabs>
        <w:ind w:left="10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394526A">
      <w:start w:val="1"/>
      <w:numFmt w:val="bullet"/>
      <w:lvlText w:val="·"/>
      <w:lvlJc w:val="left"/>
      <w:pPr>
        <w:tabs>
          <w:tab w:val="left" w:pos="2433"/>
        </w:tabs>
        <w:ind w:left="180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73AE6AA">
      <w:start w:val="1"/>
      <w:numFmt w:val="bullet"/>
      <w:lvlText w:val="·"/>
      <w:lvlJc w:val="left"/>
      <w:pPr>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7C28C2E">
      <w:start w:val="1"/>
      <w:numFmt w:val="bullet"/>
      <w:lvlText w:val="·"/>
      <w:lvlJc w:val="left"/>
      <w:pPr>
        <w:tabs>
          <w:tab w:val="left" w:pos="2433"/>
        </w:tabs>
        <w:ind w:left="32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BCA8BFC">
      <w:start w:val="1"/>
      <w:numFmt w:val="bullet"/>
      <w:lvlText w:val="·"/>
      <w:lvlJc w:val="left"/>
      <w:pPr>
        <w:tabs>
          <w:tab w:val="left" w:pos="2433"/>
        </w:tabs>
        <w:ind w:left="39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C183EBA">
      <w:start w:val="1"/>
      <w:numFmt w:val="bullet"/>
      <w:lvlText w:val="·"/>
      <w:lvlJc w:val="left"/>
      <w:pPr>
        <w:tabs>
          <w:tab w:val="left" w:pos="2433"/>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4B06140">
      <w:start w:val="1"/>
      <w:numFmt w:val="bullet"/>
      <w:lvlText w:val="·"/>
      <w:lvlJc w:val="left"/>
      <w:pPr>
        <w:tabs>
          <w:tab w:val="left" w:pos="2433"/>
        </w:tabs>
        <w:ind w:left="540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2E2DDEC">
      <w:start w:val="1"/>
      <w:numFmt w:val="bullet"/>
      <w:lvlText w:val="·"/>
      <w:lvlJc w:val="left"/>
      <w:pPr>
        <w:tabs>
          <w:tab w:val="left" w:pos="2433"/>
        </w:tabs>
        <w:ind w:left="61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72782FF1"/>
    <w:multiLevelType w:val="hybridMultilevel"/>
    <w:tmpl w:val="B7CC9FA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8" w15:restartNumberingAfterBreak="0">
    <w:nsid w:val="7B734990"/>
    <w:multiLevelType w:val="hybridMultilevel"/>
    <w:tmpl w:val="9F0E72A6"/>
    <w:styleLink w:val="ImportedStyle7"/>
    <w:lvl w:ilvl="0" w:tplc="E99CAF62">
      <w:start w:val="1"/>
      <w:numFmt w:val="bullet"/>
      <w:lvlText w:val="·"/>
      <w:lvlJc w:val="left"/>
      <w:pPr>
        <w:tabs>
          <w:tab w:val="left" w:pos="2472"/>
          <w:tab w:val="left" w:pos="2473"/>
        </w:tabs>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61E1398">
      <w:start w:val="1"/>
      <w:numFmt w:val="bullet"/>
      <w:lvlText w:val="o"/>
      <w:lvlJc w:val="left"/>
      <w:pPr>
        <w:tabs>
          <w:tab w:val="left" w:pos="2472"/>
          <w:tab w:val="left" w:pos="2473"/>
        </w:tabs>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312BE70">
      <w:start w:val="1"/>
      <w:numFmt w:val="bullet"/>
      <w:lvlText w:val="▪"/>
      <w:lvlJc w:val="left"/>
      <w:pPr>
        <w:tabs>
          <w:tab w:val="left" w:pos="2472"/>
          <w:tab w:val="left" w:pos="2473"/>
        </w:tabs>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5AA670A">
      <w:start w:val="1"/>
      <w:numFmt w:val="bullet"/>
      <w:lvlText w:val="·"/>
      <w:lvlJc w:val="left"/>
      <w:pPr>
        <w:tabs>
          <w:tab w:val="left" w:pos="2472"/>
          <w:tab w:val="left" w:pos="2473"/>
        </w:tabs>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77C9E0C">
      <w:start w:val="1"/>
      <w:numFmt w:val="bullet"/>
      <w:lvlText w:val="o"/>
      <w:lvlJc w:val="left"/>
      <w:pPr>
        <w:tabs>
          <w:tab w:val="left" w:pos="2472"/>
          <w:tab w:val="left" w:pos="2473"/>
        </w:tabs>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8241AC4">
      <w:start w:val="1"/>
      <w:numFmt w:val="bullet"/>
      <w:lvlText w:val="▪"/>
      <w:lvlJc w:val="left"/>
      <w:pPr>
        <w:tabs>
          <w:tab w:val="left" w:pos="2472"/>
          <w:tab w:val="left" w:pos="2473"/>
        </w:tabs>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0FE278E">
      <w:start w:val="1"/>
      <w:numFmt w:val="bullet"/>
      <w:lvlText w:val="·"/>
      <w:lvlJc w:val="left"/>
      <w:pPr>
        <w:tabs>
          <w:tab w:val="left" w:pos="2472"/>
          <w:tab w:val="left" w:pos="2473"/>
        </w:tabs>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7E4C5AE">
      <w:start w:val="1"/>
      <w:numFmt w:val="bullet"/>
      <w:lvlText w:val="o"/>
      <w:lvlJc w:val="left"/>
      <w:pPr>
        <w:tabs>
          <w:tab w:val="left" w:pos="2472"/>
          <w:tab w:val="left" w:pos="2473"/>
        </w:tabs>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C8A2B3C">
      <w:start w:val="1"/>
      <w:numFmt w:val="bullet"/>
      <w:lvlText w:val="▪"/>
      <w:lvlJc w:val="left"/>
      <w:pPr>
        <w:tabs>
          <w:tab w:val="left" w:pos="2472"/>
          <w:tab w:val="left" w:pos="2473"/>
        </w:tabs>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7BFA08F9"/>
    <w:multiLevelType w:val="hybridMultilevel"/>
    <w:tmpl w:val="B9F2234C"/>
    <w:styleLink w:val="ImportedStyle6"/>
    <w:lvl w:ilvl="0" w:tplc="5D04BEA8">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DDC0A3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956E39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9FA30C8">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47C18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51C01F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E12D4AA">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10C774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DCE559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4"/>
  </w:num>
  <w:num w:numId="2">
    <w:abstractNumId w:val="9"/>
  </w:num>
  <w:num w:numId="3">
    <w:abstractNumId w:val="1"/>
  </w:num>
  <w:num w:numId="4">
    <w:abstractNumId w:val="7"/>
  </w:num>
  <w:num w:numId="5">
    <w:abstractNumId w:val="19"/>
  </w:num>
  <w:num w:numId="6">
    <w:abstractNumId w:val="18"/>
  </w:num>
  <w:num w:numId="7">
    <w:abstractNumId w:val="14"/>
  </w:num>
  <w:num w:numId="8">
    <w:abstractNumId w:val="8"/>
  </w:num>
  <w:num w:numId="9">
    <w:abstractNumId w:val="13"/>
  </w:num>
  <w:num w:numId="10">
    <w:abstractNumId w:val="10"/>
  </w:num>
  <w:num w:numId="11">
    <w:abstractNumId w:val="11"/>
  </w:num>
  <w:num w:numId="12">
    <w:abstractNumId w:val="16"/>
  </w:num>
  <w:num w:numId="13">
    <w:abstractNumId w:val="5"/>
  </w:num>
  <w:num w:numId="14">
    <w:abstractNumId w:val="0"/>
  </w:num>
  <w:num w:numId="15">
    <w:abstractNumId w:val="2"/>
  </w:num>
  <w:num w:numId="16">
    <w:abstractNumId w:val="6"/>
  </w:num>
  <w:num w:numId="17">
    <w:abstractNumId w:val="12"/>
  </w:num>
  <w:num w:numId="18">
    <w:abstractNumId w:val="15"/>
  </w:num>
  <w:num w:numId="19">
    <w:abstractNumId w:val="17"/>
  </w:num>
  <w:num w:numId="20">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displayBackgroundShape/>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283"/>
    <w:rsid w:val="000031D7"/>
    <w:rsid w:val="00007FED"/>
    <w:rsid w:val="000104BE"/>
    <w:rsid w:val="00011A78"/>
    <w:rsid w:val="00016C2B"/>
    <w:rsid w:val="00023DAA"/>
    <w:rsid w:val="00025556"/>
    <w:rsid w:val="0003003F"/>
    <w:rsid w:val="0003044A"/>
    <w:rsid w:val="00032421"/>
    <w:rsid w:val="00055497"/>
    <w:rsid w:val="00056E88"/>
    <w:rsid w:val="00060E3F"/>
    <w:rsid w:val="0006352E"/>
    <w:rsid w:val="000774FA"/>
    <w:rsid w:val="000868D2"/>
    <w:rsid w:val="00087EF4"/>
    <w:rsid w:val="00093898"/>
    <w:rsid w:val="00095E5C"/>
    <w:rsid w:val="00096D23"/>
    <w:rsid w:val="00097028"/>
    <w:rsid w:val="000A49DC"/>
    <w:rsid w:val="000A76EC"/>
    <w:rsid w:val="000B164C"/>
    <w:rsid w:val="000B3ACC"/>
    <w:rsid w:val="000B5432"/>
    <w:rsid w:val="000B6CAB"/>
    <w:rsid w:val="000B7664"/>
    <w:rsid w:val="000C2B5E"/>
    <w:rsid w:val="000D0CF3"/>
    <w:rsid w:val="000E7786"/>
    <w:rsid w:val="000F0E69"/>
    <w:rsid w:val="00104298"/>
    <w:rsid w:val="00113FED"/>
    <w:rsid w:val="00117DAA"/>
    <w:rsid w:val="001205EC"/>
    <w:rsid w:val="00120BDA"/>
    <w:rsid w:val="001257A7"/>
    <w:rsid w:val="00131359"/>
    <w:rsid w:val="0013465C"/>
    <w:rsid w:val="001558DD"/>
    <w:rsid w:val="00160F4E"/>
    <w:rsid w:val="0016703F"/>
    <w:rsid w:val="00171031"/>
    <w:rsid w:val="00176F58"/>
    <w:rsid w:val="00180173"/>
    <w:rsid w:val="0018068C"/>
    <w:rsid w:val="00180C8C"/>
    <w:rsid w:val="001947CB"/>
    <w:rsid w:val="001B0D36"/>
    <w:rsid w:val="001B16D2"/>
    <w:rsid w:val="001B322D"/>
    <w:rsid w:val="001B4B10"/>
    <w:rsid w:val="001B5E55"/>
    <w:rsid w:val="001C3707"/>
    <w:rsid w:val="001C6F26"/>
    <w:rsid w:val="001C7142"/>
    <w:rsid w:val="001D0258"/>
    <w:rsid w:val="001D35F8"/>
    <w:rsid w:val="001E6B4B"/>
    <w:rsid w:val="001E7C07"/>
    <w:rsid w:val="001F437C"/>
    <w:rsid w:val="001F76C6"/>
    <w:rsid w:val="00201C6F"/>
    <w:rsid w:val="00206997"/>
    <w:rsid w:val="00212A85"/>
    <w:rsid w:val="00216179"/>
    <w:rsid w:val="00224225"/>
    <w:rsid w:val="0022432B"/>
    <w:rsid w:val="00224474"/>
    <w:rsid w:val="00230047"/>
    <w:rsid w:val="00234033"/>
    <w:rsid w:val="0024236B"/>
    <w:rsid w:val="00247BCC"/>
    <w:rsid w:val="00250986"/>
    <w:rsid w:val="00263DF9"/>
    <w:rsid w:val="00264618"/>
    <w:rsid w:val="0027033B"/>
    <w:rsid w:val="002762FE"/>
    <w:rsid w:val="00281004"/>
    <w:rsid w:val="0029034E"/>
    <w:rsid w:val="002911F2"/>
    <w:rsid w:val="002940D1"/>
    <w:rsid w:val="00296D3E"/>
    <w:rsid w:val="002A3354"/>
    <w:rsid w:val="002B1C15"/>
    <w:rsid w:val="002B5BD4"/>
    <w:rsid w:val="002E0697"/>
    <w:rsid w:val="002E1032"/>
    <w:rsid w:val="002F31CF"/>
    <w:rsid w:val="002F5778"/>
    <w:rsid w:val="002F5FDC"/>
    <w:rsid w:val="0030264D"/>
    <w:rsid w:val="0030559D"/>
    <w:rsid w:val="0032044D"/>
    <w:rsid w:val="00323ADA"/>
    <w:rsid w:val="0034047B"/>
    <w:rsid w:val="00356468"/>
    <w:rsid w:val="003706D7"/>
    <w:rsid w:val="003738DB"/>
    <w:rsid w:val="00391E55"/>
    <w:rsid w:val="00392115"/>
    <w:rsid w:val="003946D3"/>
    <w:rsid w:val="0039639A"/>
    <w:rsid w:val="003A09E4"/>
    <w:rsid w:val="003B30D9"/>
    <w:rsid w:val="003B6B2F"/>
    <w:rsid w:val="003C1580"/>
    <w:rsid w:val="003C283D"/>
    <w:rsid w:val="003C67AD"/>
    <w:rsid w:val="003C6F46"/>
    <w:rsid w:val="003D16B4"/>
    <w:rsid w:val="003D772E"/>
    <w:rsid w:val="003E1D9C"/>
    <w:rsid w:val="003F5A6A"/>
    <w:rsid w:val="004051D6"/>
    <w:rsid w:val="004057A5"/>
    <w:rsid w:val="00405842"/>
    <w:rsid w:val="00410947"/>
    <w:rsid w:val="00424338"/>
    <w:rsid w:val="004317C0"/>
    <w:rsid w:val="00435AFE"/>
    <w:rsid w:val="00441645"/>
    <w:rsid w:val="0044343F"/>
    <w:rsid w:val="00445C21"/>
    <w:rsid w:val="004501E7"/>
    <w:rsid w:val="0045168D"/>
    <w:rsid w:val="004556DC"/>
    <w:rsid w:val="004610D0"/>
    <w:rsid w:val="00462E21"/>
    <w:rsid w:val="00464C56"/>
    <w:rsid w:val="0046753F"/>
    <w:rsid w:val="004700F1"/>
    <w:rsid w:val="004916AC"/>
    <w:rsid w:val="00496A29"/>
    <w:rsid w:val="004A2418"/>
    <w:rsid w:val="004C01E0"/>
    <w:rsid w:val="004C2EEE"/>
    <w:rsid w:val="004C486A"/>
    <w:rsid w:val="004C731A"/>
    <w:rsid w:val="004D7077"/>
    <w:rsid w:val="004D70A9"/>
    <w:rsid w:val="004D77A4"/>
    <w:rsid w:val="004E56E7"/>
    <w:rsid w:val="004F1C94"/>
    <w:rsid w:val="004F42A6"/>
    <w:rsid w:val="004F6F3C"/>
    <w:rsid w:val="005004D0"/>
    <w:rsid w:val="00522896"/>
    <w:rsid w:val="00531AF8"/>
    <w:rsid w:val="00533A25"/>
    <w:rsid w:val="005400E6"/>
    <w:rsid w:val="00544F16"/>
    <w:rsid w:val="00547A4C"/>
    <w:rsid w:val="00552CDD"/>
    <w:rsid w:val="00552EE3"/>
    <w:rsid w:val="00553882"/>
    <w:rsid w:val="00556133"/>
    <w:rsid w:val="00556EF3"/>
    <w:rsid w:val="00557525"/>
    <w:rsid w:val="00563636"/>
    <w:rsid w:val="00565836"/>
    <w:rsid w:val="00572023"/>
    <w:rsid w:val="0057514E"/>
    <w:rsid w:val="00583DAC"/>
    <w:rsid w:val="00585100"/>
    <w:rsid w:val="0059107C"/>
    <w:rsid w:val="005963F5"/>
    <w:rsid w:val="005A0098"/>
    <w:rsid w:val="005A196F"/>
    <w:rsid w:val="005A2CFE"/>
    <w:rsid w:val="005A6103"/>
    <w:rsid w:val="005A63DE"/>
    <w:rsid w:val="005A7D43"/>
    <w:rsid w:val="005C279A"/>
    <w:rsid w:val="005C57A6"/>
    <w:rsid w:val="005D5300"/>
    <w:rsid w:val="005E12AD"/>
    <w:rsid w:val="005E1317"/>
    <w:rsid w:val="005E3B83"/>
    <w:rsid w:val="005E5A0E"/>
    <w:rsid w:val="00611FFB"/>
    <w:rsid w:val="00614543"/>
    <w:rsid w:val="00615544"/>
    <w:rsid w:val="006169B6"/>
    <w:rsid w:val="00621058"/>
    <w:rsid w:val="00630AC2"/>
    <w:rsid w:val="00632684"/>
    <w:rsid w:val="00645943"/>
    <w:rsid w:val="006511B4"/>
    <w:rsid w:val="0065179F"/>
    <w:rsid w:val="00655F8C"/>
    <w:rsid w:val="006609A8"/>
    <w:rsid w:val="00660D71"/>
    <w:rsid w:val="00665810"/>
    <w:rsid w:val="00670361"/>
    <w:rsid w:val="006718D4"/>
    <w:rsid w:val="006755B9"/>
    <w:rsid w:val="00680BFE"/>
    <w:rsid w:val="00682E81"/>
    <w:rsid w:val="00684211"/>
    <w:rsid w:val="00686ACE"/>
    <w:rsid w:val="006A0BB6"/>
    <w:rsid w:val="006A5938"/>
    <w:rsid w:val="006B0BA9"/>
    <w:rsid w:val="006B20A7"/>
    <w:rsid w:val="006B4281"/>
    <w:rsid w:val="006B428E"/>
    <w:rsid w:val="006B72E5"/>
    <w:rsid w:val="006C1A75"/>
    <w:rsid w:val="006C3246"/>
    <w:rsid w:val="006C75D4"/>
    <w:rsid w:val="006D0546"/>
    <w:rsid w:val="006D1A86"/>
    <w:rsid w:val="006D292D"/>
    <w:rsid w:val="006D33E2"/>
    <w:rsid w:val="006D771F"/>
    <w:rsid w:val="006E0EE4"/>
    <w:rsid w:val="006F4A7E"/>
    <w:rsid w:val="006F4D6E"/>
    <w:rsid w:val="006F4FE1"/>
    <w:rsid w:val="00704B56"/>
    <w:rsid w:val="007072C6"/>
    <w:rsid w:val="00713264"/>
    <w:rsid w:val="007159B0"/>
    <w:rsid w:val="00727997"/>
    <w:rsid w:val="00735320"/>
    <w:rsid w:val="0073710D"/>
    <w:rsid w:val="00741EB3"/>
    <w:rsid w:val="00742E81"/>
    <w:rsid w:val="00747A2D"/>
    <w:rsid w:val="00752BDF"/>
    <w:rsid w:val="007632D5"/>
    <w:rsid w:val="007777F5"/>
    <w:rsid w:val="007861FA"/>
    <w:rsid w:val="00787200"/>
    <w:rsid w:val="00791FE2"/>
    <w:rsid w:val="00792096"/>
    <w:rsid w:val="007A4453"/>
    <w:rsid w:val="007A7395"/>
    <w:rsid w:val="007B039E"/>
    <w:rsid w:val="007B5248"/>
    <w:rsid w:val="007B5F85"/>
    <w:rsid w:val="007B6B77"/>
    <w:rsid w:val="007C093B"/>
    <w:rsid w:val="007F067A"/>
    <w:rsid w:val="007F07B0"/>
    <w:rsid w:val="007F2D75"/>
    <w:rsid w:val="007F45C8"/>
    <w:rsid w:val="008034E2"/>
    <w:rsid w:val="00806267"/>
    <w:rsid w:val="00814BE6"/>
    <w:rsid w:val="0081532F"/>
    <w:rsid w:val="00822F26"/>
    <w:rsid w:val="00823AC2"/>
    <w:rsid w:val="008270DC"/>
    <w:rsid w:val="00837A9F"/>
    <w:rsid w:val="008555C9"/>
    <w:rsid w:val="00857C1F"/>
    <w:rsid w:val="0086041D"/>
    <w:rsid w:val="00861847"/>
    <w:rsid w:val="00863462"/>
    <w:rsid w:val="00865E0D"/>
    <w:rsid w:val="00867DD1"/>
    <w:rsid w:val="00871A9A"/>
    <w:rsid w:val="00877293"/>
    <w:rsid w:val="00890BDF"/>
    <w:rsid w:val="008A61C2"/>
    <w:rsid w:val="008B30F3"/>
    <w:rsid w:val="008B747A"/>
    <w:rsid w:val="008C1902"/>
    <w:rsid w:val="008D1BC4"/>
    <w:rsid w:val="008D43CB"/>
    <w:rsid w:val="008D4866"/>
    <w:rsid w:val="008D7F62"/>
    <w:rsid w:val="008E6BE6"/>
    <w:rsid w:val="008F1829"/>
    <w:rsid w:val="008F4CB3"/>
    <w:rsid w:val="009026D8"/>
    <w:rsid w:val="00907FB7"/>
    <w:rsid w:val="0091519B"/>
    <w:rsid w:val="00916426"/>
    <w:rsid w:val="00931B1A"/>
    <w:rsid w:val="00931C4C"/>
    <w:rsid w:val="0093355D"/>
    <w:rsid w:val="009450F4"/>
    <w:rsid w:val="0095387A"/>
    <w:rsid w:val="00955988"/>
    <w:rsid w:val="009576C2"/>
    <w:rsid w:val="00962E19"/>
    <w:rsid w:val="0097157C"/>
    <w:rsid w:val="009717AF"/>
    <w:rsid w:val="00976FA5"/>
    <w:rsid w:val="009777B4"/>
    <w:rsid w:val="00977C0C"/>
    <w:rsid w:val="00984621"/>
    <w:rsid w:val="00985C43"/>
    <w:rsid w:val="00986B9D"/>
    <w:rsid w:val="00986C41"/>
    <w:rsid w:val="00993380"/>
    <w:rsid w:val="009B7C67"/>
    <w:rsid w:val="009D09B3"/>
    <w:rsid w:val="009D09DF"/>
    <w:rsid w:val="009D4CCA"/>
    <w:rsid w:val="009E30A3"/>
    <w:rsid w:val="009E526E"/>
    <w:rsid w:val="009E597E"/>
    <w:rsid w:val="009E76B0"/>
    <w:rsid w:val="009E7775"/>
    <w:rsid w:val="009F6862"/>
    <w:rsid w:val="00A061BF"/>
    <w:rsid w:val="00A07BF0"/>
    <w:rsid w:val="00A11E5A"/>
    <w:rsid w:val="00A1280B"/>
    <w:rsid w:val="00A25E77"/>
    <w:rsid w:val="00A30877"/>
    <w:rsid w:val="00A35465"/>
    <w:rsid w:val="00A3564C"/>
    <w:rsid w:val="00A4302C"/>
    <w:rsid w:val="00A55DFD"/>
    <w:rsid w:val="00A57371"/>
    <w:rsid w:val="00A664F0"/>
    <w:rsid w:val="00A73BC7"/>
    <w:rsid w:val="00A80567"/>
    <w:rsid w:val="00A815B4"/>
    <w:rsid w:val="00A84B3E"/>
    <w:rsid w:val="00A92608"/>
    <w:rsid w:val="00A94CB7"/>
    <w:rsid w:val="00A97C54"/>
    <w:rsid w:val="00AA51EE"/>
    <w:rsid w:val="00AA5E50"/>
    <w:rsid w:val="00AB4503"/>
    <w:rsid w:val="00AB6793"/>
    <w:rsid w:val="00AC1761"/>
    <w:rsid w:val="00AC1AAC"/>
    <w:rsid w:val="00AC6DDB"/>
    <w:rsid w:val="00AD05C6"/>
    <w:rsid w:val="00AD1C61"/>
    <w:rsid w:val="00AD2283"/>
    <w:rsid w:val="00AD269D"/>
    <w:rsid w:val="00AE3956"/>
    <w:rsid w:val="00AF0822"/>
    <w:rsid w:val="00AF4A08"/>
    <w:rsid w:val="00B00D60"/>
    <w:rsid w:val="00B04C5C"/>
    <w:rsid w:val="00B1172E"/>
    <w:rsid w:val="00B20B99"/>
    <w:rsid w:val="00B247DA"/>
    <w:rsid w:val="00B277E0"/>
    <w:rsid w:val="00B30A84"/>
    <w:rsid w:val="00B36398"/>
    <w:rsid w:val="00B409F2"/>
    <w:rsid w:val="00B50E4B"/>
    <w:rsid w:val="00B523C2"/>
    <w:rsid w:val="00B52B7B"/>
    <w:rsid w:val="00B56B42"/>
    <w:rsid w:val="00B6156C"/>
    <w:rsid w:val="00B61909"/>
    <w:rsid w:val="00B626CF"/>
    <w:rsid w:val="00B8637A"/>
    <w:rsid w:val="00B90EB2"/>
    <w:rsid w:val="00B92AE6"/>
    <w:rsid w:val="00B9442C"/>
    <w:rsid w:val="00BA3466"/>
    <w:rsid w:val="00BA410C"/>
    <w:rsid w:val="00BA64E6"/>
    <w:rsid w:val="00BB4D51"/>
    <w:rsid w:val="00BB6E43"/>
    <w:rsid w:val="00BC0290"/>
    <w:rsid w:val="00BC047F"/>
    <w:rsid w:val="00BC46EE"/>
    <w:rsid w:val="00BC47C1"/>
    <w:rsid w:val="00BC63AE"/>
    <w:rsid w:val="00BD0D07"/>
    <w:rsid w:val="00BD3FCF"/>
    <w:rsid w:val="00BD794F"/>
    <w:rsid w:val="00BD7CBE"/>
    <w:rsid w:val="00BE4E08"/>
    <w:rsid w:val="00BE6AD5"/>
    <w:rsid w:val="00BE7F49"/>
    <w:rsid w:val="00BF61F8"/>
    <w:rsid w:val="00C000B7"/>
    <w:rsid w:val="00C00540"/>
    <w:rsid w:val="00C03F30"/>
    <w:rsid w:val="00C1021C"/>
    <w:rsid w:val="00C22675"/>
    <w:rsid w:val="00C327BC"/>
    <w:rsid w:val="00C346A2"/>
    <w:rsid w:val="00C35280"/>
    <w:rsid w:val="00C36F58"/>
    <w:rsid w:val="00C41E66"/>
    <w:rsid w:val="00C42A65"/>
    <w:rsid w:val="00C47B9D"/>
    <w:rsid w:val="00C50601"/>
    <w:rsid w:val="00C611E4"/>
    <w:rsid w:val="00C67831"/>
    <w:rsid w:val="00C77A0A"/>
    <w:rsid w:val="00C8109E"/>
    <w:rsid w:val="00C813DB"/>
    <w:rsid w:val="00C81EA3"/>
    <w:rsid w:val="00C83BAE"/>
    <w:rsid w:val="00C84CB0"/>
    <w:rsid w:val="00C877DE"/>
    <w:rsid w:val="00C9329D"/>
    <w:rsid w:val="00C9766D"/>
    <w:rsid w:val="00CA5035"/>
    <w:rsid w:val="00CB128A"/>
    <w:rsid w:val="00CB215E"/>
    <w:rsid w:val="00CB240A"/>
    <w:rsid w:val="00CB3362"/>
    <w:rsid w:val="00CB528C"/>
    <w:rsid w:val="00CC04CA"/>
    <w:rsid w:val="00CC2C32"/>
    <w:rsid w:val="00CE2CFB"/>
    <w:rsid w:val="00CF4245"/>
    <w:rsid w:val="00CF54C7"/>
    <w:rsid w:val="00CF7CE7"/>
    <w:rsid w:val="00D037C2"/>
    <w:rsid w:val="00D05FCF"/>
    <w:rsid w:val="00D0621B"/>
    <w:rsid w:val="00D12441"/>
    <w:rsid w:val="00D14BDB"/>
    <w:rsid w:val="00D201DD"/>
    <w:rsid w:val="00D2433E"/>
    <w:rsid w:val="00D3017A"/>
    <w:rsid w:val="00D34119"/>
    <w:rsid w:val="00D3715F"/>
    <w:rsid w:val="00D4006E"/>
    <w:rsid w:val="00D4181F"/>
    <w:rsid w:val="00D44AF0"/>
    <w:rsid w:val="00D508A9"/>
    <w:rsid w:val="00D54878"/>
    <w:rsid w:val="00D60A70"/>
    <w:rsid w:val="00D62863"/>
    <w:rsid w:val="00D6293A"/>
    <w:rsid w:val="00D63C39"/>
    <w:rsid w:val="00D74EE4"/>
    <w:rsid w:val="00D83E26"/>
    <w:rsid w:val="00D85769"/>
    <w:rsid w:val="00D872B8"/>
    <w:rsid w:val="00D92D9E"/>
    <w:rsid w:val="00D977DB"/>
    <w:rsid w:val="00D97861"/>
    <w:rsid w:val="00DA0082"/>
    <w:rsid w:val="00DA153B"/>
    <w:rsid w:val="00DA2C20"/>
    <w:rsid w:val="00DA72DE"/>
    <w:rsid w:val="00DB3288"/>
    <w:rsid w:val="00DC61B6"/>
    <w:rsid w:val="00DE1B17"/>
    <w:rsid w:val="00DE6FFE"/>
    <w:rsid w:val="00DF0C7D"/>
    <w:rsid w:val="00DF7C51"/>
    <w:rsid w:val="00E061F7"/>
    <w:rsid w:val="00E06E98"/>
    <w:rsid w:val="00E07BF5"/>
    <w:rsid w:val="00E11643"/>
    <w:rsid w:val="00E12383"/>
    <w:rsid w:val="00E132BF"/>
    <w:rsid w:val="00E138E3"/>
    <w:rsid w:val="00E219D5"/>
    <w:rsid w:val="00E26AED"/>
    <w:rsid w:val="00E42083"/>
    <w:rsid w:val="00E46B8D"/>
    <w:rsid w:val="00E53FA4"/>
    <w:rsid w:val="00E5444B"/>
    <w:rsid w:val="00E5482A"/>
    <w:rsid w:val="00E63900"/>
    <w:rsid w:val="00E66361"/>
    <w:rsid w:val="00E67DCF"/>
    <w:rsid w:val="00E77022"/>
    <w:rsid w:val="00E82DB8"/>
    <w:rsid w:val="00E84190"/>
    <w:rsid w:val="00E92F2A"/>
    <w:rsid w:val="00E938E2"/>
    <w:rsid w:val="00E9491A"/>
    <w:rsid w:val="00E9577B"/>
    <w:rsid w:val="00E96DFC"/>
    <w:rsid w:val="00EA263D"/>
    <w:rsid w:val="00EA2AB1"/>
    <w:rsid w:val="00EB2208"/>
    <w:rsid w:val="00ED1AB0"/>
    <w:rsid w:val="00ED4630"/>
    <w:rsid w:val="00EF1C1F"/>
    <w:rsid w:val="00EF4CD5"/>
    <w:rsid w:val="00EF5FBD"/>
    <w:rsid w:val="00EF7F58"/>
    <w:rsid w:val="00F0390A"/>
    <w:rsid w:val="00F04B98"/>
    <w:rsid w:val="00F05615"/>
    <w:rsid w:val="00F068D1"/>
    <w:rsid w:val="00F1149C"/>
    <w:rsid w:val="00F17052"/>
    <w:rsid w:val="00F17133"/>
    <w:rsid w:val="00F25ECB"/>
    <w:rsid w:val="00F25FA6"/>
    <w:rsid w:val="00F43A80"/>
    <w:rsid w:val="00F50914"/>
    <w:rsid w:val="00F57B52"/>
    <w:rsid w:val="00F60700"/>
    <w:rsid w:val="00F632B0"/>
    <w:rsid w:val="00F6695D"/>
    <w:rsid w:val="00F6703F"/>
    <w:rsid w:val="00F67715"/>
    <w:rsid w:val="00F735F8"/>
    <w:rsid w:val="00F74C94"/>
    <w:rsid w:val="00F772D9"/>
    <w:rsid w:val="00F9351B"/>
    <w:rsid w:val="00FA16F1"/>
    <w:rsid w:val="00FA17C4"/>
    <w:rsid w:val="00FA6885"/>
    <w:rsid w:val="00FC33C9"/>
    <w:rsid w:val="00FD325D"/>
    <w:rsid w:val="00FE1687"/>
    <w:rsid w:val="00FF11C1"/>
    <w:rsid w:val="00FF5538"/>
    <w:rsid w:val="00FF61B2"/>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8303C"/>
  <w15:docId w15:val="{9130460B-ACE3-4BC6-BEFB-347CB076B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IE" w:eastAsia="en-I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D09DF"/>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lang w:eastAsia="en-US"/>
    </w:rPr>
  </w:style>
  <w:style w:type="paragraph" w:styleId="Heading1">
    <w:name w:val="heading 1"/>
    <w:basedOn w:val="Normal"/>
    <w:next w:val="Normal"/>
    <w:link w:val="Heading1Char"/>
    <w:uiPriority w:val="9"/>
    <w:qFormat/>
    <w:rsid w:val="00861847"/>
    <w:pPr>
      <w:keepNext/>
      <w:keepLines/>
      <w:pBdr>
        <w:top w:val="nil"/>
        <w:left w:val="nil"/>
        <w:bottom w:val="nil"/>
        <w:right w:val="nil"/>
        <w:between w:val="nil"/>
        <w:bar w:val="nil"/>
      </w:pBdr>
      <w:spacing w:before="240"/>
      <w:outlineLvl w:val="0"/>
    </w:pPr>
    <w:rPr>
      <w:rFonts w:asciiTheme="majorHAnsi" w:eastAsiaTheme="majorEastAsia" w:hAnsiTheme="majorHAnsi" w:cstheme="majorBidi"/>
      <w:color w:val="2E74B5" w:themeColor="accent1" w:themeShade="BF"/>
      <w:sz w:val="32"/>
      <w:szCs w:val="32"/>
      <w:bdr w:val="nil"/>
      <w:lang w:val="en-US"/>
    </w:rPr>
  </w:style>
  <w:style w:type="paragraph" w:styleId="Heading2">
    <w:name w:val="heading 2"/>
    <w:pPr>
      <w:widowControl w:val="0"/>
      <w:ind w:left="2152"/>
      <w:outlineLvl w:val="1"/>
    </w:pPr>
    <w:rPr>
      <w:rFonts w:ascii="Century Gothic" w:hAnsi="Century Gothic" w:cs="Arial Unicode MS"/>
      <w:b/>
      <w:bCs/>
      <w:color w:val="000000"/>
      <w:sz w:val="21"/>
      <w:szCs w:val="21"/>
      <w:u w:color="000000"/>
      <w:lang w:val="en-US"/>
      <w14:textOutline w14:w="0" w14:cap="flat" w14:cmpd="sng" w14:algn="ctr">
        <w14:noFill/>
        <w14:prstDash w14:val="solid"/>
        <w14:bevel/>
      </w14:textOutline>
    </w:rPr>
  </w:style>
  <w:style w:type="paragraph" w:styleId="Heading3">
    <w:name w:val="heading 3"/>
    <w:basedOn w:val="Normal"/>
    <w:next w:val="Normal"/>
    <w:link w:val="Heading3Char"/>
    <w:uiPriority w:val="9"/>
    <w:unhideWhenUsed/>
    <w:qFormat/>
    <w:rsid w:val="00861847"/>
    <w:pPr>
      <w:keepNext/>
      <w:keepLines/>
      <w:pBdr>
        <w:top w:val="nil"/>
        <w:left w:val="nil"/>
        <w:bottom w:val="nil"/>
        <w:right w:val="nil"/>
        <w:between w:val="nil"/>
        <w:bar w:val="nil"/>
      </w:pBdr>
      <w:spacing w:before="40"/>
      <w:outlineLvl w:val="2"/>
    </w:pPr>
    <w:rPr>
      <w:rFonts w:asciiTheme="majorHAnsi" w:eastAsiaTheme="majorEastAsia" w:hAnsiTheme="majorHAnsi" w:cstheme="majorBidi"/>
      <w:color w:val="1F4D78" w:themeColor="accent1" w:themeShade="7F"/>
      <w:bdr w:val="nil"/>
      <w:lang w:val="en-US"/>
    </w:rPr>
  </w:style>
  <w:style w:type="paragraph" w:styleId="Heading4">
    <w:name w:val="heading 4"/>
    <w:basedOn w:val="Normal"/>
    <w:next w:val="Normal"/>
    <w:link w:val="Heading4Char"/>
    <w:uiPriority w:val="9"/>
    <w:unhideWhenUsed/>
    <w:qFormat/>
    <w:rsid w:val="00016C2B"/>
    <w:pPr>
      <w:keepNext/>
      <w:keepLines/>
      <w:pBdr>
        <w:top w:val="nil"/>
        <w:left w:val="nil"/>
        <w:bottom w:val="nil"/>
        <w:right w:val="nil"/>
        <w:between w:val="nil"/>
        <w:bar w:val="nil"/>
      </w:pBdr>
      <w:spacing w:before="40"/>
      <w:outlineLvl w:val="3"/>
    </w:pPr>
    <w:rPr>
      <w:rFonts w:asciiTheme="majorHAnsi" w:eastAsiaTheme="majorEastAsia" w:hAnsiTheme="majorHAnsi" w:cstheme="majorBidi"/>
      <w:i/>
      <w:iCs/>
      <w:color w:val="2E74B5" w:themeColor="accent1" w:themeShade="BF"/>
      <w:bdr w:val="nil"/>
      <w:lang w:val="en-US"/>
    </w:rPr>
  </w:style>
  <w:style w:type="paragraph" w:styleId="Heading6">
    <w:name w:val="heading 6"/>
    <w:basedOn w:val="Normal"/>
    <w:next w:val="Normal"/>
    <w:link w:val="Heading6Char"/>
    <w:uiPriority w:val="9"/>
    <w:semiHidden/>
    <w:unhideWhenUsed/>
    <w:qFormat/>
    <w:rsid w:val="00B56B42"/>
    <w:pPr>
      <w:keepNext/>
      <w:keepLines/>
      <w:pBdr>
        <w:top w:val="nil"/>
        <w:left w:val="nil"/>
        <w:bottom w:val="nil"/>
        <w:right w:val="nil"/>
        <w:between w:val="nil"/>
        <w:bar w:val="nil"/>
      </w:pBdr>
      <w:spacing w:before="40"/>
      <w:outlineLvl w:val="5"/>
    </w:pPr>
    <w:rPr>
      <w:rFonts w:asciiTheme="majorHAnsi" w:eastAsiaTheme="majorEastAsia" w:hAnsiTheme="majorHAnsi" w:cstheme="majorBidi"/>
      <w:color w:val="1F4D78" w:themeColor="accent1" w:themeShade="7F"/>
      <w:bdr w:val="ni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styleId="Header">
    <w:name w:val="header"/>
    <w:link w:val="HeaderChar"/>
    <w:uiPriority w:val="99"/>
    <w:pPr>
      <w:tabs>
        <w:tab w:val="center" w:pos="4513"/>
        <w:tab w:val="right" w:pos="9026"/>
      </w:tabs>
    </w:pPr>
    <w:rPr>
      <w:rFonts w:ascii="Calibri" w:hAnsi="Calibri" w:cs="Arial Unicode MS"/>
      <w:color w:val="000000"/>
      <w:sz w:val="22"/>
      <w:szCs w:val="22"/>
      <w:u w:color="000000"/>
      <w:lang w:val="en-US"/>
    </w:rPr>
  </w:style>
  <w:style w:type="paragraph" w:styleId="Caption">
    <w:name w:val="caption"/>
    <w:qFormat/>
    <w:pPr>
      <w:suppressAutoHyphens/>
      <w:outlineLvl w:val="0"/>
    </w:pPr>
    <w:rPr>
      <w:rFonts w:ascii="Calibri" w:hAnsi="Calibri" w:cs="Arial Unicode MS"/>
      <w:color w:val="000000"/>
      <w:sz w:val="36"/>
      <w:szCs w:val="36"/>
      <w:lang w:val="de-DE"/>
      <w14:textOutline w14:w="12700" w14:cap="flat" w14:cmpd="sng" w14:algn="ctr">
        <w14:noFill/>
        <w14:prstDash w14:val="solid"/>
        <w14:miter w14:lim="400000"/>
      </w14:textOutline>
    </w:rPr>
  </w:style>
  <w:style w:type="paragraph" w:styleId="Footer">
    <w:name w:val="footer"/>
    <w:link w:val="FooterChar"/>
    <w:uiPriority w:val="99"/>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customStyle="1" w:styleId="Body">
    <w:name w:val="Body"/>
    <w:pPr>
      <w:spacing w:after="160" w:line="259" w:lineRule="auto"/>
    </w:pPr>
    <w:rPr>
      <w:rFonts w:ascii="Calibri" w:eastAsia="Calibri" w:hAnsi="Calibri" w:cs="Calibri"/>
      <w:color w:val="000000"/>
      <w:sz w:val="22"/>
      <w:szCs w:val="22"/>
      <w:u w:color="000000"/>
      <w14:textOutline w14:w="0" w14:cap="flat" w14:cmpd="sng" w14:algn="ctr">
        <w14:noFill/>
        <w14:prstDash w14:val="solid"/>
        <w14:bevel/>
      </w14:textOutline>
    </w:rPr>
  </w:style>
  <w:style w:type="paragraph" w:styleId="TOCHeading">
    <w:name w:val="TOC Heading"/>
    <w:next w:val="Body"/>
    <w:uiPriority w:val="39"/>
    <w:qFormat/>
    <w:pPr>
      <w:keepNext/>
      <w:keepLines/>
      <w:spacing w:before="240" w:line="259" w:lineRule="auto"/>
    </w:pPr>
    <w:rPr>
      <w:rFonts w:ascii="Calibri Light" w:hAnsi="Calibri Light" w:cs="Arial Unicode MS"/>
      <w:color w:val="2E74B5"/>
      <w:sz w:val="32"/>
      <w:szCs w:val="32"/>
      <w:u w:color="2E74B5"/>
      <w:lang w:val="en-US"/>
    </w:rPr>
  </w:style>
  <w:style w:type="paragraph" w:styleId="TOC1">
    <w:name w:val="toc 1"/>
    <w:next w:val="Body"/>
    <w:uiPriority w:val="39"/>
    <w:pPr>
      <w:spacing w:after="100" w:line="259" w:lineRule="auto"/>
    </w:pPr>
    <w:rPr>
      <w:rFonts w:ascii="Calibri" w:hAnsi="Calibri" w:cs="Arial Unicode MS"/>
      <w:color w:val="000000"/>
      <w:sz w:val="22"/>
      <w:szCs w:val="22"/>
      <w:u w:color="000000"/>
      <w:lang w:val="en-US"/>
    </w:rPr>
  </w:style>
  <w:style w:type="paragraph" w:styleId="TOC2">
    <w:name w:val="toc 2"/>
    <w:next w:val="Body"/>
    <w:pPr>
      <w:spacing w:after="100" w:line="259" w:lineRule="auto"/>
      <w:ind w:left="220"/>
    </w:pPr>
    <w:rPr>
      <w:rFonts w:ascii="Calibri" w:hAnsi="Calibri" w:cs="Arial Unicode MS"/>
      <w:color w:val="000000"/>
      <w:sz w:val="22"/>
      <w:szCs w:val="22"/>
      <w:u w:color="000000"/>
      <w:lang w:val="en-US"/>
    </w:rPr>
  </w:style>
  <w:style w:type="paragraph" w:styleId="TOC3">
    <w:name w:val="toc 3"/>
    <w:next w:val="Body"/>
    <w:uiPriority w:val="39"/>
    <w:pPr>
      <w:spacing w:after="100" w:line="259" w:lineRule="auto"/>
      <w:ind w:left="440"/>
    </w:pPr>
    <w:rPr>
      <w:rFonts w:ascii="Calibri" w:hAnsi="Calibri" w:cs="Arial Unicode MS"/>
      <w:color w:val="000000"/>
      <w:sz w:val="22"/>
      <w:szCs w:val="22"/>
      <w:u w:color="000000"/>
      <w:lang w:val="en-US"/>
    </w:rPr>
  </w:style>
  <w:style w:type="paragraph" w:customStyle="1" w:styleId="Default">
    <w:name w:val="Default"/>
    <w:pPr>
      <w:spacing w:before="160"/>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numbering" w:customStyle="1" w:styleId="ImportedStyle1">
    <w:name w:val="Imported Style 1"/>
    <w:pPr>
      <w:numPr>
        <w:numId w:val="1"/>
      </w:numPr>
    </w:pPr>
  </w:style>
  <w:style w:type="paragraph" w:styleId="ListParagraph">
    <w:name w:val="List Paragraph"/>
    <w:uiPriority w:val="34"/>
    <w:qFormat/>
    <w:pPr>
      <w:spacing w:after="160" w:line="259" w:lineRule="auto"/>
      <w:ind w:left="720"/>
    </w:pPr>
    <w:rPr>
      <w:rFonts w:ascii="Calibri" w:hAnsi="Calibri" w:cs="Arial Unicode MS"/>
      <w:color w:val="000000"/>
      <w:sz w:val="22"/>
      <w:szCs w:val="22"/>
      <w:u w:color="000000"/>
      <w:lang w:val="en-US"/>
    </w:rPr>
  </w:style>
  <w:style w:type="character" w:customStyle="1" w:styleId="Link">
    <w:name w:val="Link"/>
    <w:rPr>
      <w:color w:val="0563C1"/>
      <w:u w:val="single" w:color="0563C1"/>
      <w14:textOutline w14:w="0" w14:cap="rnd" w14:cmpd="sng" w14:algn="ctr">
        <w14:noFill/>
        <w14:prstDash w14:val="solid"/>
        <w14:bevel/>
      </w14:textOutline>
    </w:rPr>
  </w:style>
  <w:style w:type="character" w:customStyle="1" w:styleId="Hyperlink0">
    <w:name w:val="Hyperlink.0"/>
    <w:basedOn w:val="Link"/>
    <w:rPr>
      <w:color w:val="000000"/>
      <w:u w:val="none" w:color="000000"/>
      <w:lang w:val="en-US"/>
      <w14:textOutline w14:w="0" w14:cap="rnd" w14:cmpd="sng" w14:algn="ctr">
        <w14:noFill/>
        <w14:prstDash w14:val="solid"/>
        <w14:bevel/>
      </w14:textOutline>
    </w:rPr>
  </w:style>
  <w:style w:type="numbering" w:customStyle="1" w:styleId="ImportedStyle3">
    <w:name w:val="Imported Style 3"/>
    <w:pPr>
      <w:numPr>
        <w:numId w:val="2"/>
      </w:numPr>
    </w:pPr>
  </w:style>
  <w:style w:type="numbering" w:customStyle="1" w:styleId="ImportedStyle4">
    <w:name w:val="Imported Style 4"/>
    <w:pPr>
      <w:numPr>
        <w:numId w:val="3"/>
      </w:numPr>
    </w:pPr>
  </w:style>
  <w:style w:type="paragraph" w:customStyle="1" w:styleId="Heading">
    <w:name w:val="Heading"/>
    <w:next w:val="Body"/>
    <w:pPr>
      <w:keepNext/>
      <w:keepLines/>
      <w:spacing w:before="240" w:line="259" w:lineRule="auto"/>
      <w:outlineLvl w:val="0"/>
    </w:pPr>
    <w:rPr>
      <w:rFonts w:ascii="Calibri Light" w:eastAsia="Calibri Light" w:hAnsi="Calibri Light" w:cs="Calibri Light"/>
      <w:color w:val="2E74B5"/>
      <w:sz w:val="32"/>
      <w:szCs w:val="32"/>
      <w:u w:color="2E74B5"/>
      <w14:textOutline w14:w="0" w14:cap="flat" w14:cmpd="sng" w14:algn="ctr">
        <w14:noFill/>
        <w14:prstDash w14:val="solid"/>
        <w14:bevel/>
      </w14:textOutline>
    </w:rPr>
  </w:style>
  <w:style w:type="character" w:customStyle="1" w:styleId="Hyperlink1">
    <w:name w:val="Hyperlink.1"/>
    <w:basedOn w:val="Link"/>
    <w:rPr>
      <w:rFonts w:ascii="Arial" w:eastAsia="Arial" w:hAnsi="Arial" w:cs="Arial"/>
      <w:color w:val="0563C1"/>
      <w:sz w:val="24"/>
      <w:szCs w:val="24"/>
      <w:u w:val="single" w:color="0563C1"/>
      <w14:textOutline w14:w="0" w14:cap="rnd" w14:cmpd="sng" w14:algn="ctr">
        <w14:noFill/>
        <w14:prstDash w14:val="solid"/>
        <w14:bevel/>
      </w14:textOutline>
    </w:rPr>
  </w:style>
  <w:style w:type="paragraph" w:styleId="BodyText">
    <w:name w:val="Body Text"/>
    <w:pPr>
      <w:widowControl w:val="0"/>
    </w:pPr>
    <w:rPr>
      <w:rFonts w:ascii="Tahoma" w:hAnsi="Tahoma" w:cs="Arial Unicode MS"/>
      <w:color w:val="000000"/>
      <w:sz w:val="21"/>
      <w:szCs w:val="21"/>
      <w:u w:color="000000"/>
      <w:lang w:val="en-US"/>
    </w:rPr>
  </w:style>
  <w:style w:type="numbering" w:customStyle="1" w:styleId="ImportedStyle5">
    <w:name w:val="Imported Style 5"/>
    <w:pPr>
      <w:numPr>
        <w:numId w:val="4"/>
      </w:numPr>
    </w:pPr>
  </w:style>
  <w:style w:type="numbering" w:customStyle="1" w:styleId="ImportedStyle6">
    <w:name w:val="Imported Style 6"/>
    <w:pPr>
      <w:numPr>
        <w:numId w:val="5"/>
      </w:numPr>
    </w:pPr>
  </w:style>
  <w:style w:type="numbering" w:customStyle="1" w:styleId="ImportedStyle7">
    <w:name w:val="Imported Style 7"/>
    <w:pPr>
      <w:numPr>
        <w:numId w:val="6"/>
      </w:numPr>
    </w:pPr>
  </w:style>
  <w:style w:type="numbering" w:customStyle="1" w:styleId="ImportedStyle8">
    <w:name w:val="Imported Style 8"/>
    <w:pPr>
      <w:numPr>
        <w:numId w:val="7"/>
      </w:numPr>
    </w:pPr>
  </w:style>
  <w:style w:type="numbering" w:customStyle="1" w:styleId="ImportedStyle9">
    <w:name w:val="Imported Style 9"/>
    <w:pPr>
      <w:numPr>
        <w:numId w:val="8"/>
      </w:numPr>
    </w:pPr>
  </w:style>
  <w:style w:type="numbering" w:customStyle="1" w:styleId="ImportedStyle10">
    <w:name w:val="Imported Style 10"/>
    <w:pPr>
      <w:numPr>
        <w:numId w:val="9"/>
      </w:numPr>
    </w:pPr>
  </w:style>
  <w:style w:type="numbering" w:customStyle="1" w:styleId="ImportedStyle12">
    <w:name w:val="Imported Style 12"/>
    <w:pPr>
      <w:numPr>
        <w:numId w:val="10"/>
      </w:numPr>
    </w:pPr>
  </w:style>
  <w:style w:type="numbering" w:customStyle="1" w:styleId="ImportedStyle13">
    <w:name w:val="Imported Style 13"/>
    <w:pPr>
      <w:numPr>
        <w:numId w:val="11"/>
      </w:numPr>
    </w:pPr>
  </w:style>
  <w:style w:type="numbering" w:customStyle="1" w:styleId="ImportedStyle14">
    <w:name w:val="Imported Style 14"/>
    <w:pPr>
      <w:numPr>
        <w:numId w:val="12"/>
      </w:numPr>
    </w:pPr>
  </w:style>
  <w:style w:type="numbering" w:customStyle="1" w:styleId="ImportedStyle15">
    <w:name w:val="Imported Style 15"/>
    <w:pPr>
      <w:numPr>
        <w:numId w:val="13"/>
      </w:numPr>
    </w:pPr>
  </w:style>
  <w:style w:type="character" w:customStyle="1" w:styleId="None">
    <w:name w:val="None"/>
  </w:style>
  <w:style w:type="character" w:customStyle="1" w:styleId="Hyperlink2">
    <w:name w:val="Hyperlink.2"/>
    <w:basedOn w:val="None"/>
  </w:style>
  <w:style w:type="character" w:customStyle="1" w:styleId="Hyperlink3">
    <w:name w:val="Hyperlink.3"/>
    <w:basedOn w:val="Link"/>
    <w:rPr>
      <w:rFonts w:ascii="Arial" w:eastAsia="Arial" w:hAnsi="Arial" w:cs="Arial"/>
      <w:color w:val="0563C1"/>
      <w:sz w:val="24"/>
      <w:szCs w:val="24"/>
      <w:u w:val="single" w:color="0563C1"/>
      <w:lang w:val="fr-FR"/>
      <w14:textOutline w14:w="0" w14:cap="rnd" w14:cmpd="sng" w14:algn="ctr">
        <w14:noFill/>
        <w14:prstDash w14:val="solid"/>
        <w14:bevel/>
      </w14:textOutline>
    </w:rPr>
  </w:style>
  <w:style w:type="character" w:customStyle="1" w:styleId="Hyperlink4">
    <w:name w:val="Hyperlink.4"/>
    <w:basedOn w:val="Link"/>
    <w:rPr>
      <w:rFonts w:ascii="Arial" w:eastAsia="Arial" w:hAnsi="Arial" w:cs="Arial"/>
      <w:color w:val="0563C1"/>
      <w:sz w:val="24"/>
      <w:szCs w:val="24"/>
      <w:u w:val="single" w:color="0563C1"/>
      <w:lang w:val="pt-PT"/>
      <w14:textOutline w14:w="0" w14:cap="rnd" w14:cmpd="sng" w14:algn="ctr">
        <w14:noFill/>
        <w14:prstDash w14:val="solid"/>
        <w14:bevel/>
      </w14:textOutline>
    </w:rPr>
  </w:style>
  <w:style w:type="character" w:customStyle="1" w:styleId="Hyperlink5">
    <w:name w:val="Hyperlink.5"/>
    <w:basedOn w:val="Link"/>
    <w:rPr>
      <w:rFonts w:ascii="Arial" w:eastAsia="Arial" w:hAnsi="Arial" w:cs="Arial"/>
      <w:color w:val="0563C1"/>
      <w:sz w:val="24"/>
      <w:szCs w:val="24"/>
      <w:u w:val="single" w:color="0563C1"/>
      <w:lang w:val="de-DE"/>
      <w14:textOutline w14:w="0" w14:cap="rnd" w14:cmpd="sng" w14:algn="ctr">
        <w14:noFill/>
        <w14:prstDash w14:val="solid"/>
        <w14:bevel/>
      </w14:textOutline>
    </w:rPr>
  </w:style>
  <w:style w:type="numbering" w:customStyle="1" w:styleId="ImportedStyle16">
    <w:name w:val="Imported Style 16"/>
    <w:pPr>
      <w:numPr>
        <w:numId w:val="14"/>
      </w:numPr>
    </w:pPr>
  </w:style>
  <w:style w:type="numbering" w:customStyle="1" w:styleId="ImportedStyle17">
    <w:name w:val="Imported Style 17"/>
    <w:pPr>
      <w:numPr>
        <w:numId w:val="15"/>
      </w:numPr>
    </w:pPr>
  </w:style>
  <w:style w:type="character" w:customStyle="1" w:styleId="Hyperlink6">
    <w:name w:val="Hyperlink.6"/>
    <w:basedOn w:val="Link"/>
    <w:rPr>
      <w:rFonts w:ascii="Calibri" w:eastAsia="Calibri" w:hAnsi="Calibri" w:cs="Calibri"/>
      <w:color w:val="0563C1"/>
      <w:u w:val="single" w:color="0563C1"/>
      <w:lang w:val="en-US"/>
      <w14:textOutline w14:w="0" w14:cap="rnd" w14:cmpd="sng" w14:algn="ctr">
        <w14:noFill/>
        <w14:prstDash w14:val="solid"/>
        <w14:bevel/>
      </w14:textOutline>
    </w:rPr>
  </w:style>
  <w:style w:type="character" w:customStyle="1" w:styleId="Hyperlink7">
    <w:name w:val="Hyperlink.7"/>
    <w:basedOn w:val="Link"/>
    <w:rPr>
      <w:rFonts w:ascii="Calibri" w:eastAsia="Calibri" w:hAnsi="Calibri" w:cs="Calibri"/>
      <w:color w:val="0563C1"/>
      <w:u w:val="single" w:color="0563C1"/>
      <w:shd w:val="clear" w:color="auto" w:fill="FFFFFF"/>
      <w:lang w:val="en-US"/>
      <w14:textOutline w14:w="0" w14:cap="rnd" w14:cmpd="sng" w14:algn="ctr">
        <w14:noFill/>
        <w14:prstDash w14:val="solid"/>
        <w14:bevel/>
      </w14:textOutline>
    </w:rPr>
  </w:style>
  <w:style w:type="character" w:customStyle="1" w:styleId="Hyperlink8">
    <w:name w:val="Hyperlink.8"/>
    <w:basedOn w:val="Link"/>
    <w:rPr>
      <w:color w:val="0563C1"/>
      <w:u w:val="single" w:color="0563C1"/>
      <w:lang w:val="en-US"/>
      <w14:textOutline w14:w="0" w14:cap="rnd" w14:cmpd="sng" w14:algn="ctr">
        <w14:noFill/>
        <w14:prstDash w14:val="solid"/>
        <w14:bevel/>
      </w14:textOutline>
    </w:rPr>
  </w:style>
  <w:style w:type="paragraph" w:styleId="CommentText">
    <w:name w:val="annotation text"/>
    <w:basedOn w:val="Normal"/>
    <w:link w:val="CommentTextChar"/>
    <w:uiPriority w:val="99"/>
    <w:unhideWhenUsed/>
    <w:pPr>
      <w:pBdr>
        <w:top w:val="nil"/>
        <w:left w:val="nil"/>
        <w:bottom w:val="nil"/>
        <w:right w:val="nil"/>
        <w:between w:val="nil"/>
        <w:bar w:val="nil"/>
      </w:pBdr>
    </w:pPr>
    <w:rPr>
      <w:rFonts w:eastAsia="Arial Unicode MS"/>
      <w:sz w:val="20"/>
      <w:szCs w:val="20"/>
      <w:bdr w:val="nil"/>
      <w:lang w:val="en-US"/>
    </w:rPr>
  </w:style>
  <w:style w:type="character" w:customStyle="1" w:styleId="CommentTextChar">
    <w:name w:val="Comment Text Char"/>
    <w:basedOn w:val="DefaultParagraphFont"/>
    <w:link w:val="CommentText"/>
    <w:uiPriority w:val="99"/>
    <w:rPr>
      <w:lang w:val="en-US" w:eastAsia="en-US"/>
    </w:rPr>
  </w:style>
  <w:style w:type="character" w:styleId="CommentReference">
    <w:name w:val="annotation reference"/>
    <w:basedOn w:val="DefaultParagraphFont"/>
    <w:uiPriority w:val="99"/>
    <w:unhideWhenUsed/>
    <w:rPr>
      <w:sz w:val="16"/>
      <w:szCs w:val="16"/>
    </w:rPr>
  </w:style>
  <w:style w:type="paragraph" w:styleId="BalloonText">
    <w:name w:val="Balloon Text"/>
    <w:basedOn w:val="Normal"/>
    <w:link w:val="BalloonTextChar"/>
    <w:uiPriority w:val="99"/>
    <w:semiHidden/>
    <w:unhideWhenUsed/>
    <w:rsid w:val="00977C0C"/>
    <w:pPr>
      <w:pBdr>
        <w:top w:val="nil"/>
        <w:left w:val="nil"/>
        <w:bottom w:val="nil"/>
        <w:right w:val="nil"/>
        <w:between w:val="nil"/>
        <w:bar w:val="nil"/>
      </w:pBdr>
    </w:pPr>
    <w:rPr>
      <w:rFonts w:ascii="Tahoma" w:eastAsia="Arial Unicode MS" w:hAnsi="Tahoma" w:cs="Tahoma"/>
      <w:sz w:val="16"/>
      <w:szCs w:val="16"/>
      <w:bdr w:val="nil"/>
      <w:lang w:val="en-US"/>
    </w:rPr>
  </w:style>
  <w:style w:type="character" w:customStyle="1" w:styleId="BalloonTextChar">
    <w:name w:val="Balloon Text Char"/>
    <w:basedOn w:val="DefaultParagraphFont"/>
    <w:link w:val="BalloonText"/>
    <w:uiPriority w:val="99"/>
    <w:semiHidden/>
    <w:rsid w:val="00977C0C"/>
    <w:rPr>
      <w:rFonts w:ascii="Tahoma" w:hAnsi="Tahoma" w:cs="Tahoma"/>
      <w:sz w:val="16"/>
      <w:szCs w:val="16"/>
      <w:lang w:val="en-US" w:eastAsia="en-US"/>
    </w:rPr>
  </w:style>
  <w:style w:type="paragraph" w:styleId="CommentSubject">
    <w:name w:val="annotation subject"/>
    <w:basedOn w:val="CommentText"/>
    <w:next w:val="CommentText"/>
    <w:link w:val="CommentSubjectChar"/>
    <w:uiPriority w:val="99"/>
    <w:semiHidden/>
    <w:unhideWhenUsed/>
    <w:rsid w:val="004F1C94"/>
    <w:rPr>
      <w:b/>
      <w:bCs/>
    </w:rPr>
  </w:style>
  <w:style w:type="character" w:customStyle="1" w:styleId="CommentSubjectChar">
    <w:name w:val="Comment Subject Char"/>
    <w:basedOn w:val="CommentTextChar"/>
    <w:link w:val="CommentSubject"/>
    <w:uiPriority w:val="99"/>
    <w:semiHidden/>
    <w:rsid w:val="004F1C94"/>
    <w:rPr>
      <w:b/>
      <w:bCs/>
      <w:lang w:val="en-US" w:eastAsia="en-US"/>
    </w:rPr>
  </w:style>
  <w:style w:type="character" w:customStyle="1" w:styleId="Heading1Char">
    <w:name w:val="Heading 1 Char"/>
    <w:basedOn w:val="DefaultParagraphFont"/>
    <w:link w:val="Heading1"/>
    <w:uiPriority w:val="9"/>
    <w:rsid w:val="00861847"/>
    <w:rPr>
      <w:rFonts w:asciiTheme="majorHAnsi" w:eastAsiaTheme="majorEastAsia" w:hAnsiTheme="majorHAnsi" w:cstheme="majorBidi"/>
      <w:color w:val="2E74B5" w:themeColor="accent1" w:themeShade="BF"/>
      <w:sz w:val="32"/>
      <w:szCs w:val="32"/>
      <w:lang w:val="en-US" w:eastAsia="en-US"/>
    </w:rPr>
  </w:style>
  <w:style w:type="character" w:customStyle="1" w:styleId="Heading3Char">
    <w:name w:val="Heading 3 Char"/>
    <w:basedOn w:val="DefaultParagraphFont"/>
    <w:link w:val="Heading3"/>
    <w:uiPriority w:val="9"/>
    <w:rsid w:val="00861847"/>
    <w:rPr>
      <w:rFonts w:asciiTheme="majorHAnsi" w:eastAsiaTheme="majorEastAsia" w:hAnsiTheme="majorHAnsi" w:cstheme="majorBidi"/>
      <w:color w:val="1F4D78" w:themeColor="accent1" w:themeShade="7F"/>
      <w:sz w:val="24"/>
      <w:szCs w:val="24"/>
      <w:lang w:val="en-US" w:eastAsia="en-US"/>
    </w:rPr>
  </w:style>
  <w:style w:type="character" w:customStyle="1" w:styleId="FooterChar">
    <w:name w:val="Footer Char"/>
    <w:basedOn w:val="DefaultParagraphFont"/>
    <w:link w:val="Footer"/>
    <w:uiPriority w:val="99"/>
    <w:rsid w:val="00E219D5"/>
    <w:rPr>
      <w:rFonts w:ascii="Calibri" w:eastAsia="Calibri" w:hAnsi="Calibri" w:cs="Calibri"/>
      <w:color w:val="000000"/>
      <w:sz w:val="22"/>
      <w:szCs w:val="22"/>
      <w:u w:color="000000"/>
      <w:lang w:val="en-US"/>
    </w:rPr>
  </w:style>
  <w:style w:type="character" w:customStyle="1" w:styleId="Heading4Char">
    <w:name w:val="Heading 4 Char"/>
    <w:basedOn w:val="DefaultParagraphFont"/>
    <w:link w:val="Heading4"/>
    <w:uiPriority w:val="9"/>
    <w:rsid w:val="00016C2B"/>
    <w:rPr>
      <w:rFonts w:asciiTheme="majorHAnsi" w:eastAsiaTheme="majorEastAsia" w:hAnsiTheme="majorHAnsi" w:cstheme="majorBidi"/>
      <w:i/>
      <w:iCs/>
      <w:color w:val="2E74B5" w:themeColor="accent1" w:themeShade="BF"/>
      <w:sz w:val="24"/>
      <w:szCs w:val="24"/>
      <w:lang w:val="en-US" w:eastAsia="en-US"/>
    </w:rPr>
  </w:style>
  <w:style w:type="paragraph" w:styleId="NoSpacing">
    <w:name w:val="No Spacing"/>
    <w:link w:val="NoSpacingChar"/>
    <w:uiPriority w:val="99"/>
    <w:qFormat/>
    <w:rsid w:val="0034047B"/>
    <w:pPr>
      <w:pBdr>
        <w:top w:val="none" w:sz="0" w:space="0" w:color="auto"/>
        <w:left w:val="none" w:sz="0" w:space="0" w:color="auto"/>
        <w:bottom w:val="none" w:sz="0" w:space="0" w:color="auto"/>
        <w:right w:val="none" w:sz="0" w:space="0" w:color="auto"/>
        <w:between w:val="none" w:sz="0" w:space="0" w:color="auto"/>
        <w:bar w:val="none" w:sz="0" w:color="auto"/>
      </w:pBdr>
    </w:pPr>
    <w:rPr>
      <w:rFonts w:ascii="Cambria" w:eastAsia="Times New Roman" w:hAnsi="Cambria"/>
      <w:sz w:val="22"/>
      <w:szCs w:val="22"/>
      <w:bdr w:val="none" w:sz="0" w:space="0" w:color="auto"/>
      <w:lang w:val="en-US" w:eastAsia="en-US"/>
    </w:rPr>
  </w:style>
  <w:style w:type="character" w:customStyle="1" w:styleId="NoSpacingChar">
    <w:name w:val="No Spacing Char"/>
    <w:basedOn w:val="DefaultParagraphFont"/>
    <w:link w:val="NoSpacing"/>
    <w:uiPriority w:val="99"/>
    <w:locked/>
    <w:rsid w:val="0034047B"/>
    <w:rPr>
      <w:rFonts w:ascii="Cambria" w:eastAsia="Times New Roman" w:hAnsi="Cambria"/>
      <w:sz w:val="22"/>
      <w:szCs w:val="22"/>
      <w:bdr w:val="none" w:sz="0" w:space="0" w:color="auto"/>
      <w:lang w:val="en-US" w:eastAsia="en-US"/>
    </w:rPr>
  </w:style>
  <w:style w:type="character" w:customStyle="1" w:styleId="HeaderChar">
    <w:name w:val="Header Char"/>
    <w:basedOn w:val="DefaultParagraphFont"/>
    <w:link w:val="Header"/>
    <w:uiPriority w:val="99"/>
    <w:locked/>
    <w:rsid w:val="00CF54C7"/>
    <w:rPr>
      <w:rFonts w:ascii="Calibri" w:hAnsi="Calibri" w:cs="Arial Unicode MS"/>
      <w:color w:val="000000"/>
      <w:sz w:val="22"/>
      <w:szCs w:val="22"/>
      <w:u w:color="000000"/>
      <w:lang w:val="en-US"/>
    </w:rPr>
  </w:style>
  <w:style w:type="paragraph" w:styleId="NormalWeb">
    <w:name w:val="Normal (Web)"/>
    <w:basedOn w:val="Normal"/>
    <w:uiPriority w:val="99"/>
    <w:unhideWhenUsed/>
    <w:rsid w:val="00CF54C7"/>
    <w:pPr>
      <w:spacing w:after="160" w:line="259" w:lineRule="auto"/>
    </w:pPr>
    <w:rPr>
      <w:rFonts w:eastAsia="Calibri"/>
      <w:lang w:eastAsia="en-IE"/>
    </w:rPr>
  </w:style>
  <w:style w:type="character" w:customStyle="1" w:styleId="Heading6Char">
    <w:name w:val="Heading 6 Char"/>
    <w:basedOn w:val="DefaultParagraphFont"/>
    <w:link w:val="Heading6"/>
    <w:uiPriority w:val="9"/>
    <w:semiHidden/>
    <w:rsid w:val="00B56B42"/>
    <w:rPr>
      <w:rFonts w:asciiTheme="majorHAnsi" w:eastAsiaTheme="majorEastAsia" w:hAnsiTheme="majorHAnsi" w:cstheme="majorBidi"/>
      <w:color w:val="1F4D78" w:themeColor="accent1" w:themeShade="7F"/>
      <w:sz w:val="24"/>
      <w:szCs w:val="24"/>
      <w:lang w:val="en-US" w:eastAsia="en-US"/>
    </w:rPr>
  </w:style>
  <w:style w:type="character" w:customStyle="1" w:styleId="UnresolvedMention1">
    <w:name w:val="Unresolved Mention1"/>
    <w:basedOn w:val="DefaultParagraphFont"/>
    <w:uiPriority w:val="99"/>
    <w:semiHidden/>
    <w:unhideWhenUsed/>
    <w:rsid w:val="001257A7"/>
    <w:rPr>
      <w:color w:val="605E5C"/>
      <w:shd w:val="clear" w:color="auto" w:fill="E1DFDD"/>
    </w:rPr>
  </w:style>
  <w:style w:type="character" w:customStyle="1" w:styleId="UnresolvedMention2">
    <w:name w:val="Unresolved Mention2"/>
    <w:basedOn w:val="DefaultParagraphFont"/>
    <w:uiPriority w:val="99"/>
    <w:semiHidden/>
    <w:unhideWhenUsed/>
    <w:rsid w:val="00FF11C1"/>
    <w:rPr>
      <w:color w:val="605E5C"/>
      <w:shd w:val="clear" w:color="auto" w:fill="E1DFDD"/>
    </w:rPr>
  </w:style>
  <w:style w:type="character" w:styleId="Emphasis">
    <w:name w:val="Emphasis"/>
    <w:basedOn w:val="DefaultParagraphFont"/>
    <w:uiPriority w:val="20"/>
    <w:qFormat/>
    <w:rsid w:val="00FF11C1"/>
    <w:rPr>
      <w:i/>
      <w:iCs/>
    </w:rPr>
  </w:style>
  <w:style w:type="character" w:styleId="FollowedHyperlink">
    <w:name w:val="FollowedHyperlink"/>
    <w:basedOn w:val="DefaultParagraphFont"/>
    <w:uiPriority w:val="99"/>
    <w:semiHidden/>
    <w:unhideWhenUsed/>
    <w:rsid w:val="000A76EC"/>
    <w:rPr>
      <w:color w:val="FF00FF" w:themeColor="followedHyperlink"/>
      <w:u w:val="single"/>
    </w:rPr>
  </w:style>
  <w:style w:type="character" w:styleId="Strong">
    <w:name w:val="Strong"/>
    <w:basedOn w:val="DefaultParagraphFont"/>
    <w:uiPriority w:val="22"/>
    <w:qFormat/>
    <w:rsid w:val="00AC6DDB"/>
    <w:rPr>
      <w:b/>
      <w:bCs/>
    </w:rPr>
  </w:style>
  <w:style w:type="paragraph" w:customStyle="1" w:styleId="Normal1">
    <w:name w:val="Normal1"/>
    <w:link w:val="Normal1Char"/>
    <w:rsid w:val="00985C43"/>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lang w:val="en-GB" w:eastAsia="en-US"/>
    </w:rPr>
  </w:style>
  <w:style w:type="character" w:customStyle="1" w:styleId="Normal1Char">
    <w:name w:val="Normal1 Char"/>
    <w:basedOn w:val="DefaultParagraphFont"/>
    <w:link w:val="Normal1"/>
    <w:rsid w:val="00985C43"/>
    <w:rPr>
      <w:rFonts w:eastAsia="Times New Roman"/>
      <w:sz w:val="24"/>
      <w:szCs w:val="24"/>
      <w:bdr w:val="none" w:sz="0" w:space="0" w:color="auto"/>
      <w:lang w:val="en-GB" w:eastAsia="en-US"/>
    </w:rPr>
  </w:style>
  <w:style w:type="table" w:styleId="TableGrid">
    <w:name w:val="Table Grid"/>
    <w:basedOn w:val="TableNormal"/>
    <w:uiPriority w:val="59"/>
    <w:rsid w:val="00985C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985C4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3">
    <w:name w:val="Unresolved Mention3"/>
    <w:basedOn w:val="DefaultParagraphFont"/>
    <w:uiPriority w:val="99"/>
    <w:semiHidden/>
    <w:unhideWhenUsed/>
    <w:rsid w:val="00CB128A"/>
    <w:rPr>
      <w:color w:val="605E5C"/>
      <w:shd w:val="clear" w:color="auto" w:fill="E1DFDD"/>
    </w:rPr>
  </w:style>
  <w:style w:type="paragraph" w:customStyle="1" w:styleId="Title1">
    <w:name w:val="Title1"/>
    <w:basedOn w:val="Normal"/>
    <w:rsid w:val="00E06E98"/>
    <w:pPr>
      <w:spacing w:before="100" w:beforeAutospacing="1" w:after="100" w:afterAutospacing="1"/>
    </w:pPr>
  </w:style>
  <w:style w:type="character" w:customStyle="1" w:styleId="apple-converted-space">
    <w:name w:val="apple-converted-space"/>
    <w:basedOn w:val="DefaultParagraphFont"/>
    <w:rsid w:val="00E06E98"/>
  </w:style>
  <w:style w:type="character" w:customStyle="1" w:styleId="jrnl">
    <w:name w:val="jrnl"/>
    <w:basedOn w:val="DefaultParagraphFont"/>
    <w:rsid w:val="00E06E98"/>
  </w:style>
  <w:style w:type="paragraph" w:customStyle="1" w:styleId="loaitem">
    <w:name w:val="loa__item"/>
    <w:basedOn w:val="Normal"/>
    <w:rsid w:val="00441645"/>
    <w:pPr>
      <w:spacing w:before="100" w:beforeAutospacing="1" w:after="100" w:afterAutospacing="1"/>
    </w:pPr>
  </w:style>
  <w:style w:type="character" w:customStyle="1" w:styleId="article-headerpublish-datelabel">
    <w:name w:val="article-header__publish-date__label"/>
    <w:basedOn w:val="DefaultParagraphFont"/>
    <w:rsid w:val="00441645"/>
  </w:style>
  <w:style w:type="character" w:customStyle="1" w:styleId="article-headerpublish-datevalue">
    <w:name w:val="article-header__publish-date__value"/>
    <w:basedOn w:val="DefaultParagraphFont"/>
    <w:rsid w:val="00441645"/>
  </w:style>
  <w:style w:type="paragraph" w:styleId="EndnoteText">
    <w:name w:val="endnote text"/>
    <w:basedOn w:val="Normal"/>
    <w:link w:val="EndnoteTextChar"/>
    <w:uiPriority w:val="99"/>
    <w:unhideWhenUsed/>
    <w:rsid w:val="00C84CB0"/>
    <w:rPr>
      <w:rFonts w:ascii="Calibri" w:eastAsia="Calibri" w:hAnsi="Calibri"/>
      <w:sz w:val="20"/>
      <w:szCs w:val="20"/>
    </w:rPr>
  </w:style>
  <w:style w:type="character" w:customStyle="1" w:styleId="EndnoteTextChar">
    <w:name w:val="Endnote Text Char"/>
    <w:basedOn w:val="DefaultParagraphFont"/>
    <w:link w:val="EndnoteText"/>
    <w:uiPriority w:val="99"/>
    <w:rsid w:val="00C84CB0"/>
    <w:rPr>
      <w:rFonts w:ascii="Calibri" w:eastAsia="Calibri" w:hAnsi="Calibri"/>
      <w:bdr w:val="none" w:sz="0" w:space="0" w:color="auto"/>
      <w:lang w:eastAsia="en-US"/>
    </w:rPr>
  </w:style>
  <w:style w:type="character" w:styleId="EndnoteReference">
    <w:name w:val="endnote reference"/>
    <w:uiPriority w:val="99"/>
    <w:unhideWhenUsed/>
    <w:rsid w:val="00C84CB0"/>
    <w:rPr>
      <w:vertAlign w:val="superscript"/>
    </w:rPr>
  </w:style>
  <w:style w:type="paragraph" w:customStyle="1" w:styleId="numbered-paragraph">
    <w:name w:val="numbered-paragraph"/>
    <w:basedOn w:val="Normal"/>
    <w:rsid w:val="00C84CB0"/>
    <w:pPr>
      <w:spacing w:before="100" w:beforeAutospacing="1" w:after="100" w:afterAutospacing="1"/>
    </w:pPr>
    <w:rPr>
      <w:lang w:eastAsia="en-IE"/>
    </w:rPr>
  </w:style>
  <w:style w:type="paragraph" w:customStyle="1" w:styleId="product-title">
    <w:name w:val="product-title"/>
    <w:basedOn w:val="Normal"/>
    <w:rsid w:val="000B6CAB"/>
    <w:pPr>
      <w:spacing w:before="100" w:beforeAutospacing="1" w:after="100" w:afterAutospacing="1"/>
    </w:pPr>
  </w:style>
  <w:style w:type="character" w:customStyle="1" w:styleId="prod-title">
    <w:name w:val="prod-title"/>
    <w:basedOn w:val="DefaultParagraphFont"/>
    <w:rsid w:val="000B6CAB"/>
  </w:style>
  <w:style w:type="character" w:customStyle="1" w:styleId="published-date">
    <w:name w:val="published-date"/>
    <w:basedOn w:val="DefaultParagraphFont"/>
    <w:rsid w:val="000B6CAB"/>
  </w:style>
  <w:style w:type="paragraph" w:styleId="Revision">
    <w:name w:val="Revision"/>
    <w:hidden/>
    <w:uiPriority w:val="99"/>
    <w:semiHidden/>
    <w:rsid w:val="0006352E"/>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056238">
      <w:bodyDiv w:val="1"/>
      <w:marLeft w:val="0"/>
      <w:marRight w:val="0"/>
      <w:marTop w:val="0"/>
      <w:marBottom w:val="0"/>
      <w:divBdr>
        <w:top w:val="none" w:sz="0" w:space="0" w:color="auto"/>
        <w:left w:val="none" w:sz="0" w:space="0" w:color="auto"/>
        <w:bottom w:val="none" w:sz="0" w:space="0" w:color="auto"/>
        <w:right w:val="none" w:sz="0" w:space="0" w:color="auto"/>
      </w:divBdr>
    </w:div>
    <w:div w:id="90243193">
      <w:bodyDiv w:val="1"/>
      <w:marLeft w:val="0"/>
      <w:marRight w:val="0"/>
      <w:marTop w:val="0"/>
      <w:marBottom w:val="0"/>
      <w:divBdr>
        <w:top w:val="none" w:sz="0" w:space="0" w:color="auto"/>
        <w:left w:val="none" w:sz="0" w:space="0" w:color="auto"/>
        <w:bottom w:val="none" w:sz="0" w:space="0" w:color="auto"/>
        <w:right w:val="none" w:sz="0" w:space="0" w:color="auto"/>
      </w:divBdr>
      <w:divsChild>
        <w:div w:id="1566143102">
          <w:marLeft w:val="0"/>
          <w:marRight w:val="0"/>
          <w:marTop w:val="0"/>
          <w:marBottom w:val="0"/>
          <w:divBdr>
            <w:top w:val="none" w:sz="0" w:space="0" w:color="auto"/>
            <w:left w:val="none" w:sz="0" w:space="0" w:color="auto"/>
            <w:bottom w:val="none" w:sz="0" w:space="0" w:color="auto"/>
            <w:right w:val="none" w:sz="0" w:space="0" w:color="auto"/>
          </w:divBdr>
          <w:divsChild>
            <w:div w:id="1169709468">
              <w:marLeft w:val="0"/>
              <w:marRight w:val="0"/>
              <w:marTop w:val="0"/>
              <w:marBottom w:val="0"/>
              <w:divBdr>
                <w:top w:val="none" w:sz="0" w:space="0" w:color="auto"/>
                <w:left w:val="none" w:sz="0" w:space="0" w:color="auto"/>
                <w:bottom w:val="none" w:sz="0" w:space="0" w:color="auto"/>
                <w:right w:val="none" w:sz="0" w:space="0" w:color="auto"/>
              </w:divBdr>
              <w:divsChild>
                <w:div w:id="517083456">
                  <w:marLeft w:val="0"/>
                  <w:marRight w:val="0"/>
                  <w:marTop w:val="0"/>
                  <w:marBottom w:val="0"/>
                  <w:divBdr>
                    <w:top w:val="none" w:sz="0" w:space="0" w:color="auto"/>
                    <w:left w:val="none" w:sz="0" w:space="0" w:color="auto"/>
                    <w:bottom w:val="none" w:sz="0" w:space="0" w:color="auto"/>
                    <w:right w:val="none" w:sz="0" w:space="0" w:color="auto"/>
                  </w:divBdr>
                  <w:divsChild>
                    <w:div w:id="780144829">
                      <w:marLeft w:val="0"/>
                      <w:marRight w:val="0"/>
                      <w:marTop w:val="0"/>
                      <w:marBottom w:val="0"/>
                      <w:divBdr>
                        <w:top w:val="none" w:sz="0" w:space="0" w:color="auto"/>
                        <w:left w:val="none" w:sz="0" w:space="0" w:color="auto"/>
                        <w:bottom w:val="none" w:sz="0" w:space="0" w:color="auto"/>
                        <w:right w:val="none" w:sz="0" w:space="0" w:color="auto"/>
                      </w:divBdr>
                      <w:divsChild>
                        <w:div w:id="1567181347">
                          <w:marLeft w:val="0"/>
                          <w:marRight w:val="0"/>
                          <w:marTop w:val="0"/>
                          <w:marBottom w:val="0"/>
                          <w:divBdr>
                            <w:top w:val="none" w:sz="0" w:space="0" w:color="auto"/>
                            <w:left w:val="none" w:sz="0" w:space="0" w:color="auto"/>
                            <w:bottom w:val="none" w:sz="0" w:space="0" w:color="auto"/>
                            <w:right w:val="none" w:sz="0" w:space="0" w:color="auto"/>
                          </w:divBdr>
                          <w:divsChild>
                            <w:div w:id="1151867491">
                              <w:marLeft w:val="0"/>
                              <w:marRight w:val="0"/>
                              <w:marTop w:val="0"/>
                              <w:marBottom w:val="0"/>
                              <w:divBdr>
                                <w:top w:val="none" w:sz="0" w:space="0" w:color="auto"/>
                                <w:left w:val="none" w:sz="0" w:space="0" w:color="auto"/>
                                <w:bottom w:val="none" w:sz="0" w:space="0" w:color="auto"/>
                                <w:right w:val="none" w:sz="0" w:space="0" w:color="auto"/>
                              </w:divBdr>
                              <w:divsChild>
                                <w:div w:id="657996973">
                                  <w:marLeft w:val="0"/>
                                  <w:marRight w:val="0"/>
                                  <w:marTop w:val="0"/>
                                  <w:marBottom w:val="0"/>
                                  <w:divBdr>
                                    <w:top w:val="none" w:sz="0" w:space="0" w:color="auto"/>
                                    <w:left w:val="none" w:sz="0" w:space="0" w:color="auto"/>
                                    <w:bottom w:val="none" w:sz="0" w:space="0" w:color="auto"/>
                                    <w:right w:val="none" w:sz="0" w:space="0" w:color="auto"/>
                                  </w:divBdr>
                                </w:div>
                                <w:div w:id="109728707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178776">
      <w:bodyDiv w:val="1"/>
      <w:marLeft w:val="0"/>
      <w:marRight w:val="0"/>
      <w:marTop w:val="0"/>
      <w:marBottom w:val="0"/>
      <w:divBdr>
        <w:top w:val="none" w:sz="0" w:space="0" w:color="auto"/>
        <w:left w:val="none" w:sz="0" w:space="0" w:color="auto"/>
        <w:bottom w:val="none" w:sz="0" w:space="0" w:color="auto"/>
        <w:right w:val="none" w:sz="0" w:space="0" w:color="auto"/>
      </w:divBdr>
      <w:divsChild>
        <w:div w:id="808518920">
          <w:marLeft w:val="0"/>
          <w:marRight w:val="0"/>
          <w:marTop w:val="0"/>
          <w:marBottom w:val="0"/>
          <w:divBdr>
            <w:top w:val="none" w:sz="0" w:space="0" w:color="auto"/>
            <w:left w:val="none" w:sz="0" w:space="0" w:color="auto"/>
            <w:bottom w:val="none" w:sz="0" w:space="0" w:color="auto"/>
            <w:right w:val="none" w:sz="0" w:space="0" w:color="auto"/>
          </w:divBdr>
          <w:divsChild>
            <w:div w:id="1883059999">
              <w:marLeft w:val="0"/>
              <w:marRight w:val="0"/>
              <w:marTop w:val="0"/>
              <w:marBottom w:val="0"/>
              <w:divBdr>
                <w:top w:val="none" w:sz="0" w:space="0" w:color="auto"/>
                <w:left w:val="none" w:sz="0" w:space="0" w:color="auto"/>
                <w:bottom w:val="none" w:sz="0" w:space="0" w:color="auto"/>
                <w:right w:val="none" w:sz="0" w:space="0" w:color="auto"/>
              </w:divBdr>
              <w:divsChild>
                <w:div w:id="2008047529">
                  <w:marLeft w:val="0"/>
                  <w:marRight w:val="0"/>
                  <w:marTop w:val="0"/>
                  <w:marBottom w:val="0"/>
                  <w:divBdr>
                    <w:top w:val="none" w:sz="0" w:space="0" w:color="auto"/>
                    <w:left w:val="none" w:sz="0" w:space="0" w:color="auto"/>
                    <w:bottom w:val="none" w:sz="0" w:space="0" w:color="auto"/>
                    <w:right w:val="none" w:sz="0" w:space="0" w:color="auto"/>
                  </w:divBdr>
                  <w:divsChild>
                    <w:div w:id="4379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523773">
      <w:bodyDiv w:val="1"/>
      <w:marLeft w:val="0"/>
      <w:marRight w:val="0"/>
      <w:marTop w:val="0"/>
      <w:marBottom w:val="0"/>
      <w:divBdr>
        <w:top w:val="none" w:sz="0" w:space="0" w:color="auto"/>
        <w:left w:val="none" w:sz="0" w:space="0" w:color="auto"/>
        <w:bottom w:val="none" w:sz="0" w:space="0" w:color="auto"/>
        <w:right w:val="none" w:sz="0" w:space="0" w:color="auto"/>
      </w:divBdr>
    </w:div>
    <w:div w:id="267472907">
      <w:bodyDiv w:val="1"/>
      <w:marLeft w:val="0"/>
      <w:marRight w:val="0"/>
      <w:marTop w:val="0"/>
      <w:marBottom w:val="0"/>
      <w:divBdr>
        <w:top w:val="none" w:sz="0" w:space="0" w:color="auto"/>
        <w:left w:val="none" w:sz="0" w:space="0" w:color="auto"/>
        <w:bottom w:val="none" w:sz="0" w:space="0" w:color="auto"/>
        <w:right w:val="none" w:sz="0" w:space="0" w:color="auto"/>
      </w:divBdr>
    </w:div>
    <w:div w:id="411395999">
      <w:bodyDiv w:val="1"/>
      <w:marLeft w:val="0"/>
      <w:marRight w:val="0"/>
      <w:marTop w:val="0"/>
      <w:marBottom w:val="0"/>
      <w:divBdr>
        <w:top w:val="none" w:sz="0" w:space="0" w:color="auto"/>
        <w:left w:val="none" w:sz="0" w:space="0" w:color="auto"/>
        <w:bottom w:val="none" w:sz="0" w:space="0" w:color="auto"/>
        <w:right w:val="none" w:sz="0" w:space="0" w:color="auto"/>
      </w:divBdr>
      <w:divsChild>
        <w:div w:id="1465343877">
          <w:marLeft w:val="960"/>
          <w:marRight w:val="0"/>
          <w:marTop w:val="0"/>
          <w:marBottom w:val="0"/>
          <w:divBdr>
            <w:top w:val="none" w:sz="0" w:space="0" w:color="auto"/>
            <w:left w:val="none" w:sz="0" w:space="0" w:color="auto"/>
            <w:bottom w:val="none" w:sz="0" w:space="0" w:color="auto"/>
            <w:right w:val="none" w:sz="0" w:space="0" w:color="auto"/>
          </w:divBdr>
        </w:div>
      </w:divsChild>
    </w:div>
    <w:div w:id="658116443">
      <w:bodyDiv w:val="1"/>
      <w:marLeft w:val="0"/>
      <w:marRight w:val="0"/>
      <w:marTop w:val="0"/>
      <w:marBottom w:val="0"/>
      <w:divBdr>
        <w:top w:val="none" w:sz="0" w:space="0" w:color="auto"/>
        <w:left w:val="none" w:sz="0" w:space="0" w:color="auto"/>
        <w:bottom w:val="none" w:sz="0" w:space="0" w:color="auto"/>
        <w:right w:val="none" w:sz="0" w:space="0" w:color="auto"/>
      </w:divBdr>
    </w:div>
    <w:div w:id="696857440">
      <w:bodyDiv w:val="1"/>
      <w:marLeft w:val="0"/>
      <w:marRight w:val="0"/>
      <w:marTop w:val="0"/>
      <w:marBottom w:val="0"/>
      <w:divBdr>
        <w:top w:val="none" w:sz="0" w:space="0" w:color="auto"/>
        <w:left w:val="none" w:sz="0" w:space="0" w:color="auto"/>
        <w:bottom w:val="none" w:sz="0" w:space="0" w:color="auto"/>
        <w:right w:val="none" w:sz="0" w:space="0" w:color="auto"/>
      </w:divBdr>
    </w:div>
    <w:div w:id="743800629">
      <w:bodyDiv w:val="1"/>
      <w:marLeft w:val="0"/>
      <w:marRight w:val="0"/>
      <w:marTop w:val="0"/>
      <w:marBottom w:val="0"/>
      <w:divBdr>
        <w:top w:val="none" w:sz="0" w:space="0" w:color="auto"/>
        <w:left w:val="none" w:sz="0" w:space="0" w:color="auto"/>
        <w:bottom w:val="none" w:sz="0" w:space="0" w:color="auto"/>
        <w:right w:val="none" w:sz="0" w:space="0" w:color="auto"/>
      </w:divBdr>
    </w:div>
    <w:div w:id="805974543">
      <w:bodyDiv w:val="1"/>
      <w:marLeft w:val="0"/>
      <w:marRight w:val="0"/>
      <w:marTop w:val="0"/>
      <w:marBottom w:val="0"/>
      <w:divBdr>
        <w:top w:val="none" w:sz="0" w:space="0" w:color="auto"/>
        <w:left w:val="none" w:sz="0" w:space="0" w:color="auto"/>
        <w:bottom w:val="none" w:sz="0" w:space="0" w:color="auto"/>
        <w:right w:val="none" w:sz="0" w:space="0" w:color="auto"/>
      </w:divBdr>
    </w:div>
    <w:div w:id="828593387">
      <w:bodyDiv w:val="1"/>
      <w:marLeft w:val="0"/>
      <w:marRight w:val="0"/>
      <w:marTop w:val="0"/>
      <w:marBottom w:val="0"/>
      <w:divBdr>
        <w:top w:val="none" w:sz="0" w:space="0" w:color="auto"/>
        <w:left w:val="none" w:sz="0" w:space="0" w:color="auto"/>
        <w:bottom w:val="none" w:sz="0" w:space="0" w:color="auto"/>
        <w:right w:val="none" w:sz="0" w:space="0" w:color="auto"/>
      </w:divBdr>
    </w:div>
    <w:div w:id="867178978">
      <w:bodyDiv w:val="1"/>
      <w:marLeft w:val="0"/>
      <w:marRight w:val="0"/>
      <w:marTop w:val="0"/>
      <w:marBottom w:val="0"/>
      <w:divBdr>
        <w:top w:val="none" w:sz="0" w:space="0" w:color="auto"/>
        <w:left w:val="none" w:sz="0" w:space="0" w:color="auto"/>
        <w:bottom w:val="none" w:sz="0" w:space="0" w:color="auto"/>
        <w:right w:val="none" w:sz="0" w:space="0" w:color="auto"/>
      </w:divBdr>
    </w:div>
    <w:div w:id="1033577950">
      <w:bodyDiv w:val="1"/>
      <w:marLeft w:val="0"/>
      <w:marRight w:val="0"/>
      <w:marTop w:val="0"/>
      <w:marBottom w:val="0"/>
      <w:divBdr>
        <w:top w:val="none" w:sz="0" w:space="0" w:color="auto"/>
        <w:left w:val="none" w:sz="0" w:space="0" w:color="auto"/>
        <w:bottom w:val="none" w:sz="0" w:space="0" w:color="auto"/>
        <w:right w:val="none" w:sz="0" w:space="0" w:color="auto"/>
      </w:divBdr>
    </w:div>
    <w:div w:id="1105924331">
      <w:bodyDiv w:val="1"/>
      <w:marLeft w:val="0"/>
      <w:marRight w:val="0"/>
      <w:marTop w:val="0"/>
      <w:marBottom w:val="0"/>
      <w:divBdr>
        <w:top w:val="none" w:sz="0" w:space="0" w:color="auto"/>
        <w:left w:val="none" w:sz="0" w:space="0" w:color="auto"/>
        <w:bottom w:val="none" w:sz="0" w:space="0" w:color="auto"/>
        <w:right w:val="none" w:sz="0" w:space="0" w:color="auto"/>
      </w:divBdr>
      <w:divsChild>
        <w:div w:id="706299994">
          <w:marLeft w:val="0"/>
          <w:marRight w:val="0"/>
          <w:marTop w:val="0"/>
          <w:marBottom w:val="0"/>
          <w:divBdr>
            <w:top w:val="none" w:sz="0" w:space="0" w:color="auto"/>
            <w:left w:val="none" w:sz="0" w:space="0" w:color="auto"/>
            <w:bottom w:val="none" w:sz="0" w:space="0" w:color="auto"/>
            <w:right w:val="none" w:sz="0" w:space="0" w:color="auto"/>
          </w:divBdr>
          <w:divsChild>
            <w:div w:id="380247463">
              <w:marLeft w:val="0"/>
              <w:marRight w:val="0"/>
              <w:marTop w:val="0"/>
              <w:marBottom w:val="0"/>
              <w:divBdr>
                <w:top w:val="none" w:sz="0" w:space="0" w:color="auto"/>
                <w:left w:val="none" w:sz="0" w:space="0" w:color="auto"/>
                <w:bottom w:val="none" w:sz="0" w:space="0" w:color="auto"/>
                <w:right w:val="none" w:sz="0" w:space="0" w:color="auto"/>
              </w:divBdr>
              <w:divsChild>
                <w:div w:id="89096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003621">
      <w:bodyDiv w:val="1"/>
      <w:marLeft w:val="0"/>
      <w:marRight w:val="0"/>
      <w:marTop w:val="0"/>
      <w:marBottom w:val="0"/>
      <w:divBdr>
        <w:top w:val="none" w:sz="0" w:space="0" w:color="auto"/>
        <w:left w:val="none" w:sz="0" w:space="0" w:color="auto"/>
        <w:bottom w:val="none" w:sz="0" w:space="0" w:color="auto"/>
        <w:right w:val="none" w:sz="0" w:space="0" w:color="auto"/>
      </w:divBdr>
    </w:div>
    <w:div w:id="1154762896">
      <w:bodyDiv w:val="1"/>
      <w:marLeft w:val="0"/>
      <w:marRight w:val="0"/>
      <w:marTop w:val="0"/>
      <w:marBottom w:val="0"/>
      <w:divBdr>
        <w:top w:val="none" w:sz="0" w:space="0" w:color="auto"/>
        <w:left w:val="none" w:sz="0" w:space="0" w:color="auto"/>
        <w:bottom w:val="none" w:sz="0" w:space="0" w:color="auto"/>
        <w:right w:val="none" w:sz="0" w:space="0" w:color="auto"/>
      </w:divBdr>
    </w:div>
    <w:div w:id="1254167618">
      <w:bodyDiv w:val="1"/>
      <w:marLeft w:val="0"/>
      <w:marRight w:val="0"/>
      <w:marTop w:val="0"/>
      <w:marBottom w:val="0"/>
      <w:divBdr>
        <w:top w:val="none" w:sz="0" w:space="0" w:color="auto"/>
        <w:left w:val="none" w:sz="0" w:space="0" w:color="auto"/>
        <w:bottom w:val="none" w:sz="0" w:space="0" w:color="auto"/>
        <w:right w:val="none" w:sz="0" w:space="0" w:color="auto"/>
      </w:divBdr>
    </w:div>
    <w:div w:id="1299458113">
      <w:bodyDiv w:val="1"/>
      <w:marLeft w:val="0"/>
      <w:marRight w:val="0"/>
      <w:marTop w:val="0"/>
      <w:marBottom w:val="0"/>
      <w:divBdr>
        <w:top w:val="none" w:sz="0" w:space="0" w:color="auto"/>
        <w:left w:val="none" w:sz="0" w:space="0" w:color="auto"/>
        <w:bottom w:val="none" w:sz="0" w:space="0" w:color="auto"/>
        <w:right w:val="none" w:sz="0" w:space="0" w:color="auto"/>
      </w:divBdr>
      <w:divsChild>
        <w:div w:id="289092744">
          <w:marLeft w:val="0"/>
          <w:marRight w:val="0"/>
          <w:marTop w:val="0"/>
          <w:marBottom w:val="0"/>
          <w:divBdr>
            <w:top w:val="none" w:sz="0" w:space="0" w:color="auto"/>
            <w:left w:val="none" w:sz="0" w:space="0" w:color="auto"/>
            <w:bottom w:val="none" w:sz="0" w:space="0" w:color="auto"/>
            <w:right w:val="none" w:sz="0" w:space="0" w:color="auto"/>
          </w:divBdr>
          <w:divsChild>
            <w:div w:id="506292505">
              <w:marLeft w:val="0"/>
              <w:marRight w:val="0"/>
              <w:marTop w:val="0"/>
              <w:marBottom w:val="0"/>
              <w:divBdr>
                <w:top w:val="none" w:sz="0" w:space="0" w:color="auto"/>
                <w:left w:val="none" w:sz="0" w:space="0" w:color="auto"/>
                <w:bottom w:val="none" w:sz="0" w:space="0" w:color="auto"/>
                <w:right w:val="none" w:sz="0" w:space="0" w:color="auto"/>
              </w:divBdr>
              <w:divsChild>
                <w:div w:id="1743871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431846">
      <w:bodyDiv w:val="1"/>
      <w:marLeft w:val="0"/>
      <w:marRight w:val="0"/>
      <w:marTop w:val="0"/>
      <w:marBottom w:val="0"/>
      <w:divBdr>
        <w:top w:val="none" w:sz="0" w:space="0" w:color="auto"/>
        <w:left w:val="none" w:sz="0" w:space="0" w:color="auto"/>
        <w:bottom w:val="none" w:sz="0" w:space="0" w:color="auto"/>
        <w:right w:val="none" w:sz="0" w:space="0" w:color="auto"/>
      </w:divBdr>
    </w:div>
    <w:div w:id="1470588880">
      <w:bodyDiv w:val="1"/>
      <w:marLeft w:val="0"/>
      <w:marRight w:val="0"/>
      <w:marTop w:val="0"/>
      <w:marBottom w:val="0"/>
      <w:divBdr>
        <w:top w:val="none" w:sz="0" w:space="0" w:color="auto"/>
        <w:left w:val="none" w:sz="0" w:space="0" w:color="auto"/>
        <w:bottom w:val="none" w:sz="0" w:space="0" w:color="auto"/>
        <w:right w:val="none" w:sz="0" w:space="0" w:color="auto"/>
      </w:divBdr>
      <w:divsChild>
        <w:div w:id="624656195">
          <w:marLeft w:val="0"/>
          <w:marRight w:val="0"/>
          <w:marTop w:val="0"/>
          <w:marBottom w:val="0"/>
          <w:divBdr>
            <w:top w:val="none" w:sz="0" w:space="0" w:color="auto"/>
            <w:left w:val="none" w:sz="0" w:space="0" w:color="auto"/>
            <w:bottom w:val="none" w:sz="0" w:space="0" w:color="auto"/>
            <w:right w:val="none" w:sz="0" w:space="0" w:color="auto"/>
          </w:divBdr>
          <w:divsChild>
            <w:div w:id="1620991287">
              <w:marLeft w:val="0"/>
              <w:marRight w:val="0"/>
              <w:marTop w:val="0"/>
              <w:marBottom w:val="0"/>
              <w:divBdr>
                <w:top w:val="none" w:sz="0" w:space="0" w:color="auto"/>
                <w:left w:val="none" w:sz="0" w:space="0" w:color="auto"/>
                <w:bottom w:val="none" w:sz="0" w:space="0" w:color="auto"/>
                <w:right w:val="none" w:sz="0" w:space="0" w:color="auto"/>
              </w:divBdr>
              <w:divsChild>
                <w:div w:id="12794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129438">
      <w:bodyDiv w:val="1"/>
      <w:marLeft w:val="0"/>
      <w:marRight w:val="0"/>
      <w:marTop w:val="0"/>
      <w:marBottom w:val="0"/>
      <w:divBdr>
        <w:top w:val="none" w:sz="0" w:space="0" w:color="auto"/>
        <w:left w:val="none" w:sz="0" w:space="0" w:color="auto"/>
        <w:bottom w:val="none" w:sz="0" w:space="0" w:color="auto"/>
        <w:right w:val="none" w:sz="0" w:space="0" w:color="auto"/>
      </w:divBdr>
      <w:divsChild>
        <w:div w:id="1981306468">
          <w:marLeft w:val="0"/>
          <w:marRight w:val="0"/>
          <w:marTop w:val="0"/>
          <w:marBottom w:val="0"/>
          <w:divBdr>
            <w:top w:val="none" w:sz="0" w:space="0" w:color="auto"/>
            <w:left w:val="none" w:sz="0" w:space="0" w:color="auto"/>
            <w:bottom w:val="none" w:sz="0" w:space="0" w:color="auto"/>
            <w:right w:val="none" w:sz="0" w:space="0" w:color="auto"/>
          </w:divBdr>
          <w:divsChild>
            <w:div w:id="189310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737279">
      <w:bodyDiv w:val="1"/>
      <w:marLeft w:val="0"/>
      <w:marRight w:val="0"/>
      <w:marTop w:val="0"/>
      <w:marBottom w:val="0"/>
      <w:divBdr>
        <w:top w:val="none" w:sz="0" w:space="0" w:color="auto"/>
        <w:left w:val="none" w:sz="0" w:space="0" w:color="auto"/>
        <w:bottom w:val="none" w:sz="0" w:space="0" w:color="auto"/>
        <w:right w:val="none" w:sz="0" w:space="0" w:color="auto"/>
      </w:divBdr>
    </w:div>
    <w:div w:id="1611934704">
      <w:bodyDiv w:val="1"/>
      <w:marLeft w:val="0"/>
      <w:marRight w:val="0"/>
      <w:marTop w:val="0"/>
      <w:marBottom w:val="0"/>
      <w:divBdr>
        <w:top w:val="none" w:sz="0" w:space="0" w:color="auto"/>
        <w:left w:val="none" w:sz="0" w:space="0" w:color="auto"/>
        <w:bottom w:val="none" w:sz="0" w:space="0" w:color="auto"/>
        <w:right w:val="none" w:sz="0" w:space="0" w:color="auto"/>
      </w:divBdr>
    </w:div>
    <w:div w:id="1682899431">
      <w:bodyDiv w:val="1"/>
      <w:marLeft w:val="0"/>
      <w:marRight w:val="0"/>
      <w:marTop w:val="0"/>
      <w:marBottom w:val="0"/>
      <w:divBdr>
        <w:top w:val="none" w:sz="0" w:space="0" w:color="auto"/>
        <w:left w:val="none" w:sz="0" w:space="0" w:color="auto"/>
        <w:bottom w:val="none" w:sz="0" w:space="0" w:color="auto"/>
        <w:right w:val="none" w:sz="0" w:space="0" w:color="auto"/>
      </w:divBdr>
      <w:divsChild>
        <w:div w:id="112208738">
          <w:marLeft w:val="0"/>
          <w:marRight w:val="0"/>
          <w:marTop w:val="0"/>
          <w:marBottom w:val="0"/>
          <w:divBdr>
            <w:top w:val="none" w:sz="0" w:space="0" w:color="auto"/>
            <w:left w:val="none" w:sz="0" w:space="0" w:color="auto"/>
            <w:bottom w:val="none" w:sz="0" w:space="0" w:color="auto"/>
            <w:right w:val="none" w:sz="0" w:space="0" w:color="auto"/>
          </w:divBdr>
          <w:divsChild>
            <w:div w:id="802890654">
              <w:marLeft w:val="0"/>
              <w:marRight w:val="0"/>
              <w:marTop w:val="0"/>
              <w:marBottom w:val="0"/>
              <w:divBdr>
                <w:top w:val="none" w:sz="0" w:space="0" w:color="auto"/>
                <w:left w:val="none" w:sz="0" w:space="0" w:color="auto"/>
                <w:bottom w:val="none" w:sz="0" w:space="0" w:color="auto"/>
                <w:right w:val="none" w:sz="0" w:space="0" w:color="auto"/>
              </w:divBdr>
              <w:divsChild>
                <w:div w:id="107855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398935">
      <w:bodyDiv w:val="1"/>
      <w:marLeft w:val="0"/>
      <w:marRight w:val="0"/>
      <w:marTop w:val="0"/>
      <w:marBottom w:val="0"/>
      <w:divBdr>
        <w:top w:val="none" w:sz="0" w:space="0" w:color="auto"/>
        <w:left w:val="none" w:sz="0" w:space="0" w:color="auto"/>
        <w:bottom w:val="none" w:sz="0" w:space="0" w:color="auto"/>
        <w:right w:val="none" w:sz="0" w:space="0" w:color="auto"/>
      </w:divBdr>
    </w:div>
    <w:div w:id="1826511626">
      <w:bodyDiv w:val="1"/>
      <w:marLeft w:val="0"/>
      <w:marRight w:val="0"/>
      <w:marTop w:val="0"/>
      <w:marBottom w:val="0"/>
      <w:divBdr>
        <w:top w:val="none" w:sz="0" w:space="0" w:color="auto"/>
        <w:left w:val="none" w:sz="0" w:space="0" w:color="auto"/>
        <w:bottom w:val="none" w:sz="0" w:space="0" w:color="auto"/>
        <w:right w:val="none" w:sz="0" w:space="0" w:color="auto"/>
      </w:divBdr>
    </w:div>
    <w:div w:id="1965650089">
      <w:bodyDiv w:val="1"/>
      <w:marLeft w:val="0"/>
      <w:marRight w:val="0"/>
      <w:marTop w:val="0"/>
      <w:marBottom w:val="0"/>
      <w:divBdr>
        <w:top w:val="none" w:sz="0" w:space="0" w:color="auto"/>
        <w:left w:val="none" w:sz="0" w:space="0" w:color="auto"/>
        <w:bottom w:val="none" w:sz="0" w:space="0" w:color="auto"/>
        <w:right w:val="none" w:sz="0" w:space="0" w:color="auto"/>
      </w:divBdr>
      <w:divsChild>
        <w:div w:id="1592158228">
          <w:marLeft w:val="0"/>
          <w:marRight w:val="0"/>
          <w:marTop w:val="0"/>
          <w:marBottom w:val="0"/>
          <w:divBdr>
            <w:top w:val="none" w:sz="0" w:space="0" w:color="auto"/>
            <w:left w:val="none" w:sz="0" w:space="0" w:color="auto"/>
            <w:bottom w:val="none" w:sz="0" w:space="0" w:color="auto"/>
            <w:right w:val="none" w:sz="0" w:space="0" w:color="auto"/>
          </w:divBdr>
          <w:divsChild>
            <w:div w:id="1689214288">
              <w:marLeft w:val="0"/>
              <w:marRight w:val="0"/>
              <w:marTop w:val="0"/>
              <w:marBottom w:val="0"/>
              <w:divBdr>
                <w:top w:val="none" w:sz="0" w:space="0" w:color="auto"/>
                <w:left w:val="none" w:sz="0" w:space="0" w:color="auto"/>
                <w:bottom w:val="none" w:sz="0" w:space="0" w:color="auto"/>
                <w:right w:val="none" w:sz="0" w:space="0" w:color="auto"/>
              </w:divBdr>
              <w:divsChild>
                <w:div w:id="119885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446415">
      <w:bodyDiv w:val="1"/>
      <w:marLeft w:val="0"/>
      <w:marRight w:val="0"/>
      <w:marTop w:val="0"/>
      <w:marBottom w:val="0"/>
      <w:divBdr>
        <w:top w:val="none" w:sz="0" w:space="0" w:color="auto"/>
        <w:left w:val="none" w:sz="0" w:space="0" w:color="auto"/>
        <w:bottom w:val="none" w:sz="0" w:space="0" w:color="auto"/>
        <w:right w:val="none" w:sz="0" w:space="0" w:color="auto"/>
      </w:divBdr>
    </w:div>
    <w:div w:id="2039502713">
      <w:bodyDiv w:val="1"/>
      <w:marLeft w:val="0"/>
      <w:marRight w:val="0"/>
      <w:marTop w:val="0"/>
      <w:marBottom w:val="0"/>
      <w:divBdr>
        <w:top w:val="none" w:sz="0" w:space="0" w:color="auto"/>
        <w:left w:val="none" w:sz="0" w:space="0" w:color="auto"/>
        <w:bottom w:val="none" w:sz="0" w:space="0" w:color="auto"/>
        <w:right w:val="none" w:sz="0" w:space="0" w:color="auto"/>
      </w:divBdr>
    </w:div>
    <w:div w:id="2112971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qip@icgp.ie" TargetMode="External"/><Relationship Id="rId18" Type="http://schemas.openxmlformats.org/officeDocument/2006/relationships/hyperlink" Target="https://www.hse.ie/eng/services/publications/clinical-strategy-and-programmes/ppis-for-treatment-of-gord-prescribing-tips-and-tools.pdf" TargetMode="External"/><Relationship Id="rId26" Type="http://schemas.openxmlformats.org/officeDocument/2006/relationships/hyperlink" Target="https://www.nice.org.uk/guidance/ng56" TargetMode="External"/><Relationship Id="rId39" Type="http://schemas.openxmlformats.org/officeDocument/2006/relationships/hyperlink" Target="https://www.hse.ie/eng/services/publications/clinical-strategy-and-programmes/preferred-ppi-for-the-treatment-of-gord.pdf" TargetMode="External"/><Relationship Id="rId21" Type="http://schemas.openxmlformats.org/officeDocument/2006/relationships/hyperlink" Target="https://www.hse.ie/eng/about/who/cspd/ncps/medicines-management/bzra-for-anxiety-insomnia/guidance-on-appropriate-prescribing-of-bzra-feb-2021.pdf" TargetMode="External"/><Relationship Id="rId34" Type="http://schemas.openxmlformats.org/officeDocument/2006/relationships/hyperlink" Target="%20https:/www.therapeutics.scot.nhs.uk/wp-content/uploads/2018/04/Polypharmacy-Guidance-2018.pdf" TargetMode="External"/><Relationship Id="rId42" Type="http://schemas.openxmlformats.org/officeDocument/2006/relationships/hyperlink" Target="https://www.therapeutics.scot.nhs.uk/wp-content/uploads/2018/03/Strategy-Chronic-Pain-Quality-Prescribing-for-Chronic-Pain-2018.pdf"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australiandeprescribingnetwork.com.au/" TargetMode="External"/><Relationship Id="rId29" Type="http://schemas.openxmlformats.org/officeDocument/2006/relationships/hyperlink" Target="https://www.stjames.ie/services/nmic/nmicbulletins/2022/nmicbulletinvol28no22022optimisingprescribingforpatientswithpolypharmacyinprimarycar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bmchealthservres.biomedcentral.com/articles/10.1186/s12913-014-0484-6" TargetMode="External"/><Relationship Id="rId32" Type="http://schemas.openxmlformats.org/officeDocument/2006/relationships/hyperlink" Target="https://www.icgp.ie/go/in_the_practice/quick_reference_guides/quick_reference_guides_qrg_/repeat_prescribing" TargetMode="External"/><Relationship Id="rId37" Type="http://schemas.openxmlformats.org/officeDocument/2006/relationships/hyperlink" Target="https://www.australiandeprescribingnetwork.com.au/" TargetMode="External"/><Relationship Id="rId40" Type="http://schemas.openxmlformats.org/officeDocument/2006/relationships/hyperlink" Target="https://www.hse.ie/eng/about/who/cspd/ncps/medicines-management/bzra-for-anxiety-insomnia/guidance-on-appropriate-prescribing-of-bzra-feb-2021.pdf" TargetMode="External"/><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deprescribingnetwork.ca/" TargetMode="External"/><Relationship Id="rId23" Type="http://schemas.openxmlformats.org/officeDocument/2006/relationships/hyperlink" Target="https://www.cgakit.com/m-2-stopp-start" TargetMode="External"/><Relationship Id="rId28" Type="http://schemas.openxmlformats.org/officeDocument/2006/relationships/hyperlink" Target="https://www.australiandeprescribingnetwork.com.au/" TargetMode="External"/><Relationship Id="rId36" Type="http://schemas.openxmlformats.org/officeDocument/2006/relationships/hyperlink" Target="https://www.deprescribingnetwork.ca/" TargetMode="External"/><Relationship Id="rId10" Type="http://schemas.openxmlformats.org/officeDocument/2006/relationships/header" Target="header1.xml"/><Relationship Id="rId19" Type="http://schemas.openxmlformats.org/officeDocument/2006/relationships/hyperlink" Target="https://www.hse.ie/eng/about/who/cspd/ncps/medicines-management/bzra-for-anxiety-insomnia/guidance-on-appropriate-prescribing-of-bzra-feb-2021.pdf" TargetMode="External"/><Relationship Id="rId31" Type="http://schemas.openxmlformats.org/officeDocument/2006/relationships/hyperlink" Target="http://www.nice.org.uk/guidance/ng215"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qip@icgp.ie" TargetMode="External"/><Relationship Id="rId14" Type="http://schemas.openxmlformats.org/officeDocument/2006/relationships/hyperlink" Target="https://www.therapeutics.scot.nhs.uk/wp-content/uploads/2018/04/Polypharmacy-Guidance-2018.pdf" TargetMode="External"/><Relationship Id="rId22" Type="http://schemas.openxmlformats.org/officeDocument/2006/relationships/hyperlink" Target="https://www.nice.org.uk/guidance/ng222" TargetMode="External"/><Relationship Id="rId27" Type="http://schemas.openxmlformats.org/officeDocument/2006/relationships/hyperlink" Target="https://www.deprescribingnetwork.ca/" TargetMode="External"/><Relationship Id="rId30" Type="http://schemas.openxmlformats.org/officeDocument/2006/relationships/image" Target="media/image3.png"/><Relationship Id="rId35" Type="http://schemas.openxmlformats.org/officeDocument/2006/relationships/hyperlink" Target="https://discovery.ucl.ac.uk/id/eprint/10058418/1/Jani_Medicines%20reconciliation%20in%20primary%20care.%20A%20study%20evaluating%20the%20quality%20of%20medication-related%20information%20provided%20on%20discharge%20from%20secondary%20care_AAM.pdf" TargetMode="External"/><Relationship Id="rId43" Type="http://schemas.openxmlformats.org/officeDocument/2006/relationships/hyperlink" Target="https://www.nice.org.uk/guidance/ng222"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2.png"/><Relationship Id="rId25" Type="http://schemas.openxmlformats.org/officeDocument/2006/relationships/hyperlink" Target="https://www.therapeutics.scot.nhs.uk/wp-content/uploads/2018/04/Polypharmacy-Guidance-2018.pdf" TargetMode="External"/><Relationship Id="rId33" Type="http://schemas.openxmlformats.org/officeDocument/2006/relationships/hyperlink" Target="file:///D:\RCSI\NMIC%20Bulletin\Available%20at:%20https:\www.hiqa.ie\sites\default\files\2018-01\Medication-Safety-Overview-Report.pdf" TargetMode="External"/><Relationship Id="rId38" Type="http://schemas.openxmlformats.org/officeDocument/2006/relationships/hyperlink" Target="http://www.isimpathy.eu" TargetMode="External"/><Relationship Id="rId46" Type="http://schemas.openxmlformats.org/officeDocument/2006/relationships/fontTable" Target="fontTable.xml"/><Relationship Id="rId20" Type="http://schemas.openxmlformats.org/officeDocument/2006/relationships/hyperlink" Target="https://www.mdcalc.com/calc/10091/benzodiazepine-conversion-calculator" TargetMode="External"/><Relationship Id="rId41" Type="http://schemas.openxmlformats.org/officeDocument/2006/relationships/hyperlink" Target="http://www.nice.org.uk"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287FA3-E6AC-024F-AA93-E5BF70581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23</Pages>
  <Words>8142</Words>
  <Characters>46415</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HSE</Company>
  <LinksUpToDate>false</LinksUpToDate>
  <CharactersWithSpaces>54449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Karl Neff</dc:creator>
  <cp:lastModifiedBy>Emma Wallace</cp:lastModifiedBy>
  <cp:revision>2</cp:revision>
  <dcterms:created xsi:type="dcterms:W3CDTF">2022-08-19T07:52:00Z</dcterms:created>
  <dcterms:modified xsi:type="dcterms:W3CDTF">2022-08-19T07:52:00Z</dcterms:modified>
</cp:coreProperties>
</file>