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5D7D83" w14:textId="77777777" w:rsidR="00EC6809" w:rsidRDefault="00E805A9">
      <w:pPr>
        <w:rPr>
          <w:b/>
        </w:rPr>
      </w:pPr>
      <w:r w:rsidRPr="00E805A9">
        <w:rPr>
          <w:b/>
        </w:rPr>
        <w:t xml:space="preserve">Editorial overview: </w:t>
      </w:r>
      <w:r>
        <w:rPr>
          <w:b/>
        </w:rPr>
        <w:t xml:space="preserve">New Technologies: </w:t>
      </w:r>
      <w:r w:rsidRPr="00E805A9">
        <w:rPr>
          <w:b/>
        </w:rPr>
        <w:t xml:space="preserve"> </w:t>
      </w:r>
      <w:r>
        <w:rPr>
          <w:b/>
        </w:rPr>
        <w:t xml:space="preserve">Drug delivery and </w:t>
      </w:r>
      <w:r w:rsidR="00ED2A36">
        <w:rPr>
          <w:b/>
        </w:rPr>
        <w:t>medical devices combinations,</w:t>
      </w:r>
      <w:r>
        <w:rPr>
          <w:b/>
        </w:rPr>
        <w:t xml:space="preserve"> more than the sum of the parts</w:t>
      </w:r>
    </w:p>
    <w:p w14:paraId="78A4DA9C" w14:textId="77777777" w:rsidR="001C10AC" w:rsidRDefault="00E805A9" w:rsidP="00083F7A">
      <w:pPr>
        <w:pStyle w:val="Heading1"/>
      </w:pPr>
      <w:r w:rsidRPr="00ED2A36">
        <w:t>David J.  Brayden and Barry H. Hirst</w:t>
      </w:r>
    </w:p>
    <w:p w14:paraId="67639293" w14:textId="1586A55C" w:rsidR="00E805A9" w:rsidRDefault="00E805A9">
      <w:r>
        <w:t xml:space="preserve">Drug delivery and medical device research </w:t>
      </w:r>
      <w:r w:rsidR="00ED2A36">
        <w:t xml:space="preserve">is </w:t>
      </w:r>
      <w:r w:rsidR="006858E2">
        <w:t>combining</w:t>
      </w:r>
      <w:r>
        <w:t xml:space="preserve"> </w:t>
      </w:r>
      <w:r w:rsidR="006858E2">
        <w:t xml:space="preserve">in attempts </w:t>
      </w:r>
      <w:r w:rsidR="00593C3D">
        <w:t>to</w:t>
      </w:r>
      <w:r>
        <w:t xml:space="preserve"> produce highly sophisticated</w:t>
      </w:r>
      <w:r w:rsidR="00AF4D19">
        <w:t xml:space="preserve"> solutions</w:t>
      </w:r>
      <w:r>
        <w:t xml:space="preserve"> for a range of chronic conditions including diabetes, heart disease, and diseases of the central nervous system.  </w:t>
      </w:r>
      <w:r w:rsidR="00FB17FA">
        <w:t>Drug delivery conferences used to be the preserve of pharmaceutical scientists with expertise in the formulation of oral and injectable controlled release dosage forms</w:t>
      </w:r>
      <w:r w:rsidR="006858E2">
        <w:t>.  These approaches were</w:t>
      </w:r>
      <w:r w:rsidR="00FB17FA">
        <w:t xml:space="preserve"> aimed at creating improved </w:t>
      </w:r>
      <w:r w:rsidR="00ED2A36">
        <w:t>adherence to dosing schedules</w:t>
      </w:r>
      <w:r w:rsidR="00FB17FA">
        <w:t>, better pharmacokinetics</w:t>
      </w:r>
      <w:r w:rsidR="003B66F2">
        <w:t xml:space="preserve"> (PK)</w:t>
      </w:r>
      <w:r w:rsidR="00FB17FA">
        <w:t xml:space="preserve">, as well as reduced side effects of already-approved small molecules and biologics. Pharmacologists also participated and attempted to understand principles of how molecules cross </w:t>
      </w:r>
      <w:r w:rsidR="00ED2A36">
        <w:t xml:space="preserve">epithelial and endothelial </w:t>
      </w:r>
      <w:r w:rsidR="00FB17FA">
        <w:t xml:space="preserve">biological barriers through use of </w:t>
      </w:r>
      <w:r w:rsidR="00FB17FA" w:rsidRPr="00FB17FA">
        <w:rPr>
          <w:i/>
        </w:rPr>
        <w:t>in vivo</w:t>
      </w:r>
      <w:r w:rsidR="00FB17FA">
        <w:t xml:space="preserve"> and </w:t>
      </w:r>
      <w:r w:rsidR="00FB17FA" w:rsidRPr="00FB17FA">
        <w:rPr>
          <w:i/>
        </w:rPr>
        <w:t>in vivo</w:t>
      </w:r>
      <w:r w:rsidR="00FB17FA">
        <w:t xml:space="preserve"> predictive bioassays of drug transport. Their role was complementary to that of formulation scientists, who created dosage forms </w:t>
      </w:r>
      <w:r w:rsidR="00593C3D">
        <w:t xml:space="preserve">for the pharmaceutical industry </w:t>
      </w:r>
      <w:r w:rsidR="00FB17FA">
        <w:t>on the back of this knowled</w:t>
      </w:r>
      <w:r w:rsidR="00593C3D">
        <w:t>ge.  T</w:t>
      </w:r>
      <w:r w:rsidR="00FB17FA">
        <w:t xml:space="preserve">here were </w:t>
      </w:r>
      <w:r w:rsidR="00ED2A36">
        <w:t xml:space="preserve">also </w:t>
      </w:r>
      <w:r w:rsidR="00FB17FA">
        <w:t xml:space="preserve">groups of chemists with expertise in polymer chemistry and they were the source of </w:t>
      </w:r>
      <w:r w:rsidR="00593C3D">
        <w:t xml:space="preserve">many of the </w:t>
      </w:r>
      <w:r w:rsidR="00FB17FA">
        <w:t xml:space="preserve">biomaterials used in complex dosage forms, including </w:t>
      </w:r>
      <w:r w:rsidR="00ED2A36">
        <w:t xml:space="preserve">drug conjugates and </w:t>
      </w:r>
      <w:r w:rsidR="00FB17FA">
        <w:t xml:space="preserve">nanomedicines. </w:t>
      </w:r>
      <w:r w:rsidR="00593C3D">
        <w:t>Nowadays, increasingly we see the topic of medical device research as a them</w:t>
      </w:r>
      <w:r w:rsidR="00AA62B7">
        <w:t xml:space="preserve">e of the annual meetings of </w:t>
      </w:r>
      <w:r w:rsidR="00593C3D">
        <w:t xml:space="preserve">two </w:t>
      </w:r>
      <w:r w:rsidR="00AA62B7">
        <w:t xml:space="preserve">of the </w:t>
      </w:r>
      <w:r w:rsidR="00593C3D">
        <w:t xml:space="preserve">major international societies covering drug delivery, the Controlled Release Society and the American Association of Pharmaceutical Scientists.  Device researchers are typically found in the bioengineering departments of Universities and also in major Institutes including </w:t>
      </w:r>
      <w:r w:rsidR="006858E2">
        <w:t xml:space="preserve">the </w:t>
      </w:r>
      <w:r w:rsidR="00593C3D">
        <w:t>Massachusetts Institute of Technology (MIT) and the California Institute of Technology (CIT).</w:t>
      </w:r>
      <w:r w:rsidR="00FB17FA">
        <w:t xml:space="preserve"> </w:t>
      </w:r>
      <w:r w:rsidR="00ED2A36">
        <w:t>These scientists</w:t>
      </w:r>
      <w:r w:rsidR="00593C3D">
        <w:t xml:space="preserve"> tend to have an engineering background and are comfortable using biomaterials to make </w:t>
      </w:r>
      <w:r w:rsidR="00AF3DEF">
        <w:t>implants</w:t>
      </w:r>
      <w:r w:rsidR="00AA62B7">
        <w:t xml:space="preserve"> </w:t>
      </w:r>
      <w:r w:rsidR="00AF3DEF">
        <w:t xml:space="preserve">and devices that can be used to deliver molecules </w:t>
      </w:r>
      <w:r w:rsidR="00ED2A36">
        <w:t>across</w:t>
      </w:r>
      <w:r w:rsidR="00AA62B7">
        <w:t xml:space="preserve"> blood vessels</w:t>
      </w:r>
      <w:r w:rsidR="00ED2A36">
        <w:t xml:space="preserve"> to tumours</w:t>
      </w:r>
      <w:r w:rsidR="00AA62B7">
        <w:t xml:space="preserve">, </w:t>
      </w:r>
      <w:r w:rsidR="00ED2A36">
        <w:t>and across non-injectable sites</w:t>
      </w:r>
      <w:r w:rsidR="00AF4D19">
        <w:t xml:space="preserve"> such as</w:t>
      </w:r>
      <w:r w:rsidR="00ED2A36">
        <w:t xml:space="preserve"> </w:t>
      </w:r>
      <w:r w:rsidR="00AF3DEF">
        <w:t xml:space="preserve">the skin, the airways, </w:t>
      </w:r>
      <w:r w:rsidR="006858E2">
        <w:t xml:space="preserve">the blood-brain barrier </w:t>
      </w:r>
      <w:r w:rsidR="00AF3DEF">
        <w:t>and the in</w:t>
      </w:r>
      <w:r w:rsidR="006858E2">
        <w:t>testinal wall.  A cohort of the investigators</w:t>
      </w:r>
      <w:r w:rsidR="00AF3DEF">
        <w:t xml:space="preserve"> have expertise in printing dosage forms, while others can build integrated devices comprising cellular scaffolds or releasable drug molecules controlled by endogenous stimuli or perhaps </w:t>
      </w:r>
      <w:r w:rsidR="00AA62B7">
        <w:t xml:space="preserve">connected </w:t>
      </w:r>
      <w:r w:rsidR="00AF3DEF">
        <w:t xml:space="preserve">remotely by sound waves or by </w:t>
      </w:r>
      <w:r w:rsidR="00AF4D19">
        <w:t>Bluetooth encryption</w:t>
      </w:r>
      <w:r w:rsidR="00AF3DEF">
        <w:t xml:space="preserve">. At the same time, the distinction between pharmaceutical and </w:t>
      </w:r>
      <w:r w:rsidR="00ED2A36">
        <w:t>medical device companies has become</w:t>
      </w:r>
      <w:r w:rsidR="00AF3DEF">
        <w:t xml:space="preserve"> blurred</w:t>
      </w:r>
      <w:r w:rsidR="00F65DCC">
        <w:t>,</w:t>
      </w:r>
      <w:r w:rsidR="00AF3DEF">
        <w:t xml:space="preserve"> as complementary expertise is required to deliver molecules from such devices</w:t>
      </w:r>
      <w:r w:rsidR="00AA62B7">
        <w:t xml:space="preserve"> including drug eluting stents, closed-loop insulin pumps, and microfluidics systems. The pharmacologist is </w:t>
      </w:r>
      <w:r w:rsidR="006858E2">
        <w:t xml:space="preserve">therefore </w:t>
      </w:r>
      <w:r w:rsidR="00B853E8">
        <w:t xml:space="preserve">now </w:t>
      </w:r>
      <w:r w:rsidR="00AA62B7">
        <w:t xml:space="preserve">part of multidisciplinary </w:t>
      </w:r>
      <w:r w:rsidR="00B853E8">
        <w:t xml:space="preserve">research </w:t>
      </w:r>
      <w:r w:rsidR="00AA62B7">
        <w:t xml:space="preserve">teams </w:t>
      </w:r>
      <w:r w:rsidR="00B853E8">
        <w:t>comprising expertise in engineering</w:t>
      </w:r>
      <w:r w:rsidR="00F65DCC">
        <w:t>, device fabrication</w:t>
      </w:r>
      <w:r w:rsidR="00B853E8">
        <w:t xml:space="preserve">, and </w:t>
      </w:r>
      <w:r w:rsidR="00ED2A36">
        <w:t>information technology (</w:t>
      </w:r>
      <w:r w:rsidR="00B853E8">
        <w:t>IT</w:t>
      </w:r>
      <w:r w:rsidR="00ED2A36">
        <w:t>); this is far</w:t>
      </w:r>
      <w:r w:rsidR="00B853E8">
        <w:t xml:space="preserve"> </w:t>
      </w:r>
      <w:r w:rsidR="00ED2A36">
        <w:t xml:space="preserve">removed from the more bed-fellows they have </w:t>
      </w:r>
      <w:r w:rsidR="006858E2">
        <w:t xml:space="preserve">traditionally </w:t>
      </w:r>
      <w:r w:rsidR="00ED2A36">
        <w:t xml:space="preserve">collaborated with in the past: </w:t>
      </w:r>
      <w:r w:rsidR="00B853E8">
        <w:t xml:space="preserve"> physiologists, biochemists, and pharmaceutical scientists. </w:t>
      </w:r>
      <w:r w:rsidR="00FB17FA">
        <w:t xml:space="preserve">  </w:t>
      </w:r>
      <w:r>
        <w:t xml:space="preserve"> </w:t>
      </w:r>
    </w:p>
    <w:p w14:paraId="71FAEDA3" w14:textId="7AE5F922" w:rsidR="00C45EFF" w:rsidRDefault="00B853E8">
      <w:r>
        <w:t xml:space="preserve">In this New Technologies Issue of </w:t>
      </w:r>
      <w:r w:rsidRPr="00B853E8">
        <w:rPr>
          <w:i/>
        </w:rPr>
        <w:t>Current Opinion in Pharmacology</w:t>
      </w:r>
      <w:r>
        <w:t>, we were tasked with finding a set of articles of interest to readers on the topic of combination technologies involving drug delivery and medical devices</w:t>
      </w:r>
      <w:r w:rsidR="00ED2A36">
        <w:t>, with an emphasis on pharmacological aspects</w:t>
      </w:r>
      <w:r>
        <w:t xml:space="preserve">.  Most of the authors are experts in biomaterials and </w:t>
      </w:r>
      <w:r w:rsidR="00F65DCC">
        <w:t>understand how</w:t>
      </w:r>
      <w:r>
        <w:t xml:space="preserve"> they can be used in devices.  Yet, they all pay attention to pharmacology since the technologies they are developing are designed to fulfil an unmet </w:t>
      </w:r>
      <w:r w:rsidR="003B66F2">
        <w:t>therapeutic</w:t>
      </w:r>
      <w:r>
        <w:t xml:space="preserve"> need</w:t>
      </w:r>
      <w:r w:rsidR="003B66F2">
        <w:t xml:space="preserve"> in terms of localising a molecule to a region in the body</w:t>
      </w:r>
      <w:r w:rsidR="006858E2">
        <w:t>,</w:t>
      </w:r>
      <w:r w:rsidR="003B66F2">
        <w:t xml:space="preserve"> thereby reduc</w:t>
      </w:r>
      <w:r w:rsidR="004A2C9F">
        <w:t xml:space="preserve">ing toxicity and improving PK/ </w:t>
      </w:r>
      <w:r w:rsidR="00AF4D19">
        <w:t>pharmacodynamics</w:t>
      </w:r>
      <w:r w:rsidR="003B66F2">
        <w:t xml:space="preserve"> (PD), or of causing a</w:t>
      </w:r>
      <w:r w:rsidR="006858E2">
        <w:t>n</w:t>
      </w:r>
      <w:r w:rsidR="003B66F2">
        <w:t xml:space="preserve"> optimised controlled release profile of a molecule in the systemic circulation to improve efficacy, reduce side effects, or to address compliance</w:t>
      </w:r>
      <w:r w:rsidR="00F65DCC">
        <w:t xml:space="preserve"> issues</w:t>
      </w:r>
      <w:r w:rsidR="003B66F2">
        <w:t xml:space="preserve">. </w:t>
      </w:r>
      <w:r w:rsidR="006858E2">
        <w:t xml:space="preserve"> </w:t>
      </w:r>
      <w:r w:rsidR="00F65DCC">
        <w:t xml:space="preserve">Caffareal-Salvador </w:t>
      </w:r>
      <w:r w:rsidR="00F65DCC" w:rsidRPr="00F65DCC">
        <w:rPr>
          <w:i/>
        </w:rPr>
        <w:t>et al</w:t>
      </w:r>
      <w:r w:rsidR="00F65DCC">
        <w:t xml:space="preserve">. revisit the topic of oral </w:t>
      </w:r>
      <w:r w:rsidR="00417365">
        <w:t>macromolecule</w:t>
      </w:r>
      <w:r w:rsidR="00F65DCC">
        <w:t xml:space="preserve"> delivery</w:t>
      </w:r>
      <w:r w:rsidR="00ED2A36">
        <w:t xml:space="preserve"> and they begin from the premise that existing approaches including use of intestinal permeation enhancers and nanotechnology will only provide incrementa</w:t>
      </w:r>
      <w:r w:rsidR="00417365">
        <w:t>l gains, below what is required to achieve acceptable oral bioavailability</w:t>
      </w:r>
      <w:r w:rsidR="00F65DCC">
        <w:t>.  They d</w:t>
      </w:r>
      <w:r w:rsidR="00ED2A36">
        <w:t>escribe ingestible capsules or “</w:t>
      </w:r>
      <w:r w:rsidR="00F65DCC">
        <w:t>robotic pill</w:t>
      </w:r>
      <w:r w:rsidR="00ED2A36">
        <w:t>s”</w:t>
      </w:r>
      <w:r w:rsidR="00F65DCC">
        <w:t xml:space="preserve"> that physically contact the wall of the small intestine and</w:t>
      </w:r>
      <w:r w:rsidR="00417365">
        <w:t>,</w:t>
      </w:r>
      <w:r w:rsidR="00F65DCC">
        <w:t xml:space="preserve"> by means of </w:t>
      </w:r>
      <w:r w:rsidR="004A2C9F">
        <w:t xml:space="preserve">metal or sugar-based </w:t>
      </w:r>
      <w:r w:rsidR="00F65DCC">
        <w:t>microneedles</w:t>
      </w:r>
      <w:r w:rsidR="00417365">
        <w:t>,</w:t>
      </w:r>
      <w:r w:rsidR="00F65DCC">
        <w:t xml:space="preserve"> deliver </w:t>
      </w:r>
      <w:r w:rsidR="00F65DCC">
        <w:lastRenderedPageBreak/>
        <w:t xml:space="preserve">peptides across the intestinal </w:t>
      </w:r>
      <w:r w:rsidR="004A2C9F">
        <w:t xml:space="preserve">epithelium. The challenges include ensuring that the epithelium does not perforate in response </w:t>
      </w:r>
      <w:r w:rsidR="00417365">
        <w:t>to pore formation, and demonstrating</w:t>
      </w:r>
      <w:r w:rsidR="004A2C9F">
        <w:t xml:space="preserve"> that the device does not lead to intestinal blockage </w:t>
      </w:r>
      <w:r w:rsidR="00417365">
        <w:t>by optimising</w:t>
      </w:r>
      <w:r w:rsidR="004A2C9F">
        <w:t xml:space="preserve"> miniaturization</w:t>
      </w:r>
      <w:r w:rsidR="00417365">
        <w:t>.  The third challenge is to</w:t>
      </w:r>
      <w:r w:rsidR="004A2C9F">
        <w:t xml:space="preserve"> </w:t>
      </w:r>
      <w:r w:rsidR="00417365">
        <w:t xml:space="preserve">achieve </w:t>
      </w:r>
      <w:r w:rsidR="004A2C9F">
        <w:t xml:space="preserve">sufficient loading </w:t>
      </w:r>
      <w:r w:rsidR="006858E2">
        <w:t xml:space="preserve">of potent molecules </w:t>
      </w:r>
      <w:r w:rsidR="00417365">
        <w:t>in the device</w:t>
      </w:r>
      <w:r w:rsidR="006858E2">
        <w:t>,</w:t>
      </w:r>
      <w:r w:rsidR="00417365">
        <w:t xml:space="preserve"> </w:t>
      </w:r>
      <w:r w:rsidR="006858E2">
        <w:t>so that</w:t>
      </w:r>
      <w:r w:rsidR="00417365">
        <w:t xml:space="preserve"> desired plasma levels </w:t>
      </w:r>
      <w:r w:rsidR="006858E2">
        <w:t>can be achieved</w:t>
      </w:r>
      <w:r w:rsidR="00417365">
        <w:t xml:space="preserve"> with an acceptable dosing regimen</w:t>
      </w:r>
      <w:r w:rsidR="004A2C9F">
        <w:t xml:space="preserve">. On the same theme, Mitragotri </w:t>
      </w:r>
      <w:r w:rsidR="004A2C9F" w:rsidRPr="004A2C9F">
        <w:rPr>
          <w:i/>
        </w:rPr>
        <w:t>et al</w:t>
      </w:r>
      <w:r w:rsidR="004A2C9F">
        <w:t xml:space="preserve">. describe </w:t>
      </w:r>
      <w:r w:rsidR="00417365">
        <w:t xml:space="preserve">intestinal </w:t>
      </w:r>
      <w:r w:rsidR="004A2C9F">
        <w:t xml:space="preserve">patch-based systems that can also be entrapped in </w:t>
      </w:r>
      <w:r w:rsidR="00417365">
        <w:t xml:space="preserve">oral </w:t>
      </w:r>
      <w:r w:rsidR="004A2C9F">
        <w:t>capsules</w:t>
      </w:r>
      <w:r w:rsidR="006858E2">
        <w:t xml:space="preserve"> and released in the small intestine</w:t>
      </w:r>
      <w:r w:rsidR="004A2C9F">
        <w:t xml:space="preserve">.  The inventive step here was to create patches which </w:t>
      </w:r>
      <w:r w:rsidR="006858E2">
        <w:t>are adhesive</w:t>
      </w:r>
      <w:r w:rsidR="004A2C9F">
        <w:t xml:space="preserve"> on one side and can</w:t>
      </w:r>
      <w:r w:rsidR="006858E2">
        <w:t xml:space="preserve"> ultimately</w:t>
      </w:r>
      <w:r w:rsidR="004A2C9F">
        <w:t xml:space="preserve"> facilitate a unidirectional flux across the </w:t>
      </w:r>
      <w:r w:rsidR="00417365">
        <w:t>small intestinal epithelium. Both groups have been</w:t>
      </w:r>
      <w:r w:rsidR="004A2C9F">
        <w:t xml:space="preserve"> </w:t>
      </w:r>
      <w:r w:rsidR="00AF4D19">
        <w:t>positively</w:t>
      </w:r>
      <w:r w:rsidR="004A2C9F">
        <w:t xml:space="preserve"> influenced by their MIT mentor and serial entrepreneur, Bob Langer, a co-author on the Caffareal-Salvador article. Other features in common are that both groups highlight the learnings from microneedle patches used in transdermal skin products and that they are </w:t>
      </w:r>
      <w:r w:rsidR="00417365">
        <w:t>leveraging such</w:t>
      </w:r>
      <w:r w:rsidR="004A2C9F">
        <w:t xml:space="preserve"> designs for oral delivery that can overcome the additional challenge of getting them to adhere to the intestinal wall</w:t>
      </w:r>
      <w:r w:rsidR="00417365">
        <w:t xml:space="preserve"> in the first place</w:t>
      </w:r>
      <w:r w:rsidR="004A2C9F">
        <w:t xml:space="preserve">.   </w:t>
      </w:r>
      <w:r w:rsidR="00C45EFF">
        <w:t xml:space="preserve">Still in the GI tract, Morales and Brayden discuss the potential for buccal delivery of biologics. The buccal epithelium is non-keratinized and </w:t>
      </w:r>
      <w:r w:rsidR="006858E2">
        <w:t xml:space="preserve">it </w:t>
      </w:r>
      <w:r w:rsidR="00C45EFF">
        <w:t xml:space="preserve">has higher </w:t>
      </w:r>
      <w:r w:rsidR="006858E2">
        <w:t xml:space="preserve">drug </w:t>
      </w:r>
      <w:r w:rsidR="00C45EFF">
        <w:t>permeability than skin</w:t>
      </w:r>
      <w:r w:rsidR="006858E2">
        <w:t>, but lower than the small intestine</w:t>
      </w:r>
      <w:r w:rsidR="00C45EFF">
        <w:t>.  The advantage of the route is that it is suitable for drugs that undergo unpredictable food effects, but the disadvantage is that the surface area is small</w:t>
      </w:r>
      <w:r w:rsidR="006858E2">
        <w:t xml:space="preserve"> (hence only suitable for highly potent molecules)</w:t>
      </w:r>
      <w:r w:rsidR="00C45EFF">
        <w:t xml:space="preserve"> and that formulations in mouth </w:t>
      </w:r>
      <w:r w:rsidR="0099582E">
        <w:t>tend to</w:t>
      </w:r>
      <w:r w:rsidR="00C45EFF">
        <w:t xml:space="preserve"> be irritating and </w:t>
      </w:r>
      <w:r w:rsidR="0099582E">
        <w:t>must</w:t>
      </w:r>
      <w:r w:rsidR="00C45EFF">
        <w:t xml:space="preserve"> </w:t>
      </w:r>
      <w:r w:rsidR="00417365">
        <w:t>perform quickly before dissolving</w:t>
      </w:r>
      <w:r w:rsidR="00C45EFF">
        <w:t xml:space="preserve">.  They describe human trials </w:t>
      </w:r>
      <w:r w:rsidR="0099582E">
        <w:t xml:space="preserve">of buccal insulin </w:t>
      </w:r>
      <w:r w:rsidR="00C45EFF">
        <w:t>with oro</w:t>
      </w:r>
      <w:r w:rsidR="006858E2">
        <w:t>-</w:t>
      </w:r>
      <w:r w:rsidR="00C45EFF">
        <w:t>mucosal sprays containing permeation enhancers</w:t>
      </w:r>
      <w:r w:rsidR="009D50D7">
        <w:t>,</w:t>
      </w:r>
      <w:r w:rsidR="00C45EFF">
        <w:t xml:space="preserve"> as well as dissolvable film devices contai</w:t>
      </w:r>
      <w:r w:rsidR="00417365">
        <w:t>ning gol</w:t>
      </w:r>
      <w:r w:rsidR="00C45EFF">
        <w:t xml:space="preserve">d nanoparticles.  Looking to the future, they argue that buccal delivery </w:t>
      </w:r>
      <w:r w:rsidR="006858E2">
        <w:t>is likely to</w:t>
      </w:r>
      <w:r w:rsidR="00C45EFF">
        <w:t xml:space="preserve"> be one of the first delivery routes that use printed films containing nanoparticles and adhesive polymers.  </w:t>
      </w:r>
    </w:p>
    <w:p w14:paraId="427B770F" w14:textId="19893C59" w:rsidR="00AC0770" w:rsidRDefault="00C45EFF">
      <w:r>
        <w:t xml:space="preserve">Moffat </w:t>
      </w:r>
      <w:r w:rsidRPr="00C45EFF">
        <w:rPr>
          <w:i/>
        </w:rPr>
        <w:t>et al</w:t>
      </w:r>
      <w:r>
        <w:t xml:space="preserve">. give an update on the progress of microneedle transdermal devices and </w:t>
      </w:r>
      <w:r w:rsidR="0014448D">
        <w:t xml:space="preserve">argue that vaccine delivery to antigen-presenting cells in the dermis is a likely route to </w:t>
      </w:r>
      <w:r w:rsidR="009D50D7">
        <w:t xml:space="preserve">the first product </w:t>
      </w:r>
      <w:r w:rsidR="0014448D">
        <w:t xml:space="preserve">approval.  They describe the different designs of microneedle devices and also discuss the regulatory issues involved.  As the Issue was going to press, a Phase I trial of a flu vaccine using </w:t>
      </w:r>
      <w:r w:rsidR="006C462A">
        <w:t xml:space="preserve">a self-administered </w:t>
      </w:r>
      <w:r w:rsidR="0014448D">
        <w:t xml:space="preserve">microneedle patch transdermal technology was published by a group from Georgia Institute Technology, where equivalent titres to subcutaneously-administered flu vaccine was </w:t>
      </w:r>
      <w:r w:rsidR="00AF4D19">
        <w:t>demonstrated [</w:t>
      </w:r>
      <w:r w:rsidR="0014448D">
        <w:t xml:space="preserve">1]. </w:t>
      </w:r>
      <w:r w:rsidR="009D50D7">
        <w:t xml:space="preserve">Moffat </w:t>
      </w:r>
      <w:r w:rsidR="009D50D7" w:rsidRPr="0099582E">
        <w:rPr>
          <w:i/>
        </w:rPr>
        <w:t>et al</w:t>
      </w:r>
      <w:r w:rsidR="0099582E">
        <w:t>.</w:t>
      </w:r>
      <w:r w:rsidR="009D50D7">
        <w:t xml:space="preserve"> also discuss the potential of minimally-invasive microneedle devices in ocular drug delivery and argue that they can obviate the pain associated with hypodermic needles in intra-vitreal injections to treat macular degeneration.  On the same theme, Rupenthal highlights the potential of drug-device combinations to treat diseases of the anterior and posterior segments</w:t>
      </w:r>
      <w:r w:rsidR="0099582E">
        <w:t xml:space="preserve"> of the eye</w:t>
      </w:r>
      <w:r w:rsidR="009D50D7">
        <w:t xml:space="preserve">. </w:t>
      </w:r>
      <w:r w:rsidR="00B556B2">
        <w:t xml:space="preserve">The former can address passage across the cornea, while the latter can reduce injection frequency.  Her analysis is not limited to microneedle designs, as she also discusses the pros and cons of drug-eluting contact lenses, scleral patches, and biodegradable implants, some of which are already marketed.  </w:t>
      </w:r>
      <w:r>
        <w:t xml:space="preserve"> </w:t>
      </w:r>
      <w:r w:rsidR="00B556B2">
        <w:t xml:space="preserve">De Kruijf and Ehrhardt review the latest developments in the design of inhalers for local or systemic delivery.  They discuss improvements in inhaler design using the examples of the </w:t>
      </w:r>
      <w:r w:rsidR="0099582E">
        <w:t xml:space="preserve">two </w:t>
      </w:r>
      <w:r w:rsidR="00B556B2">
        <w:t xml:space="preserve">inhaled insulin products </w:t>
      </w:r>
      <w:r w:rsidR="00AC0770">
        <w:t>that</w:t>
      </w:r>
      <w:r w:rsidR="00B556B2">
        <w:t xml:space="preserve"> </w:t>
      </w:r>
      <w:r w:rsidR="00AC0770">
        <w:t>have</w:t>
      </w:r>
      <w:r w:rsidR="00B556B2">
        <w:t xml:space="preserve"> progress</w:t>
      </w:r>
      <w:r w:rsidR="00AC0770">
        <w:t>ed the field</w:t>
      </w:r>
      <w:r w:rsidR="00B556B2">
        <w:t xml:space="preserve">.  In addition to the potential of delivering biologics across the airways, they point out that small molecules can also be delivered </w:t>
      </w:r>
      <w:r w:rsidR="00AC0770">
        <w:t>systemically via the pulmonary route. T</w:t>
      </w:r>
      <w:r w:rsidR="00B556B2">
        <w:t xml:space="preserve">his is especially attractive for molecules with a high liver first pass effect and also ones where a </w:t>
      </w:r>
      <w:r w:rsidR="0099582E">
        <w:t xml:space="preserve">rapid </w:t>
      </w:r>
      <w:r w:rsidR="00B556B2">
        <w:t xml:space="preserve">response is needed in patients.   </w:t>
      </w:r>
    </w:p>
    <w:p w14:paraId="15934335" w14:textId="16140825" w:rsidR="00AC0770" w:rsidRDefault="00AC0770">
      <w:r>
        <w:t>Moving away from devices to deliver to</w:t>
      </w:r>
      <w:r w:rsidR="0099582E">
        <w:t>-</w:t>
      </w:r>
      <w:r>
        <w:t xml:space="preserve"> and across particular organs, the next set of articles describe the performance of implant devices in the body.  Diabetes </w:t>
      </w:r>
      <w:r w:rsidR="00417365">
        <w:t>is</w:t>
      </w:r>
      <w:r>
        <w:t xml:space="preserve"> one of</w:t>
      </w:r>
      <w:r w:rsidR="00417365">
        <w:t xml:space="preserve"> the diseases that attracts</w:t>
      </w:r>
      <w:r>
        <w:t xml:space="preserve"> innovative research</w:t>
      </w:r>
      <w:r w:rsidR="0099582E">
        <w:t xml:space="preserve"> in this area</w:t>
      </w:r>
      <w:r>
        <w:t>.  Apart from progress to achieve the technical milestone of inhaled insulin for diabetes</w:t>
      </w:r>
      <w:r w:rsidR="0099582E">
        <w:t xml:space="preserve"> as discussed above</w:t>
      </w:r>
      <w:r>
        <w:t>, parallel work has gone into developing closed loop insulin pump implants for Type 1 diabetics.  Oliver discusses one of the holy grails of device research, how to make a fully integrated pump</w:t>
      </w:r>
      <w:r w:rsidR="00417365">
        <w:t xml:space="preserve"> device</w:t>
      </w:r>
      <w:r>
        <w:t xml:space="preserve"> where insulin is released in response to blood glucose</w:t>
      </w:r>
      <w:r w:rsidR="00417365">
        <w:t xml:space="preserve"> increases</w:t>
      </w:r>
      <w:r>
        <w:t xml:space="preserve">.  He cites remarkable research </w:t>
      </w:r>
      <w:r w:rsidR="006C462A">
        <w:t xml:space="preserve">that suggests that this achievement will not be too far </w:t>
      </w:r>
      <w:r w:rsidR="0099582E">
        <w:t xml:space="preserve">away </w:t>
      </w:r>
      <w:r w:rsidR="0099582E">
        <w:lastRenderedPageBreak/>
        <w:t>as t</w:t>
      </w:r>
      <w:r w:rsidR="006C462A">
        <w:t xml:space="preserve">he elements of such devices are </w:t>
      </w:r>
      <w:r w:rsidR="0099582E">
        <w:t xml:space="preserve">currently </w:t>
      </w:r>
      <w:r w:rsidR="006C462A">
        <w:t xml:space="preserve">in advanced </w:t>
      </w:r>
      <w:r w:rsidR="0099582E">
        <w:t>stages.  P</w:t>
      </w:r>
      <w:r w:rsidR="006C462A">
        <w:t xml:space="preserve">umps that can respond to glucose levels are already a reality, although they are in separate devices for now.  There is no doubt that a closed loop “artificial pancreas” would be more physiological than insulin injections and </w:t>
      </w:r>
      <w:r w:rsidR="0099582E">
        <w:t xml:space="preserve">that it </w:t>
      </w:r>
      <w:r w:rsidR="006C462A">
        <w:t xml:space="preserve">would address side effects </w:t>
      </w:r>
      <w:r w:rsidR="0099582E">
        <w:t>seen in the</w:t>
      </w:r>
      <w:r w:rsidR="00D778BF">
        <w:t xml:space="preserve"> peripheral organs </w:t>
      </w:r>
      <w:r w:rsidR="0099582E">
        <w:t>in response to the high doses of</w:t>
      </w:r>
      <w:r w:rsidR="006C462A">
        <w:t xml:space="preserve"> </w:t>
      </w:r>
      <w:r w:rsidR="0099582E">
        <w:t>the latter</w:t>
      </w:r>
      <w:r w:rsidR="006C462A">
        <w:t>.  Nonetheless, there are still concerns over how to prevent dose dumping, to ensure that pumps can be refilled</w:t>
      </w:r>
      <w:r w:rsidR="0099582E">
        <w:t>, that they retain biocompatibility over a long period</w:t>
      </w:r>
      <w:r w:rsidR="006C462A">
        <w:t xml:space="preserve"> and </w:t>
      </w:r>
      <w:r w:rsidR="0099582E">
        <w:t xml:space="preserve">that they </w:t>
      </w:r>
      <w:r w:rsidR="006C462A">
        <w:t xml:space="preserve">do not get clogged.  Oliver expresses confidence that an automated insulin pump is </w:t>
      </w:r>
      <w:r w:rsidR="00EF71B6">
        <w:t>im</w:t>
      </w:r>
      <w:r w:rsidR="006C462A">
        <w:t xml:space="preserve">minent and that the current phase of hybrid systems is a prelude </w:t>
      </w:r>
      <w:r w:rsidR="00EF71B6">
        <w:t>to the</w:t>
      </w:r>
      <w:r w:rsidR="006C462A">
        <w:t xml:space="preserve"> major advance.</w:t>
      </w:r>
      <w:r w:rsidR="00EF71B6">
        <w:t xml:space="preserve"> Ryan </w:t>
      </w:r>
      <w:r w:rsidR="00EF71B6" w:rsidRPr="0099582E">
        <w:rPr>
          <w:i/>
        </w:rPr>
        <w:t>et al</w:t>
      </w:r>
      <w:r w:rsidR="00EF71B6">
        <w:t>. also examine</w:t>
      </w:r>
      <w:r w:rsidR="0099582E">
        <w:t>s</w:t>
      </w:r>
      <w:r w:rsidR="00EF71B6">
        <w:t xml:space="preserve"> </w:t>
      </w:r>
      <w:r w:rsidR="0099582E">
        <w:t xml:space="preserve">Type I </w:t>
      </w:r>
      <w:r w:rsidR="00EF71B6">
        <w:t>diabetes, but their focus is on whether islet transplantation can b</w:t>
      </w:r>
      <w:r w:rsidR="00D778BF">
        <w:t>e improved in terms of gaining sufficient</w:t>
      </w:r>
      <w:r w:rsidR="00EF71B6">
        <w:t xml:space="preserve"> supply of </w:t>
      </w:r>
      <w:r w:rsidR="00D778BF">
        <w:t xml:space="preserve">islet </w:t>
      </w:r>
      <w:r w:rsidR="00EF71B6">
        <w:t xml:space="preserve">material, </w:t>
      </w:r>
      <w:r w:rsidR="00D778BF">
        <w:t xml:space="preserve">increased </w:t>
      </w:r>
      <w:r w:rsidR="00EF71B6">
        <w:t xml:space="preserve">efficacy, and </w:t>
      </w:r>
      <w:r w:rsidR="00D778BF">
        <w:t xml:space="preserve">a </w:t>
      </w:r>
      <w:r w:rsidR="00EF71B6">
        <w:t>reduced potential for host rejection. They describe the use of microencapsulation using biomaterials as part of the transplant process and highlight that transplanted islet grafts can be supported by semi-permeable barriers that allow nutrient supply while shielding them from immune attack.  Attractive approaches include use of PEGylated polymers as a cage to surro</w:t>
      </w:r>
      <w:r w:rsidR="00D778BF">
        <w:t>und the islets, performing the</w:t>
      </w:r>
      <w:r w:rsidR="00EF71B6">
        <w:t xml:space="preserve"> role of protection against the reticuloendothelial system. </w:t>
      </w:r>
      <w:r w:rsidR="006935AD">
        <w:t>The foreign body response may also be reduced by use of alginate hydrogels, as well as thrombin to encapsulate the implant.  This fascinating combination of transplant islets with polymers and nanotechnology is an example of convergence of advances</w:t>
      </w:r>
      <w:r w:rsidR="00D778BF">
        <w:t xml:space="preserve"> across several fields. How </w:t>
      </w:r>
      <w:r w:rsidR="006935AD">
        <w:t>regulators will get their heads around it</w:t>
      </w:r>
      <w:r w:rsidR="00D778BF">
        <w:t xml:space="preserve"> all</w:t>
      </w:r>
      <w:r w:rsidR="006935AD">
        <w:t xml:space="preserve"> is another matter!   </w:t>
      </w:r>
      <w:r w:rsidR="00EF71B6">
        <w:t xml:space="preserve">   </w:t>
      </w:r>
    </w:p>
    <w:p w14:paraId="4D860A0A" w14:textId="77166625" w:rsidR="00334C7C" w:rsidRDefault="006935AD" w:rsidP="006C462A">
      <w:r>
        <w:t xml:space="preserve">Such convergence is also at the core of the article by </w:t>
      </w:r>
      <w:r w:rsidR="00334C7C">
        <w:t>Brown and Pandit</w:t>
      </w:r>
      <w:r>
        <w:t>.  They</w:t>
      </w:r>
      <w:r w:rsidR="00334C7C">
        <w:t xml:space="preserve"> discuss how biomaterial-based implant systems can be used to treat ischaemic diseases of the heart and circulation.  They see a niche for</w:t>
      </w:r>
      <w:r w:rsidR="0099582E">
        <w:t xml:space="preserve"> locally-</w:t>
      </w:r>
      <w:r w:rsidR="00334C7C">
        <w:t>delivered products that are pro-angiogenic</w:t>
      </w:r>
      <w:r w:rsidR="006B56DB">
        <w:t>,</w:t>
      </w:r>
      <w:r w:rsidR="00334C7C">
        <w:t xml:space="preserve"> as this can address </w:t>
      </w:r>
      <w:r w:rsidR="0099582E">
        <w:t xml:space="preserve">the </w:t>
      </w:r>
      <w:r w:rsidR="00334C7C">
        <w:t xml:space="preserve">safety and efficacy issues </w:t>
      </w:r>
      <w:r w:rsidR="0099582E">
        <w:t xml:space="preserve">associated with </w:t>
      </w:r>
      <w:r w:rsidR="00334C7C">
        <w:t xml:space="preserve">high systemic doses of pro-angiogenic drugs </w:t>
      </w:r>
      <w:r w:rsidR="00D778BF">
        <w:t xml:space="preserve">that have </w:t>
      </w:r>
      <w:r w:rsidR="00334C7C">
        <w:t xml:space="preserve">a low therapeutic index.  Enhanced vascularisation is </w:t>
      </w:r>
      <w:r w:rsidR="00AF4D19">
        <w:t>expected</w:t>
      </w:r>
      <w:r w:rsidR="00334C7C">
        <w:t xml:space="preserve"> to aid internal wound healing, limb ischaemia and myocardial infarction.  The Pandit group is working on functionalised extracellular matrix biomaterials, which comprise a range of pro-angiogenic factors and cells.  Less progress</w:t>
      </w:r>
      <w:r w:rsidR="00EF71B6">
        <w:t>ed</w:t>
      </w:r>
      <w:r w:rsidR="00334C7C">
        <w:t xml:space="preserve"> than other topics in the Issue, the authors see potential in the recent establishment of a small animal model of limb ischaemia and</w:t>
      </w:r>
      <w:r w:rsidR="00EF71B6">
        <w:t xml:space="preserve"> discuss a pathway for translation of these highly complex biomaterial constructs.  </w:t>
      </w:r>
      <w:r w:rsidR="00334C7C">
        <w:t xml:space="preserve"> </w:t>
      </w:r>
      <w:r>
        <w:t xml:space="preserve">On the same theme of deep tissue targeting, McCall and Jeong explore practical solutions to achieve miniature biocompatible flexible devices.  This brave new world comprises </w:t>
      </w:r>
      <w:r w:rsidR="00D778BF">
        <w:t xml:space="preserve">flexible </w:t>
      </w:r>
      <w:r>
        <w:t xml:space="preserve">microfluidic devices that can be implanted into tissue.  The devices </w:t>
      </w:r>
      <w:r w:rsidR="00AF4D19">
        <w:t>comprise</w:t>
      </w:r>
      <w:r>
        <w:t xml:space="preserve"> </w:t>
      </w:r>
      <w:r w:rsidR="006B56DB">
        <w:t xml:space="preserve">tiny pump </w:t>
      </w:r>
      <w:r>
        <w:t>cassettes for controlled release of therapeutics in precise concentrations, t</w:t>
      </w:r>
      <w:r w:rsidR="006B56DB">
        <w:t xml:space="preserve">riggered by remote wireless </w:t>
      </w:r>
      <w:r w:rsidR="00D778BF">
        <w:t>access</w:t>
      </w:r>
      <w:r w:rsidR="006B56DB">
        <w:t xml:space="preserve"> to a circuit board in the device</w:t>
      </w:r>
      <w:r w:rsidR="00D778BF">
        <w:t xml:space="preserve"> [2]</w:t>
      </w:r>
      <w:r w:rsidR="006B56DB">
        <w:t xml:space="preserve">.  They envisage organ-specific devices for diseases of the brain, spinal cord and viscera. To date, proof-of concept studies have been in animal models and one of the hurdles to address will be </w:t>
      </w:r>
      <w:r w:rsidR="00D778BF">
        <w:t xml:space="preserve">relatively </w:t>
      </w:r>
      <w:r w:rsidR="006B56DB">
        <w:t>simple</w:t>
      </w:r>
      <w:r w:rsidR="00D778BF">
        <w:t xml:space="preserve"> but important</w:t>
      </w:r>
      <w:r w:rsidR="006B56DB">
        <w:t xml:space="preserve"> studies to show that the implants do not damage</w:t>
      </w:r>
      <w:r w:rsidR="00D778BF">
        <w:t xml:space="preserve"> surrounding</w:t>
      </w:r>
      <w:r w:rsidR="006B56DB">
        <w:t xml:space="preserve"> tissue and that the electrical circuits can perform properly over time when surround by extracellular matrix.  Finally, Parisi </w:t>
      </w:r>
      <w:r w:rsidR="006B56DB" w:rsidRPr="006B56DB">
        <w:rPr>
          <w:i/>
        </w:rPr>
        <w:t>et al</w:t>
      </w:r>
      <w:r w:rsidR="006B56DB">
        <w:t>. discuss “nano” in terms of the potential for delivering antibiotics locally.  They argue that nanotechnology can address antibiotic resistance</w:t>
      </w:r>
      <w:bookmarkStart w:id="0" w:name="_GoBack"/>
      <w:bookmarkEnd w:id="0"/>
      <w:r w:rsidR="006B56DB">
        <w:t xml:space="preserve"> and improve the PK/PD of existing antibiotics.  Highlights include </w:t>
      </w:r>
      <w:r w:rsidR="00987B12">
        <w:t xml:space="preserve">preclinical </w:t>
      </w:r>
      <w:r w:rsidR="006B56DB">
        <w:t>data with natural and synthetic polymeric nanoparticle</w:t>
      </w:r>
      <w:r w:rsidR="00987B12">
        <w:t>s</w:t>
      </w:r>
      <w:r w:rsidR="006B56DB">
        <w:t xml:space="preserve"> entrapping antibiotics where the </w:t>
      </w:r>
      <w:r w:rsidR="00987B12">
        <w:t>minimum inhibitory concentration can be lowered.  They also alert readers to the fact that many biomaterials including chitosan have an inherent antibiotic effect</w:t>
      </w:r>
      <w:r w:rsidR="0099582E">
        <w:t>,</w:t>
      </w:r>
      <w:r w:rsidR="00987B12">
        <w:t xml:space="preserve"> which can</w:t>
      </w:r>
      <w:r w:rsidR="00D778BF">
        <w:t xml:space="preserve"> further</w:t>
      </w:r>
      <w:r w:rsidR="00987B12">
        <w:t xml:space="preserve"> increase the potential of the entire nanoparticle antibiotic formulation. It might be argued that polymeric nanoparticles containin</w:t>
      </w:r>
      <w:r w:rsidR="0099582E">
        <w:t xml:space="preserve">g antibiotics are not devices under a </w:t>
      </w:r>
      <w:r w:rsidR="00987B12">
        <w:t xml:space="preserve">strict </w:t>
      </w:r>
      <w:r w:rsidR="0099582E">
        <w:t xml:space="preserve">definition </w:t>
      </w:r>
      <w:r w:rsidR="00987B12">
        <w:t>of either an implant</w:t>
      </w:r>
      <w:r w:rsidR="00746E8C">
        <w:t>,</w:t>
      </w:r>
      <w:r w:rsidR="00987B12">
        <w:t xml:space="preserve"> or a device used to del</w:t>
      </w:r>
      <w:r w:rsidR="00873915">
        <w:t xml:space="preserve">iver a payload </w:t>
      </w:r>
      <w:r w:rsidR="00AF4D19">
        <w:t>a</w:t>
      </w:r>
      <w:r w:rsidR="00873915">
        <w:t>cross barriers</w:t>
      </w:r>
      <w:r w:rsidR="00987B12">
        <w:t>, however since there is still debate on what characteristics constitute the definition of a nanoparticle in the first place</w:t>
      </w:r>
      <w:r w:rsidR="00873915">
        <w:t xml:space="preserve"> [</w:t>
      </w:r>
      <w:r w:rsidR="00AF4D19">
        <w:t>3</w:t>
      </w:r>
      <w:r w:rsidR="00873915">
        <w:t>]</w:t>
      </w:r>
      <w:r w:rsidR="00987B12">
        <w:t xml:space="preserve">, perhaps this is not a particularly useful </w:t>
      </w:r>
      <w:r w:rsidR="00746E8C">
        <w:t>debate</w:t>
      </w:r>
      <w:r w:rsidR="00987B12">
        <w:t xml:space="preserve">.  </w:t>
      </w:r>
      <w:r w:rsidR="006B56DB">
        <w:t xml:space="preserve"> </w:t>
      </w:r>
      <w:r>
        <w:t xml:space="preserve"> </w:t>
      </w:r>
    </w:p>
    <w:p w14:paraId="2A3C0DE8" w14:textId="77777777" w:rsidR="006C462A" w:rsidRDefault="006C462A" w:rsidP="006C462A">
      <w:r>
        <w:t xml:space="preserve">[1] Rouphael NG, Paine M, Mosley R, Henry S, McAllister DV, Kalluri H, Pewin W, Frew PM, Yu T, Thornburg NJ, </w:t>
      </w:r>
      <w:r w:rsidR="00334C7C" w:rsidRPr="00334C7C">
        <w:rPr>
          <w:i/>
        </w:rPr>
        <w:t>et al</w:t>
      </w:r>
      <w:r w:rsidR="00334C7C">
        <w:t xml:space="preserve">. </w:t>
      </w:r>
      <w:r w:rsidR="00334C7C" w:rsidRPr="00334C7C">
        <w:rPr>
          <w:b/>
        </w:rPr>
        <w:t xml:space="preserve">The safety, immunogenicity, and acceptability of inactivated influenza vaccine </w:t>
      </w:r>
      <w:r w:rsidR="00334C7C" w:rsidRPr="00334C7C">
        <w:rPr>
          <w:b/>
        </w:rPr>
        <w:lastRenderedPageBreak/>
        <w:t>delivered by microneedle patch (TIV-MNP 2015): a randomised, partly blinded, placebo-controlled, phase 1 trial.</w:t>
      </w:r>
      <w:r w:rsidR="00334C7C">
        <w:t xml:space="preserve">  </w:t>
      </w:r>
      <w:r w:rsidR="00334C7C" w:rsidRPr="00334C7C">
        <w:rPr>
          <w:i/>
        </w:rPr>
        <w:t>Lancet</w:t>
      </w:r>
      <w:r w:rsidRPr="00334C7C">
        <w:rPr>
          <w:i/>
        </w:rPr>
        <w:t xml:space="preserve"> </w:t>
      </w:r>
      <w:r>
        <w:t>2017 Jun 27. pii: S0140-6736(17)30575-5. doi: 10.1016/S0140-6736(17)30575-5</w:t>
      </w:r>
      <w:r w:rsidR="00334C7C">
        <w:t>.</w:t>
      </w:r>
    </w:p>
    <w:p w14:paraId="5CEE42D0" w14:textId="31599CF1" w:rsidR="00873915" w:rsidRDefault="00987B12" w:rsidP="00873915">
      <w:r>
        <w:t>[2]</w:t>
      </w:r>
      <w:r w:rsidR="00D778BF">
        <w:t xml:space="preserve"> </w:t>
      </w:r>
      <w:hyperlink r:id="rId6" w:history="1">
        <w:r w:rsidR="00D778BF" w:rsidRPr="00AC55EC">
          <w:rPr>
            <w:rStyle w:val="Hyperlink"/>
          </w:rPr>
          <w:t>http://www.ondrugdelivery.com/products/current_issues.htm</w:t>
        </w:r>
      </w:hyperlink>
      <w:r w:rsidR="00D778BF">
        <w:t xml:space="preserve"> Accessed July 11th. 2017.</w:t>
      </w:r>
      <w:r w:rsidR="00E05D02">
        <w:br/>
      </w:r>
      <w:r w:rsidR="00873915">
        <w:br/>
        <w:t xml:space="preserve">[3] </w:t>
      </w:r>
      <w:r w:rsidR="00873915" w:rsidRPr="00873915">
        <w:t>Auffan M, Rose J, Bottero JY, Lo</w:t>
      </w:r>
      <w:r w:rsidR="00873915">
        <w:t xml:space="preserve">wry GV, Jolivet JP, Wiesner MR. Towards a definition of inorganic nanoparticles from an environmental, health and safety perspective. </w:t>
      </w:r>
      <w:r w:rsidR="00873915" w:rsidRPr="00873915">
        <w:rPr>
          <w:i/>
        </w:rPr>
        <w:t>Nat. Nanotechnol.</w:t>
      </w:r>
      <w:r w:rsidR="00873915">
        <w:t xml:space="preserve"> 2009,</w:t>
      </w:r>
      <w:r w:rsidR="00873915" w:rsidRPr="00873915">
        <w:rPr>
          <w:b/>
        </w:rPr>
        <w:t xml:space="preserve"> 4</w:t>
      </w:r>
      <w:r w:rsidR="00873915">
        <w:t>: 634-641</w:t>
      </w:r>
      <w:r w:rsidR="00746E8C">
        <w:t>.</w:t>
      </w:r>
    </w:p>
    <w:p w14:paraId="3B8614FB" w14:textId="77777777" w:rsidR="006C462A" w:rsidRDefault="006C462A"/>
    <w:p w14:paraId="21DFBED9" w14:textId="77777777" w:rsidR="00B853E8" w:rsidRPr="00E805A9" w:rsidRDefault="00C45EFF">
      <w:r>
        <w:t xml:space="preserve"> </w:t>
      </w:r>
      <w:r w:rsidR="003B66F2">
        <w:t xml:space="preserve"> </w:t>
      </w:r>
    </w:p>
    <w:sectPr w:rsidR="00B853E8" w:rsidRPr="00E805A9">
      <w:footerReference w:type="default" r:id="rId7"/>
      <w:pgSz w:w="11906" w:h="16838"/>
      <w:pgMar w:top="1440" w:right="1440" w:bottom="1440" w:left="144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747D5CA" w16cid:durableId="1D1891B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E4E983" w14:textId="77777777" w:rsidR="001D370A" w:rsidRDefault="001D370A" w:rsidP="00873915">
      <w:pPr>
        <w:spacing w:after="0" w:line="240" w:lineRule="auto"/>
      </w:pPr>
      <w:r>
        <w:separator/>
      </w:r>
    </w:p>
  </w:endnote>
  <w:endnote w:type="continuationSeparator" w:id="0">
    <w:p w14:paraId="0D813B67" w14:textId="77777777" w:rsidR="001D370A" w:rsidRDefault="001D370A" w:rsidP="008739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31592051"/>
      <w:docPartObj>
        <w:docPartGallery w:val="Page Numbers (Bottom of Page)"/>
        <w:docPartUnique/>
      </w:docPartObj>
    </w:sdtPr>
    <w:sdtEndPr>
      <w:rPr>
        <w:noProof/>
      </w:rPr>
    </w:sdtEndPr>
    <w:sdtContent>
      <w:p w14:paraId="2BB9390C" w14:textId="77777777" w:rsidR="00873915" w:rsidRDefault="00873915">
        <w:pPr>
          <w:pStyle w:val="Footer"/>
          <w:jc w:val="right"/>
        </w:pPr>
        <w:r>
          <w:fldChar w:fldCharType="begin"/>
        </w:r>
        <w:r>
          <w:instrText xml:space="preserve"> PAGE   \* MERGEFORMAT </w:instrText>
        </w:r>
        <w:r>
          <w:fldChar w:fldCharType="separate"/>
        </w:r>
        <w:r w:rsidR="00D6225E">
          <w:rPr>
            <w:noProof/>
          </w:rPr>
          <w:t>4</w:t>
        </w:r>
        <w:r>
          <w:rPr>
            <w:noProof/>
          </w:rPr>
          <w:fldChar w:fldCharType="end"/>
        </w:r>
      </w:p>
    </w:sdtContent>
  </w:sdt>
  <w:p w14:paraId="7BCE4D55" w14:textId="77777777" w:rsidR="00873915" w:rsidRDefault="008739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BE8E82" w14:textId="77777777" w:rsidR="001D370A" w:rsidRDefault="001D370A" w:rsidP="00873915">
      <w:pPr>
        <w:spacing w:after="0" w:line="240" w:lineRule="auto"/>
      </w:pPr>
      <w:r>
        <w:separator/>
      </w:r>
    </w:p>
  </w:footnote>
  <w:footnote w:type="continuationSeparator" w:id="0">
    <w:p w14:paraId="29CB9DC1" w14:textId="77777777" w:rsidR="001D370A" w:rsidRDefault="001D370A" w:rsidP="0087391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05A9"/>
    <w:rsid w:val="00083F7A"/>
    <w:rsid w:val="000877F4"/>
    <w:rsid w:val="0014448D"/>
    <w:rsid w:val="001C10AC"/>
    <w:rsid w:val="001D370A"/>
    <w:rsid w:val="002E0D30"/>
    <w:rsid w:val="00334C7C"/>
    <w:rsid w:val="003616E2"/>
    <w:rsid w:val="003B66F2"/>
    <w:rsid w:val="00417365"/>
    <w:rsid w:val="004A2C9F"/>
    <w:rsid w:val="00593C3D"/>
    <w:rsid w:val="006858E2"/>
    <w:rsid w:val="006935AD"/>
    <w:rsid w:val="006B56DB"/>
    <w:rsid w:val="006C462A"/>
    <w:rsid w:val="00746E8C"/>
    <w:rsid w:val="007E0919"/>
    <w:rsid w:val="00873915"/>
    <w:rsid w:val="008D5EB8"/>
    <w:rsid w:val="00987B12"/>
    <w:rsid w:val="0099582E"/>
    <w:rsid w:val="009D50D7"/>
    <w:rsid w:val="00A81630"/>
    <w:rsid w:val="00AA62B7"/>
    <w:rsid w:val="00AC0770"/>
    <w:rsid w:val="00AF3DEF"/>
    <w:rsid w:val="00AF4D19"/>
    <w:rsid w:val="00B06463"/>
    <w:rsid w:val="00B556B2"/>
    <w:rsid w:val="00B853E8"/>
    <w:rsid w:val="00C45EFF"/>
    <w:rsid w:val="00D6225E"/>
    <w:rsid w:val="00D778BF"/>
    <w:rsid w:val="00E05D02"/>
    <w:rsid w:val="00E805A9"/>
    <w:rsid w:val="00EC6809"/>
    <w:rsid w:val="00ED2A36"/>
    <w:rsid w:val="00EF71B6"/>
    <w:rsid w:val="00F65DCC"/>
    <w:rsid w:val="00FB17FA"/>
    <w:rsid w:val="00FF1B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90EF6"/>
  <w15:chartTrackingRefBased/>
  <w15:docId w15:val="{E7477AA9-7747-43AB-8D18-F769D67B4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D2A36"/>
    <w:pPr>
      <w:keepNext/>
      <w:outlineLvl w:val="0"/>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2A36"/>
    <w:rPr>
      <w:i/>
    </w:rPr>
  </w:style>
  <w:style w:type="character" w:styleId="Hyperlink">
    <w:name w:val="Hyperlink"/>
    <w:basedOn w:val="DefaultParagraphFont"/>
    <w:uiPriority w:val="99"/>
    <w:unhideWhenUsed/>
    <w:rsid w:val="00D778BF"/>
    <w:rPr>
      <w:color w:val="0563C1" w:themeColor="hyperlink"/>
      <w:u w:val="single"/>
    </w:rPr>
  </w:style>
  <w:style w:type="paragraph" w:styleId="Header">
    <w:name w:val="header"/>
    <w:basedOn w:val="Normal"/>
    <w:link w:val="HeaderChar"/>
    <w:uiPriority w:val="99"/>
    <w:unhideWhenUsed/>
    <w:rsid w:val="008739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3915"/>
  </w:style>
  <w:style w:type="paragraph" w:styleId="Footer">
    <w:name w:val="footer"/>
    <w:basedOn w:val="Normal"/>
    <w:link w:val="FooterChar"/>
    <w:uiPriority w:val="99"/>
    <w:unhideWhenUsed/>
    <w:rsid w:val="008739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3915"/>
  </w:style>
  <w:style w:type="paragraph" w:styleId="BalloonText">
    <w:name w:val="Balloon Text"/>
    <w:basedOn w:val="Normal"/>
    <w:link w:val="BalloonTextChar"/>
    <w:uiPriority w:val="99"/>
    <w:semiHidden/>
    <w:unhideWhenUsed/>
    <w:rsid w:val="001C10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10AC"/>
    <w:rPr>
      <w:rFonts w:ascii="Segoe UI" w:hAnsi="Segoe UI" w:cs="Segoe UI"/>
      <w:sz w:val="18"/>
      <w:szCs w:val="18"/>
    </w:rPr>
  </w:style>
  <w:style w:type="character" w:styleId="CommentReference">
    <w:name w:val="annotation reference"/>
    <w:basedOn w:val="DefaultParagraphFont"/>
    <w:uiPriority w:val="99"/>
    <w:semiHidden/>
    <w:unhideWhenUsed/>
    <w:rsid w:val="00AF4D19"/>
    <w:rPr>
      <w:sz w:val="16"/>
      <w:szCs w:val="16"/>
    </w:rPr>
  </w:style>
  <w:style w:type="paragraph" w:styleId="CommentText">
    <w:name w:val="annotation text"/>
    <w:basedOn w:val="Normal"/>
    <w:link w:val="CommentTextChar"/>
    <w:uiPriority w:val="99"/>
    <w:semiHidden/>
    <w:unhideWhenUsed/>
    <w:rsid w:val="00AF4D19"/>
    <w:pPr>
      <w:spacing w:line="240" w:lineRule="auto"/>
    </w:pPr>
    <w:rPr>
      <w:sz w:val="20"/>
      <w:szCs w:val="20"/>
    </w:rPr>
  </w:style>
  <w:style w:type="character" w:customStyle="1" w:styleId="CommentTextChar">
    <w:name w:val="Comment Text Char"/>
    <w:basedOn w:val="DefaultParagraphFont"/>
    <w:link w:val="CommentText"/>
    <w:uiPriority w:val="99"/>
    <w:semiHidden/>
    <w:rsid w:val="00AF4D19"/>
    <w:rPr>
      <w:sz w:val="20"/>
      <w:szCs w:val="20"/>
    </w:rPr>
  </w:style>
  <w:style w:type="paragraph" w:styleId="CommentSubject">
    <w:name w:val="annotation subject"/>
    <w:basedOn w:val="CommentText"/>
    <w:next w:val="CommentText"/>
    <w:link w:val="CommentSubjectChar"/>
    <w:uiPriority w:val="99"/>
    <w:semiHidden/>
    <w:unhideWhenUsed/>
    <w:rsid w:val="00AF4D19"/>
    <w:rPr>
      <w:b/>
      <w:bCs/>
    </w:rPr>
  </w:style>
  <w:style w:type="character" w:customStyle="1" w:styleId="CommentSubjectChar">
    <w:name w:val="Comment Subject Char"/>
    <w:basedOn w:val="CommentTextChar"/>
    <w:link w:val="CommentSubject"/>
    <w:uiPriority w:val="99"/>
    <w:semiHidden/>
    <w:rsid w:val="00AF4D1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6/09/relationships/commentsIds" Target="commentsIds.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ondrugdelivery.com/products/current_issues.ht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4</Pages>
  <Words>2100</Words>
  <Characters>11975</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UCD</Company>
  <LinksUpToDate>false</LinksUpToDate>
  <CharactersWithSpaces>14047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Brayden</dc:creator>
  <cp:keywords/>
  <dc:description/>
  <cp:lastModifiedBy>David Brayden</cp:lastModifiedBy>
  <cp:revision>4</cp:revision>
  <cp:lastPrinted>2017-07-18T11:08:00Z</cp:lastPrinted>
  <dcterms:created xsi:type="dcterms:W3CDTF">2017-07-24T11:59:00Z</dcterms:created>
  <dcterms:modified xsi:type="dcterms:W3CDTF">2017-08-04T08:50:00Z</dcterms:modified>
</cp:coreProperties>
</file>