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D3" w:rsidRPr="00543A19" w:rsidRDefault="00956AD3" w:rsidP="00543A19">
      <w:pPr>
        <w:spacing w:line="360" w:lineRule="auto"/>
        <w:ind w:left="720"/>
        <w:jc w:val="both"/>
        <w:rPr>
          <w:rFonts w:ascii="Arial" w:hAnsi="Arial" w:cs="Arial"/>
          <w:sz w:val="20"/>
          <w:szCs w:val="20"/>
        </w:rPr>
      </w:pPr>
      <w:r w:rsidRPr="001E4BE2">
        <w:rPr>
          <w:rFonts w:ascii="Arial" w:hAnsi="Arial" w:cs="Arial"/>
          <w:sz w:val="20"/>
          <w:szCs w:val="20"/>
        </w:rPr>
        <w:t>Dr M</w:t>
      </w:r>
      <w:r w:rsidR="001E4BE2">
        <w:rPr>
          <w:rFonts w:ascii="Arial" w:hAnsi="Arial" w:cs="Arial"/>
          <w:sz w:val="20"/>
          <w:szCs w:val="20"/>
        </w:rPr>
        <w:t>áire</w:t>
      </w:r>
      <w:r w:rsidRPr="001E4BE2">
        <w:rPr>
          <w:rFonts w:ascii="Arial" w:hAnsi="Arial" w:cs="Arial"/>
          <w:sz w:val="20"/>
          <w:szCs w:val="20"/>
        </w:rPr>
        <w:t xml:space="preserve"> Ní Shúilleabháin, </w:t>
      </w:r>
      <w:r w:rsidR="00543A19">
        <w:rPr>
          <w:rFonts w:ascii="Arial" w:hAnsi="Arial" w:cs="Arial"/>
          <w:sz w:val="20"/>
          <w:szCs w:val="20"/>
        </w:rPr>
        <w:t>Sutherland School of Law, University College Dublin</w:t>
      </w:r>
      <w:r w:rsidRPr="001E4BE2">
        <w:rPr>
          <w:rFonts w:ascii="Arial" w:hAnsi="Arial" w:cs="Arial"/>
          <w:sz w:val="20"/>
          <w:szCs w:val="20"/>
        </w:rPr>
        <w:t>, Ireland.</w:t>
      </w:r>
    </w:p>
    <w:p w:rsidR="00956AD3" w:rsidRPr="00956AD3" w:rsidRDefault="00EA56B5" w:rsidP="00956AD3">
      <w:pPr>
        <w:spacing w:line="360" w:lineRule="auto"/>
        <w:jc w:val="both"/>
        <w:rPr>
          <w:rFonts w:ascii="Arial" w:hAnsi="Arial" w:cs="Arial"/>
          <w:b/>
          <w:sz w:val="24"/>
          <w:szCs w:val="24"/>
        </w:rPr>
      </w:pPr>
      <w:r w:rsidRPr="00956AD3">
        <w:rPr>
          <w:rFonts w:ascii="Arial" w:hAnsi="Arial" w:cs="Arial"/>
          <w:b/>
          <w:sz w:val="24"/>
          <w:szCs w:val="24"/>
        </w:rPr>
        <w:t xml:space="preserve">Traversing Disciplinary Silos: </w:t>
      </w:r>
      <w:r w:rsidR="00A02F90" w:rsidRPr="00956AD3">
        <w:rPr>
          <w:rFonts w:ascii="Arial" w:hAnsi="Arial" w:cs="Arial"/>
          <w:b/>
          <w:sz w:val="24"/>
          <w:szCs w:val="24"/>
        </w:rPr>
        <w:t xml:space="preserve">Marriage, </w:t>
      </w:r>
      <w:r w:rsidRPr="00956AD3">
        <w:rPr>
          <w:rFonts w:ascii="Arial" w:hAnsi="Arial" w:cs="Arial"/>
          <w:b/>
          <w:sz w:val="24"/>
          <w:szCs w:val="24"/>
        </w:rPr>
        <w:t>Private International Law and the ECHR</w:t>
      </w:r>
      <w:r w:rsidR="00956AD3" w:rsidRPr="00956AD3">
        <w:rPr>
          <w:rStyle w:val="FootnoteReference"/>
          <w:rFonts w:ascii="Arial" w:hAnsi="Arial" w:cs="Arial"/>
          <w:b/>
          <w:sz w:val="24"/>
          <w:szCs w:val="24"/>
        </w:rPr>
        <w:footnoteReference w:id="1"/>
      </w:r>
      <w:r w:rsidR="00956AD3" w:rsidRPr="00956AD3">
        <w:rPr>
          <w:rFonts w:ascii="Arial" w:hAnsi="Arial" w:cs="Arial"/>
          <w:b/>
          <w:sz w:val="24"/>
          <w:szCs w:val="24"/>
        </w:rPr>
        <w:t xml:space="preserve"> </w:t>
      </w:r>
      <w:r w:rsidR="00956AD3">
        <w:rPr>
          <w:rFonts w:ascii="Arial" w:hAnsi="Arial" w:cs="Arial"/>
          <w:b/>
          <w:sz w:val="24"/>
          <w:szCs w:val="24"/>
        </w:rPr>
        <w:tab/>
      </w:r>
      <w:r w:rsidR="00956AD3">
        <w:rPr>
          <w:rFonts w:ascii="Arial" w:hAnsi="Arial" w:cs="Arial"/>
          <w:b/>
          <w:sz w:val="24"/>
          <w:szCs w:val="24"/>
        </w:rPr>
        <w:tab/>
      </w:r>
    </w:p>
    <w:p w:rsidR="00AB00E9" w:rsidRDefault="00956AD3" w:rsidP="00B4620D">
      <w:pPr>
        <w:spacing w:line="360" w:lineRule="auto"/>
        <w:jc w:val="both"/>
        <w:rPr>
          <w:rFonts w:ascii="Arial" w:hAnsi="Arial" w:cs="Arial"/>
          <w:sz w:val="24"/>
          <w:szCs w:val="24"/>
        </w:rPr>
      </w:pPr>
      <w:r w:rsidRPr="00956AD3">
        <w:rPr>
          <w:rFonts w:ascii="Arial" w:hAnsi="Arial" w:cs="Arial"/>
          <w:sz w:val="24"/>
          <w:szCs w:val="24"/>
        </w:rPr>
        <w:t>The focus of this paper</w:t>
      </w:r>
      <w:r w:rsidR="00EA56B5" w:rsidRPr="00956AD3">
        <w:rPr>
          <w:rFonts w:ascii="Arial" w:hAnsi="Arial" w:cs="Arial"/>
          <w:sz w:val="24"/>
          <w:szCs w:val="24"/>
        </w:rPr>
        <w:t xml:space="preserve"> is on the </w:t>
      </w:r>
      <w:r w:rsidR="000A73FB" w:rsidRPr="00956AD3">
        <w:rPr>
          <w:rFonts w:ascii="Arial" w:hAnsi="Arial" w:cs="Arial"/>
          <w:sz w:val="24"/>
          <w:szCs w:val="24"/>
        </w:rPr>
        <w:t xml:space="preserve">English </w:t>
      </w:r>
      <w:r w:rsidR="00EA56B5" w:rsidRPr="00956AD3">
        <w:rPr>
          <w:rFonts w:ascii="Arial" w:hAnsi="Arial" w:cs="Arial"/>
          <w:sz w:val="24"/>
          <w:szCs w:val="24"/>
        </w:rPr>
        <w:t xml:space="preserve">conflicts rules affecting marriage – and how they are impacted by </w:t>
      </w:r>
      <w:r w:rsidR="001F2FF5" w:rsidRPr="00956AD3">
        <w:rPr>
          <w:rFonts w:ascii="Arial" w:hAnsi="Arial" w:cs="Arial"/>
          <w:sz w:val="24"/>
          <w:szCs w:val="24"/>
        </w:rPr>
        <w:t>human rights law</w:t>
      </w:r>
      <w:r w:rsidR="00AB00E9">
        <w:rPr>
          <w:rFonts w:ascii="Arial" w:hAnsi="Arial" w:cs="Arial"/>
          <w:sz w:val="24"/>
          <w:szCs w:val="24"/>
        </w:rPr>
        <w:t xml:space="preserve">. </w:t>
      </w:r>
    </w:p>
    <w:p w:rsidR="00B57186" w:rsidRDefault="00AB00E9" w:rsidP="00B4620D">
      <w:pPr>
        <w:spacing w:line="360" w:lineRule="auto"/>
        <w:jc w:val="both"/>
        <w:rPr>
          <w:rFonts w:ascii="Arial" w:hAnsi="Arial" w:cs="Arial"/>
          <w:sz w:val="24"/>
          <w:szCs w:val="24"/>
        </w:rPr>
      </w:pPr>
      <w:r>
        <w:rPr>
          <w:rFonts w:ascii="Arial" w:hAnsi="Arial" w:cs="Arial"/>
          <w:sz w:val="24"/>
          <w:szCs w:val="24"/>
        </w:rPr>
        <w:t xml:space="preserve">As far as human rights law is concerned, the emphasis will be on the European Convention on Human Rights (ECHR) – in particular, </w:t>
      </w:r>
      <w:r w:rsidR="001E4BE2">
        <w:rPr>
          <w:rFonts w:ascii="Arial" w:hAnsi="Arial" w:cs="Arial"/>
          <w:sz w:val="24"/>
          <w:szCs w:val="24"/>
        </w:rPr>
        <w:t>Article 8</w:t>
      </w:r>
      <w:r>
        <w:rPr>
          <w:rFonts w:ascii="Arial" w:hAnsi="Arial" w:cs="Arial"/>
          <w:sz w:val="24"/>
          <w:szCs w:val="24"/>
        </w:rPr>
        <w:t xml:space="preserve"> ECHR (right to respect for family life)</w:t>
      </w:r>
      <w:r w:rsidR="001E4BE2">
        <w:rPr>
          <w:rFonts w:ascii="Arial" w:hAnsi="Arial" w:cs="Arial"/>
          <w:sz w:val="24"/>
          <w:szCs w:val="24"/>
        </w:rPr>
        <w:t xml:space="preserve">, </w:t>
      </w:r>
      <w:r>
        <w:rPr>
          <w:rFonts w:ascii="Arial" w:hAnsi="Arial" w:cs="Arial"/>
          <w:sz w:val="24"/>
          <w:szCs w:val="24"/>
        </w:rPr>
        <w:t xml:space="preserve">Article </w:t>
      </w:r>
      <w:r w:rsidR="001E4BE2">
        <w:rPr>
          <w:rFonts w:ascii="Arial" w:hAnsi="Arial" w:cs="Arial"/>
          <w:sz w:val="24"/>
          <w:szCs w:val="24"/>
        </w:rPr>
        <w:t xml:space="preserve">12 </w:t>
      </w:r>
      <w:r>
        <w:rPr>
          <w:rFonts w:ascii="Arial" w:hAnsi="Arial" w:cs="Arial"/>
          <w:sz w:val="24"/>
          <w:szCs w:val="24"/>
        </w:rPr>
        <w:t xml:space="preserve">ECHR (right to marry) </w:t>
      </w:r>
      <w:r w:rsidR="001E4BE2">
        <w:rPr>
          <w:rFonts w:ascii="Arial" w:hAnsi="Arial" w:cs="Arial"/>
          <w:sz w:val="24"/>
          <w:szCs w:val="24"/>
        </w:rPr>
        <w:t xml:space="preserve">and </w:t>
      </w:r>
      <w:r>
        <w:rPr>
          <w:rFonts w:ascii="Arial" w:hAnsi="Arial" w:cs="Arial"/>
          <w:sz w:val="24"/>
          <w:szCs w:val="24"/>
        </w:rPr>
        <w:t xml:space="preserve">Article </w:t>
      </w:r>
      <w:r w:rsidR="001E4BE2">
        <w:rPr>
          <w:rFonts w:ascii="Arial" w:hAnsi="Arial" w:cs="Arial"/>
          <w:sz w:val="24"/>
          <w:szCs w:val="24"/>
        </w:rPr>
        <w:t>14</w:t>
      </w:r>
      <w:r w:rsidR="00EA56B5" w:rsidRPr="00956AD3">
        <w:rPr>
          <w:rFonts w:ascii="Arial" w:hAnsi="Arial" w:cs="Arial"/>
          <w:sz w:val="24"/>
          <w:szCs w:val="24"/>
        </w:rPr>
        <w:t xml:space="preserve"> ECHR</w:t>
      </w:r>
      <w:r w:rsidR="00543A19">
        <w:rPr>
          <w:rFonts w:ascii="Arial" w:hAnsi="Arial" w:cs="Arial"/>
          <w:sz w:val="24"/>
          <w:szCs w:val="24"/>
        </w:rPr>
        <w:t xml:space="preserve"> </w:t>
      </w:r>
      <w:r>
        <w:rPr>
          <w:rFonts w:ascii="Arial" w:hAnsi="Arial" w:cs="Arial"/>
          <w:sz w:val="24"/>
          <w:szCs w:val="24"/>
        </w:rPr>
        <w:t>(</w:t>
      </w:r>
      <w:r w:rsidR="00B57186">
        <w:rPr>
          <w:rFonts w:ascii="Arial" w:hAnsi="Arial" w:cs="Arial"/>
          <w:sz w:val="24"/>
          <w:szCs w:val="24"/>
        </w:rPr>
        <w:t>right to be protected against discrimination in the</w:t>
      </w:r>
      <w:r w:rsidR="00543A19">
        <w:rPr>
          <w:rFonts w:ascii="Arial" w:hAnsi="Arial" w:cs="Arial"/>
          <w:sz w:val="24"/>
          <w:szCs w:val="24"/>
        </w:rPr>
        <w:t xml:space="preserve"> enjoyment of Convention rights</w:t>
      </w:r>
      <w:r>
        <w:rPr>
          <w:rFonts w:ascii="Arial" w:hAnsi="Arial" w:cs="Arial"/>
          <w:sz w:val="24"/>
          <w:szCs w:val="24"/>
        </w:rPr>
        <w:t>) - but other instruments of international human rights law will also be considered</w:t>
      </w:r>
      <w:r w:rsidR="00B57186">
        <w:rPr>
          <w:rFonts w:ascii="Arial" w:hAnsi="Arial" w:cs="Arial"/>
          <w:sz w:val="24"/>
          <w:szCs w:val="24"/>
        </w:rPr>
        <w:t>.</w:t>
      </w:r>
      <w:r w:rsidR="00B57186" w:rsidRPr="00956AD3">
        <w:rPr>
          <w:rFonts w:ascii="Arial" w:hAnsi="Arial" w:cs="Arial"/>
          <w:sz w:val="24"/>
          <w:szCs w:val="24"/>
        </w:rPr>
        <w:t xml:space="preserve"> </w:t>
      </w:r>
    </w:p>
    <w:p w:rsidR="0066208B" w:rsidRPr="00956AD3" w:rsidRDefault="007E4111" w:rsidP="00B4620D">
      <w:pPr>
        <w:spacing w:line="360" w:lineRule="auto"/>
        <w:jc w:val="both"/>
        <w:rPr>
          <w:rFonts w:ascii="Arial" w:hAnsi="Arial" w:cs="Arial"/>
          <w:sz w:val="24"/>
          <w:szCs w:val="24"/>
        </w:rPr>
      </w:pPr>
      <w:r>
        <w:rPr>
          <w:rFonts w:ascii="Arial" w:hAnsi="Arial" w:cs="Arial"/>
          <w:sz w:val="24"/>
          <w:szCs w:val="24"/>
        </w:rPr>
        <w:t>Initially, u</w:t>
      </w:r>
      <w:r w:rsidR="00956AD3" w:rsidRPr="00956AD3">
        <w:rPr>
          <w:rFonts w:ascii="Arial" w:hAnsi="Arial" w:cs="Arial"/>
          <w:sz w:val="24"/>
          <w:szCs w:val="24"/>
        </w:rPr>
        <w:t xml:space="preserve">pon </w:t>
      </w:r>
      <w:r w:rsidR="000A73FB" w:rsidRPr="00956AD3">
        <w:rPr>
          <w:rFonts w:ascii="Arial" w:hAnsi="Arial" w:cs="Arial"/>
          <w:sz w:val="24"/>
          <w:szCs w:val="24"/>
        </w:rPr>
        <w:t>looking into this area</w:t>
      </w:r>
      <w:r w:rsidR="00956AD3" w:rsidRPr="00956AD3">
        <w:rPr>
          <w:rFonts w:ascii="Arial" w:hAnsi="Arial" w:cs="Arial"/>
          <w:sz w:val="24"/>
          <w:szCs w:val="24"/>
        </w:rPr>
        <w:t>, one might expect to</w:t>
      </w:r>
      <w:r>
        <w:rPr>
          <w:rFonts w:ascii="Arial" w:hAnsi="Arial" w:cs="Arial"/>
          <w:sz w:val="24"/>
          <w:szCs w:val="24"/>
        </w:rPr>
        <w:t xml:space="preserve"> find a few leading European Court of Human Rights (ECtHR)</w:t>
      </w:r>
      <w:r w:rsidR="000A73FB" w:rsidRPr="00956AD3">
        <w:rPr>
          <w:rFonts w:ascii="Arial" w:hAnsi="Arial" w:cs="Arial"/>
          <w:sz w:val="24"/>
          <w:szCs w:val="24"/>
        </w:rPr>
        <w:t xml:space="preserve"> judgments which would in turn have been c</w:t>
      </w:r>
      <w:r w:rsidR="008F5297">
        <w:rPr>
          <w:rFonts w:ascii="Arial" w:hAnsi="Arial" w:cs="Arial"/>
          <w:sz w:val="24"/>
          <w:szCs w:val="24"/>
        </w:rPr>
        <w:t>onsidered by the English courts</w:t>
      </w:r>
      <w:r w:rsidR="00AB00E9">
        <w:rPr>
          <w:rFonts w:ascii="Arial" w:hAnsi="Arial" w:cs="Arial"/>
          <w:sz w:val="24"/>
          <w:szCs w:val="24"/>
        </w:rPr>
        <w:t xml:space="preserve"> in private international law cases</w:t>
      </w:r>
      <w:r w:rsidR="008F5297">
        <w:rPr>
          <w:rFonts w:ascii="Arial" w:hAnsi="Arial" w:cs="Arial"/>
          <w:sz w:val="24"/>
          <w:szCs w:val="24"/>
        </w:rPr>
        <w:t>. However,</w:t>
      </w:r>
      <w:r w:rsidR="00956AD3" w:rsidRPr="00956AD3">
        <w:rPr>
          <w:rFonts w:ascii="Arial" w:hAnsi="Arial" w:cs="Arial"/>
          <w:sz w:val="24"/>
          <w:szCs w:val="24"/>
        </w:rPr>
        <w:t xml:space="preserve"> a review of existing case-law soon reveals that there i</w:t>
      </w:r>
      <w:r w:rsidR="00EA56B5" w:rsidRPr="00956AD3">
        <w:rPr>
          <w:rFonts w:ascii="Arial" w:hAnsi="Arial" w:cs="Arial"/>
          <w:sz w:val="24"/>
          <w:szCs w:val="24"/>
        </w:rPr>
        <w:t xml:space="preserve">s </w:t>
      </w:r>
      <w:r w:rsidR="00262B97">
        <w:rPr>
          <w:rFonts w:ascii="Arial" w:hAnsi="Arial" w:cs="Arial"/>
          <w:sz w:val="24"/>
          <w:szCs w:val="24"/>
        </w:rPr>
        <w:t>a real lack</w:t>
      </w:r>
      <w:r w:rsidR="00EA56B5" w:rsidRPr="00956AD3">
        <w:rPr>
          <w:rFonts w:ascii="Arial" w:hAnsi="Arial" w:cs="Arial"/>
          <w:sz w:val="24"/>
          <w:szCs w:val="24"/>
        </w:rPr>
        <w:t xml:space="preserve"> of authority on the interaction of these two bodies of l</w:t>
      </w:r>
      <w:r w:rsidR="00956AD3" w:rsidRPr="00956AD3">
        <w:rPr>
          <w:rFonts w:ascii="Arial" w:hAnsi="Arial" w:cs="Arial"/>
          <w:sz w:val="24"/>
          <w:szCs w:val="24"/>
        </w:rPr>
        <w:t>aw – and that effectively we have</w:t>
      </w:r>
      <w:r w:rsidR="00EA56B5" w:rsidRPr="00956AD3">
        <w:rPr>
          <w:rFonts w:ascii="Arial" w:hAnsi="Arial" w:cs="Arial"/>
          <w:sz w:val="24"/>
          <w:szCs w:val="24"/>
        </w:rPr>
        <w:t xml:space="preserve"> two sets of lawyers (conflicts lawyers and human rights lawyers) each ploughing their own </w:t>
      </w:r>
      <w:r w:rsidR="00262B97">
        <w:rPr>
          <w:rFonts w:ascii="Arial" w:hAnsi="Arial" w:cs="Arial"/>
          <w:sz w:val="24"/>
          <w:szCs w:val="24"/>
        </w:rPr>
        <w:t xml:space="preserve">separate </w:t>
      </w:r>
      <w:r w:rsidR="00EA56B5" w:rsidRPr="00956AD3">
        <w:rPr>
          <w:rFonts w:ascii="Arial" w:hAnsi="Arial" w:cs="Arial"/>
          <w:sz w:val="24"/>
          <w:szCs w:val="24"/>
        </w:rPr>
        <w:t>furrow</w:t>
      </w:r>
      <w:r w:rsidR="00376FEC" w:rsidRPr="00956AD3">
        <w:rPr>
          <w:rFonts w:ascii="Arial" w:hAnsi="Arial" w:cs="Arial"/>
          <w:sz w:val="24"/>
          <w:szCs w:val="24"/>
        </w:rPr>
        <w:t>s</w:t>
      </w:r>
      <w:r w:rsidR="00EA56B5" w:rsidRPr="00956AD3">
        <w:rPr>
          <w:rFonts w:ascii="Arial" w:hAnsi="Arial" w:cs="Arial"/>
          <w:sz w:val="24"/>
          <w:szCs w:val="24"/>
        </w:rPr>
        <w:t xml:space="preserve"> and each very reluctant to take account of the interests and methodologies of the other legal discipline</w:t>
      </w:r>
      <w:r w:rsidR="001E4BE2">
        <w:rPr>
          <w:rFonts w:ascii="Arial" w:hAnsi="Arial" w:cs="Arial"/>
          <w:sz w:val="24"/>
          <w:szCs w:val="24"/>
        </w:rPr>
        <w:t>.</w:t>
      </w:r>
      <w:r w:rsidR="001E4BE2" w:rsidRPr="00956AD3">
        <w:rPr>
          <w:rFonts w:ascii="Arial" w:hAnsi="Arial" w:cs="Arial"/>
          <w:sz w:val="24"/>
          <w:szCs w:val="24"/>
        </w:rPr>
        <w:t xml:space="preserve"> </w:t>
      </w:r>
      <w:r w:rsidR="001E4BE2">
        <w:rPr>
          <w:rFonts w:ascii="Arial" w:hAnsi="Arial" w:cs="Arial"/>
          <w:sz w:val="24"/>
          <w:szCs w:val="24"/>
        </w:rPr>
        <w:t>T</w:t>
      </w:r>
      <w:r w:rsidR="0066208B" w:rsidRPr="00956AD3">
        <w:rPr>
          <w:rFonts w:ascii="Arial" w:hAnsi="Arial" w:cs="Arial"/>
          <w:sz w:val="24"/>
          <w:szCs w:val="24"/>
        </w:rPr>
        <w:t>he upshot of this disciplinary isolation is a branch of private inter</w:t>
      </w:r>
      <w:r w:rsidR="00012A7A">
        <w:rPr>
          <w:rFonts w:ascii="Arial" w:hAnsi="Arial" w:cs="Arial"/>
          <w:sz w:val="24"/>
          <w:szCs w:val="24"/>
        </w:rPr>
        <w:t>national law which seems to be beset</w:t>
      </w:r>
      <w:r w:rsidR="002F64BA" w:rsidRPr="00956AD3">
        <w:rPr>
          <w:rFonts w:ascii="Arial" w:hAnsi="Arial" w:cs="Arial"/>
          <w:sz w:val="24"/>
          <w:szCs w:val="24"/>
        </w:rPr>
        <w:t xml:space="preserve"> with human rights inconsistencies</w:t>
      </w:r>
      <w:r w:rsidR="0066208B" w:rsidRPr="00956AD3">
        <w:rPr>
          <w:rFonts w:ascii="Arial" w:hAnsi="Arial" w:cs="Arial"/>
          <w:sz w:val="24"/>
          <w:szCs w:val="24"/>
        </w:rPr>
        <w:t xml:space="preserve"> – and a branch of human rights law which provides no adequate steer or guidance for those interested in </w:t>
      </w:r>
      <w:r w:rsidR="00A47E32" w:rsidRPr="00956AD3">
        <w:rPr>
          <w:rFonts w:ascii="Arial" w:hAnsi="Arial" w:cs="Arial"/>
          <w:sz w:val="24"/>
          <w:szCs w:val="24"/>
        </w:rPr>
        <w:t xml:space="preserve">the appropriate development of </w:t>
      </w:r>
      <w:r w:rsidR="0066208B" w:rsidRPr="00956AD3">
        <w:rPr>
          <w:rFonts w:ascii="Arial" w:hAnsi="Arial" w:cs="Arial"/>
          <w:sz w:val="24"/>
          <w:szCs w:val="24"/>
        </w:rPr>
        <w:t>private international law.</w:t>
      </w:r>
    </w:p>
    <w:p w:rsidR="000A73FB" w:rsidRPr="00956AD3" w:rsidRDefault="007E4111" w:rsidP="00B4620D">
      <w:pPr>
        <w:spacing w:line="360" w:lineRule="auto"/>
        <w:jc w:val="both"/>
        <w:rPr>
          <w:rFonts w:ascii="Arial" w:hAnsi="Arial" w:cs="Arial"/>
          <w:sz w:val="24"/>
          <w:szCs w:val="24"/>
        </w:rPr>
      </w:pPr>
      <w:r>
        <w:rPr>
          <w:rFonts w:ascii="Arial" w:hAnsi="Arial" w:cs="Arial"/>
          <w:sz w:val="24"/>
          <w:szCs w:val="24"/>
        </w:rPr>
        <w:t>T</w:t>
      </w:r>
      <w:r w:rsidR="00956AD3" w:rsidRPr="00956AD3">
        <w:rPr>
          <w:rFonts w:ascii="Arial" w:hAnsi="Arial" w:cs="Arial"/>
          <w:sz w:val="24"/>
          <w:szCs w:val="24"/>
        </w:rPr>
        <w:t>his</w:t>
      </w:r>
      <w:r w:rsidR="000A73FB" w:rsidRPr="00956AD3">
        <w:rPr>
          <w:rFonts w:ascii="Arial" w:hAnsi="Arial" w:cs="Arial"/>
          <w:sz w:val="24"/>
          <w:szCs w:val="24"/>
        </w:rPr>
        <w:t xml:space="preserve"> paper</w:t>
      </w:r>
      <w:r w:rsidR="008D138D" w:rsidRPr="00956AD3">
        <w:rPr>
          <w:rFonts w:ascii="Arial" w:hAnsi="Arial" w:cs="Arial"/>
          <w:sz w:val="24"/>
          <w:szCs w:val="24"/>
        </w:rPr>
        <w:t xml:space="preserve"> will seek to demonstrate </w:t>
      </w:r>
      <w:r w:rsidR="00262B97">
        <w:rPr>
          <w:rFonts w:ascii="Arial" w:hAnsi="Arial" w:cs="Arial"/>
          <w:sz w:val="24"/>
          <w:szCs w:val="24"/>
        </w:rPr>
        <w:t xml:space="preserve">the extent of </w:t>
      </w:r>
      <w:r w:rsidR="008D138D" w:rsidRPr="00956AD3">
        <w:rPr>
          <w:rFonts w:ascii="Arial" w:hAnsi="Arial" w:cs="Arial"/>
          <w:sz w:val="24"/>
          <w:szCs w:val="24"/>
        </w:rPr>
        <w:t>this disciplinary isolation – both on the private international law and human rights front – and to examine its implications</w:t>
      </w:r>
      <w:r w:rsidR="00543A19">
        <w:rPr>
          <w:rFonts w:ascii="Arial" w:hAnsi="Arial" w:cs="Arial"/>
          <w:sz w:val="24"/>
          <w:szCs w:val="24"/>
        </w:rPr>
        <w:t>.</w:t>
      </w:r>
      <w:r w:rsidR="008D138D" w:rsidRPr="00956AD3">
        <w:rPr>
          <w:rFonts w:ascii="Arial" w:hAnsi="Arial" w:cs="Arial"/>
          <w:sz w:val="24"/>
          <w:szCs w:val="24"/>
        </w:rPr>
        <w:t xml:space="preserve"> </w:t>
      </w:r>
      <w:r w:rsidR="00543A19">
        <w:rPr>
          <w:rFonts w:ascii="Arial" w:hAnsi="Arial" w:cs="Arial"/>
          <w:sz w:val="24"/>
          <w:szCs w:val="24"/>
        </w:rPr>
        <w:t>I</w:t>
      </w:r>
      <w:r w:rsidR="008D138D" w:rsidRPr="00956AD3">
        <w:rPr>
          <w:rFonts w:ascii="Arial" w:hAnsi="Arial" w:cs="Arial"/>
          <w:sz w:val="24"/>
          <w:szCs w:val="24"/>
        </w:rPr>
        <w:t>n conclusion</w:t>
      </w:r>
      <w:r>
        <w:rPr>
          <w:rFonts w:ascii="Arial" w:hAnsi="Arial" w:cs="Arial"/>
          <w:sz w:val="24"/>
          <w:szCs w:val="24"/>
        </w:rPr>
        <w:t>,</w:t>
      </w:r>
      <w:r w:rsidR="008D138D" w:rsidRPr="00956AD3">
        <w:rPr>
          <w:rFonts w:ascii="Arial" w:hAnsi="Arial" w:cs="Arial"/>
          <w:sz w:val="24"/>
          <w:szCs w:val="24"/>
        </w:rPr>
        <w:t xml:space="preserve"> </w:t>
      </w:r>
      <w:r w:rsidR="001E4BE2">
        <w:rPr>
          <w:rFonts w:ascii="Arial" w:hAnsi="Arial" w:cs="Arial"/>
          <w:sz w:val="24"/>
          <w:szCs w:val="24"/>
        </w:rPr>
        <w:t xml:space="preserve">it will </w:t>
      </w:r>
      <w:r w:rsidR="00956AD3" w:rsidRPr="00956AD3">
        <w:rPr>
          <w:rFonts w:ascii="Arial" w:hAnsi="Arial" w:cs="Arial"/>
          <w:sz w:val="24"/>
          <w:szCs w:val="24"/>
        </w:rPr>
        <w:t>seek to</w:t>
      </w:r>
      <w:r w:rsidR="008D138D" w:rsidRPr="00956AD3">
        <w:rPr>
          <w:rFonts w:ascii="Arial" w:hAnsi="Arial" w:cs="Arial"/>
          <w:sz w:val="24"/>
          <w:szCs w:val="24"/>
        </w:rPr>
        <w:t xml:space="preserve"> identify the reasons why the interrelationship of these two bodies of law is so underdeveloped</w:t>
      </w:r>
      <w:r w:rsidR="00B57186">
        <w:rPr>
          <w:rFonts w:ascii="Arial" w:hAnsi="Arial" w:cs="Arial"/>
          <w:sz w:val="24"/>
          <w:szCs w:val="24"/>
        </w:rPr>
        <w:t xml:space="preserve"> insofar as marriage is concerned</w:t>
      </w:r>
      <w:r w:rsidR="008D138D" w:rsidRPr="00956AD3">
        <w:rPr>
          <w:rFonts w:ascii="Arial" w:hAnsi="Arial" w:cs="Arial"/>
          <w:sz w:val="24"/>
          <w:szCs w:val="24"/>
        </w:rPr>
        <w:t>.</w:t>
      </w:r>
    </w:p>
    <w:p w:rsidR="009C2211" w:rsidRPr="00956AD3" w:rsidRDefault="008D138D" w:rsidP="008D138D">
      <w:pPr>
        <w:spacing w:line="360" w:lineRule="auto"/>
        <w:jc w:val="both"/>
        <w:rPr>
          <w:rFonts w:ascii="Arial" w:hAnsi="Arial" w:cs="Arial"/>
          <w:sz w:val="24"/>
          <w:szCs w:val="24"/>
        </w:rPr>
      </w:pPr>
      <w:r w:rsidRPr="00956AD3">
        <w:rPr>
          <w:rFonts w:ascii="Arial" w:hAnsi="Arial" w:cs="Arial"/>
          <w:sz w:val="24"/>
          <w:szCs w:val="24"/>
        </w:rPr>
        <w:lastRenderedPageBreak/>
        <w:t>Focussing</w:t>
      </w:r>
      <w:r w:rsidR="00B4234E">
        <w:rPr>
          <w:rFonts w:ascii="Arial" w:hAnsi="Arial" w:cs="Arial"/>
          <w:sz w:val="24"/>
          <w:szCs w:val="24"/>
        </w:rPr>
        <w:t>,</w:t>
      </w:r>
      <w:r w:rsidRPr="00956AD3">
        <w:rPr>
          <w:rFonts w:ascii="Arial" w:hAnsi="Arial" w:cs="Arial"/>
          <w:sz w:val="24"/>
          <w:szCs w:val="24"/>
        </w:rPr>
        <w:t xml:space="preserve"> first </w:t>
      </w:r>
      <w:r w:rsidR="00B4234E">
        <w:rPr>
          <w:rFonts w:ascii="Arial" w:hAnsi="Arial" w:cs="Arial"/>
          <w:sz w:val="24"/>
          <w:szCs w:val="24"/>
        </w:rPr>
        <w:t xml:space="preserve">of all, </w:t>
      </w:r>
      <w:r w:rsidRPr="00956AD3">
        <w:rPr>
          <w:rFonts w:ascii="Arial" w:hAnsi="Arial" w:cs="Arial"/>
          <w:sz w:val="24"/>
          <w:szCs w:val="24"/>
        </w:rPr>
        <w:t>on the private international law side and its apparent imperviousness to human rights influence</w:t>
      </w:r>
      <w:r w:rsidR="001E4BE2">
        <w:rPr>
          <w:rFonts w:ascii="Arial" w:hAnsi="Arial" w:cs="Arial"/>
          <w:sz w:val="24"/>
          <w:szCs w:val="24"/>
        </w:rPr>
        <w:t>, one might</w:t>
      </w:r>
      <w:r w:rsidR="001F2FF5" w:rsidRPr="00956AD3">
        <w:rPr>
          <w:rFonts w:ascii="Arial" w:hAnsi="Arial" w:cs="Arial"/>
          <w:sz w:val="24"/>
          <w:szCs w:val="24"/>
        </w:rPr>
        <w:t xml:space="preserve"> start with the 1962 UN </w:t>
      </w:r>
      <w:r w:rsidR="00FA06A8" w:rsidRPr="00956AD3">
        <w:rPr>
          <w:rFonts w:ascii="Arial" w:hAnsi="Arial" w:cs="Arial"/>
          <w:sz w:val="24"/>
          <w:szCs w:val="24"/>
        </w:rPr>
        <w:t xml:space="preserve">Marriage </w:t>
      </w:r>
      <w:r w:rsidR="001F2FF5" w:rsidRPr="00956AD3">
        <w:rPr>
          <w:rFonts w:ascii="Arial" w:hAnsi="Arial" w:cs="Arial"/>
          <w:sz w:val="24"/>
          <w:szCs w:val="24"/>
        </w:rPr>
        <w:t xml:space="preserve">Convention which has been ratified by the UK </w:t>
      </w:r>
      <w:r w:rsidR="00FA06A8" w:rsidRPr="00956AD3">
        <w:rPr>
          <w:rFonts w:ascii="Arial" w:hAnsi="Arial" w:cs="Arial"/>
          <w:sz w:val="24"/>
          <w:szCs w:val="24"/>
        </w:rPr>
        <w:t>and which p</w:t>
      </w:r>
      <w:r w:rsidR="00F875FE" w:rsidRPr="00956AD3">
        <w:rPr>
          <w:rFonts w:ascii="Arial" w:hAnsi="Arial" w:cs="Arial"/>
          <w:sz w:val="24"/>
          <w:szCs w:val="24"/>
        </w:rPr>
        <w:t xml:space="preserve">rohibits double proxy marriages </w:t>
      </w:r>
      <w:r w:rsidR="00543A19">
        <w:rPr>
          <w:rFonts w:ascii="Arial" w:hAnsi="Arial" w:cs="Arial"/>
          <w:sz w:val="24"/>
          <w:szCs w:val="24"/>
        </w:rPr>
        <w:t>(ie</w:t>
      </w:r>
      <w:r w:rsidR="003E5740" w:rsidRPr="00956AD3">
        <w:rPr>
          <w:rFonts w:ascii="Arial" w:hAnsi="Arial" w:cs="Arial"/>
          <w:sz w:val="24"/>
          <w:szCs w:val="24"/>
        </w:rPr>
        <w:t xml:space="preserve"> ceremonies </w:t>
      </w:r>
      <w:r w:rsidR="00F875FE" w:rsidRPr="00956AD3">
        <w:rPr>
          <w:rFonts w:ascii="Arial" w:hAnsi="Arial" w:cs="Arial"/>
          <w:sz w:val="24"/>
          <w:szCs w:val="24"/>
        </w:rPr>
        <w:t>where both parties are absent</w:t>
      </w:r>
      <w:r w:rsidR="00543A19">
        <w:rPr>
          <w:rFonts w:ascii="Arial" w:hAnsi="Arial" w:cs="Arial"/>
          <w:sz w:val="24"/>
          <w:szCs w:val="24"/>
        </w:rPr>
        <w:t>)</w:t>
      </w:r>
      <w:r w:rsidR="00F875FE" w:rsidRPr="00956AD3">
        <w:rPr>
          <w:rFonts w:ascii="Arial" w:hAnsi="Arial" w:cs="Arial"/>
          <w:sz w:val="24"/>
          <w:szCs w:val="24"/>
        </w:rPr>
        <w:t xml:space="preserve"> - </w:t>
      </w:r>
      <w:r w:rsidR="00FA06A8" w:rsidRPr="00956AD3">
        <w:rPr>
          <w:rFonts w:ascii="Arial" w:hAnsi="Arial" w:cs="Arial"/>
          <w:sz w:val="24"/>
          <w:szCs w:val="24"/>
        </w:rPr>
        <w:t>and insists on celebration of marriage in the presence of a competent authority and the maintenance</w:t>
      </w:r>
      <w:r w:rsidR="00FB6DAD" w:rsidRPr="00956AD3">
        <w:rPr>
          <w:rFonts w:ascii="Arial" w:hAnsi="Arial" w:cs="Arial"/>
          <w:sz w:val="24"/>
          <w:szCs w:val="24"/>
        </w:rPr>
        <w:t xml:space="preserve"> of official marriage registers</w:t>
      </w:r>
      <w:r w:rsidR="001E4BE2">
        <w:rPr>
          <w:rFonts w:ascii="Arial" w:hAnsi="Arial" w:cs="Arial"/>
          <w:sz w:val="24"/>
          <w:szCs w:val="24"/>
        </w:rPr>
        <w:t>.</w:t>
      </w:r>
      <w:r w:rsidR="00FB6DAD" w:rsidRPr="00956AD3">
        <w:rPr>
          <w:rFonts w:ascii="Arial" w:hAnsi="Arial" w:cs="Arial"/>
          <w:sz w:val="24"/>
          <w:szCs w:val="24"/>
        </w:rPr>
        <w:t xml:space="preserve"> </w:t>
      </w:r>
      <w:r w:rsidR="001E4BE2">
        <w:rPr>
          <w:rFonts w:ascii="Arial" w:hAnsi="Arial" w:cs="Arial"/>
          <w:sz w:val="24"/>
          <w:szCs w:val="24"/>
        </w:rPr>
        <w:t xml:space="preserve">This </w:t>
      </w:r>
      <w:r w:rsidR="00B4234E">
        <w:rPr>
          <w:rFonts w:ascii="Arial" w:hAnsi="Arial" w:cs="Arial"/>
          <w:sz w:val="24"/>
          <w:szCs w:val="24"/>
        </w:rPr>
        <w:t xml:space="preserve">1962 </w:t>
      </w:r>
      <w:r w:rsidR="001E4BE2">
        <w:rPr>
          <w:rFonts w:ascii="Arial" w:hAnsi="Arial" w:cs="Arial"/>
          <w:sz w:val="24"/>
          <w:szCs w:val="24"/>
        </w:rPr>
        <w:t xml:space="preserve">Convention </w:t>
      </w:r>
      <w:r w:rsidR="00FB6DAD" w:rsidRPr="00956AD3">
        <w:rPr>
          <w:rFonts w:ascii="Arial" w:hAnsi="Arial" w:cs="Arial"/>
          <w:sz w:val="24"/>
          <w:szCs w:val="24"/>
        </w:rPr>
        <w:t xml:space="preserve">recognises in essence that formality and presence </w:t>
      </w:r>
      <w:r w:rsidR="003E5740" w:rsidRPr="00956AD3">
        <w:rPr>
          <w:rFonts w:ascii="Arial" w:hAnsi="Arial" w:cs="Arial"/>
          <w:sz w:val="24"/>
          <w:szCs w:val="24"/>
        </w:rPr>
        <w:t>are instrumental in ensuring</w:t>
      </w:r>
      <w:r w:rsidR="00FB6DAD" w:rsidRPr="00956AD3">
        <w:rPr>
          <w:rFonts w:ascii="Arial" w:hAnsi="Arial" w:cs="Arial"/>
          <w:sz w:val="24"/>
          <w:szCs w:val="24"/>
        </w:rPr>
        <w:t xml:space="preserve"> true consent to marriage.</w:t>
      </w:r>
      <w:r w:rsidR="009C2211" w:rsidRPr="00956AD3">
        <w:rPr>
          <w:rFonts w:ascii="Arial" w:hAnsi="Arial" w:cs="Arial"/>
          <w:sz w:val="24"/>
          <w:szCs w:val="24"/>
        </w:rPr>
        <w:t xml:space="preserve"> The</w:t>
      </w:r>
      <w:r w:rsidR="007E4111">
        <w:rPr>
          <w:rFonts w:ascii="Arial" w:hAnsi="Arial" w:cs="Arial"/>
          <w:sz w:val="24"/>
          <w:szCs w:val="24"/>
        </w:rPr>
        <w:t xml:space="preserve"> ECtHR</w:t>
      </w:r>
      <w:r w:rsidR="00543A19">
        <w:rPr>
          <w:rFonts w:ascii="Arial" w:hAnsi="Arial" w:cs="Arial"/>
          <w:sz w:val="24"/>
          <w:szCs w:val="24"/>
        </w:rPr>
        <w:t xml:space="preserve"> </w:t>
      </w:r>
      <w:r w:rsidR="009C2211" w:rsidRPr="00956AD3">
        <w:rPr>
          <w:rFonts w:ascii="Arial" w:hAnsi="Arial" w:cs="Arial"/>
          <w:sz w:val="24"/>
          <w:szCs w:val="24"/>
        </w:rPr>
        <w:t xml:space="preserve">has not dealt directly with the question of absentee marriage but it sees free will as a core element of marriage and has repeatedly expressed its support for </w:t>
      </w:r>
      <w:r w:rsidR="001F2951" w:rsidRPr="00956AD3">
        <w:rPr>
          <w:rFonts w:ascii="Arial" w:hAnsi="Arial" w:cs="Arial"/>
          <w:sz w:val="24"/>
          <w:szCs w:val="24"/>
        </w:rPr>
        <w:t>measures facilitating the objective verification of marriage.</w:t>
      </w:r>
    </w:p>
    <w:p w:rsidR="00F875FE" w:rsidRPr="00956AD3" w:rsidRDefault="00FB6DAD" w:rsidP="008D138D">
      <w:pPr>
        <w:spacing w:line="360" w:lineRule="auto"/>
        <w:jc w:val="both"/>
        <w:rPr>
          <w:rFonts w:ascii="Arial" w:hAnsi="Arial" w:cs="Arial"/>
          <w:sz w:val="24"/>
          <w:szCs w:val="24"/>
        </w:rPr>
      </w:pPr>
      <w:r w:rsidRPr="00956AD3">
        <w:rPr>
          <w:rFonts w:ascii="Arial" w:hAnsi="Arial" w:cs="Arial"/>
          <w:sz w:val="24"/>
          <w:szCs w:val="24"/>
        </w:rPr>
        <w:t>Against that human rights backdrop</w:t>
      </w:r>
      <w:r w:rsidR="00262B97">
        <w:rPr>
          <w:rFonts w:ascii="Arial" w:hAnsi="Arial" w:cs="Arial"/>
          <w:sz w:val="24"/>
          <w:szCs w:val="24"/>
        </w:rPr>
        <w:t>,</w:t>
      </w:r>
      <w:r w:rsidRPr="00956AD3">
        <w:rPr>
          <w:rFonts w:ascii="Arial" w:hAnsi="Arial" w:cs="Arial"/>
          <w:sz w:val="24"/>
          <w:szCs w:val="24"/>
        </w:rPr>
        <w:t xml:space="preserve"> one might expect at the very least a degree of caution in recognising </w:t>
      </w:r>
      <w:r w:rsidR="00F875FE" w:rsidRPr="00956AD3">
        <w:rPr>
          <w:rFonts w:ascii="Arial" w:hAnsi="Arial" w:cs="Arial"/>
          <w:sz w:val="24"/>
          <w:szCs w:val="24"/>
        </w:rPr>
        <w:t xml:space="preserve">overseas </w:t>
      </w:r>
      <w:r w:rsidRPr="00956AD3">
        <w:rPr>
          <w:rFonts w:ascii="Arial" w:hAnsi="Arial" w:cs="Arial"/>
          <w:sz w:val="24"/>
          <w:szCs w:val="24"/>
        </w:rPr>
        <w:t>proxy and customary marriage forms –</w:t>
      </w:r>
      <w:r w:rsidR="00DA13D4" w:rsidRPr="00956AD3">
        <w:rPr>
          <w:rFonts w:ascii="Arial" w:hAnsi="Arial" w:cs="Arial"/>
          <w:sz w:val="24"/>
          <w:szCs w:val="24"/>
        </w:rPr>
        <w:t xml:space="preserve"> but</w:t>
      </w:r>
      <w:r w:rsidR="00B4234E">
        <w:rPr>
          <w:rFonts w:ascii="Arial" w:hAnsi="Arial" w:cs="Arial"/>
          <w:sz w:val="24"/>
          <w:szCs w:val="24"/>
        </w:rPr>
        <w:t>,</w:t>
      </w:r>
      <w:r w:rsidR="00DA13D4" w:rsidRPr="00956AD3">
        <w:rPr>
          <w:rFonts w:ascii="Arial" w:hAnsi="Arial" w:cs="Arial"/>
          <w:sz w:val="24"/>
          <w:szCs w:val="24"/>
        </w:rPr>
        <w:t xml:space="preserve"> as any private international law text will confirm, English law takes the view that proxy celebration is a matter of form and that a proxy marriage valid under the law of the place of celebration will be recognised in England. While the landmark case e</w:t>
      </w:r>
      <w:r w:rsidR="001415F9">
        <w:rPr>
          <w:rFonts w:ascii="Arial" w:hAnsi="Arial" w:cs="Arial"/>
          <w:sz w:val="24"/>
          <w:szCs w:val="24"/>
        </w:rPr>
        <w:t>stablishing that principle (</w:t>
      </w:r>
      <w:r w:rsidR="00DA13D4" w:rsidRPr="00956AD3">
        <w:rPr>
          <w:rFonts w:ascii="Arial" w:hAnsi="Arial" w:cs="Arial"/>
          <w:sz w:val="24"/>
          <w:szCs w:val="24"/>
          <w:u w:val="single"/>
        </w:rPr>
        <w:t>Apt v Apt</w:t>
      </w:r>
      <w:r w:rsidR="001415F9">
        <w:rPr>
          <w:rFonts w:ascii="Arial" w:hAnsi="Arial" w:cs="Arial"/>
          <w:sz w:val="24"/>
          <w:szCs w:val="24"/>
        </w:rPr>
        <w:t xml:space="preserve"> [1948] P. 83</w:t>
      </w:r>
      <w:r w:rsidR="00DA13D4" w:rsidRPr="00956AD3">
        <w:rPr>
          <w:rFonts w:ascii="Arial" w:hAnsi="Arial" w:cs="Arial"/>
          <w:sz w:val="24"/>
          <w:szCs w:val="24"/>
        </w:rPr>
        <w:t>) was concerned with an overseas ceremony from whi</w:t>
      </w:r>
      <w:r w:rsidR="00543A19">
        <w:rPr>
          <w:rFonts w:ascii="Arial" w:hAnsi="Arial" w:cs="Arial"/>
          <w:sz w:val="24"/>
          <w:szCs w:val="24"/>
        </w:rPr>
        <w:t xml:space="preserve">ch only one spouse was absent, </w:t>
      </w:r>
      <w:r w:rsidR="00F875FE" w:rsidRPr="00956AD3">
        <w:rPr>
          <w:rFonts w:ascii="Arial" w:hAnsi="Arial" w:cs="Arial"/>
          <w:sz w:val="24"/>
          <w:szCs w:val="24"/>
        </w:rPr>
        <w:t xml:space="preserve">more </w:t>
      </w:r>
      <w:r w:rsidR="00DA13D4" w:rsidRPr="00956AD3">
        <w:rPr>
          <w:rFonts w:ascii="Arial" w:hAnsi="Arial" w:cs="Arial"/>
          <w:sz w:val="24"/>
          <w:szCs w:val="24"/>
        </w:rPr>
        <w:t xml:space="preserve">recent case-law has confirmed </w:t>
      </w:r>
      <w:r w:rsidR="00262B97">
        <w:rPr>
          <w:rFonts w:ascii="Arial" w:hAnsi="Arial" w:cs="Arial"/>
          <w:sz w:val="24"/>
          <w:szCs w:val="24"/>
        </w:rPr>
        <w:t xml:space="preserve">that </w:t>
      </w:r>
      <w:r w:rsidR="00DA13D4" w:rsidRPr="00956AD3">
        <w:rPr>
          <w:rFonts w:ascii="Arial" w:hAnsi="Arial" w:cs="Arial"/>
          <w:sz w:val="24"/>
          <w:szCs w:val="24"/>
        </w:rPr>
        <w:t xml:space="preserve">the same principle will be applied to double proxy marriages, indeed even in circumstances where there are additional reasons for denying recognition. For example, </w:t>
      </w:r>
      <w:r w:rsidRPr="00956AD3">
        <w:rPr>
          <w:rFonts w:ascii="Arial" w:hAnsi="Arial" w:cs="Arial"/>
          <w:sz w:val="24"/>
          <w:szCs w:val="24"/>
        </w:rPr>
        <w:t xml:space="preserve">in </w:t>
      </w:r>
      <w:r w:rsidRPr="00956AD3">
        <w:rPr>
          <w:rFonts w:ascii="Arial" w:hAnsi="Arial" w:cs="Arial"/>
          <w:sz w:val="24"/>
          <w:szCs w:val="24"/>
          <w:u w:val="single"/>
        </w:rPr>
        <w:t>Pazpena v Pazpena</w:t>
      </w:r>
      <w:r w:rsidR="001415F9">
        <w:rPr>
          <w:rFonts w:ascii="Arial" w:hAnsi="Arial" w:cs="Arial"/>
          <w:sz w:val="24"/>
          <w:szCs w:val="24"/>
        </w:rPr>
        <w:t xml:space="preserve"> [2001]</w:t>
      </w:r>
      <w:r w:rsidRPr="00956AD3">
        <w:rPr>
          <w:rFonts w:ascii="Arial" w:hAnsi="Arial" w:cs="Arial"/>
          <w:sz w:val="24"/>
          <w:szCs w:val="24"/>
        </w:rPr>
        <w:t xml:space="preserve"> </w:t>
      </w:r>
      <w:r w:rsidR="001415F9">
        <w:rPr>
          <w:rFonts w:ascii="Arial" w:hAnsi="Arial" w:cs="Arial"/>
          <w:sz w:val="24"/>
          <w:szCs w:val="24"/>
        </w:rPr>
        <w:t xml:space="preserve">All ER (D) 2101 </w:t>
      </w:r>
      <w:r w:rsidRPr="00956AD3">
        <w:rPr>
          <w:rFonts w:ascii="Arial" w:hAnsi="Arial" w:cs="Arial"/>
          <w:sz w:val="24"/>
          <w:szCs w:val="24"/>
        </w:rPr>
        <w:t>a</w:t>
      </w:r>
      <w:r w:rsidR="00F875FE" w:rsidRPr="00956AD3">
        <w:rPr>
          <w:rFonts w:ascii="Arial" w:hAnsi="Arial" w:cs="Arial"/>
          <w:sz w:val="24"/>
          <w:szCs w:val="24"/>
        </w:rPr>
        <w:t>n alleged</w:t>
      </w:r>
      <w:r w:rsidRPr="00956AD3">
        <w:rPr>
          <w:rFonts w:ascii="Arial" w:hAnsi="Arial" w:cs="Arial"/>
          <w:sz w:val="24"/>
          <w:szCs w:val="24"/>
        </w:rPr>
        <w:t xml:space="preserve"> Uruguayan marriage was found to be entitled to recognition despite</w:t>
      </w:r>
      <w:r w:rsidR="00FA06A8" w:rsidRPr="00956AD3">
        <w:rPr>
          <w:rFonts w:ascii="Arial" w:hAnsi="Arial" w:cs="Arial"/>
          <w:sz w:val="24"/>
          <w:szCs w:val="24"/>
        </w:rPr>
        <w:t xml:space="preserve"> </w:t>
      </w:r>
      <w:r w:rsidRPr="00956AD3">
        <w:rPr>
          <w:rFonts w:ascii="Arial" w:hAnsi="Arial" w:cs="Arial"/>
          <w:sz w:val="24"/>
          <w:szCs w:val="24"/>
        </w:rPr>
        <w:t xml:space="preserve">the fact that neither party had been present and despite </w:t>
      </w:r>
      <w:r w:rsidR="00DA13D4" w:rsidRPr="00956AD3">
        <w:rPr>
          <w:rFonts w:ascii="Arial" w:hAnsi="Arial" w:cs="Arial"/>
          <w:sz w:val="24"/>
          <w:szCs w:val="24"/>
        </w:rPr>
        <w:t xml:space="preserve">strong </w:t>
      </w:r>
      <w:r w:rsidRPr="00956AD3">
        <w:rPr>
          <w:rFonts w:ascii="Arial" w:hAnsi="Arial" w:cs="Arial"/>
          <w:sz w:val="24"/>
          <w:szCs w:val="24"/>
        </w:rPr>
        <w:t xml:space="preserve">evidence </w:t>
      </w:r>
      <w:r w:rsidR="00DA13D4" w:rsidRPr="00956AD3">
        <w:rPr>
          <w:rFonts w:ascii="Arial" w:hAnsi="Arial" w:cs="Arial"/>
          <w:sz w:val="24"/>
          <w:szCs w:val="24"/>
        </w:rPr>
        <w:t xml:space="preserve">suggesting </w:t>
      </w:r>
      <w:r w:rsidRPr="00956AD3">
        <w:rPr>
          <w:rFonts w:ascii="Arial" w:hAnsi="Arial" w:cs="Arial"/>
          <w:sz w:val="24"/>
          <w:szCs w:val="24"/>
        </w:rPr>
        <w:t xml:space="preserve">that the marriage certificate had been a forgery. An English presumption of validity of marriage was invoked and the ‘marriage’ was found to be entitled to recognition. Similarly in </w:t>
      </w:r>
      <w:r w:rsidRPr="00956AD3">
        <w:rPr>
          <w:rFonts w:ascii="Arial" w:hAnsi="Arial" w:cs="Arial"/>
          <w:sz w:val="24"/>
          <w:szCs w:val="24"/>
          <w:u w:val="single"/>
        </w:rPr>
        <w:t>McCabe v McCabe</w:t>
      </w:r>
      <w:r w:rsidRPr="00956AD3">
        <w:rPr>
          <w:rFonts w:ascii="Arial" w:hAnsi="Arial" w:cs="Arial"/>
          <w:sz w:val="24"/>
          <w:szCs w:val="24"/>
        </w:rPr>
        <w:t xml:space="preserve"> </w:t>
      </w:r>
      <w:r w:rsidR="001415F9">
        <w:rPr>
          <w:rFonts w:ascii="Arial" w:hAnsi="Arial" w:cs="Arial"/>
          <w:sz w:val="24"/>
          <w:szCs w:val="24"/>
        </w:rPr>
        <w:t xml:space="preserve">[1994] 1 FLR 410 </w:t>
      </w:r>
      <w:r w:rsidRPr="00956AD3">
        <w:rPr>
          <w:rFonts w:ascii="Arial" w:hAnsi="Arial" w:cs="Arial"/>
          <w:sz w:val="24"/>
          <w:szCs w:val="24"/>
        </w:rPr>
        <w:t xml:space="preserve">a Ghanaian customary marriage ceremony celebrated in absentia by two English residents was found to be entitled to recognition </w:t>
      </w:r>
      <w:r w:rsidR="00DA13D4" w:rsidRPr="00956AD3">
        <w:rPr>
          <w:rFonts w:ascii="Arial" w:hAnsi="Arial" w:cs="Arial"/>
          <w:sz w:val="24"/>
          <w:szCs w:val="24"/>
        </w:rPr>
        <w:t xml:space="preserve">– despite difficulties in determining the applicable formalities and the absence of any registration or official notification. </w:t>
      </w:r>
    </w:p>
    <w:p w:rsidR="00940E26" w:rsidRPr="00956AD3" w:rsidRDefault="00B4234E" w:rsidP="008D138D">
      <w:pPr>
        <w:spacing w:line="360" w:lineRule="auto"/>
        <w:jc w:val="both"/>
        <w:rPr>
          <w:rFonts w:ascii="Arial" w:hAnsi="Arial" w:cs="Arial"/>
          <w:sz w:val="24"/>
          <w:szCs w:val="24"/>
        </w:rPr>
      </w:pPr>
      <w:r>
        <w:rPr>
          <w:rFonts w:ascii="Arial" w:hAnsi="Arial" w:cs="Arial"/>
          <w:sz w:val="24"/>
          <w:szCs w:val="24"/>
        </w:rPr>
        <w:t>I</w:t>
      </w:r>
      <w:r w:rsidR="00F875FE" w:rsidRPr="00956AD3">
        <w:rPr>
          <w:rFonts w:ascii="Arial" w:hAnsi="Arial" w:cs="Arial"/>
          <w:sz w:val="24"/>
          <w:szCs w:val="24"/>
        </w:rPr>
        <w:t>t has to be said that there was n</w:t>
      </w:r>
      <w:r w:rsidR="0021701E" w:rsidRPr="00956AD3">
        <w:rPr>
          <w:rFonts w:ascii="Arial" w:hAnsi="Arial" w:cs="Arial"/>
          <w:sz w:val="24"/>
          <w:szCs w:val="24"/>
        </w:rPr>
        <w:t>o allegation of forced marriage</w:t>
      </w:r>
      <w:r>
        <w:rPr>
          <w:rFonts w:ascii="Arial" w:hAnsi="Arial" w:cs="Arial"/>
          <w:sz w:val="24"/>
          <w:szCs w:val="24"/>
        </w:rPr>
        <w:t xml:space="preserve"> in either of these two cases, </w:t>
      </w:r>
      <w:r w:rsidR="0021701E" w:rsidRPr="00956AD3">
        <w:rPr>
          <w:rFonts w:ascii="Arial" w:hAnsi="Arial" w:cs="Arial"/>
          <w:sz w:val="24"/>
          <w:szCs w:val="24"/>
        </w:rPr>
        <w:t xml:space="preserve">and it has to be acknowledged that the 1962 Convention as an unincorporated international convention is not directly binding </w:t>
      </w:r>
      <w:r w:rsidR="004E3CDB" w:rsidRPr="00956AD3">
        <w:rPr>
          <w:rFonts w:ascii="Arial" w:hAnsi="Arial" w:cs="Arial"/>
          <w:sz w:val="24"/>
          <w:szCs w:val="24"/>
        </w:rPr>
        <w:t>within English law</w:t>
      </w:r>
      <w:r>
        <w:rPr>
          <w:rFonts w:ascii="Arial" w:hAnsi="Arial" w:cs="Arial"/>
          <w:sz w:val="24"/>
          <w:szCs w:val="24"/>
        </w:rPr>
        <w:t>. However,</w:t>
      </w:r>
      <w:r w:rsidR="0021701E" w:rsidRPr="00956AD3">
        <w:rPr>
          <w:rFonts w:ascii="Arial" w:hAnsi="Arial" w:cs="Arial"/>
          <w:sz w:val="24"/>
          <w:szCs w:val="24"/>
        </w:rPr>
        <w:t xml:space="preserve"> the </w:t>
      </w:r>
      <w:r w:rsidR="001F2951" w:rsidRPr="00956AD3">
        <w:rPr>
          <w:rFonts w:ascii="Arial" w:hAnsi="Arial" w:cs="Arial"/>
          <w:sz w:val="24"/>
          <w:szCs w:val="24"/>
        </w:rPr>
        <w:t xml:space="preserve">principles laid down </w:t>
      </w:r>
      <w:r w:rsidR="0021701E" w:rsidRPr="00956AD3">
        <w:rPr>
          <w:rFonts w:ascii="Arial" w:hAnsi="Arial" w:cs="Arial"/>
          <w:sz w:val="24"/>
          <w:szCs w:val="24"/>
        </w:rPr>
        <w:t xml:space="preserve">in these cases </w:t>
      </w:r>
      <w:r w:rsidR="001F2951" w:rsidRPr="00956AD3">
        <w:rPr>
          <w:rFonts w:ascii="Arial" w:hAnsi="Arial" w:cs="Arial"/>
          <w:sz w:val="24"/>
          <w:szCs w:val="24"/>
        </w:rPr>
        <w:t>are clearly amenable to abuse and to the facilitation of forced marriage</w:t>
      </w:r>
      <w:r>
        <w:rPr>
          <w:rFonts w:ascii="Arial" w:hAnsi="Arial" w:cs="Arial"/>
          <w:sz w:val="24"/>
          <w:szCs w:val="24"/>
        </w:rPr>
        <w:t>,</w:t>
      </w:r>
      <w:r w:rsidR="0021701E" w:rsidRPr="00956AD3">
        <w:rPr>
          <w:rFonts w:ascii="Arial" w:hAnsi="Arial" w:cs="Arial"/>
          <w:sz w:val="24"/>
          <w:szCs w:val="24"/>
        </w:rPr>
        <w:t xml:space="preserve"> and if the UK subscribes to the principles laid </w:t>
      </w:r>
      <w:r w:rsidR="0021701E" w:rsidRPr="00956AD3">
        <w:rPr>
          <w:rFonts w:ascii="Arial" w:hAnsi="Arial" w:cs="Arial"/>
          <w:sz w:val="24"/>
          <w:szCs w:val="24"/>
        </w:rPr>
        <w:lastRenderedPageBreak/>
        <w:t>down in the 1962 Convention, then by logical extension</w:t>
      </w:r>
      <w:r w:rsidR="00262B97">
        <w:rPr>
          <w:rFonts w:ascii="Arial" w:hAnsi="Arial" w:cs="Arial"/>
          <w:sz w:val="24"/>
          <w:szCs w:val="24"/>
        </w:rPr>
        <w:t>,</w:t>
      </w:r>
      <w:r w:rsidR="0021701E" w:rsidRPr="00956AD3">
        <w:rPr>
          <w:rFonts w:ascii="Arial" w:hAnsi="Arial" w:cs="Arial"/>
          <w:sz w:val="24"/>
          <w:szCs w:val="24"/>
        </w:rPr>
        <w:t xml:space="preserve"> the common law recognition policy is irrational.</w:t>
      </w:r>
    </w:p>
    <w:p w:rsidR="00ED2742" w:rsidRPr="00956AD3" w:rsidRDefault="00262B97" w:rsidP="00582EED">
      <w:pPr>
        <w:spacing w:line="360" w:lineRule="auto"/>
        <w:jc w:val="both"/>
        <w:rPr>
          <w:rFonts w:ascii="Arial" w:hAnsi="Arial" w:cs="Arial"/>
          <w:sz w:val="24"/>
          <w:szCs w:val="24"/>
        </w:rPr>
      </w:pPr>
      <w:r>
        <w:rPr>
          <w:rFonts w:ascii="Arial" w:hAnsi="Arial" w:cs="Arial"/>
          <w:sz w:val="24"/>
          <w:szCs w:val="24"/>
        </w:rPr>
        <w:t>M</w:t>
      </w:r>
      <w:r w:rsidR="00582EED" w:rsidRPr="00956AD3">
        <w:rPr>
          <w:rFonts w:ascii="Arial" w:hAnsi="Arial" w:cs="Arial"/>
          <w:sz w:val="24"/>
          <w:szCs w:val="24"/>
        </w:rPr>
        <w:t>oving on from the 1962 Convention, there are also more general signs of human</w:t>
      </w:r>
      <w:r>
        <w:rPr>
          <w:rFonts w:ascii="Arial" w:hAnsi="Arial" w:cs="Arial"/>
          <w:sz w:val="24"/>
          <w:szCs w:val="24"/>
        </w:rPr>
        <w:t xml:space="preserve"> rights incompatibility when one</w:t>
      </w:r>
      <w:r w:rsidR="00582EED" w:rsidRPr="00956AD3">
        <w:rPr>
          <w:rFonts w:ascii="Arial" w:hAnsi="Arial" w:cs="Arial"/>
          <w:sz w:val="24"/>
          <w:szCs w:val="24"/>
        </w:rPr>
        <w:t xml:space="preserve"> look</w:t>
      </w:r>
      <w:r>
        <w:rPr>
          <w:rFonts w:ascii="Arial" w:hAnsi="Arial" w:cs="Arial"/>
          <w:sz w:val="24"/>
          <w:szCs w:val="24"/>
        </w:rPr>
        <w:t>s</w:t>
      </w:r>
      <w:r w:rsidR="00582EED" w:rsidRPr="00956AD3">
        <w:rPr>
          <w:rFonts w:ascii="Arial" w:hAnsi="Arial" w:cs="Arial"/>
          <w:sz w:val="24"/>
          <w:szCs w:val="24"/>
        </w:rPr>
        <w:t xml:space="preserve"> at the modern case-law on formal validity of marriage. </w:t>
      </w:r>
      <w:r w:rsidR="00ED2742" w:rsidRPr="00956AD3">
        <w:rPr>
          <w:rFonts w:ascii="Arial" w:hAnsi="Arial" w:cs="Arial"/>
          <w:sz w:val="24"/>
          <w:szCs w:val="24"/>
        </w:rPr>
        <w:t>The ECtHR</w:t>
      </w:r>
      <w:r w:rsidR="0073632B">
        <w:rPr>
          <w:rStyle w:val="FootnoteReference"/>
          <w:rFonts w:ascii="Arial" w:hAnsi="Arial" w:cs="Arial"/>
          <w:sz w:val="24"/>
          <w:szCs w:val="24"/>
        </w:rPr>
        <w:footnoteReference w:id="2"/>
      </w:r>
      <w:r w:rsidR="00ED2742" w:rsidRPr="00956AD3">
        <w:rPr>
          <w:rFonts w:ascii="Arial" w:hAnsi="Arial" w:cs="Arial"/>
          <w:sz w:val="24"/>
          <w:szCs w:val="24"/>
        </w:rPr>
        <w:t xml:space="preserve"> – and the UK Supreme Court in immigration cases like </w:t>
      </w:r>
      <w:r w:rsidR="00ED2742" w:rsidRPr="00956AD3">
        <w:rPr>
          <w:rFonts w:ascii="Arial" w:hAnsi="Arial" w:cs="Arial"/>
          <w:sz w:val="24"/>
          <w:szCs w:val="24"/>
          <w:u w:val="single"/>
        </w:rPr>
        <w:t>Baiai</w:t>
      </w:r>
      <w:r w:rsidR="00ED2742" w:rsidRPr="00956AD3">
        <w:rPr>
          <w:rFonts w:ascii="Arial" w:hAnsi="Arial" w:cs="Arial"/>
          <w:sz w:val="24"/>
          <w:szCs w:val="24"/>
        </w:rPr>
        <w:t xml:space="preserve"> </w:t>
      </w:r>
      <w:r w:rsidR="009F528F">
        <w:rPr>
          <w:rFonts w:ascii="Arial" w:hAnsi="Arial" w:cs="Arial"/>
          <w:sz w:val="24"/>
          <w:szCs w:val="24"/>
        </w:rPr>
        <w:t xml:space="preserve">[2008] UKHL 53 </w:t>
      </w:r>
      <w:r w:rsidR="00ED2742" w:rsidRPr="00956AD3">
        <w:rPr>
          <w:rFonts w:ascii="Arial" w:hAnsi="Arial" w:cs="Arial"/>
          <w:sz w:val="24"/>
          <w:szCs w:val="24"/>
        </w:rPr>
        <w:t xml:space="preserve">and </w:t>
      </w:r>
      <w:r w:rsidR="00ED2742" w:rsidRPr="00956AD3">
        <w:rPr>
          <w:rFonts w:ascii="Arial" w:hAnsi="Arial" w:cs="Arial"/>
          <w:sz w:val="24"/>
          <w:szCs w:val="24"/>
          <w:u w:val="single"/>
        </w:rPr>
        <w:t>Quila</w:t>
      </w:r>
      <w:r w:rsidR="00ED2742" w:rsidRPr="00956AD3">
        <w:rPr>
          <w:rFonts w:ascii="Arial" w:hAnsi="Arial" w:cs="Arial"/>
          <w:sz w:val="24"/>
          <w:szCs w:val="24"/>
        </w:rPr>
        <w:t xml:space="preserve"> </w:t>
      </w:r>
      <w:r w:rsidR="009F528F">
        <w:rPr>
          <w:rFonts w:ascii="Arial" w:hAnsi="Arial" w:cs="Arial"/>
          <w:sz w:val="24"/>
          <w:szCs w:val="24"/>
        </w:rPr>
        <w:t>[2011] UKSC 45</w:t>
      </w:r>
      <w:r w:rsidR="00ED2742" w:rsidRPr="00956AD3">
        <w:rPr>
          <w:rFonts w:ascii="Arial" w:hAnsi="Arial" w:cs="Arial"/>
          <w:sz w:val="24"/>
          <w:szCs w:val="24"/>
        </w:rPr>
        <w:t xml:space="preserve">– have emphasised </w:t>
      </w:r>
      <w:r w:rsidR="00616882">
        <w:rPr>
          <w:rFonts w:ascii="Arial" w:hAnsi="Arial" w:cs="Arial"/>
          <w:sz w:val="24"/>
          <w:szCs w:val="24"/>
        </w:rPr>
        <w:t xml:space="preserve">(by reference to Articles 8 and 12 ECHR) </w:t>
      </w:r>
      <w:r w:rsidR="00ED2742" w:rsidRPr="00956AD3">
        <w:rPr>
          <w:rFonts w:ascii="Arial" w:hAnsi="Arial" w:cs="Arial"/>
          <w:sz w:val="24"/>
          <w:szCs w:val="24"/>
        </w:rPr>
        <w:t>the need for interferences in marriage to be rational and proportionate and predictable</w:t>
      </w:r>
      <w:r w:rsidR="00B31108">
        <w:rPr>
          <w:rFonts w:ascii="Arial" w:hAnsi="Arial" w:cs="Arial"/>
          <w:sz w:val="24"/>
          <w:szCs w:val="24"/>
        </w:rPr>
        <w:t>.</w:t>
      </w:r>
      <w:r w:rsidR="00ED2742" w:rsidRPr="00956AD3">
        <w:rPr>
          <w:rFonts w:ascii="Arial" w:hAnsi="Arial" w:cs="Arial"/>
          <w:sz w:val="24"/>
          <w:szCs w:val="24"/>
        </w:rPr>
        <w:t xml:space="preserve"> </w:t>
      </w:r>
      <w:r w:rsidR="00B31108">
        <w:rPr>
          <w:rFonts w:ascii="Arial" w:hAnsi="Arial" w:cs="Arial"/>
          <w:sz w:val="24"/>
          <w:szCs w:val="24"/>
        </w:rPr>
        <w:t>I</w:t>
      </w:r>
      <w:r w:rsidR="00ED2742" w:rsidRPr="00956AD3">
        <w:rPr>
          <w:rFonts w:ascii="Arial" w:hAnsi="Arial" w:cs="Arial"/>
          <w:sz w:val="24"/>
          <w:szCs w:val="24"/>
        </w:rPr>
        <w:t>t is arguable that the modern English case-law on formal validity of marriage does not meet these human rights standards</w:t>
      </w:r>
      <w:r w:rsidR="00616882">
        <w:rPr>
          <w:rFonts w:ascii="Arial" w:hAnsi="Arial" w:cs="Arial"/>
          <w:sz w:val="24"/>
          <w:szCs w:val="24"/>
        </w:rPr>
        <w:t>.</w:t>
      </w:r>
      <w:r w:rsidR="00ED2742" w:rsidRPr="00956AD3">
        <w:rPr>
          <w:rFonts w:ascii="Arial" w:hAnsi="Arial" w:cs="Arial"/>
          <w:sz w:val="24"/>
          <w:szCs w:val="24"/>
        </w:rPr>
        <w:t xml:space="preserve"> </w:t>
      </w:r>
      <w:r w:rsidR="00616882">
        <w:rPr>
          <w:rFonts w:ascii="Arial" w:hAnsi="Arial" w:cs="Arial"/>
          <w:sz w:val="24"/>
          <w:szCs w:val="24"/>
        </w:rPr>
        <w:t>T</w:t>
      </w:r>
      <w:r w:rsidR="00ED2742" w:rsidRPr="00956AD3">
        <w:rPr>
          <w:rFonts w:ascii="Arial" w:hAnsi="Arial" w:cs="Arial"/>
          <w:sz w:val="24"/>
          <w:szCs w:val="24"/>
        </w:rPr>
        <w:t xml:space="preserve">he case-law is highly contradictory in certain respects and very uncertain in terms of the </w:t>
      </w:r>
      <w:r w:rsidR="00616882">
        <w:rPr>
          <w:rFonts w:ascii="Arial" w:hAnsi="Arial" w:cs="Arial"/>
          <w:sz w:val="24"/>
          <w:szCs w:val="24"/>
        </w:rPr>
        <w:t xml:space="preserve">scope of the </w:t>
      </w:r>
      <w:r w:rsidR="00ED2742" w:rsidRPr="00956AD3">
        <w:rPr>
          <w:rFonts w:ascii="Arial" w:hAnsi="Arial" w:cs="Arial"/>
          <w:sz w:val="24"/>
          <w:szCs w:val="24"/>
        </w:rPr>
        <w:t>tests laid down.</w:t>
      </w:r>
    </w:p>
    <w:p w:rsidR="007053D6" w:rsidRPr="00956AD3" w:rsidRDefault="007053D6" w:rsidP="00582EED">
      <w:pPr>
        <w:spacing w:line="360" w:lineRule="auto"/>
        <w:jc w:val="both"/>
        <w:rPr>
          <w:rFonts w:ascii="Arial" w:hAnsi="Arial" w:cs="Arial"/>
          <w:sz w:val="24"/>
          <w:szCs w:val="24"/>
        </w:rPr>
      </w:pPr>
      <w:r w:rsidRPr="00956AD3">
        <w:rPr>
          <w:rFonts w:ascii="Arial" w:hAnsi="Arial" w:cs="Arial"/>
          <w:sz w:val="24"/>
          <w:szCs w:val="24"/>
        </w:rPr>
        <w:t>I</w:t>
      </w:r>
      <w:r w:rsidR="00B57186">
        <w:rPr>
          <w:rFonts w:ascii="Arial" w:hAnsi="Arial" w:cs="Arial"/>
          <w:sz w:val="24"/>
          <w:szCs w:val="24"/>
        </w:rPr>
        <w:t>t was</w:t>
      </w:r>
      <w:r w:rsidRPr="00956AD3">
        <w:rPr>
          <w:rFonts w:ascii="Arial" w:hAnsi="Arial" w:cs="Arial"/>
          <w:sz w:val="24"/>
          <w:szCs w:val="24"/>
        </w:rPr>
        <w:t xml:space="preserve"> mentioned earlier that the English presumption of marriage came to the rescue of the marriage in </w:t>
      </w:r>
      <w:r w:rsidRPr="00956AD3">
        <w:rPr>
          <w:rFonts w:ascii="Arial" w:hAnsi="Arial" w:cs="Arial"/>
          <w:sz w:val="24"/>
          <w:szCs w:val="24"/>
          <w:u w:val="single"/>
        </w:rPr>
        <w:t>Pazpena</w:t>
      </w:r>
      <w:r w:rsidRPr="00956AD3">
        <w:rPr>
          <w:rFonts w:ascii="Arial" w:hAnsi="Arial" w:cs="Arial"/>
          <w:sz w:val="24"/>
          <w:szCs w:val="24"/>
        </w:rPr>
        <w:t xml:space="preserve"> – and this and some other cases suggest a high degree of flexibility in terms of wh</w:t>
      </w:r>
      <w:r w:rsidR="00262B97">
        <w:rPr>
          <w:rFonts w:ascii="Arial" w:hAnsi="Arial" w:cs="Arial"/>
          <w:sz w:val="24"/>
          <w:szCs w:val="24"/>
        </w:rPr>
        <w:t>en that presumption may be used;</w:t>
      </w:r>
      <w:r w:rsidRPr="00956AD3">
        <w:rPr>
          <w:rFonts w:ascii="Arial" w:hAnsi="Arial" w:cs="Arial"/>
          <w:sz w:val="24"/>
          <w:szCs w:val="24"/>
        </w:rPr>
        <w:t xml:space="preserve"> however, other </w:t>
      </w:r>
      <w:r w:rsidR="00B21E4D" w:rsidRPr="00956AD3">
        <w:rPr>
          <w:rFonts w:ascii="Arial" w:hAnsi="Arial" w:cs="Arial"/>
          <w:sz w:val="24"/>
          <w:szCs w:val="24"/>
        </w:rPr>
        <w:t>authorities appear to insist on a much firmer</w:t>
      </w:r>
      <w:r w:rsidRPr="00956AD3">
        <w:rPr>
          <w:rFonts w:ascii="Arial" w:hAnsi="Arial" w:cs="Arial"/>
          <w:sz w:val="24"/>
          <w:szCs w:val="24"/>
        </w:rPr>
        <w:t xml:space="preserve"> e</w:t>
      </w:r>
      <w:r w:rsidR="00B21E4D" w:rsidRPr="00956AD3">
        <w:rPr>
          <w:rFonts w:ascii="Arial" w:hAnsi="Arial" w:cs="Arial"/>
          <w:sz w:val="24"/>
          <w:szCs w:val="24"/>
        </w:rPr>
        <w:t>vidential foundation for the presumption</w:t>
      </w:r>
      <w:r w:rsidR="001415F9">
        <w:rPr>
          <w:rFonts w:ascii="Arial" w:hAnsi="Arial" w:cs="Arial"/>
          <w:sz w:val="24"/>
          <w:szCs w:val="24"/>
        </w:rPr>
        <w:t xml:space="preserve"> (eg </w:t>
      </w:r>
      <w:r w:rsidR="001415F9" w:rsidRPr="009F528F">
        <w:rPr>
          <w:rFonts w:ascii="Arial" w:hAnsi="Arial" w:cs="Arial"/>
          <w:sz w:val="24"/>
          <w:szCs w:val="24"/>
          <w:u w:val="single"/>
        </w:rPr>
        <w:t>Al-Saedy v Musawi</w:t>
      </w:r>
      <w:r w:rsidR="001415F9">
        <w:rPr>
          <w:rFonts w:ascii="Arial" w:hAnsi="Arial" w:cs="Arial"/>
          <w:sz w:val="24"/>
          <w:szCs w:val="24"/>
        </w:rPr>
        <w:t xml:space="preserve"> [2010] EWHC 3293 (Fam))</w:t>
      </w:r>
      <w:r w:rsidRPr="00956AD3">
        <w:rPr>
          <w:rFonts w:ascii="Arial" w:hAnsi="Arial" w:cs="Arial"/>
          <w:sz w:val="24"/>
          <w:szCs w:val="24"/>
        </w:rPr>
        <w:t>. So there is some inconsistency and uncertainty respecting the role of the presumption of validity.</w:t>
      </w:r>
    </w:p>
    <w:p w:rsidR="007053D6" w:rsidRPr="00956AD3" w:rsidRDefault="007053D6" w:rsidP="008D138D">
      <w:pPr>
        <w:spacing w:line="360" w:lineRule="auto"/>
        <w:jc w:val="both"/>
        <w:rPr>
          <w:rFonts w:ascii="Arial" w:hAnsi="Arial" w:cs="Arial"/>
          <w:sz w:val="24"/>
          <w:szCs w:val="24"/>
        </w:rPr>
      </w:pPr>
      <w:r w:rsidRPr="00956AD3">
        <w:rPr>
          <w:rFonts w:ascii="Arial" w:hAnsi="Arial" w:cs="Arial"/>
          <w:sz w:val="24"/>
          <w:szCs w:val="24"/>
        </w:rPr>
        <w:t>Also</w:t>
      </w:r>
      <w:r w:rsidR="00262B97">
        <w:rPr>
          <w:rFonts w:ascii="Arial" w:hAnsi="Arial" w:cs="Arial"/>
          <w:sz w:val="24"/>
          <w:szCs w:val="24"/>
        </w:rPr>
        <w:t>,</w:t>
      </w:r>
      <w:r w:rsidRPr="00956AD3">
        <w:rPr>
          <w:rFonts w:ascii="Arial" w:hAnsi="Arial" w:cs="Arial"/>
          <w:sz w:val="24"/>
          <w:szCs w:val="24"/>
        </w:rPr>
        <w:t xml:space="preserve"> more generally</w:t>
      </w:r>
      <w:r w:rsidR="00262B97">
        <w:rPr>
          <w:rFonts w:ascii="Arial" w:hAnsi="Arial" w:cs="Arial"/>
          <w:sz w:val="24"/>
          <w:szCs w:val="24"/>
        </w:rPr>
        <w:t>,</w:t>
      </w:r>
      <w:r w:rsidRPr="00956AD3">
        <w:rPr>
          <w:rFonts w:ascii="Arial" w:hAnsi="Arial" w:cs="Arial"/>
          <w:sz w:val="24"/>
          <w:szCs w:val="24"/>
        </w:rPr>
        <w:t xml:space="preserve"> where a foreign marriage is formally defective according to the relevant foreign law of the place of celebration, the questi</w:t>
      </w:r>
      <w:r w:rsidR="00855EA7">
        <w:rPr>
          <w:rFonts w:ascii="Arial" w:hAnsi="Arial" w:cs="Arial"/>
          <w:sz w:val="24"/>
          <w:szCs w:val="24"/>
        </w:rPr>
        <w:t xml:space="preserve">on arises as to </w:t>
      </w:r>
      <w:r w:rsidRPr="00956AD3">
        <w:rPr>
          <w:rFonts w:ascii="Arial" w:hAnsi="Arial" w:cs="Arial"/>
          <w:sz w:val="24"/>
          <w:szCs w:val="24"/>
        </w:rPr>
        <w:t>whether English law should treat the alleged marriage as a void marriage (which gives rise to ancillary relief obligations) or as a non-marriage (which give</w:t>
      </w:r>
      <w:r w:rsidR="009F528F">
        <w:rPr>
          <w:rFonts w:ascii="Arial" w:hAnsi="Arial" w:cs="Arial"/>
          <w:sz w:val="24"/>
          <w:szCs w:val="24"/>
        </w:rPr>
        <w:t>s rise to no such obligations).</w:t>
      </w:r>
      <w:r w:rsidRPr="00956AD3">
        <w:rPr>
          <w:rFonts w:ascii="Arial" w:hAnsi="Arial" w:cs="Arial"/>
          <w:sz w:val="24"/>
          <w:szCs w:val="24"/>
        </w:rPr>
        <w:t xml:space="preserve"> </w:t>
      </w:r>
      <w:r w:rsidR="00855EA7">
        <w:rPr>
          <w:rFonts w:ascii="Arial" w:hAnsi="Arial" w:cs="Arial"/>
          <w:sz w:val="24"/>
          <w:szCs w:val="24"/>
        </w:rPr>
        <w:t>T</w:t>
      </w:r>
      <w:r w:rsidRPr="00956AD3">
        <w:rPr>
          <w:rFonts w:ascii="Arial" w:hAnsi="Arial" w:cs="Arial"/>
          <w:sz w:val="24"/>
          <w:szCs w:val="24"/>
        </w:rPr>
        <w:t xml:space="preserve">his is obviously a very important question in practice but the case-law </w:t>
      </w:r>
      <w:r w:rsidR="00AC082B">
        <w:rPr>
          <w:rFonts w:ascii="Arial" w:hAnsi="Arial" w:cs="Arial"/>
          <w:sz w:val="24"/>
          <w:szCs w:val="24"/>
        </w:rPr>
        <w:t xml:space="preserve">doesn’t give </w:t>
      </w:r>
      <w:r w:rsidR="00855EA7">
        <w:rPr>
          <w:rFonts w:ascii="Arial" w:hAnsi="Arial" w:cs="Arial"/>
          <w:sz w:val="24"/>
          <w:szCs w:val="24"/>
        </w:rPr>
        <w:t xml:space="preserve">any clear guidance </w:t>
      </w:r>
      <w:r w:rsidR="00AC082B">
        <w:rPr>
          <w:rFonts w:ascii="Arial" w:hAnsi="Arial" w:cs="Arial"/>
          <w:sz w:val="24"/>
          <w:szCs w:val="24"/>
        </w:rPr>
        <w:t xml:space="preserve">as to how it should be </w:t>
      </w:r>
      <w:r w:rsidR="00855EA7">
        <w:rPr>
          <w:rFonts w:ascii="Arial" w:hAnsi="Arial" w:cs="Arial"/>
          <w:sz w:val="24"/>
          <w:szCs w:val="24"/>
        </w:rPr>
        <w:t>answer</w:t>
      </w:r>
      <w:r w:rsidR="00AC082B">
        <w:rPr>
          <w:rFonts w:ascii="Arial" w:hAnsi="Arial" w:cs="Arial"/>
          <w:sz w:val="24"/>
          <w:szCs w:val="24"/>
        </w:rPr>
        <w:t>ed</w:t>
      </w:r>
      <w:r w:rsidR="00855EA7">
        <w:rPr>
          <w:rFonts w:ascii="Arial" w:hAnsi="Arial" w:cs="Arial"/>
          <w:sz w:val="24"/>
          <w:szCs w:val="24"/>
        </w:rPr>
        <w:t>.</w:t>
      </w:r>
      <w:r w:rsidRPr="00956AD3">
        <w:rPr>
          <w:rFonts w:ascii="Arial" w:hAnsi="Arial" w:cs="Arial"/>
          <w:sz w:val="24"/>
          <w:szCs w:val="24"/>
        </w:rPr>
        <w:t xml:space="preserve"> </w:t>
      </w:r>
      <w:r w:rsidR="00855EA7">
        <w:rPr>
          <w:rFonts w:ascii="Arial" w:hAnsi="Arial" w:cs="Arial"/>
          <w:sz w:val="24"/>
          <w:szCs w:val="24"/>
        </w:rPr>
        <w:t>S</w:t>
      </w:r>
      <w:r w:rsidRPr="00956AD3">
        <w:rPr>
          <w:rFonts w:ascii="Arial" w:hAnsi="Arial" w:cs="Arial"/>
          <w:sz w:val="24"/>
          <w:szCs w:val="24"/>
        </w:rPr>
        <w:t>ome authority emphasises knowledge and intention and suggests that innocent non-compliance should result in the marriage bein</w:t>
      </w:r>
      <w:r w:rsidR="00B21E4D" w:rsidRPr="00956AD3">
        <w:rPr>
          <w:rFonts w:ascii="Arial" w:hAnsi="Arial" w:cs="Arial"/>
          <w:sz w:val="24"/>
          <w:szCs w:val="24"/>
        </w:rPr>
        <w:t xml:space="preserve">g considered void </w:t>
      </w:r>
      <w:r w:rsidR="00616882">
        <w:rPr>
          <w:rFonts w:ascii="Arial" w:hAnsi="Arial" w:cs="Arial"/>
          <w:sz w:val="24"/>
          <w:szCs w:val="24"/>
        </w:rPr>
        <w:t xml:space="preserve">(eg </w:t>
      </w:r>
      <w:r w:rsidR="00616882" w:rsidRPr="003E1312">
        <w:rPr>
          <w:rFonts w:ascii="Arial" w:hAnsi="Arial" w:cs="Arial"/>
          <w:sz w:val="24"/>
          <w:szCs w:val="24"/>
          <w:u w:val="single"/>
        </w:rPr>
        <w:t>Burns v Burns</w:t>
      </w:r>
      <w:r w:rsidR="003E1312">
        <w:rPr>
          <w:rFonts w:ascii="Arial" w:hAnsi="Arial" w:cs="Arial"/>
          <w:sz w:val="24"/>
          <w:szCs w:val="24"/>
        </w:rPr>
        <w:t xml:space="preserve"> [2007] EWHC 2492 (Fam)</w:t>
      </w:r>
      <w:r w:rsidR="00616882">
        <w:rPr>
          <w:rFonts w:ascii="Arial" w:hAnsi="Arial" w:cs="Arial"/>
          <w:sz w:val="24"/>
          <w:szCs w:val="24"/>
        </w:rPr>
        <w:t xml:space="preserve">) </w:t>
      </w:r>
      <w:r w:rsidR="00B21E4D" w:rsidRPr="00956AD3">
        <w:rPr>
          <w:rFonts w:ascii="Arial" w:hAnsi="Arial" w:cs="Arial"/>
          <w:sz w:val="24"/>
          <w:szCs w:val="24"/>
        </w:rPr>
        <w:t>while other judges have taken the view that there is no marriage at all (not even a void one) if there is a fundamental</w:t>
      </w:r>
      <w:r w:rsidRPr="00956AD3">
        <w:rPr>
          <w:rFonts w:ascii="Arial" w:hAnsi="Arial" w:cs="Arial"/>
          <w:sz w:val="24"/>
          <w:szCs w:val="24"/>
        </w:rPr>
        <w:t xml:space="preserve"> </w:t>
      </w:r>
      <w:r w:rsidR="00B21E4D" w:rsidRPr="00956AD3">
        <w:rPr>
          <w:rFonts w:ascii="Arial" w:hAnsi="Arial" w:cs="Arial"/>
          <w:sz w:val="24"/>
          <w:szCs w:val="24"/>
        </w:rPr>
        <w:t>formal defect</w:t>
      </w:r>
      <w:r w:rsidR="00616882">
        <w:rPr>
          <w:rFonts w:ascii="Arial" w:hAnsi="Arial" w:cs="Arial"/>
          <w:sz w:val="24"/>
          <w:szCs w:val="24"/>
        </w:rPr>
        <w:t xml:space="preserve"> (eg </w:t>
      </w:r>
      <w:r w:rsidR="00616882" w:rsidRPr="003E1312">
        <w:rPr>
          <w:rFonts w:ascii="Arial" w:hAnsi="Arial" w:cs="Arial"/>
          <w:sz w:val="24"/>
          <w:szCs w:val="24"/>
          <w:u w:val="single"/>
        </w:rPr>
        <w:t>Duka</w:t>
      </w:r>
      <w:r w:rsidR="003E1312" w:rsidRPr="003E1312">
        <w:rPr>
          <w:rFonts w:ascii="Arial" w:hAnsi="Arial" w:cs="Arial"/>
          <w:sz w:val="24"/>
          <w:szCs w:val="24"/>
          <w:u w:val="single"/>
        </w:rPr>
        <w:t>l</w:t>
      </w:r>
      <w:r w:rsidR="00616882" w:rsidRPr="003E1312">
        <w:rPr>
          <w:rFonts w:ascii="Arial" w:hAnsi="Arial" w:cs="Arial"/>
          <w:sz w:val="24"/>
          <w:szCs w:val="24"/>
          <w:u w:val="single"/>
        </w:rPr>
        <w:t>i v Lamrani</w:t>
      </w:r>
      <w:r w:rsidR="003E1312">
        <w:rPr>
          <w:rFonts w:ascii="Arial" w:hAnsi="Arial" w:cs="Arial"/>
          <w:sz w:val="24"/>
          <w:szCs w:val="24"/>
        </w:rPr>
        <w:t xml:space="preserve"> [2012] EWHC 1748 (Fam)</w:t>
      </w:r>
      <w:r w:rsidR="00616882">
        <w:rPr>
          <w:rFonts w:ascii="Arial" w:hAnsi="Arial" w:cs="Arial"/>
          <w:sz w:val="24"/>
          <w:szCs w:val="24"/>
        </w:rPr>
        <w:t>)</w:t>
      </w:r>
      <w:r w:rsidR="00B21E4D" w:rsidRPr="00956AD3">
        <w:rPr>
          <w:rFonts w:ascii="Arial" w:hAnsi="Arial" w:cs="Arial"/>
          <w:sz w:val="24"/>
          <w:szCs w:val="24"/>
        </w:rPr>
        <w:t>.</w:t>
      </w:r>
    </w:p>
    <w:p w:rsidR="006D1AD9" w:rsidRPr="00956AD3" w:rsidRDefault="00AC082B" w:rsidP="008D138D">
      <w:pPr>
        <w:spacing w:line="360" w:lineRule="auto"/>
        <w:jc w:val="both"/>
        <w:rPr>
          <w:rFonts w:ascii="Arial" w:hAnsi="Arial" w:cs="Arial"/>
          <w:sz w:val="24"/>
          <w:szCs w:val="24"/>
        </w:rPr>
      </w:pPr>
      <w:r>
        <w:rPr>
          <w:rFonts w:ascii="Arial" w:hAnsi="Arial" w:cs="Arial"/>
          <w:sz w:val="24"/>
          <w:szCs w:val="24"/>
        </w:rPr>
        <w:t>And it’s quite striking if one</w:t>
      </w:r>
      <w:r w:rsidR="00B21E4D" w:rsidRPr="00956AD3">
        <w:rPr>
          <w:rFonts w:ascii="Arial" w:hAnsi="Arial" w:cs="Arial"/>
          <w:sz w:val="24"/>
          <w:szCs w:val="24"/>
        </w:rPr>
        <w:t xml:space="preserve"> read</w:t>
      </w:r>
      <w:r>
        <w:rPr>
          <w:rFonts w:ascii="Arial" w:hAnsi="Arial" w:cs="Arial"/>
          <w:sz w:val="24"/>
          <w:szCs w:val="24"/>
        </w:rPr>
        <w:t>s</w:t>
      </w:r>
      <w:r w:rsidR="00B21E4D" w:rsidRPr="00956AD3">
        <w:rPr>
          <w:rFonts w:ascii="Arial" w:hAnsi="Arial" w:cs="Arial"/>
          <w:sz w:val="24"/>
          <w:szCs w:val="24"/>
        </w:rPr>
        <w:t xml:space="preserve"> these cases alongside the </w:t>
      </w:r>
      <w:r w:rsidR="006D1AD9" w:rsidRPr="00956AD3">
        <w:rPr>
          <w:rFonts w:ascii="Arial" w:hAnsi="Arial" w:cs="Arial"/>
          <w:sz w:val="24"/>
          <w:szCs w:val="24"/>
        </w:rPr>
        <w:t xml:space="preserve">UK </w:t>
      </w:r>
      <w:r w:rsidR="00B21E4D" w:rsidRPr="00956AD3">
        <w:rPr>
          <w:rFonts w:ascii="Arial" w:hAnsi="Arial" w:cs="Arial"/>
          <w:sz w:val="24"/>
          <w:szCs w:val="24"/>
        </w:rPr>
        <w:t xml:space="preserve">Supreme Court’s judgments in </w:t>
      </w:r>
      <w:r w:rsidR="00B21E4D" w:rsidRPr="00956AD3">
        <w:rPr>
          <w:rFonts w:ascii="Arial" w:hAnsi="Arial" w:cs="Arial"/>
          <w:sz w:val="24"/>
          <w:szCs w:val="24"/>
          <w:u w:val="single"/>
        </w:rPr>
        <w:t>Baiai</w:t>
      </w:r>
      <w:r w:rsidR="00B21E4D" w:rsidRPr="00956AD3">
        <w:rPr>
          <w:rFonts w:ascii="Arial" w:hAnsi="Arial" w:cs="Arial"/>
          <w:sz w:val="24"/>
          <w:szCs w:val="24"/>
        </w:rPr>
        <w:t xml:space="preserve"> and </w:t>
      </w:r>
      <w:r w:rsidR="00B21E4D" w:rsidRPr="00956AD3">
        <w:rPr>
          <w:rFonts w:ascii="Arial" w:hAnsi="Arial" w:cs="Arial"/>
          <w:sz w:val="24"/>
          <w:szCs w:val="24"/>
          <w:u w:val="single"/>
        </w:rPr>
        <w:t>Quila</w:t>
      </w:r>
      <w:r w:rsidR="00B31108">
        <w:rPr>
          <w:rFonts w:ascii="Arial" w:hAnsi="Arial" w:cs="Arial"/>
          <w:sz w:val="24"/>
          <w:szCs w:val="24"/>
        </w:rPr>
        <w:t>. I</w:t>
      </w:r>
      <w:r w:rsidR="00B21E4D" w:rsidRPr="00956AD3">
        <w:rPr>
          <w:rFonts w:ascii="Arial" w:hAnsi="Arial" w:cs="Arial"/>
          <w:sz w:val="24"/>
          <w:szCs w:val="24"/>
        </w:rPr>
        <w:t xml:space="preserve">n one </w:t>
      </w:r>
      <w:r w:rsidR="00436B16" w:rsidRPr="00956AD3">
        <w:rPr>
          <w:rFonts w:ascii="Arial" w:hAnsi="Arial" w:cs="Arial"/>
          <w:sz w:val="24"/>
          <w:szCs w:val="24"/>
        </w:rPr>
        <w:t>domain</w:t>
      </w:r>
      <w:r w:rsidR="00B31108">
        <w:rPr>
          <w:rFonts w:ascii="Arial" w:hAnsi="Arial" w:cs="Arial"/>
          <w:sz w:val="24"/>
          <w:szCs w:val="24"/>
        </w:rPr>
        <w:t>,</w:t>
      </w:r>
      <w:r>
        <w:rPr>
          <w:rFonts w:ascii="Arial" w:hAnsi="Arial" w:cs="Arial"/>
          <w:sz w:val="24"/>
          <w:szCs w:val="24"/>
        </w:rPr>
        <w:t xml:space="preserve"> we encounter</w:t>
      </w:r>
      <w:r w:rsidR="00436B16" w:rsidRPr="00956AD3">
        <w:rPr>
          <w:rFonts w:ascii="Arial" w:hAnsi="Arial" w:cs="Arial"/>
          <w:sz w:val="24"/>
          <w:szCs w:val="24"/>
        </w:rPr>
        <w:t xml:space="preserve"> a vociferous defence of </w:t>
      </w:r>
      <w:r w:rsidR="00436B16" w:rsidRPr="00956AD3">
        <w:rPr>
          <w:rFonts w:ascii="Arial" w:hAnsi="Arial" w:cs="Arial"/>
          <w:sz w:val="24"/>
          <w:szCs w:val="24"/>
        </w:rPr>
        <w:lastRenderedPageBreak/>
        <w:t xml:space="preserve">marriage rights </w:t>
      </w:r>
      <w:r w:rsidR="006D1AD9" w:rsidRPr="00956AD3">
        <w:rPr>
          <w:rFonts w:ascii="Arial" w:hAnsi="Arial" w:cs="Arial"/>
          <w:sz w:val="24"/>
          <w:szCs w:val="24"/>
        </w:rPr>
        <w:t xml:space="preserve">under the ECHR and we’re told that arbitrary legislative interference in marriages is absolutely unacceptable </w:t>
      </w:r>
      <w:r w:rsidR="00436B16" w:rsidRPr="00956AD3">
        <w:rPr>
          <w:rFonts w:ascii="Arial" w:hAnsi="Arial" w:cs="Arial"/>
          <w:sz w:val="24"/>
          <w:szCs w:val="24"/>
        </w:rPr>
        <w:t xml:space="preserve">– while in the parallel universe of </w:t>
      </w:r>
      <w:r w:rsidR="0073632B">
        <w:rPr>
          <w:rFonts w:ascii="Arial" w:hAnsi="Arial" w:cs="Arial"/>
          <w:sz w:val="24"/>
          <w:szCs w:val="24"/>
        </w:rPr>
        <w:t>private international law, we</w:t>
      </w:r>
      <w:r w:rsidR="00436B16" w:rsidRPr="00956AD3">
        <w:rPr>
          <w:rFonts w:ascii="Arial" w:hAnsi="Arial" w:cs="Arial"/>
          <w:sz w:val="24"/>
          <w:szCs w:val="24"/>
        </w:rPr>
        <w:t xml:space="preserve"> </w:t>
      </w:r>
      <w:r w:rsidR="006D1AD9" w:rsidRPr="00956AD3">
        <w:rPr>
          <w:rFonts w:ascii="Arial" w:hAnsi="Arial" w:cs="Arial"/>
          <w:sz w:val="24"/>
          <w:szCs w:val="24"/>
        </w:rPr>
        <w:t xml:space="preserve">encounter </w:t>
      </w:r>
      <w:r w:rsidR="004C66F6" w:rsidRPr="00956AD3">
        <w:rPr>
          <w:rFonts w:ascii="Arial" w:hAnsi="Arial" w:cs="Arial"/>
          <w:sz w:val="24"/>
          <w:szCs w:val="24"/>
        </w:rPr>
        <w:t>this nonchalant development</w:t>
      </w:r>
      <w:r w:rsidR="006D1AD9" w:rsidRPr="00956AD3">
        <w:rPr>
          <w:rFonts w:ascii="Arial" w:hAnsi="Arial" w:cs="Arial"/>
          <w:sz w:val="24"/>
          <w:szCs w:val="24"/>
        </w:rPr>
        <w:t xml:space="preserve"> of unpredictable inconsistent common law rules, and there </w:t>
      </w:r>
      <w:r w:rsidR="00793DA2" w:rsidRPr="00956AD3">
        <w:rPr>
          <w:rFonts w:ascii="Arial" w:hAnsi="Arial" w:cs="Arial"/>
          <w:sz w:val="24"/>
          <w:szCs w:val="24"/>
        </w:rPr>
        <w:t xml:space="preserve">is </w:t>
      </w:r>
      <w:r w:rsidR="006D1AD9" w:rsidRPr="00956AD3">
        <w:rPr>
          <w:rFonts w:ascii="Arial" w:hAnsi="Arial" w:cs="Arial"/>
          <w:sz w:val="24"/>
          <w:szCs w:val="24"/>
        </w:rPr>
        <w:t>scarcely any mention of Articles 8 or 12 of the ECHR.</w:t>
      </w:r>
    </w:p>
    <w:p w:rsidR="006D1AD9" w:rsidRPr="00956AD3" w:rsidRDefault="00C37BBB" w:rsidP="00B4620D">
      <w:pPr>
        <w:spacing w:line="360" w:lineRule="auto"/>
        <w:jc w:val="both"/>
        <w:rPr>
          <w:rFonts w:ascii="Arial" w:hAnsi="Arial" w:cs="Arial"/>
          <w:sz w:val="24"/>
          <w:szCs w:val="24"/>
        </w:rPr>
      </w:pPr>
      <w:r w:rsidRPr="00956AD3">
        <w:rPr>
          <w:rFonts w:ascii="Arial" w:hAnsi="Arial" w:cs="Arial"/>
          <w:sz w:val="24"/>
          <w:szCs w:val="24"/>
        </w:rPr>
        <w:t xml:space="preserve">And </w:t>
      </w:r>
      <w:r w:rsidR="0006647A" w:rsidRPr="00956AD3">
        <w:rPr>
          <w:rFonts w:ascii="Arial" w:hAnsi="Arial" w:cs="Arial"/>
          <w:sz w:val="24"/>
          <w:szCs w:val="24"/>
        </w:rPr>
        <w:t>this sense of a disconnect from human rights law i</w:t>
      </w:r>
      <w:r w:rsidR="00AC082B">
        <w:rPr>
          <w:rFonts w:ascii="Arial" w:hAnsi="Arial" w:cs="Arial"/>
          <w:sz w:val="24"/>
          <w:szCs w:val="24"/>
        </w:rPr>
        <w:t>s pervasive: it’s there when one</w:t>
      </w:r>
      <w:r w:rsidR="0006647A" w:rsidRPr="00956AD3">
        <w:rPr>
          <w:rFonts w:ascii="Arial" w:hAnsi="Arial" w:cs="Arial"/>
          <w:sz w:val="24"/>
          <w:szCs w:val="24"/>
        </w:rPr>
        <w:t xml:space="preserve"> look</w:t>
      </w:r>
      <w:r w:rsidR="00AC082B">
        <w:rPr>
          <w:rFonts w:ascii="Arial" w:hAnsi="Arial" w:cs="Arial"/>
          <w:sz w:val="24"/>
          <w:szCs w:val="24"/>
        </w:rPr>
        <w:t>s</w:t>
      </w:r>
      <w:r w:rsidR="0006647A" w:rsidRPr="00956AD3">
        <w:rPr>
          <w:rFonts w:ascii="Arial" w:hAnsi="Arial" w:cs="Arial"/>
          <w:sz w:val="24"/>
          <w:szCs w:val="24"/>
        </w:rPr>
        <w:t xml:space="preserve"> at the textbook accounts of private international law</w:t>
      </w:r>
      <w:r w:rsidR="0073632B">
        <w:rPr>
          <w:rFonts w:ascii="Arial" w:hAnsi="Arial" w:cs="Arial"/>
          <w:sz w:val="24"/>
          <w:szCs w:val="24"/>
        </w:rPr>
        <w:t xml:space="preserve"> on marriage; it’s there in</w:t>
      </w:r>
      <w:r w:rsidR="0006647A" w:rsidRPr="00956AD3">
        <w:rPr>
          <w:rFonts w:ascii="Arial" w:hAnsi="Arial" w:cs="Arial"/>
          <w:sz w:val="24"/>
          <w:szCs w:val="24"/>
        </w:rPr>
        <w:t xml:space="preserve"> the administrative guidelines giving practical effect to private international law rules, and it’s there in the treatment of essential or substantive validity of marriage – it’s by no means confined to formal validity</w:t>
      </w:r>
      <w:r w:rsidR="006D1AD9" w:rsidRPr="00956AD3">
        <w:rPr>
          <w:rFonts w:ascii="Arial" w:hAnsi="Arial" w:cs="Arial"/>
          <w:sz w:val="24"/>
          <w:szCs w:val="24"/>
        </w:rPr>
        <w:t>.</w:t>
      </w:r>
      <w:r w:rsidR="0006647A" w:rsidRPr="00956AD3">
        <w:rPr>
          <w:rFonts w:ascii="Arial" w:hAnsi="Arial" w:cs="Arial"/>
          <w:sz w:val="24"/>
          <w:szCs w:val="24"/>
        </w:rPr>
        <w:t xml:space="preserve"> </w:t>
      </w:r>
    </w:p>
    <w:p w:rsidR="00F3568D" w:rsidRPr="00956AD3" w:rsidRDefault="00AC082B" w:rsidP="00B4620D">
      <w:pPr>
        <w:spacing w:line="360" w:lineRule="auto"/>
        <w:jc w:val="both"/>
        <w:rPr>
          <w:rFonts w:ascii="Arial" w:hAnsi="Arial" w:cs="Arial"/>
          <w:sz w:val="24"/>
          <w:szCs w:val="24"/>
        </w:rPr>
      </w:pPr>
      <w:r>
        <w:rPr>
          <w:rFonts w:ascii="Arial" w:hAnsi="Arial" w:cs="Arial"/>
          <w:sz w:val="24"/>
          <w:szCs w:val="24"/>
        </w:rPr>
        <w:t>T</w:t>
      </w:r>
      <w:r w:rsidR="0006647A" w:rsidRPr="00956AD3">
        <w:rPr>
          <w:rFonts w:ascii="Arial" w:hAnsi="Arial" w:cs="Arial"/>
          <w:sz w:val="24"/>
          <w:szCs w:val="24"/>
        </w:rPr>
        <w:t xml:space="preserve">o illustrate this point, </w:t>
      </w:r>
      <w:r>
        <w:rPr>
          <w:rFonts w:ascii="Arial" w:hAnsi="Arial" w:cs="Arial"/>
          <w:sz w:val="24"/>
          <w:szCs w:val="24"/>
        </w:rPr>
        <w:t xml:space="preserve">let us look at </w:t>
      </w:r>
      <w:r w:rsidR="0006647A" w:rsidRPr="00956AD3">
        <w:rPr>
          <w:rFonts w:ascii="Arial" w:hAnsi="Arial" w:cs="Arial"/>
          <w:sz w:val="24"/>
          <w:szCs w:val="24"/>
        </w:rPr>
        <w:t xml:space="preserve">a few more examples </w:t>
      </w:r>
      <w:r w:rsidR="00E559A3" w:rsidRPr="00956AD3">
        <w:rPr>
          <w:rFonts w:ascii="Arial" w:hAnsi="Arial" w:cs="Arial"/>
          <w:sz w:val="24"/>
          <w:szCs w:val="24"/>
        </w:rPr>
        <w:t>of UK authorities applying and interpreting private international law rules in a manner which seems highly questi</w:t>
      </w:r>
      <w:r w:rsidR="007743D5" w:rsidRPr="00956AD3">
        <w:rPr>
          <w:rFonts w:ascii="Arial" w:hAnsi="Arial" w:cs="Arial"/>
          <w:sz w:val="24"/>
          <w:szCs w:val="24"/>
        </w:rPr>
        <w:t>onable from a human rights perspective.</w:t>
      </w:r>
    </w:p>
    <w:p w:rsidR="00F3568D" w:rsidRPr="00956AD3" w:rsidRDefault="001B3BE7" w:rsidP="00B4620D">
      <w:pPr>
        <w:spacing w:line="360" w:lineRule="auto"/>
        <w:jc w:val="both"/>
        <w:rPr>
          <w:rFonts w:ascii="Arial" w:hAnsi="Arial" w:cs="Arial"/>
          <w:sz w:val="24"/>
          <w:szCs w:val="24"/>
        </w:rPr>
      </w:pPr>
      <w:r w:rsidRPr="00956AD3">
        <w:rPr>
          <w:rFonts w:ascii="Arial" w:hAnsi="Arial" w:cs="Arial"/>
          <w:sz w:val="24"/>
          <w:szCs w:val="24"/>
        </w:rPr>
        <w:t>At</w:t>
      </w:r>
      <w:r w:rsidR="00AC082B">
        <w:rPr>
          <w:rFonts w:ascii="Arial" w:hAnsi="Arial" w:cs="Arial"/>
          <w:sz w:val="24"/>
          <w:szCs w:val="24"/>
        </w:rPr>
        <w:t xml:space="preserve"> an administrative level, if one</w:t>
      </w:r>
      <w:r w:rsidRPr="00956AD3">
        <w:rPr>
          <w:rFonts w:ascii="Arial" w:hAnsi="Arial" w:cs="Arial"/>
          <w:sz w:val="24"/>
          <w:szCs w:val="24"/>
        </w:rPr>
        <w:t xml:space="preserve"> look</w:t>
      </w:r>
      <w:r w:rsidR="00AC082B">
        <w:rPr>
          <w:rFonts w:ascii="Arial" w:hAnsi="Arial" w:cs="Arial"/>
          <w:sz w:val="24"/>
          <w:szCs w:val="24"/>
        </w:rPr>
        <w:t>s</w:t>
      </w:r>
      <w:r w:rsidRPr="00956AD3">
        <w:rPr>
          <w:rFonts w:ascii="Arial" w:hAnsi="Arial" w:cs="Arial"/>
          <w:sz w:val="24"/>
          <w:szCs w:val="24"/>
        </w:rPr>
        <w:t xml:space="preserve"> at the published guidelines for Entry Clearance Officers, in dealing with immigration applications based on marriag</w:t>
      </w:r>
      <w:r w:rsidR="00AC082B">
        <w:rPr>
          <w:rFonts w:ascii="Arial" w:hAnsi="Arial" w:cs="Arial"/>
          <w:sz w:val="24"/>
          <w:szCs w:val="24"/>
        </w:rPr>
        <w:t>e, one</w:t>
      </w:r>
      <w:r w:rsidRPr="00956AD3">
        <w:rPr>
          <w:rFonts w:ascii="Arial" w:hAnsi="Arial" w:cs="Arial"/>
          <w:sz w:val="24"/>
          <w:szCs w:val="24"/>
        </w:rPr>
        <w:t xml:space="preserve"> see</w:t>
      </w:r>
      <w:r w:rsidR="00AC082B">
        <w:rPr>
          <w:rFonts w:ascii="Arial" w:hAnsi="Arial" w:cs="Arial"/>
          <w:sz w:val="24"/>
          <w:szCs w:val="24"/>
        </w:rPr>
        <w:t>s</w:t>
      </w:r>
      <w:r w:rsidRPr="00956AD3">
        <w:rPr>
          <w:rFonts w:ascii="Arial" w:hAnsi="Arial" w:cs="Arial"/>
          <w:sz w:val="24"/>
          <w:szCs w:val="24"/>
        </w:rPr>
        <w:t xml:space="preserve"> that where an applicant is relying on a marriage conducted over the telephone, the marriage may be entitled to recognition if the woman accepting the man’s offer of marriage is located in a jurisdiction accepting that marriage form</w:t>
      </w:r>
      <w:r w:rsidR="00B31108">
        <w:rPr>
          <w:rFonts w:ascii="Arial" w:hAnsi="Arial" w:cs="Arial"/>
          <w:sz w:val="24"/>
          <w:szCs w:val="24"/>
        </w:rPr>
        <w:t xml:space="preserve"> (SET 3.17)</w:t>
      </w:r>
      <w:r w:rsidR="007F4A8C">
        <w:rPr>
          <w:rFonts w:ascii="Arial" w:hAnsi="Arial" w:cs="Arial"/>
          <w:sz w:val="24"/>
          <w:szCs w:val="24"/>
        </w:rPr>
        <w:t>. Clearly</w:t>
      </w:r>
      <w:r w:rsidRPr="00956AD3">
        <w:rPr>
          <w:rFonts w:ascii="Arial" w:hAnsi="Arial" w:cs="Arial"/>
          <w:sz w:val="24"/>
          <w:szCs w:val="24"/>
        </w:rPr>
        <w:t xml:space="preserve"> there is </w:t>
      </w:r>
      <w:r w:rsidR="00B31108">
        <w:rPr>
          <w:rFonts w:ascii="Arial" w:hAnsi="Arial" w:cs="Arial"/>
          <w:sz w:val="24"/>
          <w:szCs w:val="24"/>
        </w:rPr>
        <w:t xml:space="preserve">scope </w:t>
      </w:r>
      <w:r w:rsidR="007F4A8C">
        <w:rPr>
          <w:rFonts w:ascii="Arial" w:hAnsi="Arial" w:cs="Arial"/>
          <w:sz w:val="24"/>
          <w:szCs w:val="24"/>
        </w:rPr>
        <w:t xml:space="preserve">here </w:t>
      </w:r>
      <w:r w:rsidR="00B31108">
        <w:rPr>
          <w:rFonts w:ascii="Arial" w:hAnsi="Arial" w:cs="Arial"/>
          <w:sz w:val="24"/>
          <w:szCs w:val="24"/>
        </w:rPr>
        <w:t xml:space="preserve">for </w:t>
      </w:r>
      <w:r w:rsidRPr="00956AD3">
        <w:rPr>
          <w:rFonts w:ascii="Arial" w:hAnsi="Arial" w:cs="Arial"/>
          <w:sz w:val="24"/>
          <w:szCs w:val="24"/>
        </w:rPr>
        <w:t>a separate debate as to whether such informal marriages should be recognised at all having regard to the 1962 UN Marriage Convention, but</w:t>
      </w:r>
      <w:r w:rsidR="007F4A8C">
        <w:rPr>
          <w:rFonts w:ascii="Arial" w:hAnsi="Arial" w:cs="Arial"/>
          <w:sz w:val="24"/>
          <w:szCs w:val="24"/>
        </w:rPr>
        <w:t>,</w:t>
      </w:r>
      <w:r w:rsidR="00F80CFB" w:rsidRPr="00956AD3">
        <w:rPr>
          <w:rFonts w:ascii="Arial" w:hAnsi="Arial" w:cs="Arial"/>
          <w:sz w:val="24"/>
          <w:szCs w:val="24"/>
        </w:rPr>
        <w:t xml:space="preserve"> if such marriages are to be recognised,</w:t>
      </w:r>
      <w:r w:rsidRPr="00956AD3">
        <w:rPr>
          <w:rFonts w:ascii="Arial" w:hAnsi="Arial" w:cs="Arial"/>
          <w:sz w:val="24"/>
          <w:szCs w:val="24"/>
        </w:rPr>
        <w:t xml:space="preserve"> </w:t>
      </w:r>
      <w:r w:rsidR="00F80CFB" w:rsidRPr="00956AD3">
        <w:rPr>
          <w:rFonts w:ascii="Arial" w:hAnsi="Arial" w:cs="Arial"/>
          <w:sz w:val="24"/>
          <w:szCs w:val="24"/>
        </w:rPr>
        <w:t>it seems very undesirable that recognition should hinge on the gender of the party in the overseas jurisdiction</w:t>
      </w:r>
      <w:r w:rsidR="007F4A8C">
        <w:rPr>
          <w:rFonts w:ascii="Arial" w:hAnsi="Arial" w:cs="Arial"/>
          <w:sz w:val="24"/>
          <w:szCs w:val="24"/>
        </w:rPr>
        <w:t>.</w:t>
      </w:r>
      <w:r w:rsidR="00F80CFB" w:rsidRPr="00956AD3">
        <w:rPr>
          <w:rFonts w:ascii="Arial" w:hAnsi="Arial" w:cs="Arial"/>
          <w:sz w:val="24"/>
          <w:szCs w:val="24"/>
        </w:rPr>
        <w:t xml:space="preserve"> </w:t>
      </w:r>
      <w:r w:rsidR="007F4A8C">
        <w:rPr>
          <w:rFonts w:ascii="Arial" w:hAnsi="Arial" w:cs="Arial"/>
          <w:sz w:val="24"/>
          <w:szCs w:val="24"/>
        </w:rPr>
        <w:t>G</w:t>
      </w:r>
      <w:r w:rsidR="00F80CFB" w:rsidRPr="00956AD3">
        <w:rPr>
          <w:rFonts w:ascii="Arial" w:hAnsi="Arial" w:cs="Arial"/>
          <w:sz w:val="24"/>
          <w:szCs w:val="24"/>
        </w:rPr>
        <w:t>iven the ECtHR’s zero-tolerance stance on direct gender discrimination, it seems very unlikely that this guideline would survive scrutiny under Article 14 taken with Article 8</w:t>
      </w:r>
      <w:r w:rsidR="00B31108">
        <w:rPr>
          <w:rFonts w:ascii="Arial" w:hAnsi="Arial" w:cs="Arial"/>
          <w:sz w:val="24"/>
          <w:szCs w:val="24"/>
        </w:rPr>
        <w:t xml:space="preserve"> ECHR</w:t>
      </w:r>
      <w:r w:rsidR="00F80CFB" w:rsidRPr="00956AD3">
        <w:rPr>
          <w:rFonts w:ascii="Arial" w:hAnsi="Arial" w:cs="Arial"/>
          <w:sz w:val="24"/>
          <w:szCs w:val="24"/>
        </w:rPr>
        <w:t xml:space="preserve">. </w:t>
      </w:r>
    </w:p>
    <w:p w:rsidR="00045387" w:rsidRPr="00956AD3" w:rsidRDefault="00163FF8" w:rsidP="00B4620D">
      <w:pPr>
        <w:spacing w:line="360" w:lineRule="auto"/>
        <w:jc w:val="both"/>
        <w:rPr>
          <w:rFonts w:ascii="Arial" w:hAnsi="Arial" w:cs="Arial"/>
          <w:sz w:val="24"/>
          <w:szCs w:val="24"/>
        </w:rPr>
      </w:pPr>
      <w:r w:rsidRPr="00956AD3">
        <w:rPr>
          <w:rFonts w:ascii="Arial" w:hAnsi="Arial" w:cs="Arial"/>
          <w:sz w:val="24"/>
          <w:szCs w:val="24"/>
        </w:rPr>
        <w:t xml:space="preserve">There are also </w:t>
      </w:r>
      <w:r w:rsidR="000A5E14" w:rsidRPr="00956AD3">
        <w:rPr>
          <w:rFonts w:ascii="Arial" w:hAnsi="Arial" w:cs="Arial"/>
          <w:sz w:val="24"/>
          <w:szCs w:val="24"/>
        </w:rPr>
        <w:t>examples</w:t>
      </w:r>
      <w:r w:rsidR="00F80CFB" w:rsidRPr="00956AD3">
        <w:rPr>
          <w:rFonts w:ascii="Arial" w:hAnsi="Arial" w:cs="Arial"/>
          <w:sz w:val="24"/>
          <w:szCs w:val="24"/>
        </w:rPr>
        <w:t xml:space="preserve"> of the English courts </w:t>
      </w:r>
      <w:r w:rsidR="004C66F6" w:rsidRPr="00956AD3">
        <w:rPr>
          <w:rFonts w:ascii="Arial" w:hAnsi="Arial" w:cs="Arial"/>
          <w:sz w:val="24"/>
          <w:szCs w:val="24"/>
        </w:rPr>
        <w:t xml:space="preserve">blithely </w:t>
      </w:r>
      <w:r w:rsidR="000A5E14" w:rsidRPr="00956AD3">
        <w:rPr>
          <w:rFonts w:ascii="Arial" w:hAnsi="Arial" w:cs="Arial"/>
          <w:sz w:val="24"/>
          <w:szCs w:val="24"/>
        </w:rPr>
        <w:t xml:space="preserve">giving effect to foreign marriage rules which are clearly incompatible with European </w:t>
      </w:r>
      <w:r w:rsidR="006E0E3E">
        <w:rPr>
          <w:rFonts w:ascii="Arial" w:hAnsi="Arial" w:cs="Arial"/>
          <w:sz w:val="24"/>
          <w:szCs w:val="24"/>
        </w:rPr>
        <w:t xml:space="preserve">and international </w:t>
      </w:r>
      <w:r w:rsidR="000A5E14" w:rsidRPr="00956AD3">
        <w:rPr>
          <w:rFonts w:ascii="Arial" w:hAnsi="Arial" w:cs="Arial"/>
          <w:sz w:val="24"/>
          <w:szCs w:val="24"/>
        </w:rPr>
        <w:t>human rights norms</w:t>
      </w:r>
      <w:r w:rsidR="00B31108">
        <w:rPr>
          <w:rFonts w:ascii="Arial" w:hAnsi="Arial" w:cs="Arial"/>
          <w:sz w:val="24"/>
          <w:szCs w:val="24"/>
        </w:rPr>
        <w:t>.</w:t>
      </w:r>
      <w:r w:rsidR="000A5E14" w:rsidRPr="00956AD3">
        <w:rPr>
          <w:rFonts w:ascii="Arial" w:hAnsi="Arial" w:cs="Arial"/>
          <w:sz w:val="24"/>
          <w:szCs w:val="24"/>
        </w:rPr>
        <w:t xml:space="preserve"> </w:t>
      </w:r>
      <w:r w:rsidR="00B31108">
        <w:rPr>
          <w:rFonts w:ascii="Arial" w:hAnsi="Arial" w:cs="Arial"/>
          <w:sz w:val="24"/>
          <w:szCs w:val="24"/>
        </w:rPr>
        <w:t>F</w:t>
      </w:r>
      <w:r w:rsidR="000A5E14" w:rsidRPr="00956AD3">
        <w:rPr>
          <w:rFonts w:ascii="Arial" w:hAnsi="Arial" w:cs="Arial"/>
          <w:sz w:val="24"/>
          <w:szCs w:val="24"/>
        </w:rPr>
        <w:t xml:space="preserve">or example, in the recent case of </w:t>
      </w:r>
      <w:r w:rsidR="000A5E14" w:rsidRPr="00956AD3">
        <w:rPr>
          <w:rFonts w:ascii="Arial" w:hAnsi="Arial" w:cs="Arial"/>
          <w:sz w:val="24"/>
          <w:szCs w:val="24"/>
          <w:u w:val="single"/>
        </w:rPr>
        <w:t>Asaad v Kurter</w:t>
      </w:r>
      <w:r w:rsidR="000A5E14" w:rsidRPr="00956AD3">
        <w:rPr>
          <w:rFonts w:ascii="Arial" w:hAnsi="Arial" w:cs="Arial"/>
          <w:sz w:val="24"/>
          <w:szCs w:val="24"/>
        </w:rPr>
        <w:t xml:space="preserve"> </w:t>
      </w:r>
      <w:r w:rsidR="00B31108">
        <w:rPr>
          <w:rFonts w:ascii="Arial" w:hAnsi="Arial" w:cs="Arial"/>
          <w:sz w:val="24"/>
          <w:szCs w:val="24"/>
        </w:rPr>
        <w:t xml:space="preserve">[2013] EWHC 3852 (Fam) </w:t>
      </w:r>
      <w:r w:rsidR="000A5E14" w:rsidRPr="00956AD3">
        <w:rPr>
          <w:rFonts w:ascii="Arial" w:hAnsi="Arial" w:cs="Arial"/>
          <w:sz w:val="24"/>
          <w:szCs w:val="24"/>
        </w:rPr>
        <w:t xml:space="preserve">it was </w:t>
      </w:r>
      <w:r w:rsidR="004C66F6" w:rsidRPr="00956AD3">
        <w:rPr>
          <w:rFonts w:ascii="Arial" w:hAnsi="Arial" w:cs="Arial"/>
          <w:sz w:val="24"/>
          <w:szCs w:val="24"/>
        </w:rPr>
        <w:t xml:space="preserve">accepted – without any </w:t>
      </w:r>
      <w:r w:rsidR="000A5352">
        <w:rPr>
          <w:rFonts w:ascii="Arial" w:hAnsi="Arial" w:cs="Arial"/>
          <w:sz w:val="24"/>
          <w:szCs w:val="24"/>
        </w:rPr>
        <w:t xml:space="preserve">real </w:t>
      </w:r>
      <w:r w:rsidR="004C66F6" w:rsidRPr="00956AD3">
        <w:rPr>
          <w:rFonts w:ascii="Arial" w:hAnsi="Arial" w:cs="Arial"/>
          <w:sz w:val="24"/>
          <w:szCs w:val="24"/>
        </w:rPr>
        <w:t xml:space="preserve">debate </w:t>
      </w:r>
      <w:r w:rsidR="000A5E14" w:rsidRPr="00956AD3">
        <w:rPr>
          <w:rFonts w:ascii="Arial" w:hAnsi="Arial" w:cs="Arial"/>
          <w:sz w:val="24"/>
          <w:szCs w:val="24"/>
        </w:rPr>
        <w:t xml:space="preserve">– that a marriage celebrated in Syria was formally invalid where the Syrian wife had failed to obtain the government’s consent to marry a non-national (as was required by Syrian law). Nationality based restrictions on marriage have long been considered unacceptable </w:t>
      </w:r>
      <w:r w:rsidR="000A5E14" w:rsidRPr="00956AD3">
        <w:rPr>
          <w:rFonts w:ascii="Arial" w:hAnsi="Arial" w:cs="Arial"/>
          <w:sz w:val="24"/>
          <w:szCs w:val="24"/>
        </w:rPr>
        <w:lastRenderedPageBreak/>
        <w:t>from a human rights perspective</w:t>
      </w:r>
      <w:r w:rsidR="000A5352">
        <w:rPr>
          <w:rFonts w:ascii="Arial" w:hAnsi="Arial" w:cs="Arial"/>
          <w:sz w:val="24"/>
          <w:szCs w:val="24"/>
        </w:rPr>
        <w:t>: f</w:t>
      </w:r>
      <w:r w:rsidR="000A5E14" w:rsidRPr="00956AD3">
        <w:rPr>
          <w:rFonts w:ascii="Arial" w:hAnsi="Arial" w:cs="Arial"/>
          <w:sz w:val="24"/>
          <w:szCs w:val="24"/>
        </w:rPr>
        <w:t>or example</w:t>
      </w:r>
      <w:r w:rsidR="000A5352">
        <w:rPr>
          <w:rFonts w:ascii="Arial" w:hAnsi="Arial" w:cs="Arial"/>
          <w:sz w:val="24"/>
          <w:szCs w:val="24"/>
        </w:rPr>
        <w:t>,</w:t>
      </w:r>
      <w:r w:rsidR="000A5E14" w:rsidRPr="00956AD3">
        <w:rPr>
          <w:rFonts w:ascii="Arial" w:hAnsi="Arial" w:cs="Arial"/>
          <w:sz w:val="24"/>
          <w:szCs w:val="24"/>
        </w:rPr>
        <w:t xml:space="preserve"> Article 16 of th</w:t>
      </w:r>
      <w:r w:rsidR="00045387" w:rsidRPr="00956AD3">
        <w:rPr>
          <w:rFonts w:ascii="Arial" w:hAnsi="Arial" w:cs="Arial"/>
          <w:sz w:val="24"/>
          <w:szCs w:val="24"/>
        </w:rPr>
        <w:t>e U</w:t>
      </w:r>
      <w:r w:rsidR="000A5352">
        <w:rPr>
          <w:rFonts w:ascii="Arial" w:hAnsi="Arial" w:cs="Arial"/>
          <w:sz w:val="24"/>
          <w:szCs w:val="24"/>
        </w:rPr>
        <w:t xml:space="preserve">niversal Declaration </w:t>
      </w:r>
      <w:r w:rsidR="006E0E3E">
        <w:rPr>
          <w:rFonts w:ascii="Arial" w:hAnsi="Arial" w:cs="Arial"/>
          <w:sz w:val="24"/>
          <w:szCs w:val="24"/>
        </w:rPr>
        <w:t>of</w:t>
      </w:r>
      <w:r w:rsidR="000A5352">
        <w:rPr>
          <w:rFonts w:ascii="Arial" w:hAnsi="Arial" w:cs="Arial"/>
          <w:sz w:val="24"/>
          <w:szCs w:val="24"/>
        </w:rPr>
        <w:t xml:space="preserve"> </w:t>
      </w:r>
      <w:r w:rsidR="00045387" w:rsidRPr="00956AD3">
        <w:rPr>
          <w:rFonts w:ascii="Arial" w:hAnsi="Arial" w:cs="Arial"/>
          <w:sz w:val="24"/>
          <w:szCs w:val="24"/>
        </w:rPr>
        <w:t>H</w:t>
      </w:r>
      <w:r w:rsidR="000A5352">
        <w:rPr>
          <w:rFonts w:ascii="Arial" w:hAnsi="Arial" w:cs="Arial"/>
          <w:sz w:val="24"/>
          <w:szCs w:val="24"/>
        </w:rPr>
        <w:t xml:space="preserve">uman </w:t>
      </w:r>
      <w:r w:rsidR="00045387" w:rsidRPr="00956AD3">
        <w:rPr>
          <w:rFonts w:ascii="Arial" w:hAnsi="Arial" w:cs="Arial"/>
          <w:sz w:val="24"/>
          <w:szCs w:val="24"/>
        </w:rPr>
        <w:t>R</w:t>
      </w:r>
      <w:r w:rsidR="000A5352">
        <w:rPr>
          <w:rFonts w:ascii="Arial" w:hAnsi="Arial" w:cs="Arial"/>
          <w:sz w:val="24"/>
          <w:szCs w:val="24"/>
        </w:rPr>
        <w:t>ights,</w:t>
      </w:r>
      <w:r w:rsidR="00045387" w:rsidRPr="00956AD3">
        <w:rPr>
          <w:rFonts w:ascii="Arial" w:hAnsi="Arial" w:cs="Arial"/>
          <w:sz w:val="24"/>
          <w:szCs w:val="24"/>
        </w:rPr>
        <w:t xml:space="preserve"> in guaranteeing the right of marriage</w:t>
      </w:r>
      <w:r w:rsidR="000A5352">
        <w:rPr>
          <w:rFonts w:ascii="Arial" w:hAnsi="Arial" w:cs="Arial"/>
          <w:sz w:val="24"/>
          <w:szCs w:val="24"/>
        </w:rPr>
        <w:t>,</w:t>
      </w:r>
      <w:r w:rsidR="00045387" w:rsidRPr="00956AD3">
        <w:rPr>
          <w:rFonts w:ascii="Arial" w:hAnsi="Arial" w:cs="Arial"/>
          <w:sz w:val="24"/>
          <w:szCs w:val="24"/>
        </w:rPr>
        <w:t xml:space="preserve"> explicitly prohibits any</w:t>
      </w:r>
      <w:r w:rsidR="000A5E14" w:rsidRPr="00956AD3">
        <w:rPr>
          <w:rFonts w:ascii="Arial" w:hAnsi="Arial" w:cs="Arial"/>
          <w:sz w:val="24"/>
          <w:szCs w:val="24"/>
        </w:rPr>
        <w:t xml:space="preserve"> </w:t>
      </w:r>
      <w:r w:rsidR="00045387" w:rsidRPr="00956AD3">
        <w:rPr>
          <w:rFonts w:ascii="Arial" w:hAnsi="Arial" w:cs="Arial"/>
          <w:sz w:val="24"/>
          <w:szCs w:val="24"/>
        </w:rPr>
        <w:t>‘limitation due to</w:t>
      </w:r>
      <w:r w:rsidR="006E0E3E">
        <w:rPr>
          <w:rFonts w:ascii="Arial" w:hAnsi="Arial" w:cs="Arial"/>
          <w:sz w:val="24"/>
          <w:szCs w:val="24"/>
        </w:rPr>
        <w:t>…</w:t>
      </w:r>
      <w:r w:rsidR="00045387" w:rsidRPr="00956AD3">
        <w:rPr>
          <w:rFonts w:ascii="Arial" w:hAnsi="Arial" w:cs="Arial"/>
          <w:sz w:val="24"/>
          <w:szCs w:val="24"/>
        </w:rPr>
        <w:t xml:space="preserve"> nationality’</w:t>
      </w:r>
      <w:r w:rsidR="000A5352">
        <w:rPr>
          <w:rFonts w:ascii="Arial" w:hAnsi="Arial" w:cs="Arial"/>
          <w:sz w:val="24"/>
          <w:szCs w:val="24"/>
        </w:rPr>
        <w:t>. Arbitrary S</w:t>
      </w:r>
      <w:r w:rsidR="00045387" w:rsidRPr="00956AD3">
        <w:rPr>
          <w:rFonts w:ascii="Arial" w:hAnsi="Arial" w:cs="Arial"/>
          <w:sz w:val="24"/>
          <w:szCs w:val="24"/>
        </w:rPr>
        <w:t>tate interference in a person’s choice of spouse has also been condemned by the ECtHR</w:t>
      </w:r>
      <w:r w:rsidR="00484B91">
        <w:rPr>
          <w:rFonts w:ascii="Arial" w:hAnsi="Arial" w:cs="Arial"/>
          <w:sz w:val="24"/>
          <w:szCs w:val="24"/>
        </w:rPr>
        <w:t xml:space="preserve"> (eg in </w:t>
      </w:r>
      <w:r w:rsidR="00484B91" w:rsidRPr="00484B91">
        <w:rPr>
          <w:rFonts w:ascii="Arial" w:hAnsi="Arial" w:cs="Arial"/>
          <w:sz w:val="24"/>
          <w:szCs w:val="24"/>
          <w:u w:val="single"/>
        </w:rPr>
        <w:t>Jaremowicz v Poland</w:t>
      </w:r>
      <w:r w:rsidR="00484B91">
        <w:rPr>
          <w:rFonts w:ascii="Arial" w:hAnsi="Arial" w:cs="Arial"/>
          <w:sz w:val="24"/>
          <w:szCs w:val="24"/>
        </w:rPr>
        <w:t xml:space="preserve"> App No 24023/03, 20 January 2010)</w:t>
      </w:r>
      <w:r w:rsidR="00045387" w:rsidRPr="00956AD3">
        <w:rPr>
          <w:rFonts w:ascii="Arial" w:hAnsi="Arial" w:cs="Arial"/>
          <w:sz w:val="24"/>
          <w:szCs w:val="24"/>
        </w:rPr>
        <w:t xml:space="preserve">. In </w:t>
      </w:r>
      <w:r w:rsidR="00045387" w:rsidRPr="00956AD3">
        <w:rPr>
          <w:rFonts w:ascii="Arial" w:hAnsi="Arial" w:cs="Arial"/>
          <w:sz w:val="24"/>
          <w:szCs w:val="24"/>
          <w:u w:val="single"/>
        </w:rPr>
        <w:t>Asaad</w:t>
      </w:r>
      <w:r w:rsidR="00045387" w:rsidRPr="00956AD3">
        <w:rPr>
          <w:rFonts w:ascii="Arial" w:hAnsi="Arial" w:cs="Arial"/>
          <w:sz w:val="24"/>
          <w:szCs w:val="24"/>
        </w:rPr>
        <w:t xml:space="preserve"> one would have expected at the very least some debate as to whether this rule of Syrian law should be denied effect on public policy grounds – but this point wasn’t raised at all.</w:t>
      </w:r>
    </w:p>
    <w:p w:rsidR="005F4C5E" w:rsidRPr="00956AD3" w:rsidRDefault="00045387" w:rsidP="00B4620D">
      <w:pPr>
        <w:spacing w:line="360" w:lineRule="auto"/>
        <w:jc w:val="both"/>
        <w:rPr>
          <w:rFonts w:ascii="Arial" w:hAnsi="Arial" w:cs="Arial"/>
          <w:sz w:val="24"/>
          <w:szCs w:val="24"/>
        </w:rPr>
      </w:pPr>
      <w:r w:rsidRPr="00956AD3">
        <w:rPr>
          <w:rFonts w:ascii="Arial" w:hAnsi="Arial" w:cs="Arial"/>
          <w:sz w:val="24"/>
          <w:szCs w:val="24"/>
        </w:rPr>
        <w:t>One final example will su</w:t>
      </w:r>
      <w:r w:rsidR="006E0E3E">
        <w:rPr>
          <w:rFonts w:ascii="Arial" w:hAnsi="Arial" w:cs="Arial"/>
          <w:sz w:val="24"/>
          <w:szCs w:val="24"/>
        </w:rPr>
        <w:t>ffice. I</w:t>
      </w:r>
      <w:r w:rsidRPr="00956AD3">
        <w:rPr>
          <w:rFonts w:ascii="Arial" w:hAnsi="Arial" w:cs="Arial"/>
          <w:sz w:val="24"/>
          <w:szCs w:val="24"/>
        </w:rPr>
        <w:t xml:space="preserve">n the late 1960s in </w:t>
      </w:r>
      <w:r w:rsidR="00484B91">
        <w:rPr>
          <w:rFonts w:ascii="Arial" w:hAnsi="Arial" w:cs="Arial"/>
          <w:sz w:val="24"/>
          <w:szCs w:val="24"/>
          <w:u w:val="single"/>
        </w:rPr>
        <w:t>Mohama</w:t>
      </w:r>
      <w:r w:rsidRPr="00956AD3">
        <w:rPr>
          <w:rFonts w:ascii="Arial" w:hAnsi="Arial" w:cs="Arial"/>
          <w:sz w:val="24"/>
          <w:szCs w:val="24"/>
          <w:u w:val="single"/>
        </w:rPr>
        <w:t>d v Knott</w:t>
      </w:r>
      <w:r w:rsidRPr="00956AD3">
        <w:rPr>
          <w:rFonts w:ascii="Arial" w:hAnsi="Arial" w:cs="Arial"/>
          <w:sz w:val="24"/>
          <w:szCs w:val="24"/>
        </w:rPr>
        <w:t xml:space="preserve"> </w:t>
      </w:r>
      <w:r w:rsidR="00484B91">
        <w:rPr>
          <w:rFonts w:ascii="Arial" w:hAnsi="Arial" w:cs="Arial"/>
          <w:sz w:val="24"/>
          <w:szCs w:val="24"/>
        </w:rPr>
        <w:t xml:space="preserve">[1969] 1 QB 1 </w:t>
      </w:r>
      <w:r w:rsidRPr="00956AD3">
        <w:rPr>
          <w:rFonts w:ascii="Arial" w:hAnsi="Arial" w:cs="Arial"/>
          <w:sz w:val="24"/>
          <w:szCs w:val="24"/>
        </w:rPr>
        <w:t xml:space="preserve">the English courts ruled that the marriage in Nigeria of a thirteen </w:t>
      </w:r>
      <w:r w:rsidR="00FF4C2A" w:rsidRPr="00956AD3">
        <w:rPr>
          <w:rFonts w:ascii="Arial" w:hAnsi="Arial" w:cs="Arial"/>
          <w:sz w:val="24"/>
          <w:szCs w:val="24"/>
        </w:rPr>
        <w:t>year old girl and a twenty-six</w:t>
      </w:r>
      <w:r w:rsidRPr="00956AD3">
        <w:rPr>
          <w:rFonts w:ascii="Arial" w:hAnsi="Arial" w:cs="Arial"/>
          <w:sz w:val="24"/>
          <w:szCs w:val="24"/>
        </w:rPr>
        <w:t xml:space="preserve"> year old man, both domiciled in Nigeria, should be recognised in England. </w:t>
      </w:r>
      <w:r w:rsidR="006E0E3E">
        <w:rPr>
          <w:rFonts w:ascii="Arial" w:hAnsi="Arial" w:cs="Arial"/>
          <w:sz w:val="24"/>
          <w:szCs w:val="24"/>
        </w:rPr>
        <w:t>T</w:t>
      </w:r>
      <w:r w:rsidRPr="00956AD3">
        <w:rPr>
          <w:rFonts w:ascii="Arial" w:hAnsi="Arial" w:cs="Arial"/>
          <w:sz w:val="24"/>
          <w:szCs w:val="24"/>
        </w:rPr>
        <w:t>hat case was decided in an era where human rights and the rights of children in particular had yet to be developed</w:t>
      </w:r>
      <w:r w:rsidR="00484B91">
        <w:rPr>
          <w:rFonts w:ascii="Arial" w:hAnsi="Arial" w:cs="Arial"/>
          <w:sz w:val="24"/>
          <w:szCs w:val="24"/>
        </w:rPr>
        <w:t>.</w:t>
      </w:r>
      <w:r w:rsidRPr="00956AD3">
        <w:rPr>
          <w:rFonts w:ascii="Arial" w:hAnsi="Arial" w:cs="Arial"/>
          <w:sz w:val="24"/>
          <w:szCs w:val="24"/>
        </w:rPr>
        <w:t xml:space="preserve"> </w:t>
      </w:r>
      <w:r w:rsidR="00484B91">
        <w:rPr>
          <w:rFonts w:ascii="Arial" w:hAnsi="Arial" w:cs="Arial"/>
          <w:sz w:val="24"/>
          <w:szCs w:val="24"/>
        </w:rPr>
        <w:t>H</w:t>
      </w:r>
      <w:r w:rsidR="00B3083B" w:rsidRPr="00956AD3">
        <w:rPr>
          <w:rFonts w:ascii="Arial" w:hAnsi="Arial" w:cs="Arial"/>
          <w:sz w:val="24"/>
          <w:szCs w:val="24"/>
        </w:rPr>
        <w:t>owever</w:t>
      </w:r>
      <w:r w:rsidR="00484B91">
        <w:rPr>
          <w:rFonts w:ascii="Arial" w:hAnsi="Arial" w:cs="Arial"/>
          <w:sz w:val="24"/>
          <w:szCs w:val="24"/>
        </w:rPr>
        <w:t>,</w:t>
      </w:r>
      <w:r w:rsidR="00B3083B" w:rsidRPr="00956AD3">
        <w:rPr>
          <w:rFonts w:ascii="Arial" w:hAnsi="Arial" w:cs="Arial"/>
          <w:sz w:val="24"/>
          <w:szCs w:val="24"/>
        </w:rPr>
        <w:t xml:space="preserve"> there is now a much greater emphasis on the rights of children and the need to protect them from the responsibilities of marriage – and recent statements from human rights bodies suggest eighteen should be the minimum age for marriage</w:t>
      </w:r>
      <w:r w:rsidR="00484B91">
        <w:rPr>
          <w:rFonts w:ascii="Arial" w:hAnsi="Arial" w:cs="Arial"/>
          <w:sz w:val="24"/>
          <w:szCs w:val="24"/>
        </w:rPr>
        <w:t>.</w:t>
      </w:r>
      <w:r w:rsidR="00B3083B" w:rsidRPr="00956AD3">
        <w:rPr>
          <w:rFonts w:ascii="Arial" w:hAnsi="Arial" w:cs="Arial"/>
          <w:sz w:val="24"/>
          <w:szCs w:val="24"/>
        </w:rPr>
        <w:t xml:space="preserve"> </w:t>
      </w:r>
      <w:r w:rsidR="00484B91">
        <w:rPr>
          <w:rFonts w:ascii="Arial" w:hAnsi="Arial" w:cs="Arial"/>
          <w:sz w:val="24"/>
          <w:szCs w:val="24"/>
        </w:rPr>
        <w:t>Y</w:t>
      </w:r>
      <w:r w:rsidR="00B3083B" w:rsidRPr="00956AD3">
        <w:rPr>
          <w:rFonts w:ascii="Arial" w:hAnsi="Arial" w:cs="Arial"/>
          <w:sz w:val="24"/>
          <w:szCs w:val="24"/>
        </w:rPr>
        <w:t xml:space="preserve">et in a recent case </w:t>
      </w:r>
      <w:r w:rsidR="00FF4C2A" w:rsidRPr="00956AD3">
        <w:rPr>
          <w:rFonts w:ascii="Arial" w:hAnsi="Arial" w:cs="Arial"/>
          <w:sz w:val="24"/>
          <w:szCs w:val="24"/>
          <w:u w:val="single"/>
        </w:rPr>
        <w:t>Mohame</w:t>
      </w:r>
      <w:r w:rsidR="00B3083B" w:rsidRPr="00956AD3">
        <w:rPr>
          <w:rFonts w:ascii="Arial" w:hAnsi="Arial" w:cs="Arial"/>
          <w:sz w:val="24"/>
          <w:szCs w:val="24"/>
          <w:u w:val="single"/>
        </w:rPr>
        <w:t>d v Knott</w:t>
      </w:r>
      <w:r w:rsidR="00B3083B" w:rsidRPr="00956AD3">
        <w:rPr>
          <w:rFonts w:ascii="Arial" w:hAnsi="Arial" w:cs="Arial"/>
          <w:sz w:val="24"/>
          <w:szCs w:val="24"/>
        </w:rPr>
        <w:t xml:space="preserve"> was referred to </w:t>
      </w:r>
      <w:r w:rsidR="00B3083B" w:rsidRPr="00BF322C">
        <w:rPr>
          <w:rFonts w:ascii="Arial" w:hAnsi="Arial" w:cs="Arial"/>
          <w:i/>
          <w:sz w:val="24"/>
          <w:szCs w:val="24"/>
        </w:rPr>
        <w:t>obiter</w:t>
      </w:r>
      <w:r w:rsidR="00B3083B" w:rsidRPr="00956AD3">
        <w:rPr>
          <w:rFonts w:ascii="Arial" w:hAnsi="Arial" w:cs="Arial"/>
          <w:sz w:val="24"/>
          <w:szCs w:val="24"/>
        </w:rPr>
        <w:t xml:space="preserve"> with apparent approval and again there was no </w:t>
      </w:r>
      <w:r w:rsidR="00484B91">
        <w:rPr>
          <w:rFonts w:ascii="Arial" w:hAnsi="Arial" w:cs="Arial"/>
          <w:sz w:val="24"/>
          <w:szCs w:val="24"/>
        </w:rPr>
        <w:t xml:space="preserve">clear </w:t>
      </w:r>
      <w:r w:rsidR="00B3083B" w:rsidRPr="00956AD3">
        <w:rPr>
          <w:rFonts w:ascii="Arial" w:hAnsi="Arial" w:cs="Arial"/>
          <w:sz w:val="24"/>
          <w:szCs w:val="24"/>
        </w:rPr>
        <w:t>sense that the traditional private international law perspective required modification in order to ensure respect for human rights</w:t>
      </w:r>
      <w:r w:rsidR="00484B91">
        <w:rPr>
          <w:rFonts w:ascii="Arial" w:hAnsi="Arial" w:cs="Arial"/>
          <w:sz w:val="24"/>
          <w:szCs w:val="24"/>
        </w:rPr>
        <w:t xml:space="preserve"> (</w:t>
      </w:r>
      <w:r w:rsidR="00484B91" w:rsidRPr="00484B91">
        <w:rPr>
          <w:rFonts w:ascii="Arial" w:hAnsi="Arial" w:cs="Arial"/>
          <w:sz w:val="24"/>
          <w:szCs w:val="24"/>
          <w:u w:val="single"/>
        </w:rPr>
        <w:t>Re K</w:t>
      </w:r>
      <w:r w:rsidR="00484B91">
        <w:rPr>
          <w:rFonts w:ascii="Arial" w:hAnsi="Arial" w:cs="Arial"/>
          <w:sz w:val="24"/>
          <w:szCs w:val="24"/>
        </w:rPr>
        <w:t xml:space="preserve"> [2005] EWHC 2956 (Fam) [31])</w:t>
      </w:r>
      <w:r w:rsidR="00B3083B" w:rsidRPr="00956AD3">
        <w:rPr>
          <w:rFonts w:ascii="Arial" w:hAnsi="Arial" w:cs="Arial"/>
          <w:sz w:val="24"/>
          <w:szCs w:val="24"/>
        </w:rPr>
        <w:t xml:space="preserve">. </w:t>
      </w:r>
    </w:p>
    <w:p w:rsidR="00E85A1F" w:rsidRPr="00956AD3" w:rsidRDefault="005E6D6F" w:rsidP="00B4620D">
      <w:pPr>
        <w:spacing w:line="360" w:lineRule="auto"/>
        <w:jc w:val="both"/>
        <w:rPr>
          <w:rFonts w:ascii="Arial" w:hAnsi="Arial" w:cs="Arial"/>
          <w:sz w:val="24"/>
          <w:szCs w:val="24"/>
        </w:rPr>
      </w:pPr>
      <w:r>
        <w:rPr>
          <w:rFonts w:ascii="Arial" w:hAnsi="Arial" w:cs="Arial"/>
          <w:sz w:val="24"/>
          <w:szCs w:val="24"/>
        </w:rPr>
        <w:t xml:space="preserve">It is therefore clear </w:t>
      </w:r>
      <w:r w:rsidR="00522B15" w:rsidRPr="00956AD3">
        <w:rPr>
          <w:rFonts w:ascii="Arial" w:hAnsi="Arial" w:cs="Arial"/>
          <w:sz w:val="24"/>
          <w:szCs w:val="24"/>
        </w:rPr>
        <w:t>that even modern iterations of private internat</w:t>
      </w:r>
      <w:r w:rsidR="0077409B">
        <w:rPr>
          <w:rFonts w:ascii="Arial" w:hAnsi="Arial" w:cs="Arial"/>
          <w:sz w:val="24"/>
          <w:szCs w:val="24"/>
        </w:rPr>
        <w:t>ional law principle abound</w:t>
      </w:r>
      <w:r w:rsidR="00522B15" w:rsidRPr="00956AD3">
        <w:rPr>
          <w:rFonts w:ascii="Arial" w:hAnsi="Arial" w:cs="Arial"/>
          <w:sz w:val="24"/>
          <w:szCs w:val="24"/>
        </w:rPr>
        <w:t xml:space="preserve"> with statements and requirements which are highly questionable from a human rights perspective</w:t>
      </w:r>
      <w:r>
        <w:rPr>
          <w:rFonts w:ascii="Arial" w:hAnsi="Arial" w:cs="Arial"/>
          <w:sz w:val="24"/>
          <w:szCs w:val="24"/>
        </w:rPr>
        <w:t>,</w:t>
      </w:r>
      <w:r w:rsidR="00EA5523" w:rsidRPr="00956AD3">
        <w:rPr>
          <w:rFonts w:ascii="Arial" w:hAnsi="Arial" w:cs="Arial"/>
          <w:sz w:val="24"/>
          <w:szCs w:val="24"/>
        </w:rPr>
        <w:t xml:space="preserve"> and there is a strong sense that human rights law is not taken seriously in the domain of private international law</w:t>
      </w:r>
      <w:r w:rsidR="006E0E3E">
        <w:rPr>
          <w:rFonts w:ascii="Arial" w:hAnsi="Arial" w:cs="Arial"/>
          <w:sz w:val="24"/>
          <w:szCs w:val="24"/>
        </w:rPr>
        <w:t xml:space="preserve"> rules affecting marriage</w:t>
      </w:r>
      <w:r w:rsidR="00522B15" w:rsidRPr="00956AD3">
        <w:rPr>
          <w:rFonts w:ascii="Arial" w:hAnsi="Arial" w:cs="Arial"/>
          <w:sz w:val="24"/>
          <w:szCs w:val="24"/>
        </w:rPr>
        <w:t xml:space="preserve">. </w:t>
      </w:r>
      <w:r w:rsidR="006E0E3E">
        <w:rPr>
          <w:rFonts w:ascii="Arial" w:hAnsi="Arial" w:cs="Arial"/>
          <w:sz w:val="24"/>
          <w:szCs w:val="24"/>
        </w:rPr>
        <w:t>A</w:t>
      </w:r>
      <w:r w:rsidR="00522B15" w:rsidRPr="00956AD3">
        <w:rPr>
          <w:rFonts w:ascii="Arial" w:hAnsi="Arial" w:cs="Arial"/>
          <w:sz w:val="24"/>
          <w:szCs w:val="24"/>
        </w:rPr>
        <w:t>t the start</w:t>
      </w:r>
      <w:r w:rsidR="00803174">
        <w:rPr>
          <w:rFonts w:ascii="Arial" w:hAnsi="Arial" w:cs="Arial"/>
          <w:sz w:val="24"/>
          <w:szCs w:val="24"/>
        </w:rPr>
        <w:t xml:space="preserve"> of this paper</w:t>
      </w:r>
      <w:r w:rsidR="006E0E3E">
        <w:rPr>
          <w:rFonts w:ascii="Arial" w:hAnsi="Arial" w:cs="Arial"/>
          <w:sz w:val="24"/>
          <w:szCs w:val="24"/>
        </w:rPr>
        <w:t>,</w:t>
      </w:r>
      <w:r>
        <w:rPr>
          <w:rFonts w:ascii="Arial" w:hAnsi="Arial" w:cs="Arial"/>
          <w:sz w:val="24"/>
          <w:szCs w:val="24"/>
        </w:rPr>
        <w:t xml:space="preserve"> it was</w:t>
      </w:r>
      <w:r w:rsidR="00522B15" w:rsidRPr="00956AD3">
        <w:rPr>
          <w:rFonts w:ascii="Arial" w:hAnsi="Arial" w:cs="Arial"/>
          <w:sz w:val="24"/>
          <w:szCs w:val="24"/>
        </w:rPr>
        <w:t xml:space="preserve"> suggested that the disengagement was mutual – and </w:t>
      </w:r>
      <w:r w:rsidR="00900A25" w:rsidRPr="00956AD3">
        <w:rPr>
          <w:rFonts w:ascii="Arial" w:hAnsi="Arial" w:cs="Arial"/>
          <w:sz w:val="24"/>
          <w:szCs w:val="24"/>
        </w:rPr>
        <w:t>by the same token</w:t>
      </w:r>
      <w:r w:rsidR="00EA5523" w:rsidRPr="00956AD3">
        <w:rPr>
          <w:rFonts w:ascii="Arial" w:hAnsi="Arial" w:cs="Arial"/>
          <w:sz w:val="24"/>
          <w:szCs w:val="24"/>
        </w:rPr>
        <w:t xml:space="preserve">, </w:t>
      </w:r>
      <w:r w:rsidR="0053309E" w:rsidRPr="00956AD3">
        <w:rPr>
          <w:rFonts w:ascii="Arial" w:hAnsi="Arial" w:cs="Arial"/>
          <w:sz w:val="24"/>
          <w:szCs w:val="24"/>
        </w:rPr>
        <w:t>t</w:t>
      </w:r>
      <w:r w:rsidR="00F94704" w:rsidRPr="00956AD3">
        <w:rPr>
          <w:rFonts w:ascii="Arial" w:hAnsi="Arial" w:cs="Arial"/>
          <w:sz w:val="24"/>
          <w:szCs w:val="24"/>
        </w:rPr>
        <w:t>he ECtHR can also be accused of a lack of interest in private international law</w:t>
      </w:r>
      <w:r w:rsidR="0053309E" w:rsidRPr="00956AD3">
        <w:rPr>
          <w:rFonts w:ascii="Arial" w:hAnsi="Arial" w:cs="Arial"/>
          <w:sz w:val="24"/>
          <w:szCs w:val="24"/>
        </w:rPr>
        <w:t xml:space="preserve"> and of a failure to apply the Convention in a manner which is sensitive to the methodology and logic of private international law</w:t>
      </w:r>
      <w:r w:rsidR="00E85A1F" w:rsidRPr="00956AD3">
        <w:rPr>
          <w:rFonts w:ascii="Arial" w:hAnsi="Arial" w:cs="Arial"/>
          <w:sz w:val="24"/>
          <w:szCs w:val="24"/>
        </w:rPr>
        <w:t>.</w:t>
      </w:r>
    </w:p>
    <w:p w:rsidR="00E85A1F" w:rsidRPr="00956AD3" w:rsidRDefault="00E85A1F" w:rsidP="00E85A1F">
      <w:pPr>
        <w:spacing w:line="360" w:lineRule="auto"/>
        <w:jc w:val="both"/>
        <w:rPr>
          <w:rFonts w:ascii="Arial" w:hAnsi="Arial" w:cs="Arial"/>
          <w:sz w:val="24"/>
          <w:szCs w:val="24"/>
        </w:rPr>
      </w:pPr>
      <w:r w:rsidRPr="00956AD3">
        <w:rPr>
          <w:rFonts w:ascii="Arial" w:hAnsi="Arial" w:cs="Arial"/>
          <w:sz w:val="24"/>
          <w:szCs w:val="24"/>
        </w:rPr>
        <w:t>There</w:t>
      </w:r>
      <w:r w:rsidR="00F94704" w:rsidRPr="00956AD3">
        <w:rPr>
          <w:rFonts w:ascii="Arial" w:hAnsi="Arial" w:cs="Arial"/>
          <w:sz w:val="24"/>
          <w:szCs w:val="24"/>
        </w:rPr>
        <w:t xml:space="preserve"> </w:t>
      </w:r>
      <w:r w:rsidRPr="00956AD3">
        <w:rPr>
          <w:rFonts w:ascii="Arial" w:hAnsi="Arial" w:cs="Arial"/>
          <w:sz w:val="24"/>
          <w:szCs w:val="24"/>
        </w:rPr>
        <w:t xml:space="preserve">is relatively little ECtHR case-law on foreign marriage recognition </w:t>
      </w:r>
      <w:r w:rsidRPr="006E0E3E">
        <w:rPr>
          <w:rFonts w:ascii="Arial" w:hAnsi="Arial" w:cs="Arial"/>
          <w:i/>
          <w:sz w:val="24"/>
          <w:szCs w:val="24"/>
        </w:rPr>
        <w:t>per se</w:t>
      </w:r>
      <w:r w:rsidRPr="00956AD3">
        <w:rPr>
          <w:rFonts w:ascii="Arial" w:hAnsi="Arial" w:cs="Arial"/>
          <w:sz w:val="24"/>
          <w:szCs w:val="24"/>
        </w:rPr>
        <w:t xml:space="preserve"> – but such case-law as there is on this question</w:t>
      </w:r>
      <w:r w:rsidR="006E0E3E">
        <w:rPr>
          <w:rFonts w:ascii="Arial" w:hAnsi="Arial" w:cs="Arial"/>
          <w:sz w:val="24"/>
          <w:szCs w:val="24"/>
        </w:rPr>
        <w:t>,</w:t>
      </w:r>
      <w:r w:rsidRPr="00956AD3">
        <w:rPr>
          <w:rFonts w:ascii="Arial" w:hAnsi="Arial" w:cs="Arial"/>
          <w:sz w:val="24"/>
          <w:szCs w:val="24"/>
        </w:rPr>
        <w:t xml:space="preserve"> and on marriage </w:t>
      </w:r>
      <w:r w:rsidR="008442DD">
        <w:rPr>
          <w:rFonts w:ascii="Arial" w:hAnsi="Arial" w:cs="Arial"/>
          <w:sz w:val="24"/>
          <w:szCs w:val="24"/>
        </w:rPr>
        <w:t xml:space="preserve">and status </w:t>
      </w:r>
      <w:r w:rsidRPr="00956AD3">
        <w:rPr>
          <w:rFonts w:ascii="Arial" w:hAnsi="Arial" w:cs="Arial"/>
          <w:sz w:val="24"/>
          <w:szCs w:val="24"/>
        </w:rPr>
        <w:t>conflicts more generally</w:t>
      </w:r>
      <w:r w:rsidR="006E0E3E">
        <w:rPr>
          <w:rFonts w:ascii="Arial" w:hAnsi="Arial" w:cs="Arial"/>
          <w:sz w:val="24"/>
          <w:szCs w:val="24"/>
        </w:rPr>
        <w:t>,</w:t>
      </w:r>
      <w:r w:rsidRPr="00956AD3">
        <w:rPr>
          <w:rFonts w:ascii="Arial" w:hAnsi="Arial" w:cs="Arial"/>
          <w:sz w:val="24"/>
          <w:szCs w:val="24"/>
        </w:rPr>
        <w:t xml:space="preserve"> suggests </w:t>
      </w:r>
      <w:r w:rsidR="009D7D65" w:rsidRPr="00956AD3">
        <w:rPr>
          <w:rFonts w:ascii="Arial" w:hAnsi="Arial" w:cs="Arial"/>
          <w:sz w:val="24"/>
          <w:szCs w:val="24"/>
        </w:rPr>
        <w:t>a tendency to either ride roughsho</w:t>
      </w:r>
      <w:r w:rsidR="006E0E3E">
        <w:rPr>
          <w:rFonts w:ascii="Arial" w:hAnsi="Arial" w:cs="Arial"/>
          <w:sz w:val="24"/>
          <w:szCs w:val="24"/>
        </w:rPr>
        <w:t>d all over the conflicts norms,</w:t>
      </w:r>
      <w:r w:rsidR="009D7D65" w:rsidRPr="00956AD3">
        <w:rPr>
          <w:rFonts w:ascii="Arial" w:hAnsi="Arial" w:cs="Arial"/>
          <w:sz w:val="24"/>
          <w:szCs w:val="24"/>
        </w:rPr>
        <w:t xml:space="preserve"> or else to defer to the pr</w:t>
      </w:r>
      <w:r w:rsidR="00086AF6" w:rsidRPr="00956AD3">
        <w:rPr>
          <w:rFonts w:ascii="Arial" w:hAnsi="Arial" w:cs="Arial"/>
          <w:sz w:val="24"/>
          <w:szCs w:val="24"/>
        </w:rPr>
        <w:t>ivate international law perspective</w:t>
      </w:r>
      <w:r w:rsidR="009D7D65" w:rsidRPr="00956AD3">
        <w:rPr>
          <w:rFonts w:ascii="Arial" w:hAnsi="Arial" w:cs="Arial"/>
          <w:sz w:val="24"/>
          <w:szCs w:val="24"/>
        </w:rPr>
        <w:t xml:space="preserve"> wi</w:t>
      </w:r>
      <w:r w:rsidR="006E0E3E">
        <w:rPr>
          <w:rFonts w:ascii="Arial" w:hAnsi="Arial" w:cs="Arial"/>
          <w:sz w:val="24"/>
          <w:szCs w:val="24"/>
        </w:rPr>
        <w:t>thout explaining why it is ECHR-</w:t>
      </w:r>
      <w:r w:rsidR="009D7D65" w:rsidRPr="00956AD3">
        <w:rPr>
          <w:rFonts w:ascii="Arial" w:hAnsi="Arial" w:cs="Arial"/>
          <w:sz w:val="24"/>
          <w:szCs w:val="24"/>
        </w:rPr>
        <w:t xml:space="preserve">compatible. </w:t>
      </w:r>
      <w:r w:rsidR="00FB3BB1">
        <w:rPr>
          <w:rFonts w:ascii="Arial" w:hAnsi="Arial" w:cs="Arial"/>
          <w:sz w:val="24"/>
          <w:szCs w:val="24"/>
        </w:rPr>
        <w:t xml:space="preserve">Certainly, </w:t>
      </w:r>
      <w:r w:rsidR="00803174">
        <w:rPr>
          <w:rFonts w:ascii="Arial" w:hAnsi="Arial" w:cs="Arial"/>
          <w:sz w:val="24"/>
          <w:szCs w:val="24"/>
        </w:rPr>
        <w:t>up</w:t>
      </w:r>
      <w:r w:rsidR="00FB3BB1">
        <w:rPr>
          <w:rFonts w:ascii="Arial" w:hAnsi="Arial" w:cs="Arial"/>
          <w:sz w:val="24"/>
          <w:szCs w:val="24"/>
        </w:rPr>
        <w:t>o</w:t>
      </w:r>
      <w:r w:rsidR="004F348E">
        <w:rPr>
          <w:rFonts w:ascii="Arial" w:hAnsi="Arial" w:cs="Arial"/>
          <w:sz w:val="24"/>
          <w:szCs w:val="24"/>
        </w:rPr>
        <w:t>n reading a variety</w:t>
      </w:r>
      <w:r w:rsidR="00FB3BB1">
        <w:rPr>
          <w:rFonts w:ascii="Arial" w:hAnsi="Arial" w:cs="Arial"/>
          <w:sz w:val="24"/>
          <w:szCs w:val="24"/>
        </w:rPr>
        <w:t xml:space="preserve"> of </w:t>
      </w:r>
      <w:r w:rsidR="004F348E">
        <w:rPr>
          <w:rFonts w:ascii="Arial" w:hAnsi="Arial" w:cs="Arial"/>
          <w:sz w:val="24"/>
          <w:szCs w:val="24"/>
        </w:rPr>
        <w:t xml:space="preserve">ECtHR </w:t>
      </w:r>
      <w:r w:rsidR="00FB3BB1">
        <w:rPr>
          <w:rFonts w:ascii="Arial" w:hAnsi="Arial" w:cs="Arial"/>
          <w:sz w:val="24"/>
          <w:szCs w:val="24"/>
        </w:rPr>
        <w:t xml:space="preserve">judgments, some dealing with private international </w:t>
      </w:r>
      <w:r w:rsidR="004F348E">
        <w:rPr>
          <w:rFonts w:ascii="Arial" w:hAnsi="Arial" w:cs="Arial"/>
          <w:sz w:val="24"/>
          <w:szCs w:val="24"/>
        </w:rPr>
        <w:t xml:space="preserve">law </w:t>
      </w:r>
      <w:r w:rsidR="00FB3BB1">
        <w:rPr>
          <w:rFonts w:ascii="Arial" w:hAnsi="Arial" w:cs="Arial"/>
          <w:sz w:val="24"/>
          <w:szCs w:val="24"/>
        </w:rPr>
        <w:t xml:space="preserve">rules, and some dealing with other areas </w:t>
      </w:r>
      <w:r w:rsidR="00FB3BB1">
        <w:rPr>
          <w:rFonts w:ascii="Arial" w:hAnsi="Arial" w:cs="Arial"/>
          <w:sz w:val="24"/>
          <w:szCs w:val="24"/>
        </w:rPr>
        <w:lastRenderedPageBreak/>
        <w:t>of domestic law, one has the impression of two contrasting approaches being taken. In many cases not concerned with private international law, one encounters ECtHR judges who</w:t>
      </w:r>
      <w:r w:rsidR="004F348E">
        <w:rPr>
          <w:rFonts w:ascii="Arial" w:hAnsi="Arial" w:cs="Arial"/>
          <w:sz w:val="24"/>
          <w:szCs w:val="24"/>
        </w:rPr>
        <w:t xml:space="preserve"> </w:t>
      </w:r>
      <w:r w:rsidR="00FB3BB1">
        <w:rPr>
          <w:rFonts w:ascii="Arial" w:hAnsi="Arial" w:cs="Arial"/>
          <w:sz w:val="24"/>
          <w:szCs w:val="24"/>
        </w:rPr>
        <w:t xml:space="preserve">are willing to </w:t>
      </w:r>
      <w:r w:rsidR="00BF322C">
        <w:rPr>
          <w:rFonts w:ascii="Arial" w:hAnsi="Arial" w:cs="Arial"/>
          <w:sz w:val="24"/>
          <w:szCs w:val="24"/>
        </w:rPr>
        <w:t>roll up their</w:t>
      </w:r>
      <w:r w:rsidR="009D7D65" w:rsidRPr="00956AD3">
        <w:rPr>
          <w:rFonts w:ascii="Arial" w:hAnsi="Arial" w:cs="Arial"/>
          <w:sz w:val="24"/>
          <w:szCs w:val="24"/>
        </w:rPr>
        <w:t xml:space="preserve"> sleeves and </w:t>
      </w:r>
      <w:r w:rsidR="00FB3BB1">
        <w:rPr>
          <w:rFonts w:ascii="Arial" w:hAnsi="Arial" w:cs="Arial"/>
          <w:sz w:val="24"/>
          <w:szCs w:val="24"/>
        </w:rPr>
        <w:t xml:space="preserve">to </w:t>
      </w:r>
      <w:r w:rsidR="009D7D65" w:rsidRPr="00956AD3">
        <w:rPr>
          <w:rFonts w:ascii="Arial" w:hAnsi="Arial" w:cs="Arial"/>
          <w:sz w:val="24"/>
          <w:szCs w:val="24"/>
        </w:rPr>
        <w:t xml:space="preserve">analyse </w:t>
      </w:r>
      <w:r w:rsidR="00FB3BB1">
        <w:rPr>
          <w:rFonts w:ascii="Arial" w:hAnsi="Arial" w:cs="Arial"/>
          <w:sz w:val="24"/>
          <w:szCs w:val="24"/>
        </w:rPr>
        <w:t xml:space="preserve">in detail </w:t>
      </w:r>
      <w:r w:rsidR="009D7D65" w:rsidRPr="00956AD3">
        <w:rPr>
          <w:rFonts w:ascii="Arial" w:hAnsi="Arial" w:cs="Arial"/>
          <w:sz w:val="24"/>
          <w:szCs w:val="24"/>
        </w:rPr>
        <w:t xml:space="preserve">the effectiveness of </w:t>
      </w:r>
      <w:r w:rsidR="004F348E">
        <w:rPr>
          <w:rFonts w:ascii="Arial" w:hAnsi="Arial" w:cs="Arial"/>
          <w:sz w:val="24"/>
          <w:szCs w:val="24"/>
        </w:rPr>
        <w:t xml:space="preserve">domestic </w:t>
      </w:r>
      <w:r w:rsidR="009D7D65" w:rsidRPr="00956AD3">
        <w:rPr>
          <w:rFonts w:ascii="Arial" w:hAnsi="Arial" w:cs="Arial"/>
          <w:sz w:val="24"/>
          <w:szCs w:val="24"/>
        </w:rPr>
        <w:t>legal rules and their capacity to fulfil their stated objec</w:t>
      </w:r>
      <w:r w:rsidR="00FB3BB1">
        <w:rPr>
          <w:rFonts w:ascii="Arial" w:hAnsi="Arial" w:cs="Arial"/>
          <w:sz w:val="24"/>
          <w:szCs w:val="24"/>
        </w:rPr>
        <w:t>tives and their proportionality.</w:t>
      </w:r>
      <w:r w:rsidR="009D7D65" w:rsidRPr="00956AD3">
        <w:rPr>
          <w:rFonts w:ascii="Arial" w:hAnsi="Arial" w:cs="Arial"/>
          <w:sz w:val="24"/>
          <w:szCs w:val="24"/>
        </w:rPr>
        <w:t xml:space="preserve"> </w:t>
      </w:r>
      <w:r w:rsidR="00FB3BB1">
        <w:rPr>
          <w:rFonts w:ascii="Arial" w:hAnsi="Arial" w:cs="Arial"/>
          <w:sz w:val="24"/>
          <w:szCs w:val="24"/>
        </w:rPr>
        <w:t xml:space="preserve">By contrast, </w:t>
      </w:r>
      <w:r w:rsidR="009D7D65" w:rsidRPr="00956AD3">
        <w:rPr>
          <w:rFonts w:ascii="Arial" w:hAnsi="Arial" w:cs="Arial"/>
          <w:sz w:val="24"/>
          <w:szCs w:val="24"/>
        </w:rPr>
        <w:t>in the conflicts cases</w:t>
      </w:r>
      <w:r w:rsidR="00FB3BB1">
        <w:rPr>
          <w:rFonts w:ascii="Arial" w:hAnsi="Arial" w:cs="Arial"/>
          <w:sz w:val="24"/>
          <w:szCs w:val="24"/>
        </w:rPr>
        <w:t xml:space="preserve">, there </w:t>
      </w:r>
      <w:r w:rsidR="009D7D65" w:rsidRPr="00956AD3">
        <w:rPr>
          <w:rFonts w:ascii="Arial" w:hAnsi="Arial" w:cs="Arial"/>
          <w:sz w:val="24"/>
          <w:szCs w:val="24"/>
        </w:rPr>
        <w:t xml:space="preserve">often </w:t>
      </w:r>
      <w:r w:rsidR="00FB3BB1">
        <w:rPr>
          <w:rFonts w:ascii="Arial" w:hAnsi="Arial" w:cs="Arial"/>
          <w:sz w:val="24"/>
          <w:szCs w:val="24"/>
        </w:rPr>
        <w:t xml:space="preserve">appears to be </w:t>
      </w:r>
      <w:r w:rsidR="009D7D65" w:rsidRPr="00956AD3">
        <w:rPr>
          <w:rFonts w:ascii="Arial" w:hAnsi="Arial" w:cs="Arial"/>
          <w:sz w:val="24"/>
          <w:szCs w:val="24"/>
        </w:rPr>
        <w:t>either a bland acceptance or a sweeping unreasoned dismissal</w:t>
      </w:r>
      <w:r w:rsidR="00BF322C">
        <w:rPr>
          <w:rFonts w:ascii="Arial" w:hAnsi="Arial" w:cs="Arial"/>
          <w:sz w:val="24"/>
          <w:szCs w:val="24"/>
        </w:rPr>
        <w:t xml:space="preserve"> of the relevant rule of private international law</w:t>
      </w:r>
      <w:r w:rsidR="009D7D65" w:rsidRPr="00956AD3">
        <w:rPr>
          <w:rFonts w:ascii="Arial" w:hAnsi="Arial" w:cs="Arial"/>
          <w:sz w:val="24"/>
          <w:szCs w:val="24"/>
        </w:rPr>
        <w:t xml:space="preserve">. </w:t>
      </w:r>
    </w:p>
    <w:p w:rsidR="00584555" w:rsidRPr="00956AD3" w:rsidRDefault="00803174" w:rsidP="00E85A1F">
      <w:pPr>
        <w:spacing w:line="360" w:lineRule="auto"/>
        <w:jc w:val="both"/>
        <w:rPr>
          <w:rFonts w:ascii="Arial" w:hAnsi="Arial" w:cs="Arial"/>
          <w:sz w:val="24"/>
          <w:szCs w:val="24"/>
        </w:rPr>
      </w:pPr>
      <w:r>
        <w:rPr>
          <w:rFonts w:ascii="Arial" w:hAnsi="Arial" w:cs="Arial"/>
          <w:sz w:val="24"/>
          <w:szCs w:val="24"/>
        </w:rPr>
        <w:t xml:space="preserve">A relatively recent case </w:t>
      </w:r>
      <w:r w:rsidR="00E85A1F" w:rsidRPr="00956AD3">
        <w:rPr>
          <w:rFonts w:ascii="Arial" w:hAnsi="Arial" w:cs="Arial"/>
          <w:sz w:val="24"/>
          <w:szCs w:val="24"/>
        </w:rPr>
        <w:t xml:space="preserve">on foreign marriage recognition is </w:t>
      </w:r>
      <w:r w:rsidR="00E85A1F" w:rsidRPr="00956AD3">
        <w:rPr>
          <w:rFonts w:ascii="Arial" w:hAnsi="Arial" w:cs="Arial"/>
          <w:sz w:val="24"/>
          <w:szCs w:val="24"/>
          <w:u w:val="single"/>
        </w:rPr>
        <w:t>Green and Farhat v Malta</w:t>
      </w:r>
      <w:r w:rsidR="00BF322C">
        <w:rPr>
          <w:rFonts w:ascii="Arial" w:hAnsi="Arial" w:cs="Arial"/>
          <w:sz w:val="24"/>
          <w:szCs w:val="24"/>
        </w:rPr>
        <w:t xml:space="preserve"> App No 38797/07 6 July 2010</w:t>
      </w:r>
      <w:r w:rsidR="00E85A1F" w:rsidRPr="00956AD3">
        <w:rPr>
          <w:rFonts w:ascii="Arial" w:hAnsi="Arial" w:cs="Arial"/>
          <w:sz w:val="24"/>
          <w:szCs w:val="24"/>
        </w:rPr>
        <w:t xml:space="preserve"> a</w:t>
      </w:r>
      <w:r>
        <w:rPr>
          <w:rFonts w:ascii="Arial" w:hAnsi="Arial" w:cs="Arial"/>
          <w:sz w:val="24"/>
          <w:szCs w:val="24"/>
        </w:rPr>
        <w:t>nd it</w:t>
      </w:r>
      <w:r w:rsidR="009F528F">
        <w:rPr>
          <w:rFonts w:ascii="Arial" w:hAnsi="Arial" w:cs="Arial"/>
          <w:sz w:val="24"/>
          <w:szCs w:val="24"/>
        </w:rPr>
        <w:t xml:space="preserve"> </w:t>
      </w:r>
      <w:r>
        <w:rPr>
          <w:rFonts w:ascii="Arial" w:hAnsi="Arial" w:cs="Arial"/>
          <w:sz w:val="24"/>
          <w:szCs w:val="24"/>
        </w:rPr>
        <w:t xml:space="preserve">is </w:t>
      </w:r>
      <w:r w:rsidR="00BF322C">
        <w:rPr>
          <w:rFonts w:ascii="Arial" w:hAnsi="Arial" w:cs="Arial"/>
          <w:sz w:val="24"/>
          <w:szCs w:val="24"/>
        </w:rPr>
        <w:t>suggest</w:t>
      </w:r>
      <w:r>
        <w:rPr>
          <w:rFonts w:ascii="Arial" w:hAnsi="Arial" w:cs="Arial"/>
          <w:sz w:val="24"/>
          <w:szCs w:val="24"/>
        </w:rPr>
        <w:t>ed</w:t>
      </w:r>
      <w:r w:rsidR="00BF322C">
        <w:rPr>
          <w:rFonts w:ascii="Arial" w:hAnsi="Arial" w:cs="Arial"/>
          <w:sz w:val="24"/>
          <w:szCs w:val="24"/>
        </w:rPr>
        <w:t xml:space="preserve"> that this case belongs in</w:t>
      </w:r>
      <w:r w:rsidR="009F528F">
        <w:rPr>
          <w:rFonts w:ascii="Arial" w:hAnsi="Arial" w:cs="Arial"/>
          <w:sz w:val="24"/>
          <w:szCs w:val="24"/>
        </w:rPr>
        <w:t xml:space="preserve"> the</w:t>
      </w:r>
      <w:r w:rsidR="00E85A1F" w:rsidRPr="00956AD3">
        <w:rPr>
          <w:rFonts w:ascii="Arial" w:hAnsi="Arial" w:cs="Arial"/>
          <w:sz w:val="24"/>
          <w:szCs w:val="24"/>
        </w:rPr>
        <w:t xml:space="preserve"> </w:t>
      </w:r>
      <w:r w:rsidR="009F528F">
        <w:rPr>
          <w:rFonts w:ascii="Arial" w:hAnsi="Arial" w:cs="Arial"/>
          <w:sz w:val="24"/>
          <w:szCs w:val="24"/>
        </w:rPr>
        <w:t>‘</w:t>
      </w:r>
      <w:r w:rsidR="00E85A1F" w:rsidRPr="00956AD3">
        <w:rPr>
          <w:rFonts w:ascii="Arial" w:hAnsi="Arial" w:cs="Arial"/>
          <w:sz w:val="24"/>
          <w:szCs w:val="24"/>
        </w:rPr>
        <w:t>bland deference</w:t>
      </w:r>
      <w:r w:rsidR="009F528F">
        <w:rPr>
          <w:rFonts w:ascii="Arial" w:hAnsi="Arial" w:cs="Arial"/>
          <w:sz w:val="24"/>
          <w:szCs w:val="24"/>
        </w:rPr>
        <w:t>’</w:t>
      </w:r>
      <w:r w:rsidR="00E85A1F" w:rsidRPr="00956AD3">
        <w:rPr>
          <w:rFonts w:ascii="Arial" w:hAnsi="Arial" w:cs="Arial"/>
          <w:sz w:val="24"/>
          <w:szCs w:val="24"/>
        </w:rPr>
        <w:t xml:space="preserve"> category</w:t>
      </w:r>
      <w:r w:rsidR="009E7F67" w:rsidRPr="00956AD3">
        <w:rPr>
          <w:rFonts w:ascii="Arial" w:hAnsi="Arial" w:cs="Arial"/>
          <w:sz w:val="24"/>
          <w:szCs w:val="24"/>
        </w:rPr>
        <w:t>. This case concerned a Maltese refusal to recognise the marriage in Libya of a Maltese woman</w:t>
      </w:r>
      <w:r>
        <w:rPr>
          <w:rFonts w:ascii="Arial" w:hAnsi="Arial" w:cs="Arial"/>
          <w:sz w:val="24"/>
          <w:szCs w:val="24"/>
        </w:rPr>
        <w:t>,</w:t>
      </w:r>
      <w:r w:rsidR="009E7F67" w:rsidRPr="00956AD3">
        <w:rPr>
          <w:rFonts w:ascii="Arial" w:hAnsi="Arial" w:cs="Arial"/>
          <w:sz w:val="24"/>
          <w:szCs w:val="24"/>
        </w:rPr>
        <w:t xml:space="preserve"> who had previously been married in Malta</w:t>
      </w:r>
      <w:r>
        <w:rPr>
          <w:rFonts w:ascii="Arial" w:hAnsi="Arial" w:cs="Arial"/>
          <w:sz w:val="24"/>
          <w:szCs w:val="24"/>
        </w:rPr>
        <w:t>.</w:t>
      </w:r>
      <w:r w:rsidR="009E7F67" w:rsidRPr="00956AD3">
        <w:rPr>
          <w:rFonts w:ascii="Arial" w:hAnsi="Arial" w:cs="Arial"/>
          <w:sz w:val="24"/>
          <w:szCs w:val="24"/>
        </w:rPr>
        <w:t xml:space="preserve"> </w:t>
      </w:r>
      <w:r>
        <w:rPr>
          <w:rFonts w:ascii="Arial" w:hAnsi="Arial" w:cs="Arial"/>
          <w:sz w:val="24"/>
          <w:szCs w:val="24"/>
        </w:rPr>
        <w:t xml:space="preserve">She </w:t>
      </w:r>
      <w:r w:rsidR="009E7F67" w:rsidRPr="00956AD3">
        <w:rPr>
          <w:rFonts w:ascii="Arial" w:hAnsi="Arial" w:cs="Arial"/>
          <w:sz w:val="24"/>
          <w:szCs w:val="24"/>
        </w:rPr>
        <w:t xml:space="preserve">had dissolved her first marriage in accordance with Libyan law prior to marrying </w:t>
      </w:r>
      <w:r w:rsidR="00285472" w:rsidRPr="00956AD3">
        <w:rPr>
          <w:rFonts w:ascii="Arial" w:hAnsi="Arial" w:cs="Arial"/>
          <w:sz w:val="24"/>
          <w:szCs w:val="24"/>
        </w:rPr>
        <w:t xml:space="preserve">a Libyan man </w:t>
      </w:r>
      <w:r w:rsidR="009E7F67" w:rsidRPr="00956AD3">
        <w:rPr>
          <w:rFonts w:ascii="Arial" w:hAnsi="Arial" w:cs="Arial"/>
          <w:sz w:val="24"/>
          <w:szCs w:val="24"/>
        </w:rPr>
        <w:t>in Libya where she lived for the next twenty years with her second husba</w:t>
      </w:r>
      <w:r>
        <w:rPr>
          <w:rFonts w:ascii="Arial" w:hAnsi="Arial" w:cs="Arial"/>
          <w:sz w:val="24"/>
          <w:szCs w:val="24"/>
        </w:rPr>
        <w:t>nd. G</w:t>
      </w:r>
      <w:r w:rsidR="009E7F67" w:rsidRPr="00956AD3">
        <w:rPr>
          <w:rFonts w:ascii="Arial" w:hAnsi="Arial" w:cs="Arial"/>
          <w:sz w:val="24"/>
          <w:szCs w:val="24"/>
        </w:rPr>
        <w:t>iven the extensive ties with Libya, there was a strong argument that Maltese law was out of line with internationally accepted norms of private international law in refusing to accept the validity of the</w:t>
      </w:r>
      <w:r>
        <w:rPr>
          <w:rFonts w:ascii="Arial" w:hAnsi="Arial" w:cs="Arial"/>
          <w:sz w:val="24"/>
          <w:szCs w:val="24"/>
        </w:rPr>
        <w:t xml:space="preserve"> second marriage on these facts.</w:t>
      </w:r>
      <w:r w:rsidR="009E7F67" w:rsidRPr="00956AD3">
        <w:rPr>
          <w:rFonts w:ascii="Arial" w:hAnsi="Arial" w:cs="Arial"/>
          <w:sz w:val="24"/>
          <w:szCs w:val="24"/>
        </w:rPr>
        <w:t xml:space="preserve"> </w:t>
      </w:r>
      <w:r>
        <w:rPr>
          <w:rFonts w:ascii="Arial" w:hAnsi="Arial" w:cs="Arial"/>
          <w:sz w:val="24"/>
          <w:szCs w:val="24"/>
        </w:rPr>
        <w:t>However,</w:t>
      </w:r>
      <w:r w:rsidR="00285472" w:rsidRPr="00956AD3">
        <w:rPr>
          <w:rFonts w:ascii="Arial" w:hAnsi="Arial" w:cs="Arial"/>
          <w:sz w:val="24"/>
          <w:szCs w:val="24"/>
        </w:rPr>
        <w:t xml:space="preserve"> the ECtHR simply accepted the Maltese view that she had failed to prove that her domicile was in Libya</w:t>
      </w:r>
      <w:r>
        <w:rPr>
          <w:rFonts w:ascii="Arial" w:hAnsi="Arial" w:cs="Arial"/>
          <w:sz w:val="24"/>
          <w:szCs w:val="24"/>
        </w:rPr>
        <w:t>,</w:t>
      </w:r>
      <w:r w:rsidR="00285472" w:rsidRPr="00956AD3">
        <w:rPr>
          <w:rFonts w:ascii="Arial" w:hAnsi="Arial" w:cs="Arial"/>
          <w:sz w:val="24"/>
          <w:szCs w:val="24"/>
        </w:rPr>
        <w:t xml:space="preserve"> and that this requirement fell within the sphe</w:t>
      </w:r>
      <w:r w:rsidR="001501DA">
        <w:rPr>
          <w:rFonts w:ascii="Arial" w:hAnsi="Arial" w:cs="Arial"/>
          <w:sz w:val="24"/>
          <w:szCs w:val="24"/>
        </w:rPr>
        <w:t>re of Malta’s public policy. It is true that</w:t>
      </w:r>
      <w:r w:rsidR="00285472" w:rsidRPr="00956AD3">
        <w:rPr>
          <w:rFonts w:ascii="Arial" w:hAnsi="Arial" w:cs="Arial"/>
          <w:sz w:val="24"/>
          <w:szCs w:val="24"/>
        </w:rPr>
        <w:t xml:space="preserve"> there we</w:t>
      </w:r>
      <w:r w:rsidR="00EF35C5">
        <w:rPr>
          <w:rFonts w:ascii="Arial" w:hAnsi="Arial" w:cs="Arial"/>
          <w:sz w:val="24"/>
          <w:szCs w:val="24"/>
        </w:rPr>
        <w:t>re other factors at play here (</w:t>
      </w:r>
      <w:r w:rsidR="00285472" w:rsidRPr="00956AD3">
        <w:rPr>
          <w:rFonts w:ascii="Arial" w:hAnsi="Arial" w:cs="Arial"/>
          <w:sz w:val="24"/>
          <w:szCs w:val="24"/>
        </w:rPr>
        <w:t xml:space="preserve">the first husband had not been notified of the Libyan proceedings and at the time Maltese law did not permit of divorce </w:t>
      </w:r>
      <w:r w:rsidR="00584555" w:rsidRPr="00956AD3">
        <w:rPr>
          <w:rFonts w:ascii="Arial" w:hAnsi="Arial" w:cs="Arial"/>
          <w:sz w:val="24"/>
          <w:szCs w:val="24"/>
        </w:rPr>
        <w:t>–</w:t>
      </w:r>
      <w:r w:rsidR="00285472" w:rsidRPr="00956AD3">
        <w:rPr>
          <w:rFonts w:ascii="Arial" w:hAnsi="Arial" w:cs="Arial"/>
          <w:sz w:val="24"/>
          <w:szCs w:val="24"/>
        </w:rPr>
        <w:t xml:space="preserve"> </w:t>
      </w:r>
      <w:r w:rsidR="00584555" w:rsidRPr="00956AD3">
        <w:rPr>
          <w:rFonts w:ascii="Arial" w:hAnsi="Arial" w:cs="Arial"/>
          <w:sz w:val="24"/>
          <w:szCs w:val="24"/>
        </w:rPr>
        <w:t>and the Court alluded to those factors</w:t>
      </w:r>
      <w:r w:rsidR="00EF35C5">
        <w:rPr>
          <w:rFonts w:ascii="Arial" w:hAnsi="Arial" w:cs="Arial"/>
          <w:sz w:val="24"/>
          <w:szCs w:val="24"/>
        </w:rPr>
        <w:t xml:space="preserve">) </w:t>
      </w:r>
      <w:r w:rsidR="00BD2B02">
        <w:rPr>
          <w:rFonts w:ascii="Arial" w:hAnsi="Arial" w:cs="Arial"/>
          <w:sz w:val="24"/>
          <w:szCs w:val="24"/>
        </w:rPr>
        <w:t>but there appeared to be</w:t>
      </w:r>
      <w:r w:rsidR="00584555" w:rsidRPr="00956AD3">
        <w:rPr>
          <w:rFonts w:ascii="Arial" w:hAnsi="Arial" w:cs="Arial"/>
          <w:sz w:val="24"/>
          <w:szCs w:val="24"/>
        </w:rPr>
        <w:t xml:space="preserve"> no willingness to engage with the argument that a Contracting State has failed to respect a person’s family life (under Article 8</w:t>
      </w:r>
      <w:r w:rsidR="00EF35C5">
        <w:rPr>
          <w:rFonts w:ascii="Arial" w:hAnsi="Arial" w:cs="Arial"/>
          <w:sz w:val="24"/>
          <w:szCs w:val="24"/>
        </w:rPr>
        <w:t xml:space="preserve"> ECHR</w:t>
      </w:r>
      <w:r w:rsidR="00584555" w:rsidRPr="00956AD3">
        <w:rPr>
          <w:rFonts w:ascii="Arial" w:hAnsi="Arial" w:cs="Arial"/>
          <w:sz w:val="24"/>
          <w:szCs w:val="24"/>
        </w:rPr>
        <w:t>)</w:t>
      </w:r>
      <w:r w:rsidR="00BF322C">
        <w:rPr>
          <w:rFonts w:ascii="Arial" w:hAnsi="Arial" w:cs="Arial"/>
          <w:sz w:val="24"/>
          <w:szCs w:val="24"/>
        </w:rPr>
        <w:t xml:space="preserve"> in refusing to accept an alter</w:t>
      </w:r>
      <w:r w:rsidR="00584555" w:rsidRPr="00956AD3">
        <w:rPr>
          <w:rFonts w:ascii="Arial" w:hAnsi="Arial" w:cs="Arial"/>
          <w:sz w:val="24"/>
          <w:szCs w:val="24"/>
        </w:rPr>
        <w:t xml:space="preserve">ation of status </w:t>
      </w:r>
      <w:r w:rsidR="00BF322C">
        <w:rPr>
          <w:rFonts w:ascii="Arial" w:hAnsi="Arial" w:cs="Arial"/>
          <w:sz w:val="24"/>
          <w:szCs w:val="24"/>
        </w:rPr>
        <w:t xml:space="preserve">effected in a country where </w:t>
      </w:r>
      <w:r w:rsidR="00BD2B02">
        <w:rPr>
          <w:rFonts w:ascii="Arial" w:hAnsi="Arial" w:cs="Arial"/>
          <w:sz w:val="24"/>
          <w:szCs w:val="24"/>
        </w:rPr>
        <w:t>that person</w:t>
      </w:r>
      <w:r w:rsidR="00BF322C">
        <w:rPr>
          <w:rFonts w:ascii="Arial" w:hAnsi="Arial" w:cs="Arial"/>
          <w:sz w:val="24"/>
          <w:szCs w:val="24"/>
        </w:rPr>
        <w:t xml:space="preserve"> has </w:t>
      </w:r>
      <w:r w:rsidR="00584555" w:rsidRPr="00956AD3">
        <w:rPr>
          <w:rFonts w:ascii="Arial" w:hAnsi="Arial" w:cs="Arial"/>
          <w:sz w:val="24"/>
          <w:szCs w:val="24"/>
        </w:rPr>
        <w:t>resided for twenty years. And this bland deference is all the more perplexing</w:t>
      </w:r>
      <w:r w:rsidR="00EF35C5">
        <w:rPr>
          <w:rFonts w:ascii="Arial" w:hAnsi="Arial" w:cs="Arial"/>
          <w:sz w:val="24"/>
          <w:szCs w:val="24"/>
        </w:rPr>
        <w:t xml:space="preserve"> when one considers that in two</w:t>
      </w:r>
      <w:r w:rsidR="00BB157C" w:rsidRPr="00956AD3">
        <w:rPr>
          <w:rFonts w:ascii="Arial" w:hAnsi="Arial" w:cs="Arial"/>
          <w:sz w:val="24"/>
          <w:szCs w:val="24"/>
        </w:rPr>
        <w:t xml:space="preserve"> </w:t>
      </w:r>
      <w:r w:rsidR="00584555" w:rsidRPr="00956AD3">
        <w:rPr>
          <w:rFonts w:ascii="Arial" w:hAnsi="Arial" w:cs="Arial"/>
          <w:sz w:val="24"/>
          <w:szCs w:val="24"/>
        </w:rPr>
        <w:t>contemporaneous judgments, the Luxembourg and Greek authoritie</w:t>
      </w:r>
      <w:r w:rsidR="00BD2B02">
        <w:rPr>
          <w:rFonts w:ascii="Arial" w:hAnsi="Arial" w:cs="Arial"/>
          <w:sz w:val="24"/>
          <w:szCs w:val="24"/>
        </w:rPr>
        <w:t>s were</w:t>
      </w:r>
      <w:r w:rsidR="00584555" w:rsidRPr="00956AD3">
        <w:rPr>
          <w:rFonts w:ascii="Arial" w:hAnsi="Arial" w:cs="Arial"/>
          <w:sz w:val="24"/>
          <w:szCs w:val="24"/>
        </w:rPr>
        <w:t xml:space="preserve"> sharply criticised for failing to accept the social reality of a person</w:t>
      </w:r>
      <w:r w:rsidR="001501DA">
        <w:rPr>
          <w:rFonts w:ascii="Arial" w:hAnsi="Arial" w:cs="Arial"/>
          <w:sz w:val="24"/>
          <w:szCs w:val="24"/>
        </w:rPr>
        <w:t>al status conferred by a third S</w:t>
      </w:r>
      <w:r w:rsidR="00584555" w:rsidRPr="00956AD3">
        <w:rPr>
          <w:rFonts w:ascii="Arial" w:hAnsi="Arial" w:cs="Arial"/>
          <w:sz w:val="24"/>
          <w:szCs w:val="24"/>
        </w:rPr>
        <w:t>tate</w:t>
      </w:r>
      <w:r w:rsidR="001501DA">
        <w:rPr>
          <w:rFonts w:ascii="Arial" w:hAnsi="Arial" w:cs="Arial"/>
          <w:sz w:val="24"/>
          <w:szCs w:val="24"/>
        </w:rPr>
        <w:t>,</w:t>
      </w:r>
      <w:r w:rsidR="00584555" w:rsidRPr="00956AD3">
        <w:rPr>
          <w:rFonts w:ascii="Arial" w:hAnsi="Arial" w:cs="Arial"/>
          <w:sz w:val="24"/>
          <w:szCs w:val="24"/>
        </w:rPr>
        <w:t xml:space="preserve"> and were found to be in breach of Article 8 ECHR in failing to recognise the adoptive status of the applicants in those cases</w:t>
      </w:r>
      <w:r w:rsidR="00BD2B02">
        <w:rPr>
          <w:rFonts w:ascii="Arial" w:hAnsi="Arial" w:cs="Arial"/>
          <w:sz w:val="24"/>
          <w:szCs w:val="24"/>
        </w:rPr>
        <w:t xml:space="preserve"> (</w:t>
      </w:r>
      <w:r w:rsidR="00BD2B02" w:rsidRPr="00BD2B02">
        <w:rPr>
          <w:rFonts w:ascii="Arial" w:hAnsi="Arial" w:cs="Arial"/>
          <w:sz w:val="24"/>
          <w:szCs w:val="24"/>
          <w:u w:val="single"/>
        </w:rPr>
        <w:t>Wagner v Luxembourg</w:t>
      </w:r>
      <w:r w:rsidR="00BD2B02">
        <w:rPr>
          <w:rFonts w:ascii="Arial" w:hAnsi="Arial" w:cs="Arial"/>
          <w:sz w:val="24"/>
          <w:szCs w:val="24"/>
        </w:rPr>
        <w:t xml:space="preserve"> App No 76240/01 28 June 2007, </w:t>
      </w:r>
      <w:r w:rsidR="00BD2B02" w:rsidRPr="00BD2B02">
        <w:rPr>
          <w:rFonts w:ascii="Arial" w:hAnsi="Arial" w:cs="Arial"/>
          <w:sz w:val="24"/>
          <w:szCs w:val="24"/>
          <w:u w:val="single"/>
        </w:rPr>
        <w:t>Negrepontis-Giannisis v Greece</w:t>
      </w:r>
      <w:r w:rsidR="00BD2B02">
        <w:rPr>
          <w:rFonts w:ascii="Arial" w:hAnsi="Arial" w:cs="Arial"/>
          <w:sz w:val="24"/>
          <w:szCs w:val="24"/>
        </w:rPr>
        <w:t xml:space="preserve"> App No 56759/08 3 May 2011)</w:t>
      </w:r>
      <w:r w:rsidR="00584555" w:rsidRPr="00956AD3">
        <w:rPr>
          <w:rFonts w:ascii="Arial" w:hAnsi="Arial" w:cs="Arial"/>
          <w:sz w:val="24"/>
          <w:szCs w:val="24"/>
        </w:rPr>
        <w:t>.</w:t>
      </w:r>
      <w:r w:rsidR="00BD2B02">
        <w:rPr>
          <w:rFonts w:ascii="Arial" w:hAnsi="Arial" w:cs="Arial"/>
          <w:sz w:val="24"/>
          <w:szCs w:val="24"/>
        </w:rPr>
        <w:t xml:space="preserve"> When one</w:t>
      </w:r>
      <w:r w:rsidR="008C3260" w:rsidRPr="00956AD3">
        <w:rPr>
          <w:rFonts w:ascii="Arial" w:hAnsi="Arial" w:cs="Arial"/>
          <w:sz w:val="24"/>
          <w:szCs w:val="24"/>
        </w:rPr>
        <w:t xml:space="preserve"> look</w:t>
      </w:r>
      <w:r w:rsidR="00BD2B02">
        <w:rPr>
          <w:rFonts w:ascii="Arial" w:hAnsi="Arial" w:cs="Arial"/>
          <w:sz w:val="24"/>
          <w:szCs w:val="24"/>
        </w:rPr>
        <w:t>s</w:t>
      </w:r>
      <w:r w:rsidR="008C3260" w:rsidRPr="00956AD3">
        <w:rPr>
          <w:rFonts w:ascii="Arial" w:hAnsi="Arial" w:cs="Arial"/>
          <w:sz w:val="24"/>
          <w:szCs w:val="24"/>
        </w:rPr>
        <w:t xml:space="preserve"> at the</w:t>
      </w:r>
      <w:r w:rsidR="001501DA">
        <w:rPr>
          <w:rFonts w:ascii="Arial" w:hAnsi="Arial" w:cs="Arial"/>
          <w:sz w:val="24"/>
          <w:szCs w:val="24"/>
        </w:rPr>
        <w:t>se</w:t>
      </w:r>
      <w:r w:rsidR="008C3260" w:rsidRPr="00956AD3">
        <w:rPr>
          <w:rFonts w:ascii="Arial" w:hAnsi="Arial" w:cs="Arial"/>
          <w:sz w:val="24"/>
          <w:szCs w:val="24"/>
        </w:rPr>
        <w:t xml:space="preserve"> cases in parallel, it’s h</w:t>
      </w:r>
      <w:r w:rsidR="00EF35C5">
        <w:rPr>
          <w:rFonts w:ascii="Arial" w:hAnsi="Arial" w:cs="Arial"/>
          <w:sz w:val="24"/>
          <w:szCs w:val="24"/>
        </w:rPr>
        <w:t>ard to see why the same obligation</w:t>
      </w:r>
      <w:r w:rsidR="008C3260" w:rsidRPr="00956AD3">
        <w:rPr>
          <w:rFonts w:ascii="Arial" w:hAnsi="Arial" w:cs="Arial"/>
          <w:sz w:val="24"/>
          <w:szCs w:val="24"/>
        </w:rPr>
        <w:t xml:space="preserve"> of c</w:t>
      </w:r>
      <w:r w:rsidR="00BD2B02">
        <w:rPr>
          <w:rFonts w:ascii="Arial" w:hAnsi="Arial" w:cs="Arial"/>
          <w:sz w:val="24"/>
          <w:szCs w:val="24"/>
        </w:rPr>
        <w:t>ross-border status recognition sh</w:t>
      </w:r>
      <w:r w:rsidR="008C3260" w:rsidRPr="00956AD3">
        <w:rPr>
          <w:rFonts w:ascii="Arial" w:hAnsi="Arial" w:cs="Arial"/>
          <w:sz w:val="24"/>
          <w:szCs w:val="24"/>
        </w:rPr>
        <w:t>ould</w:t>
      </w:r>
      <w:r w:rsidR="001501DA">
        <w:rPr>
          <w:rFonts w:ascii="Arial" w:hAnsi="Arial" w:cs="Arial"/>
          <w:sz w:val="24"/>
          <w:szCs w:val="24"/>
        </w:rPr>
        <w:t xml:space="preserve"> not apply to marriage</w:t>
      </w:r>
      <w:r w:rsidR="008C3260" w:rsidRPr="00956AD3">
        <w:rPr>
          <w:rFonts w:ascii="Arial" w:hAnsi="Arial" w:cs="Arial"/>
          <w:sz w:val="24"/>
          <w:szCs w:val="24"/>
        </w:rPr>
        <w:t>.</w:t>
      </w:r>
    </w:p>
    <w:p w:rsidR="008C3260" w:rsidRPr="00956AD3" w:rsidRDefault="008C3260" w:rsidP="00E85A1F">
      <w:pPr>
        <w:spacing w:line="360" w:lineRule="auto"/>
        <w:jc w:val="both"/>
        <w:rPr>
          <w:rFonts w:ascii="Arial" w:hAnsi="Arial" w:cs="Arial"/>
          <w:sz w:val="24"/>
          <w:szCs w:val="24"/>
        </w:rPr>
      </w:pPr>
      <w:r w:rsidRPr="00956AD3">
        <w:rPr>
          <w:rFonts w:ascii="Arial" w:hAnsi="Arial" w:cs="Arial"/>
          <w:sz w:val="24"/>
          <w:szCs w:val="24"/>
        </w:rPr>
        <w:lastRenderedPageBreak/>
        <w:t xml:space="preserve">The same kind of bland deference is encountered in </w:t>
      </w:r>
      <w:r w:rsidRPr="00956AD3">
        <w:rPr>
          <w:rFonts w:ascii="Arial" w:hAnsi="Arial" w:cs="Arial"/>
          <w:sz w:val="24"/>
          <w:szCs w:val="24"/>
          <w:u w:val="single"/>
        </w:rPr>
        <w:t>Ammdjadi v Germany</w:t>
      </w:r>
      <w:r w:rsidRPr="00956AD3">
        <w:rPr>
          <w:rFonts w:ascii="Arial" w:hAnsi="Arial" w:cs="Arial"/>
          <w:sz w:val="24"/>
          <w:szCs w:val="24"/>
        </w:rPr>
        <w:t xml:space="preserve"> </w:t>
      </w:r>
      <w:r w:rsidR="008442DD">
        <w:rPr>
          <w:rFonts w:ascii="Arial" w:hAnsi="Arial" w:cs="Arial"/>
          <w:sz w:val="24"/>
          <w:szCs w:val="24"/>
        </w:rPr>
        <w:t xml:space="preserve">App No 51625/08 9 March 2010. In this case, </w:t>
      </w:r>
      <w:r w:rsidRPr="00956AD3">
        <w:rPr>
          <w:rFonts w:ascii="Arial" w:hAnsi="Arial" w:cs="Arial"/>
          <w:sz w:val="24"/>
          <w:szCs w:val="24"/>
        </w:rPr>
        <w:t>an Iranian woman who had been living in Germany for twenty years applied for a share of her husband’s pension in accordance with German law, but this was denied on the basis that such financial provision was governed by the law of the parties’ nationality, here Iranian law which did not provide for such relief. Again it was arguable that the relevant German private international law rules were out of line with modern private international law thinking, and indeed the ECtHR accepted that ‘habitual residence’ was probably a preferable connecting fact</w:t>
      </w:r>
      <w:r w:rsidR="001501DA">
        <w:rPr>
          <w:rFonts w:ascii="Arial" w:hAnsi="Arial" w:cs="Arial"/>
          <w:sz w:val="24"/>
          <w:szCs w:val="24"/>
        </w:rPr>
        <w:t>or. Nonetheless,</w:t>
      </w:r>
      <w:r w:rsidR="00BB157C" w:rsidRPr="00956AD3">
        <w:rPr>
          <w:rFonts w:ascii="Arial" w:hAnsi="Arial" w:cs="Arial"/>
          <w:sz w:val="24"/>
          <w:szCs w:val="24"/>
        </w:rPr>
        <w:t xml:space="preserve"> the complaint was </w:t>
      </w:r>
      <w:r w:rsidRPr="00956AD3">
        <w:rPr>
          <w:rFonts w:ascii="Arial" w:hAnsi="Arial" w:cs="Arial"/>
          <w:sz w:val="24"/>
          <w:szCs w:val="24"/>
        </w:rPr>
        <w:t xml:space="preserve">dismissed </w:t>
      </w:r>
      <w:r w:rsidR="00BB157C" w:rsidRPr="00956AD3">
        <w:rPr>
          <w:rFonts w:ascii="Arial" w:hAnsi="Arial" w:cs="Arial"/>
          <w:sz w:val="24"/>
          <w:szCs w:val="24"/>
        </w:rPr>
        <w:t xml:space="preserve">summarily </w:t>
      </w:r>
      <w:r w:rsidRPr="00956AD3">
        <w:rPr>
          <w:rFonts w:ascii="Arial" w:hAnsi="Arial" w:cs="Arial"/>
          <w:sz w:val="24"/>
          <w:szCs w:val="24"/>
        </w:rPr>
        <w:t>on the basis that it was manifestly unfounded.</w:t>
      </w:r>
      <w:r w:rsidR="008442DD">
        <w:rPr>
          <w:rFonts w:ascii="Arial" w:hAnsi="Arial" w:cs="Arial"/>
          <w:sz w:val="24"/>
          <w:szCs w:val="24"/>
        </w:rPr>
        <w:t xml:space="preserve"> </w:t>
      </w:r>
      <w:r w:rsidRPr="00956AD3">
        <w:rPr>
          <w:rFonts w:ascii="Arial" w:hAnsi="Arial" w:cs="Arial"/>
          <w:sz w:val="24"/>
          <w:szCs w:val="24"/>
        </w:rPr>
        <w:t>So</w:t>
      </w:r>
      <w:r w:rsidR="005D3009" w:rsidRPr="00956AD3">
        <w:rPr>
          <w:rFonts w:ascii="Arial" w:hAnsi="Arial" w:cs="Arial"/>
          <w:sz w:val="24"/>
          <w:szCs w:val="24"/>
        </w:rPr>
        <w:t>,</w:t>
      </w:r>
      <w:r w:rsidRPr="00956AD3">
        <w:rPr>
          <w:rFonts w:ascii="Arial" w:hAnsi="Arial" w:cs="Arial"/>
          <w:sz w:val="24"/>
          <w:szCs w:val="24"/>
        </w:rPr>
        <w:t xml:space="preserve"> as in </w:t>
      </w:r>
      <w:r w:rsidRPr="00956AD3">
        <w:rPr>
          <w:rFonts w:ascii="Arial" w:hAnsi="Arial" w:cs="Arial"/>
          <w:sz w:val="24"/>
          <w:szCs w:val="24"/>
          <w:u w:val="single"/>
        </w:rPr>
        <w:t>Green and Farhat</w:t>
      </w:r>
      <w:r w:rsidR="00CB6AEC" w:rsidRPr="00956AD3">
        <w:rPr>
          <w:rFonts w:ascii="Arial" w:hAnsi="Arial" w:cs="Arial"/>
          <w:sz w:val="24"/>
          <w:szCs w:val="24"/>
          <w:u w:val="single"/>
        </w:rPr>
        <w:t>,</w:t>
      </w:r>
      <w:r w:rsidRPr="00956AD3">
        <w:rPr>
          <w:rFonts w:ascii="Arial" w:hAnsi="Arial" w:cs="Arial"/>
          <w:sz w:val="24"/>
          <w:szCs w:val="24"/>
        </w:rPr>
        <w:t xml:space="preserve"> </w:t>
      </w:r>
      <w:r w:rsidR="008442DD">
        <w:rPr>
          <w:rFonts w:ascii="Arial" w:hAnsi="Arial" w:cs="Arial"/>
          <w:sz w:val="24"/>
          <w:szCs w:val="24"/>
        </w:rPr>
        <w:t xml:space="preserve">in </w:t>
      </w:r>
      <w:r w:rsidR="008442DD" w:rsidRPr="008442DD">
        <w:rPr>
          <w:rFonts w:ascii="Arial" w:hAnsi="Arial" w:cs="Arial"/>
          <w:sz w:val="24"/>
          <w:szCs w:val="24"/>
          <w:u w:val="single"/>
        </w:rPr>
        <w:t>Ammdjadi</w:t>
      </w:r>
      <w:r w:rsidR="008442DD">
        <w:rPr>
          <w:rFonts w:ascii="Arial" w:hAnsi="Arial" w:cs="Arial"/>
          <w:sz w:val="24"/>
          <w:szCs w:val="24"/>
        </w:rPr>
        <w:t>, we</w:t>
      </w:r>
      <w:r w:rsidRPr="00956AD3">
        <w:rPr>
          <w:rFonts w:ascii="Arial" w:hAnsi="Arial" w:cs="Arial"/>
          <w:sz w:val="24"/>
          <w:szCs w:val="24"/>
        </w:rPr>
        <w:t xml:space="preserve"> see </w:t>
      </w:r>
      <w:r w:rsidR="00CB6AEC" w:rsidRPr="00956AD3">
        <w:rPr>
          <w:rFonts w:ascii="Arial" w:hAnsi="Arial" w:cs="Arial"/>
          <w:sz w:val="24"/>
          <w:szCs w:val="24"/>
        </w:rPr>
        <w:t>private international law rules escaping any real scrutiny, with very severe</w:t>
      </w:r>
      <w:r w:rsidR="007A277F">
        <w:rPr>
          <w:rFonts w:ascii="Arial" w:hAnsi="Arial" w:cs="Arial"/>
          <w:sz w:val="24"/>
          <w:szCs w:val="24"/>
        </w:rPr>
        <w:t xml:space="preserve"> consequences for the applicants</w:t>
      </w:r>
      <w:r w:rsidR="00CB6AEC" w:rsidRPr="00956AD3">
        <w:rPr>
          <w:rFonts w:ascii="Arial" w:hAnsi="Arial" w:cs="Arial"/>
          <w:sz w:val="24"/>
          <w:szCs w:val="24"/>
        </w:rPr>
        <w:t xml:space="preserve">. </w:t>
      </w:r>
    </w:p>
    <w:p w:rsidR="00425AD5" w:rsidRPr="00956AD3" w:rsidRDefault="007A277F" w:rsidP="00E85A1F">
      <w:pPr>
        <w:spacing w:line="360" w:lineRule="auto"/>
        <w:jc w:val="both"/>
        <w:rPr>
          <w:rFonts w:ascii="Arial" w:hAnsi="Arial" w:cs="Arial"/>
          <w:sz w:val="24"/>
          <w:szCs w:val="24"/>
        </w:rPr>
      </w:pPr>
      <w:r>
        <w:rPr>
          <w:rFonts w:ascii="Arial" w:hAnsi="Arial" w:cs="Arial"/>
          <w:sz w:val="24"/>
          <w:szCs w:val="24"/>
        </w:rPr>
        <w:t>It was</w:t>
      </w:r>
      <w:r w:rsidR="008C3260" w:rsidRPr="00956AD3">
        <w:rPr>
          <w:rFonts w:ascii="Arial" w:hAnsi="Arial" w:cs="Arial"/>
          <w:sz w:val="24"/>
          <w:szCs w:val="24"/>
        </w:rPr>
        <w:t xml:space="preserve"> suggested earlier that </w:t>
      </w:r>
      <w:r w:rsidR="00425AD5" w:rsidRPr="00956AD3">
        <w:rPr>
          <w:rFonts w:ascii="Arial" w:hAnsi="Arial" w:cs="Arial"/>
          <w:sz w:val="24"/>
          <w:szCs w:val="24"/>
        </w:rPr>
        <w:t>in other cases the ECtHR had ridden roughshod over private inter</w:t>
      </w:r>
      <w:r w:rsidR="00440F15">
        <w:rPr>
          <w:rFonts w:ascii="Arial" w:hAnsi="Arial" w:cs="Arial"/>
          <w:sz w:val="24"/>
          <w:szCs w:val="24"/>
        </w:rPr>
        <w:t xml:space="preserve">national law rules – and </w:t>
      </w:r>
      <w:r w:rsidR="00425AD5" w:rsidRPr="00956AD3">
        <w:rPr>
          <w:rFonts w:ascii="Arial" w:hAnsi="Arial" w:cs="Arial"/>
          <w:sz w:val="24"/>
          <w:szCs w:val="24"/>
        </w:rPr>
        <w:t xml:space="preserve">the </w:t>
      </w:r>
      <w:r w:rsidR="00425AD5" w:rsidRPr="00956AD3">
        <w:rPr>
          <w:rFonts w:ascii="Arial" w:hAnsi="Arial" w:cs="Arial"/>
          <w:sz w:val="24"/>
          <w:szCs w:val="24"/>
          <w:u w:val="single"/>
        </w:rPr>
        <w:t>Wagner</w:t>
      </w:r>
      <w:r w:rsidR="00425AD5" w:rsidRPr="00956AD3">
        <w:rPr>
          <w:rFonts w:ascii="Arial" w:hAnsi="Arial" w:cs="Arial"/>
          <w:sz w:val="24"/>
          <w:szCs w:val="24"/>
        </w:rPr>
        <w:t xml:space="preserve"> case falls into that category.</w:t>
      </w:r>
      <w:r w:rsidR="008442DD">
        <w:rPr>
          <w:rFonts w:ascii="Arial" w:hAnsi="Arial" w:cs="Arial"/>
          <w:sz w:val="24"/>
          <w:szCs w:val="24"/>
        </w:rPr>
        <w:t xml:space="preserve"> </w:t>
      </w:r>
      <w:r w:rsidR="00425AD5" w:rsidRPr="00956AD3">
        <w:rPr>
          <w:rFonts w:ascii="Arial" w:hAnsi="Arial" w:cs="Arial"/>
          <w:sz w:val="24"/>
          <w:szCs w:val="24"/>
        </w:rPr>
        <w:t xml:space="preserve">While the outcome on the facts in </w:t>
      </w:r>
      <w:r w:rsidR="00425AD5" w:rsidRPr="00956AD3">
        <w:rPr>
          <w:rFonts w:ascii="Arial" w:hAnsi="Arial" w:cs="Arial"/>
          <w:sz w:val="24"/>
          <w:szCs w:val="24"/>
          <w:u w:val="single"/>
        </w:rPr>
        <w:t>Wagner</w:t>
      </w:r>
      <w:r w:rsidR="00425AD5" w:rsidRPr="00956AD3">
        <w:rPr>
          <w:rFonts w:ascii="Arial" w:hAnsi="Arial" w:cs="Arial"/>
          <w:sz w:val="24"/>
          <w:szCs w:val="24"/>
        </w:rPr>
        <w:t xml:space="preserve"> made </w:t>
      </w:r>
      <w:r>
        <w:rPr>
          <w:rFonts w:ascii="Arial" w:hAnsi="Arial" w:cs="Arial"/>
          <w:sz w:val="24"/>
          <w:szCs w:val="24"/>
        </w:rPr>
        <w:t>sense and the Court was</w:t>
      </w:r>
      <w:r w:rsidR="00425AD5" w:rsidRPr="00956AD3">
        <w:rPr>
          <w:rFonts w:ascii="Arial" w:hAnsi="Arial" w:cs="Arial"/>
          <w:sz w:val="24"/>
          <w:szCs w:val="24"/>
        </w:rPr>
        <w:t xml:space="preserve"> right to condemn the applicants’ treatment under Luxembour</w:t>
      </w:r>
      <w:r w:rsidR="00440F15">
        <w:rPr>
          <w:rFonts w:ascii="Arial" w:hAnsi="Arial" w:cs="Arial"/>
          <w:sz w:val="24"/>
          <w:szCs w:val="24"/>
        </w:rPr>
        <w:t>g law, it is noteworthy when one</w:t>
      </w:r>
      <w:r w:rsidR="00425AD5" w:rsidRPr="00956AD3">
        <w:rPr>
          <w:rFonts w:ascii="Arial" w:hAnsi="Arial" w:cs="Arial"/>
          <w:sz w:val="24"/>
          <w:szCs w:val="24"/>
        </w:rPr>
        <w:t xml:space="preserve"> read</w:t>
      </w:r>
      <w:r w:rsidR="00440F15">
        <w:rPr>
          <w:rFonts w:ascii="Arial" w:hAnsi="Arial" w:cs="Arial"/>
          <w:sz w:val="24"/>
          <w:szCs w:val="24"/>
        </w:rPr>
        <w:t>s</w:t>
      </w:r>
      <w:r w:rsidR="00425AD5" w:rsidRPr="00956AD3">
        <w:rPr>
          <w:rFonts w:ascii="Arial" w:hAnsi="Arial" w:cs="Arial"/>
          <w:sz w:val="24"/>
          <w:szCs w:val="24"/>
        </w:rPr>
        <w:t xml:space="preserve"> the judgment that there is no real engagement with the private international law rules at issue.</w:t>
      </w:r>
      <w:r w:rsidR="007C3671">
        <w:rPr>
          <w:rStyle w:val="FootnoteReference"/>
          <w:rFonts w:ascii="Arial" w:hAnsi="Arial" w:cs="Arial"/>
          <w:sz w:val="24"/>
          <w:szCs w:val="24"/>
        </w:rPr>
        <w:footnoteReference w:id="3"/>
      </w:r>
      <w:r w:rsidR="00425AD5" w:rsidRPr="00956AD3">
        <w:rPr>
          <w:rFonts w:ascii="Arial" w:hAnsi="Arial" w:cs="Arial"/>
          <w:sz w:val="24"/>
          <w:szCs w:val="24"/>
        </w:rPr>
        <w:t xml:space="preserve"> In this case</w:t>
      </w:r>
      <w:r w:rsidR="007C3671">
        <w:rPr>
          <w:rFonts w:ascii="Arial" w:hAnsi="Arial" w:cs="Arial"/>
          <w:sz w:val="24"/>
          <w:szCs w:val="24"/>
        </w:rPr>
        <w:t>,</w:t>
      </w:r>
      <w:r w:rsidR="00425AD5" w:rsidRPr="00956AD3">
        <w:rPr>
          <w:rFonts w:ascii="Arial" w:hAnsi="Arial" w:cs="Arial"/>
          <w:sz w:val="24"/>
          <w:szCs w:val="24"/>
        </w:rPr>
        <w:t xml:space="preserve"> Luxembourg law made the recognition of overseas adoptions conditional on the overseas authorities applying the same law as that designated by Luxembourg choice of law rules</w:t>
      </w:r>
      <w:r w:rsidR="00877179" w:rsidRPr="00956AD3">
        <w:rPr>
          <w:rFonts w:ascii="Arial" w:hAnsi="Arial" w:cs="Arial"/>
          <w:sz w:val="24"/>
          <w:szCs w:val="24"/>
        </w:rPr>
        <w:t xml:space="preserve"> </w:t>
      </w:r>
      <w:r w:rsidR="00440F15">
        <w:rPr>
          <w:rFonts w:ascii="Arial" w:hAnsi="Arial" w:cs="Arial"/>
          <w:sz w:val="24"/>
          <w:szCs w:val="24"/>
        </w:rPr>
        <w:t>but the ECtHR didn’t comment on</w:t>
      </w:r>
      <w:r w:rsidR="00877179" w:rsidRPr="00956AD3">
        <w:rPr>
          <w:rFonts w:ascii="Arial" w:hAnsi="Arial" w:cs="Arial"/>
          <w:sz w:val="24"/>
          <w:szCs w:val="24"/>
        </w:rPr>
        <w:t xml:space="preserve"> the rationality of that recognition policy</w:t>
      </w:r>
      <w:r w:rsidR="007C3671">
        <w:rPr>
          <w:rFonts w:ascii="Arial" w:hAnsi="Arial" w:cs="Arial"/>
          <w:sz w:val="24"/>
          <w:szCs w:val="24"/>
        </w:rPr>
        <w:t>.</w:t>
      </w:r>
      <w:r w:rsidR="00877179" w:rsidRPr="00956AD3">
        <w:rPr>
          <w:rFonts w:ascii="Arial" w:hAnsi="Arial" w:cs="Arial"/>
          <w:sz w:val="24"/>
          <w:szCs w:val="24"/>
        </w:rPr>
        <w:t xml:space="preserve"> </w:t>
      </w:r>
      <w:r w:rsidR="007C3671">
        <w:rPr>
          <w:rFonts w:ascii="Arial" w:hAnsi="Arial" w:cs="Arial"/>
          <w:sz w:val="24"/>
          <w:szCs w:val="24"/>
        </w:rPr>
        <w:t>T</w:t>
      </w:r>
      <w:r w:rsidR="00877179" w:rsidRPr="00956AD3">
        <w:rPr>
          <w:rFonts w:ascii="Arial" w:hAnsi="Arial" w:cs="Arial"/>
          <w:sz w:val="24"/>
          <w:szCs w:val="24"/>
        </w:rPr>
        <w:t xml:space="preserve">o the extent that it assessed the proportionality of Luxembourg law, it focussed only on the internal law which precluded adoption by unmarried persons and there was no </w:t>
      </w:r>
      <w:r w:rsidR="00D67D15">
        <w:rPr>
          <w:rFonts w:ascii="Arial" w:hAnsi="Arial" w:cs="Arial"/>
          <w:sz w:val="24"/>
          <w:szCs w:val="24"/>
        </w:rPr>
        <w:t xml:space="preserve">reasoned </w:t>
      </w:r>
      <w:r w:rsidR="00877179" w:rsidRPr="00956AD3">
        <w:rPr>
          <w:rFonts w:ascii="Arial" w:hAnsi="Arial" w:cs="Arial"/>
          <w:sz w:val="24"/>
          <w:szCs w:val="24"/>
        </w:rPr>
        <w:t>assessment of the recognition rule.</w:t>
      </w:r>
      <w:r w:rsidR="00425AD5" w:rsidRPr="00956AD3">
        <w:rPr>
          <w:rFonts w:ascii="Arial" w:hAnsi="Arial" w:cs="Arial"/>
          <w:sz w:val="24"/>
          <w:szCs w:val="24"/>
        </w:rPr>
        <w:t xml:space="preserve">  </w:t>
      </w:r>
    </w:p>
    <w:p w:rsidR="0031202A" w:rsidRPr="00956AD3" w:rsidRDefault="00877179" w:rsidP="00B4620D">
      <w:pPr>
        <w:spacing w:line="360" w:lineRule="auto"/>
        <w:jc w:val="both"/>
        <w:rPr>
          <w:rFonts w:ascii="Arial" w:hAnsi="Arial" w:cs="Arial"/>
          <w:sz w:val="24"/>
          <w:szCs w:val="24"/>
        </w:rPr>
      </w:pPr>
      <w:r w:rsidRPr="00956AD3">
        <w:rPr>
          <w:rFonts w:ascii="Arial" w:hAnsi="Arial" w:cs="Arial"/>
          <w:sz w:val="24"/>
          <w:szCs w:val="24"/>
        </w:rPr>
        <w:t xml:space="preserve">The same allegation of riding roughshod </w:t>
      </w:r>
      <w:r w:rsidR="00D67D15">
        <w:rPr>
          <w:rFonts w:ascii="Arial" w:hAnsi="Arial" w:cs="Arial"/>
          <w:sz w:val="24"/>
          <w:szCs w:val="24"/>
        </w:rPr>
        <w:t xml:space="preserve">can be made with respect to </w:t>
      </w:r>
      <w:r w:rsidRPr="00956AD3">
        <w:rPr>
          <w:rFonts w:ascii="Arial" w:hAnsi="Arial" w:cs="Arial"/>
          <w:sz w:val="24"/>
          <w:szCs w:val="24"/>
          <w:u w:val="single"/>
        </w:rPr>
        <w:t>Pellegrini v Italy</w:t>
      </w:r>
      <w:r w:rsidRPr="00956AD3">
        <w:rPr>
          <w:rFonts w:ascii="Arial" w:hAnsi="Arial" w:cs="Arial"/>
          <w:sz w:val="24"/>
          <w:szCs w:val="24"/>
        </w:rPr>
        <w:t xml:space="preserve"> </w:t>
      </w:r>
      <w:r w:rsidR="007A277F">
        <w:rPr>
          <w:rFonts w:ascii="Arial" w:hAnsi="Arial" w:cs="Arial"/>
          <w:sz w:val="24"/>
          <w:szCs w:val="24"/>
        </w:rPr>
        <w:t xml:space="preserve">(2002) 35 EHRR 2 </w:t>
      </w:r>
      <w:r w:rsidRPr="00956AD3">
        <w:rPr>
          <w:rFonts w:ascii="Arial" w:hAnsi="Arial" w:cs="Arial"/>
          <w:sz w:val="24"/>
          <w:szCs w:val="24"/>
        </w:rPr>
        <w:t xml:space="preserve">where the ECtHR ruled that the Italian authorities should satisfy themselves that a third country </w:t>
      </w:r>
      <w:r w:rsidR="005D3009" w:rsidRPr="00956AD3">
        <w:rPr>
          <w:rFonts w:ascii="Arial" w:hAnsi="Arial" w:cs="Arial"/>
          <w:sz w:val="24"/>
          <w:szCs w:val="24"/>
        </w:rPr>
        <w:t>annulment had</w:t>
      </w:r>
      <w:r w:rsidRPr="00956AD3">
        <w:rPr>
          <w:rFonts w:ascii="Arial" w:hAnsi="Arial" w:cs="Arial"/>
          <w:sz w:val="24"/>
          <w:szCs w:val="24"/>
        </w:rPr>
        <w:t xml:space="preserve"> been granted in compliance with Article 6 ECHR </w:t>
      </w:r>
      <w:r w:rsidR="00D67D15">
        <w:rPr>
          <w:rFonts w:ascii="Arial" w:hAnsi="Arial" w:cs="Arial"/>
          <w:sz w:val="24"/>
          <w:szCs w:val="24"/>
        </w:rPr>
        <w:t xml:space="preserve">(fair trial guarantee) </w:t>
      </w:r>
      <w:r w:rsidRPr="00956AD3">
        <w:rPr>
          <w:rFonts w:ascii="Arial" w:hAnsi="Arial" w:cs="Arial"/>
          <w:sz w:val="24"/>
          <w:szCs w:val="24"/>
        </w:rPr>
        <w:t>prior to the recognition of</w:t>
      </w:r>
      <w:r w:rsidR="00D67D15">
        <w:rPr>
          <w:rFonts w:ascii="Arial" w:hAnsi="Arial" w:cs="Arial"/>
          <w:sz w:val="24"/>
          <w:szCs w:val="24"/>
        </w:rPr>
        <w:t xml:space="preserve"> that annulment in Italy. A</w:t>
      </w:r>
      <w:r w:rsidRPr="00956AD3">
        <w:rPr>
          <w:rFonts w:ascii="Arial" w:hAnsi="Arial" w:cs="Arial"/>
          <w:sz w:val="24"/>
          <w:szCs w:val="24"/>
        </w:rPr>
        <w:t>gain there appeared to be no appreciation of the comity and tolerance underpinning private international law</w:t>
      </w:r>
      <w:r w:rsidR="00D67D15">
        <w:rPr>
          <w:rFonts w:ascii="Arial" w:hAnsi="Arial" w:cs="Arial"/>
          <w:sz w:val="24"/>
          <w:szCs w:val="24"/>
        </w:rPr>
        <w:t>,</w:t>
      </w:r>
      <w:r w:rsidRPr="00956AD3">
        <w:rPr>
          <w:rFonts w:ascii="Arial" w:hAnsi="Arial" w:cs="Arial"/>
          <w:sz w:val="24"/>
          <w:szCs w:val="24"/>
        </w:rPr>
        <w:t xml:space="preserve"> and </w:t>
      </w:r>
      <w:r w:rsidR="005D3009" w:rsidRPr="00956AD3">
        <w:rPr>
          <w:rFonts w:ascii="Arial" w:hAnsi="Arial" w:cs="Arial"/>
          <w:sz w:val="24"/>
          <w:szCs w:val="24"/>
        </w:rPr>
        <w:t xml:space="preserve">the desirability of </w:t>
      </w:r>
      <w:r w:rsidRPr="00956AD3">
        <w:rPr>
          <w:rFonts w:ascii="Arial" w:hAnsi="Arial" w:cs="Arial"/>
          <w:sz w:val="24"/>
          <w:szCs w:val="24"/>
        </w:rPr>
        <w:t>extend</w:t>
      </w:r>
      <w:r w:rsidR="005D3009" w:rsidRPr="00956AD3">
        <w:rPr>
          <w:rFonts w:ascii="Arial" w:hAnsi="Arial" w:cs="Arial"/>
          <w:sz w:val="24"/>
          <w:szCs w:val="24"/>
        </w:rPr>
        <w:t>ing</w:t>
      </w:r>
      <w:r w:rsidRPr="00956AD3">
        <w:rPr>
          <w:rFonts w:ascii="Arial" w:hAnsi="Arial" w:cs="Arial"/>
          <w:sz w:val="24"/>
          <w:szCs w:val="24"/>
        </w:rPr>
        <w:t xml:space="preserve"> recognition </w:t>
      </w:r>
      <w:r w:rsidRPr="00956AD3">
        <w:rPr>
          <w:rFonts w:ascii="Arial" w:hAnsi="Arial" w:cs="Arial"/>
          <w:sz w:val="24"/>
          <w:szCs w:val="24"/>
        </w:rPr>
        <w:lastRenderedPageBreak/>
        <w:t xml:space="preserve">even in circumstances where third countries do not adhere to </w:t>
      </w:r>
      <w:r w:rsidR="005D3009" w:rsidRPr="00956AD3">
        <w:rPr>
          <w:rFonts w:ascii="Arial" w:hAnsi="Arial" w:cs="Arial"/>
          <w:sz w:val="24"/>
          <w:szCs w:val="24"/>
        </w:rPr>
        <w:t>precisely the sam</w:t>
      </w:r>
      <w:r w:rsidR="00440F15">
        <w:rPr>
          <w:rFonts w:ascii="Arial" w:hAnsi="Arial" w:cs="Arial"/>
          <w:sz w:val="24"/>
          <w:szCs w:val="24"/>
        </w:rPr>
        <w:t>e standards as the recognising S</w:t>
      </w:r>
      <w:r w:rsidR="005D3009" w:rsidRPr="00956AD3">
        <w:rPr>
          <w:rFonts w:ascii="Arial" w:hAnsi="Arial" w:cs="Arial"/>
          <w:sz w:val="24"/>
          <w:szCs w:val="24"/>
        </w:rPr>
        <w:t>tate.</w:t>
      </w:r>
    </w:p>
    <w:p w:rsidR="006A55E2" w:rsidRPr="00956AD3" w:rsidRDefault="00440F15" w:rsidP="00B4620D">
      <w:pPr>
        <w:spacing w:line="360" w:lineRule="auto"/>
        <w:jc w:val="both"/>
        <w:rPr>
          <w:rFonts w:ascii="Arial" w:hAnsi="Arial" w:cs="Arial"/>
          <w:sz w:val="24"/>
          <w:szCs w:val="24"/>
        </w:rPr>
      </w:pPr>
      <w:r>
        <w:rPr>
          <w:rFonts w:ascii="Arial" w:hAnsi="Arial" w:cs="Arial"/>
          <w:sz w:val="24"/>
          <w:szCs w:val="24"/>
        </w:rPr>
        <w:t>A</w:t>
      </w:r>
      <w:r w:rsidR="00880A25" w:rsidRPr="00956AD3">
        <w:rPr>
          <w:rFonts w:ascii="Arial" w:hAnsi="Arial" w:cs="Arial"/>
          <w:sz w:val="24"/>
          <w:szCs w:val="24"/>
        </w:rPr>
        <w:t>gainst this backdrop</w:t>
      </w:r>
      <w:r>
        <w:rPr>
          <w:rFonts w:ascii="Arial" w:hAnsi="Arial" w:cs="Arial"/>
          <w:sz w:val="24"/>
          <w:szCs w:val="24"/>
        </w:rPr>
        <w:t>,</w:t>
      </w:r>
      <w:r w:rsidR="00880A25" w:rsidRPr="00956AD3">
        <w:rPr>
          <w:rFonts w:ascii="Arial" w:hAnsi="Arial" w:cs="Arial"/>
          <w:sz w:val="24"/>
          <w:szCs w:val="24"/>
        </w:rPr>
        <w:t xml:space="preserve"> </w:t>
      </w:r>
      <w:r>
        <w:rPr>
          <w:rFonts w:ascii="Arial" w:hAnsi="Arial" w:cs="Arial"/>
          <w:sz w:val="24"/>
          <w:szCs w:val="24"/>
        </w:rPr>
        <w:t>it seems</w:t>
      </w:r>
      <w:r w:rsidR="00880A25" w:rsidRPr="00956AD3">
        <w:rPr>
          <w:rFonts w:ascii="Arial" w:hAnsi="Arial" w:cs="Arial"/>
          <w:sz w:val="24"/>
          <w:szCs w:val="24"/>
        </w:rPr>
        <w:t xml:space="preserve"> f</w:t>
      </w:r>
      <w:r>
        <w:rPr>
          <w:rFonts w:ascii="Arial" w:hAnsi="Arial" w:cs="Arial"/>
          <w:sz w:val="24"/>
          <w:szCs w:val="24"/>
        </w:rPr>
        <w:t>air to say that the ECtHR must</w:t>
      </w:r>
      <w:r w:rsidR="00880A25" w:rsidRPr="00956AD3">
        <w:rPr>
          <w:rFonts w:ascii="Arial" w:hAnsi="Arial" w:cs="Arial"/>
          <w:sz w:val="24"/>
          <w:szCs w:val="24"/>
        </w:rPr>
        <w:t xml:space="preserve"> shoulder some of the responsibility for the lack of impact of human rights law on private international law.</w:t>
      </w:r>
      <w:r w:rsidR="0031202A" w:rsidRPr="00956AD3">
        <w:rPr>
          <w:rFonts w:ascii="Arial" w:hAnsi="Arial" w:cs="Arial"/>
          <w:sz w:val="24"/>
          <w:szCs w:val="24"/>
        </w:rPr>
        <w:t xml:space="preserve"> Where it has been faced with facts raising private international law issues, it has often shied away from any engagement with the private international law dimension and has declined to offer coherent guidance to national authorities</w:t>
      </w:r>
      <w:r w:rsidR="00CB6AEC" w:rsidRPr="00956AD3">
        <w:rPr>
          <w:rFonts w:ascii="Arial" w:hAnsi="Arial" w:cs="Arial"/>
          <w:sz w:val="24"/>
          <w:szCs w:val="24"/>
        </w:rPr>
        <w:t xml:space="preserve"> on their human rights obligations in applying private international law rules</w:t>
      </w:r>
      <w:r w:rsidR="0031202A" w:rsidRPr="00956AD3">
        <w:rPr>
          <w:rFonts w:ascii="Arial" w:hAnsi="Arial" w:cs="Arial"/>
          <w:sz w:val="24"/>
          <w:szCs w:val="24"/>
        </w:rPr>
        <w:t>.</w:t>
      </w:r>
      <w:r w:rsidR="00880A25" w:rsidRPr="00956AD3">
        <w:rPr>
          <w:rFonts w:ascii="Arial" w:hAnsi="Arial" w:cs="Arial"/>
          <w:sz w:val="24"/>
          <w:szCs w:val="24"/>
        </w:rPr>
        <w:t xml:space="preserve"> </w:t>
      </w:r>
    </w:p>
    <w:p w:rsidR="00B6470D" w:rsidRPr="00956AD3" w:rsidRDefault="008728D4" w:rsidP="00B6470D">
      <w:pPr>
        <w:spacing w:line="360" w:lineRule="auto"/>
        <w:jc w:val="both"/>
        <w:rPr>
          <w:rFonts w:ascii="Arial" w:hAnsi="Arial" w:cs="Arial"/>
          <w:sz w:val="24"/>
          <w:szCs w:val="24"/>
        </w:rPr>
      </w:pPr>
      <w:r>
        <w:rPr>
          <w:rFonts w:ascii="Arial" w:hAnsi="Arial" w:cs="Arial"/>
          <w:sz w:val="24"/>
          <w:szCs w:val="24"/>
        </w:rPr>
        <w:t xml:space="preserve">As to why the ECtHR has </w:t>
      </w:r>
      <w:r w:rsidR="00B6470D">
        <w:rPr>
          <w:rFonts w:ascii="Arial" w:hAnsi="Arial" w:cs="Arial"/>
          <w:sz w:val="24"/>
          <w:szCs w:val="24"/>
        </w:rPr>
        <w:t xml:space="preserve">so often </w:t>
      </w:r>
      <w:r>
        <w:rPr>
          <w:rFonts w:ascii="Arial" w:hAnsi="Arial" w:cs="Arial"/>
          <w:sz w:val="24"/>
          <w:szCs w:val="24"/>
        </w:rPr>
        <w:t xml:space="preserve">been </w:t>
      </w:r>
      <w:r w:rsidR="00F9735E" w:rsidRPr="00956AD3">
        <w:rPr>
          <w:rFonts w:ascii="Arial" w:hAnsi="Arial" w:cs="Arial"/>
          <w:sz w:val="24"/>
          <w:szCs w:val="24"/>
        </w:rPr>
        <w:t>reluctant to engage meaningfully with private in</w:t>
      </w:r>
      <w:r w:rsidR="00FA5EE1" w:rsidRPr="00956AD3">
        <w:rPr>
          <w:rFonts w:ascii="Arial" w:hAnsi="Arial" w:cs="Arial"/>
          <w:sz w:val="24"/>
          <w:szCs w:val="24"/>
        </w:rPr>
        <w:t xml:space="preserve">ternational law, some </w:t>
      </w:r>
      <w:r w:rsidR="00B6470D">
        <w:rPr>
          <w:rFonts w:ascii="Arial" w:hAnsi="Arial" w:cs="Arial"/>
          <w:sz w:val="24"/>
          <w:szCs w:val="24"/>
        </w:rPr>
        <w:t xml:space="preserve">have </w:t>
      </w:r>
      <w:r w:rsidR="00F9735E" w:rsidRPr="00956AD3">
        <w:rPr>
          <w:rFonts w:ascii="Arial" w:hAnsi="Arial" w:cs="Arial"/>
          <w:sz w:val="24"/>
          <w:szCs w:val="24"/>
        </w:rPr>
        <w:t xml:space="preserve">attributed it to a general tendency on the part of the judges </w:t>
      </w:r>
      <w:r w:rsidR="00CB6AEC" w:rsidRPr="00956AD3">
        <w:rPr>
          <w:rFonts w:ascii="Arial" w:hAnsi="Arial" w:cs="Arial"/>
          <w:sz w:val="24"/>
          <w:szCs w:val="24"/>
        </w:rPr>
        <w:t xml:space="preserve">of the ECtHR </w:t>
      </w:r>
      <w:r w:rsidR="00F9735E" w:rsidRPr="00956AD3">
        <w:rPr>
          <w:rFonts w:ascii="Arial" w:hAnsi="Arial" w:cs="Arial"/>
          <w:sz w:val="24"/>
          <w:szCs w:val="24"/>
        </w:rPr>
        <w:t>to have a background in public law – and a lack of familiarity with private international law.</w:t>
      </w:r>
      <w:r>
        <w:rPr>
          <w:rStyle w:val="FootnoteReference"/>
          <w:rFonts w:ascii="Arial" w:hAnsi="Arial" w:cs="Arial"/>
          <w:sz w:val="24"/>
          <w:szCs w:val="24"/>
        </w:rPr>
        <w:footnoteReference w:id="4"/>
      </w:r>
      <w:r w:rsidR="00F9735E" w:rsidRPr="00956AD3">
        <w:rPr>
          <w:rFonts w:ascii="Arial" w:hAnsi="Arial" w:cs="Arial"/>
          <w:sz w:val="24"/>
          <w:szCs w:val="24"/>
        </w:rPr>
        <w:t xml:space="preserve"> </w:t>
      </w:r>
      <w:r>
        <w:rPr>
          <w:rFonts w:ascii="Arial" w:hAnsi="Arial" w:cs="Arial"/>
          <w:sz w:val="24"/>
          <w:szCs w:val="24"/>
        </w:rPr>
        <w:t>This reluctance</w:t>
      </w:r>
      <w:r w:rsidR="00C55E1F">
        <w:rPr>
          <w:rFonts w:ascii="Arial" w:hAnsi="Arial" w:cs="Arial"/>
          <w:sz w:val="24"/>
          <w:szCs w:val="24"/>
        </w:rPr>
        <w:t xml:space="preserve"> might also be explicable by reference to</w:t>
      </w:r>
      <w:r w:rsidR="00B6470D">
        <w:rPr>
          <w:rFonts w:ascii="Arial" w:hAnsi="Arial" w:cs="Arial"/>
          <w:sz w:val="24"/>
          <w:szCs w:val="24"/>
        </w:rPr>
        <w:t xml:space="preserve"> </w:t>
      </w:r>
      <w:r w:rsidR="00F9735E" w:rsidRPr="00956AD3">
        <w:rPr>
          <w:rFonts w:ascii="Arial" w:hAnsi="Arial" w:cs="Arial"/>
          <w:sz w:val="24"/>
          <w:szCs w:val="24"/>
        </w:rPr>
        <w:t>the very different first principles of these two branches of the law: while human rights law is premised on standardisation and universality, private international law</w:t>
      </w:r>
      <w:r w:rsidR="00CB6AEC" w:rsidRPr="00956AD3">
        <w:rPr>
          <w:rFonts w:ascii="Arial" w:hAnsi="Arial" w:cs="Arial"/>
          <w:sz w:val="24"/>
          <w:szCs w:val="24"/>
        </w:rPr>
        <w:t xml:space="preserve"> is founded on an ethos</w:t>
      </w:r>
      <w:r w:rsidR="00F9735E" w:rsidRPr="00956AD3">
        <w:rPr>
          <w:rFonts w:ascii="Arial" w:hAnsi="Arial" w:cs="Arial"/>
          <w:sz w:val="24"/>
          <w:szCs w:val="24"/>
        </w:rPr>
        <w:t xml:space="preserve"> </w:t>
      </w:r>
      <w:r w:rsidR="00CB6AEC" w:rsidRPr="00956AD3">
        <w:rPr>
          <w:rFonts w:ascii="Arial" w:hAnsi="Arial" w:cs="Arial"/>
          <w:sz w:val="24"/>
          <w:szCs w:val="24"/>
        </w:rPr>
        <w:t xml:space="preserve">of </w:t>
      </w:r>
      <w:r w:rsidR="00F9735E" w:rsidRPr="00956AD3">
        <w:rPr>
          <w:rFonts w:ascii="Arial" w:hAnsi="Arial" w:cs="Arial"/>
          <w:sz w:val="24"/>
          <w:szCs w:val="24"/>
        </w:rPr>
        <w:t>pluralism – and a sense that in cross-border situations one might accept a legal solution whi</w:t>
      </w:r>
      <w:r w:rsidR="0031202A" w:rsidRPr="00956AD3">
        <w:rPr>
          <w:rFonts w:ascii="Arial" w:hAnsi="Arial" w:cs="Arial"/>
          <w:sz w:val="24"/>
          <w:szCs w:val="24"/>
        </w:rPr>
        <w:t>ch would be considered unacceptable</w:t>
      </w:r>
      <w:r w:rsidR="00F9735E" w:rsidRPr="00956AD3">
        <w:rPr>
          <w:rFonts w:ascii="Arial" w:hAnsi="Arial" w:cs="Arial"/>
          <w:sz w:val="24"/>
          <w:szCs w:val="24"/>
        </w:rPr>
        <w:t xml:space="preserve"> in the domestic context. </w:t>
      </w:r>
      <w:r>
        <w:rPr>
          <w:rFonts w:ascii="Arial" w:hAnsi="Arial" w:cs="Arial"/>
          <w:sz w:val="24"/>
          <w:szCs w:val="24"/>
        </w:rPr>
        <w:t>As far as marriage cases are concerned, some of the ECtHR’s re</w:t>
      </w:r>
      <w:r w:rsidR="00B6470D">
        <w:rPr>
          <w:rFonts w:ascii="Arial" w:hAnsi="Arial" w:cs="Arial"/>
          <w:sz w:val="24"/>
          <w:szCs w:val="24"/>
        </w:rPr>
        <w:t>ticence may also be due</w:t>
      </w:r>
      <w:r>
        <w:rPr>
          <w:rFonts w:ascii="Arial" w:hAnsi="Arial" w:cs="Arial"/>
          <w:sz w:val="24"/>
          <w:szCs w:val="24"/>
        </w:rPr>
        <w:t xml:space="preserve"> to the uncertainty as to whether Article 12 ECHR (the right to marry) applies to foreign marriage recognition at all. I</w:t>
      </w:r>
      <w:r w:rsidR="00FA5EE1" w:rsidRPr="00956AD3">
        <w:rPr>
          <w:rFonts w:ascii="Arial" w:hAnsi="Arial" w:cs="Arial"/>
          <w:sz w:val="24"/>
          <w:szCs w:val="24"/>
        </w:rPr>
        <w:t xml:space="preserve">n </w:t>
      </w:r>
      <w:r w:rsidR="00FA5EE1" w:rsidRPr="00956AD3">
        <w:rPr>
          <w:rFonts w:ascii="Arial" w:hAnsi="Arial" w:cs="Arial"/>
          <w:sz w:val="24"/>
          <w:szCs w:val="24"/>
          <w:u w:val="single"/>
        </w:rPr>
        <w:t>Sheffield and Horsham</w:t>
      </w:r>
      <w:r w:rsidR="00440F15">
        <w:rPr>
          <w:rFonts w:ascii="Arial" w:hAnsi="Arial" w:cs="Arial"/>
          <w:sz w:val="24"/>
          <w:szCs w:val="24"/>
          <w:u w:val="single"/>
        </w:rPr>
        <w:t xml:space="preserve"> v UK</w:t>
      </w:r>
      <w:r w:rsidR="00FA5EE1" w:rsidRPr="00956AD3">
        <w:rPr>
          <w:rFonts w:ascii="Arial" w:hAnsi="Arial" w:cs="Arial"/>
          <w:sz w:val="24"/>
          <w:szCs w:val="24"/>
        </w:rPr>
        <w:t xml:space="preserve"> </w:t>
      </w:r>
      <w:r w:rsidR="00B6470D">
        <w:rPr>
          <w:rFonts w:ascii="Arial" w:hAnsi="Arial" w:cs="Arial"/>
          <w:sz w:val="24"/>
          <w:szCs w:val="24"/>
        </w:rPr>
        <w:t>(1999</w:t>
      </w:r>
      <w:r w:rsidR="0080774C" w:rsidRPr="00956AD3">
        <w:rPr>
          <w:rFonts w:ascii="Arial" w:hAnsi="Arial" w:cs="Arial"/>
          <w:sz w:val="24"/>
          <w:szCs w:val="24"/>
        </w:rPr>
        <w:t>)</w:t>
      </w:r>
      <w:r w:rsidR="00B6470D">
        <w:rPr>
          <w:rFonts w:ascii="Arial" w:hAnsi="Arial" w:cs="Arial"/>
          <w:sz w:val="24"/>
          <w:szCs w:val="24"/>
        </w:rPr>
        <w:t xml:space="preserve"> 27 EHRR 163</w:t>
      </w:r>
      <w:r w:rsidR="00B4620D" w:rsidRPr="00956AD3">
        <w:rPr>
          <w:rFonts w:ascii="Arial" w:hAnsi="Arial" w:cs="Arial"/>
          <w:sz w:val="24"/>
          <w:szCs w:val="24"/>
        </w:rPr>
        <w:t xml:space="preserve"> it was suggested that </w:t>
      </w:r>
      <w:r w:rsidR="00B6470D">
        <w:rPr>
          <w:rFonts w:ascii="Arial" w:hAnsi="Arial" w:cs="Arial"/>
          <w:sz w:val="24"/>
          <w:szCs w:val="24"/>
        </w:rPr>
        <w:t xml:space="preserve">it did not; however, other case-law suggests the contrary (eg </w:t>
      </w:r>
      <w:r w:rsidR="00B6470D" w:rsidRPr="00B6470D">
        <w:rPr>
          <w:rFonts w:ascii="Arial" w:hAnsi="Arial" w:cs="Arial"/>
          <w:sz w:val="24"/>
          <w:szCs w:val="24"/>
          <w:u w:val="single"/>
        </w:rPr>
        <w:t>City of Westminster v IC</w:t>
      </w:r>
      <w:r w:rsidR="00B6470D">
        <w:rPr>
          <w:rFonts w:ascii="Arial" w:hAnsi="Arial" w:cs="Arial"/>
          <w:sz w:val="24"/>
          <w:szCs w:val="24"/>
        </w:rPr>
        <w:t xml:space="preserve"> [2008] EWCA Civ 198 (CA). </w:t>
      </w:r>
    </w:p>
    <w:p w:rsidR="005A0E58" w:rsidRPr="00956AD3" w:rsidRDefault="005A0E58" w:rsidP="00B4620D">
      <w:pPr>
        <w:spacing w:line="360" w:lineRule="auto"/>
        <w:jc w:val="both"/>
        <w:rPr>
          <w:rFonts w:ascii="Arial" w:hAnsi="Arial" w:cs="Arial"/>
          <w:sz w:val="24"/>
          <w:szCs w:val="24"/>
        </w:rPr>
      </w:pPr>
    </w:p>
    <w:p w:rsidR="0044124D" w:rsidRPr="00956AD3" w:rsidRDefault="0044124D" w:rsidP="00B4620D">
      <w:pPr>
        <w:spacing w:line="360" w:lineRule="auto"/>
        <w:jc w:val="both"/>
        <w:rPr>
          <w:rFonts w:ascii="Arial" w:hAnsi="Arial" w:cs="Arial"/>
          <w:sz w:val="24"/>
          <w:szCs w:val="24"/>
        </w:rPr>
      </w:pPr>
    </w:p>
    <w:p w:rsidR="005A0E58" w:rsidRPr="00956AD3" w:rsidRDefault="005A0E58" w:rsidP="00B4620D">
      <w:pPr>
        <w:spacing w:line="360" w:lineRule="auto"/>
        <w:jc w:val="both"/>
        <w:rPr>
          <w:rFonts w:ascii="Arial" w:hAnsi="Arial" w:cs="Arial"/>
          <w:sz w:val="24"/>
          <w:szCs w:val="24"/>
        </w:rPr>
      </w:pPr>
    </w:p>
    <w:p w:rsidR="00F3568D" w:rsidRPr="00956AD3" w:rsidRDefault="00F3568D" w:rsidP="00B4620D">
      <w:pPr>
        <w:spacing w:line="360" w:lineRule="auto"/>
        <w:jc w:val="both"/>
        <w:rPr>
          <w:rFonts w:ascii="Arial" w:hAnsi="Arial" w:cs="Arial"/>
          <w:sz w:val="24"/>
          <w:szCs w:val="24"/>
        </w:rPr>
      </w:pPr>
    </w:p>
    <w:p w:rsidR="008E64EA" w:rsidRPr="00956AD3" w:rsidRDefault="008E64EA" w:rsidP="00B4620D">
      <w:pPr>
        <w:spacing w:line="360" w:lineRule="auto"/>
        <w:jc w:val="both"/>
        <w:rPr>
          <w:rFonts w:ascii="Arial" w:hAnsi="Arial" w:cs="Arial"/>
          <w:sz w:val="24"/>
          <w:szCs w:val="24"/>
        </w:rPr>
      </w:pPr>
    </w:p>
    <w:p w:rsidR="00EA56B5" w:rsidRPr="00956AD3" w:rsidRDefault="00EA56B5" w:rsidP="00B4620D">
      <w:pPr>
        <w:spacing w:line="360" w:lineRule="auto"/>
        <w:jc w:val="both"/>
        <w:rPr>
          <w:rFonts w:ascii="Arial" w:hAnsi="Arial" w:cs="Arial"/>
          <w:sz w:val="24"/>
          <w:szCs w:val="24"/>
        </w:rPr>
      </w:pPr>
    </w:p>
    <w:sectPr w:rsidR="00EA56B5" w:rsidRPr="00956AD3" w:rsidSect="003074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D3" w:rsidRDefault="005A00D3" w:rsidP="00F512CB">
      <w:pPr>
        <w:spacing w:after="0" w:line="240" w:lineRule="auto"/>
      </w:pPr>
      <w:r>
        <w:separator/>
      </w:r>
    </w:p>
  </w:endnote>
  <w:endnote w:type="continuationSeparator" w:id="0">
    <w:p w:rsidR="005A00D3" w:rsidRDefault="005A00D3" w:rsidP="00F5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7407"/>
      <w:docPartObj>
        <w:docPartGallery w:val="Page Numbers (Bottom of Page)"/>
        <w:docPartUnique/>
      </w:docPartObj>
    </w:sdtPr>
    <w:sdtEndPr/>
    <w:sdtContent>
      <w:p w:rsidR="00F512CB" w:rsidRDefault="002D3E6C">
        <w:pPr>
          <w:pStyle w:val="Footer"/>
          <w:jc w:val="center"/>
        </w:pPr>
        <w:r>
          <w:fldChar w:fldCharType="begin"/>
        </w:r>
        <w:r>
          <w:instrText xml:space="preserve"> PAGE   \* MERGEFORMAT </w:instrText>
        </w:r>
        <w:r>
          <w:fldChar w:fldCharType="separate"/>
        </w:r>
        <w:r w:rsidR="00573891">
          <w:rPr>
            <w:noProof/>
          </w:rPr>
          <w:t>8</w:t>
        </w:r>
        <w:r>
          <w:rPr>
            <w:noProof/>
          </w:rPr>
          <w:fldChar w:fldCharType="end"/>
        </w:r>
      </w:p>
    </w:sdtContent>
  </w:sdt>
  <w:p w:rsidR="00F512CB" w:rsidRDefault="00F5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D3" w:rsidRDefault="005A00D3" w:rsidP="00F512CB">
      <w:pPr>
        <w:spacing w:after="0" w:line="240" w:lineRule="auto"/>
      </w:pPr>
      <w:r>
        <w:separator/>
      </w:r>
    </w:p>
  </w:footnote>
  <w:footnote w:type="continuationSeparator" w:id="0">
    <w:p w:rsidR="005A00D3" w:rsidRDefault="005A00D3" w:rsidP="00F512CB">
      <w:pPr>
        <w:spacing w:after="0" w:line="240" w:lineRule="auto"/>
      </w:pPr>
      <w:r>
        <w:continuationSeparator/>
      </w:r>
    </w:p>
  </w:footnote>
  <w:footnote w:id="1">
    <w:p w:rsidR="00956AD3" w:rsidRPr="001E4BE2" w:rsidRDefault="00956AD3" w:rsidP="001E4BE2">
      <w:pPr>
        <w:pStyle w:val="FootnoteText"/>
        <w:jc w:val="both"/>
      </w:pPr>
      <w:r w:rsidRPr="001E4BE2">
        <w:rPr>
          <w:rStyle w:val="FootnoteReference"/>
        </w:rPr>
        <w:footnoteRef/>
      </w:r>
      <w:r w:rsidRPr="001E4BE2">
        <w:t xml:space="preserve"> </w:t>
      </w:r>
      <w:r w:rsidRPr="001E4BE2">
        <w:rPr>
          <w:rFonts w:ascii="Arial" w:hAnsi="Arial" w:cs="Arial"/>
        </w:rPr>
        <w:t>Paper delivered at conference on ‘Culture, Dispute Resolution and the Modernised Family’ 6-8 July 2016 (conference organised by International Centre for Family Law, Policy and Practice and King’s College London)</w:t>
      </w:r>
      <w:r w:rsidR="001E4BE2" w:rsidRPr="001E4BE2">
        <w:rPr>
          <w:rFonts w:ascii="Arial" w:hAnsi="Arial" w:cs="Arial"/>
        </w:rPr>
        <w:t xml:space="preserve">. This paper draws on research undertaken in writing chapter 11 of Fawcett, Ní Shúilleabháin and Shah, </w:t>
      </w:r>
      <w:r w:rsidR="001E4BE2" w:rsidRPr="001E4BE2">
        <w:rPr>
          <w:rFonts w:ascii="Arial" w:hAnsi="Arial" w:cs="Arial"/>
          <w:i/>
        </w:rPr>
        <w:t xml:space="preserve">Human Rights and Private International Law </w:t>
      </w:r>
      <w:r w:rsidR="001E4BE2" w:rsidRPr="001E4BE2">
        <w:rPr>
          <w:rFonts w:ascii="Arial" w:hAnsi="Arial" w:cs="Arial"/>
        </w:rPr>
        <w:t xml:space="preserve">(Oxford University Press, 2016). </w:t>
      </w:r>
    </w:p>
  </w:footnote>
  <w:footnote w:id="2">
    <w:p w:rsidR="0073632B" w:rsidRDefault="0073632B">
      <w:pPr>
        <w:pStyle w:val="FootnoteText"/>
      </w:pPr>
      <w:r>
        <w:rPr>
          <w:rStyle w:val="FootnoteReference"/>
        </w:rPr>
        <w:footnoteRef/>
      </w:r>
      <w:r>
        <w:t xml:space="preserve"> See eg </w:t>
      </w:r>
      <w:r w:rsidRPr="0073632B">
        <w:rPr>
          <w:u w:val="single"/>
        </w:rPr>
        <w:t>O’Donoghue v UK</w:t>
      </w:r>
      <w:r>
        <w:t xml:space="preserve"> (2011) 53 EHRR 1.</w:t>
      </w:r>
    </w:p>
  </w:footnote>
  <w:footnote w:id="3">
    <w:p w:rsidR="007C3671" w:rsidRDefault="007C3671" w:rsidP="007C3671">
      <w:pPr>
        <w:pStyle w:val="FootnoteText"/>
        <w:jc w:val="both"/>
        <w:rPr>
          <w:rFonts w:ascii="Times New Roman" w:hAnsi="Times New Roman"/>
          <w:lang w:val="en-IE"/>
        </w:rPr>
      </w:pPr>
      <w:r>
        <w:rPr>
          <w:rStyle w:val="FootnoteReference"/>
        </w:rPr>
        <w:footnoteRef/>
      </w:r>
      <w:r>
        <w:t xml:space="preserve"> </w:t>
      </w:r>
      <w:r>
        <w:rPr>
          <w:rFonts w:ascii="Times New Roman" w:hAnsi="Times New Roman"/>
        </w:rPr>
        <w:t xml:space="preserve">This was noted by P Kinsch, ‘Recognition in the Forum of a Status Acquired Abroad – Private International Law Rules and European Human Rights Law’ in K Boele-Woelki et al (eds), </w:t>
      </w:r>
      <w:r>
        <w:rPr>
          <w:rFonts w:ascii="Times New Roman" w:hAnsi="Times New Roman"/>
          <w:i/>
        </w:rPr>
        <w:t>Convergence and Divergence in Private International Law – Liber Amicorum Kurt Siehr</w:t>
      </w:r>
      <w:r>
        <w:rPr>
          <w:rFonts w:ascii="Times New Roman" w:hAnsi="Times New Roman"/>
        </w:rPr>
        <w:t xml:space="preserve"> (Eleven International, The Hague 2010) 264.</w:t>
      </w:r>
    </w:p>
    <w:p w:rsidR="007C3671" w:rsidRDefault="007C3671">
      <w:pPr>
        <w:pStyle w:val="FootnoteText"/>
      </w:pPr>
      <w:bookmarkStart w:id="0" w:name="_GoBack"/>
      <w:bookmarkEnd w:id="0"/>
    </w:p>
  </w:footnote>
  <w:footnote w:id="4">
    <w:p w:rsidR="008728D4" w:rsidRDefault="008728D4">
      <w:pPr>
        <w:pStyle w:val="FootnoteText"/>
      </w:pPr>
      <w:r>
        <w:rPr>
          <w:rStyle w:val="FootnoteReference"/>
        </w:rPr>
        <w:footnoteRef/>
      </w:r>
      <w:r>
        <w:t xml:space="preserve"> See Kinsch, </w:t>
      </w:r>
      <w:r w:rsidRPr="008728D4">
        <w:rPr>
          <w:i/>
        </w:rPr>
        <w:t>op cit</w:t>
      </w:r>
      <w:r>
        <w:t>, 260.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B5"/>
    <w:rsid w:val="00012A7A"/>
    <w:rsid w:val="00032004"/>
    <w:rsid w:val="00045387"/>
    <w:rsid w:val="00063CE9"/>
    <w:rsid w:val="0006647A"/>
    <w:rsid w:val="00086AF6"/>
    <w:rsid w:val="000A5352"/>
    <w:rsid w:val="000A5E14"/>
    <w:rsid w:val="000A73FB"/>
    <w:rsid w:val="000A75E6"/>
    <w:rsid w:val="001415F9"/>
    <w:rsid w:val="001501DA"/>
    <w:rsid w:val="0016176F"/>
    <w:rsid w:val="00163FF8"/>
    <w:rsid w:val="001A2534"/>
    <w:rsid w:val="001B21DA"/>
    <w:rsid w:val="001B3BE7"/>
    <w:rsid w:val="001C3A4B"/>
    <w:rsid w:val="001E4BE2"/>
    <w:rsid w:val="001F2951"/>
    <w:rsid w:val="001F2FF5"/>
    <w:rsid w:val="00201DF1"/>
    <w:rsid w:val="00204F90"/>
    <w:rsid w:val="0021231E"/>
    <w:rsid w:val="00216115"/>
    <w:rsid w:val="0021701E"/>
    <w:rsid w:val="00241460"/>
    <w:rsid w:val="0025131E"/>
    <w:rsid w:val="00262239"/>
    <w:rsid w:val="00262B97"/>
    <w:rsid w:val="00285472"/>
    <w:rsid w:val="00297A5F"/>
    <w:rsid w:val="002D3E6C"/>
    <w:rsid w:val="002F64BA"/>
    <w:rsid w:val="003001CC"/>
    <w:rsid w:val="00307458"/>
    <w:rsid w:val="0031202A"/>
    <w:rsid w:val="0036234F"/>
    <w:rsid w:val="00375F00"/>
    <w:rsid w:val="00376FEC"/>
    <w:rsid w:val="00394BA3"/>
    <w:rsid w:val="003B7DAB"/>
    <w:rsid w:val="003E1312"/>
    <w:rsid w:val="003E5740"/>
    <w:rsid w:val="004130DD"/>
    <w:rsid w:val="00425AD5"/>
    <w:rsid w:val="00436B16"/>
    <w:rsid w:val="00440F15"/>
    <w:rsid w:val="0044124D"/>
    <w:rsid w:val="00451BED"/>
    <w:rsid w:val="00454322"/>
    <w:rsid w:val="004601E4"/>
    <w:rsid w:val="00475DBE"/>
    <w:rsid w:val="00484B91"/>
    <w:rsid w:val="004C4283"/>
    <w:rsid w:val="004C4AB2"/>
    <w:rsid w:val="004C66F6"/>
    <w:rsid w:val="004E03A4"/>
    <w:rsid w:val="004E1DA6"/>
    <w:rsid w:val="004E3CDB"/>
    <w:rsid w:val="004F348E"/>
    <w:rsid w:val="0050737A"/>
    <w:rsid w:val="00522B15"/>
    <w:rsid w:val="0053309E"/>
    <w:rsid w:val="00536141"/>
    <w:rsid w:val="00543A19"/>
    <w:rsid w:val="00550C48"/>
    <w:rsid w:val="00573891"/>
    <w:rsid w:val="00582EED"/>
    <w:rsid w:val="00584555"/>
    <w:rsid w:val="005A00D3"/>
    <w:rsid w:val="005A0E58"/>
    <w:rsid w:val="005B2ADA"/>
    <w:rsid w:val="005C7E72"/>
    <w:rsid w:val="005D146D"/>
    <w:rsid w:val="005D3009"/>
    <w:rsid w:val="005D6529"/>
    <w:rsid w:val="005E2270"/>
    <w:rsid w:val="005E6D6F"/>
    <w:rsid w:val="005F4C5E"/>
    <w:rsid w:val="006167CF"/>
    <w:rsid w:val="00616882"/>
    <w:rsid w:val="0066208B"/>
    <w:rsid w:val="00673BFB"/>
    <w:rsid w:val="006A55E2"/>
    <w:rsid w:val="006D1AD9"/>
    <w:rsid w:val="006E0E3E"/>
    <w:rsid w:val="006E2D0B"/>
    <w:rsid w:val="007053D6"/>
    <w:rsid w:val="007224D8"/>
    <w:rsid w:val="0073632B"/>
    <w:rsid w:val="0077409B"/>
    <w:rsid w:val="007743D5"/>
    <w:rsid w:val="00784259"/>
    <w:rsid w:val="00793DA2"/>
    <w:rsid w:val="007A277F"/>
    <w:rsid w:val="007C3671"/>
    <w:rsid w:val="007C48AD"/>
    <w:rsid w:val="007D644F"/>
    <w:rsid w:val="007E4111"/>
    <w:rsid w:val="007F4A8C"/>
    <w:rsid w:val="00803174"/>
    <w:rsid w:val="0080774C"/>
    <w:rsid w:val="008442DD"/>
    <w:rsid w:val="00855EA7"/>
    <w:rsid w:val="008728D4"/>
    <w:rsid w:val="00873904"/>
    <w:rsid w:val="008751E4"/>
    <w:rsid w:val="00877179"/>
    <w:rsid w:val="00880A25"/>
    <w:rsid w:val="008B3DD7"/>
    <w:rsid w:val="008C3260"/>
    <w:rsid w:val="008C3C1A"/>
    <w:rsid w:val="008D138D"/>
    <w:rsid w:val="008E4AB5"/>
    <w:rsid w:val="008E64EA"/>
    <w:rsid w:val="008F5297"/>
    <w:rsid w:val="00900A25"/>
    <w:rsid w:val="00915E1D"/>
    <w:rsid w:val="00940E26"/>
    <w:rsid w:val="00942D0B"/>
    <w:rsid w:val="00956AD3"/>
    <w:rsid w:val="009C2211"/>
    <w:rsid w:val="009D7D65"/>
    <w:rsid w:val="009E7F67"/>
    <w:rsid w:val="009F528F"/>
    <w:rsid w:val="00A02F90"/>
    <w:rsid w:val="00A053D7"/>
    <w:rsid w:val="00A26A4F"/>
    <w:rsid w:val="00A47E32"/>
    <w:rsid w:val="00A8146E"/>
    <w:rsid w:val="00A847F4"/>
    <w:rsid w:val="00AA448C"/>
    <w:rsid w:val="00AB00E9"/>
    <w:rsid w:val="00AC082B"/>
    <w:rsid w:val="00B21E4D"/>
    <w:rsid w:val="00B3083B"/>
    <w:rsid w:val="00B31108"/>
    <w:rsid w:val="00B4234E"/>
    <w:rsid w:val="00B4620D"/>
    <w:rsid w:val="00B52378"/>
    <w:rsid w:val="00B57186"/>
    <w:rsid w:val="00B6470D"/>
    <w:rsid w:val="00B71480"/>
    <w:rsid w:val="00B90F3F"/>
    <w:rsid w:val="00BA3841"/>
    <w:rsid w:val="00BB157C"/>
    <w:rsid w:val="00BD2B02"/>
    <w:rsid w:val="00BF322C"/>
    <w:rsid w:val="00C234F1"/>
    <w:rsid w:val="00C23A3B"/>
    <w:rsid w:val="00C24F00"/>
    <w:rsid w:val="00C37BBB"/>
    <w:rsid w:val="00C55E1F"/>
    <w:rsid w:val="00C8602A"/>
    <w:rsid w:val="00C862AD"/>
    <w:rsid w:val="00CB6AEC"/>
    <w:rsid w:val="00D06B19"/>
    <w:rsid w:val="00D46EEC"/>
    <w:rsid w:val="00D53197"/>
    <w:rsid w:val="00D54C83"/>
    <w:rsid w:val="00D67D15"/>
    <w:rsid w:val="00D84DE5"/>
    <w:rsid w:val="00DA13D4"/>
    <w:rsid w:val="00DA7127"/>
    <w:rsid w:val="00DB45FD"/>
    <w:rsid w:val="00DC246E"/>
    <w:rsid w:val="00DF034F"/>
    <w:rsid w:val="00E559A3"/>
    <w:rsid w:val="00E622D9"/>
    <w:rsid w:val="00E6628F"/>
    <w:rsid w:val="00E85A1F"/>
    <w:rsid w:val="00E96488"/>
    <w:rsid w:val="00EA518C"/>
    <w:rsid w:val="00EA5523"/>
    <w:rsid w:val="00EA56B5"/>
    <w:rsid w:val="00ED2742"/>
    <w:rsid w:val="00EF35C5"/>
    <w:rsid w:val="00F3568D"/>
    <w:rsid w:val="00F512CB"/>
    <w:rsid w:val="00F57616"/>
    <w:rsid w:val="00F731D1"/>
    <w:rsid w:val="00F80CFB"/>
    <w:rsid w:val="00F875FE"/>
    <w:rsid w:val="00F94704"/>
    <w:rsid w:val="00F9735E"/>
    <w:rsid w:val="00FA06A8"/>
    <w:rsid w:val="00FA5EE1"/>
    <w:rsid w:val="00FB3BB1"/>
    <w:rsid w:val="00FB6DAD"/>
    <w:rsid w:val="00FF4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4422A-31A0-4F3C-B40C-11D9E7FB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12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12CB"/>
  </w:style>
  <w:style w:type="paragraph" w:styleId="Footer">
    <w:name w:val="footer"/>
    <w:basedOn w:val="Normal"/>
    <w:link w:val="FooterChar"/>
    <w:uiPriority w:val="99"/>
    <w:unhideWhenUsed/>
    <w:rsid w:val="00F51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2CB"/>
  </w:style>
  <w:style w:type="paragraph" w:styleId="FootnoteText">
    <w:name w:val="footnote text"/>
    <w:basedOn w:val="Normal"/>
    <w:link w:val="FootnoteTextChar"/>
    <w:uiPriority w:val="99"/>
    <w:semiHidden/>
    <w:unhideWhenUsed/>
    <w:rsid w:val="00956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AD3"/>
    <w:rPr>
      <w:sz w:val="20"/>
      <w:szCs w:val="20"/>
    </w:rPr>
  </w:style>
  <w:style w:type="character" w:styleId="FootnoteReference">
    <w:name w:val="footnote reference"/>
    <w:basedOn w:val="DefaultParagraphFont"/>
    <w:uiPriority w:val="99"/>
    <w:semiHidden/>
    <w:unhideWhenUsed/>
    <w:rsid w:val="00956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8DFE-2981-43A9-8F51-B278F9F3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dc:creator>
  <cp:lastModifiedBy>Maire Ni Shuilleabhain</cp:lastModifiedBy>
  <cp:revision>2</cp:revision>
  <cp:lastPrinted>2013-11-27T11:08:00Z</cp:lastPrinted>
  <dcterms:created xsi:type="dcterms:W3CDTF">2016-10-25T22:25:00Z</dcterms:created>
  <dcterms:modified xsi:type="dcterms:W3CDTF">2016-10-25T22:25:00Z</dcterms:modified>
</cp:coreProperties>
</file>