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43D92" w14:textId="77777777" w:rsidR="009B3305" w:rsidRPr="00EA1315" w:rsidRDefault="009B3305" w:rsidP="00D86C33">
      <w:pPr>
        <w:spacing w:line="480" w:lineRule="auto"/>
        <w:jc w:val="both"/>
        <w:rPr>
          <w:b/>
          <w:lang w:val="en-IE"/>
        </w:rPr>
      </w:pPr>
      <w:r w:rsidRPr="00EA1315">
        <w:rPr>
          <w:b/>
          <w:lang w:val="en-IE"/>
        </w:rPr>
        <w:t>Irish Education</w:t>
      </w:r>
      <w:r w:rsidR="001851F2" w:rsidRPr="00EA1315">
        <w:rPr>
          <w:b/>
          <w:lang w:val="en-IE"/>
        </w:rPr>
        <w:t xml:space="preserve"> and the Legacy of O’</w:t>
      </w:r>
      <w:r w:rsidR="002F608D" w:rsidRPr="00EA1315">
        <w:rPr>
          <w:b/>
          <w:lang w:val="en-IE"/>
        </w:rPr>
        <w:t>Connell</w:t>
      </w:r>
      <w:r w:rsidR="00EE4209" w:rsidRPr="00EA1315">
        <w:rPr>
          <w:b/>
          <w:lang w:val="en-IE"/>
        </w:rPr>
        <w:t xml:space="preserve"> </w:t>
      </w:r>
    </w:p>
    <w:p w14:paraId="22AAD56B" w14:textId="77777777" w:rsidR="00694D92" w:rsidRPr="00EA1315" w:rsidRDefault="00694D92" w:rsidP="00694D92">
      <w:pPr>
        <w:spacing w:line="480" w:lineRule="auto"/>
        <w:jc w:val="both"/>
        <w:rPr>
          <w:lang w:val="en-IE"/>
        </w:rPr>
      </w:pPr>
      <w:r w:rsidRPr="00EA1315">
        <w:rPr>
          <w:lang w:val="en-IE"/>
        </w:rPr>
        <w:t>Brian Fleming and Judith Harford</w:t>
      </w:r>
    </w:p>
    <w:p w14:paraId="0ECA3960" w14:textId="77777777" w:rsidR="00694D92" w:rsidRPr="00EA1315" w:rsidRDefault="00694D92" w:rsidP="00694D92">
      <w:pPr>
        <w:spacing w:line="480" w:lineRule="auto"/>
        <w:jc w:val="both"/>
        <w:rPr>
          <w:lang w:val="en-IE"/>
        </w:rPr>
      </w:pPr>
      <w:r w:rsidRPr="00EA1315">
        <w:rPr>
          <w:lang w:val="en-IE"/>
        </w:rPr>
        <w:t>School of Education</w:t>
      </w:r>
    </w:p>
    <w:p w14:paraId="7F07C0A2" w14:textId="77777777" w:rsidR="00694D92" w:rsidRPr="00EA1315" w:rsidRDefault="00694D92" w:rsidP="00694D92">
      <w:pPr>
        <w:spacing w:line="480" w:lineRule="auto"/>
        <w:jc w:val="both"/>
        <w:rPr>
          <w:lang w:val="en-IE"/>
        </w:rPr>
      </w:pPr>
      <w:r w:rsidRPr="00EA1315">
        <w:rPr>
          <w:lang w:val="en-IE"/>
        </w:rPr>
        <w:t>University College Dublin</w:t>
      </w:r>
    </w:p>
    <w:p w14:paraId="6775FFDC" w14:textId="77777777" w:rsidR="00694D92" w:rsidRPr="00EA1315" w:rsidRDefault="00694D92" w:rsidP="00694D92">
      <w:pPr>
        <w:spacing w:line="480" w:lineRule="auto"/>
        <w:jc w:val="both"/>
        <w:rPr>
          <w:lang w:val="en-IE"/>
        </w:rPr>
      </w:pPr>
      <w:r w:rsidRPr="00EA1315">
        <w:rPr>
          <w:lang w:val="en-IE"/>
        </w:rPr>
        <w:t>Ireland</w:t>
      </w:r>
    </w:p>
    <w:p w14:paraId="34E58240" w14:textId="77777777" w:rsidR="00694D92" w:rsidRPr="00EA1315" w:rsidRDefault="00694D92" w:rsidP="00694D92">
      <w:pPr>
        <w:spacing w:line="480" w:lineRule="auto"/>
        <w:jc w:val="both"/>
        <w:rPr>
          <w:lang w:val="en-IE"/>
        </w:rPr>
      </w:pPr>
      <w:r w:rsidRPr="00EA1315">
        <w:rPr>
          <w:lang w:val="en-IE"/>
        </w:rPr>
        <w:t>judith.harford@ucd.ie</w:t>
      </w:r>
    </w:p>
    <w:p w14:paraId="63C2973B" w14:textId="77777777" w:rsidR="00694D92" w:rsidRPr="00EA1315" w:rsidRDefault="00694D92" w:rsidP="00D86C33">
      <w:pPr>
        <w:spacing w:line="480" w:lineRule="auto"/>
        <w:jc w:val="both"/>
        <w:rPr>
          <w:b/>
          <w:lang w:val="en-IE"/>
        </w:rPr>
      </w:pPr>
    </w:p>
    <w:p w14:paraId="3B30A54D" w14:textId="77777777" w:rsidR="009B3305" w:rsidRPr="00EA1315" w:rsidRDefault="00D86C33" w:rsidP="00D86C33">
      <w:pPr>
        <w:spacing w:line="480" w:lineRule="auto"/>
        <w:jc w:val="both"/>
        <w:rPr>
          <w:b/>
          <w:lang w:val="en-IE"/>
        </w:rPr>
      </w:pPr>
      <w:r w:rsidRPr="00EA1315">
        <w:rPr>
          <w:b/>
          <w:lang w:val="en-IE"/>
        </w:rPr>
        <w:t>Abstract</w:t>
      </w:r>
    </w:p>
    <w:p w14:paraId="54423FE8" w14:textId="77777777" w:rsidR="00A164A3" w:rsidRPr="00EA1315" w:rsidRDefault="002F608D" w:rsidP="00D86C33">
      <w:pPr>
        <w:spacing w:line="480" w:lineRule="auto"/>
        <w:jc w:val="both"/>
        <w:rPr>
          <w:lang w:val="en-IE"/>
        </w:rPr>
      </w:pPr>
      <w:r w:rsidRPr="00EA1315">
        <w:rPr>
          <w:lang w:val="en-IE"/>
        </w:rPr>
        <w:t>In 1831</w:t>
      </w:r>
      <w:r w:rsidR="00254CB9" w:rsidRPr="00EA1315">
        <w:rPr>
          <w:lang w:val="en-IE"/>
        </w:rPr>
        <w:t>,</w:t>
      </w:r>
      <w:r w:rsidRPr="00EA1315">
        <w:rPr>
          <w:lang w:val="en-IE"/>
        </w:rPr>
        <w:t xml:space="preserve"> the British Government decided to become directly involved in the provision of elementary education in Ireland, a country over which it then had jurisdiction.  By European standards of the time t</w:t>
      </w:r>
      <w:r w:rsidR="00856821" w:rsidRPr="00EA1315">
        <w:rPr>
          <w:lang w:val="en-IE"/>
        </w:rPr>
        <w:t xml:space="preserve">his was a highly unusual step. </w:t>
      </w:r>
      <w:r w:rsidR="000F6B89" w:rsidRPr="00EA1315">
        <w:rPr>
          <w:lang w:val="en-IE"/>
        </w:rPr>
        <w:t xml:space="preserve">A number of scholars have interrogated </w:t>
      </w:r>
      <w:r w:rsidRPr="00EA1315">
        <w:rPr>
          <w:lang w:val="en-IE"/>
        </w:rPr>
        <w:t xml:space="preserve">the factors </w:t>
      </w:r>
      <w:r w:rsidR="000F6B89" w:rsidRPr="00EA1315">
        <w:rPr>
          <w:lang w:val="en-IE"/>
        </w:rPr>
        <w:t xml:space="preserve">which led to this outcome as well as the role played by various individuals. </w:t>
      </w:r>
      <w:r w:rsidRPr="00EA1315">
        <w:rPr>
          <w:lang w:val="en-IE"/>
        </w:rPr>
        <w:t>Daniel O’Connell’s</w:t>
      </w:r>
      <w:r w:rsidR="00FC2DC7" w:rsidRPr="00EA1315">
        <w:rPr>
          <w:rStyle w:val="FootnoteReference"/>
          <w:lang w:val="en-IE"/>
        </w:rPr>
        <w:footnoteReference w:id="1"/>
      </w:r>
      <w:r w:rsidRPr="00EA1315">
        <w:rPr>
          <w:lang w:val="en-IE"/>
        </w:rPr>
        <w:t xml:space="preserve"> activities</w:t>
      </w:r>
      <w:r w:rsidR="00A164A3" w:rsidRPr="00EA1315">
        <w:rPr>
          <w:lang w:val="en-IE"/>
        </w:rPr>
        <w:t xml:space="preserve">, </w:t>
      </w:r>
      <w:r w:rsidRPr="00EA1315">
        <w:rPr>
          <w:lang w:val="en-IE"/>
        </w:rPr>
        <w:t>at this time</w:t>
      </w:r>
      <w:r w:rsidR="00A164A3" w:rsidRPr="00EA1315">
        <w:rPr>
          <w:lang w:val="en-IE"/>
        </w:rPr>
        <w:t>,</w:t>
      </w:r>
      <w:r w:rsidRPr="00EA1315">
        <w:rPr>
          <w:lang w:val="en-IE"/>
        </w:rPr>
        <w:t xml:space="preserve"> have been described as relatively limited</w:t>
      </w:r>
      <w:r w:rsidR="000F6B89" w:rsidRPr="00EA1315">
        <w:rPr>
          <w:lang w:val="en-IE"/>
        </w:rPr>
        <w:t>, which appears incongruous given</w:t>
      </w:r>
      <w:r w:rsidRPr="00EA1315">
        <w:rPr>
          <w:lang w:val="en-IE"/>
        </w:rPr>
        <w:t xml:space="preserve"> that he </w:t>
      </w:r>
      <w:r w:rsidR="000F6B89" w:rsidRPr="00EA1315">
        <w:rPr>
          <w:lang w:val="en-IE"/>
        </w:rPr>
        <w:t xml:space="preserve">is considered </w:t>
      </w:r>
      <w:r w:rsidRPr="00EA1315">
        <w:rPr>
          <w:lang w:val="en-IE"/>
        </w:rPr>
        <w:t>the most powerful Irish politician of th</w:t>
      </w:r>
      <w:r w:rsidR="000F6B89" w:rsidRPr="00EA1315">
        <w:rPr>
          <w:lang w:val="en-IE"/>
        </w:rPr>
        <w:t>is</w:t>
      </w:r>
      <w:r w:rsidRPr="00EA1315">
        <w:rPr>
          <w:lang w:val="en-IE"/>
        </w:rPr>
        <w:t xml:space="preserve"> era and was then at the hei</w:t>
      </w:r>
      <w:r w:rsidR="00A852AA" w:rsidRPr="00EA1315">
        <w:rPr>
          <w:lang w:val="en-IE"/>
        </w:rPr>
        <w:t xml:space="preserve">ght of his powers. It is the </w:t>
      </w:r>
      <w:r w:rsidR="00365C24" w:rsidRPr="00EA1315">
        <w:rPr>
          <w:lang w:val="en-IE"/>
        </w:rPr>
        <w:t xml:space="preserve">central contention </w:t>
      </w:r>
      <w:r w:rsidR="000F6B89" w:rsidRPr="00EA1315">
        <w:rPr>
          <w:lang w:val="en-IE"/>
        </w:rPr>
        <w:t>of</w:t>
      </w:r>
      <w:r w:rsidR="00365C24" w:rsidRPr="00EA1315">
        <w:rPr>
          <w:lang w:val="en-IE"/>
        </w:rPr>
        <w:t xml:space="preserve"> this article</w:t>
      </w:r>
      <w:r w:rsidRPr="00EA1315">
        <w:rPr>
          <w:lang w:val="en-IE"/>
        </w:rPr>
        <w:t xml:space="preserve"> that </w:t>
      </w:r>
      <w:r w:rsidR="000F6B89" w:rsidRPr="00EA1315">
        <w:rPr>
          <w:lang w:val="en-IE"/>
        </w:rPr>
        <w:t>O’Connell</w:t>
      </w:r>
      <w:r w:rsidRPr="00EA1315">
        <w:rPr>
          <w:lang w:val="en-IE"/>
        </w:rPr>
        <w:t xml:space="preserve"> was</w:t>
      </w:r>
      <w:r w:rsidR="00365C24" w:rsidRPr="00EA1315">
        <w:rPr>
          <w:lang w:val="en-IE"/>
        </w:rPr>
        <w:t>,</w:t>
      </w:r>
      <w:r w:rsidRPr="00EA1315">
        <w:rPr>
          <w:lang w:val="en-IE"/>
        </w:rPr>
        <w:t xml:space="preserve"> in fact</w:t>
      </w:r>
      <w:r w:rsidR="00365C24" w:rsidRPr="00EA1315">
        <w:rPr>
          <w:lang w:val="en-IE"/>
        </w:rPr>
        <w:t>,</w:t>
      </w:r>
      <w:r w:rsidRPr="00EA1315">
        <w:rPr>
          <w:lang w:val="en-IE"/>
        </w:rPr>
        <w:t xml:space="preserve"> intimately involved in bringing </w:t>
      </w:r>
      <w:r w:rsidR="000F6B89" w:rsidRPr="00EA1315">
        <w:rPr>
          <w:lang w:val="en-IE"/>
        </w:rPr>
        <w:t xml:space="preserve">about a national system of elementary education. </w:t>
      </w:r>
      <w:r w:rsidRPr="00EA1315">
        <w:rPr>
          <w:lang w:val="en-IE"/>
        </w:rPr>
        <w:t xml:space="preserve">Of more lasting significance is the manner in which he defined the role of the politician </w:t>
      </w:r>
      <w:r w:rsidRPr="00EA1315">
        <w:rPr>
          <w:i/>
          <w:lang w:val="en-IE"/>
        </w:rPr>
        <w:t>vis-à-vis</w:t>
      </w:r>
      <w:r w:rsidRPr="00EA1315">
        <w:rPr>
          <w:lang w:val="en-IE"/>
        </w:rPr>
        <w:t xml:space="preserve"> the Church authorities</w:t>
      </w:r>
      <w:r w:rsidR="00DD2BF2" w:rsidRPr="00EA1315">
        <w:rPr>
          <w:lang w:val="en-IE"/>
        </w:rPr>
        <w:t xml:space="preserve"> in educational policy making. </w:t>
      </w:r>
      <w:r w:rsidR="00A164A3" w:rsidRPr="00EA1315">
        <w:rPr>
          <w:lang w:val="en-IE"/>
        </w:rPr>
        <w:t>In this regard he established a pattern which remained unchanged for over a century and indeed, it could be argued, largely persists to this day.</w:t>
      </w:r>
    </w:p>
    <w:p w14:paraId="0C9A8552" w14:textId="77777777" w:rsidR="00856821" w:rsidRPr="00EA1315" w:rsidRDefault="00856821" w:rsidP="00D86C33">
      <w:pPr>
        <w:spacing w:line="480" w:lineRule="auto"/>
        <w:jc w:val="both"/>
        <w:rPr>
          <w:lang w:val="en-IE"/>
        </w:rPr>
      </w:pPr>
    </w:p>
    <w:p w14:paraId="1EF94CB2" w14:textId="77777777" w:rsidR="00365C24" w:rsidRPr="00EA1315" w:rsidRDefault="00FD6728" w:rsidP="00D86C33">
      <w:pPr>
        <w:spacing w:line="480" w:lineRule="auto"/>
        <w:jc w:val="both"/>
        <w:rPr>
          <w:b/>
          <w:lang w:val="en-IE"/>
        </w:rPr>
      </w:pPr>
      <w:r w:rsidRPr="00EA1315">
        <w:rPr>
          <w:b/>
          <w:lang w:val="en-IE"/>
        </w:rPr>
        <w:t>Key words:</w:t>
      </w:r>
    </w:p>
    <w:p w14:paraId="5CFFFB17" w14:textId="77777777" w:rsidR="00FD6728" w:rsidRPr="00EA1315" w:rsidRDefault="00FD6728" w:rsidP="00D86C33">
      <w:pPr>
        <w:spacing w:line="480" w:lineRule="auto"/>
        <w:jc w:val="both"/>
        <w:rPr>
          <w:b/>
          <w:lang w:val="en-IE"/>
        </w:rPr>
      </w:pPr>
      <w:r w:rsidRPr="00EA1315">
        <w:rPr>
          <w:b/>
          <w:lang w:val="en-IE"/>
        </w:rPr>
        <w:t>Daniel O’Connell, education, Catholic Church</w:t>
      </w:r>
    </w:p>
    <w:p w14:paraId="6350848F" w14:textId="77777777" w:rsidR="003727B2" w:rsidRPr="00EA1315" w:rsidRDefault="00326AFA" w:rsidP="00D86C33">
      <w:pPr>
        <w:spacing w:line="480" w:lineRule="auto"/>
        <w:jc w:val="both"/>
        <w:rPr>
          <w:b/>
          <w:lang w:val="en-IE"/>
        </w:rPr>
      </w:pPr>
      <w:r w:rsidRPr="00EA1315">
        <w:rPr>
          <w:b/>
          <w:lang w:val="en-IE"/>
        </w:rPr>
        <w:t xml:space="preserve">Politicising Education </w:t>
      </w:r>
    </w:p>
    <w:p w14:paraId="22FA4EAC" w14:textId="77777777" w:rsidR="009D623C" w:rsidRPr="00EA1315" w:rsidRDefault="009D623C" w:rsidP="00EE147E">
      <w:pPr>
        <w:autoSpaceDE w:val="0"/>
        <w:autoSpaceDN w:val="0"/>
        <w:adjustRightInd w:val="0"/>
        <w:spacing w:line="480" w:lineRule="auto"/>
        <w:jc w:val="both"/>
        <w:rPr>
          <w:rFonts w:eastAsia="TimesNewRomanPSMT"/>
          <w:lang w:val="en-IE" w:eastAsia="en-US"/>
        </w:rPr>
      </w:pPr>
      <w:r w:rsidRPr="00EA1315">
        <w:rPr>
          <w:rFonts w:eastAsia="TimesNewRomanPSMT"/>
          <w:lang w:val="en-IE" w:eastAsia="en-US"/>
        </w:rPr>
        <w:t>The British administration in Ireland took a direct, if intermittent, interest in the issue of education from the sixteenth century.</w:t>
      </w:r>
      <w:r w:rsidRPr="00EA1315">
        <w:rPr>
          <w:rFonts w:eastAsia="TimesNewRomanPSMT"/>
          <w:vertAlign w:val="superscript"/>
          <w:lang w:val="en-IE" w:eastAsia="en-US"/>
        </w:rPr>
        <w:footnoteReference w:id="2"/>
      </w:r>
      <w:r w:rsidRPr="00EA1315">
        <w:rPr>
          <w:rFonts w:eastAsia="TimesNewRomanPSMT"/>
          <w:lang w:val="en-IE" w:eastAsia="en-US"/>
        </w:rPr>
        <w:t xml:space="preserve">  This interest deepened over the course of the ensuing centuries culminating in the establishment of a national system of elementary education in 1831.</w:t>
      </w:r>
      <w:r w:rsidR="00EE147E" w:rsidRPr="00EA1315">
        <w:rPr>
          <w:rFonts w:eastAsia="TimesNewRomanPSMT"/>
          <w:lang w:val="en-IE" w:eastAsia="en-US"/>
        </w:rPr>
        <w:t xml:space="preserve"> </w:t>
      </w:r>
      <w:r w:rsidRPr="00EA1315">
        <w:rPr>
          <w:rFonts w:eastAsia="TimesNewRomanPSMT"/>
          <w:lang w:val="en-IE" w:eastAsia="en-US"/>
        </w:rPr>
        <w:t>This tradition</w:t>
      </w:r>
      <w:r w:rsidRPr="00EA1315">
        <w:rPr>
          <w:rFonts w:eastAsia="Calibri"/>
          <w:lang w:val="en-IE" w:eastAsia="en-US"/>
        </w:rPr>
        <w:t xml:space="preserve"> of legislative intervention in Irish educational affairs was underpinned by the desire to promote the spread of Protestantism and the dissemination of the English language and culture.</w:t>
      </w:r>
      <w:r w:rsidRPr="00EA1315">
        <w:rPr>
          <w:rFonts w:eastAsia="Calibri"/>
          <w:vertAlign w:val="superscript"/>
          <w:lang w:val="en-IE" w:eastAsia="en-US"/>
        </w:rPr>
        <w:footnoteReference w:id="3"/>
      </w:r>
      <w:r w:rsidRPr="00EA1315">
        <w:rPr>
          <w:rFonts w:eastAsia="Calibri"/>
          <w:lang w:val="en-IE" w:eastAsia="en-US"/>
        </w:rPr>
        <w:t xml:space="preserve"> State intervention was further facilitated through a</w:t>
      </w:r>
      <w:r w:rsidRPr="00EA1315">
        <w:rPr>
          <w:rFonts w:eastAsia="TimesNewRomanPSMT"/>
          <w:lang w:val="en-IE" w:eastAsia="en-US"/>
        </w:rPr>
        <w:t xml:space="preserve"> </w:t>
      </w:r>
      <w:r w:rsidRPr="00EA1315">
        <w:rPr>
          <w:rFonts w:eastAsia="Calibri"/>
          <w:lang w:val="en-IE" w:eastAsia="en-US"/>
        </w:rPr>
        <w:t>constitutional union between Ireland and England, the Act of Union of 1800, under</w:t>
      </w:r>
      <w:r w:rsidRPr="00EA1315">
        <w:rPr>
          <w:rFonts w:eastAsia="TimesNewRomanPSMT"/>
          <w:lang w:val="en-IE" w:eastAsia="en-US"/>
        </w:rPr>
        <w:t xml:space="preserve"> </w:t>
      </w:r>
      <w:r w:rsidRPr="00EA1315">
        <w:rPr>
          <w:rFonts w:eastAsia="Calibri"/>
          <w:lang w:val="en-IE" w:eastAsia="en-US"/>
        </w:rPr>
        <w:t xml:space="preserve">which the Irish </w:t>
      </w:r>
      <w:r w:rsidR="00BC7035">
        <w:rPr>
          <w:rFonts w:eastAsia="Calibri"/>
          <w:lang w:val="en-IE" w:eastAsia="en-US"/>
        </w:rPr>
        <w:t>P</w:t>
      </w:r>
      <w:r w:rsidR="00BC7035" w:rsidRPr="00EA1315">
        <w:rPr>
          <w:rFonts w:eastAsia="Calibri"/>
          <w:lang w:val="en-IE" w:eastAsia="en-US"/>
        </w:rPr>
        <w:t xml:space="preserve">arliament </w:t>
      </w:r>
      <w:r w:rsidRPr="00EA1315">
        <w:rPr>
          <w:rFonts w:eastAsia="Calibri"/>
          <w:lang w:val="en-IE" w:eastAsia="en-US"/>
        </w:rPr>
        <w:t>was abolished and representation of Irish constituencies</w:t>
      </w:r>
      <w:r w:rsidRPr="00EA1315">
        <w:rPr>
          <w:rFonts w:eastAsia="TimesNewRomanPSMT"/>
          <w:lang w:val="en-IE" w:eastAsia="en-US"/>
        </w:rPr>
        <w:t xml:space="preserve"> </w:t>
      </w:r>
      <w:r w:rsidRPr="00EA1315">
        <w:rPr>
          <w:rFonts w:eastAsia="Calibri"/>
          <w:lang w:val="en-IE" w:eastAsia="en-US"/>
        </w:rPr>
        <w:t>was transferred to Westminster.</w:t>
      </w:r>
      <w:r w:rsidRPr="00EA1315">
        <w:rPr>
          <w:rFonts w:eastAsia="Calibri"/>
          <w:vertAlign w:val="superscript"/>
          <w:lang w:val="en-IE" w:eastAsia="en-US"/>
        </w:rPr>
        <w:footnoteReference w:id="4"/>
      </w:r>
      <w:r w:rsidRPr="00EA1315">
        <w:rPr>
          <w:rFonts w:eastAsia="Calibri"/>
          <w:lang w:val="en-IE" w:eastAsia="en-US"/>
        </w:rPr>
        <w:t xml:space="preserve"> The urgency around legislating for popular education</w:t>
      </w:r>
      <w:r w:rsidRPr="00EA1315">
        <w:rPr>
          <w:rFonts w:eastAsia="TimesNewRomanPSMT"/>
          <w:lang w:val="en-IE" w:eastAsia="en-US"/>
        </w:rPr>
        <w:t xml:space="preserve"> </w:t>
      </w:r>
      <w:r w:rsidRPr="00EA1315">
        <w:rPr>
          <w:rFonts w:eastAsia="Calibri"/>
          <w:lang w:val="en-IE" w:eastAsia="en-US"/>
        </w:rPr>
        <w:t>intensified following the Union, culminating in the establishment of a national</w:t>
      </w:r>
      <w:r w:rsidRPr="00EA1315">
        <w:rPr>
          <w:rFonts w:eastAsia="TimesNewRomanPSMT"/>
          <w:lang w:val="en-IE" w:eastAsia="en-US"/>
        </w:rPr>
        <w:t xml:space="preserve"> </w:t>
      </w:r>
      <w:r w:rsidRPr="00EA1315">
        <w:rPr>
          <w:rFonts w:eastAsia="Calibri"/>
          <w:lang w:val="en-IE" w:eastAsia="en-US"/>
        </w:rPr>
        <w:t>system of education in 1831, which pre-dated the establishment of a comparable</w:t>
      </w:r>
      <w:r w:rsidRPr="00EA1315">
        <w:rPr>
          <w:rFonts w:eastAsia="TimesNewRomanPSMT"/>
          <w:lang w:val="en-IE" w:eastAsia="en-US"/>
        </w:rPr>
        <w:t xml:space="preserve"> </w:t>
      </w:r>
      <w:r w:rsidRPr="00EA1315">
        <w:rPr>
          <w:rFonts w:eastAsia="Calibri"/>
          <w:lang w:val="en-IE" w:eastAsia="en-US"/>
        </w:rPr>
        <w:t>system in England by almost four decades.</w:t>
      </w:r>
      <w:r w:rsidR="00EE147E" w:rsidRPr="00EA1315">
        <w:rPr>
          <w:rFonts w:eastAsia="Calibri"/>
          <w:vertAlign w:val="superscript"/>
          <w:lang w:val="en-IE" w:eastAsia="en-US"/>
        </w:rPr>
        <w:t xml:space="preserve"> </w:t>
      </w:r>
      <w:r w:rsidR="00EE147E" w:rsidRPr="00EA1315">
        <w:rPr>
          <w:rFonts w:eastAsia="Calibri"/>
          <w:vertAlign w:val="superscript"/>
          <w:lang w:val="en-IE" w:eastAsia="en-US"/>
        </w:rPr>
        <w:footnoteReference w:id="5"/>
      </w:r>
      <w:r w:rsidRPr="00EA1315">
        <w:rPr>
          <w:rFonts w:eastAsia="Calibri"/>
          <w:lang w:val="en-IE" w:eastAsia="en-US"/>
        </w:rPr>
        <w:t xml:space="preserve"> In the context of a prevailing political</w:t>
      </w:r>
      <w:r w:rsidRPr="00EA1315">
        <w:rPr>
          <w:rFonts w:eastAsia="TimesNewRomanPSMT"/>
          <w:lang w:val="en-IE" w:eastAsia="en-US"/>
        </w:rPr>
        <w:t xml:space="preserve"> </w:t>
      </w:r>
      <w:r w:rsidRPr="00EA1315">
        <w:rPr>
          <w:rFonts w:eastAsia="Calibri"/>
          <w:lang w:val="en-IE" w:eastAsia="en-US"/>
        </w:rPr>
        <w:t xml:space="preserve">philosophy of </w:t>
      </w:r>
      <w:r w:rsidRPr="00EA1315">
        <w:rPr>
          <w:rFonts w:eastAsia="Calibri"/>
          <w:i/>
          <w:iCs/>
          <w:lang w:val="en-IE" w:eastAsia="en-US"/>
        </w:rPr>
        <w:t>laissez-faire</w:t>
      </w:r>
      <w:r w:rsidRPr="00EA1315">
        <w:rPr>
          <w:rFonts w:eastAsia="Calibri"/>
          <w:lang w:val="en-IE" w:eastAsia="en-US"/>
        </w:rPr>
        <w:t>, England, unlike many European countries at the time, was</w:t>
      </w:r>
      <w:r w:rsidRPr="00EA1315">
        <w:rPr>
          <w:rFonts w:eastAsia="TimesNewRomanPSMT"/>
          <w:lang w:val="en-IE" w:eastAsia="en-US"/>
        </w:rPr>
        <w:t xml:space="preserve"> </w:t>
      </w:r>
      <w:r w:rsidRPr="00EA1315">
        <w:rPr>
          <w:rFonts w:eastAsia="Calibri"/>
          <w:lang w:val="en-IE" w:eastAsia="en-US"/>
        </w:rPr>
        <w:t>reluctant to promote direct state involvement in domestic education, prompting many</w:t>
      </w:r>
      <w:r w:rsidRPr="00EA1315">
        <w:rPr>
          <w:rFonts w:eastAsia="TimesNewRomanPSMT"/>
          <w:lang w:val="en-IE" w:eastAsia="en-US"/>
        </w:rPr>
        <w:t xml:space="preserve"> </w:t>
      </w:r>
      <w:r w:rsidRPr="00EA1315">
        <w:rPr>
          <w:rFonts w:eastAsia="Calibri"/>
          <w:lang w:val="en-IE" w:eastAsia="en-US"/>
        </w:rPr>
        <w:t xml:space="preserve">scholars to posit the view that </w:t>
      </w:r>
      <w:r w:rsidRPr="00EA1315">
        <w:rPr>
          <w:rFonts w:eastAsia="Calibri"/>
          <w:lang w:val="en-IE" w:eastAsia="en-US"/>
        </w:rPr>
        <w:lastRenderedPageBreak/>
        <w:t>Ireland was used as a ‘social laboratory’ in which a</w:t>
      </w:r>
      <w:r w:rsidRPr="00EA1315">
        <w:rPr>
          <w:rFonts w:eastAsia="TimesNewRomanPSMT"/>
          <w:lang w:val="en-IE" w:eastAsia="en-US"/>
        </w:rPr>
        <w:t xml:space="preserve"> </w:t>
      </w:r>
      <w:r w:rsidRPr="00EA1315">
        <w:rPr>
          <w:rFonts w:eastAsia="Calibri"/>
          <w:lang w:val="en-IE" w:eastAsia="en-US"/>
        </w:rPr>
        <w:t>number of policy initiatives were tested, before their subsequent introduction into</w:t>
      </w:r>
      <w:r w:rsidRPr="00EA1315">
        <w:rPr>
          <w:rFonts w:eastAsia="TimesNewRomanPSMT"/>
          <w:lang w:val="en-IE" w:eastAsia="en-US"/>
        </w:rPr>
        <w:t xml:space="preserve"> </w:t>
      </w:r>
      <w:r w:rsidRPr="00EA1315">
        <w:rPr>
          <w:rFonts w:eastAsia="Calibri"/>
          <w:lang w:val="en-IE" w:eastAsia="en-US"/>
        </w:rPr>
        <w:t>England.</w:t>
      </w:r>
      <w:r w:rsidRPr="00EA1315">
        <w:rPr>
          <w:rFonts w:eastAsia="Calibri"/>
          <w:vertAlign w:val="superscript"/>
          <w:lang w:val="en-IE" w:eastAsia="en-US"/>
        </w:rPr>
        <w:footnoteReference w:id="6"/>
      </w:r>
    </w:p>
    <w:p w14:paraId="77A8E576" w14:textId="77777777" w:rsidR="00C25803" w:rsidRPr="00EA1315" w:rsidRDefault="003727B2" w:rsidP="000E38FF">
      <w:pPr>
        <w:spacing w:line="480" w:lineRule="auto"/>
        <w:ind w:firstLine="720"/>
        <w:jc w:val="both"/>
        <w:rPr>
          <w:lang w:val="en-IE"/>
        </w:rPr>
      </w:pPr>
      <w:r w:rsidRPr="00EA1315">
        <w:rPr>
          <w:lang w:val="en-IE"/>
        </w:rPr>
        <w:t>At the beginning of the nineteenth century, the system of primary schooling in Ireland was ad hoc and unsystematic. Less than half the school</w:t>
      </w:r>
      <w:r w:rsidR="00F24389">
        <w:rPr>
          <w:lang w:val="en-IE"/>
        </w:rPr>
        <w:t>-</w:t>
      </w:r>
      <w:r w:rsidRPr="00EA1315">
        <w:rPr>
          <w:lang w:val="en-IE"/>
        </w:rPr>
        <w:t>going population participated in formal schooling regularly, with the majority of children seeking instruction in the unofficial ‘hedge schools’ or pay schools.</w:t>
      </w:r>
      <w:r w:rsidR="003B5F93" w:rsidRPr="00EA1315">
        <w:rPr>
          <w:rStyle w:val="FootnoteReference"/>
          <w:lang w:val="en-IE"/>
        </w:rPr>
        <w:footnoteReference w:id="7"/>
      </w:r>
      <w:r w:rsidRPr="00EA1315">
        <w:rPr>
          <w:lang w:val="en-IE"/>
        </w:rPr>
        <w:t xml:space="preserve"> This sprawling network of schools emerged following the passing of the relevant Penal Laws</w:t>
      </w:r>
      <w:r w:rsidR="00E80ADD" w:rsidRPr="00EA1315">
        <w:rPr>
          <w:rStyle w:val="FootnoteReference"/>
          <w:lang w:val="en-IE"/>
        </w:rPr>
        <w:footnoteReference w:id="8"/>
      </w:r>
      <w:r w:rsidRPr="00EA1315">
        <w:rPr>
          <w:lang w:val="en-IE"/>
        </w:rPr>
        <w:t xml:space="preserve"> in response to systematic attempts to suppress Catholic education and catered predominantly for Catholics along with a </w:t>
      </w:r>
      <w:r w:rsidR="00C25803" w:rsidRPr="00EA1315">
        <w:rPr>
          <w:lang w:val="en-IE"/>
        </w:rPr>
        <w:t>minority</w:t>
      </w:r>
      <w:r w:rsidRPr="00EA1315">
        <w:rPr>
          <w:lang w:val="en-IE"/>
        </w:rPr>
        <w:t xml:space="preserve"> of dissenters. Schoolin</w:t>
      </w:r>
      <w:r w:rsidR="00C25803" w:rsidRPr="00EA1315">
        <w:rPr>
          <w:lang w:val="en-IE"/>
        </w:rPr>
        <w:t>g</w:t>
      </w:r>
      <w:r w:rsidRPr="00EA1315">
        <w:rPr>
          <w:lang w:val="en-IE"/>
        </w:rPr>
        <w:t xml:space="preserve"> was usually conducted out of doors, beside a hedge or a ditch, beca</w:t>
      </w:r>
      <w:r w:rsidR="00C25803" w:rsidRPr="00EA1315">
        <w:rPr>
          <w:lang w:val="en-IE"/>
        </w:rPr>
        <w:t>use o</w:t>
      </w:r>
      <w:r w:rsidRPr="00EA1315">
        <w:rPr>
          <w:lang w:val="en-IE"/>
        </w:rPr>
        <w:t xml:space="preserve">f </w:t>
      </w:r>
      <w:r w:rsidR="00C25803" w:rsidRPr="00EA1315">
        <w:rPr>
          <w:lang w:val="en-IE"/>
        </w:rPr>
        <w:t>t</w:t>
      </w:r>
      <w:r w:rsidRPr="00EA1315">
        <w:rPr>
          <w:lang w:val="en-IE"/>
        </w:rPr>
        <w:t>he prohibition on harbouring a schoolmaster, which ga</w:t>
      </w:r>
      <w:r w:rsidR="00574541" w:rsidRPr="00EA1315">
        <w:rPr>
          <w:lang w:val="en-IE"/>
        </w:rPr>
        <w:t>v</w:t>
      </w:r>
      <w:r w:rsidRPr="00EA1315">
        <w:rPr>
          <w:lang w:val="en-IE"/>
        </w:rPr>
        <w:t>e rise to the name by which the schools became known. The zeal of the Catholic population to be schooled, despite the risks and the conditions, testified to the importance they placed on education. Even with the advent of the national school system in 1831, many parents continued to send their children to hed</w:t>
      </w:r>
      <w:r w:rsidR="00C25803" w:rsidRPr="00EA1315">
        <w:rPr>
          <w:lang w:val="en-IE"/>
        </w:rPr>
        <w:t>ge</w:t>
      </w:r>
      <w:r w:rsidRPr="00EA1315">
        <w:rPr>
          <w:lang w:val="en-IE"/>
        </w:rPr>
        <w:t xml:space="preserve"> schools. The Royal Commission of Inquiry into Primary Educat</w:t>
      </w:r>
      <w:r w:rsidR="00C25803" w:rsidRPr="00EA1315">
        <w:rPr>
          <w:lang w:val="en-IE"/>
        </w:rPr>
        <w:t>i</w:t>
      </w:r>
      <w:r w:rsidRPr="00EA1315">
        <w:rPr>
          <w:lang w:val="en-IE"/>
        </w:rPr>
        <w:t>on (Ireland) (</w:t>
      </w:r>
      <w:proofErr w:type="spellStart"/>
      <w:r w:rsidRPr="00EA1315">
        <w:rPr>
          <w:lang w:val="en-IE"/>
        </w:rPr>
        <w:t>Powis</w:t>
      </w:r>
      <w:proofErr w:type="spellEnd"/>
      <w:r w:rsidRPr="00EA1315">
        <w:rPr>
          <w:lang w:val="en-IE"/>
        </w:rPr>
        <w:t>, 1870) noted:</w:t>
      </w:r>
    </w:p>
    <w:p w14:paraId="2577DCED" w14:textId="77777777" w:rsidR="003727B2" w:rsidRPr="00EA1315" w:rsidRDefault="003727B2" w:rsidP="000E38FF">
      <w:pPr>
        <w:ind w:left="720"/>
        <w:jc w:val="both"/>
        <w:rPr>
          <w:lang w:val="en-IE"/>
        </w:rPr>
      </w:pPr>
      <w:r w:rsidRPr="00EA1315">
        <w:rPr>
          <w:lang w:val="en-IE"/>
        </w:rPr>
        <w:t>17.7 percent of the Pri</w:t>
      </w:r>
      <w:r w:rsidR="00C25803" w:rsidRPr="00EA1315">
        <w:rPr>
          <w:lang w:val="en-IE"/>
        </w:rPr>
        <w:t>m</w:t>
      </w:r>
      <w:r w:rsidRPr="00EA1315">
        <w:rPr>
          <w:lang w:val="en-IE"/>
        </w:rPr>
        <w:t>ary schools not aided by the State, or under the management of Public Bodies, could still be described in 1868 as ‘Hedge Schools’… there are still some poor people willing to pay for the education of their children, even where facilities are offered of obtaining a much superior educat</w:t>
      </w:r>
      <w:r w:rsidR="00C25803" w:rsidRPr="00EA1315">
        <w:rPr>
          <w:lang w:val="en-IE"/>
        </w:rPr>
        <w:t>i</w:t>
      </w:r>
      <w:r w:rsidRPr="00EA1315">
        <w:rPr>
          <w:lang w:val="en-IE"/>
        </w:rPr>
        <w:t xml:space="preserve">on </w:t>
      </w:r>
      <w:r w:rsidR="00C25803" w:rsidRPr="00EA1315">
        <w:rPr>
          <w:lang w:val="en-IE"/>
        </w:rPr>
        <w:t>gratuitously</w:t>
      </w:r>
      <w:r w:rsidRPr="00EA1315">
        <w:rPr>
          <w:lang w:val="en-IE"/>
        </w:rPr>
        <w:t xml:space="preserve"> in </w:t>
      </w:r>
      <w:r w:rsidR="00C25803" w:rsidRPr="00EA1315">
        <w:rPr>
          <w:lang w:val="en-IE"/>
        </w:rPr>
        <w:t>National</w:t>
      </w:r>
      <w:r w:rsidRPr="00EA1315">
        <w:rPr>
          <w:lang w:val="en-IE"/>
        </w:rPr>
        <w:t xml:space="preserve"> and other schools.</w:t>
      </w:r>
    </w:p>
    <w:p w14:paraId="026329B9" w14:textId="77777777" w:rsidR="000F3723" w:rsidRPr="00EA1315" w:rsidRDefault="000F3723" w:rsidP="000E38FF">
      <w:pPr>
        <w:ind w:left="720"/>
        <w:jc w:val="both"/>
        <w:rPr>
          <w:lang w:val="en-IE"/>
        </w:rPr>
      </w:pPr>
    </w:p>
    <w:p w14:paraId="31444578" w14:textId="77777777" w:rsidR="000F3723" w:rsidRPr="00EA1315" w:rsidRDefault="000F3723" w:rsidP="000E38FF">
      <w:pPr>
        <w:ind w:left="720"/>
        <w:jc w:val="both"/>
        <w:rPr>
          <w:lang w:val="en-IE"/>
        </w:rPr>
      </w:pPr>
    </w:p>
    <w:p w14:paraId="2329ED55" w14:textId="77777777" w:rsidR="000E38FF" w:rsidRPr="00EA1315" w:rsidRDefault="000E38FF" w:rsidP="000E38FF">
      <w:pPr>
        <w:ind w:left="720"/>
        <w:jc w:val="both"/>
        <w:rPr>
          <w:lang w:val="en-IE"/>
        </w:rPr>
      </w:pPr>
    </w:p>
    <w:p w14:paraId="1A828D1B" w14:textId="77777777" w:rsidR="000F3723" w:rsidRPr="00EA1315" w:rsidRDefault="00C25803" w:rsidP="000F3723">
      <w:pPr>
        <w:spacing w:line="480" w:lineRule="auto"/>
        <w:ind w:firstLine="720"/>
        <w:jc w:val="both"/>
        <w:rPr>
          <w:lang w:val="en-IE"/>
        </w:rPr>
      </w:pPr>
      <w:r w:rsidRPr="00EA1315">
        <w:rPr>
          <w:lang w:val="en-IE"/>
        </w:rPr>
        <w:t xml:space="preserve">One of the most significant educational societies operating at this time, in terms </w:t>
      </w:r>
      <w:r w:rsidR="00574541" w:rsidRPr="00EA1315">
        <w:rPr>
          <w:lang w:val="en-IE"/>
        </w:rPr>
        <w:t>of</w:t>
      </w:r>
      <w:r w:rsidRPr="00EA1315">
        <w:rPr>
          <w:lang w:val="en-IE"/>
        </w:rPr>
        <w:t xml:space="preserve"> the number of pupils it attracted and its long-term impact on the Irish </w:t>
      </w:r>
      <w:r w:rsidRPr="00EA1315">
        <w:rPr>
          <w:lang w:val="en-IE"/>
        </w:rPr>
        <w:lastRenderedPageBreak/>
        <w:t xml:space="preserve">educational system, was the Society for Promoting the Education of the Poor in Ireland, or the Kildare Place Society </w:t>
      </w:r>
      <w:r w:rsidR="00E80ADD" w:rsidRPr="00EA1315">
        <w:rPr>
          <w:lang w:val="en-IE"/>
        </w:rPr>
        <w:t xml:space="preserve">(KPS) </w:t>
      </w:r>
      <w:r w:rsidRPr="00EA1315">
        <w:rPr>
          <w:lang w:val="en-IE"/>
        </w:rPr>
        <w:t>as it became known. This Society was formed in 1811 by a group of individuals ‘of various religious communions’ for the purpose of ‘diffusing the blessing of well-ordered Education amongst the labouring classes’.</w:t>
      </w:r>
      <w:r w:rsidRPr="00EA1315">
        <w:rPr>
          <w:rStyle w:val="FootnoteReference"/>
          <w:lang w:val="en-IE"/>
        </w:rPr>
        <w:footnoteReference w:id="9"/>
      </w:r>
      <w:r w:rsidRPr="00EA1315">
        <w:rPr>
          <w:lang w:val="en-IE"/>
        </w:rPr>
        <w:t xml:space="preserve"> The leading principle of the Society was ‘to afford the same facilities for Education to every denomination of Christians, without interfering with the peculiar religious opinions of any’.</w:t>
      </w:r>
      <w:r w:rsidR="00B825F2" w:rsidRPr="00EA1315">
        <w:rPr>
          <w:rStyle w:val="FootnoteReference"/>
          <w:lang w:val="en-IE"/>
        </w:rPr>
        <w:footnoteReference w:id="10"/>
      </w:r>
      <w:r w:rsidRPr="00EA1315">
        <w:rPr>
          <w:lang w:val="en-IE"/>
        </w:rPr>
        <w:t xml:space="preserve"> </w:t>
      </w:r>
      <w:r w:rsidR="000F3723" w:rsidRPr="00EA1315">
        <w:rPr>
          <w:lang w:val="en-IE"/>
        </w:rPr>
        <w:t>The Society emerged in many ways as a compromise measure, following the publication of a number of key reports which highlighted the inadequate state of existing educational provision.</w:t>
      </w:r>
      <w:r w:rsidR="000F3723" w:rsidRPr="00EA1315">
        <w:rPr>
          <w:rStyle w:val="FootnoteReference"/>
          <w:lang w:val="en-IE"/>
        </w:rPr>
        <w:footnoteReference w:id="11"/>
      </w:r>
      <w:r w:rsidR="000F3723" w:rsidRPr="00EA1315">
        <w:rPr>
          <w:lang w:val="en-IE"/>
        </w:rPr>
        <w:t xml:space="preserve"> One such report issued in 1812 noted: </w:t>
      </w:r>
      <w:r w:rsidR="008B0EF9">
        <w:rPr>
          <w:lang w:val="en-IE"/>
        </w:rPr>
        <w:t>‘</w:t>
      </w:r>
      <w:r w:rsidR="000F3723" w:rsidRPr="00EA1315">
        <w:rPr>
          <w:lang w:val="en-IE"/>
        </w:rPr>
        <w:t>the present establishments for the instruction of the lower orders, though extremely numerous, are inadequate as a system of education</w:t>
      </w:r>
      <w:r w:rsidR="008B0EF9">
        <w:rPr>
          <w:lang w:val="en-IE"/>
        </w:rPr>
        <w:t>’</w:t>
      </w:r>
      <w:r w:rsidR="000F3723" w:rsidRPr="00EA1315">
        <w:rPr>
          <w:rStyle w:val="FootnoteReference"/>
          <w:lang w:val="en-IE"/>
        </w:rPr>
        <w:footnoteReference w:id="12"/>
      </w:r>
      <w:r w:rsidR="000F3723" w:rsidRPr="00EA1315">
        <w:rPr>
          <w:lang w:val="en-IE"/>
        </w:rPr>
        <w:t xml:space="preserve"> and concluded that:</w:t>
      </w:r>
    </w:p>
    <w:p w14:paraId="1D6BF344" w14:textId="77777777" w:rsidR="000F3723" w:rsidRPr="00EA1315" w:rsidRDefault="000F3723" w:rsidP="000F3723">
      <w:pPr>
        <w:pStyle w:val="FootnoteText"/>
        <w:spacing w:line="360" w:lineRule="auto"/>
        <w:ind w:left="720"/>
        <w:jc w:val="both"/>
        <w:rPr>
          <w:sz w:val="24"/>
          <w:szCs w:val="24"/>
          <w:lang w:val="en-IE"/>
        </w:rPr>
      </w:pPr>
      <w:r w:rsidRPr="00EA1315">
        <w:rPr>
          <w:sz w:val="24"/>
          <w:szCs w:val="24"/>
          <w:lang w:val="en-IE"/>
        </w:rPr>
        <w:t>A system of mixed education should be provided, where children of all denominations would be educated together while at the same time ensuring that the religious beliefs of all were respected and not interfered with in any way.</w:t>
      </w:r>
      <w:r w:rsidRPr="00EA1315">
        <w:rPr>
          <w:rStyle w:val="FootnoteReference"/>
          <w:sz w:val="24"/>
          <w:szCs w:val="24"/>
          <w:lang w:val="en-IE"/>
        </w:rPr>
        <w:footnoteReference w:id="13"/>
      </w:r>
    </w:p>
    <w:p w14:paraId="516042DB" w14:textId="77777777" w:rsidR="000F3723" w:rsidRPr="00EA1315" w:rsidRDefault="000F3723" w:rsidP="000F3723">
      <w:pPr>
        <w:pStyle w:val="FootnoteText"/>
        <w:spacing w:line="360" w:lineRule="auto"/>
        <w:ind w:left="720"/>
        <w:jc w:val="both"/>
        <w:rPr>
          <w:sz w:val="24"/>
          <w:szCs w:val="24"/>
          <w:lang w:val="en-IE"/>
        </w:rPr>
      </w:pPr>
    </w:p>
    <w:p w14:paraId="74F1AC83" w14:textId="77777777" w:rsidR="000F3723" w:rsidRPr="00EA1315" w:rsidRDefault="000F3723" w:rsidP="000F3723">
      <w:pPr>
        <w:spacing w:line="480" w:lineRule="auto"/>
        <w:ind w:firstLine="720"/>
        <w:jc w:val="both"/>
        <w:rPr>
          <w:lang w:val="en-IE"/>
        </w:rPr>
      </w:pPr>
      <w:r w:rsidRPr="00EA1315">
        <w:rPr>
          <w:lang w:val="en-IE"/>
        </w:rPr>
        <w:t xml:space="preserve">To put this proposal into effect would have caused the </w:t>
      </w:r>
      <w:r w:rsidR="00E250B6">
        <w:rPr>
          <w:lang w:val="en-IE"/>
        </w:rPr>
        <w:t>G</w:t>
      </w:r>
      <w:r w:rsidR="00E250B6" w:rsidRPr="00EA1315">
        <w:rPr>
          <w:lang w:val="en-IE"/>
        </w:rPr>
        <w:t xml:space="preserve">overnment </w:t>
      </w:r>
      <w:r w:rsidRPr="00EA1315">
        <w:rPr>
          <w:lang w:val="en-IE"/>
        </w:rPr>
        <w:t>serious political difficulty with Protestant interests in England as well as Ireland. So, when the KPS, which was promising to provide education along these lines, sought grant assistance in 1815 it received an immediate and positive response. A grant of £6,000 was made available in 1816 and this increased substantially with the passage of time to £30,000 fifteen years later. In the meantime</w:t>
      </w:r>
      <w:r w:rsidR="005A762E">
        <w:rPr>
          <w:lang w:val="en-IE"/>
        </w:rPr>
        <w:t>,</w:t>
      </w:r>
      <w:r w:rsidRPr="00EA1315">
        <w:rPr>
          <w:lang w:val="en-IE"/>
        </w:rPr>
        <w:t xml:space="preserve"> </w:t>
      </w:r>
      <w:r w:rsidR="00E250B6">
        <w:rPr>
          <w:lang w:val="en-IE"/>
        </w:rPr>
        <w:t>G</w:t>
      </w:r>
      <w:r w:rsidR="00E250B6" w:rsidRPr="00EA1315">
        <w:rPr>
          <w:lang w:val="en-IE"/>
        </w:rPr>
        <w:t xml:space="preserve">overnment </w:t>
      </w:r>
      <w:r w:rsidRPr="00EA1315">
        <w:rPr>
          <w:lang w:val="en-IE"/>
        </w:rPr>
        <w:t>continued to fund the proselytising agencies</w:t>
      </w:r>
      <w:r w:rsidR="00497BD2" w:rsidRPr="00EA1315">
        <w:rPr>
          <w:lang w:val="en-IE"/>
        </w:rPr>
        <w:t>.</w:t>
      </w:r>
    </w:p>
    <w:p w14:paraId="76741F70" w14:textId="77777777" w:rsidR="000F3723" w:rsidRPr="00EA1315" w:rsidRDefault="000F3723" w:rsidP="00EA1315">
      <w:pPr>
        <w:spacing w:line="480" w:lineRule="auto"/>
        <w:jc w:val="both"/>
        <w:rPr>
          <w:lang w:val="en-IE"/>
        </w:rPr>
      </w:pPr>
    </w:p>
    <w:p w14:paraId="5FE703A5" w14:textId="77777777" w:rsidR="00497BD2" w:rsidRPr="00EA1315" w:rsidRDefault="00B276F7" w:rsidP="00EA1315">
      <w:pPr>
        <w:spacing w:line="480" w:lineRule="auto"/>
        <w:ind w:firstLine="720"/>
        <w:jc w:val="both"/>
      </w:pPr>
      <w:r w:rsidRPr="00EA1315">
        <w:rPr>
          <w:lang w:val="en-IE"/>
        </w:rPr>
        <w:t>The KPS system was accepted albeit tacitly by Catholics for the first four or five years</w:t>
      </w:r>
      <w:r w:rsidR="0096446A" w:rsidRPr="00EA1315">
        <w:rPr>
          <w:lang w:val="en-IE"/>
        </w:rPr>
        <w:t xml:space="preserve"> and O’Connell, then the most prominent Catholic layman nationally</w:t>
      </w:r>
      <w:r w:rsidR="00326AFA" w:rsidRPr="00EA1315">
        <w:rPr>
          <w:lang w:val="en-IE"/>
        </w:rPr>
        <w:t>,</w:t>
      </w:r>
      <w:r w:rsidR="0096446A" w:rsidRPr="00EA1315">
        <w:rPr>
          <w:lang w:val="en-IE"/>
        </w:rPr>
        <w:t xml:space="preserve"> joined the society in 1818</w:t>
      </w:r>
      <w:r w:rsidR="00E46B4A" w:rsidRPr="00EA1315">
        <w:rPr>
          <w:lang w:val="en-IE"/>
        </w:rPr>
        <w:t xml:space="preserve">. </w:t>
      </w:r>
      <w:r w:rsidR="00497BD2" w:rsidRPr="00EA1315">
        <w:rPr>
          <w:lang w:val="en-IE"/>
        </w:rPr>
        <w:t xml:space="preserve">In that year also the Catholic bishops expressed opposition to the reading of the Bible without note or comment in schools supported by KPS. The following year, O’Connell raised these concerns and, in 1820, he proposed a motion that a committee be established by the Society to investigate the matter. His proposal was comprehensively defeated. The suggestion of a committee, selected by the members, to consider the matter seems a fairly innocuous one. Its comprehensive rejection suggests that perhaps some believed O’Connell had no grounds for complaint. An alternative, and perhaps more likely, possibility is that the majority were happy to support existing arrangements and saw no need for change. In any event the decision prompted O’Connell to resign from the Society </w:t>
      </w:r>
      <w:r w:rsidR="00E46B4A" w:rsidRPr="00EA1315">
        <w:rPr>
          <w:lang w:val="en-IE"/>
        </w:rPr>
        <w:t>in protest, taking with him leading Catholic clergy and laity</w:t>
      </w:r>
      <w:r w:rsidRPr="00EA1315">
        <w:rPr>
          <w:lang w:val="en-IE"/>
        </w:rPr>
        <w:t>.</w:t>
      </w:r>
      <w:r w:rsidRPr="00EA1315">
        <w:rPr>
          <w:rStyle w:val="FootnoteReference"/>
          <w:lang w:val="en-IE"/>
        </w:rPr>
        <w:footnoteReference w:id="14"/>
      </w:r>
      <w:r w:rsidRPr="00EA1315">
        <w:rPr>
          <w:lang w:val="en-IE"/>
        </w:rPr>
        <w:t xml:space="preserve"> </w:t>
      </w:r>
      <w:r w:rsidR="00E46B4A" w:rsidRPr="00EA1315">
        <w:rPr>
          <w:lang w:val="en-IE"/>
        </w:rPr>
        <w:t xml:space="preserve">Keen to publicise his stance, he wrote an open letter to the Catholic hierarchy in the </w:t>
      </w:r>
      <w:r w:rsidR="00E46B4A" w:rsidRPr="00EA1315">
        <w:rPr>
          <w:i/>
          <w:lang w:val="en-IE"/>
        </w:rPr>
        <w:t>Dublin Weekly Register</w:t>
      </w:r>
      <w:r w:rsidR="00E46B4A" w:rsidRPr="00EA1315">
        <w:rPr>
          <w:lang w:val="en-IE"/>
        </w:rPr>
        <w:t xml:space="preserve">, in which he </w:t>
      </w:r>
      <w:r w:rsidR="00F6603C" w:rsidRPr="00EA1315">
        <w:rPr>
          <w:rFonts w:eastAsia="TimesNewRomanPSMT"/>
          <w:lang w:val="en-IE" w:eastAsia="en-IE"/>
        </w:rPr>
        <w:t>called for the creation of a National Association for Education which</w:t>
      </w:r>
      <w:r w:rsidR="00E46B4A" w:rsidRPr="00EA1315">
        <w:rPr>
          <w:rFonts w:eastAsia="TimesNewRomanPSMT"/>
          <w:lang w:val="en-IE" w:eastAsia="en-IE"/>
        </w:rPr>
        <w:t xml:space="preserve"> </w:t>
      </w:r>
      <w:r w:rsidR="00F6603C" w:rsidRPr="00EA1315">
        <w:rPr>
          <w:rFonts w:eastAsia="TimesNewRomanPSMT"/>
          <w:lang w:val="en-IE" w:eastAsia="en-IE"/>
        </w:rPr>
        <w:t>would be multi-denominational, but would allow pupils of different religions to be</w:t>
      </w:r>
      <w:r w:rsidR="00E46B4A" w:rsidRPr="00EA1315">
        <w:rPr>
          <w:rFonts w:eastAsia="TimesNewRomanPSMT"/>
          <w:lang w:val="en-IE" w:eastAsia="en-IE"/>
        </w:rPr>
        <w:t xml:space="preserve"> </w:t>
      </w:r>
      <w:r w:rsidR="00F6603C" w:rsidRPr="00EA1315">
        <w:rPr>
          <w:rFonts w:eastAsia="TimesNewRomanPSMT"/>
          <w:lang w:val="en-IE" w:eastAsia="en-IE"/>
        </w:rPr>
        <w:t>given religious instruction by members of their own church.</w:t>
      </w:r>
      <w:r w:rsidR="00394E77" w:rsidRPr="00EA1315">
        <w:rPr>
          <w:rStyle w:val="FootnoteReference"/>
          <w:rFonts w:eastAsia="TimesNewRomanPSMT"/>
          <w:lang w:val="en-IE" w:eastAsia="en-IE"/>
        </w:rPr>
        <w:footnoteReference w:id="15"/>
      </w:r>
      <w:r w:rsidR="00F6603C" w:rsidRPr="00EA1315">
        <w:rPr>
          <w:rFonts w:eastAsia="TimesNewRomanPSMT"/>
          <w:lang w:val="en-IE" w:eastAsia="en-IE"/>
        </w:rPr>
        <w:t xml:space="preserve"> </w:t>
      </w:r>
      <w:r w:rsidR="002D127B" w:rsidRPr="00EA1315">
        <w:t>Kingsmill</w:t>
      </w:r>
      <w:r w:rsidR="0087685C">
        <w:t xml:space="preserve"> </w:t>
      </w:r>
      <w:r w:rsidR="002D127B" w:rsidRPr="00EA1315">
        <w:t>Moore, in his account of the work of the Society, claims that O’Connell’s actions in this matter were based on political considerations, suggesting that he was seeking a</w:t>
      </w:r>
      <w:r w:rsidR="00206622" w:rsidRPr="00EA1315">
        <w:t>n issue</w:t>
      </w:r>
      <w:r w:rsidR="002D127B" w:rsidRPr="00EA1315">
        <w:t xml:space="preserve"> which would bring the Catholic Clergy more closely into the political arena.</w:t>
      </w:r>
      <w:r w:rsidR="002D127B" w:rsidRPr="00EA1315">
        <w:rPr>
          <w:rStyle w:val="FootnoteReference"/>
        </w:rPr>
        <w:footnoteReference w:id="16"/>
      </w:r>
      <w:r w:rsidR="00326AFA" w:rsidRPr="00EA1315">
        <w:t xml:space="preserve"> </w:t>
      </w:r>
      <w:r w:rsidR="00497BD2" w:rsidRPr="00EA1315">
        <w:t xml:space="preserve">Hislop concedes that O’Connell was politically motivated but goes on to emphasise deficiencies in the work of the Society:  </w:t>
      </w:r>
    </w:p>
    <w:p w14:paraId="3C83C9CD" w14:textId="77777777" w:rsidR="00497BD2" w:rsidRPr="00EA1315" w:rsidRDefault="00497BD2" w:rsidP="00EA1315">
      <w:pPr>
        <w:ind w:left="720"/>
        <w:jc w:val="both"/>
      </w:pPr>
      <w:r w:rsidRPr="00EA1315">
        <w:lastRenderedPageBreak/>
        <w:t xml:space="preserve">The Society’s </w:t>
      </w:r>
      <w:r w:rsidRPr="00EA1315">
        <w:rPr>
          <w:i/>
        </w:rPr>
        <w:t>laissez faire</w:t>
      </w:r>
      <w:r w:rsidRPr="00EA1315">
        <w:t xml:space="preserve"> managerial policy which had allowed protestant denominational interests to become dominant in the local management of schools had proved disastrous. The distinction between the Society and evangelical protestants had become blurred so undermining Roman Catholic confidence in the Society</w:t>
      </w:r>
      <w:r w:rsidR="00EE0302">
        <w:t>.</w:t>
      </w:r>
      <w:r w:rsidRPr="00EA1315">
        <w:rPr>
          <w:rStyle w:val="FootnoteReference"/>
        </w:rPr>
        <w:footnoteReference w:id="17"/>
      </w:r>
    </w:p>
    <w:p w14:paraId="26E196CA" w14:textId="77777777" w:rsidR="00497BD2" w:rsidRPr="00EA1315" w:rsidRDefault="00497BD2" w:rsidP="00EA1315">
      <w:pPr>
        <w:spacing w:line="480" w:lineRule="auto"/>
        <w:jc w:val="both"/>
      </w:pPr>
    </w:p>
    <w:p w14:paraId="37628AA4" w14:textId="77777777" w:rsidR="00520F6F" w:rsidRPr="00EA1315" w:rsidRDefault="00996DEE" w:rsidP="00EA1315">
      <w:pPr>
        <w:spacing w:line="480" w:lineRule="auto"/>
        <w:ind w:firstLine="720"/>
        <w:jc w:val="both"/>
        <w:rPr>
          <w:lang w:val="en-IE"/>
        </w:rPr>
      </w:pPr>
      <w:r w:rsidRPr="00EA1315">
        <w:t xml:space="preserve">Given that the campaign for Catholic </w:t>
      </w:r>
      <w:r w:rsidR="00CF28D2" w:rsidRPr="00EA1315">
        <w:t>E</w:t>
      </w:r>
      <w:r w:rsidRPr="00EA1315">
        <w:t xml:space="preserve">mancipation was stalled at this time it almost certainly suited O’Connell to have another significant political issue to pursue. The fact that it was central to the concerns of the Irish Catholic bishops was certainly to his advantage. </w:t>
      </w:r>
      <w:r w:rsidR="00326AFA" w:rsidRPr="00EA1315">
        <w:rPr>
          <w:lang w:val="en-IE"/>
        </w:rPr>
        <w:t>The conflict over the KPS coincided with the revitalisation of the Catholic Church and the changing social and political landscape of early nineteenth-century Ireland</w:t>
      </w:r>
      <w:r w:rsidR="0087685C">
        <w:rPr>
          <w:lang w:val="en-IE"/>
        </w:rPr>
        <w:t>.</w:t>
      </w:r>
      <w:r w:rsidR="00326AFA" w:rsidRPr="00EA1315">
        <w:rPr>
          <w:lang w:val="en-IE"/>
        </w:rPr>
        <w:t xml:space="preserve"> </w:t>
      </w:r>
      <w:r w:rsidR="00326AFA" w:rsidRPr="00EA1315">
        <w:rPr>
          <w:rStyle w:val="FootnoteReference"/>
          <w:lang w:val="en-IE"/>
        </w:rPr>
        <w:footnoteReference w:id="18"/>
      </w:r>
      <w:r w:rsidRPr="00EA1315">
        <w:rPr>
          <w:lang w:val="en-IE"/>
        </w:rPr>
        <w:t xml:space="preserve"> </w:t>
      </w:r>
      <w:r w:rsidR="00520F6F" w:rsidRPr="00EA1315">
        <w:rPr>
          <w:rFonts w:eastAsia="TimesNewRomanPSMT"/>
          <w:lang w:val="en-IE" w:eastAsia="en-IE"/>
        </w:rPr>
        <w:t>O’</w:t>
      </w:r>
      <w:r w:rsidR="00394E77" w:rsidRPr="00EA1315">
        <w:rPr>
          <w:rFonts w:eastAsia="TimesNewRomanPSMT"/>
          <w:lang w:val="en-IE" w:eastAsia="en-IE"/>
        </w:rPr>
        <w:t>Brien notes:</w:t>
      </w:r>
    </w:p>
    <w:p w14:paraId="5A6D8573" w14:textId="77777777" w:rsidR="00394E77" w:rsidRPr="00EA1315" w:rsidRDefault="00394E77" w:rsidP="00EA1315">
      <w:pPr>
        <w:autoSpaceDE w:val="0"/>
        <w:autoSpaceDN w:val="0"/>
        <w:adjustRightInd w:val="0"/>
        <w:ind w:left="720"/>
        <w:jc w:val="both"/>
        <w:rPr>
          <w:rFonts w:eastAsia="TimesNewRomanPSMT"/>
          <w:lang w:val="en-IE" w:eastAsia="en-IE"/>
        </w:rPr>
      </w:pPr>
      <w:r w:rsidRPr="00EA1315">
        <w:rPr>
          <w:rFonts w:eastAsia="TimesNewRomanPSMT"/>
          <w:lang w:val="en-IE" w:eastAsia="en-IE"/>
        </w:rPr>
        <w:t>The education question was central to O’Connell’s success in developing a mass Catholic movement in the 1820s. It was this issue that first drew the Catholic priests to O’Connell’s flag, while the dispute over the Kildare Place schools became increasingly emotive and was a key factor in the creation of a commission of inquiry in 1824.</w:t>
      </w:r>
      <w:r w:rsidRPr="00EA1315">
        <w:rPr>
          <w:rStyle w:val="FootnoteReference"/>
          <w:rFonts w:eastAsia="TimesNewRomanPSMT"/>
          <w:lang w:val="en-IE" w:eastAsia="en-IE"/>
        </w:rPr>
        <w:footnoteReference w:id="19"/>
      </w:r>
    </w:p>
    <w:p w14:paraId="36A57EBF" w14:textId="77777777" w:rsidR="00326AFA" w:rsidRPr="00EA1315" w:rsidRDefault="00326AFA" w:rsidP="00EA1315">
      <w:pPr>
        <w:spacing w:line="480" w:lineRule="auto"/>
        <w:jc w:val="both"/>
        <w:rPr>
          <w:lang w:val="en-IE"/>
        </w:rPr>
      </w:pPr>
    </w:p>
    <w:p w14:paraId="05FC236E" w14:textId="77777777" w:rsidR="00247B1D" w:rsidRPr="00EA1315" w:rsidRDefault="00247B1D" w:rsidP="00EA1315">
      <w:pPr>
        <w:spacing w:line="480" w:lineRule="auto"/>
        <w:jc w:val="both"/>
        <w:rPr>
          <w:b/>
        </w:rPr>
      </w:pPr>
      <w:r w:rsidRPr="00EA1315">
        <w:rPr>
          <w:b/>
        </w:rPr>
        <w:t xml:space="preserve">Power through Emancipation: O’Connell develops a power base </w:t>
      </w:r>
    </w:p>
    <w:p w14:paraId="34E7F5B9" w14:textId="77777777" w:rsidR="00E80ADD" w:rsidRPr="00EA1315" w:rsidRDefault="00E80ADD" w:rsidP="00EA1315">
      <w:pPr>
        <w:autoSpaceDE w:val="0"/>
        <w:autoSpaceDN w:val="0"/>
        <w:adjustRightInd w:val="0"/>
        <w:spacing w:line="480" w:lineRule="auto"/>
        <w:jc w:val="both"/>
        <w:rPr>
          <w:rFonts w:eastAsia="TimesNewRomanPSMT"/>
          <w:lang w:val="en-IE" w:eastAsia="en-US"/>
        </w:rPr>
      </w:pPr>
      <w:r w:rsidRPr="00EA1315">
        <w:rPr>
          <w:rFonts w:eastAsia="TimesNewRomanPSMT"/>
          <w:lang w:val="en-IE" w:eastAsia="en-US"/>
        </w:rPr>
        <w:t>A combination of internal and external influences through the 1780s and 1790s</w:t>
      </w:r>
    </w:p>
    <w:p w14:paraId="41CA8DFA" w14:textId="77777777" w:rsidR="008C23AC" w:rsidRPr="00EA1315" w:rsidRDefault="00E80ADD" w:rsidP="00EA1315">
      <w:pPr>
        <w:autoSpaceDE w:val="0"/>
        <w:autoSpaceDN w:val="0"/>
        <w:adjustRightInd w:val="0"/>
        <w:spacing w:line="480" w:lineRule="auto"/>
        <w:jc w:val="both"/>
      </w:pPr>
      <w:r w:rsidRPr="00EA1315">
        <w:rPr>
          <w:rFonts w:eastAsia="TimesNewRomanPSMT"/>
          <w:lang w:val="en-IE" w:eastAsia="en-US"/>
        </w:rPr>
        <w:t>facilitated political and religious reform across Ireland.</w:t>
      </w:r>
      <w:r w:rsidRPr="00EA1315">
        <w:rPr>
          <w:rStyle w:val="FootnoteReference"/>
          <w:rFonts w:eastAsia="TimesNewRomanPSMT"/>
          <w:lang w:val="en-IE" w:eastAsia="en-US"/>
        </w:rPr>
        <w:footnoteReference w:id="20"/>
      </w:r>
      <w:r w:rsidRPr="00EA1315">
        <w:rPr>
          <w:rFonts w:eastAsia="TimesNewRomanPSMT"/>
          <w:lang w:val="en-IE" w:eastAsia="en-US"/>
        </w:rPr>
        <w:t xml:space="preserve"> These included the American War of Independence (1775</w:t>
      </w:r>
      <w:r w:rsidR="00BC2F09">
        <w:rPr>
          <w:rFonts w:eastAsia="TimesNewRomanPSMT"/>
          <w:lang w:val="en-IE" w:eastAsia="en-US"/>
        </w:rPr>
        <w:t>–</w:t>
      </w:r>
      <w:r w:rsidRPr="00EA1315">
        <w:rPr>
          <w:rFonts w:eastAsia="TimesNewRomanPSMT"/>
          <w:lang w:val="en-IE" w:eastAsia="en-US"/>
        </w:rPr>
        <w:t xml:space="preserve">83), the formation of the Volunteers (1778), legislative independence (1782), the French Revolution (1789) and the publication of Theobald Wolfe Tone’s </w:t>
      </w:r>
      <w:r w:rsidRPr="00EA1315">
        <w:rPr>
          <w:rFonts w:eastAsia="TimesNewRomanPS-ItalicMT"/>
          <w:i/>
          <w:iCs/>
          <w:lang w:val="en-IE" w:eastAsia="en-US"/>
        </w:rPr>
        <w:t xml:space="preserve">Argument on behalf of the Catholics of Ireland </w:t>
      </w:r>
      <w:r w:rsidRPr="00EA1315">
        <w:rPr>
          <w:rFonts w:eastAsia="TimesNewRomanPSMT"/>
          <w:lang w:val="en-IE" w:eastAsia="en-US"/>
        </w:rPr>
        <w:t>(1791).</w:t>
      </w:r>
      <w:r w:rsidRPr="00EA1315">
        <w:rPr>
          <w:rStyle w:val="FootnoteReference"/>
          <w:rFonts w:eastAsia="TimesNewRomanPSMT"/>
          <w:lang w:val="en-IE" w:eastAsia="en-US"/>
        </w:rPr>
        <w:footnoteReference w:id="21"/>
      </w:r>
      <w:r w:rsidRPr="00EA1315">
        <w:rPr>
          <w:rFonts w:eastAsia="TimesNewRomanPSMT"/>
          <w:lang w:val="en-IE" w:eastAsia="en-US"/>
        </w:rPr>
        <w:t xml:space="preserve"> Collectively they ushered in an environment which saw the passage of Catholic relief acts of 1782 and 1793, which effectively repealed the Penal Laws relating to education. Remaining laws prohibited </w:t>
      </w:r>
      <w:r w:rsidR="008C23AC" w:rsidRPr="00EA1315">
        <w:t xml:space="preserve">Catholic membership of The House of </w:t>
      </w:r>
      <w:r w:rsidR="008C23AC" w:rsidRPr="00EA1315">
        <w:lastRenderedPageBreak/>
        <w:t>Commons and a few very senior government and judicial positions. The campaign for Catholic Emancipation was aimed at removing these remaining restrictions</w:t>
      </w:r>
      <w:r w:rsidR="007D776B" w:rsidRPr="00EA1315">
        <w:t>. The numbers</w:t>
      </w:r>
      <w:r w:rsidR="008C23AC" w:rsidRPr="00EA1315">
        <w:t xml:space="preserve"> affected </w:t>
      </w:r>
      <w:r w:rsidR="007D776B" w:rsidRPr="00EA1315">
        <w:t>by these prohibitions were relatively</w:t>
      </w:r>
      <w:r w:rsidR="008C23AC" w:rsidRPr="00EA1315">
        <w:t xml:space="preserve"> small. However, as Beckett points out</w:t>
      </w:r>
      <w:r w:rsidR="00247B1D" w:rsidRPr="00EA1315">
        <w:t>,</w:t>
      </w:r>
      <w:r w:rsidR="008C23AC" w:rsidRPr="00EA1315">
        <w:t xml:space="preserve"> the issue</w:t>
      </w:r>
      <w:r w:rsidR="00981E1D" w:rsidRPr="00EA1315">
        <w:t xml:space="preserve"> of emancipation</w:t>
      </w:r>
      <w:r w:rsidR="008C23AC" w:rsidRPr="00EA1315">
        <w:t xml:space="preserve"> had </w:t>
      </w:r>
      <w:r w:rsidR="00520F6F" w:rsidRPr="00EA1315">
        <w:t>wider</w:t>
      </w:r>
      <w:r w:rsidR="008C23AC" w:rsidRPr="00EA1315">
        <w:t xml:space="preserve"> significance:</w:t>
      </w:r>
    </w:p>
    <w:p w14:paraId="12B58C82" w14:textId="77777777" w:rsidR="008C23AC" w:rsidRPr="00EA1315" w:rsidRDefault="008C23AC" w:rsidP="00B40D35">
      <w:pPr>
        <w:jc w:val="both"/>
      </w:pPr>
      <w:r w:rsidRPr="00EA1315">
        <w:tab/>
        <w:t xml:space="preserve">The Irish peasant saw himself as the victim of injustice in almost all his </w:t>
      </w:r>
      <w:r w:rsidRPr="00EA1315">
        <w:tab/>
        <w:t xml:space="preserve">relations of life: the landlord and the parson oppressed him; the magistrate </w:t>
      </w:r>
      <w:r w:rsidRPr="00EA1315">
        <w:tab/>
        <w:t xml:space="preserve">oppressed him; his protestant neighbour, simply as a protestant, had the </w:t>
      </w:r>
      <w:r w:rsidRPr="00EA1315">
        <w:tab/>
        <w:t>advantage of him at every turn.</w:t>
      </w:r>
      <w:r w:rsidRPr="00EA1315">
        <w:rPr>
          <w:rStyle w:val="FootnoteReference"/>
        </w:rPr>
        <w:footnoteReference w:id="22"/>
      </w:r>
    </w:p>
    <w:p w14:paraId="59DC2527" w14:textId="77777777" w:rsidR="00B40D35" w:rsidRPr="00EA1315" w:rsidRDefault="00B40D35" w:rsidP="00B40D35">
      <w:pPr>
        <w:jc w:val="both"/>
      </w:pPr>
    </w:p>
    <w:p w14:paraId="6D8A1F68" w14:textId="77777777" w:rsidR="00E80ADD" w:rsidRPr="00EA1315" w:rsidRDefault="00100990" w:rsidP="000E38FF">
      <w:pPr>
        <w:autoSpaceDE w:val="0"/>
        <w:autoSpaceDN w:val="0"/>
        <w:adjustRightInd w:val="0"/>
        <w:spacing w:line="480" w:lineRule="auto"/>
      </w:pPr>
      <w:r w:rsidRPr="00EA1315">
        <w:t xml:space="preserve">Essentially, </w:t>
      </w:r>
      <w:r w:rsidR="00981E1D" w:rsidRPr="00EA1315">
        <w:t>emancipation became</w:t>
      </w:r>
      <w:r w:rsidRPr="00EA1315">
        <w:t xml:space="preserve"> a test case for the continuance of British </w:t>
      </w:r>
      <w:r w:rsidR="00F6287C">
        <w:t>G</w:t>
      </w:r>
      <w:r w:rsidR="00F6287C" w:rsidRPr="00EA1315">
        <w:t xml:space="preserve">overnment </w:t>
      </w:r>
      <w:r w:rsidRPr="00EA1315">
        <w:t>support for Protestant hegemony in Ireland</w:t>
      </w:r>
      <w:r w:rsidR="00B03CB6" w:rsidRPr="00EA1315">
        <w:t xml:space="preserve">. </w:t>
      </w:r>
      <w:r w:rsidR="00794F47" w:rsidRPr="00EA1315">
        <w:t>The education issue, w</w:t>
      </w:r>
      <w:r w:rsidR="00516556" w:rsidRPr="00EA1315">
        <w:t>hich had direct relevance to virtually ever</w:t>
      </w:r>
      <w:r w:rsidR="00D20FBF" w:rsidRPr="00EA1315">
        <w:t>y</w:t>
      </w:r>
      <w:r w:rsidR="00516556" w:rsidRPr="00EA1315">
        <w:t>one</w:t>
      </w:r>
      <w:r w:rsidR="00247B1D" w:rsidRPr="00EA1315">
        <w:t xml:space="preserve">, </w:t>
      </w:r>
      <w:r w:rsidR="00794F47" w:rsidRPr="00EA1315">
        <w:t xml:space="preserve">became a central battleground in this power struggle. </w:t>
      </w:r>
    </w:p>
    <w:p w14:paraId="66E3DB9B" w14:textId="77777777" w:rsidR="00EC2C73" w:rsidRPr="00EA1315" w:rsidRDefault="00910022" w:rsidP="006E3DD8">
      <w:pPr>
        <w:spacing w:line="480" w:lineRule="auto"/>
        <w:ind w:firstLine="720"/>
        <w:jc w:val="both"/>
      </w:pPr>
      <w:r w:rsidRPr="00EA1315">
        <w:t xml:space="preserve">In 1823, O’Connell and Richard Lalor Shiel formed the Catholic Association, the purpose of which was to campaign for Catholic </w:t>
      </w:r>
      <w:r w:rsidR="0049553E" w:rsidRPr="00EA1315">
        <w:t>E</w:t>
      </w:r>
      <w:r w:rsidRPr="00EA1315">
        <w:t>mancipation.</w:t>
      </w:r>
      <w:r w:rsidR="00CC1284" w:rsidRPr="00EA1315">
        <w:t xml:space="preserve"> Reflecting widespread concern at that time</w:t>
      </w:r>
      <w:r w:rsidR="00EE749E" w:rsidRPr="00EA1315">
        <w:t>,</w:t>
      </w:r>
      <w:r w:rsidR="00CC1284" w:rsidRPr="00EA1315">
        <w:t xml:space="preserve"> the reform of education was adopted as the new group’s second objective.</w:t>
      </w:r>
      <w:r w:rsidR="00CC1284" w:rsidRPr="00EA1315">
        <w:rPr>
          <w:rStyle w:val="FootnoteReference"/>
        </w:rPr>
        <w:footnoteReference w:id="23"/>
      </w:r>
      <w:r w:rsidRPr="00EA1315">
        <w:t xml:space="preserve"> Membership </w:t>
      </w:r>
      <w:r w:rsidR="00EE749E" w:rsidRPr="00EA1315">
        <w:t>was</w:t>
      </w:r>
      <w:r w:rsidRPr="00EA1315">
        <w:t xml:space="preserve"> one guinea per year, although Catholic priests were </w:t>
      </w:r>
      <w:r w:rsidR="001C2294" w:rsidRPr="00EA1315">
        <w:t>allowed to join without charge.</w:t>
      </w:r>
      <w:r w:rsidRPr="00EA1315">
        <w:t xml:space="preserve"> Initially, at least, the prospects for the organisation seemed poor, with many meetings being cancelled as insufficient members had turned up to form a quorum, which was set at the quite modest figure of ten.</w:t>
      </w:r>
      <w:r w:rsidR="00600D11" w:rsidRPr="00EA1315">
        <w:rPr>
          <w:rStyle w:val="FootnoteReference"/>
        </w:rPr>
        <w:footnoteReference w:id="24"/>
      </w:r>
      <w:r w:rsidRPr="00EA1315">
        <w:t xml:space="preserve">  </w:t>
      </w:r>
    </w:p>
    <w:p w14:paraId="4E6CA8D7" w14:textId="77777777" w:rsidR="00E80ADD" w:rsidRPr="00EA1315" w:rsidRDefault="00910022" w:rsidP="00EE749E">
      <w:pPr>
        <w:spacing w:line="480" w:lineRule="auto"/>
        <w:ind w:firstLine="720"/>
        <w:jc w:val="both"/>
      </w:pPr>
      <w:r w:rsidRPr="00EA1315">
        <w:t xml:space="preserve">Learning lessons from reform movements abroad, O’Connell decided, in 1824, that the organisation needed a broader base among the population and proposed that every Catholic would be eligible for membership on the payment of a monthly subscription </w:t>
      </w:r>
      <w:r w:rsidR="00A77CAF" w:rsidRPr="00EA1315">
        <w:t>of one</w:t>
      </w:r>
      <w:r w:rsidRPr="00EA1315">
        <w:t xml:space="preserve"> penny. This became known as the “Catholic rent” and resulted in </w:t>
      </w:r>
      <w:r w:rsidRPr="00EA1315">
        <w:lastRenderedPageBreak/>
        <w:t>the creation of a broad-</w:t>
      </w:r>
      <w:r w:rsidR="00947EE9" w:rsidRPr="00EA1315">
        <w:t>based popular movement with access to</w:t>
      </w:r>
      <w:r w:rsidRPr="00EA1315">
        <w:t xml:space="preserve"> substantial funding.</w:t>
      </w:r>
      <w:r w:rsidR="00BA5C37" w:rsidRPr="00EA1315">
        <w:rPr>
          <w:rStyle w:val="FootnoteReference"/>
        </w:rPr>
        <w:footnoteReference w:id="25"/>
      </w:r>
      <w:r w:rsidR="00332BF5" w:rsidRPr="00EA1315">
        <w:t xml:space="preserve">  </w:t>
      </w:r>
      <w:r w:rsidR="00E80ADD" w:rsidRPr="00EA1315">
        <w:t xml:space="preserve">This mobilisation of the populace for constitutional political ends was unprecedented. </w:t>
      </w:r>
      <w:r w:rsidR="00CB795F" w:rsidRPr="00EA1315">
        <w:t>So too was O’Connell’s strategic alliance with the hierarchy. As McGraw and Whelan note:</w:t>
      </w:r>
    </w:p>
    <w:p w14:paraId="399630A6" w14:textId="77777777" w:rsidR="00CB795F" w:rsidRPr="00EA1315" w:rsidRDefault="00CB795F" w:rsidP="00CB795F">
      <w:pPr>
        <w:ind w:left="720"/>
        <w:jc w:val="both"/>
      </w:pPr>
      <w:r w:rsidRPr="00EA1315">
        <w:t>O’Connell’s campaign utilized the structures and personnel of the church, a national institution, at once sympathetic and responsive to Irish Catholic needs. Through persuading the church to facilitate his campaigns, O’Connell had an efficient mechanism with which to link high and low politics, to stitch the institutional church into the fabric of Catholic political life’</w:t>
      </w:r>
      <w:r w:rsidRPr="00EA1315">
        <w:rPr>
          <w:rStyle w:val="FootnoteReference"/>
        </w:rPr>
        <w:footnoteReference w:id="26"/>
      </w:r>
    </w:p>
    <w:p w14:paraId="51D52366" w14:textId="77777777" w:rsidR="00CB795F" w:rsidRPr="00EA1315" w:rsidRDefault="00CB795F" w:rsidP="00CB795F">
      <w:pPr>
        <w:ind w:left="720"/>
        <w:jc w:val="both"/>
      </w:pPr>
    </w:p>
    <w:p w14:paraId="78BBEAC0" w14:textId="77777777" w:rsidR="00D17821" w:rsidRPr="00EA1315" w:rsidRDefault="000F5FD1" w:rsidP="00437B5F">
      <w:pPr>
        <w:spacing w:line="480" w:lineRule="auto"/>
        <w:jc w:val="both"/>
      </w:pPr>
      <w:r w:rsidRPr="00EA1315">
        <w:t xml:space="preserve">Dr James Doyle, Bishop of Kildare and </w:t>
      </w:r>
      <w:proofErr w:type="spellStart"/>
      <w:r w:rsidRPr="00EA1315">
        <w:t>Leighlin</w:t>
      </w:r>
      <w:proofErr w:type="spellEnd"/>
      <w:r w:rsidRPr="00EA1315">
        <w:t xml:space="preserve">, and a prominent Catholic commentator on education, was the first bishop to join the Association. Some of his fellow bishops and many clergy followed suit. </w:t>
      </w:r>
      <w:r w:rsidR="00910022" w:rsidRPr="00EA1315">
        <w:t>Thomas Wyse</w:t>
      </w:r>
      <w:r w:rsidR="00EC6034" w:rsidRPr="00EA1315">
        <w:t>,</w:t>
      </w:r>
      <w:r w:rsidR="00910022" w:rsidRPr="00EA1315">
        <w:rPr>
          <w:rStyle w:val="FootnoteReference"/>
        </w:rPr>
        <w:footnoteReference w:id="27"/>
      </w:r>
      <w:r w:rsidR="00910022" w:rsidRPr="00EA1315">
        <w:t xml:space="preserve"> a member of a Waterford land-owning family, </w:t>
      </w:r>
      <w:r w:rsidR="00EE749E" w:rsidRPr="00EA1315">
        <w:t xml:space="preserve">who </w:t>
      </w:r>
      <w:r w:rsidR="00910022" w:rsidRPr="00EA1315">
        <w:t>joined the association in 1824</w:t>
      </w:r>
      <w:r w:rsidR="00EE749E" w:rsidRPr="00EA1315">
        <w:t>, considered</w:t>
      </w:r>
      <w:r w:rsidR="00910022" w:rsidRPr="00EA1315">
        <w:t xml:space="preserve"> the involvement of the clerg</w:t>
      </w:r>
      <w:r w:rsidR="006A4B44" w:rsidRPr="00EA1315">
        <w:t xml:space="preserve">y to be of crucial importance: </w:t>
      </w:r>
      <w:r w:rsidR="0073462F">
        <w:t>‘</w:t>
      </w:r>
      <w:r w:rsidR="00910022" w:rsidRPr="00EA1315">
        <w:t>A sort of religious sanction was thus communicated imperceptibly to a cause, which to those not immediately engaged in its promotion appeared purely and altogether political</w:t>
      </w:r>
      <w:r w:rsidR="0073462F">
        <w:t>’</w:t>
      </w:r>
      <w:r w:rsidR="00910022" w:rsidRPr="00EA1315">
        <w:t>.</w:t>
      </w:r>
      <w:r w:rsidR="00910022" w:rsidRPr="00EA1315">
        <w:rPr>
          <w:rStyle w:val="FootnoteReference"/>
        </w:rPr>
        <w:footnoteReference w:id="28"/>
      </w:r>
      <w:r w:rsidR="00CC1284" w:rsidRPr="00EA1315">
        <w:t xml:space="preserve"> </w:t>
      </w:r>
      <w:r w:rsidR="00EE749E" w:rsidRPr="00EA1315">
        <w:t xml:space="preserve">Concerned at the growing power base of the association, the Government introduced a law to suppress it in 1825, which O’Connell skilfully circumvented renaming the association the New Catholic Association. Whilst in theory the association described itself in philanthropic terms, its real objective </w:t>
      </w:r>
      <w:r w:rsidR="0049553E" w:rsidRPr="00EA1315">
        <w:t xml:space="preserve">of </w:t>
      </w:r>
      <w:r w:rsidR="00FB6F84" w:rsidRPr="00EA1315">
        <w:t>securing emancipation</w:t>
      </w:r>
      <w:r w:rsidR="0049553E" w:rsidRPr="00EA1315">
        <w:t xml:space="preserve"> </w:t>
      </w:r>
      <w:r w:rsidR="00EE749E" w:rsidRPr="00EA1315">
        <w:t>remained clear</w:t>
      </w:r>
      <w:r w:rsidR="00227649" w:rsidRPr="00EA1315">
        <w:t>.</w:t>
      </w:r>
      <w:r w:rsidR="008D4A48" w:rsidRPr="00EA1315">
        <w:rPr>
          <w:rStyle w:val="FootnoteReference"/>
        </w:rPr>
        <w:footnoteReference w:id="29"/>
      </w:r>
    </w:p>
    <w:p w14:paraId="5C29BAC3" w14:textId="77777777" w:rsidR="00D17821" w:rsidRPr="00EA1315" w:rsidRDefault="0068424E" w:rsidP="00D86C33">
      <w:pPr>
        <w:spacing w:line="480" w:lineRule="auto"/>
        <w:jc w:val="both"/>
      </w:pPr>
      <w:r w:rsidRPr="00EA1315">
        <w:rPr>
          <w:b/>
        </w:rPr>
        <w:tab/>
      </w:r>
      <w:r w:rsidR="00BA6BC8" w:rsidRPr="00EA1315">
        <w:t xml:space="preserve">The systematic mobilization </w:t>
      </w:r>
      <w:r w:rsidR="00E80ADD" w:rsidRPr="00EA1315">
        <w:t>realised by</w:t>
      </w:r>
      <w:r w:rsidR="00BA6BC8" w:rsidRPr="00EA1315">
        <w:t xml:space="preserve"> </w:t>
      </w:r>
      <w:r w:rsidR="0087685C" w:rsidRPr="00EA1315">
        <w:t>O</w:t>
      </w:r>
      <w:r w:rsidR="0087685C">
        <w:t>’</w:t>
      </w:r>
      <w:r w:rsidR="0087685C" w:rsidRPr="00EA1315">
        <w:t xml:space="preserve">Connell </w:t>
      </w:r>
      <w:r w:rsidR="00E80ADD" w:rsidRPr="00EA1315">
        <w:t xml:space="preserve">resulted in significant electoral gains in the </w:t>
      </w:r>
      <w:r w:rsidR="00BA6BC8" w:rsidRPr="00EA1315">
        <w:t xml:space="preserve">general elections of 1826: </w:t>
      </w:r>
      <w:r w:rsidR="00D17821" w:rsidRPr="00EA1315">
        <w:t>Thomas Wyse</w:t>
      </w:r>
      <w:r w:rsidR="00C3420A" w:rsidRPr="00EA1315">
        <w:t>,</w:t>
      </w:r>
      <w:r w:rsidR="00D17821" w:rsidRPr="00EA1315">
        <w:t xml:space="preserve"> architect of th</w:t>
      </w:r>
      <w:r w:rsidR="00437B5F" w:rsidRPr="00EA1315">
        <w:t>e most notable</w:t>
      </w:r>
      <w:r w:rsidR="00D17821" w:rsidRPr="00EA1315">
        <w:t xml:space="preserve"> electoral success</w:t>
      </w:r>
      <w:r w:rsidR="00C3420A" w:rsidRPr="00EA1315">
        <w:t xml:space="preserve">, </w:t>
      </w:r>
      <w:r w:rsidR="00D17821" w:rsidRPr="00EA1315">
        <w:t xml:space="preserve">organised a campaign </w:t>
      </w:r>
      <w:r w:rsidR="00C3420A" w:rsidRPr="00EA1315">
        <w:t>of support for Henry Vill</w:t>
      </w:r>
      <w:r w:rsidR="00206622" w:rsidRPr="00EA1315">
        <w:t>i</w:t>
      </w:r>
      <w:r w:rsidR="00C3420A" w:rsidRPr="00EA1315">
        <w:t xml:space="preserve">ers Stuart, a </w:t>
      </w:r>
      <w:r w:rsidR="00C3420A" w:rsidRPr="00EA1315">
        <w:lastRenderedPageBreak/>
        <w:t xml:space="preserve">liberal Protestant </w:t>
      </w:r>
      <w:r w:rsidR="00FB6F84" w:rsidRPr="00EA1315">
        <w:t xml:space="preserve">who supported Catholic emancipation. </w:t>
      </w:r>
      <w:r w:rsidR="00C3420A" w:rsidRPr="00EA1315">
        <w:t>Villiers Stuart’s success, in the fac</w:t>
      </w:r>
      <w:r w:rsidR="00F605B0" w:rsidRPr="00EA1315">
        <w:t>e</w:t>
      </w:r>
      <w:r w:rsidR="00C3420A" w:rsidRPr="00EA1315">
        <w:t xml:space="preserve"> of significant landed opposition, represented a turning point in the campaign. </w:t>
      </w:r>
      <w:r w:rsidR="00CC224D" w:rsidRPr="00EA1315">
        <w:t xml:space="preserve">The support of the </w:t>
      </w:r>
      <w:r w:rsidR="001B0493" w:rsidRPr="00EA1315">
        <w:t>local Catholic B</w:t>
      </w:r>
      <w:r w:rsidR="006A4B44" w:rsidRPr="00EA1315">
        <w:t>ishop, Dr Kelly</w:t>
      </w:r>
      <w:r w:rsidR="00CC224D" w:rsidRPr="00EA1315">
        <w:t>, as well as the support of the association nationally</w:t>
      </w:r>
      <w:r w:rsidR="00C3420A" w:rsidRPr="00EA1315">
        <w:t>,</w:t>
      </w:r>
      <w:r w:rsidR="00CC224D" w:rsidRPr="00EA1315">
        <w:t xml:space="preserve"> led to a successful outcome.</w:t>
      </w:r>
      <w:r w:rsidR="00B047EC" w:rsidRPr="00EA1315">
        <w:rPr>
          <w:rStyle w:val="FootnoteReference"/>
        </w:rPr>
        <w:footnoteReference w:id="30"/>
      </w:r>
      <w:r w:rsidR="00D17821" w:rsidRPr="00EA1315">
        <w:t xml:space="preserve"> </w:t>
      </w:r>
      <w:r w:rsidR="00CC224D" w:rsidRPr="00EA1315">
        <w:t xml:space="preserve">The success in Waterford was swiftly followed by O’Connell’s own success when he won </w:t>
      </w:r>
      <w:r w:rsidR="00D17821" w:rsidRPr="00EA1315">
        <w:t>a by-election in Clare</w:t>
      </w:r>
      <w:r w:rsidR="00CC224D" w:rsidRPr="00EA1315">
        <w:t xml:space="preserve"> in 1828. Although </w:t>
      </w:r>
      <w:r w:rsidR="00921A5E" w:rsidRPr="00EA1315">
        <w:t xml:space="preserve">taking a seat in the House of Commons required one to swear an oath which was contrary to Catholic beliefs, </w:t>
      </w:r>
      <w:r w:rsidR="00CC224D" w:rsidRPr="00EA1315">
        <w:t xml:space="preserve">it was becoming increasingly evident that the campaign for Catholic Emancipation was gaining significant national support. </w:t>
      </w:r>
      <w:r w:rsidR="00E744D9" w:rsidRPr="00EA1315">
        <w:t>This support was in no small part facilitated by the involvement of the Catholic episcopacy and clergy, buoyed up by the renewed self-confid</w:t>
      </w:r>
      <w:r w:rsidRPr="00EA1315">
        <w:t>ence in the universal Catholic C</w:t>
      </w:r>
      <w:r w:rsidR="00E744D9" w:rsidRPr="00EA1315">
        <w:t xml:space="preserve">hurch and the strengthening of the domestic church in </w:t>
      </w:r>
      <w:r w:rsidRPr="00EA1315">
        <w:t>Ireland</w:t>
      </w:r>
      <w:r w:rsidR="00E744D9" w:rsidRPr="00EA1315">
        <w:t xml:space="preserve"> as evidenced through church building, increased commitment to devotional matters and rising vocations.</w:t>
      </w:r>
      <w:r w:rsidR="00E744D9" w:rsidRPr="00EA1315">
        <w:rPr>
          <w:rStyle w:val="FootnoteReference"/>
        </w:rPr>
        <w:footnoteReference w:id="31"/>
      </w:r>
    </w:p>
    <w:p w14:paraId="47EEC426" w14:textId="77777777" w:rsidR="00061835" w:rsidRPr="00EA1315" w:rsidRDefault="00061835" w:rsidP="00D86C33">
      <w:pPr>
        <w:spacing w:line="480" w:lineRule="auto"/>
        <w:jc w:val="both"/>
      </w:pPr>
    </w:p>
    <w:p w14:paraId="2DE7C291" w14:textId="77777777" w:rsidR="00061835" w:rsidRPr="00EA1315" w:rsidRDefault="00061835" w:rsidP="00D86C33">
      <w:pPr>
        <w:spacing w:line="480" w:lineRule="auto"/>
        <w:jc w:val="both"/>
      </w:pPr>
      <w:r w:rsidRPr="00EA1315">
        <w:rPr>
          <w:b/>
        </w:rPr>
        <w:t>The Catholic Association and Education</w:t>
      </w:r>
    </w:p>
    <w:p w14:paraId="2F200992" w14:textId="77777777" w:rsidR="00C865E9" w:rsidRPr="00EA1315" w:rsidRDefault="00061835" w:rsidP="00D86C33">
      <w:pPr>
        <w:spacing w:line="480" w:lineRule="auto"/>
        <w:jc w:val="both"/>
      </w:pPr>
      <w:r w:rsidRPr="00EA1315">
        <w:t>The topic of education was discussed at a meeting of the Catholic Association in 1826.</w:t>
      </w:r>
      <w:r w:rsidR="00F73A57" w:rsidRPr="00EA1315">
        <w:rPr>
          <w:rStyle w:val="FootnoteReference"/>
        </w:rPr>
        <w:footnoteReference w:id="32"/>
      </w:r>
      <w:r w:rsidRPr="00EA1315">
        <w:t xml:space="preserve"> O’Connell proposed a motion that </w:t>
      </w:r>
      <w:r w:rsidR="00BC7035">
        <w:t>P</w:t>
      </w:r>
      <w:r w:rsidR="00BC7035" w:rsidRPr="00EA1315">
        <w:t xml:space="preserve">arliament </w:t>
      </w:r>
      <w:r w:rsidRPr="00EA1315">
        <w:t xml:space="preserve">should be petitioned </w:t>
      </w:r>
      <w:r w:rsidR="0073462F">
        <w:t>‘</w:t>
      </w:r>
      <w:r w:rsidRPr="00EA1315">
        <w:t>to establish Catholic schools under the auspices of the Catholic prelates</w:t>
      </w:r>
      <w:r w:rsidR="0073462F">
        <w:t>’</w:t>
      </w:r>
      <w:r w:rsidRPr="00EA1315">
        <w:t>.</w:t>
      </w:r>
      <w:r w:rsidRPr="00EA1315">
        <w:rPr>
          <w:rStyle w:val="FootnoteReference"/>
        </w:rPr>
        <w:footnoteReference w:id="33"/>
      </w:r>
      <w:r w:rsidRPr="00EA1315">
        <w:t xml:space="preserve"> He noted that </w:t>
      </w:r>
      <w:r w:rsidR="0073462F">
        <w:t>‘</w:t>
      </w:r>
      <w:r w:rsidRPr="00EA1315">
        <w:t>the laity had not the time and consequently we must have the assistance of the Catholic prelates to devise such a system</w:t>
      </w:r>
      <w:r w:rsidR="0073462F">
        <w:t>’</w:t>
      </w:r>
      <w:r w:rsidRPr="00EA1315">
        <w:t>.</w:t>
      </w:r>
      <w:r w:rsidRPr="00EA1315">
        <w:rPr>
          <w:rStyle w:val="FootnoteReference"/>
        </w:rPr>
        <w:footnoteReference w:id="34"/>
      </w:r>
      <w:r w:rsidRPr="00EA1315">
        <w:t xml:space="preserve"> </w:t>
      </w:r>
      <w:r w:rsidR="002653F7" w:rsidRPr="00EA1315">
        <w:t>Coincidentally</w:t>
      </w:r>
      <w:r w:rsidR="00026A28" w:rsidRPr="00EA1315">
        <w:t>, the Hierarchy were mee</w:t>
      </w:r>
      <w:r w:rsidR="00EA5F96" w:rsidRPr="00EA1315">
        <w:t>ting elsewhere in Dublin</w:t>
      </w:r>
      <w:r w:rsidRPr="00EA1315">
        <w:t xml:space="preserve"> and O’Connell suggested it would be </w:t>
      </w:r>
      <w:r w:rsidR="006A4B44" w:rsidRPr="00EA1315">
        <w:t xml:space="preserve">prudent </w:t>
      </w:r>
      <w:r w:rsidRPr="00EA1315">
        <w:t xml:space="preserve">to leave it </w:t>
      </w:r>
      <w:r w:rsidRPr="00EA1315">
        <w:lastRenderedPageBreak/>
        <w:t xml:space="preserve">to their </w:t>
      </w:r>
      <w:r w:rsidR="00FB6F84" w:rsidRPr="00EA1315">
        <w:t xml:space="preserve">discretion </w:t>
      </w:r>
      <w:r w:rsidRPr="00EA1315">
        <w:t xml:space="preserve">and </w:t>
      </w:r>
      <w:r w:rsidR="0073462F">
        <w:t>‘</w:t>
      </w:r>
      <w:r w:rsidRPr="00EA1315">
        <w:t>be guided entirely by their advice on the subject</w:t>
      </w:r>
      <w:r w:rsidR="0073462F">
        <w:t>’</w:t>
      </w:r>
      <w:r w:rsidRPr="00EA1315">
        <w:t>.</w:t>
      </w:r>
      <w:r w:rsidRPr="00EA1315">
        <w:rPr>
          <w:rStyle w:val="FootnoteReference"/>
        </w:rPr>
        <w:footnoteReference w:id="35"/>
      </w:r>
      <w:r w:rsidR="00026A28" w:rsidRPr="00EA1315">
        <w:t xml:space="preserve"> This was agreed </w:t>
      </w:r>
      <w:r w:rsidR="0049553E" w:rsidRPr="00EA1315">
        <w:t xml:space="preserve">upon </w:t>
      </w:r>
      <w:r w:rsidR="00026A28" w:rsidRPr="00EA1315">
        <w:t>unanimously.</w:t>
      </w:r>
      <w:r w:rsidRPr="00EA1315">
        <w:t xml:space="preserve"> The suggestion that the laity had not the time to devise a policy on education seems somewhat tenuous. It is certainly true that he</w:t>
      </w:r>
      <w:r w:rsidR="002653F7" w:rsidRPr="00EA1315">
        <w:t xml:space="preserve"> </w:t>
      </w:r>
      <w:r w:rsidRPr="00EA1315">
        <w:t xml:space="preserve">and his immediate associates were concentrating more on political developments in relation to Catholic </w:t>
      </w:r>
      <w:r w:rsidR="001B0493" w:rsidRPr="00EA1315">
        <w:t>E</w:t>
      </w:r>
      <w:r w:rsidRPr="00EA1315">
        <w:t>mancipation but handing the matter</w:t>
      </w:r>
      <w:r w:rsidR="00026A28" w:rsidRPr="00EA1315">
        <w:t xml:space="preserve"> of education</w:t>
      </w:r>
      <w:r w:rsidRPr="00EA1315">
        <w:t xml:space="preserve"> over completely to the Catholic Bishops without any lay input was a significant </w:t>
      </w:r>
      <w:r w:rsidR="00FB6F84" w:rsidRPr="00EA1315">
        <w:t>gesture</w:t>
      </w:r>
      <w:r w:rsidR="006C2335" w:rsidRPr="00EA1315">
        <w:t xml:space="preserve"> and suggests that O’Connell was </w:t>
      </w:r>
      <w:r w:rsidR="00F605B0" w:rsidRPr="00EA1315">
        <w:t xml:space="preserve">seeking to bind the hierarchy into any discussions around the establishment of a national system of education. </w:t>
      </w:r>
    </w:p>
    <w:p w14:paraId="7B1BF828" w14:textId="77777777" w:rsidR="00D17821" w:rsidRPr="00EA1315" w:rsidRDefault="0068424E" w:rsidP="007B5CD9">
      <w:pPr>
        <w:autoSpaceDE w:val="0"/>
        <w:autoSpaceDN w:val="0"/>
        <w:adjustRightInd w:val="0"/>
        <w:spacing w:line="480" w:lineRule="auto"/>
        <w:ind w:firstLine="720"/>
        <w:jc w:val="both"/>
      </w:pPr>
      <w:r w:rsidRPr="00EA1315">
        <w:t>A significant Commission of Inquiry into education sat in 1824, producing nine reports, the first and most significant of which was published in 1825. Amongst the key recommendations of the Commission were the establishment of a national system of education where Catholic and Protestant child</w:t>
      </w:r>
      <w:r w:rsidR="00B822E7" w:rsidRPr="00EA1315">
        <w:t>ren would be educated together; the withdrawal of all parliamentary grants to Protestant schools, including the KPS</w:t>
      </w:r>
      <w:r w:rsidR="009645C9" w:rsidRPr="00EA1315">
        <w:t>,</w:t>
      </w:r>
      <w:r w:rsidR="00B822E7" w:rsidRPr="00EA1315">
        <w:t xml:space="preserve"> and the establishment of a new board of education to oversee all education grants and school management. The Catholic Association welcomed the report, with the Catholic hierarchy more guarded</w:t>
      </w:r>
      <w:r w:rsidR="00F605B0" w:rsidRPr="00EA1315">
        <w:t xml:space="preserve"> in its commentary</w:t>
      </w:r>
      <w:r w:rsidR="00B822E7" w:rsidRPr="00EA1315">
        <w:t xml:space="preserve">. They accepted </w:t>
      </w:r>
      <w:r w:rsidR="00061835" w:rsidRPr="00EA1315">
        <w:t xml:space="preserve">the notion of mixed education </w:t>
      </w:r>
      <w:r w:rsidR="00EE0302">
        <w:t>‘</w:t>
      </w:r>
      <w:r w:rsidR="00061835" w:rsidRPr="00EA1315">
        <w:t>provided sufficient care be taken to protect the religion of the Roman Catholic children and to furnish them with adequate</w:t>
      </w:r>
      <w:r w:rsidR="00026A28" w:rsidRPr="00EA1315">
        <w:t xml:space="preserve"> means of religious instruction</w:t>
      </w:r>
      <w:r w:rsidR="00EE0302">
        <w:t>’</w:t>
      </w:r>
      <w:r w:rsidR="00061835" w:rsidRPr="00EA1315">
        <w:t>.</w:t>
      </w:r>
      <w:r w:rsidR="00061835" w:rsidRPr="00EA1315">
        <w:rPr>
          <w:rStyle w:val="FootnoteReference"/>
        </w:rPr>
        <w:footnoteReference w:id="36"/>
      </w:r>
      <w:r w:rsidR="00365C24" w:rsidRPr="00EA1315">
        <w:t xml:space="preserve"> </w:t>
      </w:r>
      <w:r w:rsidR="00061835" w:rsidRPr="00EA1315">
        <w:t>The</w:t>
      </w:r>
      <w:r w:rsidR="003748D0" w:rsidRPr="00EA1315">
        <w:t>y advocated that the</w:t>
      </w:r>
      <w:r w:rsidR="00061835" w:rsidRPr="00EA1315">
        <w:t xml:space="preserve"> training of Catholic teachers should be provided at public expense and be under the control of Catholics and also be on a single-sex basis.</w:t>
      </w:r>
      <w:r w:rsidR="00365C24" w:rsidRPr="00EA1315">
        <w:t xml:space="preserve"> </w:t>
      </w:r>
      <w:r w:rsidR="003748D0" w:rsidRPr="00EA1315">
        <w:t xml:space="preserve">They further noted that the </w:t>
      </w:r>
      <w:r w:rsidR="00365C24" w:rsidRPr="00EA1315">
        <w:t>appointment</w:t>
      </w:r>
      <w:r w:rsidR="003748D0" w:rsidRPr="00EA1315">
        <w:t xml:space="preserve"> of Catholic teachers </w:t>
      </w:r>
      <w:r w:rsidR="00365C24" w:rsidRPr="00EA1315">
        <w:t>was</w:t>
      </w:r>
      <w:r w:rsidR="006A4B44" w:rsidRPr="00EA1315">
        <w:t xml:space="preserve"> a</w:t>
      </w:r>
      <w:r w:rsidR="00365C24" w:rsidRPr="00EA1315">
        <w:t xml:space="preserve"> matter for the Church authorities.</w:t>
      </w:r>
      <w:r w:rsidR="00061835" w:rsidRPr="00EA1315">
        <w:t xml:space="preserve"> </w:t>
      </w:r>
      <w:r w:rsidR="003748D0" w:rsidRPr="00EA1315">
        <w:t>Furthermore, any b</w:t>
      </w:r>
      <w:r w:rsidR="00061835" w:rsidRPr="00EA1315">
        <w:t>ooks to be used in school for religious instruction would require the approval of the local Bishop.</w:t>
      </w:r>
    </w:p>
    <w:p w14:paraId="7B0C19BA" w14:textId="77777777" w:rsidR="00532392" w:rsidRPr="00EA1315" w:rsidRDefault="00B822E7" w:rsidP="00532392">
      <w:pPr>
        <w:autoSpaceDE w:val="0"/>
        <w:autoSpaceDN w:val="0"/>
        <w:adjustRightInd w:val="0"/>
        <w:spacing w:line="480" w:lineRule="auto"/>
        <w:ind w:firstLine="720"/>
        <w:jc w:val="both"/>
      </w:pPr>
      <w:r w:rsidRPr="00EA1315">
        <w:lastRenderedPageBreak/>
        <w:t>Several years lapsed between the publication of the first part of the 1824 inquiry and the establishment of a national system of education. As O’Brien notes, ‘for Irish Catholics the late 1820s were heady times that brought the twin issues of education and emancipation to the fore’</w:t>
      </w:r>
      <w:r w:rsidR="00532392" w:rsidRPr="00EA1315">
        <w:t>.</w:t>
      </w:r>
      <w:r w:rsidR="00532392" w:rsidRPr="00EA1315">
        <w:rPr>
          <w:rStyle w:val="FootnoteReference"/>
        </w:rPr>
        <w:footnoteReference w:id="37"/>
      </w:r>
      <w:r w:rsidR="00532392" w:rsidRPr="00EA1315">
        <w:t xml:space="preserve"> Thomas Wyse, an advocate of both emancipation and education reform noted: ‘the era witnessed a battle fought in every school, under every hedge, for the minds and feelings of the country’</w:t>
      </w:r>
      <w:r w:rsidR="0014204C">
        <w:t>.</w:t>
      </w:r>
      <w:r w:rsidR="00532392" w:rsidRPr="00EA1315">
        <w:rPr>
          <w:rStyle w:val="FootnoteReference"/>
        </w:rPr>
        <w:footnoteReference w:id="38"/>
      </w:r>
      <w:r w:rsidR="00532392" w:rsidRPr="00EA1315">
        <w:t xml:space="preserve"> Cathol</w:t>
      </w:r>
      <w:r w:rsidR="00F605B0" w:rsidRPr="00EA1315">
        <w:t>i</w:t>
      </w:r>
      <w:r w:rsidR="00532392" w:rsidRPr="00EA1315">
        <w:t>c Emancipation was finally granted in 1829, just two years before a national system of elementary education was finally established.</w:t>
      </w:r>
    </w:p>
    <w:p w14:paraId="1A43F6E0" w14:textId="77777777" w:rsidR="000F5FD1" w:rsidRPr="00EA1315" w:rsidRDefault="000F5FD1" w:rsidP="00532392">
      <w:pPr>
        <w:autoSpaceDE w:val="0"/>
        <w:autoSpaceDN w:val="0"/>
        <w:adjustRightInd w:val="0"/>
        <w:spacing w:line="480" w:lineRule="auto"/>
        <w:ind w:firstLine="720"/>
        <w:jc w:val="both"/>
      </w:pPr>
    </w:p>
    <w:p w14:paraId="3C629E0E" w14:textId="77777777" w:rsidR="00E674A0" w:rsidRPr="00EA1315" w:rsidRDefault="00061835" w:rsidP="00D86C33">
      <w:pPr>
        <w:spacing w:line="480" w:lineRule="auto"/>
        <w:jc w:val="both"/>
      </w:pPr>
      <w:r w:rsidRPr="00EA1315">
        <w:rPr>
          <w:b/>
        </w:rPr>
        <w:t>The Stanley Letter</w:t>
      </w:r>
    </w:p>
    <w:p w14:paraId="2E565F25" w14:textId="77777777" w:rsidR="00ED089E" w:rsidRPr="00EA1315" w:rsidRDefault="00E674A0" w:rsidP="00D86C33">
      <w:pPr>
        <w:spacing w:line="480" w:lineRule="auto"/>
        <w:jc w:val="both"/>
      </w:pPr>
      <w:r w:rsidRPr="00EA1315">
        <w:t>Lord G</w:t>
      </w:r>
      <w:r w:rsidR="00DD327F" w:rsidRPr="00EA1315">
        <w:t>re</w:t>
      </w:r>
      <w:r w:rsidR="00BA492E" w:rsidRPr="00EA1315">
        <w:t xml:space="preserve">y </w:t>
      </w:r>
      <w:r w:rsidR="00540891" w:rsidRPr="00EA1315">
        <w:t xml:space="preserve">came to power as </w:t>
      </w:r>
      <w:r w:rsidR="00DD327F" w:rsidRPr="00EA1315">
        <w:t>British Prime Minister of a</w:t>
      </w:r>
      <w:r w:rsidR="00BA492E" w:rsidRPr="00EA1315">
        <w:t xml:space="preserve"> Whig </w:t>
      </w:r>
      <w:r w:rsidR="00F6287C">
        <w:t>G</w:t>
      </w:r>
      <w:r w:rsidR="00F6287C" w:rsidRPr="00EA1315">
        <w:t xml:space="preserve">overnment </w:t>
      </w:r>
      <w:r w:rsidR="00BA492E" w:rsidRPr="00EA1315">
        <w:t>in November 1830.</w:t>
      </w:r>
      <w:r w:rsidR="003A4E17" w:rsidRPr="00EA1315">
        <w:rPr>
          <w:rStyle w:val="FootnoteReference"/>
        </w:rPr>
        <w:t xml:space="preserve"> </w:t>
      </w:r>
      <w:r w:rsidR="00BA492E" w:rsidRPr="00EA1315">
        <w:t xml:space="preserve"> Reform of the democratic system was not so much a priority of his administration as its</w:t>
      </w:r>
      <w:r w:rsidR="00540891" w:rsidRPr="00EA1315">
        <w:rPr>
          <w:i/>
        </w:rPr>
        <w:t xml:space="preserve"> raison d’être</w:t>
      </w:r>
      <w:r w:rsidR="00540891" w:rsidRPr="00EA1315">
        <w:t>.</w:t>
      </w:r>
      <w:r w:rsidR="006A4B44" w:rsidRPr="00EA1315">
        <w:t xml:space="preserve"> </w:t>
      </w:r>
      <w:r w:rsidR="00BA492E" w:rsidRPr="00EA1315">
        <w:t xml:space="preserve">Throughout his political life, he had campaigned for the abolition of the so-called </w:t>
      </w:r>
      <w:r w:rsidR="00182145">
        <w:t>‘</w:t>
      </w:r>
      <w:r w:rsidR="00BA492E" w:rsidRPr="00EA1315">
        <w:t>rotten boroughs</w:t>
      </w:r>
      <w:r w:rsidR="00182145">
        <w:t>’</w:t>
      </w:r>
      <w:r w:rsidR="00BA492E" w:rsidRPr="00EA1315">
        <w:t xml:space="preserve"> which placed the right of sele</w:t>
      </w:r>
      <w:r w:rsidR="00540891" w:rsidRPr="00EA1315">
        <w:t xml:space="preserve">cting </w:t>
      </w:r>
      <w:r w:rsidR="00ED089E" w:rsidRPr="00EA1315">
        <w:t xml:space="preserve">some </w:t>
      </w:r>
      <w:r w:rsidR="00540891" w:rsidRPr="00EA1315">
        <w:t xml:space="preserve">Members of Parliament in </w:t>
      </w:r>
      <w:r w:rsidR="00DD327F" w:rsidRPr="00EA1315">
        <w:t>the</w:t>
      </w:r>
      <w:r w:rsidR="00BA492E" w:rsidRPr="00EA1315">
        <w:t xml:space="preserve"> hands</w:t>
      </w:r>
      <w:r w:rsidR="00DD327F" w:rsidRPr="00EA1315">
        <w:t xml:space="preserve"> of a small number of individuals</w:t>
      </w:r>
      <w:r w:rsidR="00BA492E" w:rsidRPr="00EA1315">
        <w:t xml:space="preserve">. Now that he </w:t>
      </w:r>
      <w:r w:rsidR="00F605B0" w:rsidRPr="00EA1315">
        <w:t>had a</w:t>
      </w:r>
      <w:r w:rsidR="00BA492E" w:rsidRPr="00EA1315">
        <w:t xml:space="preserve"> chance to d</w:t>
      </w:r>
      <w:r w:rsidR="00A77CAF" w:rsidRPr="00EA1315">
        <w:t>o something about it, he was going to seize</w:t>
      </w:r>
      <w:r w:rsidR="00BA492E" w:rsidRPr="00EA1315">
        <w:t xml:space="preserve"> the opportunity.</w:t>
      </w:r>
      <w:r w:rsidR="00DB57F8" w:rsidRPr="00EA1315">
        <w:t xml:space="preserve"> The selection of members of his cabinet was based on their individual abilities to secure a successful</w:t>
      </w:r>
      <w:r w:rsidR="00EA5F96" w:rsidRPr="00EA1315">
        <w:t xml:space="preserve"> outcome for his proposed Reform Bill.</w:t>
      </w:r>
      <w:r w:rsidR="00A77CAF" w:rsidRPr="00EA1315">
        <w:t xml:space="preserve"> </w:t>
      </w:r>
      <w:r w:rsidR="0014204C">
        <w:t>‘</w:t>
      </w:r>
      <w:r w:rsidR="00A77CAF" w:rsidRPr="00EA1315">
        <w:t>Gre</w:t>
      </w:r>
      <w:r w:rsidR="00DB57F8" w:rsidRPr="00EA1315">
        <w:t xml:space="preserve">y’s </w:t>
      </w:r>
      <w:r w:rsidR="00F6287C">
        <w:t>G</w:t>
      </w:r>
      <w:r w:rsidR="00F6287C" w:rsidRPr="00EA1315">
        <w:t xml:space="preserve">overnment </w:t>
      </w:r>
      <w:r w:rsidR="00DB57F8" w:rsidRPr="00EA1315">
        <w:t>was first and foremost a coalition to carry reform</w:t>
      </w:r>
      <w:r w:rsidR="0014204C">
        <w:t>’</w:t>
      </w:r>
      <w:r w:rsidR="00DB57F8" w:rsidRPr="00EA1315">
        <w:t>.</w:t>
      </w:r>
      <w:r w:rsidR="00DB57F8" w:rsidRPr="00EA1315">
        <w:rPr>
          <w:rStyle w:val="FootnoteReference"/>
        </w:rPr>
        <w:footnoteReference w:id="39"/>
      </w:r>
      <w:r w:rsidR="00DB57F8" w:rsidRPr="00EA1315">
        <w:t xml:space="preserve"> Appointed to the position </w:t>
      </w:r>
      <w:r w:rsidR="006753FC" w:rsidRPr="00EA1315">
        <w:t>of Lord Lieutenant was Lord Ang</w:t>
      </w:r>
      <w:r w:rsidR="00DB57F8" w:rsidRPr="00EA1315">
        <w:t>l</w:t>
      </w:r>
      <w:r w:rsidR="006753FC" w:rsidRPr="00EA1315">
        <w:t>e</w:t>
      </w:r>
      <w:r w:rsidR="00DB57F8" w:rsidRPr="00EA1315">
        <w:t>sey</w:t>
      </w:r>
      <w:r w:rsidR="00182145">
        <w:t>,</w:t>
      </w:r>
      <w:r w:rsidR="001851F2" w:rsidRPr="00EA1315">
        <w:rPr>
          <w:rStyle w:val="FootnoteReference"/>
        </w:rPr>
        <w:footnoteReference w:id="40"/>
      </w:r>
      <w:r w:rsidR="00DB57F8" w:rsidRPr="00EA1315">
        <w:t xml:space="preserve"> a man of fairly liberal disposition who had been a supporter of Catholic claims in the past and critical of the Kildare Place Society. E.G. Stanley </w:t>
      </w:r>
      <w:r w:rsidR="00DB57F8" w:rsidRPr="00EA1315">
        <w:lastRenderedPageBreak/>
        <w:t>became Chief Secretary.</w:t>
      </w:r>
      <w:r w:rsidR="009F56D4" w:rsidRPr="00EA1315">
        <w:rPr>
          <w:rStyle w:val="FootnoteReference"/>
        </w:rPr>
        <w:footnoteReference w:id="41"/>
      </w:r>
      <w:r w:rsidR="006A4B44" w:rsidRPr="00EA1315">
        <w:t xml:space="preserve"> </w:t>
      </w:r>
      <w:r w:rsidR="009F56D4" w:rsidRPr="00EA1315">
        <w:t>He had been included because of his debating skill</w:t>
      </w:r>
      <w:r w:rsidR="00CF28D2" w:rsidRPr="00EA1315">
        <w:t>s</w:t>
      </w:r>
      <w:r w:rsidR="009F56D4" w:rsidRPr="00EA1315">
        <w:t xml:space="preserve"> and his influence and that of his family with the landed gentry who controlled most of the seats in Parliament. He was a man of generally conser</w:t>
      </w:r>
      <w:r w:rsidR="00A77CAF" w:rsidRPr="00EA1315">
        <w:t xml:space="preserve">vative views and as one </w:t>
      </w:r>
      <w:r w:rsidR="00ED089E" w:rsidRPr="00EA1315">
        <w:t>noted observer has com</w:t>
      </w:r>
      <w:r w:rsidR="00CB3CE8" w:rsidRPr="00EA1315">
        <w:t xml:space="preserve">mented, was not well equipped, </w:t>
      </w:r>
      <w:r w:rsidR="00CC31CD">
        <w:t>‘</w:t>
      </w:r>
      <w:r w:rsidR="00A77CAF" w:rsidRPr="00EA1315">
        <w:t>to deal with the manifes</w:t>
      </w:r>
      <w:r w:rsidR="00C865E9" w:rsidRPr="00EA1315">
        <w:t>tations of discontent in Ireland</w:t>
      </w:r>
      <w:r w:rsidR="00CC31CD">
        <w:t>’.</w:t>
      </w:r>
      <w:r w:rsidR="00C865E9" w:rsidRPr="00EA1315">
        <w:t xml:space="preserve"> </w:t>
      </w:r>
      <w:r w:rsidR="00A77CAF" w:rsidRPr="00EA1315">
        <w:rPr>
          <w:rStyle w:val="FootnoteReference"/>
        </w:rPr>
        <w:footnoteReference w:id="42"/>
      </w:r>
      <w:r w:rsidR="00DD327F" w:rsidRPr="00EA1315">
        <w:t xml:space="preserve">  </w:t>
      </w:r>
    </w:p>
    <w:p w14:paraId="428CE309" w14:textId="77777777" w:rsidR="000B5744" w:rsidRPr="00EA1315" w:rsidRDefault="00ED089E" w:rsidP="00D86C33">
      <w:pPr>
        <w:spacing w:line="480" w:lineRule="auto"/>
        <w:ind w:firstLine="720"/>
        <w:jc w:val="both"/>
      </w:pPr>
      <w:r w:rsidRPr="00EA1315">
        <w:t xml:space="preserve">It was his task to introduce the Government’s proposals for education in Ireland which he did in September of 1831. </w:t>
      </w:r>
      <w:r w:rsidR="009F56D4" w:rsidRPr="00EA1315">
        <w:t xml:space="preserve">Speaking in the House of </w:t>
      </w:r>
      <w:r w:rsidRPr="00EA1315">
        <w:t xml:space="preserve">Commons he </w:t>
      </w:r>
      <w:r w:rsidR="009F56D4" w:rsidRPr="00EA1315">
        <w:t>was quite critical of the arrangements then in place. He noted that, under the Kildare Place Society, there had been a great increase in the number</w:t>
      </w:r>
      <w:r w:rsidR="006A4B44" w:rsidRPr="00EA1315">
        <w:t xml:space="preserve"> of schools and pupils participating in education</w:t>
      </w:r>
      <w:r w:rsidR="009F56D4" w:rsidRPr="00EA1315">
        <w:t>. He felt</w:t>
      </w:r>
      <w:r w:rsidR="006A4B44" w:rsidRPr="00EA1315">
        <w:t>,</w:t>
      </w:r>
      <w:r w:rsidR="009F56D4" w:rsidRPr="00EA1315">
        <w:t xml:space="preserve"> however</w:t>
      </w:r>
      <w:r w:rsidR="006A4B44" w:rsidRPr="00EA1315">
        <w:t>,</w:t>
      </w:r>
      <w:r w:rsidR="009F56D4" w:rsidRPr="00EA1315">
        <w:t xml:space="preserve"> that this was to be accounted for </w:t>
      </w:r>
      <w:r w:rsidR="00CC31CD">
        <w:t>‘</w:t>
      </w:r>
      <w:r w:rsidR="009F56D4" w:rsidRPr="00EA1315">
        <w:t>by the voracious appetite for education which led the people of Ireland to seek any education at any disadvantage</w:t>
      </w:r>
      <w:r w:rsidR="00CC31CD">
        <w:t>’.</w:t>
      </w:r>
      <w:r w:rsidR="009F56D4" w:rsidRPr="00EA1315">
        <w:rPr>
          <w:rStyle w:val="FootnoteReference"/>
        </w:rPr>
        <w:footnoteReference w:id="43"/>
      </w:r>
      <w:r w:rsidR="00CC31CD">
        <w:t xml:space="preserve"> </w:t>
      </w:r>
      <w:r w:rsidR="009F56D4" w:rsidRPr="00EA1315">
        <w:t>He commented on the fact that most of the Kildare Place Society funds were going to Protestant Ulster, while the other three provinces had one third of their share.</w:t>
      </w:r>
      <w:r w:rsidR="009F56D4" w:rsidRPr="00EA1315">
        <w:rPr>
          <w:rStyle w:val="FootnoteReference"/>
        </w:rPr>
        <w:footnoteReference w:id="44"/>
      </w:r>
      <w:r w:rsidR="009F56D4" w:rsidRPr="00EA1315">
        <w:t xml:space="preserve"> He also noted the disproportionately low number of Catholics being appointed to teaching positions</w:t>
      </w:r>
      <w:r w:rsidR="000B5744" w:rsidRPr="00EA1315">
        <w:t>.</w:t>
      </w:r>
      <w:r w:rsidR="000B5744" w:rsidRPr="00EA1315">
        <w:rPr>
          <w:rStyle w:val="FootnoteReference"/>
        </w:rPr>
        <w:footnoteReference w:id="45"/>
      </w:r>
      <w:r w:rsidR="00DD327F" w:rsidRPr="00EA1315">
        <w:t xml:space="preserve"> As he saw it the issue was:</w:t>
      </w:r>
      <w:r w:rsidR="000B5744" w:rsidRPr="00EA1315">
        <w:t xml:space="preserve"> </w:t>
      </w:r>
    </w:p>
    <w:p w14:paraId="31EEACE2" w14:textId="77777777" w:rsidR="000B5744" w:rsidRPr="00EA1315" w:rsidRDefault="000B5744" w:rsidP="00D86C33">
      <w:pPr>
        <w:ind w:left="720"/>
        <w:jc w:val="both"/>
      </w:pPr>
      <w:r w:rsidRPr="00EA1315">
        <w:t>How religious, moral and literary instruction could best be imparted at that period when the human mind was most susceptible of impressions, whether for good or for evil, and how companionship and kindly feeling could, at an early stage be best promoted between Catholics and Protestants.</w:t>
      </w:r>
      <w:r w:rsidRPr="00EA1315">
        <w:rPr>
          <w:rStyle w:val="FootnoteReference"/>
        </w:rPr>
        <w:footnoteReference w:id="46"/>
      </w:r>
    </w:p>
    <w:p w14:paraId="2C6B210F" w14:textId="77777777" w:rsidR="000B5744" w:rsidRPr="00EA1315" w:rsidRDefault="000B5744" w:rsidP="00D86C33">
      <w:pPr>
        <w:spacing w:line="480" w:lineRule="auto"/>
        <w:ind w:left="720"/>
        <w:jc w:val="both"/>
      </w:pPr>
    </w:p>
    <w:p w14:paraId="24E016D1" w14:textId="77777777" w:rsidR="000B5744" w:rsidRPr="00EA1315" w:rsidRDefault="001B0493" w:rsidP="00D86C33">
      <w:pPr>
        <w:spacing w:line="480" w:lineRule="auto"/>
        <w:jc w:val="both"/>
      </w:pPr>
      <w:r w:rsidRPr="00EA1315">
        <w:t>Lord Grey</w:t>
      </w:r>
      <w:r w:rsidR="000B5744" w:rsidRPr="00EA1315">
        <w:t xml:space="preserve"> emphasised that neither he nor the Government were opposed to religious instruction. What they wanted to see was, </w:t>
      </w:r>
      <w:r w:rsidR="00CC31CD">
        <w:t>‘</w:t>
      </w:r>
      <w:proofErr w:type="spellStart"/>
      <w:r w:rsidR="000B5744" w:rsidRPr="00EA1315">
        <w:t>its</w:t>
      </w:r>
      <w:proofErr w:type="spellEnd"/>
      <w:r w:rsidR="000B5744" w:rsidRPr="00EA1315">
        <w:t xml:space="preserve"> diffusion, on such a principle as should </w:t>
      </w:r>
      <w:r w:rsidR="000B5744" w:rsidRPr="00EA1315">
        <w:lastRenderedPageBreak/>
        <w:t>inculcate charity and goodwill instead of promoting discord and evil</w:t>
      </w:r>
      <w:r w:rsidR="00CC31CD">
        <w:t>’.</w:t>
      </w:r>
      <w:r w:rsidR="000B5744" w:rsidRPr="00EA1315">
        <w:rPr>
          <w:rStyle w:val="FootnoteReference"/>
        </w:rPr>
        <w:footnoteReference w:id="47"/>
      </w:r>
      <w:r w:rsidR="00227649" w:rsidRPr="00EA1315">
        <w:t xml:space="preserve">The </w:t>
      </w:r>
      <w:r w:rsidR="000B5744" w:rsidRPr="00EA1315">
        <w:t xml:space="preserve"> idea was that money should be placed at the disposal of the Lord Lieutenant of Ireland and the conduct of the schools left to the direction of those in charge of the schools, partly Protestant partly Catholic, thus, he hoped, gaining the confidence of both parties. His proposals were widely supported by Irish members including Daniel O’Connell. In a letter written to Bishop Doyle in February 1829, O’Connell had committed himself, if the opportunity arose, to </w:t>
      </w:r>
      <w:r w:rsidR="00C865E9" w:rsidRPr="00EA1315">
        <w:t xml:space="preserve">pursue the matter of education. </w:t>
      </w:r>
      <w:r w:rsidR="00CC31CD">
        <w:t>‘</w:t>
      </w:r>
      <w:r w:rsidR="000B5744" w:rsidRPr="00EA1315">
        <w:t>If I get into the House, Catholic education will have an unremitting and sincere advocate</w:t>
      </w:r>
      <w:r w:rsidR="00CC31CD">
        <w:t>’.</w:t>
      </w:r>
      <w:r w:rsidR="000B5744" w:rsidRPr="00EA1315">
        <w:rPr>
          <w:rStyle w:val="FootnoteReference"/>
        </w:rPr>
        <w:footnoteReference w:id="48"/>
      </w:r>
      <w:r w:rsidR="000B5744" w:rsidRPr="00EA1315">
        <w:t xml:space="preserve"> By the time Stanley brought his proposals to the House of Commons, O’Connell had become a Member and, in relation to these ideas, he </w:t>
      </w:r>
      <w:r w:rsidR="00CC31CD">
        <w:t>‘</w:t>
      </w:r>
      <w:r w:rsidR="000B5744" w:rsidRPr="00EA1315">
        <w:t>hoped that the promises and expectations of the government would be realised and that benefits of education would be equally extended to all classes</w:t>
      </w:r>
      <w:r w:rsidR="00CC31CD">
        <w:t>’.</w:t>
      </w:r>
      <w:r w:rsidR="000B5744" w:rsidRPr="00EA1315">
        <w:t xml:space="preserve"> In hi</w:t>
      </w:r>
      <w:r w:rsidR="001678A5" w:rsidRPr="00EA1315">
        <w:t>s vie</w:t>
      </w:r>
      <w:r w:rsidR="00C865E9" w:rsidRPr="00EA1315">
        <w:t xml:space="preserve">w, </w:t>
      </w:r>
      <w:r w:rsidR="00F605B0" w:rsidRPr="00EA1315">
        <w:t xml:space="preserve">Catholics were merely seeking </w:t>
      </w:r>
      <w:r w:rsidR="00CC31CD">
        <w:t>‘</w:t>
      </w:r>
      <w:r w:rsidR="000B5744" w:rsidRPr="00EA1315">
        <w:t>the benefit of education, accompanied with their own mode of religious instruction</w:t>
      </w:r>
      <w:r w:rsidR="00CC31CD">
        <w:t>’.</w:t>
      </w:r>
      <w:r w:rsidR="000B5744" w:rsidRPr="00EA1315">
        <w:rPr>
          <w:rStyle w:val="FootnoteReference"/>
        </w:rPr>
        <w:footnoteReference w:id="49"/>
      </w:r>
    </w:p>
    <w:p w14:paraId="43D805A6" w14:textId="77777777" w:rsidR="004E5B79" w:rsidRPr="00EA1315" w:rsidRDefault="004E5B79" w:rsidP="00920FA1">
      <w:pPr>
        <w:spacing w:line="480" w:lineRule="auto"/>
        <w:ind w:firstLine="720"/>
        <w:jc w:val="both"/>
      </w:pPr>
      <w:r w:rsidRPr="00EA1315">
        <w:t>The idea of mixed education was in line with general thinking at the time, arising from concerns over the increase in sectarianism. While the Penal Laws had remained on the Statute Book until late in the eighteenth century, their enforcement had lapsed for some decades before that. This gave rise to a period when friendly relations between Catholics and Protestants became more commonplace.</w:t>
      </w:r>
      <w:r w:rsidRPr="00EA1315">
        <w:rPr>
          <w:rStyle w:val="FootnoteReference"/>
        </w:rPr>
        <w:footnoteReference w:id="50"/>
      </w:r>
      <w:r w:rsidRPr="00EA1315">
        <w:t xml:space="preserve"> However, the growth of the evangelical movements across Europe, in what is sometimes described as </w:t>
      </w:r>
      <w:r w:rsidR="00182145">
        <w:t>‘</w:t>
      </w:r>
      <w:r w:rsidRPr="00EA1315">
        <w:t>the second reformation</w:t>
      </w:r>
      <w:r w:rsidR="00182145">
        <w:t>’</w:t>
      </w:r>
      <w:r w:rsidRPr="00EA1315">
        <w:t xml:space="preserve"> from 1820 onwards le</w:t>
      </w:r>
      <w:r w:rsidR="001B0493" w:rsidRPr="00EA1315">
        <w:t>d</w:t>
      </w:r>
      <w:r w:rsidRPr="00EA1315">
        <w:t xml:space="preserve"> to people reverting to intransigent positions.</w:t>
      </w:r>
      <w:r w:rsidRPr="00EA1315">
        <w:rPr>
          <w:rStyle w:val="FootnoteReference"/>
        </w:rPr>
        <w:footnoteReference w:id="51"/>
      </w:r>
      <w:r w:rsidR="006A4B44" w:rsidRPr="00EA1315">
        <w:t xml:space="preserve"> </w:t>
      </w:r>
    </w:p>
    <w:p w14:paraId="515D9436" w14:textId="77777777" w:rsidR="000B5744" w:rsidRPr="00EA1315" w:rsidRDefault="000B5744" w:rsidP="00F605B0">
      <w:pPr>
        <w:spacing w:line="480" w:lineRule="auto"/>
        <w:ind w:firstLine="720"/>
        <w:jc w:val="both"/>
      </w:pPr>
      <w:r w:rsidRPr="00EA1315">
        <w:lastRenderedPageBreak/>
        <w:t xml:space="preserve">The </w:t>
      </w:r>
      <w:r w:rsidR="001B0493" w:rsidRPr="00EA1315">
        <w:t>G</w:t>
      </w:r>
      <w:r w:rsidRPr="00EA1315">
        <w:t>overnment, in bringing the matter to the House of Commons, was not proposing to introduce legislation. Essentially, what they were doing was advising the members of the new arrangements that would apply to the grant which previously had been paid to the Kildare Place Society. Having secured the support of the House, Stanley wrote to the Lord Lieutenant regarding the composition of the suggested National Board of Education on 20</w:t>
      </w:r>
      <w:r w:rsidRPr="00EA1315">
        <w:rPr>
          <w:vertAlign w:val="superscript"/>
        </w:rPr>
        <w:t>th</w:t>
      </w:r>
      <w:r w:rsidR="002D563A" w:rsidRPr="00EA1315">
        <w:t xml:space="preserve"> October 1831. </w:t>
      </w:r>
      <w:r w:rsidR="00CC31CD">
        <w:t>‘</w:t>
      </w:r>
      <w:r w:rsidRPr="00EA1315">
        <w:t>We must lose no time in naming our commissioners for our new board of education. This will be a task of some delicacy</w:t>
      </w:r>
      <w:r w:rsidR="00CC31CD">
        <w:t>’.</w:t>
      </w:r>
      <w:r w:rsidRPr="00EA1315">
        <w:rPr>
          <w:rStyle w:val="FootnoteReference"/>
        </w:rPr>
        <w:footnoteReference w:id="52"/>
      </w:r>
      <w:r w:rsidRPr="00EA1315">
        <w:t xml:space="preserve">  </w:t>
      </w:r>
    </w:p>
    <w:p w14:paraId="0E0BAC78" w14:textId="77777777" w:rsidR="00A77CAF" w:rsidRPr="00EA1315" w:rsidRDefault="000B5744" w:rsidP="00B24863">
      <w:pPr>
        <w:spacing w:line="480" w:lineRule="auto"/>
        <w:ind w:firstLine="720"/>
        <w:jc w:val="both"/>
      </w:pPr>
      <w:r w:rsidRPr="00EA1315">
        <w:t xml:space="preserve">In discussion with the Lord Lieutenant, agreement was reached to offer positions to the Duke of Leinster as chairperson, Archbishop </w:t>
      </w:r>
      <w:proofErr w:type="spellStart"/>
      <w:r w:rsidRPr="00EA1315">
        <w:t>Whately</w:t>
      </w:r>
      <w:proofErr w:type="spellEnd"/>
      <w:r w:rsidRPr="00EA1315">
        <w:t xml:space="preserve"> and Dr Sadleir of the Established Church (the Church of England), Archbishop Murray</w:t>
      </w:r>
      <w:r w:rsidRPr="00EA1315">
        <w:rPr>
          <w:rStyle w:val="FootnoteReference"/>
        </w:rPr>
        <w:footnoteReference w:id="53"/>
      </w:r>
      <w:r w:rsidRPr="00EA1315">
        <w:t xml:space="preserve"> and Anthony Blake</w:t>
      </w:r>
      <w:r w:rsidRPr="00EA1315">
        <w:rPr>
          <w:rStyle w:val="FootnoteReference"/>
        </w:rPr>
        <w:footnoteReference w:id="54"/>
      </w:r>
      <w:r w:rsidRPr="00EA1315">
        <w:t xml:space="preserve"> of the Roman Catholic Church, Mr Carlisle, a Presbyterian and Mr Holmes, a Unitarian. At the end of October, Stanley issued a letter to the new </w:t>
      </w:r>
      <w:r w:rsidR="00A77CAF" w:rsidRPr="00EA1315">
        <w:t xml:space="preserve">board outlining their functions, emphasising the mixed nature </w:t>
      </w:r>
      <w:r w:rsidR="001678A5" w:rsidRPr="00EA1315">
        <w:t>of the scheme which</w:t>
      </w:r>
      <w:r w:rsidR="00A77CAF" w:rsidRPr="00EA1315">
        <w:t xml:space="preserve"> they were required to develop.</w:t>
      </w:r>
      <w:r w:rsidRPr="00EA1315">
        <w:rPr>
          <w:rStyle w:val="FootnoteReference"/>
        </w:rPr>
        <w:footnoteReference w:id="55"/>
      </w:r>
      <w:r w:rsidR="000B4BF8" w:rsidRPr="00EA1315">
        <w:t xml:space="preserve"> </w:t>
      </w:r>
      <w:r w:rsidR="00A77CAF" w:rsidRPr="00EA1315">
        <w:t>In the first public notice advising that the</w:t>
      </w:r>
      <w:r w:rsidR="001678A5" w:rsidRPr="00EA1315">
        <w:t>y</w:t>
      </w:r>
      <w:r w:rsidR="00A77CAF" w:rsidRPr="00EA1315">
        <w:t xml:space="preserve"> were ready to consider grant applications</w:t>
      </w:r>
      <w:r w:rsidR="001B0493" w:rsidRPr="00EA1315">
        <w:t>,</w:t>
      </w:r>
      <w:r w:rsidR="00A77CAF" w:rsidRPr="00EA1315">
        <w:t xml:space="preserve"> this was highlighted:</w:t>
      </w:r>
    </w:p>
    <w:p w14:paraId="70E42AB1" w14:textId="77777777" w:rsidR="001E65A5" w:rsidRPr="00EA1315" w:rsidRDefault="001E65A5" w:rsidP="00D86C33">
      <w:pPr>
        <w:spacing w:line="480" w:lineRule="auto"/>
        <w:ind w:left="720"/>
        <w:jc w:val="both"/>
      </w:pPr>
      <w:r w:rsidRPr="00EA1315">
        <w:t>…the Board will look with peculiar favour upon applications proceeding either from,</w:t>
      </w:r>
    </w:p>
    <w:p w14:paraId="7C46C3DB" w14:textId="77777777" w:rsidR="001E65A5" w:rsidRPr="00EA1315" w:rsidRDefault="001E65A5" w:rsidP="00D86C33">
      <w:pPr>
        <w:ind w:left="720"/>
        <w:jc w:val="both"/>
      </w:pPr>
      <w:r w:rsidRPr="00EA1315">
        <w:t>1</w:t>
      </w:r>
      <w:r w:rsidRPr="00EA1315">
        <w:rPr>
          <w:vertAlign w:val="superscript"/>
        </w:rPr>
        <w:t>st</w:t>
      </w:r>
      <w:r w:rsidRPr="00EA1315">
        <w:t>.  A Protestant and a Roman Catholic Clergyman conjointly,</w:t>
      </w:r>
    </w:p>
    <w:p w14:paraId="41D496A1" w14:textId="77777777" w:rsidR="001E65A5" w:rsidRPr="00EA1315" w:rsidRDefault="001E65A5" w:rsidP="00D86C33">
      <w:pPr>
        <w:ind w:left="720"/>
        <w:jc w:val="both"/>
      </w:pPr>
      <w:r w:rsidRPr="00EA1315">
        <w:lastRenderedPageBreak/>
        <w:t>2</w:t>
      </w:r>
      <w:r w:rsidRPr="00EA1315">
        <w:rPr>
          <w:vertAlign w:val="superscript"/>
        </w:rPr>
        <w:t>nd</w:t>
      </w:r>
      <w:r w:rsidRPr="00EA1315">
        <w:t>. A Clergyman of the one denomination and a certain number of laymen of the other,</w:t>
      </w:r>
    </w:p>
    <w:p w14:paraId="13A371E3" w14:textId="77777777" w:rsidR="000B5744" w:rsidRPr="00EA1315" w:rsidRDefault="001E65A5" w:rsidP="00D86C33">
      <w:pPr>
        <w:ind w:left="720"/>
        <w:jc w:val="both"/>
      </w:pPr>
      <w:r w:rsidRPr="00EA1315">
        <w:t>3</w:t>
      </w:r>
      <w:r w:rsidRPr="00EA1315">
        <w:rPr>
          <w:vertAlign w:val="superscript"/>
        </w:rPr>
        <w:t>rd</w:t>
      </w:r>
      <w:r w:rsidRPr="00EA1315">
        <w:t>.  Laymen of both denominations.</w:t>
      </w:r>
      <w:r w:rsidR="000B5744" w:rsidRPr="00EA1315">
        <w:rPr>
          <w:rStyle w:val="FootnoteReference"/>
        </w:rPr>
        <w:footnoteReference w:id="56"/>
      </w:r>
    </w:p>
    <w:p w14:paraId="0054CB50" w14:textId="77777777" w:rsidR="000B5744" w:rsidRPr="00EA1315" w:rsidRDefault="000B5744" w:rsidP="00D86C33">
      <w:pPr>
        <w:spacing w:line="480" w:lineRule="auto"/>
        <w:ind w:left="720"/>
        <w:jc w:val="both"/>
      </w:pPr>
    </w:p>
    <w:p w14:paraId="5008783B" w14:textId="77777777" w:rsidR="000B5744" w:rsidRPr="00EA1315" w:rsidRDefault="000B5744" w:rsidP="00D86C33">
      <w:pPr>
        <w:spacing w:line="480" w:lineRule="auto"/>
        <w:jc w:val="both"/>
      </w:pPr>
      <w:r w:rsidRPr="00EA1315">
        <w:t>Clearly then,</w:t>
      </w:r>
      <w:r w:rsidR="00C63D84" w:rsidRPr="00EA1315">
        <w:t xml:space="preserve"> the authorities hoped that</w:t>
      </w:r>
      <w:r w:rsidRPr="00EA1315">
        <w:t xml:space="preserve"> these sch</w:t>
      </w:r>
      <w:r w:rsidR="00C63D84" w:rsidRPr="00EA1315">
        <w:t xml:space="preserve">ools would be </w:t>
      </w:r>
      <w:r w:rsidRPr="00EA1315">
        <w:t>multi-denominational, not just in the composition of the student body but also in their management structure. The new arrangement required a local contrib</w:t>
      </w:r>
      <w:r w:rsidR="001B0493" w:rsidRPr="00EA1315">
        <w:t>ution which would create a fund</w:t>
      </w:r>
      <w:r w:rsidRPr="00EA1315">
        <w:t xml:space="preserve"> sufficient for the annual repairs of the schoolhouse, contribute towards the cost of the Master and assist with the purchase of school books and school requisites. It also allowed for a two third contribution by the Government to the cost of building a school. The schools were required to be open for a certain number of hours for four or five days a week for moral and literary education only and the children were to be provided with religious education separately, </w:t>
      </w:r>
      <w:r w:rsidR="00D20F2E" w:rsidRPr="00EA1315">
        <w:t xml:space="preserve">on the remaining one or two days, </w:t>
      </w:r>
      <w:r w:rsidRPr="00EA1315">
        <w:t>as approved by their respective clergy.  This was to be provided either before or after the ordinary school hours or on other days of the week. In relation to the teaching profession, the objective was to ensure that all those employed as teachers would have received instruction previously in a Model School located in Dublin.</w:t>
      </w:r>
      <w:r w:rsidRPr="00EA1315">
        <w:rPr>
          <w:rStyle w:val="FootnoteReference"/>
        </w:rPr>
        <w:footnoteReference w:id="57"/>
      </w:r>
      <w:r w:rsidRPr="00EA1315">
        <w:t xml:space="preserve">  </w:t>
      </w:r>
    </w:p>
    <w:p w14:paraId="6FF943CD" w14:textId="77777777" w:rsidR="00D86C33" w:rsidRPr="00EA1315" w:rsidRDefault="00D86C33" w:rsidP="00D86C33">
      <w:pPr>
        <w:spacing w:line="480" w:lineRule="auto"/>
        <w:jc w:val="both"/>
        <w:rPr>
          <w:b/>
        </w:rPr>
      </w:pPr>
    </w:p>
    <w:p w14:paraId="48AB0BEE" w14:textId="77777777" w:rsidR="000B5744" w:rsidRPr="00EA1315" w:rsidRDefault="000B5744" w:rsidP="00D86C33">
      <w:pPr>
        <w:spacing w:line="480" w:lineRule="auto"/>
        <w:jc w:val="both"/>
      </w:pPr>
      <w:r w:rsidRPr="00EA1315">
        <w:rPr>
          <w:b/>
        </w:rPr>
        <w:t>A</w:t>
      </w:r>
      <w:r w:rsidR="00BA37E3" w:rsidRPr="00EA1315">
        <w:rPr>
          <w:b/>
        </w:rPr>
        <w:t>n Unusual Development</w:t>
      </w:r>
    </w:p>
    <w:p w14:paraId="64F5780F" w14:textId="77777777" w:rsidR="005D50A2" w:rsidRPr="00EA1315" w:rsidRDefault="000B5744" w:rsidP="00D86C33">
      <w:pPr>
        <w:spacing w:line="480" w:lineRule="auto"/>
        <w:jc w:val="both"/>
      </w:pPr>
      <w:r w:rsidRPr="00EA1315">
        <w:t xml:space="preserve">This initiative represented a quite significant change from the </w:t>
      </w:r>
      <w:r w:rsidRPr="00EA1315">
        <w:rPr>
          <w:i/>
        </w:rPr>
        <w:t xml:space="preserve">laissez-faire </w:t>
      </w:r>
      <w:r w:rsidR="00DD327F" w:rsidRPr="00EA1315">
        <w:t xml:space="preserve">approach generally taken by </w:t>
      </w:r>
      <w:r w:rsidR="00F6287C">
        <w:t>G</w:t>
      </w:r>
      <w:r w:rsidR="00F6287C" w:rsidRPr="00EA1315">
        <w:t xml:space="preserve">overnments </w:t>
      </w:r>
      <w:r w:rsidR="00DD327F" w:rsidRPr="00EA1315">
        <w:t>to education</w:t>
      </w:r>
      <w:r w:rsidR="001E65A5" w:rsidRPr="00EA1315">
        <w:t xml:space="preserve"> at that time</w:t>
      </w:r>
      <w:r w:rsidR="00DD327F" w:rsidRPr="00EA1315">
        <w:t>.</w:t>
      </w:r>
      <w:r w:rsidR="001E65A5" w:rsidRPr="00EA1315">
        <w:t xml:space="preserve"> </w:t>
      </w:r>
      <w:r w:rsidR="007240EF" w:rsidRPr="00EA1315">
        <w:t xml:space="preserve">Other than Prussia, which began to develop educational provision quite early and formalised it into a system in the early decades of the nineteenth century, and France which achieved similar </w:t>
      </w:r>
      <w:r w:rsidR="007240EF" w:rsidRPr="00EA1315">
        <w:lastRenderedPageBreak/>
        <w:t>progress around the same time, state direct involvement was unknown.</w:t>
      </w:r>
      <w:r w:rsidR="007240EF" w:rsidRPr="00EA1315">
        <w:rPr>
          <w:rStyle w:val="FootnoteReference"/>
        </w:rPr>
        <w:footnoteReference w:id="58"/>
      </w:r>
      <w:r w:rsidR="007240EF" w:rsidRPr="00EA1315">
        <w:t xml:space="preserve"> In England the Anglican </w:t>
      </w:r>
      <w:r w:rsidR="006B7335" w:rsidRPr="00EA1315">
        <w:t>C</w:t>
      </w:r>
      <w:r w:rsidR="007240EF" w:rsidRPr="00EA1315">
        <w:t xml:space="preserve">hurch strongly resisted any such moves. Proposals designed to allow the </w:t>
      </w:r>
      <w:r w:rsidR="00F6287C">
        <w:t>G</w:t>
      </w:r>
      <w:r w:rsidR="00F6287C" w:rsidRPr="00EA1315">
        <w:t xml:space="preserve">overnment </w:t>
      </w:r>
      <w:r w:rsidR="007240EF" w:rsidRPr="00EA1315">
        <w:t>establish a system of national education were regularly defeated in the House of Commons including in 1820 and again thirteen years later.</w:t>
      </w:r>
      <w:r w:rsidR="007240EF" w:rsidRPr="00EA1315">
        <w:rPr>
          <w:rStyle w:val="FootnoteReference"/>
        </w:rPr>
        <w:footnoteReference w:id="59"/>
      </w:r>
      <w:r w:rsidR="007240EF" w:rsidRPr="00EA1315">
        <w:t xml:space="preserve"> This led to </w:t>
      </w:r>
      <w:r w:rsidR="00BC7035">
        <w:t>P</w:t>
      </w:r>
      <w:r w:rsidR="00BC7035" w:rsidRPr="00EA1315">
        <w:t xml:space="preserve">arliament </w:t>
      </w:r>
      <w:r w:rsidR="007240EF" w:rsidRPr="00EA1315">
        <w:t>being described as a ‘cemetery for the interment of defunct education bills’</w:t>
      </w:r>
      <w:r w:rsidR="00182145">
        <w:t>.</w:t>
      </w:r>
      <w:r w:rsidR="007240EF" w:rsidRPr="00EA1315">
        <w:rPr>
          <w:rStyle w:val="FootnoteReference"/>
        </w:rPr>
        <w:footnoteReference w:id="60"/>
      </w:r>
      <w:r w:rsidR="007240EF" w:rsidRPr="00EA1315">
        <w:t xml:space="preserve"> </w:t>
      </w:r>
      <w:r w:rsidR="005D50A2" w:rsidRPr="00EA1315">
        <w:t>Even when, in 1870, steps were taken to introduce mass education in England funded by the State, it was a minimal provision.</w:t>
      </w:r>
      <w:r w:rsidR="00227649" w:rsidRPr="00EA1315">
        <w:t xml:space="preserve"> </w:t>
      </w:r>
      <w:r w:rsidR="005D50A2" w:rsidRPr="00EA1315">
        <w:t>William Forster, introducing the 1870 English Education Bill in the H</w:t>
      </w:r>
      <w:r w:rsidR="001678A5" w:rsidRPr="00EA1315">
        <w:t>ouse of Commons</w:t>
      </w:r>
      <w:r w:rsidR="005D2D47" w:rsidRPr="00EA1315">
        <w:t>,</w:t>
      </w:r>
      <w:r w:rsidR="001678A5" w:rsidRPr="00EA1315">
        <w:t xml:space="preserve"> was clear</w:t>
      </w:r>
      <w:r w:rsidR="005D2D47" w:rsidRPr="00EA1315">
        <w:t xml:space="preserve"> on the matter</w:t>
      </w:r>
      <w:r w:rsidR="001678A5" w:rsidRPr="00EA1315">
        <w:t>:</w:t>
      </w:r>
    </w:p>
    <w:p w14:paraId="380BC60B" w14:textId="77777777" w:rsidR="005D50A2" w:rsidRPr="00EA1315" w:rsidRDefault="005D50A2" w:rsidP="00D86C33">
      <w:pPr>
        <w:ind w:left="720"/>
        <w:jc w:val="both"/>
      </w:pPr>
      <w:r w:rsidRPr="00EA1315">
        <w:t>Our object is to complete the present voluntary system, to fill up gaps, sparing the public money where it can be done without, procuring as much as we can the assistance of parents, and welcoming as much as we rightly can the cooperation and aid of those benevolent men who desire to assist their neighbours.</w:t>
      </w:r>
      <w:r w:rsidRPr="00EA1315">
        <w:rPr>
          <w:rStyle w:val="FootnoteReference"/>
        </w:rPr>
        <w:footnoteReference w:id="61"/>
      </w:r>
    </w:p>
    <w:p w14:paraId="36B971BB" w14:textId="77777777" w:rsidR="005D50A2" w:rsidRPr="00EA1315" w:rsidRDefault="005D50A2" w:rsidP="00D86C33">
      <w:pPr>
        <w:spacing w:line="480" w:lineRule="auto"/>
        <w:jc w:val="both"/>
      </w:pPr>
    </w:p>
    <w:p w14:paraId="034CF5B1" w14:textId="77777777" w:rsidR="007A0B1F" w:rsidRPr="00EA1315" w:rsidRDefault="005D50A2" w:rsidP="00D86C33">
      <w:pPr>
        <w:spacing w:line="480" w:lineRule="auto"/>
        <w:jc w:val="both"/>
      </w:pPr>
      <w:r w:rsidRPr="00EA1315">
        <w:t>The initiative announced in the Stanley lette</w:t>
      </w:r>
      <w:r w:rsidR="00DD327F" w:rsidRPr="00EA1315">
        <w:t>r also meant that the opposition of the E</w:t>
      </w:r>
      <w:r w:rsidRPr="00EA1315">
        <w:t>stablished Church and various figures of importance in both Britain and Ireland</w:t>
      </w:r>
      <w:r w:rsidR="00DD327F" w:rsidRPr="00EA1315">
        <w:t xml:space="preserve"> to any change in policy</w:t>
      </w:r>
      <w:r w:rsidRPr="00EA1315">
        <w:t xml:space="preserve"> were being set aside. Looked </w:t>
      </w:r>
      <w:r w:rsidR="00B047EC" w:rsidRPr="00EA1315">
        <w:t xml:space="preserve">at in this context, the </w:t>
      </w:r>
      <w:r w:rsidRPr="00EA1315">
        <w:t xml:space="preserve">initiative requires some consideration.  </w:t>
      </w:r>
    </w:p>
    <w:p w14:paraId="3A7A4A36" w14:textId="77777777" w:rsidR="004A1FCC" w:rsidRPr="00EA1315" w:rsidRDefault="005D50A2" w:rsidP="00D86C33">
      <w:pPr>
        <w:spacing w:line="480" w:lineRule="auto"/>
        <w:ind w:firstLine="720"/>
        <w:jc w:val="both"/>
      </w:pPr>
      <w:r w:rsidRPr="00EA1315">
        <w:t>The reasons why the Government of the day took such an unusual step have been considered by scholars, notably Aken</w:t>
      </w:r>
      <w:r w:rsidR="00C951A6" w:rsidRPr="00EA1315">
        <w:t xml:space="preserve">son, </w:t>
      </w:r>
      <w:proofErr w:type="spellStart"/>
      <w:r w:rsidR="00C951A6" w:rsidRPr="00EA1315">
        <w:t>Coolahan</w:t>
      </w:r>
      <w:proofErr w:type="spellEnd"/>
      <w:r w:rsidR="00C951A6" w:rsidRPr="00EA1315">
        <w:t xml:space="preserve"> and Ó </w:t>
      </w:r>
      <w:proofErr w:type="spellStart"/>
      <w:r w:rsidR="00C951A6" w:rsidRPr="00EA1315">
        <w:t>Buachalla</w:t>
      </w:r>
      <w:proofErr w:type="spellEnd"/>
      <w:r w:rsidR="00C951A6" w:rsidRPr="00EA1315">
        <w:t xml:space="preserve">. </w:t>
      </w:r>
      <w:r w:rsidRPr="00EA1315">
        <w:t xml:space="preserve">Both </w:t>
      </w:r>
      <w:proofErr w:type="spellStart"/>
      <w:r w:rsidRPr="00EA1315">
        <w:t>Coolahan</w:t>
      </w:r>
      <w:proofErr w:type="spellEnd"/>
      <w:r w:rsidRPr="00EA1315">
        <w:t xml:space="preserve"> and Akenson lay emphasis on the long tradition of intervention in Ireland </w:t>
      </w:r>
      <w:r w:rsidR="00EE0302">
        <w:t>‘</w:t>
      </w:r>
      <w:r w:rsidRPr="00EA1315">
        <w:t>where various policy initiatives were tried out which might be less acceptable in England</w:t>
      </w:r>
      <w:r w:rsidR="00EE0302">
        <w:t>’.</w:t>
      </w:r>
      <w:r w:rsidRPr="00EA1315">
        <w:rPr>
          <w:rStyle w:val="FootnoteReference"/>
        </w:rPr>
        <w:footnoteReference w:id="62"/>
      </w:r>
      <w:r w:rsidR="00D86C33" w:rsidRPr="00EA1315">
        <w:t xml:space="preserve"> </w:t>
      </w:r>
      <w:r w:rsidR="004A1FCC" w:rsidRPr="00EA1315">
        <w:t xml:space="preserve">Indeed, the State involved itself in education in Ireland to a far greater extent than England at that time. The award of the first annual grant of the Kildare Place Society in 1816 preceded the making of a similar provision in England by </w:t>
      </w:r>
      <w:r w:rsidR="004A1FCC" w:rsidRPr="00EA1315">
        <w:lastRenderedPageBreak/>
        <w:t xml:space="preserve">seventeen years and indeed was an indication </w:t>
      </w:r>
      <w:r w:rsidR="001B0493" w:rsidRPr="00EA1315">
        <w:t xml:space="preserve">of a willingness </w:t>
      </w:r>
      <w:r w:rsidR="006B7335" w:rsidRPr="00EA1315">
        <w:t>by</w:t>
      </w:r>
      <w:r w:rsidR="004A1FCC" w:rsidRPr="00EA1315">
        <w:t xml:space="preserve"> the State to become involved in the provision of education, albeit indirectly. Prior to this, the most significant intervention in Irish education affairs was the introduction of the Penal Laws, which attempted to deny the availability of an education for Cat</w:t>
      </w:r>
      <w:r w:rsidR="000B4BF8" w:rsidRPr="00EA1315">
        <w:t>holics, provided by members of</w:t>
      </w:r>
      <w:r w:rsidR="00AA78F7" w:rsidRPr="00EA1315">
        <w:t xml:space="preserve"> their own religion.</w:t>
      </w:r>
      <w:r w:rsidR="004E2335" w:rsidRPr="00EA1315">
        <w:t xml:space="preserve"> </w:t>
      </w:r>
      <w:r w:rsidR="004A1FCC" w:rsidRPr="00EA1315">
        <w:t>The objective was to convert the population to the establi</w:t>
      </w:r>
      <w:r w:rsidR="00242037" w:rsidRPr="00EA1315">
        <w:t xml:space="preserve">shed religion </w:t>
      </w:r>
      <w:r w:rsidR="004A1FCC" w:rsidRPr="00EA1315">
        <w:t xml:space="preserve">and introduce the widespread use of English.  The response of the poor was to provide education in a manner which was hidden from the authorities. </w:t>
      </w:r>
      <w:r w:rsidR="005D2D47" w:rsidRPr="00EA1315">
        <w:t>As Akenson notes:</w:t>
      </w:r>
    </w:p>
    <w:p w14:paraId="007DDB55" w14:textId="77777777" w:rsidR="004A1FCC" w:rsidRPr="00EA1315" w:rsidRDefault="004A1FCC" w:rsidP="00D86C33">
      <w:pPr>
        <w:ind w:left="720"/>
        <w:jc w:val="both"/>
      </w:pPr>
      <w:r w:rsidRPr="00EA1315">
        <w:t>The Penal Laws brought a hidden blessing, for they underlined the fact that only by preserving some semblance of learning could the Irish people preserve themselves from cultural extinction.</w:t>
      </w:r>
      <w:r w:rsidRPr="00EA1315">
        <w:rPr>
          <w:rStyle w:val="FootnoteReference"/>
        </w:rPr>
        <w:footnoteReference w:id="63"/>
      </w:r>
    </w:p>
    <w:p w14:paraId="7753EA99" w14:textId="77777777" w:rsidR="004A1FCC" w:rsidRPr="00EA1315" w:rsidRDefault="004A1FCC" w:rsidP="00D86C33">
      <w:pPr>
        <w:spacing w:line="480" w:lineRule="auto"/>
        <w:jc w:val="both"/>
      </w:pPr>
    </w:p>
    <w:p w14:paraId="695BDB8D" w14:textId="77777777" w:rsidR="004A1FCC" w:rsidRPr="00EA1315" w:rsidRDefault="004A1FCC" w:rsidP="00EA1315">
      <w:pPr>
        <w:spacing w:line="480" w:lineRule="auto"/>
        <w:jc w:val="both"/>
      </w:pPr>
      <w:r w:rsidRPr="00EA1315">
        <w:t xml:space="preserve">For Ó </w:t>
      </w:r>
      <w:proofErr w:type="spellStart"/>
      <w:r w:rsidRPr="00EA1315">
        <w:t>Buachalla</w:t>
      </w:r>
      <w:proofErr w:type="spellEnd"/>
      <w:r w:rsidRPr="00EA1315">
        <w:t>, the most significan</w:t>
      </w:r>
      <w:r w:rsidR="00227649" w:rsidRPr="00EA1315">
        <w:t>t</w:t>
      </w:r>
      <w:r w:rsidR="00227649" w:rsidRPr="00EA1315">
        <w:tab/>
        <w:t xml:space="preserve"> factor leading to the </w:t>
      </w:r>
      <w:r w:rsidR="00F6287C">
        <w:t>G</w:t>
      </w:r>
      <w:r w:rsidR="00F6287C" w:rsidRPr="00EA1315">
        <w:t xml:space="preserve">overnment’s </w:t>
      </w:r>
      <w:r w:rsidRPr="00EA1315">
        <w:t>initiative was the ongoing public concern and controversy around the topic of education.</w:t>
      </w:r>
    </w:p>
    <w:p w14:paraId="0402B23A" w14:textId="77777777" w:rsidR="004A1FCC" w:rsidRPr="00EA1315" w:rsidRDefault="004A1FCC" w:rsidP="00EA1315">
      <w:pPr>
        <w:ind w:left="720"/>
        <w:jc w:val="both"/>
      </w:pPr>
      <w:r w:rsidRPr="00EA1315">
        <w:t>The provision of elementary education by the State under the scheme of 1831 can be reviewed as the fruitful outcome of the public concern and controversy concerning education which had characterised the previous decades;</w:t>
      </w:r>
      <w:r w:rsidR="006B7335" w:rsidRPr="00EA1315">
        <w:t xml:space="preserve"> </w:t>
      </w:r>
      <w:r w:rsidRPr="00EA1315">
        <w:t>it can also be regarded as the logical political endpoint of the objections which the Roman Catholic authorities had increasingly lodged against the educational activities of the Government-aided voluntary education societies.</w:t>
      </w:r>
      <w:r w:rsidRPr="00EA1315">
        <w:rPr>
          <w:rStyle w:val="FootnoteReference"/>
        </w:rPr>
        <w:footnoteReference w:id="64"/>
      </w:r>
    </w:p>
    <w:p w14:paraId="767C142A" w14:textId="77777777" w:rsidR="004A1FCC" w:rsidRPr="00EA1315" w:rsidRDefault="005D50A2" w:rsidP="00EA1315">
      <w:pPr>
        <w:spacing w:line="480" w:lineRule="auto"/>
        <w:jc w:val="both"/>
      </w:pPr>
      <w:r w:rsidRPr="00EA1315">
        <w:t xml:space="preserve">  </w:t>
      </w:r>
    </w:p>
    <w:p w14:paraId="111E78D6" w14:textId="77777777" w:rsidR="00DD519B" w:rsidRPr="00EA1315" w:rsidRDefault="005D50A2" w:rsidP="00EA1315">
      <w:pPr>
        <w:spacing w:line="480" w:lineRule="auto"/>
        <w:jc w:val="both"/>
      </w:pPr>
      <w:r w:rsidRPr="00EA1315">
        <w:t>The emphasis in the research is very much on the policy area, including the developing consensus around</w:t>
      </w:r>
      <w:r w:rsidR="001678A5" w:rsidRPr="00EA1315">
        <w:t xml:space="preserve"> the need for reform. Perhaps </w:t>
      </w:r>
      <w:r w:rsidRPr="00EA1315">
        <w:t>overlooked</w:t>
      </w:r>
      <w:r w:rsidR="001678A5" w:rsidRPr="00EA1315">
        <w:t>,</w:t>
      </w:r>
      <w:r w:rsidRPr="00EA1315">
        <w:t xml:space="preserve"> to some degree at least, are the activities of various individuals and the role they played in bringing about change. </w:t>
      </w:r>
      <w:r w:rsidR="005D2D47" w:rsidRPr="00EA1315">
        <w:t xml:space="preserve">Thomas Spring-Rice, Chair of the Select Committee on Education (1828) an advocate of mixed education and a vocal opponent of the KPS, </w:t>
      </w:r>
      <w:r w:rsidRPr="00EA1315">
        <w:t xml:space="preserve">engaged in extensive lobbying to try to ensure that the recommendations of his 1828 </w:t>
      </w:r>
      <w:r w:rsidRPr="00EA1315">
        <w:lastRenderedPageBreak/>
        <w:t>Committee were implemented</w:t>
      </w:r>
      <w:r w:rsidRPr="00EA1315">
        <w:rPr>
          <w:rStyle w:val="FootnoteReference"/>
        </w:rPr>
        <w:footnoteReference w:id="65"/>
      </w:r>
      <w:r w:rsidRPr="00EA1315">
        <w:t>, while Wyse campaigned o</w:t>
      </w:r>
      <w:r w:rsidR="00D86C33" w:rsidRPr="00EA1315">
        <w:t xml:space="preserve">n a more public level. </w:t>
      </w:r>
      <w:r w:rsidR="000B4BF8" w:rsidRPr="00EA1315">
        <w:t xml:space="preserve">Neither </w:t>
      </w:r>
      <w:r w:rsidRPr="00EA1315">
        <w:t>seemed to be making progress, notwithstanding the fact that</w:t>
      </w:r>
      <w:r w:rsidR="000B4BF8" w:rsidRPr="00EA1315">
        <w:t>,</w:t>
      </w:r>
      <w:r w:rsidRPr="00EA1315">
        <w:t xml:space="preserve"> from</w:t>
      </w:r>
      <w:r w:rsidR="009F6B21" w:rsidRPr="00EA1315">
        <w:t xml:space="preserve"> late</w:t>
      </w:r>
      <w:r w:rsidRPr="00EA1315">
        <w:t xml:space="preserve"> 1830 onwards, Spring-Rice</w:t>
      </w:r>
      <w:r w:rsidR="009F6B21" w:rsidRPr="00EA1315">
        <w:t xml:space="preserve"> was a m</w:t>
      </w:r>
      <w:r w:rsidR="00D969D9" w:rsidRPr="00EA1315">
        <w:t>ember of the Government</w:t>
      </w:r>
      <w:r w:rsidR="001B0493" w:rsidRPr="00EA1315">
        <w:t>,</w:t>
      </w:r>
      <w:r w:rsidR="00D969D9" w:rsidRPr="00EA1315">
        <w:t xml:space="preserve"> albeit </w:t>
      </w:r>
      <w:r w:rsidR="009F6B21" w:rsidRPr="00EA1315">
        <w:t>at a junior level.</w:t>
      </w:r>
      <w:r w:rsidRPr="00EA1315">
        <w:t xml:space="preserve">  Ó </w:t>
      </w:r>
      <w:proofErr w:type="spellStart"/>
      <w:r w:rsidRPr="00EA1315">
        <w:t>Buachalla</w:t>
      </w:r>
      <w:proofErr w:type="spellEnd"/>
      <w:r w:rsidRPr="00EA1315">
        <w:t xml:space="preserve"> stresses the importance of the public campaign by Wyse, whereas Akenson highlights to a greater degree the efforts of Spring-Rice.</w:t>
      </w:r>
      <w:r w:rsidR="00310E33" w:rsidRPr="00EA1315">
        <w:t xml:space="preserve">  </w:t>
      </w:r>
    </w:p>
    <w:p w14:paraId="590E5AAB" w14:textId="77777777" w:rsidR="005D50A2" w:rsidRPr="00EA1315" w:rsidRDefault="005D50A2" w:rsidP="00EA1315">
      <w:pPr>
        <w:spacing w:line="480" w:lineRule="auto"/>
        <w:ind w:firstLine="720"/>
        <w:jc w:val="both"/>
      </w:pPr>
      <w:r w:rsidRPr="00EA1315">
        <w:t>Perhaps the most striking observation on the role played by the various p</w:t>
      </w:r>
      <w:r w:rsidR="007A0B1F" w:rsidRPr="00EA1315">
        <w:t>ersonalities is that of Akenson:</w:t>
      </w:r>
    </w:p>
    <w:p w14:paraId="16B9436A" w14:textId="77777777" w:rsidR="005D50A2" w:rsidRPr="00EA1315" w:rsidRDefault="005D50A2" w:rsidP="00EA1315">
      <w:pPr>
        <w:ind w:left="720"/>
        <w:jc w:val="both"/>
      </w:pPr>
      <w:r w:rsidRPr="00EA1315">
        <w:t>Daniel O’Connell is notable by his absence from the field of educational controversy. But O’Connell did not need to be active in this regard, since it was his carrying of Catholic emancipation in 1829 that had made inevitable the creation of a national system of education along lines acceptable to the Roman Catholics. In a sense, the educational activities of</w:t>
      </w:r>
      <w:r w:rsidR="008A5E8C" w:rsidRPr="00EA1315">
        <w:t xml:space="preserve"> the other men were really post</w:t>
      </w:r>
      <w:r w:rsidRPr="00EA1315">
        <w:t>scripts to O’Connell’s achievement.</w:t>
      </w:r>
      <w:r w:rsidRPr="00EA1315">
        <w:rPr>
          <w:rStyle w:val="FootnoteReference"/>
        </w:rPr>
        <w:footnoteReference w:id="66"/>
      </w:r>
    </w:p>
    <w:p w14:paraId="5C5C058F" w14:textId="77777777" w:rsidR="001D5CE1" w:rsidRPr="00EA1315" w:rsidRDefault="001D5CE1" w:rsidP="00EA1315">
      <w:pPr>
        <w:spacing w:line="480" w:lineRule="auto"/>
        <w:jc w:val="both"/>
      </w:pPr>
    </w:p>
    <w:p w14:paraId="514E26CD" w14:textId="77777777" w:rsidR="009A64E3" w:rsidRPr="00EA1315" w:rsidRDefault="00DD519B" w:rsidP="00EA1315">
      <w:pPr>
        <w:spacing w:line="480" w:lineRule="auto"/>
        <w:jc w:val="both"/>
      </w:pPr>
      <w:r w:rsidRPr="00EA1315">
        <w:t xml:space="preserve">In </w:t>
      </w:r>
      <w:r w:rsidR="001B0493" w:rsidRPr="00EA1315">
        <w:rPr>
          <w:i/>
        </w:rPr>
        <w:t>Irish Education: I</w:t>
      </w:r>
      <w:r w:rsidRPr="00EA1315">
        <w:rPr>
          <w:i/>
        </w:rPr>
        <w:t xml:space="preserve">ts </w:t>
      </w:r>
      <w:r w:rsidR="001B26E7">
        <w:rPr>
          <w:i/>
        </w:rPr>
        <w:t>h</w:t>
      </w:r>
      <w:r w:rsidR="001B26E7" w:rsidRPr="00EA1315">
        <w:rPr>
          <w:i/>
        </w:rPr>
        <w:t xml:space="preserve">istory </w:t>
      </w:r>
      <w:r w:rsidRPr="00EA1315">
        <w:rPr>
          <w:i/>
        </w:rPr>
        <w:t xml:space="preserve">and </w:t>
      </w:r>
      <w:r w:rsidR="001B26E7">
        <w:rPr>
          <w:i/>
        </w:rPr>
        <w:t>s</w:t>
      </w:r>
      <w:r w:rsidR="001B26E7" w:rsidRPr="00EA1315">
        <w:rPr>
          <w:i/>
        </w:rPr>
        <w:t>tructure</w:t>
      </w:r>
      <w:r w:rsidRPr="00EA1315">
        <w:t xml:space="preserve">, </w:t>
      </w:r>
      <w:proofErr w:type="spellStart"/>
      <w:r w:rsidRPr="00EA1315">
        <w:t>Coolahan</w:t>
      </w:r>
      <w:proofErr w:type="spellEnd"/>
      <w:r w:rsidRPr="00EA1315">
        <w:t xml:space="preserve"> lists both Spring-Rice and Wyse as being influential and adds the name of O’Connell, but merely in a general sense and without going into detail</w:t>
      </w:r>
      <w:r w:rsidR="00A66EF5" w:rsidRPr="00EA1315">
        <w:t>.</w:t>
      </w:r>
      <w:r w:rsidRPr="00EA1315">
        <w:t xml:space="preserve"> However, in a later piece, it becomes clear that this refers to O’Connell’s activities in the 1820s and supporting Akenson’s view, </w:t>
      </w:r>
      <w:proofErr w:type="spellStart"/>
      <w:r w:rsidR="00FB6F84" w:rsidRPr="00EA1315">
        <w:t>Coolahan</w:t>
      </w:r>
      <w:proofErr w:type="spellEnd"/>
      <w:r w:rsidR="00FB6F84" w:rsidRPr="00EA1315">
        <w:t xml:space="preserve"> </w:t>
      </w:r>
      <w:r w:rsidRPr="00EA1315">
        <w:t xml:space="preserve">suggests that the Irish leader took </w:t>
      </w:r>
      <w:r w:rsidR="00C46681">
        <w:t>‘</w:t>
      </w:r>
      <w:r w:rsidRPr="00EA1315">
        <w:t>a back</w:t>
      </w:r>
      <w:r w:rsidR="00E95AC5" w:rsidRPr="00EA1315">
        <w:t xml:space="preserve"> </w:t>
      </w:r>
      <w:r w:rsidRPr="00EA1315">
        <w:t>seat</w:t>
      </w:r>
      <w:r w:rsidR="00C46681">
        <w:t>’</w:t>
      </w:r>
      <w:r w:rsidRPr="00EA1315">
        <w:t xml:space="preserve"> on the issue from the mid-1820s onwards.</w:t>
      </w:r>
      <w:r w:rsidR="001D5CE1" w:rsidRPr="00EA1315">
        <w:rPr>
          <w:rStyle w:val="FootnoteReference"/>
        </w:rPr>
        <w:footnoteReference w:id="67"/>
      </w:r>
    </w:p>
    <w:p w14:paraId="3E3356DF" w14:textId="77777777" w:rsidR="005D50A2" w:rsidRPr="00EA1315" w:rsidRDefault="008A5E8C" w:rsidP="00EA1315">
      <w:pPr>
        <w:spacing w:line="480" w:lineRule="auto"/>
        <w:ind w:firstLine="720"/>
        <w:jc w:val="both"/>
      </w:pPr>
      <w:r w:rsidRPr="00EA1315">
        <w:t xml:space="preserve">The </w:t>
      </w:r>
      <w:r w:rsidR="001B0493" w:rsidRPr="00EA1315">
        <w:t>G</w:t>
      </w:r>
      <w:r w:rsidRPr="00EA1315">
        <w:t>overnment</w:t>
      </w:r>
      <w:r w:rsidR="002D563A" w:rsidRPr="00EA1315">
        <w:t>’s</w:t>
      </w:r>
      <w:r w:rsidRPr="00EA1315">
        <w:t xml:space="preserve"> decision to legislate for Catholic Eman</w:t>
      </w:r>
      <w:r w:rsidR="00D86C33" w:rsidRPr="00EA1315">
        <w:t xml:space="preserve">cipation was taken </w:t>
      </w:r>
      <w:r w:rsidR="00920FA1" w:rsidRPr="00EA1315">
        <w:t>reluctantly</w:t>
      </w:r>
      <w:r w:rsidR="00D86C33" w:rsidRPr="00EA1315">
        <w:t xml:space="preserve">. </w:t>
      </w:r>
      <w:r w:rsidRPr="00EA1315">
        <w:t xml:space="preserve">The notion that a colonial </w:t>
      </w:r>
      <w:r w:rsidR="00F6287C">
        <w:t>G</w:t>
      </w:r>
      <w:r w:rsidR="00F6287C" w:rsidRPr="00EA1315">
        <w:t>overnment</w:t>
      </w:r>
      <w:r w:rsidRPr="00EA1315">
        <w:t xml:space="preserve">, in those circumstances, would speedily and willingly grant a further concession is </w:t>
      </w:r>
      <w:r w:rsidR="00242037" w:rsidRPr="00EA1315">
        <w:t>a doubtful propositio</w:t>
      </w:r>
      <w:r w:rsidR="002D563A" w:rsidRPr="00EA1315">
        <w:t>n. B</w:t>
      </w:r>
      <w:r w:rsidR="00242037" w:rsidRPr="00EA1315">
        <w:t>y this</w:t>
      </w:r>
      <w:r w:rsidRPr="00EA1315">
        <w:t xml:space="preserve"> time t</w:t>
      </w:r>
      <w:r w:rsidR="00727A7D" w:rsidRPr="00EA1315">
        <w:t xml:space="preserve">he Whigs had come to power but, </w:t>
      </w:r>
      <w:r w:rsidRPr="00EA1315">
        <w:t>in the main, their attitude to Ireland was very similar to that of their</w:t>
      </w:r>
      <w:r w:rsidR="00727A7D" w:rsidRPr="00EA1315">
        <w:t xml:space="preserve"> predecesso</w:t>
      </w:r>
      <w:r w:rsidR="00C951A6" w:rsidRPr="00EA1315">
        <w:t>rs. As MacDonagh has commented</w:t>
      </w:r>
      <w:r w:rsidR="00727A7D" w:rsidRPr="00EA1315">
        <w:t xml:space="preserve"> </w:t>
      </w:r>
      <w:r w:rsidR="001B26E7">
        <w:t>‘</w:t>
      </w:r>
      <w:r w:rsidR="00727A7D" w:rsidRPr="00EA1315">
        <w:t>the truth was that men like Grey and Stanley had no intention of adva</w:t>
      </w:r>
      <w:r w:rsidR="000B4BF8" w:rsidRPr="00EA1315">
        <w:t xml:space="preserve">ncing O’Connell’s influence </w:t>
      </w:r>
      <w:r w:rsidR="000B4BF8" w:rsidRPr="00EA1315">
        <w:lastRenderedPageBreak/>
        <w:t xml:space="preserve">at </w:t>
      </w:r>
      <w:r w:rsidR="00727A7D" w:rsidRPr="00EA1315">
        <w:t>the expense of the Ascendancy</w:t>
      </w:r>
      <w:r w:rsidR="001B26E7">
        <w:t>’.</w:t>
      </w:r>
      <w:r w:rsidR="00727A7D" w:rsidRPr="00EA1315">
        <w:rPr>
          <w:rStyle w:val="FootnoteReference"/>
        </w:rPr>
        <w:footnoteReference w:id="68"/>
      </w:r>
      <w:r w:rsidR="001E65A5" w:rsidRPr="00EA1315">
        <w:t xml:space="preserve"> Stanley’s approach to Irish issues was one of coercion</w:t>
      </w:r>
      <w:r w:rsidR="00515B4B" w:rsidRPr="00EA1315">
        <w:t xml:space="preserve"> whereas in the case of Grey, </w:t>
      </w:r>
      <w:r w:rsidR="001B26E7">
        <w:t>‘</w:t>
      </w:r>
      <w:r w:rsidR="001E65A5" w:rsidRPr="00EA1315">
        <w:t>his Irish clock had stopped in 1829</w:t>
      </w:r>
      <w:r w:rsidR="001B26E7">
        <w:t>’.</w:t>
      </w:r>
      <w:r w:rsidR="0035200C" w:rsidRPr="00EA1315">
        <w:rPr>
          <w:rStyle w:val="FootnoteReference"/>
        </w:rPr>
        <w:footnoteReference w:id="69"/>
      </w:r>
      <w:r w:rsidR="00727A7D" w:rsidRPr="00EA1315">
        <w:t xml:space="preserve"> It is indeed</w:t>
      </w:r>
      <w:r w:rsidR="00895D34" w:rsidRPr="00EA1315">
        <w:t xml:space="preserve"> the case</w:t>
      </w:r>
      <w:r w:rsidRPr="00EA1315">
        <w:t xml:space="preserve"> that</w:t>
      </w:r>
      <w:r w:rsidR="005D50A2" w:rsidRPr="00EA1315">
        <w:t xml:space="preserve"> O’Connell was silent</w:t>
      </w:r>
      <w:r w:rsidR="004878DF" w:rsidRPr="00EA1315">
        <w:t xml:space="preserve"> in public</w:t>
      </w:r>
      <w:r w:rsidR="005D50A2" w:rsidRPr="00EA1315">
        <w:t xml:space="preserve"> on the matter </w:t>
      </w:r>
      <w:r w:rsidRPr="00EA1315">
        <w:t>of Irish education at this time</w:t>
      </w:r>
      <w:r w:rsidR="004878DF" w:rsidRPr="00EA1315">
        <w:t xml:space="preserve"> </w:t>
      </w:r>
      <w:r w:rsidRPr="00EA1315">
        <w:t>but t</w:t>
      </w:r>
      <w:r w:rsidR="005D50A2" w:rsidRPr="00EA1315">
        <w:t xml:space="preserve">hat </w:t>
      </w:r>
      <w:r w:rsidR="001E42CA" w:rsidRPr="00EA1315">
        <w:t>does not mean he was not engaged in trying to bring about change.</w:t>
      </w:r>
      <w:r w:rsidR="00D86C33" w:rsidRPr="00EA1315">
        <w:t xml:space="preserve"> </w:t>
      </w:r>
      <w:r w:rsidRPr="00EA1315">
        <w:t>Reform of education was the second objective of the Catholic Association</w:t>
      </w:r>
      <w:r w:rsidR="00C56FBD">
        <w:t>,</w:t>
      </w:r>
      <w:r w:rsidRPr="00EA1315">
        <w:t xml:space="preserve"> and the topic was extremely important at that time in Ireland particularly to the clergy who had been critical to his success. It was a political imperative for him to be involved.</w:t>
      </w:r>
    </w:p>
    <w:p w14:paraId="52987F07" w14:textId="77777777" w:rsidR="00D969D9" w:rsidRPr="00EA1315" w:rsidRDefault="00D969D9" w:rsidP="00EA1315">
      <w:pPr>
        <w:spacing w:line="480" w:lineRule="auto"/>
        <w:jc w:val="both"/>
        <w:rPr>
          <w:b/>
        </w:rPr>
      </w:pPr>
    </w:p>
    <w:p w14:paraId="3F4E1D77" w14:textId="77777777" w:rsidR="00F10BD3" w:rsidRPr="00EA1315" w:rsidRDefault="00D969D9" w:rsidP="00EA1315">
      <w:pPr>
        <w:spacing w:line="480" w:lineRule="auto"/>
        <w:jc w:val="both"/>
        <w:rPr>
          <w:b/>
        </w:rPr>
      </w:pPr>
      <w:r w:rsidRPr="00EA1315">
        <w:rPr>
          <w:b/>
        </w:rPr>
        <w:t>O’Connell and the Government</w:t>
      </w:r>
    </w:p>
    <w:p w14:paraId="32CD239D" w14:textId="77777777" w:rsidR="00F853E0" w:rsidRPr="00EA1315" w:rsidRDefault="005D50A2" w:rsidP="00EA1315">
      <w:pPr>
        <w:spacing w:line="480" w:lineRule="auto"/>
        <w:jc w:val="both"/>
      </w:pPr>
      <w:r w:rsidRPr="00EA1315">
        <w:t>To a large extent, the establishment in England viewe</w:t>
      </w:r>
      <w:r w:rsidR="004155D6" w:rsidRPr="00EA1315">
        <w:t>d O’Connell with disfavour.  From</w:t>
      </w:r>
      <w:r w:rsidRPr="00EA1315">
        <w:t xml:space="preserve"> their pers</w:t>
      </w:r>
      <w:r w:rsidR="00644A99" w:rsidRPr="00EA1315">
        <w:t xml:space="preserve">pective, he was a trouble-maker who was threatening their </w:t>
      </w:r>
      <w:r w:rsidR="001B26E7">
        <w:t>‘</w:t>
      </w:r>
      <w:r w:rsidR="00644A99" w:rsidRPr="00EA1315">
        <w:t>hereditary domination</w:t>
      </w:r>
      <w:r w:rsidR="001B26E7">
        <w:t>’.</w:t>
      </w:r>
      <w:r w:rsidR="00644A99" w:rsidRPr="00EA1315">
        <w:rPr>
          <w:rStyle w:val="FootnoteReference"/>
        </w:rPr>
        <w:footnoteReference w:id="70"/>
      </w:r>
      <w:r w:rsidR="00D86C33" w:rsidRPr="00EA1315">
        <w:t xml:space="preserve"> </w:t>
      </w:r>
      <w:r w:rsidRPr="00EA1315">
        <w:t xml:space="preserve">The primary factor in the concession of Catholic </w:t>
      </w:r>
      <w:r w:rsidR="00C71E3E" w:rsidRPr="00EA1315">
        <w:t>E</w:t>
      </w:r>
      <w:r w:rsidRPr="00EA1315">
        <w:t>mancipation was fear that if it were not granted, law and order would break down.</w:t>
      </w:r>
      <w:r w:rsidR="00B24863" w:rsidRPr="00EA1315">
        <w:t xml:space="preserve"> </w:t>
      </w:r>
      <w:r w:rsidRPr="00EA1315">
        <w:t xml:space="preserve">In </w:t>
      </w:r>
      <w:r w:rsidR="00A0628A" w:rsidRPr="00EA1315">
        <w:t>the late eighteenth and early nineteenth centuries revolution and war were quite common. In particular the French Revolution (1789-99) and the Napoleonic wars (1803-15) had an impact on policy making by successive British governments. There was an ongoing fear that unrest in Ireland could be used by opponents to their advantage</w:t>
      </w:r>
      <w:r w:rsidR="00920FA1" w:rsidRPr="00EA1315">
        <w:t>.</w:t>
      </w:r>
      <w:r w:rsidR="00A0628A" w:rsidRPr="00EA1315">
        <w:t xml:space="preserve"> This was brought into focus by events at the time of the 1798 rebellion</w:t>
      </w:r>
      <w:r w:rsidR="00920FA1" w:rsidRPr="00EA1315">
        <w:t>.</w:t>
      </w:r>
      <w:r w:rsidR="00A0628A" w:rsidRPr="00EA1315">
        <w:t xml:space="preserve"> Some believed </w:t>
      </w:r>
      <w:r w:rsidR="00540891" w:rsidRPr="00EA1315">
        <w:t>that O’Connell coul</w:t>
      </w:r>
      <w:r w:rsidR="00895D34" w:rsidRPr="00EA1315">
        <w:t>d and would</w:t>
      </w:r>
      <w:r w:rsidR="0035200C" w:rsidRPr="00EA1315">
        <w:t xml:space="preserve"> have encouraged a campaign of </w:t>
      </w:r>
      <w:r w:rsidR="00895D34" w:rsidRPr="00EA1315">
        <w:t xml:space="preserve">physical violence </w:t>
      </w:r>
      <w:r w:rsidR="00540891" w:rsidRPr="00EA1315">
        <w:t xml:space="preserve">if Catholic </w:t>
      </w:r>
      <w:r w:rsidR="00C71E3E" w:rsidRPr="00EA1315">
        <w:t>E</w:t>
      </w:r>
      <w:r w:rsidR="00540891" w:rsidRPr="00EA1315">
        <w:t>mancipation were not granted. Whatever about his powers in that regard, there was no evidence then</w:t>
      </w:r>
      <w:r w:rsidR="00895D34" w:rsidRPr="00EA1315">
        <w:t>,</w:t>
      </w:r>
      <w:r w:rsidR="00540891" w:rsidRPr="00EA1315">
        <w:t xml:space="preserve"> or subsequently</w:t>
      </w:r>
      <w:r w:rsidR="00895D34" w:rsidRPr="00EA1315">
        <w:t>,</w:t>
      </w:r>
      <w:r w:rsidR="00540891" w:rsidRPr="00EA1315">
        <w:t xml:space="preserve"> </w:t>
      </w:r>
      <w:r w:rsidR="001B26E7">
        <w:t>to</w:t>
      </w:r>
      <w:r w:rsidR="001B26E7" w:rsidRPr="00EA1315">
        <w:t xml:space="preserve"> believ</w:t>
      </w:r>
      <w:r w:rsidR="001B26E7">
        <w:t>e</w:t>
      </w:r>
      <w:r w:rsidR="001B26E7" w:rsidRPr="00EA1315">
        <w:t xml:space="preserve"> </w:t>
      </w:r>
      <w:r w:rsidR="00540891" w:rsidRPr="00EA1315">
        <w:t xml:space="preserve">that anything other than peaceful means were his </w:t>
      </w:r>
      <w:r w:rsidR="00540891" w:rsidRPr="00EA1315">
        <w:rPr>
          <w:i/>
        </w:rPr>
        <w:t>modus operandi</w:t>
      </w:r>
      <w:r w:rsidR="00540891" w:rsidRPr="00EA1315">
        <w:t>.</w:t>
      </w:r>
      <w:r w:rsidR="00644A99" w:rsidRPr="00EA1315">
        <w:t xml:space="preserve"> </w:t>
      </w:r>
      <w:r w:rsidR="00227649" w:rsidRPr="00EA1315">
        <w:t>In addition, m</w:t>
      </w:r>
      <w:r w:rsidR="00644A99" w:rsidRPr="00EA1315">
        <w:t>any viewed him as not quite a gentleman. In debate</w:t>
      </w:r>
      <w:r w:rsidR="000B4BF8" w:rsidRPr="00EA1315">
        <w:t>,</w:t>
      </w:r>
      <w:r w:rsidR="00644A99" w:rsidRPr="00EA1315">
        <w:t xml:space="preserve"> and indeed in court</w:t>
      </w:r>
      <w:r w:rsidR="000B4BF8" w:rsidRPr="00EA1315">
        <w:t>,</w:t>
      </w:r>
      <w:r w:rsidR="00644A99" w:rsidRPr="00EA1315">
        <w:t xml:space="preserve"> his great strength was in attacking and </w:t>
      </w:r>
      <w:r w:rsidR="00A0628A" w:rsidRPr="00EA1315">
        <w:t>undermining</w:t>
      </w:r>
      <w:r w:rsidR="00644A99" w:rsidRPr="00EA1315">
        <w:t xml:space="preserve"> an opponent. To achieve this</w:t>
      </w:r>
      <w:r w:rsidR="001B0493" w:rsidRPr="00EA1315">
        <w:t>,</w:t>
      </w:r>
      <w:r w:rsidR="00644A99" w:rsidRPr="00EA1315">
        <w:t xml:space="preserve"> he quite often relied on sarcasm and invective. </w:t>
      </w:r>
      <w:r w:rsidR="00C71E3E" w:rsidRPr="00EA1315">
        <w:t xml:space="preserve">According </w:t>
      </w:r>
      <w:r w:rsidR="00C71E3E" w:rsidRPr="00EA1315">
        <w:lastRenderedPageBreak/>
        <w:t>to Geogh</w:t>
      </w:r>
      <w:r w:rsidR="00FB6F84" w:rsidRPr="00EA1315">
        <w:t>eg</w:t>
      </w:r>
      <w:r w:rsidR="00C71E3E" w:rsidRPr="00EA1315">
        <w:t>an,</w:t>
      </w:r>
      <w:r w:rsidR="00644A99" w:rsidRPr="00EA1315">
        <w:t xml:space="preserve"> </w:t>
      </w:r>
      <w:r w:rsidR="001B26E7">
        <w:t>‘</w:t>
      </w:r>
      <w:r w:rsidR="00C71E3E" w:rsidRPr="00EA1315">
        <w:t>f</w:t>
      </w:r>
      <w:r w:rsidR="00644A99" w:rsidRPr="00EA1315">
        <w:t>ew, if any, could match</w:t>
      </w:r>
      <w:r w:rsidR="00B275B5" w:rsidRPr="00EA1315">
        <w:t xml:space="preserve"> O’Connell when it came to vituperation</w:t>
      </w:r>
      <w:r w:rsidR="001B26E7">
        <w:t>’.</w:t>
      </w:r>
      <w:r w:rsidR="00B275B5" w:rsidRPr="00EA1315">
        <w:rPr>
          <w:rStyle w:val="FootnoteReference"/>
        </w:rPr>
        <w:footnoteReference w:id="71"/>
      </w:r>
      <w:r w:rsidR="00F853E0" w:rsidRPr="00EA1315">
        <w:t xml:space="preserve"> </w:t>
      </w:r>
      <w:r w:rsidR="00B275B5" w:rsidRPr="00EA1315">
        <w:t xml:space="preserve">His refusal to withdraw allegations led to a number of opponents, including two around this time, to challenge him to a duel. His refusal to accept these </w:t>
      </w:r>
      <w:r w:rsidR="001B26E7">
        <w:t xml:space="preserve">challenges </w:t>
      </w:r>
      <w:r w:rsidR="00B275B5" w:rsidRPr="00EA1315">
        <w:t>was viewed as quite improper at that time.</w:t>
      </w:r>
      <w:r w:rsidR="00B275B5" w:rsidRPr="00EA1315">
        <w:rPr>
          <w:rStyle w:val="FootnoteReference"/>
        </w:rPr>
        <w:footnoteReference w:id="72"/>
      </w:r>
    </w:p>
    <w:p w14:paraId="02DC1F85" w14:textId="77777777" w:rsidR="0024287A" w:rsidRPr="00EA1315" w:rsidRDefault="00B24863" w:rsidP="00EA1315">
      <w:pPr>
        <w:spacing w:line="480" w:lineRule="auto"/>
        <w:ind w:firstLine="720"/>
        <w:jc w:val="both"/>
      </w:pPr>
      <w:r w:rsidRPr="00EA1315">
        <w:t>F</w:t>
      </w:r>
      <w:r w:rsidR="00A0628A" w:rsidRPr="00EA1315">
        <w:t>rom</w:t>
      </w:r>
      <w:r w:rsidR="007A0B1F" w:rsidRPr="00EA1315">
        <w:t xml:space="preserve"> the </w:t>
      </w:r>
      <w:r w:rsidR="004155D6" w:rsidRPr="00EA1315">
        <w:t xml:space="preserve">perspective of the </w:t>
      </w:r>
      <w:r w:rsidR="001B0493" w:rsidRPr="00EA1315">
        <w:t>G</w:t>
      </w:r>
      <w:r w:rsidR="007A0B1F" w:rsidRPr="00EA1315">
        <w:t>overnment of Lord Gre</w:t>
      </w:r>
      <w:r w:rsidR="00F853E0" w:rsidRPr="00EA1315">
        <w:t>y, deciding how to deal with O’Connell was a difficult issue. Whereas for Wellington and Peel, it was a simple matter as they treated him as a direct opponent, for the Whigs he was a potential ally. Essentially, they had three options open to them</w:t>
      </w:r>
      <w:r w:rsidR="001B26E7">
        <w:t>:</w:t>
      </w:r>
      <w:r w:rsidR="001B26E7" w:rsidRPr="00EA1315">
        <w:t xml:space="preserve"> </w:t>
      </w:r>
      <w:r w:rsidR="00F853E0" w:rsidRPr="00EA1315">
        <w:t>bribe him with the offer of a position of power, take action to suppress him and his supporters, or pacify him through negotiations on a programme of reform.</w:t>
      </w:r>
      <w:r w:rsidR="00F853E0" w:rsidRPr="00EA1315">
        <w:rPr>
          <w:rStyle w:val="FootnoteReference"/>
        </w:rPr>
        <w:footnoteReference w:id="73"/>
      </w:r>
      <w:r w:rsidR="00F853E0" w:rsidRPr="00EA1315">
        <w:t xml:space="preserve"> It is clear that</w:t>
      </w:r>
      <w:r w:rsidR="002E2113" w:rsidRPr="00EA1315">
        <w:t>,</w:t>
      </w:r>
      <w:r w:rsidR="00F853E0" w:rsidRPr="00EA1315">
        <w:t xml:space="preserve"> within the </w:t>
      </w:r>
      <w:r w:rsidR="00C71E3E" w:rsidRPr="00EA1315">
        <w:t>senior</w:t>
      </w:r>
      <w:r w:rsidR="00F853E0" w:rsidRPr="00EA1315">
        <w:t xml:space="preserve"> ranks of the </w:t>
      </w:r>
      <w:r w:rsidR="009F6B21" w:rsidRPr="00EA1315">
        <w:t>Government, there were conflicting</w:t>
      </w:r>
      <w:r w:rsidR="00F853E0" w:rsidRPr="00EA1315">
        <w:t xml:space="preserve"> views with the result that all three</w:t>
      </w:r>
      <w:r w:rsidR="001678A5" w:rsidRPr="00EA1315">
        <w:t xml:space="preserve"> strategies were attempted</w:t>
      </w:r>
      <w:r w:rsidR="00F853E0" w:rsidRPr="00EA1315">
        <w:t xml:space="preserve"> in late 1830 and in the early months o</w:t>
      </w:r>
      <w:r w:rsidR="00C71E3E" w:rsidRPr="00EA1315">
        <w:t>f</w:t>
      </w:r>
      <w:r w:rsidR="00F853E0" w:rsidRPr="00EA1315">
        <w:t xml:space="preserve"> 1831. O’ Connell rejected the offer of a position in December 1830.</w:t>
      </w:r>
      <w:r w:rsidR="00D75A8D" w:rsidRPr="00EA1315">
        <w:rPr>
          <w:rStyle w:val="FootnoteReference"/>
        </w:rPr>
        <w:footnoteReference w:id="74"/>
      </w:r>
      <w:r w:rsidR="00F853E0" w:rsidRPr="00EA1315">
        <w:t xml:space="preserve"> </w:t>
      </w:r>
      <w:r w:rsidR="00E711F3" w:rsidRPr="00EA1315">
        <w:rPr>
          <w:lang w:val="en-IE"/>
        </w:rPr>
        <w:t>Geoghegan speculates that the post may have been a senior judicial one, Master of the Rolls in Ireland.</w:t>
      </w:r>
      <w:r w:rsidR="00E711F3" w:rsidRPr="00EA1315">
        <w:rPr>
          <w:rStyle w:val="FootnoteReference"/>
          <w:lang w:val="en-IE"/>
        </w:rPr>
        <w:footnoteReference w:id="75"/>
      </w:r>
      <w:r w:rsidR="00E711F3" w:rsidRPr="00EA1315">
        <w:rPr>
          <w:lang w:val="en-IE"/>
        </w:rPr>
        <w:t xml:space="preserve"> </w:t>
      </w:r>
      <w:r w:rsidR="00E711F3" w:rsidRPr="00EA1315">
        <w:rPr>
          <w:i/>
          <w:lang w:val="en-IE"/>
        </w:rPr>
        <w:t xml:space="preserve"> </w:t>
      </w:r>
      <w:r w:rsidR="00F853E0" w:rsidRPr="00EA1315">
        <w:t xml:space="preserve">In the early months of 1831, he outmanoeuvred the legal agents of the Government, who had </w:t>
      </w:r>
      <w:r w:rsidR="00A0628A" w:rsidRPr="00EA1315">
        <w:t xml:space="preserve">him arrested and </w:t>
      </w:r>
      <w:r w:rsidR="00F853E0" w:rsidRPr="00EA1315">
        <w:t>brought a charge of sedition against him and some colleagues</w:t>
      </w:r>
      <w:r w:rsidR="004878DF" w:rsidRPr="00EA1315">
        <w:t>,</w:t>
      </w:r>
      <w:r w:rsidR="00D75A8D" w:rsidRPr="00EA1315">
        <w:t xml:space="preserve"> though the issue dragged on for some months and, understandably, clouded his attitude to</w:t>
      </w:r>
      <w:r w:rsidR="00AC1CFA" w:rsidRPr="00EA1315">
        <w:t>wards</w:t>
      </w:r>
      <w:r w:rsidR="00D75A8D" w:rsidRPr="00EA1315">
        <w:t xml:space="preserve"> the Whigs</w:t>
      </w:r>
      <w:r w:rsidR="00F853E0" w:rsidRPr="00EA1315">
        <w:t>. O’Connell and Stanley were destined</w:t>
      </w:r>
      <w:r w:rsidR="004155D6" w:rsidRPr="00EA1315">
        <w:t xml:space="preserve"> never to be on friendly terms:</w:t>
      </w:r>
      <w:r w:rsidR="00F853E0" w:rsidRPr="00EA1315">
        <w:t xml:space="preserve"> </w:t>
      </w:r>
      <w:r w:rsidR="001B26E7">
        <w:t>‘</w:t>
      </w:r>
      <w:r w:rsidR="00F853E0" w:rsidRPr="00EA1315">
        <w:t>It was simply impossible that Stanley and he could get on together</w:t>
      </w:r>
      <w:r w:rsidR="001B26E7">
        <w:t>’</w:t>
      </w:r>
      <w:r w:rsidR="00F853E0" w:rsidRPr="00EA1315">
        <w:t>.</w:t>
      </w:r>
      <w:r w:rsidR="00F853E0" w:rsidRPr="00EA1315">
        <w:rPr>
          <w:rStyle w:val="FootnoteReference"/>
        </w:rPr>
        <w:footnoteReference w:id="76"/>
      </w:r>
      <w:r w:rsidR="00DD519B" w:rsidRPr="00EA1315">
        <w:t xml:space="preserve">  </w:t>
      </w:r>
      <w:r w:rsidR="00DD519B" w:rsidRPr="00EA1315">
        <w:lastRenderedPageBreak/>
        <w:t>Although all the members of the Cabinet supported the action against O’ Connell</w:t>
      </w:r>
      <w:r w:rsidR="00DD519B" w:rsidRPr="00EA1315">
        <w:rPr>
          <w:rStyle w:val="FootnoteReference"/>
        </w:rPr>
        <w:footnoteReference w:id="77"/>
      </w:r>
      <w:r w:rsidR="00DD519B" w:rsidRPr="00EA1315">
        <w:t>, the latter’s belief that Stanley was the instigator was almost certainly well-founded</w:t>
      </w:r>
      <w:r w:rsidR="00EE0302">
        <w:t>.</w:t>
      </w:r>
      <w:r w:rsidR="001851F2" w:rsidRPr="00EA1315">
        <w:rPr>
          <w:rStyle w:val="FootnoteReference"/>
        </w:rPr>
        <w:footnoteReference w:id="78"/>
      </w:r>
      <w:r w:rsidR="00F853E0" w:rsidRPr="00EA1315">
        <w:t xml:space="preserve">  </w:t>
      </w:r>
      <w:r w:rsidR="0026145E" w:rsidRPr="00EA1315">
        <w:t xml:space="preserve">As </w:t>
      </w:r>
      <w:r w:rsidR="0026145E" w:rsidRPr="00EA1315">
        <w:rPr>
          <w:lang w:val="en-IE"/>
        </w:rPr>
        <w:t xml:space="preserve">Ó </w:t>
      </w:r>
      <w:proofErr w:type="spellStart"/>
      <w:r w:rsidR="0026145E" w:rsidRPr="00EA1315">
        <w:rPr>
          <w:lang w:val="en-IE"/>
        </w:rPr>
        <w:t>Faoláin</w:t>
      </w:r>
      <w:proofErr w:type="spellEnd"/>
      <w:r w:rsidR="0026145E" w:rsidRPr="00EA1315">
        <w:t xml:space="preserve"> observes </w:t>
      </w:r>
      <w:r w:rsidR="00EE0302">
        <w:t>‘</w:t>
      </w:r>
      <w:r w:rsidR="0026145E" w:rsidRPr="00EA1315">
        <w:t>h</w:t>
      </w:r>
      <w:r w:rsidR="00F853E0" w:rsidRPr="00EA1315">
        <w:t>e hated him forever after that, baited him as Scorpion Stanley, and was often to fee</w:t>
      </w:r>
      <w:r w:rsidR="008D4A48" w:rsidRPr="00EA1315">
        <w:t xml:space="preserve">l a </w:t>
      </w:r>
      <w:r w:rsidR="0024287A" w:rsidRPr="00EA1315">
        <w:t>sting</w:t>
      </w:r>
      <w:r w:rsidR="00EE0302">
        <w:t>’</w:t>
      </w:r>
      <w:r w:rsidR="0024287A" w:rsidRPr="00EA1315">
        <w:t>.</w:t>
      </w:r>
      <w:r w:rsidR="0024287A" w:rsidRPr="00EA1315">
        <w:rPr>
          <w:rStyle w:val="FootnoteReference"/>
        </w:rPr>
        <w:footnoteReference w:id="79"/>
      </w:r>
    </w:p>
    <w:p w14:paraId="51B1F0DB" w14:textId="77777777" w:rsidR="001B0493" w:rsidRPr="00EA1315" w:rsidRDefault="002E2113" w:rsidP="00EA1315">
      <w:pPr>
        <w:spacing w:line="480" w:lineRule="auto"/>
        <w:jc w:val="both"/>
      </w:pPr>
      <w:r w:rsidRPr="00EA1315">
        <w:tab/>
      </w:r>
      <w:r w:rsidR="00F853E0" w:rsidRPr="00EA1315">
        <w:t>In relation to negotiations on a programm</w:t>
      </w:r>
      <w:r w:rsidR="00921901" w:rsidRPr="00EA1315">
        <w:t>e of reform,</w:t>
      </w:r>
      <w:r w:rsidR="005E04F1" w:rsidRPr="00EA1315">
        <w:t xml:space="preserve"> the intermediary</w:t>
      </w:r>
      <w:r w:rsidR="00921901" w:rsidRPr="00EA1315">
        <w:t xml:space="preserve"> between O’Connell and the government</w:t>
      </w:r>
      <w:r w:rsidR="00F853E0" w:rsidRPr="00EA1315">
        <w:t xml:space="preserve"> was Richard Newton Bennett</w:t>
      </w:r>
      <w:r w:rsidR="00515B4B" w:rsidRPr="00EA1315">
        <w:t>,</w:t>
      </w:r>
      <w:r w:rsidR="00F853E0" w:rsidRPr="00EA1315">
        <w:rPr>
          <w:rStyle w:val="FootnoteReference"/>
        </w:rPr>
        <w:footnoteReference w:id="80"/>
      </w:r>
      <w:r w:rsidR="000B4BF8" w:rsidRPr="00EA1315">
        <w:t xml:space="preserve"> </w:t>
      </w:r>
      <w:r w:rsidR="0035200C" w:rsidRPr="00EA1315">
        <w:t>who</w:t>
      </w:r>
      <w:r w:rsidR="009F6B21" w:rsidRPr="00EA1315">
        <w:t xml:space="preserve"> had acted as O’</w:t>
      </w:r>
      <w:r w:rsidR="00866D15" w:rsidRPr="00EA1315">
        <w:t>Connell</w:t>
      </w:r>
      <w:r w:rsidR="00D75A8D" w:rsidRPr="00EA1315">
        <w:t>’</w:t>
      </w:r>
      <w:r w:rsidR="00866D15" w:rsidRPr="00EA1315">
        <w:t>s conduit to the Whigs from as early as 1827</w:t>
      </w:r>
      <w:r w:rsidR="004629A0">
        <w:t>.</w:t>
      </w:r>
      <w:r w:rsidR="00866D15" w:rsidRPr="00EA1315">
        <w:rPr>
          <w:rStyle w:val="FootnoteReference"/>
        </w:rPr>
        <w:footnoteReference w:id="81"/>
      </w:r>
      <w:r w:rsidR="00866D15" w:rsidRPr="00EA1315">
        <w:t xml:space="preserve"> Lord Althorp</w:t>
      </w:r>
      <w:r w:rsidR="00515B4B" w:rsidRPr="00EA1315">
        <w:t>,</w:t>
      </w:r>
      <w:r w:rsidR="00866D15" w:rsidRPr="00EA1315">
        <w:t xml:space="preserve"> a very powerful figure in the party and Grey’s clo</w:t>
      </w:r>
      <w:r w:rsidR="001A334A" w:rsidRPr="00EA1315">
        <w:t>sest associate in government</w:t>
      </w:r>
      <w:r w:rsidR="00515B4B" w:rsidRPr="00EA1315">
        <w:t>, was the person who usually handled such matters for the Whigs</w:t>
      </w:r>
      <w:r w:rsidR="001A334A" w:rsidRPr="00EA1315">
        <w:t>.</w:t>
      </w:r>
      <w:r w:rsidR="005E511A" w:rsidRPr="00EA1315">
        <w:rPr>
          <w:rStyle w:val="FootnoteReference"/>
        </w:rPr>
        <w:footnoteReference w:id="82"/>
      </w:r>
      <w:r w:rsidR="001A334A" w:rsidRPr="00EA1315">
        <w:t xml:space="preserve"> Bennett</w:t>
      </w:r>
      <w:r w:rsidR="00866D15" w:rsidRPr="00EA1315">
        <w:t xml:space="preserve"> was a long</w:t>
      </w:r>
      <w:r w:rsidR="004155D6" w:rsidRPr="00EA1315">
        <w:t>-</w:t>
      </w:r>
      <w:r w:rsidR="00866D15" w:rsidRPr="00EA1315">
        <w:t xml:space="preserve">time friend of O’Connell who trusted him </w:t>
      </w:r>
      <w:r w:rsidR="0026145E" w:rsidRPr="00EA1315">
        <w:t>implicitly</w:t>
      </w:r>
      <w:r w:rsidR="00866D15" w:rsidRPr="00EA1315">
        <w:t>.</w:t>
      </w:r>
      <w:r w:rsidR="005C4010" w:rsidRPr="00EA1315">
        <w:rPr>
          <w:rStyle w:val="FootnoteReference"/>
        </w:rPr>
        <w:footnoteReference w:id="83"/>
      </w:r>
      <w:r w:rsidR="00F853E0" w:rsidRPr="00EA1315">
        <w:t xml:space="preserve"> </w:t>
      </w:r>
      <w:r w:rsidR="005C4010" w:rsidRPr="00EA1315">
        <w:t>It is</w:t>
      </w:r>
      <w:r w:rsidR="00C951A6" w:rsidRPr="00EA1315">
        <w:t xml:space="preserve"> quite</w:t>
      </w:r>
      <w:r w:rsidR="005C4010" w:rsidRPr="00EA1315">
        <w:t xml:space="preserve"> clear from a letter that </w:t>
      </w:r>
      <w:r w:rsidR="00F853E0" w:rsidRPr="00EA1315">
        <w:t xml:space="preserve">O’ Connell </w:t>
      </w:r>
      <w:r w:rsidR="005C4010" w:rsidRPr="00EA1315">
        <w:t>wro</w:t>
      </w:r>
      <w:r w:rsidR="001A334A" w:rsidRPr="00EA1315">
        <w:t xml:space="preserve">te to </w:t>
      </w:r>
      <w:r w:rsidR="00FB6F84" w:rsidRPr="00EA1315">
        <w:t xml:space="preserve">Bennett </w:t>
      </w:r>
      <w:r w:rsidR="005C4010" w:rsidRPr="00EA1315">
        <w:t xml:space="preserve">in early December 1830 that </w:t>
      </w:r>
      <w:r w:rsidR="00515B4B" w:rsidRPr="00EA1315">
        <w:t>both men were aware of the role</w:t>
      </w:r>
      <w:r w:rsidR="005C4010" w:rsidRPr="00EA1315">
        <w:t xml:space="preserve"> that the latter was playing at that time</w:t>
      </w:r>
      <w:r w:rsidR="004155D6" w:rsidRPr="00EA1315">
        <w:t>:</w:t>
      </w:r>
      <w:r w:rsidR="00F853E0" w:rsidRPr="00EA1315">
        <w:rPr>
          <w:rStyle w:val="FootnoteReference"/>
        </w:rPr>
        <w:footnoteReference w:id="84"/>
      </w:r>
      <w:r w:rsidR="00F853E0" w:rsidRPr="00EA1315">
        <w:t xml:space="preserve">  </w:t>
      </w:r>
      <w:r w:rsidR="00921901" w:rsidRPr="00EA1315">
        <w:tab/>
      </w:r>
      <w:r w:rsidR="00921901" w:rsidRPr="00EA1315">
        <w:tab/>
      </w:r>
    </w:p>
    <w:p w14:paraId="3271DC9A" w14:textId="77777777" w:rsidR="00921901" w:rsidRPr="00EA1315" w:rsidRDefault="001B0493" w:rsidP="00EA1315">
      <w:pPr>
        <w:jc w:val="both"/>
      </w:pPr>
      <w:r w:rsidRPr="00EA1315">
        <w:tab/>
      </w:r>
      <w:r w:rsidR="00F853E0" w:rsidRPr="00EA1315">
        <w:t>You asked me (f</w:t>
      </w:r>
      <w:r w:rsidR="00921901" w:rsidRPr="00EA1315">
        <w:t xml:space="preserve">or your friend) what I want…for myself nothing, for Ireland </w:t>
      </w:r>
      <w:r w:rsidRPr="00EA1315">
        <w:tab/>
      </w:r>
      <w:r w:rsidR="00921901" w:rsidRPr="00EA1315">
        <w:t>much.</w:t>
      </w:r>
      <w:r w:rsidR="00921901" w:rsidRPr="00EA1315">
        <w:rPr>
          <w:rStyle w:val="FootnoteReference"/>
        </w:rPr>
        <w:footnoteReference w:id="85"/>
      </w:r>
      <w:r w:rsidR="00921901" w:rsidRPr="00EA1315">
        <w:tab/>
      </w:r>
      <w:r w:rsidR="00921901" w:rsidRPr="00EA1315">
        <w:tab/>
      </w:r>
      <w:r w:rsidR="00F853E0" w:rsidRPr="00EA1315">
        <w:t xml:space="preserve">  </w:t>
      </w:r>
    </w:p>
    <w:p w14:paraId="5528BEA9" w14:textId="77777777" w:rsidR="00921901" w:rsidRPr="00EA1315" w:rsidRDefault="00921901" w:rsidP="00EA1315">
      <w:pPr>
        <w:spacing w:line="480" w:lineRule="auto"/>
        <w:ind w:left="1440"/>
        <w:jc w:val="both"/>
      </w:pPr>
    </w:p>
    <w:p w14:paraId="17273483" w14:textId="77777777" w:rsidR="00921901" w:rsidRPr="00EA1315" w:rsidRDefault="00F853E0" w:rsidP="00EA1315">
      <w:pPr>
        <w:spacing w:line="480" w:lineRule="auto"/>
        <w:jc w:val="both"/>
      </w:pPr>
      <w:r w:rsidRPr="00EA1315">
        <w:t xml:space="preserve">O’ Connell went on to list twelve items, one of which was </w:t>
      </w:r>
      <w:r w:rsidR="004629A0">
        <w:t>‘</w:t>
      </w:r>
      <w:r w:rsidRPr="00EA1315">
        <w:t>the Kildare Place Society should have no control over public money</w:t>
      </w:r>
      <w:r w:rsidR="004629A0">
        <w:t>’</w:t>
      </w:r>
      <w:r w:rsidRPr="00EA1315">
        <w:t>. The list did not include</w:t>
      </w:r>
      <w:r w:rsidR="005E04F1" w:rsidRPr="00EA1315">
        <w:t xml:space="preserve"> O’Connell’s major political objective which was</w:t>
      </w:r>
      <w:r w:rsidRPr="00EA1315">
        <w:t xml:space="preserve"> repeal of the Act of Union becaus</w:t>
      </w:r>
      <w:r w:rsidR="005E04F1" w:rsidRPr="00EA1315">
        <w:t>e</w:t>
      </w:r>
      <w:r w:rsidR="001A334A" w:rsidRPr="00EA1315">
        <w:t xml:space="preserve"> </w:t>
      </w:r>
      <w:r w:rsidR="004629A0">
        <w:t>‘</w:t>
      </w:r>
      <w:r w:rsidR="001A334A" w:rsidRPr="00EA1315">
        <w:t xml:space="preserve">you asked me </w:t>
      </w:r>
      <w:r w:rsidR="001A334A" w:rsidRPr="00EA1315">
        <w:lastRenderedPageBreak/>
        <w:t>to omit that</w:t>
      </w:r>
      <w:r w:rsidR="004629A0">
        <w:t>’</w:t>
      </w:r>
      <w:r w:rsidR="001A334A" w:rsidRPr="00EA1315">
        <w:t>, a</w:t>
      </w:r>
      <w:r w:rsidR="005E04F1" w:rsidRPr="00EA1315">
        <w:t xml:space="preserve"> comment that provides further evidence of the fact that Bennett w</w:t>
      </w:r>
      <w:r w:rsidR="001A334A" w:rsidRPr="00EA1315">
        <w:t>as in touch with someone acting on behalf of the government, probably Lord Althorp.</w:t>
      </w:r>
      <w:r w:rsidRPr="00EA1315">
        <w:t xml:space="preserve"> </w:t>
      </w:r>
    </w:p>
    <w:p w14:paraId="56163445" w14:textId="77777777" w:rsidR="000C3DE6" w:rsidRPr="00EA1315" w:rsidRDefault="00F853E0" w:rsidP="00EA1315">
      <w:pPr>
        <w:spacing w:line="480" w:lineRule="auto"/>
        <w:ind w:firstLine="720"/>
        <w:jc w:val="both"/>
      </w:pPr>
      <w:r w:rsidRPr="00EA1315">
        <w:t>These conflicting approaches by the Whigs to O’Connell reflected Grey’s distrust of the Irish politician, exacerbated by negative</w:t>
      </w:r>
      <w:r w:rsidR="00FB6F84" w:rsidRPr="00EA1315">
        <w:t xml:space="preserve"> views </w:t>
      </w:r>
      <w:r w:rsidR="000C3DE6" w:rsidRPr="00EA1315">
        <w:t>he was receiving from Stanley</w:t>
      </w:r>
      <w:r w:rsidRPr="00EA1315">
        <w:t>.</w:t>
      </w:r>
      <w:r w:rsidR="000C3DE6" w:rsidRPr="00EA1315">
        <w:rPr>
          <w:rStyle w:val="FootnoteReference"/>
        </w:rPr>
        <w:footnoteReference w:id="86"/>
      </w:r>
      <w:r w:rsidR="00D86C33" w:rsidRPr="00EA1315">
        <w:t xml:space="preserve"> </w:t>
      </w:r>
      <w:r w:rsidRPr="00EA1315">
        <w:t>However, there were more positive voices within the Whig ran</w:t>
      </w:r>
      <w:r w:rsidR="004878DF" w:rsidRPr="00EA1315">
        <w:t>ks, particularly Lord Duncannon.</w:t>
      </w:r>
      <w:r w:rsidR="00242037" w:rsidRPr="00EA1315">
        <w:rPr>
          <w:rStyle w:val="FootnoteReference"/>
        </w:rPr>
        <w:footnoteReference w:id="87"/>
      </w:r>
      <w:r w:rsidR="004878DF" w:rsidRPr="00EA1315">
        <w:t xml:space="preserve"> </w:t>
      </w:r>
      <w:r w:rsidRPr="00EA1315">
        <w:t>O’Connell’s correspondence during the period reflects his puzzlement as to the contradictory nature of the Whigs’ approaches to</w:t>
      </w:r>
      <w:r w:rsidR="00011B7E" w:rsidRPr="00EA1315">
        <w:t>wards</w:t>
      </w:r>
      <w:r w:rsidRPr="00EA1315">
        <w:t xml:space="preserve"> him.</w:t>
      </w:r>
      <w:r w:rsidRPr="00EA1315">
        <w:rPr>
          <w:rStyle w:val="FootnoteReference"/>
        </w:rPr>
        <w:footnoteReference w:id="88"/>
      </w:r>
      <w:r w:rsidRPr="00EA1315">
        <w:t xml:space="preserve"> At the outset, he was full of optimism, writing in November 1830 to Archbishop Curtis of Armagh</w:t>
      </w:r>
      <w:r w:rsidR="001678A5" w:rsidRPr="00EA1315">
        <w:t>:</w:t>
      </w:r>
    </w:p>
    <w:p w14:paraId="2CE01B20" w14:textId="77777777" w:rsidR="000C3DE6" w:rsidRPr="00EA1315" w:rsidRDefault="000C3DE6" w:rsidP="00EA1315">
      <w:pPr>
        <w:ind w:left="720"/>
        <w:jc w:val="both"/>
      </w:pPr>
      <w:r w:rsidRPr="00EA1315">
        <w:t>I have had reason to think, given me by some who possess influence with the new administration, that there is a desire amongst a portion of the new members to divide the Kildare Place grant equitably between Catholics and Protestants.</w:t>
      </w:r>
      <w:r w:rsidRPr="00EA1315">
        <w:rPr>
          <w:rStyle w:val="FootnoteReference"/>
        </w:rPr>
        <w:footnoteReference w:id="89"/>
      </w:r>
    </w:p>
    <w:p w14:paraId="2C7D6F38" w14:textId="77777777" w:rsidR="000C3DE6" w:rsidRPr="00EA1315" w:rsidRDefault="000C3DE6" w:rsidP="00EA1315">
      <w:pPr>
        <w:spacing w:line="480" w:lineRule="auto"/>
        <w:jc w:val="both"/>
      </w:pPr>
    </w:p>
    <w:p w14:paraId="632093F4" w14:textId="77777777" w:rsidR="00983839" w:rsidRPr="00EA1315" w:rsidRDefault="000C3DE6" w:rsidP="00EA1315">
      <w:pPr>
        <w:spacing w:line="480" w:lineRule="auto"/>
        <w:jc w:val="both"/>
      </w:pPr>
      <w:r w:rsidRPr="00EA1315">
        <w:t>He urged Curtis to organise a submission to Parliament or peti</w:t>
      </w:r>
      <w:r w:rsidR="00161F53" w:rsidRPr="00EA1315">
        <w:t>tion on the issue of education. His advice was that the document shoul</w:t>
      </w:r>
      <w:r w:rsidR="00EB3466" w:rsidRPr="00EA1315">
        <w:t>d be sent to some supportive</w:t>
      </w:r>
      <w:r w:rsidR="00161F53" w:rsidRPr="00EA1315">
        <w:t xml:space="preserve"> Independent members of Parliament, whom he named, </w:t>
      </w:r>
      <w:r w:rsidR="004629A0">
        <w:t>‘</w:t>
      </w:r>
      <w:r w:rsidR="00D50858" w:rsidRPr="00EA1315">
        <w:t>rather</w:t>
      </w:r>
      <w:r w:rsidR="00161F53" w:rsidRPr="00EA1315">
        <w:t xml:space="preserve"> than the men in power who, in truth, want to be driven into the measure by others rather than act spontaneously</w:t>
      </w:r>
      <w:r w:rsidR="004629A0">
        <w:t>’.</w:t>
      </w:r>
      <w:r w:rsidR="00161F53" w:rsidRPr="00EA1315">
        <w:rPr>
          <w:rStyle w:val="FootnoteReference"/>
        </w:rPr>
        <w:footnoteReference w:id="90"/>
      </w:r>
      <w:r w:rsidR="00285819" w:rsidRPr="00EA1315">
        <w:t xml:space="preserve"> </w:t>
      </w:r>
      <w:r w:rsidRPr="00EA1315">
        <w:t xml:space="preserve">On the same day, he wrote in similar terms to Archbishop Murray of Dublin. </w:t>
      </w:r>
      <w:r w:rsidR="00EB3466" w:rsidRPr="00EA1315">
        <w:t>This</w:t>
      </w:r>
      <w:r w:rsidR="001A334A" w:rsidRPr="00EA1315">
        <w:t>, together with his letter to Bennett,</w:t>
      </w:r>
      <w:r w:rsidR="00EB3466" w:rsidRPr="00EA1315">
        <w:t xml:space="preserve"> suggests strongly that he was working closely with</w:t>
      </w:r>
      <w:r w:rsidR="00227649" w:rsidRPr="00EA1315">
        <w:t xml:space="preserve"> those</w:t>
      </w:r>
      <w:r w:rsidR="00EB3466" w:rsidRPr="00EA1315">
        <w:t xml:space="preserve"> e</w:t>
      </w:r>
      <w:r w:rsidR="005E04F1" w:rsidRPr="00EA1315">
        <w:t xml:space="preserve">lements within the </w:t>
      </w:r>
      <w:r w:rsidR="001B0493" w:rsidRPr="00EA1315">
        <w:t>G</w:t>
      </w:r>
      <w:r w:rsidR="005E04F1" w:rsidRPr="00EA1315">
        <w:t xml:space="preserve">overnment, </w:t>
      </w:r>
      <w:r w:rsidR="00EB3466" w:rsidRPr="00EA1315">
        <w:t>who were favourably disposed</w:t>
      </w:r>
      <w:r w:rsidR="00011B7E" w:rsidRPr="00EA1315">
        <w:t xml:space="preserve"> towards</w:t>
      </w:r>
      <w:r w:rsidR="00FB6F84" w:rsidRPr="00EA1315">
        <w:t xml:space="preserve"> an alternative to the KPS</w:t>
      </w:r>
      <w:r w:rsidR="00EB3466" w:rsidRPr="00EA1315">
        <w:t xml:space="preserve">. </w:t>
      </w:r>
      <w:r w:rsidR="00983839" w:rsidRPr="00EA1315">
        <w:t>It is noticeable that the Hierarchy</w:t>
      </w:r>
      <w:r w:rsidR="00011B7E" w:rsidRPr="00EA1315">
        <w:t>,</w:t>
      </w:r>
      <w:r w:rsidR="00983839" w:rsidRPr="00EA1315">
        <w:t xml:space="preserve"> in framing such documents</w:t>
      </w:r>
      <w:r w:rsidR="00011B7E" w:rsidRPr="00EA1315">
        <w:t>,</w:t>
      </w:r>
      <w:r w:rsidR="00983839" w:rsidRPr="00EA1315">
        <w:t xml:space="preserve"> became more forthright after Emancipation was granted </w:t>
      </w:r>
      <w:r w:rsidR="00983839" w:rsidRPr="00EA1315">
        <w:lastRenderedPageBreak/>
        <w:t xml:space="preserve">asserting that the payment of the entire grant to the Kildare Place Society was </w:t>
      </w:r>
      <w:r w:rsidR="00B96045">
        <w:t>‘</w:t>
      </w:r>
      <w:r w:rsidR="00983839" w:rsidRPr="00EA1315">
        <w:t>totally opposed to the spirit</w:t>
      </w:r>
      <w:r w:rsidR="00B96045">
        <w:t>’</w:t>
      </w:r>
      <w:r w:rsidR="00983839" w:rsidRPr="00EA1315">
        <w:t xml:space="preserve"> of that legislation.</w:t>
      </w:r>
      <w:r w:rsidR="00983839" w:rsidRPr="00EA1315">
        <w:rPr>
          <w:rStyle w:val="FootnoteReference"/>
        </w:rPr>
        <w:footnoteReference w:id="91"/>
      </w:r>
    </w:p>
    <w:p w14:paraId="73D8E4F5" w14:textId="77777777" w:rsidR="000C3DE6" w:rsidRPr="00EA1315" w:rsidRDefault="00983839" w:rsidP="00EA1315">
      <w:pPr>
        <w:spacing w:line="480" w:lineRule="auto"/>
        <w:ind w:firstLine="720"/>
        <w:jc w:val="both"/>
      </w:pPr>
      <w:r w:rsidRPr="00EA1315">
        <w:t>By February</w:t>
      </w:r>
      <w:r w:rsidR="00011B7E" w:rsidRPr="00EA1315">
        <w:t>,</w:t>
      </w:r>
      <w:r w:rsidRPr="00EA1315">
        <w:t xml:space="preserve"> however</w:t>
      </w:r>
      <w:r w:rsidR="00011B7E" w:rsidRPr="00EA1315">
        <w:t>,</w:t>
      </w:r>
      <w:r w:rsidRPr="00EA1315">
        <w:t xml:space="preserve"> O’Connell was annoyed by the government’s actions in having him arrested and</w:t>
      </w:r>
      <w:r w:rsidR="000C3DE6" w:rsidRPr="00EA1315">
        <w:t xml:space="preserve"> he wrote to Bennett advising that he was going t</w:t>
      </w:r>
      <w:r w:rsidRPr="00EA1315">
        <w:t>o fight back</w:t>
      </w:r>
      <w:r w:rsidR="000C3DE6" w:rsidRPr="00EA1315">
        <w:t>.</w:t>
      </w:r>
      <w:r w:rsidR="00D75A8D" w:rsidRPr="00EA1315">
        <w:rPr>
          <w:rStyle w:val="FootnoteReference"/>
        </w:rPr>
        <w:footnoteReference w:id="92"/>
      </w:r>
      <w:r w:rsidR="00D86C33" w:rsidRPr="00EA1315">
        <w:t xml:space="preserve"> </w:t>
      </w:r>
      <w:r w:rsidR="000C3DE6" w:rsidRPr="00EA1315">
        <w:t>Duncannon was standing in a by-election in February 1831 for his native Kilkenny, and a late intervention by O’Connell almo</w:t>
      </w:r>
      <w:r w:rsidR="001A334A" w:rsidRPr="00EA1315">
        <w:t xml:space="preserve">st secured his defeat. </w:t>
      </w:r>
      <w:r w:rsidR="000C3DE6" w:rsidRPr="00EA1315">
        <w:t xml:space="preserve"> Duncannon clearly understood the circumstances and quickly forgave him, with the result that in the ensuing General Election in May of that year, O’Connell ensured that he was re-elected unopposed. O’Connell’s standing with the Whigs by the Spring of 1831 had improved as a result of his frequent calls, through the public press, appealing to the Irish people to refrain from violence. His very strong speech in favour o</w:t>
      </w:r>
      <w:r w:rsidRPr="00EA1315">
        <w:t>f the R</w:t>
      </w:r>
      <w:r w:rsidR="000C3DE6" w:rsidRPr="00EA1315">
        <w:t>eform legislation in March</w:t>
      </w:r>
      <w:r w:rsidR="0035200C" w:rsidRPr="00EA1315">
        <w:t xml:space="preserve"> </w:t>
      </w:r>
      <w:r w:rsidR="000C3DE6" w:rsidRPr="00EA1315">
        <w:t>1831, impressed many of the Members and had a significant impact on thos</w:t>
      </w:r>
      <w:r w:rsidRPr="00EA1315">
        <w:t>e holding prominent positions on</w:t>
      </w:r>
      <w:r w:rsidR="000C3DE6" w:rsidRPr="00EA1315">
        <w:t xml:space="preserve"> the Government benches.</w:t>
      </w:r>
      <w:r w:rsidR="00F86F4A" w:rsidRPr="00EA1315">
        <w:t xml:space="preserve"> </w:t>
      </w:r>
      <w:r w:rsidR="00947EE9" w:rsidRPr="00EA1315">
        <w:t>As well as offering strong support to the Reform legislation he modifi</w:t>
      </w:r>
      <w:r w:rsidR="00F86F4A" w:rsidRPr="00EA1315">
        <w:t>ed f</w:t>
      </w:r>
      <w:r w:rsidR="00947EE9" w:rsidRPr="00EA1315">
        <w:t>or a time his agitation for Repeal.</w:t>
      </w:r>
      <w:r w:rsidR="00947EE9" w:rsidRPr="00EA1315">
        <w:rPr>
          <w:rStyle w:val="FootnoteReference"/>
        </w:rPr>
        <w:footnoteReference w:id="93"/>
      </w:r>
      <w:r w:rsidRPr="00EA1315">
        <w:t xml:space="preserve"> Throughout the period of the R</w:t>
      </w:r>
      <w:r w:rsidR="000C3DE6" w:rsidRPr="00EA1315">
        <w:t xml:space="preserve">eform debate, he maintained close contact with Duncannon and ensured that his supporters in Parliament were present to assist the Government in passing the legislation. The O’Connell votes were always important and sometimes vital in that endeavour.  </w:t>
      </w:r>
    </w:p>
    <w:p w14:paraId="62D48BBB" w14:textId="77777777" w:rsidR="000C3DE6" w:rsidRPr="00EA1315" w:rsidRDefault="000C3DE6" w:rsidP="00EA1315">
      <w:pPr>
        <w:ind w:left="720"/>
        <w:jc w:val="both"/>
      </w:pPr>
      <w:r w:rsidRPr="00EA1315">
        <w:t>While the Ministry was prosecuting O’Connell in Ireland, O’Connell was saving the Ministry in England…Grey depended on O’Connell not only for his majority, but for peace in Ireland.</w:t>
      </w:r>
      <w:r w:rsidRPr="00EA1315">
        <w:rPr>
          <w:rStyle w:val="FootnoteReference"/>
        </w:rPr>
        <w:footnoteReference w:id="94"/>
      </w:r>
    </w:p>
    <w:p w14:paraId="0F01612C" w14:textId="77777777" w:rsidR="000C3DE6" w:rsidRPr="00EA1315" w:rsidRDefault="000C3DE6" w:rsidP="00EA1315">
      <w:pPr>
        <w:spacing w:line="480" w:lineRule="auto"/>
        <w:jc w:val="both"/>
      </w:pPr>
    </w:p>
    <w:p w14:paraId="42F99F77" w14:textId="77777777" w:rsidR="00220FFA" w:rsidRPr="00EA1315" w:rsidRDefault="00E95AC5" w:rsidP="00EA1315">
      <w:pPr>
        <w:spacing w:line="480" w:lineRule="auto"/>
        <w:jc w:val="both"/>
      </w:pPr>
      <w:r w:rsidRPr="00EA1315">
        <w:lastRenderedPageBreak/>
        <w:t>Even G</w:t>
      </w:r>
      <w:r w:rsidR="00B47720" w:rsidRPr="00EA1315">
        <w:t xml:space="preserve">rey had begun to re-assess </w:t>
      </w:r>
      <w:r w:rsidRPr="00EA1315">
        <w:t>his attitude towards O’Connell writing to Lord Anglesey,</w:t>
      </w:r>
      <w:r w:rsidR="00B47720" w:rsidRPr="00EA1315">
        <w:t xml:space="preserve"> </w:t>
      </w:r>
      <w:r w:rsidR="00B96045">
        <w:t>‘</w:t>
      </w:r>
      <w:r w:rsidR="00B47720" w:rsidRPr="00EA1315">
        <w:t>every account confirms what you say of O’Connell’s good behaviour</w:t>
      </w:r>
      <w:r w:rsidR="00B96045">
        <w:t>’</w:t>
      </w:r>
      <w:r w:rsidR="00B47720" w:rsidRPr="00EA1315">
        <w:t>.</w:t>
      </w:r>
      <w:r w:rsidR="00B47720" w:rsidRPr="00EA1315">
        <w:rPr>
          <w:rStyle w:val="FootnoteReference"/>
        </w:rPr>
        <w:footnoteReference w:id="95"/>
      </w:r>
      <w:r w:rsidR="00B47720" w:rsidRPr="00EA1315">
        <w:t xml:space="preserve">  </w:t>
      </w:r>
      <w:r w:rsidR="00CF79B2" w:rsidRPr="00EA1315">
        <w:t>The improving attitude of some of the senior Whigs to O’Connell was accompanied by increasing doubts as to Stanley’s approach to Irish questions. Lord Althorp</w:t>
      </w:r>
      <w:r w:rsidR="00A97CAD" w:rsidRPr="00EA1315">
        <w:t>’</w:t>
      </w:r>
      <w:r w:rsidR="00CF79B2" w:rsidRPr="00EA1315">
        <w:t>s correspondence at this time is instructive. In early January</w:t>
      </w:r>
      <w:r w:rsidR="00011B7E" w:rsidRPr="00EA1315">
        <w:t xml:space="preserve"> of</w:t>
      </w:r>
      <w:r w:rsidR="00CF79B2" w:rsidRPr="00EA1315">
        <w:t xml:space="preserve"> 1831 he was of the view that</w:t>
      </w:r>
      <w:r w:rsidR="00285819" w:rsidRPr="00EA1315">
        <w:t xml:space="preserve"> </w:t>
      </w:r>
      <w:r w:rsidR="00EE0302">
        <w:t>‘</w:t>
      </w:r>
      <w:r w:rsidR="00CF79B2" w:rsidRPr="00EA1315">
        <w:t>O’Connell must be put down</w:t>
      </w:r>
      <w:r w:rsidR="00EE0302">
        <w:t>’</w:t>
      </w:r>
      <w:r w:rsidR="00CF79B2" w:rsidRPr="00EA1315">
        <w:t xml:space="preserve"> although later that month he was expressing doubts as to the legality of the arrest of the Irish leader.</w:t>
      </w:r>
      <w:r w:rsidR="00CF79B2" w:rsidRPr="00EA1315">
        <w:rPr>
          <w:rStyle w:val="FootnoteReference"/>
        </w:rPr>
        <w:footnoteReference w:id="96"/>
      </w:r>
      <w:r w:rsidR="00CF79B2" w:rsidRPr="00EA1315">
        <w:t xml:space="preserve"> </w:t>
      </w:r>
      <w:r w:rsidR="00A97CAD" w:rsidRPr="00EA1315">
        <w:t>In July</w:t>
      </w:r>
      <w:r w:rsidR="00AC1CFA" w:rsidRPr="00EA1315">
        <w:t>,</w:t>
      </w:r>
      <w:r w:rsidR="00A97CAD" w:rsidRPr="00EA1315">
        <w:t xml:space="preserve"> Stanley introduced to the House a renewal of The Irish Arms Bill</w:t>
      </w:r>
      <w:r w:rsidR="00E0559A" w:rsidRPr="00EA1315">
        <w:t xml:space="preserve"> </w:t>
      </w:r>
      <w:r w:rsidR="00A97CAD" w:rsidRPr="00EA1315">
        <w:t>which</w:t>
      </w:r>
      <w:r w:rsidR="00220FFA" w:rsidRPr="00EA1315">
        <w:t xml:space="preserve"> he</w:t>
      </w:r>
      <w:r w:rsidR="00A97CAD" w:rsidRPr="00EA1315">
        <w:t xml:space="preserve"> </w:t>
      </w:r>
      <w:r w:rsidR="00220FFA" w:rsidRPr="00EA1315">
        <w:t>had made more extreme. This</w:t>
      </w:r>
      <w:r w:rsidR="00A97CAD" w:rsidRPr="00EA1315">
        <w:t xml:space="preserve"> came as a surprise to Althorp.</w:t>
      </w:r>
      <w:r w:rsidR="00220FFA" w:rsidRPr="00EA1315">
        <w:t xml:space="preserve"> In his view it wa</w:t>
      </w:r>
      <w:r w:rsidR="00560FA5" w:rsidRPr="00EA1315">
        <w:t xml:space="preserve">s now </w:t>
      </w:r>
      <w:r w:rsidR="00B96045">
        <w:t>‘</w:t>
      </w:r>
      <w:r w:rsidR="00220FFA" w:rsidRPr="00EA1315">
        <w:t>one of the most tyrannical measures I ever heard</w:t>
      </w:r>
      <w:r w:rsidR="00B96045">
        <w:t>’.</w:t>
      </w:r>
      <w:r w:rsidR="00A97CAD" w:rsidRPr="00EA1315">
        <w:t xml:space="preserve"> It sub</w:t>
      </w:r>
      <w:r w:rsidR="00220FFA" w:rsidRPr="00EA1315">
        <w:t>sequently transpired that G</w:t>
      </w:r>
      <w:r w:rsidR="00A97CAD" w:rsidRPr="00EA1315">
        <w:t>rey had not been consulted either</w:t>
      </w:r>
      <w:r w:rsidR="00B96045">
        <w:t>,</w:t>
      </w:r>
      <w:r w:rsidR="00A97CAD" w:rsidRPr="00EA1315">
        <w:rPr>
          <w:rStyle w:val="FootnoteReference"/>
        </w:rPr>
        <w:footnoteReference w:id="97"/>
      </w:r>
      <w:r w:rsidR="001851F2" w:rsidRPr="00EA1315">
        <w:t xml:space="preserve"> and was “appalled and disgusted” at some of the provisions.</w:t>
      </w:r>
      <w:r w:rsidR="001851F2" w:rsidRPr="00EA1315">
        <w:rPr>
          <w:rStyle w:val="FootnoteReference"/>
        </w:rPr>
        <w:footnoteReference w:id="98"/>
      </w:r>
      <w:r w:rsidR="001851F2" w:rsidRPr="00EA1315">
        <w:t xml:space="preserve"> </w:t>
      </w:r>
      <w:r w:rsidR="001851F2" w:rsidRPr="00EA1315">
        <w:rPr>
          <w:lang w:val="en-IE"/>
        </w:rPr>
        <w:t>This entire episode undermined Stanley’s status within the Cabinet.</w:t>
      </w:r>
      <w:r w:rsidR="001851F2" w:rsidRPr="00EA1315">
        <w:rPr>
          <w:rStyle w:val="FootnoteReference"/>
          <w:lang w:val="en-IE"/>
        </w:rPr>
        <w:footnoteReference w:id="99"/>
      </w:r>
      <w:r w:rsidR="001851F2" w:rsidRPr="00EA1315">
        <w:t xml:space="preserve"> </w:t>
      </w:r>
      <w:r w:rsidR="00011B7E" w:rsidRPr="00EA1315">
        <w:t>S</w:t>
      </w:r>
      <w:r w:rsidR="00E0559A" w:rsidRPr="00EA1315">
        <w:t>enior members began to realise</w:t>
      </w:r>
      <w:r w:rsidR="001851F2" w:rsidRPr="00EA1315">
        <w:t xml:space="preserve"> that his policies and opinions on Ireland were becoming coloured by his preoccupation with trying to </w:t>
      </w:r>
      <w:r w:rsidR="00011B7E" w:rsidRPr="00EA1315">
        <w:t>defeat</w:t>
      </w:r>
      <w:r w:rsidR="001851F2" w:rsidRPr="00EA1315">
        <w:t xml:space="preserve"> O’Connell.</w:t>
      </w:r>
    </w:p>
    <w:p w14:paraId="7D6760D5" w14:textId="77777777" w:rsidR="00220FFA" w:rsidRPr="00EA1315" w:rsidRDefault="00220FFA" w:rsidP="00EA1315">
      <w:pPr>
        <w:spacing w:line="480" w:lineRule="auto"/>
        <w:jc w:val="both"/>
      </w:pPr>
    </w:p>
    <w:p w14:paraId="01FACBF6" w14:textId="77777777" w:rsidR="002D4AB2" w:rsidRPr="00EA1315" w:rsidRDefault="002D4AB2" w:rsidP="00EA1315">
      <w:pPr>
        <w:spacing w:line="480" w:lineRule="auto"/>
        <w:jc w:val="both"/>
        <w:rPr>
          <w:b/>
        </w:rPr>
      </w:pPr>
      <w:r w:rsidRPr="00EA1315">
        <w:rPr>
          <w:b/>
        </w:rPr>
        <w:t>Educational Provision</w:t>
      </w:r>
    </w:p>
    <w:p w14:paraId="0D6F4428" w14:textId="77777777" w:rsidR="002D4AB2" w:rsidRPr="00EA1315" w:rsidRDefault="002D4AB2" w:rsidP="00EA1315">
      <w:pPr>
        <w:spacing w:line="480" w:lineRule="auto"/>
        <w:jc w:val="both"/>
      </w:pPr>
      <w:r w:rsidRPr="00EA1315">
        <w:t>Meanwhile the efforts to bring about change in relation to educational provision were being resisted by Stanley. In February 1831, in an exchange of correspondence with Archbishop Murray</w:t>
      </w:r>
      <w:r w:rsidR="00576A44">
        <w:t>,</w:t>
      </w:r>
      <w:r w:rsidRPr="00EA1315">
        <w:t xml:space="preserve"> he made it clear that, while he would consider redirecting a portion of the grant on an experimental basis to support some schools in the light of the report of the Spring-Rice Committee, he would not countenance the removal of </w:t>
      </w:r>
      <w:r w:rsidRPr="00EA1315">
        <w:lastRenderedPageBreak/>
        <w:t>the entire grant from the Kildare Place Society.</w:t>
      </w:r>
      <w:r w:rsidRPr="00EA1315">
        <w:rPr>
          <w:vertAlign w:val="superscript"/>
        </w:rPr>
        <w:footnoteReference w:id="100"/>
      </w:r>
      <w:r w:rsidRPr="00EA1315">
        <w:t xml:space="preserve"> At this time he, with the support of the Prime Minister, was working on a plan to split the grant between the Kildare Place Society and a new group of commissioners which was to be established.</w:t>
      </w:r>
      <w:r w:rsidRPr="00EA1315">
        <w:rPr>
          <w:vertAlign w:val="superscript"/>
        </w:rPr>
        <w:footnoteReference w:id="101"/>
      </w:r>
      <w:r w:rsidRPr="00EA1315">
        <w:t xml:space="preserve"> Lord Cloncurry has recounted a dinner that took place in Dublin in June 1831, which he attended along with Lord </w:t>
      </w:r>
      <w:proofErr w:type="spellStart"/>
      <w:r w:rsidRPr="00EA1315">
        <w:t>Angelsey</w:t>
      </w:r>
      <w:proofErr w:type="spellEnd"/>
      <w:r w:rsidRPr="00EA1315">
        <w:t xml:space="preserve">, E.G. Stanley, Lord Plunkett and Anthony Blake.  </w:t>
      </w:r>
      <w:r w:rsidR="00EE0302">
        <w:t>‘</w:t>
      </w:r>
      <w:r w:rsidRPr="00EA1315">
        <w:t>When we parted, at two o’ clock in the morning, it did not seem that the united arguments of the party had produced any effect upon the Chief Secretary</w:t>
      </w:r>
      <w:r w:rsidR="005A762E">
        <w:t>’</w:t>
      </w:r>
      <w:r w:rsidRPr="00EA1315">
        <w:t xml:space="preserve">. Indeed Cloncurry recalled Stanley’s view that </w:t>
      </w:r>
      <w:r w:rsidR="005F5C08">
        <w:t>‘</w:t>
      </w:r>
      <w:r w:rsidRPr="00EA1315">
        <w:t>The Church and the Protestants, both of England and Ireland, would not stand the withdrawal of the grant from the Kildare Place Society…</w:t>
      </w:r>
      <w:r w:rsidR="005F5C08">
        <w:t>’</w:t>
      </w:r>
      <w:r w:rsidRPr="00EA1315">
        <w:rPr>
          <w:vertAlign w:val="superscript"/>
        </w:rPr>
        <w:footnoteReference w:id="102"/>
      </w:r>
      <w:r w:rsidRPr="00EA1315">
        <w:t xml:space="preserve"> It is clear that the idea of splitting the grant was still favoured by Stanley some weeks later causing Anglesey to advise, </w:t>
      </w:r>
      <w:r w:rsidR="00B96045">
        <w:t>‘</w:t>
      </w:r>
      <w:r w:rsidRPr="00EA1315">
        <w:t>your change in the mode of disposing of the education grant does not go far enough</w:t>
      </w:r>
      <w:r w:rsidR="00B96045">
        <w:t>’.</w:t>
      </w:r>
      <w:r w:rsidRPr="00EA1315">
        <w:t xml:space="preserve"> </w:t>
      </w:r>
      <w:r w:rsidRPr="00EA1315">
        <w:rPr>
          <w:vertAlign w:val="superscript"/>
        </w:rPr>
        <w:footnoteReference w:id="103"/>
      </w:r>
      <w:r w:rsidRPr="00EA1315">
        <w:t xml:space="preserve"> Stanley’s actions were hardly surprising as his support for the Protestant Ascendancy’s domination in Ireland was </w:t>
      </w:r>
      <w:r w:rsidR="005F5C08">
        <w:t>‘</w:t>
      </w:r>
      <w:r w:rsidRPr="00EA1315">
        <w:t>unconcealed</w:t>
      </w:r>
      <w:r w:rsidR="005F5C08">
        <w:t>’</w:t>
      </w:r>
      <w:r w:rsidRPr="00EA1315">
        <w:rPr>
          <w:vertAlign w:val="superscript"/>
        </w:rPr>
        <w:footnoteReference w:id="104"/>
      </w:r>
      <w:r w:rsidRPr="00EA1315">
        <w:t xml:space="preserve"> and continuing the grant aid to the Kildare Place Society was very much part of that policy. Meanwhile the Catholic bishops submitted a petition to </w:t>
      </w:r>
      <w:r w:rsidR="00BC7035">
        <w:t>P</w:t>
      </w:r>
      <w:r w:rsidR="00BC7035" w:rsidRPr="00EA1315">
        <w:t>arliament</w:t>
      </w:r>
      <w:r w:rsidRPr="00EA1315">
        <w:t xml:space="preserve">, via O’Connell, in which they sought that </w:t>
      </w:r>
      <w:r w:rsidR="005F5C08">
        <w:t>‘</w:t>
      </w:r>
      <w:r w:rsidRPr="00EA1315">
        <w:t>grants for education should be equally distributed in the education of the Catholic and Protestant poor of Ireland</w:t>
      </w:r>
      <w:r w:rsidR="005F5C08">
        <w:t>’</w:t>
      </w:r>
      <w:r w:rsidRPr="00EA1315">
        <w:t>. In a letter to Patrick Curtis, the Catholic Primate, dated 14</w:t>
      </w:r>
      <w:r w:rsidRPr="00EA1315">
        <w:rPr>
          <w:vertAlign w:val="superscript"/>
        </w:rPr>
        <w:t>th</w:t>
      </w:r>
      <w:r w:rsidRPr="00EA1315">
        <w:t xml:space="preserve"> July 1831, O’Connell acknowledged receipt of the petition, undertook to present it, and finished with the comment; </w:t>
      </w:r>
      <w:r w:rsidR="008B0EF9">
        <w:t>‘</w:t>
      </w:r>
      <w:r w:rsidRPr="00EA1315">
        <w:t>I take for granted that this petition will be successful</w:t>
      </w:r>
      <w:r w:rsidR="008B0EF9">
        <w:t>’</w:t>
      </w:r>
      <w:r w:rsidRPr="00EA1315">
        <w:t>.</w:t>
      </w:r>
      <w:r w:rsidRPr="00EA1315">
        <w:rPr>
          <w:vertAlign w:val="superscript"/>
        </w:rPr>
        <w:footnoteReference w:id="105"/>
      </w:r>
      <w:r w:rsidRPr="00EA1315">
        <w:t xml:space="preserve"> At that stage his hope was that half the grant to the Kildare Place Society would be redirected to an alternative education provider, details of which were still undefined. In later </w:t>
      </w:r>
      <w:r w:rsidRPr="00EA1315">
        <w:lastRenderedPageBreak/>
        <w:t xml:space="preserve">correspondence that month he referred to the residue of the usual grant being </w:t>
      </w:r>
      <w:r w:rsidR="00576A44">
        <w:t>‘</w:t>
      </w:r>
      <w:r w:rsidRPr="00EA1315">
        <w:t>placed in better hands</w:t>
      </w:r>
      <w:r w:rsidR="00576A44">
        <w:t>’</w:t>
      </w:r>
      <w:r w:rsidRPr="00EA1315">
        <w:t xml:space="preserve">. </w:t>
      </w:r>
      <w:r w:rsidRPr="00EA1315">
        <w:rPr>
          <w:vertAlign w:val="superscript"/>
        </w:rPr>
        <w:footnoteReference w:id="106"/>
      </w:r>
      <w:r w:rsidRPr="00EA1315">
        <w:t xml:space="preserve"> So, by mid-July, O’Connell and the hierarchy were both seeking an arrangement along the lines of the plan Stanley was working on with Grey’s support.</w:t>
      </w:r>
    </w:p>
    <w:p w14:paraId="00967752" w14:textId="77777777" w:rsidR="002D4AB2" w:rsidRPr="00EA1315" w:rsidRDefault="002D4AB2" w:rsidP="00EA1315">
      <w:pPr>
        <w:spacing w:line="480" w:lineRule="auto"/>
        <w:jc w:val="both"/>
      </w:pPr>
      <w:r w:rsidRPr="00EA1315">
        <w:t xml:space="preserve"> </w:t>
      </w:r>
    </w:p>
    <w:p w14:paraId="276C4587" w14:textId="77777777" w:rsidR="002D4AB2" w:rsidRPr="00EA1315" w:rsidRDefault="002D4AB2" w:rsidP="00EA1315">
      <w:pPr>
        <w:spacing w:line="480" w:lineRule="auto"/>
        <w:jc w:val="both"/>
        <w:rPr>
          <w:b/>
        </w:rPr>
      </w:pPr>
      <w:r w:rsidRPr="00EA1315">
        <w:rPr>
          <w:b/>
        </w:rPr>
        <w:t>The Summer of 1831</w:t>
      </w:r>
    </w:p>
    <w:p w14:paraId="7FB4237B" w14:textId="77777777" w:rsidR="002D4AB2" w:rsidRPr="00EA1315" w:rsidRDefault="002D4AB2" w:rsidP="00EA1315">
      <w:pPr>
        <w:spacing w:line="480" w:lineRule="auto"/>
        <w:jc w:val="both"/>
      </w:pPr>
      <w:r w:rsidRPr="00EA1315">
        <w:t xml:space="preserve">The House of Commons sat from mid-June of 1831 right through the summer and it is clear from his participation in debates and his correspondence that O’Connell was in London for the duration. Obviously this afforded the opportunity for further negotiations between him and the </w:t>
      </w:r>
      <w:r w:rsidR="00434CEF">
        <w:t>G</w:t>
      </w:r>
      <w:r w:rsidR="00434CEF" w:rsidRPr="00EA1315">
        <w:t>overnment</w:t>
      </w:r>
      <w:r w:rsidRPr="00EA1315">
        <w:t xml:space="preserve">. The position of the </w:t>
      </w:r>
      <w:r w:rsidR="00434CEF">
        <w:t>G</w:t>
      </w:r>
      <w:r w:rsidR="00434CEF" w:rsidRPr="00EA1315">
        <w:t xml:space="preserve">overnment </w:t>
      </w:r>
      <w:r w:rsidRPr="00EA1315">
        <w:t xml:space="preserve">changed significantly during the period. In June, Stanley was resisting any alteration of the </w:t>
      </w:r>
      <w:r w:rsidRPr="00EA1315">
        <w:rPr>
          <w:i/>
        </w:rPr>
        <w:t>status quo.</w:t>
      </w:r>
      <w:r w:rsidRPr="00EA1315">
        <w:t xml:space="preserve"> By July, O’Connell was expressing hope of progress in a letter to Curtis, and finally in September a completely new structure emerged which was not just acceptable to the Catholic authorities but more than they had sought in their petition. Central to this development seems to have been a deputation which the Prime Minister received in </w:t>
      </w:r>
      <w:proofErr w:type="spellStart"/>
      <w:r w:rsidRPr="00EA1315">
        <w:t>mid August</w:t>
      </w:r>
      <w:proofErr w:type="spellEnd"/>
      <w:r w:rsidRPr="00EA1315">
        <w:t xml:space="preserve"> of 1831. Of significance is that this time, O’Connell and his immediate supporters were accompanied by Irish Whigs, traditionally aligned with the Prime Minister under the leadership of Lord Killeen. Subsequently the Prime Minister wrote to Anglesey, advising that the issue of the grant for education </w:t>
      </w:r>
      <w:r w:rsidR="00EE0302">
        <w:t>‘</w:t>
      </w:r>
      <w:r w:rsidRPr="00EA1315">
        <w:t>will now be carried forward with as much dispatch as the circumstances…will permit</w:t>
      </w:r>
      <w:r w:rsidR="00EE0302">
        <w:t>’</w:t>
      </w:r>
      <w:r w:rsidRPr="00EA1315">
        <w:t>.</w:t>
      </w:r>
      <w:r w:rsidRPr="00EA1315">
        <w:rPr>
          <w:vertAlign w:val="superscript"/>
        </w:rPr>
        <w:footnoteReference w:id="107"/>
      </w:r>
      <w:r w:rsidRPr="00EA1315">
        <w:t xml:space="preserve"> So reform, which had been favoured in reports from 1791 onwards and successfully resisted by the Protestant Ascendancy in Ireland and the authorities in </w:t>
      </w:r>
      <w:r w:rsidR="00921A5E" w:rsidRPr="00EA1315">
        <w:t xml:space="preserve">the </w:t>
      </w:r>
      <w:r w:rsidRPr="00EA1315">
        <w:t xml:space="preserve">Established </w:t>
      </w:r>
      <w:r w:rsidR="00576A44">
        <w:t>C</w:t>
      </w:r>
      <w:r w:rsidR="00576A44" w:rsidRPr="00EA1315">
        <w:t>hurch</w:t>
      </w:r>
      <w:r w:rsidRPr="00EA1315">
        <w:t xml:space="preserve">, was finally going to be introduced. Obviously Grey was centrally involved in the issue at this stage. This would give credence to the view expressed by Stanley’s </w:t>
      </w:r>
      <w:r w:rsidRPr="00EA1315">
        <w:lastRenderedPageBreak/>
        <w:t xml:space="preserve">biographer that the decision was taken by Grey himself and that </w:t>
      </w:r>
      <w:r w:rsidR="00EE0302">
        <w:t>’</w:t>
      </w:r>
      <w:r w:rsidRPr="00EA1315">
        <w:t>the scheme was only Stanley’s insofar as his energy and ability licked it in to administrable shape and drove it through parliament</w:t>
      </w:r>
      <w:r w:rsidR="00EE0302">
        <w:t>’</w:t>
      </w:r>
      <w:r w:rsidRPr="00EA1315">
        <w:t>.</w:t>
      </w:r>
      <w:r w:rsidRPr="00EA1315">
        <w:rPr>
          <w:vertAlign w:val="superscript"/>
        </w:rPr>
        <w:footnoteReference w:id="108"/>
      </w:r>
      <w:r w:rsidRPr="00EA1315">
        <w:t xml:space="preserve"> So, while undoubtedly, the policy discourse on education in Ireland, including the various reports which issued on the topic, were important, in the final analysis, basic politics may have played a more significant role than has been considered heretofore. Notwithstanding the contribution of some individuals, most notably Wyse and Doyle, O’Connell’s role was more important than has been recognised previously. </w:t>
      </w:r>
    </w:p>
    <w:p w14:paraId="3CC2306A" w14:textId="77777777" w:rsidR="005717CD" w:rsidRPr="00EA1315" w:rsidRDefault="005717CD" w:rsidP="00EA1315">
      <w:pPr>
        <w:spacing w:line="480" w:lineRule="auto"/>
        <w:jc w:val="both"/>
      </w:pPr>
    </w:p>
    <w:p w14:paraId="00C82502" w14:textId="77777777" w:rsidR="002D4AB2" w:rsidRPr="00B96045" w:rsidRDefault="00D2773F" w:rsidP="00EA1315">
      <w:pPr>
        <w:spacing w:line="480" w:lineRule="auto"/>
        <w:jc w:val="both"/>
        <w:rPr>
          <w:b/>
        </w:rPr>
      </w:pPr>
      <w:r w:rsidRPr="00D2773F">
        <w:rPr>
          <w:b/>
        </w:rPr>
        <w:t>Accessing O’Connell’s Vision for Ireland</w:t>
      </w:r>
    </w:p>
    <w:p w14:paraId="194070AE" w14:textId="77777777" w:rsidR="00D4217C" w:rsidRPr="00B96045" w:rsidRDefault="00D2773F" w:rsidP="00EA1315">
      <w:pPr>
        <w:spacing w:line="480" w:lineRule="auto"/>
        <w:jc w:val="both"/>
        <w:rPr>
          <w:lang w:val="en-IE"/>
        </w:rPr>
      </w:pPr>
      <w:r w:rsidRPr="00D2773F">
        <w:t>Fortunately for those trying to access the development of O’Connell’s thinking with regard to Ireland, he began to keep a journal from 1795 which he maintained until 1802</w:t>
      </w:r>
      <w:r w:rsidRPr="00D2773F">
        <w:rPr>
          <w:lang w:val="en-IE"/>
        </w:rPr>
        <w:t>.</w:t>
      </w:r>
      <w:r w:rsidRPr="00D2773F">
        <w:rPr>
          <w:rStyle w:val="FootnoteReference"/>
          <w:lang w:val="en-IE"/>
        </w:rPr>
        <w:footnoteReference w:id="109"/>
      </w:r>
      <w:r w:rsidRPr="00D2773F">
        <w:rPr>
          <w:lang w:val="en-IE"/>
        </w:rPr>
        <w:t xml:space="preserve"> The journal, among other items, records the books O’Connell read during the period and his reaction to them. The list is not complete as he decided to record only those he considered to be important. It is clear that he read widely on a range of topics including: biography, theology, history, law, the natural sciences, poetry, and political and social science.  In the latter category, by his own account, the books which were of import were Goodwin’s </w:t>
      </w:r>
      <w:r w:rsidRPr="00D2773F">
        <w:rPr>
          <w:i/>
          <w:lang w:val="en-IE"/>
        </w:rPr>
        <w:t>Political Justice</w:t>
      </w:r>
      <w:r w:rsidRPr="00D2773F">
        <w:rPr>
          <w:lang w:val="en-IE"/>
        </w:rPr>
        <w:t xml:space="preserve">, Wollstonecraft’s </w:t>
      </w:r>
      <w:r w:rsidRPr="00D2773F">
        <w:rPr>
          <w:i/>
          <w:lang w:val="en-IE"/>
        </w:rPr>
        <w:t>Vindication of the Rights of</w:t>
      </w:r>
      <w:r w:rsidRPr="00D2773F">
        <w:rPr>
          <w:lang w:val="en-IE"/>
        </w:rPr>
        <w:t xml:space="preserve"> </w:t>
      </w:r>
      <w:r w:rsidRPr="00D2773F">
        <w:rPr>
          <w:i/>
          <w:lang w:val="en-IE"/>
        </w:rPr>
        <w:t>Women</w:t>
      </w:r>
      <w:r w:rsidRPr="00D2773F">
        <w:rPr>
          <w:lang w:val="en-IE"/>
        </w:rPr>
        <w:t xml:space="preserve"> and the </w:t>
      </w:r>
      <w:r w:rsidRPr="00D2773F">
        <w:rPr>
          <w:i/>
          <w:lang w:val="en-IE"/>
        </w:rPr>
        <w:t>Manual of Liberty</w:t>
      </w:r>
      <w:r w:rsidRPr="00D2773F">
        <w:rPr>
          <w:lang w:val="en-IE"/>
        </w:rPr>
        <w:t xml:space="preserve">, a compilation of selections from the works of Rousseau, Voltaire, Machiavelli, Swift and Shakespeare. Reading these at that time in his early twenties particularly contributed to the ideals he displayed throughout his political life. His commitment to equality irrespective of race, religion, gender, freedom of conscience and speech, and the use of peaceful means to achieve </w:t>
      </w:r>
      <w:r w:rsidRPr="00D2773F">
        <w:rPr>
          <w:lang w:val="en-IE"/>
        </w:rPr>
        <w:lastRenderedPageBreak/>
        <w:t>these objectives, were principles he committed himself to at that stage.  Over and over again, in his journal, a commitment to liberty as an overriding objective is recorded:</w:t>
      </w:r>
    </w:p>
    <w:p w14:paraId="582F8A78" w14:textId="77777777" w:rsidR="00D4217C" w:rsidRPr="00B96045" w:rsidRDefault="00D2773F" w:rsidP="00EA1315">
      <w:pPr>
        <w:ind w:left="720"/>
        <w:jc w:val="both"/>
        <w:rPr>
          <w:lang w:val="en-IE"/>
        </w:rPr>
      </w:pPr>
      <w:r w:rsidRPr="00D2773F">
        <w:rPr>
          <w:lang w:val="en-IE"/>
        </w:rPr>
        <w:t>I love liberty as conducive to increase the portion of human happiness. A great deal of the misery of man can clearly be derived from the form of government under which he lives. When it is exclaimed that ‘the splendour of government must be maintained’ it should be mildly and firmly replied ‘No, but the happiness of the people should be established’. In fact the only rational motive of forming a government is the good of the forming parties.</w:t>
      </w:r>
      <w:r w:rsidRPr="00D2773F">
        <w:rPr>
          <w:rStyle w:val="FootnoteReference"/>
          <w:lang w:val="en-IE"/>
        </w:rPr>
        <w:footnoteReference w:id="110"/>
      </w:r>
      <w:r w:rsidRPr="00D2773F">
        <w:rPr>
          <w:lang w:val="en-IE"/>
        </w:rPr>
        <w:tab/>
      </w:r>
    </w:p>
    <w:p w14:paraId="32DFF8F8" w14:textId="77777777" w:rsidR="00D4217C" w:rsidRPr="00B96045" w:rsidRDefault="00D2773F" w:rsidP="00EA1315">
      <w:pPr>
        <w:spacing w:line="480" w:lineRule="auto"/>
        <w:jc w:val="both"/>
        <w:rPr>
          <w:lang w:val="en-IE"/>
        </w:rPr>
      </w:pPr>
      <w:r w:rsidRPr="00D2773F">
        <w:rPr>
          <w:lang w:val="en-IE"/>
        </w:rPr>
        <w:t xml:space="preserve">  </w:t>
      </w:r>
    </w:p>
    <w:p w14:paraId="555F1C4E" w14:textId="77777777" w:rsidR="00D4217C" w:rsidRPr="00B96045" w:rsidRDefault="00D2773F" w:rsidP="00EA1315">
      <w:pPr>
        <w:spacing w:line="480" w:lineRule="auto"/>
        <w:jc w:val="both"/>
        <w:rPr>
          <w:lang w:val="en-IE"/>
        </w:rPr>
      </w:pPr>
      <w:r w:rsidRPr="00D2773F">
        <w:rPr>
          <w:lang w:val="en-IE"/>
        </w:rPr>
        <w:t>Central to this was his commitment to democracy, in the form of universal suffrage, exercised by secret ballot. Interestingly, he also envisaged himself entering political life to bring about reform. On February 20</w:t>
      </w:r>
      <w:r w:rsidRPr="00D2773F">
        <w:rPr>
          <w:vertAlign w:val="superscript"/>
          <w:lang w:val="en-IE"/>
        </w:rPr>
        <w:t>th</w:t>
      </w:r>
      <w:r w:rsidRPr="00D2773F">
        <w:rPr>
          <w:lang w:val="en-IE"/>
        </w:rPr>
        <w:t>, 1797, O’Connell listened to a debate in the Irish House of Commons and having noted the poor level of oratory commented in his journal:</w:t>
      </w:r>
    </w:p>
    <w:p w14:paraId="3CCDD0DA" w14:textId="77777777" w:rsidR="00D4217C" w:rsidRPr="00B96045" w:rsidRDefault="00D2773F" w:rsidP="00EA1315">
      <w:pPr>
        <w:ind w:left="720"/>
        <w:jc w:val="both"/>
        <w:rPr>
          <w:lang w:val="en-IE"/>
        </w:rPr>
      </w:pPr>
      <w:r w:rsidRPr="00D2773F">
        <w:rPr>
          <w:lang w:val="en-IE"/>
        </w:rPr>
        <w:t>I too will be a member… I will steadfastly and persevering attach myself to the real interests of Ireland. I shall endeavour equally to avoid the profligacy of corruption and the violence of unreasonable patriotism. Of real patriotism moderation is the chief mark.</w:t>
      </w:r>
      <w:r w:rsidRPr="00D2773F">
        <w:rPr>
          <w:rStyle w:val="FootnoteReference"/>
          <w:lang w:val="en-IE"/>
        </w:rPr>
        <w:footnoteReference w:id="111"/>
      </w:r>
    </w:p>
    <w:p w14:paraId="3ED1FFFB" w14:textId="77777777" w:rsidR="00D4217C" w:rsidRPr="00B96045" w:rsidRDefault="00D4217C" w:rsidP="00EA1315">
      <w:pPr>
        <w:spacing w:line="480" w:lineRule="auto"/>
        <w:ind w:left="720"/>
        <w:jc w:val="both"/>
        <w:rPr>
          <w:lang w:val="en-IE"/>
        </w:rPr>
      </w:pPr>
    </w:p>
    <w:p w14:paraId="19561049" w14:textId="77777777" w:rsidR="00D4217C" w:rsidRPr="00B96045" w:rsidRDefault="00D2773F" w:rsidP="00EA1315">
      <w:pPr>
        <w:spacing w:line="480" w:lineRule="auto"/>
        <w:jc w:val="both"/>
        <w:rPr>
          <w:lang w:val="en-IE"/>
        </w:rPr>
      </w:pPr>
      <w:r w:rsidRPr="00D2773F">
        <w:rPr>
          <w:lang w:val="en-IE"/>
        </w:rPr>
        <w:t>How he hoped to achieve this objective is not clear. A proposal by Henry Grattan, supported by the liberally-minded Lord Lieutenant, Lord Fitzwilliam, in 1795 that Catholics would be eligible to become members of the Irish Parliament, had been defeated by a large majority.</w:t>
      </w:r>
    </w:p>
    <w:p w14:paraId="15BB7AAB" w14:textId="77777777" w:rsidR="00D4217C" w:rsidRPr="00B96045" w:rsidRDefault="00D2773F" w:rsidP="00EA1315">
      <w:pPr>
        <w:spacing w:line="480" w:lineRule="auto"/>
        <w:jc w:val="both"/>
        <w:rPr>
          <w:i/>
          <w:lang w:val="en-IE"/>
        </w:rPr>
      </w:pPr>
      <w:r w:rsidRPr="00D2773F">
        <w:rPr>
          <w:lang w:val="en-IE"/>
        </w:rPr>
        <w:tab/>
        <w:t xml:space="preserve">As a politician, O’Connell’s real strength lay in propounding his ideals and illustrating, quite clearly, how existing arrangements did not meet them. His ideals were to him self-evident truths. He rarely went beyond that to define what life would, or should, be like in practice if the changes he advocated came about. A response to a query from Archbishop </w:t>
      </w:r>
      <w:proofErr w:type="spellStart"/>
      <w:r w:rsidRPr="00D2773F">
        <w:rPr>
          <w:lang w:val="en-IE"/>
        </w:rPr>
        <w:t>MacHale</w:t>
      </w:r>
      <w:proofErr w:type="spellEnd"/>
      <w:r w:rsidRPr="00D2773F">
        <w:rPr>
          <w:lang w:val="en-IE"/>
        </w:rPr>
        <w:t xml:space="preserve"> in July 1840 is a rare exception. If Repeal of the Act of Union were granted he foresaw, </w:t>
      </w:r>
      <w:r w:rsidR="006C70A2">
        <w:rPr>
          <w:lang w:val="en-IE"/>
        </w:rPr>
        <w:t>‘</w:t>
      </w:r>
      <w:r w:rsidRPr="00D2773F">
        <w:rPr>
          <w:lang w:val="en-IE"/>
        </w:rPr>
        <w:t xml:space="preserve">Religion would be free, Education would be free, </w:t>
      </w:r>
      <w:r w:rsidRPr="00D2773F">
        <w:rPr>
          <w:lang w:val="en-IE"/>
        </w:rPr>
        <w:lastRenderedPageBreak/>
        <w:t>The Press would be free</w:t>
      </w:r>
      <w:r w:rsidR="006C70A2">
        <w:rPr>
          <w:lang w:val="en-IE"/>
        </w:rPr>
        <w:t>’.</w:t>
      </w:r>
      <w:r w:rsidRPr="00D2773F">
        <w:rPr>
          <w:rStyle w:val="FootnoteReference"/>
          <w:lang w:val="en-IE"/>
        </w:rPr>
        <w:footnoteReference w:id="112"/>
      </w:r>
      <w:r w:rsidRPr="00D2773F">
        <w:rPr>
          <w:lang w:val="en-IE"/>
        </w:rPr>
        <w:t xml:space="preserve">  In relation to education, he was particularly reticent. He carefully avoided the issue of content with one exception.  O’Neill Daunt recalls being at a dinner in 1833, at which his friend O’Connell was asked about the decline in the usage of Irish. </w:t>
      </w:r>
      <w:r w:rsidR="00C33784">
        <w:rPr>
          <w:lang w:val="en-IE"/>
        </w:rPr>
        <w:t>‘</w:t>
      </w:r>
      <w:r w:rsidRPr="00D2773F">
        <w:rPr>
          <w:lang w:val="en-IE"/>
        </w:rPr>
        <w:t>Although the Irish language is connected with many recollections that twine around the hearts of Irishmen, yet the superior utility of the English tongue, as a medium of modern communication, is so great, that I can witness without a sigh the gradual disuse of the Irish</w:t>
      </w:r>
      <w:r w:rsidR="00C33784">
        <w:rPr>
          <w:lang w:val="en-IE"/>
        </w:rPr>
        <w:t>’.</w:t>
      </w:r>
      <w:r w:rsidRPr="00D2773F">
        <w:rPr>
          <w:rStyle w:val="FootnoteReference"/>
          <w:lang w:val="en-IE"/>
        </w:rPr>
        <w:footnoteReference w:id="113"/>
      </w:r>
      <w:r w:rsidRPr="00D2773F">
        <w:rPr>
          <w:i/>
          <w:lang w:val="en-IE"/>
        </w:rPr>
        <w:t xml:space="preserve">  </w:t>
      </w:r>
      <w:r w:rsidRPr="00D2773F">
        <w:rPr>
          <w:lang w:val="en-IE"/>
        </w:rPr>
        <w:t>This comment reflected his view of the situation as is validated by the fact that he rarely spoke the language on public occasions. He was well-versed in Irish language, culture and traditions but clearly felt that Irish people, both as individuals and a society, needed to look forward and outwards in order to secure advancement.</w:t>
      </w:r>
      <w:r w:rsidRPr="00D2773F">
        <w:rPr>
          <w:i/>
          <w:lang w:val="en-IE"/>
        </w:rPr>
        <w:t xml:space="preserve"> </w:t>
      </w:r>
      <w:r w:rsidRPr="00D2773F">
        <w:rPr>
          <w:lang w:val="en-IE"/>
        </w:rPr>
        <w:t xml:space="preserve">He believed in the separation of Church and State. In that model, control of all aspects of education was the </w:t>
      </w:r>
      <w:r w:rsidR="00C33784">
        <w:rPr>
          <w:lang w:val="en-IE"/>
        </w:rPr>
        <w:t>Church’s</w:t>
      </w:r>
      <w:r w:rsidRPr="00D2773F">
        <w:rPr>
          <w:lang w:val="en-IE"/>
        </w:rPr>
        <w:t xml:space="preserve"> business.</w:t>
      </w:r>
      <w:r w:rsidR="00D4217C" w:rsidRPr="00226B6D">
        <w:rPr>
          <w:color w:val="4F81BD"/>
          <w:lang w:val="en-IE"/>
        </w:rPr>
        <w:t xml:space="preserve"> </w:t>
      </w:r>
      <w:r w:rsidRPr="00D2773F">
        <w:rPr>
          <w:lang w:val="en-IE"/>
        </w:rPr>
        <w:t xml:space="preserve">The </w:t>
      </w:r>
      <w:r w:rsidR="00C33784">
        <w:rPr>
          <w:lang w:val="en-IE"/>
        </w:rPr>
        <w:t>S</w:t>
      </w:r>
      <w:r w:rsidRPr="00D2773F">
        <w:rPr>
          <w:lang w:val="en-IE"/>
        </w:rPr>
        <w:t xml:space="preserve">tate’s role was limited to providing funding in order to ensure that elementary education was available to the poor. He envisaged Ireland as a free people with elementary education available to all. However, this was in the context of the hierarchical nature of Irish society at the time. There is no suggestion that he saw a need for a more extensive educational provision for the children of poorer families beyond elementary level. </w:t>
      </w:r>
    </w:p>
    <w:p w14:paraId="545DA3CC" w14:textId="77777777" w:rsidR="00D4217C" w:rsidRPr="00EA1315" w:rsidRDefault="00D4217C" w:rsidP="00EA1315">
      <w:pPr>
        <w:spacing w:line="480" w:lineRule="auto"/>
        <w:jc w:val="both"/>
      </w:pPr>
    </w:p>
    <w:p w14:paraId="2761B35C" w14:textId="77777777" w:rsidR="002D4AB2" w:rsidRPr="00EA1315" w:rsidRDefault="002D4AB2" w:rsidP="00EA1315">
      <w:pPr>
        <w:spacing w:line="480" w:lineRule="auto"/>
        <w:jc w:val="both"/>
        <w:rPr>
          <w:b/>
        </w:rPr>
      </w:pPr>
      <w:r w:rsidRPr="00EA1315">
        <w:rPr>
          <w:b/>
        </w:rPr>
        <w:t>Long-Term Implications</w:t>
      </w:r>
    </w:p>
    <w:p w14:paraId="6A2A99A0" w14:textId="77777777" w:rsidR="002D4AB2" w:rsidRPr="00EA1315" w:rsidRDefault="005717CD" w:rsidP="00EA1315">
      <w:pPr>
        <w:spacing w:line="480" w:lineRule="auto"/>
        <w:jc w:val="both"/>
      </w:pPr>
      <w:r w:rsidRPr="00EA1315">
        <w:t xml:space="preserve">When reflecting on O’Connell’s legacy, of particular </w:t>
      </w:r>
      <w:r w:rsidR="002D4AB2" w:rsidRPr="00EA1315">
        <w:t xml:space="preserve">significance for the development of Irish education in the decades </w:t>
      </w:r>
      <w:r w:rsidRPr="00EA1315">
        <w:t>which</w:t>
      </w:r>
      <w:r w:rsidR="002D4AB2" w:rsidRPr="00EA1315">
        <w:t xml:space="preserve"> followed was the manner in which O’Connell shaped the new educational landscape. In the history of Irish education, the developments between January 1826 and September 1831 are significant ones. </w:t>
      </w:r>
      <w:r w:rsidR="002D4AB2" w:rsidRPr="00EA1315">
        <w:lastRenderedPageBreak/>
        <w:t>O’Connell persuaded the Catholic Association that the development of education policy was a matter for the Bishops and then established a pattern whereby the role of the politician was to bring the ideas of the Hierarchy to fruition. This seems anomalous in a person who strongly believed in the separation of Church and State.</w:t>
      </w:r>
      <w:r w:rsidR="002D4AB2" w:rsidRPr="00EA1315">
        <w:rPr>
          <w:vertAlign w:val="superscript"/>
        </w:rPr>
        <w:footnoteReference w:id="114"/>
      </w:r>
      <w:r w:rsidR="002D4AB2" w:rsidRPr="00EA1315">
        <w:t xml:space="preserve"> It is very likely that this was, to a large extent, a political decision taken in the light of a broader strategic agenda. In August of 1829, shortly before he took his seat in Parliament, he wrote to Archbishop Murray:</w:t>
      </w:r>
    </w:p>
    <w:p w14:paraId="7F547AB8" w14:textId="77777777" w:rsidR="002D4AB2" w:rsidRPr="00EA1315" w:rsidRDefault="002D4AB2" w:rsidP="00EA1315">
      <w:pPr>
        <w:ind w:left="720"/>
        <w:jc w:val="both"/>
      </w:pPr>
      <w:r w:rsidRPr="00EA1315">
        <w:t>I shall feel highly honoured by obtaining more confidential communications from the Catholic prelates in Ireland which may enable me to be useful…I wish to receive the instructions and the commands of the Catholic prelates…I therefore most respectfully offer to your Grace the assistance of one member of parliament to combat whatever you deem injurious to Catholic Charities and education, and to advocate whatever you deem useful to either.</w:t>
      </w:r>
      <w:r w:rsidRPr="00EA1315">
        <w:rPr>
          <w:vertAlign w:val="superscript"/>
        </w:rPr>
        <w:footnoteReference w:id="115"/>
      </w:r>
    </w:p>
    <w:p w14:paraId="66F4DEC0" w14:textId="77777777" w:rsidR="002D4AB2" w:rsidRPr="00EA1315" w:rsidRDefault="002D4AB2" w:rsidP="00EA1315">
      <w:pPr>
        <w:spacing w:line="480" w:lineRule="auto"/>
        <w:jc w:val="both"/>
      </w:pPr>
    </w:p>
    <w:p w14:paraId="5B1259F8" w14:textId="77777777" w:rsidR="002D4AB2" w:rsidRPr="00EA1315" w:rsidRDefault="002D4AB2" w:rsidP="00EA1315">
      <w:pPr>
        <w:spacing w:line="480" w:lineRule="auto"/>
        <w:jc w:val="both"/>
        <w:rPr>
          <w:lang w:val="en-IE"/>
        </w:rPr>
      </w:pPr>
      <w:r w:rsidRPr="00EA1315">
        <w:t xml:space="preserve">While this letter may be regarded as a politician attempting to curry favour, in fact it outlines the approach O’Connell took to educational matters throughout his political career. When some sixteen years later controversy again arose on a proposal by the </w:t>
      </w:r>
      <w:r w:rsidR="00E250B6">
        <w:t>G</w:t>
      </w:r>
      <w:r w:rsidR="00E250B6" w:rsidRPr="00EA1315">
        <w:t xml:space="preserve">overnment </w:t>
      </w:r>
      <w:r w:rsidRPr="00EA1315">
        <w:t xml:space="preserve">to provide university education, the prelates were divided on the issue.  O’Connell again took a political decision siding with the group within the Hierarchy who were most supportive of his campaign for Repeal. </w:t>
      </w:r>
      <w:r w:rsidRPr="00EA1315">
        <w:rPr>
          <w:lang w:val="en-IE"/>
        </w:rPr>
        <w:t>The issue of control has dominated discourse on Irish education almost continuously for two centuries now.  Indeed it is currently a matter of controversy. O’Connell’s decision, in 1826, to defer to the Catholic hierarchy in this matter, an approach which was adopted by generations of Irish leaders subsequently, is his most lasting legacy to Irish education.</w:t>
      </w:r>
    </w:p>
    <w:p w14:paraId="6A126059" w14:textId="77777777" w:rsidR="002D4AB2" w:rsidRPr="00EA1315" w:rsidRDefault="002D4AB2" w:rsidP="00EA1315">
      <w:pPr>
        <w:jc w:val="both"/>
      </w:pPr>
    </w:p>
    <w:p w14:paraId="5E072DB1" w14:textId="77777777" w:rsidR="002D4AB2" w:rsidRPr="00EA1315" w:rsidRDefault="002D4AB2" w:rsidP="00EA1315">
      <w:pPr>
        <w:jc w:val="both"/>
      </w:pPr>
    </w:p>
    <w:p w14:paraId="5470C6B3" w14:textId="77777777" w:rsidR="00F853E0" w:rsidRPr="00EA1315" w:rsidRDefault="00F853E0" w:rsidP="00EA1315">
      <w:pPr>
        <w:jc w:val="both"/>
      </w:pPr>
    </w:p>
    <w:sectPr w:rsidR="00F853E0" w:rsidRPr="00EA1315" w:rsidSect="00DA38FA">
      <w:footerReference w:type="even" r:id="rId7"/>
      <w:foot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1C9289" w14:textId="77777777" w:rsidR="005C2B99" w:rsidRDefault="005C2B99">
      <w:r>
        <w:separator/>
      </w:r>
    </w:p>
  </w:endnote>
  <w:endnote w:type="continuationSeparator" w:id="0">
    <w:p w14:paraId="0A8C7E48" w14:textId="77777777" w:rsidR="005C2B99" w:rsidRDefault="005C2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00"/>
    <w:family w:val="swiss"/>
    <w:pitch w:val="variable"/>
    <w:sig w:usb0="E4002EFF" w:usb1="C200247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imesNewRomanPS-Italic">
    <w:altName w:val="Times New Roman"/>
    <w:panose1 w:val="00000000000000000000"/>
    <w:charset w:val="00"/>
    <w:family w:val="roman"/>
    <w:notTrueType/>
    <w:pitch w:val="default"/>
    <w:sig w:usb0="00000003" w:usb1="00000000" w:usb2="00000000" w:usb3="00000000" w:csb0="00000001"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8B4DC" w14:textId="77777777" w:rsidR="00970929" w:rsidRDefault="00D2773F" w:rsidP="00FE375C">
    <w:pPr>
      <w:pStyle w:val="Footer"/>
      <w:framePr w:wrap="around" w:vAnchor="text" w:hAnchor="margin" w:xAlign="center" w:y="1"/>
      <w:rPr>
        <w:rStyle w:val="PageNumber"/>
      </w:rPr>
    </w:pPr>
    <w:r>
      <w:rPr>
        <w:rStyle w:val="PageNumber"/>
      </w:rPr>
      <w:fldChar w:fldCharType="begin"/>
    </w:r>
    <w:r w:rsidR="00970929">
      <w:rPr>
        <w:rStyle w:val="PageNumber"/>
      </w:rPr>
      <w:instrText xml:space="preserve">PAGE  </w:instrText>
    </w:r>
    <w:r>
      <w:rPr>
        <w:rStyle w:val="PageNumber"/>
      </w:rPr>
      <w:fldChar w:fldCharType="end"/>
    </w:r>
  </w:p>
  <w:p w14:paraId="2B6F4280" w14:textId="77777777" w:rsidR="00970929" w:rsidRDefault="009709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60B65" w14:textId="77777777" w:rsidR="00970929" w:rsidRDefault="00D2773F" w:rsidP="00FE375C">
    <w:pPr>
      <w:pStyle w:val="Footer"/>
      <w:framePr w:wrap="around" w:vAnchor="text" w:hAnchor="margin" w:xAlign="center" w:y="1"/>
      <w:rPr>
        <w:rStyle w:val="PageNumber"/>
      </w:rPr>
    </w:pPr>
    <w:r>
      <w:rPr>
        <w:rStyle w:val="PageNumber"/>
      </w:rPr>
      <w:fldChar w:fldCharType="begin"/>
    </w:r>
    <w:r w:rsidR="00970929">
      <w:rPr>
        <w:rStyle w:val="PageNumber"/>
      </w:rPr>
      <w:instrText xml:space="preserve">PAGE  </w:instrText>
    </w:r>
    <w:r>
      <w:rPr>
        <w:rStyle w:val="PageNumber"/>
      </w:rPr>
      <w:fldChar w:fldCharType="separate"/>
    </w:r>
    <w:r w:rsidR="00E76DC4">
      <w:rPr>
        <w:rStyle w:val="PageNumber"/>
        <w:noProof/>
      </w:rPr>
      <w:t>2</w:t>
    </w:r>
    <w:r>
      <w:rPr>
        <w:rStyle w:val="PageNumber"/>
      </w:rPr>
      <w:fldChar w:fldCharType="end"/>
    </w:r>
  </w:p>
  <w:p w14:paraId="35BFE2E1" w14:textId="77777777" w:rsidR="00970929" w:rsidRDefault="00970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765A44" w14:textId="77777777" w:rsidR="005C2B99" w:rsidRDefault="005C2B99">
      <w:r>
        <w:separator/>
      </w:r>
    </w:p>
  </w:footnote>
  <w:footnote w:type="continuationSeparator" w:id="0">
    <w:p w14:paraId="1340E7D3" w14:textId="77777777" w:rsidR="005C2B99" w:rsidRDefault="005C2B99">
      <w:r>
        <w:continuationSeparator/>
      </w:r>
    </w:p>
  </w:footnote>
  <w:footnote w:id="1">
    <w:p w14:paraId="5374528C" w14:textId="77777777" w:rsidR="001A7671" w:rsidRPr="00EA1315" w:rsidRDefault="00FC2DC7" w:rsidP="001A7671">
      <w:pPr>
        <w:pStyle w:val="FootnoteText"/>
        <w:jc w:val="both"/>
        <w:rPr>
          <w:lang w:val="en-IE"/>
        </w:rPr>
      </w:pPr>
      <w:r w:rsidRPr="00EA1315">
        <w:rPr>
          <w:rStyle w:val="FootnoteReference"/>
        </w:rPr>
        <w:footnoteRef/>
      </w:r>
      <w:r w:rsidRPr="00EA1315">
        <w:t xml:space="preserve"> </w:t>
      </w:r>
      <w:r w:rsidR="001A7671" w:rsidRPr="00EA1315">
        <w:t>Daniel O’Connell (1775-1847) was a successful barrister before his election as a Member of Parliament in 1828.  He was the leader of the campaign for Catholic Emancipation.  In the next few years he gathered around him a group of like-minded MPs who were happy to follow his lead.  In that era, when party discipline was not very strong, a committed group of thirty-nine members could have a significant impact.  His natural leaning was to support the Whig rather than the Tory party and he used his power to try and influence the Whig Government that came to power in 1829 to bring about improvements in Ireland.  With the election of a Tory Government in 1841, he had less influence and, at that stage, reactivated his public campaign for the Repeal of the Act of Union.</w:t>
      </w:r>
    </w:p>
    <w:p w14:paraId="308F9855" w14:textId="77777777" w:rsidR="00FC2DC7" w:rsidRPr="00FC2DC7" w:rsidRDefault="00FC2DC7">
      <w:pPr>
        <w:pStyle w:val="FootnoteText"/>
      </w:pPr>
    </w:p>
  </w:footnote>
  <w:footnote w:id="2">
    <w:p w14:paraId="0FD3B5B2" w14:textId="77777777" w:rsidR="00EE147E" w:rsidRPr="000E38FF" w:rsidRDefault="009D623C" w:rsidP="00EE147E">
      <w:pPr>
        <w:autoSpaceDE w:val="0"/>
        <w:autoSpaceDN w:val="0"/>
        <w:adjustRightInd w:val="0"/>
        <w:rPr>
          <w:rFonts w:eastAsia="TimesNewRomanPSMT"/>
          <w:color w:val="231F20"/>
          <w:sz w:val="20"/>
          <w:szCs w:val="20"/>
          <w:lang w:val="en-IE" w:eastAsia="en-IE"/>
        </w:rPr>
      </w:pPr>
      <w:r w:rsidRPr="000E38FF">
        <w:rPr>
          <w:rStyle w:val="FootnoteReference"/>
          <w:sz w:val="19"/>
          <w:szCs w:val="19"/>
        </w:rPr>
        <w:footnoteRef/>
      </w:r>
      <w:r w:rsidRPr="000E38FF">
        <w:rPr>
          <w:sz w:val="19"/>
          <w:szCs w:val="19"/>
        </w:rPr>
        <w:t xml:space="preserve"> </w:t>
      </w:r>
      <w:r w:rsidR="000E38FF" w:rsidRPr="000E38FF">
        <w:rPr>
          <w:sz w:val="20"/>
          <w:szCs w:val="20"/>
        </w:rPr>
        <w:t xml:space="preserve">Gillian </w:t>
      </w:r>
      <w:r w:rsidRPr="000E38FF">
        <w:rPr>
          <w:sz w:val="20"/>
          <w:szCs w:val="20"/>
        </w:rPr>
        <w:t xml:space="preserve">O’Brien, </w:t>
      </w:r>
      <w:r w:rsidR="000E38FF" w:rsidRPr="000E38FF">
        <w:rPr>
          <w:sz w:val="20"/>
          <w:szCs w:val="20"/>
        </w:rPr>
        <w:t>‘</w:t>
      </w:r>
      <w:r w:rsidR="00EE147E" w:rsidRPr="000E38FF">
        <w:rPr>
          <w:rFonts w:eastAsia="TimesNewRomanPSMT"/>
          <w:color w:val="231F20"/>
          <w:sz w:val="20"/>
          <w:szCs w:val="20"/>
          <w:lang w:val="en-IE" w:eastAsia="en-IE"/>
        </w:rPr>
        <w:t>The 1825</w:t>
      </w:r>
      <w:r w:rsidR="008658BF">
        <w:rPr>
          <w:rFonts w:eastAsia="TimesNewRomanPSMT"/>
          <w:color w:val="231F20"/>
          <w:sz w:val="20"/>
          <w:szCs w:val="20"/>
          <w:lang w:val="en-IE" w:eastAsia="en-IE"/>
        </w:rPr>
        <w:t>-</w:t>
      </w:r>
      <w:r w:rsidR="00EE147E" w:rsidRPr="000E38FF">
        <w:rPr>
          <w:rFonts w:eastAsia="TimesNewRomanPSMT"/>
          <w:color w:val="231F20"/>
          <w:sz w:val="20"/>
          <w:szCs w:val="20"/>
          <w:lang w:val="en-IE" w:eastAsia="en-IE"/>
        </w:rPr>
        <w:t xml:space="preserve">6 Commissioners of Irish Education </w:t>
      </w:r>
      <w:r w:rsidR="00152E7B">
        <w:rPr>
          <w:rFonts w:eastAsia="TimesNewRomanPSMT"/>
          <w:color w:val="231F20"/>
          <w:sz w:val="20"/>
          <w:szCs w:val="20"/>
          <w:lang w:val="en-IE" w:eastAsia="en-IE"/>
        </w:rPr>
        <w:t>R</w:t>
      </w:r>
      <w:r w:rsidR="00152E7B" w:rsidRPr="000E38FF">
        <w:rPr>
          <w:rFonts w:eastAsia="TimesNewRomanPSMT"/>
          <w:color w:val="231F20"/>
          <w:sz w:val="20"/>
          <w:szCs w:val="20"/>
          <w:lang w:val="en-IE" w:eastAsia="en-IE"/>
        </w:rPr>
        <w:t>eports</w:t>
      </w:r>
      <w:r w:rsidR="00EE147E" w:rsidRPr="000E38FF">
        <w:rPr>
          <w:rFonts w:eastAsia="TimesNewRomanPSMT"/>
          <w:color w:val="231F20"/>
          <w:sz w:val="20"/>
          <w:szCs w:val="20"/>
          <w:lang w:val="en-IE" w:eastAsia="en-IE"/>
        </w:rPr>
        <w:t xml:space="preserve">: </w:t>
      </w:r>
      <w:r w:rsidR="00F24389">
        <w:rPr>
          <w:rFonts w:eastAsia="TimesNewRomanPSMT"/>
          <w:color w:val="231F20"/>
          <w:sz w:val="20"/>
          <w:szCs w:val="20"/>
          <w:lang w:val="en-IE" w:eastAsia="en-IE"/>
        </w:rPr>
        <w:t>B</w:t>
      </w:r>
      <w:r w:rsidR="00F24389" w:rsidRPr="000E38FF">
        <w:rPr>
          <w:rFonts w:eastAsia="TimesNewRomanPSMT"/>
          <w:color w:val="231F20"/>
          <w:sz w:val="20"/>
          <w:szCs w:val="20"/>
          <w:lang w:val="en-IE" w:eastAsia="en-IE"/>
        </w:rPr>
        <w:t xml:space="preserve">ackground </w:t>
      </w:r>
      <w:r w:rsidR="00EE147E" w:rsidRPr="000E38FF">
        <w:rPr>
          <w:rFonts w:eastAsia="TimesNewRomanPSMT"/>
          <w:color w:val="231F20"/>
          <w:sz w:val="20"/>
          <w:szCs w:val="20"/>
          <w:lang w:val="en-IE" w:eastAsia="en-IE"/>
        </w:rPr>
        <w:t xml:space="preserve">and </w:t>
      </w:r>
      <w:r w:rsidR="00152E7B">
        <w:rPr>
          <w:rFonts w:eastAsia="TimesNewRomanPSMT"/>
          <w:color w:val="231F20"/>
          <w:sz w:val="20"/>
          <w:szCs w:val="20"/>
          <w:lang w:val="en-IE" w:eastAsia="en-IE"/>
        </w:rPr>
        <w:t>C</w:t>
      </w:r>
      <w:r w:rsidR="00152E7B" w:rsidRPr="000E38FF">
        <w:rPr>
          <w:rFonts w:eastAsia="TimesNewRomanPSMT"/>
          <w:color w:val="231F20"/>
          <w:sz w:val="20"/>
          <w:szCs w:val="20"/>
          <w:lang w:val="en-IE" w:eastAsia="en-IE"/>
        </w:rPr>
        <w:t>ontext’</w:t>
      </w:r>
    </w:p>
    <w:p w14:paraId="47EE25B6" w14:textId="77777777" w:rsidR="009D623C" w:rsidRPr="000E38FF" w:rsidRDefault="000E38FF" w:rsidP="000E38FF">
      <w:pPr>
        <w:autoSpaceDE w:val="0"/>
        <w:autoSpaceDN w:val="0"/>
        <w:adjustRightInd w:val="0"/>
        <w:rPr>
          <w:sz w:val="20"/>
          <w:szCs w:val="20"/>
        </w:rPr>
      </w:pPr>
      <w:r w:rsidRPr="000E38FF">
        <w:rPr>
          <w:rFonts w:eastAsia="TimesNewRomanPSMT"/>
          <w:color w:val="231F20"/>
          <w:sz w:val="20"/>
          <w:szCs w:val="20"/>
          <w:lang w:val="en-IE" w:eastAsia="en-IE"/>
        </w:rPr>
        <w:t xml:space="preserve"> in </w:t>
      </w:r>
      <w:r w:rsidRPr="000E38FF">
        <w:rPr>
          <w:rFonts w:eastAsia="TimesNewRomanPSMT"/>
          <w:i/>
          <w:color w:val="231F20"/>
          <w:sz w:val="20"/>
          <w:szCs w:val="20"/>
          <w:lang w:val="en-IE" w:eastAsia="en-IE"/>
        </w:rPr>
        <w:t xml:space="preserve">Irish Primary Education </w:t>
      </w:r>
      <w:r w:rsidR="00D2773F" w:rsidRPr="00D2773F">
        <w:rPr>
          <w:rFonts w:eastAsia="TimesNewRomanPSMT"/>
          <w:i/>
          <w:sz w:val="20"/>
          <w:szCs w:val="20"/>
          <w:lang w:val="en-IE" w:eastAsia="en-IE"/>
        </w:rPr>
        <w:t>in the Early Nineteenth Century</w:t>
      </w:r>
      <w:r w:rsidRPr="000E38FF">
        <w:rPr>
          <w:rFonts w:eastAsia="TimesNewRomanPSMT"/>
          <w:sz w:val="20"/>
          <w:szCs w:val="20"/>
          <w:lang w:val="en-IE" w:eastAsia="en-IE"/>
        </w:rPr>
        <w:t xml:space="preserve">, </w:t>
      </w:r>
      <w:r w:rsidR="00152E7B">
        <w:rPr>
          <w:rFonts w:eastAsia="TimesNewRomanPSMT"/>
          <w:sz w:val="20"/>
          <w:szCs w:val="20"/>
          <w:lang w:val="en-IE" w:eastAsia="en-IE"/>
        </w:rPr>
        <w:t>ed. Garret Fitzgerald (</w:t>
      </w:r>
      <w:r w:rsidRPr="000E38FF">
        <w:rPr>
          <w:rFonts w:eastAsia="TimesNewRomanPSMT"/>
          <w:sz w:val="20"/>
          <w:szCs w:val="20"/>
          <w:lang w:val="en-IE" w:eastAsia="en-IE"/>
        </w:rPr>
        <w:t>Dublin: Royal Irish Academy, 2013</w:t>
      </w:r>
      <w:r w:rsidR="00152E7B">
        <w:rPr>
          <w:rFonts w:eastAsia="TimesNewRomanPSMT"/>
          <w:sz w:val="20"/>
          <w:szCs w:val="20"/>
          <w:lang w:val="en-IE" w:eastAsia="en-IE"/>
        </w:rPr>
        <w:t>)</w:t>
      </w:r>
      <w:r w:rsidRPr="000E38FF">
        <w:rPr>
          <w:rFonts w:eastAsia="TimesNewRomanPSMT"/>
          <w:sz w:val="20"/>
          <w:szCs w:val="20"/>
          <w:lang w:val="en-IE" w:eastAsia="en-IE"/>
        </w:rPr>
        <w:t>, 2.</w:t>
      </w:r>
    </w:p>
  </w:footnote>
  <w:footnote w:id="3">
    <w:p w14:paraId="16298BDD" w14:textId="77777777" w:rsidR="009D623C" w:rsidRPr="000E38FF" w:rsidRDefault="009D623C" w:rsidP="009D623C">
      <w:pPr>
        <w:autoSpaceDE w:val="0"/>
        <w:autoSpaceDN w:val="0"/>
        <w:adjustRightInd w:val="0"/>
        <w:rPr>
          <w:i/>
          <w:iCs/>
          <w:color w:val="292526"/>
          <w:sz w:val="20"/>
          <w:szCs w:val="20"/>
        </w:rPr>
      </w:pPr>
      <w:r w:rsidRPr="000E38FF">
        <w:rPr>
          <w:rStyle w:val="FootnoteReference"/>
          <w:sz w:val="20"/>
          <w:szCs w:val="20"/>
        </w:rPr>
        <w:footnoteRef/>
      </w:r>
      <w:r w:rsidRPr="000E38FF">
        <w:rPr>
          <w:sz w:val="20"/>
          <w:szCs w:val="20"/>
        </w:rPr>
        <w:t xml:space="preserve"> </w:t>
      </w:r>
      <w:r w:rsidRPr="000E38FF">
        <w:rPr>
          <w:color w:val="292526"/>
          <w:sz w:val="20"/>
          <w:szCs w:val="20"/>
        </w:rPr>
        <w:t>D</w:t>
      </w:r>
      <w:r w:rsidR="000E38FF" w:rsidRPr="000E38FF">
        <w:rPr>
          <w:color w:val="292526"/>
          <w:sz w:val="20"/>
          <w:szCs w:val="20"/>
        </w:rPr>
        <w:t>onald</w:t>
      </w:r>
      <w:r w:rsidRPr="000E38FF">
        <w:rPr>
          <w:color w:val="292526"/>
          <w:sz w:val="20"/>
          <w:szCs w:val="20"/>
        </w:rPr>
        <w:t xml:space="preserve"> Akenson, </w:t>
      </w:r>
      <w:r w:rsidRPr="000E38FF">
        <w:rPr>
          <w:i/>
          <w:iCs/>
          <w:color w:val="292526"/>
          <w:sz w:val="20"/>
          <w:szCs w:val="20"/>
        </w:rPr>
        <w:t>The Irish Education Experiment: The National System of Education in the</w:t>
      </w:r>
    </w:p>
    <w:p w14:paraId="52E76178" w14:textId="77777777" w:rsidR="009D623C" w:rsidRPr="000E38FF" w:rsidRDefault="009D623C" w:rsidP="009D623C">
      <w:pPr>
        <w:autoSpaceDE w:val="0"/>
        <w:autoSpaceDN w:val="0"/>
        <w:adjustRightInd w:val="0"/>
        <w:rPr>
          <w:i/>
          <w:iCs/>
          <w:color w:val="292526"/>
          <w:sz w:val="20"/>
          <w:szCs w:val="20"/>
        </w:rPr>
      </w:pPr>
      <w:r w:rsidRPr="000E38FF">
        <w:rPr>
          <w:i/>
          <w:iCs/>
          <w:color w:val="292526"/>
          <w:sz w:val="20"/>
          <w:szCs w:val="20"/>
        </w:rPr>
        <w:t xml:space="preserve">Nineteenth Century </w:t>
      </w:r>
      <w:r w:rsidRPr="000E38FF">
        <w:rPr>
          <w:color w:val="292526"/>
          <w:sz w:val="20"/>
          <w:szCs w:val="20"/>
        </w:rPr>
        <w:t>(London: Routledge and Kegan Paul, 1970); N</w:t>
      </w:r>
      <w:r w:rsidR="000E38FF" w:rsidRPr="000E38FF">
        <w:rPr>
          <w:color w:val="292526"/>
          <w:sz w:val="20"/>
          <w:szCs w:val="20"/>
        </w:rPr>
        <w:t>orman</w:t>
      </w:r>
      <w:r w:rsidRPr="000E38FF">
        <w:rPr>
          <w:color w:val="292526"/>
          <w:sz w:val="20"/>
          <w:szCs w:val="20"/>
        </w:rPr>
        <w:t xml:space="preserve"> Atkinson, </w:t>
      </w:r>
      <w:r w:rsidRPr="000E38FF">
        <w:rPr>
          <w:i/>
          <w:iCs/>
          <w:color w:val="292526"/>
          <w:sz w:val="20"/>
          <w:szCs w:val="20"/>
        </w:rPr>
        <w:t>Irish</w:t>
      </w:r>
    </w:p>
    <w:p w14:paraId="11931DAD" w14:textId="77777777" w:rsidR="009D623C" w:rsidRPr="000E38FF" w:rsidRDefault="009D623C" w:rsidP="009D623C">
      <w:pPr>
        <w:autoSpaceDE w:val="0"/>
        <w:autoSpaceDN w:val="0"/>
        <w:adjustRightInd w:val="0"/>
        <w:rPr>
          <w:color w:val="292526"/>
          <w:sz w:val="20"/>
          <w:szCs w:val="20"/>
        </w:rPr>
      </w:pPr>
      <w:r w:rsidRPr="000E38FF">
        <w:rPr>
          <w:i/>
          <w:iCs/>
          <w:color w:val="292526"/>
          <w:sz w:val="20"/>
          <w:szCs w:val="20"/>
        </w:rPr>
        <w:t xml:space="preserve">Education: A History of Educational Institutions </w:t>
      </w:r>
      <w:r w:rsidRPr="000E38FF">
        <w:rPr>
          <w:color w:val="292526"/>
          <w:sz w:val="20"/>
          <w:szCs w:val="20"/>
        </w:rPr>
        <w:t xml:space="preserve">(Dublin: Allen Figgis, 1969); </w:t>
      </w:r>
      <w:r w:rsidR="000E38FF" w:rsidRPr="000E38FF">
        <w:rPr>
          <w:color w:val="292526"/>
          <w:sz w:val="20"/>
          <w:szCs w:val="20"/>
        </w:rPr>
        <w:t xml:space="preserve">John </w:t>
      </w:r>
      <w:proofErr w:type="spellStart"/>
      <w:r w:rsidRPr="000E38FF">
        <w:rPr>
          <w:color w:val="292526"/>
          <w:sz w:val="20"/>
          <w:szCs w:val="20"/>
        </w:rPr>
        <w:t>Coolahan</w:t>
      </w:r>
      <w:proofErr w:type="spellEnd"/>
      <w:r w:rsidRPr="000E38FF">
        <w:rPr>
          <w:color w:val="292526"/>
          <w:sz w:val="20"/>
          <w:szCs w:val="20"/>
        </w:rPr>
        <w:t>,</w:t>
      </w:r>
    </w:p>
    <w:p w14:paraId="53E62A99" w14:textId="77777777" w:rsidR="009D623C" w:rsidRPr="000E38FF" w:rsidRDefault="009D623C" w:rsidP="009D623C">
      <w:pPr>
        <w:pStyle w:val="FootnoteText"/>
      </w:pPr>
      <w:r w:rsidRPr="000E38FF">
        <w:rPr>
          <w:i/>
          <w:iCs/>
          <w:color w:val="292526"/>
        </w:rPr>
        <w:t>Irish Education</w:t>
      </w:r>
      <w:r w:rsidR="008658BF">
        <w:rPr>
          <w:i/>
          <w:iCs/>
          <w:color w:val="292526"/>
        </w:rPr>
        <w:t>:</w:t>
      </w:r>
      <w:r w:rsidR="008658BF" w:rsidRPr="000E38FF">
        <w:rPr>
          <w:i/>
          <w:iCs/>
          <w:color w:val="292526"/>
        </w:rPr>
        <w:t xml:space="preserve"> </w:t>
      </w:r>
      <w:r w:rsidR="000E38FF" w:rsidRPr="000E38FF">
        <w:rPr>
          <w:i/>
          <w:iCs/>
          <w:color w:val="292526"/>
        </w:rPr>
        <w:t xml:space="preserve">Its History and Structure </w:t>
      </w:r>
      <w:r w:rsidR="000E38FF" w:rsidRPr="000E38FF">
        <w:rPr>
          <w:iCs/>
          <w:color w:val="292526"/>
        </w:rPr>
        <w:t>(Dublin: Institute of Public Administration).</w:t>
      </w:r>
      <w:r w:rsidR="000E38FF" w:rsidRPr="000E38FF">
        <w:rPr>
          <w:i/>
          <w:iCs/>
          <w:color w:val="292526"/>
        </w:rPr>
        <w:t xml:space="preserve"> </w:t>
      </w:r>
    </w:p>
  </w:footnote>
  <w:footnote w:id="4">
    <w:p w14:paraId="3FFD04A0" w14:textId="77777777" w:rsidR="009D623C" w:rsidRPr="000E38FF" w:rsidRDefault="009D623C" w:rsidP="009D623C">
      <w:pPr>
        <w:pStyle w:val="FootnoteText"/>
      </w:pPr>
      <w:r w:rsidRPr="000E38FF">
        <w:rPr>
          <w:rStyle w:val="FootnoteReference"/>
        </w:rPr>
        <w:footnoteRef/>
      </w:r>
      <w:r w:rsidRPr="000E38FF">
        <w:t xml:space="preserve"> </w:t>
      </w:r>
      <w:r w:rsidRPr="000E38FF">
        <w:rPr>
          <w:color w:val="292526"/>
        </w:rPr>
        <w:t xml:space="preserve">R.F. Foster, </w:t>
      </w:r>
      <w:r w:rsidRPr="000E38FF">
        <w:rPr>
          <w:i/>
          <w:iCs/>
          <w:color w:val="292526"/>
        </w:rPr>
        <w:t xml:space="preserve">Modern Ireland, 1600–1972 </w:t>
      </w:r>
      <w:r w:rsidRPr="000E38FF">
        <w:rPr>
          <w:color w:val="292526"/>
        </w:rPr>
        <w:t>(London: Allen Lane Penguin Press, 1988).</w:t>
      </w:r>
    </w:p>
  </w:footnote>
  <w:footnote w:id="5">
    <w:p w14:paraId="68A74E2E" w14:textId="77777777" w:rsidR="00EE147E" w:rsidRPr="000E38FF" w:rsidRDefault="00EE147E" w:rsidP="00EE147E">
      <w:pPr>
        <w:autoSpaceDE w:val="0"/>
        <w:autoSpaceDN w:val="0"/>
        <w:adjustRightInd w:val="0"/>
        <w:rPr>
          <w:sz w:val="20"/>
          <w:szCs w:val="20"/>
        </w:rPr>
      </w:pPr>
      <w:r w:rsidRPr="000E38FF">
        <w:rPr>
          <w:rStyle w:val="FootnoteReference"/>
          <w:sz w:val="20"/>
          <w:szCs w:val="20"/>
        </w:rPr>
        <w:footnoteRef/>
      </w:r>
      <w:r w:rsidRPr="000E38FF">
        <w:rPr>
          <w:sz w:val="20"/>
          <w:szCs w:val="20"/>
        </w:rPr>
        <w:t xml:space="preserve"> Judith Harford, ‘The </w:t>
      </w:r>
      <w:r w:rsidR="00152E7B">
        <w:rPr>
          <w:sz w:val="20"/>
          <w:szCs w:val="20"/>
        </w:rPr>
        <w:t>E</w:t>
      </w:r>
      <w:r w:rsidR="00152E7B" w:rsidRPr="000E38FF">
        <w:rPr>
          <w:sz w:val="20"/>
          <w:szCs w:val="20"/>
        </w:rPr>
        <w:t xml:space="preserve">mergence </w:t>
      </w:r>
      <w:r w:rsidRPr="000E38FF">
        <w:rPr>
          <w:sz w:val="20"/>
          <w:szCs w:val="20"/>
        </w:rPr>
        <w:t xml:space="preserve">of a </w:t>
      </w:r>
      <w:r w:rsidR="00152E7B">
        <w:rPr>
          <w:sz w:val="20"/>
          <w:szCs w:val="20"/>
        </w:rPr>
        <w:t>N</w:t>
      </w:r>
      <w:r w:rsidR="00152E7B" w:rsidRPr="000E38FF">
        <w:rPr>
          <w:sz w:val="20"/>
          <w:szCs w:val="20"/>
        </w:rPr>
        <w:t xml:space="preserve">ational </w:t>
      </w:r>
      <w:r w:rsidR="00152E7B">
        <w:rPr>
          <w:sz w:val="20"/>
          <w:szCs w:val="20"/>
        </w:rPr>
        <w:t>P</w:t>
      </w:r>
      <w:r w:rsidR="00152E7B" w:rsidRPr="000E38FF">
        <w:rPr>
          <w:sz w:val="20"/>
          <w:szCs w:val="20"/>
        </w:rPr>
        <w:t xml:space="preserve">olicy </w:t>
      </w:r>
      <w:r w:rsidRPr="000E38FF">
        <w:rPr>
          <w:sz w:val="20"/>
          <w:szCs w:val="20"/>
        </w:rPr>
        <w:t xml:space="preserve">on </w:t>
      </w:r>
      <w:r w:rsidR="00152E7B">
        <w:rPr>
          <w:sz w:val="20"/>
          <w:szCs w:val="20"/>
        </w:rPr>
        <w:t>T</w:t>
      </w:r>
      <w:r w:rsidR="00152E7B" w:rsidRPr="000E38FF">
        <w:rPr>
          <w:sz w:val="20"/>
          <w:szCs w:val="20"/>
        </w:rPr>
        <w:t>eacher</w:t>
      </w:r>
    </w:p>
    <w:p w14:paraId="756F35AA" w14:textId="77777777" w:rsidR="00EE147E" w:rsidRDefault="00152E7B" w:rsidP="00EE147E">
      <w:pPr>
        <w:pStyle w:val="FootnoteText"/>
      </w:pPr>
      <w:r>
        <w:t>E</w:t>
      </w:r>
      <w:r w:rsidRPr="000E38FF">
        <w:t xml:space="preserve">ducation </w:t>
      </w:r>
      <w:r w:rsidR="00EE147E" w:rsidRPr="000E38FF">
        <w:t>in Ireland</w:t>
      </w:r>
      <w:r>
        <w:t>’</w:t>
      </w:r>
      <w:r w:rsidR="00EE147E" w:rsidRPr="000E38FF">
        <w:t xml:space="preserve">, </w:t>
      </w:r>
      <w:r w:rsidR="00EE147E" w:rsidRPr="000E38FF">
        <w:rPr>
          <w:i/>
        </w:rPr>
        <w:t>Journal of Educational Administration and History</w:t>
      </w:r>
      <w:r w:rsidR="00EE147E" w:rsidRPr="000E38FF">
        <w:t>, 41</w:t>
      </w:r>
      <w:r>
        <w:t xml:space="preserve">, no. </w:t>
      </w:r>
      <w:r w:rsidR="00EE147E" w:rsidRPr="000E38FF">
        <w:t>1</w:t>
      </w:r>
      <w:r w:rsidR="003B5F93">
        <w:t xml:space="preserve"> </w:t>
      </w:r>
      <w:r>
        <w:t>(</w:t>
      </w:r>
      <w:r w:rsidR="00EE147E" w:rsidRPr="000E38FF">
        <w:t>2009</w:t>
      </w:r>
      <w:r>
        <w:t>):</w:t>
      </w:r>
      <w:r w:rsidRPr="000E38FF">
        <w:t xml:space="preserve"> </w:t>
      </w:r>
      <w:r w:rsidR="00EE147E" w:rsidRPr="000E38FF">
        <w:t>45</w:t>
      </w:r>
      <w:r>
        <w:t>–</w:t>
      </w:r>
      <w:r w:rsidR="00EE147E" w:rsidRPr="000E38FF">
        <w:t>56.</w:t>
      </w:r>
    </w:p>
  </w:footnote>
  <w:footnote w:id="6">
    <w:p w14:paraId="466ABDBB" w14:textId="77777777" w:rsidR="009D623C" w:rsidRPr="007B5CD9" w:rsidRDefault="009D623C" w:rsidP="009D623C">
      <w:pPr>
        <w:pStyle w:val="FootnoteText"/>
      </w:pPr>
      <w:r>
        <w:rPr>
          <w:rStyle w:val="FootnoteReference"/>
        </w:rPr>
        <w:footnoteRef/>
      </w:r>
      <w:r>
        <w:t xml:space="preserve"> </w:t>
      </w:r>
      <w:proofErr w:type="spellStart"/>
      <w:r w:rsidRPr="007B5CD9">
        <w:rPr>
          <w:rFonts w:ascii="TimesNewRomanPS" w:hAnsi="TimesNewRomanPS" w:cs="TimesNewRomanPS"/>
          <w:color w:val="292526"/>
        </w:rPr>
        <w:t>Coolahan</w:t>
      </w:r>
      <w:proofErr w:type="spellEnd"/>
      <w:r w:rsidRPr="007B5CD9">
        <w:rPr>
          <w:rFonts w:ascii="TimesNewRomanPS" w:hAnsi="TimesNewRomanPS" w:cs="TimesNewRomanPS"/>
          <w:color w:val="292526"/>
        </w:rPr>
        <w:t xml:space="preserve">, </w:t>
      </w:r>
      <w:r w:rsidRPr="007B5CD9">
        <w:rPr>
          <w:rFonts w:ascii="TimesNewRomanPS-Italic" w:hAnsi="TimesNewRomanPS-Italic" w:cs="TimesNewRomanPS-Italic"/>
          <w:i/>
          <w:iCs/>
          <w:color w:val="292526"/>
        </w:rPr>
        <w:t>Irish Education</w:t>
      </w:r>
      <w:r w:rsidRPr="007B5CD9">
        <w:rPr>
          <w:rFonts w:ascii="TimesNewRomanPS" w:hAnsi="TimesNewRomanPS" w:cs="TimesNewRomanPS"/>
          <w:color w:val="292526"/>
        </w:rPr>
        <w:t xml:space="preserve">; Akenson, </w:t>
      </w:r>
      <w:r w:rsidRPr="007B5CD9">
        <w:rPr>
          <w:rFonts w:ascii="TimesNewRomanPS-Italic" w:hAnsi="TimesNewRomanPS-Italic" w:cs="TimesNewRomanPS-Italic"/>
          <w:i/>
          <w:iCs/>
          <w:color w:val="292526"/>
        </w:rPr>
        <w:t>Irish Education Experiment</w:t>
      </w:r>
      <w:r w:rsidRPr="007B5CD9">
        <w:rPr>
          <w:rFonts w:ascii="TimesNewRomanPS" w:hAnsi="TimesNewRomanPS" w:cs="TimesNewRomanPS"/>
          <w:color w:val="292526"/>
        </w:rPr>
        <w:t>.</w:t>
      </w:r>
    </w:p>
  </w:footnote>
  <w:footnote w:id="7">
    <w:p w14:paraId="07FD9C42" w14:textId="77777777" w:rsidR="003B5F93" w:rsidRPr="003B5F93" w:rsidRDefault="003B5F93">
      <w:pPr>
        <w:pStyle w:val="FootnoteText"/>
        <w:rPr>
          <w:lang w:val="en-IE"/>
        </w:rPr>
      </w:pPr>
      <w:r>
        <w:rPr>
          <w:rStyle w:val="FootnoteReference"/>
        </w:rPr>
        <w:footnoteRef/>
      </w:r>
      <w:r>
        <w:t xml:space="preserve"> </w:t>
      </w:r>
      <w:r>
        <w:rPr>
          <w:lang w:val="en-IE"/>
        </w:rPr>
        <w:t xml:space="preserve">Judith Harford, </w:t>
      </w:r>
      <w:r w:rsidRPr="003B5F93">
        <w:rPr>
          <w:i/>
          <w:lang w:val="en-IE"/>
        </w:rPr>
        <w:t>The Opening of University Education to Women in Ireland</w:t>
      </w:r>
      <w:r>
        <w:rPr>
          <w:lang w:val="en-IE"/>
        </w:rPr>
        <w:t xml:space="preserve"> (Dublin and Portland, OR: Irish Academic Press, 2008).</w:t>
      </w:r>
    </w:p>
  </w:footnote>
  <w:footnote w:id="8">
    <w:p w14:paraId="276043FB" w14:textId="77777777" w:rsidR="00E80ADD" w:rsidRPr="00E80ADD" w:rsidRDefault="00E80ADD" w:rsidP="00E80ADD">
      <w:pPr>
        <w:autoSpaceDE w:val="0"/>
        <w:autoSpaceDN w:val="0"/>
        <w:adjustRightInd w:val="0"/>
        <w:rPr>
          <w:rFonts w:eastAsia="TimesNewRomanPS-ItalicMT"/>
          <w:i/>
          <w:iCs/>
          <w:color w:val="231F20"/>
          <w:lang w:val="en-IE" w:eastAsia="en-IE"/>
        </w:rPr>
      </w:pPr>
      <w:r w:rsidRPr="007B5CD9">
        <w:rPr>
          <w:rStyle w:val="FootnoteReference"/>
          <w:sz w:val="20"/>
          <w:szCs w:val="20"/>
        </w:rPr>
        <w:footnoteRef/>
      </w:r>
      <w:r w:rsidRPr="007B5CD9">
        <w:rPr>
          <w:sz w:val="20"/>
          <w:szCs w:val="20"/>
        </w:rPr>
        <w:t xml:space="preserve"> </w:t>
      </w:r>
      <w:r w:rsidRPr="007B5CD9">
        <w:rPr>
          <w:rFonts w:eastAsia="TimesNewRomanPSMT"/>
          <w:color w:val="231F20"/>
          <w:sz w:val="20"/>
          <w:szCs w:val="20"/>
          <w:lang w:val="en-IE" w:eastAsia="en-IE"/>
        </w:rPr>
        <w:t xml:space="preserve">The Penal Laws aimed to restrict the status of Catholics and ensure the hegemony of the Church of Ireland. Educational exclusion was a key focus of the Laws, particularly  </w:t>
      </w:r>
      <w:r w:rsidRPr="007B5CD9">
        <w:rPr>
          <w:rFonts w:eastAsia="TimesNewRomanPS-ItalicMT"/>
          <w:i/>
          <w:iCs/>
          <w:color w:val="231F20"/>
          <w:sz w:val="20"/>
          <w:szCs w:val="20"/>
          <w:lang w:val="en-IE" w:eastAsia="en-IE"/>
        </w:rPr>
        <w:t xml:space="preserve">An Act to restrain foreign education </w:t>
      </w:r>
      <w:r w:rsidRPr="007B5CD9">
        <w:rPr>
          <w:rFonts w:eastAsia="TimesNewRomanPSMT"/>
          <w:color w:val="231F20"/>
          <w:sz w:val="20"/>
          <w:szCs w:val="20"/>
          <w:lang w:val="en-IE" w:eastAsia="en-IE"/>
        </w:rPr>
        <w:t xml:space="preserve">(1695), </w:t>
      </w:r>
      <w:r w:rsidRPr="007B5CD9">
        <w:rPr>
          <w:rFonts w:eastAsia="TimesNewRomanPS-ItalicMT"/>
          <w:i/>
          <w:iCs/>
          <w:color w:val="231F20"/>
          <w:sz w:val="20"/>
          <w:szCs w:val="20"/>
          <w:lang w:val="en-IE" w:eastAsia="en-IE"/>
        </w:rPr>
        <w:t xml:space="preserve">An Act to prevent the further growth of popery </w:t>
      </w:r>
      <w:r w:rsidRPr="007B5CD9">
        <w:rPr>
          <w:rFonts w:eastAsia="TimesNewRomanPSMT"/>
          <w:color w:val="231F20"/>
          <w:sz w:val="20"/>
          <w:szCs w:val="20"/>
          <w:lang w:val="en-IE" w:eastAsia="en-IE"/>
        </w:rPr>
        <w:t>(1704),</w:t>
      </w:r>
      <w:r w:rsidRPr="007B5CD9">
        <w:rPr>
          <w:rFonts w:eastAsia="TimesNewRomanPS-ItalicMT"/>
          <w:i/>
          <w:iCs/>
          <w:color w:val="231F20"/>
          <w:sz w:val="20"/>
          <w:szCs w:val="20"/>
          <w:lang w:val="en-IE" w:eastAsia="en-IE"/>
        </w:rPr>
        <w:t xml:space="preserve"> </w:t>
      </w:r>
      <w:r w:rsidRPr="007B5CD9">
        <w:rPr>
          <w:rFonts w:eastAsia="TimesNewRomanPSMT"/>
          <w:color w:val="231F20"/>
          <w:sz w:val="20"/>
          <w:szCs w:val="20"/>
          <w:lang w:val="en-IE" w:eastAsia="en-IE"/>
        </w:rPr>
        <w:t xml:space="preserve">and </w:t>
      </w:r>
      <w:r w:rsidRPr="007B5CD9">
        <w:rPr>
          <w:rFonts w:eastAsia="TimesNewRomanPS-ItalicMT"/>
          <w:i/>
          <w:iCs/>
          <w:color w:val="231F20"/>
          <w:sz w:val="20"/>
          <w:szCs w:val="20"/>
          <w:lang w:val="en-IE" w:eastAsia="en-IE"/>
        </w:rPr>
        <w:t xml:space="preserve">An Act for explaining and amending an act entitled ‘An Act to prevent the further growth of popery’ </w:t>
      </w:r>
      <w:r w:rsidRPr="007B5CD9">
        <w:rPr>
          <w:rFonts w:eastAsia="TimesNewRomanPSMT"/>
          <w:color w:val="231F20"/>
          <w:sz w:val="20"/>
          <w:szCs w:val="20"/>
          <w:lang w:val="en-IE" w:eastAsia="en-IE"/>
        </w:rPr>
        <w:t>(1709).</w:t>
      </w:r>
    </w:p>
  </w:footnote>
  <w:footnote w:id="9">
    <w:p w14:paraId="331CA9E9" w14:textId="77777777" w:rsidR="00C25803" w:rsidRPr="00C25803" w:rsidRDefault="00C25803">
      <w:pPr>
        <w:pStyle w:val="FootnoteText"/>
        <w:rPr>
          <w:lang w:val="en-IE"/>
        </w:rPr>
      </w:pPr>
      <w:r>
        <w:rPr>
          <w:rStyle w:val="FootnoteReference"/>
        </w:rPr>
        <w:footnoteRef/>
      </w:r>
      <w:r>
        <w:t xml:space="preserve"> </w:t>
      </w:r>
      <w:r w:rsidRPr="00C25803">
        <w:rPr>
          <w:i/>
          <w:lang w:val="en-IE"/>
        </w:rPr>
        <w:t>Eighth Report of the Society for Promoting the Education of the Poor of Ireland</w:t>
      </w:r>
      <w:r>
        <w:rPr>
          <w:lang w:val="en-IE"/>
        </w:rPr>
        <w:t>, 1820. Appendix No. VI, p. 60.</w:t>
      </w:r>
    </w:p>
  </w:footnote>
  <w:footnote w:id="10">
    <w:p w14:paraId="6DAF0C2F" w14:textId="77777777" w:rsidR="00B825F2" w:rsidRPr="00574541" w:rsidRDefault="00B825F2">
      <w:pPr>
        <w:pStyle w:val="FootnoteText"/>
        <w:rPr>
          <w:lang w:val="en-IE"/>
        </w:rPr>
      </w:pPr>
      <w:r>
        <w:rPr>
          <w:rStyle w:val="FootnoteReference"/>
        </w:rPr>
        <w:footnoteRef/>
      </w:r>
      <w:r>
        <w:t xml:space="preserve"> </w:t>
      </w:r>
      <w:r w:rsidRPr="00574541">
        <w:rPr>
          <w:i/>
          <w:lang w:val="en-IE"/>
        </w:rPr>
        <w:t>Ibid</w:t>
      </w:r>
      <w:r>
        <w:rPr>
          <w:lang w:val="en-IE"/>
        </w:rPr>
        <w:t>.</w:t>
      </w:r>
    </w:p>
  </w:footnote>
  <w:footnote w:id="11">
    <w:p w14:paraId="6F735E48" w14:textId="77777777" w:rsidR="000F3723" w:rsidRPr="000F3723" w:rsidRDefault="000F3723">
      <w:pPr>
        <w:pStyle w:val="FootnoteText"/>
        <w:rPr>
          <w:lang w:val="en-IE"/>
        </w:rPr>
      </w:pPr>
      <w:r>
        <w:rPr>
          <w:rStyle w:val="FootnoteReference"/>
        </w:rPr>
        <w:footnoteRef/>
      </w:r>
      <w:r>
        <w:t xml:space="preserve"> </w:t>
      </w:r>
      <w:r>
        <w:rPr>
          <w:lang w:val="en-IE"/>
        </w:rPr>
        <w:t xml:space="preserve">These included the 1791 and 1806 Commissions of Inquiry into Education. </w:t>
      </w:r>
    </w:p>
  </w:footnote>
  <w:footnote w:id="12">
    <w:p w14:paraId="37F4F00F" w14:textId="77777777" w:rsidR="000F3723" w:rsidRDefault="000F3723" w:rsidP="000F3723">
      <w:pPr>
        <w:pStyle w:val="FootnoteText"/>
        <w:jc w:val="both"/>
        <w:rPr>
          <w:lang w:val="en-IE"/>
        </w:rPr>
      </w:pPr>
      <w:r>
        <w:rPr>
          <w:rStyle w:val="FootnoteReference"/>
        </w:rPr>
        <w:footnoteRef/>
      </w:r>
      <w:r>
        <w:t xml:space="preserve"> </w:t>
      </w:r>
      <w:r>
        <w:rPr>
          <w:lang w:val="en-IE"/>
        </w:rPr>
        <w:t xml:space="preserve">HC </w:t>
      </w:r>
      <w:r>
        <w:rPr>
          <w:i/>
          <w:lang w:val="en-IE"/>
        </w:rPr>
        <w:t xml:space="preserve">The Fourteenth Report of the Commissioners of the Board of Education in </w:t>
      </w:r>
      <w:smartTag w:uri="urn:schemas-microsoft-com:office:smarttags" w:element="place">
        <w:smartTag w:uri="urn:schemas-microsoft-com:office:smarttags" w:element="country-region">
          <w:r>
            <w:rPr>
              <w:i/>
              <w:lang w:val="en-IE"/>
            </w:rPr>
            <w:t>Ireland</w:t>
          </w:r>
        </w:smartTag>
      </w:smartTag>
      <w:r>
        <w:rPr>
          <w:lang w:val="en-IE"/>
        </w:rPr>
        <w:t xml:space="preserve">, HC, PP Session 1821, vol. xi (143), p. 5, originally printed in 1812/13.  The children of the more well-to-do families were invariably educated abroad or in </w:t>
      </w:r>
      <w:smartTag w:uri="urn:schemas-microsoft-com:office:smarttags" w:element="country-region">
        <w:smartTag w:uri="urn:schemas-microsoft-com:office:smarttags" w:element="place">
          <w:r>
            <w:rPr>
              <w:lang w:val="en-IE"/>
            </w:rPr>
            <w:t>Ireland</w:t>
          </w:r>
        </w:smartTag>
      </w:smartTag>
      <w:r>
        <w:rPr>
          <w:lang w:val="en-IE"/>
        </w:rPr>
        <w:t>, by way of home tuition or local private schools.</w:t>
      </w:r>
    </w:p>
  </w:footnote>
  <w:footnote w:id="13">
    <w:p w14:paraId="4AAA4BB0" w14:textId="77777777" w:rsidR="000F3723" w:rsidRDefault="000F3723" w:rsidP="000F3723">
      <w:pPr>
        <w:pStyle w:val="FootnoteText"/>
        <w:jc w:val="both"/>
        <w:rPr>
          <w:lang w:val="en-IE"/>
        </w:rPr>
      </w:pPr>
      <w:r>
        <w:rPr>
          <w:rStyle w:val="FootnoteReference"/>
        </w:rPr>
        <w:footnoteRef/>
      </w:r>
      <w:r>
        <w:t xml:space="preserve"> </w:t>
      </w:r>
      <w:r>
        <w:rPr>
          <w:lang w:val="en-IE"/>
        </w:rPr>
        <w:t>Ibid.</w:t>
      </w:r>
    </w:p>
  </w:footnote>
  <w:footnote w:id="14">
    <w:p w14:paraId="0226696C" w14:textId="77777777" w:rsidR="00B276F7" w:rsidRPr="00EA1315" w:rsidRDefault="00B276F7">
      <w:pPr>
        <w:pStyle w:val="FootnoteText"/>
        <w:rPr>
          <w:lang w:val="en-IE"/>
        </w:rPr>
      </w:pPr>
      <w:r w:rsidRPr="00EA1315">
        <w:rPr>
          <w:rStyle w:val="FootnoteReference"/>
        </w:rPr>
        <w:footnoteRef/>
      </w:r>
      <w:r w:rsidRPr="00EA1315">
        <w:t xml:space="preserve"> </w:t>
      </w:r>
      <w:r w:rsidR="003B5F93" w:rsidRPr="00EA1315">
        <w:t xml:space="preserve">T. </w:t>
      </w:r>
      <w:r w:rsidRPr="00EA1315">
        <w:rPr>
          <w:lang w:val="en-IE"/>
        </w:rPr>
        <w:t xml:space="preserve">O </w:t>
      </w:r>
      <w:proofErr w:type="spellStart"/>
      <w:r w:rsidRPr="00EA1315">
        <w:rPr>
          <w:lang w:val="en-IE"/>
        </w:rPr>
        <w:t>Raifeartaigh</w:t>
      </w:r>
      <w:proofErr w:type="spellEnd"/>
      <w:r w:rsidRPr="00EA1315">
        <w:rPr>
          <w:lang w:val="en-IE"/>
        </w:rPr>
        <w:t>, ‘The State’s Administration of Education’. Unpublished paper read to the Discussion Group of the Association of Higher Civil Servants, December 1954.</w:t>
      </w:r>
    </w:p>
  </w:footnote>
  <w:footnote w:id="15">
    <w:p w14:paraId="16A6F67B" w14:textId="77777777" w:rsidR="00394E77" w:rsidRPr="00EA1315" w:rsidRDefault="00394E77">
      <w:pPr>
        <w:pStyle w:val="FootnoteText"/>
        <w:rPr>
          <w:lang w:val="en-IE"/>
        </w:rPr>
      </w:pPr>
      <w:r w:rsidRPr="00EA1315">
        <w:rPr>
          <w:rStyle w:val="FootnoteReference"/>
        </w:rPr>
        <w:footnoteRef/>
      </w:r>
      <w:r w:rsidRPr="00EA1315">
        <w:t xml:space="preserve"> </w:t>
      </w:r>
      <w:r w:rsidRPr="00EA1315">
        <w:rPr>
          <w:lang w:val="en-IE"/>
        </w:rPr>
        <w:t xml:space="preserve">John </w:t>
      </w:r>
      <w:proofErr w:type="spellStart"/>
      <w:r w:rsidRPr="00EA1315">
        <w:rPr>
          <w:lang w:val="en-IE"/>
        </w:rPr>
        <w:t>Coolahan</w:t>
      </w:r>
      <w:proofErr w:type="spellEnd"/>
      <w:r w:rsidRPr="00EA1315">
        <w:rPr>
          <w:lang w:val="en-IE"/>
        </w:rPr>
        <w:t xml:space="preserve">, </w:t>
      </w:r>
      <w:r w:rsidR="0087685C">
        <w:rPr>
          <w:lang w:val="en-IE"/>
        </w:rPr>
        <w:t>‘</w:t>
      </w:r>
      <w:r w:rsidRPr="00EA1315">
        <w:rPr>
          <w:lang w:val="en-IE"/>
        </w:rPr>
        <w:t>Primary education as a political issue in O’ Connell’s time</w:t>
      </w:r>
      <w:r w:rsidR="0087685C">
        <w:rPr>
          <w:lang w:val="en-IE"/>
        </w:rPr>
        <w:t>’,</w:t>
      </w:r>
      <w:r w:rsidRPr="00EA1315">
        <w:rPr>
          <w:lang w:val="en-IE"/>
        </w:rPr>
        <w:t xml:space="preserve"> in </w:t>
      </w:r>
      <w:r w:rsidRPr="00EA1315">
        <w:rPr>
          <w:i/>
          <w:lang w:val="en-IE"/>
        </w:rPr>
        <w:t>O’ Connell; Education, Church and State</w:t>
      </w:r>
      <w:r w:rsidRPr="00EA1315">
        <w:rPr>
          <w:lang w:val="en-IE"/>
        </w:rPr>
        <w:t>,</w:t>
      </w:r>
      <w:r w:rsidR="00B67DA4">
        <w:rPr>
          <w:lang w:val="en-IE"/>
        </w:rPr>
        <w:t xml:space="preserve"> ed. M. R. O’Connell</w:t>
      </w:r>
      <w:r w:rsidRPr="00EA1315">
        <w:rPr>
          <w:lang w:val="en-IE"/>
        </w:rPr>
        <w:t xml:space="preserve"> (Dublin</w:t>
      </w:r>
      <w:r w:rsidR="00B67DA4">
        <w:rPr>
          <w:lang w:val="en-IE"/>
        </w:rPr>
        <w:t xml:space="preserve">: </w:t>
      </w:r>
      <w:r w:rsidRPr="00EA1315">
        <w:rPr>
          <w:lang w:val="en-IE"/>
        </w:rPr>
        <w:t>I.P.A. 1992)</w:t>
      </w:r>
      <w:r w:rsidR="00B67DA4">
        <w:rPr>
          <w:lang w:val="en-IE"/>
        </w:rPr>
        <w:t>.</w:t>
      </w:r>
    </w:p>
  </w:footnote>
  <w:footnote w:id="16">
    <w:p w14:paraId="1E4A808A" w14:textId="77777777" w:rsidR="002D127B" w:rsidRPr="00EA1315" w:rsidRDefault="002D127B" w:rsidP="002D127B">
      <w:pPr>
        <w:pStyle w:val="FootnoteText"/>
        <w:jc w:val="both"/>
        <w:rPr>
          <w:lang w:val="en-IE"/>
        </w:rPr>
      </w:pPr>
      <w:r w:rsidRPr="00EA1315">
        <w:rPr>
          <w:rStyle w:val="FootnoteReference"/>
        </w:rPr>
        <w:footnoteRef/>
      </w:r>
      <w:r w:rsidRPr="00EA1315">
        <w:t xml:space="preserve"> </w:t>
      </w:r>
      <w:r w:rsidRPr="00EA1315">
        <w:rPr>
          <w:lang w:val="en-IE"/>
        </w:rPr>
        <w:t xml:space="preserve">H. Kingsmill Moore, </w:t>
      </w:r>
      <w:r w:rsidRPr="00EA1315">
        <w:rPr>
          <w:i/>
          <w:lang w:val="en-IE"/>
        </w:rPr>
        <w:t>An Unwritten Chapter in the History of Education</w:t>
      </w:r>
      <w:r w:rsidRPr="00EA1315">
        <w:rPr>
          <w:lang w:val="en-IE"/>
        </w:rPr>
        <w:t>.</w:t>
      </w:r>
    </w:p>
  </w:footnote>
  <w:footnote w:id="17">
    <w:p w14:paraId="2B31ECED" w14:textId="77777777" w:rsidR="00497BD2" w:rsidRPr="00EA1315" w:rsidRDefault="00497BD2" w:rsidP="00497BD2">
      <w:pPr>
        <w:pStyle w:val="FootnoteText"/>
        <w:jc w:val="both"/>
      </w:pPr>
      <w:r w:rsidRPr="00EA1315">
        <w:rPr>
          <w:rStyle w:val="FootnoteReference"/>
        </w:rPr>
        <w:footnoteRef/>
      </w:r>
      <w:r w:rsidRPr="00EA1315">
        <w:t xml:space="preserve"> Harold Hislop, </w:t>
      </w:r>
      <w:r w:rsidR="00BC2F09">
        <w:t>‘</w:t>
      </w:r>
      <w:r w:rsidRPr="00EA1315">
        <w:t>The Management of the Kildare Place School System, 1811-1831</w:t>
      </w:r>
      <w:r w:rsidR="0087685C">
        <w:t>’</w:t>
      </w:r>
      <w:r w:rsidRPr="00EA1315">
        <w:t xml:space="preserve">, </w:t>
      </w:r>
      <w:r w:rsidRPr="00EA1315">
        <w:rPr>
          <w:i/>
        </w:rPr>
        <w:t xml:space="preserve">Irish Educational Studies </w:t>
      </w:r>
      <w:r w:rsidRPr="00EA1315">
        <w:t>119</w:t>
      </w:r>
      <w:r w:rsidR="00BC2F09">
        <w:t>, no.</w:t>
      </w:r>
      <w:r w:rsidRPr="00EA1315">
        <w:t xml:space="preserve">1 </w:t>
      </w:r>
      <w:r w:rsidR="00BC2F09">
        <w:t>(</w:t>
      </w:r>
      <w:r w:rsidRPr="00EA1315">
        <w:t>1992</w:t>
      </w:r>
      <w:r w:rsidR="00BC2F09">
        <w:t>):</w:t>
      </w:r>
      <w:r w:rsidRPr="00EA1315">
        <w:t xml:space="preserve">  59.</w:t>
      </w:r>
    </w:p>
  </w:footnote>
  <w:footnote w:id="18">
    <w:p w14:paraId="355AFBD1" w14:textId="77777777" w:rsidR="00326AFA" w:rsidRPr="00EA1315" w:rsidRDefault="00326AFA" w:rsidP="00326AFA">
      <w:pPr>
        <w:pStyle w:val="FootnoteText"/>
        <w:rPr>
          <w:lang w:val="en-IE"/>
        </w:rPr>
      </w:pPr>
      <w:r w:rsidRPr="00EA1315">
        <w:rPr>
          <w:rStyle w:val="FootnoteReference"/>
        </w:rPr>
        <w:footnoteRef/>
      </w:r>
      <w:r w:rsidRPr="00EA1315">
        <w:t xml:space="preserve"> </w:t>
      </w:r>
      <w:r w:rsidRPr="00EA1315">
        <w:rPr>
          <w:lang w:val="en-IE"/>
        </w:rPr>
        <w:t>Kyla Madden</w:t>
      </w:r>
      <w:r w:rsidR="00F07E57" w:rsidRPr="00EA1315">
        <w:rPr>
          <w:lang w:val="en-IE"/>
        </w:rPr>
        <w:t xml:space="preserve">, </w:t>
      </w:r>
      <w:proofErr w:type="spellStart"/>
      <w:r w:rsidR="00F07E57" w:rsidRPr="00EA1315">
        <w:rPr>
          <w:i/>
          <w:lang w:val="en-IE"/>
        </w:rPr>
        <w:t>Forkhill</w:t>
      </w:r>
      <w:proofErr w:type="spellEnd"/>
      <w:r w:rsidR="00F07E57" w:rsidRPr="00EA1315">
        <w:rPr>
          <w:i/>
          <w:lang w:val="en-IE"/>
        </w:rPr>
        <w:t xml:space="preserve"> Protestants and </w:t>
      </w:r>
      <w:proofErr w:type="spellStart"/>
      <w:r w:rsidR="00F07E57" w:rsidRPr="00EA1315">
        <w:rPr>
          <w:i/>
          <w:lang w:val="en-IE"/>
        </w:rPr>
        <w:t>Forkhill</w:t>
      </w:r>
      <w:proofErr w:type="spellEnd"/>
      <w:r w:rsidR="00F07E57" w:rsidRPr="00EA1315">
        <w:rPr>
          <w:i/>
          <w:lang w:val="en-IE"/>
        </w:rPr>
        <w:t xml:space="preserve"> Catholics 1787</w:t>
      </w:r>
      <w:r w:rsidR="000E6353">
        <w:rPr>
          <w:i/>
          <w:lang w:val="en-IE"/>
        </w:rPr>
        <w:t>–</w:t>
      </w:r>
      <w:r w:rsidR="00F07E57" w:rsidRPr="00EA1315">
        <w:rPr>
          <w:i/>
          <w:lang w:val="en-IE"/>
        </w:rPr>
        <w:t>1858</w:t>
      </w:r>
      <w:r w:rsidR="007B5CD9" w:rsidRPr="00EA1315">
        <w:rPr>
          <w:lang w:val="en-IE"/>
        </w:rPr>
        <w:t>,</w:t>
      </w:r>
      <w:r w:rsidR="00F07E57" w:rsidRPr="00EA1315">
        <w:rPr>
          <w:lang w:val="en-IE"/>
        </w:rPr>
        <w:t xml:space="preserve"> </w:t>
      </w:r>
      <w:r w:rsidR="00BC2F09">
        <w:rPr>
          <w:lang w:val="en-IE"/>
        </w:rPr>
        <w:t>(</w:t>
      </w:r>
      <w:r w:rsidR="00F07E57" w:rsidRPr="00EA1315">
        <w:rPr>
          <w:lang w:val="en-IE"/>
        </w:rPr>
        <w:t>McGill: Queen’s University Press, 2005</w:t>
      </w:r>
      <w:r w:rsidR="00BC2F09">
        <w:rPr>
          <w:lang w:val="en-IE"/>
        </w:rPr>
        <w:t>)</w:t>
      </w:r>
      <w:r w:rsidR="00F07E57" w:rsidRPr="00EA1315">
        <w:rPr>
          <w:lang w:val="en-IE"/>
        </w:rPr>
        <w:t>.</w:t>
      </w:r>
    </w:p>
  </w:footnote>
  <w:footnote w:id="19">
    <w:p w14:paraId="7E7B51D8" w14:textId="77777777" w:rsidR="00394E77" w:rsidRPr="00EA1315" w:rsidRDefault="00394E77">
      <w:pPr>
        <w:pStyle w:val="FootnoteText"/>
        <w:rPr>
          <w:lang w:val="en-IE"/>
        </w:rPr>
      </w:pPr>
      <w:r w:rsidRPr="00EA1315">
        <w:rPr>
          <w:rStyle w:val="FootnoteReference"/>
        </w:rPr>
        <w:footnoteRef/>
      </w:r>
      <w:r w:rsidRPr="00EA1315">
        <w:t xml:space="preserve"> </w:t>
      </w:r>
      <w:r w:rsidR="002D127B" w:rsidRPr="00EA1315">
        <w:rPr>
          <w:lang w:val="en-IE"/>
        </w:rPr>
        <w:t xml:space="preserve">O’ Brien, </w:t>
      </w:r>
      <w:r w:rsidR="007B5CD9" w:rsidRPr="00EA1315">
        <w:t xml:space="preserve">‘The 1825-6 Commissioners of Irish Education Reports: Background and Context’ </w:t>
      </w:r>
      <w:r w:rsidR="002D127B" w:rsidRPr="00EA1315">
        <w:rPr>
          <w:lang w:val="en-IE"/>
        </w:rPr>
        <w:t>17.</w:t>
      </w:r>
    </w:p>
  </w:footnote>
  <w:footnote w:id="20">
    <w:p w14:paraId="5BFFD243" w14:textId="77777777" w:rsidR="00E80ADD" w:rsidRPr="00EA1315" w:rsidRDefault="00E80ADD" w:rsidP="00E80ADD">
      <w:pPr>
        <w:pStyle w:val="FootnoteText"/>
        <w:rPr>
          <w:lang w:val="en-IE"/>
        </w:rPr>
      </w:pPr>
      <w:r w:rsidRPr="00EA1315">
        <w:rPr>
          <w:rStyle w:val="FootnoteReference"/>
        </w:rPr>
        <w:footnoteRef/>
      </w:r>
      <w:r w:rsidRPr="00EA1315">
        <w:t xml:space="preserve"> </w:t>
      </w:r>
      <w:r w:rsidR="007B5CD9" w:rsidRPr="00EA1315">
        <w:rPr>
          <w:i/>
        </w:rPr>
        <w:t>Ibid.</w:t>
      </w:r>
    </w:p>
  </w:footnote>
  <w:footnote w:id="21">
    <w:p w14:paraId="00324BDB" w14:textId="77777777" w:rsidR="00E80ADD" w:rsidRPr="000E38FF" w:rsidRDefault="00E80ADD" w:rsidP="00E80ADD">
      <w:pPr>
        <w:pStyle w:val="FootnoteText"/>
        <w:rPr>
          <w:color w:val="FF0000"/>
          <w:lang w:val="en-IE"/>
        </w:rPr>
      </w:pPr>
      <w:r w:rsidRPr="00EA1315">
        <w:rPr>
          <w:rStyle w:val="FootnoteReference"/>
        </w:rPr>
        <w:footnoteRef/>
      </w:r>
      <w:r w:rsidRPr="00EA1315">
        <w:t xml:space="preserve"> </w:t>
      </w:r>
      <w:r w:rsidRPr="00EA1315">
        <w:rPr>
          <w:i/>
          <w:lang w:val="en-IE"/>
        </w:rPr>
        <w:t>Ibid</w:t>
      </w:r>
      <w:r w:rsidRPr="00EA1315">
        <w:rPr>
          <w:lang w:val="en-IE"/>
        </w:rPr>
        <w:t>.</w:t>
      </w:r>
    </w:p>
  </w:footnote>
  <w:footnote w:id="22">
    <w:p w14:paraId="2494B92C" w14:textId="77777777" w:rsidR="008C23AC" w:rsidRPr="00EA1315" w:rsidRDefault="008C23AC" w:rsidP="008C23AC">
      <w:pPr>
        <w:pStyle w:val="FootnoteText"/>
      </w:pPr>
      <w:r w:rsidRPr="00EA1315">
        <w:rPr>
          <w:rStyle w:val="FootnoteReference"/>
        </w:rPr>
        <w:footnoteRef/>
      </w:r>
      <w:r w:rsidRPr="00EA1315">
        <w:t xml:space="preserve"> J. C. Beckett, </w:t>
      </w:r>
      <w:r w:rsidRPr="00EA1315">
        <w:rPr>
          <w:i/>
        </w:rPr>
        <w:t>The Making of Modern Ireland</w:t>
      </w:r>
      <w:r w:rsidRPr="00EA1315">
        <w:t>, (London: Faber and Faber, 1965), 300.</w:t>
      </w:r>
    </w:p>
  </w:footnote>
  <w:footnote w:id="23">
    <w:p w14:paraId="789091B1" w14:textId="77777777" w:rsidR="00970929" w:rsidRPr="00CC1284" w:rsidRDefault="00970929" w:rsidP="00273D79">
      <w:pPr>
        <w:pStyle w:val="FootnoteText"/>
        <w:jc w:val="both"/>
        <w:rPr>
          <w:lang w:val="en-IE"/>
        </w:rPr>
      </w:pPr>
      <w:r>
        <w:rPr>
          <w:rStyle w:val="FootnoteReference"/>
        </w:rPr>
        <w:footnoteRef/>
      </w:r>
      <w:r>
        <w:t xml:space="preserve"> </w:t>
      </w:r>
      <w:r>
        <w:rPr>
          <w:lang w:val="en-IE"/>
        </w:rPr>
        <w:t xml:space="preserve">Thomas Wyse, </w:t>
      </w:r>
      <w:r w:rsidRPr="003B5F93">
        <w:rPr>
          <w:i/>
          <w:lang w:val="en-IE"/>
        </w:rPr>
        <w:t>Historical Sketch</w:t>
      </w:r>
      <w:r>
        <w:rPr>
          <w:lang w:val="en-IE"/>
        </w:rPr>
        <w:t xml:space="preserve">, vol. 2, </w:t>
      </w:r>
      <w:proofErr w:type="spellStart"/>
      <w:r>
        <w:rPr>
          <w:lang w:val="en-IE"/>
        </w:rPr>
        <w:t>p.xlii</w:t>
      </w:r>
      <w:proofErr w:type="spellEnd"/>
      <w:r>
        <w:rPr>
          <w:lang w:val="en-IE"/>
        </w:rPr>
        <w:t>.</w:t>
      </w:r>
    </w:p>
  </w:footnote>
  <w:footnote w:id="24">
    <w:p w14:paraId="5D32312E" w14:textId="77777777" w:rsidR="00970929" w:rsidRPr="00600D11" w:rsidRDefault="00970929" w:rsidP="00273D79">
      <w:pPr>
        <w:pStyle w:val="FootnoteText"/>
        <w:jc w:val="both"/>
        <w:rPr>
          <w:lang w:val="en-IE"/>
        </w:rPr>
      </w:pPr>
      <w:r>
        <w:rPr>
          <w:rStyle w:val="FootnoteReference"/>
        </w:rPr>
        <w:footnoteRef/>
      </w:r>
      <w:r>
        <w:t xml:space="preserve"> </w:t>
      </w:r>
      <w:r>
        <w:rPr>
          <w:lang w:val="en-IE"/>
        </w:rPr>
        <w:t xml:space="preserve">Patrick M. Geoghegan, </w:t>
      </w:r>
      <w:r>
        <w:rPr>
          <w:i/>
          <w:lang w:val="en-IE"/>
        </w:rPr>
        <w:t>King Dan</w:t>
      </w:r>
      <w:r w:rsidR="0073462F">
        <w:rPr>
          <w:i/>
          <w:lang w:val="en-IE"/>
        </w:rPr>
        <w:t>:</w:t>
      </w:r>
      <w:r>
        <w:rPr>
          <w:i/>
          <w:lang w:val="en-IE"/>
        </w:rPr>
        <w:t xml:space="preserve"> </w:t>
      </w:r>
      <w:r w:rsidR="0073462F">
        <w:rPr>
          <w:i/>
          <w:lang w:val="en-IE"/>
        </w:rPr>
        <w:t>T</w:t>
      </w:r>
      <w:r w:rsidR="0073462F" w:rsidRPr="00BA5C37">
        <w:rPr>
          <w:i/>
          <w:lang w:val="en-IE"/>
        </w:rPr>
        <w:t xml:space="preserve">he </w:t>
      </w:r>
      <w:r w:rsidR="0073462F">
        <w:rPr>
          <w:i/>
          <w:lang w:val="en-IE"/>
        </w:rPr>
        <w:t>R</w:t>
      </w:r>
      <w:r w:rsidR="0073462F" w:rsidRPr="00BA5C37">
        <w:rPr>
          <w:i/>
          <w:lang w:val="en-IE"/>
        </w:rPr>
        <w:t xml:space="preserve">ise </w:t>
      </w:r>
      <w:r w:rsidRPr="00BA5C37">
        <w:rPr>
          <w:i/>
          <w:lang w:val="en-IE"/>
        </w:rPr>
        <w:t>of Daniel O’Connell</w:t>
      </w:r>
      <w:r>
        <w:rPr>
          <w:lang w:val="en-IE"/>
        </w:rPr>
        <w:t xml:space="preserve">, </w:t>
      </w:r>
      <w:r w:rsidR="00D2773F" w:rsidRPr="00D2773F">
        <w:rPr>
          <w:i/>
          <w:lang w:val="en-IE"/>
        </w:rPr>
        <w:t>1775-1829</w:t>
      </w:r>
      <w:r>
        <w:rPr>
          <w:lang w:val="en-IE"/>
        </w:rPr>
        <w:t>, (Dublin</w:t>
      </w:r>
      <w:r w:rsidR="0073462F">
        <w:rPr>
          <w:lang w:val="en-IE"/>
        </w:rPr>
        <w:t xml:space="preserve">: </w:t>
      </w:r>
      <w:r>
        <w:rPr>
          <w:lang w:val="en-IE"/>
        </w:rPr>
        <w:t>Gill and Macmillan, 2008), 202-3.</w:t>
      </w:r>
    </w:p>
  </w:footnote>
  <w:footnote w:id="25">
    <w:p w14:paraId="6995918B" w14:textId="77777777" w:rsidR="00970929" w:rsidRPr="00EA1315" w:rsidRDefault="00970929" w:rsidP="001B0493">
      <w:pPr>
        <w:pStyle w:val="FootnoteText"/>
        <w:jc w:val="both"/>
        <w:rPr>
          <w:lang w:val="en-IE"/>
        </w:rPr>
      </w:pPr>
      <w:r w:rsidRPr="00EA1315">
        <w:rPr>
          <w:rStyle w:val="FootnoteReference"/>
        </w:rPr>
        <w:footnoteRef/>
      </w:r>
      <w:r w:rsidRPr="00EA1315">
        <w:t xml:space="preserve"> </w:t>
      </w:r>
      <w:r w:rsidRPr="00EA1315">
        <w:rPr>
          <w:lang w:val="en-IE"/>
        </w:rPr>
        <w:t xml:space="preserve">Oliver MacDonagh, </w:t>
      </w:r>
      <w:r w:rsidRPr="00EA1315">
        <w:rPr>
          <w:i/>
          <w:lang w:val="en-IE"/>
        </w:rPr>
        <w:t>O’Connell</w:t>
      </w:r>
      <w:r w:rsidR="0073462F">
        <w:rPr>
          <w:i/>
          <w:lang w:val="en-IE"/>
        </w:rPr>
        <w:t>:</w:t>
      </w:r>
      <w:r w:rsidR="0073462F" w:rsidRPr="00EA1315">
        <w:rPr>
          <w:i/>
          <w:lang w:val="en-IE"/>
        </w:rPr>
        <w:t xml:space="preserve"> </w:t>
      </w:r>
      <w:r w:rsidRPr="00EA1315">
        <w:rPr>
          <w:i/>
          <w:lang w:val="en-IE"/>
        </w:rPr>
        <w:t>The Life of Daniel O’Connell.</w:t>
      </w:r>
      <w:r w:rsidRPr="00EA1315">
        <w:rPr>
          <w:lang w:val="en-IE"/>
        </w:rPr>
        <w:t xml:space="preserve"> (London</w:t>
      </w:r>
      <w:r w:rsidR="00B67DA4">
        <w:rPr>
          <w:lang w:val="en-IE"/>
        </w:rPr>
        <w:t>:</w:t>
      </w:r>
      <w:r w:rsidR="00B67DA4" w:rsidRPr="00EA1315">
        <w:rPr>
          <w:lang w:val="en-IE"/>
        </w:rPr>
        <w:t xml:space="preserve"> </w:t>
      </w:r>
      <w:r w:rsidRPr="00EA1315">
        <w:rPr>
          <w:lang w:val="en-IE"/>
        </w:rPr>
        <w:t>Weidenfeld and Nicolson, 1991), 209-10.</w:t>
      </w:r>
    </w:p>
  </w:footnote>
  <w:footnote w:id="26">
    <w:p w14:paraId="29FD678D" w14:textId="77777777" w:rsidR="007B5CD9" w:rsidRPr="00EA1315" w:rsidRDefault="00CB795F" w:rsidP="007B5CD9">
      <w:pPr>
        <w:autoSpaceDE w:val="0"/>
        <w:autoSpaceDN w:val="0"/>
        <w:adjustRightInd w:val="0"/>
        <w:rPr>
          <w:sz w:val="20"/>
          <w:szCs w:val="20"/>
          <w:lang w:val="en-IE" w:eastAsia="en-IE"/>
        </w:rPr>
      </w:pPr>
      <w:r w:rsidRPr="00EA1315">
        <w:rPr>
          <w:rStyle w:val="FootnoteReference"/>
          <w:sz w:val="20"/>
          <w:szCs w:val="20"/>
        </w:rPr>
        <w:footnoteRef/>
      </w:r>
      <w:r w:rsidRPr="00EA1315">
        <w:rPr>
          <w:sz w:val="20"/>
          <w:szCs w:val="20"/>
        </w:rPr>
        <w:t xml:space="preserve"> </w:t>
      </w:r>
      <w:r w:rsidR="007B5CD9" w:rsidRPr="00EA1315">
        <w:rPr>
          <w:sz w:val="20"/>
          <w:szCs w:val="20"/>
          <w:lang w:val="en-IE" w:eastAsia="en-IE"/>
        </w:rPr>
        <w:t>Sean McGraw and Kevin Whelan, ‘Daniel O’Connell in Comparative Perspective, 1800-50’,</w:t>
      </w:r>
    </w:p>
    <w:p w14:paraId="797A4ED5" w14:textId="77777777" w:rsidR="00CB795F" w:rsidRPr="00EA1315" w:rsidRDefault="007B5CD9" w:rsidP="007B5CD9">
      <w:pPr>
        <w:autoSpaceDE w:val="0"/>
        <w:autoSpaceDN w:val="0"/>
        <w:adjustRightInd w:val="0"/>
        <w:rPr>
          <w:sz w:val="20"/>
          <w:szCs w:val="20"/>
          <w:lang w:val="en-IE"/>
        </w:rPr>
      </w:pPr>
      <w:r w:rsidRPr="00EA1315">
        <w:rPr>
          <w:i/>
          <w:sz w:val="20"/>
          <w:szCs w:val="20"/>
          <w:lang w:val="en-IE" w:eastAsia="en-IE"/>
        </w:rPr>
        <w:t>Éire-Ireland</w:t>
      </w:r>
      <w:r w:rsidRPr="00EA1315">
        <w:rPr>
          <w:sz w:val="20"/>
          <w:szCs w:val="20"/>
          <w:lang w:val="en-IE" w:eastAsia="en-IE"/>
        </w:rPr>
        <w:t>, 40</w:t>
      </w:r>
      <w:r w:rsidR="003B712B">
        <w:rPr>
          <w:sz w:val="20"/>
          <w:szCs w:val="20"/>
          <w:lang w:val="en-IE" w:eastAsia="en-IE"/>
        </w:rPr>
        <w:t xml:space="preserve">, no. </w:t>
      </w:r>
      <w:r w:rsidRPr="00EA1315">
        <w:rPr>
          <w:sz w:val="20"/>
          <w:szCs w:val="20"/>
          <w:lang w:val="en-IE" w:eastAsia="en-IE"/>
        </w:rPr>
        <w:t>1</w:t>
      </w:r>
      <w:r w:rsidR="003B712B">
        <w:rPr>
          <w:sz w:val="20"/>
          <w:szCs w:val="20"/>
          <w:lang w:val="en-IE" w:eastAsia="en-IE"/>
        </w:rPr>
        <w:t xml:space="preserve"> and </w:t>
      </w:r>
      <w:r w:rsidRPr="00EA1315">
        <w:rPr>
          <w:sz w:val="20"/>
          <w:szCs w:val="20"/>
          <w:lang w:val="en-IE" w:eastAsia="en-IE"/>
        </w:rPr>
        <w:t xml:space="preserve">2, </w:t>
      </w:r>
      <w:r w:rsidR="003B712B">
        <w:rPr>
          <w:sz w:val="20"/>
          <w:szCs w:val="20"/>
          <w:lang w:val="en-IE" w:eastAsia="en-IE"/>
        </w:rPr>
        <w:t>(</w:t>
      </w:r>
      <w:proofErr w:type="spellStart"/>
      <w:r w:rsidRPr="00EA1315">
        <w:rPr>
          <w:sz w:val="20"/>
          <w:szCs w:val="20"/>
          <w:lang w:val="en-IE" w:eastAsia="en-IE"/>
        </w:rPr>
        <w:t>Earrach</w:t>
      </w:r>
      <w:proofErr w:type="spellEnd"/>
      <w:r w:rsidRPr="00EA1315">
        <w:rPr>
          <w:sz w:val="20"/>
          <w:szCs w:val="20"/>
          <w:lang w:val="en-IE" w:eastAsia="en-IE"/>
        </w:rPr>
        <w:t>/</w:t>
      </w:r>
      <w:proofErr w:type="spellStart"/>
      <w:r w:rsidRPr="00EA1315">
        <w:rPr>
          <w:sz w:val="20"/>
          <w:szCs w:val="20"/>
          <w:lang w:val="en-IE" w:eastAsia="en-IE"/>
        </w:rPr>
        <w:t>Samhradh</w:t>
      </w:r>
      <w:proofErr w:type="spellEnd"/>
      <w:r w:rsidRPr="00EA1315">
        <w:rPr>
          <w:sz w:val="20"/>
          <w:szCs w:val="20"/>
          <w:lang w:val="en-IE" w:eastAsia="en-IE"/>
        </w:rPr>
        <w:t xml:space="preserve"> /Spring/Summer 2005</w:t>
      </w:r>
      <w:r w:rsidR="003B712B">
        <w:rPr>
          <w:sz w:val="20"/>
          <w:szCs w:val="20"/>
          <w:lang w:val="en-IE" w:eastAsia="en-IE"/>
        </w:rPr>
        <w:t>):</w:t>
      </w:r>
      <w:r w:rsidR="003B712B" w:rsidRPr="00EA1315">
        <w:rPr>
          <w:sz w:val="20"/>
          <w:szCs w:val="20"/>
          <w:lang w:val="en-IE"/>
        </w:rPr>
        <w:t xml:space="preserve"> </w:t>
      </w:r>
      <w:r w:rsidR="00CB795F" w:rsidRPr="00EA1315">
        <w:rPr>
          <w:sz w:val="20"/>
          <w:szCs w:val="20"/>
          <w:lang w:val="en-IE"/>
        </w:rPr>
        <w:t>69</w:t>
      </w:r>
      <w:r w:rsidR="003B712B">
        <w:rPr>
          <w:sz w:val="20"/>
          <w:szCs w:val="20"/>
          <w:lang w:val="en-IE"/>
        </w:rPr>
        <w:t>.</w:t>
      </w:r>
    </w:p>
  </w:footnote>
  <w:footnote w:id="27">
    <w:p w14:paraId="642F2D93" w14:textId="77777777" w:rsidR="00970929" w:rsidRPr="00EA1315" w:rsidRDefault="00970929" w:rsidP="001B0493">
      <w:pPr>
        <w:pStyle w:val="FootnoteText"/>
        <w:jc w:val="both"/>
      </w:pPr>
      <w:r w:rsidRPr="00EA1315">
        <w:rPr>
          <w:rStyle w:val="FootnoteReference"/>
        </w:rPr>
        <w:footnoteRef/>
      </w:r>
      <w:r w:rsidRPr="00EA1315">
        <w:t xml:space="preserve"> Thomas Wyse (1791-1862) served as a Member of Parliament from 1830-1832 and 1835-1847.  His chief interest was in education.  He served as a junior minister in a number of administrations in the late thirties and early forties and subsequently fulfilled a role in the British diplomatic service.</w:t>
      </w:r>
      <w:r w:rsidR="006C2335" w:rsidRPr="00EA1315">
        <w:t xml:space="preserve"> </w:t>
      </w:r>
    </w:p>
  </w:footnote>
  <w:footnote w:id="28">
    <w:p w14:paraId="00F44556" w14:textId="77777777" w:rsidR="00970929" w:rsidRDefault="00970929" w:rsidP="001B0493">
      <w:pPr>
        <w:pStyle w:val="FootnoteText"/>
        <w:jc w:val="both"/>
      </w:pPr>
      <w:r>
        <w:rPr>
          <w:rStyle w:val="FootnoteReference"/>
        </w:rPr>
        <w:footnoteRef/>
      </w:r>
      <w:r>
        <w:t xml:space="preserve"> Thomas Wyse, </w:t>
      </w:r>
      <w:r>
        <w:rPr>
          <w:i/>
        </w:rPr>
        <w:t>Historical Sketch</w:t>
      </w:r>
      <w:r>
        <w:t>, vol. 1, 288-9.</w:t>
      </w:r>
    </w:p>
  </w:footnote>
  <w:footnote w:id="29">
    <w:p w14:paraId="36149B0E" w14:textId="77777777" w:rsidR="00970929" w:rsidRPr="008D4A48" w:rsidRDefault="00970929" w:rsidP="001B0493">
      <w:pPr>
        <w:pStyle w:val="FootnoteText"/>
        <w:jc w:val="both"/>
        <w:rPr>
          <w:lang w:val="en-IE"/>
        </w:rPr>
      </w:pPr>
      <w:r>
        <w:rPr>
          <w:rStyle w:val="FootnoteReference"/>
        </w:rPr>
        <w:footnoteRef/>
      </w:r>
      <w:r>
        <w:t xml:space="preserve"> </w:t>
      </w:r>
      <w:r w:rsidRPr="00C865E9">
        <w:rPr>
          <w:i/>
          <w:lang w:val="en-IE"/>
        </w:rPr>
        <w:t>Dublin Evening Post</w:t>
      </w:r>
      <w:r>
        <w:rPr>
          <w:lang w:val="en-IE"/>
        </w:rPr>
        <w:t>,</w:t>
      </w:r>
      <w:r w:rsidR="003B712B">
        <w:rPr>
          <w:lang w:val="en-IE"/>
        </w:rPr>
        <w:t xml:space="preserve"> July 14, </w:t>
      </w:r>
      <w:r>
        <w:rPr>
          <w:lang w:val="en-IE"/>
        </w:rPr>
        <w:t>1825.</w:t>
      </w:r>
    </w:p>
  </w:footnote>
  <w:footnote w:id="30">
    <w:p w14:paraId="4F8D455F" w14:textId="77777777" w:rsidR="00970929" w:rsidRPr="00B047EC" w:rsidRDefault="00970929" w:rsidP="001B0493">
      <w:pPr>
        <w:pStyle w:val="FootnoteText"/>
        <w:jc w:val="both"/>
        <w:rPr>
          <w:lang w:val="en-IE"/>
        </w:rPr>
      </w:pPr>
      <w:r>
        <w:rPr>
          <w:rStyle w:val="FootnoteReference"/>
        </w:rPr>
        <w:footnoteRef/>
      </w:r>
      <w:r>
        <w:t xml:space="preserve"> </w:t>
      </w:r>
      <w:r>
        <w:rPr>
          <w:lang w:val="en-IE"/>
        </w:rPr>
        <w:t xml:space="preserve">MacDonagh, </w:t>
      </w:r>
      <w:r>
        <w:rPr>
          <w:i/>
          <w:lang w:val="en-IE"/>
        </w:rPr>
        <w:t>O’Connell,</w:t>
      </w:r>
      <w:r>
        <w:rPr>
          <w:lang w:val="en-IE"/>
        </w:rPr>
        <w:t xml:space="preserve"> 226.</w:t>
      </w:r>
    </w:p>
  </w:footnote>
  <w:footnote w:id="31">
    <w:p w14:paraId="79AB3848" w14:textId="77777777" w:rsidR="00E744D9" w:rsidRPr="00EA1315" w:rsidRDefault="00E744D9" w:rsidP="007B5CD9">
      <w:pPr>
        <w:autoSpaceDE w:val="0"/>
        <w:autoSpaceDN w:val="0"/>
        <w:adjustRightInd w:val="0"/>
        <w:rPr>
          <w:lang w:val="en-IE"/>
        </w:rPr>
      </w:pPr>
      <w:r w:rsidRPr="00EA1315">
        <w:rPr>
          <w:rStyle w:val="FootnoteReference"/>
        </w:rPr>
        <w:footnoteRef/>
      </w:r>
      <w:r w:rsidRPr="00EA1315">
        <w:t xml:space="preserve"> </w:t>
      </w:r>
      <w:r w:rsidR="007B5CD9" w:rsidRPr="00EA1315">
        <w:rPr>
          <w:sz w:val="20"/>
          <w:szCs w:val="20"/>
          <w:lang w:val="en-IE" w:eastAsia="en-IE"/>
        </w:rPr>
        <w:t>McGraw and Whelan, ‘Daniel O’Connell in Comparative Perspective, 1800-50’.</w:t>
      </w:r>
    </w:p>
  </w:footnote>
  <w:footnote w:id="32">
    <w:p w14:paraId="389B1C24" w14:textId="77777777" w:rsidR="00970929" w:rsidRPr="00F73A57" w:rsidRDefault="00970929" w:rsidP="001B0493">
      <w:pPr>
        <w:pStyle w:val="FootnoteText"/>
        <w:jc w:val="both"/>
        <w:rPr>
          <w:lang w:val="en-IE"/>
        </w:rPr>
      </w:pPr>
      <w:r>
        <w:rPr>
          <w:rStyle w:val="FootnoteReference"/>
        </w:rPr>
        <w:footnoteRef/>
      </w:r>
      <w:r>
        <w:t xml:space="preserve"> </w:t>
      </w:r>
      <w:r>
        <w:rPr>
          <w:lang w:val="en-IE"/>
        </w:rPr>
        <w:t xml:space="preserve">This was a meeting of  a </w:t>
      </w:r>
      <w:r w:rsidR="00182145">
        <w:rPr>
          <w:lang w:val="en-IE"/>
        </w:rPr>
        <w:t>‘</w:t>
      </w:r>
      <w:r>
        <w:rPr>
          <w:lang w:val="en-IE"/>
        </w:rPr>
        <w:t>Catholic Association for 1826</w:t>
      </w:r>
      <w:r w:rsidR="00182145">
        <w:rPr>
          <w:lang w:val="en-IE"/>
        </w:rPr>
        <w:t>’</w:t>
      </w:r>
      <w:r>
        <w:rPr>
          <w:lang w:val="en-IE"/>
        </w:rPr>
        <w:t xml:space="preserve"> which met, in public, for 14 successive days to discuss all the grievances felt by Catholics, and then disbanded thus complying with Peel’s legislation,  a classic instance of O’Connell cleverly exploiting legislation for political advantage.  The New Catholic Association founded for benevolent purposes in 1825 continued in existence.</w:t>
      </w:r>
    </w:p>
  </w:footnote>
  <w:footnote w:id="33">
    <w:p w14:paraId="31935FD4" w14:textId="77777777" w:rsidR="00970929" w:rsidRPr="00061835" w:rsidRDefault="00970929" w:rsidP="001B0493">
      <w:pPr>
        <w:pStyle w:val="FootnoteText"/>
        <w:jc w:val="both"/>
        <w:rPr>
          <w:lang w:val="en-IE"/>
        </w:rPr>
      </w:pPr>
      <w:r>
        <w:rPr>
          <w:rStyle w:val="FootnoteReference"/>
        </w:rPr>
        <w:footnoteRef/>
      </w:r>
      <w:r>
        <w:t xml:space="preserve"> </w:t>
      </w:r>
      <w:r w:rsidRPr="00061835">
        <w:rPr>
          <w:i/>
          <w:lang w:val="en-IE"/>
        </w:rPr>
        <w:t>Dublin Evening Post</w:t>
      </w:r>
      <w:r>
        <w:rPr>
          <w:lang w:val="en-IE"/>
        </w:rPr>
        <w:t xml:space="preserve">, </w:t>
      </w:r>
      <w:r w:rsidR="003B712B">
        <w:rPr>
          <w:lang w:val="en-IE"/>
        </w:rPr>
        <w:t xml:space="preserve">January 21, </w:t>
      </w:r>
      <w:r>
        <w:rPr>
          <w:lang w:val="en-IE"/>
        </w:rPr>
        <w:t>1826.</w:t>
      </w:r>
    </w:p>
  </w:footnote>
  <w:footnote w:id="34">
    <w:p w14:paraId="7DD01E2E" w14:textId="77777777" w:rsidR="00970929" w:rsidRPr="00061835" w:rsidRDefault="00970929" w:rsidP="001B0493">
      <w:pPr>
        <w:pStyle w:val="FootnoteText"/>
        <w:jc w:val="both"/>
        <w:rPr>
          <w:lang w:val="en-IE"/>
        </w:rPr>
      </w:pPr>
      <w:r>
        <w:rPr>
          <w:rStyle w:val="FootnoteReference"/>
        </w:rPr>
        <w:footnoteRef/>
      </w:r>
      <w:r>
        <w:t xml:space="preserve"> </w:t>
      </w:r>
      <w:r>
        <w:rPr>
          <w:lang w:val="en-IE"/>
        </w:rPr>
        <w:t>Ibid.</w:t>
      </w:r>
    </w:p>
  </w:footnote>
  <w:footnote w:id="35">
    <w:p w14:paraId="3422C692" w14:textId="77777777" w:rsidR="00970929" w:rsidRPr="00061835" w:rsidRDefault="00970929" w:rsidP="001B0493">
      <w:pPr>
        <w:pStyle w:val="FootnoteText"/>
        <w:jc w:val="both"/>
        <w:rPr>
          <w:lang w:val="en-IE"/>
        </w:rPr>
      </w:pPr>
      <w:r>
        <w:rPr>
          <w:rStyle w:val="FootnoteReference"/>
        </w:rPr>
        <w:footnoteRef/>
      </w:r>
      <w:r>
        <w:t xml:space="preserve"> </w:t>
      </w:r>
      <w:r>
        <w:rPr>
          <w:lang w:val="en-IE"/>
        </w:rPr>
        <w:t>Ibid.</w:t>
      </w:r>
    </w:p>
  </w:footnote>
  <w:footnote w:id="36">
    <w:p w14:paraId="35288C42" w14:textId="77777777" w:rsidR="00970929" w:rsidRPr="00B24863" w:rsidRDefault="00970929" w:rsidP="00273D79">
      <w:pPr>
        <w:pStyle w:val="FootnoteText"/>
        <w:jc w:val="both"/>
        <w:rPr>
          <w:lang w:val="en-IE"/>
        </w:rPr>
      </w:pPr>
      <w:r w:rsidRPr="00B24863">
        <w:rPr>
          <w:rStyle w:val="FootnoteReference"/>
        </w:rPr>
        <w:footnoteRef/>
      </w:r>
      <w:r w:rsidRPr="00B24863">
        <w:t xml:space="preserve"> </w:t>
      </w:r>
      <w:r w:rsidRPr="00B24863">
        <w:rPr>
          <w:i/>
          <w:lang w:val="en-IE"/>
        </w:rPr>
        <w:t>Freeman’s Journal</w:t>
      </w:r>
      <w:r w:rsidRPr="00B24863">
        <w:rPr>
          <w:lang w:val="en-IE"/>
        </w:rPr>
        <w:t xml:space="preserve">, </w:t>
      </w:r>
      <w:r w:rsidR="003B712B">
        <w:rPr>
          <w:lang w:val="en-IE"/>
        </w:rPr>
        <w:t xml:space="preserve">January 24, </w:t>
      </w:r>
      <w:r w:rsidRPr="00B24863">
        <w:rPr>
          <w:lang w:val="en-IE"/>
        </w:rPr>
        <w:t>1826.</w:t>
      </w:r>
    </w:p>
  </w:footnote>
  <w:footnote w:id="37">
    <w:p w14:paraId="6F9982CF" w14:textId="77777777" w:rsidR="00532392" w:rsidRPr="00B24863" w:rsidRDefault="00532392">
      <w:pPr>
        <w:pStyle w:val="FootnoteText"/>
        <w:rPr>
          <w:lang w:val="en-IE"/>
        </w:rPr>
      </w:pPr>
      <w:r w:rsidRPr="00B24863">
        <w:rPr>
          <w:rStyle w:val="FootnoteReference"/>
        </w:rPr>
        <w:footnoteRef/>
      </w:r>
      <w:r w:rsidRPr="00B24863">
        <w:t xml:space="preserve"> </w:t>
      </w:r>
      <w:r w:rsidR="00B24863" w:rsidRPr="00B24863">
        <w:rPr>
          <w:lang w:val="en-IE"/>
        </w:rPr>
        <w:t xml:space="preserve">O’Brien, </w:t>
      </w:r>
      <w:r w:rsidR="00B24863" w:rsidRPr="00B24863">
        <w:t>‘The 1825-6 Commissioners of Irish Education Reports: Background and Context’</w:t>
      </w:r>
      <w:r w:rsidR="00182145">
        <w:t>,</w:t>
      </w:r>
      <w:r w:rsidR="00B24863" w:rsidRPr="00B24863">
        <w:t xml:space="preserve"> </w:t>
      </w:r>
      <w:r w:rsidRPr="00B24863">
        <w:rPr>
          <w:lang w:val="en-IE"/>
        </w:rPr>
        <w:t>31</w:t>
      </w:r>
    </w:p>
  </w:footnote>
  <w:footnote w:id="38">
    <w:p w14:paraId="6F3C404C" w14:textId="77777777" w:rsidR="00532392" w:rsidRPr="00B24863" w:rsidRDefault="00532392" w:rsidP="00B24863">
      <w:pPr>
        <w:autoSpaceDE w:val="0"/>
        <w:autoSpaceDN w:val="0"/>
        <w:adjustRightInd w:val="0"/>
        <w:rPr>
          <w:lang w:val="en-IE"/>
        </w:rPr>
      </w:pPr>
      <w:r w:rsidRPr="00B24863">
        <w:rPr>
          <w:rStyle w:val="FootnoteReference"/>
          <w:sz w:val="20"/>
          <w:szCs w:val="20"/>
        </w:rPr>
        <w:footnoteRef/>
      </w:r>
      <w:r w:rsidRPr="00B24863">
        <w:rPr>
          <w:sz w:val="20"/>
          <w:szCs w:val="20"/>
        </w:rPr>
        <w:t xml:space="preserve"> </w:t>
      </w:r>
      <w:r w:rsidRPr="00B24863">
        <w:rPr>
          <w:rFonts w:eastAsia="TimesNewRomanPSMT"/>
          <w:sz w:val="20"/>
          <w:szCs w:val="20"/>
          <w:lang w:val="en-IE" w:eastAsia="en-IE"/>
        </w:rPr>
        <w:t xml:space="preserve">Quoted in </w:t>
      </w:r>
      <w:proofErr w:type="spellStart"/>
      <w:r w:rsidRPr="00B24863">
        <w:rPr>
          <w:rFonts w:eastAsia="TimesNewRomanPSMT"/>
          <w:sz w:val="20"/>
          <w:szCs w:val="20"/>
          <w:lang w:val="en-IE" w:eastAsia="en-IE"/>
        </w:rPr>
        <w:t>Daire</w:t>
      </w:r>
      <w:proofErr w:type="spellEnd"/>
      <w:r w:rsidRPr="00B24863">
        <w:rPr>
          <w:rFonts w:eastAsia="TimesNewRomanPSMT"/>
          <w:sz w:val="20"/>
          <w:szCs w:val="20"/>
          <w:lang w:val="en-IE" w:eastAsia="en-IE"/>
        </w:rPr>
        <w:t xml:space="preserve"> Keogh, ‘The Christian Brothers and the Second Reformation’,</w:t>
      </w:r>
      <w:r w:rsidR="00852AA2">
        <w:rPr>
          <w:rFonts w:eastAsia="TimesNewRomanPSMT"/>
          <w:sz w:val="20"/>
          <w:szCs w:val="20"/>
          <w:lang w:val="en-IE" w:eastAsia="en-IE"/>
        </w:rPr>
        <w:t xml:space="preserve"> </w:t>
      </w:r>
      <w:r w:rsidRPr="00B24863">
        <w:rPr>
          <w:rFonts w:eastAsia="TimesNewRomanPSMT"/>
          <w:sz w:val="20"/>
          <w:szCs w:val="20"/>
          <w:lang w:val="en-IE" w:eastAsia="en-IE"/>
        </w:rPr>
        <w:t xml:space="preserve"> </w:t>
      </w:r>
      <w:r w:rsidRPr="00B24863">
        <w:rPr>
          <w:rFonts w:eastAsia="TimesNewRomanPS-ItalicMT"/>
          <w:i/>
          <w:iCs/>
          <w:sz w:val="20"/>
          <w:szCs w:val="20"/>
          <w:lang w:val="en-IE" w:eastAsia="en-IE"/>
        </w:rPr>
        <w:t>Eire-Ireland</w:t>
      </w:r>
      <w:r w:rsidR="00B24863" w:rsidRPr="00B24863">
        <w:rPr>
          <w:rFonts w:eastAsia="TimesNewRomanPS-ItalicMT"/>
          <w:i/>
          <w:iCs/>
          <w:sz w:val="20"/>
          <w:szCs w:val="20"/>
          <w:lang w:val="en-IE" w:eastAsia="en-IE"/>
        </w:rPr>
        <w:t xml:space="preserve"> </w:t>
      </w:r>
      <w:r w:rsidRPr="00B24863">
        <w:rPr>
          <w:rFonts w:eastAsia="TimesNewRomanPSMT"/>
          <w:sz w:val="20"/>
          <w:szCs w:val="20"/>
          <w:lang w:val="en-IE" w:eastAsia="en-IE"/>
        </w:rPr>
        <w:t>40</w:t>
      </w:r>
      <w:r w:rsidR="003B712B">
        <w:rPr>
          <w:rFonts w:eastAsia="TimesNewRomanPSMT"/>
          <w:sz w:val="20"/>
          <w:szCs w:val="20"/>
          <w:lang w:val="en-IE" w:eastAsia="en-IE"/>
        </w:rPr>
        <w:t>, no.</w:t>
      </w:r>
      <w:r w:rsidRPr="00B24863">
        <w:rPr>
          <w:rFonts w:eastAsia="TimesNewRomanPSMT"/>
          <w:sz w:val="20"/>
          <w:szCs w:val="20"/>
          <w:lang w:val="en-IE" w:eastAsia="en-IE"/>
        </w:rPr>
        <w:t xml:space="preserve"> 1 </w:t>
      </w:r>
      <w:r w:rsidR="003B712B">
        <w:rPr>
          <w:rFonts w:eastAsia="TimesNewRomanPSMT"/>
          <w:sz w:val="20"/>
          <w:szCs w:val="20"/>
          <w:lang w:val="en-IE" w:eastAsia="en-IE"/>
        </w:rPr>
        <w:t>and</w:t>
      </w:r>
      <w:r w:rsidR="003B712B" w:rsidRPr="00B24863">
        <w:rPr>
          <w:rFonts w:eastAsia="TimesNewRomanPSMT"/>
          <w:sz w:val="20"/>
          <w:szCs w:val="20"/>
          <w:lang w:val="en-IE" w:eastAsia="en-IE"/>
        </w:rPr>
        <w:t xml:space="preserve"> </w:t>
      </w:r>
      <w:r w:rsidRPr="00B24863">
        <w:rPr>
          <w:rFonts w:eastAsia="TimesNewRomanPSMT"/>
          <w:sz w:val="20"/>
          <w:szCs w:val="20"/>
          <w:lang w:val="en-IE" w:eastAsia="en-IE"/>
        </w:rPr>
        <w:t>2 (2005</w:t>
      </w:r>
      <w:r w:rsidR="003B712B" w:rsidRPr="00B24863">
        <w:rPr>
          <w:rFonts w:eastAsia="TimesNewRomanPSMT"/>
          <w:sz w:val="20"/>
          <w:szCs w:val="20"/>
          <w:lang w:val="en-IE" w:eastAsia="en-IE"/>
        </w:rPr>
        <w:t>)</w:t>
      </w:r>
      <w:r w:rsidR="003B712B">
        <w:rPr>
          <w:rFonts w:eastAsia="TimesNewRomanPSMT"/>
          <w:sz w:val="20"/>
          <w:szCs w:val="20"/>
          <w:lang w:val="en-IE" w:eastAsia="en-IE"/>
        </w:rPr>
        <w:t>:</w:t>
      </w:r>
      <w:r w:rsidR="003B712B" w:rsidRPr="00B24863">
        <w:rPr>
          <w:rFonts w:eastAsia="TimesNewRomanPSMT"/>
          <w:sz w:val="20"/>
          <w:szCs w:val="20"/>
          <w:lang w:val="en-IE" w:eastAsia="en-IE"/>
        </w:rPr>
        <w:t xml:space="preserve"> </w:t>
      </w:r>
      <w:r w:rsidRPr="00B24863">
        <w:rPr>
          <w:rFonts w:eastAsia="TimesNewRomanPSMT"/>
          <w:sz w:val="20"/>
          <w:szCs w:val="20"/>
          <w:lang w:val="en-IE" w:eastAsia="en-IE"/>
        </w:rPr>
        <w:t>52.</w:t>
      </w:r>
    </w:p>
  </w:footnote>
  <w:footnote w:id="39">
    <w:p w14:paraId="757BA29C" w14:textId="77777777" w:rsidR="00970929" w:rsidRPr="00DB57F8" w:rsidRDefault="00970929" w:rsidP="00273D79">
      <w:pPr>
        <w:pStyle w:val="FootnoteText"/>
        <w:jc w:val="both"/>
        <w:rPr>
          <w:lang w:val="en-IE"/>
        </w:rPr>
      </w:pPr>
      <w:r>
        <w:rPr>
          <w:rStyle w:val="FootnoteReference"/>
        </w:rPr>
        <w:footnoteRef/>
      </w:r>
      <w:r>
        <w:t xml:space="preserve"> </w:t>
      </w:r>
      <w:r>
        <w:rPr>
          <w:lang w:val="en-IE"/>
        </w:rPr>
        <w:t xml:space="preserve">G.M. Trevelyan, </w:t>
      </w:r>
      <w:r>
        <w:rPr>
          <w:i/>
          <w:lang w:val="en-IE"/>
        </w:rPr>
        <w:t>Lord Grey of the Reform Bill</w:t>
      </w:r>
      <w:r>
        <w:rPr>
          <w:lang w:val="en-IE"/>
        </w:rPr>
        <w:t>, (London</w:t>
      </w:r>
      <w:r w:rsidR="003B712B">
        <w:rPr>
          <w:lang w:val="en-IE"/>
        </w:rPr>
        <w:t xml:space="preserve">: </w:t>
      </w:r>
      <w:r>
        <w:rPr>
          <w:lang w:val="en-IE"/>
        </w:rPr>
        <w:t>Longman’s Green and Co., 1920), 250.</w:t>
      </w:r>
    </w:p>
  </w:footnote>
  <w:footnote w:id="40">
    <w:p w14:paraId="231A3661" w14:textId="77777777" w:rsidR="00970929" w:rsidRPr="00EA1315" w:rsidRDefault="00970929" w:rsidP="001851F2">
      <w:pPr>
        <w:pStyle w:val="FootnoteText"/>
        <w:jc w:val="both"/>
        <w:rPr>
          <w:lang w:val="en-IE"/>
        </w:rPr>
      </w:pPr>
      <w:r>
        <w:rPr>
          <w:rStyle w:val="FootnoteReference"/>
        </w:rPr>
        <w:footnoteRef/>
      </w:r>
      <w:r>
        <w:t xml:space="preserve"> </w:t>
      </w:r>
      <w:r>
        <w:rPr>
          <w:lang w:val="en-IE"/>
        </w:rPr>
        <w:t xml:space="preserve">Lord Anglesey served as Lord Lieutenant in </w:t>
      </w:r>
      <w:smartTag w:uri="urn:schemas-microsoft-com:office:smarttags" w:element="country-region">
        <w:r>
          <w:rPr>
            <w:lang w:val="en-IE"/>
          </w:rPr>
          <w:t>Ireland</w:t>
        </w:r>
      </w:smartTag>
      <w:r>
        <w:rPr>
          <w:lang w:val="en-IE"/>
        </w:rPr>
        <w:t xml:space="preserve"> for a brief period under the Tory administration led by </w:t>
      </w:r>
      <w:smartTag w:uri="urn:schemas-microsoft-com:office:smarttags" w:element="City">
        <w:smartTag w:uri="urn:schemas-microsoft-com:office:smarttags" w:element="place">
          <w:r>
            <w:rPr>
              <w:lang w:val="en-IE"/>
            </w:rPr>
            <w:t>Wellington</w:t>
          </w:r>
        </w:smartTag>
      </w:smartTag>
      <w:r>
        <w:rPr>
          <w:lang w:val="en-IE"/>
        </w:rPr>
        <w:t xml:space="preserve"> but was recalled for his over-enthusiastic support for Catholic Emancipation.  He was re-appointed to the position when the Whigs came to power under Lord Grey.  While he and O’Connell clashed regularly, in fact he was very much a supporter of progressive policies in Ireland, as is clear from the correspondence between himself and Lord Grey contained in the National Library of </w:t>
      </w:r>
      <w:r w:rsidRPr="00EA1315">
        <w:rPr>
          <w:lang w:val="en-IE"/>
        </w:rPr>
        <w:t>Ireland</w:t>
      </w:r>
      <w:r w:rsidR="002E2113" w:rsidRPr="00EA1315">
        <w:rPr>
          <w:lang w:val="en-IE"/>
        </w:rPr>
        <w:t>, refs</w:t>
      </w:r>
      <w:r w:rsidR="00D20FBF" w:rsidRPr="00EA1315">
        <w:rPr>
          <w:lang w:val="en-IE"/>
        </w:rPr>
        <w:t>., NLI,</w:t>
      </w:r>
      <w:r w:rsidR="002E2113" w:rsidRPr="00EA1315">
        <w:rPr>
          <w:lang w:val="en-IE"/>
        </w:rPr>
        <w:t xml:space="preserve"> n 4036, and p 3707.</w:t>
      </w:r>
    </w:p>
  </w:footnote>
  <w:footnote w:id="41">
    <w:p w14:paraId="3FA4FCE2" w14:textId="77777777" w:rsidR="00970929" w:rsidRPr="009F56D4" w:rsidRDefault="00970929" w:rsidP="00273D79">
      <w:pPr>
        <w:pStyle w:val="FootnoteText"/>
        <w:jc w:val="both"/>
        <w:rPr>
          <w:lang w:val="en-IE"/>
        </w:rPr>
      </w:pPr>
      <w:r>
        <w:rPr>
          <w:rStyle w:val="FootnoteReference"/>
        </w:rPr>
        <w:footnoteRef/>
      </w:r>
      <w:r>
        <w:t xml:space="preserve"> E.G. </w:t>
      </w:r>
      <w:smartTag w:uri="urn:schemas-microsoft-com:office:smarttags" w:element="City">
        <w:r>
          <w:t>Stanley</w:t>
        </w:r>
      </w:smartTag>
      <w:r>
        <w:t xml:space="preserve"> (1799-1869) was Chief Secretary in </w:t>
      </w:r>
      <w:smartTag w:uri="urn:schemas-microsoft-com:office:smarttags" w:element="country-region">
        <w:smartTag w:uri="urn:schemas-microsoft-com:office:smarttags" w:element="place">
          <w:r>
            <w:t>Ireland</w:t>
          </w:r>
        </w:smartTag>
      </w:smartTag>
      <w:r>
        <w:t xml:space="preserve"> from 1830 to 1834.  He was promoted to the House of Lords in 1844 and became known as Lord Stanley and subsequently inherited his father’s title of Lord Derby.  He was leader of the Conservative Party from 1846 to 1868 and served as Prime Minister for three periods during the 1860s.  In theory the position of Lord Lieutenant was the senior one but in practice a lot depended on the personalities involved.  Of these two</w:t>
      </w:r>
      <w:r w:rsidR="003B712B">
        <w:t>,</w:t>
      </w:r>
      <w:r>
        <w:t xml:space="preserve"> Stanley was the most powerful.</w:t>
      </w:r>
    </w:p>
  </w:footnote>
  <w:footnote w:id="42">
    <w:p w14:paraId="3786352E" w14:textId="77777777" w:rsidR="00970929" w:rsidRPr="00EA1315" w:rsidRDefault="00970929" w:rsidP="00273D79">
      <w:pPr>
        <w:pStyle w:val="FootnoteText"/>
        <w:jc w:val="both"/>
        <w:rPr>
          <w:lang w:val="en-IE"/>
        </w:rPr>
      </w:pPr>
      <w:r w:rsidRPr="00EA1315">
        <w:rPr>
          <w:rStyle w:val="FootnoteReference"/>
        </w:rPr>
        <w:footnoteRef/>
      </w:r>
      <w:r w:rsidRPr="00EA1315">
        <w:t xml:space="preserve"> Trevelyan, </w:t>
      </w:r>
      <w:r w:rsidRPr="00EA1315">
        <w:rPr>
          <w:i/>
        </w:rPr>
        <w:t>Lord Grey</w:t>
      </w:r>
      <w:r w:rsidR="005E5807" w:rsidRPr="00EA1315">
        <w:t xml:space="preserve"> </w:t>
      </w:r>
      <w:r w:rsidR="00D2773F" w:rsidRPr="00D2773F">
        <w:rPr>
          <w:i/>
        </w:rPr>
        <w:t>of the Reform Bill</w:t>
      </w:r>
      <w:r w:rsidR="005E5807" w:rsidRPr="00EA1315">
        <w:t xml:space="preserve">, </w:t>
      </w:r>
      <w:r w:rsidRPr="00EA1315">
        <w:t xml:space="preserve"> 250</w:t>
      </w:r>
    </w:p>
  </w:footnote>
  <w:footnote w:id="43">
    <w:p w14:paraId="32B2FFB3" w14:textId="77777777" w:rsidR="00970929" w:rsidRDefault="00970929" w:rsidP="00273D79">
      <w:pPr>
        <w:pStyle w:val="FootnoteText"/>
        <w:jc w:val="both"/>
      </w:pPr>
      <w:r>
        <w:rPr>
          <w:rStyle w:val="FootnoteReference"/>
        </w:rPr>
        <w:footnoteRef/>
      </w:r>
      <w:r>
        <w:t xml:space="preserve"> H.C. 09/09/1831 vol. 6 cc. 1249-1305.</w:t>
      </w:r>
    </w:p>
  </w:footnote>
  <w:footnote w:id="44">
    <w:p w14:paraId="180855A3" w14:textId="77777777" w:rsidR="00970929" w:rsidRPr="009F56D4" w:rsidRDefault="00970929" w:rsidP="004A1FCC">
      <w:pPr>
        <w:pStyle w:val="FootnoteText"/>
        <w:jc w:val="both"/>
        <w:rPr>
          <w:lang w:val="en-IE"/>
        </w:rPr>
      </w:pPr>
      <w:r>
        <w:rPr>
          <w:rStyle w:val="FootnoteReference"/>
        </w:rPr>
        <w:footnoteRef/>
      </w:r>
      <w:r>
        <w:t xml:space="preserve"> </w:t>
      </w:r>
      <w:r>
        <w:rPr>
          <w:lang w:val="en-IE"/>
        </w:rPr>
        <w:t>Ibid.</w:t>
      </w:r>
    </w:p>
  </w:footnote>
  <w:footnote w:id="45">
    <w:p w14:paraId="12CA1F5E" w14:textId="77777777" w:rsidR="00970929" w:rsidRPr="000B5744" w:rsidRDefault="00970929" w:rsidP="004A1FCC">
      <w:pPr>
        <w:pStyle w:val="FootnoteText"/>
        <w:jc w:val="both"/>
        <w:rPr>
          <w:lang w:val="en-IE"/>
        </w:rPr>
      </w:pPr>
      <w:r>
        <w:rPr>
          <w:rStyle w:val="FootnoteReference"/>
        </w:rPr>
        <w:footnoteRef/>
      </w:r>
      <w:r>
        <w:t xml:space="preserve"> Ibid.</w:t>
      </w:r>
    </w:p>
  </w:footnote>
  <w:footnote w:id="46">
    <w:p w14:paraId="6F2201C2" w14:textId="77777777" w:rsidR="00970929" w:rsidRDefault="00970929" w:rsidP="004A1FCC">
      <w:pPr>
        <w:pStyle w:val="FootnoteText"/>
        <w:jc w:val="both"/>
      </w:pPr>
      <w:r>
        <w:rPr>
          <w:rStyle w:val="FootnoteReference"/>
        </w:rPr>
        <w:footnoteRef/>
      </w:r>
      <w:r>
        <w:t xml:space="preserve"> Ibid.</w:t>
      </w:r>
    </w:p>
  </w:footnote>
  <w:footnote w:id="47">
    <w:p w14:paraId="06AA5A8E" w14:textId="77777777" w:rsidR="00970929" w:rsidRDefault="00970929" w:rsidP="004A1FCC">
      <w:pPr>
        <w:pStyle w:val="FootnoteText"/>
        <w:jc w:val="both"/>
      </w:pPr>
      <w:r>
        <w:rPr>
          <w:rStyle w:val="FootnoteReference"/>
        </w:rPr>
        <w:footnoteRef/>
      </w:r>
      <w:r>
        <w:t xml:space="preserve"> Ibid.</w:t>
      </w:r>
    </w:p>
  </w:footnote>
  <w:footnote w:id="48">
    <w:p w14:paraId="50609C6D" w14:textId="77777777" w:rsidR="00970929" w:rsidRDefault="00970929" w:rsidP="004A1FCC">
      <w:pPr>
        <w:pStyle w:val="FootnoteText"/>
        <w:jc w:val="both"/>
      </w:pPr>
      <w:r>
        <w:rPr>
          <w:rStyle w:val="FootnoteReference"/>
        </w:rPr>
        <w:footnoteRef/>
      </w:r>
      <w:r>
        <w:t xml:space="preserve"> W.J. Fitzpatrick,</w:t>
      </w:r>
      <w:r>
        <w:rPr>
          <w:i/>
        </w:rPr>
        <w:t xml:space="preserve"> The Rt. Rev. </w:t>
      </w:r>
      <w:proofErr w:type="spellStart"/>
      <w:r>
        <w:rPr>
          <w:i/>
        </w:rPr>
        <w:t>Dr.</w:t>
      </w:r>
      <w:proofErr w:type="spellEnd"/>
      <w:r>
        <w:rPr>
          <w:i/>
        </w:rPr>
        <w:t xml:space="preserve"> Doyle</w:t>
      </w:r>
      <w:r>
        <w:t>, vol. 1, 172.</w:t>
      </w:r>
    </w:p>
  </w:footnote>
  <w:footnote w:id="49">
    <w:p w14:paraId="255DED32" w14:textId="77777777" w:rsidR="00970929" w:rsidRDefault="00970929" w:rsidP="004A1FCC">
      <w:pPr>
        <w:pStyle w:val="FootnoteText"/>
        <w:jc w:val="both"/>
      </w:pPr>
      <w:r>
        <w:rPr>
          <w:rStyle w:val="FootnoteReference"/>
        </w:rPr>
        <w:footnoteRef/>
      </w:r>
      <w:r>
        <w:t xml:space="preserve"> H.C. 09/09/1831 vol. 6, c. 301.</w:t>
      </w:r>
    </w:p>
  </w:footnote>
  <w:footnote w:id="50">
    <w:p w14:paraId="1F616AB6" w14:textId="77777777" w:rsidR="00970929" w:rsidRPr="007439C4" w:rsidRDefault="00970929" w:rsidP="004E5B79">
      <w:pPr>
        <w:pStyle w:val="FootnoteText"/>
        <w:jc w:val="both"/>
      </w:pPr>
      <w:r>
        <w:rPr>
          <w:rStyle w:val="FootnoteReference"/>
        </w:rPr>
        <w:footnoteRef/>
      </w:r>
      <w:r>
        <w:t xml:space="preserve"> Rev</w:t>
      </w:r>
      <w:r w:rsidR="00182145">
        <w:t xml:space="preserve">. </w:t>
      </w:r>
      <w:r>
        <w:t xml:space="preserve">Ignatius Murphy, Some Attitudes to Religious Freedom and Ecumenism in pre-Emancipation </w:t>
      </w:r>
      <w:smartTag w:uri="urn:schemas-microsoft-com:office:smarttags" w:element="country-region">
        <w:smartTag w:uri="urn:schemas-microsoft-com:office:smarttags" w:element="place">
          <w:r>
            <w:t>Ireland</w:t>
          </w:r>
        </w:smartTag>
      </w:smartTag>
      <w:r>
        <w:t xml:space="preserve">, </w:t>
      </w:r>
      <w:r>
        <w:rPr>
          <w:i/>
        </w:rPr>
        <w:t>I.E.R.</w:t>
      </w:r>
      <w:r>
        <w:t>, vol. cv, (1966), 93-104.</w:t>
      </w:r>
    </w:p>
  </w:footnote>
  <w:footnote w:id="51">
    <w:p w14:paraId="77478FE5" w14:textId="77777777" w:rsidR="00970929" w:rsidRPr="007439C4" w:rsidRDefault="00970929" w:rsidP="004E5B79">
      <w:pPr>
        <w:pStyle w:val="FootnoteText"/>
        <w:jc w:val="both"/>
      </w:pPr>
      <w:r>
        <w:rPr>
          <w:rStyle w:val="FootnoteReference"/>
        </w:rPr>
        <w:footnoteRef/>
      </w:r>
      <w:r>
        <w:t xml:space="preserve"> J.C. Beckett, </w:t>
      </w:r>
      <w:r>
        <w:rPr>
          <w:i/>
        </w:rPr>
        <w:t>The Making of Modern Ireland, 1603-1923</w:t>
      </w:r>
      <w:r>
        <w:t>, (London</w:t>
      </w:r>
      <w:r w:rsidR="003B712B">
        <w:t xml:space="preserve">: </w:t>
      </w:r>
      <w:r>
        <w:t>Faber &amp; Faber, 1966).</w:t>
      </w:r>
    </w:p>
  </w:footnote>
  <w:footnote w:id="52">
    <w:p w14:paraId="0F6844D9" w14:textId="77777777" w:rsidR="00970929" w:rsidRDefault="00970929" w:rsidP="004A1FCC">
      <w:pPr>
        <w:pStyle w:val="FootnoteText"/>
        <w:jc w:val="both"/>
      </w:pPr>
      <w:r>
        <w:rPr>
          <w:rStyle w:val="FootnoteReference"/>
        </w:rPr>
        <w:footnoteRef/>
      </w:r>
      <w:r>
        <w:t xml:space="preserve"> HC, </w:t>
      </w:r>
      <w:r w:rsidRPr="00940B98">
        <w:rPr>
          <w:i/>
        </w:rPr>
        <w:t>Report of the Royal Commission of Enquiry into Primary Education</w:t>
      </w:r>
      <w:r>
        <w:t xml:space="preserve">, C; 3, session 1870, vol. XXVIII, vol. 1, p. 21, (The </w:t>
      </w:r>
      <w:proofErr w:type="spellStart"/>
      <w:r>
        <w:t>Powis</w:t>
      </w:r>
      <w:proofErr w:type="spellEnd"/>
      <w:r>
        <w:t xml:space="preserve"> Commission).</w:t>
      </w:r>
    </w:p>
  </w:footnote>
  <w:footnote w:id="53">
    <w:p w14:paraId="2E25E7AA" w14:textId="77777777" w:rsidR="00970929" w:rsidRDefault="00970929" w:rsidP="004A1FCC">
      <w:pPr>
        <w:pStyle w:val="FootnoteText"/>
        <w:jc w:val="both"/>
      </w:pPr>
      <w:r>
        <w:rPr>
          <w:rStyle w:val="FootnoteReference"/>
        </w:rPr>
        <w:footnoteRef/>
      </w:r>
      <w:r>
        <w:t xml:space="preserve"> Daniel Murray (1768-1852) appointed co-adjutor to the Archbishop of Dublin in 1808 and succeeded Dr Troy in 1825.  He was a close friend of Dr Doyle, with whom he was in agreement on many issues.</w:t>
      </w:r>
    </w:p>
  </w:footnote>
  <w:footnote w:id="54">
    <w:p w14:paraId="7F352C63" w14:textId="77777777" w:rsidR="00970929" w:rsidRDefault="00970929" w:rsidP="004A1FCC">
      <w:pPr>
        <w:pStyle w:val="FootnoteText"/>
        <w:jc w:val="both"/>
      </w:pPr>
      <w:r>
        <w:rPr>
          <w:rStyle w:val="FootnoteReference"/>
        </w:rPr>
        <w:footnoteRef/>
      </w:r>
      <w:r>
        <w:t xml:space="preserve"> Anthony Blake (1786-1849), a Catholic solicitor, was quite influential with British administrations, irrespective of whether Tory or Whig.  He served on many Government commissions, was friendly with Bishop Doyle and Archbishop Murray, and contributed in the background to many developments, particularly in relation to education.</w:t>
      </w:r>
    </w:p>
  </w:footnote>
  <w:footnote w:id="55">
    <w:p w14:paraId="35F4C4AE" w14:textId="77777777" w:rsidR="00970929" w:rsidRPr="000B5744" w:rsidRDefault="00970929" w:rsidP="004A1FCC">
      <w:pPr>
        <w:pStyle w:val="FootnoteText"/>
        <w:jc w:val="both"/>
        <w:rPr>
          <w:lang w:val="en-IE"/>
        </w:rPr>
      </w:pPr>
      <w:r>
        <w:rPr>
          <w:rStyle w:val="FootnoteReference"/>
        </w:rPr>
        <w:footnoteRef/>
      </w:r>
      <w:r>
        <w:t xml:space="preserve"> The </w:t>
      </w:r>
      <w:proofErr w:type="spellStart"/>
      <w:r>
        <w:t>Powis</w:t>
      </w:r>
      <w:proofErr w:type="spellEnd"/>
      <w:r>
        <w:t xml:space="preserve"> Commission, which considered these matters in 1868-70, noted that two copies of </w:t>
      </w:r>
      <w:smartTag w:uri="urn:schemas-microsoft-com:office:smarttags" w:element="City">
        <w:r>
          <w:t>Stanley</w:t>
        </w:r>
      </w:smartTag>
      <w:r>
        <w:t xml:space="preserve">’s letter survived: one, which was held in the Irish Office in </w:t>
      </w:r>
      <w:smartTag w:uri="urn:schemas-microsoft-com:office:smarttags" w:element="City">
        <w:smartTag w:uri="urn:schemas-microsoft-com:office:smarttags" w:element="place">
          <w:r>
            <w:t>London</w:t>
          </w:r>
        </w:smartTag>
      </w:smartTag>
      <w:r>
        <w:t xml:space="preserve"> and the other which remained in the records of the Board of Education.  The explanation given to the Commission was that the letter was subject to a few amendments in the course of its preparation.  The differences are not significant, at this remove.  </w:t>
      </w:r>
    </w:p>
  </w:footnote>
  <w:footnote w:id="56">
    <w:p w14:paraId="0A2A24A6" w14:textId="77777777" w:rsidR="00970929" w:rsidRDefault="00970929" w:rsidP="004A1FCC">
      <w:pPr>
        <w:pStyle w:val="FootnoteText"/>
        <w:jc w:val="both"/>
      </w:pPr>
      <w:r>
        <w:rPr>
          <w:rStyle w:val="FootnoteReference"/>
        </w:rPr>
        <w:footnoteRef/>
      </w:r>
      <w:r>
        <w:t xml:space="preserve"> </w:t>
      </w:r>
      <w:smartTag w:uri="urn:schemas-microsoft-com:office:smarttags" w:element="City">
        <w:r>
          <w:t>Dublin</w:t>
        </w:r>
      </w:smartTag>
      <w:r>
        <w:t xml:space="preserve"> Diocesan Archives, The </w:t>
      </w:r>
      <w:smartTag w:uri="urn:schemas-microsoft-com:office:smarttags" w:element="City">
        <w:smartTag w:uri="urn:schemas-microsoft-com:office:smarttags" w:element="place">
          <w:r>
            <w:t>Murray</w:t>
          </w:r>
        </w:smartTag>
      </w:smartTag>
      <w:r>
        <w:t xml:space="preserve"> Papers, 33/1.</w:t>
      </w:r>
    </w:p>
  </w:footnote>
  <w:footnote w:id="57">
    <w:p w14:paraId="0DCCBB31" w14:textId="77777777" w:rsidR="00970929" w:rsidRDefault="00970929" w:rsidP="004A1FCC">
      <w:pPr>
        <w:pStyle w:val="FootnoteText"/>
        <w:jc w:val="both"/>
      </w:pPr>
      <w:r>
        <w:rPr>
          <w:rStyle w:val="FootnoteReference"/>
        </w:rPr>
        <w:footnoteRef/>
      </w:r>
      <w:r>
        <w:t xml:space="preserve"> The Board developed plans for a further thirty-one district Model Schools to serve throughout the country under the direction of teachers chosen for their particular skills.  Some of the senior pupils in these schools would go on to the central training establishment to become teachers.  The first such school was opened in 1848 and in the next twenty years, two dozen more were opened.  As distinct from the other elementary schools, these were fully-financed by the State and totally managed by the National Board.</w:t>
      </w:r>
    </w:p>
  </w:footnote>
  <w:footnote w:id="58">
    <w:p w14:paraId="0235F3D6" w14:textId="77777777" w:rsidR="007240EF" w:rsidRDefault="007240EF" w:rsidP="007240EF">
      <w:pPr>
        <w:pStyle w:val="FootnoteText"/>
        <w:rPr>
          <w:lang w:val="en-IE"/>
        </w:rPr>
      </w:pPr>
      <w:r>
        <w:rPr>
          <w:rStyle w:val="FootnoteReference"/>
        </w:rPr>
        <w:footnoteRef/>
      </w:r>
      <w:r>
        <w:t xml:space="preserve"> </w:t>
      </w:r>
      <w:r>
        <w:rPr>
          <w:lang w:val="en-IE"/>
        </w:rPr>
        <w:t xml:space="preserve">Andy Green, </w:t>
      </w:r>
      <w:r>
        <w:rPr>
          <w:i/>
          <w:lang w:val="en-IE"/>
        </w:rPr>
        <w:t>Education and State Formation</w:t>
      </w:r>
      <w:r>
        <w:rPr>
          <w:lang w:val="en-IE"/>
        </w:rPr>
        <w:t>, (Hampshire: The Macmillan Press, 1990).</w:t>
      </w:r>
    </w:p>
  </w:footnote>
  <w:footnote w:id="59">
    <w:p w14:paraId="6AD81296" w14:textId="77777777" w:rsidR="007240EF" w:rsidRDefault="007240EF" w:rsidP="007240EF">
      <w:pPr>
        <w:pStyle w:val="FootnoteText"/>
        <w:rPr>
          <w:lang w:val="en-IE"/>
        </w:rPr>
      </w:pPr>
      <w:r>
        <w:rPr>
          <w:rStyle w:val="FootnoteReference"/>
        </w:rPr>
        <w:footnoteRef/>
      </w:r>
      <w:r>
        <w:t xml:space="preserve"> Ibid., 262.</w:t>
      </w:r>
    </w:p>
  </w:footnote>
  <w:footnote w:id="60">
    <w:p w14:paraId="7E4DE706" w14:textId="77777777" w:rsidR="007240EF" w:rsidRDefault="007240EF" w:rsidP="007240EF">
      <w:pPr>
        <w:pStyle w:val="FootnoteText"/>
        <w:rPr>
          <w:lang w:val="en-IE"/>
        </w:rPr>
      </w:pPr>
      <w:r>
        <w:rPr>
          <w:rStyle w:val="FootnoteReference"/>
        </w:rPr>
        <w:footnoteRef/>
      </w:r>
      <w:r>
        <w:t xml:space="preserve"> Ibid.</w:t>
      </w:r>
    </w:p>
  </w:footnote>
  <w:footnote w:id="61">
    <w:p w14:paraId="0DA4BC8E" w14:textId="77777777" w:rsidR="00970929" w:rsidRDefault="00970929" w:rsidP="00273D79">
      <w:pPr>
        <w:pStyle w:val="FootnoteText"/>
        <w:jc w:val="both"/>
      </w:pPr>
      <w:r>
        <w:rPr>
          <w:rStyle w:val="FootnoteReference"/>
        </w:rPr>
        <w:footnoteRef/>
      </w:r>
      <w:r>
        <w:t xml:space="preserve"> H.C. 17/02/1870, c. 444.</w:t>
      </w:r>
    </w:p>
  </w:footnote>
  <w:footnote w:id="62">
    <w:p w14:paraId="03E2524E" w14:textId="77777777" w:rsidR="00970929" w:rsidRPr="00F324D7" w:rsidRDefault="00970929" w:rsidP="00273D79">
      <w:pPr>
        <w:pStyle w:val="FootnoteText"/>
        <w:jc w:val="both"/>
      </w:pPr>
      <w:r>
        <w:rPr>
          <w:rStyle w:val="FootnoteReference"/>
        </w:rPr>
        <w:footnoteRef/>
      </w:r>
      <w:r>
        <w:t xml:space="preserve"> </w:t>
      </w:r>
      <w:proofErr w:type="spellStart"/>
      <w:r>
        <w:t>Coolahan</w:t>
      </w:r>
      <w:proofErr w:type="spellEnd"/>
      <w:r>
        <w:t xml:space="preserve">, </w:t>
      </w:r>
      <w:r>
        <w:rPr>
          <w:i/>
        </w:rPr>
        <w:t>Irish Education: Its History and Structure</w:t>
      </w:r>
      <w:r>
        <w:t>, 3.</w:t>
      </w:r>
    </w:p>
  </w:footnote>
  <w:footnote w:id="63">
    <w:p w14:paraId="1C7C2F17" w14:textId="77777777" w:rsidR="00970929" w:rsidRPr="00FE1407" w:rsidRDefault="00970929" w:rsidP="00273D79">
      <w:pPr>
        <w:pStyle w:val="FootnoteText"/>
        <w:jc w:val="both"/>
      </w:pPr>
      <w:r>
        <w:rPr>
          <w:rStyle w:val="FootnoteReference"/>
        </w:rPr>
        <w:footnoteRef/>
      </w:r>
      <w:r>
        <w:t xml:space="preserve"> Akenson, </w:t>
      </w:r>
      <w:r>
        <w:rPr>
          <w:i/>
        </w:rPr>
        <w:t>The Irish Education Experiment</w:t>
      </w:r>
      <w:r>
        <w:t>, 50.</w:t>
      </w:r>
    </w:p>
  </w:footnote>
  <w:footnote w:id="64">
    <w:p w14:paraId="63273409" w14:textId="77777777" w:rsidR="00970929" w:rsidRPr="00D20D4D" w:rsidRDefault="00970929" w:rsidP="00273D79">
      <w:pPr>
        <w:pStyle w:val="FootnoteText"/>
        <w:jc w:val="both"/>
        <w:rPr>
          <w:i/>
        </w:rPr>
      </w:pPr>
      <w:r>
        <w:rPr>
          <w:rStyle w:val="FootnoteReference"/>
        </w:rPr>
        <w:footnoteRef/>
      </w:r>
      <w:r>
        <w:t xml:space="preserve"> </w:t>
      </w:r>
      <w:proofErr w:type="spellStart"/>
      <w:r>
        <w:t>Séamas</w:t>
      </w:r>
      <w:proofErr w:type="spellEnd"/>
      <w:r>
        <w:t xml:space="preserve"> Ó </w:t>
      </w:r>
      <w:proofErr w:type="spellStart"/>
      <w:r>
        <w:t>Buachalla</w:t>
      </w:r>
      <w:proofErr w:type="spellEnd"/>
      <w:r>
        <w:t xml:space="preserve">, </w:t>
      </w:r>
      <w:r>
        <w:rPr>
          <w:i/>
        </w:rPr>
        <w:t>Education Policy in Twentieth Century Ireland</w:t>
      </w:r>
      <w:r>
        <w:t>, (Dublin</w:t>
      </w:r>
      <w:r w:rsidR="00C56FBD">
        <w:t xml:space="preserve">: </w:t>
      </w:r>
      <w:r>
        <w:t>Wolfhound Press. 1988), 20.</w:t>
      </w:r>
      <w:r>
        <w:rPr>
          <w:i/>
        </w:rPr>
        <w:t xml:space="preserve"> </w:t>
      </w:r>
    </w:p>
  </w:footnote>
  <w:footnote w:id="65">
    <w:p w14:paraId="72041D53" w14:textId="77777777" w:rsidR="00970929" w:rsidRPr="00EE4209" w:rsidRDefault="00970929" w:rsidP="00273D79">
      <w:pPr>
        <w:pStyle w:val="FootnoteText"/>
        <w:jc w:val="both"/>
      </w:pPr>
      <w:r>
        <w:rPr>
          <w:rStyle w:val="FootnoteReference"/>
        </w:rPr>
        <w:footnoteRef/>
      </w:r>
      <w:r>
        <w:t xml:space="preserve">  Akenson, </w:t>
      </w:r>
      <w:r>
        <w:rPr>
          <w:i/>
        </w:rPr>
        <w:t>The Irish Education Experiment</w:t>
      </w:r>
      <w:r w:rsidR="00C56FBD">
        <w:t xml:space="preserve">, </w:t>
      </w:r>
      <w:r w:rsidR="007240EF">
        <w:t>107.</w:t>
      </w:r>
    </w:p>
  </w:footnote>
  <w:footnote w:id="66">
    <w:p w14:paraId="22E5F41D" w14:textId="77777777" w:rsidR="00970929" w:rsidRPr="005D50A2" w:rsidRDefault="00970929" w:rsidP="00273D79">
      <w:pPr>
        <w:pStyle w:val="FootnoteText"/>
        <w:jc w:val="both"/>
        <w:rPr>
          <w:i/>
          <w:lang w:val="en-IE"/>
        </w:rPr>
      </w:pPr>
      <w:r>
        <w:rPr>
          <w:rStyle w:val="FootnoteReference"/>
        </w:rPr>
        <w:footnoteRef/>
      </w:r>
      <w:r>
        <w:t xml:space="preserve"> </w:t>
      </w:r>
      <w:r>
        <w:rPr>
          <w:lang w:val="en-IE"/>
        </w:rPr>
        <w:t>Ibid</w:t>
      </w:r>
      <w:r w:rsidR="00F9663F">
        <w:rPr>
          <w:lang w:val="en-IE"/>
        </w:rPr>
        <w:t xml:space="preserve">. </w:t>
      </w:r>
      <w:r>
        <w:rPr>
          <w:lang w:val="en-IE"/>
        </w:rPr>
        <w:t>The other men he refers to are Stanley, Anglesey, Grey and Wyse.</w:t>
      </w:r>
    </w:p>
  </w:footnote>
  <w:footnote w:id="67">
    <w:p w14:paraId="6AD2B2DB" w14:textId="77777777" w:rsidR="00970929" w:rsidRPr="001D5CE1" w:rsidRDefault="00970929">
      <w:pPr>
        <w:pStyle w:val="FootnoteText"/>
        <w:rPr>
          <w:lang w:val="en-IE"/>
        </w:rPr>
      </w:pPr>
      <w:r>
        <w:rPr>
          <w:rStyle w:val="FootnoteReference"/>
        </w:rPr>
        <w:footnoteRef/>
      </w:r>
      <w:r>
        <w:t xml:space="preserve"> </w:t>
      </w:r>
      <w:proofErr w:type="spellStart"/>
      <w:r>
        <w:rPr>
          <w:lang w:val="en-IE"/>
        </w:rPr>
        <w:t>Coolahan</w:t>
      </w:r>
      <w:proofErr w:type="spellEnd"/>
      <w:r>
        <w:rPr>
          <w:lang w:val="en-IE"/>
        </w:rPr>
        <w:t>, “Primary education as a political issue in O’Connell’s time” 93.</w:t>
      </w:r>
    </w:p>
  </w:footnote>
  <w:footnote w:id="68">
    <w:p w14:paraId="30246FD9" w14:textId="77777777" w:rsidR="00970929" w:rsidRPr="004878DF" w:rsidRDefault="00970929" w:rsidP="00273D79">
      <w:pPr>
        <w:pStyle w:val="FootnoteText"/>
        <w:jc w:val="both"/>
        <w:rPr>
          <w:lang w:val="en-IE"/>
        </w:rPr>
      </w:pPr>
      <w:r>
        <w:rPr>
          <w:rStyle w:val="FootnoteReference"/>
        </w:rPr>
        <w:footnoteRef/>
      </w:r>
      <w:r>
        <w:t xml:space="preserve"> </w:t>
      </w:r>
      <w:r>
        <w:rPr>
          <w:lang w:val="en-IE"/>
        </w:rPr>
        <w:t xml:space="preserve"> MacDonagh, </w:t>
      </w:r>
      <w:r>
        <w:rPr>
          <w:i/>
          <w:lang w:val="en-IE"/>
        </w:rPr>
        <w:t>O’Connell</w:t>
      </w:r>
      <w:r>
        <w:rPr>
          <w:lang w:val="en-IE"/>
        </w:rPr>
        <w:t>, 342.</w:t>
      </w:r>
    </w:p>
  </w:footnote>
  <w:footnote w:id="69">
    <w:p w14:paraId="00E3AE14" w14:textId="77777777" w:rsidR="00970929" w:rsidRPr="0035200C" w:rsidRDefault="00970929" w:rsidP="00273D79">
      <w:pPr>
        <w:pStyle w:val="FootnoteText"/>
        <w:jc w:val="both"/>
        <w:rPr>
          <w:lang w:val="en-IE"/>
        </w:rPr>
      </w:pPr>
      <w:r>
        <w:rPr>
          <w:rStyle w:val="FootnoteReference"/>
        </w:rPr>
        <w:footnoteRef/>
      </w:r>
      <w:r>
        <w:t xml:space="preserve"> </w:t>
      </w:r>
      <w:proofErr w:type="spellStart"/>
      <w:r>
        <w:rPr>
          <w:lang w:val="en-IE"/>
        </w:rPr>
        <w:t>G.M.Trevelyan</w:t>
      </w:r>
      <w:proofErr w:type="spellEnd"/>
      <w:r>
        <w:rPr>
          <w:lang w:val="en-IE"/>
        </w:rPr>
        <w:t xml:space="preserve">, </w:t>
      </w:r>
      <w:r>
        <w:rPr>
          <w:i/>
          <w:lang w:val="en-IE"/>
        </w:rPr>
        <w:t>Lord Grey</w:t>
      </w:r>
      <w:r w:rsidR="005E5807">
        <w:rPr>
          <w:i/>
          <w:lang w:val="en-IE"/>
        </w:rPr>
        <w:t xml:space="preserve"> of the Reform Bill</w:t>
      </w:r>
      <w:r w:rsidR="00C56FBD">
        <w:rPr>
          <w:i/>
          <w:lang w:val="en-IE"/>
        </w:rPr>
        <w:t>,</w:t>
      </w:r>
      <w:r w:rsidR="00C56FBD">
        <w:rPr>
          <w:lang w:val="en-IE"/>
        </w:rPr>
        <w:t xml:space="preserve"> </w:t>
      </w:r>
      <w:r>
        <w:rPr>
          <w:lang w:val="en-IE"/>
        </w:rPr>
        <w:t>25.</w:t>
      </w:r>
    </w:p>
  </w:footnote>
  <w:footnote w:id="70">
    <w:p w14:paraId="3999EB5D" w14:textId="77777777" w:rsidR="00970929" w:rsidRPr="00644A99" w:rsidRDefault="00970929">
      <w:pPr>
        <w:pStyle w:val="FootnoteText"/>
        <w:rPr>
          <w:lang w:val="en-IE"/>
        </w:rPr>
      </w:pPr>
      <w:r>
        <w:rPr>
          <w:rStyle w:val="FootnoteReference"/>
        </w:rPr>
        <w:footnoteRef/>
      </w:r>
      <w:r>
        <w:t xml:space="preserve"> </w:t>
      </w:r>
      <w:r>
        <w:rPr>
          <w:lang w:val="en-IE"/>
        </w:rPr>
        <w:t xml:space="preserve">MacDonagh, </w:t>
      </w:r>
      <w:r>
        <w:rPr>
          <w:i/>
          <w:lang w:val="en-IE"/>
        </w:rPr>
        <w:t>O’Connell</w:t>
      </w:r>
      <w:r>
        <w:rPr>
          <w:lang w:val="en-IE"/>
        </w:rPr>
        <w:t>, 312.</w:t>
      </w:r>
    </w:p>
  </w:footnote>
  <w:footnote w:id="71">
    <w:p w14:paraId="60E72E2B" w14:textId="77777777" w:rsidR="00970929" w:rsidRPr="00B275B5" w:rsidRDefault="00970929">
      <w:pPr>
        <w:pStyle w:val="FootnoteText"/>
        <w:rPr>
          <w:lang w:val="en-IE"/>
        </w:rPr>
      </w:pPr>
      <w:r>
        <w:rPr>
          <w:rStyle w:val="FootnoteReference"/>
        </w:rPr>
        <w:footnoteRef/>
      </w:r>
      <w:r>
        <w:t xml:space="preserve"> </w:t>
      </w:r>
      <w:r>
        <w:rPr>
          <w:lang w:val="en-IE"/>
        </w:rPr>
        <w:t xml:space="preserve">Patrick M. Geoghegan, </w:t>
      </w:r>
      <w:r>
        <w:rPr>
          <w:i/>
          <w:lang w:val="en-IE"/>
        </w:rPr>
        <w:t xml:space="preserve">The Liberator: </w:t>
      </w:r>
      <w:r w:rsidR="00EF47C5">
        <w:rPr>
          <w:i/>
          <w:lang w:val="en-IE"/>
        </w:rPr>
        <w:t xml:space="preserve">The Life </w:t>
      </w:r>
      <w:r>
        <w:rPr>
          <w:i/>
          <w:lang w:val="en-IE"/>
        </w:rPr>
        <w:t xml:space="preserve">and </w:t>
      </w:r>
      <w:r w:rsidR="00EF47C5">
        <w:rPr>
          <w:i/>
          <w:lang w:val="en-IE"/>
        </w:rPr>
        <w:t xml:space="preserve">Death </w:t>
      </w:r>
      <w:r>
        <w:rPr>
          <w:i/>
          <w:lang w:val="en-IE"/>
        </w:rPr>
        <w:t xml:space="preserve">of Daniel O’Connell, 1830-1847, </w:t>
      </w:r>
      <w:r>
        <w:rPr>
          <w:lang w:val="en-IE"/>
        </w:rPr>
        <w:t>(Dublin</w:t>
      </w:r>
      <w:r w:rsidR="00EF47C5">
        <w:rPr>
          <w:lang w:val="en-IE"/>
        </w:rPr>
        <w:t xml:space="preserve">: </w:t>
      </w:r>
      <w:r>
        <w:rPr>
          <w:lang w:val="en-IE"/>
        </w:rPr>
        <w:t xml:space="preserve">Gill and Macmillan, 2010), </w:t>
      </w:r>
      <w:r>
        <w:rPr>
          <w:i/>
          <w:lang w:val="en-IE"/>
        </w:rPr>
        <w:t xml:space="preserve"> </w:t>
      </w:r>
      <w:r>
        <w:rPr>
          <w:lang w:val="en-IE"/>
        </w:rPr>
        <w:t>87.</w:t>
      </w:r>
    </w:p>
  </w:footnote>
  <w:footnote w:id="72">
    <w:p w14:paraId="1FE315B1" w14:textId="77777777" w:rsidR="00970929" w:rsidRPr="00B275B5" w:rsidRDefault="00970929" w:rsidP="00DD519B">
      <w:pPr>
        <w:pStyle w:val="FootnoteText"/>
        <w:jc w:val="both"/>
        <w:rPr>
          <w:lang w:val="en-IE"/>
        </w:rPr>
      </w:pPr>
      <w:r>
        <w:rPr>
          <w:rStyle w:val="FootnoteReference"/>
        </w:rPr>
        <w:footnoteRef/>
      </w:r>
      <w:r>
        <w:t xml:space="preserve"> </w:t>
      </w:r>
      <w:r>
        <w:rPr>
          <w:lang w:val="en-IE"/>
        </w:rPr>
        <w:t xml:space="preserve">Stanley and a colleague of his Henry </w:t>
      </w:r>
      <w:proofErr w:type="spellStart"/>
      <w:r>
        <w:rPr>
          <w:lang w:val="en-IE"/>
        </w:rPr>
        <w:t>Hardinge</w:t>
      </w:r>
      <w:proofErr w:type="spellEnd"/>
      <w:r>
        <w:rPr>
          <w:lang w:val="en-IE"/>
        </w:rPr>
        <w:t xml:space="preserve"> (Chief Secretary in Ireland, 30/07/1831 to 26/11/1831) were the people involved. In 1815 an opponent whom O’Connell wounded in a duel died a few days later. He almost fought another with Peel later that year but wiser counsels on both sides ensured that it was aborted.  Some years later he decided he would never engage in the practice again.  </w:t>
      </w:r>
    </w:p>
  </w:footnote>
  <w:footnote w:id="73">
    <w:p w14:paraId="65C3FA9E" w14:textId="77777777" w:rsidR="00970929" w:rsidRPr="0013138A" w:rsidRDefault="00970929" w:rsidP="00DD519B">
      <w:pPr>
        <w:pStyle w:val="FootnoteText"/>
        <w:jc w:val="both"/>
      </w:pPr>
      <w:r>
        <w:rPr>
          <w:rStyle w:val="FootnoteReference"/>
        </w:rPr>
        <w:footnoteRef/>
      </w:r>
      <w:r>
        <w:t xml:space="preserve"> Angus </w:t>
      </w:r>
      <w:proofErr w:type="spellStart"/>
      <w:r>
        <w:t>MacIntyre</w:t>
      </w:r>
      <w:proofErr w:type="spellEnd"/>
      <w:r>
        <w:t xml:space="preserve">, </w:t>
      </w:r>
      <w:r>
        <w:rPr>
          <w:i/>
        </w:rPr>
        <w:t>The Liberator</w:t>
      </w:r>
      <w:r>
        <w:t>, (London</w:t>
      </w:r>
      <w:r w:rsidR="001B26E7">
        <w:t xml:space="preserve">: </w:t>
      </w:r>
      <w:r>
        <w:t>Hamish Hamilton, 1965), 20-27.</w:t>
      </w:r>
    </w:p>
  </w:footnote>
  <w:footnote w:id="74">
    <w:p w14:paraId="2A727F01" w14:textId="77777777" w:rsidR="00970929" w:rsidRPr="00D75A8D" w:rsidRDefault="00970929" w:rsidP="00DD519B">
      <w:pPr>
        <w:pStyle w:val="FootnoteText"/>
        <w:jc w:val="both"/>
        <w:rPr>
          <w:lang w:val="en-IE"/>
        </w:rPr>
      </w:pPr>
      <w:r>
        <w:rPr>
          <w:rStyle w:val="FootnoteReference"/>
        </w:rPr>
        <w:footnoteRef/>
      </w:r>
      <w:r>
        <w:t xml:space="preserve"> </w:t>
      </w:r>
      <w:r>
        <w:rPr>
          <w:lang w:val="en-IE"/>
        </w:rPr>
        <w:t>Ibid.</w:t>
      </w:r>
      <w:r w:rsidR="001B26E7">
        <w:rPr>
          <w:lang w:val="en-IE"/>
        </w:rPr>
        <w:t>,</w:t>
      </w:r>
      <w:r>
        <w:rPr>
          <w:lang w:val="en-IE"/>
        </w:rPr>
        <w:t xml:space="preserve"> 21</w:t>
      </w:r>
    </w:p>
  </w:footnote>
  <w:footnote w:id="75">
    <w:p w14:paraId="057F09A8" w14:textId="77777777" w:rsidR="00E711F3" w:rsidRPr="00E711F3" w:rsidRDefault="00E711F3">
      <w:pPr>
        <w:pStyle w:val="FootnoteText"/>
        <w:rPr>
          <w:lang w:val="en-IE"/>
        </w:rPr>
      </w:pPr>
      <w:r w:rsidRPr="00E711F3">
        <w:rPr>
          <w:rStyle w:val="FootnoteReference"/>
        </w:rPr>
        <w:footnoteRef/>
      </w:r>
      <w:r w:rsidRPr="00E711F3">
        <w:t xml:space="preserve"> </w:t>
      </w:r>
      <w:r w:rsidRPr="00E711F3">
        <w:rPr>
          <w:lang w:val="en-IE"/>
        </w:rPr>
        <w:t xml:space="preserve">Geoghegan, </w:t>
      </w:r>
      <w:r w:rsidRPr="00E711F3">
        <w:rPr>
          <w:i/>
          <w:lang w:val="en-IE"/>
        </w:rPr>
        <w:t xml:space="preserve">The Liberator, </w:t>
      </w:r>
      <w:r w:rsidRPr="00E711F3">
        <w:rPr>
          <w:lang w:val="en-IE"/>
        </w:rPr>
        <w:t>24</w:t>
      </w:r>
      <w:r>
        <w:rPr>
          <w:lang w:val="en-IE"/>
        </w:rPr>
        <w:t>.</w:t>
      </w:r>
    </w:p>
  </w:footnote>
  <w:footnote w:id="76">
    <w:p w14:paraId="75A21FA9" w14:textId="77777777" w:rsidR="00970929" w:rsidRPr="00F853E0" w:rsidRDefault="00970929" w:rsidP="00DD519B">
      <w:pPr>
        <w:pStyle w:val="FootnoteText"/>
        <w:jc w:val="both"/>
        <w:rPr>
          <w:lang w:val="en-IE"/>
        </w:rPr>
      </w:pPr>
      <w:r>
        <w:rPr>
          <w:rStyle w:val="FootnoteReference"/>
        </w:rPr>
        <w:footnoteRef/>
      </w:r>
      <w:r>
        <w:t xml:space="preserve"> </w:t>
      </w:r>
      <w:r>
        <w:rPr>
          <w:lang w:val="en-IE"/>
        </w:rPr>
        <w:t xml:space="preserve">George Saintsbury, </w:t>
      </w:r>
      <w:r>
        <w:rPr>
          <w:i/>
          <w:lang w:val="en-IE"/>
        </w:rPr>
        <w:t>The Earl of Derby</w:t>
      </w:r>
      <w:r>
        <w:rPr>
          <w:lang w:val="en-IE"/>
        </w:rPr>
        <w:t>, (London</w:t>
      </w:r>
      <w:r w:rsidR="001B26E7">
        <w:rPr>
          <w:lang w:val="en-IE"/>
        </w:rPr>
        <w:t xml:space="preserve">: </w:t>
      </w:r>
      <w:r>
        <w:rPr>
          <w:lang w:val="en-IE"/>
        </w:rPr>
        <w:t>Sampson, Low, Marston and Co., 1892), 31.</w:t>
      </w:r>
    </w:p>
  </w:footnote>
  <w:footnote w:id="77">
    <w:p w14:paraId="67A587FC" w14:textId="77777777" w:rsidR="00970929" w:rsidRPr="00DD519B" w:rsidRDefault="00970929" w:rsidP="00DD519B">
      <w:pPr>
        <w:pStyle w:val="FootnoteText"/>
        <w:jc w:val="both"/>
        <w:rPr>
          <w:lang w:val="en-IE"/>
        </w:rPr>
      </w:pPr>
      <w:r>
        <w:rPr>
          <w:rStyle w:val="FootnoteReference"/>
        </w:rPr>
        <w:footnoteRef/>
      </w:r>
      <w:r>
        <w:t xml:space="preserve"> Letter from Lord Grey to Lord Anglesey, 25/01/1831, The Anglesey Papers, Public Records Office of </w:t>
      </w:r>
      <w:smartTag w:uri="urn:schemas-microsoft-com:office:smarttags" w:element="country-region">
        <w:smartTag w:uri="urn:schemas-microsoft-com:office:smarttags" w:element="place">
          <w:r>
            <w:t>Northern Ireland</w:t>
          </w:r>
        </w:smartTag>
      </w:smartTag>
      <w:r>
        <w:t xml:space="preserve"> (PRONI), D619/28/A/37.</w:t>
      </w:r>
    </w:p>
  </w:footnote>
  <w:footnote w:id="78">
    <w:p w14:paraId="545EB679" w14:textId="77777777" w:rsidR="00970929" w:rsidRPr="001851F2" w:rsidRDefault="00970929" w:rsidP="00DD519B">
      <w:pPr>
        <w:pStyle w:val="FootnoteText"/>
        <w:jc w:val="both"/>
        <w:rPr>
          <w:lang w:val="en-IE"/>
        </w:rPr>
      </w:pPr>
      <w:r>
        <w:rPr>
          <w:rStyle w:val="FootnoteReference"/>
        </w:rPr>
        <w:footnoteRef/>
      </w:r>
      <w:r>
        <w:t xml:space="preserve"> </w:t>
      </w:r>
      <w:r>
        <w:rPr>
          <w:lang w:val="en-IE"/>
        </w:rPr>
        <w:t>While Stanley may have been the prime mover, there is no doubt that both Grey and Anglesey were in support of this policy as is clear from Grey’s letters of 11</w:t>
      </w:r>
      <w:r w:rsidRPr="001851F2">
        <w:rPr>
          <w:vertAlign w:val="superscript"/>
          <w:lang w:val="en-IE"/>
        </w:rPr>
        <w:t>th</w:t>
      </w:r>
      <w:r>
        <w:rPr>
          <w:lang w:val="en-IE"/>
        </w:rPr>
        <w:t xml:space="preserve"> and 25</w:t>
      </w:r>
      <w:r w:rsidRPr="001851F2">
        <w:rPr>
          <w:vertAlign w:val="superscript"/>
          <w:lang w:val="en-IE"/>
        </w:rPr>
        <w:t>th</w:t>
      </w:r>
      <w:r>
        <w:rPr>
          <w:lang w:val="en-IE"/>
        </w:rPr>
        <w:t xml:space="preserve"> January to Anglesey, held at the Public Record Office for Northern Ireland (PRONI). D619/28/A/33 and D619/28/A/37.</w:t>
      </w:r>
    </w:p>
  </w:footnote>
  <w:footnote w:id="79">
    <w:p w14:paraId="508B1753" w14:textId="77777777" w:rsidR="00970929" w:rsidRPr="0024287A" w:rsidRDefault="00970929" w:rsidP="00DD519B">
      <w:pPr>
        <w:pStyle w:val="FootnoteText"/>
        <w:jc w:val="both"/>
        <w:rPr>
          <w:lang w:val="en-IE"/>
        </w:rPr>
      </w:pPr>
      <w:r>
        <w:rPr>
          <w:rStyle w:val="FootnoteReference"/>
        </w:rPr>
        <w:footnoteRef/>
      </w:r>
      <w:r>
        <w:t xml:space="preserve"> </w:t>
      </w:r>
      <w:r>
        <w:rPr>
          <w:lang w:val="en-IE"/>
        </w:rPr>
        <w:t xml:space="preserve">Seán Ó </w:t>
      </w:r>
      <w:proofErr w:type="spellStart"/>
      <w:r>
        <w:rPr>
          <w:lang w:val="en-IE"/>
        </w:rPr>
        <w:t>Faoláin</w:t>
      </w:r>
      <w:proofErr w:type="spellEnd"/>
      <w:r>
        <w:rPr>
          <w:lang w:val="en-IE"/>
        </w:rPr>
        <w:t xml:space="preserve">, </w:t>
      </w:r>
      <w:r>
        <w:rPr>
          <w:i/>
          <w:lang w:val="en-IE"/>
        </w:rPr>
        <w:t>King of the Beggars,</w:t>
      </w:r>
      <w:r>
        <w:rPr>
          <w:lang w:val="en-IE"/>
        </w:rPr>
        <w:t xml:space="preserve"> (London</w:t>
      </w:r>
      <w:r w:rsidR="00C56FBD">
        <w:rPr>
          <w:lang w:val="en-IE"/>
        </w:rPr>
        <w:t xml:space="preserve">: </w:t>
      </w:r>
      <w:r>
        <w:rPr>
          <w:lang w:val="en-IE"/>
        </w:rPr>
        <w:t>Thomas Nelson and Sons, 1938), 31.</w:t>
      </w:r>
    </w:p>
  </w:footnote>
  <w:footnote w:id="80">
    <w:p w14:paraId="030A9D0E" w14:textId="77777777" w:rsidR="00970929" w:rsidRPr="00EA1315" w:rsidRDefault="00970929" w:rsidP="00DD519B">
      <w:pPr>
        <w:pStyle w:val="FootnoteText"/>
        <w:jc w:val="both"/>
        <w:rPr>
          <w:lang w:val="en-IE"/>
        </w:rPr>
      </w:pPr>
      <w:r>
        <w:rPr>
          <w:rStyle w:val="FootnoteReference"/>
        </w:rPr>
        <w:footnoteRef/>
      </w:r>
      <w:r>
        <w:t xml:space="preserve"> </w:t>
      </w:r>
      <w:r>
        <w:rPr>
          <w:lang w:val="en-IE"/>
        </w:rPr>
        <w:t xml:space="preserve">O’Connell and </w:t>
      </w:r>
      <w:r w:rsidRPr="00EA1315">
        <w:rPr>
          <w:lang w:val="en-IE"/>
        </w:rPr>
        <w:t>Bennett were lifelong friends.  They shared acco</w:t>
      </w:r>
      <w:r w:rsidR="00C56FBD">
        <w:rPr>
          <w:lang w:val="en-IE"/>
        </w:rPr>
        <w:t>m</w:t>
      </w:r>
      <w:r w:rsidRPr="00EA1315">
        <w:rPr>
          <w:lang w:val="en-IE"/>
        </w:rPr>
        <w:t>m</w:t>
      </w:r>
      <w:r w:rsidR="00A0628A" w:rsidRPr="00EA1315">
        <w:rPr>
          <w:lang w:val="en-IE"/>
        </w:rPr>
        <w:t>o</w:t>
      </w:r>
      <w:r w:rsidRPr="00EA1315">
        <w:rPr>
          <w:lang w:val="en-IE"/>
        </w:rPr>
        <w:t xml:space="preserve">dation when both went to London as students at the bar.  </w:t>
      </w:r>
      <w:r w:rsidR="00A0628A" w:rsidRPr="00EA1315">
        <w:rPr>
          <w:lang w:val="en-IE"/>
        </w:rPr>
        <w:t>There is evidence that O’Connell tried to assist his friend to secure advancement in the legal world. See Patrick M</w:t>
      </w:r>
      <w:r w:rsidR="008B587E">
        <w:rPr>
          <w:lang w:val="en-IE"/>
        </w:rPr>
        <w:t>.</w:t>
      </w:r>
      <w:r w:rsidR="00A0628A" w:rsidRPr="00EA1315">
        <w:rPr>
          <w:lang w:val="en-IE"/>
        </w:rPr>
        <w:t xml:space="preserve"> Geoghegan, </w:t>
      </w:r>
      <w:r w:rsidR="00A0628A" w:rsidRPr="00EA1315">
        <w:rPr>
          <w:i/>
          <w:lang w:val="en-IE"/>
        </w:rPr>
        <w:t>King Dan</w:t>
      </w:r>
      <w:r w:rsidR="00A0628A" w:rsidRPr="00EA1315">
        <w:rPr>
          <w:lang w:val="en-IE"/>
        </w:rPr>
        <w:t xml:space="preserve"> (Dublin: Gill and Macmillan, 2008), 176. </w:t>
      </w:r>
      <w:r w:rsidRPr="00EA1315">
        <w:rPr>
          <w:lang w:val="en-IE"/>
        </w:rPr>
        <w:t>In 1832, Bennett was appointed Chief Justice of Tobago</w:t>
      </w:r>
      <w:r w:rsidR="00A0628A" w:rsidRPr="00EA1315">
        <w:rPr>
          <w:lang w:val="en-IE"/>
        </w:rPr>
        <w:t>.</w:t>
      </w:r>
    </w:p>
  </w:footnote>
  <w:footnote w:id="81">
    <w:p w14:paraId="4937C3A7" w14:textId="77777777" w:rsidR="00970929" w:rsidRPr="00866D15" w:rsidRDefault="00970929" w:rsidP="00DD519B">
      <w:pPr>
        <w:pStyle w:val="FootnoteText"/>
        <w:jc w:val="both"/>
        <w:rPr>
          <w:lang w:val="en-IE"/>
        </w:rPr>
      </w:pPr>
      <w:r w:rsidRPr="00EA1315">
        <w:rPr>
          <w:rStyle w:val="FootnoteReference"/>
        </w:rPr>
        <w:footnoteRef/>
      </w:r>
      <w:r w:rsidRPr="00EA1315">
        <w:t xml:space="preserve"> Maurice R. O’Connell</w:t>
      </w:r>
      <w:r>
        <w:t xml:space="preserve">, </w:t>
      </w:r>
      <w:r>
        <w:rPr>
          <w:i/>
        </w:rPr>
        <w:t>The Correspondence of Daniel O’Connell</w:t>
      </w:r>
      <w:r>
        <w:t>, (Dublin</w:t>
      </w:r>
      <w:r w:rsidR="009718E0">
        <w:t xml:space="preserve">: </w:t>
      </w:r>
      <w:r>
        <w:t>Irish Manuscripts Commission,</w:t>
      </w:r>
      <w:r w:rsidR="00C56FBD">
        <w:t xml:space="preserve"> </w:t>
      </w:r>
      <w:r>
        <w:t xml:space="preserve">1972-1977), vol.3, 288. </w:t>
      </w:r>
    </w:p>
  </w:footnote>
  <w:footnote w:id="82">
    <w:p w14:paraId="7B59C5E4" w14:textId="77777777" w:rsidR="00970929" w:rsidRPr="005E511A" w:rsidRDefault="00970929" w:rsidP="00DD519B">
      <w:pPr>
        <w:pStyle w:val="FootnoteText"/>
        <w:jc w:val="both"/>
        <w:rPr>
          <w:lang w:val="en-IE"/>
        </w:rPr>
      </w:pPr>
      <w:r>
        <w:rPr>
          <w:rStyle w:val="FootnoteReference"/>
        </w:rPr>
        <w:footnoteRef/>
      </w:r>
      <w:r>
        <w:t xml:space="preserve"> </w:t>
      </w:r>
      <w:r>
        <w:rPr>
          <w:lang w:val="en-IE"/>
        </w:rPr>
        <w:t xml:space="preserve">Ibid. </w:t>
      </w:r>
    </w:p>
  </w:footnote>
  <w:footnote w:id="83">
    <w:p w14:paraId="3E09C612" w14:textId="77777777" w:rsidR="00970929" w:rsidRPr="005C4010" w:rsidRDefault="00970929" w:rsidP="00DD519B">
      <w:pPr>
        <w:pStyle w:val="FootnoteText"/>
        <w:jc w:val="both"/>
        <w:rPr>
          <w:lang w:val="en-IE"/>
        </w:rPr>
      </w:pPr>
      <w:r>
        <w:rPr>
          <w:rStyle w:val="FootnoteReference"/>
        </w:rPr>
        <w:footnoteRef/>
      </w:r>
      <w:r>
        <w:t xml:space="preserve"> </w:t>
      </w:r>
      <w:r>
        <w:rPr>
          <w:lang w:val="en-IE"/>
        </w:rPr>
        <w:t>Ibid., 381.</w:t>
      </w:r>
    </w:p>
  </w:footnote>
  <w:footnote w:id="84">
    <w:p w14:paraId="18007F53" w14:textId="77777777" w:rsidR="00970929" w:rsidRPr="0013138A" w:rsidRDefault="00970929" w:rsidP="00DD519B">
      <w:pPr>
        <w:pStyle w:val="FootnoteText"/>
        <w:jc w:val="both"/>
      </w:pPr>
      <w:r>
        <w:rPr>
          <w:rStyle w:val="FootnoteReference"/>
        </w:rPr>
        <w:footnoteRef/>
      </w:r>
      <w:r>
        <w:t xml:space="preserve"> Ibid., </w:t>
      </w:r>
      <w:r w:rsidR="008B587E">
        <w:t>vol</w:t>
      </w:r>
      <w:r>
        <w:t>. 4, 244.</w:t>
      </w:r>
    </w:p>
  </w:footnote>
  <w:footnote w:id="85">
    <w:p w14:paraId="6621645F" w14:textId="77777777" w:rsidR="00970929" w:rsidRPr="00921901" w:rsidRDefault="00970929" w:rsidP="001851F2">
      <w:pPr>
        <w:pStyle w:val="FootnoteText"/>
        <w:jc w:val="both"/>
        <w:rPr>
          <w:lang w:val="en-IE"/>
        </w:rPr>
      </w:pPr>
      <w:r>
        <w:rPr>
          <w:rStyle w:val="FootnoteReference"/>
        </w:rPr>
        <w:footnoteRef/>
      </w:r>
      <w:r>
        <w:t xml:space="preserve"> </w:t>
      </w:r>
      <w:r>
        <w:rPr>
          <w:lang w:val="en-IE"/>
        </w:rPr>
        <w:t>Ibid.</w:t>
      </w:r>
    </w:p>
  </w:footnote>
  <w:footnote w:id="86">
    <w:p w14:paraId="2A148CD2" w14:textId="77777777" w:rsidR="00970929" w:rsidRPr="000C3DE6" w:rsidRDefault="00970929">
      <w:pPr>
        <w:pStyle w:val="FootnoteText"/>
        <w:rPr>
          <w:lang w:val="en-IE"/>
        </w:rPr>
      </w:pPr>
      <w:r>
        <w:rPr>
          <w:rStyle w:val="FootnoteReference"/>
        </w:rPr>
        <w:footnoteRef/>
      </w:r>
      <w:r>
        <w:t xml:space="preserve"> </w:t>
      </w:r>
      <w:r>
        <w:rPr>
          <w:lang w:val="en-IE"/>
        </w:rPr>
        <w:t xml:space="preserve">Trevelyan, </w:t>
      </w:r>
      <w:r>
        <w:rPr>
          <w:i/>
          <w:lang w:val="en-IE"/>
        </w:rPr>
        <w:t>Lord Gr</w:t>
      </w:r>
      <w:r w:rsidR="005E5807">
        <w:rPr>
          <w:i/>
          <w:lang w:val="en-IE"/>
        </w:rPr>
        <w:t>e</w:t>
      </w:r>
      <w:r>
        <w:rPr>
          <w:i/>
          <w:lang w:val="en-IE"/>
        </w:rPr>
        <w:t>y of the Reform Bill</w:t>
      </w:r>
      <w:r>
        <w:rPr>
          <w:lang w:val="en-IE"/>
        </w:rPr>
        <w:t>, 292.</w:t>
      </w:r>
    </w:p>
  </w:footnote>
  <w:footnote w:id="87">
    <w:p w14:paraId="716B14E0" w14:textId="77777777" w:rsidR="00970929" w:rsidRPr="00242037" w:rsidRDefault="00970929">
      <w:pPr>
        <w:pStyle w:val="FootnoteText"/>
        <w:rPr>
          <w:lang w:val="en-IE"/>
        </w:rPr>
      </w:pPr>
      <w:r>
        <w:rPr>
          <w:rStyle w:val="FootnoteReference"/>
        </w:rPr>
        <w:footnoteRef/>
      </w:r>
      <w:r>
        <w:t xml:space="preserve"> </w:t>
      </w:r>
      <w:r>
        <w:rPr>
          <w:lang w:val="en-IE"/>
        </w:rPr>
        <w:t>Lord Duncannon,</w:t>
      </w:r>
      <w:r w:rsidR="004629A0">
        <w:rPr>
          <w:lang w:val="en-IE"/>
        </w:rPr>
        <w:t xml:space="preserve"> </w:t>
      </w:r>
      <w:r>
        <w:rPr>
          <w:lang w:val="en-IE"/>
        </w:rPr>
        <w:t>(1781-1847), a member of The House of Commons, almost continuously since 1805. He was a supporter of Catholic Emancipation and a regular correspondent of O’Connell’s, advising his fellow countryman how best to secure the support of the Whig leadership.</w:t>
      </w:r>
    </w:p>
  </w:footnote>
  <w:footnote w:id="88">
    <w:p w14:paraId="340CC53E" w14:textId="77777777" w:rsidR="00970929" w:rsidRDefault="00970929" w:rsidP="00F853E0">
      <w:pPr>
        <w:pStyle w:val="FootnoteText"/>
      </w:pPr>
      <w:r>
        <w:rPr>
          <w:rStyle w:val="FootnoteReference"/>
        </w:rPr>
        <w:footnoteRef/>
      </w:r>
      <w:r>
        <w:t xml:space="preserve"> O’Connell ed., </w:t>
      </w:r>
      <w:r>
        <w:rPr>
          <w:i/>
        </w:rPr>
        <w:t>The Correspondence</w:t>
      </w:r>
      <w:r>
        <w:t>, vol.4. 227-235.</w:t>
      </w:r>
    </w:p>
  </w:footnote>
  <w:footnote w:id="89">
    <w:p w14:paraId="68F7BCB4" w14:textId="77777777" w:rsidR="00970929" w:rsidRPr="00E32EA9" w:rsidRDefault="00970929" w:rsidP="000C3DE6">
      <w:pPr>
        <w:pStyle w:val="FootnoteText"/>
      </w:pPr>
      <w:r>
        <w:rPr>
          <w:rStyle w:val="FootnoteReference"/>
        </w:rPr>
        <w:footnoteRef/>
      </w:r>
      <w:r>
        <w:t xml:space="preserve"> Ibid., 233</w:t>
      </w:r>
    </w:p>
  </w:footnote>
  <w:footnote w:id="90">
    <w:p w14:paraId="030F35C9" w14:textId="77777777" w:rsidR="00970929" w:rsidRPr="00161F53" w:rsidRDefault="00970929">
      <w:pPr>
        <w:pStyle w:val="FootnoteText"/>
        <w:rPr>
          <w:lang w:val="en-IE"/>
        </w:rPr>
      </w:pPr>
      <w:r>
        <w:rPr>
          <w:rStyle w:val="FootnoteReference"/>
        </w:rPr>
        <w:footnoteRef/>
      </w:r>
      <w:r>
        <w:t xml:space="preserve"> Ibid.</w:t>
      </w:r>
    </w:p>
  </w:footnote>
  <w:footnote w:id="91">
    <w:p w14:paraId="798F252D" w14:textId="77777777" w:rsidR="00970929" w:rsidRPr="00983839" w:rsidRDefault="00970929">
      <w:pPr>
        <w:pStyle w:val="FootnoteText"/>
        <w:rPr>
          <w:lang w:val="en-IE"/>
        </w:rPr>
      </w:pPr>
      <w:r>
        <w:rPr>
          <w:rStyle w:val="FootnoteReference"/>
        </w:rPr>
        <w:footnoteRef/>
      </w:r>
      <w:r>
        <w:t xml:space="preserve"> </w:t>
      </w:r>
      <w:smartTag w:uri="urn:schemas-microsoft-com:office:smarttags" w:element="place">
        <w:smartTag w:uri="urn:schemas-microsoft-com:office:smarttags" w:element="City">
          <w:r>
            <w:rPr>
              <w:lang w:val="en-IE"/>
            </w:rPr>
            <w:t>D</w:t>
          </w:r>
          <w:r w:rsidR="00180C46">
            <w:rPr>
              <w:lang w:val="en-IE"/>
            </w:rPr>
            <w:t>ublin</w:t>
          </w:r>
        </w:smartTag>
      </w:smartTag>
      <w:r w:rsidR="00180C46">
        <w:rPr>
          <w:lang w:val="en-IE"/>
        </w:rPr>
        <w:t xml:space="preserve"> </w:t>
      </w:r>
      <w:r>
        <w:rPr>
          <w:lang w:val="en-IE"/>
        </w:rPr>
        <w:t>D</w:t>
      </w:r>
      <w:r w:rsidR="00180C46">
        <w:rPr>
          <w:lang w:val="en-IE"/>
        </w:rPr>
        <w:t xml:space="preserve">iocesan  </w:t>
      </w:r>
      <w:r>
        <w:rPr>
          <w:lang w:val="en-IE"/>
        </w:rPr>
        <w:t>A</w:t>
      </w:r>
      <w:r w:rsidR="00180C46">
        <w:rPr>
          <w:lang w:val="en-IE"/>
        </w:rPr>
        <w:t>rchives</w:t>
      </w:r>
      <w:r>
        <w:rPr>
          <w:lang w:val="en-IE"/>
        </w:rPr>
        <w:t>, The Murray Papers, 31/1, no.75.</w:t>
      </w:r>
    </w:p>
  </w:footnote>
  <w:footnote w:id="92">
    <w:p w14:paraId="0392224B" w14:textId="77777777" w:rsidR="00970929" w:rsidRPr="005E7705" w:rsidRDefault="00970929">
      <w:pPr>
        <w:pStyle w:val="FootnoteText"/>
        <w:rPr>
          <w:lang w:val="en-IE"/>
        </w:rPr>
      </w:pPr>
      <w:r w:rsidRPr="005E7705">
        <w:rPr>
          <w:rStyle w:val="FootnoteReference"/>
        </w:rPr>
        <w:footnoteRef/>
      </w:r>
      <w:r w:rsidRPr="005E7705">
        <w:t xml:space="preserve"> </w:t>
      </w:r>
      <w:r w:rsidR="00F9663F" w:rsidRPr="005E7705">
        <w:t xml:space="preserve">O’Connell ed., </w:t>
      </w:r>
      <w:r w:rsidR="00F9663F" w:rsidRPr="005E7705">
        <w:rPr>
          <w:i/>
        </w:rPr>
        <w:t>The Correspondence</w:t>
      </w:r>
      <w:r w:rsidR="00F9663F" w:rsidRPr="005E7705">
        <w:t>, vol.4</w:t>
      </w:r>
      <w:r w:rsidRPr="005E7705">
        <w:rPr>
          <w:lang w:val="en-IE"/>
        </w:rPr>
        <w:t xml:space="preserve"> 269.</w:t>
      </w:r>
      <w:r w:rsidR="005E7705" w:rsidRPr="005E7705">
        <w:rPr>
          <w:lang w:val="en-IE"/>
        </w:rPr>
        <w:t xml:space="preserve"> Despite some misgivings among senior members of the </w:t>
      </w:r>
      <w:r w:rsidR="00E250B6">
        <w:rPr>
          <w:lang w:val="en-IE"/>
        </w:rPr>
        <w:t>G</w:t>
      </w:r>
      <w:r w:rsidR="00E250B6" w:rsidRPr="005E7705">
        <w:rPr>
          <w:lang w:val="en-IE"/>
        </w:rPr>
        <w:t>ov</w:t>
      </w:r>
      <w:r w:rsidR="00E250B6">
        <w:rPr>
          <w:lang w:val="en-IE"/>
        </w:rPr>
        <w:t>ernment</w:t>
      </w:r>
      <w:r w:rsidR="005E7705" w:rsidRPr="005E7705">
        <w:rPr>
          <w:lang w:val="en-IE"/>
        </w:rPr>
        <w:t>. in London</w:t>
      </w:r>
      <w:r w:rsidR="005E7705">
        <w:rPr>
          <w:lang w:val="en-IE"/>
        </w:rPr>
        <w:t>,</w:t>
      </w:r>
      <w:r w:rsidR="005E7705" w:rsidRPr="005E7705">
        <w:rPr>
          <w:lang w:val="en-IE"/>
        </w:rPr>
        <w:t xml:space="preserve"> Stanley had O’C</w:t>
      </w:r>
      <w:r w:rsidR="005E7705">
        <w:rPr>
          <w:lang w:val="en-IE"/>
        </w:rPr>
        <w:t>onnell</w:t>
      </w:r>
      <w:r w:rsidR="005E7705" w:rsidRPr="005E7705">
        <w:rPr>
          <w:lang w:val="en-IE"/>
        </w:rPr>
        <w:t xml:space="preserve"> and seven associates arrested and charged with conspiracy, unlawful assembly and sedition.</w:t>
      </w:r>
    </w:p>
  </w:footnote>
  <w:footnote w:id="93">
    <w:p w14:paraId="183A53DE" w14:textId="77777777" w:rsidR="00970929" w:rsidRPr="00947EE9" w:rsidRDefault="00970929" w:rsidP="00B47720">
      <w:pPr>
        <w:pStyle w:val="FootnoteText"/>
        <w:jc w:val="both"/>
        <w:rPr>
          <w:lang w:val="en-IE"/>
        </w:rPr>
      </w:pPr>
      <w:r>
        <w:rPr>
          <w:rStyle w:val="FootnoteReference"/>
        </w:rPr>
        <w:footnoteRef/>
      </w:r>
      <w:r>
        <w:t xml:space="preserve"> </w:t>
      </w:r>
      <w:r>
        <w:rPr>
          <w:lang w:val="en-IE"/>
        </w:rPr>
        <w:t xml:space="preserve">Marquess of Anglesey, </w:t>
      </w:r>
      <w:r>
        <w:rPr>
          <w:i/>
          <w:lang w:val="en-IE"/>
        </w:rPr>
        <w:t xml:space="preserve">One-Leg: The </w:t>
      </w:r>
      <w:r w:rsidR="005F5C08">
        <w:rPr>
          <w:i/>
          <w:lang w:val="en-IE"/>
        </w:rPr>
        <w:t xml:space="preserve">Life </w:t>
      </w:r>
      <w:r>
        <w:rPr>
          <w:i/>
          <w:lang w:val="en-IE"/>
        </w:rPr>
        <w:t xml:space="preserve">and </w:t>
      </w:r>
      <w:r w:rsidR="005F5C08">
        <w:rPr>
          <w:i/>
          <w:lang w:val="en-IE"/>
        </w:rPr>
        <w:t xml:space="preserve">Letters </w:t>
      </w:r>
      <w:r>
        <w:rPr>
          <w:i/>
          <w:lang w:val="en-IE"/>
        </w:rPr>
        <w:t>of Henry William Paget, First Marquess of Anglesey,</w:t>
      </w:r>
      <w:r>
        <w:rPr>
          <w:lang w:val="en-IE"/>
        </w:rPr>
        <w:t xml:space="preserve"> (London</w:t>
      </w:r>
      <w:r w:rsidR="00B96045">
        <w:rPr>
          <w:lang w:val="en-IE"/>
        </w:rPr>
        <w:t xml:space="preserve">: </w:t>
      </w:r>
      <w:r>
        <w:rPr>
          <w:lang w:val="en-IE"/>
        </w:rPr>
        <w:t>Leo Cooper, 1961).</w:t>
      </w:r>
    </w:p>
  </w:footnote>
  <w:footnote w:id="94">
    <w:p w14:paraId="10B01D1B" w14:textId="77777777" w:rsidR="00970929" w:rsidRPr="006371A2" w:rsidRDefault="00970929" w:rsidP="00B47720">
      <w:pPr>
        <w:pStyle w:val="FootnoteText"/>
        <w:jc w:val="both"/>
      </w:pPr>
      <w:r>
        <w:rPr>
          <w:rStyle w:val="FootnoteReference"/>
        </w:rPr>
        <w:footnoteRef/>
      </w:r>
      <w:r>
        <w:t xml:space="preserve"> Trevelyan, </w:t>
      </w:r>
      <w:r>
        <w:rPr>
          <w:i/>
        </w:rPr>
        <w:t>Lord Grey of the Reform Bill</w:t>
      </w:r>
      <w:r>
        <w:t>, 192.</w:t>
      </w:r>
    </w:p>
  </w:footnote>
  <w:footnote w:id="95">
    <w:p w14:paraId="4F5943CA" w14:textId="77777777" w:rsidR="00970929" w:rsidRPr="00B47720" w:rsidRDefault="00970929" w:rsidP="00B47720">
      <w:pPr>
        <w:pStyle w:val="FootnoteText"/>
        <w:jc w:val="both"/>
        <w:rPr>
          <w:lang w:val="en-IE"/>
        </w:rPr>
      </w:pPr>
      <w:r>
        <w:rPr>
          <w:rStyle w:val="FootnoteReference"/>
        </w:rPr>
        <w:footnoteRef/>
      </w:r>
      <w:r>
        <w:t xml:space="preserve"> </w:t>
      </w:r>
      <w:r>
        <w:rPr>
          <w:lang w:val="en-IE"/>
        </w:rPr>
        <w:t xml:space="preserve">Letter from Lord Grey to Lord Anglesey, </w:t>
      </w:r>
      <w:r w:rsidR="00A00C93">
        <w:rPr>
          <w:lang w:val="en-IE"/>
        </w:rPr>
        <w:t xml:space="preserve">4 May </w:t>
      </w:r>
      <w:r>
        <w:rPr>
          <w:lang w:val="en-IE"/>
        </w:rPr>
        <w:t>1831, The Anglesey Papers, PRONI, D619/28/A/54.</w:t>
      </w:r>
    </w:p>
  </w:footnote>
  <w:footnote w:id="96">
    <w:p w14:paraId="2E8A71F4" w14:textId="77777777" w:rsidR="00970929" w:rsidRPr="00CF79B2" w:rsidRDefault="00970929" w:rsidP="00B47720">
      <w:pPr>
        <w:pStyle w:val="FootnoteText"/>
        <w:jc w:val="both"/>
        <w:rPr>
          <w:lang w:val="en-IE"/>
        </w:rPr>
      </w:pPr>
      <w:r>
        <w:rPr>
          <w:rStyle w:val="FootnoteReference"/>
        </w:rPr>
        <w:footnoteRef/>
      </w:r>
      <w:r>
        <w:t xml:space="preserve"> </w:t>
      </w:r>
      <w:r>
        <w:rPr>
          <w:lang w:val="en-IE"/>
        </w:rPr>
        <w:t xml:space="preserve">Denis Le Marchant, </w:t>
      </w:r>
      <w:r>
        <w:rPr>
          <w:i/>
          <w:lang w:val="en-IE"/>
        </w:rPr>
        <w:t>Memoir of Viscount Althorp</w:t>
      </w:r>
      <w:r>
        <w:rPr>
          <w:lang w:val="en-IE"/>
        </w:rPr>
        <w:t>, (London</w:t>
      </w:r>
      <w:r w:rsidR="00576A44">
        <w:rPr>
          <w:lang w:val="en-IE"/>
        </w:rPr>
        <w:t xml:space="preserve">: </w:t>
      </w:r>
      <w:r>
        <w:rPr>
          <w:lang w:val="en-IE"/>
        </w:rPr>
        <w:t>Richard Bentley and Son, 1876), 288.</w:t>
      </w:r>
    </w:p>
  </w:footnote>
  <w:footnote w:id="97">
    <w:p w14:paraId="104261C1" w14:textId="77777777" w:rsidR="00970929" w:rsidRPr="00A97CAD" w:rsidRDefault="00970929" w:rsidP="00B47720">
      <w:pPr>
        <w:pStyle w:val="FootnoteText"/>
        <w:jc w:val="both"/>
        <w:rPr>
          <w:lang w:val="en-IE"/>
        </w:rPr>
      </w:pPr>
      <w:r>
        <w:rPr>
          <w:rStyle w:val="FootnoteReference"/>
        </w:rPr>
        <w:footnoteRef/>
      </w:r>
      <w:r>
        <w:t xml:space="preserve"> </w:t>
      </w:r>
      <w:r>
        <w:rPr>
          <w:lang w:val="en-IE"/>
        </w:rPr>
        <w:t>Ibid., 326.</w:t>
      </w:r>
    </w:p>
  </w:footnote>
  <w:footnote w:id="98">
    <w:p w14:paraId="5DACE0DC" w14:textId="77777777" w:rsidR="00970929" w:rsidRPr="001851F2" w:rsidRDefault="00970929" w:rsidP="00B47720">
      <w:pPr>
        <w:pStyle w:val="FootnoteText"/>
        <w:jc w:val="both"/>
        <w:rPr>
          <w:lang w:val="en-IE"/>
        </w:rPr>
      </w:pPr>
      <w:r>
        <w:rPr>
          <w:rStyle w:val="FootnoteReference"/>
        </w:rPr>
        <w:footnoteRef/>
      </w:r>
      <w:r>
        <w:t xml:space="preserve"> </w:t>
      </w:r>
      <w:r>
        <w:rPr>
          <w:lang w:val="en-IE"/>
        </w:rPr>
        <w:t>Letter from Lord Holland, a member of the Cabinet to Anglesey</w:t>
      </w:r>
      <w:r w:rsidR="006D1499">
        <w:rPr>
          <w:lang w:val="en-IE"/>
        </w:rPr>
        <w:t>,</w:t>
      </w:r>
      <w:r>
        <w:rPr>
          <w:lang w:val="en-IE"/>
        </w:rPr>
        <w:t xml:space="preserve"> 11</w:t>
      </w:r>
      <w:r w:rsidR="006D1499">
        <w:rPr>
          <w:lang w:val="en-IE"/>
        </w:rPr>
        <w:t xml:space="preserve"> July</w:t>
      </w:r>
      <w:r>
        <w:rPr>
          <w:lang w:val="en-IE"/>
        </w:rPr>
        <w:t xml:space="preserve"> 1831. The </w:t>
      </w:r>
      <w:smartTag w:uri="urn:schemas-microsoft-com:office:smarttags" w:element="place">
        <w:r>
          <w:rPr>
            <w:lang w:val="en-IE"/>
          </w:rPr>
          <w:t>Anglesey</w:t>
        </w:r>
      </w:smartTag>
      <w:r>
        <w:rPr>
          <w:lang w:val="en-IE"/>
        </w:rPr>
        <w:t xml:space="preserve"> Papers, PRONI, D/619/ 27/A/ 122.  </w:t>
      </w:r>
    </w:p>
  </w:footnote>
  <w:footnote w:id="99">
    <w:p w14:paraId="4C3B3728" w14:textId="77777777" w:rsidR="00970929" w:rsidRPr="001851F2" w:rsidRDefault="00970929" w:rsidP="00B47720">
      <w:pPr>
        <w:pStyle w:val="FootnoteText"/>
        <w:jc w:val="both"/>
        <w:rPr>
          <w:lang w:val="en-IE"/>
        </w:rPr>
      </w:pPr>
      <w:r>
        <w:rPr>
          <w:rStyle w:val="FootnoteReference"/>
        </w:rPr>
        <w:footnoteRef/>
      </w:r>
      <w:r>
        <w:t xml:space="preserve"> </w:t>
      </w:r>
      <w:smartTag w:uri="urn:schemas-microsoft-com:office:smarttags" w:element="City">
        <w:r>
          <w:t>Stanley</w:t>
        </w:r>
      </w:smartTag>
      <w:r>
        <w:t xml:space="preserve"> was a member of the Cabinet, whereas </w:t>
      </w:r>
      <w:smartTag w:uri="urn:schemas-microsoft-com:office:smarttags" w:element="place">
        <w:r>
          <w:t>Anglesey</w:t>
        </w:r>
      </w:smartTag>
      <w:r>
        <w:t xml:space="preserve"> was not.</w:t>
      </w:r>
    </w:p>
  </w:footnote>
  <w:footnote w:id="100">
    <w:p w14:paraId="16BFCE34" w14:textId="77777777" w:rsidR="002D4AB2" w:rsidRPr="004D0698" w:rsidRDefault="002D4AB2" w:rsidP="002D4AB2">
      <w:pPr>
        <w:pStyle w:val="FootnoteText"/>
        <w:jc w:val="both"/>
        <w:rPr>
          <w:lang w:val="en-IE"/>
        </w:rPr>
      </w:pPr>
      <w:r>
        <w:rPr>
          <w:rStyle w:val="FootnoteReference"/>
        </w:rPr>
        <w:footnoteRef/>
      </w:r>
      <w:r>
        <w:t xml:space="preserve"> </w:t>
      </w:r>
      <w:r>
        <w:rPr>
          <w:lang w:val="en-IE"/>
        </w:rPr>
        <w:t>DDA, Murray Papers, 31/3, no.42.</w:t>
      </w:r>
    </w:p>
  </w:footnote>
  <w:footnote w:id="101">
    <w:p w14:paraId="57565E1B" w14:textId="77777777" w:rsidR="002D4AB2" w:rsidRPr="00B47720" w:rsidRDefault="002D4AB2" w:rsidP="002D4AB2">
      <w:pPr>
        <w:pStyle w:val="FootnoteText"/>
        <w:jc w:val="both"/>
        <w:rPr>
          <w:lang w:val="en-IE"/>
        </w:rPr>
      </w:pPr>
      <w:r>
        <w:rPr>
          <w:rStyle w:val="FootnoteReference"/>
        </w:rPr>
        <w:footnoteRef/>
      </w:r>
      <w:r>
        <w:t xml:space="preserve"> </w:t>
      </w:r>
      <w:r>
        <w:rPr>
          <w:lang w:val="en-IE"/>
        </w:rPr>
        <w:t>The Grey Papers, Durham University Library, GRE/B65/1/23/1.</w:t>
      </w:r>
    </w:p>
  </w:footnote>
  <w:footnote w:id="102">
    <w:p w14:paraId="27651B02" w14:textId="77777777" w:rsidR="002D4AB2" w:rsidRPr="002A1CA8" w:rsidRDefault="002D4AB2" w:rsidP="002D4AB2">
      <w:pPr>
        <w:pStyle w:val="FootnoteText"/>
        <w:jc w:val="both"/>
      </w:pPr>
      <w:r>
        <w:rPr>
          <w:rStyle w:val="FootnoteReference"/>
        </w:rPr>
        <w:footnoteRef/>
      </w:r>
      <w:r>
        <w:t xml:space="preserve"> Cloncurry, </w:t>
      </w:r>
      <w:r>
        <w:rPr>
          <w:i/>
        </w:rPr>
        <w:t>Personal Recollections,</w:t>
      </w:r>
      <w:r>
        <w:t xml:space="preserve"> 390.</w:t>
      </w:r>
    </w:p>
  </w:footnote>
  <w:footnote w:id="103">
    <w:p w14:paraId="6CC9F676" w14:textId="77777777" w:rsidR="002D4AB2" w:rsidRPr="00173326" w:rsidRDefault="002D4AB2" w:rsidP="002D4AB2">
      <w:pPr>
        <w:pStyle w:val="FootnoteText"/>
        <w:rPr>
          <w:lang w:val="en-IE"/>
        </w:rPr>
      </w:pPr>
      <w:r>
        <w:rPr>
          <w:rStyle w:val="FootnoteReference"/>
        </w:rPr>
        <w:footnoteRef/>
      </w:r>
      <w:r>
        <w:t xml:space="preserve"> </w:t>
      </w:r>
      <w:r>
        <w:rPr>
          <w:lang w:val="en-IE"/>
        </w:rPr>
        <w:t>Letter from Anglesey to Stanley, 15</w:t>
      </w:r>
      <w:r w:rsidR="008339FA">
        <w:rPr>
          <w:lang w:val="en-IE"/>
        </w:rPr>
        <w:t xml:space="preserve"> July </w:t>
      </w:r>
      <w:r>
        <w:rPr>
          <w:lang w:val="en-IE"/>
        </w:rPr>
        <w:t>1831, The Anglesey papers, PRONI,  D/619/31.T.</w:t>
      </w:r>
    </w:p>
  </w:footnote>
  <w:footnote w:id="104">
    <w:p w14:paraId="1B010BCC" w14:textId="77777777" w:rsidR="002D4AB2" w:rsidRPr="001E42CA" w:rsidRDefault="002D4AB2" w:rsidP="002D4AB2">
      <w:pPr>
        <w:pStyle w:val="FootnoteText"/>
        <w:jc w:val="both"/>
        <w:rPr>
          <w:lang w:val="en-IE"/>
        </w:rPr>
      </w:pPr>
      <w:r>
        <w:rPr>
          <w:rStyle w:val="FootnoteReference"/>
        </w:rPr>
        <w:footnoteRef/>
      </w:r>
      <w:r>
        <w:t xml:space="preserve"> MacDonagh, </w:t>
      </w:r>
      <w:r>
        <w:rPr>
          <w:i/>
        </w:rPr>
        <w:t>O’Connell,</w:t>
      </w:r>
      <w:r>
        <w:t xml:space="preserve"> 338.</w:t>
      </w:r>
    </w:p>
  </w:footnote>
  <w:footnote w:id="105">
    <w:p w14:paraId="122E5F90" w14:textId="77777777" w:rsidR="002D4AB2" w:rsidRDefault="002D4AB2" w:rsidP="002D4AB2">
      <w:pPr>
        <w:pStyle w:val="FootnoteText"/>
        <w:jc w:val="both"/>
      </w:pPr>
      <w:r>
        <w:rPr>
          <w:rStyle w:val="FootnoteReference"/>
        </w:rPr>
        <w:footnoteRef/>
      </w:r>
      <w:r>
        <w:t xml:space="preserve"> O’ Connell</w:t>
      </w:r>
      <w:r w:rsidR="00BC7035">
        <w:t>,</w:t>
      </w:r>
      <w:r>
        <w:t xml:space="preserve"> ed., </w:t>
      </w:r>
      <w:r w:rsidRPr="003B5F93">
        <w:rPr>
          <w:i/>
        </w:rPr>
        <w:t>The Correspondence</w:t>
      </w:r>
      <w:r>
        <w:t xml:space="preserve"> vol. 4, 342.</w:t>
      </w:r>
    </w:p>
  </w:footnote>
  <w:footnote w:id="106">
    <w:p w14:paraId="1814D19C" w14:textId="77777777" w:rsidR="002D4AB2" w:rsidRPr="005978AA" w:rsidRDefault="002D4AB2" w:rsidP="002D4AB2">
      <w:pPr>
        <w:pStyle w:val="FootnoteText"/>
        <w:jc w:val="both"/>
        <w:rPr>
          <w:lang w:val="en-IE"/>
        </w:rPr>
      </w:pPr>
      <w:r>
        <w:rPr>
          <w:rStyle w:val="FootnoteReference"/>
        </w:rPr>
        <w:footnoteRef/>
      </w:r>
      <w:r>
        <w:t xml:space="preserve"> </w:t>
      </w:r>
      <w:r>
        <w:rPr>
          <w:lang w:val="en-IE"/>
        </w:rPr>
        <w:t>Ibid.</w:t>
      </w:r>
      <w:r w:rsidR="00BC7035">
        <w:rPr>
          <w:lang w:val="en-IE"/>
        </w:rPr>
        <w:t>,</w:t>
      </w:r>
      <w:r>
        <w:rPr>
          <w:lang w:val="en-IE"/>
        </w:rPr>
        <w:t xml:space="preserve"> 345.</w:t>
      </w:r>
    </w:p>
  </w:footnote>
  <w:footnote w:id="107">
    <w:p w14:paraId="71BA0D49" w14:textId="77777777" w:rsidR="002D4AB2" w:rsidRPr="00B47720" w:rsidRDefault="002D4AB2" w:rsidP="002D4AB2">
      <w:pPr>
        <w:pStyle w:val="FootnoteText"/>
        <w:jc w:val="both"/>
        <w:rPr>
          <w:lang w:val="en-IE"/>
        </w:rPr>
      </w:pPr>
      <w:r>
        <w:rPr>
          <w:rStyle w:val="FootnoteReference"/>
        </w:rPr>
        <w:footnoteRef/>
      </w:r>
      <w:r>
        <w:t xml:space="preserve"> </w:t>
      </w:r>
      <w:r>
        <w:rPr>
          <w:lang w:val="en-IE"/>
        </w:rPr>
        <w:t>Letter from Lord Grey to Lord Anglesey, 16</w:t>
      </w:r>
      <w:r w:rsidR="00A00C93">
        <w:rPr>
          <w:lang w:val="en-IE"/>
        </w:rPr>
        <w:t xml:space="preserve"> August</w:t>
      </w:r>
      <w:r w:rsidR="00BC7035">
        <w:rPr>
          <w:lang w:val="en-IE"/>
        </w:rPr>
        <w:t xml:space="preserve"> </w:t>
      </w:r>
      <w:r>
        <w:rPr>
          <w:lang w:val="en-IE"/>
        </w:rPr>
        <w:t>1831, The Anglesey Papers, PRONI, D619/28/A/71.</w:t>
      </w:r>
    </w:p>
  </w:footnote>
  <w:footnote w:id="108">
    <w:p w14:paraId="099C8B88" w14:textId="77777777" w:rsidR="002D4AB2" w:rsidRPr="00B6407E" w:rsidRDefault="002D4AB2" w:rsidP="002D4AB2">
      <w:pPr>
        <w:pStyle w:val="FootnoteText"/>
        <w:jc w:val="both"/>
        <w:rPr>
          <w:lang w:val="en-IE"/>
        </w:rPr>
      </w:pPr>
      <w:r>
        <w:rPr>
          <w:rStyle w:val="FootnoteReference"/>
        </w:rPr>
        <w:footnoteRef/>
      </w:r>
      <w:r>
        <w:t xml:space="preserve"> </w:t>
      </w:r>
      <w:r>
        <w:rPr>
          <w:lang w:val="en-IE"/>
        </w:rPr>
        <w:t xml:space="preserve">Saintsbury, </w:t>
      </w:r>
      <w:r>
        <w:rPr>
          <w:i/>
          <w:lang w:val="en-IE"/>
        </w:rPr>
        <w:t xml:space="preserve">The Earl of </w:t>
      </w:r>
      <w:smartTag w:uri="urn:schemas-microsoft-com:office:smarttags" w:element="City">
        <w:smartTag w:uri="urn:schemas-microsoft-com:office:smarttags" w:element="place">
          <w:r>
            <w:rPr>
              <w:i/>
              <w:lang w:val="en-IE"/>
            </w:rPr>
            <w:t>Derby</w:t>
          </w:r>
        </w:smartTag>
      </w:smartTag>
      <w:r>
        <w:rPr>
          <w:lang w:val="en-IE"/>
        </w:rPr>
        <w:t>, 28.</w:t>
      </w:r>
    </w:p>
  </w:footnote>
  <w:footnote w:id="109">
    <w:p w14:paraId="55A183FF" w14:textId="77777777" w:rsidR="00D4217C" w:rsidRPr="00B40F5F" w:rsidRDefault="00D4217C" w:rsidP="00D4217C">
      <w:pPr>
        <w:pStyle w:val="FootnoteText"/>
        <w:rPr>
          <w:lang w:val="en-IE"/>
        </w:rPr>
      </w:pPr>
      <w:r>
        <w:rPr>
          <w:rStyle w:val="FootnoteReference"/>
        </w:rPr>
        <w:footnoteRef/>
      </w:r>
      <w:r>
        <w:t xml:space="preserve"> </w:t>
      </w:r>
      <w:r>
        <w:rPr>
          <w:lang w:val="en-IE"/>
        </w:rPr>
        <w:t xml:space="preserve">Arthur Houston, ed.,  </w:t>
      </w:r>
      <w:r>
        <w:rPr>
          <w:i/>
          <w:lang w:val="en-IE"/>
        </w:rPr>
        <w:t>Daniel O’ Connell</w:t>
      </w:r>
      <w:r>
        <w:rPr>
          <w:lang w:val="en-IE"/>
        </w:rPr>
        <w:t xml:space="preserve">: </w:t>
      </w:r>
      <w:r>
        <w:rPr>
          <w:i/>
          <w:lang w:val="en-IE"/>
        </w:rPr>
        <w:t>His Early Life and Journal</w:t>
      </w:r>
      <w:r>
        <w:rPr>
          <w:lang w:val="en-IE"/>
        </w:rPr>
        <w:t>.</w:t>
      </w:r>
    </w:p>
  </w:footnote>
  <w:footnote w:id="110">
    <w:p w14:paraId="3051B231" w14:textId="77777777" w:rsidR="00D4217C" w:rsidRPr="00B40F5F" w:rsidRDefault="00D4217C" w:rsidP="00D4217C">
      <w:pPr>
        <w:pStyle w:val="FootnoteText"/>
        <w:rPr>
          <w:lang w:val="en-IE"/>
        </w:rPr>
      </w:pPr>
      <w:r>
        <w:rPr>
          <w:rStyle w:val="FootnoteReference"/>
        </w:rPr>
        <w:footnoteRef/>
      </w:r>
      <w:r>
        <w:t xml:space="preserve"> </w:t>
      </w:r>
      <w:r>
        <w:rPr>
          <w:lang w:val="en-IE"/>
        </w:rPr>
        <w:t xml:space="preserve"> Arthur Houston, ed.,  </w:t>
      </w:r>
      <w:r>
        <w:rPr>
          <w:i/>
          <w:lang w:val="en-IE"/>
        </w:rPr>
        <w:t>Daniel O’ Connell</w:t>
      </w:r>
      <w:r>
        <w:rPr>
          <w:lang w:val="en-IE"/>
        </w:rPr>
        <w:t xml:space="preserve">: </w:t>
      </w:r>
      <w:r>
        <w:rPr>
          <w:i/>
          <w:lang w:val="en-IE"/>
        </w:rPr>
        <w:t>His Early Life and Journal</w:t>
      </w:r>
      <w:r>
        <w:rPr>
          <w:lang w:val="en-IE"/>
        </w:rPr>
        <w:t xml:space="preserve">, 211                                        </w:t>
      </w:r>
    </w:p>
  </w:footnote>
  <w:footnote w:id="111">
    <w:p w14:paraId="492DD280" w14:textId="77777777" w:rsidR="00D4217C" w:rsidRPr="00B40F5F" w:rsidRDefault="00D4217C" w:rsidP="00D4217C">
      <w:pPr>
        <w:pStyle w:val="FootnoteText"/>
        <w:rPr>
          <w:lang w:val="en-IE"/>
        </w:rPr>
      </w:pPr>
      <w:r>
        <w:rPr>
          <w:rStyle w:val="FootnoteReference"/>
        </w:rPr>
        <w:footnoteRef/>
      </w:r>
      <w:r>
        <w:rPr>
          <w:lang w:val="en-IE"/>
        </w:rPr>
        <w:t xml:space="preserve"> Ibid., 193.</w:t>
      </w:r>
    </w:p>
  </w:footnote>
  <w:footnote w:id="112">
    <w:p w14:paraId="7DF14406" w14:textId="77777777" w:rsidR="00D4217C" w:rsidRPr="007010DB" w:rsidRDefault="00D4217C" w:rsidP="00D4217C">
      <w:pPr>
        <w:pStyle w:val="FootnoteText"/>
        <w:rPr>
          <w:lang w:val="en-IE"/>
        </w:rPr>
      </w:pPr>
      <w:r>
        <w:rPr>
          <w:rStyle w:val="FootnoteReference"/>
        </w:rPr>
        <w:footnoteRef/>
      </w:r>
      <w:r>
        <w:t xml:space="preserve"> </w:t>
      </w:r>
      <w:r>
        <w:rPr>
          <w:lang w:val="en-IE"/>
        </w:rPr>
        <w:t xml:space="preserve">W. J. Fitzpatrick, </w:t>
      </w:r>
      <w:r w:rsidR="000B031F">
        <w:rPr>
          <w:lang w:val="en-IE"/>
        </w:rPr>
        <w:t xml:space="preserve"> </w:t>
      </w:r>
      <w:r>
        <w:rPr>
          <w:i/>
          <w:lang w:val="en-IE"/>
        </w:rPr>
        <w:t>The Correspondence of Daniel O’ Connell</w:t>
      </w:r>
      <w:r>
        <w:rPr>
          <w:lang w:val="en-IE"/>
        </w:rPr>
        <w:t xml:space="preserve">, </w:t>
      </w:r>
      <w:r w:rsidR="000B031F">
        <w:rPr>
          <w:lang w:val="en-IE"/>
        </w:rPr>
        <w:t>2</w:t>
      </w:r>
      <w:r w:rsidR="006C70A2">
        <w:rPr>
          <w:lang w:val="en-IE"/>
        </w:rPr>
        <w:t>:</w:t>
      </w:r>
      <w:r>
        <w:rPr>
          <w:lang w:val="en-IE"/>
        </w:rPr>
        <w:t xml:space="preserve"> 245.</w:t>
      </w:r>
    </w:p>
  </w:footnote>
  <w:footnote w:id="113">
    <w:p w14:paraId="2BCB9DFB" w14:textId="77777777" w:rsidR="00D4217C" w:rsidRPr="00853120" w:rsidRDefault="00D4217C" w:rsidP="00D4217C">
      <w:pPr>
        <w:pStyle w:val="FootnoteText"/>
        <w:rPr>
          <w:lang w:val="en-IE"/>
        </w:rPr>
      </w:pPr>
      <w:r>
        <w:rPr>
          <w:rStyle w:val="FootnoteReference"/>
        </w:rPr>
        <w:footnoteRef/>
      </w:r>
      <w:r>
        <w:t xml:space="preserve"> W. J. </w:t>
      </w:r>
      <w:r>
        <w:rPr>
          <w:lang w:val="en-IE"/>
        </w:rPr>
        <w:t xml:space="preserve">O’Neill Daunt, </w:t>
      </w:r>
      <w:r w:rsidRPr="00853120">
        <w:rPr>
          <w:i/>
          <w:lang w:val="en-IE"/>
        </w:rPr>
        <w:t>Personal Recollections of the late Daniel O’ Connell, MP</w:t>
      </w:r>
      <w:r>
        <w:rPr>
          <w:lang w:val="en-IE"/>
        </w:rPr>
        <w:t xml:space="preserve">, </w:t>
      </w:r>
      <w:r w:rsidR="006C70A2">
        <w:rPr>
          <w:lang w:val="en-IE"/>
        </w:rPr>
        <w:t xml:space="preserve">1: </w:t>
      </w:r>
      <w:r>
        <w:rPr>
          <w:lang w:val="en-IE"/>
        </w:rPr>
        <w:t>15.</w:t>
      </w:r>
    </w:p>
  </w:footnote>
  <w:footnote w:id="114">
    <w:p w14:paraId="3D786D24" w14:textId="77777777" w:rsidR="002D4AB2" w:rsidRPr="00556E35" w:rsidRDefault="002D4AB2" w:rsidP="002D4AB2">
      <w:pPr>
        <w:pStyle w:val="FootnoteText"/>
        <w:rPr>
          <w:lang w:val="en-IE"/>
        </w:rPr>
      </w:pPr>
      <w:r>
        <w:rPr>
          <w:rStyle w:val="FootnoteReference"/>
        </w:rPr>
        <w:footnoteRef/>
      </w:r>
      <w:r>
        <w:t xml:space="preserve"> </w:t>
      </w:r>
      <w:r>
        <w:rPr>
          <w:lang w:val="en-IE"/>
        </w:rPr>
        <w:t xml:space="preserve">O’Connell, </w:t>
      </w:r>
      <w:r>
        <w:rPr>
          <w:i/>
          <w:lang w:val="en-IE"/>
        </w:rPr>
        <w:t>The Correspondence</w:t>
      </w:r>
      <w:r>
        <w:rPr>
          <w:lang w:val="en-IE"/>
        </w:rPr>
        <w:t>, vol.</w:t>
      </w:r>
      <w:r w:rsidR="00BC7035">
        <w:rPr>
          <w:lang w:val="en-IE"/>
        </w:rPr>
        <w:t xml:space="preserve"> </w:t>
      </w:r>
      <w:r>
        <w:rPr>
          <w:lang w:val="en-IE"/>
        </w:rPr>
        <w:t>4,  203-204.</w:t>
      </w:r>
    </w:p>
  </w:footnote>
  <w:footnote w:id="115">
    <w:p w14:paraId="4FFFD871" w14:textId="77777777" w:rsidR="002D4AB2" w:rsidRPr="006553FC" w:rsidRDefault="002D4AB2" w:rsidP="002D4AB2">
      <w:pPr>
        <w:pStyle w:val="FootnoteText"/>
        <w:rPr>
          <w:lang w:val="en-IE"/>
        </w:rPr>
      </w:pPr>
      <w:r>
        <w:rPr>
          <w:rStyle w:val="FootnoteReference"/>
        </w:rPr>
        <w:footnoteRef/>
      </w:r>
      <w:r>
        <w:t xml:space="preserve"> </w:t>
      </w:r>
      <w:r>
        <w:rPr>
          <w:lang w:val="en-IE"/>
        </w:rPr>
        <w:t>DDA, The Murray papers, 31/2, no.30.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B3305"/>
    <w:rsid w:val="00005238"/>
    <w:rsid w:val="00007618"/>
    <w:rsid w:val="00011B7E"/>
    <w:rsid w:val="00015F4B"/>
    <w:rsid w:val="00026A28"/>
    <w:rsid w:val="000320CD"/>
    <w:rsid w:val="000341FF"/>
    <w:rsid w:val="0004249D"/>
    <w:rsid w:val="00052FEB"/>
    <w:rsid w:val="00061835"/>
    <w:rsid w:val="00083B20"/>
    <w:rsid w:val="00091F15"/>
    <w:rsid w:val="0009275A"/>
    <w:rsid w:val="00096923"/>
    <w:rsid w:val="000A6D88"/>
    <w:rsid w:val="000B031F"/>
    <w:rsid w:val="000B220A"/>
    <w:rsid w:val="000B4BF8"/>
    <w:rsid w:val="000B5744"/>
    <w:rsid w:val="000C3DE6"/>
    <w:rsid w:val="000D1C37"/>
    <w:rsid w:val="000D501C"/>
    <w:rsid w:val="000E38FF"/>
    <w:rsid w:val="000E51C7"/>
    <w:rsid w:val="000E6353"/>
    <w:rsid w:val="000F3723"/>
    <w:rsid w:val="000F5FD1"/>
    <w:rsid w:val="000F6B89"/>
    <w:rsid w:val="00100990"/>
    <w:rsid w:val="001062E9"/>
    <w:rsid w:val="001168FA"/>
    <w:rsid w:val="0011782B"/>
    <w:rsid w:val="001254A1"/>
    <w:rsid w:val="0014204C"/>
    <w:rsid w:val="00152E7B"/>
    <w:rsid w:val="00161F53"/>
    <w:rsid w:val="001678A5"/>
    <w:rsid w:val="00167ADB"/>
    <w:rsid w:val="00173326"/>
    <w:rsid w:val="00180C46"/>
    <w:rsid w:val="00182145"/>
    <w:rsid w:val="001851F2"/>
    <w:rsid w:val="001854D7"/>
    <w:rsid w:val="001A334A"/>
    <w:rsid w:val="001A7671"/>
    <w:rsid w:val="001B0493"/>
    <w:rsid w:val="001B26E7"/>
    <w:rsid w:val="001C15B5"/>
    <w:rsid w:val="001C1FA9"/>
    <w:rsid w:val="001C2294"/>
    <w:rsid w:val="001C5A4D"/>
    <w:rsid w:val="001D5CE1"/>
    <w:rsid w:val="001E3A3E"/>
    <w:rsid w:val="001E42CA"/>
    <w:rsid w:val="001E4818"/>
    <w:rsid w:val="001E4AD6"/>
    <w:rsid w:val="001E65A5"/>
    <w:rsid w:val="001F05AB"/>
    <w:rsid w:val="001F22DD"/>
    <w:rsid w:val="001F2915"/>
    <w:rsid w:val="00202EB1"/>
    <w:rsid w:val="00203BEB"/>
    <w:rsid w:val="00206622"/>
    <w:rsid w:val="00211F10"/>
    <w:rsid w:val="00220FFA"/>
    <w:rsid w:val="0022384C"/>
    <w:rsid w:val="00223DB3"/>
    <w:rsid w:val="00226B6D"/>
    <w:rsid w:val="00227649"/>
    <w:rsid w:val="00230128"/>
    <w:rsid w:val="00242037"/>
    <w:rsid w:val="0024287A"/>
    <w:rsid w:val="00247B1D"/>
    <w:rsid w:val="00254CB9"/>
    <w:rsid w:val="00255DAA"/>
    <w:rsid w:val="0026145E"/>
    <w:rsid w:val="002653F7"/>
    <w:rsid w:val="00273D79"/>
    <w:rsid w:val="002823C1"/>
    <w:rsid w:val="00285819"/>
    <w:rsid w:val="00291B8A"/>
    <w:rsid w:val="00297931"/>
    <w:rsid w:val="002A423A"/>
    <w:rsid w:val="002C4D34"/>
    <w:rsid w:val="002D127B"/>
    <w:rsid w:val="002D4AB2"/>
    <w:rsid w:val="002D563A"/>
    <w:rsid w:val="002E2113"/>
    <w:rsid w:val="002E2401"/>
    <w:rsid w:val="002E3296"/>
    <w:rsid w:val="002F43B2"/>
    <w:rsid w:val="002F5EE7"/>
    <w:rsid w:val="002F608D"/>
    <w:rsid w:val="00304E7C"/>
    <w:rsid w:val="00310E33"/>
    <w:rsid w:val="00311CE2"/>
    <w:rsid w:val="0031773F"/>
    <w:rsid w:val="00326AFA"/>
    <w:rsid w:val="0032782B"/>
    <w:rsid w:val="00332BF5"/>
    <w:rsid w:val="00333FD3"/>
    <w:rsid w:val="0033768C"/>
    <w:rsid w:val="003512E5"/>
    <w:rsid w:val="0035200C"/>
    <w:rsid w:val="00353410"/>
    <w:rsid w:val="00365C24"/>
    <w:rsid w:val="003727B2"/>
    <w:rsid w:val="003748D0"/>
    <w:rsid w:val="003804E4"/>
    <w:rsid w:val="003903D9"/>
    <w:rsid w:val="003905FD"/>
    <w:rsid w:val="00394E77"/>
    <w:rsid w:val="003952DF"/>
    <w:rsid w:val="003958C9"/>
    <w:rsid w:val="003A4E17"/>
    <w:rsid w:val="003A58A0"/>
    <w:rsid w:val="003A79F4"/>
    <w:rsid w:val="003B2B41"/>
    <w:rsid w:val="003B5F93"/>
    <w:rsid w:val="003B712B"/>
    <w:rsid w:val="003C15FF"/>
    <w:rsid w:val="003D0E9F"/>
    <w:rsid w:val="003E08CB"/>
    <w:rsid w:val="003F36C6"/>
    <w:rsid w:val="00402B3A"/>
    <w:rsid w:val="00410E35"/>
    <w:rsid w:val="004155D6"/>
    <w:rsid w:val="00422810"/>
    <w:rsid w:val="00434CEF"/>
    <w:rsid w:val="00437B5F"/>
    <w:rsid w:val="00440A42"/>
    <w:rsid w:val="00451A53"/>
    <w:rsid w:val="004525B3"/>
    <w:rsid w:val="00452F66"/>
    <w:rsid w:val="00456EDF"/>
    <w:rsid w:val="004629A0"/>
    <w:rsid w:val="00475502"/>
    <w:rsid w:val="00475EDC"/>
    <w:rsid w:val="004845A6"/>
    <w:rsid w:val="00484F3C"/>
    <w:rsid w:val="004878DF"/>
    <w:rsid w:val="0049553E"/>
    <w:rsid w:val="00497BD2"/>
    <w:rsid w:val="004A1FCC"/>
    <w:rsid w:val="004C180C"/>
    <w:rsid w:val="004C7137"/>
    <w:rsid w:val="004D0033"/>
    <w:rsid w:val="004D0698"/>
    <w:rsid w:val="004D2014"/>
    <w:rsid w:val="004D3EE6"/>
    <w:rsid w:val="004D5915"/>
    <w:rsid w:val="004E2335"/>
    <w:rsid w:val="004E50FF"/>
    <w:rsid w:val="004E5B79"/>
    <w:rsid w:val="004E5C3A"/>
    <w:rsid w:val="004F08E8"/>
    <w:rsid w:val="00505D03"/>
    <w:rsid w:val="00515B4B"/>
    <w:rsid w:val="00516556"/>
    <w:rsid w:val="00517479"/>
    <w:rsid w:val="00520F6F"/>
    <w:rsid w:val="0052322D"/>
    <w:rsid w:val="00532392"/>
    <w:rsid w:val="00540891"/>
    <w:rsid w:val="00543332"/>
    <w:rsid w:val="00547386"/>
    <w:rsid w:val="00556AB5"/>
    <w:rsid w:val="00556E35"/>
    <w:rsid w:val="00560FA5"/>
    <w:rsid w:val="00566CBA"/>
    <w:rsid w:val="005717CD"/>
    <w:rsid w:val="00574541"/>
    <w:rsid w:val="00576A44"/>
    <w:rsid w:val="005860CF"/>
    <w:rsid w:val="00586FB7"/>
    <w:rsid w:val="005978AA"/>
    <w:rsid w:val="005A762E"/>
    <w:rsid w:val="005B1438"/>
    <w:rsid w:val="005B2248"/>
    <w:rsid w:val="005B3566"/>
    <w:rsid w:val="005B55B5"/>
    <w:rsid w:val="005B65B7"/>
    <w:rsid w:val="005B6C23"/>
    <w:rsid w:val="005C2B99"/>
    <w:rsid w:val="005C4010"/>
    <w:rsid w:val="005C66DC"/>
    <w:rsid w:val="005D2D47"/>
    <w:rsid w:val="005D50A2"/>
    <w:rsid w:val="005E04F1"/>
    <w:rsid w:val="005E49FE"/>
    <w:rsid w:val="005E511A"/>
    <w:rsid w:val="005E5807"/>
    <w:rsid w:val="005E7705"/>
    <w:rsid w:val="005F5C08"/>
    <w:rsid w:val="00600D11"/>
    <w:rsid w:val="0060266F"/>
    <w:rsid w:val="006132A6"/>
    <w:rsid w:val="00613EAD"/>
    <w:rsid w:val="00613EF1"/>
    <w:rsid w:val="006233D4"/>
    <w:rsid w:val="0063709D"/>
    <w:rsid w:val="00642786"/>
    <w:rsid w:val="00644A99"/>
    <w:rsid w:val="00647262"/>
    <w:rsid w:val="006553FC"/>
    <w:rsid w:val="006715C3"/>
    <w:rsid w:val="006742B9"/>
    <w:rsid w:val="006753FC"/>
    <w:rsid w:val="0068098D"/>
    <w:rsid w:val="00681CE0"/>
    <w:rsid w:val="0068424E"/>
    <w:rsid w:val="00694D92"/>
    <w:rsid w:val="00697854"/>
    <w:rsid w:val="006A130C"/>
    <w:rsid w:val="006A4B44"/>
    <w:rsid w:val="006B4FE2"/>
    <w:rsid w:val="006B7335"/>
    <w:rsid w:val="006B75AD"/>
    <w:rsid w:val="006C1E93"/>
    <w:rsid w:val="006C2335"/>
    <w:rsid w:val="006C6892"/>
    <w:rsid w:val="006C70A2"/>
    <w:rsid w:val="006D10FE"/>
    <w:rsid w:val="006D1198"/>
    <w:rsid w:val="006D1499"/>
    <w:rsid w:val="006D3180"/>
    <w:rsid w:val="006E3C03"/>
    <w:rsid w:val="006E3DD8"/>
    <w:rsid w:val="006F5F7A"/>
    <w:rsid w:val="0070232E"/>
    <w:rsid w:val="00703926"/>
    <w:rsid w:val="00706AFC"/>
    <w:rsid w:val="00706FEB"/>
    <w:rsid w:val="007217FF"/>
    <w:rsid w:val="007240EF"/>
    <w:rsid w:val="00727A7D"/>
    <w:rsid w:val="0073462F"/>
    <w:rsid w:val="007355D9"/>
    <w:rsid w:val="007514C6"/>
    <w:rsid w:val="00763170"/>
    <w:rsid w:val="0078424C"/>
    <w:rsid w:val="00787350"/>
    <w:rsid w:val="00790CD2"/>
    <w:rsid w:val="00794F47"/>
    <w:rsid w:val="007A0B1F"/>
    <w:rsid w:val="007A1869"/>
    <w:rsid w:val="007B0612"/>
    <w:rsid w:val="007B2D90"/>
    <w:rsid w:val="007B5CD9"/>
    <w:rsid w:val="007B703C"/>
    <w:rsid w:val="007D76E7"/>
    <w:rsid w:val="007D776B"/>
    <w:rsid w:val="00801210"/>
    <w:rsid w:val="00815FF2"/>
    <w:rsid w:val="00823D91"/>
    <w:rsid w:val="00826F79"/>
    <w:rsid w:val="008339FA"/>
    <w:rsid w:val="00846C38"/>
    <w:rsid w:val="00852AA2"/>
    <w:rsid w:val="00856821"/>
    <w:rsid w:val="008658BF"/>
    <w:rsid w:val="00865C75"/>
    <w:rsid w:val="00866D15"/>
    <w:rsid w:val="008727FF"/>
    <w:rsid w:val="00875124"/>
    <w:rsid w:val="0087685C"/>
    <w:rsid w:val="00890E2A"/>
    <w:rsid w:val="0089158F"/>
    <w:rsid w:val="00895D34"/>
    <w:rsid w:val="008A5E8C"/>
    <w:rsid w:val="008B0351"/>
    <w:rsid w:val="008B0EF9"/>
    <w:rsid w:val="008B587E"/>
    <w:rsid w:val="008B5F3A"/>
    <w:rsid w:val="008C23AC"/>
    <w:rsid w:val="008D4A48"/>
    <w:rsid w:val="008D6460"/>
    <w:rsid w:val="008D736E"/>
    <w:rsid w:val="008E1A56"/>
    <w:rsid w:val="008E5751"/>
    <w:rsid w:val="008F32AD"/>
    <w:rsid w:val="00910022"/>
    <w:rsid w:val="00920616"/>
    <w:rsid w:val="00920FA1"/>
    <w:rsid w:val="00921273"/>
    <w:rsid w:val="00921901"/>
    <w:rsid w:val="00921A5E"/>
    <w:rsid w:val="00921AE2"/>
    <w:rsid w:val="00934F1B"/>
    <w:rsid w:val="009427DE"/>
    <w:rsid w:val="00947EE9"/>
    <w:rsid w:val="00954E71"/>
    <w:rsid w:val="009575AA"/>
    <w:rsid w:val="0096446A"/>
    <w:rsid w:val="009645C9"/>
    <w:rsid w:val="00970929"/>
    <w:rsid w:val="009718E0"/>
    <w:rsid w:val="00972C5B"/>
    <w:rsid w:val="00975919"/>
    <w:rsid w:val="00981E1D"/>
    <w:rsid w:val="00982569"/>
    <w:rsid w:val="00983839"/>
    <w:rsid w:val="00996DEE"/>
    <w:rsid w:val="009A64E3"/>
    <w:rsid w:val="009B3305"/>
    <w:rsid w:val="009B4317"/>
    <w:rsid w:val="009C4E6A"/>
    <w:rsid w:val="009D0FEC"/>
    <w:rsid w:val="009D1A1D"/>
    <w:rsid w:val="009D623C"/>
    <w:rsid w:val="009E3552"/>
    <w:rsid w:val="009F56D4"/>
    <w:rsid w:val="009F6B21"/>
    <w:rsid w:val="009F6EE4"/>
    <w:rsid w:val="00A00C93"/>
    <w:rsid w:val="00A0628A"/>
    <w:rsid w:val="00A066FD"/>
    <w:rsid w:val="00A106A0"/>
    <w:rsid w:val="00A11DA0"/>
    <w:rsid w:val="00A164A3"/>
    <w:rsid w:val="00A201E8"/>
    <w:rsid w:val="00A224B5"/>
    <w:rsid w:val="00A2794B"/>
    <w:rsid w:val="00A32808"/>
    <w:rsid w:val="00A32AF3"/>
    <w:rsid w:val="00A341E3"/>
    <w:rsid w:val="00A52E01"/>
    <w:rsid w:val="00A61A80"/>
    <w:rsid w:val="00A63135"/>
    <w:rsid w:val="00A66EF5"/>
    <w:rsid w:val="00A77CAF"/>
    <w:rsid w:val="00A80955"/>
    <w:rsid w:val="00A852AA"/>
    <w:rsid w:val="00A97CAD"/>
    <w:rsid w:val="00AA6E73"/>
    <w:rsid w:val="00AA78F7"/>
    <w:rsid w:val="00AC1CFA"/>
    <w:rsid w:val="00AC615B"/>
    <w:rsid w:val="00AC6895"/>
    <w:rsid w:val="00AE0249"/>
    <w:rsid w:val="00AF359D"/>
    <w:rsid w:val="00B03CB6"/>
    <w:rsid w:val="00B04185"/>
    <w:rsid w:val="00B047EC"/>
    <w:rsid w:val="00B10D93"/>
    <w:rsid w:val="00B2035F"/>
    <w:rsid w:val="00B24863"/>
    <w:rsid w:val="00B24DD8"/>
    <w:rsid w:val="00B275B5"/>
    <w:rsid w:val="00B276F7"/>
    <w:rsid w:val="00B40D35"/>
    <w:rsid w:val="00B47720"/>
    <w:rsid w:val="00B477AD"/>
    <w:rsid w:val="00B52FBC"/>
    <w:rsid w:val="00B63D73"/>
    <w:rsid w:val="00B6407E"/>
    <w:rsid w:val="00B64C2E"/>
    <w:rsid w:val="00B67DA4"/>
    <w:rsid w:val="00B77A81"/>
    <w:rsid w:val="00B822E7"/>
    <w:rsid w:val="00B825F2"/>
    <w:rsid w:val="00B8658A"/>
    <w:rsid w:val="00B93CF7"/>
    <w:rsid w:val="00B96045"/>
    <w:rsid w:val="00BA1694"/>
    <w:rsid w:val="00BA1D8D"/>
    <w:rsid w:val="00BA37E3"/>
    <w:rsid w:val="00BA492E"/>
    <w:rsid w:val="00BA5C37"/>
    <w:rsid w:val="00BA6BC8"/>
    <w:rsid w:val="00BB41BB"/>
    <w:rsid w:val="00BC2F09"/>
    <w:rsid w:val="00BC7035"/>
    <w:rsid w:val="00BC74FE"/>
    <w:rsid w:val="00BD18F4"/>
    <w:rsid w:val="00BD3393"/>
    <w:rsid w:val="00BD3E4C"/>
    <w:rsid w:val="00BF6CF7"/>
    <w:rsid w:val="00C021D6"/>
    <w:rsid w:val="00C06004"/>
    <w:rsid w:val="00C108FB"/>
    <w:rsid w:val="00C2014D"/>
    <w:rsid w:val="00C25803"/>
    <w:rsid w:val="00C33784"/>
    <w:rsid w:val="00C3420A"/>
    <w:rsid w:val="00C36FB5"/>
    <w:rsid w:val="00C427BD"/>
    <w:rsid w:val="00C43781"/>
    <w:rsid w:val="00C44770"/>
    <w:rsid w:val="00C46681"/>
    <w:rsid w:val="00C547CD"/>
    <w:rsid w:val="00C54E6A"/>
    <w:rsid w:val="00C56FBD"/>
    <w:rsid w:val="00C62267"/>
    <w:rsid w:val="00C63D84"/>
    <w:rsid w:val="00C71E3E"/>
    <w:rsid w:val="00C72C89"/>
    <w:rsid w:val="00C7591B"/>
    <w:rsid w:val="00C75CE6"/>
    <w:rsid w:val="00C83C54"/>
    <w:rsid w:val="00C865E9"/>
    <w:rsid w:val="00C951A6"/>
    <w:rsid w:val="00CB2C08"/>
    <w:rsid w:val="00CB2F1C"/>
    <w:rsid w:val="00CB3CE8"/>
    <w:rsid w:val="00CB6B62"/>
    <w:rsid w:val="00CB7736"/>
    <w:rsid w:val="00CB795F"/>
    <w:rsid w:val="00CC1284"/>
    <w:rsid w:val="00CC224D"/>
    <w:rsid w:val="00CC31CD"/>
    <w:rsid w:val="00CD0428"/>
    <w:rsid w:val="00CF28D2"/>
    <w:rsid w:val="00CF79B2"/>
    <w:rsid w:val="00D05B25"/>
    <w:rsid w:val="00D124CD"/>
    <w:rsid w:val="00D17821"/>
    <w:rsid w:val="00D20F2E"/>
    <w:rsid w:val="00D20FBF"/>
    <w:rsid w:val="00D27606"/>
    <w:rsid w:val="00D2773F"/>
    <w:rsid w:val="00D30943"/>
    <w:rsid w:val="00D34F3F"/>
    <w:rsid w:val="00D4217C"/>
    <w:rsid w:val="00D5070F"/>
    <w:rsid w:val="00D50858"/>
    <w:rsid w:val="00D516EE"/>
    <w:rsid w:val="00D51CA9"/>
    <w:rsid w:val="00D5281C"/>
    <w:rsid w:val="00D54484"/>
    <w:rsid w:val="00D55EA0"/>
    <w:rsid w:val="00D57894"/>
    <w:rsid w:val="00D60846"/>
    <w:rsid w:val="00D6456E"/>
    <w:rsid w:val="00D75A8D"/>
    <w:rsid w:val="00D76515"/>
    <w:rsid w:val="00D8642D"/>
    <w:rsid w:val="00D86C33"/>
    <w:rsid w:val="00D930ED"/>
    <w:rsid w:val="00D969D9"/>
    <w:rsid w:val="00DA38FA"/>
    <w:rsid w:val="00DA59D7"/>
    <w:rsid w:val="00DB57F8"/>
    <w:rsid w:val="00DB644B"/>
    <w:rsid w:val="00DC2E28"/>
    <w:rsid w:val="00DC427F"/>
    <w:rsid w:val="00DC4F93"/>
    <w:rsid w:val="00DD2BF2"/>
    <w:rsid w:val="00DD327F"/>
    <w:rsid w:val="00DD519B"/>
    <w:rsid w:val="00DE7572"/>
    <w:rsid w:val="00DF0B5A"/>
    <w:rsid w:val="00DF2DC1"/>
    <w:rsid w:val="00E00D29"/>
    <w:rsid w:val="00E00EB5"/>
    <w:rsid w:val="00E0559A"/>
    <w:rsid w:val="00E10A7F"/>
    <w:rsid w:val="00E20691"/>
    <w:rsid w:val="00E250B6"/>
    <w:rsid w:val="00E46B4A"/>
    <w:rsid w:val="00E53315"/>
    <w:rsid w:val="00E53582"/>
    <w:rsid w:val="00E63833"/>
    <w:rsid w:val="00E674A0"/>
    <w:rsid w:val="00E711F3"/>
    <w:rsid w:val="00E71EC4"/>
    <w:rsid w:val="00E73F43"/>
    <w:rsid w:val="00E744D9"/>
    <w:rsid w:val="00E76DC4"/>
    <w:rsid w:val="00E8012A"/>
    <w:rsid w:val="00E80ADD"/>
    <w:rsid w:val="00E838FE"/>
    <w:rsid w:val="00E95AC5"/>
    <w:rsid w:val="00EA1315"/>
    <w:rsid w:val="00EA3159"/>
    <w:rsid w:val="00EA5F96"/>
    <w:rsid w:val="00EB0C54"/>
    <w:rsid w:val="00EB3466"/>
    <w:rsid w:val="00EC1A47"/>
    <w:rsid w:val="00EC2C73"/>
    <w:rsid w:val="00EC6034"/>
    <w:rsid w:val="00ED089E"/>
    <w:rsid w:val="00ED1CE4"/>
    <w:rsid w:val="00ED33B3"/>
    <w:rsid w:val="00EE0302"/>
    <w:rsid w:val="00EE147E"/>
    <w:rsid w:val="00EE4209"/>
    <w:rsid w:val="00EE749E"/>
    <w:rsid w:val="00EF47C5"/>
    <w:rsid w:val="00F07E57"/>
    <w:rsid w:val="00F10BD3"/>
    <w:rsid w:val="00F1570B"/>
    <w:rsid w:val="00F20431"/>
    <w:rsid w:val="00F23E2A"/>
    <w:rsid w:val="00F24389"/>
    <w:rsid w:val="00F26125"/>
    <w:rsid w:val="00F26CEE"/>
    <w:rsid w:val="00F47FA7"/>
    <w:rsid w:val="00F55F9B"/>
    <w:rsid w:val="00F605B0"/>
    <w:rsid w:val="00F6287C"/>
    <w:rsid w:val="00F6603C"/>
    <w:rsid w:val="00F73A57"/>
    <w:rsid w:val="00F7588B"/>
    <w:rsid w:val="00F81FD7"/>
    <w:rsid w:val="00F853E0"/>
    <w:rsid w:val="00F86F4A"/>
    <w:rsid w:val="00F928BC"/>
    <w:rsid w:val="00F9663F"/>
    <w:rsid w:val="00FA0825"/>
    <w:rsid w:val="00FA6144"/>
    <w:rsid w:val="00FB6F84"/>
    <w:rsid w:val="00FC2DC7"/>
    <w:rsid w:val="00FC5FD2"/>
    <w:rsid w:val="00FD6728"/>
    <w:rsid w:val="00FE37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58A33C9C"/>
  <w15:docId w15:val="{F9E70A59-0595-4F26-9C63-9F7388B67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A38FA"/>
    <w:rPr>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9B3305"/>
    <w:rPr>
      <w:sz w:val="20"/>
      <w:szCs w:val="20"/>
    </w:rPr>
  </w:style>
  <w:style w:type="character" w:styleId="FootnoteReference">
    <w:name w:val="footnote reference"/>
    <w:semiHidden/>
    <w:rsid w:val="009B3305"/>
    <w:rPr>
      <w:vertAlign w:val="superscript"/>
    </w:rPr>
  </w:style>
  <w:style w:type="paragraph" w:styleId="Footer">
    <w:name w:val="footer"/>
    <w:basedOn w:val="Normal"/>
    <w:rsid w:val="009B3305"/>
    <w:pPr>
      <w:tabs>
        <w:tab w:val="center" w:pos="4153"/>
        <w:tab w:val="right" w:pos="8306"/>
      </w:tabs>
    </w:pPr>
  </w:style>
  <w:style w:type="character" w:styleId="PageNumber">
    <w:name w:val="page number"/>
    <w:basedOn w:val="DefaultParagraphFont"/>
    <w:rsid w:val="009B3305"/>
  </w:style>
  <w:style w:type="character" w:styleId="Hyperlink">
    <w:name w:val="Hyperlink"/>
    <w:rsid w:val="00983839"/>
    <w:rPr>
      <w:color w:val="0000FF"/>
      <w:u w:val="single"/>
    </w:rPr>
  </w:style>
  <w:style w:type="paragraph" w:styleId="BalloonText">
    <w:name w:val="Balloon Text"/>
    <w:basedOn w:val="Normal"/>
    <w:semiHidden/>
    <w:rsid w:val="006132A6"/>
    <w:rPr>
      <w:rFonts w:ascii="Tahoma" w:hAnsi="Tahoma" w:cs="Tahoma"/>
      <w:sz w:val="16"/>
      <w:szCs w:val="16"/>
    </w:rPr>
  </w:style>
  <w:style w:type="character" w:styleId="CommentReference">
    <w:name w:val="annotation reference"/>
    <w:rsid w:val="0049553E"/>
    <w:rPr>
      <w:sz w:val="16"/>
      <w:szCs w:val="16"/>
    </w:rPr>
  </w:style>
  <w:style w:type="paragraph" w:styleId="CommentText">
    <w:name w:val="annotation text"/>
    <w:basedOn w:val="Normal"/>
    <w:link w:val="CommentTextChar"/>
    <w:rsid w:val="0049553E"/>
    <w:rPr>
      <w:sz w:val="20"/>
      <w:szCs w:val="20"/>
    </w:rPr>
  </w:style>
  <w:style w:type="character" w:customStyle="1" w:styleId="CommentTextChar">
    <w:name w:val="Comment Text Char"/>
    <w:link w:val="CommentText"/>
    <w:rsid w:val="0049553E"/>
    <w:rPr>
      <w:lang w:val="en-GB" w:eastAsia="en-GB"/>
    </w:rPr>
  </w:style>
  <w:style w:type="paragraph" w:styleId="CommentSubject">
    <w:name w:val="annotation subject"/>
    <w:basedOn w:val="CommentText"/>
    <w:next w:val="CommentText"/>
    <w:link w:val="CommentSubjectChar"/>
    <w:rsid w:val="0049553E"/>
    <w:rPr>
      <w:b/>
      <w:bCs/>
    </w:rPr>
  </w:style>
  <w:style w:type="character" w:customStyle="1" w:styleId="CommentSubjectChar">
    <w:name w:val="Comment Subject Char"/>
    <w:link w:val="CommentSubject"/>
    <w:rsid w:val="0049553E"/>
    <w:rPr>
      <w:b/>
      <w:bCs/>
      <w:lang w:val="en-GB" w:eastAsia="en-GB"/>
    </w:rPr>
  </w:style>
  <w:style w:type="character" w:customStyle="1" w:styleId="FootnoteTextChar">
    <w:name w:val="Footnote Text Char"/>
    <w:link w:val="FootnoteText"/>
    <w:semiHidden/>
    <w:rsid w:val="00E80ADD"/>
    <w:rPr>
      <w:lang w:val="en-GB" w:eastAsia="en-GB"/>
    </w:rPr>
  </w:style>
  <w:style w:type="paragraph" w:styleId="Revision">
    <w:name w:val="Revision"/>
    <w:hidden/>
    <w:uiPriority w:val="99"/>
    <w:semiHidden/>
    <w:rsid w:val="006F5F7A"/>
    <w:rPr>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222546">
      <w:bodyDiv w:val="1"/>
      <w:marLeft w:val="0"/>
      <w:marRight w:val="0"/>
      <w:marTop w:val="0"/>
      <w:marBottom w:val="0"/>
      <w:divBdr>
        <w:top w:val="none" w:sz="0" w:space="0" w:color="auto"/>
        <w:left w:val="none" w:sz="0" w:space="0" w:color="auto"/>
        <w:bottom w:val="none" w:sz="0" w:space="0" w:color="auto"/>
        <w:right w:val="none" w:sz="0" w:space="0" w:color="auto"/>
      </w:divBdr>
    </w:div>
    <w:div w:id="617568050">
      <w:bodyDiv w:val="1"/>
      <w:marLeft w:val="0"/>
      <w:marRight w:val="0"/>
      <w:marTop w:val="0"/>
      <w:marBottom w:val="0"/>
      <w:divBdr>
        <w:top w:val="none" w:sz="0" w:space="0" w:color="auto"/>
        <w:left w:val="none" w:sz="0" w:space="0" w:color="auto"/>
        <w:bottom w:val="none" w:sz="0" w:space="0" w:color="auto"/>
        <w:right w:val="none" w:sz="0" w:space="0" w:color="auto"/>
      </w:divBdr>
    </w:div>
    <w:div w:id="667514436">
      <w:bodyDiv w:val="1"/>
      <w:marLeft w:val="0"/>
      <w:marRight w:val="0"/>
      <w:marTop w:val="0"/>
      <w:marBottom w:val="0"/>
      <w:divBdr>
        <w:top w:val="none" w:sz="0" w:space="0" w:color="auto"/>
        <w:left w:val="none" w:sz="0" w:space="0" w:color="auto"/>
        <w:bottom w:val="none" w:sz="0" w:space="0" w:color="auto"/>
        <w:right w:val="none" w:sz="0" w:space="0" w:color="auto"/>
      </w:divBdr>
    </w:div>
    <w:div w:id="858860940">
      <w:bodyDiv w:val="1"/>
      <w:marLeft w:val="0"/>
      <w:marRight w:val="0"/>
      <w:marTop w:val="0"/>
      <w:marBottom w:val="0"/>
      <w:divBdr>
        <w:top w:val="none" w:sz="0" w:space="0" w:color="auto"/>
        <w:left w:val="none" w:sz="0" w:space="0" w:color="auto"/>
        <w:bottom w:val="none" w:sz="0" w:space="0" w:color="auto"/>
        <w:right w:val="none" w:sz="0" w:space="0" w:color="auto"/>
      </w:divBdr>
    </w:div>
    <w:div w:id="1050693461">
      <w:bodyDiv w:val="1"/>
      <w:marLeft w:val="0"/>
      <w:marRight w:val="0"/>
      <w:marTop w:val="0"/>
      <w:marBottom w:val="0"/>
      <w:divBdr>
        <w:top w:val="none" w:sz="0" w:space="0" w:color="auto"/>
        <w:left w:val="none" w:sz="0" w:space="0" w:color="auto"/>
        <w:bottom w:val="none" w:sz="0" w:space="0" w:color="auto"/>
        <w:right w:val="none" w:sz="0" w:space="0" w:color="auto"/>
      </w:divBdr>
    </w:div>
    <w:div w:id="1679651037">
      <w:bodyDiv w:val="1"/>
      <w:marLeft w:val="0"/>
      <w:marRight w:val="0"/>
      <w:marTop w:val="0"/>
      <w:marBottom w:val="0"/>
      <w:divBdr>
        <w:top w:val="none" w:sz="0" w:space="0" w:color="auto"/>
        <w:left w:val="none" w:sz="0" w:space="0" w:color="auto"/>
        <w:bottom w:val="none" w:sz="0" w:space="0" w:color="auto"/>
        <w:right w:val="none" w:sz="0" w:space="0" w:color="auto"/>
      </w:divBdr>
    </w:div>
    <w:div w:id="1737967856">
      <w:bodyDiv w:val="1"/>
      <w:marLeft w:val="0"/>
      <w:marRight w:val="0"/>
      <w:marTop w:val="0"/>
      <w:marBottom w:val="0"/>
      <w:divBdr>
        <w:top w:val="none" w:sz="0" w:space="0" w:color="auto"/>
        <w:left w:val="none" w:sz="0" w:space="0" w:color="auto"/>
        <w:bottom w:val="none" w:sz="0" w:space="0" w:color="auto"/>
        <w:right w:val="none" w:sz="0" w:space="0" w:color="auto"/>
      </w:divBdr>
    </w:div>
    <w:div w:id="1739086001">
      <w:bodyDiv w:val="1"/>
      <w:marLeft w:val="0"/>
      <w:marRight w:val="0"/>
      <w:marTop w:val="0"/>
      <w:marBottom w:val="0"/>
      <w:divBdr>
        <w:top w:val="none" w:sz="0" w:space="0" w:color="auto"/>
        <w:left w:val="none" w:sz="0" w:space="0" w:color="auto"/>
        <w:bottom w:val="none" w:sz="0" w:space="0" w:color="auto"/>
        <w:right w:val="none" w:sz="0" w:space="0" w:color="auto"/>
      </w:divBdr>
    </w:div>
    <w:div w:id="1840390420">
      <w:bodyDiv w:val="1"/>
      <w:marLeft w:val="0"/>
      <w:marRight w:val="0"/>
      <w:marTop w:val="0"/>
      <w:marBottom w:val="0"/>
      <w:divBdr>
        <w:top w:val="none" w:sz="0" w:space="0" w:color="auto"/>
        <w:left w:val="none" w:sz="0" w:space="0" w:color="auto"/>
        <w:bottom w:val="none" w:sz="0" w:space="0" w:color="auto"/>
        <w:right w:val="none" w:sz="0" w:space="0" w:color="auto"/>
      </w:divBdr>
    </w:div>
    <w:div w:id="1936816147">
      <w:bodyDiv w:val="1"/>
      <w:marLeft w:val="0"/>
      <w:marRight w:val="0"/>
      <w:marTop w:val="0"/>
      <w:marBottom w:val="0"/>
      <w:divBdr>
        <w:top w:val="none" w:sz="0" w:space="0" w:color="auto"/>
        <w:left w:val="none" w:sz="0" w:space="0" w:color="auto"/>
        <w:bottom w:val="none" w:sz="0" w:space="0" w:color="auto"/>
        <w:right w:val="none" w:sz="0" w:space="0" w:color="auto"/>
      </w:divBdr>
    </w:div>
    <w:div w:id="1942254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05CDA7-6AA8-4F7C-B68B-8EB50AE4C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7486</Words>
  <Characters>42671</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Daniel O’ Connell, The Stanley Letter and Irish Education</vt:lpstr>
    </vt:vector>
  </TitlesOfParts>
  <Company>University College Dublin</Company>
  <LinksUpToDate>false</LinksUpToDate>
  <CharactersWithSpaces>50057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Daniel O’ Connell, The Stanley Letter and Irish Education</dc:title>
  <dc:creator>owner</dc:creator>
  <cp:lastModifiedBy>Judith Harford</cp:lastModifiedBy>
  <cp:revision>2</cp:revision>
  <cp:lastPrinted>2011-10-09T13:11:00Z</cp:lastPrinted>
  <dcterms:created xsi:type="dcterms:W3CDTF">2023-05-10T10:27:00Z</dcterms:created>
  <dcterms:modified xsi:type="dcterms:W3CDTF">2023-05-10T10:27:00Z</dcterms:modified>
</cp:coreProperties>
</file>