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9A23F9" w14:textId="3570C58A" w:rsidR="007271F0" w:rsidRPr="00354B94" w:rsidRDefault="00A347F7" w:rsidP="00144A49">
      <w:pPr>
        <w:pStyle w:val="xmsonormal"/>
        <w:ind w:firstLine="0"/>
        <w:jc w:val="center"/>
        <w:rPr>
          <w:rFonts w:ascii="Times New Roman" w:hAnsi="Times New Roman" w:cs="Times New Roman"/>
          <w:b/>
          <w:bCs/>
          <w:sz w:val="28"/>
          <w:szCs w:val="28"/>
        </w:rPr>
      </w:pPr>
      <w:r w:rsidRPr="00354B94">
        <w:rPr>
          <w:rFonts w:ascii="Times New Roman" w:hAnsi="Times New Roman" w:cs="Times New Roman"/>
          <w:b/>
          <w:bCs/>
          <w:sz w:val="28"/>
          <w:szCs w:val="28"/>
        </w:rPr>
        <w:t xml:space="preserve">Shortcomings of </w:t>
      </w:r>
      <w:r w:rsidR="00F45B9A" w:rsidRPr="00354B94">
        <w:rPr>
          <w:rFonts w:ascii="Times New Roman" w:hAnsi="Times New Roman" w:cs="Times New Roman"/>
          <w:b/>
          <w:bCs/>
          <w:sz w:val="28"/>
          <w:szCs w:val="28"/>
        </w:rPr>
        <w:t>Energy (Oil and Gas) Profits Levy</w:t>
      </w:r>
    </w:p>
    <w:p w14:paraId="4D7811C4" w14:textId="77777777" w:rsidR="0099562B" w:rsidRPr="00354B94" w:rsidRDefault="0099562B" w:rsidP="00144A49">
      <w:pPr>
        <w:pStyle w:val="xmsonormal"/>
        <w:ind w:firstLine="0"/>
        <w:jc w:val="center"/>
        <w:rPr>
          <w:rFonts w:ascii="Times New Roman" w:hAnsi="Times New Roman" w:cs="Times New Roman"/>
          <w:b/>
          <w:bCs/>
        </w:rPr>
      </w:pPr>
    </w:p>
    <w:p w14:paraId="4ABB0D29" w14:textId="77777777" w:rsidR="00AC3971" w:rsidRPr="00354B94" w:rsidRDefault="00AC3971" w:rsidP="00F45B9A">
      <w:pPr>
        <w:pStyle w:val="xmsonormal"/>
        <w:rPr>
          <w:rFonts w:ascii="Times New Roman" w:hAnsi="Times New Roman" w:cs="Times New Roman"/>
        </w:rPr>
      </w:pPr>
    </w:p>
    <w:p w14:paraId="7CF9BC03" w14:textId="355A9189" w:rsidR="00163542" w:rsidRPr="00354B94" w:rsidRDefault="00163542" w:rsidP="00A92EB6">
      <w:pPr>
        <w:rPr>
          <w:rFonts w:cs="Times New Roman"/>
        </w:rPr>
      </w:pPr>
      <w:r w:rsidRPr="00354B94">
        <w:rPr>
          <w:rFonts w:cs="Times New Roman"/>
        </w:rPr>
        <w:t>The Energy (Oil and Gas) Profits Levy Act 2022</w:t>
      </w:r>
      <w:r w:rsidR="00231BAB" w:rsidRPr="00354B94">
        <w:rPr>
          <w:rFonts w:cs="Times New Roman"/>
        </w:rPr>
        <w:t xml:space="preserve"> (</w:t>
      </w:r>
      <w:r w:rsidR="00C115E0" w:rsidRPr="00354B94">
        <w:rPr>
          <w:rFonts w:cs="Times New Roman"/>
        </w:rPr>
        <w:t xml:space="preserve">the </w:t>
      </w:r>
      <w:r w:rsidR="00231BAB" w:rsidRPr="00354B94">
        <w:rPr>
          <w:rFonts w:cs="Times New Roman"/>
        </w:rPr>
        <w:t>Act)</w:t>
      </w:r>
      <w:r w:rsidRPr="00354B94">
        <w:rPr>
          <w:rFonts w:cs="Times New Roman"/>
        </w:rPr>
        <w:t xml:space="preserve"> introduced an additional 25</w:t>
      </w:r>
      <w:r w:rsidR="00B84B4D" w:rsidRPr="00354B94">
        <w:rPr>
          <w:rFonts w:cs="Times New Roman"/>
        </w:rPr>
        <w:t xml:space="preserve"> per cent</w:t>
      </w:r>
      <w:r w:rsidRPr="00354B94">
        <w:rPr>
          <w:rFonts w:cs="Times New Roman"/>
        </w:rPr>
        <w:t xml:space="preserve"> Energy Profits Levy (EPL) </w:t>
      </w:r>
      <w:r w:rsidR="00F03FCB" w:rsidRPr="00354B94">
        <w:rPr>
          <w:rFonts w:cs="Times New Roman"/>
        </w:rPr>
        <w:t>on profits from oil and gas production in the UK and the UK Continental Shelf (UKCS)</w:t>
      </w:r>
      <w:r w:rsidR="00E579E5" w:rsidRPr="00354B94">
        <w:rPr>
          <w:rFonts w:cs="Times New Roman"/>
        </w:rPr>
        <w:t xml:space="preserve">, </w:t>
      </w:r>
      <w:r w:rsidR="009627E4" w:rsidRPr="00354B94">
        <w:rPr>
          <w:rFonts w:cs="Times New Roman"/>
        </w:rPr>
        <w:t>effective</w:t>
      </w:r>
      <w:r w:rsidR="009F114F" w:rsidRPr="00354B94">
        <w:rPr>
          <w:rFonts w:cs="Times New Roman"/>
        </w:rPr>
        <w:t xml:space="preserve"> </w:t>
      </w:r>
      <w:r w:rsidRPr="00354B94">
        <w:rPr>
          <w:rFonts w:cs="Times New Roman"/>
        </w:rPr>
        <w:t>from 26 May 2022 until 31 December 2025</w:t>
      </w:r>
      <w:r w:rsidR="007A0E22" w:rsidRPr="00354B94">
        <w:rPr>
          <w:rFonts w:cs="Times New Roman"/>
        </w:rPr>
        <w:t xml:space="preserve"> (or before)</w:t>
      </w:r>
      <w:r w:rsidR="00FA5FBF" w:rsidRPr="00354B94">
        <w:rPr>
          <w:rFonts w:cs="Times New Roman"/>
        </w:rPr>
        <w:t>,</w:t>
      </w:r>
      <w:r w:rsidR="009F114F" w:rsidRPr="00354B94">
        <w:rPr>
          <w:rFonts w:cs="Times New Roman"/>
        </w:rPr>
        <w:t xml:space="preserve"> </w:t>
      </w:r>
      <w:r w:rsidR="00FA5FBF" w:rsidRPr="00354B94">
        <w:rPr>
          <w:rFonts w:cs="Times New Roman"/>
        </w:rPr>
        <w:t>intend</w:t>
      </w:r>
      <w:r w:rsidR="00E579E5" w:rsidRPr="00354B94">
        <w:rPr>
          <w:rFonts w:cs="Times New Roman"/>
        </w:rPr>
        <w:t>ed</w:t>
      </w:r>
      <w:r w:rsidR="009F114F" w:rsidRPr="00354B94">
        <w:rPr>
          <w:rFonts w:cs="Times New Roman"/>
        </w:rPr>
        <w:t xml:space="preserve"> to</w:t>
      </w:r>
      <w:r w:rsidR="002B5A38" w:rsidRPr="00354B94">
        <w:rPr>
          <w:rFonts w:cs="Times New Roman"/>
        </w:rPr>
        <w:t xml:space="preserve"> “help fund additional support on the cost of living</w:t>
      </w:r>
      <w:r w:rsidR="000C4E71" w:rsidRPr="00354B94">
        <w:rPr>
          <w:rFonts w:cs="Times New Roman"/>
        </w:rPr>
        <w:t>,</w:t>
      </w:r>
      <w:r w:rsidR="002B5A38" w:rsidRPr="00354B94">
        <w:rPr>
          <w:rFonts w:cs="Times New Roman"/>
        </w:rPr>
        <w:t>”</w:t>
      </w:r>
      <w:r w:rsidR="002B5A38" w:rsidRPr="00354B94">
        <w:rPr>
          <w:rStyle w:val="FootnoteReference"/>
          <w:rFonts w:cs="Times New Roman"/>
        </w:rPr>
        <w:footnoteReference w:id="2"/>
      </w:r>
      <w:r w:rsidR="002B5A38" w:rsidRPr="00354B94">
        <w:rPr>
          <w:rFonts w:cs="Times New Roman"/>
        </w:rPr>
        <w:t xml:space="preserve"> </w:t>
      </w:r>
      <w:r w:rsidRPr="00354B94">
        <w:rPr>
          <w:rFonts w:cs="Times New Roman"/>
        </w:rPr>
        <w:t xml:space="preserve">resulting from the disruptions to the supply of energy to global markets caused by the invasion of Ukraine. This note will reflect </w:t>
      </w:r>
      <w:r w:rsidR="00116CD1" w:rsidRPr="00354B94">
        <w:rPr>
          <w:rFonts w:cs="Times New Roman"/>
        </w:rPr>
        <w:t xml:space="preserve">critically </w:t>
      </w:r>
      <w:r w:rsidRPr="00354B94">
        <w:rPr>
          <w:rFonts w:cs="Times New Roman"/>
        </w:rPr>
        <w:t xml:space="preserve">on the effectiveness </w:t>
      </w:r>
      <w:r w:rsidR="00C1502A" w:rsidRPr="00354B94">
        <w:rPr>
          <w:rFonts w:cs="Times New Roman"/>
        </w:rPr>
        <w:t xml:space="preserve">of this </w:t>
      </w:r>
      <w:bookmarkStart w:id="0" w:name="_Hlk114080814"/>
      <w:r w:rsidR="00122489" w:rsidRPr="00354B94">
        <w:rPr>
          <w:rFonts w:cs="Times New Roman"/>
        </w:rPr>
        <w:t>hastily</w:t>
      </w:r>
      <w:r w:rsidR="00C1502A" w:rsidRPr="00354B94">
        <w:rPr>
          <w:rFonts w:cs="Times New Roman"/>
        </w:rPr>
        <w:t xml:space="preserve"> </w:t>
      </w:r>
      <w:bookmarkEnd w:id="0"/>
      <w:r w:rsidR="00C1502A" w:rsidRPr="00354B94">
        <w:rPr>
          <w:rFonts w:cs="Times New Roman"/>
        </w:rPr>
        <w:t>introduced windfall tax</w:t>
      </w:r>
      <w:r w:rsidR="00C44705" w:rsidRPr="00354B94">
        <w:rPr>
          <w:rFonts w:cs="Times New Roman"/>
        </w:rPr>
        <w:t>, including the background</w:t>
      </w:r>
      <w:r w:rsidR="00AB3590" w:rsidRPr="00354B94">
        <w:rPr>
          <w:rFonts w:cs="Times New Roman"/>
        </w:rPr>
        <w:t>,</w:t>
      </w:r>
      <w:r w:rsidR="00C44705" w:rsidRPr="00354B94">
        <w:rPr>
          <w:rFonts w:cs="Times New Roman"/>
        </w:rPr>
        <w:t xml:space="preserve"> </w:t>
      </w:r>
      <w:proofErr w:type="gramStart"/>
      <w:r w:rsidR="00AB3590" w:rsidRPr="00354B94">
        <w:rPr>
          <w:rFonts w:cs="Times New Roman"/>
        </w:rPr>
        <w:t>mechanisms</w:t>
      </w:r>
      <w:proofErr w:type="gramEnd"/>
      <w:r w:rsidR="000673F8" w:rsidRPr="00354B94">
        <w:rPr>
          <w:rFonts w:cs="Times New Roman"/>
        </w:rPr>
        <w:t xml:space="preserve"> and shortcomings. </w:t>
      </w:r>
    </w:p>
    <w:p w14:paraId="7C16C3C2" w14:textId="01F3295F" w:rsidR="005D2E7A" w:rsidRPr="00354B94" w:rsidRDefault="005D2E7A" w:rsidP="007271F0">
      <w:pPr>
        <w:spacing w:before="240"/>
        <w:rPr>
          <w:rFonts w:cs="Times New Roman"/>
          <w:b/>
          <w:bCs/>
        </w:rPr>
      </w:pPr>
      <w:r w:rsidRPr="00354B94">
        <w:rPr>
          <w:rFonts w:cs="Times New Roman"/>
          <w:b/>
          <w:bCs/>
        </w:rPr>
        <w:t>Background</w:t>
      </w:r>
    </w:p>
    <w:p w14:paraId="492D1A91" w14:textId="4B73E5ED" w:rsidR="001939DD" w:rsidRPr="00354B94" w:rsidRDefault="00082B6D" w:rsidP="00991CEF">
      <w:pPr>
        <w:rPr>
          <w:rFonts w:cs="Times New Roman"/>
        </w:rPr>
      </w:pPr>
      <w:r w:rsidRPr="00354B94">
        <w:rPr>
          <w:rFonts w:cs="Times New Roman"/>
        </w:rPr>
        <w:t>On 24 February 2022, Russia invaded Ukraine in an escalation of the Russo-Ukrainian War that began in 2014</w:t>
      </w:r>
      <w:r w:rsidR="00681D1F" w:rsidRPr="00354B94">
        <w:rPr>
          <w:rFonts w:cs="Times New Roman"/>
        </w:rPr>
        <w:t>,</w:t>
      </w:r>
      <w:r w:rsidR="006B1C80" w:rsidRPr="00354B94">
        <w:rPr>
          <w:rFonts w:cs="Times New Roman"/>
        </w:rPr>
        <w:t xml:space="preserve"> causing</w:t>
      </w:r>
      <w:r w:rsidR="00681D1F" w:rsidRPr="00354B94">
        <w:rPr>
          <w:rFonts w:cs="Times New Roman"/>
        </w:rPr>
        <w:t xml:space="preserve"> </w:t>
      </w:r>
      <w:r w:rsidR="006B1C80" w:rsidRPr="00354B94">
        <w:rPr>
          <w:rFonts w:cs="Times New Roman"/>
        </w:rPr>
        <w:t>disruptions to the supply of energy to global markets</w:t>
      </w:r>
      <w:r w:rsidR="00946DFA" w:rsidRPr="00354B94">
        <w:rPr>
          <w:rFonts w:cs="Times New Roman"/>
        </w:rPr>
        <w:t xml:space="preserve"> </w:t>
      </w:r>
      <w:r w:rsidR="00AE072B" w:rsidRPr="00354B94">
        <w:rPr>
          <w:rFonts w:cs="Times New Roman"/>
        </w:rPr>
        <w:t>and</w:t>
      </w:r>
      <w:r w:rsidR="00946DFA" w:rsidRPr="00354B94">
        <w:rPr>
          <w:rFonts w:cs="Times New Roman"/>
        </w:rPr>
        <w:t xml:space="preserve"> </w:t>
      </w:r>
      <w:r w:rsidR="007E7B7A" w:rsidRPr="00354B94">
        <w:rPr>
          <w:rFonts w:cs="Times New Roman"/>
        </w:rPr>
        <w:t>trigger</w:t>
      </w:r>
      <w:r w:rsidR="00AE072B" w:rsidRPr="00354B94">
        <w:rPr>
          <w:rFonts w:cs="Times New Roman"/>
        </w:rPr>
        <w:t>ing</w:t>
      </w:r>
      <w:r w:rsidR="00946DFA" w:rsidRPr="00354B94">
        <w:rPr>
          <w:rFonts w:cs="Times New Roman"/>
        </w:rPr>
        <w:t xml:space="preserve"> drastic </w:t>
      </w:r>
      <w:r w:rsidR="008D47A1" w:rsidRPr="00354B94">
        <w:rPr>
          <w:rFonts w:cs="Times New Roman"/>
        </w:rPr>
        <w:t>surges</w:t>
      </w:r>
      <w:r w:rsidR="00946DFA" w:rsidRPr="00354B94">
        <w:rPr>
          <w:rFonts w:cs="Times New Roman"/>
        </w:rPr>
        <w:t xml:space="preserve"> in </w:t>
      </w:r>
      <w:r w:rsidR="006B1C80" w:rsidRPr="00354B94">
        <w:rPr>
          <w:rFonts w:cs="Times New Roman"/>
        </w:rPr>
        <w:t xml:space="preserve">oil and gas prices. </w:t>
      </w:r>
      <w:r w:rsidR="00A43CBF" w:rsidRPr="00354B94">
        <w:rPr>
          <w:rFonts w:cs="Times New Roman"/>
        </w:rPr>
        <w:t xml:space="preserve">From July 2021 to July 2022, </w:t>
      </w:r>
      <w:r w:rsidR="00A82502" w:rsidRPr="00354B94">
        <w:rPr>
          <w:rFonts w:cs="Times New Roman"/>
        </w:rPr>
        <w:t xml:space="preserve">UK </w:t>
      </w:r>
      <w:r w:rsidR="00A43CBF" w:rsidRPr="00354B94">
        <w:rPr>
          <w:rFonts w:cs="Times New Roman"/>
        </w:rPr>
        <w:t>domestic gas prices increased by 96</w:t>
      </w:r>
      <w:r w:rsidR="00B84B4D" w:rsidRPr="00354B94">
        <w:rPr>
          <w:rFonts w:cs="Times New Roman"/>
        </w:rPr>
        <w:t xml:space="preserve"> per cent</w:t>
      </w:r>
      <w:r w:rsidR="00A43CBF" w:rsidRPr="00354B94">
        <w:rPr>
          <w:rStyle w:val="FootnoteReference"/>
          <w:rFonts w:cs="Times New Roman"/>
        </w:rPr>
        <w:footnoteReference w:id="3"/>
      </w:r>
      <w:r w:rsidR="00A43CBF" w:rsidRPr="00354B94">
        <w:rPr>
          <w:rFonts w:cs="Times New Roman"/>
        </w:rPr>
        <w:t xml:space="preserve"> and electricity by </w:t>
      </w:r>
      <w:r w:rsidR="002E57F1" w:rsidRPr="00354B94">
        <w:rPr>
          <w:rFonts w:cs="Times New Roman"/>
        </w:rPr>
        <w:t>5</w:t>
      </w:r>
      <w:r w:rsidR="006351DD" w:rsidRPr="00354B94">
        <w:rPr>
          <w:rFonts w:cs="Times New Roman"/>
        </w:rPr>
        <w:t>4</w:t>
      </w:r>
      <w:r w:rsidR="00B84B4D" w:rsidRPr="00354B94">
        <w:rPr>
          <w:rFonts w:cs="Times New Roman"/>
        </w:rPr>
        <w:t xml:space="preserve"> per cent</w:t>
      </w:r>
      <w:r w:rsidR="00DE1AA4" w:rsidRPr="00354B94">
        <w:rPr>
          <w:rFonts w:cs="Times New Roman"/>
        </w:rPr>
        <w:t>.</w:t>
      </w:r>
      <w:r w:rsidR="00A43CBF" w:rsidRPr="00354B94">
        <w:rPr>
          <w:rStyle w:val="FootnoteReference"/>
          <w:rFonts w:cs="Times New Roman"/>
        </w:rPr>
        <w:footnoteReference w:id="4"/>
      </w:r>
      <w:r w:rsidR="0040243F" w:rsidRPr="00354B94">
        <w:rPr>
          <w:rFonts w:cs="Times New Roman"/>
        </w:rPr>
        <w:t xml:space="preserve"> This resulted in </w:t>
      </w:r>
      <w:r w:rsidR="00587434" w:rsidRPr="00354B94">
        <w:rPr>
          <w:rFonts w:cs="Times New Roman"/>
        </w:rPr>
        <w:t>steeply</w:t>
      </w:r>
      <w:r w:rsidR="00E0033F" w:rsidRPr="00354B94">
        <w:rPr>
          <w:rFonts w:cs="Times New Roman"/>
        </w:rPr>
        <w:t xml:space="preserve"> </w:t>
      </w:r>
      <w:r w:rsidR="00587434" w:rsidRPr="00354B94">
        <w:rPr>
          <w:rFonts w:cs="Times New Roman"/>
        </w:rPr>
        <w:t xml:space="preserve">rising </w:t>
      </w:r>
      <w:r w:rsidR="007A78B9" w:rsidRPr="00354B94">
        <w:rPr>
          <w:rFonts w:cs="Times New Roman"/>
        </w:rPr>
        <w:t>inflation</w:t>
      </w:r>
      <w:r w:rsidR="004F12D6" w:rsidRPr="00354B94">
        <w:rPr>
          <w:rFonts w:cs="Times New Roman"/>
        </w:rPr>
        <w:t xml:space="preserve"> in the UK</w:t>
      </w:r>
      <w:r w:rsidR="00A00690" w:rsidRPr="00354B94">
        <w:rPr>
          <w:rFonts w:cs="Times New Roman"/>
        </w:rPr>
        <w:t>,</w:t>
      </w:r>
      <w:r w:rsidR="00B908BC" w:rsidRPr="00354B94">
        <w:rPr>
          <w:rStyle w:val="FootnoteReference"/>
          <w:rFonts w:cs="Times New Roman"/>
        </w:rPr>
        <w:footnoteReference w:id="5"/>
      </w:r>
      <w:r w:rsidR="0092383C" w:rsidRPr="00354B94">
        <w:rPr>
          <w:rFonts w:cs="Times New Roman"/>
        </w:rPr>
        <w:t xml:space="preserve"> </w:t>
      </w:r>
      <w:r w:rsidR="00E0033F" w:rsidRPr="00354B94">
        <w:rPr>
          <w:rFonts w:cs="Times New Roman"/>
        </w:rPr>
        <w:t>with</w:t>
      </w:r>
      <w:r w:rsidR="0037515C" w:rsidRPr="00354B94">
        <w:rPr>
          <w:rFonts w:cs="Times New Roman"/>
        </w:rPr>
        <w:t xml:space="preserve"> </w:t>
      </w:r>
      <w:r w:rsidR="0092383C" w:rsidRPr="00354B94">
        <w:rPr>
          <w:rFonts w:cs="Times New Roman"/>
        </w:rPr>
        <w:t xml:space="preserve">the </w:t>
      </w:r>
      <w:r w:rsidR="00B04F35" w:rsidRPr="00354B94">
        <w:rPr>
          <w:rFonts w:cs="Times New Roman"/>
        </w:rPr>
        <w:t>C</w:t>
      </w:r>
      <w:r w:rsidR="0092383C" w:rsidRPr="00354B94">
        <w:rPr>
          <w:rFonts w:cs="Times New Roman"/>
        </w:rPr>
        <w:t>usto</w:t>
      </w:r>
      <w:r w:rsidR="00B04F35" w:rsidRPr="00354B94">
        <w:rPr>
          <w:rFonts w:cs="Times New Roman"/>
        </w:rPr>
        <w:t>mer Price Index</w:t>
      </w:r>
      <w:r w:rsidR="0088777F" w:rsidRPr="00354B94">
        <w:rPr>
          <w:rFonts w:cs="Times New Roman"/>
        </w:rPr>
        <w:t xml:space="preserve"> </w:t>
      </w:r>
      <w:r w:rsidR="00E0033F" w:rsidRPr="00354B94">
        <w:rPr>
          <w:rFonts w:cs="Times New Roman"/>
        </w:rPr>
        <w:t>reaching</w:t>
      </w:r>
      <w:r w:rsidR="0088777F" w:rsidRPr="00354B94">
        <w:rPr>
          <w:rFonts w:cs="Times New Roman"/>
        </w:rPr>
        <w:t xml:space="preserve"> 10.1</w:t>
      </w:r>
      <w:r w:rsidR="00B84B4D" w:rsidRPr="00354B94">
        <w:rPr>
          <w:rFonts w:cs="Times New Roman"/>
        </w:rPr>
        <w:t xml:space="preserve"> per cent</w:t>
      </w:r>
      <w:r w:rsidR="0088777F" w:rsidRPr="00354B94">
        <w:rPr>
          <w:rFonts w:cs="Times New Roman"/>
        </w:rPr>
        <w:t xml:space="preserve"> </w:t>
      </w:r>
      <w:r w:rsidR="008051CC" w:rsidRPr="00354B94">
        <w:rPr>
          <w:rFonts w:cs="Times New Roman"/>
        </w:rPr>
        <w:t>in July 2022</w:t>
      </w:r>
      <w:r w:rsidR="0088777F" w:rsidRPr="00354B94">
        <w:rPr>
          <w:rFonts w:cs="Times New Roman"/>
        </w:rPr>
        <w:t xml:space="preserve">, </w:t>
      </w:r>
      <w:r w:rsidR="008051CC" w:rsidRPr="00354B94">
        <w:rPr>
          <w:rFonts w:cs="Times New Roman"/>
        </w:rPr>
        <w:t>the highest rate since records began</w:t>
      </w:r>
      <w:r w:rsidR="0006258D" w:rsidRPr="00354B94">
        <w:rPr>
          <w:rFonts w:cs="Times New Roman"/>
        </w:rPr>
        <w:t>.</w:t>
      </w:r>
      <w:r w:rsidR="001A4E8D" w:rsidRPr="00354B94">
        <w:rPr>
          <w:rStyle w:val="FootnoteReference"/>
          <w:rFonts w:cs="Times New Roman"/>
        </w:rPr>
        <w:footnoteReference w:id="6"/>
      </w:r>
      <w:r w:rsidR="0006258D" w:rsidRPr="00354B94">
        <w:rPr>
          <w:rFonts w:cs="Times New Roman"/>
        </w:rPr>
        <w:t xml:space="preserve"> </w:t>
      </w:r>
      <w:r w:rsidR="00C34BF9" w:rsidRPr="00354B94">
        <w:rPr>
          <w:rFonts w:cs="Times New Roman"/>
        </w:rPr>
        <w:t>T</w:t>
      </w:r>
      <w:r w:rsidR="0077188A" w:rsidRPr="00354B94">
        <w:rPr>
          <w:rFonts w:cs="Times New Roman"/>
        </w:rPr>
        <w:t>o</w:t>
      </w:r>
      <w:r w:rsidR="00B04F35" w:rsidRPr="00354B94">
        <w:rPr>
          <w:rFonts w:cs="Times New Roman"/>
        </w:rPr>
        <w:t xml:space="preserve"> support </w:t>
      </w:r>
      <w:r w:rsidR="0077188A" w:rsidRPr="00354B94">
        <w:rPr>
          <w:rFonts w:cs="Times New Roman"/>
        </w:rPr>
        <w:t xml:space="preserve">those struggling with </w:t>
      </w:r>
      <w:r w:rsidR="00B06757" w:rsidRPr="00354B94">
        <w:rPr>
          <w:rFonts w:cs="Times New Roman"/>
        </w:rPr>
        <w:t>the cost of living</w:t>
      </w:r>
      <w:r w:rsidR="004D6316" w:rsidRPr="00354B94">
        <w:rPr>
          <w:rFonts w:cs="Times New Roman"/>
        </w:rPr>
        <w:t>,</w:t>
      </w:r>
      <w:r w:rsidR="00B04F35" w:rsidRPr="00354B94">
        <w:rPr>
          <w:rFonts w:cs="Times New Roman"/>
        </w:rPr>
        <w:t xml:space="preserve"> </w:t>
      </w:r>
      <w:r w:rsidR="001A74FD" w:rsidRPr="00354B94">
        <w:rPr>
          <w:rFonts w:cs="Times New Roman"/>
        </w:rPr>
        <w:t xml:space="preserve">the then Chancellor announced </w:t>
      </w:r>
      <w:r w:rsidR="00540C33" w:rsidRPr="00354B94">
        <w:rPr>
          <w:rFonts w:cs="Times New Roman"/>
        </w:rPr>
        <w:t xml:space="preserve">a </w:t>
      </w:r>
      <w:r w:rsidR="006703DF" w:rsidRPr="00354B94">
        <w:rPr>
          <w:rFonts w:cs="Times New Roman"/>
        </w:rPr>
        <w:t xml:space="preserve">£15 billion </w:t>
      </w:r>
      <w:r w:rsidR="009E4296" w:rsidRPr="00354B94">
        <w:rPr>
          <w:rFonts w:cs="Times New Roman"/>
        </w:rPr>
        <w:t xml:space="preserve">package on top </w:t>
      </w:r>
      <w:r w:rsidR="008E68B8" w:rsidRPr="00354B94">
        <w:rPr>
          <w:rFonts w:cs="Times New Roman"/>
        </w:rPr>
        <w:t xml:space="preserve">of </w:t>
      </w:r>
      <w:r w:rsidR="006426A2" w:rsidRPr="00354B94">
        <w:rPr>
          <w:rFonts w:cs="Times New Roman"/>
        </w:rPr>
        <w:t>already existing</w:t>
      </w:r>
      <w:r w:rsidR="008E68B8" w:rsidRPr="00354B94">
        <w:rPr>
          <w:rFonts w:cs="Times New Roman"/>
        </w:rPr>
        <w:t xml:space="preserve"> </w:t>
      </w:r>
      <w:r w:rsidR="00866B5A" w:rsidRPr="00354B94">
        <w:rPr>
          <w:rFonts w:cs="Times New Roman"/>
        </w:rPr>
        <w:t xml:space="preserve">support instruments with </w:t>
      </w:r>
      <w:r w:rsidR="00DF2FEF" w:rsidRPr="00354B94">
        <w:rPr>
          <w:rFonts w:cs="Times New Roman"/>
        </w:rPr>
        <w:t xml:space="preserve">an </w:t>
      </w:r>
      <w:r w:rsidR="00866B5A" w:rsidRPr="00354B94">
        <w:rPr>
          <w:rFonts w:cs="Times New Roman"/>
        </w:rPr>
        <w:t xml:space="preserve">estimated worth of </w:t>
      </w:r>
      <w:r w:rsidR="008E68B8" w:rsidRPr="00354B94">
        <w:rPr>
          <w:rFonts w:cs="Times New Roman"/>
        </w:rPr>
        <w:t>£22 billion</w:t>
      </w:r>
      <w:r w:rsidR="00AC5A99" w:rsidRPr="00354B94">
        <w:rPr>
          <w:rFonts w:cs="Times New Roman"/>
        </w:rPr>
        <w:t>.</w:t>
      </w:r>
      <w:r w:rsidR="00866B5A" w:rsidRPr="00354B94">
        <w:rPr>
          <w:rStyle w:val="FootnoteReference"/>
          <w:rFonts w:cs="Times New Roman"/>
        </w:rPr>
        <w:footnoteReference w:id="7"/>
      </w:r>
      <w:r w:rsidR="008E68B8" w:rsidRPr="00354B94">
        <w:rPr>
          <w:rFonts w:cs="Times New Roman"/>
        </w:rPr>
        <w:t xml:space="preserve"> </w:t>
      </w:r>
      <w:r w:rsidR="0092383C" w:rsidRPr="00354B94">
        <w:rPr>
          <w:rFonts w:cs="Times New Roman"/>
        </w:rPr>
        <w:t>The same announcement</w:t>
      </w:r>
      <w:r w:rsidR="006F4E06" w:rsidRPr="00354B94">
        <w:rPr>
          <w:rFonts w:cs="Times New Roman"/>
        </w:rPr>
        <w:t xml:space="preserve"> noted that t</w:t>
      </w:r>
      <w:r w:rsidR="008C2192" w:rsidRPr="00354B94">
        <w:rPr>
          <w:rFonts w:cs="Times New Roman"/>
        </w:rPr>
        <w:t>he costs associated with this support w</w:t>
      </w:r>
      <w:r w:rsidR="00DF2FEF" w:rsidRPr="00354B94">
        <w:rPr>
          <w:rFonts w:cs="Times New Roman"/>
        </w:rPr>
        <w:t>ere</w:t>
      </w:r>
      <w:r w:rsidR="008C2192" w:rsidRPr="00354B94">
        <w:rPr>
          <w:rFonts w:cs="Times New Roman"/>
        </w:rPr>
        <w:t xml:space="preserve"> planned to be partly </w:t>
      </w:r>
      <w:r w:rsidR="0092383C" w:rsidRPr="00354B94">
        <w:rPr>
          <w:rFonts w:cs="Times New Roman"/>
        </w:rPr>
        <w:t>offset</w:t>
      </w:r>
      <w:r w:rsidR="008C2192" w:rsidRPr="00354B94">
        <w:rPr>
          <w:rFonts w:cs="Times New Roman"/>
        </w:rPr>
        <w:t xml:space="preserve"> by </w:t>
      </w:r>
      <w:r w:rsidR="008E404A" w:rsidRPr="00354B94">
        <w:rPr>
          <w:rFonts w:cs="Times New Roman"/>
        </w:rPr>
        <w:t>a windfall tax</w:t>
      </w:r>
      <w:r w:rsidR="003542E9" w:rsidRPr="00354B94">
        <w:rPr>
          <w:rFonts w:cs="Times New Roman"/>
        </w:rPr>
        <w:t xml:space="preserve">, </w:t>
      </w:r>
      <w:r w:rsidR="001A72AB" w:rsidRPr="00354B94">
        <w:rPr>
          <w:rFonts w:cs="Times New Roman"/>
        </w:rPr>
        <w:t>Energy Profits Levy</w:t>
      </w:r>
      <w:r w:rsidR="00BF2FC2" w:rsidRPr="00354B94">
        <w:rPr>
          <w:rFonts w:cs="Times New Roman"/>
        </w:rPr>
        <w:t>.</w:t>
      </w:r>
      <w:r w:rsidR="006F4E06" w:rsidRPr="00354B94">
        <w:rPr>
          <w:rStyle w:val="FootnoteReference"/>
          <w:rFonts w:cs="Times New Roman"/>
        </w:rPr>
        <w:footnoteReference w:id="8"/>
      </w:r>
      <w:r w:rsidR="006F4E06" w:rsidRPr="00354B94">
        <w:rPr>
          <w:rFonts w:cs="Times New Roman"/>
        </w:rPr>
        <w:t xml:space="preserve"> </w:t>
      </w:r>
    </w:p>
    <w:p w14:paraId="4B1A0C3E" w14:textId="3C409C6D" w:rsidR="001E7516" w:rsidRPr="00354B94" w:rsidRDefault="00E00BF5" w:rsidP="00122489">
      <w:pPr>
        <w:rPr>
          <w:rFonts w:cs="Times New Roman"/>
        </w:rPr>
      </w:pPr>
      <w:r w:rsidRPr="00354B94">
        <w:rPr>
          <w:rFonts w:cs="Times New Roman"/>
        </w:rPr>
        <w:t>This follows a historical trend of the Government using</w:t>
      </w:r>
      <w:r w:rsidR="00CA61EB" w:rsidRPr="00354B94">
        <w:rPr>
          <w:rFonts w:cs="Times New Roman"/>
        </w:rPr>
        <w:t xml:space="preserve"> </w:t>
      </w:r>
      <w:r w:rsidR="003806CD" w:rsidRPr="00354B94">
        <w:rPr>
          <w:rFonts w:cs="Times New Roman"/>
        </w:rPr>
        <w:t xml:space="preserve">a </w:t>
      </w:r>
      <w:r w:rsidR="00CA61EB" w:rsidRPr="00354B94">
        <w:rPr>
          <w:rFonts w:cs="Times New Roman"/>
        </w:rPr>
        <w:t>fiscal regime f</w:t>
      </w:r>
      <w:r w:rsidR="003806CD" w:rsidRPr="00354B94">
        <w:rPr>
          <w:rFonts w:cs="Times New Roman"/>
        </w:rPr>
        <w:t>or</w:t>
      </w:r>
      <w:r w:rsidR="00CA61EB" w:rsidRPr="00354B94">
        <w:rPr>
          <w:rFonts w:cs="Times New Roman"/>
        </w:rPr>
        <w:t xml:space="preserve"> oil and gas </w:t>
      </w:r>
      <w:r w:rsidR="00027030" w:rsidRPr="00354B94">
        <w:rPr>
          <w:rFonts w:cs="Times New Roman"/>
        </w:rPr>
        <w:t>extraction</w:t>
      </w:r>
      <w:r w:rsidR="00CA61EB" w:rsidRPr="00354B94">
        <w:rPr>
          <w:rFonts w:cs="Times New Roman"/>
        </w:rPr>
        <w:t xml:space="preserve"> in the UK and UKCS</w:t>
      </w:r>
      <w:r w:rsidRPr="00354B94">
        <w:rPr>
          <w:rFonts w:cs="Times New Roman"/>
        </w:rPr>
        <w:t xml:space="preserve"> to offset the impact of varying global energy prices.</w:t>
      </w:r>
      <w:r w:rsidR="00E60ECD" w:rsidRPr="00354B94">
        <w:rPr>
          <w:rFonts w:cs="Times New Roman"/>
        </w:rPr>
        <w:t xml:space="preserve"> </w:t>
      </w:r>
      <w:r w:rsidR="00E37EB8" w:rsidRPr="00354B94">
        <w:rPr>
          <w:rFonts w:cs="Times New Roman"/>
        </w:rPr>
        <w:t xml:space="preserve">Figure 1 </w:t>
      </w:r>
      <w:r w:rsidR="00A0405B" w:rsidRPr="00354B94">
        <w:rPr>
          <w:rFonts w:cs="Times New Roman"/>
        </w:rPr>
        <w:t>shows</w:t>
      </w:r>
      <w:r w:rsidR="00E37EB8" w:rsidRPr="00354B94">
        <w:rPr>
          <w:rFonts w:cs="Times New Roman"/>
        </w:rPr>
        <w:t xml:space="preserve"> how closely</w:t>
      </w:r>
      <w:r w:rsidR="001D46AC" w:rsidRPr="00354B94">
        <w:rPr>
          <w:rFonts w:cs="Times New Roman"/>
        </w:rPr>
        <w:t xml:space="preserve"> tax rates follow variations in</w:t>
      </w:r>
      <w:r w:rsidR="00E37EB8" w:rsidRPr="00354B94">
        <w:rPr>
          <w:rFonts w:cs="Times New Roman"/>
        </w:rPr>
        <w:t xml:space="preserve"> oil </w:t>
      </w:r>
      <w:r w:rsidR="001D46AC" w:rsidRPr="00354B94">
        <w:rPr>
          <w:rFonts w:cs="Times New Roman"/>
        </w:rPr>
        <w:t>prices. T</w:t>
      </w:r>
      <w:r w:rsidR="00E60ECD" w:rsidRPr="00354B94">
        <w:rPr>
          <w:rFonts w:cs="Times New Roman"/>
        </w:rPr>
        <w:t xml:space="preserve">he line and corresponding values on the right </w:t>
      </w:r>
      <w:r w:rsidR="006D4958" w:rsidRPr="00354B94">
        <w:rPr>
          <w:rFonts w:cs="Times New Roman"/>
        </w:rPr>
        <w:t>point to</w:t>
      </w:r>
      <w:r w:rsidR="00E60ECD" w:rsidRPr="00354B94">
        <w:rPr>
          <w:rFonts w:cs="Times New Roman"/>
        </w:rPr>
        <w:t xml:space="preserve"> the combined tax rate on profits, whilst the bars and corresponding values on the left indicate the annual oil price. </w:t>
      </w:r>
      <w:r w:rsidR="001E7516" w:rsidRPr="00354B94">
        <w:rPr>
          <w:rFonts w:cs="Times New Roman"/>
        </w:rPr>
        <w:t>The adjustment of these rates is, however, not automatic and includes many complex policy interventions</w:t>
      </w:r>
      <w:r w:rsidR="0092383C" w:rsidRPr="00354B94">
        <w:rPr>
          <w:rFonts w:cs="Times New Roman"/>
        </w:rPr>
        <w:t xml:space="preserve"> discussed in the following </w:t>
      </w:r>
      <w:r w:rsidR="00851414" w:rsidRPr="00354B94">
        <w:rPr>
          <w:rFonts w:cs="Times New Roman"/>
        </w:rPr>
        <w:t>paragraphs</w:t>
      </w:r>
      <w:r w:rsidR="001E7516" w:rsidRPr="00354B94">
        <w:rPr>
          <w:rFonts w:cs="Times New Roman"/>
        </w:rPr>
        <w:t>.</w:t>
      </w:r>
      <w:r w:rsidR="00851414" w:rsidRPr="00354B94">
        <w:rPr>
          <w:rFonts w:cs="Times New Roman"/>
        </w:rPr>
        <w:t xml:space="preserve"> </w:t>
      </w:r>
    </w:p>
    <w:p w14:paraId="1A1A7D13" w14:textId="3B3BBA62" w:rsidR="004B1283" w:rsidRPr="00354B94" w:rsidRDefault="004B1283" w:rsidP="0000550F">
      <w:pPr>
        <w:pStyle w:val="Caption"/>
        <w:rPr>
          <w:rFonts w:cs="Times New Roman"/>
          <w:szCs w:val="22"/>
        </w:rPr>
      </w:pPr>
      <w:r w:rsidRPr="00354B94">
        <w:rPr>
          <w:rFonts w:cs="Times New Roman"/>
          <w:szCs w:val="22"/>
        </w:rPr>
        <w:lastRenderedPageBreak/>
        <w:t xml:space="preserve">Figure </w:t>
      </w:r>
      <w:r w:rsidR="00122489" w:rsidRPr="00354B94">
        <w:rPr>
          <w:rFonts w:cs="Times New Roman"/>
          <w:szCs w:val="22"/>
        </w:rPr>
        <w:fldChar w:fldCharType="begin"/>
      </w:r>
      <w:r w:rsidR="00122489" w:rsidRPr="00354B94">
        <w:rPr>
          <w:rFonts w:cs="Times New Roman"/>
          <w:szCs w:val="22"/>
        </w:rPr>
        <w:instrText xml:space="preserve"> SEQ Figure \* ARABIC </w:instrText>
      </w:r>
      <w:r w:rsidR="00122489" w:rsidRPr="00354B94">
        <w:rPr>
          <w:rFonts w:cs="Times New Roman"/>
          <w:szCs w:val="22"/>
        </w:rPr>
        <w:fldChar w:fldCharType="separate"/>
      </w:r>
      <w:r w:rsidR="00FC213A">
        <w:rPr>
          <w:rFonts w:cs="Times New Roman"/>
          <w:noProof/>
          <w:szCs w:val="22"/>
        </w:rPr>
        <w:t>1</w:t>
      </w:r>
      <w:r w:rsidR="00122489" w:rsidRPr="00354B94">
        <w:rPr>
          <w:rFonts w:cs="Times New Roman"/>
          <w:szCs w:val="22"/>
        </w:rPr>
        <w:fldChar w:fldCharType="end"/>
      </w:r>
      <w:r w:rsidRPr="00354B94">
        <w:rPr>
          <w:rFonts w:cs="Times New Roman"/>
          <w:noProof/>
          <w:szCs w:val="22"/>
        </w:rPr>
        <w:t xml:space="preserve"> Oil </w:t>
      </w:r>
      <w:r w:rsidR="00A67F71" w:rsidRPr="00354B94">
        <w:rPr>
          <w:rFonts w:cs="Times New Roman"/>
          <w:noProof/>
          <w:szCs w:val="22"/>
        </w:rPr>
        <w:t>P</w:t>
      </w:r>
      <w:r w:rsidRPr="00354B94">
        <w:rPr>
          <w:rFonts w:cs="Times New Roman"/>
          <w:noProof/>
          <w:szCs w:val="22"/>
        </w:rPr>
        <w:t>rice (</w:t>
      </w:r>
      <w:r w:rsidRPr="00354B94">
        <w:rPr>
          <w:rFonts w:cs="Times New Roman"/>
          <w:szCs w:val="22"/>
        </w:rPr>
        <w:t xml:space="preserve">$ per </w:t>
      </w:r>
      <w:r w:rsidR="00A67F71" w:rsidRPr="00354B94">
        <w:rPr>
          <w:rFonts w:cs="Times New Roman"/>
          <w:szCs w:val="22"/>
        </w:rPr>
        <w:t>Ba</w:t>
      </w:r>
      <w:r w:rsidRPr="00354B94">
        <w:rPr>
          <w:rFonts w:cs="Times New Roman"/>
          <w:szCs w:val="22"/>
        </w:rPr>
        <w:t>rrier) and Offshore Corporate Tax</w:t>
      </w:r>
      <w:r w:rsidR="0043212B" w:rsidRPr="00354B94">
        <w:rPr>
          <w:rFonts w:cs="Times New Roman"/>
          <w:szCs w:val="22"/>
        </w:rPr>
        <w:t xml:space="preserve"> Rates</w:t>
      </w:r>
      <w:r w:rsidRPr="00354B94">
        <w:rPr>
          <w:rStyle w:val="FootnoteReference"/>
          <w:rFonts w:cs="Times New Roman"/>
          <w:szCs w:val="22"/>
        </w:rPr>
        <w:footnoteReference w:id="9"/>
      </w:r>
    </w:p>
    <w:p w14:paraId="482C17D9" w14:textId="73C9B449" w:rsidR="004D1B6F" w:rsidRPr="00354B94" w:rsidRDefault="004D1B6F" w:rsidP="00526778">
      <w:pPr>
        <w:ind w:firstLine="0"/>
        <w:jc w:val="center"/>
        <w:rPr>
          <w:rFonts w:cs="Times New Roman"/>
        </w:rPr>
      </w:pPr>
      <w:r w:rsidRPr="00354B94">
        <w:rPr>
          <w:rFonts w:cs="Times New Roman"/>
          <w:noProof/>
          <w:lang w:val="en-US"/>
        </w:rPr>
        <w:drawing>
          <wp:inline distT="0" distB="0" distL="0" distR="0" wp14:anchorId="68070997" wp14:editId="6660EE25">
            <wp:extent cx="4319954" cy="2426677"/>
            <wp:effectExtent l="0" t="0" r="4445" b="12065"/>
            <wp:docPr id="9" name="Chart 9">
              <a:extLst xmlns:a="http://schemas.openxmlformats.org/drawingml/2006/main">
                <a:ext uri="{FF2B5EF4-FFF2-40B4-BE49-F238E27FC236}">
                  <a16:creationId xmlns:a16="http://schemas.microsoft.com/office/drawing/2014/main" id="{169FEBD2-8219-7D89-8133-5618BD1C0C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3A17EB8" w14:textId="162F60E7" w:rsidR="0004502E" w:rsidRPr="00354B94" w:rsidRDefault="00740917" w:rsidP="001821D8">
      <w:pPr>
        <w:spacing w:before="240"/>
        <w:rPr>
          <w:rFonts w:cs="Times New Roman"/>
        </w:rPr>
      </w:pPr>
      <w:r w:rsidRPr="00354B94">
        <w:rPr>
          <w:rFonts w:cs="Times New Roman"/>
        </w:rPr>
        <w:t xml:space="preserve">Over the past twenty years, the principles of taxation of oil and gas production gradually shifted from field-based to company-based. The latter category consists of </w:t>
      </w:r>
      <w:r w:rsidR="00FC2CF8" w:rsidRPr="00354B94">
        <w:rPr>
          <w:rFonts w:cs="Times New Roman"/>
        </w:rPr>
        <w:t>Ring Fence Corporation Tax (RFCT)</w:t>
      </w:r>
      <w:r w:rsidR="00780C1D" w:rsidRPr="00354B94">
        <w:rPr>
          <w:rFonts w:cs="Times New Roman"/>
        </w:rPr>
        <w:t xml:space="preserve"> </w:t>
      </w:r>
      <w:r w:rsidR="00C34BF9" w:rsidRPr="00354B94">
        <w:rPr>
          <w:rFonts w:cs="Times New Roman"/>
        </w:rPr>
        <w:t>at 30 per cent</w:t>
      </w:r>
      <w:r w:rsidR="0004502E" w:rsidRPr="00354B94">
        <w:rPr>
          <w:rStyle w:val="FootnoteReference"/>
          <w:rFonts w:cs="Times New Roman"/>
        </w:rPr>
        <w:footnoteReference w:id="10"/>
      </w:r>
      <w:r w:rsidR="00C34BF9" w:rsidRPr="00354B94">
        <w:rPr>
          <w:rFonts w:cs="Times New Roman"/>
        </w:rPr>
        <w:t xml:space="preserve"> </w:t>
      </w:r>
      <w:r w:rsidRPr="00354B94">
        <w:rPr>
          <w:rFonts w:cs="Times New Roman"/>
        </w:rPr>
        <w:t xml:space="preserve">and </w:t>
      </w:r>
      <w:r w:rsidR="00C130FB" w:rsidRPr="00354B94">
        <w:rPr>
          <w:rFonts w:cs="Times New Roman"/>
        </w:rPr>
        <w:t>Supplementary Charge (SC)</w:t>
      </w:r>
      <w:r w:rsidR="00C34BF9" w:rsidRPr="00354B94">
        <w:rPr>
          <w:rFonts w:cs="Times New Roman"/>
        </w:rPr>
        <w:t xml:space="preserve"> at 10 per cent</w:t>
      </w:r>
      <w:r w:rsidR="000F23F4" w:rsidRPr="00354B94">
        <w:rPr>
          <w:rFonts w:cs="Times New Roman"/>
        </w:rPr>
        <w:t>,</w:t>
      </w:r>
      <w:r w:rsidR="0004502E" w:rsidRPr="00354B94">
        <w:rPr>
          <w:rStyle w:val="FootnoteReference"/>
          <w:rFonts w:cs="Times New Roman"/>
        </w:rPr>
        <w:footnoteReference w:id="11"/>
      </w:r>
      <w:r w:rsidR="00C130FB" w:rsidRPr="00354B94">
        <w:rPr>
          <w:rFonts w:cs="Times New Roman"/>
        </w:rPr>
        <w:t xml:space="preserve"> </w:t>
      </w:r>
      <w:r w:rsidRPr="00354B94">
        <w:rPr>
          <w:rFonts w:cs="Times New Roman"/>
        </w:rPr>
        <w:t xml:space="preserve">whilst the former </w:t>
      </w:r>
      <w:r w:rsidR="00E1294B" w:rsidRPr="00354B94">
        <w:rPr>
          <w:rFonts w:cs="Times New Roman"/>
        </w:rPr>
        <w:t xml:space="preserve">consists of </w:t>
      </w:r>
      <w:r w:rsidR="00DF586D" w:rsidRPr="00354B94">
        <w:rPr>
          <w:rFonts w:cs="Times New Roman"/>
        </w:rPr>
        <w:t>Petroleum Revenue Tax (PRT)</w:t>
      </w:r>
      <w:r w:rsidR="00E1294B" w:rsidRPr="00354B94">
        <w:rPr>
          <w:rFonts w:cs="Times New Roman"/>
        </w:rPr>
        <w:t xml:space="preserve"> that</w:t>
      </w:r>
      <w:r w:rsidR="00DF586D" w:rsidRPr="00354B94">
        <w:rPr>
          <w:rFonts w:cs="Times New Roman"/>
        </w:rPr>
        <w:t xml:space="preserve"> </w:t>
      </w:r>
      <w:r w:rsidR="0004502E" w:rsidRPr="00354B94">
        <w:rPr>
          <w:rFonts w:cs="Times New Roman"/>
        </w:rPr>
        <w:t xml:space="preserve">is currently charged </w:t>
      </w:r>
      <w:r w:rsidR="00C34BF9" w:rsidRPr="00354B94">
        <w:rPr>
          <w:rFonts w:cs="Times New Roman"/>
        </w:rPr>
        <w:t>at</w:t>
      </w:r>
      <w:r w:rsidRPr="00354B94">
        <w:rPr>
          <w:rFonts w:cs="Times New Roman"/>
        </w:rPr>
        <w:t xml:space="preserve"> 0</w:t>
      </w:r>
      <w:r w:rsidR="00C34BF9" w:rsidRPr="00354B94">
        <w:rPr>
          <w:rFonts w:cs="Times New Roman"/>
        </w:rPr>
        <w:t xml:space="preserve"> per cent</w:t>
      </w:r>
      <w:r w:rsidRPr="00354B94">
        <w:rPr>
          <w:rFonts w:cs="Times New Roman"/>
        </w:rPr>
        <w:t xml:space="preserve"> from 2016</w:t>
      </w:r>
      <w:r w:rsidR="007E7756" w:rsidRPr="00354B94">
        <w:rPr>
          <w:rFonts w:cs="Times New Roman"/>
        </w:rPr>
        <w:t>.</w:t>
      </w:r>
      <w:r w:rsidR="0013509A" w:rsidRPr="00354B94">
        <w:rPr>
          <w:rStyle w:val="FootnoteReference"/>
          <w:rFonts w:cs="Times New Roman"/>
        </w:rPr>
        <w:footnoteReference w:id="12"/>
      </w:r>
      <w:r w:rsidR="0004502E" w:rsidRPr="00354B94">
        <w:rPr>
          <w:rFonts w:cs="Times New Roman"/>
        </w:rPr>
        <w:t xml:space="preserve"> PRT has not been abolished because it still generates repayments of historical taxes</w:t>
      </w:r>
      <w:r w:rsidR="00C65C6C" w:rsidRPr="00354B94">
        <w:rPr>
          <w:rFonts w:cs="Times New Roman"/>
        </w:rPr>
        <w:t>,</w:t>
      </w:r>
      <w:r w:rsidR="0004502E" w:rsidRPr="00354B94">
        <w:rPr>
          <w:rFonts w:cs="Times New Roman"/>
        </w:rPr>
        <w:t xml:space="preserve"> but is a deductible expense for computing profits to RFCT and SC.</w:t>
      </w:r>
    </w:p>
    <w:p w14:paraId="3535C08F" w14:textId="60C9558A" w:rsidR="00927E70" w:rsidRPr="00354B94" w:rsidRDefault="00BD11F5" w:rsidP="00991CEF">
      <w:pPr>
        <w:rPr>
          <w:rFonts w:cs="Times New Roman"/>
        </w:rPr>
      </w:pPr>
      <w:r w:rsidRPr="00354B94">
        <w:rPr>
          <w:rFonts w:cs="Times New Roman"/>
        </w:rPr>
        <w:t xml:space="preserve">Although calculated in the same way as corporation tax, RFCT imposes </w:t>
      </w:r>
      <w:r w:rsidR="006302C5" w:rsidRPr="00354B94">
        <w:rPr>
          <w:rFonts w:cs="Times New Roman"/>
        </w:rPr>
        <w:t>‘</w:t>
      </w:r>
      <w:r w:rsidRPr="00354B94">
        <w:rPr>
          <w:rFonts w:cs="Times New Roman"/>
        </w:rPr>
        <w:t>ring fence</w:t>
      </w:r>
      <w:r w:rsidR="005237E2" w:rsidRPr="00354B94">
        <w:rPr>
          <w:rFonts w:cs="Times New Roman"/>
        </w:rPr>
        <w:t>,</w:t>
      </w:r>
      <w:r w:rsidR="006302C5" w:rsidRPr="00354B94">
        <w:rPr>
          <w:rFonts w:cs="Times New Roman"/>
        </w:rPr>
        <w:t>’</w:t>
      </w:r>
      <w:r w:rsidRPr="00354B94">
        <w:rPr>
          <w:rFonts w:cs="Times New Roman"/>
        </w:rPr>
        <w:t xml:space="preserve"> isolating the extraction of gas and oil as a separate activity</w:t>
      </w:r>
      <w:r w:rsidR="007340B4" w:rsidRPr="00354B94">
        <w:rPr>
          <w:rFonts w:cs="Times New Roman"/>
        </w:rPr>
        <w:t xml:space="preserve"> that is taxed with </w:t>
      </w:r>
      <w:r w:rsidRPr="00354B94">
        <w:rPr>
          <w:rFonts w:cs="Times New Roman"/>
        </w:rPr>
        <w:t>a different rate from the standard</w:t>
      </w:r>
      <w:r w:rsidR="002F7791" w:rsidRPr="00354B94">
        <w:rPr>
          <w:rFonts w:cs="Times New Roman"/>
        </w:rPr>
        <w:t xml:space="preserve"> corporation tax</w:t>
      </w:r>
      <w:r w:rsidR="00C94D98" w:rsidRPr="00354B94">
        <w:rPr>
          <w:rFonts w:cs="Times New Roman"/>
        </w:rPr>
        <w:t>.</w:t>
      </w:r>
      <w:r w:rsidR="00D14754" w:rsidRPr="00354B94">
        <w:rPr>
          <w:rStyle w:val="FootnoteReference"/>
          <w:rFonts w:cs="Times New Roman"/>
        </w:rPr>
        <w:footnoteReference w:id="13"/>
      </w:r>
      <w:r w:rsidR="00A95200" w:rsidRPr="00354B94">
        <w:rPr>
          <w:rFonts w:cs="Times New Roman"/>
        </w:rPr>
        <w:t xml:space="preserve"> </w:t>
      </w:r>
      <w:r w:rsidRPr="00354B94">
        <w:rPr>
          <w:rFonts w:cs="Times New Roman"/>
        </w:rPr>
        <w:t xml:space="preserve">This ‘ring fence’ prevents </w:t>
      </w:r>
      <w:r w:rsidR="00116CD1" w:rsidRPr="00354B94">
        <w:rPr>
          <w:rFonts w:cs="Times New Roman"/>
        </w:rPr>
        <w:t xml:space="preserve">the reduction of </w:t>
      </w:r>
      <w:r w:rsidRPr="00354B94">
        <w:rPr>
          <w:rFonts w:cs="Times New Roman"/>
        </w:rPr>
        <w:t xml:space="preserve">taxable income by interest payments or losses from other activities. </w:t>
      </w:r>
      <w:r w:rsidR="004E42D0" w:rsidRPr="00354B94">
        <w:rPr>
          <w:rFonts w:cs="Times New Roman"/>
        </w:rPr>
        <w:t>SC</w:t>
      </w:r>
      <w:r w:rsidRPr="00354B94">
        <w:rPr>
          <w:rFonts w:cs="Times New Roman"/>
        </w:rPr>
        <w:t xml:space="preserve"> is </w:t>
      </w:r>
      <w:proofErr w:type="gramStart"/>
      <w:r w:rsidRPr="00354B94">
        <w:rPr>
          <w:rFonts w:cs="Times New Roman"/>
        </w:rPr>
        <w:t>similar to</w:t>
      </w:r>
      <w:proofErr w:type="gramEnd"/>
      <w:r w:rsidRPr="00354B94">
        <w:rPr>
          <w:rFonts w:cs="Times New Roman"/>
        </w:rPr>
        <w:t xml:space="preserve"> RFCT but does not permit </w:t>
      </w:r>
      <w:r w:rsidR="004E42D0" w:rsidRPr="00354B94">
        <w:rPr>
          <w:rFonts w:cs="Times New Roman"/>
        </w:rPr>
        <w:t xml:space="preserve">the </w:t>
      </w:r>
      <w:r w:rsidRPr="00354B94">
        <w:rPr>
          <w:rFonts w:cs="Times New Roman"/>
        </w:rPr>
        <w:t>deduction of debt finance costs</w:t>
      </w:r>
      <w:r w:rsidR="00AF07FD" w:rsidRPr="00354B94">
        <w:rPr>
          <w:rFonts w:cs="Times New Roman"/>
        </w:rPr>
        <w:t>.</w:t>
      </w:r>
      <w:r w:rsidR="0004502E" w:rsidRPr="00354B94">
        <w:rPr>
          <w:rStyle w:val="FootnoteReference"/>
          <w:rFonts w:cs="Times New Roman"/>
        </w:rPr>
        <w:footnoteReference w:id="14"/>
      </w:r>
      <w:r w:rsidRPr="00354B94">
        <w:rPr>
          <w:rFonts w:cs="Times New Roman"/>
        </w:rPr>
        <w:t xml:space="preserve"> </w:t>
      </w:r>
      <w:r w:rsidR="00AF07FD" w:rsidRPr="00354B94">
        <w:rPr>
          <w:rFonts w:cs="Times New Roman"/>
        </w:rPr>
        <w:t xml:space="preserve">The 2002 </w:t>
      </w:r>
      <w:r w:rsidRPr="00354B94">
        <w:rPr>
          <w:rFonts w:cs="Times New Roman"/>
        </w:rPr>
        <w:t>Budget</w:t>
      </w:r>
      <w:r w:rsidRPr="00354B94">
        <w:rPr>
          <w:rStyle w:val="FootnoteReference"/>
          <w:rFonts w:cs="Times New Roman"/>
        </w:rPr>
        <w:footnoteReference w:id="15"/>
      </w:r>
      <w:r w:rsidRPr="00354B94">
        <w:rPr>
          <w:rFonts w:cs="Times New Roman"/>
        </w:rPr>
        <w:t xml:space="preserve"> introduced the SC on the same ring fence profits with an initial rate of 10</w:t>
      </w:r>
      <w:r w:rsidR="00C34BF9" w:rsidRPr="00354B94">
        <w:rPr>
          <w:rFonts w:cs="Times New Roman"/>
        </w:rPr>
        <w:t xml:space="preserve"> per cent</w:t>
      </w:r>
      <w:r w:rsidR="00AC571C" w:rsidRPr="00354B94">
        <w:rPr>
          <w:rFonts w:cs="Times New Roman"/>
        </w:rPr>
        <w:t>.</w:t>
      </w:r>
      <w:r w:rsidR="00D63DA5" w:rsidRPr="00354B94">
        <w:rPr>
          <w:rFonts w:cs="Times New Roman"/>
        </w:rPr>
        <w:t xml:space="preserve"> </w:t>
      </w:r>
      <w:r w:rsidR="009110B6" w:rsidRPr="00354B94">
        <w:rPr>
          <w:rFonts w:cs="Times New Roman"/>
        </w:rPr>
        <w:t>The increase in oil prices</w:t>
      </w:r>
      <w:r w:rsidR="0004502E" w:rsidRPr="00354B94">
        <w:rPr>
          <w:rStyle w:val="FootnoteReference"/>
          <w:rFonts w:cs="Times New Roman"/>
        </w:rPr>
        <w:footnoteReference w:id="16"/>
      </w:r>
      <w:r w:rsidR="00801297" w:rsidRPr="00354B94">
        <w:rPr>
          <w:rFonts w:cs="Times New Roman"/>
        </w:rPr>
        <w:t xml:space="preserve"> prompted</w:t>
      </w:r>
      <w:r w:rsidR="008B5A7F" w:rsidRPr="00354B94">
        <w:rPr>
          <w:rFonts w:cs="Times New Roman"/>
        </w:rPr>
        <w:t xml:space="preserve"> the Government to double this </w:t>
      </w:r>
      <w:r w:rsidR="00765C29" w:rsidRPr="00354B94">
        <w:rPr>
          <w:rFonts w:cs="Times New Roman"/>
        </w:rPr>
        <w:t xml:space="preserve">rate </w:t>
      </w:r>
      <w:r w:rsidRPr="00354B94">
        <w:rPr>
          <w:rFonts w:cs="Times New Roman"/>
        </w:rPr>
        <w:t>in 2006</w:t>
      </w:r>
      <w:r w:rsidRPr="00354B94">
        <w:rPr>
          <w:rStyle w:val="FootnoteReference"/>
          <w:rFonts w:cs="Times New Roman"/>
        </w:rPr>
        <w:footnoteReference w:id="17"/>
      </w:r>
      <w:r w:rsidRPr="00354B94">
        <w:rPr>
          <w:rFonts w:cs="Times New Roman"/>
        </w:rPr>
        <w:t xml:space="preserve"> and </w:t>
      </w:r>
      <w:r w:rsidR="00801297" w:rsidRPr="00354B94">
        <w:rPr>
          <w:rFonts w:cs="Times New Roman"/>
        </w:rPr>
        <w:t xml:space="preserve">further </w:t>
      </w:r>
      <w:r w:rsidR="00765C29" w:rsidRPr="00354B94">
        <w:rPr>
          <w:rFonts w:cs="Times New Roman"/>
        </w:rPr>
        <w:t>increase</w:t>
      </w:r>
      <w:r w:rsidR="00801297" w:rsidRPr="00354B94">
        <w:rPr>
          <w:rFonts w:cs="Times New Roman"/>
        </w:rPr>
        <w:t xml:space="preserve"> it to</w:t>
      </w:r>
      <w:r w:rsidRPr="00354B94">
        <w:rPr>
          <w:rFonts w:cs="Times New Roman"/>
        </w:rPr>
        <w:t xml:space="preserve"> 32</w:t>
      </w:r>
      <w:r w:rsidR="00C34BF9" w:rsidRPr="00354B94">
        <w:rPr>
          <w:rFonts w:cs="Times New Roman"/>
        </w:rPr>
        <w:t xml:space="preserve"> per cent</w:t>
      </w:r>
      <w:r w:rsidRPr="00354B94">
        <w:rPr>
          <w:rFonts w:cs="Times New Roman"/>
        </w:rPr>
        <w:t xml:space="preserve"> in 2011</w:t>
      </w:r>
      <w:r w:rsidR="003656E6" w:rsidRPr="00354B94">
        <w:rPr>
          <w:rFonts w:cs="Times New Roman"/>
        </w:rPr>
        <w:t>.</w:t>
      </w:r>
      <w:r w:rsidRPr="00354B94">
        <w:rPr>
          <w:rStyle w:val="FootnoteReference"/>
          <w:rFonts w:cs="Times New Roman"/>
        </w:rPr>
        <w:footnoteReference w:id="18"/>
      </w:r>
      <w:r w:rsidRPr="00354B94">
        <w:rPr>
          <w:rFonts w:cs="Times New Roman"/>
        </w:rPr>
        <w:t xml:space="preserve"> </w:t>
      </w:r>
      <w:r w:rsidR="00C40924" w:rsidRPr="00354B94">
        <w:rPr>
          <w:rFonts w:cs="Times New Roman"/>
        </w:rPr>
        <w:t>L</w:t>
      </w:r>
      <w:r w:rsidR="00A41011" w:rsidRPr="00354B94">
        <w:rPr>
          <w:rFonts w:cs="Times New Roman"/>
        </w:rPr>
        <w:t>ater</w:t>
      </w:r>
      <w:r w:rsidR="00C40924" w:rsidRPr="00354B94">
        <w:rPr>
          <w:rFonts w:cs="Times New Roman"/>
        </w:rPr>
        <w:t>,</w:t>
      </w:r>
      <w:r w:rsidR="00A41011" w:rsidRPr="00354B94">
        <w:rPr>
          <w:rFonts w:cs="Times New Roman"/>
        </w:rPr>
        <w:t xml:space="preserve"> because</w:t>
      </w:r>
      <w:r w:rsidRPr="00354B94">
        <w:rPr>
          <w:rFonts w:cs="Times New Roman"/>
        </w:rPr>
        <w:t xml:space="preserve"> of falling global oil prices</w:t>
      </w:r>
      <w:r w:rsidR="00C40924" w:rsidRPr="00354B94">
        <w:rPr>
          <w:rFonts w:cs="Times New Roman"/>
        </w:rPr>
        <w:t>,</w:t>
      </w:r>
      <w:r w:rsidR="009B4755" w:rsidRPr="00354B94">
        <w:rPr>
          <w:rFonts w:cs="Times New Roman"/>
        </w:rPr>
        <w:t xml:space="preserve"> among other </w:t>
      </w:r>
      <w:r w:rsidR="00606BF2" w:rsidRPr="00354B94">
        <w:rPr>
          <w:rFonts w:cs="Times New Roman"/>
        </w:rPr>
        <w:lastRenderedPageBreak/>
        <w:t>issues</w:t>
      </w:r>
      <w:r w:rsidRPr="00354B94">
        <w:rPr>
          <w:rFonts w:cs="Times New Roman"/>
        </w:rPr>
        <w:t>, the SC was first reduced to</w:t>
      </w:r>
      <w:r w:rsidR="00C34BF9" w:rsidRPr="00354B94">
        <w:rPr>
          <w:rFonts w:cs="Times New Roman"/>
        </w:rPr>
        <w:t xml:space="preserve"> 30 per cent</w:t>
      </w:r>
      <w:r w:rsidR="00C34BF9" w:rsidRPr="00354B94">
        <w:rPr>
          <w:rStyle w:val="FootnoteReference"/>
          <w:rFonts w:cs="Times New Roman"/>
        </w:rPr>
        <w:footnoteReference w:id="19"/>
      </w:r>
      <w:r w:rsidR="009B7A51" w:rsidRPr="00354B94">
        <w:rPr>
          <w:rFonts w:cs="Times New Roman"/>
        </w:rPr>
        <w:t xml:space="preserve"> </w:t>
      </w:r>
      <w:r w:rsidR="00C22249" w:rsidRPr="00354B94">
        <w:rPr>
          <w:rFonts w:cs="Times New Roman"/>
        </w:rPr>
        <w:t>in 2015</w:t>
      </w:r>
      <w:r w:rsidR="00E8180C" w:rsidRPr="00354B94">
        <w:rPr>
          <w:rFonts w:cs="Times New Roman"/>
        </w:rPr>
        <w:t>,</w:t>
      </w:r>
      <w:r w:rsidR="00C22249" w:rsidRPr="00354B94">
        <w:rPr>
          <w:rFonts w:cs="Times New Roman"/>
        </w:rPr>
        <w:t xml:space="preserve"> </w:t>
      </w:r>
      <w:r w:rsidR="009B7A51" w:rsidRPr="00354B94">
        <w:rPr>
          <w:rFonts w:cs="Times New Roman"/>
        </w:rPr>
        <w:t>then</w:t>
      </w:r>
      <w:r w:rsidR="00D804F0" w:rsidRPr="00354B94">
        <w:rPr>
          <w:rFonts w:cs="Times New Roman"/>
        </w:rPr>
        <w:t xml:space="preserve"> to</w:t>
      </w:r>
      <w:r w:rsidR="00C34BF9" w:rsidRPr="00354B94">
        <w:rPr>
          <w:rFonts w:cs="Times New Roman"/>
        </w:rPr>
        <w:t xml:space="preserve"> 20 per cent</w:t>
      </w:r>
      <w:r w:rsidR="00C22249" w:rsidRPr="00354B94">
        <w:rPr>
          <w:rFonts w:cs="Times New Roman"/>
        </w:rPr>
        <w:t xml:space="preserve"> in the </w:t>
      </w:r>
      <w:r w:rsidR="00E8180C" w:rsidRPr="00354B94">
        <w:rPr>
          <w:rFonts w:cs="Times New Roman"/>
        </w:rPr>
        <w:t>s</w:t>
      </w:r>
      <w:r w:rsidR="00C22249" w:rsidRPr="00354B94">
        <w:rPr>
          <w:rFonts w:cs="Times New Roman"/>
        </w:rPr>
        <w:t>ame year</w:t>
      </w:r>
      <w:r w:rsidR="00C34BF9" w:rsidRPr="00354B94">
        <w:rPr>
          <w:rStyle w:val="FootnoteReference"/>
          <w:rFonts w:cs="Times New Roman"/>
        </w:rPr>
        <w:footnoteReference w:id="20"/>
      </w:r>
      <w:r w:rsidR="00C34BF9" w:rsidRPr="00354B94">
        <w:rPr>
          <w:rFonts w:cs="Times New Roman"/>
        </w:rPr>
        <w:t xml:space="preserve"> </w:t>
      </w:r>
      <w:r w:rsidRPr="00354B94">
        <w:rPr>
          <w:rFonts w:cs="Times New Roman"/>
        </w:rPr>
        <w:t>and</w:t>
      </w:r>
      <w:r w:rsidR="009B7A51" w:rsidRPr="00354B94">
        <w:rPr>
          <w:rFonts w:cs="Times New Roman"/>
        </w:rPr>
        <w:t xml:space="preserve"> then</w:t>
      </w:r>
      <w:r w:rsidR="00D804F0" w:rsidRPr="00354B94">
        <w:rPr>
          <w:rFonts w:cs="Times New Roman"/>
        </w:rPr>
        <w:t xml:space="preserve"> to</w:t>
      </w:r>
      <w:r w:rsidRPr="00354B94">
        <w:rPr>
          <w:rFonts w:cs="Times New Roman"/>
        </w:rPr>
        <w:t xml:space="preserve"> 10</w:t>
      </w:r>
      <w:r w:rsidR="00C34BF9" w:rsidRPr="00354B94">
        <w:rPr>
          <w:rFonts w:cs="Times New Roman"/>
        </w:rPr>
        <w:t xml:space="preserve"> per cent</w:t>
      </w:r>
      <w:r w:rsidRPr="00354B94">
        <w:rPr>
          <w:rFonts w:cs="Times New Roman"/>
        </w:rPr>
        <w:t xml:space="preserve"> a year </w:t>
      </w:r>
      <w:r w:rsidR="00507B45" w:rsidRPr="00354B94">
        <w:rPr>
          <w:rFonts w:cs="Times New Roman"/>
        </w:rPr>
        <w:t>later</w:t>
      </w:r>
      <w:r w:rsidR="002E2296" w:rsidRPr="00354B94">
        <w:rPr>
          <w:rFonts w:cs="Times New Roman"/>
        </w:rPr>
        <w:t>.</w:t>
      </w:r>
      <w:r w:rsidRPr="00354B94">
        <w:rPr>
          <w:rStyle w:val="FootnoteReference"/>
          <w:rFonts w:cs="Times New Roman"/>
        </w:rPr>
        <w:footnoteReference w:id="21"/>
      </w:r>
    </w:p>
    <w:p w14:paraId="19599CF3" w14:textId="2F287032" w:rsidR="003F506A" w:rsidRPr="00354B94" w:rsidRDefault="0081735D" w:rsidP="00D52145">
      <w:pPr>
        <w:rPr>
          <w:rFonts w:cs="Times New Roman"/>
        </w:rPr>
      </w:pPr>
      <w:r w:rsidRPr="00354B94">
        <w:rPr>
          <w:rFonts w:cs="Times New Roman"/>
        </w:rPr>
        <w:t>In the same manner</w:t>
      </w:r>
      <w:r w:rsidR="00F859E2" w:rsidRPr="00354B94">
        <w:rPr>
          <w:rFonts w:cs="Times New Roman"/>
        </w:rPr>
        <w:t xml:space="preserve">, the Government introduced numerous allowances that </w:t>
      </w:r>
      <w:r w:rsidR="00102B55" w:rsidRPr="00354B94">
        <w:rPr>
          <w:rFonts w:cs="Times New Roman"/>
        </w:rPr>
        <w:t xml:space="preserve">are likely to </w:t>
      </w:r>
      <w:r w:rsidR="00B2277D" w:rsidRPr="00354B94">
        <w:rPr>
          <w:rFonts w:cs="Times New Roman"/>
        </w:rPr>
        <w:t xml:space="preserve">have </w:t>
      </w:r>
      <w:r w:rsidR="006F1499" w:rsidRPr="00354B94">
        <w:rPr>
          <w:rFonts w:cs="Times New Roman"/>
        </w:rPr>
        <w:t>a</w:t>
      </w:r>
      <w:r w:rsidR="00B2277D" w:rsidRPr="00354B94">
        <w:rPr>
          <w:rFonts w:cs="Times New Roman"/>
        </w:rPr>
        <w:t xml:space="preserve"> significant impact on</w:t>
      </w:r>
      <w:r w:rsidR="00102B55" w:rsidRPr="00354B94">
        <w:rPr>
          <w:rFonts w:cs="Times New Roman"/>
        </w:rPr>
        <w:t xml:space="preserve"> lowering</w:t>
      </w:r>
      <w:r w:rsidR="0060697E" w:rsidRPr="00354B94">
        <w:rPr>
          <w:rFonts w:cs="Times New Roman"/>
        </w:rPr>
        <w:t xml:space="preserve"> tax</w:t>
      </w:r>
      <w:r w:rsidR="00102B55" w:rsidRPr="00354B94">
        <w:rPr>
          <w:rFonts w:cs="Times New Roman"/>
        </w:rPr>
        <w:t xml:space="preserve"> receipts</w:t>
      </w:r>
      <w:r w:rsidR="00554FBE" w:rsidRPr="00354B94">
        <w:rPr>
          <w:rFonts w:cs="Times New Roman"/>
        </w:rPr>
        <w:t xml:space="preserve">. </w:t>
      </w:r>
      <w:r w:rsidR="0080603B" w:rsidRPr="00354B94">
        <w:rPr>
          <w:rFonts w:cs="Times New Roman"/>
        </w:rPr>
        <w:t>The</w:t>
      </w:r>
      <w:r w:rsidR="00244709" w:rsidRPr="00354B94">
        <w:rPr>
          <w:rFonts w:cs="Times New Roman"/>
        </w:rPr>
        <w:t>se</w:t>
      </w:r>
      <w:r w:rsidR="00706EFF" w:rsidRPr="00354B94">
        <w:rPr>
          <w:rFonts w:cs="Times New Roman"/>
        </w:rPr>
        <w:t xml:space="preserve"> generate taxable losses</w:t>
      </w:r>
      <w:r w:rsidR="0080603B" w:rsidRPr="00354B94">
        <w:rPr>
          <w:rFonts w:cs="Times New Roman"/>
        </w:rPr>
        <w:t xml:space="preserve"> that</w:t>
      </w:r>
      <w:r w:rsidR="00706EFF" w:rsidRPr="00354B94">
        <w:rPr>
          <w:rFonts w:cs="Times New Roman"/>
        </w:rPr>
        <w:t xml:space="preserve"> can be carried forward</w:t>
      </w:r>
      <w:r w:rsidR="00F76147" w:rsidRPr="00354B94">
        <w:rPr>
          <w:rFonts w:cs="Times New Roman"/>
        </w:rPr>
        <w:t xml:space="preserve"> </w:t>
      </w:r>
      <w:r w:rsidR="00706EFF" w:rsidRPr="00354B94">
        <w:rPr>
          <w:rFonts w:cs="Times New Roman"/>
        </w:rPr>
        <w:t>or backward against profits from other years or surrendered as group relief</w:t>
      </w:r>
      <w:r w:rsidR="00114C60" w:rsidRPr="00354B94">
        <w:rPr>
          <w:rFonts w:cs="Times New Roman"/>
        </w:rPr>
        <w:t>.</w:t>
      </w:r>
      <w:r w:rsidR="00F859E2" w:rsidRPr="00354B94">
        <w:rPr>
          <w:rStyle w:val="FootnoteReference"/>
          <w:rFonts w:cs="Times New Roman"/>
        </w:rPr>
        <w:footnoteReference w:id="22"/>
      </w:r>
      <w:r w:rsidR="00706EFF" w:rsidRPr="00354B94">
        <w:rPr>
          <w:rFonts w:cs="Times New Roman"/>
        </w:rPr>
        <w:t xml:space="preserve"> </w:t>
      </w:r>
      <w:r w:rsidR="00C826C2" w:rsidRPr="00354B94">
        <w:rPr>
          <w:rFonts w:cs="Times New Roman"/>
        </w:rPr>
        <w:t>Most notable</w:t>
      </w:r>
      <w:r w:rsidR="00D879A0" w:rsidRPr="00354B94">
        <w:rPr>
          <w:rFonts w:cs="Times New Roman"/>
        </w:rPr>
        <w:t xml:space="preserve"> is</w:t>
      </w:r>
      <w:r w:rsidR="00C826C2" w:rsidRPr="00354B94">
        <w:rPr>
          <w:rFonts w:cs="Times New Roman"/>
        </w:rPr>
        <w:t xml:space="preserve"> </w:t>
      </w:r>
      <w:r w:rsidR="0084534B" w:rsidRPr="00354B94">
        <w:rPr>
          <w:rFonts w:cs="Times New Roman"/>
        </w:rPr>
        <w:t xml:space="preserve">a </w:t>
      </w:r>
      <w:r w:rsidR="00C826C2" w:rsidRPr="00354B94">
        <w:rPr>
          <w:rFonts w:cs="Times New Roman"/>
        </w:rPr>
        <w:t>100</w:t>
      </w:r>
      <w:r w:rsidR="00C34BF9" w:rsidRPr="00354B94">
        <w:rPr>
          <w:rFonts w:cs="Times New Roman"/>
        </w:rPr>
        <w:t xml:space="preserve"> per cent</w:t>
      </w:r>
      <w:r w:rsidR="00C826C2" w:rsidRPr="00354B94">
        <w:rPr>
          <w:rFonts w:cs="Times New Roman"/>
        </w:rPr>
        <w:t xml:space="preserve"> first</w:t>
      </w:r>
      <w:r w:rsidR="009E5A3C" w:rsidRPr="00354B94">
        <w:rPr>
          <w:rFonts w:cs="Times New Roman"/>
        </w:rPr>
        <w:t>-</w:t>
      </w:r>
      <w:r w:rsidR="00C826C2" w:rsidRPr="00354B94">
        <w:rPr>
          <w:rFonts w:cs="Times New Roman"/>
        </w:rPr>
        <w:t>year allowance for capital spending</w:t>
      </w:r>
      <w:r w:rsidR="004B24E8" w:rsidRPr="00354B94">
        <w:rPr>
          <w:rFonts w:cs="Times New Roman"/>
        </w:rPr>
        <w:t xml:space="preserve"> for RFCT and SC</w:t>
      </w:r>
      <w:r w:rsidR="00114C60" w:rsidRPr="00354B94">
        <w:rPr>
          <w:rFonts w:cs="Times New Roman"/>
        </w:rPr>
        <w:t>,</w:t>
      </w:r>
      <w:r w:rsidR="004B24E8" w:rsidRPr="00354B94">
        <w:rPr>
          <w:rFonts w:cs="Times New Roman"/>
        </w:rPr>
        <w:t xml:space="preserve"> and </w:t>
      </w:r>
      <w:r w:rsidR="009E5A3C" w:rsidRPr="00354B94">
        <w:rPr>
          <w:rFonts w:cs="Times New Roman"/>
        </w:rPr>
        <w:t xml:space="preserve">a </w:t>
      </w:r>
      <w:r w:rsidR="004B24E8" w:rsidRPr="00354B94">
        <w:rPr>
          <w:rFonts w:cs="Times New Roman"/>
        </w:rPr>
        <w:t>further 62.5</w:t>
      </w:r>
      <w:r w:rsidR="00C34BF9" w:rsidRPr="00354B94">
        <w:rPr>
          <w:rFonts w:cs="Times New Roman"/>
        </w:rPr>
        <w:t xml:space="preserve"> per cent</w:t>
      </w:r>
      <w:r w:rsidR="004B24E8" w:rsidRPr="00354B94">
        <w:rPr>
          <w:rFonts w:cs="Times New Roman"/>
        </w:rPr>
        <w:t xml:space="preserve"> </w:t>
      </w:r>
      <w:r w:rsidR="00285302" w:rsidRPr="00354B94">
        <w:rPr>
          <w:rFonts w:cs="Times New Roman"/>
        </w:rPr>
        <w:t>investment allowance</w:t>
      </w:r>
      <w:r w:rsidR="00EB165D" w:rsidRPr="00354B94">
        <w:rPr>
          <w:rFonts w:cs="Times New Roman"/>
        </w:rPr>
        <w:t xml:space="preserve"> </w:t>
      </w:r>
      <w:r w:rsidR="00AA68F4" w:rsidRPr="00354B94">
        <w:rPr>
          <w:rFonts w:cs="Times New Roman"/>
        </w:rPr>
        <w:t>for</w:t>
      </w:r>
      <w:r w:rsidR="00EB165D" w:rsidRPr="00354B94">
        <w:rPr>
          <w:rFonts w:cs="Times New Roman"/>
        </w:rPr>
        <w:t xml:space="preserve"> SC</w:t>
      </w:r>
      <w:r w:rsidR="00285302" w:rsidRPr="00354B94">
        <w:rPr>
          <w:rFonts w:cs="Times New Roman"/>
        </w:rPr>
        <w:t xml:space="preserve"> that can be claimed once investment starts generating income</w:t>
      </w:r>
      <w:r w:rsidR="00A22576" w:rsidRPr="00354B94">
        <w:rPr>
          <w:rFonts w:cs="Times New Roman"/>
        </w:rPr>
        <w:t>.</w:t>
      </w:r>
      <w:r w:rsidR="00B837D7" w:rsidRPr="00354B94">
        <w:rPr>
          <w:rStyle w:val="FootnoteReference"/>
          <w:rFonts w:cs="Times New Roman"/>
        </w:rPr>
        <w:footnoteReference w:id="23"/>
      </w:r>
      <w:r w:rsidR="0049057F" w:rsidRPr="00354B94">
        <w:rPr>
          <w:rFonts w:cs="Times New Roman"/>
        </w:rPr>
        <w:t xml:space="preserve"> </w:t>
      </w:r>
      <w:r w:rsidR="00986E60" w:rsidRPr="00354B94">
        <w:rPr>
          <w:rFonts w:cs="Times New Roman"/>
        </w:rPr>
        <w:t xml:space="preserve">The companies </w:t>
      </w:r>
      <w:r w:rsidR="00C34BF9" w:rsidRPr="00354B94">
        <w:rPr>
          <w:rFonts w:cs="Times New Roman"/>
        </w:rPr>
        <w:t xml:space="preserve">are </w:t>
      </w:r>
      <w:r w:rsidR="00986E60" w:rsidRPr="00354B94">
        <w:rPr>
          <w:rFonts w:cs="Times New Roman"/>
        </w:rPr>
        <w:t xml:space="preserve">also </w:t>
      </w:r>
      <w:r w:rsidR="00C34BF9" w:rsidRPr="00354B94">
        <w:rPr>
          <w:rFonts w:cs="Times New Roman"/>
        </w:rPr>
        <w:t>offered</w:t>
      </w:r>
      <w:r w:rsidR="008A1E61" w:rsidRPr="00354B94">
        <w:rPr>
          <w:rFonts w:cs="Times New Roman"/>
        </w:rPr>
        <w:t xml:space="preserve"> various</w:t>
      </w:r>
      <w:r w:rsidR="006F4B9F" w:rsidRPr="00354B94">
        <w:rPr>
          <w:rFonts w:cs="Times New Roman"/>
        </w:rPr>
        <w:t xml:space="preserve"> </w:t>
      </w:r>
      <w:r w:rsidR="008A3D0E" w:rsidRPr="00354B94">
        <w:rPr>
          <w:rFonts w:cs="Times New Roman"/>
        </w:rPr>
        <w:t>field allowances</w:t>
      </w:r>
      <w:r w:rsidR="00E9758A" w:rsidRPr="00354B94">
        <w:rPr>
          <w:rFonts w:cs="Times New Roman"/>
        </w:rPr>
        <w:t xml:space="preserve"> </w:t>
      </w:r>
      <w:r w:rsidR="0027781E" w:rsidRPr="00354B94">
        <w:rPr>
          <w:rFonts w:cs="Times New Roman"/>
        </w:rPr>
        <w:t>aimed</w:t>
      </w:r>
      <w:r w:rsidR="008A1E61" w:rsidRPr="00354B94">
        <w:rPr>
          <w:rFonts w:cs="Times New Roman"/>
        </w:rPr>
        <w:t xml:space="preserve"> to incentivise investment in more difficult-to-extract fields </w:t>
      </w:r>
      <w:r w:rsidR="00D80628" w:rsidRPr="00354B94">
        <w:rPr>
          <w:rFonts w:cs="Times New Roman"/>
        </w:rPr>
        <w:t>and</w:t>
      </w:r>
      <w:r w:rsidR="00E80420" w:rsidRPr="00354B94">
        <w:rPr>
          <w:rFonts w:cs="Times New Roman"/>
        </w:rPr>
        <w:t xml:space="preserve"> </w:t>
      </w:r>
      <w:r w:rsidR="006F4B9F" w:rsidRPr="00354B94">
        <w:rPr>
          <w:rFonts w:cs="Times New Roman"/>
        </w:rPr>
        <w:t>substantial</w:t>
      </w:r>
      <w:r w:rsidR="00986E60" w:rsidRPr="00354B94">
        <w:rPr>
          <w:rFonts w:cs="Times New Roman"/>
        </w:rPr>
        <w:t xml:space="preserve"> </w:t>
      </w:r>
      <w:r w:rsidR="00B800CF" w:rsidRPr="00354B94">
        <w:rPr>
          <w:rFonts w:cs="Times New Roman"/>
        </w:rPr>
        <w:t>reliefs for decommissioning fields</w:t>
      </w:r>
      <w:r w:rsidR="00A22576" w:rsidRPr="00354B94">
        <w:rPr>
          <w:rFonts w:cs="Times New Roman"/>
        </w:rPr>
        <w:t>.</w:t>
      </w:r>
      <w:r w:rsidR="00582972" w:rsidRPr="00354B94">
        <w:rPr>
          <w:rStyle w:val="FootnoteReference"/>
          <w:rFonts w:cs="Times New Roman"/>
        </w:rPr>
        <w:footnoteReference w:id="24"/>
      </w:r>
      <w:r w:rsidR="00C726E9" w:rsidRPr="00354B94">
        <w:rPr>
          <w:rFonts w:cs="Times New Roman"/>
        </w:rPr>
        <w:t xml:space="preserve"> </w:t>
      </w:r>
    </w:p>
    <w:p w14:paraId="521988D0" w14:textId="019AD490" w:rsidR="000A2B74" w:rsidRPr="00354B94" w:rsidRDefault="0065147B" w:rsidP="00B507A8">
      <w:pPr>
        <w:rPr>
          <w:rFonts w:cs="Times New Roman"/>
        </w:rPr>
      </w:pPr>
      <w:r w:rsidRPr="00354B94">
        <w:rPr>
          <w:rFonts w:cs="Times New Roman"/>
        </w:rPr>
        <w:t>Amongst other factors, t</w:t>
      </w:r>
      <w:r w:rsidR="00673D12" w:rsidRPr="00354B94">
        <w:rPr>
          <w:rFonts w:cs="Times New Roman"/>
        </w:rPr>
        <w:t xml:space="preserve">he extent of </w:t>
      </w:r>
      <w:r w:rsidR="00D505D0" w:rsidRPr="00354B94">
        <w:rPr>
          <w:rFonts w:cs="Times New Roman"/>
        </w:rPr>
        <w:t xml:space="preserve">these </w:t>
      </w:r>
      <w:r w:rsidR="00673D12" w:rsidRPr="00354B94">
        <w:rPr>
          <w:rFonts w:cs="Times New Roman"/>
        </w:rPr>
        <w:t xml:space="preserve">allowances contributed to the </w:t>
      </w:r>
      <w:r w:rsidR="0093585F" w:rsidRPr="00354B94">
        <w:rPr>
          <w:rFonts w:cs="Times New Roman"/>
        </w:rPr>
        <w:t>lack</w:t>
      </w:r>
      <w:r w:rsidR="00673D12" w:rsidRPr="00354B94">
        <w:rPr>
          <w:rFonts w:cs="Times New Roman"/>
        </w:rPr>
        <w:t xml:space="preserve"> </w:t>
      </w:r>
      <w:r w:rsidR="00250EA8" w:rsidRPr="00354B94">
        <w:rPr>
          <w:rFonts w:cs="Times New Roman"/>
        </w:rPr>
        <w:t>of</w:t>
      </w:r>
      <w:r w:rsidR="00673D12" w:rsidRPr="00354B94">
        <w:rPr>
          <w:rFonts w:cs="Times New Roman"/>
        </w:rPr>
        <w:t xml:space="preserve"> tax revenue</w:t>
      </w:r>
      <w:r w:rsidR="00DD30FE" w:rsidRPr="00354B94">
        <w:rPr>
          <w:rFonts w:cs="Times New Roman"/>
        </w:rPr>
        <w:t xml:space="preserve">, as illustrated in </w:t>
      </w:r>
      <w:r w:rsidR="004C13A1" w:rsidRPr="00354B94">
        <w:rPr>
          <w:rFonts w:cs="Times New Roman"/>
        </w:rPr>
        <w:t xml:space="preserve">the two charts shown in </w:t>
      </w:r>
      <w:r w:rsidR="00673D12" w:rsidRPr="00354B94">
        <w:rPr>
          <w:rFonts w:cs="Times New Roman"/>
        </w:rPr>
        <w:t>Figure 2</w:t>
      </w:r>
      <w:r w:rsidR="00DD30FE" w:rsidRPr="00354B94">
        <w:rPr>
          <w:rFonts w:cs="Times New Roman"/>
        </w:rPr>
        <w:t xml:space="preserve">. On the </w:t>
      </w:r>
      <w:r w:rsidR="0056628A" w:rsidRPr="00354B94">
        <w:rPr>
          <w:rFonts w:cs="Times New Roman"/>
        </w:rPr>
        <w:t>left</w:t>
      </w:r>
      <w:r w:rsidR="00DD30FE" w:rsidRPr="00354B94">
        <w:rPr>
          <w:rFonts w:cs="Times New Roman"/>
        </w:rPr>
        <w:t xml:space="preserve">, </w:t>
      </w:r>
      <w:r w:rsidR="00EC1E97" w:rsidRPr="00354B94">
        <w:rPr>
          <w:rFonts w:cs="Times New Roman"/>
        </w:rPr>
        <w:t xml:space="preserve">the stacked bar chart </w:t>
      </w:r>
      <w:r w:rsidR="0051679E" w:rsidRPr="00354B94">
        <w:rPr>
          <w:rFonts w:cs="Times New Roman"/>
        </w:rPr>
        <w:t>compares</w:t>
      </w:r>
      <w:r w:rsidR="00EC1E97" w:rsidRPr="00354B94">
        <w:rPr>
          <w:rFonts w:cs="Times New Roman"/>
        </w:rPr>
        <w:t xml:space="preserve"> the </w:t>
      </w:r>
      <w:r w:rsidR="003A7DF5" w:rsidRPr="00354B94">
        <w:rPr>
          <w:rFonts w:cs="Times New Roman"/>
        </w:rPr>
        <w:t>exten</w:t>
      </w:r>
      <w:r w:rsidR="00A92BB6" w:rsidRPr="00354B94">
        <w:rPr>
          <w:rFonts w:cs="Times New Roman"/>
        </w:rPr>
        <w:t>t</w:t>
      </w:r>
      <w:r w:rsidR="003A7DF5" w:rsidRPr="00354B94">
        <w:rPr>
          <w:rFonts w:cs="Times New Roman"/>
        </w:rPr>
        <w:t xml:space="preserve"> of allowances</w:t>
      </w:r>
      <w:r w:rsidR="0051679E" w:rsidRPr="00354B94">
        <w:rPr>
          <w:rFonts w:cs="Times New Roman"/>
        </w:rPr>
        <w:t xml:space="preserve"> </w:t>
      </w:r>
      <w:r w:rsidRPr="00354B94">
        <w:rPr>
          <w:rFonts w:cs="Times New Roman"/>
        </w:rPr>
        <w:t>and decommissioning relief to</w:t>
      </w:r>
      <w:r w:rsidR="0051679E" w:rsidRPr="00354B94">
        <w:rPr>
          <w:rFonts w:cs="Times New Roman"/>
        </w:rPr>
        <w:t xml:space="preserve"> the tax </w:t>
      </w:r>
      <w:r w:rsidRPr="00354B94">
        <w:rPr>
          <w:rFonts w:cs="Times New Roman"/>
        </w:rPr>
        <w:t>receipts</w:t>
      </w:r>
      <w:r w:rsidR="0051679E" w:rsidRPr="00354B94">
        <w:rPr>
          <w:rFonts w:cs="Times New Roman"/>
        </w:rPr>
        <w:t xml:space="preserve"> over time. </w:t>
      </w:r>
      <w:r w:rsidR="00A8051E" w:rsidRPr="00354B94">
        <w:rPr>
          <w:rFonts w:cs="Times New Roman"/>
        </w:rPr>
        <w:t xml:space="preserve">It shows that </w:t>
      </w:r>
      <w:r w:rsidR="00B96AAB" w:rsidRPr="00354B94">
        <w:rPr>
          <w:rFonts w:cs="Times New Roman"/>
        </w:rPr>
        <w:t xml:space="preserve">allowances </w:t>
      </w:r>
      <w:r w:rsidR="00882C4D" w:rsidRPr="00354B94">
        <w:rPr>
          <w:rFonts w:cs="Times New Roman"/>
        </w:rPr>
        <w:t xml:space="preserve">were more than twice the size of tax receipts </w:t>
      </w:r>
      <w:r w:rsidR="006F70D3" w:rsidRPr="00354B94">
        <w:rPr>
          <w:rFonts w:cs="Times New Roman"/>
        </w:rPr>
        <w:t>from RFCT and SC</w:t>
      </w:r>
      <w:r w:rsidR="00AD3024" w:rsidRPr="00354B94">
        <w:rPr>
          <w:rFonts w:cs="Times New Roman"/>
        </w:rPr>
        <w:t xml:space="preserve"> between 2016-17 and 2020-2</w:t>
      </w:r>
      <w:r w:rsidR="00882C4D" w:rsidRPr="00354B94">
        <w:rPr>
          <w:rFonts w:cs="Times New Roman"/>
        </w:rPr>
        <w:t>1</w:t>
      </w:r>
      <w:r w:rsidR="00C8267F" w:rsidRPr="00354B94">
        <w:rPr>
          <w:rFonts w:cs="Times New Roman"/>
        </w:rPr>
        <w:t xml:space="preserve">. </w:t>
      </w:r>
      <w:r w:rsidR="00A3435D" w:rsidRPr="00354B94">
        <w:rPr>
          <w:rFonts w:cs="Times New Roman"/>
        </w:rPr>
        <w:t xml:space="preserve">During this </w:t>
      </w:r>
      <w:r w:rsidR="00066482" w:rsidRPr="00354B94">
        <w:rPr>
          <w:rFonts w:cs="Times New Roman"/>
        </w:rPr>
        <w:t>period</w:t>
      </w:r>
      <w:r w:rsidR="00A3435D" w:rsidRPr="00354B94">
        <w:rPr>
          <w:rFonts w:cs="Times New Roman"/>
        </w:rPr>
        <w:t xml:space="preserve"> the estimated costs of c</w:t>
      </w:r>
      <w:r w:rsidR="008015F8" w:rsidRPr="00354B94">
        <w:rPr>
          <w:rFonts w:cs="Times New Roman"/>
        </w:rPr>
        <w:t xml:space="preserve">apital allowances </w:t>
      </w:r>
      <w:r w:rsidR="00011490" w:rsidRPr="00354B94">
        <w:rPr>
          <w:rFonts w:cs="Times New Roman"/>
        </w:rPr>
        <w:t>were always greater than t</w:t>
      </w:r>
      <w:r w:rsidR="00A3435D" w:rsidRPr="00354B94">
        <w:rPr>
          <w:rFonts w:cs="Times New Roman"/>
        </w:rPr>
        <w:t>a</w:t>
      </w:r>
      <w:r w:rsidR="00011490" w:rsidRPr="00354B94">
        <w:rPr>
          <w:rFonts w:cs="Times New Roman"/>
        </w:rPr>
        <w:t>x receipts</w:t>
      </w:r>
      <w:r w:rsidR="00287177" w:rsidRPr="00354B94">
        <w:rPr>
          <w:rFonts w:cs="Times New Roman"/>
        </w:rPr>
        <w:t>, whilst</w:t>
      </w:r>
      <w:r w:rsidR="00287A0C" w:rsidRPr="00354B94">
        <w:rPr>
          <w:rFonts w:cs="Times New Roman"/>
        </w:rPr>
        <w:t xml:space="preserve"> </w:t>
      </w:r>
      <w:r w:rsidR="001A2A51" w:rsidRPr="00354B94">
        <w:rPr>
          <w:rFonts w:cs="Times New Roman"/>
        </w:rPr>
        <w:t>decommissioning relief</w:t>
      </w:r>
      <w:r w:rsidR="00287A0C" w:rsidRPr="00354B94">
        <w:rPr>
          <w:rFonts w:cs="Times New Roman"/>
        </w:rPr>
        <w:t xml:space="preserve"> alone</w:t>
      </w:r>
      <w:r w:rsidR="001A2A51" w:rsidRPr="00354B94">
        <w:rPr>
          <w:rFonts w:cs="Times New Roman"/>
        </w:rPr>
        <w:t xml:space="preserve"> </w:t>
      </w:r>
      <w:r w:rsidR="005D5E08" w:rsidRPr="00354B94">
        <w:rPr>
          <w:rFonts w:cs="Times New Roman"/>
        </w:rPr>
        <w:t xml:space="preserve">exceeded tax </w:t>
      </w:r>
      <w:r w:rsidR="00287A0C" w:rsidRPr="00354B94">
        <w:rPr>
          <w:rFonts w:cs="Times New Roman"/>
        </w:rPr>
        <w:t>receipts</w:t>
      </w:r>
      <w:r w:rsidR="00C8267F" w:rsidRPr="00354B94">
        <w:rPr>
          <w:rFonts w:cs="Times New Roman"/>
        </w:rPr>
        <w:t xml:space="preserve"> in three years out of five</w:t>
      </w:r>
      <w:r w:rsidR="0011258B" w:rsidRPr="00354B94">
        <w:rPr>
          <w:rFonts w:cs="Times New Roman"/>
        </w:rPr>
        <w:t xml:space="preserve">. </w:t>
      </w:r>
      <w:r w:rsidR="00851C6F" w:rsidRPr="00354B94">
        <w:rPr>
          <w:rFonts w:cs="Times New Roman"/>
        </w:rPr>
        <w:t>These are likely to be</w:t>
      </w:r>
      <w:r w:rsidR="00A46C62" w:rsidRPr="00354B94">
        <w:rPr>
          <w:rFonts w:cs="Times New Roman"/>
        </w:rPr>
        <w:t xml:space="preserve"> among</w:t>
      </w:r>
      <w:r w:rsidR="00851C6F" w:rsidRPr="00354B94">
        <w:rPr>
          <w:rFonts w:cs="Times New Roman"/>
        </w:rPr>
        <w:t xml:space="preserve"> the </w:t>
      </w:r>
      <w:r w:rsidR="0053379B" w:rsidRPr="00354B94">
        <w:rPr>
          <w:rFonts w:cs="Times New Roman"/>
        </w:rPr>
        <w:t>reasons</w:t>
      </w:r>
      <w:r w:rsidR="00851C6F" w:rsidRPr="00354B94">
        <w:rPr>
          <w:rFonts w:cs="Times New Roman"/>
        </w:rPr>
        <w:t xml:space="preserve"> </w:t>
      </w:r>
      <w:r w:rsidR="0053379B" w:rsidRPr="00354B94">
        <w:rPr>
          <w:rFonts w:cs="Times New Roman"/>
        </w:rPr>
        <w:t>for</w:t>
      </w:r>
      <w:r w:rsidR="00851C6F" w:rsidRPr="00354B94">
        <w:rPr>
          <w:rFonts w:cs="Times New Roman"/>
        </w:rPr>
        <w:t xml:space="preserve"> the lowering proportion of tax contributions to the </w:t>
      </w:r>
      <w:r w:rsidR="006A351C" w:rsidRPr="00354B94">
        <w:rPr>
          <w:rFonts w:cs="Times New Roman"/>
        </w:rPr>
        <w:t xml:space="preserve">overall </w:t>
      </w:r>
      <w:r w:rsidR="00851C6F" w:rsidRPr="00354B94">
        <w:rPr>
          <w:rFonts w:cs="Times New Roman"/>
        </w:rPr>
        <w:t>revenue, which is visualised o</w:t>
      </w:r>
      <w:r w:rsidR="0011258B" w:rsidRPr="00354B94">
        <w:rPr>
          <w:rFonts w:cs="Times New Roman"/>
        </w:rPr>
        <w:t xml:space="preserve">n the </w:t>
      </w:r>
      <w:r w:rsidR="00902BEE" w:rsidRPr="00354B94">
        <w:rPr>
          <w:rFonts w:cs="Times New Roman"/>
        </w:rPr>
        <w:t>right</w:t>
      </w:r>
      <w:r w:rsidR="0011258B" w:rsidRPr="00354B94">
        <w:rPr>
          <w:rFonts w:cs="Times New Roman"/>
        </w:rPr>
        <w:t xml:space="preserve"> </w:t>
      </w:r>
      <w:r w:rsidR="00C34BF9" w:rsidRPr="00354B94">
        <w:rPr>
          <w:rFonts w:cs="Times New Roman"/>
        </w:rPr>
        <w:t>of</w:t>
      </w:r>
      <w:r w:rsidR="0011258B" w:rsidRPr="00354B94">
        <w:rPr>
          <w:rFonts w:cs="Times New Roman"/>
        </w:rPr>
        <w:t xml:space="preserve"> Figure 2</w:t>
      </w:r>
      <w:r w:rsidR="00851C6F" w:rsidRPr="00354B94">
        <w:rPr>
          <w:rFonts w:cs="Times New Roman"/>
        </w:rPr>
        <w:t>. T</w:t>
      </w:r>
      <w:r w:rsidR="0011258B" w:rsidRPr="00354B94">
        <w:rPr>
          <w:rFonts w:cs="Times New Roman"/>
        </w:rPr>
        <w:t>he area chart</w:t>
      </w:r>
      <w:r w:rsidR="00851C6F" w:rsidRPr="00354B94">
        <w:rPr>
          <w:rFonts w:cs="Times New Roman"/>
        </w:rPr>
        <w:t xml:space="preserve"> </w:t>
      </w:r>
      <w:r w:rsidR="006A351C" w:rsidRPr="00354B94">
        <w:rPr>
          <w:rFonts w:cs="Times New Roman"/>
        </w:rPr>
        <w:t xml:space="preserve">shows </w:t>
      </w:r>
      <w:r w:rsidR="00B507A8" w:rsidRPr="00354B94">
        <w:rPr>
          <w:rFonts w:cs="Times New Roman"/>
        </w:rPr>
        <w:t xml:space="preserve">the reduction of tax collections over time </w:t>
      </w:r>
      <w:r w:rsidR="00E41342" w:rsidRPr="00354B94">
        <w:rPr>
          <w:rFonts w:cs="Times New Roman"/>
        </w:rPr>
        <w:t>indicating</w:t>
      </w:r>
      <w:r w:rsidR="00B507A8" w:rsidRPr="00354B94">
        <w:rPr>
          <w:rFonts w:cs="Times New Roman"/>
        </w:rPr>
        <w:t xml:space="preserve"> an </w:t>
      </w:r>
      <w:r w:rsidR="006A351C" w:rsidRPr="00354B94">
        <w:rPr>
          <w:rFonts w:cs="Times New Roman"/>
        </w:rPr>
        <w:t xml:space="preserve">increasingly larger gap </w:t>
      </w:r>
      <w:r w:rsidR="00B507A8" w:rsidRPr="00354B94">
        <w:rPr>
          <w:rFonts w:cs="Times New Roman"/>
        </w:rPr>
        <w:t>between sales of companies operating in gas and oil extraction and their tax contributions. In fact, i</w:t>
      </w:r>
      <w:r w:rsidR="006E0B40" w:rsidRPr="00354B94">
        <w:rPr>
          <w:rFonts w:cs="Times New Roman"/>
        </w:rPr>
        <w:t>f we divide the sample in</w:t>
      </w:r>
      <w:r w:rsidR="00EB0334" w:rsidRPr="00354B94">
        <w:rPr>
          <w:rFonts w:cs="Times New Roman"/>
        </w:rPr>
        <w:t>to</w:t>
      </w:r>
      <w:r w:rsidR="006E0B40" w:rsidRPr="00354B94">
        <w:rPr>
          <w:rFonts w:cs="Times New Roman"/>
        </w:rPr>
        <w:t xml:space="preserve"> two</w:t>
      </w:r>
      <w:r w:rsidR="00831705" w:rsidRPr="00354B94">
        <w:rPr>
          <w:rFonts w:cs="Times New Roman"/>
        </w:rPr>
        <w:t xml:space="preserve"> (</w:t>
      </w:r>
      <w:proofErr w:type="gramStart"/>
      <w:r w:rsidR="00775DD2" w:rsidRPr="00354B94">
        <w:rPr>
          <w:rFonts w:cs="Times New Roman"/>
        </w:rPr>
        <w:t>p</w:t>
      </w:r>
      <w:r w:rsidR="00A36363" w:rsidRPr="00354B94">
        <w:rPr>
          <w:rFonts w:cs="Times New Roman"/>
        </w:rPr>
        <w:t>re 2012</w:t>
      </w:r>
      <w:r w:rsidR="00403CBD" w:rsidRPr="00354B94">
        <w:rPr>
          <w:rFonts w:cs="Times New Roman"/>
        </w:rPr>
        <w:t>-13</w:t>
      </w:r>
      <w:proofErr w:type="gramEnd"/>
      <w:r w:rsidR="00403CBD" w:rsidRPr="00354B94">
        <w:rPr>
          <w:rFonts w:cs="Times New Roman"/>
        </w:rPr>
        <w:t xml:space="preserve"> and </w:t>
      </w:r>
      <w:r w:rsidR="006F1A02" w:rsidRPr="00354B94">
        <w:rPr>
          <w:rFonts w:cs="Times New Roman"/>
        </w:rPr>
        <w:t>post 2</w:t>
      </w:r>
      <w:r w:rsidR="00776FA0" w:rsidRPr="00354B94">
        <w:rPr>
          <w:rFonts w:cs="Times New Roman"/>
        </w:rPr>
        <w:t>01</w:t>
      </w:r>
      <w:r w:rsidR="00807A30" w:rsidRPr="00354B94">
        <w:rPr>
          <w:rFonts w:cs="Times New Roman"/>
        </w:rPr>
        <w:t>1-12</w:t>
      </w:r>
      <w:r w:rsidR="00831705" w:rsidRPr="00354B94">
        <w:rPr>
          <w:rFonts w:cs="Times New Roman"/>
        </w:rPr>
        <w:t>)</w:t>
      </w:r>
      <w:r w:rsidR="006E0B40" w:rsidRPr="00354B94">
        <w:rPr>
          <w:rFonts w:cs="Times New Roman"/>
        </w:rPr>
        <w:t xml:space="preserve"> and compare the proportion of sales to tax</w:t>
      </w:r>
      <w:r w:rsidR="00FF531B" w:rsidRPr="00354B94">
        <w:rPr>
          <w:rFonts w:cs="Times New Roman"/>
        </w:rPr>
        <w:t xml:space="preserve"> collections</w:t>
      </w:r>
      <w:r w:rsidR="006E0B40" w:rsidRPr="00354B94">
        <w:rPr>
          <w:rFonts w:cs="Times New Roman"/>
        </w:rPr>
        <w:t xml:space="preserve">, we observe </w:t>
      </w:r>
      <w:r w:rsidR="00145C2B" w:rsidRPr="00354B94">
        <w:rPr>
          <w:rFonts w:cs="Times New Roman"/>
        </w:rPr>
        <w:t>more than a</w:t>
      </w:r>
      <w:r w:rsidR="006E0B40" w:rsidRPr="00354B94">
        <w:rPr>
          <w:rFonts w:cs="Times New Roman"/>
        </w:rPr>
        <w:t xml:space="preserve"> 60</w:t>
      </w:r>
      <w:r w:rsidR="00C34BF9" w:rsidRPr="00354B94">
        <w:rPr>
          <w:rFonts w:cs="Times New Roman"/>
        </w:rPr>
        <w:t xml:space="preserve"> per cent</w:t>
      </w:r>
      <w:r w:rsidR="006E0B40" w:rsidRPr="00354B94">
        <w:rPr>
          <w:rFonts w:cs="Times New Roman"/>
        </w:rPr>
        <w:t xml:space="preserve"> decrease</w:t>
      </w:r>
      <w:r w:rsidR="00F23457" w:rsidRPr="00354B94">
        <w:rPr>
          <w:rFonts w:cs="Times New Roman"/>
        </w:rPr>
        <w:t xml:space="preserve"> in the proportion of tax collections to sales</w:t>
      </w:r>
      <w:r w:rsidR="006E0B40" w:rsidRPr="00354B94">
        <w:rPr>
          <w:rFonts w:cs="Times New Roman"/>
        </w:rPr>
        <w:t xml:space="preserve">, indicating falling tax revenue over a relatively short period. </w:t>
      </w:r>
      <w:r w:rsidR="00D707B4" w:rsidRPr="00354B94">
        <w:rPr>
          <w:rFonts w:cs="Times New Roman"/>
        </w:rPr>
        <w:t xml:space="preserve">This </w:t>
      </w:r>
      <w:r w:rsidR="00587DA8" w:rsidRPr="00354B94">
        <w:rPr>
          <w:rFonts w:cs="Times New Roman"/>
        </w:rPr>
        <w:t>confirms</w:t>
      </w:r>
      <w:r w:rsidR="00D707B4" w:rsidRPr="00354B94">
        <w:rPr>
          <w:rFonts w:cs="Times New Roman"/>
        </w:rPr>
        <w:t xml:space="preserve"> the Government’s estimates that </w:t>
      </w:r>
      <w:r w:rsidR="0026408D" w:rsidRPr="00354B94">
        <w:rPr>
          <w:rFonts w:cs="Times New Roman"/>
        </w:rPr>
        <w:t>under the existing regime, fewer than 35 groups have made tax payments each year in recent years</w:t>
      </w:r>
      <w:r w:rsidR="00261CA4" w:rsidRPr="00354B94">
        <w:rPr>
          <w:rFonts w:cs="Times New Roman"/>
        </w:rPr>
        <w:t>,</w:t>
      </w:r>
      <w:r w:rsidR="004B7337" w:rsidRPr="00354B94">
        <w:rPr>
          <w:rFonts w:cs="Times New Roman"/>
        </w:rPr>
        <w:t xml:space="preserve"> and </w:t>
      </w:r>
      <w:r w:rsidR="000A2B74" w:rsidRPr="00354B94">
        <w:rPr>
          <w:rFonts w:cs="Times New Roman"/>
        </w:rPr>
        <w:t xml:space="preserve">the top </w:t>
      </w:r>
      <w:r w:rsidR="00145C2B" w:rsidRPr="00354B94">
        <w:rPr>
          <w:rFonts w:cs="Times New Roman"/>
        </w:rPr>
        <w:t>seven</w:t>
      </w:r>
      <w:r w:rsidR="000A2B74" w:rsidRPr="00354B94">
        <w:rPr>
          <w:rFonts w:cs="Times New Roman"/>
        </w:rPr>
        <w:t xml:space="preserve"> groups accounted for around 95</w:t>
      </w:r>
      <w:r w:rsidR="00C34BF9" w:rsidRPr="00354B94">
        <w:rPr>
          <w:rFonts w:cs="Times New Roman"/>
        </w:rPr>
        <w:t xml:space="preserve"> per cent</w:t>
      </w:r>
      <w:r w:rsidR="000A2B74" w:rsidRPr="00354B94">
        <w:rPr>
          <w:rFonts w:cs="Times New Roman"/>
        </w:rPr>
        <w:t xml:space="preserve"> of payments</w:t>
      </w:r>
      <w:r w:rsidR="004B7337" w:rsidRPr="00354B94">
        <w:rPr>
          <w:rFonts w:cs="Times New Roman"/>
        </w:rPr>
        <w:t xml:space="preserve"> in 2021</w:t>
      </w:r>
      <w:r w:rsidR="005E4ACE" w:rsidRPr="00354B94">
        <w:rPr>
          <w:rFonts w:cs="Times New Roman"/>
        </w:rPr>
        <w:t>.</w:t>
      </w:r>
      <w:r w:rsidR="004B7337" w:rsidRPr="00354B94">
        <w:rPr>
          <w:rStyle w:val="FootnoteReference"/>
          <w:rFonts w:cs="Times New Roman"/>
        </w:rPr>
        <w:footnoteReference w:id="25"/>
      </w:r>
      <w:r w:rsidR="000A2B74" w:rsidRPr="00354B94">
        <w:rPr>
          <w:rFonts w:cs="Times New Roman"/>
        </w:rPr>
        <w:t xml:space="preserve"> </w:t>
      </w:r>
    </w:p>
    <w:p w14:paraId="5E87C165" w14:textId="41984384" w:rsidR="004B1283" w:rsidRPr="00354B94" w:rsidRDefault="004B1283" w:rsidP="00B73EED">
      <w:pPr>
        <w:pStyle w:val="Caption"/>
        <w:spacing w:line="360" w:lineRule="auto"/>
        <w:rPr>
          <w:rFonts w:cs="Times New Roman"/>
          <w:szCs w:val="22"/>
        </w:rPr>
      </w:pPr>
      <w:r w:rsidRPr="00354B94">
        <w:rPr>
          <w:rFonts w:cs="Times New Roman"/>
          <w:szCs w:val="22"/>
        </w:rPr>
        <w:lastRenderedPageBreak/>
        <w:t>Figure 2</w:t>
      </w:r>
      <w:r w:rsidR="001E138F" w:rsidRPr="00354B94">
        <w:rPr>
          <w:rFonts w:cs="Times New Roman"/>
          <w:szCs w:val="22"/>
        </w:rPr>
        <w:t xml:space="preserve"> </w:t>
      </w:r>
      <w:r w:rsidR="00AF1CAB" w:rsidRPr="00354B94">
        <w:rPr>
          <w:rFonts w:cs="Times New Roman"/>
          <w:szCs w:val="22"/>
        </w:rPr>
        <w:t>Proportion</w:t>
      </w:r>
      <w:r w:rsidR="00980742" w:rsidRPr="00354B94">
        <w:rPr>
          <w:rFonts w:cs="Times New Roman"/>
          <w:szCs w:val="22"/>
        </w:rPr>
        <w:t xml:space="preserve"> of Allowances </w:t>
      </w:r>
      <w:r w:rsidR="00AF1CAB" w:rsidRPr="00354B94">
        <w:rPr>
          <w:rFonts w:cs="Times New Roman"/>
          <w:szCs w:val="22"/>
        </w:rPr>
        <w:t>to</w:t>
      </w:r>
      <w:r w:rsidR="00980742" w:rsidRPr="00354B94">
        <w:rPr>
          <w:rFonts w:cs="Times New Roman"/>
          <w:szCs w:val="22"/>
        </w:rPr>
        <w:t xml:space="preserve"> Tax Receipts</w:t>
      </w:r>
      <w:r w:rsidR="00E96E7B" w:rsidRPr="00354B94">
        <w:rPr>
          <w:rFonts w:cs="Times New Roman"/>
          <w:szCs w:val="22"/>
        </w:rPr>
        <w:t xml:space="preserve"> from RGCT and SC</w:t>
      </w:r>
      <w:r w:rsidR="00980742" w:rsidRPr="00354B94">
        <w:rPr>
          <w:rFonts w:cs="Times New Roman"/>
          <w:szCs w:val="22"/>
        </w:rPr>
        <w:t xml:space="preserve"> </w:t>
      </w:r>
      <w:r w:rsidR="00AF3E06" w:rsidRPr="00354B94">
        <w:rPr>
          <w:rFonts w:cs="Times New Roman"/>
          <w:szCs w:val="22"/>
        </w:rPr>
        <w:t>(Left)</w:t>
      </w:r>
      <w:r w:rsidR="006D57F2" w:rsidRPr="00354B94">
        <w:rPr>
          <w:rStyle w:val="FootnoteReference"/>
          <w:rFonts w:cs="Times New Roman"/>
          <w:szCs w:val="22"/>
        </w:rPr>
        <w:footnoteReference w:id="26"/>
      </w:r>
      <w:r w:rsidR="00980742" w:rsidRPr="00354B94">
        <w:rPr>
          <w:rFonts w:cs="Times New Roman"/>
          <w:szCs w:val="22"/>
        </w:rPr>
        <w:t xml:space="preserve"> </w:t>
      </w:r>
      <w:r w:rsidR="00815C2F" w:rsidRPr="00354B94">
        <w:rPr>
          <w:rFonts w:cs="Times New Roman"/>
          <w:szCs w:val="22"/>
        </w:rPr>
        <w:t>and</w:t>
      </w:r>
      <w:r w:rsidR="00980742" w:rsidRPr="00354B94">
        <w:rPr>
          <w:rFonts w:cs="Times New Roman"/>
          <w:szCs w:val="22"/>
        </w:rPr>
        <w:t xml:space="preserve"> </w:t>
      </w:r>
      <w:r w:rsidR="001E0C40" w:rsidRPr="00354B94">
        <w:rPr>
          <w:rFonts w:cs="Times New Roman"/>
          <w:szCs w:val="22"/>
        </w:rPr>
        <w:t xml:space="preserve">Tax Receipts </w:t>
      </w:r>
      <w:r w:rsidR="00AF3E06" w:rsidRPr="00354B94">
        <w:rPr>
          <w:rFonts w:cs="Times New Roman"/>
          <w:szCs w:val="22"/>
        </w:rPr>
        <w:t xml:space="preserve">and </w:t>
      </w:r>
      <w:r w:rsidR="008A509E" w:rsidRPr="00354B94">
        <w:rPr>
          <w:rFonts w:cs="Times New Roman"/>
          <w:szCs w:val="22"/>
        </w:rPr>
        <w:t>Sale</w:t>
      </w:r>
      <w:r w:rsidR="00AF3E06" w:rsidRPr="00354B94">
        <w:rPr>
          <w:rFonts w:cs="Times New Roman"/>
          <w:szCs w:val="22"/>
        </w:rPr>
        <w:t xml:space="preserve"> Revenue</w:t>
      </w:r>
      <w:r w:rsidR="00FC0186" w:rsidRPr="00354B94">
        <w:rPr>
          <w:rFonts w:cs="Times New Roman"/>
          <w:szCs w:val="22"/>
        </w:rPr>
        <w:t xml:space="preserve"> over Time</w:t>
      </w:r>
      <w:r w:rsidR="00911130" w:rsidRPr="00354B94">
        <w:rPr>
          <w:rFonts w:cs="Times New Roman"/>
          <w:szCs w:val="22"/>
        </w:rPr>
        <w:t xml:space="preserve"> (Right)</w:t>
      </w:r>
      <w:r w:rsidR="006D57F2" w:rsidRPr="00354B94">
        <w:rPr>
          <w:rStyle w:val="FootnoteReference"/>
          <w:rFonts w:cs="Times New Roman"/>
          <w:szCs w:val="22"/>
        </w:rPr>
        <w:footnoteReference w:id="27"/>
      </w:r>
      <w:r w:rsidR="00911130" w:rsidRPr="00354B94">
        <w:rPr>
          <w:rFonts w:cs="Times New Roman"/>
          <w:szCs w:val="22"/>
        </w:rPr>
        <w:t xml:space="preserve"> </w:t>
      </w:r>
      <w:r w:rsidR="00815C2F" w:rsidRPr="00354B94">
        <w:rPr>
          <w:rFonts w:cs="Times New Roman"/>
          <w:szCs w:val="22"/>
        </w:rPr>
        <w:t xml:space="preserve">in </w:t>
      </w:r>
      <w:r w:rsidR="00E11A5E" w:rsidRPr="00354B94">
        <w:rPr>
          <w:rFonts w:cs="Times New Roman"/>
          <w:szCs w:val="22"/>
        </w:rPr>
        <w:t>M</w:t>
      </w:r>
      <w:r w:rsidRPr="00354B94">
        <w:rPr>
          <w:rFonts w:cs="Times New Roman"/>
          <w:szCs w:val="22"/>
        </w:rPr>
        <w:t>illion</w:t>
      </w:r>
      <w:r w:rsidR="004D2C3C" w:rsidRPr="00354B94">
        <w:rPr>
          <w:rFonts w:cs="Times New Roman"/>
          <w:szCs w:val="22"/>
        </w:rPr>
        <w:t xml:space="preserve"> £</w:t>
      </w:r>
      <w:r w:rsidRPr="00354B94">
        <w:rPr>
          <w:rFonts w:cs="Times New Roman"/>
          <w:noProof/>
          <w:szCs w:val="22"/>
          <w:lang w:val="en-US"/>
        </w:rPr>
        <mc:AlternateContent>
          <mc:Choice Requires="wps">
            <w:drawing>
              <wp:inline distT="0" distB="0" distL="0" distR="0" wp14:anchorId="46BE53F8" wp14:editId="45DA6095">
                <wp:extent cx="5562600" cy="3022600"/>
                <wp:effectExtent l="0" t="0" r="19050" b="2540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2600" cy="3022600"/>
                        </a:xfrm>
                        <a:prstGeom prst="rect">
                          <a:avLst/>
                        </a:prstGeom>
                        <a:solidFill>
                          <a:srgbClr val="FFFFFF"/>
                        </a:solidFill>
                        <a:ln w="3175">
                          <a:solidFill>
                            <a:schemeClr val="bg1">
                              <a:lumMod val="85000"/>
                            </a:schemeClr>
                          </a:solidFill>
                          <a:miter lim="800000"/>
                          <a:headEnd/>
                          <a:tailEnd/>
                        </a:ln>
                      </wps:spPr>
                      <wps:txbx>
                        <w:txbxContent>
                          <w:p w14:paraId="7AB1E582" w14:textId="73E8A722" w:rsidR="004B1283" w:rsidRPr="001A2252" w:rsidRDefault="004B1283" w:rsidP="00C814A0">
                            <w:pPr>
                              <w:spacing w:line="240" w:lineRule="auto"/>
                              <w:ind w:firstLine="0"/>
                              <w:rPr>
                                <w:rFonts w:cs="Times New Roman"/>
                              </w:rPr>
                            </w:pPr>
                            <w:r w:rsidRPr="001A2252">
                              <w:rPr>
                                <w:rFonts w:cs="Times New Roman"/>
                                <w:noProof/>
                                <w:lang w:val="en-US"/>
                              </w:rPr>
                              <w:drawing>
                                <wp:inline distT="0" distB="0" distL="0" distR="0" wp14:anchorId="22412A74" wp14:editId="5969848E">
                                  <wp:extent cx="2590800" cy="2971165"/>
                                  <wp:effectExtent l="0" t="0" r="0" b="635"/>
                                  <wp:docPr id="7" name="Chart 7">
                                    <a:extLst xmlns:a="http://schemas.openxmlformats.org/drawingml/2006/main">
                                      <a:ext uri="{FF2B5EF4-FFF2-40B4-BE49-F238E27FC236}">
                                        <a16:creationId xmlns:a16="http://schemas.microsoft.com/office/drawing/2014/main" id="{EFEE75DC-32C6-CD08-2088-5A23C2CD57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1A2252">
                              <w:rPr>
                                <w:rFonts w:cs="Times New Roman"/>
                                <w:noProof/>
                              </w:rPr>
                              <w:t xml:space="preserve"> </w:t>
                            </w:r>
                            <w:r w:rsidR="00C34BF9">
                              <w:rPr>
                                <w:noProof/>
                                <w:lang w:val="en-US"/>
                              </w:rPr>
                              <w:drawing>
                                <wp:inline distT="0" distB="0" distL="0" distR="0" wp14:anchorId="3F60C98C" wp14:editId="146EDB22">
                                  <wp:extent cx="2735580" cy="2921000"/>
                                  <wp:effectExtent l="0" t="0" r="7620" b="12700"/>
                                  <wp:docPr id="3" name="Chart 3">
                                    <a:extLst xmlns:a="http://schemas.openxmlformats.org/drawingml/2006/main">
                                      <a:ext uri="{FF2B5EF4-FFF2-40B4-BE49-F238E27FC236}">
                                        <a16:creationId xmlns:a16="http://schemas.microsoft.com/office/drawing/2014/main" id="{EF312518-9EC5-68E2-9FF4-89573DBC07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BE9F78" w14:textId="744EC1CE" w:rsidR="004B1283" w:rsidRDefault="004B1283" w:rsidP="004B1283"/>
                          <w:p w14:paraId="0C6E0269" w14:textId="735F324F" w:rsidR="00F327EB" w:rsidRDefault="00F327EB" w:rsidP="004B1283"/>
                          <w:p w14:paraId="2619FB6F" w14:textId="77777777" w:rsidR="00F327EB" w:rsidRDefault="00F327EB" w:rsidP="004B1283"/>
                        </w:txbxContent>
                      </wps:txbx>
                      <wps:bodyPr rot="0" vert="horz" wrap="square" lIns="91440" tIns="45720" rIns="91440" bIns="45720" anchor="t" anchorCtr="0">
                        <a:noAutofit/>
                      </wps:bodyPr>
                    </wps:wsp>
                  </a:graphicData>
                </a:graphic>
              </wp:inline>
            </w:drawing>
          </mc:Choice>
          <mc:Fallback>
            <w:pict>
              <v:shapetype w14:anchorId="46BE53F8" id="_x0000_t202" coordsize="21600,21600" o:spt="202" path="m,l,21600r21600,l21600,xe">
                <v:stroke joinstyle="miter"/>
                <v:path gradientshapeok="t" o:connecttype="rect"/>
              </v:shapetype>
              <v:shape id="Text Box 2" o:spid="_x0000_s1026" type="#_x0000_t202" style="width:4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" strokecolor="#d8d8d8 [2732]" strokeweight=".25pt">
                <v:textbox>
                  <w:txbxContent>
                    <w:p w14:paraId="7AB1E582" w14:textId="73E8A722" w:rsidR="004B1283" w:rsidRPr="001A2252" w:rsidRDefault="004B1283" w:rsidP="00C814A0">
                      <w:pPr>
                        <w:spacing w:line="240" w:lineRule="auto"/>
                        <w:ind w:firstLine="0"/>
                        <w:rPr>
                          <w:rFonts w:cs="Times New Roman"/>
                        </w:rPr>
                      </w:pPr>
                      <w:r w:rsidRPr="001A2252">
                        <w:rPr>
                          <w:rFonts w:cs="Times New Roman"/>
                          <w:noProof/>
                          <w:lang w:val="en-US"/>
                        </w:rPr>
                        <w:drawing>
                          <wp:inline distT="0" distB="0" distL="0" distR="0" wp14:anchorId="22412A74" wp14:editId="5969848E">
                            <wp:extent cx="2590800" cy="2971165"/>
                            <wp:effectExtent l="0" t="0" r="0" b="635"/>
                            <wp:docPr id="7" name="Chart 7">
                              <a:extLst xmlns:a="http://schemas.openxmlformats.org/drawingml/2006/main">
                                <a:ext uri="{FF2B5EF4-FFF2-40B4-BE49-F238E27FC236}">
                                  <a16:creationId xmlns:a16="http://schemas.microsoft.com/office/drawing/2014/main" id="{EFEE75DC-32C6-CD08-2088-5A23C2CD57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1A2252">
                        <w:rPr>
                          <w:rFonts w:cs="Times New Roman"/>
                          <w:noProof/>
                        </w:rPr>
                        <w:t xml:space="preserve"> </w:t>
                      </w:r>
                      <w:r w:rsidR="00C34BF9">
                        <w:rPr>
                          <w:noProof/>
                          <w:lang w:val="en-US"/>
                        </w:rPr>
                        <w:drawing>
                          <wp:inline distT="0" distB="0" distL="0" distR="0" wp14:anchorId="3F60C98C" wp14:editId="146EDB22">
                            <wp:extent cx="2735580" cy="2921000"/>
                            <wp:effectExtent l="0" t="0" r="7620" b="12700"/>
                            <wp:docPr id="3" name="Chart 3">
                              <a:extLst xmlns:a="http://schemas.openxmlformats.org/drawingml/2006/main">
                                <a:ext uri="{FF2B5EF4-FFF2-40B4-BE49-F238E27FC236}">
                                  <a16:creationId xmlns:a16="http://schemas.microsoft.com/office/drawing/2014/main" id="{EF312518-9EC5-68E2-9FF4-89573DBC07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BE9F78" w14:textId="744EC1CE" w:rsidR="004B1283" w:rsidRDefault="004B1283" w:rsidP="004B1283"/>
                    <w:p w14:paraId="0C6E0269" w14:textId="735F324F" w:rsidR="00F327EB" w:rsidRDefault="00F327EB" w:rsidP="004B1283"/>
                    <w:p w14:paraId="2619FB6F" w14:textId="77777777" w:rsidR="00F327EB" w:rsidRDefault="00F327EB" w:rsidP="004B1283"/>
                  </w:txbxContent>
                </v:textbox>
                <w10:anchorlock/>
              </v:shape>
            </w:pict>
          </mc:Fallback>
        </mc:AlternateContent>
      </w:r>
    </w:p>
    <w:p w14:paraId="334FDF10" w14:textId="0C56899C" w:rsidR="00CB40A4" w:rsidRPr="00354B94" w:rsidRDefault="00CB40A4" w:rsidP="00BB27CD">
      <w:pPr>
        <w:rPr>
          <w:rFonts w:eastAsiaTheme="majorEastAsia" w:cs="Times New Roman"/>
          <w:b/>
        </w:rPr>
      </w:pPr>
      <w:r w:rsidRPr="00354B94">
        <w:rPr>
          <w:rFonts w:eastAsiaTheme="majorEastAsia" w:cs="Times New Roman"/>
          <w:b/>
        </w:rPr>
        <w:t>Energy (Oil and Gas) Profits Levy</w:t>
      </w:r>
    </w:p>
    <w:p w14:paraId="0BCA5C75" w14:textId="0FE0AEEE" w:rsidR="00104B59" w:rsidRPr="00354B94" w:rsidRDefault="001C1ABC" w:rsidP="00BB27CD">
      <w:pPr>
        <w:rPr>
          <w:rFonts w:cs="Times New Roman"/>
        </w:rPr>
      </w:pPr>
      <w:r w:rsidRPr="00354B94">
        <w:rPr>
          <w:rFonts w:cs="Times New Roman"/>
        </w:rPr>
        <w:t>EPL</w:t>
      </w:r>
      <w:r w:rsidR="0020551E" w:rsidRPr="00354B94">
        <w:rPr>
          <w:rFonts w:cs="Times New Roman"/>
        </w:rPr>
        <w:t xml:space="preserve"> was introduced with a standalone act, The Energy (Oil and Gas) Profits Levy Act 2022. </w:t>
      </w:r>
      <w:r w:rsidR="00282304" w:rsidRPr="00354B94">
        <w:rPr>
          <w:rFonts w:cs="Times New Roman"/>
        </w:rPr>
        <w:t>Th</w:t>
      </w:r>
      <w:r w:rsidR="00C22F92" w:rsidRPr="00354B94">
        <w:rPr>
          <w:rFonts w:cs="Times New Roman"/>
        </w:rPr>
        <w:t>is</w:t>
      </w:r>
      <w:r w:rsidR="00282304" w:rsidRPr="00354B94">
        <w:rPr>
          <w:rFonts w:cs="Times New Roman"/>
        </w:rPr>
        <w:t xml:space="preserve"> Act </w:t>
      </w:r>
      <w:r w:rsidR="007771F5" w:rsidRPr="00354B94">
        <w:rPr>
          <w:rFonts w:cs="Times New Roman"/>
        </w:rPr>
        <w:t>was</w:t>
      </w:r>
      <w:r w:rsidR="00282304" w:rsidRPr="00354B94">
        <w:rPr>
          <w:rFonts w:cs="Times New Roman"/>
        </w:rPr>
        <w:t xml:space="preserve"> </w:t>
      </w:r>
      <w:r w:rsidR="00DE3641" w:rsidRPr="00354B94">
        <w:rPr>
          <w:rFonts w:cs="Times New Roman"/>
        </w:rPr>
        <w:t>established</w:t>
      </w:r>
      <w:r w:rsidR="00282304" w:rsidRPr="00354B94">
        <w:rPr>
          <w:rFonts w:cs="Times New Roman"/>
        </w:rPr>
        <w:t xml:space="preserve"> after </w:t>
      </w:r>
      <w:r w:rsidR="007771F5" w:rsidRPr="00354B94">
        <w:rPr>
          <w:rFonts w:cs="Times New Roman"/>
        </w:rPr>
        <w:t xml:space="preserve">a </w:t>
      </w:r>
      <w:r w:rsidR="00282304" w:rsidRPr="00354B94">
        <w:rPr>
          <w:rFonts w:cs="Times New Roman"/>
        </w:rPr>
        <w:t>brief consultation running only from 21 to 28 June 2022</w:t>
      </w:r>
      <w:r w:rsidR="003B704F" w:rsidRPr="00354B94">
        <w:rPr>
          <w:rFonts w:cs="Times New Roman"/>
        </w:rPr>
        <w:t>.</w:t>
      </w:r>
      <w:r w:rsidR="007771F5" w:rsidRPr="00354B94">
        <w:rPr>
          <w:rStyle w:val="FootnoteReference"/>
          <w:rFonts w:cs="Times New Roman"/>
        </w:rPr>
        <w:footnoteReference w:id="28"/>
      </w:r>
      <w:r w:rsidR="00282304" w:rsidRPr="00354B94">
        <w:rPr>
          <w:rFonts w:cs="Times New Roman"/>
        </w:rPr>
        <w:t xml:space="preserve"> </w:t>
      </w:r>
      <w:r w:rsidR="00591867" w:rsidRPr="00354B94">
        <w:rPr>
          <w:rFonts w:cs="Times New Roman"/>
        </w:rPr>
        <w:t>EPL</w:t>
      </w:r>
      <w:r w:rsidRPr="00354B94">
        <w:rPr>
          <w:rFonts w:cs="Times New Roman"/>
        </w:rPr>
        <w:t xml:space="preserve"> is</w:t>
      </w:r>
      <w:r w:rsidR="00C72DE7" w:rsidRPr="00354B94">
        <w:rPr>
          <w:rFonts w:cs="Times New Roman"/>
        </w:rPr>
        <w:t xml:space="preserve"> charged at 25</w:t>
      </w:r>
      <w:r w:rsidR="00432CE3" w:rsidRPr="00354B94">
        <w:rPr>
          <w:rFonts w:cs="Times New Roman"/>
        </w:rPr>
        <w:t xml:space="preserve"> per cent</w:t>
      </w:r>
      <w:r w:rsidR="009616FF" w:rsidRPr="00354B94">
        <w:rPr>
          <w:rFonts w:cs="Times New Roman"/>
        </w:rPr>
        <w:t xml:space="preserve"> as </w:t>
      </w:r>
      <w:r w:rsidR="00B30C38" w:rsidRPr="00354B94">
        <w:rPr>
          <w:rFonts w:cs="Times New Roman"/>
        </w:rPr>
        <w:t xml:space="preserve">if it </w:t>
      </w:r>
      <w:r w:rsidR="00893D4C" w:rsidRPr="00354B94">
        <w:rPr>
          <w:rFonts w:cs="Times New Roman"/>
        </w:rPr>
        <w:t>were a</w:t>
      </w:r>
      <w:r w:rsidR="002F7791" w:rsidRPr="00354B94">
        <w:rPr>
          <w:rFonts w:cs="Times New Roman"/>
        </w:rPr>
        <w:t xml:space="preserve"> corporation tax</w:t>
      </w:r>
      <w:r w:rsidR="00E23892" w:rsidRPr="00354B94">
        <w:rPr>
          <w:rFonts w:cs="Times New Roman"/>
        </w:rPr>
        <w:t xml:space="preserve"> chargeable amoun</w:t>
      </w:r>
      <w:r w:rsidR="00893D4C" w:rsidRPr="00354B94">
        <w:rPr>
          <w:rFonts w:cs="Times New Roman"/>
        </w:rPr>
        <w:t>t</w:t>
      </w:r>
      <w:r w:rsidR="00EF26B1" w:rsidRPr="00354B94">
        <w:rPr>
          <w:rFonts w:cs="Times New Roman"/>
        </w:rPr>
        <w:t>,</w:t>
      </w:r>
      <w:r w:rsidR="002C5F24" w:rsidRPr="00354B94">
        <w:rPr>
          <w:rFonts w:cs="Times New Roman"/>
        </w:rPr>
        <w:t xml:space="preserve"> </w:t>
      </w:r>
      <w:r w:rsidR="00CA46EB" w:rsidRPr="00354B94">
        <w:rPr>
          <w:rFonts w:cs="Times New Roman"/>
        </w:rPr>
        <w:t xml:space="preserve">but </w:t>
      </w:r>
      <w:r w:rsidR="002C5F24" w:rsidRPr="00354B94">
        <w:rPr>
          <w:rFonts w:cs="Times New Roman"/>
        </w:rPr>
        <w:t xml:space="preserve">with </w:t>
      </w:r>
      <w:r w:rsidR="00CA46EB" w:rsidRPr="00354B94">
        <w:rPr>
          <w:rFonts w:cs="Times New Roman"/>
        </w:rPr>
        <w:t>numerous</w:t>
      </w:r>
      <w:r w:rsidR="002C5F24" w:rsidRPr="00354B94">
        <w:rPr>
          <w:rFonts w:cs="Times New Roman"/>
        </w:rPr>
        <w:t xml:space="preserve"> adjustments and modifications. </w:t>
      </w:r>
      <w:r w:rsidR="00B52959" w:rsidRPr="00354B94">
        <w:rPr>
          <w:rFonts w:cs="Times New Roman"/>
        </w:rPr>
        <w:t xml:space="preserve">It is a levy on ring </w:t>
      </w:r>
      <w:r w:rsidR="00AD37B6" w:rsidRPr="00354B94">
        <w:rPr>
          <w:rFonts w:cs="Times New Roman"/>
        </w:rPr>
        <w:t>fence profit</w:t>
      </w:r>
      <w:r w:rsidR="00B52959" w:rsidRPr="00354B94">
        <w:rPr>
          <w:rFonts w:cs="Times New Roman"/>
        </w:rPr>
        <w:t xml:space="preserve">s and is </w:t>
      </w:r>
      <w:r w:rsidR="0077733F" w:rsidRPr="00354B94">
        <w:rPr>
          <w:rFonts w:cs="Times New Roman"/>
        </w:rPr>
        <w:t xml:space="preserve">in addition </w:t>
      </w:r>
      <w:r w:rsidR="00F36846" w:rsidRPr="00354B94">
        <w:rPr>
          <w:rFonts w:cs="Times New Roman"/>
        </w:rPr>
        <w:t xml:space="preserve">to RFCT and SC, </w:t>
      </w:r>
      <w:r w:rsidR="00922A12" w:rsidRPr="00354B94">
        <w:rPr>
          <w:rFonts w:cs="Times New Roman"/>
        </w:rPr>
        <w:t>implying</w:t>
      </w:r>
      <w:r w:rsidR="00073170" w:rsidRPr="00354B94">
        <w:rPr>
          <w:rFonts w:cs="Times New Roman"/>
        </w:rPr>
        <w:t xml:space="preserve"> </w:t>
      </w:r>
      <w:r w:rsidR="00F36846" w:rsidRPr="00354B94">
        <w:rPr>
          <w:rFonts w:cs="Times New Roman"/>
        </w:rPr>
        <w:t>an</w:t>
      </w:r>
      <w:r w:rsidR="00CF5835" w:rsidRPr="00354B94">
        <w:rPr>
          <w:rFonts w:cs="Times New Roman"/>
        </w:rPr>
        <w:t xml:space="preserve"> increase to an</w:t>
      </w:r>
      <w:r w:rsidR="00F36846" w:rsidRPr="00354B94">
        <w:rPr>
          <w:rFonts w:cs="Times New Roman"/>
        </w:rPr>
        <w:t xml:space="preserve"> overall </w:t>
      </w:r>
      <w:r w:rsidR="00432CE3" w:rsidRPr="00354B94">
        <w:rPr>
          <w:rFonts w:cs="Times New Roman"/>
        </w:rPr>
        <w:t>rate of 65 per cent</w:t>
      </w:r>
      <w:r w:rsidR="00EC7C1C" w:rsidRPr="00354B94">
        <w:rPr>
          <w:rFonts w:cs="Times New Roman"/>
        </w:rPr>
        <w:t>, as illustrated in Figure 1</w:t>
      </w:r>
      <w:r w:rsidR="00930639" w:rsidRPr="00354B94">
        <w:rPr>
          <w:rFonts w:cs="Times New Roman"/>
        </w:rPr>
        <w:t>. Still,</w:t>
      </w:r>
      <w:r w:rsidR="00F83013" w:rsidRPr="00354B94">
        <w:rPr>
          <w:rFonts w:cs="Times New Roman"/>
        </w:rPr>
        <w:t xml:space="preserve"> the </w:t>
      </w:r>
      <w:r w:rsidR="00695E94" w:rsidRPr="00354B94">
        <w:rPr>
          <w:rFonts w:cs="Times New Roman"/>
        </w:rPr>
        <w:t xml:space="preserve">tax </w:t>
      </w:r>
      <w:r w:rsidR="00F83013" w:rsidRPr="00354B94">
        <w:rPr>
          <w:rFonts w:cs="Times New Roman"/>
        </w:rPr>
        <w:t>liabilit</w:t>
      </w:r>
      <w:r w:rsidR="00CC467D" w:rsidRPr="00354B94">
        <w:rPr>
          <w:rFonts w:cs="Times New Roman"/>
        </w:rPr>
        <w:t>ies</w:t>
      </w:r>
      <w:r w:rsidR="00F83013" w:rsidRPr="00354B94">
        <w:rPr>
          <w:rFonts w:cs="Times New Roman"/>
        </w:rPr>
        <w:t xml:space="preserve"> for RFCT, SC and EPL </w:t>
      </w:r>
      <w:r w:rsidR="00CC467D" w:rsidRPr="00354B94">
        <w:rPr>
          <w:rFonts w:cs="Times New Roman"/>
        </w:rPr>
        <w:t>are</w:t>
      </w:r>
      <w:r w:rsidR="00F83013" w:rsidRPr="00354B94">
        <w:rPr>
          <w:rFonts w:cs="Times New Roman"/>
        </w:rPr>
        <w:t xml:space="preserve"> </w:t>
      </w:r>
      <w:r w:rsidR="00456A88" w:rsidRPr="00354B94">
        <w:rPr>
          <w:rFonts w:cs="Times New Roman"/>
        </w:rPr>
        <w:t xml:space="preserve">separately </w:t>
      </w:r>
      <w:r w:rsidR="00F83013" w:rsidRPr="00354B94">
        <w:rPr>
          <w:rFonts w:cs="Times New Roman"/>
        </w:rPr>
        <w:t xml:space="preserve">adjusted </w:t>
      </w:r>
      <w:r w:rsidR="00930639" w:rsidRPr="00354B94">
        <w:rPr>
          <w:rFonts w:cs="Times New Roman"/>
        </w:rPr>
        <w:t>for specific matters</w:t>
      </w:r>
      <w:r w:rsidR="0018294D" w:rsidRPr="00354B94">
        <w:rPr>
          <w:rFonts w:cs="Times New Roman"/>
        </w:rPr>
        <w:t xml:space="preserve"> </w:t>
      </w:r>
      <w:r w:rsidR="00930639" w:rsidRPr="00354B94">
        <w:rPr>
          <w:rFonts w:cs="Times New Roman"/>
        </w:rPr>
        <w:t>discussed in the following para</w:t>
      </w:r>
      <w:r w:rsidR="00456A88" w:rsidRPr="00354B94">
        <w:rPr>
          <w:rFonts w:cs="Times New Roman"/>
        </w:rPr>
        <w:t>graphs</w:t>
      </w:r>
      <w:r w:rsidR="00073170" w:rsidRPr="00354B94">
        <w:rPr>
          <w:rFonts w:cs="Times New Roman"/>
        </w:rPr>
        <w:t xml:space="preserve">. </w:t>
      </w:r>
      <w:r w:rsidR="00EF5EFE" w:rsidRPr="00354B94">
        <w:rPr>
          <w:rFonts w:cs="Times New Roman"/>
        </w:rPr>
        <w:t>The</w:t>
      </w:r>
      <w:r w:rsidR="00456A88" w:rsidRPr="00354B94">
        <w:rPr>
          <w:rFonts w:cs="Times New Roman"/>
        </w:rPr>
        <w:t xml:space="preserve"> total</w:t>
      </w:r>
      <w:r w:rsidR="00EF5EFE" w:rsidRPr="00354B94">
        <w:rPr>
          <w:rFonts w:cs="Times New Roman"/>
        </w:rPr>
        <w:t xml:space="preserve"> rate</w:t>
      </w:r>
      <w:r w:rsidR="00073170" w:rsidRPr="00354B94">
        <w:rPr>
          <w:rFonts w:cs="Times New Roman"/>
        </w:rPr>
        <w:t xml:space="preserve">, </w:t>
      </w:r>
      <w:r w:rsidR="00B879C8" w:rsidRPr="00354B94">
        <w:rPr>
          <w:rFonts w:cs="Times New Roman"/>
        </w:rPr>
        <w:t>therefore</w:t>
      </w:r>
      <w:r w:rsidR="00073170" w:rsidRPr="00354B94">
        <w:rPr>
          <w:rFonts w:cs="Times New Roman"/>
        </w:rPr>
        <w:t>,</w:t>
      </w:r>
      <w:r w:rsidR="00432CE3" w:rsidRPr="00354B94">
        <w:rPr>
          <w:rFonts w:cs="Times New Roman"/>
        </w:rPr>
        <w:t xml:space="preserve"> </w:t>
      </w:r>
      <w:r w:rsidR="00073170" w:rsidRPr="00354B94">
        <w:rPr>
          <w:rFonts w:cs="Times New Roman"/>
        </w:rPr>
        <w:t>depend</w:t>
      </w:r>
      <w:r w:rsidR="005865EE" w:rsidRPr="00354B94">
        <w:rPr>
          <w:rFonts w:cs="Times New Roman"/>
        </w:rPr>
        <w:t>s</w:t>
      </w:r>
      <w:r w:rsidR="00073170" w:rsidRPr="00354B94">
        <w:rPr>
          <w:rFonts w:cs="Times New Roman"/>
        </w:rPr>
        <w:t xml:space="preserve"> on </w:t>
      </w:r>
      <w:r w:rsidR="00C22886" w:rsidRPr="00354B94">
        <w:rPr>
          <w:rFonts w:cs="Times New Roman"/>
        </w:rPr>
        <w:t xml:space="preserve">the </w:t>
      </w:r>
      <w:r w:rsidR="004E7789" w:rsidRPr="00354B94">
        <w:rPr>
          <w:rFonts w:cs="Times New Roman"/>
        </w:rPr>
        <w:t xml:space="preserve">company’s accounts </w:t>
      </w:r>
      <w:r w:rsidR="00EF5EFE" w:rsidRPr="00354B94">
        <w:rPr>
          <w:rFonts w:cs="Times New Roman"/>
        </w:rPr>
        <w:t>for</w:t>
      </w:r>
      <w:r w:rsidR="004E7789" w:rsidRPr="00354B94">
        <w:rPr>
          <w:rFonts w:cs="Times New Roman"/>
        </w:rPr>
        <w:t xml:space="preserve"> a particular period. </w:t>
      </w:r>
    </w:p>
    <w:p w14:paraId="2DB51AF9" w14:textId="76585D86" w:rsidR="00756EB2" w:rsidRPr="00354B94" w:rsidRDefault="0070364D" w:rsidP="00BB27CD">
      <w:pPr>
        <w:rPr>
          <w:rFonts w:cs="Times New Roman"/>
        </w:rPr>
      </w:pPr>
      <w:r w:rsidRPr="00354B94">
        <w:rPr>
          <w:rFonts w:cs="Times New Roman"/>
        </w:rPr>
        <w:t xml:space="preserve">Although </w:t>
      </w:r>
      <w:r w:rsidR="0052679A" w:rsidRPr="00354B94">
        <w:rPr>
          <w:rFonts w:cs="Times New Roman"/>
        </w:rPr>
        <w:t>EPL</w:t>
      </w:r>
      <w:r w:rsidR="00334935" w:rsidRPr="00354B94">
        <w:rPr>
          <w:rFonts w:cs="Times New Roman"/>
        </w:rPr>
        <w:t xml:space="preserve"> </w:t>
      </w:r>
      <w:r w:rsidR="00551F1B" w:rsidRPr="00354B94">
        <w:rPr>
          <w:rFonts w:cs="Times New Roman"/>
        </w:rPr>
        <w:t xml:space="preserve">broadly </w:t>
      </w:r>
      <w:r w:rsidR="00334935" w:rsidRPr="00354B94">
        <w:rPr>
          <w:rFonts w:cs="Times New Roman"/>
        </w:rPr>
        <w:t xml:space="preserve">builds on </w:t>
      </w:r>
      <w:r w:rsidR="00FC57D8" w:rsidRPr="00354B94">
        <w:rPr>
          <w:rFonts w:cs="Times New Roman"/>
        </w:rPr>
        <w:t xml:space="preserve">mechanisms of </w:t>
      </w:r>
      <w:r w:rsidR="005931FA" w:rsidRPr="00354B94">
        <w:rPr>
          <w:rFonts w:cs="Times New Roman"/>
        </w:rPr>
        <w:t>SC</w:t>
      </w:r>
      <w:r w:rsidR="00845229" w:rsidRPr="00354B94">
        <w:rPr>
          <w:rFonts w:cs="Times New Roman"/>
        </w:rPr>
        <w:t xml:space="preserve"> and </w:t>
      </w:r>
      <w:r w:rsidR="0090425C" w:rsidRPr="00354B94">
        <w:rPr>
          <w:rFonts w:cs="Times New Roman"/>
        </w:rPr>
        <w:t>adopts many of its</w:t>
      </w:r>
      <w:r w:rsidR="00845229" w:rsidRPr="00354B94">
        <w:rPr>
          <w:rFonts w:cs="Times New Roman"/>
        </w:rPr>
        <w:t xml:space="preserve"> definitions</w:t>
      </w:r>
      <w:r w:rsidR="00B879C8" w:rsidRPr="00354B94">
        <w:rPr>
          <w:rFonts w:cs="Times New Roman"/>
        </w:rPr>
        <w:t>,</w:t>
      </w:r>
      <w:r w:rsidR="00551F1B" w:rsidRPr="00354B94">
        <w:rPr>
          <w:rStyle w:val="FootnoteReference"/>
          <w:rFonts w:cs="Times New Roman"/>
        </w:rPr>
        <w:footnoteReference w:id="29"/>
      </w:r>
      <w:r w:rsidRPr="00354B94">
        <w:rPr>
          <w:rFonts w:cs="Times New Roman"/>
        </w:rPr>
        <w:t xml:space="preserve"> it </w:t>
      </w:r>
      <w:r w:rsidR="00BB27CD" w:rsidRPr="00354B94">
        <w:rPr>
          <w:rFonts w:cs="Times New Roman"/>
        </w:rPr>
        <w:t>is treated separately</w:t>
      </w:r>
      <w:r w:rsidR="009C6CED" w:rsidRPr="00354B94">
        <w:rPr>
          <w:rFonts w:cs="Times New Roman"/>
        </w:rPr>
        <w:t>. Hence,</w:t>
      </w:r>
      <w:r w:rsidR="00BB27CD" w:rsidRPr="00354B94">
        <w:rPr>
          <w:rFonts w:cs="Times New Roman"/>
        </w:rPr>
        <w:t xml:space="preserve"> companies are </w:t>
      </w:r>
      <w:r w:rsidR="00B879C8" w:rsidRPr="00354B94">
        <w:rPr>
          <w:rFonts w:cs="Times New Roman"/>
        </w:rPr>
        <w:t>unable</w:t>
      </w:r>
      <w:r w:rsidR="00BB27CD" w:rsidRPr="00354B94">
        <w:rPr>
          <w:rFonts w:cs="Times New Roman"/>
        </w:rPr>
        <w:t xml:space="preserve"> to offset previous losses or decommissioning costs </w:t>
      </w:r>
      <w:r w:rsidR="00BB27CD" w:rsidRPr="00354B94">
        <w:rPr>
          <w:rFonts w:cs="Times New Roman"/>
        </w:rPr>
        <w:lastRenderedPageBreak/>
        <w:t xml:space="preserve">against profits subject to EPL. </w:t>
      </w:r>
      <w:r w:rsidR="00EA5FFC" w:rsidRPr="00354B94">
        <w:rPr>
          <w:rFonts w:cs="Times New Roman"/>
        </w:rPr>
        <w:t xml:space="preserve">The </w:t>
      </w:r>
      <w:r w:rsidR="0004502E" w:rsidRPr="00354B94">
        <w:rPr>
          <w:rFonts w:cs="Times New Roman"/>
        </w:rPr>
        <w:t>EPL</w:t>
      </w:r>
      <w:r w:rsidR="006F5713" w:rsidRPr="00354B94">
        <w:rPr>
          <w:rFonts w:cs="Times New Roman"/>
        </w:rPr>
        <w:t xml:space="preserve"> losses</w:t>
      </w:r>
      <w:r w:rsidR="00361602" w:rsidRPr="00354B94">
        <w:rPr>
          <w:rFonts w:cs="Times New Roman"/>
        </w:rPr>
        <w:t xml:space="preserve"> regime</w:t>
      </w:r>
      <w:r w:rsidR="006F5713" w:rsidRPr="00354B94">
        <w:rPr>
          <w:rFonts w:cs="Times New Roman"/>
        </w:rPr>
        <w:t xml:space="preserve"> defined in Schedule 1 </w:t>
      </w:r>
      <w:r w:rsidR="00602800" w:rsidRPr="00354B94">
        <w:rPr>
          <w:rFonts w:cs="Times New Roman"/>
        </w:rPr>
        <w:t>of</w:t>
      </w:r>
      <w:r w:rsidR="006F5713" w:rsidRPr="00354B94">
        <w:rPr>
          <w:rFonts w:cs="Times New Roman"/>
        </w:rPr>
        <w:t xml:space="preserve"> the Act broadly follow</w:t>
      </w:r>
      <w:r w:rsidR="00602800" w:rsidRPr="00354B94">
        <w:rPr>
          <w:rFonts w:cs="Times New Roman"/>
        </w:rPr>
        <w:t>s</w:t>
      </w:r>
      <w:r w:rsidR="00C7745A" w:rsidRPr="00354B94">
        <w:rPr>
          <w:rFonts w:cs="Times New Roman"/>
        </w:rPr>
        <w:t xml:space="preserve"> the </w:t>
      </w:r>
      <w:r w:rsidR="00086353" w:rsidRPr="00354B94">
        <w:rPr>
          <w:rFonts w:cs="Times New Roman"/>
        </w:rPr>
        <w:t xml:space="preserve">rules and </w:t>
      </w:r>
      <w:r w:rsidR="00C7745A" w:rsidRPr="00354B94">
        <w:rPr>
          <w:rFonts w:cs="Times New Roman"/>
        </w:rPr>
        <w:t xml:space="preserve">provisions </w:t>
      </w:r>
      <w:r w:rsidR="00BE3C50" w:rsidRPr="00354B94">
        <w:rPr>
          <w:rFonts w:cs="Times New Roman"/>
        </w:rPr>
        <w:t xml:space="preserve">related to </w:t>
      </w:r>
      <w:r w:rsidR="00104091" w:rsidRPr="00354B94">
        <w:rPr>
          <w:rFonts w:cs="Times New Roman"/>
        </w:rPr>
        <w:t>the use of losses for RFCT</w:t>
      </w:r>
      <w:r w:rsidR="00F1204D" w:rsidRPr="00354B94">
        <w:rPr>
          <w:rFonts w:cs="Times New Roman"/>
        </w:rPr>
        <w:t xml:space="preserve">. It </w:t>
      </w:r>
      <w:r w:rsidR="00361602" w:rsidRPr="00354B94">
        <w:rPr>
          <w:rFonts w:cs="Times New Roman"/>
        </w:rPr>
        <w:t xml:space="preserve">allows for losses to be carried forward or backwards </w:t>
      </w:r>
      <w:r w:rsidR="00ED3ED4" w:rsidRPr="00354B94">
        <w:rPr>
          <w:rFonts w:cs="Times New Roman"/>
        </w:rPr>
        <w:t xml:space="preserve">but only </w:t>
      </w:r>
      <w:r w:rsidR="001040DF" w:rsidRPr="00354B94">
        <w:rPr>
          <w:rFonts w:cs="Times New Roman"/>
        </w:rPr>
        <w:t xml:space="preserve">by </w:t>
      </w:r>
      <w:r w:rsidR="00361602" w:rsidRPr="00354B94">
        <w:rPr>
          <w:rFonts w:cs="Times New Roman"/>
        </w:rPr>
        <w:t>one year</w:t>
      </w:r>
      <w:r w:rsidR="001A19E1" w:rsidRPr="00354B94">
        <w:rPr>
          <w:rFonts w:cs="Times New Roman"/>
        </w:rPr>
        <w:t xml:space="preserve">. </w:t>
      </w:r>
      <w:r w:rsidR="0004502E" w:rsidRPr="00354B94">
        <w:rPr>
          <w:rFonts w:cs="Times New Roman"/>
        </w:rPr>
        <w:t>EPL</w:t>
      </w:r>
      <w:r w:rsidR="00906DB9" w:rsidRPr="00354B94">
        <w:rPr>
          <w:rFonts w:cs="Times New Roman"/>
        </w:rPr>
        <w:t xml:space="preserve"> </w:t>
      </w:r>
      <w:r w:rsidR="001A19E1" w:rsidRPr="00354B94">
        <w:rPr>
          <w:rFonts w:cs="Times New Roman"/>
        </w:rPr>
        <w:t xml:space="preserve">can also </w:t>
      </w:r>
      <w:r w:rsidR="00906DB9" w:rsidRPr="00354B94">
        <w:rPr>
          <w:rFonts w:cs="Times New Roman"/>
        </w:rPr>
        <w:t xml:space="preserve">be </w:t>
      </w:r>
      <w:r w:rsidR="00361602" w:rsidRPr="00354B94">
        <w:rPr>
          <w:rFonts w:cs="Times New Roman"/>
        </w:rPr>
        <w:t>surrend</w:t>
      </w:r>
      <w:r w:rsidR="001A6E25" w:rsidRPr="00354B94">
        <w:rPr>
          <w:rFonts w:cs="Times New Roman"/>
        </w:rPr>
        <w:t>er</w:t>
      </w:r>
      <w:r w:rsidR="00906DB9" w:rsidRPr="00354B94">
        <w:rPr>
          <w:rFonts w:cs="Times New Roman"/>
        </w:rPr>
        <w:t>ed</w:t>
      </w:r>
      <w:r w:rsidR="00361602" w:rsidRPr="00354B94">
        <w:rPr>
          <w:rFonts w:cs="Times New Roman"/>
        </w:rPr>
        <w:t xml:space="preserve"> against </w:t>
      </w:r>
      <w:r w:rsidR="0004502E" w:rsidRPr="00354B94">
        <w:rPr>
          <w:rFonts w:cs="Times New Roman"/>
        </w:rPr>
        <w:t>EPL</w:t>
      </w:r>
      <w:r w:rsidR="00361602" w:rsidRPr="00354B94">
        <w:rPr>
          <w:rFonts w:cs="Times New Roman"/>
        </w:rPr>
        <w:t xml:space="preserve"> profits of other companies within the group.</w:t>
      </w:r>
      <w:r w:rsidR="00E73ADF" w:rsidRPr="00354B94">
        <w:rPr>
          <w:rFonts w:cs="Times New Roman"/>
        </w:rPr>
        <w:t xml:space="preserve"> </w:t>
      </w:r>
      <w:r w:rsidR="00906DB9" w:rsidRPr="00354B94">
        <w:rPr>
          <w:rFonts w:cs="Times New Roman"/>
        </w:rPr>
        <w:t xml:space="preserve">Furthermore, </w:t>
      </w:r>
      <w:r w:rsidR="0004502E" w:rsidRPr="00354B94">
        <w:rPr>
          <w:rFonts w:cs="Times New Roman"/>
        </w:rPr>
        <w:t>EPL</w:t>
      </w:r>
      <w:r w:rsidR="00906DB9" w:rsidRPr="00354B94">
        <w:rPr>
          <w:rFonts w:cs="Times New Roman"/>
        </w:rPr>
        <w:t xml:space="preserve"> </w:t>
      </w:r>
      <w:r w:rsidR="00267A8E" w:rsidRPr="00354B94">
        <w:rPr>
          <w:rFonts w:cs="Times New Roman"/>
        </w:rPr>
        <w:t>is extended to three years</w:t>
      </w:r>
      <w:r w:rsidR="000E4454" w:rsidRPr="00354B94">
        <w:rPr>
          <w:rFonts w:cs="Times New Roman"/>
        </w:rPr>
        <w:t xml:space="preserve"> when companies</w:t>
      </w:r>
      <w:r w:rsidR="00267A8E" w:rsidRPr="00354B94">
        <w:rPr>
          <w:rFonts w:cs="Times New Roman"/>
        </w:rPr>
        <w:t xml:space="preserve"> </w:t>
      </w:r>
      <w:r w:rsidR="000E4454" w:rsidRPr="00354B94">
        <w:rPr>
          <w:rFonts w:cs="Times New Roman"/>
        </w:rPr>
        <w:t>cease to carry on a ring fence trade</w:t>
      </w:r>
      <w:r w:rsidR="002E1697" w:rsidRPr="00354B94">
        <w:rPr>
          <w:rFonts w:cs="Times New Roman"/>
        </w:rPr>
        <w:t xml:space="preserve"> or make a terminal qualifying </w:t>
      </w:r>
      <w:r w:rsidR="0004502E" w:rsidRPr="00354B94">
        <w:rPr>
          <w:rFonts w:cs="Times New Roman"/>
        </w:rPr>
        <w:t>EPL</w:t>
      </w:r>
      <w:r w:rsidR="00C34BF9" w:rsidRPr="00354B94">
        <w:rPr>
          <w:rFonts w:cs="Times New Roman"/>
        </w:rPr>
        <w:t xml:space="preserve"> </w:t>
      </w:r>
      <w:r w:rsidR="002E1697" w:rsidRPr="00354B94">
        <w:rPr>
          <w:rFonts w:cs="Times New Roman"/>
        </w:rPr>
        <w:t>loss in the trade</w:t>
      </w:r>
      <w:r w:rsidR="000E4454" w:rsidRPr="00354B94">
        <w:rPr>
          <w:rFonts w:cs="Times New Roman"/>
        </w:rPr>
        <w:t xml:space="preserve">. </w:t>
      </w:r>
      <w:r w:rsidR="00BB27CD" w:rsidRPr="00354B94">
        <w:rPr>
          <w:rFonts w:cs="Times New Roman"/>
        </w:rPr>
        <w:t>To arrive at profit</w:t>
      </w:r>
      <w:r w:rsidR="007845C1" w:rsidRPr="00354B94">
        <w:rPr>
          <w:rFonts w:cs="Times New Roman"/>
        </w:rPr>
        <w:t xml:space="preserve"> or </w:t>
      </w:r>
      <w:r w:rsidR="00BB27CD" w:rsidRPr="00354B94">
        <w:rPr>
          <w:rFonts w:cs="Times New Roman"/>
        </w:rPr>
        <w:t>loss</w:t>
      </w:r>
      <w:r w:rsidR="0073543F" w:rsidRPr="00354B94">
        <w:rPr>
          <w:rFonts w:cs="Times New Roman"/>
        </w:rPr>
        <w:t xml:space="preserve"> </w:t>
      </w:r>
      <w:r w:rsidR="00BB27CD" w:rsidRPr="00354B94">
        <w:rPr>
          <w:rFonts w:cs="Times New Roman"/>
        </w:rPr>
        <w:t>for the purpose of EPL, financing costs, decommissioning costs</w:t>
      </w:r>
      <w:r w:rsidR="00EF798E" w:rsidRPr="00354B94">
        <w:rPr>
          <w:rFonts w:cs="Times New Roman"/>
        </w:rPr>
        <w:t xml:space="preserve">, including </w:t>
      </w:r>
      <w:r w:rsidR="00C34BF9" w:rsidRPr="00354B94">
        <w:rPr>
          <w:rFonts w:cs="Times New Roman"/>
        </w:rPr>
        <w:t xml:space="preserve">part of </w:t>
      </w:r>
      <w:r w:rsidR="00EF798E" w:rsidRPr="00354B94">
        <w:rPr>
          <w:rFonts w:cs="Times New Roman"/>
        </w:rPr>
        <w:t>PRT</w:t>
      </w:r>
      <w:r w:rsidR="00C34BF9" w:rsidRPr="00354B94">
        <w:rPr>
          <w:rFonts w:cs="Times New Roman"/>
        </w:rPr>
        <w:t xml:space="preserve"> related to decommissioning costs</w:t>
      </w:r>
      <w:r w:rsidR="00EF798E" w:rsidRPr="00354B94">
        <w:rPr>
          <w:rFonts w:cs="Times New Roman"/>
        </w:rPr>
        <w:t>,</w:t>
      </w:r>
      <w:r w:rsidR="00BB27CD" w:rsidRPr="00354B94">
        <w:rPr>
          <w:rFonts w:cs="Times New Roman"/>
        </w:rPr>
        <w:t xml:space="preserve"> and any relief carried forward or backward</w:t>
      </w:r>
      <w:r w:rsidR="008A0410" w:rsidRPr="00354B94">
        <w:rPr>
          <w:rFonts w:cs="Times New Roman"/>
        </w:rPr>
        <w:t>s</w:t>
      </w:r>
      <w:r w:rsidR="00BB27CD" w:rsidRPr="00354B94">
        <w:rPr>
          <w:rFonts w:cs="Times New Roman"/>
        </w:rPr>
        <w:t xml:space="preserve"> or claimed as group relief</w:t>
      </w:r>
      <w:r w:rsidR="00AE6211" w:rsidRPr="00354B94">
        <w:rPr>
          <w:rFonts w:cs="Times New Roman"/>
        </w:rPr>
        <w:t>,</w:t>
      </w:r>
      <w:r w:rsidR="00BB27CD" w:rsidRPr="00354B94">
        <w:rPr>
          <w:rFonts w:cs="Times New Roman"/>
        </w:rPr>
        <w:t xml:space="preserve"> should be added back</w:t>
      </w:r>
      <w:r w:rsidR="00AE6211" w:rsidRPr="00354B94">
        <w:rPr>
          <w:rFonts w:cs="Times New Roman"/>
        </w:rPr>
        <w:t xml:space="preserve">. </w:t>
      </w:r>
      <w:r w:rsidR="005E1E06" w:rsidRPr="00354B94">
        <w:rPr>
          <w:rFonts w:cs="Times New Roman"/>
        </w:rPr>
        <w:t xml:space="preserve">The profits should </w:t>
      </w:r>
      <w:r w:rsidR="0003489E" w:rsidRPr="00354B94">
        <w:rPr>
          <w:rFonts w:cs="Times New Roman"/>
        </w:rPr>
        <w:t xml:space="preserve">then </w:t>
      </w:r>
      <w:r w:rsidR="005E1E06" w:rsidRPr="00354B94">
        <w:rPr>
          <w:rFonts w:cs="Times New Roman"/>
        </w:rPr>
        <w:t>be reduced by</w:t>
      </w:r>
      <w:r w:rsidR="00756EB2" w:rsidRPr="00354B94">
        <w:rPr>
          <w:rFonts w:cs="Times New Roman"/>
        </w:rPr>
        <w:t xml:space="preserve"> </w:t>
      </w:r>
      <w:r w:rsidR="00EF798E" w:rsidRPr="00354B94">
        <w:rPr>
          <w:rFonts w:cs="Times New Roman"/>
        </w:rPr>
        <w:t xml:space="preserve">investment allowance. </w:t>
      </w:r>
    </w:p>
    <w:p w14:paraId="46CA0913" w14:textId="540FE70D" w:rsidR="00E70B68" w:rsidRPr="00354B94" w:rsidRDefault="005908EB" w:rsidP="004343C5">
      <w:pPr>
        <w:rPr>
          <w:rFonts w:cs="Times New Roman"/>
        </w:rPr>
      </w:pPr>
      <w:r w:rsidRPr="00354B94">
        <w:rPr>
          <w:rFonts w:cs="Times New Roman"/>
        </w:rPr>
        <w:t>T</w:t>
      </w:r>
      <w:r w:rsidR="005A0539" w:rsidRPr="00354B94">
        <w:rPr>
          <w:rFonts w:cs="Times New Roman"/>
        </w:rPr>
        <w:t>his investment allowance</w:t>
      </w:r>
      <w:r w:rsidR="009634D7" w:rsidRPr="00354B94">
        <w:rPr>
          <w:rFonts w:cs="Times New Roman"/>
        </w:rPr>
        <w:t xml:space="preserve"> also</w:t>
      </w:r>
      <w:r w:rsidR="005A0539" w:rsidRPr="00354B94">
        <w:rPr>
          <w:rFonts w:cs="Times New Roman"/>
        </w:rPr>
        <w:t xml:space="preserve"> </w:t>
      </w:r>
      <w:r w:rsidR="009634D7" w:rsidRPr="00354B94">
        <w:rPr>
          <w:rFonts w:cs="Times New Roman"/>
        </w:rPr>
        <w:t xml:space="preserve">broadly builds on </w:t>
      </w:r>
      <w:r w:rsidR="00596B7E" w:rsidRPr="00354B94">
        <w:rPr>
          <w:rFonts w:cs="Times New Roman"/>
        </w:rPr>
        <w:t xml:space="preserve">the </w:t>
      </w:r>
      <w:r w:rsidR="009634D7" w:rsidRPr="00354B94">
        <w:rPr>
          <w:rFonts w:cs="Times New Roman"/>
        </w:rPr>
        <w:t>mechanisms of SC</w:t>
      </w:r>
      <w:r w:rsidR="00506100" w:rsidRPr="00354B94">
        <w:rPr>
          <w:rFonts w:cs="Times New Roman"/>
        </w:rPr>
        <w:t xml:space="preserve"> investment</w:t>
      </w:r>
      <w:r w:rsidR="00596B7E" w:rsidRPr="00354B94">
        <w:rPr>
          <w:rFonts w:cs="Times New Roman"/>
        </w:rPr>
        <w:t xml:space="preserve"> allowance</w:t>
      </w:r>
      <w:r w:rsidR="00315053" w:rsidRPr="00354B94">
        <w:rPr>
          <w:rFonts w:cs="Times New Roman"/>
        </w:rPr>
        <w:t>,</w:t>
      </w:r>
      <w:r w:rsidR="00B13398" w:rsidRPr="00354B94">
        <w:rPr>
          <w:rStyle w:val="FootnoteReference"/>
          <w:rFonts w:cs="Times New Roman"/>
        </w:rPr>
        <w:footnoteReference w:id="30"/>
      </w:r>
      <w:r w:rsidRPr="00354B94">
        <w:rPr>
          <w:rFonts w:cs="Times New Roman"/>
        </w:rPr>
        <w:t xml:space="preserve"> but</w:t>
      </w:r>
      <w:r w:rsidR="00596B7E" w:rsidRPr="00354B94">
        <w:rPr>
          <w:rFonts w:cs="Times New Roman"/>
        </w:rPr>
        <w:t xml:space="preserve"> i</w:t>
      </w:r>
      <w:r w:rsidR="009634D7" w:rsidRPr="00354B94">
        <w:rPr>
          <w:rFonts w:cs="Times New Roman"/>
        </w:rPr>
        <w:t xml:space="preserve">t </w:t>
      </w:r>
      <w:r w:rsidR="00C34BF9" w:rsidRPr="00354B94">
        <w:rPr>
          <w:rFonts w:cs="Times New Roman"/>
        </w:rPr>
        <w:t>is more generous</w:t>
      </w:r>
      <w:r w:rsidR="0021446B" w:rsidRPr="00354B94">
        <w:rPr>
          <w:rFonts w:cs="Times New Roman"/>
        </w:rPr>
        <w:t>,</w:t>
      </w:r>
      <w:r w:rsidR="00C34BF9" w:rsidRPr="00354B94">
        <w:rPr>
          <w:rFonts w:cs="Times New Roman"/>
        </w:rPr>
        <w:t xml:space="preserve"> </w:t>
      </w:r>
      <w:r w:rsidR="003D10BD" w:rsidRPr="00354B94">
        <w:rPr>
          <w:rFonts w:cs="Times New Roman"/>
        </w:rPr>
        <w:t>set at 80</w:t>
      </w:r>
      <w:r w:rsidR="007D6E61" w:rsidRPr="00354B94">
        <w:rPr>
          <w:rFonts w:cs="Times New Roman"/>
        </w:rPr>
        <w:t xml:space="preserve"> per cent</w:t>
      </w:r>
      <w:r w:rsidR="003D10BD" w:rsidRPr="00354B94">
        <w:rPr>
          <w:rFonts w:cs="Times New Roman"/>
        </w:rPr>
        <w:t xml:space="preserve"> </w:t>
      </w:r>
      <w:r w:rsidR="00961D50" w:rsidRPr="00354B94">
        <w:rPr>
          <w:rFonts w:cs="Times New Roman"/>
        </w:rPr>
        <w:t>of</w:t>
      </w:r>
      <w:r w:rsidR="00E618DE" w:rsidRPr="00354B94">
        <w:rPr>
          <w:rFonts w:cs="Times New Roman"/>
        </w:rPr>
        <w:t xml:space="preserve"> qualifying </w:t>
      </w:r>
      <w:r w:rsidR="00961D50" w:rsidRPr="00354B94">
        <w:rPr>
          <w:rFonts w:cs="Times New Roman"/>
        </w:rPr>
        <w:t xml:space="preserve">investment </w:t>
      </w:r>
      <w:r w:rsidR="00E618DE" w:rsidRPr="00354B94">
        <w:rPr>
          <w:rFonts w:cs="Times New Roman"/>
        </w:rPr>
        <w:t>expenditure</w:t>
      </w:r>
      <w:r w:rsidR="00AB61E1" w:rsidRPr="00354B94">
        <w:rPr>
          <w:rFonts w:cs="Times New Roman"/>
        </w:rPr>
        <w:t>.</w:t>
      </w:r>
      <w:r w:rsidR="00C34BF9" w:rsidRPr="00354B94">
        <w:rPr>
          <w:rFonts w:cs="Times New Roman"/>
        </w:rPr>
        <w:t xml:space="preserve"> </w:t>
      </w:r>
      <w:proofErr w:type="gramStart"/>
      <w:r w:rsidR="00C34BF9" w:rsidRPr="00354B94">
        <w:rPr>
          <w:rFonts w:cs="Times New Roman"/>
        </w:rPr>
        <w:t>In order to</w:t>
      </w:r>
      <w:proofErr w:type="gramEnd"/>
      <w:r w:rsidR="00E618DE" w:rsidRPr="00354B94">
        <w:rPr>
          <w:rFonts w:cs="Times New Roman"/>
        </w:rPr>
        <w:t xml:space="preserve"> qualify, </w:t>
      </w:r>
      <w:r w:rsidR="005B40FC" w:rsidRPr="00354B94">
        <w:rPr>
          <w:rFonts w:cs="Times New Roman"/>
        </w:rPr>
        <w:t xml:space="preserve">the </w:t>
      </w:r>
      <w:r w:rsidR="00C34BF9" w:rsidRPr="00354B94">
        <w:rPr>
          <w:rFonts w:cs="Times New Roman"/>
        </w:rPr>
        <w:t xml:space="preserve">expenditure </w:t>
      </w:r>
      <w:r w:rsidR="00E618DE" w:rsidRPr="00354B94">
        <w:rPr>
          <w:rFonts w:cs="Times New Roman"/>
        </w:rPr>
        <w:t xml:space="preserve">should </w:t>
      </w:r>
      <w:r w:rsidR="001B5B9A" w:rsidRPr="00354B94">
        <w:rPr>
          <w:rFonts w:cs="Times New Roman"/>
        </w:rPr>
        <w:t xml:space="preserve">be incurred for </w:t>
      </w:r>
      <w:r w:rsidR="00C34BF9" w:rsidRPr="00354B94">
        <w:rPr>
          <w:rFonts w:cs="Times New Roman"/>
        </w:rPr>
        <w:t>oil-related activities and fit into one of three categories:</w:t>
      </w:r>
      <w:r w:rsidR="001F553A" w:rsidRPr="00354B94">
        <w:rPr>
          <w:rFonts w:cs="Times New Roman"/>
        </w:rPr>
        <w:t xml:space="preserve"> capital expenditure, operating expenditure or leasing expenditure. </w:t>
      </w:r>
      <w:r w:rsidR="00782714" w:rsidRPr="00354B94">
        <w:rPr>
          <w:rFonts w:cs="Times New Roman"/>
        </w:rPr>
        <w:t xml:space="preserve">The definitions of these expenditures are broadly </w:t>
      </w:r>
      <w:proofErr w:type="gramStart"/>
      <w:r w:rsidR="00782714" w:rsidRPr="00354B94">
        <w:rPr>
          <w:rFonts w:cs="Times New Roman"/>
        </w:rPr>
        <w:t>similar to</w:t>
      </w:r>
      <w:proofErr w:type="gramEnd"/>
      <w:r w:rsidR="00782714" w:rsidRPr="00354B94">
        <w:rPr>
          <w:rFonts w:cs="Times New Roman"/>
        </w:rPr>
        <w:t xml:space="preserve"> those for SC</w:t>
      </w:r>
      <w:r w:rsidR="00E4123C" w:rsidRPr="00354B94">
        <w:rPr>
          <w:rFonts w:cs="Times New Roman"/>
        </w:rPr>
        <w:t>,</w:t>
      </w:r>
      <w:r w:rsidR="00782714" w:rsidRPr="00354B94">
        <w:rPr>
          <w:rStyle w:val="FootnoteReference"/>
          <w:rFonts w:cs="Times New Roman"/>
        </w:rPr>
        <w:footnoteReference w:id="31"/>
      </w:r>
      <w:r w:rsidR="00E4123C" w:rsidRPr="00354B94">
        <w:rPr>
          <w:rFonts w:cs="Times New Roman"/>
        </w:rPr>
        <w:t xml:space="preserve"> but</w:t>
      </w:r>
      <w:r w:rsidR="00782714" w:rsidRPr="00354B94">
        <w:rPr>
          <w:rFonts w:cs="Times New Roman"/>
        </w:rPr>
        <w:t xml:space="preserve"> with relatively minor modifications.</w:t>
      </w:r>
      <w:r w:rsidR="001F553A" w:rsidRPr="00354B94">
        <w:rPr>
          <w:rFonts w:cs="Times New Roman"/>
        </w:rPr>
        <w:t xml:space="preserve"> </w:t>
      </w:r>
      <w:r w:rsidR="00592018" w:rsidRPr="00354B94">
        <w:rPr>
          <w:rFonts w:cs="Times New Roman"/>
        </w:rPr>
        <w:t>These include t</w:t>
      </w:r>
      <w:r w:rsidR="00877B0C" w:rsidRPr="00354B94">
        <w:rPr>
          <w:rFonts w:cs="Times New Roman"/>
        </w:rPr>
        <w:t xml:space="preserve">he </w:t>
      </w:r>
      <w:r w:rsidR="0066366D" w:rsidRPr="00354B94">
        <w:rPr>
          <w:rFonts w:cs="Times New Roman"/>
        </w:rPr>
        <w:t xml:space="preserve">operating </w:t>
      </w:r>
      <w:r w:rsidR="00A90630" w:rsidRPr="00354B94">
        <w:rPr>
          <w:rFonts w:cs="Times New Roman"/>
        </w:rPr>
        <w:t>expenditure</w:t>
      </w:r>
      <w:r w:rsidR="00AA4061" w:rsidRPr="00354B94">
        <w:rPr>
          <w:rFonts w:cs="Times New Roman"/>
        </w:rPr>
        <w:t xml:space="preserve"> in the Act</w:t>
      </w:r>
      <w:r w:rsidR="00A90630" w:rsidRPr="00354B94">
        <w:rPr>
          <w:rFonts w:cs="Times New Roman"/>
        </w:rPr>
        <w:t xml:space="preserve"> </w:t>
      </w:r>
      <w:r w:rsidR="00592018" w:rsidRPr="00354B94">
        <w:rPr>
          <w:rFonts w:cs="Times New Roman"/>
        </w:rPr>
        <w:t xml:space="preserve">not having </w:t>
      </w:r>
      <w:r w:rsidR="00CD4B74" w:rsidRPr="00354B94">
        <w:rPr>
          <w:rFonts w:cs="Times New Roman"/>
        </w:rPr>
        <w:t>to</w:t>
      </w:r>
      <w:r w:rsidR="00A90630" w:rsidRPr="00354B94">
        <w:rPr>
          <w:rFonts w:cs="Times New Roman"/>
        </w:rPr>
        <w:t xml:space="preserve"> relate to</w:t>
      </w:r>
      <w:r w:rsidR="00195660" w:rsidRPr="00354B94">
        <w:rPr>
          <w:rFonts w:cs="Times New Roman"/>
        </w:rPr>
        <w:t xml:space="preserve"> a specific</w:t>
      </w:r>
      <w:r w:rsidR="00A90630" w:rsidRPr="00354B94">
        <w:rPr>
          <w:rFonts w:cs="Times New Roman"/>
        </w:rPr>
        <w:t xml:space="preserve"> </w:t>
      </w:r>
      <w:r w:rsidR="00CD4B74" w:rsidRPr="00354B94">
        <w:rPr>
          <w:rFonts w:cs="Times New Roman"/>
        </w:rPr>
        <w:t>oil field or a cluster area</w:t>
      </w:r>
      <w:r w:rsidR="00E6535F" w:rsidRPr="00354B94">
        <w:rPr>
          <w:rFonts w:cs="Times New Roman"/>
        </w:rPr>
        <w:t>,</w:t>
      </w:r>
      <w:r w:rsidR="00592018" w:rsidRPr="00354B94">
        <w:rPr>
          <w:rFonts w:cs="Times New Roman"/>
        </w:rPr>
        <w:t xml:space="preserve"> and</w:t>
      </w:r>
      <w:r w:rsidR="00195660" w:rsidRPr="00354B94">
        <w:rPr>
          <w:rFonts w:cs="Times New Roman"/>
        </w:rPr>
        <w:t xml:space="preserve"> no requirement related to </w:t>
      </w:r>
      <w:r w:rsidR="00DE6E9F" w:rsidRPr="00354B94">
        <w:rPr>
          <w:rFonts w:cs="Times New Roman"/>
        </w:rPr>
        <w:t xml:space="preserve">production income before </w:t>
      </w:r>
      <w:r w:rsidR="007A7D34" w:rsidRPr="00354B94">
        <w:rPr>
          <w:rFonts w:cs="Times New Roman"/>
        </w:rPr>
        <w:t>using it against EPL.</w:t>
      </w:r>
      <w:r w:rsidR="00B35109" w:rsidRPr="00354B94">
        <w:rPr>
          <w:rFonts w:cs="Times New Roman"/>
        </w:rPr>
        <w:t xml:space="preserve"> </w:t>
      </w:r>
      <w:r w:rsidR="00992591" w:rsidRPr="00354B94">
        <w:rPr>
          <w:rFonts w:cs="Times New Roman"/>
        </w:rPr>
        <w:t>A great emphasis</w:t>
      </w:r>
      <w:r w:rsidR="00B3457A" w:rsidRPr="00354B94">
        <w:rPr>
          <w:rFonts w:cs="Times New Roman"/>
        </w:rPr>
        <w:t xml:space="preserve"> in the Act</w:t>
      </w:r>
      <w:r w:rsidR="00992591" w:rsidRPr="00354B94">
        <w:rPr>
          <w:rFonts w:cs="Times New Roman"/>
        </w:rPr>
        <w:t xml:space="preserve"> is also given </w:t>
      </w:r>
      <w:r w:rsidR="00F02265" w:rsidRPr="00354B94">
        <w:rPr>
          <w:rFonts w:cs="Times New Roman"/>
        </w:rPr>
        <w:t>to</w:t>
      </w:r>
      <w:r w:rsidR="00992591" w:rsidRPr="00354B94">
        <w:rPr>
          <w:rFonts w:cs="Times New Roman"/>
        </w:rPr>
        <w:t xml:space="preserve"> anti</w:t>
      </w:r>
      <w:r w:rsidR="00F02265" w:rsidRPr="00354B94">
        <w:rPr>
          <w:rFonts w:cs="Times New Roman"/>
        </w:rPr>
        <w:t xml:space="preserve">-avoidance </w:t>
      </w:r>
      <w:r w:rsidR="004343C5" w:rsidRPr="00354B94">
        <w:rPr>
          <w:rFonts w:cs="Times New Roman"/>
        </w:rPr>
        <w:t>obligations</w:t>
      </w:r>
      <w:r w:rsidR="00B95D3B" w:rsidRPr="00354B94">
        <w:rPr>
          <w:rFonts w:cs="Times New Roman"/>
        </w:rPr>
        <w:t xml:space="preserve"> related to allowances</w:t>
      </w:r>
      <w:r w:rsidR="004343C5" w:rsidRPr="00354B94">
        <w:rPr>
          <w:rFonts w:cs="Times New Roman"/>
        </w:rPr>
        <w:t>,</w:t>
      </w:r>
      <w:r w:rsidR="00F02265" w:rsidRPr="00354B94">
        <w:rPr>
          <w:rFonts w:cs="Times New Roman"/>
        </w:rPr>
        <w:t xml:space="preserve"> with </w:t>
      </w:r>
      <w:r w:rsidR="004343C5" w:rsidRPr="00354B94">
        <w:rPr>
          <w:rFonts w:cs="Times New Roman"/>
        </w:rPr>
        <w:t xml:space="preserve">provisions appearing in both </w:t>
      </w:r>
      <w:r w:rsidR="00992591" w:rsidRPr="00354B94">
        <w:rPr>
          <w:rFonts w:cs="Times New Roman"/>
        </w:rPr>
        <w:t>S</w:t>
      </w:r>
      <w:r w:rsidR="00A9604E" w:rsidRPr="00354B94">
        <w:rPr>
          <w:rFonts w:cs="Times New Roman"/>
        </w:rPr>
        <w:t>ection 5</w:t>
      </w:r>
      <w:r w:rsidR="000A3CF4" w:rsidRPr="00354B94">
        <w:rPr>
          <w:rFonts w:cs="Times New Roman"/>
        </w:rPr>
        <w:t xml:space="preserve"> </w:t>
      </w:r>
      <w:r w:rsidR="0076602D" w:rsidRPr="00354B94">
        <w:rPr>
          <w:rFonts w:cs="Times New Roman"/>
        </w:rPr>
        <w:t xml:space="preserve">and </w:t>
      </w:r>
      <w:r w:rsidR="00992591" w:rsidRPr="00354B94">
        <w:rPr>
          <w:rFonts w:cs="Times New Roman"/>
        </w:rPr>
        <w:t>Schedule 1</w:t>
      </w:r>
      <w:r w:rsidR="004560A5" w:rsidRPr="00354B94">
        <w:rPr>
          <w:rFonts w:cs="Times New Roman"/>
        </w:rPr>
        <w:t xml:space="preserve">. </w:t>
      </w:r>
      <w:r w:rsidR="00B3457A" w:rsidRPr="00354B94">
        <w:rPr>
          <w:rFonts w:cs="Times New Roman"/>
        </w:rPr>
        <w:t>In addition,</w:t>
      </w:r>
      <w:r w:rsidR="004E0DD6" w:rsidRPr="00354B94">
        <w:rPr>
          <w:rFonts w:cs="Times New Roman"/>
        </w:rPr>
        <w:t xml:space="preserve"> most </w:t>
      </w:r>
      <w:proofErr w:type="gramStart"/>
      <w:r w:rsidR="00881169" w:rsidRPr="00354B94">
        <w:rPr>
          <w:rFonts w:cs="Times New Roman"/>
        </w:rPr>
        <w:t>pre-owned</w:t>
      </w:r>
      <w:proofErr w:type="gramEnd"/>
      <w:r w:rsidR="00881169" w:rsidRPr="00354B94">
        <w:rPr>
          <w:rFonts w:cs="Times New Roman"/>
        </w:rPr>
        <w:t xml:space="preserve"> assets appear to be excluded from the allowance with its broad definition in </w:t>
      </w:r>
      <w:r w:rsidR="00211FF4" w:rsidRPr="00354B94">
        <w:rPr>
          <w:rFonts w:cs="Times New Roman"/>
        </w:rPr>
        <w:t xml:space="preserve">Section </w:t>
      </w:r>
      <w:r w:rsidR="00881169" w:rsidRPr="00354B94">
        <w:rPr>
          <w:rFonts w:cs="Times New Roman"/>
        </w:rPr>
        <w:t>6.</w:t>
      </w:r>
      <w:r w:rsidR="002E6A76" w:rsidRPr="00354B94">
        <w:rPr>
          <w:rFonts w:cs="Times New Roman"/>
        </w:rPr>
        <w:t xml:space="preserve"> </w:t>
      </w:r>
    </w:p>
    <w:p w14:paraId="7544F78B" w14:textId="08C44A29" w:rsidR="00BE2113" w:rsidRPr="00354B94" w:rsidRDefault="00606CDF" w:rsidP="00F77362">
      <w:pPr>
        <w:rPr>
          <w:rFonts w:cs="Times New Roman"/>
        </w:rPr>
      </w:pPr>
      <w:r w:rsidRPr="00354B94">
        <w:rPr>
          <w:rFonts w:cs="Times New Roman"/>
        </w:rPr>
        <w:t xml:space="preserve">EPL thus penalises companies that do not </w:t>
      </w:r>
      <w:r w:rsidR="00F76857" w:rsidRPr="00354B94">
        <w:rPr>
          <w:rFonts w:cs="Times New Roman"/>
        </w:rPr>
        <w:t>invest in oil-related activities and</w:t>
      </w:r>
      <w:r w:rsidR="00975ABE" w:rsidRPr="00354B94">
        <w:rPr>
          <w:rFonts w:cs="Times New Roman"/>
        </w:rPr>
        <w:t xml:space="preserve"> greatly</w:t>
      </w:r>
      <w:r w:rsidR="00F76857" w:rsidRPr="00354B94">
        <w:rPr>
          <w:rFonts w:cs="Times New Roman"/>
        </w:rPr>
        <w:t xml:space="preserve"> reward</w:t>
      </w:r>
      <w:r w:rsidR="008D7B7F" w:rsidRPr="00354B94">
        <w:rPr>
          <w:rFonts w:cs="Times New Roman"/>
        </w:rPr>
        <w:t>s</w:t>
      </w:r>
      <w:r w:rsidR="00F76857" w:rsidRPr="00354B94">
        <w:rPr>
          <w:rFonts w:cs="Times New Roman"/>
        </w:rPr>
        <w:t xml:space="preserve"> those that do so. </w:t>
      </w:r>
      <w:r w:rsidR="00C34BF9" w:rsidRPr="00354B94">
        <w:rPr>
          <w:rFonts w:cs="Times New Roman"/>
        </w:rPr>
        <w:t>To illustrate this, let</w:t>
      </w:r>
      <w:r w:rsidR="004D0FFD" w:rsidRPr="00354B94">
        <w:rPr>
          <w:rFonts w:cs="Times New Roman"/>
        </w:rPr>
        <w:t xml:space="preserve"> us</w:t>
      </w:r>
      <w:r w:rsidR="00C34BF9" w:rsidRPr="00354B94">
        <w:rPr>
          <w:rFonts w:cs="Times New Roman"/>
        </w:rPr>
        <w:t xml:space="preserve"> consider </w:t>
      </w:r>
      <w:r w:rsidR="00BE2113" w:rsidRPr="00354B94">
        <w:rPr>
          <w:rFonts w:cs="Times New Roman"/>
        </w:rPr>
        <w:t>a</w:t>
      </w:r>
      <w:r w:rsidR="00C34BF9" w:rsidRPr="00354B94">
        <w:rPr>
          <w:rFonts w:cs="Times New Roman"/>
        </w:rPr>
        <w:t xml:space="preserve"> fictional</w:t>
      </w:r>
      <w:r w:rsidR="00BE2113" w:rsidRPr="00354B94">
        <w:rPr>
          <w:rFonts w:cs="Times New Roman"/>
        </w:rPr>
        <w:t xml:space="preserve"> company that makes £100 million in taxable profits this year</w:t>
      </w:r>
      <w:r w:rsidR="0002609B" w:rsidRPr="00354B94">
        <w:rPr>
          <w:rFonts w:cs="Times New Roman"/>
        </w:rPr>
        <w:t>,</w:t>
      </w:r>
      <w:r w:rsidR="00BE2113" w:rsidRPr="00354B94">
        <w:rPr>
          <w:rFonts w:cs="Times New Roman"/>
        </w:rPr>
        <w:t xml:space="preserve"> and carries over £50 million in historical losses from </w:t>
      </w:r>
      <w:r w:rsidR="00B26CB3" w:rsidRPr="00354B94">
        <w:rPr>
          <w:rFonts w:cs="Times New Roman"/>
        </w:rPr>
        <w:t xml:space="preserve">the </w:t>
      </w:r>
      <w:r w:rsidR="00BE2113" w:rsidRPr="00354B94">
        <w:rPr>
          <w:rFonts w:cs="Times New Roman"/>
        </w:rPr>
        <w:t xml:space="preserve">previous year. </w:t>
      </w:r>
      <w:r w:rsidR="00F77362" w:rsidRPr="00354B94">
        <w:rPr>
          <w:rFonts w:cs="Times New Roman"/>
        </w:rPr>
        <w:t>B</w:t>
      </w:r>
      <w:r w:rsidR="00BE2113" w:rsidRPr="00354B94">
        <w:rPr>
          <w:rFonts w:cs="Times New Roman"/>
        </w:rPr>
        <w:t>efore EPL it would be liable to pay 30</w:t>
      </w:r>
      <w:r w:rsidR="00C34BF9" w:rsidRPr="00354B94">
        <w:rPr>
          <w:rFonts w:cs="Times New Roman"/>
        </w:rPr>
        <w:t xml:space="preserve"> per cent</w:t>
      </w:r>
      <w:r w:rsidR="00BE2113" w:rsidRPr="00354B94">
        <w:rPr>
          <w:rFonts w:cs="Times New Roman"/>
        </w:rPr>
        <w:t xml:space="preserve"> RFCT and 10</w:t>
      </w:r>
      <w:r w:rsidR="00C34BF9" w:rsidRPr="00354B94">
        <w:rPr>
          <w:rFonts w:cs="Times New Roman"/>
        </w:rPr>
        <w:t xml:space="preserve"> per cent</w:t>
      </w:r>
      <w:r w:rsidR="00BE2113" w:rsidRPr="00354B94">
        <w:rPr>
          <w:rFonts w:cs="Times New Roman"/>
        </w:rPr>
        <w:t xml:space="preserve"> SC, so £20 million. With EPL, it would be liable to pay a further £25 million, so £45 million in total, or a 180 per cent increase in tax liability.</w:t>
      </w:r>
      <w:r w:rsidR="002E6A76" w:rsidRPr="00354B94">
        <w:rPr>
          <w:rFonts w:cs="Times New Roman"/>
        </w:rPr>
        <w:t xml:space="preserve"> </w:t>
      </w:r>
    </w:p>
    <w:p w14:paraId="4CD06B84" w14:textId="0E4BBC3E" w:rsidR="001D2103" w:rsidRPr="00354B94" w:rsidRDefault="00BE2113" w:rsidP="001D2103">
      <w:pPr>
        <w:rPr>
          <w:rFonts w:cs="Times New Roman"/>
        </w:rPr>
      </w:pPr>
      <w:r w:rsidRPr="00354B94">
        <w:rPr>
          <w:rFonts w:cs="Times New Roman"/>
        </w:rPr>
        <w:t>Let</w:t>
      </w:r>
      <w:r w:rsidR="008D7B7F" w:rsidRPr="00354B94">
        <w:rPr>
          <w:rFonts w:cs="Times New Roman"/>
        </w:rPr>
        <w:t xml:space="preserve"> us</w:t>
      </w:r>
      <w:r w:rsidR="0065147B" w:rsidRPr="00354B94">
        <w:rPr>
          <w:rFonts w:cs="Times New Roman"/>
        </w:rPr>
        <w:t xml:space="preserve"> now</w:t>
      </w:r>
      <w:r w:rsidRPr="00354B94">
        <w:rPr>
          <w:rFonts w:cs="Times New Roman"/>
        </w:rPr>
        <w:t xml:space="preserve"> assume the same company invests £100 million in further gas</w:t>
      </w:r>
      <w:r w:rsidR="00E5143B" w:rsidRPr="00354B94">
        <w:rPr>
          <w:rFonts w:cs="Times New Roman"/>
        </w:rPr>
        <w:t xml:space="preserve"> and oil</w:t>
      </w:r>
      <w:r w:rsidRPr="00354B94">
        <w:rPr>
          <w:rFonts w:cs="Times New Roman"/>
        </w:rPr>
        <w:t xml:space="preserve"> extraction. Before EPL it would receive a first-year capital allowance from RFCT and SC of £40 million and an investment allowance of £6.35 million that can be claimed once investment starts generating income, totalling £46.25 million. Once EPL is introduced, it would further receive a £25 million capital allowance and a further £20 million investment allowance on EPL, totalling £91.25 million</w:t>
      </w:r>
      <w:r w:rsidR="00592F0C" w:rsidRPr="00354B94">
        <w:rPr>
          <w:rFonts w:cs="Times New Roman"/>
        </w:rPr>
        <w:t xml:space="preserve">. Therefore, it would </w:t>
      </w:r>
      <w:r w:rsidRPr="00354B94">
        <w:rPr>
          <w:rFonts w:cs="Times New Roman"/>
        </w:rPr>
        <w:t>carry an</w:t>
      </w:r>
      <w:r w:rsidR="00C13628" w:rsidRPr="00354B94">
        <w:rPr>
          <w:rFonts w:cs="Times New Roman"/>
        </w:rPr>
        <w:t xml:space="preserve"> investment</w:t>
      </w:r>
      <w:r w:rsidRPr="00354B94">
        <w:rPr>
          <w:rFonts w:cs="Times New Roman"/>
        </w:rPr>
        <w:t xml:space="preserve"> allowance of £26.35 million, enabling </w:t>
      </w:r>
      <w:r w:rsidR="00D84F5D" w:rsidRPr="00354B94">
        <w:rPr>
          <w:rFonts w:cs="Times New Roman"/>
        </w:rPr>
        <w:t xml:space="preserve">it </w:t>
      </w:r>
      <w:r w:rsidRPr="00354B94">
        <w:rPr>
          <w:rFonts w:cs="Times New Roman"/>
        </w:rPr>
        <w:t xml:space="preserve">to offset £40.54 million in </w:t>
      </w:r>
      <w:r w:rsidR="00C2105B" w:rsidRPr="00354B94">
        <w:rPr>
          <w:rFonts w:cs="Times New Roman"/>
        </w:rPr>
        <w:t xml:space="preserve">further </w:t>
      </w:r>
      <w:r w:rsidRPr="00354B94">
        <w:rPr>
          <w:rFonts w:cs="Times New Roman"/>
        </w:rPr>
        <w:t xml:space="preserve">profits. </w:t>
      </w:r>
    </w:p>
    <w:p w14:paraId="5EC08073" w14:textId="0AAE982F" w:rsidR="001D2103" w:rsidRPr="00354B94" w:rsidRDefault="001D2103" w:rsidP="001D2103">
      <w:pPr>
        <w:rPr>
          <w:rFonts w:cs="Times New Roman"/>
        </w:rPr>
      </w:pPr>
      <w:r w:rsidRPr="00354B94">
        <w:rPr>
          <w:rFonts w:cs="Times New Roman"/>
        </w:rPr>
        <w:t xml:space="preserve">It is also worth noting that EPL taxes profits from 25 May 2022 with a sunset clause of 31 December 2025. This clause indicates that EPL could be removed earlier in case the oil and gas prices return to historically normal levels, with no specific provisions in </w:t>
      </w:r>
      <w:r w:rsidR="0079410B" w:rsidRPr="00354B94">
        <w:rPr>
          <w:rFonts w:cs="Times New Roman"/>
        </w:rPr>
        <w:t>policy documents</w:t>
      </w:r>
      <w:r w:rsidR="00F92451" w:rsidRPr="00354B94">
        <w:rPr>
          <w:rFonts w:cs="Times New Roman"/>
        </w:rPr>
        <w:t>.</w:t>
      </w:r>
      <w:r w:rsidRPr="00354B94">
        <w:rPr>
          <w:rFonts w:cs="Times New Roman"/>
        </w:rPr>
        <w:t xml:space="preserve"> Unlike</w:t>
      </w:r>
      <w:r w:rsidR="00435DF3" w:rsidRPr="00354B94">
        <w:rPr>
          <w:rFonts w:cs="Times New Roman"/>
        </w:rPr>
        <w:t xml:space="preserve"> in the case of</w:t>
      </w:r>
      <w:r w:rsidRPr="00354B94">
        <w:rPr>
          <w:rFonts w:cs="Times New Roman"/>
        </w:rPr>
        <w:t xml:space="preserve"> SC, the Act</w:t>
      </w:r>
      <w:r w:rsidRPr="00354B94">
        <w:rPr>
          <w:rStyle w:val="FootnoteReference"/>
          <w:rFonts w:cs="Times New Roman"/>
        </w:rPr>
        <w:footnoteReference w:id="32"/>
      </w:r>
      <w:r w:rsidRPr="00354B94">
        <w:rPr>
          <w:rFonts w:cs="Times New Roman"/>
        </w:rPr>
        <w:t xml:space="preserve"> specifies that periods straddling 26 May 2022 and 31 December 2025 should be deemed to </w:t>
      </w:r>
      <w:r w:rsidR="00505C6E" w:rsidRPr="00354B94">
        <w:rPr>
          <w:rFonts w:cs="Times New Roman"/>
        </w:rPr>
        <w:t>start</w:t>
      </w:r>
      <w:r w:rsidRPr="00354B94">
        <w:rPr>
          <w:rFonts w:cs="Times New Roman"/>
        </w:rPr>
        <w:t xml:space="preserve"> on 25 May 2022 and</w:t>
      </w:r>
      <w:r w:rsidR="00505C6E" w:rsidRPr="00354B94">
        <w:rPr>
          <w:rFonts w:cs="Times New Roman"/>
        </w:rPr>
        <w:t xml:space="preserve"> end on</w:t>
      </w:r>
      <w:r w:rsidRPr="00354B94">
        <w:rPr>
          <w:rFonts w:cs="Times New Roman"/>
        </w:rPr>
        <w:t xml:space="preserve"> 31 December</w:t>
      </w:r>
      <w:r w:rsidR="00425A3A" w:rsidRPr="00354B94">
        <w:rPr>
          <w:rFonts w:cs="Times New Roman"/>
        </w:rPr>
        <w:t xml:space="preserve"> 2025</w:t>
      </w:r>
      <w:r w:rsidRPr="00354B94">
        <w:rPr>
          <w:rFonts w:cs="Times New Roman"/>
        </w:rPr>
        <w:t>, with profits apportioned between the two periods on a just and reasonable basis</w:t>
      </w:r>
      <w:r w:rsidR="009C2FD3" w:rsidRPr="00354B94">
        <w:rPr>
          <w:rFonts w:cs="Times New Roman"/>
        </w:rPr>
        <w:t>.</w:t>
      </w:r>
      <w:r w:rsidRPr="00354B94">
        <w:rPr>
          <w:rStyle w:val="FootnoteReference"/>
          <w:rFonts w:cs="Times New Roman"/>
        </w:rPr>
        <w:footnoteReference w:id="33"/>
      </w:r>
      <w:r w:rsidRPr="00354B94">
        <w:rPr>
          <w:rFonts w:cs="Times New Roman"/>
        </w:rPr>
        <w:t xml:space="preserve"> This</w:t>
      </w:r>
      <w:r w:rsidR="009C2FD3" w:rsidRPr="00354B94">
        <w:rPr>
          <w:rFonts w:cs="Times New Roman"/>
        </w:rPr>
        <w:t xml:space="preserve"> </w:t>
      </w:r>
      <w:r w:rsidRPr="00354B94">
        <w:rPr>
          <w:rFonts w:cs="Times New Roman"/>
        </w:rPr>
        <w:t xml:space="preserve">would now avoid such issues as </w:t>
      </w:r>
      <w:r w:rsidR="004D0FFD" w:rsidRPr="00354B94">
        <w:rPr>
          <w:rFonts w:cs="Times New Roman"/>
        </w:rPr>
        <w:t>arose in the</w:t>
      </w:r>
      <w:r w:rsidRPr="00354B94">
        <w:rPr>
          <w:rFonts w:cs="Times New Roman"/>
        </w:rPr>
        <w:t xml:space="preserve"> Total E&amp;P North Sea UK Ltd and Total Oil UK Ltd </w:t>
      </w:r>
      <w:r w:rsidR="004D0FFD" w:rsidRPr="00354B94">
        <w:rPr>
          <w:rFonts w:cs="Times New Roman"/>
        </w:rPr>
        <w:t>litigation.</w:t>
      </w:r>
      <w:r w:rsidRPr="00354B94">
        <w:rPr>
          <w:rStyle w:val="FootnoteReference"/>
          <w:rFonts w:cs="Times New Roman"/>
        </w:rPr>
        <w:footnoteReference w:id="34"/>
      </w:r>
      <w:r w:rsidR="008F181C" w:rsidRPr="00354B94">
        <w:rPr>
          <w:rFonts w:cs="Times New Roman"/>
        </w:rPr>
        <w:t xml:space="preserve"> Th</w:t>
      </w:r>
      <w:r w:rsidR="00D85A25" w:rsidRPr="00354B94">
        <w:rPr>
          <w:rFonts w:cs="Times New Roman"/>
        </w:rPr>
        <w:t>ese</w:t>
      </w:r>
      <w:r w:rsidR="008F181C" w:rsidRPr="00354B94">
        <w:rPr>
          <w:rFonts w:cs="Times New Roman"/>
        </w:rPr>
        <w:t xml:space="preserve"> case</w:t>
      </w:r>
      <w:r w:rsidR="00D85A25" w:rsidRPr="00354B94">
        <w:rPr>
          <w:rFonts w:cs="Times New Roman"/>
        </w:rPr>
        <w:t>s</w:t>
      </w:r>
      <w:r w:rsidR="008F181C" w:rsidRPr="00354B94">
        <w:rPr>
          <w:rFonts w:cs="Times New Roman"/>
        </w:rPr>
        <w:t xml:space="preserve"> focus</w:t>
      </w:r>
      <w:r w:rsidR="000832CD" w:rsidRPr="00354B94">
        <w:rPr>
          <w:rFonts w:cs="Times New Roman"/>
        </w:rPr>
        <w:t>ed</w:t>
      </w:r>
      <w:r w:rsidR="008F181C" w:rsidRPr="00354B94">
        <w:rPr>
          <w:rFonts w:cs="Times New Roman"/>
        </w:rPr>
        <w:t xml:space="preserve"> on</w:t>
      </w:r>
      <w:r w:rsidRPr="00354B94">
        <w:rPr>
          <w:rFonts w:cs="Times New Roman"/>
        </w:rPr>
        <w:t xml:space="preserve"> adjusting profits during the accounting period </w:t>
      </w:r>
      <w:r w:rsidR="002D2E50" w:rsidRPr="00354B94">
        <w:rPr>
          <w:rFonts w:cs="Times New Roman"/>
        </w:rPr>
        <w:t>when</w:t>
      </w:r>
      <w:r w:rsidRPr="00354B94">
        <w:rPr>
          <w:rFonts w:cs="Times New Roman"/>
        </w:rPr>
        <w:t xml:space="preserve"> the SC rate increase</w:t>
      </w:r>
      <w:r w:rsidR="002D2E50" w:rsidRPr="00354B94">
        <w:rPr>
          <w:rFonts w:cs="Times New Roman"/>
        </w:rPr>
        <w:t>d</w:t>
      </w:r>
      <w:r w:rsidRPr="00354B94">
        <w:rPr>
          <w:rFonts w:cs="Times New Roman"/>
        </w:rPr>
        <w:t xml:space="preserve"> from 20</w:t>
      </w:r>
      <w:r w:rsidR="00C34BF9" w:rsidRPr="00354B94">
        <w:rPr>
          <w:rFonts w:cs="Times New Roman"/>
        </w:rPr>
        <w:t xml:space="preserve"> per cent</w:t>
      </w:r>
      <w:r w:rsidRPr="00354B94">
        <w:rPr>
          <w:rFonts w:cs="Times New Roman"/>
        </w:rPr>
        <w:t xml:space="preserve"> to 32</w:t>
      </w:r>
      <w:r w:rsidR="00C34BF9" w:rsidRPr="00354B94">
        <w:rPr>
          <w:rFonts w:cs="Times New Roman"/>
        </w:rPr>
        <w:t xml:space="preserve"> per cent</w:t>
      </w:r>
      <w:r w:rsidRPr="00354B94">
        <w:rPr>
          <w:rFonts w:cs="Times New Roman"/>
        </w:rPr>
        <w:t xml:space="preserve"> in 2011. The companies argued that treating each period</w:t>
      </w:r>
      <w:r w:rsidR="00C34BF9" w:rsidRPr="00354B94">
        <w:rPr>
          <w:rFonts w:cs="Times New Roman"/>
        </w:rPr>
        <w:t xml:space="preserve"> (</w:t>
      </w:r>
      <w:r w:rsidR="00166746" w:rsidRPr="00354B94">
        <w:rPr>
          <w:rFonts w:cs="Times New Roman"/>
        </w:rPr>
        <w:t>before</w:t>
      </w:r>
      <w:r w:rsidR="00C34BF9" w:rsidRPr="00354B94">
        <w:rPr>
          <w:rFonts w:cs="Times New Roman"/>
        </w:rPr>
        <w:t xml:space="preserve"> the lift in SC and </w:t>
      </w:r>
      <w:r w:rsidR="00443F2E" w:rsidRPr="00354B94">
        <w:rPr>
          <w:rFonts w:cs="Times New Roman"/>
        </w:rPr>
        <w:t>after</w:t>
      </w:r>
      <w:r w:rsidR="00C34BF9" w:rsidRPr="00354B94">
        <w:rPr>
          <w:rFonts w:cs="Times New Roman"/>
        </w:rPr>
        <w:t xml:space="preserve">) </w:t>
      </w:r>
      <w:r w:rsidRPr="00354B94">
        <w:rPr>
          <w:rFonts w:cs="Times New Roman"/>
        </w:rPr>
        <w:t xml:space="preserve">separately and allocating income, </w:t>
      </w:r>
      <w:proofErr w:type="gramStart"/>
      <w:r w:rsidRPr="00354B94">
        <w:rPr>
          <w:rFonts w:cs="Times New Roman"/>
        </w:rPr>
        <w:t>expenditure</w:t>
      </w:r>
      <w:proofErr w:type="gramEnd"/>
      <w:r w:rsidRPr="00354B94">
        <w:rPr>
          <w:rFonts w:cs="Times New Roman"/>
        </w:rPr>
        <w:t xml:space="preserve"> and allowances to these two periods was just and reasonable. The First-tier </w:t>
      </w:r>
      <w:r w:rsidRPr="00354B94">
        <w:rPr>
          <w:rFonts w:cs="Times New Roman"/>
        </w:rPr>
        <w:lastRenderedPageBreak/>
        <w:t xml:space="preserve">Tribunal settled </w:t>
      </w:r>
      <w:r w:rsidR="004D0FFD" w:rsidRPr="00354B94">
        <w:rPr>
          <w:rFonts w:cs="Times New Roman"/>
        </w:rPr>
        <w:t>the case</w:t>
      </w:r>
      <w:r w:rsidRPr="00354B94">
        <w:rPr>
          <w:rFonts w:cs="Times New Roman"/>
        </w:rPr>
        <w:t xml:space="preserve"> in favour of Total E&amp;P North Sea UK Ltd and Total Oil UK Ltd</w:t>
      </w:r>
      <w:r w:rsidR="007F77D5" w:rsidRPr="00354B94">
        <w:rPr>
          <w:rFonts w:cs="Times New Roman"/>
        </w:rPr>
        <w:t>.</w:t>
      </w:r>
      <w:r w:rsidR="00C115E0" w:rsidRPr="00354B94">
        <w:rPr>
          <w:rStyle w:val="FootnoteReference"/>
          <w:rFonts w:cs="Times New Roman"/>
        </w:rPr>
        <w:footnoteReference w:id="35"/>
      </w:r>
      <w:r w:rsidR="007F77D5" w:rsidRPr="00354B94">
        <w:rPr>
          <w:rFonts w:cs="Times New Roman"/>
        </w:rPr>
        <w:t xml:space="preserve"> T</w:t>
      </w:r>
      <w:r w:rsidR="009B6373" w:rsidRPr="00354B94">
        <w:rPr>
          <w:rFonts w:cs="Times New Roman"/>
        </w:rPr>
        <w:t xml:space="preserve">he </w:t>
      </w:r>
      <w:r w:rsidRPr="00354B94">
        <w:rPr>
          <w:rFonts w:cs="Times New Roman"/>
        </w:rPr>
        <w:t>Upper Tribunal reversed the decision</w:t>
      </w:r>
      <w:r w:rsidR="00841FB0" w:rsidRPr="00354B94">
        <w:rPr>
          <w:rStyle w:val="FootnoteReference"/>
          <w:rFonts w:cs="Times New Roman"/>
        </w:rPr>
        <w:footnoteReference w:id="36"/>
      </w:r>
      <w:r w:rsidR="004D0FFD" w:rsidRPr="00354B94">
        <w:rPr>
          <w:rFonts w:cs="Times New Roman"/>
        </w:rPr>
        <w:t xml:space="preserve"> but</w:t>
      </w:r>
      <w:r w:rsidRPr="00354B94">
        <w:rPr>
          <w:rFonts w:cs="Times New Roman"/>
        </w:rPr>
        <w:t xml:space="preserve"> the Court of Appeal finally concluded again in favour</w:t>
      </w:r>
      <w:r w:rsidR="004D0FFD" w:rsidRPr="00354B94">
        <w:rPr>
          <w:rFonts w:cs="Times New Roman"/>
        </w:rPr>
        <w:t xml:space="preserve"> of the taxpayers</w:t>
      </w:r>
      <w:r w:rsidR="00491E79" w:rsidRPr="00354B94">
        <w:rPr>
          <w:rFonts w:cs="Times New Roman"/>
        </w:rPr>
        <w:t>.</w:t>
      </w:r>
      <w:r w:rsidRPr="00354B94">
        <w:rPr>
          <w:rStyle w:val="FootnoteReference"/>
          <w:rFonts w:cs="Times New Roman"/>
        </w:rPr>
        <w:footnoteReference w:id="37"/>
      </w:r>
    </w:p>
    <w:p w14:paraId="65D77CED" w14:textId="44D6980F" w:rsidR="000F2EB6" w:rsidRPr="00354B94" w:rsidRDefault="00F13DDD" w:rsidP="001E7DBB">
      <w:pPr>
        <w:rPr>
          <w:rFonts w:cs="Times New Roman"/>
          <w:b/>
          <w:bCs/>
        </w:rPr>
      </w:pPr>
      <w:r w:rsidRPr="00354B94">
        <w:rPr>
          <w:rFonts w:cs="Times New Roman"/>
          <w:b/>
          <w:bCs/>
        </w:rPr>
        <w:t>Shortcoming</w:t>
      </w:r>
      <w:r w:rsidR="00F76AA2" w:rsidRPr="00354B94">
        <w:rPr>
          <w:rFonts w:cs="Times New Roman"/>
          <w:b/>
          <w:bCs/>
        </w:rPr>
        <w:t>s</w:t>
      </w:r>
      <w:r w:rsidRPr="00354B94">
        <w:rPr>
          <w:rFonts w:cs="Times New Roman"/>
          <w:b/>
          <w:bCs/>
        </w:rPr>
        <w:t xml:space="preserve"> of </w:t>
      </w:r>
      <w:r w:rsidR="009F0035" w:rsidRPr="00354B94">
        <w:rPr>
          <w:rFonts w:cs="Times New Roman"/>
          <w:b/>
          <w:bCs/>
        </w:rPr>
        <w:t>Energy (Oil and Gas) Profits Levy</w:t>
      </w:r>
    </w:p>
    <w:p w14:paraId="3D98FD74" w14:textId="38C03676" w:rsidR="000A25C0" w:rsidRPr="00354B94" w:rsidRDefault="00DA236E" w:rsidP="00D31857">
      <w:pPr>
        <w:rPr>
          <w:rFonts w:cs="Times New Roman"/>
        </w:rPr>
      </w:pPr>
      <w:r w:rsidRPr="00354B94">
        <w:rPr>
          <w:rFonts w:cs="Times New Roman"/>
        </w:rPr>
        <w:t xml:space="preserve">Although the </w:t>
      </w:r>
      <w:r w:rsidR="006100D7" w:rsidRPr="00354B94">
        <w:rPr>
          <w:rFonts w:cs="Times New Roman"/>
        </w:rPr>
        <w:t xml:space="preserve">Act </w:t>
      </w:r>
      <w:r w:rsidR="00954722" w:rsidRPr="00354B94">
        <w:rPr>
          <w:rFonts w:cs="Times New Roman"/>
        </w:rPr>
        <w:t>unravelled</w:t>
      </w:r>
      <w:r w:rsidR="006100D7" w:rsidRPr="00354B94">
        <w:rPr>
          <w:rFonts w:cs="Times New Roman"/>
        </w:rPr>
        <w:t xml:space="preserve"> some technical challenges</w:t>
      </w:r>
      <w:r w:rsidR="00067417" w:rsidRPr="00354B94">
        <w:rPr>
          <w:rFonts w:cs="Times New Roman"/>
        </w:rPr>
        <w:t xml:space="preserve"> as</w:t>
      </w:r>
      <w:r w:rsidR="000A25C0" w:rsidRPr="00354B94">
        <w:rPr>
          <w:rFonts w:cs="Times New Roman"/>
        </w:rPr>
        <w:t xml:space="preserve"> described above</w:t>
      </w:r>
      <w:r w:rsidR="006100D7" w:rsidRPr="00354B94">
        <w:rPr>
          <w:rFonts w:cs="Times New Roman"/>
        </w:rPr>
        <w:t>, t</w:t>
      </w:r>
      <w:r w:rsidR="00D04EA4" w:rsidRPr="00354B94">
        <w:rPr>
          <w:rFonts w:cs="Times New Roman"/>
        </w:rPr>
        <w:t>here</w:t>
      </w:r>
      <w:r w:rsidR="002A7FC7" w:rsidRPr="00354B94">
        <w:rPr>
          <w:rFonts w:cs="Times New Roman"/>
        </w:rPr>
        <w:t xml:space="preserve"> still</w:t>
      </w:r>
      <w:r w:rsidR="00D04EA4" w:rsidRPr="00354B94">
        <w:rPr>
          <w:rFonts w:cs="Times New Roman"/>
        </w:rPr>
        <w:t xml:space="preserve"> </w:t>
      </w:r>
      <w:r w:rsidR="00B953CF" w:rsidRPr="00354B94">
        <w:rPr>
          <w:rFonts w:cs="Times New Roman"/>
        </w:rPr>
        <w:t xml:space="preserve">seem to be </w:t>
      </w:r>
      <w:bookmarkStart w:id="3" w:name="_Hlk114080780"/>
      <w:r w:rsidR="007E0537" w:rsidRPr="00354B94">
        <w:rPr>
          <w:rFonts w:cs="Times New Roman"/>
        </w:rPr>
        <w:t xml:space="preserve">practical </w:t>
      </w:r>
      <w:r w:rsidR="00BA4201" w:rsidRPr="00354B94">
        <w:rPr>
          <w:rFonts w:cs="Times New Roman"/>
        </w:rPr>
        <w:t>concerns</w:t>
      </w:r>
      <w:bookmarkEnd w:id="3"/>
      <w:r w:rsidR="00E30AEE" w:rsidRPr="00354B94">
        <w:rPr>
          <w:rFonts w:cs="Times New Roman"/>
        </w:rPr>
        <w:t>,</w:t>
      </w:r>
      <w:r w:rsidR="00B720D1" w:rsidRPr="00354B94">
        <w:rPr>
          <w:rFonts w:cs="Times New Roman"/>
        </w:rPr>
        <w:t xml:space="preserve"> particularly </w:t>
      </w:r>
      <w:r w:rsidR="001906FF" w:rsidRPr="00354B94">
        <w:rPr>
          <w:rFonts w:cs="Times New Roman"/>
        </w:rPr>
        <w:t xml:space="preserve">arising </w:t>
      </w:r>
      <w:r w:rsidR="00E30AEE" w:rsidRPr="00354B94">
        <w:rPr>
          <w:rFonts w:cs="Times New Roman"/>
        </w:rPr>
        <w:t>from the</w:t>
      </w:r>
      <w:r w:rsidR="00C34BF9" w:rsidRPr="00354B94">
        <w:rPr>
          <w:rFonts w:cs="Times New Roman"/>
        </w:rPr>
        <w:t xml:space="preserve"> </w:t>
      </w:r>
      <w:r w:rsidR="00E30AEE" w:rsidRPr="00354B94">
        <w:rPr>
          <w:rFonts w:cs="Times New Roman"/>
        </w:rPr>
        <w:t xml:space="preserve">temporal nature of this windfall </w:t>
      </w:r>
      <w:r w:rsidR="008A233F" w:rsidRPr="00354B94">
        <w:rPr>
          <w:rFonts w:cs="Times New Roman"/>
        </w:rPr>
        <w:t>tax</w:t>
      </w:r>
      <w:r w:rsidR="00137F62" w:rsidRPr="00354B94">
        <w:rPr>
          <w:rFonts w:cs="Times New Roman"/>
        </w:rPr>
        <w:t>.</w:t>
      </w:r>
      <w:r w:rsidR="003D1D96" w:rsidRPr="00354B94">
        <w:rPr>
          <w:rFonts w:cs="Times New Roman"/>
        </w:rPr>
        <w:t xml:space="preserve"> </w:t>
      </w:r>
      <w:r w:rsidR="00E30AEE" w:rsidRPr="00354B94">
        <w:rPr>
          <w:rFonts w:cs="Times New Roman"/>
        </w:rPr>
        <w:t xml:space="preserve">Firstly, </w:t>
      </w:r>
      <w:r w:rsidR="00E01690" w:rsidRPr="00354B94">
        <w:rPr>
          <w:rFonts w:cs="Times New Roman"/>
        </w:rPr>
        <w:t>t</w:t>
      </w:r>
      <w:r w:rsidR="000A25C0" w:rsidRPr="00354B94">
        <w:rPr>
          <w:rFonts w:cs="Times New Roman"/>
        </w:rPr>
        <w:t xml:space="preserve">he restriction of </w:t>
      </w:r>
      <w:r w:rsidR="00954722" w:rsidRPr="00354B94">
        <w:rPr>
          <w:rFonts w:cs="Times New Roman"/>
        </w:rPr>
        <w:t xml:space="preserve">the </w:t>
      </w:r>
      <w:r w:rsidR="000A25C0" w:rsidRPr="00354B94">
        <w:rPr>
          <w:rFonts w:cs="Times New Roman"/>
        </w:rPr>
        <w:t>ability to carry losses and profits backward</w:t>
      </w:r>
      <w:r w:rsidR="00E5306B" w:rsidRPr="00354B94">
        <w:rPr>
          <w:rFonts w:cs="Times New Roman"/>
        </w:rPr>
        <w:t>s</w:t>
      </w:r>
      <w:r w:rsidR="000A25C0" w:rsidRPr="00354B94">
        <w:rPr>
          <w:rFonts w:cs="Times New Roman"/>
        </w:rPr>
        <w:t xml:space="preserve"> or forward by only one year</w:t>
      </w:r>
      <w:r w:rsidR="00576CAA" w:rsidRPr="00354B94">
        <w:rPr>
          <w:rFonts w:cs="Times New Roman"/>
        </w:rPr>
        <w:t xml:space="preserve"> </w:t>
      </w:r>
      <w:r w:rsidR="00954722" w:rsidRPr="00354B94">
        <w:rPr>
          <w:rFonts w:cs="Times New Roman"/>
        </w:rPr>
        <w:t>for a levy with a</w:t>
      </w:r>
      <w:r w:rsidR="00923B41" w:rsidRPr="00354B94">
        <w:rPr>
          <w:rFonts w:cs="Times New Roman"/>
        </w:rPr>
        <w:t xml:space="preserve"> tight</w:t>
      </w:r>
      <w:r w:rsidR="00954722" w:rsidRPr="00354B94">
        <w:rPr>
          <w:rFonts w:cs="Times New Roman"/>
        </w:rPr>
        <w:t xml:space="preserve"> lifespan </w:t>
      </w:r>
      <w:r w:rsidR="00387D72" w:rsidRPr="00354B94">
        <w:rPr>
          <w:rFonts w:cs="Times New Roman"/>
        </w:rPr>
        <w:t xml:space="preserve">of </w:t>
      </w:r>
      <w:r w:rsidR="00954722" w:rsidRPr="00354B94">
        <w:rPr>
          <w:rFonts w:cs="Times New Roman"/>
        </w:rPr>
        <w:t>up to 3.5 years</w:t>
      </w:r>
      <w:r w:rsidR="002A7FC7" w:rsidRPr="00354B94">
        <w:rPr>
          <w:rFonts w:cs="Times New Roman"/>
        </w:rPr>
        <w:t xml:space="preserve"> </w:t>
      </w:r>
      <w:r w:rsidR="001F3A44" w:rsidRPr="00354B94">
        <w:rPr>
          <w:rFonts w:cs="Times New Roman"/>
        </w:rPr>
        <w:t>could</w:t>
      </w:r>
      <w:r w:rsidR="000A034F" w:rsidRPr="00354B94">
        <w:rPr>
          <w:rFonts w:cs="Times New Roman"/>
        </w:rPr>
        <w:t xml:space="preserve"> </w:t>
      </w:r>
      <w:r w:rsidR="001F3A44" w:rsidRPr="00354B94">
        <w:rPr>
          <w:rFonts w:cs="Times New Roman"/>
        </w:rPr>
        <w:t>unfairly</w:t>
      </w:r>
      <w:r w:rsidR="002A7FC7" w:rsidRPr="00354B94">
        <w:rPr>
          <w:rFonts w:cs="Times New Roman"/>
        </w:rPr>
        <w:t xml:space="preserve"> </w:t>
      </w:r>
      <w:r w:rsidR="001F3A44" w:rsidRPr="00354B94">
        <w:rPr>
          <w:rFonts w:cs="Times New Roman"/>
        </w:rPr>
        <w:t>disadvantage companies</w:t>
      </w:r>
      <w:r w:rsidR="00923B41" w:rsidRPr="00354B94">
        <w:rPr>
          <w:rFonts w:cs="Times New Roman"/>
        </w:rPr>
        <w:t xml:space="preserve">. For instance, </w:t>
      </w:r>
      <w:r w:rsidR="00FA7D35" w:rsidRPr="00354B94">
        <w:rPr>
          <w:rFonts w:cs="Times New Roman"/>
        </w:rPr>
        <w:t>companies</w:t>
      </w:r>
      <w:r w:rsidR="001F3A44" w:rsidRPr="00354B94">
        <w:rPr>
          <w:rFonts w:cs="Times New Roman"/>
        </w:rPr>
        <w:t xml:space="preserve"> that invested before the end of </w:t>
      </w:r>
      <w:r w:rsidR="00B90C05" w:rsidRPr="00354B94">
        <w:rPr>
          <w:rFonts w:cs="Times New Roman"/>
        </w:rPr>
        <w:t>EPL</w:t>
      </w:r>
      <w:r w:rsidR="001F3A44" w:rsidRPr="00354B94">
        <w:rPr>
          <w:rFonts w:cs="Times New Roman"/>
        </w:rPr>
        <w:t xml:space="preserve"> </w:t>
      </w:r>
      <w:r w:rsidR="00FA7D35" w:rsidRPr="00354B94">
        <w:rPr>
          <w:rFonts w:cs="Times New Roman"/>
        </w:rPr>
        <w:t xml:space="preserve">will have a limited </w:t>
      </w:r>
      <w:r w:rsidR="0096070E" w:rsidRPr="00354B94">
        <w:rPr>
          <w:rFonts w:cs="Times New Roman"/>
        </w:rPr>
        <w:t xml:space="preserve">window </w:t>
      </w:r>
      <w:r w:rsidR="007604EB" w:rsidRPr="00354B94">
        <w:rPr>
          <w:rFonts w:cs="Times New Roman"/>
        </w:rPr>
        <w:t>to offset the loss</w:t>
      </w:r>
      <w:r w:rsidR="00EA7A0E" w:rsidRPr="00354B94">
        <w:rPr>
          <w:rFonts w:cs="Times New Roman"/>
        </w:rPr>
        <w:t xml:space="preserve"> with allowances</w:t>
      </w:r>
      <w:r w:rsidR="007604EB" w:rsidRPr="00354B94">
        <w:rPr>
          <w:rFonts w:cs="Times New Roman"/>
        </w:rPr>
        <w:t xml:space="preserve">, especially </w:t>
      </w:r>
      <w:r w:rsidR="00D01F82" w:rsidRPr="00354B94">
        <w:rPr>
          <w:rFonts w:cs="Times New Roman"/>
        </w:rPr>
        <w:t>as</w:t>
      </w:r>
      <w:r w:rsidR="002A1268" w:rsidRPr="00354B94">
        <w:rPr>
          <w:rFonts w:cs="Times New Roman"/>
        </w:rPr>
        <w:t xml:space="preserve"> the eff</w:t>
      </w:r>
      <w:r w:rsidR="00AE7D25" w:rsidRPr="00354B94">
        <w:rPr>
          <w:rFonts w:cs="Times New Roman"/>
        </w:rPr>
        <w:t>e</w:t>
      </w:r>
      <w:r w:rsidR="002A1268" w:rsidRPr="00354B94">
        <w:rPr>
          <w:rFonts w:cs="Times New Roman"/>
        </w:rPr>
        <w:t>cts of</w:t>
      </w:r>
      <w:r w:rsidR="00D01F82" w:rsidRPr="00354B94">
        <w:rPr>
          <w:rFonts w:cs="Times New Roman"/>
        </w:rPr>
        <w:t xml:space="preserve"> investments are likely to take time</w:t>
      </w:r>
      <w:r w:rsidR="007604EB" w:rsidRPr="00354B94">
        <w:rPr>
          <w:rFonts w:cs="Times New Roman"/>
        </w:rPr>
        <w:t>.</w:t>
      </w:r>
      <w:r w:rsidR="0096070E" w:rsidRPr="00354B94">
        <w:rPr>
          <w:rFonts w:cs="Times New Roman"/>
        </w:rPr>
        <w:t xml:space="preserve"> This</w:t>
      </w:r>
      <w:r w:rsidR="00DE684B" w:rsidRPr="00354B94">
        <w:rPr>
          <w:rFonts w:cs="Times New Roman"/>
        </w:rPr>
        <w:t xml:space="preserve"> further </w:t>
      </w:r>
      <w:r w:rsidR="00C36B46" w:rsidRPr="00354B94">
        <w:rPr>
          <w:rFonts w:cs="Times New Roman"/>
        </w:rPr>
        <w:t>makes</w:t>
      </w:r>
      <w:r w:rsidR="00CE4277" w:rsidRPr="00354B94">
        <w:rPr>
          <w:rFonts w:cs="Times New Roman"/>
        </w:rPr>
        <w:t xml:space="preserve"> planning for </w:t>
      </w:r>
      <w:proofErr w:type="gramStart"/>
      <w:r w:rsidR="00CE4277" w:rsidRPr="00354B94">
        <w:rPr>
          <w:rFonts w:cs="Times New Roman"/>
        </w:rPr>
        <w:t>companies</w:t>
      </w:r>
      <w:proofErr w:type="gramEnd"/>
      <w:r w:rsidR="00CE4277" w:rsidRPr="00354B94">
        <w:rPr>
          <w:rFonts w:cs="Times New Roman"/>
        </w:rPr>
        <w:t xml:space="preserve"> </w:t>
      </w:r>
      <w:r w:rsidR="00DE684B" w:rsidRPr="00354B94">
        <w:rPr>
          <w:rFonts w:cs="Times New Roman"/>
        </w:rPr>
        <w:t>problematic</w:t>
      </w:r>
      <w:r w:rsidR="0096070E" w:rsidRPr="00354B94">
        <w:rPr>
          <w:rFonts w:cs="Times New Roman"/>
        </w:rPr>
        <w:t xml:space="preserve"> as </w:t>
      </w:r>
      <w:r w:rsidR="00DE684B" w:rsidRPr="00354B94">
        <w:rPr>
          <w:rFonts w:cs="Times New Roman"/>
        </w:rPr>
        <w:t>policy documents lack guidance</w:t>
      </w:r>
      <w:r w:rsidR="0096070E" w:rsidRPr="00354B94">
        <w:rPr>
          <w:rFonts w:cs="Times New Roman"/>
        </w:rPr>
        <w:t xml:space="preserve"> </w:t>
      </w:r>
      <w:r w:rsidR="00E9255C" w:rsidRPr="00354B94">
        <w:rPr>
          <w:rFonts w:cs="Times New Roman"/>
        </w:rPr>
        <w:t xml:space="preserve">on when </w:t>
      </w:r>
      <w:r w:rsidR="0004502E" w:rsidRPr="00354B94">
        <w:rPr>
          <w:rFonts w:cs="Times New Roman"/>
        </w:rPr>
        <w:t>EPL</w:t>
      </w:r>
      <w:r w:rsidR="00E9255C" w:rsidRPr="00354B94">
        <w:rPr>
          <w:rFonts w:cs="Times New Roman"/>
        </w:rPr>
        <w:t xml:space="preserve"> could be discontinued before 31 December 2025. </w:t>
      </w:r>
      <w:r w:rsidR="007604EB" w:rsidRPr="00354B94">
        <w:rPr>
          <w:rFonts w:cs="Times New Roman"/>
        </w:rPr>
        <w:t>Secondly,</w:t>
      </w:r>
      <w:r w:rsidR="00D01F82" w:rsidRPr="00354B94">
        <w:rPr>
          <w:rFonts w:cs="Times New Roman"/>
        </w:rPr>
        <w:t xml:space="preserve"> </w:t>
      </w:r>
      <w:r w:rsidR="00E6189C" w:rsidRPr="00354B94">
        <w:rPr>
          <w:rFonts w:cs="Times New Roman"/>
        </w:rPr>
        <w:t>it is unclear how</w:t>
      </w:r>
      <w:r w:rsidR="00E61612" w:rsidRPr="00354B94">
        <w:rPr>
          <w:rFonts w:cs="Times New Roman"/>
        </w:rPr>
        <w:t xml:space="preserve"> some</w:t>
      </w:r>
      <w:r w:rsidR="00E6189C" w:rsidRPr="00354B94">
        <w:rPr>
          <w:rFonts w:cs="Times New Roman"/>
        </w:rPr>
        <w:t xml:space="preserve"> </w:t>
      </w:r>
      <w:r w:rsidR="002203D7" w:rsidRPr="00354B94">
        <w:rPr>
          <w:rFonts w:cs="Times New Roman"/>
        </w:rPr>
        <w:t xml:space="preserve">capital gains </w:t>
      </w:r>
      <w:r w:rsidR="00E6189C" w:rsidRPr="00354B94">
        <w:rPr>
          <w:rFonts w:cs="Times New Roman"/>
        </w:rPr>
        <w:t xml:space="preserve">will be </w:t>
      </w:r>
      <w:r w:rsidR="00904A7A" w:rsidRPr="00354B94">
        <w:rPr>
          <w:rFonts w:cs="Times New Roman"/>
        </w:rPr>
        <w:t>treated</w:t>
      </w:r>
      <w:r w:rsidR="00E6189C" w:rsidRPr="00354B94">
        <w:rPr>
          <w:rFonts w:cs="Times New Roman"/>
        </w:rPr>
        <w:t xml:space="preserve"> as the</w:t>
      </w:r>
      <w:r w:rsidR="00E40AB0" w:rsidRPr="00354B94">
        <w:rPr>
          <w:rFonts w:cs="Times New Roman"/>
        </w:rPr>
        <w:t xml:space="preserve">ir value </w:t>
      </w:r>
      <w:r w:rsidR="00BA52F0" w:rsidRPr="00354B94">
        <w:rPr>
          <w:rFonts w:cs="Times New Roman"/>
        </w:rPr>
        <w:t>comprises</w:t>
      </w:r>
      <w:r w:rsidR="00E40AB0" w:rsidRPr="00354B94">
        <w:rPr>
          <w:rFonts w:cs="Times New Roman"/>
        </w:rPr>
        <w:t xml:space="preserve"> </w:t>
      </w:r>
      <w:r w:rsidR="00C26326" w:rsidRPr="00354B94">
        <w:rPr>
          <w:rFonts w:cs="Times New Roman"/>
        </w:rPr>
        <w:t>all future profits</w:t>
      </w:r>
      <w:r w:rsidR="009D5768" w:rsidRPr="00354B94">
        <w:rPr>
          <w:rFonts w:cs="Times New Roman"/>
        </w:rPr>
        <w:t xml:space="preserve">, </w:t>
      </w:r>
      <w:r w:rsidR="00DF4FA5" w:rsidRPr="00354B94">
        <w:rPr>
          <w:rFonts w:cs="Times New Roman"/>
        </w:rPr>
        <w:t>including</w:t>
      </w:r>
      <w:r w:rsidR="00A86C9B" w:rsidRPr="00354B94">
        <w:rPr>
          <w:rFonts w:cs="Times New Roman"/>
        </w:rPr>
        <w:t xml:space="preserve"> </w:t>
      </w:r>
      <w:r w:rsidR="002F0E10" w:rsidRPr="00354B94">
        <w:rPr>
          <w:rFonts w:cs="Times New Roman"/>
        </w:rPr>
        <w:t xml:space="preserve">discounted </w:t>
      </w:r>
      <w:r w:rsidR="00DB4C69" w:rsidRPr="00354B94">
        <w:rPr>
          <w:rFonts w:cs="Times New Roman"/>
        </w:rPr>
        <w:t xml:space="preserve">future </w:t>
      </w:r>
      <w:r w:rsidR="00C54EFB" w:rsidRPr="00354B94">
        <w:rPr>
          <w:rFonts w:cs="Times New Roman"/>
        </w:rPr>
        <w:t xml:space="preserve">profits </w:t>
      </w:r>
      <w:r w:rsidR="009D5768" w:rsidRPr="00354B94">
        <w:rPr>
          <w:rFonts w:cs="Times New Roman"/>
        </w:rPr>
        <w:t xml:space="preserve">beyond </w:t>
      </w:r>
      <w:r w:rsidR="00A35AA6" w:rsidRPr="00354B94">
        <w:rPr>
          <w:rFonts w:cs="Times New Roman"/>
        </w:rPr>
        <w:t>the end of EPL</w:t>
      </w:r>
      <w:r w:rsidR="00BC119B" w:rsidRPr="00354B94">
        <w:rPr>
          <w:rFonts w:cs="Times New Roman"/>
        </w:rPr>
        <w:t>.</w:t>
      </w:r>
      <w:r w:rsidR="00C43664" w:rsidRPr="00354B94">
        <w:rPr>
          <w:rFonts w:cs="Times New Roman"/>
        </w:rPr>
        <w:t xml:space="preserve"> </w:t>
      </w:r>
      <w:r w:rsidR="00DB4C69" w:rsidRPr="00354B94">
        <w:rPr>
          <w:rFonts w:cs="Times New Roman"/>
        </w:rPr>
        <w:t>They</w:t>
      </w:r>
      <w:r w:rsidR="005F69FA" w:rsidRPr="00354B94">
        <w:rPr>
          <w:rFonts w:cs="Times New Roman"/>
        </w:rPr>
        <w:t xml:space="preserve"> </w:t>
      </w:r>
      <w:r w:rsidR="00646BFE" w:rsidRPr="00354B94">
        <w:rPr>
          <w:rFonts w:cs="Times New Roman"/>
        </w:rPr>
        <w:t>will</w:t>
      </w:r>
      <w:r w:rsidR="005F69FA" w:rsidRPr="00354B94">
        <w:rPr>
          <w:rFonts w:cs="Times New Roman"/>
        </w:rPr>
        <w:t xml:space="preserve"> </w:t>
      </w:r>
      <w:r w:rsidR="00BC119B" w:rsidRPr="00354B94">
        <w:rPr>
          <w:rFonts w:cs="Times New Roman"/>
        </w:rPr>
        <w:t>not be</w:t>
      </w:r>
      <w:r w:rsidR="005F69FA" w:rsidRPr="00354B94">
        <w:rPr>
          <w:rFonts w:cs="Times New Roman"/>
        </w:rPr>
        <w:t xml:space="preserve"> </w:t>
      </w:r>
      <w:r w:rsidR="00BC119B" w:rsidRPr="00354B94">
        <w:rPr>
          <w:rFonts w:cs="Times New Roman"/>
        </w:rPr>
        <w:t>a</w:t>
      </w:r>
      <w:r w:rsidR="005F69FA" w:rsidRPr="00354B94">
        <w:rPr>
          <w:rFonts w:cs="Times New Roman"/>
        </w:rPr>
        <w:t>ffected by the</w:t>
      </w:r>
      <w:r w:rsidR="00C54FE8" w:rsidRPr="00354B94">
        <w:rPr>
          <w:rFonts w:cs="Times New Roman"/>
        </w:rPr>
        <w:t xml:space="preserve"> current</w:t>
      </w:r>
      <w:r w:rsidR="005F69FA" w:rsidRPr="00354B94">
        <w:rPr>
          <w:rFonts w:cs="Times New Roman"/>
        </w:rPr>
        <w:t xml:space="preserve"> </w:t>
      </w:r>
      <w:r w:rsidR="00BC119B" w:rsidRPr="00354B94">
        <w:rPr>
          <w:rFonts w:cs="Times New Roman"/>
        </w:rPr>
        <w:t>increase in oil</w:t>
      </w:r>
      <w:r w:rsidR="00EF3504" w:rsidRPr="00354B94">
        <w:rPr>
          <w:rFonts w:cs="Times New Roman"/>
        </w:rPr>
        <w:t xml:space="preserve"> and gas</w:t>
      </w:r>
      <w:r w:rsidR="00BC119B" w:rsidRPr="00354B94">
        <w:rPr>
          <w:rFonts w:cs="Times New Roman"/>
        </w:rPr>
        <w:t xml:space="preserve"> prices</w:t>
      </w:r>
      <w:r w:rsidR="00DB4C69" w:rsidRPr="00354B94">
        <w:rPr>
          <w:rFonts w:cs="Times New Roman"/>
        </w:rPr>
        <w:t xml:space="preserve"> but </w:t>
      </w:r>
      <w:r w:rsidR="00CA568D" w:rsidRPr="00354B94">
        <w:rPr>
          <w:rFonts w:cs="Times New Roman"/>
        </w:rPr>
        <w:t>still are</w:t>
      </w:r>
      <w:r w:rsidR="00991CCF" w:rsidRPr="00354B94">
        <w:rPr>
          <w:rFonts w:cs="Times New Roman"/>
        </w:rPr>
        <w:t xml:space="preserve"> subject to EPL</w:t>
      </w:r>
      <w:r w:rsidR="003C60B6" w:rsidRPr="00354B94">
        <w:rPr>
          <w:rFonts w:cs="Times New Roman"/>
        </w:rPr>
        <w:t>, assuming they are not exempt.</w:t>
      </w:r>
      <w:r w:rsidR="003C60B6" w:rsidRPr="00354B94">
        <w:rPr>
          <w:rStyle w:val="FootnoteReference"/>
          <w:rFonts w:cs="Times New Roman"/>
        </w:rPr>
        <w:footnoteReference w:id="38"/>
      </w:r>
      <w:r w:rsidR="003D0795" w:rsidRPr="00354B94">
        <w:rPr>
          <w:rFonts w:cs="Times New Roman"/>
        </w:rPr>
        <w:t xml:space="preserve"> </w:t>
      </w:r>
      <w:r w:rsidR="00A64EED" w:rsidRPr="00354B94">
        <w:rPr>
          <w:rFonts w:cs="Times New Roman"/>
        </w:rPr>
        <w:t>For instance, capital gain</w:t>
      </w:r>
      <w:r w:rsidR="00611937" w:rsidRPr="00354B94">
        <w:rPr>
          <w:rFonts w:cs="Times New Roman"/>
        </w:rPr>
        <w:t>s</w:t>
      </w:r>
      <w:r w:rsidR="00A64EED" w:rsidRPr="00354B94">
        <w:rPr>
          <w:rFonts w:cs="Times New Roman"/>
        </w:rPr>
        <w:t xml:space="preserve"> on disposal</w:t>
      </w:r>
      <w:r w:rsidR="008F2188" w:rsidRPr="00354B94">
        <w:rPr>
          <w:rFonts w:cs="Times New Roman"/>
        </w:rPr>
        <w:t xml:space="preserve"> </w:t>
      </w:r>
      <w:r w:rsidR="00A64EED" w:rsidRPr="00354B94">
        <w:rPr>
          <w:rFonts w:cs="Times New Roman"/>
        </w:rPr>
        <w:t>of licence interests of fields operational beyond the end of EPL</w:t>
      </w:r>
      <w:r w:rsidR="00F33562" w:rsidRPr="00354B94">
        <w:rPr>
          <w:rFonts w:cs="Times New Roman"/>
        </w:rPr>
        <w:t xml:space="preserve"> </w:t>
      </w:r>
      <w:r w:rsidR="00A64EED" w:rsidRPr="00354B94">
        <w:rPr>
          <w:rFonts w:cs="Times New Roman"/>
        </w:rPr>
        <w:t>would also include</w:t>
      </w:r>
      <w:r w:rsidR="00696D00" w:rsidRPr="00354B94">
        <w:rPr>
          <w:rFonts w:cs="Times New Roman"/>
        </w:rPr>
        <w:t xml:space="preserve"> </w:t>
      </w:r>
      <w:r w:rsidR="00A64EED" w:rsidRPr="00354B94">
        <w:rPr>
          <w:rFonts w:cs="Times New Roman"/>
        </w:rPr>
        <w:t xml:space="preserve">expected profits from these fields </w:t>
      </w:r>
      <w:r w:rsidR="008C24C1" w:rsidRPr="00354B94">
        <w:rPr>
          <w:rFonts w:cs="Times New Roman"/>
        </w:rPr>
        <w:t>beyond the end of EPL</w:t>
      </w:r>
      <w:r w:rsidR="00C80553" w:rsidRPr="00354B94">
        <w:rPr>
          <w:rFonts w:cs="Times New Roman"/>
        </w:rPr>
        <w:t xml:space="preserve">. EPL would be charged on the </w:t>
      </w:r>
      <w:r w:rsidR="002D115C" w:rsidRPr="00354B94">
        <w:rPr>
          <w:rFonts w:cs="Times New Roman"/>
        </w:rPr>
        <w:t>chargeable gain</w:t>
      </w:r>
      <w:r w:rsidR="002D597B" w:rsidRPr="00354B94">
        <w:rPr>
          <w:rFonts w:cs="Times New Roman"/>
        </w:rPr>
        <w:t>s</w:t>
      </w:r>
      <w:r w:rsidR="00C80553" w:rsidRPr="00354B94">
        <w:rPr>
          <w:rFonts w:cs="Times New Roman"/>
        </w:rPr>
        <w:t xml:space="preserve"> at the time of disposal</w:t>
      </w:r>
      <w:r w:rsidR="00717260" w:rsidRPr="00354B94">
        <w:rPr>
          <w:rFonts w:cs="Times New Roman"/>
        </w:rPr>
        <w:t xml:space="preserve">, resulting in </w:t>
      </w:r>
      <w:r w:rsidR="00AC1ACE" w:rsidRPr="00354B94">
        <w:rPr>
          <w:rFonts w:cs="Times New Roman"/>
        </w:rPr>
        <w:t xml:space="preserve">inefficiencies and </w:t>
      </w:r>
      <w:r w:rsidR="00A6656F" w:rsidRPr="00354B94">
        <w:rPr>
          <w:rFonts w:cs="Times New Roman"/>
        </w:rPr>
        <w:t xml:space="preserve">a possible decrease in </w:t>
      </w:r>
      <w:r w:rsidR="00B54FD8" w:rsidRPr="00354B94">
        <w:rPr>
          <w:rFonts w:cs="Times New Roman"/>
        </w:rPr>
        <w:t xml:space="preserve">trade of </w:t>
      </w:r>
      <w:r w:rsidR="00EF1A6C" w:rsidRPr="00354B94">
        <w:rPr>
          <w:rFonts w:cs="Times New Roman"/>
        </w:rPr>
        <w:t>licence interests</w:t>
      </w:r>
      <w:r w:rsidR="00AD6C15" w:rsidRPr="00354B94">
        <w:rPr>
          <w:rFonts w:cs="Times New Roman"/>
        </w:rPr>
        <w:t>. Thirdly</w:t>
      </w:r>
      <w:r w:rsidR="003B573F" w:rsidRPr="00354B94">
        <w:rPr>
          <w:rFonts w:cs="Times New Roman"/>
        </w:rPr>
        <w:t xml:space="preserve">, </w:t>
      </w:r>
      <w:r w:rsidR="00396CA4" w:rsidRPr="00354B94">
        <w:rPr>
          <w:rFonts w:cs="Times New Roman"/>
        </w:rPr>
        <w:t xml:space="preserve">repayments from </w:t>
      </w:r>
      <w:r w:rsidR="003B0259" w:rsidRPr="00354B94">
        <w:rPr>
          <w:rFonts w:cs="Times New Roman"/>
        </w:rPr>
        <w:t>P</w:t>
      </w:r>
      <w:r w:rsidR="00305940" w:rsidRPr="00354B94">
        <w:rPr>
          <w:rFonts w:cs="Times New Roman"/>
        </w:rPr>
        <w:t>RT</w:t>
      </w:r>
      <w:r w:rsidR="003B0259" w:rsidRPr="00354B94">
        <w:rPr>
          <w:rFonts w:cs="Times New Roman"/>
        </w:rPr>
        <w:t xml:space="preserve"> </w:t>
      </w:r>
      <w:r w:rsidR="008A0FA6" w:rsidRPr="00354B94">
        <w:rPr>
          <w:rFonts w:cs="Times New Roman"/>
        </w:rPr>
        <w:t xml:space="preserve">losses other </w:t>
      </w:r>
      <w:r w:rsidR="00717E30" w:rsidRPr="00354B94">
        <w:rPr>
          <w:rFonts w:cs="Times New Roman"/>
        </w:rPr>
        <w:t xml:space="preserve">than decommissioning </w:t>
      </w:r>
      <w:r w:rsidR="00BE7FB9" w:rsidRPr="00354B94">
        <w:rPr>
          <w:rFonts w:cs="Times New Roman"/>
        </w:rPr>
        <w:t xml:space="preserve">expenditure are not </w:t>
      </w:r>
      <w:r w:rsidR="000433DA" w:rsidRPr="00354B94">
        <w:rPr>
          <w:rFonts w:cs="Times New Roman"/>
        </w:rPr>
        <w:t>left out</w:t>
      </w:r>
      <w:r w:rsidR="00261DB3" w:rsidRPr="00354B94">
        <w:rPr>
          <w:rFonts w:cs="Times New Roman"/>
        </w:rPr>
        <w:t xml:space="preserve"> from EPL</w:t>
      </w:r>
      <w:r w:rsidR="004A2B0E" w:rsidRPr="00354B94">
        <w:rPr>
          <w:rFonts w:cs="Times New Roman"/>
        </w:rPr>
        <w:t xml:space="preserve">, </w:t>
      </w:r>
      <w:r w:rsidR="00AE7D25" w:rsidRPr="00354B94">
        <w:rPr>
          <w:rFonts w:cs="Times New Roman"/>
        </w:rPr>
        <w:t xml:space="preserve">so </w:t>
      </w:r>
      <w:r w:rsidR="00F84C78" w:rsidRPr="00354B94">
        <w:rPr>
          <w:rFonts w:cs="Times New Roman"/>
        </w:rPr>
        <w:t>imposing EPL on</w:t>
      </w:r>
      <w:r w:rsidR="004A2B0E" w:rsidRPr="00354B94">
        <w:rPr>
          <w:rFonts w:cs="Times New Roman"/>
        </w:rPr>
        <w:t xml:space="preserve"> </w:t>
      </w:r>
      <w:r w:rsidR="007A0528" w:rsidRPr="00354B94">
        <w:rPr>
          <w:rFonts w:cs="Times New Roman"/>
        </w:rPr>
        <w:t xml:space="preserve">repayments </w:t>
      </w:r>
      <w:r w:rsidR="00D36F34" w:rsidRPr="00354B94">
        <w:rPr>
          <w:rFonts w:cs="Times New Roman"/>
        </w:rPr>
        <w:t>could be deemed</w:t>
      </w:r>
      <w:r w:rsidR="00DC16E8" w:rsidRPr="00354B94">
        <w:rPr>
          <w:rFonts w:cs="Times New Roman"/>
        </w:rPr>
        <w:t xml:space="preserve"> unfair as</w:t>
      </w:r>
      <w:r w:rsidR="00321817" w:rsidRPr="00354B94">
        <w:rPr>
          <w:rFonts w:cs="Times New Roman"/>
        </w:rPr>
        <w:t xml:space="preserve"> no relief was available</w:t>
      </w:r>
      <w:r w:rsidR="00530FBE" w:rsidRPr="00354B94">
        <w:rPr>
          <w:rFonts w:cs="Times New Roman"/>
        </w:rPr>
        <w:t>,</w:t>
      </w:r>
      <w:r w:rsidR="00321817" w:rsidRPr="00354B94">
        <w:rPr>
          <w:rFonts w:cs="Times New Roman"/>
        </w:rPr>
        <w:t xml:space="preserve"> and</w:t>
      </w:r>
      <w:r w:rsidR="00DC16E8" w:rsidRPr="00354B94">
        <w:rPr>
          <w:rFonts w:cs="Times New Roman"/>
        </w:rPr>
        <w:t xml:space="preserve"> companies were not experiencing unprecedented profits </w:t>
      </w:r>
      <w:r w:rsidR="00F93F68" w:rsidRPr="00354B94">
        <w:rPr>
          <w:rFonts w:cs="Times New Roman"/>
        </w:rPr>
        <w:t xml:space="preserve">when they </w:t>
      </w:r>
      <w:r w:rsidR="00496027" w:rsidRPr="00354B94">
        <w:rPr>
          <w:rFonts w:cs="Times New Roman"/>
        </w:rPr>
        <w:t>were liable to pay</w:t>
      </w:r>
      <w:r w:rsidR="00F93F68" w:rsidRPr="00354B94">
        <w:rPr>
          <w:rFonts w:cs="Times New Roman"/>
        </w:rPr>
        <w:t xml:space="preserve"> PRT. </w:t>
      </w:r>
      <w:r w:rsidR="00DA6342" w:rsidRPr="00354B94">
        <w:rPr>
          <w:rFonts w:cs="Times New Roman"/>
        </w:rPr>
        <w:t xml:space="preserve">These issues </w:t>
      </w:r>
      <w:r w:rsidR="008A7A62" w:rsidRPr="00354B94">
        <w:rPr>
          <w:rFonts w:cs="Times New Roman"/>
        </w:rPr>
        <w:t>result from</w:t>
      </w:r>
      <w:r w:rsidR="00DA6342" w:rsidRPr="00354B94">
        <w:rPr>
          <w:rFonts w:cs="Times New Roman"/>
        </w:rPr>
        <w:t xml:space="preserve"> </w:t>
      </w:r>
      <w:r w:rsidR="008A7A62" w:rsidRPr="00354B94">
        <w:rPr>
          <w:rFonts w:cs="Times New Roman"/>
        </w:rPr>
        <w:t xml:space="preserve">a </w:t>
      </w:r>
      <w:r w:rsidR="00DA6342" w:rsidRPr="00354B94">
        <w:rPr>
          <w:rFonts w:cs="Times New Roman"/>
        </w:rPr>
        <w:t>lack of m</w:t>
      </w:r>
      <w:r w:rsidR="00964937" w:rsidRPr="00354B94">
        <w:rPr>
          <w:rFonts w:cs="Times New Roman"/>
        </w:rPr>
        <w:t>ore detailed consultation before publishing the legislation. EPL was introduced rapidly, with the consultation running merely five working days</w:t>
      </w:r>
      <w:r w:rsidR="004B34C6" w:rsidRPr="00354B94">
        <w:rPr>
          <w:rFonts w:cs="Times New Roman"/>
        </w:rPr>
        <w:t>.</w:t>
      </w:r>
      <w:r w:rsidR="00964937" w:rsidRPr="00354B94">
        <w:rPr>
          <w:rStyle w:val="FootnoteReference"/>
          <w:rFonts w:cs="Times New Roman"/>
        </w:rPr>
        <w:footnoteReference w:id="39"/>
      </w:r>
    </w:p>
    <w:p w14:paraId="2B8E8715" w14:textId="77A5B190" w:rsidR="00C34BF9" w:rsidRPr="00354B94" w:rsidRDefault="00C34BF9" w:rsidP="00C34BF9">
      <w:pPr>
        <w:rPr>
          <w:rFonts w:cs="Times New Roman"/>
        </w:rPr>
      </w:pPr>
      <w:r w:rsidRPr="00354B94">
        <w:rPr>
          <w:rFonts w:cs="Times New Roman"/>
        </w:rPr>
        <w:t xml:space="preserve">These are only </w:t>
      </w:r>
      <w:r w:rsidR="00C86034" w:rsidRPr="00354B94">
        <w:rPr>
          <w:rFonts w:cs="Times New Roman"/>
        </w:rPr>
        <w:t>symptoms</w:t>
      </w:r>
      <w:r w:rsidRPr="00354B94">
        <w:rPr>
          <w:rFonts w:cs="Times New Roman"/>
        </w:rPr>
        <w:t xml:space="preserve"> of the more </w:t>
      </w:r>
      <w:r w:rsidR="00620295" w:rsidRPr="00354B94">
        <w:rPr>
          <w:rFonts w:cs="Times New Roman"/>
        </w:rPr>
        <w:t>severe</w:t>
      </w:r>
      <w:r w:rsidRPr="00354B94">
        <w:rPr>
          <w:rFonts w:cs="Times New Roman"/>
        </w:rPr>
        <w:t xml:space="preserve"> historical shortcomings in North Sea taxation with “very frequent changes and the introduction of devices in response to short-term Government budget problems</w:t>
      </w:r>
      <w:r w:rsidR="00572444" w:rsidRPr="00354B94">
        <w:rPr>
          <w:rFonts w:cs="Times New Roman"/>
        </w:rPr>
        <w:t>,</w:t>
      </w:r>
      <w:r w:rsidRPr="00354B94">
        <w:rPr>
          <w:rFonts w:cs="Times New Roman"/>
        </w:rPr>
        <w:t>”</w:t>
      </w:r>
      <w:r w:rsidRPr="00354B94">
        <w:rPr>
          <w:rStyle w:val="FootnoteReference"/>
          <w:rFonts w:cs="Times New Roman"/>
        </w:rPr>
        <w:footnoteReference w:id="40"/>
      </w:r>
      <w:r w:rsidRPr="00354B94">
        <w:rPr>
          <w:rFonts w:cs="Times New Roman"/>
        </w:rPr>
        <w:t xml:space="preserve"> making the overall system convoluted. </w:t>
      </w:r>
      <w:r w:rsidR="005A390C" w:rsidRPr="00354B94">
        <w:rPr>
          <w:rFonts w:cs="Times New Roman"/>
        </w:rPr>
        <w:t>M</w:t>
      </w:r>
      <w:r w:rsidRPr="00354B94">
        <w:rPr>
          <w:rFonts w:cs="Times New Roman"/>
        </w:rPr>
        <w:t>any modifications, such as the introduction of SC or its uplift to 32 per cent in 2011, were rushed</w:t>
      </w:r>
      <w:r w:rsidR="0029779E" w:rsidRPr="00354B94">
        <w:rPr>
          <w:rFonts w:cs="Times New Roman"/>
        </w:rPr>
        <w:t xml:space="preserve"> through</w:t>
      </w:r>
      <w:r w:rsidRPr="00354B94">
        <w:rPr>
          <w:rFonts w:cs="Times New Roman"/>
        </w:rPr>
        <w:t xml:space="preserve"> with</w:t>
      </w:r>
      <w:r w:rsidR="0029779E" w:rsidRPr="00354B94">
        <w:rPr>
          <w:rFonts w:cs="Times New Roman"/>
        </w:rPr>
        <w:t>out</w:t>
      </w:r>
      <w:r w:rsidRPr="00354B94">
        <w:rPr>
          <w:rFonts w:cs="Times New Roman"/>
        </w:rPr>
        <w:t xml:space="preserve"> consultations</w:t>
      </w:r>
      <w:r w:rsidR="001733D9" w:rsidRPr="00354B94">
        <w:rPr>
          <w:rFonts w:cs="Times New Roman"/>
        </w:rPr>
        <w:t>.</w:t>
      </w:r>
      <w:r w:rsidR="00122489" w:rsidRPr="00354B94">
        <w:rPr>
          <w:rStyle w:val="FootnoteReference"/>
          <w:rFonts w:cs="Times New Roman"/>
        </w:rPr>
        <w:footnoteReference w:id="41"/>
      </w:r>
      <w:r w:rsidRPr="00354B94">
        <w:rPr>
          <w:rFonts w:cs="Times New Roman"/>
        </w:rPr>
        <w:t xml:space="preserve"> </w:t>
      </w:r>
      <w:r w:rsidR="0029779E" w:rsidRPr="00354B94">
        <w:rPr>
          <w:rFonts w:cs="Times New Roman"/>
        </w:rPr>
        <w:t>O</w:t>
      </w:r>
      <w:r w:rsidRPr="00354B94">
        <w:rPr>
          <w:rFonts w:cs="Times New Roman"/>
        </w:rPr>
        <w:t xml:space="preserve">ther changes consumed time and resources but </w:t>
      </w:r>
      <w:r w:rsidR="0027762A" w:rsidRPr="00354B94">
        <w:rPr>
          <w:rFonts w:cs="Times New Roman"/>
        </w:rPr>
        <w:t>did not take</w:t>
      </w:r>
      <w:r w:rsidRPr="00354B94">
        <w:rPr>
          <w:rFonts w:cs="Times New Roman"/>
        </w:rPr>
        <w:t xml:space="preserve"> effect. For instance, the reduction of SC </w:t>
      </w:r>
      <w:r w:rsidR="009F41C7" w:rsidRPr="00354B94">
        <w:rPr>
          <w:rFonts w:cs="Times New Roman"/>
        </w:rPr>
        <w:t xml:space="preserve">to 30 per cent </w:t>
      </w:r>
      <w:r w:rsidR="00BB42C1" w:rsidRPr="00354B94">
        <w:rPr>
          <w:rFonts w:cs="Times New Roman"/>
        </w:rPr>
        <w:t xml:space="preserve">for 2015 </w:t>
      </w:r>
      <w:r w:rsidRPr="00354B94">
        <w:rPr>
          <w:rFonts w:cs="Times New Roman"/>
        </w:rPr>
        <w:t>was announced in 2014 as an outcome of extensive consultation</w:t>
      </w:r>
      <w:r w:rsidR="001733D9" w:rsidRPr="00354B94">
        <w:rPr>
          <w:rFonts w:cs="Times New Roman"/>
        </w:rPr>
        <w:t>,</w:t>
      </w:r>
      <w:r w:rsidRPr="00354B94">
        <w:rPr>
          <w:rStyle w:val="FootnoteReference"/>
          <w:rFonts w:cs="Times New Roman"/>
        </w:rPr>
        <w:footnoteReference w:id="42"/>
      </w:r>
      <w:r w:rsidR="00574EF4" w:rsidRPr="00354B94">
        <w:rPr>
          <w:rFonts w:cs="Times New Roman"/>
        </w:rPr>
        <w:t xml:space="preserve"> but </w:t>
      </w:r>
      <w:r w:rsidR="005842E5" w:rsidRPr="00354B94">
        <w:rPr>
          <w:rFonts w:cs="Times New Roman"/>
        </w:rPr>
        <w:t xml:space="preserve">even </w:t>
      </w:r>
      <w:r w:rsidR="00574EF4" w:rsidRPr="00354B94">
        <w:rPr>
          <w:rFonts w:cs="Times New Roman"/>
        </w:rPr>
        <w:t xml:space="preserve">before taking effect, </w:t>
      </w:r>
      <w:r w:rsidR="000F6841" w:rsidRPr="00354B94">
        <w:rPr>
          <w:rFonts w:cs="Times New Roman"/>
        </w:rPr>
        <w:t xml:space="preserve">SC </w:t>
      </w:r>
      <w:r w:rsidR="00574EF4" w:rsidRPr="00354B94">
        <w:rPr>
          <w:rFonts w:cs="Times New Roman"/>
        </w:rPr>
        <w:t>was further reduced to 20 per cent</w:t>
      </w:r>
      <w:r w:rsidR="004D5D81" w:rsidRPr="00354B94">
        <w:rPr>
          <w:rFonts w:cs="Times New Roman"/>
        </w:rPr>
        <w:t>.</w:t>
      </w:r>
      <w:r w:rsidR="00574EF4" w:rsidRPr="00354B94">
        <w:rPr>
          <w:rStyle w:val="FootnoteReference"/>
          <w:rFonts w:cs="Times New Roman"/>
        </w:rPr>
        <w:footnoteReference w:id="43"/>
      </w:r>
      <w:r w:rsidR="00574EF4" w:rsidRPr="00354B94">
        <w:rPr>
          <w:rFonts w:cs="Times New Roman"/>
        </w:rPr>
        <w:t xml:space="preserve"> </w:t>
      </w:r>
      <w:r w:rsidRPr="00354B94">
        <w:rPr>
          <w:rFonts w:cs="Times New Roman"/>
        </w:rPr>
        <w:t xml:space="preserve">This complexity </w:t>
      </w:r>
      <w:r w:rsidR="00643D8A" w:rsidRPr="00354B94">
        <w:rPr>
          <w:rFonts w:cs="Times New Roman"/>
        </w:rPr>
        <w:t xml:space="preserve">arising </w:t>
      </w:r>
      <w:r w:rsidRPr="00354B94">
        <w:rPr>
          <w:rFonts w:cs="Times New Roman"/>
        </w:rPr>
        <w:t>from frequent changes result</w:t>
      </w:r>
      <w:r w:rsidR="00643D8A" w:rsidRPr="00354B94">
        <w:rPr>
          <w:rFonts w:cs="Times New Roman"/>
        </w:rPr>
        <w:t>s</w:t>
      </w:r>
      <w:r w:rsidRPr="00354B94">
        <w:rPr>
          <w:rFonts w:cs="Times New Roman"/>
        </w:rPr>
        <w:t xml:space="preserve"> in three distinct</w:t>
      </w:r>
      <w:r w:rsidR="00100812" w:rsidRPr="00354B94">
        <w:rPr>
          <w:rFonts w:cs="Times New Roman"/>
        </w:rPr>
        <w:t>,</w:t>
      </w:r>
      <w:r w:rsidRPr="00354B94">
        <w:rPr>
          <w:rFonts w:cs="Times New Roman"/>
        </w:rPr>
        <w:t xml:space="preserve"> but very similar taxes with different deductions and tax rates charged </w:t>
      </w:r>
      <w:r w:rsidRPr="00354B94">
        <w:rPr>
          <w:rFonts w:cs="Times New Roman"/>
        </w:rPr>
        <w:lastRenderedPageBreak/>
        <w:t xml:space="preserve">on the same profits. This </w:t>
      </w:r>
      <w:r w:rsidR="00EE0436" w:rsidRPr="00354B94">
        <w:rPr>
          <w:rFonts w:cs="Times New Roman"/>
        </w:rPr>
        <w:t xml:space="preserve">is likely to </w:t>
      </w:r>
      <w:r w:rsidRPr="00354B94">
        <w:rPr>
          <w:rFonts w:cs="Times New Roman"/>
        </w:rPr>
        <w:t>add to administration and collection</w:t>
      </w:r>
      <w:r w:rsidR="00F6409A" w:rsidRPr="00354B94">
        <w:rPr>
          <w:rFonts w:cs="Times New Roman"/>
        </w:rPr>
        <w:t xml:space="preserve"> </w:t>
      </w:r>
      <w:r w:rsidR="00E927D6" w:rsidRPr="00354B94">
        <w:rPr>
          <w:rFonts w:cs="Times New Roman"/>
        </w:rPr>
        <w:t xml:space="preserve">costs </w:t>
      </w:r>
      <w:r w:rsidR="00F6409A" w:rsidRPr="00354B94">
        <w:rPr>
          <w:rFonts w:cs="Times New Roman"/>
        </w:rPr>
        <w:t xml:space="preserve">to </w:t>
      </w:r>
      <w:r w:rsidR="00DA54C5" w:rsidRPr="00354B94">
        <w:rPr>
          <w:rFonts w:cs="Times New Roman"/>
        </w:rPr>
        <w:t>get</w:t>
      </w:r>
      <w:r w:rsidR="00030554" w:rsidRPr="00354B94">
        <w:rPr>
          <w:rFonts w:cs="Times New Roman"/>
        </w:rPr>
        <w:t xml:space="preserve"> tax </w:t>
      </w:r>
      <w:r w:rsidR="00F6409A" w:rsidRPr="00354B94">
        <w:rPr>
          <w:rFonts w:cs="Times New Roman"/>
        </w:rPr>
        <w:t xml:space="preserve">revenue </w:t>
      </w:r>
      <w:r w:rsidR="00B374BA" w:rsidRPr="00354B94">
        <w:rPr>
          <w:rFonts w:cs="Times New Roman"/>
        </w:rPr>
        <w:t>from</w:t>
      </w:r>
      <w:r w:rsidR="00F6409A" w:rsidRPr="00354B94">
        <w:rPr>
          <w:rFonts w:cs="Times New Roman"/>
        </w:rPr>
        <w:t xml:space="preserve"> </w:t>
      </w:r>
      <w:r w:rsidR="00835C28" w:rsidRPr="00354B94">
        <w:rPr>
          <w:rFonts w:cs="Times New Roman"/>
        </w:rPr>
        <w:t xml:space="preserve">a relatively small </w:t>
      </w:r>
      <w:r w:rsidR="006C5607" w:rsidRPr="00354B94">
        <w:rPr>
          <w:rFonts w:cs="Times New Roman"/>
        </w:rPr>
        <w:t>pool</w:t>
      </w:r>
      <w:r w:rsidR="00835C28" w:rsidRPr="00354B94">
        <w:rPr>
          <w:rFonts w:cs="Times New Roman"/>
        </w:rPr>
        <w:t xml:space="preserve"> of taxpayers</w:t>
      </w:r>
      <w:r w:rsidR="004B34C6" w:rsidRPr="00354B94">
        <w:rPr>
          <w:rFonts w:cs="Times New Roman"/>
        </w:rPr>
        <w:t>.</w:t>
      </w:r>
      <w:r w:rsidR="003E1832" w:rsidRPr="00354B94">
        <w:rPr>
          <w:rFonts w:cs="Times New Roman"/>
          <w:vertAlign w:val="superscript"/>
        </w:rPr>
        <w:footnoteReference w:id="44"/>
      </w:r>
    </w:p>
    <w:p w14:paraId="47FEE8F1" w14:textId="64761C01" w:rsidR="005331B9" w:rsidRPr="00354B94" w:rsidRDefault="0065147B" w:rsidP="009D7875">
      <w:pPr>
        <w:rPr>
          <w:rFonts w:cs="Times New Roman"/>
        </w:rPr>
      </w:pPr>
      <w:r w:rsidRPr="00354B94">
        <w:rPr>
          <w:rFonts w:cs="Times New Roman"/>
        </w:rPr>
        <w:t>Furthermore, t</w:t>
      </w:r>
      <w:r w:rsidR="00C34BF9" w:rsidRPr="00354B94">
        <w:rPr>
          <w:rFonts w:cs="Times New Roman"/>
        </w:rPr>
        <w:t xml:space="preserve">he way </w:t>
      </w:r>
      <w:r w:rsidR="00267F40" w:rsidRPr="00354B94">
        <w:rPr>
          <w:rFonts w:cs="Times New Roman"/>
        </w:rPr>
        <w:t xml:space="preserve">in which </w:t>
      </w:r>
      <w:r w:rsidR="00C34BF9" w:rsidRPr="00354B94">
        <w:rPr>
          <w:rFonts w:cs="Times New Roman"/>
        </w:rPr>
        <w:t xml:space="preserve">investment allowances are embedded </w:t>
      </w:r>
      <w:r w:rsidR="00122489" w:rsidRPr="00354B94">
        <w:rPr>
          <w:rFonts w:cs="Times New Roman"/>
        </w:rPr>
        <w:t>in EPL</w:t>
      </w:r>
      <w:r w:rsidR="00C34BF9" w:rsidRPr="00354B94">
        <w:rPr>
          <w:rFonts w:cs="Times New Roman"/>
        </w:rPr>
        <w:t xml:space="preserve"> could be an example of </w:t>
      </w:r>
      <w:bookmarkStart w:id="4" w:name="_Hlk114080915"/>
      <w:r w:rsidR="00C34BF9" w:rsidRPr="00354B94">
        <w:rPr>
          <w:rFonts w:cs="Times New Roman"/>
        </w:rPr>
        <w:t>the lack of coherent, well-thought-out offshore oil and gas tax policy focused on long-term objectives</w:t>
      </w:r>
      <w:bookmarkEnd w:id="4"/>
      <w:r w:rsidR="00C34BF9" w:rsidRPr="00354B94">
        <w:rPr>
          <w:rFonts w:cs="Times New Roman"/>
        </w:rPr>
        <w:t>. Th</w:t>
      </w:r>
      <w:r w:rsidR="008F504A" w:rsidRPr="00354B94">
        <w:rPr>
          <w:rFonts w:cs="Times New Roman"/>
        </w:rPr>
        <w:t>ese</w:t>
      </w:r>
      <w:r w:rsidR="009F688F" w:rsidRPr="00354B94">
        <w:rPr>
          <w:rFonts w:cs="Times New Roman"/>
        </w:rPr>
        <w:t xml:space="preserve"> investment </w:t>
      </w:r>
      <w:r w:rsidR="00344760" w:rsidRPr="00354B94">
        <w:rPr>
          <w:rFonts w:cs="Times New Roman"/>
        </w:rPr>
        <w:t>allowances are</w:t>
      </w:r>
      <w:r w:rsidR="007E42B6" w:rsidRPr="00354B94">
        <w:rPr>
          <w:rFonts w:cs="Times New Roman"/>
        </w:rPr>
        <w:t xml:space="preserve"> built </w:t>
      </w:r>
      <w:r w:rsidR="009F688F" w:rsidRPr="00354B94">
        <w:rPr>
          <w:rFonts w:cs="Times New Roman"/>
        </w:rPr>
        <w:t>to incentivise the investment in continuing extraction of oil and gas instead of renewable energy</w:t>
      </w:r>
      <w:r w:rsidR="0040011F" w:rsidRPr="00354B94">
        <w:rPr>
          <w:rFonts w:cs="Times New Roman"/>
        </w:rPr>
        <w:t xml:space="preserve">, despite all the commitments the Government </w:t>
      </w:r>
      <w:r w:rsidR="004D767B" w:rsidRPr="00354B94">
        <w:rPr>
          <w:rFonts w:cs="Times New Roman"/>
        </w:rPr>
        <w:t xml:space="preserve">has made, including </w:t>
      </w:r>
      <w:r w:rsidR="0050184C" w:rsidRPr="00354B94">
        <w:rPr>
          <w:rFonts w:cs="Times New Roman"/>
        </w:rPr>
        <w:t>ending</w:t>
      </w:r>
      <w:r w:rsidR="004D767B" w:rsidRPr="00354B94">
        <w:rPr>
          <w:rFonts w:cs="Times New Roman"/>
        </w:rPr>
        <w:t xml:space="preserve"> inefficient fossil fuel subsidies by 2025</w:t>
      </w:r>
      <w:r w:rsidR="00B16BC7" w:rsidRPr="00354B94">
        <w:rPr>
          <w:rFonts w:cs="Times New Roman"/>
        </w:rPr>
        <w:t>.</w:t>
      </w:r>
      <w:r w:rsidR="004D767B" w:rsidRPr="00354B94">
        <w:rPr>
          <w:rStyle w:val="FootnoteReference"/>
          <w:rFonts w:cs="Times New Roman"/>
        </w:rPr>
        <w:footnoteReference w:id="45"/>
      </w:r>
      <w:r w:rsidR="004D767B" w:rsidRPr="00354B94">
        <w:rPr>
          <w:rFonts w:cs="Times New Roman"/>
        </w:rPr>
        <w:t xml:space="preserve"> </w:t>
      </w:r>
      <w:r w:rsidR="00B35DEF" w:rsidRPr="00354B94">
        <w:rPr>
          <w:rFonts w:cs="Times New Roman"/>
        </w:rPr>
        <w:t>Although t</w:t>
      </w:r>
      <w:r w:rsidR="0050184C" w:rsidRPr="00354B94">
        <w:rPr>
          <w:rFonts w:cs="Times New Roman"/>
        </w:rPr>
        <w:t>he investment allowance within EPL could be considered a subsidy, as per the Subsidy Control Act 2022</w:t>
      </w:r>
      <w:r w:rsidR="00B35DEF" w:rsidRPr="00354B94">
        <w:rPr>
          <w:rFonts w:cs="Times New Roman"/>
        </w:rPr>
        <w:t>, i</w:t>
      </w:r>
      <w:r w:rsidR="00A07755" w:rsidRPr="00354B94">
        <w:rPr>
          <w:rFonts w:cs="Times New Roman"/>
        </w:rPr>
        <w:t xml:space="preserve">t is </w:t>
      </w:r>
      <w:r w:rsidR="00EE125C" w:rsidRPr="00354B94">
        <w:rPr>
          <w:rFonts w:cs="Times New Roman"/>
        </w:rPr>
        <w:t>doubtful</w:t>
      </w:r>
      <w:r w:rsidR="00A07755" w:rsidRPr="00354B94">
        <w:rPr>
          <w:rFonts w:cs="Times New Roman"/>
        </w:rPr>
        <w:t xml:space="preserve"> that the </w:t>
      </w:r>
      <w:r w:rsidR="00603C22" w:rsidRPr="00354B94">
        <w:rPr>
          <w:rFonts w:cs="Times New Roman"/>
        </w:rPr>
        <w:t xml:space="preserve">provisions </w:t>
      </w:r>
      <w:r w:rsidR="009D7875" w:rsidRPr="00354B94">
        <w:rPr>
          <w:rFonts w:cs="Times New Roman"/>
        </w:rPr>
        <w:t>for the new subsidy control regime</w:t>
      </w:r>
      <w:r w:rsidR="001212F9" w:rsidRPr="00354B94">
        <w:rPr>
          <w:rFonts w:cs="Times New Roman"/>
        </w:rPr>
        <w:t xml:space="preserve"> </w:t>
      </w:r>
      <w:r w:rsidR="00BF6E40" w:rsidRPr="00354B94">
        <w:rPr>
          <w:rFonts w:cs="Times New Roman"/>
        </w:rPr>
        <w:t>required</w:t>
      </w:r>
      <w:r w:rsidR="001212F9" w:rsidRPr="00354B94">
        <w:rPr>
          <w:rFonts w:cs="Times New Roman"/>
        </w:rPr>
        <w:t xml:space="preserve"> in </w:t>
      </w:r>
      <w:r w:rsidR="0026111E" w:rsidRPr="00354B94">
        <w:rPr>
          <w:rFonts w:cs="Times New Roman"/>
        </w:rPr>
        <w:t xml:space="preserve">the Subsidy Control Act 2022 </w:t>
      </w:r>
      <w:r w:rsidR="00A07755" w:rsidRPr="00354B94">
        <w:rPr>
          <w:rFonts w:cs="Times New Roman"/>
        </w:rPr>
        <w:t>were</w:t>
      </w:r>
      <w:r w:rsidR="00603C22" w:rsidRPr="00354B94">
        <w:rPr>
          <w:rFonts w:cs="Times New Roman"/>
        </w:rPr>
        <w:t xml:space="preserve"> followed.</w:t>
      </w:r>
      <w:r w:rsidR="001212F9" w:rsidRPr="00354B94">
        <w:rPr>
          <w:rFonts w:cs="Times New Roman"/>
        </w:rPr>
        <w:t xml:space="preserve"> </w:t>
      </w:r>
      <w:r w:rsidR="00D8028B" w:rsidRPr="00354B94">
        <w:rPr>
          <w:rFonts w:cs="Times New Roman"/>
        </w:rPr>
        <w:t>They</w:t>
      </w:r>
      <w:r w:rsidR="001212F9" w:rsidRPr="00354B94">
        <w:rPr>
          <w:rFonts w:cs="Times New Roman"/>
        </w:rPr>
        <w:t xml:space="preserve"> </w:t>
      </w:r>
      <w:r w:rsidR="00603C22" w:rsidRPr="00354B94">
        <w:rPr>
          <w:rFonts w:cs="Times New Roman"/>
        </w:rPr>
        <w:t xml:space="preserve">include an </w:t>
      </w:r>
      <w:r w:rsidR="004C7EBE" w:rsidRPr="00354B94">
        <w:rPr>
          <w:rFonts w:cs="Times New Roman"/>
        </w:rPr>
        <w:t>explicit requir</w:t>
      </w:r>
      <w:r w:rsidR="00603C22" w:rsidRPr="00354B94">
        <w:rPr>
          <w:rFonts w:cs="Times New Roman"/>
        </w:rPr>
        <w:t>ement for</w:t>
      </w:r>
      <w:r w:rsidR="004C7EBE" w:rsidRPr="00354B94">
        <w:rPr>
          <w:rFonts w:cs="Times New Roman"/>
        </w:rPr>
        <w:t xml:space="preserve"> </w:t>
      </w:r>
      <w:r w:rsidR="005813AE" w:rsidRPr="00354B94">
        <w:rPr>
          <w:rFonts w:cs="Times New Roman"/>
        </w:rPr>
        <w:t>more detailed considerations</w:t>
      </w:r>
      <w:r w:rsidR="00A769C5" w:rsidRPr="00354B94">
        <w:rPr>
          <w:rFonts w:cs="Times New Roman"/>
        </w:rPr>
        <w:t xml:space="preserve"> related to</w:t>
      </w:r>
      <w:r w:rsidR="005813AE" w:rsidRPr="00354B94">
        <w:rPr>
          <w:rFonts w:cs="Times New Roman"/>
        </w:rPr>
        <w:t xml:space="preserve"> adherence to the energy and environment principles</w:t>
      </w:r>
      <w:r w:rsidR="00D17868" w:rsidRPr="00354B94">
        <w:rPr>
          <w:rFonts w:cs="Times New Roman"/>
        </w:rPr>
        <w:t>,</w:t>
      </w:r>
      <w:r w:rsidR="005813AE" w:rsidRPr="00354B94">
        <w:rPr>
          <w:rStyle w:val="FootnoteReference"/>
          <w:rFonts w:cs="Times New Roman"/>
        </w:rPr>
        <w:footnoteReference w:id="46"/>
      </w:r>
      <w:r w:rsidR="00A07755" w:rsidRPr="00354B94">
        <w:rPr>
          <w:rFonts w:cs="Times New Roman"/>
        </w:rPr>
        <w:t xml:space="preserve"> </w:t>
      </w:r>
      <w:r w:rsidR="004E22AC" w:rsidRPr="00354B94">
        <w:rPr>
          <w:rFonts w:cs="Times New Roman"/>
        </w:rPr>
        <w:t xml:space="preserve">which were </w:t>
      </w:r>
      <w:r w:rsidR="005813AE" w:rsidRPr="00354B94">
        <w:rPr>
          <w:rFonts w:cs="Times New Roman"/>
        </w:rPr>
        <w:t>introduced to ensure that the UK follows its obligations in this area.</w:t>
      </w:r>
      <w:r w:rsidR="005813AE" w:rsidRPr="00354B94">
        <w:rPr>
          <w:rStyle w:val="FootnoteReference"/>
          <w:rFonts w:cs="Times New Roman"/>
        </w:rPr>
        <w:footnoteReference w:id="47"/>
      </w:r>
      <w:r w:rsidR="005813AE" w:rsidRPr="00354B94">
        <w:rPr>
          <w:rFonts w:cs="Times New Roman"/>
        </w:rPr>
        <w:t xml:space="preserve"> By not following these principles, the Government </w:t>
      </w:r>
      <w:r w:rsidR="00D05FF6" w:rsidRPr="00354B94">
        <w:rPr>
          <w:rFonts w:cs="Times New Roman"/>
        </w:rPr>
        <w:t>introduced</w:t>
      </w:r>
      <w:r w:rsidR="005813AE" w:rsidRPr="00354B94">
        <w:rPr>
          <w:rFonts w:cs="Times New Roman"/>
        </w:rPr>
        <w:t xml:space="preserve"> investment allowances that are likely to disincentivise and indirectly penalise oil and gas companies that want to invest in alternative energy sources, at least in the shorter term.</w:t>
      </w:r>
      <w:r w:rsidR="005813AE" w:rsidRPr="00354B94">
        <w:rPr>
          <w:rStyle w:val="FootnoteReference"/>
          <w:rFonts w:cs="Times New Roman"/>
        </w:rPr>
        <w:footnoteReference w:id="48"/>
      </w:r>
    </w:p>
    <w:p w14:paraId="2BF42566" w14:textId="312DEED0" w:rsidR="00122489" w:rsidRPr="00354B94" w:rsidRDefault="00E56F1F" w:rsidP="00A23597">
      <w:pPr>
        <w:rPr>
          <w:rFonts w:cs="Times New Roman"/>
        </w:rPr>
      </w:pPr>
      <w:r w:rsidRPr="00354B94">
        <w:rPr>
          <w:rFonts w:cs="Times New Roman"/>
        </w:rPr>
        <w:t xml:space="preserve">Due to </w:t>
      </w:r>
      <w:r w:rsidR="00AE0E34" w:rsidRPr="00354B94">
        <w:rPr>
          <w:rFonts w:cs="Times New Roman"/>
        </w:rPr>
        <w:t>these allowances,</w:t>
      </w:r>
      <w:r w:rsidR="00122489" w:rsidRPr="00354B94">
        <w:rPr>
          <w:rFonts w:cs="Times New Roman"/>
        </w:rPr>
        <w:t xml:space="preserve"> the design of EPL </w:t>
      </w:r>
      <w:r w:rsidR="00DC0753" w:rsidRPr="00354B94">
        <w:rPr>
          <w:rFonts w:cs="Times New Roman"/>
        </w:rPr>
        <w:t>is</w:t>
      </w:r>
      <w:r w:rsidR="0065147B" w:rsidRPr="00354B94">
        <w:rPr>
          <w:rFonts w:cs="Times New Roman"/>
        </w:rPr>
        <w:t xml:space="preserve"> unlikely to</w:t>
      </w:r>
      <w:r w:rsidR="00122489" w:rsidRPr="00354B94">
        <w:rPr>
          <w:rFonts w:cs="Times New Roman"/>
        </w:rPr>
        <w:t xml:space="preserve"> disincentivise investment in the extraction of oil and gas</w:t>
      </w:r>
      <w:r w:rsidR="008D5A32" w:rsidRPr="00354B94">
        <w:rPr>
          <w:rFonts w:cs="Times New Roman"/>
        </w:rPr>
        <w:t xml:space="preserve"> in the shorter term</w:t>
      </w:r>
      <w:r w:rsidR="00122489" w:rsidRPr="00354B94">
        <w:rPr>
          <w:rFonts w:cs="Times New Roman"/>
        </w:rPr>
        <w:t xml:space="preserve">, </w:t>
      </w:r>
      <w:r w:rsidRPr="00354B94">
        <w:rPr>
          <w:rFonts w:cs="Times New Roman"/>
        </w:rPr>
        <w:t xml:space="preserve">but </w:t>
      </w:r>
      <w:r w:rsidR="00122489" w:rsidRPr="00354B94">
        <w:rPr>
          <w:rFonts w:cs="Times New Roman"/>
        </w:rPr>
        <w:t>it could have negative consequences</w:t>
      </w:r>
      <w:r w:rsidR="008D5A32" w:rsidRPr="00354B94">
        <w:rPr>
          <w:rFonts w:cs="Times New Roman"/>
        </w:rPr>
        <w:t xml:space="preserve"> in the longer term</w:t>
      </w:r>
      <w:r w:rsidR="00122489" w:rsidRPr="00354B94">
        <w:rPr>
          <w:rFonts w:cs="Times New Roman"/>
        </w:rPr>
        <w:t>.</w:t>
      </w:r>
      <w:r w:rsidR="000A0E18" w:rsidRPr="00354B94">
        <w:rPr>
          <w:rFonts w:cs="Times New Roman"/>
        </w:rPr>
        <w:t xml:space="preserve"> </w:t>
      </w:r>
      <w:r w:rsidR="00122489" w:rsidRPr="00354B94">
        <w:rPr>
          <w:rFonts w:cs="Times New Roman"/>
        </w:rPr>
        <w:t>Scholars</w:t>
      </w:r>
      <w:r w:rsidR="004470AA" w:rsidRPr="00354B94">
        <w:rPr>
          <w:rStyle w:val="FootnoteReference"/>
          <w:rFonts w:cs="Times New Roman"/>
        </w:rPr>
        <w:footnoteReference w:id="49"/>
      </w:r>
      <w:r w:rsidR="00D408D8" w:rsidRPr="00354B94">
        <w:rPr>
          <w:rFonts w:cs="Times New Roman"/>
        </w:rPr>
        <w:t xml:space="preserve"> </w:t>
      </w:r>
      <w:r w:rsidR="00016F78" w:rsidRPr="00354B94">
        <w:rPr>
          <w:rFonts w:cs="Times New Roman"/>
        </w:rPr>
        <w:t xml:space="preserve">mostly </w:t>
      </w:r>
      <w:r w:rsidR="00122489" w:rsidRPr="00354B94">
        <w:rPr>
          <w:rFonts w:cs="Times New Roman"/>
        </w:rPr>
        <w:t>argue</w:t>
      </w:r>
      <w:r w:rsidR="00016F78" w:rsidRPr="00354B94">
        <w:rPr>
          <w:rFonts w:cs="Times New Roman"/>
        </w:rPr>
        <w:t xml:space="preserve"> against the</w:t>
      </w:r>
      <w:r w:rsidR="00122489" w:rsidRPr="00354B94">
        <w:rPr>
          <w:rFonts w:cs="Times New Roman"/>
        </w:rPr>
        <w:t xml:space="preserve"> </w:t>
      </w:r>
      <w:r w:rsidR="0075374D" w:rsidRPr="00354B94">
        <w:rPr>
          <w:rFonts w:cs="Times New Roman"/>
        </w:rPr>
        <w:t xml:space="preserve">limited-time </w:t>
      </w:r>
      <w:r w:rsidR="00016F78" w:rsidRPr="00354B94">
        <w:rPr>
          <w:rFonts w:cs="Times New Roman"/>
        </w:rPr>
        <w:t xml:space="preserve">one-off </w:t>
      </w:r>
      <w:r w:rsidR="00122489" w:rsidRPr="00354B94">
        <w:rPr>
          <w:rFonts w:cs="Times New Roman"/>
        </w:rPr>
        <w:t>windfall taxes</w:t>
      </w:r>
      <w:r w:rsidR="00545438" w:rsidRPr="00354B94">
        <w:rPr>
          <w:rFonts w:cs="Times New Roman"/>
        </w:rPr>
        <w:t xml:space="preserve"> because they </w:t>
      </w:r>
      <w:r w:rsidR="00122489" w:rsidRPr="00354B94">
        <w:rPr>
          <w:rFonts w:cs="Times New Roman"/>
        </w:rPr>
        <w:t>increase investor risk</w:t>
      </w:r>
      <w:r w:rsidR="00202722" w:rsidRPr="00354B94">
        <w:rPr>
          <w:rFonts w:cs="Times New Roman"/>
        </w:rPr>
        <w:t>s</w:t>
      </w:r>
      <w:r w:rsidR="00885FC1" w:rsidRPr="00354B94">
        <w:rPr>
          <w:rFonts w:cs="Times New Roman"/>
        </w:rPr>
        <w:t xml:space="preserve"> and </w:t>
      </w:r>
      <w:r w:rsidR="00786234" w:rsidRPr="00354B94">
        <w:rPr>
          <w:rFonts w:cs="Times New Roman"/>
        </w:rPr>
        <w:t>are di</w:t>
      </w:r>
      <w:r w:rsidR="00767348" w:rsidRPr="00354B94">
        <w:rPr>
          <w:rFonts w:cs="Times New Roman"/>
        </w:rPr>
        <w:t xml:space="preserve">stortionary, especially if applied </w:t>
      </w:r>
      <w:r w:rsidR="00877610" w:rsidRPr="00354B94">
        <w:rPr>
          <w:rFonts w:cs="Times New Roman"/>
        </w:rPr>
        <w:t>to</w:t>
      </w:r>
      <w:r w:rsidR="00530451" w:rsidRPr="00354B94">
        <w:rPr>
          <w:rFonts w:cs="Times New Roman"/>
        </w:rPr>
        <w:t xml:space="preserve"> future profits</w:t>
      </w:r>
      <w:r w:rsidR="000A0E18" w:rsidRPr="00354B94">
        <w:rPr>
          <w:rFonts w:cs="Times New Roman"/>
        </w:rPr>
        <w:t>.</w:t>
      </w:r>
      <w:r w:rsidR="00530451" w:rsidRPr="00354B94">
        <w:rPr>
          <w:rFonts w:cs="Times New Roman"/>
        </w:rPr>
        <w:t xml:space="preserve"> </w:t>
      </w:r>
      <w:r w:rsidR="00DB6299" w:rsidRPr="00354B94">
        <w:rPr>
          <w:rFonts w:cs="Times New Roman"/>
        </w:rPr>
        <w:t>Empirical evidence from countries that adopted</w:t>
      </w:r>
      <w:r w:rsidR="0014283A" w:rsidRPr="00354B94">
        <w:rPr>
          <w:rFonts w:cs="Times New Roman"/>
        </w:rPr>
        <w:t xml:space="preserve"> </w:t>
      </w:r>
      <w:r w:rsidR="00DB6299" w:rsidRPr="00354B94">
        <w:rPr>
          <w:rFonts w:cs="Times New Roman"/>
        </w:rPr>
        <w:t>windfall taxes</w:t>
      </w:r>
      <w:r w:rsidR="000E1387" w:rsidRPr="00354B94">
        <w:rPr>
          <w:rFonts w:cs="Times New Roman"/>
        </w:rPr>
        <w:t xml:space="preserve"> on extraction </w:t>
      </w:r>
      <w:r w:rsidR="00CF3CD1" w:rsidRPr="00354B94">
        <w:rPr>
          <w:rFonts w:cs="Times New Roman"/>
        </w:rPr>
        <w:t>with different mechanisms</w:t>
      </w:r>
      <w:r w:rsidR="00A60DA8" w:rsidRPr="00354B94">
        <w:rPr>
          <w:rFonts w:cs="Times New Roman"/>
        </w:rPr>
        <w:t xml:space="preserve"> than those in EPL</w:t>
      </w:r>
      <w:r w:rsidR="000E782D" w:rsidRPr="00354B94">
        <w:rPr>
          <w:rFonts w:cs="Times New Roman"/>
        </w:rPr>
        <w:t xml:space="preserve"> </w:t>
      </w:r>
      <w:r w:rsidR="008227B8" w:rsidRPr="00354B94">
        <w:rPr>
          <w:rFonts w:cs="Times New Roman"/>
        </w:rPr>
        <w:t>also suggest adverse effects</w:t>
      </w:r>
      <w:r w:rsidR="004A73E7" w:rsidRPr="00354B94">
        <w:rPr>
          <w:rFonts w:cs="Times New Roman"/>
        </w:rPr>
        <w:t xml:space="preserve">. </w:t>
      </w:r>
      <w:r w:rsidR="0014283A" w:rsidRPr="00354B94">
        <w:rPr>
          <w:rFonts w:cs="Times New Roman"/>
        </w:rPr>
        <w:t xml:space="preserve">For instance, </w:t>
      </w:r>
      <w:r w:rsidR="00733DCA" w:rsidRPr="00354B94">
        <w:rPr>
          <w:rFonts w:cs="Times New Roman"/>
        </w:rPr>
        <w:t xml:space="preserve">a </w:t>
      </w:r>
      <w:r w:rsidR="00F57D86" w:rsidRPr="00354B94">
        <w:rPr>
          <w:rFonts w:cs="Times New Roman"/>
        </w:rPr>
        <w:t xml:space="preserve">negative impact </w:t>
      </w:r>
      <w:r w:rsidR="00D669EA" w:rsidRPr="00354B94">
        <w:rPr>
          <w:rFonts w:cs="Times New Roman"/>
        </w:rPr>
        <w:t>on</w:t>
      </w:r>
      <w:r w:rsidR="00A60DA8" w:rsidRPr="00354B94">
        <w:rPr>
          <w:rFonts w:cs="Times New Roman"/>
        </w:rPr>
        <w:t xml:space="preserve"> future</w:t>
      </w:r>
      <w:r w:rsidR="00D669EA" w:rsidRPr="00354B94">
        <w:rPr>
          <w:rFonts w:cs="Times New Roman"/>
        </w:rPr>
        <w:t xml:space="preserve"> extraction</w:t>
      </w:r>
      <w:r w:rsidR="003D3661" w:rsidRPr="00354B94">
        <w:rPr>
          <w:rFonts w:cs="Times New Roman"/>
        </w:rPr>
        <w:t xml:space="preserve"> </w:t>
      </w:r>
      <w:r w:rsidR="00F57D86" w:rsidRPr="00354B94">
        <w:rPr>
          <w:rFonts w:cs="Times New Roman"/>
        </w:rPr>
        <w:t>was</w:t>
      </w:r>
      <w:r w:rsidR="003D3661" w:rsidRPr="00354B94">
        <w:rPr>
          <w:rFonts w:cs="Times New Roman"/>
        </w:rPr>
        <w:t xml:space="preserve"> reported by</w:t>
      </w:r>
      <w:r w:rsidR="003204AD" w:rsidRPr="00354B94">
        <w:rPr>
          <w:rFonts w:cs="Times New Roman"/>
        </w:rPr>
        <w:t xml:space="preserve"> </w:t>
      </w:r>
      <w:r w:rsidR="00DD30C6" w:rsidRPr="00354B94">
        <w:rPr>
          <w:rFonts w:cs="Times New Roman"/>
        </w:rPr>
        <w:t>the study</w:t>
      </w:r>
      <w:r w:rsidR="0041681E" w:rsidRPr="00354B94">
        <w:rPr>
          <w:rStyle w:val="FootnoteReference"/>
          <w:rFonts w:cs="Times New Roman"/>
        </w:rPr>
        <w:footnoteReference w:id="50"/>
      </w:r>
      <w:r w:rsidR="00DD30C6" w:rsidRPr="00354B94">
        <w:rPr>
          <w:rFonts w:cs="Times New Roman"/>
        </w:rPr>
        <w:t xml:space="preserve"> that</w:t>
      </w:r>
      <w:r w:rsidR="003204AD" w:rsidRPr="00354B94">
        <w:rPr>
          <w:rFonts w:cs="Times New Roman"/>
        </w:rPr>
        <w:t xml:space="preserve"> looked at</w:t>
      </w:r>
      <w:r w:rsidR="004A73E7" w:rsidRPr="00354B94">
        <w:rPr>
          <w:rFonts w:cs="Times New Roman"/>
        </w:rPr>
        <w:t xml:space="preserve"> </w:t>
      </w:r>
      <w:r w:rsidR="00520246" w:rsidRPr="00354B94">
        <w:rPr>
          <w:rFonts w:cs="Times New Roman"/>
        </w:rPr>
        <w:t>the 1980 Windfall Profit Tax</w:t>
      </w:r>
      <w:r w:rsidR="004A73E7" w:rsidRPr="00354B94">
        <w:rPr>
          <w:rFonts w:cs="Times New Roman"/>
        </w:rPr>
        <w:t xml:space="preserve"> which</w:t>
      </w:r>
      <w:r w:rsidR="00CE3039" w:rsidRPr="00354B94">
        <w:rPr>
          <w:rFonts w:cs="Times New Roman"/>
        </w:rPr>
        <w:t xml:space="preserve"> was adopted to</w:t>
      </w:r>
      <w:r w:rsidR="004A3133" w:rsidRPr="00354B94">
        <w:rPr>
          <w:rFonts w:cs="Times New Roman"/>
        </w:rPr>
        <w:t xml:space="preserve"> </w:t>
      </w:r>
      <w:r w:rsidR="00261C7A" w:rsidRPr="00354B94">
        <w:rPr>
          <w:rFonts w:cs="Times New Roman"/>
        </w:rPr>
        <w:t xml:space="preserve">tax </w:t>
      </w:r>
      <w:r w:rsidR="00740D85" w:rsidRPr="00354B94">
        <w:rPr>
          <w:rFonts w:cs="Times New Roman"/>
        </w:rPr>
        <w:t xml:space="preserve">the oil industry after </w:t>
      </w:r>
      <w:r w:rsidR="008A6529" w:rsidRPr="00354B94">
        <w:rPr>
          <w:rFonts w:cs="Times New Roman"/>
        </w:rPr>
        <w:t>an increase in</w:t>
      </w:r>
      <w:r w:rsidR="00A815DD" w:rsidRPr="00354B94">
        <w:rPr>
          <w:rFonts w:cs="Times New Roman"/>
        </w:rPr>
        <w:t xml:space="preserve"> oil prices</w:t>
      </w:r>
      <w:r w:rsidR="00AD2AF3" w:rsidRPr="00354B94">
        <w:rPr>
          <w:rFonts w:cs="Times New Roman"/>
        </w:rPr>
        <w:t xml:space="preserve"> in the US</w:t>
      </w:r>
      <w:r w:rsidR="00DD7F95" w:rsidRPr="00354B94">
        <w:rPr>
          <w:rFonts w:cs="Times New Roman"/>
        </w:rPr>
        <w:t xml:space="preserve"> </w:t>
      </w:r>
      <w:r w:rsidR="008A6529" w:rsidRPr="00354B94">
        <w:rPr>
          <w:rFonts w:cs="Times New Roman"/>
        </w:rPr>
        <w:t>due to</w:t>
      </w:r>
      <w:r w:rsidR="00DA511A" w:rsidRPr="00354B94">
        <w:rPr>
          <w:rFonts w:cs="Times New Roman"/>
        </w:rPr>
        <w:t xml:space="preserve"> </w:t>
      </w:r>
      <w:r w:rsidR="00A815DD" w:rsidRPr="00354B94">
        <w:rPr>
          <w:rFonts w:cs="Times New Roman"/>
        </w:rPr>
        <w:t xml:space="preserve">the </w:t>
      </w:r>
      <w:r w:rsidR="00AA427A" w:rsidRPr="00354B94">
        <w:rPr>
          <w:rFonts w:cs="Times New Roman"/>
        </w:rPr>
        <w:t xml:space="preserve">oil embargo of the </w:t>
      </w:r>
      <w:r w:rsidR="008F1B89" w:rsidRPr="00354B94">
        <w:rPr>
          <w:rFonts w:cs="Times New Roman"/>
        </w:rPr>
        <w:t>Organization of Arab Petroleum Exporting Countries</w:t>
      </w:r>
      <w:r w:rsidR="003D3661" w:rsidRPr="00354B94">
        <w:rPr>
          <w:rFonts w:cs="Times New Roman"/>
        </w:rPr>
        <w:t>.</w:t>
      </w:r>
      <w:r w:rsidR="00740D85" w:rsidRPr="00354B94">
        <w:rPr>
          <w:rFonts w:cs="Times New Roman"/>
        </w:rPr>
        <w:t xml:space="preserve"> </w:t>
      </w:r>
      <w:r w:rsidR="00122489" w:rsidRPr="00354B94">
        <w:rPr>
          <w:rFonts w:cs="Times New Roman"/>
        </w:rPr>
        <w:t>This is</w:t>
      </w:r>
      <w:r w:rsidR="000E782D" w:rsidRPr="00354B94">
        <w:rPr>
          <w:rFonts w:cs="Times New Roman"/>
        </w:rPr>
        <w:t xml:space="preserve"> also</w:t>
      </w:r>
      <w:r w:rsidR="00122489" w:rsidRPr="00354B94">
        <w:rPr>
          <w:rFonts w:cs="Times New Roman"/>
        </w:rPr>
        <w:t xml:space="preserve"> echoed by the evaluations of previous UK windfall taxes</w:t>
      </w:r>
      <w:r w:rsidR="00412024" w:rsidRPr="00354B94">
        <w:rPr>
          <w:rFonts w:cs="Times New Roman"/>
        </w:rPr>
        <w:t xml:space="preserve"> in other industries</w:t>
      </w:r>
      <w:r w:rsidR="00122489" w:rsidRPr="00354B94">
        <w:rPr>
          <w:rFonts w:cs="Times New Roman"/>
        </w:rPr>
        <w:t xml:space="preserve">. In more recent history, Margaret Thatcher imposed </w:t>
      </w:r>
      <w:r w:rsidR="00AE46B0" w:rsidRPr="00354B94">
        <w:rPr>
          <w:rFonts w:cs="Times New Roman"/>
        </w:rPr>
        <w:t xml:space="preserve">a </w:t>
      </w:r>
      <w:r w:rsidR="00122489" w:rsidRPr="00354B94">
        <w:rPr>
          <w:rFonts w:cs="Times New Roman"/>
        </w:rPr>
        <w:t xml:space="preserve">windfall tax levied on certain bank </w:t>
      </w:r>
      <w:r w:rsidR="00122489" w:rsidRPr="00354B94">
        <w:rPr>
          <w:rFonts w:cs="Times New Roman"/>
        </w:rPr>
        <w:lastRenderedPageBreak/>
        <w:t>deposits in 1981</w:t>
      </w:r>
      <w:r w:rsidR="007932DD" w:rsidRPr="00354B94">
        <w:rPr>
          <w:rFonts w:cs="Times New Roman"/>
        </w:rPr>
        <w:t>,</w:t>
      </w:r>
      <w:r w:rsidR="00122489" w:rsidRPr="00354B94">
        <w:rPr>
          <w:rStyle w:val="FootnoteReference"/>
          <w:rFonts w:cs="Times New Roman"/>
        </w:rPr>
        <w:footnoteReference w:id="51"/>
      </w:r>
      <w:r w:rsidR="00AE46B0" w:rsidRPr="00354B94">
        <w:rPr>
          <w:rFonts w:cs="Times New Roman"/>
        </w:rPr>
        <w:t xml:space="preserve"> </w:t>
      </w:r>
      <w:r w:rsidR="00122489" w:rsidRPr="00354B94">
        <w:rPr>
          <w:rFonts w:cs="Times New Roman"/>
        </w:rPr>
        <w:t xml:space="preserve">and Tony Blair imposed </w:t>
      </w:r>
      <w:r w:rsidR="00AE46B0" w:rsidRPr="00354B94">
        <w:rPr>
          <w:rFonts w:cs="Times New Roman"/>
        </w:rPr>
        <w:t xml:space="preserve">a </w:t>
      </w:r>
      <w:r w:rsidR="00122489" w:rsidRPr="00354B94">
        <w:rPr>
          <w:rFonts w:cs="Times New Roman"/>
        </w:rPr>
        <w:t xml:space="preserve">one-off tax to offset gains from </w:t>
      </w:r>
      <w:r w:rsidR="00AE46B0" w:rsidRPr="00354B94">
        <w:rPr>
          <w:rFonts w:cs="Times New Roman"/>
        </w:rPr>
        <w:t xml:space="preserve">the </w:t>
      </w:r>
      <w:r w:rsidR="00122489" w:rsidRPr="00354B94">
        <w:rPr>
          <w:rFonts w:cs="Times New Roman"/>
        </w:rPr>
        <w:t xml:space="preserve">privatisation of utility companies </w:t>
      </w:r>
      <w:r w:rsidR="00AE46B0" w:rsidRPr="00354B94">
        <w:rPr>
          <w:rFonts w:cs="Times New Roman"/>
        </w:rPr>
        <w:t xml:space="preserve">in </w:t>
      </w:r>
      <w:r w:rsidR="00122489" w:rsidRPr="00354B94">
        <w:rPr>
          <w:rFonts w:cs="Times New Roman"/>
        </w:rPr>
        <w:t>1997</w:t>
      </w:r>
      <w:r w:rsidR="00E124FC" w:rsidRPr="00354B94">
        <w:rPr>
          <w:rFonts w:cs="Times New Roman"/>
        </w:rPr>
        <w:t>.</w:t>
      </w:r>
      <w:r w:rsidR="00122489" w:rsidRPr="00354B94">
        <w:rPr>
          <w:rStyle w:val="FootnoteReference"/>
          <w:rFonts w:cs="Times New Roman"/>
        </w:rPr>
        <w:footnoteReference w:id="52"/>
      </w:r>
      <w:r w:rsidR="00122489" w:rsidRPr="00354B94">
        <w:rPr>
          <w:rFonts w:cs="Times New Roman"/>
        </w:rPr>
        <w:t xml:space="preserve"> The latter was explored from several </w:t>
      </w:r>
      <w:r w:rsidR="00643D8A" w:rsidRPr="00354B94">
        <w:rPr>
          <w:rFonts w:cs="Times New Roman"/>
        </w:rPr>
        <w:t xml:space="preserve">perspectives, revealing </w:t>
      </w:r>
      <w:r w:rsidR="00122489" w:rsidRPr="00354B94">
        <w:rPr>
          <w:rFonts w:cs="Times New Roman"/>
        </w:rPr>
        <w:t xml:space="preserve">mainly </w:t>
      </w:r>
      <w:r w:rsidR="00A11936" w:rsidRPr="00354B94">
        <w:rPr>
          <w:rFonts w:cs="Times New Roman"/>
        </w:rPr>
        <w:t>adverse</w:t>
      </w:r>
      <w:r w:rsidR="00122489" w:rsidRPr="00354B94">
        <w:rPr>
          <w:rFonts w:cs="Times New Roman"/>
        </w:rPr>
        <w:t xml:space="preserve"> evaluations, including </w:t>
      </w:r>
      <w:r w:rsidR="00960828" w:rsidRPr="00354B94">
        <w:rPr>
          <w:rFonts w:cs="Times New Roman"/>
        </w:rPr>
        <w:t xml:space="preserve">the absence of </w:t>
      </w:r>
      <w:r w:rsidR="000C6AC8" w:rsidRPr="00354B94">
        <w:rPr>
          <w:rFonts w:cs="Times New Roman"/>
        </w:rPr>
        <w:t xml:space="preserve">actual </w:t>
      </w:r>
      <w:r w:rsidR="00122489" w:rsidRPr="00354B94">
        <w:rPr>
          <w:rFonts w:cs="Times New Roman"/>
        </w:rPr>
        <w:t>abnormal returns</w:t>
      </w:r>
      <w:r w:rsidR="009A5DF3" w:rsidRPr="00354B94">
        <w:rPr>
          <w:rFonts w:cs="Times New Roman"/>
        </w:rPr>
        <w:t>,</w:t>
      </w:r>
      <w:r w:rsidR="00122489" w:rsidRPr="00354B94">
        <w:rPr>
          <w:rStyle w:val="FootnoteReference"/>
          <w:rFonts w:cs="Times New Roman"/>
        </w:rPr>
        <w:footnoteReference w:id="53"/>
      </w:r>
      <w:r w:rsidR="00122489" w:rsidRPr="00354B94">
        <w:rPr>
          <w:rFonts w:cs="Times New Roman"/>
        </w:rPr>
        <w:t xml:space="preserve"> </w:t>
      </w:r>
      <w:r w:rsidR="00960828" w:rsidRPr="00354B94">
        <w:rPr>
          <w:rFonts w:cs="Times New Roman"/>
        </w:rPr>
        <w:t>detrimental impact on</w:t>
      </w:r>
      <w:r w:rsidR="00122489" w:rsidRPr="00354B94">
        <w:rPr>
          <w:rFonts w:cs="Times New Roman"/>
        </w:rPr>
        <w:t xml:space="preserve"> investor</w:t>
      </w:r>
      <w:r w:rsidR="00951A6C" w:rsidRPr="00354B94">
        <w:rPr>
          <w:rFonts w:cs="Times New Roman"/>
        </w:rPr>
        <w:t>s’</w:t>
      </w:r>
      <w:r w:rsidR="00122489" w:rsidRPr="00354B94">
        <w:rPr>
          <w:rFonts w:cs="Times New Roman"/>
        </w:rPr>
        <w:t xml:space="preserve"> confidence</w:t>
      </w:r>
      <w:r w:rsidR="00122489" w:rsidRPr="00354B94">
        <w:rPr>
          <w:rStyle w:val="FootnoteReference"/>
          <w:rFonts w:cs="Times New Roman"/>
        </w:rPr>
        <w:footnoteReference w:id="54"/>
      </w:r>
      <w:r w:rsidR="00122489" w:rsidRPr="00354B94">
        <w:rPr>
          <w:rFonts w:cs="Times New Roman"/>
        </w:rPr>
        <w:t xml:space="preserve"> and employment losses</w:t>
      </w:r>
      <w:r w:rsidR="009A5DF3" w:rsidRPr="00354B94">
        <w:rPr>
          <w:rFonts w:cs="Times New Roman"/>
        </w:rPr>
        <w:t>.</w:t>
      </w:r>
      <w:r w:rsidR="00122489" w:rsidRPr="00354B94">
        <w:rPr>
          <w:rStyle w:val="FootnoteReference"/>
          <w:rFonts w:cs="Times New Roman"/>
        </w:rPr>
        <w:footnoteReference w:id="55"/>
      </w:r>
      <w:r w:rsidR="00122489" w:rsidRPr="00354B94">
        <w:rPr>
          <w:rFonts w:cs="Times New Roman"/>
        </w:rPr>
        <w:t xml:space="preserve"> </w:t>
      </w:r>
    </w:p>
    <w:p w14:paraId="6E1B720D" w14:textId="0B2051B9" w:rsidR="00122489" w:rsidRPr="00354B94" w:rsidRDefault="00122489" w:rsidP="0065147B">
      <w:pPr>
        <w:rPr>
          <w:rFonts w:cs="Times New Roman"/>
        </w:rPr>
      </w:pPr>
      <w:r w:rsidRPr="00354B94">
        <w:rPr>
          <w:rFonts w:cs="Times New Roman"/>
        </w:rPr>
        <w:t>A glimpse at oil and gas</w:t>
      </w:r>
      <w:r w:rsidR="00D831B8" w:rsidRPr="00354B94">
        <w:rPr>
          <w:rFonts w:cs="Times New Roman"/>
        </w:rPr>
        <w:t xml:space="preserve"> tax</w:t>
      </w:r>
      <w:r w:rsidRPr="00354B94">
        <w:rPr>
          <w:rFonts w:cs="Times New Roman"/>
        </w:rPr>
        <w:t xml:space="preserve"> revenues from Norway </w:t>
      </w:r>
      <w:r w:rsidR="00485717" w:rsidRPr="00354B94">
        <w:rPr>
          <w:rFonts w:cs="Times New Roman"/>
        </w:rPr>
        <w:t>further</w:t>
      </w:r>
      <w:r w:rsidRPr="00354B94">
        <w:rPr>
          <w:rFonts w:cs="Times New Roman"/>
        </w:rPr>
        <w:t xml:space="preserve"> </w:t>
      </w:r>
      <w:r w:rsidR="0099676B" w:rsidRPr="00354B94">
        <w:rPr>
          <w:rFonts w:cs="Times New Roman"/>
        </w:rPr>
        <w:t>highlights the flaws in the UK system</w:t>
      </w:r>
      <w:r w:rsidRPr="00354B94">
        <w:rPr>
          <w:rFonts w:cs="Times New Roman"/>
        </w:rPr>
        <w:t>. UK and Norway</w:t>
      </w:r>
      <w:r w:rsidR="00DA77DD" w:rsidRPr="00354B94">
        <w:rPr>
          <w:rFonts w:cs="Times New Roman"/>
        </w:rPr>
        <w:t xml:space="preserve"> share</w:t>
      </w:r>
      <w:r w:rsidRPr="00354B94">
        <w:rPr>
          <w:rFonts w:cs="Times New Roman"/>
        </w:rPr>
        <w:t xml:space="preserve"> oil and gas</w:t>
      </w:r>
      <w:r w:rsidR="00DA77DD" w:rsidRPr="00354B94">
        <w:rPr>
          <w:rFonts w:cs="Times New Roman"/>
        </w:rPr>
        <w:t xml:space="preserve"> </w:t>
      </w:r>
      <w:r w:rsidR="00B21988" w:rsidRPr="00354B94">
        <w:rPr>
          <w:rFonts w:cs="Times New Roman"/>
        </w:rPr>
        <w:t xml:space="preserve">fields </w:t>
      </w:r>
      <w:r w:rsidRPr="00354B94">
        <w:rPr>
          <w:rFonts w:cs="Times New Roman"/>
        </w:rPr>
        <w:t xml:space="preserve">in </w:t>
      </w:r>
      <w:proofErr w:type="gramStart"/>
      <w:r w:rsidRPr="00354B94">
        <w:rPr>
          <w:rFonts w:cs="Times New Roman"/>
        </w:rPr>
        <w:t>close proximity</w:t>
      </w:r>
      <w:proofErr w:type="gramEnd"/>
      <w:r w:rsidR="00DA77DD" w:rsidRPr="00354B94">
        <w:rPr>
          <w:rFonts w:cs="Times New Roman"/>
        </w:rPr>
        <w:t xml:space="preserve">. </w:t>
      </w:r>
      <w:r w:rsidR="00FA5720" w:rsidRPr="00354B94">
        <w:rPr>
          <w:rFonts w:cs="Times New Roman"/>
        </w:rPr>
        <w:t xml:space="preserve">As previously discussed, </w:t>
      </w:r>
      <w:r w:rsidR="008740DC" w:rsidRPr="00354B94">
        <w:rPr>
          <w:rFonts w:cs="Times New Roman"/>
        </w:rPr>
        <w:t xml:space="preserve">the UK experienced numerous </w:t>
      </w:r>
      <w:r w:rsidR="00C5435B" w:rsidRPr="00354B94">
        <w:rPr>
          <w:rFonts w:cs="Times New Roman"/>
        </w:rPr>
        <w:t>changes in the fiscal system over the last twenty years, whilst Norway st</w:t>
      </w:r>
      <w:r w:rsidR="00EE5432" w:rsidRPr="00354B94">
        <w:rPr>
          <w:rFonts w:cs="Times New Roman"/>
        </w:rPr>
        <w:t>uck</w:t>
      </w:r>
      <w:r w:rsidR="00C5435B" w:rsidRPr="00354B94">
        <w:rPr>
          <w:rFonts w:cs="Times New Roman"/>
        </w:rPr>
        <w:t xml:space="preserve"> to </w:t>
      </w:r>
      <w:r w:rsidRPr="00354B94">
        <w:rPr>
          <w:rFonts w:cs="Times New Roman"/>
        </w:rPr>
        <w:t>corporation tax</w:t>
      </w:r>
      <w:r w:rsidR="00EE5432" w:rsidRPr="00354B94">
        <w:rPr>
          <w:rFonts w:cs="Times New Roman"/>
        </w:rPr>
        <w:t xml:space="preserve"> </w:t>
      </w:r>
      <w:r w:rsidRPr="00354B94">
        <w:rPr>
          <w:rFonts w:cs="Times New Roman"/>
        </w:rPr>
        <w:t>(CT) with</w:t>
      </w:r>
      <w:r w:rsidR="00EE5432" w:rsidRPr="00354B94">
        <w:rPr>
          <w:rFonts w:cs="Times New Roman"/>
        </w:rPr>
        <w:t xml:space="preserve"> an additional special tax</w:t>
      </w:r>
      <w:r w:rsidRPr="00354B94">
        <w:rPr>
          <w:rFonts w:cs="Times New Roman"/>
        </w:rPr>
        <w:t xml:space="preserve"> (ST)</w:t>
      </w:r>
      <w:r w:rsidR="00EE5432" w:rsidRPr="00354B94">
        <w:rPr>
          <w:rFonts w:cs="Times New Roman"/>
        </w:rPr>
        <w:t xml:space="preserve"> </w:t>
      </w:r>
      <w:r w:rsidRPr="00354B94">
        <w:rPr>
          <w:rFonts w:cs="Times New Roman"/>
        </w:rPr>
        <w:t>at</w:t>
      </w:r>
      <w:r w:rsidR="00EE5432" w:rsidRPr="00354B94">
        <w:rPr>
          <w:rFonts w:cs="Times New Roman"/>
        </w:rPr>
        <w:t xml:space="preserve"> </w:t>
      </w:r>
      <w:r w:rsidR="00E133DA" w:rsidRPr="00354B94">
        <w:rPr>
          <w:rFonts w:cs="Times New Roman"/>
        </w:rPr>
        <w:t>a</w:t>
      </w:r>
      <w:r w:rsidRPr="00354B94">
        <w:rPr>
          <w:rFonts w:cs="Times New Roman"/>
        </w:rPr>
        <w:t xml:space="preserve"> combined</w:t>
      </w:r>
      <w:r w:rsidR="00EE5432" w:rsidRPr="00354B94">
        <w:rPr>
          <w:rFonts w:cs="Times New Roman"/>
        </w:rPr>
        <w:t xml:space="preserve"> rate </w:t>
      </w:r>
      <w:r w:rsidRPr="00354B94">
        <w:rPr>
          <w:rFonts w:cs="Times New Roman"/>
        </w:rPr>
        <w:t>of</w:t>
      </w:r>
      <w:r w:rsidR="00EE5432" w:rsidRPr="00354B94">
        <w:rPr>
          <w:rFonts w:cs="Times New Roman"/>
        </w:rPr>
        <w:t xml:space="preserve"> 78 per cent</w:t>
      </w:r>
      <w:r w:rsidR="00E133DA" w:rsidRPr="00354B94">
        <w:rPr>
          <w:rFonts w:cs="Times New Roman"/>
        </w:rPr>
        <w:t>.</w:t>
      </w:r>
      <w:r w:rsidRPr="00354B94">
        <w:rPr>
          <w:rStyle w:val="FootnoteReference"/>
          <w:rFonts w:cs="Times New Roman"/>
        </w:rPr>
        <w:footnoteReference w:id="56"/>
      </w:r>
      <w:r w:rsidRPr="00354B94">
        <w:rPr>
          <w:rFonts w:cs="Times New Roman"/>
        </w:rPr>
        <w:t xml:space="preserve"> </w:t>
      </w:r>
      <w:r w:rsidR="001D3780" w:rsidRPr="00354B94">
        <w:rPr>
          <w:rFonts w:cs="Times New Roman"/>
        </w:rPr>
        <w:t xml:space="preserve">Although </w:t>
      </w:r>
      <w:r w:rsidR="009A1477" w:rsidRPr="00354B94">
        <w:rPr>
          <w:rFonts w:cs="Times New Roman"/>
        </w:rPr>
        <w:t>a number of</w:t>
      </w:r>
      <w:r w:rsidR="001D3780" w:rsidRPr="00354B94">
        <w:rPr>
          <w:rFonts w:cs="Times New Roman"/>
        </w:rPr>
        <w:t xml:space="preserve"> changes were implemented, t</w:t>
      </w:r>
      <w:r w:rsidRPr="00354B94">
        <w:rPr>
          <w:rFonts w:cs="Times New Roman"/>
        </w:rPr>
        <w:t xml:space="preserve">he overall rate </w:t>
      </w:r>
      <w:r w:rsidR="00F55BF4" w:rsidRPr="00354B94">
        <w:rPr>
          <w:rFonts w:cs="Times New Roman"/>
        </w:rPr>
        <w:t xml:space="preserve">has </w:t>
      </w:r>
      <w:r w:rsidRPr="00354B94">
        <w:rPr>
          <w:rFonts w:cs="Times New Roman"/>
        </w:rPr>
        <w:t>consistently stayed unchanged since its introduction in 1975</w:t>
      </w:r>
      <w:r w:rsidR="00D816E7" w:rsidRPr="00354B94">
        <w:rPr>
          <w:rFonts w:cs="Times New Roman"/>
        </w:rPr>
        <w:t>.</w:t>
      </w:r>
      <w:r w:rsidRPr="00354B94">
        <w:rPr>
          <w:rStyle w:val="FootnoteReference"/>
          <w:rFonts w:cs="Times New Roman"/>
        </w:rPr>
        <w:footnoteReference w:id="57"/>
      </w:r>
      <w:r w:rsidR="00311F23" w:rsidRPr="00354B94">
        <w:rPr>
          <w:rFonts w:cs="Times New Roman"/>
        </w:rPr>
        <w:t xml:space="preserve"> </w:t>
      </w:r>
      <w:r w:rsidRPr="00354B94">
        <w:rPr>
          <w:rFonts w:cs="Times New Roman"/>
        </w:rPr>
        <w:t xml:space="preserve">The chart on the left in Figure 3 shows the disproportionately low tax collections from RFCT and SC compared with the equivalents from Norway. It </w:t>
      </w:r>
      <w:r w:rsidR="00E15699" w:rsidRPr="00354B94">
        <w:rPr>
          <w:rFonts w:cs="Times New Roman"/>
        </w:rPr>
        <w:t>also</w:t>
      </w:r>
      <w:r w:rsidRPr="00354B94">
        <w:rPr>
          <w:rFonts w:cs="Times New Roman"/>
        </w:rPr>
        <w:t xml:space="preserve"> separately </w:t>
      </w:r>
      <w:r w:rsidR="0065147B" w:rsidRPr="00354B94">
        <w:rPr>
          <w:rFonts w:cs="Times New Roman"/>
        </w:rPr>
        <w:t>displays</w:t>
      </w:r>
      <w:r w:rsidRPr="00354B94">
        <w:rPr>
          <w:rFonts w:cs="Times New Roman"/>
        </w:rPr>
        <w:t xml:space="preserve"> revenues from the State's Direct Financial Interest (SDFI), a system unique for Norway in which the state participates in oil and gas extraction as one of the </w:t>
      </w:r>
      <w:r w:rsidR="009A4E39" w:rsidRPr="00354B94">
        <w:rPr>
          <w:rFonts w:cs="Times New Roman"/>
        </w:rPr>
        <w:t>investors</w:t>
      </w:r>
      <w:r w:rsidRPr="00354B94">
        <w:rPr>
          <w:rFonts w:cs="Times New Roman"/>
        </w:rPr>
        <w:t xml:space="preserve">. </w:t>
      </w:r>
      <w:r w:rsidR="00E15699" w:rsidRPr="00354B94">
        <w:rPr>
          <w:rFonts w:cs="Times New Roman"/>
        </w:rPr>
        <w:t>Furthermore, t</w:t>
      </w:r>
      <w:r w:rsidRPr="00354B94">
        <w:rPr>
          <w:rFonts w:cs="Times New Roman"/>
        </w:rPr>
        <w:t>he chart on the right</w:t>
      </w:r>
      <w:r w:rsidR="0065147B" w:rsidRPr="00354B94">
        <w:rPr>
          <w:rFonts w:cs="Times New Roman"/>
        </w:rPr>
        <w:t xml:space="preserve"> in Figure 3 shows UK’s</w:t>
      </w:r>
      <w:r w:rsidRPr="00354B94">
        <w:rPr>
          <w:rFonts w:cs="Times New Roman"/>
        </w:rPr>
        <w:t xml:space="preserve"> lower extraction</w:t>
      </w:r>
      <w:r w:rsidR="0065147B" w:rsidRPr="00354B94">
        <w:rPr>
          <w:rFonts w:cs="Times New Roman"/>
        </w:rPr>
        <w:t xml:space="preserve"> that </w:t>
      </w:r>
      <w:r w:rsidR="00F524B7" w:rsidRPr="00354B94">
        <w:rPr>
          <w:rFonts w:cs="Times New Roman"/>
        </w:rPr>
        <w:t>has been</w:t>
      </w:r>
      <w:r w:rsidR="0065147B" w:rsidRPr="00354B94">
        <w:rPr>
          <w:rFonts w:cs="Times New Roman"/>
        </w:rPr>
        <w:t xml:space="preserve"> present</w:t>
      </w:r>
      <w:r w:rsidRPr="00354B94">
        <w:rPr>
          <w:rFonts w:cs="Times New Roman"/>
        </w:rPr>
        <w:t xml:space="preserve"> since the end of </w:t>
      </w:r>
      <w:r w:rsidR="00F55BF4" w:rsidRPr="00354B94">
        <w:rPr>
          <w:rFonts w:cs="Times New Roman"/>
        </w:rPr>
        <w:t xml:space="preserve">the </w:t>
      </w:r>
      <w:r w:rsidRPr="00354B94">
        <w:rPr>
          <w:rFonts w:cs="Times New Roman"/>
        </w:rPr>
        <w:t>1990s</w:t>
      </w:r>
      <w:r w:rsidR="0065147B" w:rsidRPr="00354B94">
        <w:rPr>
          <w:rFonts w:cs="Times New Roman"/>
        </w:rPr>
        <w:t xml:space="preserve">. </w:t>
      </w:r>
      <w:r w:rsidR="00647359" w:rsidRPr="00354B94">
        <w:rPr>
          <w:rFonts w:cs="Times New Roman"/>
        </w:rPr>
        <w:t>This</w:t>
      </w:r>
      <w:r w:rsidR="0065147B" w:rsidRPr="00354B94">
        <w:rPr>
          <w:rFonts w:cs="Times New Roman"/>
        </w:rPr>
        <w:t xml:space="preserve"> </w:t>
      </w:r>
      <w:r w:rsidRPr="00354B94">
        <w:rPr>
          <w:rFonts w:cs="Times New Roman"/>
        </w:rPr>
        <w:t xml:space="preserve">could be partly explained by </w:t>
      </w:r>
      <w:r w:rsidR="0065147B" w:rsidRPr="00354B94">
        <w:rPr>
          <w:rFonts w:cs="Times New Roman"/>
        </w:rPr>
        <w:t>a more</w:t>
      </w:r>
      <w:r w:rsidRPr="00354B94">
        <w:rPr>
          <w:rFonts w:cs="Times New Roman"/>
        </w:rPr>
        <w:t xml:space="preserve"> stabl</w:t>
      </w:r>
      <w:r w:rsidR="0065147B" w:rsidRPr="00354B94">
        <w:rPr>
          <w:rFonts w:cs="Times New Roman"/>
        </w:rPr>
        <w:t>e fiscal regime</w:t>
      </w:r>
      <w:r w:rsidRPr="00354B94">
        <w:rPr>
          <w:rFonts w:cs="Times New Roman"/>
        </w:rPr>
        <w:t xml:space="preserve"> and more effective incentive mechanisms related to exploration in Norway</w:t>
      </w:r>
      <w:r w:rsidR="009F1704" w:rsidRPr="00354B94">
        <w:rPr>
          <w:rFonts w:cs="Times New Roman"/>
        </w:rPr>
        <w:t>.</w:t>
      </w:r>
      <w:r w:rsidRPr="00354B94">
        <w:rPr>
          <w:rStyle w:val="FootnoteReference"/>
          <w:rFonts w:cs="Times New Roman"/>
        </w:rPr>
        <w:footnoteReference w:id="58"/>
      </w:r>
      <w:r w:rsidRPr="00354B94">
        <w:rPr>
          <w:rFonts w:cs="Times New Roman"/>
        </w:rPr>
        <w:t xml:space="preserve"> It is also worth noting that the revenues from oil and gas were invested in the Government Pension Fund Global</w:t>
      </w:r>
      <w:r w:rsidR="0065147B" w:rsidRPr="00354B94">
        <w:rPr>
          <w:rFonts w:cs="Times New Roman"/>
        </w:rPr>
        <w:t>, aiming “to safeguard and build financial wealth for future generations</w:t>
      </w:r>
      <w:r w:rsidR="00D13B3B" w:rsidRPr="00354B94">
        <w:rPr>
          <w:rFonts w:cs="Times New Roman"/>
        </w:rPr>
        <w:t>,</w:t>
      </w:r>
      <w:r w:rsidR="0065147B" w:rsidRPr="00354B94">
        <w:rPr>
          <w:rFonts w:cs="Times New Roman"/>
        </w:rPr>
        <w:t>”</w:t>
      </w:r>
      <w:r w:rsidRPr="00354B94">
        <w:rPr>
          <w:rFonts w:cs="Times New Roman"/>
        </w:rPr>
        <w:t xml:space="preserve"> with a current </w:t>
      </w:r>
      <w:r w:rsidR="009B7098" w:rsidRPr="00354B94">
        <w:rPr>
          <w:rFonts w:cs="Times New Roman"/>
        </w:rPr>
        <w:t xml:space="preserve">estimated </w:t>
      </w:r>
      <w:r w:rsidRPr="00354B94">
        <w:rPr>
          <w:rFonts w:cs="Times New Roman"/>
        </w:rPr>
        <w:t>value of over £1 trillion</w:t>
      </w:r>
      <w:r w:rsidR="00D13B3B" w:rsidRPr="00354B94">
        <w:rPr>
          <w:rFonts w:cs="Times New Roman"/>
        </w:rPr>
        <w:t>.</w:t>
      </w:r>
      <w:r w:rsidRPr="00354B94">
        <w:rPr>
          <w:rStyle w:val="FootnoteReference"/>
          <w:rFonts w:cs="Times New Roman"/>
        </w:rPr>
        <w:footnoteReference w:id="59"/>
      </w:r>
      <w:r w:rsidR="0065147B" w:rsidRPr="00354B94">
        <w:rPr>
          <w:rFonts w:cs="Times New Roman"/>
        </w:rPr>
        <w:t xml:space="preserve"> This is very much at odds with the UK Government’s approach </w:t>
      </w:r>
      <w:r w:rsidRPr="00354B94">
        <w:rPr>
          <w:rFonts w:cs="Times New Roman"/>
        </w:rPr>
        <w:t>to</w:t>
      </w:r>
      <w:r w:rsidR="0065147B" w:rsidRPr="00354B94">
        <w:rPr>
          <w:rFonts w:cs="Times New Roman"/>
        </w:rPr>
        <w:t xml:space="preserve"> using the revenues to</w:t>
      </w:r>
      <w:r w:rsidRPr="00354B94">
        <w:rPr>
          <w:rFonts w:cs="Times New Roman"/>
        </w:rPr>
        <w:t xml:space="preserve"> offset short-term budget problems. </w:t>
      </w:r>
    </w:p>
    <w:p w14:paraId="01BB4606" w14:textId="5E880BBD" w:rsidR="00122489" w:rsidRPr="00354B94" w:rsidRDefault="00122489" w:rsidP="00122489">
      <w:pPr>
        <w:pStyle w:val="Caption"/>
        <w:keepNext/>
        <w:jc w:val="left"/>
        <w:rPr>
          <w:rFonts w:cs="Times New Roman"/>
          <w:szCs w:val="22"/>
        </w:rPr>
      </w:pPr>
      <w:r w:rsidRPr="00354B94">
        <w:rPr>
          <w:rFonts w:cs="Times New Roman"/>
          <w:szCs w:val="22"/>
        </w:rPr>
        <w:lastRenderedPageBreak/>
        <w:t xml:space="preserve">Figure 3 Tax Revenues from the Extraction of Oil and Gas in the UK and Norway in £ per </w:t>
      </w:r>
      <w:r w:rsidR="004C7D20" w:rsidRPr="00354B94">
        <w:rPr>
          <w:rFonts w:cs="Times New Roman"/>
          <w:szCs w:val="22"/>
        </w:rPr>
        <w:t>T</w:t>
      </w:r>
      <w:r w:rsidRPr="00354B94">
        <w:rPr>
          <w:rFonts w:cs="Times New Roman"/>
          <w:szCs w:val="22"/>
        </w:rPr>
        <w:t xml:space="preserve">onne (Left) and Oil and Gas Production in </w:t>
      </w:r>
      <w:r w:rsidR="004C7D20" w:rsidRPr="00354B94">
        <w:rPr>
          <w:rFonts w:cs="Times New Roman"/>
          <w:szCs w:val="22"/>
        </w:rPr>
        <w:t>M</w:t>
      </w:r>
      <w:r w:rsidRPr="00354B94">
        <w:rPr>
          <w:rFonts w:cs="Times New Roman"/>
          <w:szCs w:val="22"/>
        </w:rPr>
        <w:t xml:space="preserve">illion </w:t>
      </w:r>
      <w:r w:rsidR="004C7D20" w:rsidRPr="00354B94">
        <w:rPr>
          <w:rFonts w:cs="Times New Roman"/>
          <w:szCs w:val="22"/>
        </w:rPr>
        <w:t>T</w:t>
      </w:r>
      <w:r w:rsidRPr="00354B94">
        <w:rPr>
          <w:rFonts w:cs="Times New Roman"/>
          <w:szCs w:val="22"/>
        </w:rPr>
        <w:t>onnes (Right)</w:t>
      </w:r>
      <w:r w:rsidRPr="00354B94">
        <w:rPr>
          <w:rStyle w:val="FootnoteReference"/>
          <w:rFonts w:cs="Times New Roman"/>
          <w:szCs w:val="22"/>
        </w:rPr>
        <w:footnoteReference w:id="60"/>
      </w:r>
    </w:p>
    <w:p w14:paraId="69D0A51C" w14:textId="20E0CA3B" w:rsidR="00122489" w:rsidRPr="00354B94" w:rsidRDefault="00122489" w:rsidP="00122489">
      <w:pPr>
        <w:ind w:firstLine="0"/>
        <w:rPr>
          <w:rFonts w:cs="Times New Roman"/>
        </w:rPr>
      </w:pPr>
      <w:r w:rsidRPr="00354B94">
        <w:rPr>
          <w:rFonts w:cs="Times New Roman"/>
          <w:noProof/>
          <w:lang w:val="en-US"/>
        </w:rPr>
        <mc:AlternateContent>
          <mc:Choice Requires="wps">
            <w:drawing>
              <wp:inline distT="0" distB="0" distL="0" distR="0" wp14:anchorId="6ABAFE84" wp14:editId="58773733">
                <wp:extent cx="5593080" cy="2819400"/>
                <wp:effectExtent l="0" t="0" r="26670" b="19050"/>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3080" cy="2819400"/>
                        </a:xfrm>
                        <a:prstGeom prst="rect">
                          <a:avLst/>
                        </a:prstGeom>
                        <a:solidFill>
                          <a:srgbClr val="FFFFFF"/>
                        </a:solidFill>
                        <a:ln w="9525">
                          <a:solidFill>
                            <a:schemeClr val="bg1">
                              <a:lumMod val="85000"/>
                            </a:schemeClr>
                          </a:solidFill>
                          <a:miter lim="800000"/>
                          <a:headEnd/>
                          <a:tailEnd/>
                        </a:ln>
                      </wps:spPr>
                      <wps:txbx>
                        <w:txbxContent>
                          <w:p w14:paraId="2AB946E0" w14:textId="357CFD48" w:rsidR="00122489" w:rsidRDefault="008E3D99" w:rsidP="001313E6">
                            <w:pPr>
                              <w:ind w:firstLine="0"/>
                            </w:pPr>
                            <w:r>
                              <w:rPr>
                                <w:noProof/>
                                <w:lang w:val="en-US"/>
                              </w:rPr>
                              <w:drawing>
                                <wp:inline distT="0" distB="0" distL="0" distR="0" wp14:anchorId="7966FB9C" wp14:editId="4D593106">
                                  <wp:extent cx="3086100" cy="2705100"/>
                                  <wp:effectExtent l="0" t="0" r="0" b="0"/>
                                  <wp:docPr id="14" name="Chart 14">
                                    <a:extLst xmlns:a="http://schemas.openxmlformats.org/drawingml/2006/main">
                                      <a:ext uri="{FF2B5EF4-FFF2-40B4-BE49-F238E27FC236}">
                                        <a16:creationId xmlns:a16="http://schemas.microsoft.com/office/drawing/2014/main" id="{D99D3571-5F26-C21B-7286-119FF8076E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2E6A76">
                              <w:rPr>
                                <w:noProof/>
                              </w:rPr>
                              <w:t xml:space="preserve"> </w:t>
                            </w:r>
                            <w:r w:rsidR="00122489" w:rsidRPr="00122489">
                              <w:rPr>
                                <w:noProof/>
                              </w:rPr>
                              <w:t xml:space="preserve"> </w:t>
                            </w:r>
                            <w:r w:rsidR="00495C43">
                              <w:rPr>
                                <w:noProof/>
                                <w:lang w:val="en-US"/>
                              </w:rPr>
                              <w:drawing>
                                <wp:inline distT="0" distB="0" distL="0" distR="0" wp14:anchorId="457AD1E7" wp14:editId="666F7C66">
                                  <wp:extent cx="2194560" cy="2712720"/>
                                  <wp:effectExtent l="0" t="0" r="0" b="0"/>
                                  <wp:docPr id="1" name="Chart 1">
                                    <a:extLst xmlns:a="http://schemas.openxmlformats.org/drawingml/2006/main">
                                      <a:ext uri="{FF2B5EF4-FFF2-40B4-BE49-F238E27FC236}">
                                        <a16:creationId xmlns:a16="http://schemas.microsoft.com/office/drawing/2014/main" id="{9088DDD3-B38F-EA3D-BA7F-9D5A4A73F4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xbxContent>
                      </wps:txbx>
                      <wps:bodyPr rot="0" vert="horz" wrap="square" lIns="91440" tIns="45720" rIns="91440" bIns="45720" anchor="t" anchorCtr="0">
                        <a:noAutofit/>
                      </wps:bodyPr>
                    </wps:wsp>
                  </a:graphicData>
                </a:graphic>
              </wp:inline>
            </w:drawing>
          </mc:Choice>
          <mc:Fallback>
            <w:pict>
              <v:shape w14:anchorId="6ABAFE84" id="_x0000_s1027" type="#_x0000_t202" style="width:440.4pt;height:22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" strokecolor="#d8d8d8 [2732]">
                <v:textbox>
                  <w:txbxContent>
                    <w:p w14:paraId="2AB946E0" w14:textId="357CFD48" w:rsidR="00122489" w:rsidRDefault="008E3D99" w:rsidP="001313E6">
                      <w:pPr>
                        <w:ind w:firstLine="0"/>
                      </w:pPr>
                      <w:r>
                        <w:rPr>
                          <w:noProof/>
                          <w:lang w:val="en-US"/>
                        </w:rPr>
                        <w:drawing>
                          <wp:inline distT="0" distB="0" distL="0" distR="0" wp14:anchorId="7966FB9C" wp14:editId="4D593106">
                            <wp:extent cx="3086100" cy="2705100"/>
                            <wp:effectExtent l="0" t="0" r="0" b="0"/>
                            <wp:docPr id="14" name="Chart 14">
                              <a:extLst xmlns:a="http://schemas.openxmlformats.org/drawingml/2006/main">
                                <a:ext uri="{FF2B5EF4-FFF2-40B4-BE49-F238E27FC236}">
                                  <a16:creationId xmlns:a16="http://schemas.microsoft.com/office/drawing/2014/main" id="{D99D3571-5F26-C21B-7286-119FF8076E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2E6A76">
                        <w:rPr>
                          <w:noProof/>
                        </w:rPr>
                        <w:t xml:space="preserve"> </w:t>
                      </w:r>
                      <w:r w:rsidR="00122489" w:rsidRPr="00122489">
                        <w:rPr>
                          <w:noProof/>
                        </w:rPr>
                        <w:t xml:space="preserve"> </w:t>
                      </w:r>
                      <w:r w:rsidR="00495C43">
                        <w:rPr>
                          <w:noProof/>
                          <w:lang w:val="en-US"/>
                        </w:rPr>
                        <w:drawing>
                          <wp:inline distT="0" distB="0" distL="0" distR="0" wp14:anchorId="457AD1E7" wp14:editId="666F7C66">
                            <wp:extent cx="2194560" cy="2712720"/>
                            <wp:effectExtent l="0" t="0" r="0" b="0"/>
                            <wp:docPr id="1" name="Chart 1">
                              <a:extLst xmlns:a="http://schemas.openxmlformats.org/drawingml/2006/main">
                                <a:ext uri="{FF2B5EF4-FFF2-40B4-BE49-F238E27FC236}">
                                  <a16:creationId xmlns:a16="http://schemas.microsoft.com/office/drawing/2014/main" id="{9088DDD3-B38F-EA3D-BA7F-9D5A4A73F4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xbxContent>
                </v:textbox>
                <w10:anchorlock/>
              </v:shape>
            </w:pict>
          </mc:Fallback>
        </mc:AlternateContent>
      </w:r>
    </w:p>
    <w:p w14:paraId="79085BF8" w14:textId="04D65C92" w:rsidR="00CC46A4" w:rsidRPr="00354B94" w:rsidRDefault="001D495F" w:rsidP="001821D8">
      <w:pPr>
        <w:spacing w:before="240"/>
        <w:rPr>
          <w:rFonts w:cs="Times New Roman"/>
        </w:rPr>
      </w:pPr>
      <w:r w:rsidRPr="00354B94">
        <w:rPr>
          <w:rFonts w:cs="Times New Roman"/>
        </w:rPr>
        <w:t>I</w:t>
      </w:r>
      <w:r w:rsidR="00122489" w:rsidRPr="00354B94">
        <w:rPr>
          <w:rFonts w:cs="Times New Roman"/>
        </w:rPr>
        <w:t>t</w:t>
      </w:r>
      <w:r w:rsidR="002C7211" w:rsidRPr="00354B94">
        <w:rPr>
          <w:rFonts w:cs="Times New Roman"/>
        </w:rPr>
        <w:t xml:space="preserve"> is</w:t>
      </w:r>
      <w:r w:rsidR="00122489" w:rsidRPr="00354B94">
        <w:rPr>
          <w:rFonts w:cs="Times New Roman"/>
        </w:rPr>
        <w:t xml:space="preserve"> </w:t>
      </w:r>
      <w:r w:rsidR="00C3492A" w:rsidRPr="00354B94">
        <w:rPr>
          <w:rFonts w:cs="Times New Roman"/>
        </w:rPr>
        <w:t>doubtful</w:t>
      </w:r>
      <w:r w:rsidR="002C7211" w:rsidRPr="00354B94">
        <w:rPr>
          <w:rFonts w:cs="Times New Roman"/>
        </w:rPr>
        <w:t xml:space="preserve"> whether the current design of EPL has a high potential </w:t>
      </w:r>
      <w:r w:rsidR="00C125E2" w:rsidRPr="00354B94">
        <w:rPr>
          <w:rFonts w:cs="Times New Roman"/>
        </w:rPr>
        <w:t>to</w:t>
      </w:r>
      <w:r w:rsidR="00C3492A" w:rsidRPr="00354B94">
        <w:rPr>
          <w:rFonts w:cs="Times New Roman"/>
        </w:rPr>
        <w:t xml:space="preserve"> offset </w:t>
      </w:r>
      <w:r w:rsidR="0065147B" w:rsidRPr="00354B94">
        <w:rPr>
          <w:rFonts w:cs="Times New Roman"/>
        </w:rPr>
        <w:t>costs related to</w:t>
      </w:r>
      <w:r w:rsidR="0048036F" w:rsidRPr="00354B94">
        <w:rPr>
          <w:rFonts w:cs="Times New Roman"/>
        </w:rPr>
        <w:t xml:space="preserve"> the support for the </w:t>
      </w:r>
      <w:proofErr w:type="gramStart"/>
      <w:r w:rsidR="0048036F" w:rsidRPr="00354B94">
        <w:rPr>
          <w:rFonts w:cs="Times New Roman"/>
        </w:rPr>
        <w:t>cost of living</w:t>
      </w:r>
      <w:proofErr w:type="gramEnd"/>
      <w:r w:rsidR="0048036F" w:rsidRPr="00354B94">
        <w:rPr>
          <w:rFonts w:cs="Times New Roman"/>
        </w:rPr>
        <w:t xml:space="preserve"> crisis. </w:t>
      </w:r>
      <w:r w:rsidR="00122489" w:rsidRPr="00354B94">
        <w:rPr>
          <w:rFonts w:cs="Times New Roman"/>
        </w:rPr>
        <w:t>It</w:t>
      </w:r>
      <w:r w:rsidR="002C7211" w:rsidRPr="00354B94">
        <w:rPr>
          <w:rFonts w:cs="Times New Roman"/>
        </w:rPr>
        <w:t xml:space="preserve"> could potentially result in substantially higher tax receipts only if companies have very </w:t>
      </w:r>
      <w:r w:rsidR="00076844" w:rsidRPr="00354B94">
        <w:rPr>
          <w:rFonts w:cs="Times New Roman"/>
        </w:rPr>
        <w:t>considerable</w:t>
      </w:r>
      <w:r w:rsidR="002C7211" w:rsidRPr="00354B94">
        <w:rPr>
          <w:rFonts w:cs="Times New Roman"/>
        </w:rPr>
        <w:t xml:space="preserve"> costs of debt finance </w:t>
      </w:r>
      <w:r w:rsidR="00FB782E" w:rsidRPr="00354B94">
        <w:rPr>
          <w:rFonts w:cs="Times New Roman"/>
        </w:rPr>
        <w:t xml:space="preserve">or losses offsetting RFCT and SC </w:t>
      </w:r>
      <w:r w:rsidR="002C7211" w:rsidRPr="00354B94">
        <w:rPr>
          <w:rFonts w:cs="Times New Roman"/>
        </w:rPr>
        <w:t xml:space="preserve">as </w:t>
      </w:r>
      <w:r w:rsidR="00FB782E" w:rsidRPr="00354B94">
        <w:rPr>
          <w:rFonts w:cs="Times New Roman"/>
        </w:rPr>
        <w:t>they are</w:t>
      </w:r>
      <w:r w:rsidR="002C7211" w:rsidRPr="00354B94">
        <w:rPr>
          <w:rFonts w:cs="Times New Roman"/>
        </w:rPr>
        <w:t xml:space="preserve"> not deductible</w:t>
      </w:r>
      <w:r w:rsidR="003A407D" w:rsidRPr="00354B94">
        <w:rPr>
          <w:rFonts w:cs="Times New Roman"/>
        </w:rPr>
        <w:t xml:space="preserve"> for the purpose of EPL</w:t>
      </w:r>
      <w:r w:rsidR="002C7211" w:rsidRPr="00354B94">
        <w:rPr>
          <w:rFonts w:cs="Times New Roman"/>
        </w:rPr>
        <w:t>.</w:t>
      </w:r>
      <w:r w:rsidR="00A50578" w:rsidRPr="00354B94">
        <w:rPr>
          <w:rFonts w:cs="Times New Roman"/>
        </w:rPr>
        <w:t xml:space="preserve"> </w:t>
      </w:r>
      <w:r w:rsidR="00412180" w:rsidRPr="00354B94">
        <w:rPr>
          <w:rFonts w:cs="Times New Roman"/>
        </w:rPr>
        <w:t xml:space="preserve">The proportions on the left graph in Figure 2 suggest that historically </w:t>
      </w:r>
      <w:r w:rsidR="00457B32" w:rsidRPr="00354B94">
        <w:rPr>
          <w:rFonts w:cs="Times New Roman"/>
        </w:rPr>
        <w:t xml:space="preserve">companies in </w:t>
      </w:r>
      <w:r w:rsidR="006C712C" w:rsidRPr="00354B94">
        <w:rPr>
          <w:rFonts w:cs="Times New Roman"/>
        </w:rPr>
        <w:t xml:space="preserve">the </w:t>
      </w:r>
      <w:r w:rsidR="00457B32" w:rsidRPr="00354B94">
        <w:rPr>
          <w:rFonts w:cs="Times New Roman"/>
        </w:rPr>
        <w:t>oil and gas extraction sector</w:t>
      </w:r>
      <w:r w:rsidR="000F2EB6" w:rsidRPr="00354B94">
        <w:rPr>
          <w:rFonts w:cs="Times New Roman"/>
        </w:rPr>
        <w:t xml:space="preserve"> seem to </w:t>
      </w:r>
      <w:r w:rsidR="0065147B" w:rsidRPr="00354B94">
        <w:rPr>
          <w:rFonts w:cs="Times New Roman"/>
        </w:rPr>
        <w:t xml:space="preserve">be </w:t>
      </w:r>
      <w:r w:rsidR="00171926" w:rsidRPr="00354B94">
        <w:rPr>
          <w:rFonts w:cs="Times New Roman"/>
        </w:rPr>
        <w:t xml:space="preserve">likely to offset </w:t>
      </w:r>
      <w:r w:rsidR="008E48EA" w:rsidRPr="00354B94">
        <w:rPr>
          <w:rFonts w:cs="Times New Roman"/>
        </w:rPr>
        <w:t>taxa</w:t>
      </w:r>
      <w:r w:rsidR="00412180" w:rsidRPr="00354B94">
        <w:rPr>
          <w:rFonts w:cs="Times New Roman"/>
        </w:rPr>
        <w:t>ble profits</w:t>
      </w:r>
      <w:r w:rsidR="008E48EA" w:rsidRPr="00354B94">
        <w:rPr>
          <w:rFonts w:cs="Times New Roman"/>
        </w:rPr>
        <w:t xml:space="preserve"> through allowances</w:t>
      </w:r>
      <w:r w:rsidR="000F2EB6" w:rsidRPr="00354B94">
        <w:rPr>
          <w:rFonts w:cs="Times New Roman"/>
        </w:rPr>
        <w:t>. Thus, EPL could reasonably be expected to incentivise short-term investment amongst companies already extracting oil and gas</w:t>
      </w:r>
      <w:r w:rsidR="00102D51" w:rsidRPr="00354B94">
        <w:rPr>
          <w:rFonts w:cs="Times New Roman"/>
        </w:rPr>
        <w:t>,</w:t>
      </w:r>
      <w:r w:rsidR="000452A6" w:rsidRPr="00354B94">
        <w:rPr>
          <w:rFonts w:cs="Times New Roman"/>
        </w:rPr>
        <w:t xml:space="preserve"> but less so </w:t>
      </w:r>
      <w:r w:rsidR="00AF5EF3" w:rsidRPr="00354B94">
        <w:rPr>
          <w:rFonts w:cs="Times New Roman"/>
        </w:rPr>
        <w:t>to increase the tax receipt</w:t>
      </w:r>
      <w:r w:rsidR="00122489" w:rsidRPr="00354B94">
        <w:rPr>
          <w:rFonts w:cs="Times New Roman"/>
        </w:rPr>
        <w:t>s</w:t>
      </w:r>
      <w:r w:rsidR="00DC64B9" w:rsidRPr="00354B94">
        <w:rPr>
          <w:rFonts w:cs="Times New Roman"/>
        </w:rPr>
        <w:t>, at least in the shorter term. T</w:t>
      </w:r>
      <w:r w:rsidR="00CC46A4" w:rsidRPr="00354B94">
        <w:rPr>
          <w:rFonts w:cs="Times New Roman"/>
        </w:rPr>
        <w:t>he</w:t>
      </w:r>
      <w:r w:rsidR="00DC64B9" w:rsidRPr="00354B94">
        <w:rPr>
          <w:rFonts w:cs="Times New Roman"/>
        </w:rPr>
        <w:t xml:space="preserve"> revenue from these</w:t>
      </w:r>
      <w:r w:rsidR="00CC46A4" w:rsidRPr="00354B94">
        <w:rPr>
          <w:rFonts w:cs="Times New Roman"/>
        </w:rPr>
        <w:t xml:space="preserve"> </w:t>
      </w:r>
      <w:r w:rsidR="00906872" w:rsidRPr="00354B94">
        <w:rPr>
          <w:rFonts w:cs="Times New Roman"/>
        </w:rPr>
        <w:t xml:space="preserve">investments </w:t>
      </w:r>
      <w:r w:rsidR="006D0988" w:rsidRPr="00354B94">
        <w:rPr>
          <w:rFonts w:cs="Times New Roman"/>
        </w:rPr>
        <w:t>is</w:t>
      </w:r>
      <w:r w:rsidR="00906872" w:rsidRPr="00354B94">
        <w:rPr>
          <w:rFonts w:cs="Times New Roman"/>
        </w:rPr>
        <w:t xml:space="preserve"> likely to </w:t>
      </w:r>
      <w:r w:rsidR="00DC64B9" w:rsidRPr="00354B94">
        <w:rPr>
          <w:rFonts w:cs="Times New Roman"/>
        </w:rPr>
        <w:t>take years to generate</w:t>
      </w:r>
      <w:r w:rsidR="00C44E36" w:rsidRPr="00354B94">
        <w:rPr>
          <w:rFonts w:cs="Times New Roman"/>
        </w:rPr>
        <w:t>,</w:t>
      </w:r>
      <w:r w:rsidR="00DC64B9" w:rsidRPr="00354B94">
        <w:rPr>
          <w:rFonts w:cs="Times New Roman"/>
        </w:rPr>
        <w:t xml:space="preserve"> </w:t>
      </w:r>
      <w:r w:rsidR="00C44E36" w:rsidRPr="00354B94">
        <w:rPr>
          <w:rFonts w:cs="Times New Roman"/>
        </w:rPr>
        <w:t>which</w:t>
      </w:r>
      <w:r w:rsidR="00DC64B9" w:rsidRPr="00354B94">
        <w:rPr>
          <w:rFonts w:cs="Times New Roman"/>
        </w:rPr>
        <w:t xml:space="preserve"> could be well beyond</w:t>
      </w:r>
      <w:r w:rsidR="006D0988" w:rsidRPr="00354B94">
        <w:rPr>
          <w:rFonts w:cs="Times New Roman"/>
        </w:rPr>
        <w:t xml:space="preserve"> the timescale of</w:t>
      </w:r>
      <w:r w:rsidR="00DC64B9" w:rsidRPr="00354B94">
        <w:rPr>
          <w:rFonts w:cs="Times New Roman"/>
        </w:rPr>
        <w:t xml:space="preserve"> EPL.</w:t>
      </w:r>
    </w:p>
    <w:p w14:paraId="2D899D1E" w14:textId="6CE0A85C" w:rsidR="00646C4B" w:rsidRPr="00354B94" w:rsidRDefault="0065147B" w:rsidP="008F2201">
      <w:pPr>
        <w:rPr>
          <w:rFonts w:cs="Times New Roman"/>
        </w:rPr>
      </w:pPr>
      <w:r w:rsidRPr="00354B94">
        <w:rPr>
          <w:rFonts w:cs="Times New Roman"/>
        </w:rPr>
        <w:t xml:space="preserve">Moreover, the </w:t>
      </w:r>
      <w:r w:rsidR="00DB14E4" w:rsidRPr="00354B94">
        <w:rPr>
          <w:rFonts w:cs="Times New Roman"/>
        </w:rPr>
        <w:t>relative</w:t>
      </w:r>
      <w:r w:rsidRPr="00354B94">
        <w:rPr>
          <w:rFonts w:cs="Times New Roman"/>
        </w:rPr>
        <w:t xml:space="preserve"> contribution of EPL in the context of costs associated with the support instruments related to the </w:t>
      </w:r>
      <w:proofErr w:type="gramStart"/>
      <w:r w:rsidRPr="00354B94">
        <w:rPr>
          <w:rFonts w:cs="Times New Roman"/>
        </w:rPr>
        <w:t>cost of living</w:t>
      </w:r>
      <w:proofErr w:type="gramEnd"/>
      <w:r w:rsidRPr="00354B94">
        <w:rPr>
          <w:rFonts w:cs="Times New Roman"/>
        </w:rPr>
        <w:t xml:space="preserve"> crisis is likely to be relatively low. </w:t>
      </w:r>
      <w:r w:rsidR="00841CEE" w:rsidRPr="00354B94">
        <w:rPr>
          <w:rFonts w:cs="Times New Roman"/>
        </w:rPr>
        <w:t xml:space="preserve">Even if </w:t>
      </w:r>
      <w:r w:rsidR="00D60B84" w:rsidRPr="00354B94">
        <w:rPr>
          <w:rFonts w:cs="Times New Roman"/>
        </w:rPr>
        <w:t>the Government</w:t>
      </w:r>
      <w:r w:rsidR="00841CEE" w:rsidRPr="00354B94">
        <w:rPr>
          <w:rFonts w:cs="Times New Roman"/>
        </w:rPr>
        <w:t xml:space="preserve"> were to </w:t>
      </w:r>
      <w:r w:rsidR="00F51601" w:rsidRPr="00354B94">
        <w:rPr>
          <w:rFonts w:cs="Times New Roman"/>
        </w:rPr>
        <w:t>collect</w:t>
      </w:r>
      <w:r w:rsidR="002A7614" w:rsidRPr="00354B94">
        <w:rPr>
          <w:rFonts w:cs="Times New Roman"/>
        </w:rPr>
        <w:t xml:space="preserve"> the estimated £5 </w:t>
      </w:r>
      <w:r w:rsidR="00122489" w:rsidRPr="00354B94">
        <w:rPr>
          <w:rFonts w:cs="Times New Roman"/>
        </w:rPr>
        <w:t>billion</w:t>
      </w:r>
      <w:r w:rsidR="00907B12" w:rsidRPr="00354B94">
        <w:rPr>
          <w:rStyle w:val="FootnoteReference"/>
          <w:rFonts w:cs="Times New Roman"/>
        </w:rPr>
        <w:footnoteReference w:id="61"/>
      </w:r>
      <w:r w:rsidR="00F51601" w:rsidRPr="00354B94">
        <w:rPr>
          <w:rFonts w:cs="Times New Roman"/>
        </w:rPr>
        <w:t xml:space="preserve"> as tax revenue</w:t>
      </w:r>
      <w:r w:rsidR="00841CEE" w:rsidRPr="00354B94">
        <w:rPr>
          <w:rFonts w:cs="Times New Roman"/>
        </w:rPr>
        <w:t xml:space="preserve">, it would not cover </w:t>
      </w:r>
      <w:r w:rsidR="00487871" w:rsidRPr="00354B94">
        <w:rPr>
          <w:rFonts w:cs="Times New Roman"/>
        </w:rPr>
        <w:t xml:space="preserve">a </w:t>
      </w:r>
      <w:r w:rsidR="00CF3B12" w:rsidRPr="00354B94">
        <w:rPr>
          <w:rFonts w:cs="Times New Roman"/>
        </w:rPr>
        <w:t>substantial</w:t>
      </w:r>
      <w:r w:rsidR="00487871" w:rsidRPr="00354B94">
        <w:rPr>
          <w:rFonts w:cs="Times New Roman"/>
        </w:rPr>
        <w:t xml:space="preserve"> proportion of</w:t>
      </w:r>
      <w:r w:rsidR="00AD199E" w:rsidRPr="00354B94">
        <w:rPr>
          <w:rFonts w:cs="Times New Roman"/>
        </w:rPr>
        <w:t xml:space="preserve"> these costs</w:t>
      </w:r>
      <w:r w:rsidR="002A7614" w:rsidRPr="00354B94">
        <w:rPr>
          <w:rFonts w:cs="Times New Roman"/>
        </w:rPr>
        <w:t>.</w:t>
      </w:r>
      <w:r w:rsidR="00712D85" w:rsidRPr="00354B94">
        <w:rPr>
          <w:rFonts w:cs="Times New Roman"/>
        </w:rPr>
        <w:t xml:space="preserve"> Since the announcement of EPL, </w:t>
      </w:r>
      <w:r w:rsidR="007A18B7" w:rsidRPr="00354B94">
        <w:rPr>
          <w:rFonts w:cs="Times New Roman"/>
        </w:rPr>
        <w:t>the estimated</w:t>
      </w:r>
      <w:r w:rsidR="003E0D47" w:rsidRPr="00354B94">
        <w:rPr>
          <w:rFonts w:cs="Times New Roman"/>
        </w:rPr>
        <w:t xml:space="preserve"> costs</w:t>
      </w:r>
      <w:r w:rsidR="000F7210" w:rsidRPr="00354B94">
        <w:rPr>
          <w:rFonts w:cs="Times New Roman"/>
        </w:rPr>
        <w:t xml:space="preserve"> of</w:t>
      </w:r>
      <w:r w:rsidR="007A18B7" w:rsidRPr="00354B94">
        <w:rPr>
          <w:rFonts w:cs="Times New Roman"/>
        </w:rPr>
        <w:t xml:space="preserve"> </w:t>
      </w:r>
      <w:r w:rsidR="00681F8E" w:rsidRPr="00354B94">
        <w:rPr>
          <w:rFonts w:cs="Times New Roman"/>
        </w:rPr>
        <w:t>£</w:t>
      </w:r>
      <w:r w:rsidR="00EB4983" w:rsidRPr="00354B94">
        <w:rPr>
          <w:rFonts w:cs="Times New Roman"/>
        </w:rPr>
        <w:t>37 billion</w:t>
      </w:r>
      <w:r w:rsidR="00122489" w:rsidRPr="00354B94">
        <w:rPr>
          <w:rFonts w:cs="Times New Roman"/>
        </w:rPr>
        <w:t xml:space="preserve"> associated with the support for the </w:t>
      </w:r>
      <w:proofErr w:type="gramStart"/>
      <w:r w:rsidR="00122489" w:rsidRPr="00354B94">
        <w:rPr>
          <w:rFonts w:cs="Times New Roman"/>
        </w:rPr>
        <w:t>cost of living</w:t>
      </w:r>
      <w:proofErr w:type="gramEnd"/>
      <w:r w:rsidR="00122489" w:rsidRPr="00354B94">
        <w:rPr>
          <w:rFonts w:cs="Times New Roman"/>
        </w:rPr>
        <w:t xml:space="preserve"> crisis </w:t>
      </w:r>
      <w:r w:rsidR="00634991" w:rsidRPr="00354B94">
        <w:rPr>
          <w:rFonts w:cs="Times New Roman"/>
        </w:rPr>
        <w:t>ha</w:t>
      </w:r>
      <w:r w:rsidR="00D16F9B" w:rsidRPr="00354B94">
        <w:rPr>
          <w:rFonts w:cs="Times New Roman"/>
        </w:rPr>
        <w:t>ve</w:t>
      </w:r>
      <w:r w:rsidR="00634991" w:rsidRPr="00354B94">
        <w:rPr>
          <w:rFonts w:cs="Times New Roman"/>
        </w:rPr>
        <w:t xml:space="preserve"> </w:t>
      </w:r>
      <w:r w:rsidR="00E62C8C" w:rsidRPr="00354B94">
        <w:rPr>
          <w:rFonts w:cs="Times New Roman"/>
        </w:rPr>
        <w:t>most likely risen</w:t>
      </w:r>
      <w:r w:rsidR="008A22BA" w:rsidRPr="00354B94">
        <w:rPr>
          <w:rFonts w:cs="Times New Roman"/>
        </w:rPr>
        <w:t xml:space="preserve"> at least</w:t>
      </w:r>
      <w:r w:rsidR="000F7210" w:rsidRPr="00354B94">
        <w:rPr>
          <w:rFonts w:cs="Times New Roman"/>
        </w:rPr>
        <w:t xml:space="preserve"> by a factor of </w:t>
      </w:r>
      <w:r w:rsidR="004E0ACD" w:rsidRPr="00354B94">
        <w:rPr>
          <w:rFonts w:cs="Times New Roman"/>
        </w:rPr>
        <w:t>three</w:t>
      </w:r>
      <w:r w:rsidR="00D05F9D" w:rsidRPr="00354B94">
        <w:rPr>
          <w:rFonts w:cs="Times New Roman"/>
        </w:rPr>
        <w:t xml:space="preserve"> with the </w:t>
      </w:r>
      <w:r w:rsidR="00D05F9D" w:rsidRPr="00354B94">
        <w:rPr>
          <w:rFonts w:cs="Times New Roman"/>
        </w:rPr>
        <w:lastRenderedPageBreak/>
        <w:t>introduction of the Energy Price Guarantee</w:t>
      </w:r>
      <w:r w:rsidR="000706B9" w:rsidRPr="00354B94">
        <w:rPr>
          <w:rFonts w:cs="Times New Roman"/>
        </w:rPr>
        <w:t xml:space="preserve"> and </w:t>
      </w:r>
      <w:r w:rsidR="00782EAE" w:rsidRPr="00354B94">
        <w:rPr>
          <w:rFonts w:cs="Times New Roman"/>
        </w:rPr>
        <w:t xml:space="preserve">the </w:t>
      </w:r>
      <w:r w:rsidR="000706B9" w:rsidRPr="00354B94">
        <w:rPr>
          <w:rFonts w:cs="Times New Roman"/>
        </w:rPr>
        <w:t>Energy Bill Relief Scheme</w:t>
      </w:r>
      <w:r w:rsidR="0040253B" w:rsidRPr="00354B94">
        <w:rPr>
          <w:rFonts w:cs="Times New Roman"/>
        </w:rPr>
        <w:t>.</w:t>
      </w:r>
      <w:r w:rsidR="00CC195E" w:rsidRPr="00354B94">
        <w:rPr>
          <w:rStyle w:val="FootnoteReference"/>
          <w:rFonts w:cs="Times New Roman"/>
        </w:rPr>
        <w:footnoteReference w:id="62"/>
      </w:r>
      <w:r w:rsidR="006316C2" w:rsidRPr="00354B94">
        <w:rPr>
          <w:rFonts w:cs="Times New Roman"/>
        </w:rPr>
        <w:t xml:space="preserve"> </w:t>
      </w:r>
      <w:r w:rsidR="00603730" w:rsidRPr="00354B94">
        <w:rPr>
          <w:rFonts w:cs="Times New Roman"/>
        </w:rPr>
        <w:t>EPL could potentially result in</w:t>
      </w:r>
      <w:r w:rsidR="006D746D" w:rsidRPr="00354B94">
        <w:rPr>
          <w:rFonts w:cs="Times New Roman"/>
        </w:rPr>
        <w:t xml:space="preserve"> </w:t>
      </w:r>
      <w:r w:rsidR="004E426B" w:rsidRPr="00354B94">
        <w:rPr>
          <w:rFonts w:cs="Times New Roman"/>
        </w:rPr>
        <w:t xml:space="preserve">slightly </w:t>
      </w:r>
      <w:r w:rsidR="006A4E8E" w:rsidRPr="00354B94">
        <w:rPr>
          <w:rFonts w:cs="Times New Roman"/>
        </w:rPr>
        <w:t>greater</w:t>
      </w:r>
      <w:r w:rsidR="00603730" w:rsidRPr="00354B94">
        <w:rPr>
          <w:rFonts w:cs="Times New Roman"/>
        </w:rPr>
        <w:t xml:space="preserve"> tax revenue</w:t>
      </w:r>
      <w:r w:rsidR="0006419E" w:rsidRPr="00354B94">
        <w:rPr>
          <w:rFonts w:cs="Times New Roman"/>
        </w:rPr>
        <w:t xml:space="preserve">, but </w:t>
      </w:r>
      <w:r w:rsidR="004E426B" w:rsidRPr="00354B94">
        <w:rPr>
          <w:rFonts w:cs="Times New Roman"/>
        </w:rPr>
        <w:t xml:space="preserve">this would require reconsidering </w:t>
      </w:r>
      <w:r w:rsidR="00603730" w:rsidRPr="00354B94">
        <w:rPr>
          <w:rFonts w:cs="Times New Roman"/>
        </w:rPr>
        <w:t>allowances</w:t>
      </w:r>
      <w:r w:rsidR="00722B6D" w:rsidRPr="00354B94">
        <w:rPr>
          <w:rFonts w:cs="Times New Roman"/>
        </w:rPr>
        <w:t>.</w:t>
      </w:r>
      <w:r w:rsidR="00C6507F" w:rsidRPr="00354B94">
        <w:rPr>
          <w:rFonts w:cs="Times New Roman"/>
        </w:rPr>
        <w:t xml:space="preserve"> </w:t>
      </w:r>
      <w:r w:rsidR="00A921BD" w:rsidRPr="00354B94">
        <w:rPr>
          <w:rFonts w:cs="Times New Roman"/>
        </w:rPr>
        <w:t>EPL could also be extended</w:t>
      </w:r>
      <w:r w:rsidR="004703BD" w:rsidRPr="00354B94">
        <w:rPr>
          <w:rFonts w:cs="Times New Roman"/>
        </w:rPr>
        <w:t xml:space="preserve"> to </w:t>
      </w:r>
      <w:r w:rsidR="00FB42A6" w:rsidRPr="00354B94">
        <w:rPr>
          <w:rFonts w:cs="Times New Roman"/>
        </w:rPr>
        <w:t xml:space="preserve">the </w:t>
      </w:r>
      <w:r w:rsidR="00EB05C4" w:rsidRPr="00354B94">
        <w:rPr>
          <w:rFonts w:cs="Times New Roman"/>
        </w:rPr>
        <w:t>electricity generation sector</w:t>
      </w:r>
      <w:r w:rsidR="00A97D53" w:rsidRPr="00354B94">
        <w:rPr>
          <w:rFonts w:cs="Times New Roman"/>
        </w:rPr>
        <w:t>, which also experience</w:t>
      </w:r>
      <w:r w:rsidR="00906D73" w:rsidRPr="00354B94">
        <w:rPr>
          <w:rFonts w:cs="Times New Roman"/>
        </w:rPr>
        <w:t>d an uplift in profit</w:t>
      </w:r>
      <w:r w:rsidR="00C6507F" w:rsidRPr="00354B94">
        <w:rPr>
          <w:rFonts w:cs="Times New Roman"/>
        </w:rPr>
        <w:t>s</w:t>
      </w:r>
      <w:r w:rsidR="004E426B" w:rsidRPr="00354B94">
        <w:rPr>
          <w:rFonts w:cs="Times New Roman"/>
        </w:rPr>
        <w:t xml:space="preserve"> owning to higher global prices</w:t>
      </w:r>
      <w:r w:rsidR="006D746D" w:rsidRPr="00354B94">
        <w:rPr>
          <w:rFonts w:cs="Times New Roman"/>
        </w:rPr>
        <w:t>.</w:t>
      </w:r>
      <w:r w:rsidR="00C6507F" w:rsidRPr="00354B94">
        <w:rPr>
          <w:rFonts w:cs="Times New Roman"/>
        </w:rPr>
        <w:t xml:space="preserve"> </w:t>
      </w:r>
      <w:r w:rsidR="00621F9B" w:rsidRPr="00354B94">
        <w:rPr>
          <w:rFonts w:cs="Times New Roman"/>
        </w:rPr>
        <w:t xml:space="preserve">This, however, needs to be </w:t>
      </w:r>
      <w:r w:rsidR="00517DC9" w:rsidRPr="00354B94">
        <w:rPr>
          <w:rFonts w:cs="Times New Roman"/>
        </w:rPr>
        <w:t>carefully</w:t>
      </w:r>
      <w:r w:rsidR="00621F9B" w:rsidRPr="00354B94">
        <w:rPr>
          <w:rFonts w:cs="Times New Roman"/>
        </w:rPr>
        <w:t xml:space="preserve"> </w:t>
      </w:r>
      <w:r w:rsidR="00301923" w:rsidRPr="00354B94">
        <w:rPr>
          <w:rFonts w:cs="Times New Roman"/>
        </w:rPr>
        <w:t>scrutinised</w:t>
      </w:r>
      <w:r w:rsidR="00156808" w:rsidRPr="00354B94">
        <w:rPr>
          <w:rFonts w:cs="Times New Roman"/>
        </w:rPr>
        <w:t xml:space="preserve"> </w:t>
      </w:r>
      <w:r w:rsidR="005F699D" w:rsidRPr="00354B94">
        <w:rPr>
          <w:rFonts w:cs="Times New Roman"/>
        </w:rPr>
        <w:t>as</w:t>
      </w:r>
      <w:r w:rsidR="00B01DF3" w:rsidRPr="00354B94">
        <w:rPr>
          <w:rFonts w:cs="Times New Roman"/>
        </w:rPr>
        <w:t>,</w:t>
      </w:r>
      <w:r w:rsidR="005F699D" w:rsidRPr="00354B94">
        <w:rPr>
          <w:rFonts w:cs="Times New Roman"/>
        </w:rPr>
        <w:t xml:space="preserve"> </w:t>
      </w:r>
      <w:r w:rsidR="009D5BFA" w:rsidRPr="00354B94">
        <w:rPr>
          <w:rFonts w:cs="Times New Roman"/>
        </w:rPr>
        <w:t>amongst other issues</w:t>
      </w:r>
      <w:r w:rsidR="00B01DF3" w:rsidRPr="00354B94">
        <w:rPr>
          <w:rFonts w:cs="Times New Roman"/>
        </w:rPr>
        <w:t>,</w:t>
      </w:r>
      <w:r w:rsidR="009D5BFA" w:rsidRPr="00354B94">
        <w:rPr>
          <w:rFonts w:cs="Times New Roman"/>
        </w:rPr>
        <w:t xml:space="preserve"> </w:t>
      </w:r>
      <w:r w:rsidR="005F699D" w:rsidRPr="00354B94">
        <w:rPr>
          <w:rFonts w:cs="Times New Roman"/>
        </w:rPr>
        <w:t xml:space="preserve">it could </w:t>
      </w:r>
      <w:r w:rsidR="00B72F0C" w:rsidRPr="00354B94">
        <w:rPr>
          <w:rFonts w:cs="Times New Roman"/>
        </w:rPr>
        <w:t>be harmful to</w:t>
      </w:r>
      <w:r w:rsidR="005F699D" w:rsidRPr="00354B94">
        <w:rPr>
          <w:rFonts w:cs="Times New Roman"/>
        </w:rPr>
        <w:t xml:space="preserve"> meeting the net zero target by 2050</w:t>
      </w:r>
      <w:r w:rsidR="00BA4F67" w:rsidRPr="00354B94">
        <w:rPr>
          <w:rStyle w:val="FootnoteReference"/>
          <w:rFonts w:cs="Times New Roman"/>
        </w:rPr>
        <w:footnoteReference w:id="63"/>
      </w:r>
      <w:r w:rsidR="00B44208" w:rsidRPr="00354B94">
        <w:rPr>
          <w:rFonts w:cs="Times New Roman"/>
        </w:rPr>
        <w:t xml:space="preserve"> </w:t>
      </w:r>
      <w:r w:rsidR="00721F8A" w:rsidRPr="00354B94">
        <w:rPr>
          <w:rFonts w:cs="Times New Roman"/>
        </w:rPr>
        <w:t>since more than</w:t>
      </w:r>
      <w:r w:rsidR="00B44208" w:rsidRPr="00354B94">
        <w:rPr>
          <w:rFonts w:cs="Times New Roman"/>
        </w:rPr>
        <w:t xml:space="preserve"> 40 per cent </w:t>
      </w:r>
      <w:r w:rsidR="005F699D" w:rsidRPr="00354B94">
        <w:rPr>
          <w:rFonts w:cs="Times New Roman"/>
        </w:rPr>
        <w:t xml:space="preserve">of </w:t>
      </w:r>
      <w:r w:rsidR="00722B6D" w:rsidRPr="00354B94">
        <w:rPr>
          <w:rFonts w:cs="Times New Roman"/>
        </w:rPr>
        <w:t xml:space="preserve">UK </w:t>
      </w:r>
      <w:r w:rsidR="005F699D" w:rsidRPr="00354B94">
        <w:rPr>
          <w:rFonts w:cs="Times New Roman"/>
        </w:rPr>
        <w:t>electricity is generated by renew</w:t>
      </w:r>
      <w:r w:rsidR="006A4E8E" w:rsidRPr="00354B94">
        <w:rPr>
          <w:rFonts w:cs="Times New Roman"/>
        </w:rPr>
        <w:t>able sources</w:t>
      </w:r>
      <w:r w:rsidR="00A9235F" w:rsidRPr="00354B94">
        <w:rPr>
          <w:rFonts w:cs="Times New Roman"/>
        </w:rPr>
        <w:t>.</w:t>
      </w:r>
      <w:r w:rsidR="00931D2D" w:rsidRPr="00354B94">
        <w:rPr>
          <w:rStyle w:val="FootnoteReference"/>
          <w:rFonts w:cs="Times New Roman"/>
        </w:rPr>
        <w:footnoteReference w:id="64"/>
      </w:r>
      <w:r w:rsidR="006A4E8E" w:rsidRPr="00354B94">
        <w:rPr>
          <w:rFonts w:cs="Times New Roman"/>
        </w:rPr>
        <w:t xml:space="preserve"> </w:t>
      </w:r>
      <w:r w:rsidR="00A9235F" w:rsidRPr="00354B94">
        <w:rPr>
          <w:rFonts w:cs="Times New Roman"/>
        </w:rPr>
        <w:t>Additionally, t</w:t>
      </w:r>
      <w:r w:rsidR="00110F48" w:rsidRPr="00354B94">
        <w:rPr>
          <w:rFonts w:cs="Times New Roman"/>
        </w:rPr>
        <w:t>hese</w:t>
      </w:r>
      <w:r w:rsidR="00B86C78" w:rsidRPr="00354B94">
        <w:rPr>
          <w:rFonts w:cs="Times New Roman"/>
        </w:rPr>
        <w:t xml:space="preserve"> solutions </w:t>
      </w:r>
      <w:r w:rsidR="00722B6D" w:rsidRPr="00354B94">
        <w:rPr>
          <w:rFonts w:cs="Times New Roman"/>
        </w:rPr>
        <w:t xml:space="preserve">would </w:t>
      </w:r>
      <w:r w:rsidR="00B86C78" w:rsidRPr="00354B94">
        <w:rPr>
          <w:rFonts w:cs="Times New Roman"/>
        </w:rPr>
        <w:t>not</w:t>
      </w:r>
      <w:r w:rsidR="00517DC9" w:rsidRPr="00354B94">
        <w:rPr>
          <w:rFonts w:cs="Times New Roman"/>
        </w:rPr>
        <w:t xml:space="preserve"> be</w:t>
      </w:r>
      <w:r w:rsidR="00B86C78" w:rsidRPr="00354B94">
        <w:rPr>
          <w:rFonts w:cs="Times New Roman"/>
        </w:rPr>
        <w:t xml:space="preserve"> </w:t>
      </w:r>
      <w:r w:rsidR="00110F48" w:rsidRPr="00354B94">
        <w:rPr>
          <w:rFonts w:cs="Times New Roman"/>
        </w:rPr>
        <w:t>optimal</w:t>
      </w:r>
      <w:r w:rsidR="00B86C78" w:rsidRPr="00354B94">
        <w:rPr>
          <w:rFonts w:cs="Times New Roman"/>
        </w:rPr>
        <w:t xml:space="preserve"> or</w:t>
      </w:r>
      <w:r w:rsidR="00630C12" w:rsidRPr="00354B94">
        <w:rPr>
          <w:rFonts w:cs="Times New Roman"/>
        </w:rPr>
        <w:t xml:space="preserve"> long-term</w:t>
      </w:r>
      <w:r w:rsidR="00110F48" w:rsidRPr="00354B94">
        <w:rPr>
          <w:rFonts w:cs="Times New Roman"/>
        </w:rPr>
        <w:t xml:space="preserve"> </w:t>
      </w:r>
      <w:r w:rsidR="00906D73" w:rsidRPr="00354B94">
        <w:rPr>
          <w:rFonts w:cs="Times New Roman"/>
        </w:rPr>
        <w:t xml:space="preserve">for similar </w:t>
      </w:r>
      <w:r w:rsidR="007578BA" w:rsidRPr="00354B94">
        <w:rPr>
          <w:rFonts w:cs="Times New Roman"/>
        </w:rPr>
        <w:t>reasons as discussed above</w:t>
      </w:r>
      <w:r w:rsidR="00110F48" w:rsidRPr="00354B94">
        <w:rPr>
          <w:rFonts w:cs="Times New Roman"/>
        </w:rPr>
        <w:t>.</w:t>
      </w:r>
      <w:r w:rsidR="00FD3DF6" w:rsidRPr="00354B94">
        <w:rPr>
          <w:rFonts w:cs="Times New Roman"/>
        </w:rPr>
        <w:t xml:space="preserve"> The only feasible mechanism t</w:t>
      </w:r>
      <w:r w:rsidR="008D6AA5" w:rsidRPr="00354B94">
        <w:rPr>
          <w:rFonts w:cs="Times New Roman"/>
        </w:rPr>
        <w:t>o</w:t>
      </w:r>
      <w:r w:rsidR="00FD3DF6" w:rsidRPr="00354B94">
        <w:rPr>
          <w:rFonts w:cs="Times New Roman"/>
        </w:rPr>
        <w:t xml:space="preserve"> avoid borrowing</w:t>
      </w:r>
      <w:r w:rsidR="006E0AE9" w:rsidRPr="00354B94">
        <w:rPr>
          <w:rFonts w:cs="Times New Roman"/>
        </w:rPr>
        <w:t xml:space="preserve"> and tackle inflation</w:t>
      </w:r>
      <w:r w:rsidR="00FD3DF6" w:rsidRPr="00354B94">
        <w:rPr>
          <w:rFonts w:cs="Times New Roman"/>
        </w:rPr>
        <w:t xml:space="preserve"> </w:t>
      </w:r>
      <w:r w:rsidR="00C4151E" w:rsidRPr="00354B94">
        <w:rPr>
          <w:rFonts w:cs="Times New Roman"/>
        </w:rPr>
        <w:t xml:space="preserve">is </w:t>
      </w:r>
      <w:r w:rsidR="001327A9" w:rsidRPr="00354B94">
        <w:rPr>
          <w:rFonts w:cs="Times New Roman"/>
        </w:rPr>
        <w:t xml:space="preserve">likely to be through </w:t>
      </w:r>
      <w:r w:rsidR="008B35D7" w:rsidRPr="00354B94">
        <w:rPr>
          <w:rFonts w:cs="Times New Roman"/>
        </w:rPr>
        <w:t>more mainstream tax increases</w:t>
      </w:r>
      <w:r w:rsidR="00FD3DF6" w:rsidRPr="00354B94">
        <w:rPr>
          <w:rFonts w:cs="Times New Roman"/>
        </w:rPr>
        <w:t>.</w:t>
      </w:r>
      <w:r w:rsidR="001D495F" w:rsidRPr="00354B94">
        <w:rPr>
          <w:rStyle w:val="FootnoteReference"/>
          <w:rFonts w:cs="Times New Roman"/>
        </w:rPr>
        <w:footnoteReference w:id="65"/>
      </w:r>
      <w:r w:rsidR="00FD3DF6" w:rsidRPr="00354B94">
        <w:rPr>
          <w:rFonts w:cs="Times New Roman"/>
        </w:rPr>
        <w:t xml:space="preserve"> </w:t>
      </w:r>
    </w:p>
    <w:p w14:paraId="68E738BD" w14:textId="5048CD23" w:rsidR="005B5F8E" w:rsidRPr="00354B94" w:rsidRDefault="00122489" w:rsidP="00395F57">
      <w:pPr>
        <w:pStyle w:val="Heading1"/>
        <w:numPr>
          <w:ilvl w:val="0"/>
          <w:numId w:val="0"/>
        </w:numPr>
        <w:ind w:left="720"/>
        <w:rPr>
          <w:rFonts w:cs="Times New Roman"/>
          <w:szCs w:val="22"/>
        </w:rPr>
      </w:pPr>
      <w:r w:rsidRPr="00354B94">
        <w:rPr>
          <w:rFonts w:cs="Times New Roman"/>
          <w:szCs w:val="22"/>
        </w:rPr>
        <w:t>Conclusions</w:t>
      </w:r>
    </w:p>
    <w:p w14:paraId="7C00022F" w14:textId="4B869EDF" w:rsidR="00C44E36" w:rsidRPr="00354B94" w:rsidRDefault="00D51418" w:rsidP="00702F7F">
      <w:pPr>
        <w:rPr>
          <w:rFonts w:cs="Times New Roman"/>
        </w:rPr>
      </w:pPr>
      <w:r w:rsidRPr="00354B94">
        <w:rPr>
          <w:rFonts w:cs="Times New Roman"/>
        </w:rPr>
        <w:t>The concept</w:t>
      </w:r>
      <w:r w:rsidR="00233B97" w:rsidRPr="00354B94">
        <w:rPr>
          <w:rFonts w:cs="Times New Roman"/>
        </w:rPr>
        <w:t xml:space="preserve"> of</w:t>
      </w:r>
      <w:r w:rsidR="00BA48F6" w:rsidRPr="00354B94">
        <w:rPr>
          <w:rFonts w:cs="Times New Roman"/>
        </w:rPr>
        <w:t xml:space="preserve"> a </w:t>
      </w:r>
      <w:r w:rsidR="009C2898" w:rsidRPr="00354B94">
        <w:rPr>
          <w:rFonts w:cs="Times New Roman"/>
        </w:rPr>
        <w:t>promptly introduced</w:t>
      </w:r>
      <w:r w:rsidR="00233B97" w:rsidRPr="00354B94">
        <w:rPr>
          <w:rFonts w:cs="Times New Roman"/>
        </w:rPr>
        <w:t xml:space="preserve"> windfall tax</w:t>
      </w:r>
      <w:r w:rsidR="0086104E" w:rsidRPr="00354B94">
        <w:rPr>
          <w:rFonts w:cs="Times New Roman"/>
        </w:rPr>
        <w:t xml:space="preserve"> aimed at </w:t>
      </w:r>
      <w:r w:rsidR="00531D8A" w:rsidRPr="00354B94">
        <w:rPr>
          <w:rFonts w:cs="Times New Roman"/>
        </w:rPr>
        <w:t>covering support</w:t>
      </w:r>
      <w:r w:rsidR="00B37F87" w:rsidRPr="00354B94">
        <w:rPr>
          <w:rFonts w:cs="Times New Roman"/>
        </w:rPr>
        <w:t xml:space="preserve"> initiatives through</w:t>
      </w:r>
      <w:r w:rsidR="0086104E" w:rsidRPr="00354B94">
        <w:rPr>
          <w:rFonts w:cs="Times New Roman"/>
        </w:rPr>
        <w:t xml:space="preserve"> tax revenues from companies that benefit</w:t>
      </w:r>
      <w:r w:rsidR="00C91398" w:rsidRPr="00354B94">
        <w:rPr>
          <w:rFonts w:cs="Times New Roman"/>
        </w:rPr>
        <w:t>ted</w:t>
      </w:r>
      <w:r w:rsidR="0086104E" w:rsidRPr="00354B94">
        <w:rPr>
          <w:rFonts w:cs="Times New Roman"/>
        </w:rPr>
        <w:t xml:space="preserve"> from surging global energy prices </w:t>
      </w:r>
      <w:r w:rsidR="001D495F" w:rsidRPr="00354B94">
        <w:rPr>
          <w:rFonts w:cs="Times New Roman"/>
        </w:rPr>
        <w:t xml:space="preserve">has </w:t>
      </w:r>
      <w:r w:rsidR="00BF40EB" w:rsidRPr="00354B94">
        <w:rPr>
          <w:rFonts w:cs="Times New Roman"/>
        </w:rPr>
        <w:t>gained popularity</w:t>
      </w:r>
      <w:r w:rsidR="00E46A5E" w:rsidRPr="00354B94">
        <w:rPr>
          <w:rFonts w:cs="Times New Roman"/>
        </w:rPr>
        <w:t xml:space="preserve"> amongst </w:t>
      </w:r>
      <w:r w:rsidR="00411E74" w:rsidRPr="00354B94">
        <w:rPr>
          <w:rFonts w:cs="Times New Roman"/>
        </w:rPr>
        <w:t xml:space="preserve">the </w:t>
      </w:r>
      <w:r w:rsidR="00C91398" w:rsidRPr="00354B94">
        <w:rPr>
          <w:rFonts w:cs="Times New Roman"/>
        </w:rPr>
        <w:t>public</w:t>
      </w:r>
      <w:r w:rsidR="00F54AF8" w:rsidRPr="00354B94">
        <w:rPr>
          <w:rFonts w:cs="Times New Roman"/>
        </w:rPr>
        <w:t>.</w:t>
      </w:r>
      <w:r w:rsidR="00380AE4" w:rsidRPr="00354B94">
        <w:rPr>
          <w:rStyle w:val="FootnoteReference"/>
          <w:rFonts w:cs="Times New Roman"/>
        </w:rPr>
        <w:footnoteReference w:id="66"/>
      </w:r>
      <w:r w:rsidR="001A5BB1" w:rsidRPr="00354B94">
        <w:rPr>
          <w:rFonts w:cs="Times New Roman"/>
        </w:rPr>
        <w:t xml:space="preserve"> </w:t>
      </w:r>
      <w:r w:rsidR="00694127" w:rsidRPr="00354B94">
        <w:rPr>
          <w:rFonts w:cs="Times New Roman"/>
        </w:rPr>
        <w:t>This note argue</w:t>
      </w:r>
      <w:r w:rsidR="001D495F" w:rsidRPr="00354B94">
        <w:rPr>
          <w:rFonts w:cs="Times New Roman"/>
        </w:rPr>
        <w:t>s</w:t>
      </w:r>
      <w:r w:rsidR="00694127" w:rsidRPr="00354B94">
        <w:rPr>
          <w:rFonts w:cs="Times New Roman"/>
        </w:rPr>
        <w:t xml:space="preserve"> that it is not that </w:t>
      </w:r>
      <w:r w:rsidR="004A74F0" w:rsidRPr="00354B94">
        <w:rPr>
          <w:rFonts w:cs="Times New Roman"/>
        </w:rPr>
        <w:t>straightforward</w:t>
      </w:r>
      <w:r w:rsidR="00694127" w:rsidRPr="00354B94">
        <w:rPr>
          <w:rFonts w:cs="Times New Roman"/>
        </w:rPr>
        <w:t>.</w:t>
      </w:r>
      <w:r w:rsidR="000444FF" w:rsidRPr="00354B94">
        <w:rPr>
          <w:rFonts w:cs="Times New Roman"/>
        </w:rPr>
        <w:t xml:space="preserve"> The</w:t>
      </w:r>
      <w:r w:rsidR="009937B1" w:rsidRPr="00354B94">
        <w:rPr>
          <w:rFonts w:cs="Times New Roman"/>
        </w:rPr>
        <w:t xml:space="preserve"> </w:t>
      </w:r>
      <w:r w:rsidR="00C4719B" w:rsidRPr="00354B94">
        <w:rPr>
          <w:rFonts w:cs="Times New Roman"/>
        </w:rPr>
        <w:t>hasty</w:t>
      </w:r>
      <w:r w:rsidR="009C2D21" w:rsidRPr="00354B94">
        <w:rPr>
          <w:rFonts w:cs="Times New Roman"/>
        </w:rPr>
        <w:t xml:space="preserve"> introduction of </w:t>
      </w:r>
      <w:r w:rsidR="0004502E" w:rsidRPr="00354B94">
        <w:rPr>
          <w:rFonts w:cs="Times New Roman"/>
        </w:rPr>
        <w:t>EPL</w:t>
      </w:r>
      <w:r w:rsidR="000444FF" w:rsidRPr="00354B94">
        <w:rPr>
          <w:rFonts w:cs="Times New Roman"/>
        </w:rPr>
        <w:t xml:space="preserve"> resulted in some </w:t>
      </w:r>
      <w:r w:rsidR="00DA7F98" w:rsidRPr="00354B94">
        <w:rPr>
          <w:rFonts w:cs="Times New Roman"/>
        </w:rPr>
        <w:t>technical concerns and</w:t>
      </w:r>
      <w:r w:rsidR="006E4CE6" w:rsidRPr="00354B94">
        <w:rPr>
          <w:rFonts w:cs="Times New Roman"/>
        </w:rPr>
        <w:t xml:space="preserve"> </w:t>
      </w:r>
      <w:r w:rsidR="00411E74" w:rsidRPr="00354B94">
        <w:rPr>
          <w:rFonts w:cs="Times New Roman"/>
        </w:rPr>
        <w:t>contributed to</w:t>
      </w:r>
      <w:r w:rsidR="00DA7F98" w:rsidRPr="00354B94">
        <w:rPr>
          <w:rFonts w:cs="Times New Roman"/>
        </w:rPr>
        <w:t xml:space="preserve"> broader</w:t>
      </w:r>
      <w:r w:rsidR="006E4CE6" w:rsidRPr="00354B94">
        <w:rPr>
          <w:rFonts w:cs="Times New Roman"/>
        </w:rPr>
        <w:t xml:space="preserve"> issues </w:t>
      </w:r>
      <w:r w:rsidR="00411E74" w:rsidRPr="00354B94">
        <w:rPr>
          <w:rFonts w:cs="Times New Roman"/>
        </w:rPr>
        <w:t>within North Sea taxation</w:t>
      </w:r>
      <w:r w:rsidR="00245CF9" w:rsidRPr="00354B94">
        <w:rPr>
          <w:rFonts w:cs="Times New Roman"/>
        </w:rPr>
        <w:t>.</w:t>
      </w:r>
      <w:r w:rsidR="004A3A57" w:rsidRPr="00354B94">
        <w:rPr>
          <w:rFonts w:cs="Times New Roman"/>
        </w:rPr>
        <w:t xml:space="preserve"> </w:t>
      </w:r>
      <w:r w:rsidR="00133F6F" w:rsidRPr="00354B94">
        <w:rPr>
          <w:rFonts w:cs="Times New Roman"/>
        </w:rPr>
        <w:t>Although</w:t>
      </w:r>
      <w:r w:rsidR="00332641" w:rsidRPr="00354B94">
        <w:rPr>
          <w:rFonts w:cs="Times New Roman"/>
        </w:rPr>
        <w:t xml:space="preserve"> </w:t>
      </w:r>
      <w:r w:rsidR="00D67256" w:rsidRPr="00354B94">
        <w:rPr>
          <w:rFonts w:cs="Times New Roman"/>
        </w:rPr>
        <w:t>investment</w:t>
      </w:r>
      <w:r w:rsidR="000B68E0" w:rsidRPr="00354B94">
        <w:rPr>
          <w:rFonts w:cs="Times New Roman"/>
        </w:rPr>
        <w:t xml:space="preserve">s in </w:t>
      </w:r>
      <w:r w:rsidR="00C8112C" w:rsidRPr="00354B94">
        <w:rPr>
          <w:rFonts w:cs="Times New Roman"/>
        </w:rPr>
        <w:t xml:space="preserve">oil and gas production in the UK and the UKSC </w:t>
      </w:r>
      <w:r w:rsidR="000B68E0" w:rsidRPr="00354B94">
        <w:rPr>
          <w:rFonts w:cs="Times New Roman"/>
        </w:rPr>
        <w:t>are</w:t>
      </w:r>
      <w:r w:rsidR="00D67256" w:rsidRPr="00354B94">
        <w:rPr>
          <w:rFonts w:cs="Times New Roman"/>
        </w:rPr>
        <w:t xml:space="preserve"> unlikely to </w:t>
      </w:r>
      <w:r w:rsidR="00C8112C" w:rsidRPr="00354B94">
        <w:rPr>
          <w:rFonts w:cs="Times New Roman"/>
        </w:rPr>
        <w:t>be substantially affected, at least</w:t>
      </w:r>
      <w:r w:rsidR="00D67256" w:rsidRPr="00354B94">
        <w:rPr>
          <w:rFonts w:cs="Times New Roman"/>
        </w:rPr>
        <w:t xml:space="preserve"> </w:t>
      </w:r>
      <w:r w:rsidR="000B68E0" w:rsidRPr="00354B94">
        <w:rPr>
          <w:rFonts w:cs="Times New Roman"/>
        </w:rPr>
        <w:t xml:space="preserve">in the short term, </w:t>
      </w:r>
      <w:r w:rsidR="0004502E" w:rsidRPr="00354B94">
        <w:rPr>
          <w:rFonts w:cs="Times New Roman"/>
        </w:rPr>
        <w:t>EPL</w:t>
      </w:r>
      <w:r w:rsidR="000B68E0" w:rsidRPr="00354B94">
        <w:rPr>
          <w:rFonts w:cs="Times New Roman"/>
        </w:rPr>
        <w:t xml:space="preserve"> is</w:t>
      </w:r>
      <w:r w:rsidR="00134CE3" w:rsidRPr="00354B94">
        <w:rPr>
          <w:rFonts w:cs="Times New Roman"/>
        </w:rPr>
        <w:t xml:space="preserve"> </w:t>
      </w:r>
      <w:r w:rsidR="00C8112C" w:rsidRPr="00354B94">
        <w:rPr>
          <w:rFonts w:cs="Times New Roman"/>
        </w:rPr>
        <w:t xml:space="preserve">also </w:t>
      </w:r>
      <w:r w:rsidR="00134CE3" w:rsidRPr="00354B94">
        <w:rPr>
          <w:rFonts w:cs="Times New Roman"/>
        </w:rPr>
        <w:t>unlikely to</w:t>
      </w:r>
      <w:r w:rsidR="00532C5B" w:rsidRPr="00354B94">
        <w:rPr>
          <w:rFonts w:cs="Times New Roman"/>
        </w:rPr>
        <w:t xml:space="preserve"> considerably</w:t>
      </w:r>
      <w:r w:rsidR="00134CE3" w:rsidRPr="00354B94">
        <w:rPr>
          <w:rFonts w:cs="Times New Roman"/>
        </w:rPr>
        <w:t xml:space="preserve"> contribute to offsetting the costs related to the support measures</w:t>
      </w:r>
      <w:r w:rsidR="0070165A" w:rsidRPr="00354B94">
        <w:rPr>
          <w:rFonts w:cs="Times New Roman"/>
        </w:rPr>
        <w:t xml:space="preserve"> because of its </w:t>
      </w:r>
      <w:r w:rsidR="003E3DA0" w:rsidRPr="00354B94">
        <w:rPr>
          <w:rFonts w:cs="Times New Roman"/>
        </w:rPr>
        <w:t>projected</w:t>
      </w:r>
      <w:r w:rsidR="004A20C5" w:rsidRPr="00354B94">
        <w:rPr>
          <w:rFonts w:cs="Times New Roman"/>
        </w:rPr>
        <w:t xml:space="preserve"> </w:t>
      </w:r>
      <w:r w:rsidR="009142E5" w:rsidRPr="00354B94">
        <w:rPr>
          <w:rFonts w:cs="Times New Roman"/>
        </w:rPr>
        <w:t xml:space="preserve">relatively </w:t>
      </w:r>
      <w:r w:rsidR="0070165A" w:rsidRPr="00354B94">
        <w:rPr>
          <w:rFonts w:cs="Times New Roman"/>
        </w:rPr>
        <w:t xml:space="preserve">low tax </w:t>
      </w:r>
      <w:r w:rsidR="000E13AB" w:rsidRPr="00354B94">
        <w:rPr>
          <w:rFonts w:cs="Times New Roman"/>
        </w:rPr>
        <w:t>receipts</w:t>
      </w:r>
      <w:r w:rsidR="00134CE3" w:rsidRPr="00354B94">
        <w:rPr>
          <w:rFonts w:cs="Times New Roman"/>
        </w:rPr>
        <w:t>.</w:t>
      </w:r>
      <w:r w:rsidR="000E13AB" w:rsidRPr="00354B94">
        <w:rPr>
          <w:rFonts w:cs="Times New Roman"/>
        </w:rPr>
        <w:t xml:space="preserve"> </w:t>
      </w:r>
      <w:r w:rsidR="00675855" w:rsidRPr="00354B94">
        <w:rPr>
          <w:rFonts w:cs="Times New Roman"/>
        </w:rPr>
        <w:t>It would be na</w:t>
      </w:r>
      <w:r w:rsidR="00681F8E" w:rsidRPr="00354B94">
        <w:rPr>
          <w:rFonts w:cs="Times New Roman"/>
        </w:rPr>
        <w:t>i</w:t>
      </w:r>
      <w:r w:rsidR="00675855" w:rsidRPr="00354B94">
        <w:rPr>
          <w:rFonts w:cs="Times New Roman"/>
        </w:rPr>
        <w:t xml:space="preserve">ve to </w:t>
      </w:r>
      <w:r w:rsidR="00FA040A" w:rsidRPr="00354B94">
        <w:rPr>
          <w:rFonts w:cs="Times New Roman"/>
        </w:rPr>
        <w:t>expect</w:t>
      </w:r>
      <w:r w:rsidR="00675855" w:rsidRPr="00354B94">
        <w:rPr>
          <w:rFonts w:cs="Times New Roman"/>
        </w:rPr>
        <w:t xml:space="preserve"> that it could </w:t>
      </w:r>
      <w:r w:rsidR="00DA16F1" w:rsidRPr="00354B94">
        <w:rPr>
          <w:rFonts w:cs="Times New Roman"/>
        </w:rPr>
        <w:t>serve</w:t>
      </w:r>
      <w:r w:rsidR="00675855" w:rsidRPr="00354B94">
        <w:rPr>
          <w:rFonts w:cs="Times New Roman"/>
        </w:rPr>
        <w:t xml:space="preserve"> as the main instrument in covering these costs</w:t>
      </w:r>
      <w:r w:rsidR="00DA16F1" w:rsidRPr="00354B94">
        <w:rPr>
          <w:rFonts w:cs="Times New Roman"/>
        </w:rPr>
        <w:t>,</w:t>
      </w:r>
      <w:r w:rsidR="00675855" w:rsidRPr="00354B94">
        <w:rPr>
          <w:rFonts w:cs="Times New Roman"/>
        </w:rPr>
        <w:t xml:space="preserve"> g</w:t>
      </w:r>
      <w:r w:rsidR="00374154" w:rsidRPr="00354B94">
        <w:rPr>
          <w:rFonts w:cs="Times New Roman"/>
        </w:rPr>
        <w:t>iven the relatively marginal tax revenue from</w:t>
      </w:r>
      <w:r w:rsidR="00F318CB" w:rsidRPr="00354B94">
        <w:rPr>
          <w:rFonts w:cs="Times New Roman"/>
        </w:rPr>
        <w:t xml:space="preserve"> offshore corporation tax in</w:t>
      </w:r>
      <w:r w:rsidR="00374154" w:rsidRPr="00354B94">
        <w:rPr>
          <w:rFonts w:cs="Times New Roman"/>
        </w:rPr>
        <w:t xml:space="preserve"> the previous years</w:t>
      </w:r>
      <w:r w:rsidR="00675855" w:rsidRPr="00354B94">
        <w:rPr>
          <w:rFonts w:cs="Times New Roman"/>
        </w:rPr>
        <w:t xml:space="preserve">. </w:t>
      </w:r>
      <w:r w:rsidR="00196C13" w:rsidRPr="00354B94">
        <w:rPr>
          <w:rFonts w:cs="Times New Roman"/>
        </w:rPr>
        <w:t xml:space="preserve">Instead, </w:t>
      </w:r>
      <w:r w:rsidR="00552370" w:rsidRPr="00354B94">
        <w:rPr>
          <w:rFonts w:cs="Times New Roman"/>
        </w:rPr>
        <w:t xml:space="preserve">even </w:t>
      </w:r>
      <w:r w:rsidR="00E84CBE" w:rsidRPr="00354B94">
        <w:rPr>
          <w:rFonts w:cs="Times New Roman"/>
        </w:rPr>
        <w:t>lower</w:t>
      </w:r>
      <w:r w:rsidR="00196C13" w:rsidRPr="00354B94">
        <w:rPr>
          <w:rFonts w:cs="Times New Roman"/>
        </w:rPr>
        <w:t xml:space="preserve"> investor confidence and a </w:t>
      </w:r>
      <w:r w:rsidR="00552370" w:rsidRPr="00354B94">
        <w:rPr>
          <w:rFonts w:cs="Times New Roman"/>
        </w:rPr>
        <w:t xml:space="preserve">subsequent </w:t>
      </w:r>
      <w:r w:rsidR="00196C13" w:rsidRPr="00354B94">
        <w:rPr>
          <w:rFonts w:cs="Times New Roman"/>
        </w:rPr>
        <w:t xml:space="preserve">reduction of employment in the oil and gas sector </w:t>
      </w:r>
      <w:r w:rsidR="000E102C" w:rsidRPr="00354B94">
        <w:rPr>
          <w:rFonts w:cs="Times New Roman"/>
        </w:rPr>
        <w:t>are more</w:t>
      </w:r>
      <w:r w:rsidR="006F2B0A" w:rsidRPr="00354B94">
        <w:rPr>
          <w:rFonts w:cs="Times New Roman"/>
        </w:rPr>
        <w:t xml:space="preserve"> likely outcomes</w:t>
      </w:r>
      <w:r w:rsidR="000E102C" w:rsidRPr="00354B94">
        <w:rPr>
          <w:rFonts w:cs="Times New Roman"/>
        </w:rPr>
        <w:t xml:space="preserve"> </w:t>
      </w:r>
      <w:r w:rsidR="00196C13" w:rsidRPr="00354B94">
        <w:rPr>
          <w:rFonts w:cs="Times New Roman"/>
        </w:rPr>
        <w:t>in the longer term.</w:t>
      </w:r>
      <w:r w:rsidR="000B0215" w:rsidRPr="00354B94">
        <w:rPr>
          <w:rFonts w:cs="Times New Roman"/>
        </w:rPr>
        <w:t xml:space="preserve"> </w:t>
      </w:r>
      <w:r w:rsidR="00B20499" w:rsidRPr="00354B94">
        <w:rPr>
          <w:rFonts w:cs="Times New Roman"/>
        </w:rPr>
        <w:t xml:space="preserve">EPL only accentuated </w:t>
      </w:r>
      <w:r w:rsidR="00652759" w:rsidRPr="00354B94">
        <w:rPr>
          <w:rFonts w:cs="Times New Roman"/>
        </w:rPr>
        <w:t xml:space="preserve">the lack of </w:t>
      </w:r>
      <w:r w:rsidR="00977590" w:rsidRPr="00354B94">
        <w:rPr>
          <w:rFonts w:cs="Times New Roman"/>
        </w:rPr>
        <w:t xml:space="preserve">a </w:t>
      </w:r>
      <w:r w:rsidR="00652759" w:rsidRPr="00354B94">
        <w:rPr>
          <w:rFonts w:cs="Times New Roman"/>
        </w:rPr>
        <w:t>coherent, well-</w:t>
      </w:r>
      <w:r w:rsidR="00652759" w:rsidRPr="00354B94">
        <w:rPr>
          <w:rFonts w:cs="Times New Roman"/>
        </w:rPr>
        <w:lastRenderedPageBreak/>
        <w:t xml:space="preserve">thought-out offshore oil and gas </w:t>
      </w:r>
      <w:r w:rsidR="00D15445" w:rsidRPr="00354B94">
        <w:rPr>
          <w:rFonts w:cs="Times New Roman"/>
        </w:rPr>
        <w:t>fiscal regime</w:t>
      </w:r>
      <w:r w:rsidR="00652759" w:rsidRPr="00354B94">
        <w:rPr>
          <w:rFonts w:cs="Times New Roman"/>
        </w:rPr>
        <w:t xml:space="preserve"> focused on</w:t>
      </w:r>
      <w:r w:rsidR="002F6A19" w:rsidRPr="00354B94">
        <w:rPr>
          <w:rFonts w:cs="Times New Roman"/>
        </w:rPr>
        <w:t xml:space="preserve"> the overall</w:t>
      </w:r>
      <w:r w:rsidR="00652759" w:rsidRPr="00354B94">
        <w:rPr>
          <w:rFonts w:cs="Times New Roman"/>
        </w:rPr>
        <w:t xml:space="preserve"> long-term objectives</w:t>
      </w:r>
      <w:r w:rsidR="000B63A8" w:rsidRPr="00354B94">
        <w:rPr>
          <w:rFonts w:cs="Times New Roman"/>
        </w:rPr>
        <w:t xml:space="preserve">, which is further explored </w:t>
      </w:r>
      <w:r w:rsidR="00EA0CEF" w:rsidRPr="00354B94">
        <w:rPr>
          <w:rFonts w:cs="Times New Roman"/>
        </w:rPr>
        <w:t xml:space="preserve">in the current issue by Abdo and </w:t>
      </w:r>
      <w:proofErr w:type="spellStart"/>
      <w:r w:rsidR="00EA0CEF" w:rsidRPr="00354B94">
        <w:rPr>
          <w:rFonts w:cs="Times New Roman"/>
        </w:rPr>
        <w:t>Frecknall</w:t>
      </w:r>
      <w:proofErr w:type="spellEnd"/>
      <w:r w:rsidR="00EA0CEF" w:rsidRPr="00354B94">
        <w:rPr>
          <w:rFonts w:cs="Times New Roman"/>
        </w:rPr>
        <w:t>-Hughes who place</w:t>
      </w:r>
      <w:r w:rsidR="004708D8" w:rsidRPr="00354B94">
        <w:rPr>
          <w:rFonts w:cs="Times New Roman"/>
        </w:rPr>
        <w:t xml:space="preserve"> this</w:t>
      </w:r>
      <w:r w:rsidR="00C244DD" w:rsidRPr="00354B94">
        <w:rPr>
          <w:rFonts w:cs="Times New Roman"/>
        </w:rPr>
        <w:t xml:space="preserve"> fiscal regime</w:t>
      </w:r>
      <w:r w:rsidR="00EA0CEF" w:rsidRPr="00354B94">
        <w:rPr>
          <w:rFonts w:cs="Times New Roman"/>
        </w:rPr>
        <w:t xml:space="preserve"> </w:t>
      </w:r>
      <w:r w:rsidR="000B687D" w:rsidRPr="00354B94">
        <w:rPr>
          <w:rFonts w:cs="Times New Roman"/>
        </w:rPr>
        <w:t xml:space="preserve">in the </w:t>
      </w:r>
      <w:r w:rsidR="00977590" w:rsidRPr="00354B94">
        <w:rPr>
          <w:rFonts w:cs="Times New Roman"/>
        </w:rPr>
        <w:t>context of the decommissioning tax relief</w:t>
      </w:r>
      <w:r w:rsidR="00E84CBE" w:rsidRPr="00354B94">
        <w:rPr>
          <w:rFonts w:cs="Times New Roman"/>
        </w:rPr>
        <w:t>.</w:t>
      </w:r>
      <w:r w:rsidR="00F15D47" w:rsidRPr="00354B94">
        <w:rPr>
          <w:rStyle w:val="FootnoteReference"/>
          <w:rFonts w:cs="Times New Roman"/>
        </w:rPr>
        <w:footnoteReference w:id="67"/>
      </w:r>
    </w:p>
    <w:p w14:paraId="71C9A48C" w14:textId="11A38551" w:rsidR="00C44E36" w:rsidRPr="00BC2E74" w:rsidRDefault="00C44E36" w:rsidP="00C44E36">
      <w:pPr>
        <w:pStyle w:val="ListParagraph"/>
        <w:ind w:left="1080" w:firstLine="0"/>
        <w:jc w:val="right"/>
        <w:rPr>
          <w:rFonts w:cs="Times New Roman"/>
        </w:rPr>
      </w:pPr>
      <w:r w:rsidRPr="00354B94">
        <w:rPr>
          <w:rStyle w:val="FootnoteReference"/>
          <w:rFonts w:cs="Times New Roman"/>
          <w:color w:val="FFFFFF" w:themeColor="background1"/>
        </w:rPr>
        <w:footnoteReference w:id="68"/>
      </w:r>
      <w:r w:rsidRPr="00354B94">
        <w:rPr>
          <w:rFonts w:cs="Times New Roman"/>
          <w:color w:val="FFFFFF" w:themeColor="background1"/>
        </w:rPr>
        <w:t xml:space="preserve"> </w:t>
      </w:r>
      <w:r w:rsidRPr="00354B94">
        <w:rPr>
          <w:rFonts w:cs="Times New Roman"/>
        </w:rPr>
        <w:t>Karolis Matikonis</w:t>
      </w:r>
      <w:r w:rsidR="000C064F" w:rsidRPr="00354B94">
        <w:rPr>
          <w:rFonts w:cs="Times New Roman"/>
        </w:rPr>
        <w:t>*</w:t>
      </w:r>
    </w:p>
    <w:p w14:paraId="4E21A7C2" w14:textId="3A660B65" w:rsidR="003A5395" w:rsidRPr="00BC2E74" w:rsidRDefault="003A5395">
      <w:pPr>
        <w:rPr>
          <w:rFonts w:cs="Times New Roman"/>
        </w:rPr>
      </w:pPr>
    </w:p>
    <w:sectPr w:rsidR="003A5395" w:rsidRPr="00BC2E74">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5F24A5" w14:textId="77777777" w:rsidR="008D2940" w:rsidRDefault="008D2940" w:rsidP="00E37B05">
      <w:pPr>
        <w:spacing w:after="0" w:line="240" w:lineRule="auto"/>
      </w:pPr>
      <w:r>
        <w:separator/>
      </w:r>
    </w:p>
  </w:endnote>
  <w:endnote w:type="continuationSeparator" w:id="0">
    <w:p w14:paraId="429512C2" w14:textId="77777777" w:rsidR="008D2940" w:rsidRDefault="008D2940" w:rsidP="00E37B05">
      <w:pPr>
        <w:spacing w:after="0" w:line="240" w:lineRule="auto"/>
      </w:pPr>
      <w:r>
        <w:continuationSeparator/>
      </w:r>
    </w:p>
  </w:endnote>
  <w:endnote w:type="continuationNotice" w:id="1">
    <w:p w14:paraId="75C4F230" w14:textId="77777777" w:rsidR="008D2940" w:rsidRDefault="008D29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4255840"/>
      <w:docPartObj>
        <w:docPartGallery w:val="Page Numbers (Bottom of Page)"/>
        <w:docPartUnique/>
      </w:docPartObj>
    </w:sdtPr>
    <w:sdtEndPr>
      <w:rPr>
        <w:noProof/>
      </w:rPr>
    </w:sdtEndPr>
    <w:sdtContent>
      <w:p w14:paraId="4A39C03A" w14:textId="6AB24931" w:rsidR="00587DA8" w:rsidRDefault="00587DA8">
        <w:pPr>
          <w:pStyle w:val="Footer"/>
          <w:jc w:val="center"/>
        </w:pPr>
        <w:r>
          <w:fldChar w:fldCharType="begin"/>
        </w:r>
        <w:r>
          <w:instrText xml:space="preserve"> PAGE   \* MERGEFORMAT </w:instrText>
        </w:r>
        <w:r>
          <w:fldChar w:fldCharType="separate"/>
        </w:r>
        <w:r w:rsidR="001D495F">
          <w:rPr>
            <w:noProof/>
          </w:rPr>
          <w:t>10</w:t>
        </w:r>
        <w:r>
          <w:rPr>
            <w:noProof/>
          </w:rPr>
          <w:fldChar w:fldCharType="end"/>
        </w:r>
      </w:p>
    </w:sdtContent>
  </w:sdt>
  <w:p w14:paraId="133775BF" w14:textId="77777777" w:rsidR="00587DA8" w:rsidRDefault="00587D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8AFDBE" w14:textId="77777777" w:rsidR="008D2940" w:rsidRDefault="008D2940" w:rsidP="00E37B05">
      <w:pPr>
        <w:spacing w:after="0" w:line="240" w:lineRule="auto"/>
      </w:pPr>
      <w:r>
        <w:separator/>
      </w:r>
    </w:p>
  </w:footnote>
  <w:footnote w:type="continuationSeparator" w:id="0">
    <w:p w14:paraId="7207A454" w14:textId="77777777" w:rsidR="008D2940" w:rsidRDefault="008D2940" w:rsidP="00E37B05">
      <w:pPr>
        <w:spacing w:after="0" w:line="240" w:lineRule="auto"/>
      </w:pPr>
      <w:r>
        <w:continuationSeparator/>
      </w:r>
    </w:p>
  </w:footnote>
  <w:footnote w:type="continuationNotice" w:id="1">
    <w:p w14:paraId="47FC8451" w14:textId="77777777" w:rsidR="008D2940" w:rsidRDefault="008D2940">
      <w:pPr>
        <w:spacing w:after="0" w:line="240" w:lineRule="auto"/>
      </w:pPr>
    </w:p>
  </w:footnote>
  <w:footnote w:id="2">
    <w:p w14:paraId="6271E1F2" w14:textId="6EDDA843" w:rsidR="002B5A38" w:rsidRPr="00354B94" w:rsidRDefault="002B5A38" w:rsidP="00B83E41">
      <w:pPr>
        <w:pStyle w:val="FootnoteText"/>
        <w:rPr>
          <w:rFonts w:cs="Times New Roman"/>
        </w:rPr>
      </w:pPr>
      <w:r w:rsidRPr="00354B94">
        <w:rPr>
          <w:rStyle w:val="FootnoteReference"/>
          <w:rFonts w:cs="Times New Roman"/>
        </w:rPr>
        <w:footnoteRef/>
      </w:r>
      <w:r w:rsidRPr="00354B94">
        <w:rPr>
          <w:rFonts w:cs="Times New Roman"/>
        </w:rPr>
        <w:t xml:space="preserve"> </w:t>
      </w:r>
      <w:r w:rsidR="00B83E41" w:rsidRPr="00354B94">
        <w:rPr>
          <w:rFonts w:cs="Times New Roman"/>
        </w:rPr>
        <w:t xml:space="preserve">HM Revenue &amp; Customs, </w:t>
      </w:r>
      <w:r w:rsidR="00B36F18" w:rsidRPr="00354B94">
        <w:rPr>
          <w:rFonts w:cs="Times New Roman"/>
        </w:rPr>
        <w:t>“Policy</w:t>
      </w:r>
      <w:r w:rsidR="00B83E41" w:rsidRPr="00354B94">
        <w:rPr>
          <w:rFonts w:cs="Times New Roman"/>
        </w:rPr>
        <w:t xml:space="preserve"> paper Energy (Oil and Gas) Profits Levy”</w:t>
      </w:r>
      <w:r w:rsidR="007D010E" w:rsidRPr="00354B94">
        <w:rPr>
          <w:rFonts w:cs="Times New Roman"/>
        </w:rPr>
        <w:t xml:space="preserve"> (2022),</w:t>
      </w:r>
      <w:r w:rsidR="00B83E41" w:rsidRPr="00354B94">
        <w:rPr>
          <w:rFonts w:cs="Times New Roman"/>
        </w:rPr>
        <w:t xml:space="preserve"> </w:t>
      </w:r>
      <w:r w:rsidR="00C91D31" w:rsidRPr="00354B94">
        <w:rPr>
          <w:rFonts w:cs="Times New Roman"/>
        </w:rPr>
        <w:t>available at:</w:t>
      </w:r>
      <w:r w:rsidR="00FA5FBF" w:rsidRPr="00354B94">
        <w:rPr>
          <w:rFonts w:cs="Times New Roman"/>
        </w:rPr>
        <w:t xml:space="preserve"> https://www.gov.uk/government/publications/the-energy-oil-and-gas-profits-levy-bill/energy-oil-and-gas-profits-levy [Accessed 12 September 2022].</w:t>
      </w:r>
    </w:p>
  </w:footnote>
  <w:footnote w:id="3">
    <w:p w14:paraId="5211A6A7" w14:textId="7A058FB1" w:rsidR="00A43CBF" w:rsidRPr="00354B94" w:rsidRDefault="00A43CBF" w:rsidP="00A43CBF">
      <w:pPr>
        <w:pStyle w:val="FootnoteText"/>
        <w:rPr>
          <w:rFonts w:cs="Times New Roman"/>
        </w:rPr>
      </w:pPr>
      <w:r w:rsidRPr="00354B94">
        <w:rPr>
          <w:rStyle w:val="FootnoteReference"/>
          <w:rFonts w:cs="Times New Roman"/>
        </w:rPr>
        <w:footnoteRef/>
      </w:r>
      <w:r w:rsidRPr="00354B94">
        <w:rPr>
          <w:rFonts w:cs="Times New Roman"/>
        </w:rPr>
        <w:t xml:space="preserve"> CPI</w:t>
      </w:r>
      <w:r w:rsidR="008431ED" w:rsidRPr="00354B94">
        <w:rPr>
          <w:rFonts w:cs="Times New Roman"/>
        </w:rPr>
        <w:t xml:space="preserve"> (2015=100)</w:t>
      </w:r>
      <w:r w:rsidRPr="00354B94">
        <w:rPr>
          <w:rFonts w:cs="Times New Roman"/>
        </w:rPr>
        <w:t xml:space="preserve"> of 84.9 for July 2021, CPI</w:t>
      </w:r>
      <w:r w:rsidR="008431ED" w:rsidRPr="00354B94">
        <w:rPr>
          <w:rFonts w:cs="Times New Roman"/>
        </w:rPr>
        <w:t xml:space="preserve"> (2015=100) </w:t>
      </w:r>
      <w:r w:rsidRPr="00354B94">
        <w:rPr>
          <w:rFonts w:cs="Times New Roman"/>
        </w:rPr>
        <w:t>of 166.1 for July 2022. Source: Office for National Statistics, “CPI INDEX 04.5.2: GAS 2015=100”</w:t>
      </w:r>
      <w:r w:rsidR="007D010E" w:rsidRPr="00354B94">
        <w:rPr>
          <w:rFonts w:cs="Times New Roman"/>
        </w:rPr>
        <w:t xml:space="preserve"> (2022), </w:t>
      </w:r>
      <w:r w:rsidR="00C91D31" w:rsidRPr="00354B94">
        <w:rPr>
          <w:rFonts w:cs="Times New Roman"/>
        </w:rPr>
        <w:t>available at:</w:t>
      </w:r>
      <w:r w:rsidRPr="00354B94">
        <w:rPr>
          <w:rFonts w:cs="Times New Roman"/>
        </w:rPr>
        <w:t xml:space="preserve"> https://www.ons.gov.uk/economy/inflationandpriceindices/timeseries/d7du/mm23 [Accessed 12 September 2022]</w:t>
      </w:r>
      <w:r w:rsidR="00FA5FBF" w:rsidRPr="00354B94">
        <w:rPr>
          <w:rFonts w:cs="Times New Roman"/>
        </w:rPr>
        <w:t>.</w:t>
      </w:r>
    </w:p>
  </w:footnote>
  <w:footnote w:id="4">
    <w:p w14:paraId="0A333601" w14:textId="7C7B4B29" w:rsidR="00A43CBF" w:rsidRPr="00354B94" w:rsidRDefault="00A43CBF" w:rsidP="00A43CBF">
      <w:pPr>
        <w:pStyle w:val="FootnoteText"/>
        <w:rPr>
          <w:rFonts w:cs="Times New Roman"/>
        </w:rPr>
      </w:pPr>
      <w:r w:rsidRPr="00354B94">
        <w:rPr>
          <w:rStyle w:val="FootnoteReference"/>
          <w:rFonts w:cs="Times New Roman"/>
        </w:rPr>
        <w:footnoteRef/>
      </w:r>
      <w:r w:rsidRPr="00354B94">
        <w:rPr>
          <w:rFonts w:cs="Times New Roman"/>
        </w:rPr>
        <w:t xml:space="preserve"> CPI </w:t>
      </w:r>
      <w:r w:rsidR="00653DD1" w:rsidRPr="00354B94">
        <w:rPr>
          <w:rFonts w:cs="Times New Roman"/>
        </w:rPr>
        <w:t xml:space="preserve">(2015=100) </w:t>
      </w:r>
      <w:r w:rsidRPr="00354B94">
        <w:rPr>
          <w:rFonts w:cs="Times New Roman"/>
        </w:rPr>
        <w:t xml:space="preserve">of </w:t>
      </w:r>
      <w:r w:rsidR="00D6396A" w:rsidRPr="00354B94">
        <w:rPr>
          <w:rFonts w:cs="Times New Roman"/>
        </w:rPr>
        <w:t>132.5</w:t>
      </w:r>
      <w:r w:rsidRPr="00354B94">
        <w:rPr>
          <w:rFonts w:cs="Times New Roman"/>
        </w:rPr>
        <w:t xml:space="preserve"> for July 2021, CPI </w:t>
      </w:r>
      <w:r w:rsidR="00653DD1" w:rsidRPr="00354B94">
        <w:rPr>
          <w:rFonts w:cs="Times New Roman"/>
        </w:rPr>
        <w:t xml:space="preserve">(2015=100) </w:t>
      </w:r>
      <w:r w:rsidRPr="00354B94">
        <w:rPr>
          <w:rFonts w:cs="Times New Roman"/>
        </w:rPr>
        <w:t>of 204.1 for July 2022. Source: Office for National Statistics, “CPI INDEX 04.5.1: ELECTRICITY 2015=100”</w:t>
      </w:r>
      <w:r w:rsidR="007B002D" w:rsidRPr="00354B94">
        <w:rPr>
          <w:rFonts w:cs="Times New Roman"/>
        </w:rPr>
        <w:t xml:space="preserve"> (2022),</w:t>
      </w:r>
      <w:r w:rsidRPr="00354B94">
        <w:rPr>
          <w:rFonts w:cs="Times New Roman"/>
        </w:rPr>
        <w:t xml:space="preserve"> </w:t>
      </w:r>
      <w:r w:rsidR="00C91D31" w:rsidRPr="00354B94">
        <w:rPr>
          <w:rFonts w:cs="Times New Roman"/>
        </w:rPr>
        <w:t>available at:</w:t>
      </w:r>
      <w:r w:rsidRPr="00354B94">
        <w:rPr>
          <w:rFonts w:cs="Times New Roman"/>
        </w:rPr>
        <w:t xml:space="preserve"> https://www.ons.gov.uk/economy/inflationandpriceindices/timeseries/d7dt/mm23 [Accessed 12 September 2022]</w:t>
      </w:r>
      <w:r w:rsidR="00FA5FBF" w:rsidRPr="00354B94">
        <w:rPr>
          <w:rFonts w:cs="Times New Roman"/>
        </w:rPr>
        <w:t>.</w:t>
      </w:r>
    </w:p>
  </w:footnote>
  <w:footnote w:id="5">
    <w:p w14:paraId="562E18CC" w14:textId="0E504DC6" w:rsidR="00B908BC" w:rsidRPr="00354B94" w:rsidRDefault="00B908BC" w:rsidP="00B908BC">
      <w:pPr>
        <w:pStyle w:val="FootnoteText"/>
        <w:rPr>
          <w:rFonts w:cs="Times New Roman"/>
        </w:rPr>
      </w:pPr>
      <w:r w:rsidRPr="00354B94">
        <w:rPr>
          <w:rStyle w:val="FootnoteReference"/>
          <w:rFonts w:cs="Times New Roman"/>
        </w:rPr>
        <w:footnoteRef/>
      </w:r>
      <w:r w:rsidRPr="00354B94">
        <w:rPr>
          <w:rFonts w:cs="Times New Roman"/>
        </w:rPr>
        <w:t xml:space="preserve"> </w:t>
      </w:r>
      <w:r w:rsidR="00B146DD" w:rsidRPr="00354B94">
        <w:rPr>
          <w:rFonts w:cs="Times New Roman"/>
        </w:rPr>
        <w:t xml:space="preserve">Impact is </w:t>
      </w:r>
      <w:r w:rsidR="00DC1F43" w:rsidRPr="00354B94">
        <w:rPr>
          <w:rFonts w:cs="Times New Roman"/>
        </w:rPr>
        <w:t>summari</w:t>
      </w:r>
      <w:r w:rsidR="00AE072B" w:rsidRPr="00354B94">
        <w:rPr>
          <w:rFonts w:cs="Times New Roman"/>
        </w:rPr>
        <w:t>s</w:t>
      </w:r>
      <w:r w:rsidR="00DC1F43" w:rsidRPr="00354B94">
        <w:rPr>
          <w:rFonts w:cs="Times New Roman"/>
        </w:rPr>
        <w:t>ed</w:t>
      </w:r>
      <w:r w:rsidR="00B146DD" w:rsidRPr="00354B94">
        <w:rPr>
          <w:rFonts w:cs="Times New Roman"/>
        </w:rPr>
        <w:t xml:space="preserve"> in several releases, </w:t>
      </w:r>
      <w:r w:rsidR="008167B5" w:rsidRPr="00354B94">
        <w:rPr>
          <w:rFonts w:cs="Times New Roman"/>
        </w:rPr>
        <w:t>including</w:t>
      </w:r>
      <w:r w:rsidR="00B146DD" w:rsidRPr="00354B94">
        <w:rPr>
          <w:rFonts w:cs="Times New Roman"/>
        </w:rPr>
        <w:t xml:space="preserve"> Brigid Francis-Devine, Paul Bolton, Matthew Keep, Daniel Harari, “Rising cost of living in the UK” (2022) Research Briefing House of Commons Library, </w:t>
      </w:r>
      <w:r w:rsidR="00C91D31" w:rsidRPr="00354B94">
        <w:rPr>
          <w:rFonts w:cs="Times New Roman"/>
        </w:rPr>
        <w:t>available at:</w:t>
      </w:r>
      <w:r w:rsidR="00B146DD" w:rsidRPr="00354B94">
        <w:rPr>
          <w:rFonts w:cs="Times New Roman"/>
        </w:rPr>
        <w:t xml:space="preserve"> https://researchbriefings.files.parliament.uk/documents/CBP-9428/CBP-9428.pdf [Accessed 12 September 2022] or </w:t>
      </w:r>
      <w:proofErr w:type="spellStart"/>
      <w:r w:rsidRPr="00354B94">
        <w:rPr>
          <w:rFonts w:cs="Times New Roman"/>
        </w:rPr>
        <w:t>Iana</w:t>
      </w:r>
      <w:proofErr w:type="spellEnd"/>
      <w:r w:rsidRPr="00354B94">
        <w:rPr>
          <w:rFonts w:cs="Times New Roman"/>
        </w:rPr>
        <w:t xml:space="preserve"> </w:t>
      </w:r>
      <w:proofErr w:type="spellStart"/>
      <w:r w:rsidRPr="00354B94">
        <w:rPr>
          <w:rFonts w:cs="Times New Roman"/>
        </w:rPr>
        <w:t>Liadze</w:t>
      </w:r>
      <w:proofErr w:type="spellEnd"/>
      <w:r w:rsidRPr="00354B94">
        <w:rPr>
          <w:rFonts w:cs="Times New Roman"/>
        </w:rPr>
        <w:t xml:space="preserve">, </w:t>
      </w:r>
      <w:proofErr w:type="spellStart"/>
      <w:r w:rsidRPr="00354B94">
        <w:rPr>
          <w:rFonts w:cs="Times New Roman"/>
        </w:rPr>
        <w:t>Corrado</w:t>
      </w:r>
      <w:proofErr w:type="spellEnd"/>
      <w:r w:rsidRPr="00354B94">
        <w:rPr>
          <w:rFonts w:cs="Times New Roman"/>
        </w:rPr>
        <w:t xml:space="preserve"> </w:t>
      </w:r>
      <w:proofErr w:type="spellStart"/>
      <w:r w:rsidRPr="00354B94">
        <w:rPr>
          <w:rFonts w:cs="Times New Roman"/>
        </w:rPr>
        <w:t>Macchiarelli</w:t>
      </w:r>
      <w:proofErr w:type="spellEnd"/>
      <w:r w:rsidRPr="00354B94">
        <w:rPr>
          <w:rFonts w:cs="Times New Roman"/>
        </w:rPr>
        <w:t xml:space="preserve">, Paul Mortimer-Lee, Patricia Sanchez </w:t>
      </w:r>
      <w:proofErr w:type="spellStart"/>
      <w:r w:rsidRPr="00354B94">
        <w:rPr>
          <w:rFonts w:cs="Times New Roman"/>
        </w:rPr>
        <w:t>Juanino</w:t>
      </w:r>
      <w:proofErr w:type="spellEnd"/>
      <w:r w:rsidRPr="00354B94">
        <w:rPr>
          <w:rFonts w:cs="Times New Roman"/>
        </w:rPr>
        <w:t>, “The Economic Costs of the Russia-Ukraine Conflict” (2022) NIESR Policy Paper 32</w:t>
      </w:r>
      <w:r w:rsidR="00B146DD" w:rsidRPr="00354B94">
        <w:rPr>
          <w:rFonts w:cs="Times New Roman"/>
        </w:rPr>
        <w:t>.</w:t>
      </w:r>
      <w:r w:rsidRPr="00354B94">
        <w:rPr>
          <w:rFonts w:cs="Times New Roman"/>
        </w:rPr>
        <w:t xml:space="preserve"> </w:t>
      </w:r>
    </w:p>
  </w:footnote>
  <w:footnote w:id="6">
    <w:p w14:paraId="5ED8478F" w14:textId="7890C723" w:rsidR="001A4E8D" w:rsidRPr="00354B94" w:rsidRDefault="001A4E8D">
      <w:pPr>
        <w:pStyle w:val="FootnoteText"/>
        <w:rPr>
          <w:rFonts w:cs="Times New Roman"/>
        </w:rPr>
      </w:pPr>
      <w:r w:rsidRPr="00354B94">
        <w:rPr>
          <w:rStyle w:val="FootnoteReference"/>
          <w:rFonts w:cs="Times New Roman"/>
        </w:rPr>
        <w:footnoteRef/>
      </w:r>
      <w:r w:rsidRPr="00354B94">
        <w:rPr>
          <w:rFonts w:cs="Times New Roman"/>
        </w:rPr>
        <w:t xml:space="preserve"> </w:t>
      </w:r>
      <w:r w:rsidR="00947A1B" w:rsidRPr="00354B94">
        <w:rPr>
          <w:rFonts w:cs="Times New Roman"/>
        </w:rPr>
        <w:t>CPI rose by 10.1</w:t>
      </w:r>
      <w:r w:rsidR="00B84B4D" w:rsidRPr="00354B94">
        <w:rPr>
          <w:rFonts w:cs="Times New Roman"/>
        </w:rPr>
        <w:t xml:space="preserve"> per cent</w:t>
      </w:r>
      <w:r w:rsidR="00947A1B" w:rsidRPr="00354B94">
        <w:rPr>
          <w:rFonts w:cs="Times New Roman"/>
        </w:rPr>
        <w:t xml:space="preserve"> in the 12 months to July 2022. </w:t>
      </w:r>
      <w:r w:rsidR="00691BEA" w:rsidRPr="00354B94">
        <w:rPr>
          <w:rFonts w:cs="Times New Roman"/>
        </w:rPr>
        <w:t xml:space="preserve">CPI was introduced in 1997. </w:t>
      </w:r>
      <w:r w:rsidR="00ED26A1" w:rsidRPr="00354B94">
        <w:rPr>
          <w:rFonts w:cs="Times New Roman"/>
        </w:rPr>
        <w:t>Source</w:t>
      </w:r>
      <w:r w:rsidR="00691BEA" w:rsidRPr="00354B94">
        <w:rPr>
          <w:rFonts w:cs="Times New Roman"/>
        </w:rPr>
        <w:t xml:space="preserve">: </w:t>
      </w:r>
      <w:r w:rsidR="00596BCB" w:rsidRPr="00354B94">
        <w:rPr>
          <w:rFonts w:cs="Times New Roman"/>
        </w:rPr>
        <w:t>Office for National Statistics</w:t>
      </w:r>
      <w:r w:rsidR="00B146DD" w:rsidRPr="00354B94">
        <w:rPr>
          <w:rFonts w:cs="Times New Roman"/>
        </w:rPr>
        <w:t xml:space="preserve">, </w:t>
      </w:r>
      <w:r w:rsidR="00596BCB" w:rsidRPr="00354B94">
        <w:rPr>
          <w:rFonts w:cs="Times New Roman"/>
        </w:rPr>
        <w:t>“</w:t>
      </w:r>
      <w:r w:rsidR="00B146DD" w:rsidRPr="00354B94">
        <w:rPr>
          <w:rFonts w:cs="Times New Roman"/>
        </w:rPr>
        <w:t>Consumer price inflation, UK</w:t>
      </w:r>
      <w:r w:rsidR="008114CA" w:rsidRPr="00354B94">
        <w:rPr>
          <w:rFonts w:cs="Times New Roman"/>
        </w:rPr>
        <w:t>, UK: July 2022</w:t>
      </w:r>
      <w:r w:rsidR="00596BCB" w:rsidRPr="00354B94">
        <w:rPr>
          <w:rFonts w:cs="Times New Roman"/>
        </w:rPr>
        <w:t xml:space="preserve">” (2002), </w:t>
      </w:r>
      <w:r w:rsidR="00C91D31" w:rsidRPr="00354B94">
        <w:rPr>
          <w:rFonts w:cs="Times New Roman"/>
        </w:rPr>
        <w:t>available at:</w:t>
      </w:r>
      <w:r w:rsidR="00596BCB" w:rsidRPr="00354B94">
        <w:rPr>
          <w:rFonts w:cs="Times New Roman"/>
        </w:rPr>
        <w:t xml:space="preserve"> </w:t>
      </w:r>
      <w:r w:rsidR="003E499D" w:rsidRPr="00354B94">
        <w:rPr>
          <w:rFonts w:cs="Times New Roman"/>
        </w:rPr>
        <w:t>https://www.ons.gov.uk/economy/inflationandpriceindices/bulletins/consumerpriceinflation/july2022 [Accessed 12 September 2022]</w:t>
      </w:r>
      <w:r w:rsidR="00FA5FBF" w:rsidRPr="00354B94">
        <w:rPr>
          <w:rFonts w:cs="Times New Roman"/>
        </w:rPr>
        <w:t>.</w:t>
      </w:r>
    </w:p>
  </w:footnote>
  <w:footnote w:id="7">
    <w:p w14:paraId="4D60CAEB" w14:textId="4C2414FF" w:rsidR="00866B5A" w:rsidRPr="00354B94" w:rsidRDefault="00866B5A" w:rsidP="00866B5A">
      <w:pPr>
        <w:pStyle w:val="FootnoteText"/>
        <w:rPr>
          <w:rFonts w:cs="Times New Roman"/>
        </w:rPr>
      </w:pPr>
      <w:r w:rsidRPr="00354B94">
        <w:rPr>
          <w:rStyle w:val="FootnoteReference"/>
          <w:rFonts w:cs="Times New Roman"/>
        </w:rPr>
        <w:footnoteRef/>
      </w:r>
      <w:r w:rsidRPr="00354B94">
        <w:rPr>
          <w:rFonts w:cs="Times New Roman"/>
        </w:rPr>
        <w:t xml:space="preserve"> HM Treasury, Cost of Living Support (2002)</w:t>
      </w:r>
      <w:r w:rsidR="002E6C18" w:rsidRPr="00354B94">
        <w:rPr>
          <w:rFonts w:cs="Times New Roman"/>
        </w:rPr>
        <w:t xml:space="preserve"> Speech</w:t>
      </w:r>
      <w:r w:rsidRPr="00354B94">
        <w:rPr>
          <w:rFonts w:cs="Times New Roman"/>
        </w:rPr>
        <w:t xml:space="preserve">, </w:t>
      </w:r>
      <w:r w:rsidR="00C91D31" w:rsidRPr="00354B94">
        <w:rPr>
          <w:rFonts w:cs="Times New Roman"/>
        </w:rPr>
        <w:t>available at:</w:t>
      </w:r>
      <w:r w:rsidRPr="00354B94">
        <w:rPr>
          <w:rFonts w:cs="Times New Roman"/>
        </w:rPr>
        <w:t xml:space="preserve"> https://www.gov.uk/government/speeches/cost-of-living-support [Accessed 12 September 2022]</w:t>
      </w:r>
      <w:r w:rsidR="00FA5FBF" w:rsidRPr="00354B94">
        <w:rPr>
          <w:rFonts w:cs="Times New Roman"/>
        </w:rPr>
        <w:t>.</w:t>
      </w:r>
    </w:p>
  </w:footnote>
  <w:footnote w:id="8">
    <w:p w14:paraId="6CE26546" w14:textId="6B3FDA2B" w:rsidR="006F4E06" w:rsidRPr="00354B94" w:rsidRDefault="006F4E06" w:rsidP="006F4E06">
      <w:pPr>
        <w:pStyle w:val="FootnoteText"/>
        <w:rPr>
          <w:rFonts w:cs="Times New Roman"/>
        </w:rPr>
      </w:pPr>
      <w:r w:rsidRPr="00354B94">
        <w:rPr>
          <w:rStyle w:val="FootnoteReference"/>
          <w:rFonts w:cs="Times New Roman"/>
        </w:rPr>
        <w:footnoteRef/>
      </w:r>
      <w:r w:rsidRPr="00354B94">
        <w:rPr>
          <w:rFonts w:cs="Times New Roman"/>
        </w:rPr>
        <w:t xml:space="preserve"> HM Treasury, Cost of Living Support (2002)</w:t>
      </w:r>
      <w:r w:rsidR="002E6C18" w:rsidRPr="00354B94">
        <w:rPr>
          <w:rFonts w:cs="Times New Roman"/>
        </w:rPr>
        <w:t xml:space="preserve"> Speech</w:t>
      </w:r>
      <w:r w:rsidRPr="00354B94">
        <w:rPr>
          <w:rFonts w:cs="Times New Roman"/>
        </w:rPr>
        <w:t xml:space="preserve">, </w:t>
      </w:r>
      <w:r w:rsidR="00C91D31" w:rsidRPr="00354B94">
        <w:rPr>
          <w:rFonts w:cs="Times New Roman"/>
        </w:rPr>
        <w:t>available at:</w:t>
      </w:r>
      <w:r w:rsidRPr="00354B94">
        <w:rPr>
          <w:rFonts w:cs="Times New Roman"/>
        </w:rPr>
        <w:t xml:space="preserve"> https://www.gov.uk/government/speeches/cost-of-living-support [Accessed 12 September 2022]</w:t>
      </w:r>
      <w:r w:rsidR="00FA5FBF" w:rsidRPr="00354B94">
        <w:rPr>
          <w:rFonts w:cs="Times New Roman"/>
        </w:rPr>
        <w:t>.</w:t>
      </w:r>
    </w:p>
  </w:footnote>
  <w:footnote w:id="9">
    <w:p w14:paraId="4079595B" w14:textId="77777777" w:rsidR="008D7B7F" w:rsidRPr="00354B94" w:rsidRDefault="004B1283" w:rsidP="004B1283">
      <w:pPr>
        <w:pStyle w:val="FootnoteText"/>
        <w:rPr>
          <w:rFonts w:cs="Times New Roman"/>
        </w:rPr>
      </w:pPr>
      <w:r w:rsidRPr="00354B94">
        <w:rPr>
          <w:rStyle w:val="FootnoteReference"/>
          <w:rFonts w:cs="Times New Roman"/>
        </w:rPr>
        <w:footnoteRef/>
      </w:r>
      <w:r w:rsidRPr="00354B94">
        <w:rPr>
          <w:rFonts w:cs="Times New Roman"/>
        </w:rPr>
        <w:t xml:space="preserve"> Writer’s construction</w:t>
      </w:r>
      <w:r w:rsidR="002B2E47" w:rsidRPr="00354B94">
        <w:rPr>
          <w:rFonts w:cs="Times New Roman"/>
        </w:rPr>
        <w:t>. Various acts were used to</w:t>
      </w:r>
      <w:r w:rsidR="00182D0B" w:rsidRPr="00354B94">
        <w:rPr>
          <w:rFonts w:cs="Times New Roman"/>
        </w:rPr>
        <w:t xml:space="preserve"> draw the line visualising </w:t>
      </w:r>
      <w:r w:rsidR="002B2E47" w:rsidRPr="00354B94">
        <w:rPr>
          <w:rFonts w:cs="Times New Roman"/>
        </w:rPr>
        <w:t xml:space="preserve">the changing tax rates, </w:t>
      </w:r>
    </w:p>
    <w:p w14:paraId="053CFF92" w14:textId="16511AAF" w:rsidR="004B1283" w:rsidRPr="00354B94" w:rsidRDefault="002B2E47" w:rsidP="004B1283">
      <w:pPr>
        <w:pStyle w:val="FootnoteText"/>
        <w:rPr>
          <w:rFonts w:cs="Times New Roman"/>
        </w:rPr>
      </w:pPr>
      <w:r w:rsidRPr="00354B94">
        <w:rPr>
          <w:rFonts w:cs="Times New Roman"/>
        </w:rPr>
        <w:t>including FA 2002 s.91, FA 2006 s.152, FA 2011 s.7, FA 2015, s.48, FA 2016, s.58, CTA 2010 s</w:t>
      </w:r>
      <w:r w:rsidR="00676BBF" w:rsidRPr="00354B94">
        <w:rPr>
          <w:rFonts w:cs="Times New Roman"/>
        </w:rPr>
        <w:t>s</w:t>
      </w:r>
      <w:r w:rsidRPr="00354B94">
        <w:rPr>
          <w:rFonts w:cs="Times New Roman"/>
        </w:rPr>
        <w:t>. 279A and 330</w:t>
      </w:r>
      <w:r w:rsidR="00292C44" w:rsidRPr="00354B94">
        <w:rPr>
          <w:rFonts w:cs="Times New Roman"/>
        </w:rPr>
        <w:t>, Energy (Oil and Gas) Profits Levy Act 2022 s.1(1)</w:t>
      </w:r>
      <w:r w:rsidRPr="00354B94">
        <w:rPr>
          <w:rFonts w:cs="Times New Roman"/>
        </w:rPr>
        <w:t xml:space="preserve">. Oil price data was </w:t>
      </w:r>
      <w:r w:rsidR="00ED26A1" w:rsidRPr="00354B94">
        <w:rPr>
          <w:rFonts w:cs="Times New Roman"/>
        </w:rPr>
        <w:t>taken</w:t>
      </w:r>
      <w:r w:rsidRPr="00354B94">
        <w:rPr>
          <w:rFonts w:cs="Times New Roman"/>
        </w:rPr>
        <w:t xml:space="preserve"> from </w:t>
      </w:r>
      <w:r w:rsidR="00ED26A1" w:rsidRPr="00354B94">
        <w:rPr>
          <w:rFonts w:cs="Times New Roman"/>
        </w:rPr>
        <w:t>Office</w:t>
      </w:r>
      <w:r w:rsidR="004B1283" w:rsidRPr="00354B94">
        <w:rPr>
          <w:rFonts w:cs="Times New Roman"/>
        </w:rPr>
        <w:t xml:space="preserve"> for Budget Responsibility “March 2022 Economic and fiscal outlook – charts and tables: Executive summary”</w:t>
      </w:r>
      <w:r w:rsidR="007B002D" w:rsidRPr="00354B94">
        <w:rPr>
          <w:rFonts w:cs="Times New Roman"/>
        </w:rPr>
        <w:t xml:space="preserve"> (2022), </w:t>
      </w:r>
      <w:r w:rsidR="00C91D31" w:rsidRPr="00354B94">
        <w:rPr>
          <w:rFonts w:cs="Times New Roman"/>
        </w:rPr>
        <w:t>available at:</w:t>
      </w:r>
      <w:r w:rsidR="002E6A76" w:rsidRPr="00354B94">
        <w:rPr>
          <w:rFonts w:cs="Times New Roman"/>
        </w:rPr>
        <w:t xml:space="preserve"> </w:t>
      </w:r>
      <w:r w:rsidR="004B1283" w:rsidRPr="00354B94">
        <w:rPr>
          <w:rFonts w:cs="Times New Roman"/>
        </w:rPr>
        <w:t>https://obr.uk/download/march-2022-economic-and-fiscal-outlook-charts-and-tables-executive-summary/ [Accessed 12 September], C1.2</w:t>
      </w:r>
      <w:r w:rsidR="00ED26A1" w:rsidRPr="00354B94">
        <w:rPr>
          <w:rFonts w:cs="Times New Roman"/>
        </w:rPr>
        <w:t>.</w:t>
      </w:r>
      <w:r w:rsidR="00E41750" w:rsidRPr="00354B94">
        <w:rPr>
          <w:rFonts w:cs="Times New Roman"/>
        </w:rPr>
        <w:t xml:space="preserve"> </w:t>
      </w:r>
    </w:p>
  </w:footnote>
  <w:footnote w:id="10">
    <w:p w14:paraId="07FA7ACA" w14:textId="4611F58B" w:rsidR="0004502E" w:rsidRPr="00354B94" w:rsidRDefault="0004502E" w:rsidP="0004502E">
      <w:pPr>
        <w:pStyle w:val="FootnoteText"/>
        <w:rPr>
          <w:rFonts w:cs="Times New Roman"/>
        </w:rPr>
      </w:pPr>
      <w:r w:rsidRPr="00354B94">
        <w:rPr>
          <w:rStyle w:val="FootnoteReference"/>
          <w:rFonts w:cs="Times New Roman"/>
        </w:rPr>
        <w:footnoteRef/>
      </w:r>
      <w:r w:rsidRPr="00354B94">
        <w:rPr>
          <w:rFonts w:cs="Times New Roman"/>
        </w:rPr>
        <w:t xml:space="preserve"> CTA 2010 s. 279A</w:t>
      </w:r>
    </w:p>
  </w:footnote>
  <w:footnote w:id="11">
    <w:p w14:paraId="4C133171" w14:textId="2535FF33" w:rsidR="0004502E" w:rsidRPr="00354B94" w:rsidRDefault="0004502E" w:rsidP="0004502E">
      <w:pPr>
        <w:pStyle w:val="FootnoteText"/>
        <w:rPr>
          <w:rFonts w:cs="Times New Roman"/>
        </w:rPr>
      </w:pPr>
      <w:r w:rsidRPr="00354B94">
        <w:rPr>
          <w:rStyle w:val="FootnoteReference"/>
          <w:rFonts w:cs="Times New Roman"/>
        </w:rPr>
        <w:footnoteRef/>
      </w:r>
      <w:r w:rsidRPr="00354B94">
        <w:rPr>
          <w:rFonts w:cs="Times New Roman"/>
        </w:rPr>
        <w:t xml:space="preserve"> CTA 2010 s. 330</w:t>
      </w:r>
    </w:p>
  </w:footnote>
  <w:footnote w:id="12">
    <w:p w14:paraId="00BA9AA5" w14:textId="693FC20E" w:rsidR="0013509A" w:rsidRPr="00354B94" w:rsidRDefault="0013509A">
      <w:pPr>
        <w:pStyle w:val="FootnoteText"/>
        <w:rPr>
          <w:rFonts w:cs="Times New Roman"/>
        </w:rPr>
      </w:pPr>
      <w:r w:rsidRPr="00354B94">
        <w:rPr>
          <w:rStyle w:val="FootnoteReference"/>
          <w:rFonts w:cs="Times New Roman"/>
        </w:rPr>
        <w:footnoteRef/>
      </w:r>
      <w:r w:rsidRPr="00354B94">
        <w:rPr>
          <w:rFonts w:cs="Times New Roman"/>
        </w:rPr>
        <w:t xml:space="preserve"> </w:t>
      </w:r>
      <w:r w:rsidR="00BE4E97" w:rsidRPr="00354B94">
        <w:rPr>
          <w:rFonts w:cs="Times New Roman"/>
        </w:rPr>
        <w:t xml:space="preserve">OTA 1975 </w:t>
      </w:r>
      <w:r w:rsidR="00102312" w:rsidRPr="00354B94">
        <w:rPr>
          <w:rFonts w:cs="Times New Roman"/>
        </w:rPr>
        <w:t>s.1</w:t>
      </w:r>
    </w:p>
  </w:footnote>
  <w:footnote w:id="13">
    <w:p w14:paraId="61945663" w14:textId="1812FE52" w:rsidR="00D14754" w:rsidRPr="00354B94" w:rsidRDefault="00D14754">
      <w:pPr>
        <w:pStyle w:val="FootnoteText"/>
        <w:rPr>
          <w:rFonts w:cs="Times New Roman"/>
        </w:rPr>
      </w:pPr>
      <w:r w:rsidRPr="00354B94">
        <w:rPr>
          <w:rStyle w:val="FootnoteReference"/>
          <w:rFonts w:cs="Times New Roman"/>
        </w:rPr>
        <w:footnoteRef/>
      </w:r>
      <w:r w:rsidR="00DC1F43" w:rsidRPr="00354B94">
        <w:rPr>
          <w:rFonts w:cs="Times New Roman"/>
        </w:rPr>
        <w:t xml:space="preserve"> </w:t>
      </w:r>
      <w:r w:rsidRPr="00354B94">
        <w:rPr>
          <w:rFonts w:cs="Times New Roman"/>
        </w:rPr>
        <w:t xml:space="preserve">CTA 2010 </w:t>
      </w:r>
      <w:r w:rsidR="00AB3BFE" w:rsidRPr="00354B94">
        <w:rPr>
          <w:rFonts w:cs="Times New Roman"/>
        </w:rPr>
        <w:t>C</w:t>
      </w:r>
      <w:r w:rsidR="0004502E" w:rsidRPr="00354B94">
        <w:rPr>
          <w:rFonts w:cs="Times New Roman"/>
        </w:rPr>
        <w:t>hapters 3, 3A, 4</w:t>
      </w:r>
    </w:p>
  </w:footnote>
  <w:footnote w:id="14">
    <w:p w14:paraId="327A9F76" w14:textId="3379A7E7" w:rsidR="0004502E" w:rsidRPr="00354B94" w:rsidRDefault="0004502E">
      <w:pPr>
        <w:pStyle w:val="FootnoteText"/>
        <w:rPr>
          <w:rFonts w:cs="Times New Roman"/>
        </w:rPr>
      </w:pPr>
      <w:r w:rsidRPr="00354B94">
        <w:rPr>
          <w:rStyle w:val="FootnoteReference"/>
          <w:rFonts w:cs="Times New Roman"/>
        </w:rPr>
        <w:footnoteRef/>
      </w:r>
      <w:r w:rsidRPr="00354B94">
        <w:rPr>
          <w:rFonts w:cs="Times New Roman"/>
        </w:rPr>
        <w:t xml:space="preserve"> CTA </w:t>
      </w:r>
      <w:r w:rsidR="00102312" w:rsidRPr="00354B94">
        <w:rPr>
          <w:rFonts w:cs="Times New Roman"/>
        </w:rPr>
        <w:t xml:space="preserve">2010 s. </w:t>
      </w:r>
      <w:r w:rsidRPr="00354B94">
        <w:rPr>
          <w:rFonts w:cs="Times New Roman"/>
        </w:rPr>
        <w:t>330</w:t>
      </w:r>
    </w:p>
  </w:footnote>
  <w:footnote w:id="15">
    <w:p w14:paraId="28730B72" w14:textId="576CBB93" w:rsidR="00BD11F5" w:rsidRPr="00354B94" w:rsidRDefault="00BD11F5" w:rsidP="00BD11F5">
      <w:pPr>
        <w:pStyle w:val="FootnoteText"/>
        <w:rPr>
          <w:rFonts w:cs="Times New Roman"/>
        </w:rPr>
      </w:pPr>
      <w:r w:rsidRPr="00354B94">
        <w:rPr>
          <w:rStyle w:val="FootnoteReference"/>
          <w:rFonts w:cs="Times New Roman"/>
        </w:rPr>
        <w:footnoteRef/>
      </w:r>
      <w:r w:rsidRPr="00354B94">
        <w:rPr>
          <w:rFonts w:cs="Times New Roman"/>
        </w:rPr>
        <w:t xml:space="preserve"> </w:t>
      </w:r>
      <w:r w:rsidR="000E75D1" w:rsidRPr="00354B94">
        <w:rPr>
          <w:rFonts w:cs="Times New Roman"/>
        </w:rPr>
        <w:t>FA 2002 s</w:t>
      </w:r>
      <w:r w:rsidR="00841FB0" w:rsidRPr="00354B94">
        <w:rPr>
          <w:rFonts w:cs="Times New Roman"/>
        </w:rPr>
        <w:t>.</w:t>
      </w:r>
      <w:r w:rsidR="000E75D1" w:rsidRPr="00354B94">
        <w:rPr>
          <w:rFonts w:cs="Times New Roman"/>
        </w:rPr>
        <w:t xml:space="preserve">91 (version of 24 July 2002) announced with </w:t>
      </w:r>
      <w:r w:rsidR="00DC1F43" w:rsidRPr="00354B94">
        <w:rPr>
          <w:rFonts w:cs="Times New Roman"/>
        </w:rPr>
        <w:t>HM Treasury, “Budget 20</w:t>
      </w:r>
      <w:r w:rsidR="00841FB0" w:rsidRPr="00354B94">
        <w:rPr>
          <w:rFonts w:cs="Times New Roman"/>
        </w:rPr>
        <w:t>02</w:t>
      </w:r>
      <w:r w:rsidR="00DC1F43" w:rsidRPr="00354B94">
        <w:rPr>
          <w:rFonts w:cs="Times New Roman"/>
        </w:rPr>
        <w:t>” (20</w:t>
      </w:r>
      <w:r w:rsidR="00841FB0" w:rsidRPr="00354B94">
        <w:rPr>
          <w:rFonts w:cs="Times New Roman"/>
        </w:rPr>
        <w:t>02</w:t>
      </w:r>
      <w:r w:rsidR="00DC1F43" w:rsidRPr="00354B94">
        <w:rPr>
          <w:rFonts w:cs="Times New Roman"/>
        </w:rPr>
        <w:t xml:space="preserve">), </w:t>
      </w:r>
      <w:r w:rsidR="00C91D31" w:rsidRPr="00354B94">
        <w:rPr>
          <w:rFonts w:cs="Times New Roman"/>
        </w:rPr>
        <w:t>available at:</w:t>
      </w:r>
      <w:r w:rsidR="00DC1F43" w:rsidRPr="00354B94">
        <w:rPr>
          <w:rFonts w:cs="Times New Roman"/>
        </w:rPr>
        <w:t xml:space="preserve"> </w:t>
      </w:r>
      <w:r w:rsidR="001A146D" w:rsidRPr="00354B94">
        <w:rPr>
          <w:rFonts w:cs="Times New Roman"/>
        </w:rPr>
        <w:t xml:space="preserve">https://webarchive.nationalarchives.gov.uk/ukgwa/20100407011120/http:/www.hm-treasury.gov.uk/bud_bud02_index.htm [Accessed </w:t>
      </w:r>
      <w:r w:rsidR="00841FB0" w:rsidRPr="00354B94">
        <w:rPr>
          <w:rFonts w:cs="Times New Roman"/>
        </w:rPr>
        <w:t xml:space="preserve">22 </w:t>
      </w:r>
      <w:r w:rsidR="001A146D" w:rsidRPr="00354B94">
        <w:rPr>
          <w:rFonts w:cs="Times New Roman"/>
        </w:rPr>
        <w:t>September 2022]</w:t>
      </w:r>
    </w:p>
  </w:footnote>
  <w:footnote w:id="16">
    <w:p w14:paraId="24852091" w14:textId="18B43CB7" w:rsidR="0004502E" w:rsidRPr="00354B94" w:rsidRDefault="0004502E">
      <w:pPr>
        <w:pStyle w:val="FootnoteText"/>
        <w:rPr>
          <w:rFonts w:cs="Times New Roman"/>
        </w:rPr>
      </w:pPr>
      <w:r w:rsidRPr="00354B94">
        <w:rPr>
          <w:rStyle w:val="FootnoteReference"/>
          <w:rFonts w:cs="Times New Roman"/>
        </w:rPr>
        <w:footnoteRef/>
      </w:r>
      <w:r w:rsidRPr="00354B94">
        <w:rPr>
          <w:rFonts w:cs="Times New Roman"/>
        </w:rPr>
        <w:t xml:space="preserve"> For a more detail</w:t>
      </w:r>
      <w:r w:rsidR="00ED26A1" w:rsidRPr="00354B94">
        <w:rPr>
          <w:rFonts w:cs="Times New Roman"/>
        </w:rPr>
        <w:t>ed</w:t>
      </w:r>
      <w:r w:rsidRPr="00354B94">
        <w:rPr>
          <w:rFonts w:cs="Times New Roman"/>
        </w:rPr>
        <w:t xml:space="preserve"> review of historical trends see Anthony Seely “Taxation of North Sea </w:t>
      </w:r>
      <w:r w:rsidR="00C74832" w:rsidRPr="00354B94">
        <w:rPr>
          <w:rFonts w:cs="Times New Roman"/>
        </w:rPr>
        <w:t>O</w:t>
      </w:r>
      <w:r w:rsidRPr="00354B94">
        <w:rPr>
          <w:rFonts w:cs="Times New Roman"/>
        </w:rPr>
        <w:t xml:space="preserve">il and </w:t>
      </w:r>
      <w:r w:rsidR="00C74832" w:rsidRPr="00354B94">
        <w:rPr>
          <w:rFonts w:cs="Times New Roman"/>
        </w:rPr>
        <w:t>G</w:t>
      </w:r>
      <w:r w:rsidRPr="00354B94">
        <w:rPr>
          <w:rFonts w:cs="Times New Roman"/>
        </w:rPr>
        <w:t>as” (2022), available at: https://researchbriefings.files.parliament.uk/documents/SN00341/SN00341.pdf [Accessed 12 September].</w:t>
      </w:r>
    </w:p>
  </w:footnote>
  <w:footnote w:id="17">
    <w:p w14:paraId="608AE26A" w14:textId="07E704BF" w:rsidR="00BD11F5" w:rsidRPr="00354B94" w:rsidRDefault="00BD11F5" w:rsidP="00BD11F5">
      <w:pPr>
        <w:pStyle w:val="FootnoteText"/>
        <w:rPr>
          <w:rFonts w:cs="Times New Roman"/>
        </w:rPr>
      </w:pPr>
      <w:r w:rsidRPr="00354B94">
        <w:rPr>
          <w:rStyle w:val="FootnoteReference"/>
          <w:rFonts w:cs="Times New Roman"/>
        </w:rPr>
        <w:footnoteRef/>
      </w:r>
      <w:r w:rsidRPr="00354B94">
        <w:rPr>
          <w:rFonts w:cs="Times New Roman"/>
        </w:rPr>
        <w:t xml:space="preserve"> </w:t>
      </w:r>
      <w:r w:rsidR="0004502E" w:rsidRPr="00354B94">
        <w:rPr>
          <w:rFonts w:cs="Times New Roman"/>
        </w:rPr>
        <w:t xml:space="preserve">FA 2006 s.152, announced with </w:t>
      </w:r>
      <w:r w:rsidR="005476DF" w:rsidRPr="00354B94">
        <w:rPr>
          <w:rFonts w:cs="Times New Roman"/>
        </w:rPr>
        <w:t>HM Treasury, “</w:t>
      </w:r>
      <w:r w:rsidR="007E36C5" w:rsidRPr="00354B94">
        <w:rPr>
          <w:rFonts w:cs="Times New Roman"/>
        </w:rPr>
        <w:t>Pre-Budget 2005</w:t>
      </w:r>
      <w:r w:rsidR="005476DF" w:rsidRPr="00354B94">
        <w:rPr>
          <w:rFonts w:cs="Times New Roman"/>
        </w:rPr>
        <w:t>” (</w:t>
      </w:r>
      <w:r w:rsidR="007E36C5" w:rsidRPr="00354B94">
        <w:rPr>
          <w:rFonts w:cs="Times New Roman"/>
        </w:rPr>
        <w:t>2005</w:t>
      </w:r>
      <w:r w:rsidR="005476DF" w:rsidRPr="00354B94">
        <w:rPr>
          <w:rFonts w:cs="Times New Roman"/>
        </w:rPr>
        <w:t xml:space="preserve">), </w:t>
      </w:r>
      <w:r w:rsidR="00C91D31" w:rsidRPr="00354B94">
        <w:rPr>
          <w:rFonts w:cs="Times New Roman"/>
        </w:rPr>
        <w:t>available at:</w:t>
      </w:r>
      <w:r w:rsidR="005476DF" w:rsidRPr="00354B94">
        <w:rPr>
          <w:rFonts w:cs="Times New Roman"/>
        </w:rPr>
        <w:t xml:space="preserve"> </w:t>
      </w:r>
      <w:r w:rsidR="007E36C5" w:rsidRPr="00354B94">
        <w:rPr>
          <w:rFonts w:cs="Times New Roman"/>
        </w:rPr>
        <w:t xml:space="preserve">https://webarchive.nationalarchives.gov.uk/ukgwa/20100407011218mp_/http://www.hm-treasury.gov.uk/prebud_pbr05_repindex.htm </w:t>
      </w:r>
      <w:r w:rsidR="00107838" w:rsidRPr="00354B94">
        <w:rPr>
          <w:rFonts w:cs="Times New Roman"/>
        </w:rPr>
        <w:t>[Accessed 12 September 2022].</w:t>
      </w:r>
    </w:p>
  </w:footnote>
  <w:footnote w:id="18">
    <w:p w14:paraId="4B1CD9B8" w14:textId="59A47E9A" w:rsidR="00BD11F5" w:rsidRPr="00354B94" w:rsidRDefault="00BD11F5" w:rsidP="00BD11F5">
      <w:pPr>
        <w:pStyle w:val="FootnoteText"/>
        <w:rPr>
          <w:rFonts w:cs="Times New Roman"/>
        </w:rPr>
      </w:pPr>
      <w:r w:rsidRPr="00354B94">
        <w:rPr>
          <w:rStyle w:val="FootnoteReference"/>
          <w:rFonts w:cs="Times New Roman"/>
        </w:rPr>
        <w:footnoteRef/>
      </w:r>
      <w:r w:rsidRPr="00354B94">
        <w:rPr>
          <w:rFonts w:cs="Times New Roman"/>
        </w:rPr>
        <w:t xml:space="preserve"> </w:t>
      </w:r>
      <w:r w:rsidR="0004502E" w:rsidRPr="00354B94">
        <w:rPr>
          <w:rFonts w:cs="Times New Roman"/>
        </w:rPr>
        <w:t xml:space="preserve">FA 2011 s.7, announced with </w:t>
      </w:r>
      <w:r w:rsidR="00B75F3B" w:rsidRPr="00354B94">
        <w:rPr>
          <w:rFonts w:cs="Times New Roman"/>
        </w:rPr>
        <w:t>HM Treasury, “Budget 2011” (2011</w:t>
      </w:r>
      <w:r w:rsidR="00085F34" w:rsidRPr="00354B94">
        <w:rPr>
          <w:rFonts w:cs="Times New Roman"/>
        </w:rPr>
        <w:t xml:space="preserve">), </w:t>
      </w:r>
      <w:r w:rsidR="00C91D31" w:rsidRPr="00354B94">
        <w:rPr>
          <w:rFonts w:cs="Times New Roman"/>
        </w:rPr>
        <w:t>available at:</w:t>
      </w:r>
      <w:r w:rsidR="00085F34" w:rsidRPr="00354B94">
        <w:rPr>
          <w:rFonts w:cs="Times New Roman"/>
        </w:rPr>
        <w:t xml:space="preserve"> </w:t>
      </w:r>
      <w:r w:rsidR="00107838" w:rsidRPr="00354B94">
        <w:rPr>
          <w:rFonts w:cs="Times New Roman"/>
        </w:rPr>
        <w:t>https://assets.publishing.service.gov.uk/government/uploads/system/uploads/attachment_data/file/247483/0836.pdf [Accessed 12 September 2022].</w:t>
      </w:r>
    </w:p>
  </w:footnote>
  <w:footnote w:id="19">
    <w:p w14:paraId="4C653DBA" w14:textId="249834E8" w:rsidR="00C34BF9" w:rsidRPr="00354B94" w:rsidRDefault="00C34BF9" w:rsidP="00C34BF9">
      <w:pPr>
        <w:pStyle w:val="FootnoteText"/>
        <w:rPr>
          <w:rFonts w:cs="Times New Roman"/>
        </w:rPr>
      </w:pPr>
      <w:r w:rsidRPr="00354B94">
        <w:rPr>
          <w:rStyle w:val="FootnoteReference"/>
          <w:rFonts w:cs="Times New Roman"/>
        </w:rPr>
        <w:footnoteRef/>
      </w:r>
      <w:r w:rsidRPr="00354B94">
        <w:rPr>
          <w:rFonts w:cs="Times New Roman"/>
        </w:rPr>
        <w:t xml:space="preserve"> </w:t>
      </w:r>
      <w:r w:rsidR="00A05092" w:rsidRPr="00354B94">
        <w:rPr>
          <w:rFonts w:cs="Times New Roman"/>
        </w:rPr>
        <w:t xml:space="preserve">Note that this rate was replaced by 20 per cent with FA 2015, s.48 before taking affect. </w:t>
      </w:r>
      <w:r w:rsidR="007A4090" w:rsidRPr="00354B94">
        <w:rPr>
          <w:rFonts w:cs="Times New Roman"/>
        </w:rPr>
        <w:t xml:space="preserve">It was announced in </w:t>
      </w:r>
      <w:r w:rsidRPr="00354B94">
        <w:rPr>
          <w:rFonts w:cs="Times New Roman"/>
        </w:rPr>
        <w:t xml:space="preserve">HM Treasury, “Radical reforms for oil and gas industry” (2014), </w:t>
      </w:r>
      <w:r w:rsidR="00C91D31" w:rsidRPr="00354B94">
        <w:rPr>
          <w:rFonts w:cs="Times New Roman"/>
        </w:rPr>
        <w:t>available at:</w:t>
      </w:r>
      <w:r w:rsidRPr="00354B94">
        <w:rPr>
          <w:rFonts w:cs="Times New Roman"/>
        </w:rPr>
        <w:t xml:space="preserve"> https://www.gov.uk/government/news/radical-reforms-for-oil-and-gas-industry [Accessed 12 September 2022]. </w:t>
      </w:r>
    </w:p>
  </w:footnote>
  <w:footnote w:id="20">
    <w:p w14:paraId="6F91ABD2" w14:textId="6D7E0D11" w:rsidR="00C34BF9" w:rsidRPr="00354B94" w:rsidRDefault="00C34BF9" w:rsidP="00C34BF9">
      <w:pPr>
        <w:pStyle w:val="FootnoteText"/>
        <w:rPr>
          <w:rFonts w:cs="Times New Roman"/>
        </w:rPr>
      </w:pPr>
      <w:r w:rsidRPr="00354B94">
        <w:rPr>
          <w:rStyle w:val="FootnoteReference"/>
          <w:rFonts w:cs="Times New Roman"/>
        </w:rPr>
        <w:footnoteRef/>
      </w:r>
      <w:r w:rsidRPr="00354B94">
        <w:rPr>
          <w:rFonts w:cs="Times New Roman"/>
        </w:rPr>
        <w:t xml:space="preserve"> </w:t>
      </w:r>
      <w:r w:rsidR="0004502E" w:rsidRPr="00354B94">
        <w:rPr>
          <w:rFonts w:cs="Times New Roman"/>
        </w:rPr>
        <w:t xml:space="preserve">FA 2015, s.48, announced with </w:t>
      </w:r>
      <w:r w:rsidRPr="00354B94">
        <w:rPr>
          <w:rFonts w:cs="Times New Roman"/>
        </w:rPr>
        <w:t xml:space="preserve">HM Treasury, “Budget 2015” (2015), </w:t>
      </w:r>
      <w:r w:rsidR="00C91D31" w:rsidRPr="00354B94">
        <w:rPr>
          <w:rFonts w:cs="Times New Roman"/>
        </w:rPr>
        <w:t>available at:</w:t>
      </w:r>
      <w:r w:rsidRPr="00354B94">
        <w:rPr>
          <w:rFonts w:cs="Times New Roman"/>
        </w:rPr>
        <w:t xml:space="preserve"> https://assets.publishing.service.gov.uk/government/uploads/system/uploads/attachment_data/file/416330/47881_Budget_2015_Web_Accessible.pdf [Accessed 12 September 2022].</w:t>
      </w:r>
    </w:p>
  </w:footnote>
  <w:footnote w:id="21">
    <w:p w14:paraId="25802AD6" w14:textId="3A4E3BE1" w:rsidR="00BD11F5" w:rsidRPr="00354B94" w:rsidRDefault="00BD11F5" w:rsidP="00BD11F5">
      <w:pPr>
        <w:pStyle w:val="FootnoteText"/>
        <w:rPr>
          <w:rFonts w:cs="Times New Roman"/>
        </w:rPr>
      </w:pPr>
      <w:r w:rsidRPr="00354B94">
        <w:rPr>
          <w:rStyle w:val="FootnoteReference"/>
          <w:rFonts w:cs="Times New Roman"/>
        </w:rPr>
        <w:footnoteRef/>
      </w:r>
      <w:r w:rsidR="0004502E" w:rsidRPr="00354B94">
        <w:rPr>
          <w:rFonts w:cs="Times New Roman"/>
        </w:rPr>
        <w:t xml:space="preserve">FA 2016, s.58, announced with </w:t>
      </w:r>
      <w:r w:rsidR="00805298" w:rsidRPr="00354B94">
        <w:rPr>
          <w:rFonts w:cs="Times New Roman"/>
        </w:rPr>
        <w:t>HM Treasury, “</w:t>
      </w:r>
      <w:r w:rsidR="00122A66" w:rsidRPr="00354B94">
        <w:rPr>
          <w:rFonts w:cs="Times New Roman"/>
        </w:rPr>
        <w:t xml:space="preserve">Budget 2016” </w:t>
      </w:r>
      <w:r w:rsidR="00305AE3" w:rsidRPr="00354B94">
        <w:rPr>
          <w:rFonts w:cs="Times New Roman"/>
        </w:rPr>
        <w:t xml:space="preserve">(2016), </w:t>
      </w:r>
      <w:r w:rsidR="00C91D31" w:rsidRPr="00354B94">
        <w:rPr>
          <w:rFonts w:cs="Times New Roman"/>
        </w:rPr>
        <w:t>available at:</w:t>
      </w:r>
      <w:r w:rsidR="00C04C9D" w:rsidRPr="00354B94">
        <w:rPr>
          <w:rFonts w:cs="Times New Roman"/>
        </w:rPr>
        <w:t xml:space="preserve"> https://assets.publishing.service.gov.uk/government/uploads/system/uploads/attachment_data/file/508193/HMT_Budget_2016_Web_Accessible.pdf [Accessed 12 September 2022].</w:t>
      </w:r>
    </w:p>
  </w:footnote>
  <w:footnote w:id="22">
    <w:p w14:paraId="255BC45B" w14:textId="0BE91A09" w:rsidR="00F859E2" w:rsidRPr="00354B94" w:rsidRDefault="00F859E2" w:rsidP="00FD283D">
      <w:pPr>
        <w:pStyle w:val="FootnoteText"/>
        <w:rPr>
          <w:rFonts w:cs="Times New Roman"/>
        </w:rPr>
      </w:pPr>
      <w:r w:rsidRPr="00354B94">
        <w:rPr>
          <w:rStyle w:val="FootnoteReference"/>
          <w:rFonts w:cs="Times New Roman"/>
        </w:rPr>
        <w:footnoteRef/>
      </w:r>
      <w:r w:rsidRPr="00354B94">
        <w:rPr>
          <w:rFonts w:cs="Times New Roman"/>
        </w:rPr>
        <w:t xml:space="preserve"> </w:t>
      </w:r>
      <w:r w:rsidR="00976072" w:rsidRPr="00354B94">
        <w:rPr>
          <w:rFonts w:cs="Times New Roman"/>
        </w:rPr>
        <w:t>HM Revenue &amp; Customs, “</w:t>
      </w:r>
      <w:r w:rsidR="00FD283D" w:rsidRPr="00354B94">
        <w:rPr>
          <w:rFonts w:cs="Times New Roman"/>
        </w:rPr>
        <w:t>HMRC internal manual Oil Taxation Manual</w:t>
      </w:r>
      <w:r w:rsidR="00FB06C4" w:rsidRPr="00354B94">
        <w:rPr>
          <w:rFonts w:cs="Times New Roman"/>
        </w:rPr>
        <w:t>”</w:t>
      </w:r>
      <w:r w:rsidR="00983045" w:rsidRPr="00354B94">
        <w:rPr>
          <w:rFonts w:cs="Times New Roman"/>
        </w:rPr>
        <w:t xml:space="preserve"> (2016, Updated </w:t>
      </w:r>
      <w:r w:rsidR="001C71A9" w:rsidRPr="00354B94">
        <w:rPr>
          <w:rFonts w:cs="Times New Roman"/>
        </w:rPr>
        <w:t>22 December 2021),</w:t>
      </w:r>
      <w:r w:rsidR="00FD283D" w:rsidRPr="00354B94">
        <w:rPr>
          <w:rFonts w:cs="Times New Roman"/>
        </w:rPr>
        <w:t xml:space="preserve"> </w:t>
      </w:r>
      <w:r w:rsidR="00C91D31" w:rsidRPr="00354B94">
        <w:rPr>
          <w:rFonts w:cs="Times New Roman"/>
        </w:rPr>
        <w:t>available at:</w:t>
      </w:r>
      <w:r w:rsidRPr="00354B94">
        <w:rPr>
          <w:rFonts w:cs="Times New Roman"/>
        </w:rPr>
        <w:t xml:space="preserve"> </w:t>
      </w:r>
      <w:r w:rsidR="00FD283D" w:rsidRPr="00354B94">
        <w:rPr>
          <w:rFonts w:cs="Times New Roman"/>
        </w:rPr>
        <w:t xml:space="preserve">https://www.gov.uk/hmrc-internal-manuals/oil-taxation-manual/ot26000 </w:t>
      </w:r>
      <w:r w:rsidRPr="00354B94">
        <w:rPr>
          <w:rFonts w:cs="Times New Roman"/>
        </w:rPr>
        <w:t>[Accessed 12 September].</w:t>
      </w:r>
    </w:p>
  </w:footnote>
  <w:footnote w:id="23">
    <w:p w14:paraId="7FBFDDAF" w14:textId="39025390" w:rsidR="00B837D7" w:rsidRPr="00354B94" w:rsidRDefault="00B837D7">
      <w:pPr>
        <w:pStyle w:val="FootnoteText"/>
        <w:rPr>
          <w:rFonts w:cs="Times New Roman"/>
        </w:rPr>
      </w:pPr>
      <w:r w:rsidRPr="00354B94">
        <w:rPr>
          <w:rStyle w:val="FootnoteReference"/>
          <w:rFonts w:cs="Times New Roman"/>
        </w:rPr>
        <w:footnoteRef/>
      </w:r>
      <w:r w:rsidRPr="00354B94">
        <w:rPr>
          <w:rFonts w:cs="Times New Roman"/>
        </w:rPr>
        <w:t xml:space="preserve"> </w:t>
      </w:r>
      <w:r w:rsidR="001C1F1E" w:rsidRPr="00354B94">
        <w:rPr>
          <w:rFonts w:cs="Times New Roman"/>
        </w:rPr>
        <w:t>CTA 2010 Part 8 Chapters 6A to 9</w:t>
      </w:r>
    </w:p>
  </w:footnote>
  <w:footnote w:id="24">
    <w:p w14:paraId="78C85F6B" w14:textId="6F6B0566" w:rsidR="00582972" w:rsidRPr="00354B94" w:rsidRDefault="00582972">
      <w:pPr>
        <w:pStyle w:val="FootnoteText"/>
        <w:rPr>
          <w:rFonts w:cs="Times New Roman"/>
        </w:rPr>
      </w:pPr>
      <w:r w:rsidRPr="00354B94">
        <w:rPr>
          <w:rStyle w:val="FootnoteReference"/>
          <w:rFonts w:cs="Times New Roman"/>
        </w:rPr>
        <w:footnoteRef/>
      </w:r>
      <w:r w:rsidRPr="00354B94">
        <w:rPr>
          <w:rFonts w:cs="Times New Roman"/>
        </w:rPr>
        <w:t xml:space="preserve"> </w:t>
      </w:r>
      <w:r w:rsidR="008C7917" w:rsidRPr="00354B94">
        <w:rPr>
          <w:rFonts w:cs="Times New Roman"/>
        </w:rPr>
        <w:t>For more detail discussion</w:t>
      </w:r>
      <w:r w:rsidR="0065147B" w:rsidRPr="00354B94">
        <w:rPr>
          <w:rFonts w:cs="Times New Roman"/>
        </w:rPr>
        <w:t xml:space="preserve"> on </w:t>
      </w:r>
      <w:r w:rsidR="00ED26A1" w:rsidRPr="00354B94">
        <w:rPr>
          <w:rFonts w:cs="Times New Roman"/>
        </w:rPr>
        <w:t>decommissioning</w:t>
      </w:r>
      <w:r w:rsidR="008C7917" w:rsidRPr="00354B94">
        <w:rPr>
          <w:rFonts w:cs="Times New Roman"/>
        </w:rPr>
        <w:t xml:space="preserve">, see: </w:t>
      </w:r>
      <w:r w:rsidR="0028408A" w:rsidRPr="00354B94">
        <w:rPr>
          <w:rFonts w:cs="Times New Roman"/>
        </w:rPr>
        <w:t xml:space="preserve">Hafez Abdo and Jane </w:t>
      </w:r>
      <w:proofErr w:type="spellStart"/>
      <w:r w:rsidR="0028408A" w:rsidRPr="00354B94">
        <w:rPr>
          <w:rFonts w:cs="Times New Roman"/>
        </w:rPr>
        <w:t>Frecknall</w:t>
      </w:r>
      <w:proofErr w:type="spellEnd"/>
      <w:r w:rsidR="0028408A" w:rsidRPr="00354B94">
        <w:rPr>
          <w:rFonts w:cs="Times New Roman"/>
        </w:rPr>
        <w:t>-Hughes “</w:t>
      </w:r>
      <w:r w:rsidR="00AE769D" w:rsidRPr="00354B94">
        <w:rPr>
          <w:rFonts w:cs="Times New Roman"/>
        </w:rPr>
        <w:t>UK Tax Policy in the Oil and Gas Sector: An Empirical Examination of Recent Changes,</w:t>
      </w:r>
      <w:r w:rsidR="0028408A" w:rsidRPr="00354B94">
        <w:rPr>
          <w:rFonts w:cs="Times New Roman"/>
        </w:rPr>
        <w:t>”</w:t>
      </w:r>
      <w:r w:rsidR="00AE769D" w:rsidRPr="00354B94">
        <w:rPr>
          <w:rFonts w:cs="Times New Roman"/>
        </w:rPr>
        <w:t xml:space="preserve"> B.T.R.</w:t>
      </w:r>
      <w:r w:rsidR="0004502E" w:rsidRPr="00354B94">
        <w:rPr>
          <w:rFonts w:cs="Times New Roman"/>
        </w:rPr>
        <w:t xml:space="preserve"> [current issue]</w:t>
      </w:r>
    </w:p>
  </w:footnote>
  <w:footnote w:id="25">
    <w:p w14:paraId="755389AE" w14:textId="0992624E" w:rsidR="004B7337" w:rsidRPr="00354B94" w:rsidRDefault="004B7337">
      <w:pPr>
        <w:pStyle w:val="FootnoteText"/>
        <w:rPr>
          <w:rFonts w:cs="Times New Roman"/>
        </w:rPr>
      </w:pPr>
      <w:r w:rsidRPr="00354B94">
        <w:rPr>
          <w:rStyle w:val="FootnoteReference"/>
          <w:rFonts w:cs="Times New Roman"/>
        </w:rPr>
        <w:footnoteRef/>
      </w:r>
      <w:r w:rsidRPr="00354B94">
        <w:rPr>
          <w:rFonts w:cs="Times New Roman"/>
        </w:rPr>
        <w:t xml:space="preserve"> </w:t>
      </w:r>
      <w:r w:rsidR="009C7F24" w:rsidRPr="00354B94">
        <w:rPr>
          <w:rFonts w:cs="Times New Roman"/>
        </w:rPr>
        <w:t xml:space="preserve">HM Treasury, “Energy Profits Levy Factsheet - 26 May 2022” (2022), </w:t>
      </w:r>
      <w:r w:rsidR="00C91D31" w:rsidRPr="00354B94">
        <w:rPr>
          <w:rFonts w:cs="Times New Roman"/>
        </w:rPr>
        <w:t>available at:</w:t>
      </w:r>
      <w:r w:rsidR="009C7F24" w:rsidRPr="00354B94">
        <w:rPr>
          <w:rFonts w:cs="Times New Roman"/>
        </w:rPr>
        <w:t xml:space="preserve"> </w:t>
      </w:r>
      <w:r w:rsidR="00AD1433" w:rsidRPr="00354B94">
        <w:rPr>
          <w:rFonts w:cs="Times New Roman"/>
        </w:rPr>
        <w:t>https://www.gov.uk/government/publications/cost-of-living-support/energy-profits-levy-factsheet-26-may-2022</w:t>
      </w:r>
      <w:r w:rsidR="009C7F24" w:rsidRPr="00354B94">
        <w:rPr>
          <w:rFonts w:cs="Times New Roman"/>
        </w:rPr>
        <w:t xml:space="preserve">. </w:t>
      </w:r>
      <w:bookmarkStart w:id="1" w:name="_Hlk113962585"/>
      <w:r w:rsidR="009C7F24" w:rsidRPr="00354B94">
        <w:rPr>
          <w:rFonts w:cs="Times New Roman"/>
        </w:rPr>
        <w:t>[Accessed 12 September 2022].</w:t>
      </w:r>
      <w:bookmarkEnd w:id="1"/>
    </w:p>
  </w:footnote>
  <w:footnote w:id="26">
    <w:p w14:paraId="45C89D18" w14:textId="483F286B" w:rsidR="006D57F2" w:rsidRPr="00354B94" w:rsidRDefault="006D57F2" w:rsidP="006D57F2">
      <w:pPr>
        <w:pStyle w:val="FootnoteText"/>
        <w:rPr>
          <w:rFonts w:cs="Times New Roman"/>
        </w:rPr>
      </w:pPr>
      <w:r w:rsidRPr="00354B94">
        <w:rPr>
          <w:rStyle w:val="FootnoteReference"/>
          <w:rFonts w:cs="Times New Roman"/>
        </w:rPr>
        <w:footnoteRef/>
      </w:r>
      <w:r w:rsidRPr="00354B94">
        <w:rPr>
          <w:rFonts w:cs="Times New Roman"/>
        </w:rPr>
        <w:t xml:space="preserve"> </w:t>
      </w:r>
      <w:bookmarkStart w:id="2" w:name="_Hlk113912363"/>
      <w:r w:rsidRPr="00354B94">
        <w:rPr>
          <w:rFonts w:cs="Times New Roman"/>
        </w:rPr>
        <w:t>Writer’s construction</w:t>
      </w:r>
      <w:r w:rsidR="00CB1AF0" w:rsidRPr="00354B94">
        <w:rPr>
          <w:rFonts w:cs="Times New Roman"/>
        </w:rPr>
        <w:t xml:space="preserve">. Note that the estimates do not include capital allowances that generate taxable losses which can be carried forwards or backwards against profits from other years or surrendered as group relief. Some figures have been calculated by HM Revenue &amp; Customs using company returns data. Data sources: </w:t>
      </w:r>
      <w:r w:rsidRPr="00354B94">
        <w:rPr>
          <w:rFonts w:cs="Times New Roman"/>
        </w:rPr>
        <w:t>HM Revenue &amp; Customs, “Non-structural reliefs cost estimates”</w:t>
      </w:r>
      <w:r w:rsidR="00A90F1B" w:rsidRPr="00354B94">
        <w:rPr>
          <w:rFonts w:cs="Times New Roman"/>
        </w:rPr>
        <w:t xml:space="preserve"> (2022),</w:t>
      </w:r>
      <w:r w:rsidRPr="00354B94">
        <w:rPr>
          <w:rFonts w:cs="Times New Roman"/>
        </w:rPr>
        <w:t xml:space="preserve"> Official Statistics, </w:t>
      </w:r>
      <w:r w:rsidR="00C91D31" w:rsidRPr="00354B94">
        <w:rPr>
          <w:rFonts w:cs="Times New Roman"/>
        </w:rPr>
        <w:t>available at:</w:t>
      </w:r>
      <w:r w:rsidR="00590F29" w:rsidRPr="00354B94">
        <w:rPr>
          <w:rFonts w:cs="Times New Roman"/>
        </w:rPr>
        <w:t>h</w:t>
      </w:r>
      <w:r w:rsidRPr="00354B94">
        <w:rPr>
          <w:rFonts w:cs="Times New Roman"/>
        </w:rPr>
        <w:t>ttps://assets.publishing.service.gov.uk/government/uploads/system/uploads/attachment_data/file/1046800/non_structural_cost_estimates_tables_december_2021.ods [Accessed 12 September 2022];</w:t>
      </w:r>
      <w:r w:rsidR="00A45D04" w:rsidRPr="00354B94">
        <w:rPr>
          <w:rFonts w:cs="Times New Roman"/>
        </w:rPr>
        <w:t xml:space="preserve"> North Sea Transition Authority, “Table: Estimated cost of upstream oil and gas tax reliefs in recent years”</w:t>
      </w:r>
      <w:r w:rsidR="006B0F69" w:rsidRPr="00354B94">
        <w:rPr>
          <w:rFonts w:cs="Times New Roman"/>
        </w:rPr>
        <w:t xml:space="preserve"> (2021)</w:t>
      </w:r>
      <w:r w:rsidR="00A45D04" w:rsidRPr="00354B94">
        <w:rPr>
          <w:rFonts w:cs="Times New Roman"/>
        </w:rPr>
        <w:t xml:space="preserve">, </w:t>
      </w:r>
      <w:r w:rsidR="00C91D31" w:rsidRPr="00354B94">
        <w:rPr>
          <w:rFonts w:cs="Times New Roman"/>
        </w:rPr>
        <w:t>available at:</w:t>
      </w:r>
      <w:r w:rsidR="006B0F69" w:rsidRPr="00354B94">
        <w:rPr>
          <w:rFonts w:cs="Times New Roman"/>
        </w:rPr>
        <w:t xml:space="preserve"> </w:t>
      </w:r>
      <w:r w:rsidR="00A45D04" w:rsidRPr="00354B94">
        <w:rPr>
          <w:rFonts w:cs="Times New Roman"/>
        </w:rPr>
        <w:t>https://www.nstauthority.co.uk/media/7900/estimated_cost_of_reliefs_december_2021.pdf</w:t>
      </w:r>
      <w:r w:rsidRPr="00354B94">
        <w:rPr>
          <w:rFonts w:cs="Times New Roman"/>
        </w:rPr>
        <w:t xml:space="preserve"> </w:t>
      </w:r>
      <w:r w:rsidR="00A45D04" w:rsidRPr="00354B94">
        <w:rPr>
          <w:rFonts w:cs="Times New Roman"/>
        </w:rPr>
        <w:t xml:space="preserve">[Accessed 12 September 2022]; </w:t>
      </w:r>
      <w:r w:rsidRPr="00354B94">
        <w:rPr>
          <w:rFonts w:cs="Times New Roman"/>
        </w:rPr>
        <w:t>Office for Budget Responsibility, “March 2022 Economic and fiscal outlook – charts and tables: Chapter 3</w:t>
      </w:r>
      <w:r w:rsidR="00FB06C4" w:rsidRPr="00354B94">
        <w:rPr>
          <w:rFonts w:cs="Times New Roman"/>
        </w:rPr>
        <w:t>”</w:t>
      </w:r>
      <w:r w:rsidR="00FD5570" w:rsidRPr="00354B94">
        <w:rPr>
          <w:rFonts w:cs="Times New Roman"/>
        </w:rPr>
        <w:t xml:space="preserve"> (2022),</w:t>
      </w:r>
      <w:r w:rsidRPr="00354B94">
        <w:rPr>
          <w:rFonts w:cs="Times New Roman"/>
        </w:rPr>
        <w:t xml:space="preserve"> </w:t>
      </w:r>
      <w:r w:rsidR="00C91D31" w:rsidRPr="00354B94">
        <w:rPr>
          <w:rFonts w:cs="Times New Roman"/>
        </w:rPr>
        <w:t>available at:</w:t>
      </w:r>
      <w:r w:rsidRPr="00354B94">
        <w:rPr>
          <w:rFonts w:cs="Times New Roman"/>
        </w:rPr>
        <w:t xml:space="preserve"> https://obr.uk/download/march-2022-economic-and-fiscal-outlook-charts-and-tables-chapter-3/ [Accessed 12 September 2022], C3.7. </w:t>
      </w:r>
      <w:bookmarkEnd w:id="2"/>
    </w:p>
  </w:footnote>
  <w:footnote w:id="27">
    <w:p w14:paraId="38901D20" w14:textId="006A3905" w:rsidR="006D57F2" w:rsidRPr="00354B94" w:rsidRDefault="006D57F2" w:rsidP="006D57F2">
      <w:pPr>
        <w:pStyle w:val="FootnoteText"/>
        <w:rPr>
          <w:rFonts w:cs="Times New Roman"/>
        </w:rPr>
      </w:pPr>
      <w:r w:rsidRPr="00354B94">
        <w:rPr>
          <w:rStyle w:val="FootnoteReference"/>
          <w:rFonts w:cs="Times New Roman"/>
        </w:rPr>
        <w:footnoteRef/>
      </w:r>
      <w:r w:rsidRPr="00354B94">
        <w:rPr>
          <w:rFonts w:cs="Times New Roman"/>
        </w:rPr>
        <w:t xml:space="preserve"> Writer’s construction</w:t>
      </w:r>
      <w:r w:rsidR="0047051A" w:rsidRPr="00354B94">
        <w:rPr>
          <w:rFonts w:cs="Times New Roman"/>
        </w:rPr>
        <w:t>.</w:t>
      </w:r>
      <w:r w:rsidRPr="00354B94">
        <w:rPr>
          <w:rFonts w:cs="Times New Roman"/>
        </w:rPr>
        <w:t xml:space="preserve"> </w:t>
      </w:r>
      <w:r w:rsidR="0047051A" w:rsidRPr="00354B94">
        <w:rPr>
          <w:rFonts w:cs="Times New Roman"/>
        </w:rPr>
        <w:t>Note that revenue from oil and ga</w:t>
      </w:r>
      <w:r w:rsidR="00EA5FFC" w:rsidRPr="00354B94">
        <w:rPr>
          <w:rFonts w:cs="Times New Roman"/>
        </w:rPr>
        <w:t>s</w:t>
      </w:r>
      <w:r w:rsidR="0047051A" w:rsidRPr="00354B94">
        <w:rPr>
          <w:rFonts w:cs="Times New Roman"/>
        </w:rPr>
        <w:t xml:space="preserve"> was estimated by Office for Budget Responsibility from spot prices of oil and gas multiplied by production levels.</w:t>
      </w:r>
      <w:r w:rsidR="009D3591" w:rsidRPr="00354B94">
        <w:rPr>
          <w:rFonts w:cs="Times New Roman"/>
        </w:rPr>
        <w:t xml:space="preserve"> Data sources: </w:t>
      </w:r>
      <w:r w:rsidRPr="00354B94">
        <w:rPr>
          <w:rFonts w:cs="Times New Roman"/>
        </w:rPr>
        <w:t>Budget Responsibility, “March 2022 Economic and fiscal outlook – charts and tables: Chapter 3</w:t>
      </w:r>
      <w:r w:rsidR="00FB06C4" w:rsidRPr="00354B94">
        <w:rPr>
          <w:rFonts w:cs="Times New Roman"/>
        </w:rPr>
        <w:t>”</w:t>
      </w:r>
      <w:r w:rsidR="00FD5570" w:rsidRPr="00354B94">
        <w:rPr>
          <w:rFonts w:cs="Times New Roman"/>
        </w:rPr>
        <w:t xml:space="preserve"> (2022),</w:t>
      </w:r>
      <w:r w:rsidRPr="00354B94">
        <w:rPr>
          <w:rFonts w:cs="Times New Roman"/>
        </w:rPr>
        <w:t xml:space="preserve"> </w:t>
      </w:r>
      <w:r w:rsidR="00C91D31" w:rsidRPr="00354B94">
        <w:rPr>
          <w:rFonts w:cs="Times New Roman"/>
        </w:rPr>
        <w:t>available at:</w:t>
      </w:r>
      <w:r w:rsidRPr="00354B94">
        <w:rPr>
          <w:rFonts w:cs="Times New Roman"/>
        </w:rPr>
        <w:t xml:space="preserve"> https://obr.uk/download/march-2022-economic-and-fiscal-outlook-charts-and-tables-chapter-3/ [Accessed 12 September 2022], C3.7. </w:t>
      </w:r>
    </w:p>
  </w:footnote>
  <w:footnote w:id="28">
    <w:p w14:paraId="62FE1CF8" w14:textId="5995E7E5" w:rsidR="007771F5" w:rsidRPr="00354B94" w:rsidRDefault="007771F5">
      <w:pPr>
        <w:pStyle w:val="FootnoteText"/>
        <w:rPr>
          <w:rFonts w:cs="Times New Roman"/>
        </w:rPr>
      </w:pPr>
      <w:r w:rsidRPr="00354B94">
        <w:rPr>
          <w:rStyle w:val="FootnoteReference"/>
          <w:rFonts w:cs="Times New Roman"/>
        </w:rPr>
        <w:footnoteRef/>
      </w:r>
      <w:r w:rsidRPr="00354B94">
        <w:rPr>
          <w:rFonts w:cs="Times New Roman"/>
        </w:rPr>
        <w:t xml:space="preserve"> </w:t>
      </w:r>
      <w:r w:rsidR="00E51B95" w:rsidRPr="00354B94">
        <w:rPr>
          <w:rFonts w:cs="Times New Roman"/>
        </w:rPr>
        <w:t>HM Revenue &amp; Customs “</w:t>
      </w:r>
      <w:r w:rsidR="00B05284" w:rsidRPr="00354B94">
        <w:rPr>
          <w:rFonts w:cs="Times New Roman"/>
        </w:rPr>
        <w:t>Draft legislation: Energy (Oil and Gas) Profits Levy Bill</w:t>
      </w:r>
      <w:r w:rsidR="00E51B95" w:rsidRPr="00354B94">
        <w:rPr>
          <w:rFonts w:cs="Times New Roman"/>
        </w:rPr>
        <w:t>”</w:t>
      </w:r>
      <w:r w:rsidR="00B05284" w:rsidRPr="00354B94">
        <w:rPr>
          <w:rFonts w:cs="Times New Roman"/>
        </w:rPr>
        <w:t xml:space="preserve"> (2022), </w:t>
      </w:r>
      <w:r w:rsidR="00C91D31" w:rsidRPr="00354B94">
        <w:rPr>
          <w:rFonts w:cs="Times New Roman"/>
        </w:rPr>
        <w:t>available at:</w:t>
      </w:r>
      <w:r w:rsidR="00B05284" w:rsidRPr="00354B94">
        <w:rPr>
          <w:rFonts w:cs="Times New Roman"/>
        </w:rPr>
        <w:t xml:space="preserve"> https://www.gov.uk/government/consultations/draft-legislation-energy-oil-and-gas-profits-levy-bill </w:t>
      </w:r>
      <w:r w:rsidR="00BF453E" w:rsidRPr="00354B94">
        <w:rPr>
          <w:rFonts w:cs="Times New Roman"/>
        </w:rPr>
        <w:t>[Accessed 12 September 2022].</w:t>
      </w:r>
    </w:p>
  </w:footnote>
  <w:footnote w:id="29">
    <w:p w14:paraId="31F33AEA" w14:textId="74C56861" w:rsidR="00551F1B" w:rsidRPr="00354B94" w:rsidRDefault="00551F1B">
      <w:pPr>
        <w:pStyle w:val="FootnoteText"/>
        <w:rPr>
          <w:rFonts w:cs="Times New Roman"/>
        </w:rPr>
      </w:pPr>
      <w:r w:rsidRPr="00354B94">
        <w:rPr>
          <w:rStyle w:val="FootnoteReference"/>
          <w:rFonts w:cs="Times New Roman"/>
        </w:rPr>
        <w:footnoteRef/>
      </w:r>
      <w:r w:rsidRPr="00354B94">
        <w:rPr>
          <w:rFonts w:cs="Times New Roman"/>
        </w:rPr>
        <w:t xml:space="preserve"> CTA 2010 Part 8 Chapters 6</w:t>
      </w:r>
      <w:r w:rsidR="00F63D52" w:rsidRPr="00354B94">
        <w:rPr>
          <w:rFonts w:cs="Times New Roman"/>
        </w:rPr>
        <w:t xml:space="preserve"> </w:t>
      </w:r>
      <w:r w:rsidRPr="00354B94">
        <w:rPr>
          <w:rFonts w:cs="Times New Roman"/>
        </w:rPr>
        <w:t>A to 9</w:t>
      </w:r>
    </w:p>
  </w:footnote>
  <w:footnote w:id="30">
    <w:p w14:paraId="5DC8DB80" w14:textId="0973DEFA" w:rsidR="00B13398" w:rsidRPr="00354B94" w:rsidRDefault="00B13398" w:rsidP="00B13398">
      <w:pPr>
        <w:pStyle w:val="FootnoteText"/>
        <w:rPr>
          <w:rFonts w:cs="Times New Roman"/>
        </w:rPr>
      </w:pPr>
      <w:r w:rsidRPr="00354B94">
        <w:rPr>
          <w:rStyle w:val="FootnoteReference"/>
          <w:rFonts w:cs="Times New Roman"/>
        </w:rPr>
        <w:footnoteRef/>
      </w:r>
      <w:r w:rsidRPr="00354B94">
        <w:rPr>
          <w:rFonts w:cs="Times New Roman"/>
        </w:rPr>
        <w:t xml:space="preserve"> </w:t>
      </w:r>
      <w:r w:rsidR="00CF3910" w:rsidRPr="00354B94">
        <w:rPr>
          <w:rFonts w:cs="Times New Roman"/>
        </w:rPr>
        <w:t>CTA 2010 Chapter 6A, The Investment Allowance and Cluster Area Allowance (Investment Expenditure) Regulations 2017</w:t>
      </w:r>
    </w:p>
  </w:footnote>
  <w:footnote w:id="31">
    <w:p w14:paraId="3ED6BE55" w14:textId="4A7EF130" w:rsidR="00782714" w:rsidRPr="00354B94" w:rsidRDefault="00782714" w:rsidP="00782714">
      <w:pPr>
        <w:pStyle w:val="FootnoteText"/>
        <w:rPr>
          <w:rFonts w:cs="Times New Roman"/>
        </w:rPr>
      </w:pPr>
      <w:r w:rsidRPr="00354B94">
        <w:rPr>
          <w:rStyle w:val="FootnoteReference"/>
          <w:rFonts w:cs="Times New Roman"/>
        </w:rPr>
        <w:footnoteRef/>
      </w:r>
      <w:r w:rsidRPr="00354B94">
        <w:rPr>
          <w:rFonts w:cs="Times New Roman"/>
        </w:rPr>
        <w:t xml:space="preserve"> </w:t>
      </w:r>
      <w:r w:rsidR="00925BA2" w:rsidRPr="00354B94">
        <w:rPr>
          <w:rFonts w:cs="Times New Roman"/>
        </w:rPr>
        <w:t>CTA 2010 Chapter 6A</w:t>
      </w:r>
      <w:r w:rsidR="00E92E56" w:rsidRPr="00354B94">
        <w:rPr>
          <w:rFonts w:cs="Times New Roman"/>
        </w:rPr>
        <w:t>,</w:t>
      </w:r>
      <w:r w:rsidR="00925BA2" w:rsidRPr="00354B94">
        <w:rPr>
          <w:rFonts w:cs="Times New Roman"/>
        </w:rPr>
        <w:t xml:space="preserve"> </w:t>
      </w:r>
      <w:r w:rsidRPr="00354B94">
        <w:rPr>
          <w:rFonts w:cs="Times New Roman"/>
        </w:rPr>
        <w:t>The Investment Allowance and Cluster Area Allowance (Investment Expenditure) Regulations 2017</w:t>
      </w:r>
    </w:p>
  </w:footnote>
  <w:footnote w:id="32">
    <w:p w14:paraId="15071DDB" w14:textId="77777777" w:rsidR="001D2103" w:rsidRPr="00354B94" w:rsidRDefault="001D2103" w:rsidP="001D2103">
      <w:pPr>
        <w:pStyle w:val="FootnoteText"/>
        <w:rPr>
          <w:rFonts w:cs="Times New Roman"/>
        </w:rPr>
      </w:pPr>
      <w:r w:rsidRPr="00354B94">
        <w:rPr>
          <w:rStyle w:val="FootnoteReference"/>
          <w:rFonts w:cs="Times New Roman"/>
        </w:rPr>
        <w:footnoteRef/>
      </w:r>
      <w:r w:rsidRPr="00354B94">
        <w:rPr>
          <w:rFonts w:cs="Times New Roman"/>
        </w:rPr>
        <w:t xml:space="preserve"> The Energy (Oil and Gas) Profits Levy Act 2022 s. 15-17</w:t>
      </w:r>
    </w:p>
  </w:footnote>
  <w:footnote w:id="33">
    <w:p w14:paraId="4D1114A1" w14:textId="2A63B691" w:rsidR="001D2103" w:rsidRPr="00354B94" w:rsidRDefault="001D2103" w:rsidP="001D2103">
      <w:pPr>
        <w:pStyle w:val="FootnoteText"/>
        <w:rPr>
          <w:rFonts w:cs="Times New Roman"/>
        </w:rPr>
      </w:pPr>
      <w:r w:rsidRPr="00354B94">
        <w:rPr>
          <w:rStyle w:val="FootnoteReference"/>
          <w:rFonts w:cs="Times New Roman"/>
        </w:rPr>
        <w:footnoteRef/>
      </w:r>
      <w:r w:rsidRPr="00354B94">
        <w:rPr>
          <w:rFonts w:cs="Times New Roman"/>
        </w:rPr>
        <w:t xml:space="preserve"> This does not apply to capital allowances that follow principles in CAA 2001 s. 5.</w:t>
      </w:r>
    </w:p>
  </w:footnote>
  <w:footnote w:id="34">
    <w:p w14:paraId="23513590" w14:textId="77777777" w:rsidR="001D2103" w:rsidRPr="00354B94" w:rsidRDefault="001D2103" w:rsidP="001D2103">
      <w:pPr>
        <w:pStyle w:val="FootnoteText"/>
        <w:rPr>
          <w:rFonts w:cs="Times New Roman"/>
        </w:rPr>
      </w:pPr>
      <w:r w:rsidRPr="00354B94">
        <w:rPr>
          <w:rStyle w:val="FootnoteReference"/>
          <w:rFonts w:cs="Times New Roman"/>
        </w:rPr>
        <w:footnoteRef/>
      </w:r>
      <w:r w:rsidRPr="00354B94">
        <w:rPr>
          <w:rFonts w:cs="Times New Roman"/>
        </w:rPr>
        <w:t xml:space="preserve"> Total E&amp;P North Sea UK Ltd and Total Oil UK Ltd vs HMRC [2020] EWCA </w:t>
      </w:r>
      <w:proofErr w:type="spellStart"/>
      <w:r w:rsidRPr="00354B94">
        <w:rPr>
          <w:rFonts w:cs="Times New Roman"/>
        </w:rPr>
        <w:t>Civ</w:t>
      </w:r>
      <w:proofErr w:type="spellEnd"/>
      <w:r w:rsidRPr="00354B94">
        <w:rPr>
          <w:rFonts w:cs="Times New Roman"/>
        </w:rPr>
        <w:t xml:space="preserve"> 1419.</w:t>
      </w:r>
    </w:p>
  </w:footnote>
  <w:footnote w:id="35">
    <w:p w14:paraId="0E7ED41F" w14:textId="523AD398" w:rsidR="00C115E0" w:rsidRPr="00354B94" w:rsidRDefault="00C115E0">
      <w:pPr>
        <w:pStyle w:val="FootnoteText"/>
        <w:rPr>
          <w:rFonts w:cs="Times New Roman"/>
        </w:rPr>
      </w:pPr>
      <w:r w:rsidRPr="00354B94">
        <w:rPr>
          <w:rStyle w:val="FootnoteReference"/>
          <w:rFonts w:cs="Times New Roman"/>
        </w:rPr>
        <w:footnoteRef/>
      </w:r>
      <w:r w:rsidRPr="00354B94">
        <w:rPr>
          <w:rFonts w:cs="Times New Roman"/>
        </w:rPr>
        <w:t xml:space="preserve"> </w:t>
      </w:r>
      <w:r w:rsidR="001237C0" w:rsidRPr="00354B94">
        <w:rPr>
          <w:rFonts w:cs="Times New Roman"/>
          <w:i/>
          <w:iCs/>
        </w:rPr>
        <w:t xml:space="preserve">Maersk Oil North Sea UK </w:t>
      </w:r>
      <w:r w:rsidR="008227B8" w:rsidRPr="00354B94">
        <w:rPr>
          <w:rFonts w:cs="Times New Roman"/>
          <w:i/>
          <w:iCs/>
        </w:rPr>
        <w:t xml:space="preserve">Ltd </w:t>
      </w:r>
      <w:r w:rsidR="000078E9" w:rsidRPr="00354B94">
        <w:rPr>
          <w:rFonts w:cs="Times New Roman"/>
          <w:i/>
          <w:iCs/>
        </w:rPr>
        <w:t xml:space="preserve">and </w:t>
      </w:r>
      <w:r w:rsidR="008227B8" w:rsidRPr="00354B94">
        <w:rPr>
          <w:rFonts w:cs="Times New Roman"/>
          <w:i/>
          <w:iCs/>
        </w:rPr>
        <w:t xml:space="preserve">Maersk Oil UK Ltd </w:t>
      </w:r>
      <w:r w:rsidR="000078E9" w:rsidRPr="00354B94">
        <w:rPr>
          <w:rFonts w:cs="Times New Roman"/>
          <w:i/>
          <w:iCs/>
        </w:rPr>
        <w:t>v HMRC</w:t>
      </w:r>
      <w:r w:rsidR="000078E9" w:rsidRPr="00354B94">
        <w:rPr>
          <w:rFonts w:cs="Times New Roman"/>
        </w:rPr>
        <w:t xml:space="preserve"> </w:t>
      </w:r>
      <w:r w:rsidR="00AB164D" w:rsidRPr="00354B94">
        <w:rPr>
          <w:rFonts w:cs="Times New Roman"/>
        </w:rPr>
        <w:t>[2018] UKFTT 20 (TC)</w:t>
      </w:r>
      <w:r w:rsidR="008227B8" w:rsidRPr="00354B94">
        <w:rPr>
          <w:rFonts w:cs="Times New Roman"/>
        </w:rPr>
        <w:t>.</w:t>
      </w:r>
    </w:p>
  </w:footnote>
  <w:footnote w:id="36">
    <w:p w14:paraId="5A679888" w14:textId="1F152C7C" w:rsidR="00841FB0" w:rsidRPr="00354B94" w:rsidRDefault="00841FB0">
      <w:pPr>
        <w:pStyle w:val="FootnoteText"/>
        <w:rPr>
          <w:rFonts w:cs="Times New Roman"/>
        </w:rPr>
      </w:pPr>
      <w:r w:rsidRPr="00354B94">
        <w:rPr>
          <w:rStyle w:val="FootnoteReference"/>
          <w:rFonts w:cs="Times New Roman"/>
        </w:rPr>
        <w:footnoteRef/>
      </w:r>
      <w:r w:rsidRPr="00354B94">
        <w:rPr>
          <w:rFonts w:cs="Times New Roman"/>
        </w:rPr>
        <w:t xml:space="preserve"> </w:t>
      </w:r>
      <w:r w:rsidRPr="00354B94">
        <w:rPr>
          <w:rFonts w:cs="Times New Roman"/>
          <w:i/>
          <w:iCs/>
        </w:rPr>
        <w:t>HMRC v Total E&amp;P North Sea UK Ltd and Total Oil UK Ltd</w:t>
      </w:r>
      <w:r w:rsidRPr="00354B94">
        <w:rPr>
          <w:rFonts w:cs="Times New Roman"/>
        </w:rPr>
        <w:t xml:space="preserve"> [2019]</w:t>
      </w:r>
      <w:r w:rsidR="00AB164D" w:rsidRPr="00354B94">
        <w:rPr>
          <w:rFonts w:cs="Times New Roman"/>
        </w:rPr>
        <w:t xml:space="preserve"> UKUT 0133 (TCC)</w:t>
      </w:r>
      <w:r w:rsidR="008227B8" w:rsidRPr="00354B94">
        <w:rPr>
          <w:rFonts w:cs="Times New Roman"/>
        </w:rPr>
        <w:t>.</w:t>
      </w:r>
    </w:p>
  </w:footnote>
  <w:footnote w:id="37">
    <w:p w14:paraId="7D809D51" w14:textId="0138505F" w:rsidR="001D2103" w:rsidRPr="00354B94" w:rsidRDefault="001D2103" w:rsidP="001D2103">
      <w:pPr>
        <w:pStyle w:val="FootnoteText"/>
        <w:rPr>
          <w:rFonts w:cs="Times New Roman"/>
        </w:rPr>
      </w:pPr>
      <w:r w:rsidRPr="00354B94">
        <w:rPr>
          <w:rStyle w:val="FootnoteReference"/>
          <w:rFonts w:cs="Times New Roman"/>
        </w:rPr>
        <w:footnoteRef/>
      </w:r>
      <w:r w:rsidRPr="00354B94">
        <w:rPr>
          <w:rFonts w:cs="Times New Roman"/>
        </w:rPr>
        <w:t xml:space="preserve"> </w:t>
      </w:r>
      <w:r w:rsidRPr="00354B94">
        <w:rPr>
          <w:rFonts w:cs="Times New Roman"/>
          <w:i/>
        </w:rPr>
        <w:t>Total E&amp;P North Sea UK Ltd and Total Oil UK Ltd</w:t>
      </w:r>
      <w:r w:rsidRPr="00354B94">
        <w:rPr>
          <w:rFonts w:cs="Times New Roman"/>
        </w:rPr>
        <w:t xml:space="preserve"> v </w:t>
      </w:r>
      <w:r w:rsidRPr="00354B94">
        <w:rPr>
          <w:rFonts w:cs="Times New Roman"/>
          <w:i/>
        </w:rPr>
        <w:t xml:space="preserve">HMRC </w:t>
      </w:r>
      <w:r w:rsidRPr="00354B94">
        <w:rPr>
          <w:rFonts w:cs="Times New Roman"/>
        </w:rPr>
        <w:t xml:space="preserve">[2020] EWCA </w:t>
      </w:r>
      <w:proofErr w:type="spellStart"/>
      <w:r w:rsidRPr="00354B94">
        <w:rPr>
          <w:rFonts w:cs="Times New Roman"/>
        </w:rPr>
        <w:t>Civ</w:t>
      </w:r>
      <w:proofErr w:type="spellEnd"/>
      <w:r w:rsidRPr="00354B94">
        <w:rPr>
          <w:rFonts w:cs="Times New Roman"/>
        </w:rPr>
        <w:t xml:space="preserve"> 1419.</w:t>
      </w:r>
    </w:p>
  </w:footnote>
  <w:footnote w:id="38">
    <w:p w14:paraId="23E4B576" w14:textId="2A5BCD37" w:rsidR="003C60B6" w:rsidRPr="00354B94" w:rsidRDefault="003C60B6" w:rsidP="003C60B6">
      <w:pPr>
        <w:pStyle w:val="FootnoteText"/>
        <w:rPr>
          <w:rFonts w:cs="Times New Roman"/>
        </w:rPr>
      </w:pPr>
      <w:r w:rsidRPr="00354B94">
        <w:rPr>
          <w:rStyle w:val="FootnoteReference"/>
          <w:rFonts w:cs="Times New Roman"/>
        </w:rPr>
        <w:footnoteRef/>
      </w:r>
      <w:r w:rsidRPr="00354B94">
        <w:rPr>
          <w:rFonts w:cs="Times New Roman"/>
        </w:rPr>
        <w:t xml:space="preserve"> Exemptions could be available</w:t>
      </w:r>
      <w:r w:rsidR="00EF3504" w:rsidRPr="00354B94">
        <w:rPr>
          <w:rFonts w:cs="Times New Roman"/>
        </w:rPr>
        <w:t>.</w:t>
      </w:r>
      <w:r w:rsidR="00AD6C15" w:rsidRPr="00354B94">
        <w:rPr>
          <w:rFonts w:cs="Times New Roman"/>
        </w:rPr>
        <w:t xml:space="preserve"> For instance</w:t>
      </w:r>
      <w:r w:rsidR="00A6656F" w:rsidRPr="00354B94">
        <w:rPr>
          <w:rFonts w:cs="Times New Roman"/>
        </w:rPr>
        <w:t>,</w:t>
      </w:r>
      <w:r w:rsidRPr="00354B94">
        <w:rPr>
          <w:rFonts w:cs="Times New Roman"/>
        </w:rPr>
        <w:t xml:space="preserve"> through reinvestment provisions specified in TCGA 1992 s. 198A and 198B. </w:t>
      </w:r>
    </w:p>
  </w:footnote>
  <w:footnote w:id="39">
    <w:p w14:paraId="59F35B4D" w14:textId="59AD0199" w:rsidR="00964937" w:rsidRPr="00354B94" w:rsidRDefault="00964937" w:rsidP="00964937">
      <w:pPr>
        <w:pStyle w:val="FootnoteText"/>
        <w:rPr>
          <w:rFonts w:cs="Times New Roman"/>
        </w:rPr>
      </w:pPr>
      <w:r w:rsidRPr="00354B94">
        <w:rPr>
          <w:rStyle w:val="FootnoteReference"/>
          <w:rFonts w:cs="Times New Roman"/>
        </w:rPr>
        <w:footnoteRef/>
      </w:r>
      <w:r w:rsidRPr="00354B94">
        <w:rPr>
          <w:rFonts w:cs="Times New Roman"/>
        </w:rPr>
        <w:t xml:space="preserve"> HM Revenue &amp; Customs “Draft legislation: Energy (Oil and Gas) Profits Levy Bill” (2022), </w:t>
      </w:r>
      <w:r w:rsidR="00C91D31" w:rsidRPr="00354B94">
        <w:rPr>
          <w:rFonts w:cs="Times New Roman"/>
        </w:rPr>
        <w:t>available at:</w:t>
      </w:r>
      <w:r w:rsidRPr="00354B94">
        <w:rPr>
          <w:rFonts w:cs="Times New Roman"/>
        </w:rPr>
        <w:t xml:space="preserve"> https://www.gov.uk/government/consultations/draft-legislation-energy-oil-and-gas-profits-levy-bill [Accessed 12 September 2022].</w:t>
      </w:r>
    </w:p>
  </w:footnote>
  <w:footnote w:id="40">
    <w:p w14:paraId="45488514" w14:textId="6BC88385" w:rsidR="00D57677" w:rsidRPr="00354B94" w:rsidRDefault="00C34BF9" w:rsidP="00122489">
      <w:pPr>
        <w:pStyle w:val="FootnoteText"/>
        <w:rPr>
          <w:rFonts w:cs="Times New Roman"/>
        </w:rPr>
      </w:pPr>
      <w:r w:rsidRPr="00354B94">
        <w:rPr>
          <w:rStyle w:val="FootnoteReference"/>
          <w:rFonts w:cs="Times New Roman"/>
        </w:rPr>
        <w:footnoteRef/>
      </w:r>
      <w:r w:rsidRPr="00354B94">
        <w:rPr>
          <w:rFonts w:cs="Times New Roman"/>
        </w:rPr>
        <w:t xml:space="preserve"> Alex Kemp, The Official History of North Sea Oil and Gas. Volume 2: Moderating the State's Role. London and New York: Routledge, 679-680</w:t>
      </w:r>
      <w:r w:rsidR="00D57677" w:rsidRPr="00354B94">
        <w:rPr>
          <w:rFonts w:cs="Times New Roman"/>
        </w:rPr>
        <w:t>.</w:t>
      </w:r>
    </w:p>
  </w:footnote>
  <w:footnote w:id="41">
    <w:p w14:paraId="5B344A3D" w14:textId="459E38EF" w:rsidR="00122489" w:rsidRPr="00354B94" w:rsidRDefault="00122489" w:rsidP="00122489">
      <w:pPr>
        <w:pStyle w:val="FootnoteText"/>
        <w:rPr>
          <w:rFonts w:cs="Times New Roman"/>
        </w:rPr>
      </w:pPr>
      <w:r w:rsidRPr="00354B94">
        <w:rPr>
          <w:rStyle w:val="FootnoteReference"/>
          <w:rFonts w:cs="Times New Roman"/>
        </w:rPr>
        <w:footnoteRef/>
      </w:r>
      <w:r w:rsidRPr="00354B94">
        <w:rPr>
          <w:rFonts w:cs="Times New Roman"/>
        </w:rPr>
        <w:t xml:space="preserve"> </w:t>
      </w:r>
      <w:r w:rsidR="00A6556D" w:rsidRPr="00354B94">
        <w:rPr>
          <w:rFonts w:cs="Times New Roman"/>
        </w:rPr>
        <w:t>Antony Seely</w:t>
      </w:r>
      <w:r w:rsidR="002D0D5C" w:rsidRPr="00354B94">
        <w:rPr>
          <w:rFonts w:cs="Times New Roman"/>
        </w:rPr>
        <w:t xml:space="preserve"> “Taxation of North Sea oil and gas”</w:t>
      </w:r>
      <w:r w:rsidR="007E40E3" w:rsidRPr="00354B94">
        <w:rPr>
          <w:rFonts w:cs="Times New Roman"/>
        </w:rPr>
        <w:t xml:space="preserve"> House of Commons Library</w:t>
      </w:r>
      <w:r w:rsidR="003E5D47" w:rsidRPr="00354B94">
        <w:rPr>
          <w:rFonts w:cs="Times New Roman"/>
        </w:rPr>
        <w:t xml:space="preserve"> (2022), </w:t>
      </w:r>
      <w:r w:rsidR="00C91D31" w:rsidRPr="00354B94">
        <w:rPr>
          <w:rFonts w:cs="Times New Roman"/>
        </w:rPr>
        <w:t>available at:</w:t>
      </w:r>
      <w:r w:rsidR="002E6A76" w:rsidRPr="00354B94">
        <w:rPr>
          <w:rFonts w:cs="Times New Roman"/>
        </w:rPr>
        <w:t xml:space="preserve"> </w:t>
      </w:r>
      <w:r w:rsidR="003E5D47" w:rsidRPr="00354B94">
        <w:rPr>
          <w:rFonts w:cs="Times New Roman"/>
        </w:rPr>
        <w:t>https://researchbriefings.files.parliament.uk/documents/SN00341/SN00341.pdf [Accessed 12 September 2022].</w:t>
      </w:r>
    </w:p>
  </w:footnote>
  <w:footnote w:id="42">
    <w:p w14:paraId="5C2CA940" w14:textId="1E3EEE45" w:rsidR="00C34BF9" w:rsidRPr="00354B94" w:rsidRDefault="00C34BF9">
      <w:pPr>
        <w:pStyle w:val="FootnoteText"/>
        <w:rPr>
          <w:rFonts w:cs="Times New Roman"/>
        </w:rPr>
      </w:pPr>
      <w:r w:rsidRPr="00354B94">
        <w:rPr>
          <w:rStyle w:val="FootnoteReference"/>
          <w:rFonts w:cs="Times New Roman"/>
        </w:rPr>
        <w:footnoteRef/>
      </w:r>
      <w:r w:rsidRPr="00354B94">
        <w:rPr>
          <w:rFonts w:cs="Times New Roman"/>
        </w:rPr>
        <w:t xml:space="preserve"> HM Treasury, “Review of the oil and gas fiscal regime: a call for evidence”</w:t>
      </w:r>
      <w:r w:rsidR="0004502E" w:rsidRPr="00354B94">
        <w:rPr>
          <w:rFonts w:cs="Times New Roman"/>
        </w:rPr>
        <w:t xml:space="preserve"> (2014),</w:t>
      </w:r>
      <w:r w:rsidRPr="00354B94">
        <w:rPr>
          <w:rFonts w:cs="Times New Roman"/>
        </w:rPr>
        <w:t xml:space="preserve"> available at https://www.gov.uk/government/consultations/review-of-the-oil-and-gas-fiscal-regime-a-call-for-evidence [Accessed 12 September 2022]. </w:t>
      </w:r>
    </w:p>
  </w:footnote>
  <w:footnote w:id="43">
    <w:p w14:paraId="6F06133B" w14:textId="1F40DF8E" w:rsidR="00574EF4" w:rsidRPr="00354B94" w:rsidRDefault="00574EF4" w:rsidP="00574EF4">
      <w:pPr>
        <w:pStyle w:val="FootnoteText"/>
        <w:rPr>
          <w:rFonts w:cs="Times New Roman"/>
        </w:rPr>
      </w:pPr>
      <w:r w:rsidRPr="00354B94">
        <w:rPr>
          <w:rStyle w:val="FootnoteReference"/>
          <w:rFonts w:cs="Times New Roman"/>
        </w:rPr>
        <w:footnoteRef/>
      </w:r>
      <w:r w:rsidRPr="00354B94">
        <w:rPr>
          <w:rFonts w:cs="Times New Roman"/>
        </w:rPr>
        <w:t xml:space="preserve"> HM Treasury, “Budget 2015” (2015), </w:t>
      </w:r>
      <w:r w:rsidR="00C91D31" w:rsidRPr="00354B94">
        <w:rPr>
          <w:rFonts w:cs="Times New Roman"/>
        </w:rPr>
        <w:t>available at:</w:t>
      </w:r>
      <w:r w:rsidRPr="00354B94">
        <w:rPr>
          <w:rFonts w:cs="Times New Roman"/>
        </w:rPr>
        <w:t xml:space="preserve"> https://assets.publishing.service.gov.uk/government/uploads/system/uploads/attachment_data/file/416330/47881_Budget_2015_Web_Accessible.pdf [Accessed 12 September 2022].</w:t>
      </w:r>
    </w:p>
  </w:footnote>
  <w:footnote w:id="44">
    <w:p w14:paraId="35E9E65A" w14:textId="54E1B374" w:rsidR="003E1832" w:rsidRPr="00354B94" w:rsidRDefault="003E1832" w:rsidP="003E1832">
      <w:pPr>
        <w:pStyle w:val="FootnoteText"/>
        <w:rPr>
          <w:rFonts w:cs="Times New Roman"/>
        </w:rPr>
      </w:pPr>
      <w:r w:rsidRPr="00354B94">
        <w:rPr>
          <w:rStyle w:val="FootnoteReference"/>
          <w:rFonts w:cs="Times New Roman"/>
        </w:rPr>
        <w:footnoteRef/>
      </w:r>
      <w:r w:rsidRPr="00354B94">
        <w:rPr>
          <w:rFonts w:cs="Times New Roman"/>
        </w:rPr>
        <w:t xml:space="preserve"> </w:t>
      </w:r>
      <w:r w:rsidR="00715D3E" w:rsidRPr="00354B94">
        <w:rPr>
          <w:rFonts w:cs="Times New Roman"/>
        </w:rPr>
        <w:t>This is based on the claim “In recent years, under the existing regime, fewer than 35 groups have made tax payments each year. In 2021, the top 7 groups accounted for around 95</w:t>
      </w:r>
      <w:r w:rsidR="00B84B4D" w:rsidRPr="00354B94">
        <w:rPr>
          <w:rFonts w:cs="Times New Roman"/>
        </w:rPr>
        <w:t xml:space="preserve">% </w:t>
      </w:r>
      <w:r w:rsidR="00715D3E" w:rsidRPr="00354B94">
        <w:rPr>
          <w:rFonts w:cs="Times New Roman"/>
        </w:rPr>
        <w:t xml:space="preserve">of payments” published in </w:t>
      </w:r>
      <w:r w:rsidRPr="00354B94">
        <w:rPr>
          <w:rFonts w:cs="Times New Roman"/>
        </w:rPr>
        <w:t xml:space="preserve">HM Treasury, “Energy Profits Levy Factsheet - 26 May 2022” (2022), </w:t>
      </w:r>
      <w:r w:rsidR="00C91D31" w:rsidRPr="00354B94">
        <w:rPr>
          <w:rFonts w:cs="Times New Roman"/>
        </w:rPr>
        <w:t>available at:</w:t>
      </w:r>
      <w:r w:rsidRPr="00354B94">
        <w:rPr>
          <w:rFonts w:cs="Times New Roman"/>
        </w:rPr>
        <w:t xml:space="preserve"> </w:t>
      </w:r>
      <w:r w:rsidR="00E72695" w:rsidRPr="00354B94">
        <w:rPr>
          <w:rFonts w:cs="Times New Roman"/>
        </w:rPr>
        <w:t>https://www.gov.uk/government/publications/cost-of-living-support/energy-profits-levy-factsheet-26-may-2022</w:t>
      </w:r>
      <w:r w:rsidRPr="00354B94">
        <w:rPr>
          <w:rFonts w:cs="Times New Roman"/>
        </w:rPr>
        <w:t>. [Accessed 12 September 2022].</w:t>
      </w:r>
    </w:p>
  </w:footnote>
  <w:footnote w:id="45">
    <w:p w14:paraId="6517FCF8" w14:textId="38AF628C" w:rsidR="004D767B" w:rsidRPr="00354B94" w:rsidRDefault="004D767B" w:rsidP="00122489">
      <w:pPr>
        <w:pStyle w:val="FootnoteText"/>
        <w:rPr>
          <w:rFonts w:cs="Times New Roman"/>
        </w:rPr>
      </w:pPr>
      <w:r w:rsidRPr="00354B94">
        <w:rPr>
          <w:rStyle w:val="FootnoteReference"/>
          <w:rFonts w:cs="Times New Roman"/>
        </w:rPr>
        <w:footnoteRef/>
      </w:r>
      <w:r w:rsidRPr="00354B94">
        <w:rPr>
          <w:rFonts w:cs="Times New Roman"/>
        </w:rPr>
        <w:t xml:space="preserve"> </w:t>
      </w:r>
      <w:r w:rsidR="00122489" w:rsidRPr="00354B94">
        <w:rPr>
          <w:rFonts w:cs="Times New Roman"/>
        </w:rPr>
        <w:t>Department for Business, Energy &amp; Industrial Strategy, Department for Environment Food &amp; Rural Affairs, “</w:t>
      </w:r>
      <w:r w:rsidRPr="00354B94">
        <w:rPr>
          <w:rFonts w:cs="Times New Roman"/>
        </w:rPr>
        <w:t>G7 Climate and Environment: Ministers’ Communiqué, London, 21 May 2021</w:t>
      </w:r>
      <w:r w:rsidR="00122489" w:rsidRPr="00354B94">
        <w:rPr>
          <w:rFonts w:cs="Times New Roman"/>
        </w:rPr>
        <w:t>”</w:t>
      </w:r>
      <w:r w:rsidR="00E02F88" w:rsidRPr="00354B94">
        <w:rPr>
          <w:rFonts w:cs="Times New Roman"/>
        </w:rPr>
        <w:t xml:space="preserve"> (2021),</w:t>
      </w:r>
      <w:r w:rsidR="00122489" w:rsidRPr="00354B94">
        <w:rPr>
          <w:rFonts w:cs="Times New Roman"/>
        </w:rPr>
        <w:t xml:space="preserve"> </w:t>
      </w:r>
      <w:r w:rsidR="00C91D31" w:rsidRPr="00354B94">
        <w:rPr>
          <w:rFonts w:cs="Times New Roman"/>
        </w:rPr>
        <w:t>available at:</w:t>
      </w:r>
      <w:r w:rsidR="002E6A76" w:rsidRPr="00354B94">
        <w:rPr>
          <w:rFonts w:cs="Times New Roman"/>
        </w:rPr>
        <w:t xml:space="preserve"> </w:t>
      </w:r>
      <w:r w:rsidR="00122489" w:rsidRPr="00354B94">
        <w:rPr>
          <w:rFonts w:cs="Times New Roman"/>
        </w:rPr>
        <w:t>https://www.gov.uk/government/publications/g7-climate-and-environment-ministers-meeting-may-2021-communique/g7-climate-and-environment-ministers-communique-london-21-may-2021 [Accessed 12 September 2022].</w:t>
      </w:r>
    </w:p>
  </w:footnote>
  <w:footnote w:id="46">
    <w:p w14:paraId="0981DD7D" w14:textId="77777777" w:rsidR="005813AE" w:rsidRPr="00354B94" w:rsidRDefault="005813AE" w:rsidP="005813AE">
      <w:pPr>
        <w:pStyle w:val="FootnoteText"/>
        <w:rPr>
          <w:rFonts w:cs="Times New Roman"/>
        </w:rPr>
      </w:pPr>
      <w:r w:rsidRPr="00354B94">
        <w:rPr>
          <w:rStyle w:val="FootnoteReference"/>
          <w:rFonts w:cs="Times New Roman"/>
        </w:rPr>
        <w:footnoteRef/>
      </w:r>
      <w:r w:rsidRPr="00354B94">
        <w:rPr>
          <w:rFonts w:cs="Times New Roman"/>
        </w:rPr>
        <w:t xml:space="preserve"> Subsidy Control Act 2022 s.13 </w:t>
      </w:r>
    </w:p>
  </w:footnote>
  <w:footnote w:id="47">
    <w:p w14:paraId="561AAB39" w14:textId="77777777" w:rsidR="005813AE" w:rsidRPr="00354B94" w:rsidRDefault="005813AE" w:rsidP="005813AE">
      <w:pPr>
        <w:pStyle w:val="FootnoteText"/>
        <w:rPr>
          <w:rFonts w:cs="Times New Roman"/>
        </w:rPr>
      </w:pPr>
      <w:r w:rsidRPr="00354B94">
        <w:rPr>
          <w:rStyle w:val="FootnoteReference"/>
          <w:rFonts w:cs="Times New Roman"/>
        </w:rPr>
        <w:footnoteRef/>
      </w:r>
      <w:r w:rsidRPr="00354B94">
        <w:rPr>
          <w:rFonts w:cs="Times New Roman"/>
        </w:rPr>
        <w:t xml:space="preserve"> These intensions were specified in Department for Business, Energy &amp; Industrial Strategy, “Draft Statutory Guidance on the United Kingdom Subsidy Control Regime” (2022) available at: https://assets.publishing.service.gov.uk/government/uploads/system/uploads/attachment_data/file/1087647/subsidy-control-act-2022-guidance-consultation.pdf [Accessed 22 September 2022], paragraph 399.</w:t>
      </w:r>
    </w:p>
  </w:footnote>
  <w:footnote w:id="48">
    <w:p w14:paraId="582786FE" w14:textId="77777777" w:rsidR="005813AE" w:rsidRPr="00354B94" w:rsidRDefault="005813AE" w:rsidP="005813AE">
      <w:pPr>
        <w:pStyle w:val="FootnoteText"/>
        <w:rPr>
          <w:rFonts w:cs="Times New Roman"/>
        </w:rPr>
      </w:pPr>
      <w:r w:rsidRPr="00354B94">
        <w:rPr>
          <w:rStyle w:val="FootnoteReference"/>
          <w:rFonts w:cs="Times New Roman"/>
        </w:rPr>
        <w:footnoteRef/>
      </w:r>
      <w:r w:rsidRPr="00354B94">
        <w:rPr>
          <w:rFonts w:cs="Times New Roman"/>
        </w:rPr>
        <w:t xml:space="preserve"> For more in depth discussion see Emma Walsh, Anupama Sen, Sam Fankhauser, “Implications of the Energy Profits Levy for long-term UK Energy Strategy” (2022) Oxford Smith School of Enterprise and the Environment, available at: https://www.smithschool.ox.ac.uk/sites/default/files/2022-07/Oxford%20Smith%20School%20Analysis%20-%20Implications%20of%20the%20Energy%20Profits%20Levy%20for%20long-term%20UK%20Energy%20Strategy%20%282022%29_0.pdf [Accessed 12 September 2022].</w:t>
      </w:r>
    </w:p>
  </w:footnote>
  <w:footnote w:id="49">
    <w:p w14:paraId="18059A62" w14:textId="4C5AE7DE" w:rsidR="004470AA" w:rsidRPr="00354B94" w:rsidRDefault="004470AA" w:rsidP="004470AA">
      <w:pPr>
        <w:pStyle w:val="FootnoteText"/>
        <w:rPr>
          <w:rFonts w:cs="Times New Roman"/>
        </w:rPr>
      </w:pPr>
      <w:r w:rsidRPr="00354B94">
        <w:rPr>
          <w:rStyle w:val="FootnoteReference"/>
          <w:rFonts w:cs="Times New Roman"/>
        </w:rPr>
        <w:footnoteRef/>
      </w:r>
      <w:r w:rsidRPr="00354B94">
        <w:rPr>
          <w:rFonts w:cs="Times New Roman"/>
        </w:rPr>
        <w:t xml:space="preserve"> </w:t>
      </w:r>
      <w:r w:rsidR="00932CE3" w:rsidRPr="00354B94">
        <w:rPr>
          <w:rFonts w:cs="Times New Roman"/>
        </w:rPr>
        <w:t>Th</w:t>
      </w:r>
      <w:r w:rsidR="00587D80" w:rsidRPr="00354B94">
        <w:rPr>
          <w:rFonts w:cs="Times New Roman"/>
        </w:rPr>
        <w:t>is is well summarised in the</w:t>
      </w:r>
      <w:r w:rsidR="00932CE3" w:rsidRPr="00354B94">
        <w:rPr>
          <w:rFonts w:cs="Times New Roman"/>
        </w:rPr>
        <w:t xml:space="preserve"> recent commentary on</w:t>
      </w:r>
      <w:r w:rsidR="00F023F4" w:rsidRPr="00354B94">
        <w:rPr>
          <w:rFonts w:cs="Times New Roman"/>
        </w:rPr>
        <w:t xml:space="preserve"> windfall taxation in </w:t>
      </w:r>
      <w:r w:rsidR="002E6143" w:rsidRPr="00354B94">
        <w:rPr>
          <w:rFonts w:cs="Times New Roman"/>
        </w:rPr>
        <w:t>ene</w:t>
      </w:r>
      <w:r w:rsidR="00F74804" w:rsidRPr="00354B94">
        <w:rPr>
          <w:rFonts w:cs="Times New Roman"/>
        </w:rPr>
        <w:t xml:space="preserve">rgy sectors </w:t>
      </w:r>
      <w:r w:rsidR="00D6381C" w:rsidRPr="00354B94">
        <w:rPr>
          <w:rFonts w:cs="Times New Roman"/>
        </w:rPr>
        <w:t xml:space="preserve">in </w:t>
      </w:r>
      <w:proofErr w:type="spellStart"/>
      <w:r w:rsidRPr="00354B94">
        <w:rPr>
          <w:rFonts w:cs="Times New Roman"/>
        </w:rPr>
        <w:t>Baunsgaard</w:t>
      </w:r>
      <w:proofErr w:type="spellEnd"/>
      <w:r w:rsidRPr="00354B94">
        <w:rPr>
          <w:rFonts w:cs="Times New Roman"/>
        </w:rPr>
        <w:t>, Thomas and Nate Vernon</w:t>
      </w:r>
      <w:r w:rsidR="007B438E" w:rsidRPr="00354B94">
        <w:rPr>
          <w:rFonts w:cs="Times New Roman"/>
        </w:rPr>
        <w:t>,</w:t>
      </w:r>
      <w:r w:rsidRPr="00354B94">
        <w:rPr>
          <w:rFonts w:cs="Times New Roman"/>
        </w:rPr>
        <w:t xml:space="preserve"> “Taxing Windfall Profits in the</w:t>
      </w:r>
      <w:r w:rsidR="00D6381C" w:rsidRPr="00354B94">
        <w:rPr>
          <w:rFonts w:cs="Times New Roman"/>
        </w:rPr>
        <w:t xml:space="preserve"> </w:t>
      </w:r>
      <w:r w:rsidRPr="00354B94">
        <w:rPr>
          <w:rFonts w:cs="Times New Roman"/>
        </w:rPr>
        <w:t xml:space="preserve">Energy Sector” </w:t>
      </w:r>
      <w:r w:rsidR="007B438E" w:rsidRPr="00354B94">
        <w:rPr>
          <w:rFonts w:cs="Times New Roman"/>
        </w:rPr>
        <w:t xml:space="preserve">(2022) </w:t>
      </w:r>
      <w:r w:rsidRPr="00354B94">
        <w:rPr>
          <w:rFonts w:cs="Times New Roman"/>
        </w:rPr>
        <w:t>IMF Note 2022/00X, International Monetary Fund, Washington, DC.</w:t>
      </w:r>
    </w:p>
  </w:footnote>
  <w:footnote w:id="50">
    <w:p w14:paraId="797F87BE" w14:textId="065AF779" w:rsidR="0041681E" w:rsidRPr="00354B94" w:rsidRDefault="0041681E">
      <w:pPr>
        <w:pStyle w:val="FootnoteText"/>
        <w:rPr>
          <w:rFonts w:cs="Times New Roman"/>
        </w:rPr>
      </w:pPr>
      <w:r w:rsidRPr="00354B94">
        <w:rPr>
          <w:rStyle w:val="FootnoteReference"/>
          <w:rFonts w:cs="Times New Roman"/>
        </w:rPr>
        <w:footnoteRef/>
      </w:r>
      <w:r w:rsidRPr="00354B94">
        <w:rPr>
          <w:rFonts w:cs="Times New Roman"/>
        </w:rPr>
        <w:t xml:space="preserve"> </w:t>
      </w:r>
      <w:proofErr w:type="spellStart"/>
      <w:r w:rsidR="008C0AE7" w:rsidRPr="00354B94">
        <w:rPr>
          <w:rFonts w:cs="Times New Roman"/>
        </w:rPr>
        <w:t>Nirupama</w:t>
      </w:r>
      <w:proofErr w:type="spellEnd"/>
      <w:r w:rsidR="008C0AE7" w:rsidRPr="00354B94">
        <w:rPr>
          <w:rFonts w:cs="Times New Roman"/>
        </w:rPr>
        <w:t xml:space="preserve"> L. Rao, “Taxes and US Oil Production: Evidence from California and the Windfall Profit Tax” (2018) American Economic Journal: Economic Policy, 10 (4): 268-301</w:t>
      </w:r>
      <w:r w:rsidR="00C027ED" w:rsidRPr="00354B94">
        <w:rPr>
          <w:rFonts w:cs="Times New Roman"/>
        </w:rPr>
        <w:t>.</w:t>
      </w:r>
    </w:p>
  </w:footnote>
  <w:footnote w:id="51">
    <w:p w14:paraId="2F147EB1" w14:textId="3DCA5E95" w:rsidR="00122489" w:rsidRPr="00354B94" w:rsidRDefault="00122489">
      <w:pPr>
        <w:pStyle w:val="FootnoteText"/>
        <w:rPr>
          <w:rFonts w:cs="Times New Roman"/>
        </w:rPr>
      </w:pPr>
      <w:r w:rsidRPr="00354B94">
        <w:rPr>
          <w:rStyle w:val="FootnoteReference"/>
          <w:rFonts w:cs="Times New Roman"/>
        </w:rPr>
        <w:footnoteRef/>
      </w:r>
      <w:r w:rsidRPr="00354B94">
        <w:rPr>
          <w:rFonts w:cs="Times New Roman"/>
        </w:rPr>
        <w:t xml:space="preserve"> BBC, “1981 Budget (Sir Geoffrey Howe)</w:t>
      </w:r>
      <w:r w:rsidR="00BD1CA4" w:rsidRPr="00354B94">
        <w:rPr>
          <w:rFonts w:cs="Times New Roman"/>
        </w:rPr>
        <w:t>,</w:t>
      </w:r>
      <w:r w:rsidR="00FB06C4" w:rsidRPr="00354B94">
        <w:rPr>
          <w:rFonts w:cs="Times New Roman"/>
        </w:rPr>
        <w:t>”</w:t>
      </w:r>
      <w:r w:rsidRPr="00354B94">
        <w:rPr>
          <w:rFonts w:cs="Times New Roman"/>
        </w:rPr>
        <w:t xml:space="preserve"> </w:t>
      </w:r>
      <w:r w:rsidR="00C91D31" w:rsidRPr="00354B94">
        <w:rPr>
          <w:rFonts w:cs="Times New Roman"/>
        </w:rPr>
        <w:t>available at:</w:t>
      </w:r>
      <w:r w:rsidRPr="00354B94">
        <w:rPr>
          <w:rFonts w:cs="Times New Roman"/>
        </w:rPr>
        <w:t xml:space="preserve"> https://www.bbc.co.uk/news/special/politics97/budget97/background/bud1979_92.shtml [Accessed 12 September 2022].</w:t>
      </w:r>
    </w:p>
  </w:footnote>
  <w:footnote w:id="52">
    <w:p w14:paraId="3F4414F4" w14:textId="4F4B8755" w:rsidR="00122489" w:rsidRPr="00354B94" w:rsidRDefault="00122489" w:rsidP="00122489">
      <w:pPr>
        <w:pStyle w:val="FootnoteText"/>
        <w:rPr>
          <w:rFonts w:cs="Times New Roman"/>
        </w:rPr>
      </w:pPr>
      <w:r w:rsidRPr="00354B94">
        <w:rPr>
          <w:rStyle w:val="FootnoteReference"/>
          <w:rFonts w:cs="Times New Roman"/>
        </w:rPr>
        <w:footnoteRef/>
      </w:r>
      <w:r w:rsidRPr="00354B94">
        <w:rPr>
          <w:rFonts w:cs="Times New Roman"/>
        </w:rPr>
        <w:t xml:space="preserve"> Finance (No. 2) Act 1997, Part I</w:t>
      </w:r>
    </w:p>
  </w:footnote>
  <w:footnote w:id="53">
    <w:p w14:paraId="405FEA5E" w14:textId="16EB4D95" w:rsidR="00122489" w:rsidRPr="00354B94" w:rsidRDefault="00122489" w:rsidP="00122489">
      <w:pPr>
        <w:pStyle w:val="FootnoteText"/>
        <w:rPr>
          <w:rFonts w:cs="Times New Roman"/>
        </w:rPr>
      </w:pPr>
      <w:r w:rsidRPr="00354B94">
        <w:rPr>
          <w:rStyle w:val="FootnoteReference"/>
          <w:rFonts w:cs="Times New Roman"/>
        </w:rPr>
        <w:footnoteRef/>
      </w:r>
      <w:r w:rsidRPr="00354B94">
        <w:rPr>
          <w:rFonts w:cs="Times New Roman"/>
        </w:rPr>
        <w:t xml:space="preserve"> Antoniou et al. presents a framework upon which they show that only very few companies received abnormal returns from privatisation in A. Antoniou, D.G. Barr, R. “Priestley Abnormal stock returns and public policy: the case of the UK privatised electricity and water utilities” (2000) International Journal of Finance and Economics, 5, 93-106. Similarly, </w:t>
      </w:r>
      <w:proofErr w:type="spellStart"/>
      <w:r w:rsidRPr="00354B94">
        <w:rPr>
          <w:rFonts w:cs="Times New Roman"/>
        </w:rPr>
        <w:t>Waelde</w:t>
      </w:r>
      <w:proofErr w:type="spellEnd"/>
      <w:r w:rsidRPr="00354B94">
        <w:rPr>
          <w:rFonts w:cs="Times New Roman"/>
        </w:rPr>
        <w:t xml:space="preserve"> and </w:t>
      </w:r>
      <w:proofErr w:type="spellStart"/>
      <w:r w:rsidRPr="00354B94">
        <w:rPr>
          <w:rFonts w:cs="Times New Roman"/>
        </w:rPr>
        <w:t>Kolo</w:t>
      </w:r>
      <w:proofErr w:type="spellEnd"/>
      <w:r w:rsidRPr="00354B94">
        <w:rPr>
          <w:rFonts w:cs="Times New Roman"/>
        </w:rPr>
        <w:t xml:space="preserve"> argue that the returns corresponded to the risks taken in Thomas W. </w:t>
      </w:r>
      <w:proofErr w:type="spellStart"/>
      <w:r w:rsidRPr="00354B94">
        <w:rPr>
          <w:rFonts w:cs="Times New Roman"/>
        </w:rPr>
        <w:t>Waelde</w:t>
      </w:r>
      <w:proofErr w:type="spellEnd"/>
      <w:r w:rsidRPr="00354B94">
        <w:rPr>
          <w:rFonts w:cs="Times New Roman"/>
        </w:rPr>
        <w:t xml:space="preserve"> and Abba </w:t>
      </w:r>
      <w:proofErr w:type="spellStart"/>
      <w:r w:rsidRPr="00354B94">
        <w:rPr>
          <w:rFonts w:cs="Times New Roman"/>
        </w:rPr>
        <w:t>Kolo</w:t>
      </w:r>
      <w:proofErr w:type="spellEnd"/>
      <w:r w:rsidRPr="00354B94">
        <w:rPr>
          <w:rFonts w:cs="Times New Roman"/>
        </w:rPr>
        <w:t xml:space="preserve">, “Renegotiating Previous Governments' Privatization Deals: The 1997 U.K. Windfall Tax on Utilities and International Law” (1999) 19(3) </w:t>
      </w:r>
      <w:proofErr w:type="spellStart"/>
      <w:r w:rsidRPr="00354B94">
        <w:rPr>
          <w:rFonts w:cs="Times New Roman"/>
        </w:rPr>
        <w:t>Northwestern</w:t>
      </w:r>
      <w:proofErr w:type="spellEnd"/>
      <w:r w:rsidRPr="00354B94">
        <w:rPr>
          <w:rFonts w:cs="Times New Roman"/>
        </w:rPr>
        <w:t xml:space="preserve"> Journal of International Law &amp; Business 19(3), 405-424.</w:t>
      </w:r>
    </w:p>
  </w:footnote>
  <w:footnote w:id="54">
    <w:p w14:paraId="6BA0121F" w14:textId="25E116B5" w:rsidR="00122489" w:rsidRPr="00354B94" w:rsidRDefault="00122489">
      <w:pPr>
        <w:pStyle w:val="FootnoteText"/>
        <w:rPr>
          <w:rFonts w:cs="Times New Roman"/>
        </w:rPr>
      </w:pPr>
      <w:r w:rsidRPr="00354B94">
        <w:rPr>
          <w:rStyle w:val="FootnoteReference"/>
          <w:rFonts w:cs="Times New Roman"/>
        </w:rPr>
        <w:footnoteRef/>
      </w:r>
      <w:proofErr w:type="spellStart"/>
      <w:r w:rsidRPr="00354B94">
        <w:rPr>
          <w:rFonts w:cs="Times New Roman"/>
        </w:rPr>
        <w:t>Chennells</w:t>
      </w:r>
      <w:proofErr w:type="spellEnd"/>
      <w:r w:rsidRPr="00354B94">
        <w:rPr>
          <w:rFonts w:cs="Times New Roman"/>
        </w:rPr>
        <w:t xml:space="preserve"> concludes that the tax was efficient and feasible but not fair and could have long term reputation</w:t>
      </w:r>
      <w:r w:rsidR="0012568A" w:rsidRPr="00354B94">
        <w:rPr>
          <w:rFonts w:cs="Times New Roman"/>
        </w:rPr>
        <w:t>al</w:t>
      </w:r>
      <w:r w:rsidRPr="00354B94">
        <w:rPr>
          <w:rFonts w:cs="Times New Roman"/>
        </w:rPr>
        <w:t xml:space="preserve"> effect amongst investors in Lucy </w:t>
      </w:r>
      <w:proofErr w:type="spellStart"/>
      <w:r w:rsidRPr="00354B94">
        <w:rPr>
          <w:rFonts w:cs="Times New Roman"/>
        </w:rPr>
        <w:t>Chennells</w:t>
      </w:r>
      <w:proofErr w:type="spellEnd"/>
      <w:r w:rsidRPr="00354B94">
        <w:rPr>
          <w:rFonts w:cs="Times New Roman"/>
        </w:rPr>
        <w:t>, “The Windfall Tax” (</w:t>
      </w:r>
      <w:r w:rsidR="00D146BF" w:rsidRPr="00354B94">
        <w:rPr>
          <w:rFonts w:cs="Times New Roman"/>
        </w:rPr>
        <w:t>1997</w:t>
      </w:r>
      <w:r w:rsidRPr="00354B94">
        <w:rPr>
          <w:rFonts w:cs="Times New Roman"/>
        </w:rPr>
        <w:t>) Fiscal Studies, 18(3), 279-291.</w:t>
      </w:r>
    </w:p>
  </w:footnote>
  <w:footnote w:id="55">
    <w:p w14:paraId="1A20B6E6" w14:textId="752325C3" w:rsidR="00122489" w:rsidRPr="00354B94" w:rsidRDefault="00122489" w:rsidP="00122489">
      <w:pPr>
        <w:pStyle w:val="FootnoteText"/>
        <w:rPr>
          <w:rFonts w:cs="Times New Roman"/>
        </w:rPr>
      </w:pPr>
      <w:r w:rsidRPr="00354B94">
        <w:rPr>
          <w:rStyle w:val="FootnoteReference"/>
          <w:rFonts w:cs="Times New Roman"/>
        </w:rPr>
        <w:footnoteRef/>
      </w:r>
      <w:r w:rsidRPr="00354B94">
        <w:rPr>
          <w:rFonts w:cs="Times New Roman"/>
        </w:rPr>
        <w:t xml:space="preserve"> Tickell </w:t>
      </w:r>
      <w:r w:rsidR="00A87FB3" w:rsidRPr="00354B94">
        <w:rPr>
          <w:rFonts w:cs="Times New Roman"/>
        </w:rPr>
        <w:t>comments on</w:t>
      </w:r>
      <w:r w:rsidRPr="00354B94">
        <w:rPr>
          <w:rFonts w:cs="Times New Roman"/>
        </w:rPr>
        <w:t xml:space="preserve"> the employment losses from the windfall tax in Adam Tickell, “A Tax on Success? Privatization, Employment and the 'Windfall Tax'” (1998) Area, 30(1), 83-90.</w:t>
      </w:r>
    </w:p>
  </w:footnote>
  <w:footnote w:id="56">
    <w:p w14:paraId="55ED3301" w14:textId="2BCE4490" w:rsidR="00122489" w:rsidRPr="00354B94" w:rsidRDefault="00122489">
      <w:pPr>
        <w:pStyle w:val="FootnoteText"/>
        <w:rPr>
          <w:rFonts w:cs="Times New Roman"/>
        </w:rPr>
      </w:pPr>
      <w:r w:rsidRPr="00354B94">
        <w:rPr>
          <w:rStyle w:val="FootnoteReference"/>
          <w:rFonts w:cs="Times New Roman"/>
        </w:rPr>
        <w:footnoteRef/>
      </w:r>
      <w:r w:rsidRPr="00354B94">
        <w:rPr>
          <w:rFonts w:cs="Times New Roman"/>
        </w:rPr>
        <w:t xml:space="preserve"> Norwegian Petroleum, “The petroleum tax system</w:t>
      </w:r>
      <w:r w:rsidR="00FB06C4" w:rsidRPr="00354B94">
        <w:rPr>
          <w:rFonts w:cs="Times New Roman"/>
        </w:rPr>
        <w:t>”</w:t>
      </w:r>
      <w:r w:rsidR="000402E7" w:rsidRPr="00354B94">
        <w:rPr>
          <w:rFonts w:cs="Times New Roman"/>
        </w:rPr>
        <w:t xml:space="preserve"> (2022),</w:t>
      </w:r>
      <w:r w:rsidRPr="00354B94">
        <w:rPr>
          <w:rFonts w:cs="Times New Roman"/>
        </w:rPr>
        <w:t xml:space="preserve"> </w:t>
      </w:r>
      <w:r w:rsidR="00C91D31" w:rsidRPr="00354B94">
        <w:rPr>
          <w:rFonts w:cs="Times New Roman"/>
        </w:rPr>
        <w:t>available at:</w:t>
      </w:r>
      <w:r w:rsidRPr="00354B94">
        <w:rPr>
          <w:rFonts w:cs="Times New Roman"/>
        </w:rPr>
        <w:t xml:space="preserve"> https://www.norskpetroleum.no/en/economy/petroleum-tax/#:~:text=This%20entails%20a%20special%20tax,for%202022%20is%20shown%20below. [Accessed 12 September 2022].</w:t>
      </w:r>
    </w:p>
  </w:footnote>
  <w:footnote w:id="57">
    <w:p w14:paraId="464BD825" w14:textId="5CD43A03" w:rsidR="00122489" w:rsidRPr="00354B94" w:rsidRDefault="00122489" w:rsidP="00122489">
      <w:pPr>
        <w:pStyle w:val="FootnoteText"/>
        <w:rPr>
          <w:rFonts w:cs="Times New Roman"/>
        </w:rPr>
      </w:pPr>
      <w:r w:rsidRPr="00354B94">
        <w:rPr>
          <w:rStyle w:val="FootnoteReference"/>
          <w:rFonts w:cs="Times New Roman"/>
        </w:rPr>
        <w:footnoteRef/>
      </w:r>
      <w:r w:rsidRPr="00354B94">
        <w:rPr>
          <w:rFonts w:cs="Times New Roman"/>
        </w:rPr>
        <w:t xml:space="preserve"> Deloitte, “Oil and gas taxation in Norway” (2014), </w:t>
      </w:r>
      <w:r w:rsidR="00C91D31" w:rsidRPr="00354B94">
        <w:rPr>
          <w:rFonts w:cs="Times New Roman"/>
        </w:rPr>
        <w:t>available at:</w:t>
      </w:r>
      <w:r w:rsidRPr="00354B94">
        <w:rPr>
          <w:rFonts w:cs="Times New Roman"/>
        </w:rPr>
        <w:t xml:space="preserve"> https://www2.deloitte.com/content/dam/Deloitte/global/Documents/Energy-and-Resources/gx-er-oil-and-gas-taxguide-norway.pdf </w:t>
      </w:r>
      <w:bookmarkStart w:id="5" w:name="_Hlk114068820"/>
      <w:r w:rsidRPr="00354B94">
        <w:rPr>
          <w:rFonts w:cs="Times New Roman"/>
        </w:rPr>
        <w:t>[Accessed 12 September 2022].</w:t>
      </w:r>
      <w:bookmarkEnd w:id="5"/>
    </w:p>
  </w:footnote>
  <w:footnote w:id="58">
    <w:p w14:paraId="0228469A" w14:textId="232908C1" w:rsidR="00122489" w:rsidRPr="00354B94" w:rsidRDefault="00122489">
      <w:pPr>
        <w:pStyle w:val="FootnoteText"/>
        <w:rPr>
          <w:rFonts w:cs="Times New Roman"/>
        </w:rPr>
      </w:pPr>
      <w:r w:rsidRPr="00354B94">
        <w:rPr>
          <w:rStyle w:val="FootnoteReference"/>
          <w:rFonts w:cs="Times New Roman"/>
        </w:rPr>
        <w:footnoteRef/>
      </w:r>
      <w:r w:rsidRPr="00354B94">
        <w:rPr>
          <w:rFonts w:cs="Times New Roman"/>
        </w:rPr>
        <w:t xml:space="preserve"> This has been discussed in several media articles, including Luke Davis “Fiscal regimes: UK vs Norway” (2012) Petroleum Review, Energy Institute.</w:t>
      </w:r>
    </w:p>
  </w:footnote>
  <w:footnote w:id="59">
    <w:p w14:paraId="2F855FE7" w14:textId="588B841E" w:rsidR="00122489" w:rsidRPr="00354B94" w:rsidRDefault="00122489">
      <w:pPr>
        <w:pStyle w:val="FootnoteText"/>
        <w:rPr>
          <w:rFonts w:cs="Times New Roman"/>
        </w:rPr>
      </w:pPr>
      <w:r w:rsidRPr="00354B94">
        <w:rPr>
          <w:rStyle w:val="FootnoteReference"/>
          <w:rFonts w:cs="Times New Roman"/>
        </w:rPr>
        <w:footnoteRef/>
      </w:r>
      <w:r w:rsidRPr="00354B94">
        <w:rPr>
          <w:rFonts w:cs="Times New Roman"/>
        </w:rPr>
        <w:t xml:space="preserve"> </w:t>
      </w:r>
      <w:r w:rsidR="0065147B" w:rsidRPr="00354B94">
        <w:rPr>
          <w:rFonts w:cs="Times New Roman"/>
        </w:rPr>
        <w:t xml:space="preserve">The fund's market value of 12 090 968 452 656 NOK was reported </w:t>
      </w:r>
      <w:r w:rsidR="00ED26A1" w:rsidRPr="00354B94">
        <w:rPr>
          <w:rFonts w:cs="Times New Roman"/>
        </w:rPr>
        <w:t>on</w:t>
      </w:r>
      <w:r w:rsidR="0065147B" w:rsidRPr="00354B94">
        <w:rPr>
          <w:rFonts w:cs="Times New Roman"/>
        </w:rPr>
        <w:t xml:space="preserve"> 15 September 2022. Bank of England 1</w:t>
      </w:r>
      <w:r w:rsidR="00A400BD" w:rsidRPr="00354B94">
        <w:rPr>
          <w:rFonts w:cs="Times New Roman"/>
        </w:rPr>
        <w:t>5</w:t>
      </w:r>
      <w:r w:rsidR="0065147B" w:rsidRPr="00354B94">
        <w:rPr>
          <w:rFonts w:cs="Times New Roman"/>
        </w:rPr>
        <w:t xml:space="preserve"> Sep 2022 exchange rate of 11.6765 was used to covert NOK to GBP. Source: </w:t>
      </w:r>
      <w:proofErr w:type="spellStart"/>
      <w:r w:rsidRPr="00354B94">
        <w:rPr>
          <w:rFonts w:cs="Times New Roman"/>
        </w:rPr>
        <w:t>Norges</w:t>
      </w:r>
      <w:proofErr w:type="spellEnd"/>
      <w:r w:rsidRPr="00354B94">
        <w:rPr>
          <w:rFonts w:cs="Times New Roman"/>
        </w:rPr>
        <w:t xml:space="preserve"> Bank, “The fund's market value”</w:t>
      </w:r>
      <w:r w:rsidR="001C776F" w:rsidRPr="00354B94">
        <w:rPr>
          <w:rFonts w:cs="Times New Roman"/>
        </w:rPr>
        <w:t xml:space="preserve"> (2022),</w:t>
      </w:r>
      <w:r w:rsidRPr="00354B94">
        <w:rPr>
          <w:rFonts w:cs="Times New Roman"/>
        </w:rPr>
        <w:t xml:space="preserve"> </w:t>
      </w:r>
      <w:r w:rsidR="00C91D31" w:rsidRPr="00354B94">
        <w:rPr>
          <w:rFonts w:cs="Times New Roman"/>
        </w:rPr>
        <w:t>available at:</w:t>
      </w:r>
      <w:r w:rsidRPr="00354B94">
        <w:rPr>
          <w:rFonts w:cs="Times New Roman"/>
        </w:rPr>
        <w:t xml:space="preserve"> https://www.nbim.no/ [Accessed </w:t>
      </w:r>
      <w:r w:rsidR="00EF1845" w:rsidRPr="00354B94">
        <w:rPr>
          <w:rFonts w:cs="Times New Roman"/>
        </w:rPr>
        <w:t xml:space="preserve">15 </w:t>
      </w:r>
      <w:r w:rsidRPr="00354B94">
        <w:rPr>
          <w:rFonts w:cs="Times New Roman"/>
        </w:rPr>
        <w:t xml:space="preserve">September 2022]. </w:t>
      </w:r>
    </w:p>
  </w:footnote>
  <w:footnote w:id="60">
    <w:p w14:paraId="05CE584A" w14:textId="33DDE971" w:rsidR="00122489" w:rsidRPr="00354B94" w:rsidRDefault="00122489">
      <w:pPr>
        <w:pStyle w:val="FootnoteText"/>
        <w:rPr>
          <w:rFonts w:cs="Times New Roman"/>
        </w:rPr>
      </w:pPr>
      <w:r w:rsidRPr="00354B94">
        <w:rPr>
          <w:rStyle w:val="FootnoteReference"/>
          <w:rFonts w:cs="Times New Roman"/>
        </w:rPr>
        <w:footnoteRef/>
      </w:r>
      <w:r w:rsidRPr="00354B94">
        <w:rPr>
          <w:rFonts w:cs="Times New Roman"/>
        </w:rPr>
        <w:t xml:space="preserve"> Writer’s construction. Bank of England 13 Sep 2022 exchange rate of 11.6082 was used to covert NOK to GBP. Source for UK data: Office for Budget Responsibility, “March 2022 Economic and fiscal outlook – charts and tables: Chapter 3”</w:t>
      </w:r>
      <w:r w:rsidR="001C776F" w:rsidRPr="00354B94">
        <w:rPr>
          <w:rFonts w:cs="Times New Roman"/>
        </w:rPr>
        <w:t xml:space="preserve"> (2022),</w:t>
      </w:r>
      <w:r w:rsidRPr="00354B94">
        <w:rPr>
          <w:rFonts w:cs="Times New Roman"/>
        </w:rPr>
        <w:t xml:space="preserve"> </w:t>
      </w:r>
      <w:r w:rsidR="00C91D31" w:rsidRPr="00354B94">
        <w:rPr>
          <w:rFonts w:cs="Times New Roman"/>
        </w:rPr>
        <w:t>available at:</w:t>
      </w:r>
      <w:r w:rsidRPr="00354B94">
        <w:rPr>
          <w:rFonts w:cs="Times New Roman"/>
        </w:rPr>
        <w:t xml:space="preserve"> https://obr.uk/download/march-2022-economic-and-fiscal-outlook-charts-and-tables-chapter-3/ [Accessed </w:t>
      </w:r>
      <w:r w:rsidR="00EF1845" w:rsidRPr="00354B94">
        <w:rPr>
          <w:rFonts w:cs="Times New Roman"/>
        </w:rPr>
        <w:t xml:space="preserve">13 </w:t>
      </w:r>
      <w:r w:rsidRPr="00354B94">
        <w:rPr>
          <w:rFonts w:cs="Times New Roman"/>
        </w:rPr>
        <w:t xml:space="preserve">September 2022], C3.7; North Sea Transition Authority, “NSTA August 2022 oil and gas production projections and latest BEIS and CCC demand projections” (2022 August), </w:t>
      </w:r>
      <w:r w:rsidR="00C91D31" w:rsidRPr="00354B94">
        <w:rPr>
          <w:rFonts w:cs="Times New Roman"/>
        </w:rPr>
        <w:t>available at:</w:t>
      </w:r>
      <w:r w:rsidRPr="00354B94">
        <w:rPr>
          <w:rFonts w:cs="Times New Roman"/>
        </w:rPr>
        <w:t xml:space="preserve"> https://www.nstauthority.co.uk/media/8365/nsta-august-2022-production-projections-plus-ccc-and-beis-demand-projections.xlsx [Accessed </w:t>
      </w:r>
      <w:r w:rsidR="00EF1845" w:rsidRPr="00354B94">
        <w:rPr>
          <w:rFonts w:cs="Times New Roman"/>
        </w:rPr>
        <w:t xml:space="preserve">13 </w:t>
      </w:r>
      <w:r w:rsidRPr="00354B94">
        <w:rPr>
          <w:rFonts w:cs="Times New Roman"/>
        </w:rPr>
        <w:t xml:space="preserve">September 2022]. Source for Norwegian data: Norwegian Petroleum, “The net government cash flow from petroleum activities, 1971-2022” (Updated 12 May 2022), </w:t>
      </w:r>
      <w:r w:rsidR="00C91D31" w:rsidRPr="00354B94">
        <w:rPr>
          <w:rFonts w:cs="Times New Roman"/>
        </w:rPr>
        <w:t>available at:</w:t>
      </w:r>
      <w:r w:rsidRPr="00354B94">
        <w:rPr>
          <w:rFonts w:cs="Times New Roman"/>
        </w:rPr>
        <w:t xml:space="preserve"> https://www.norskpetroleum.no/wp-content/uploads/30_Statens-netto-kontantstrom_1971-2022_120522-1.xlsx [Accessed </w:t>
      </w:r>
      <w:r w:rsidR="00EF1845" w:rsidRPr="00354B94">
        <w:rPr>
          <w:rFonts w:cs="Times New Roman"/>
        </w:rPr>
        <w:t xml:space="preserve">13 </w:t>
      </w:r>
      <w:r w:rsidRPr="00354B94">
        <w:rPr>
          <w:rFonts w:cs="Times New Roman"/>
        </w:rPr>
        <w:t xml:space="preserve">September 2022]; Norwegian Petroleum, “Historical and expected production in Norway, 1970-2026” (2022), </w:t>
      </w:r>
      <w:r w:rsidR="00C91D31" w:rsidRPr="00354B94">
        <w:rPr>
          <w:rFonts w:cs="Times New Roman"/>
        </w:rPr>
        <w:t>available at:</w:t>
      </w:r>
      <w:r w:rsidRPr="00354B94">
        <w:rPr>
          <w:rFonts w:cs="Times New Roman"/>
        </w:rPr>
        <w:t xml:space="preserve"> https://www.norskpetroleum.no/wp-content/uploads/40-Historisk-og-forventet-prod-av-olje-og-gass-1970-2026-12052022.xlsx [Accessed </w:t>
      </w:r>
      <w:r w:rsidR="00EF1845" w:rsidRPr="00354B94">
        <w:rPr>
          <w:rFonts w:cs="Times New Roman"/>
        </w:rPr>
        <w:t xml:space="preserve">13 </w:t>
      </w:r>
      <w:r w:rsidRPr="00354B94">
        <w:rPr>
          <w:rFonts w:cs="Times New Roman"/>
        </w:rPr>
        <w:t>September 2022].</w:t>
      </w:r>
    </w:p>
  </w:footnote>
  <w:footnote w:id="61">
    <w:p w14:paraId="792D3F04" w14:textId="392CF13E" w:rsidR="00907B12" w:rsidRPr="00354B94" w:rsidRDefault="00907B12" w:rsidP="00122489">
      <w:pPr>
        <w:pStyle w:val="FootnoteText"/>
        <w:rPr>
          <w:rFonts w:cs="Times New Roman"/>
        </w:rPr>
      </w:pPr>
      <w:r w:rsidRPr="00354B94">
        <w:rPr>
          <w:rStyle w:val="FootnoteReference"/>
          <w:rFonts w:cs="Times New Roman"/>
        </w:rPr>
        <w:footnoteRef/>
      </w:r>
      <w:r w:rsidRPr="00354B94">
        <w:rPr>
          <w:rFonts w:cs="Times New Roman"/>
        </w:rPr>
        <w:t xml:space="preserve"> </w:t>
      </w:r>
      <w:r w:rsidR="00E75AEF" w:rsidRPr="00354B94">
        <w:rPr>
          <w:rFonts w:cs="Times New Roman"/>
        </w:rPr>
        <w:t xml:space="preserve">The Government did not provide costings </w:t>
      </w:r>
      <w:r w:rsidR="00122489" w:rsidRPr="00354B94">
        <w:rPr>
          <w:rFonts w:cs="Times New Roman"/>
        </w:rPr>
        <w:t xml:space="preserve">but the estimate of £5 billion was cited during the announcement and </w:t>
      </w:r>
      <w:r w:rsidR="009805DC" w:rsidRPr="00354B94">
        <w:rPr>
          <w:rFonts w:cs="Times New Roman"/>
        </w:rPr>
        <w:t>in</w:t>
      </w:r>
      <w:r w:rsidR="00890ABD" w:rsidRPr="00354B94">
        <w:rPr>
          <w:rFonts w:cs="Times New Roman"/>
        </w:rPr>
        <w:t xml:space="preserve"> </w:t>
      </w:r>
      <w:r w:rsidR="00122489" w:rsidRPr="00354B94">
        <w:rPr>
          <w:rFonts w:cs="Times New Roman"/>
        </w:rPr>
        <w:t xml:space="preserve">subsequent policy papers, including HM Revenue &amp; Customs “Policy paper Energy (Oil and Gas) Profits Levy” (2022), </w:t>
      </w:r>
      <w:r w:rsidR="00C91D31" w:rsidRPr="00354B94">
        <w:rPr>
          <w:rFonts w:cs="Times New Roman"/>
        </w:rPr>
        <w:t>available at:</w:t>
      </w:r>
      <w:r w:rsidR="00122489" w:rsidRPr="00354B94">
        <w:rPr>
          <w:rFonts w:cs="Times New Roman"/>
        </w:rPr>
        <w:t xml:space="preserve"> https://www.gov.uk/government/publications/the-energy-oil-and-gas-profits-levy-bill/energy-oil-and-gas-profits-levy [Accessed 12 September 2022].</w:t>
      </w:r>
    </w:p>
  </w:footnote>
  <w:footnote w:id="62">
    <w:p w14:paraId="7A77A780" w14:textId="35FE104B" w:rsidR="00CC195E" w:rsidRPr="00354B94" w:rsidRDefault="00CC195E" w:rsidP="00CC195E">
      <w:pPr>
        <w:pStyle w:val="FootnoteText"/>
        <w:rPr>
          <w:rFonts w:cs="Times New Roman"/>
        </w:rPr>
      </w:pPr>
      <w:r w:rsidRPr="00354B94">
        <w:rPr>
          <w:rStyle w:val="FootnoteReference"/>
          <w:rFonts w:cs="Times New Roman"/>
        </w:rPr>
        <w:footnoteRef/>
      </w:r>
      <w:r w:rsidRPr="00354B94">
        <w:rPr>
          <w:rFonts w:cs="Times New Roman"/>
        </w:rPr>
        <w:t xml:space="preserve"> </w:t>
      </w:r>
      <w:r w:rsidR="00EC2B4E" w:rsidRPr="00354B94">
        <w:rPr>
          <w:rFonts w:cs="Times New Roman"/>
        </w:rPr>
        <w:t>The Government provided costings for the Energy Price Guarantee of £31 billion and the Energy Bill Relief Scheme of £29 billion for 2022-23. The former was guaranteed for two years, whilst the latter is a temporary six-month scheme with a review scheduled to take place three months from the announcement (23 September 2022). The costings were not provided for 2023-24 but are unlikely to be substantially lower and will highly depend on volatile global energy prices. The Government’s costings were published in HM Treasury, “The Growth Plan 2022 (print)” (2022), available at https://assets.publishing.service.gov.uk/government/uploads/system/uploads/attachment_data/file/1105985/HMT_Autumn_Statement_2022_PRINT.pdf [Accessed 23 September 2022], p. 25.</w:t>
      </w:r>
    </w:p>
  </w:footnote>
  <w:footnote w:id="63">
    <w:p w14:paraId="53458CC4" w14:textId="3E51D1FC" w:rsidR="00BA4F67" w:rsidRPr="00354B94" w:rsidRDefault="00BA4F67" w:rsidP="00830BBA">
      <w:pPr>
        <w:pStyle w:val="FootnoteText"/>
        <w:rPr>
          <w:rFonts w:cs="Times New Roman"/>
        </w:rPr>
      </w:pPr>
      <w:r w:rsidRPr="00354B94">
        <w:rPr>
          <w:rStyle w:val="FootnoteReference"/>
          <w:rFonts w:cs="Times New Roman"/>
        </w:rPr>
        <w:footnoteRef/>
      </w:r>
      <w:r w:rsidRPr="00354B94">
        <w:rPr>
          <w:rFonts w:cs="Times New Roman"/>
        </w:rPr>
        <w:t xml:space="preserve"> </w:t>
      </w:r>
      <w:r w:rsidR="005326B4" w:rsidRPr="00354B94">
        <w:rPr>
          <w:rFonts w:cs="Times New Roman"/>
        </w:rPr>
        <w:t>Department for Business, Energy &amp; Industrial Strategy, “</w:t>
      </w:r>
      <w:r w:rsidR="00830BBA" w:rsidRPr="00354B94">
        <w:rPr>
          <w:rFonts w:cs="Times New Roman"/>
        </w:rPr>
        <w:t>Policy paper Net Zero Strategy: Build Back Greener</w:t>
      </w:r>
      <w:r w:rsidR="00FB06C4" w:rsidRPr="00354B94">
        <w:rPr>
          <w:rFonts w:cs="Times New Roman"/>
        </w:rPr>
        <w:t>”</w:t>
      </w:r>
      <w:r w:rsidR="001C776F" w:rsidRPr="00354B94">
        <w:rPr>
          <w:rFonts w:cs="Times New Roman"/>
        </w:rPr>
        <w:t xml:space="preserve"> (2022),</w:t>
      </w:r>
      <w:r w:rsidR="00830BBA" w:rsidRPr="00354B94">
        <w:rPr>
          <w:rFonts w:cs="Times New Roman"/>
        </w:rPr>
        <w:t xml:space="preserve"> </w:t>
      </w:r>
      <w:r w:rsidR="00C91D31" w:rsidRPr="00354B94">
        <w:rPr>
          <w:rFonts w:cs="Times New Roman"/>
        </w:rPr>
        <w:t>available at:</w:t>
      </w:r>
      <w:r w:rsidR="00830BBA" w:rsidRPr="00354B94">
        <w:rPr>
          <w:rFonts w:cs="Times New Roman"/>
        </w:rPr>
        <w:t xml:space="preserve"> https://www.gov.uk/government/publications/net-zero-strategy </w:t>
      </w:r>
      <w:bookmarkStart w:id="6" w:name="_Hlk114156180"/>
      <w:r w:rsidR="00830BBA" w:rsidRPr="00354B94">
        <w:rPr>
          <w:rFonts w:cs="Times New Roman"/>
        </w:rPr>
        <w:t>[Accessed 12 September 2022].</w:t>
      </w:r>
      <w:bookmarkEnd w:id="6"/>
    </w:p>
  </w:footnote>
  <w:footnote w:id="64">
    <w:p w14:paraId="60EA708F" w14:textId="5062FF85" w:rsidR="00931D2D" w:rsidRPr="00354B94" w:rsidRDefault="00931D2D" w:rsidP="008D59DD">
      <w:pPr>
        <w:pStyle w:val="FootnoteText"/>
        <w:rPr>
          <w:rFonts w:cs="Times New Roman"/>
        </w:rPr>
      </w:pPr>
      <w:r w:rsidRPr="00354B94">
        <w:rPr>
          <w:rStyle w:val="FootnoteReference"/>
          <w:rFonts w:cs="Times New Roman"/>
        </w:rPr>
        <w:footnoteRef/>
      </w:r>
      <w:r w:rsidRPr="00354B94">
        <w:rPr>
          <w:rFonts w:cs="Times New Roman"/>
        </w:rPr>
        <w:t xml:space="preserve"> </w:t>
      </w:r>
      <w:r w:rsidR="00EB3C5E" w:rsidRPr="00354B94">
        <w:rPr>
          <w:rFonts w:cs="Times New Roman"/>
        </w:rPr>
        <w:t xml:space="preserve">Renewables’ share of electricity generation was 45.5 per cent </w:t>
      </w:r>
      <w:r w:rsidR="0040146F" w:rsidRPr="00354B94">
        <w:rPr>
          <w:rFonts w:cs="Times New Roman"/>
        </w:rPr>
        <w:t xml:space="preserve">from January to March 2022, as reported in </w:t>
      </w:r>
      <w:r w:rsidR="00A94310" w:rsidRPr="00354B94">
        <w:rPr>
          <w:rFonts w:cs="Times New Roman"/>
        </w:rPr>
        <w:t>Department for Business, Energy &amp; Industrial Strategy, “</w:t>
      </w:r>
      <w:r w:rsidR="008D59DD" w:rsidRPr="00354B94">
        <w:rPr>
          <w:rFonts w:cs="Times New Roman"/>
        </w:rPr>
        <w:t xml:space="preserve">National Statistics </w:t>
      </w:r>
      <w:r w:rsidR="00A94310" w:rsidRPr="00354B94">
        <w:rPr>
          <w:rFonts w:cs="Times New Roman"/>
        </w:rPr>
        <w:t>Energy Trends: UK renewables”</w:t>
      </w:r>
      <w:r w:rsidR="00F13994" w:rsidRPr="00354B94">
        <w:rPr>
          <w:rFonts w:cs="Times New Roman"/>
        </w:rPr>
        <w:t xml:space="preserve"> (2013, Updated </w:t>
      </w:r>
      <w:r w:rsidR="008D59DD" w:rsidRPr="00354B94">
        <w:rPr>
          <w:rFonts w:cs="Times New Roman"/>
        </w:rPr>
        <w:t>8 September 2022</w:t>
      </w:r>
      <w:r w:rsidR="00F13994" w:rsidRPr="00354B94">
        <w:rPr>
          <w:rFonts w:cs="Times New Roman"/>
        </w:rPr>
        <w:t>)</w:t>
      </w:r>
      <w:r w:rsidR="008D59DD" w:rsidRPr="00354B94">
        <w:rPr>
          <w:rFonts w:cs="Times New Roman"/>
        </w:rPr>
        <w:t xml:space="preserve">, </w:t>
      </w:r>
      <w:r w:rsidR="00C91D31" w:rsidRPr="00354B94">
        <w:rPr>
          <w:rFonts w:cs="Times New Roman"/>
        </w:rPr>
        <w:t>available at:</w:t>
      </w:r>
      <w:r w:rsidR="008D59DD" w:rsidRPr="00354B94">
        <w:rPr>
          <w:rFonts w:cs="Times New Roman"/>
        </w:rPr>
        <w:t xml:space="preserve"> </w:t>
      </w:r>
      <w:r w:rsidR="00AE4836" w:rsidRPr="00354B94">
        <w:rPr>
          <w:rFonts w:cs="Times New Roman"/>
        </w:rPr>
        <w:t>https://www.gov.uk/government/statistics/energy-trends-section-6-renewables [Accessed 12 September 2022].</w:t>
      </w:r>
    </w:p>
  </w:footnote>
  <w:footnote w:id="65">
    <w:p w14:paraId="6206BCCD" w14:textId="65021058" w:rsidR="00F2259A" w:rsidRPr="00354B94" w:rsidRDefault="001D495F" w:rsidP="00F2259A">
      <w:pPr>
        <w:pStyle w:val="FootnoteText"/>
        <w:rPr>
          <w:rFonts w:cs="Times New Roman"/>
        </w:rPr>
      </w:pPr>
      <w:r w:rsidRPr="00354B94">
        <w:rPr>
          <w:rStyle w:val="FootnoteReference"/>
          <w:rFonts w:cs="Times New Roman"/>
        </w:rPr>
        <w:footnoteRef/>
      </w:r>
      <w:r w:rsidR="00214984" w:rsidRPr="00354B94">
        <w:rPr>
          <w:rFonts w:cs="Times New Roman"/>
        </w:rPr>
        <w:t xml:space="preserve"> </w:t>
      </w:r>
      <w:r w:rsidR="00F2259A" w:rsidRPr="00354B94">
        <w:rPr>
          <w:rFonts w:cs="Times New Roman"/>
        </w:rPr>
        <w:t xml:space="preserve">However, the new Government led by Liz Truss reversed the previous trajectory of tax increases with substantial tax-cutting measures announced in the </w:t>
      </w:r>
      <w:r w:rsidR="001954FC" w:rsidRPr="00354B94">
        <w:rPr>
          <w:rFonts w:cs="Times New Roman"/>
        </w:rPr>
        <w:t>M</w:t>
      </w:r>
      <w:r w:rsidR="00F2259A" w:rsidRPr="00354B94">
        <w:rPr>
          <w:rFonts w:cs="Times New Roman"/>
        </w:rPr>
        <w:t>ini</w:t>
      </w:r>
      <w:r w:rsidR="001954FC" w:rsidRPr="00354B94">
        <w:rPr>
          <w:rFonts w:cs="Times New Roman"/>
        </w:rPr>
        <w:t>-b</w:t>
      </w:r>
      <w:r w:rsidR="00F2259A" w:rsidRPr="00354B94">
        <w:rPr>
          <w:rFonts w:cs="Times New Roman"/>
        </w:rPr>
        <w:t xml:space="preserve">udget 2022, including abolishing plans to increase corporation tax, </w:t>
      </w:r>
      <w:r w:rsidR="002731C8" w:rsidRPr="00354B94">
        <w:rPr>
          <w:rFonts w:cs="Times New Roman"/>
        </w:rPr>
        <w:t xml:space="preserve">scrapping </w:t>
      </w:r>
      <w:r w:rsidR="00F2259A" w:rsidRPr="00354B94">
        <w:rPr>
          <w:rFonts w:cs="Times New Roman"/>
        </w:rPr>
        <w:t xml:space="preserve">Health and Social Care </w:t>
      </w:r>
      <w:proofErr w:type="gramStart"/>
      <w:r w:rsidR="00F2259A" w:rsidRPr="00354B94">
        <w:rPr>
          <w:rFonts w:cs="Times New Roman"/>
        </w:rPr>
        <w:t>Levy</w:t>
      </w:r>
      <w:proofErr w:type="gramEnd"/>
      <w:r w:rsidR="00F2259A" w:rsidRPr="00354B94">
        <w:rPr>
          <w:rFonts w:cs="Times New Roman"/>
        </w:rPr>
        <w:t xml:space="preserve"> and </w:t>
      </w:r>
      <w:r w:rsidR="004965F7" w:rsidRPr="00354B94">
        <w:rPr>
          <w:rFonts w:cs="Times New Roman"/>
        </w:rPr>
        <w:t>cancelling</w:t>
      </w:r>
      <w:r w:rsidR="00F2259A" w:rsidRPr="00354B94">
        <w:rPr>
          <w:rFonts w:cs="Times New Roman"/>
        </w:rPr>
        <w:t xml:space="preserve"> a temporary rise in National Insurance Contributions. </w:t>
      </w:r>
      <w:r w:rsidR="008E48DE" w:rsidRPr="00354B94">
        <w:rPr>
          <w:rFonts w:cs="Times New Roman"/>
        </w:rPr>
        <w:t xml:space="preserve">The </w:t>
      </w:r>
      <w:r w:rsidR="005A1A2C" w:rsidRPr="00354B94">
        <w:rPr>
          <w:rFonts w:cs="Times New Roman"/>
        </w:rPr>
        <w:t>estimated</w:t>
      </w:r>
      <w:r w:rsidR="008E48DE" w:rsidRPr="00354B94">
        <w:rPr>
          <w:rFonts w:cs="Times New Roman"/>
        </w:rPr>
        <w:t xml:space="preserve"> annual l</w:t>
      </w:r>
      <w:r w:rsidR="00F2259A" w:rsidRPr="00354B94">
        <w:rPr>
          <w:rFonts w:cs="Times New Roman"/>
        </w:rPr>
        <w:t xml:space="preserve">ong-term costs associated only with these instruments averaged £33.8 billion annually between 2023-24 and 2026-27, as </w:t>
      </w:r>
      <w:r w:rsidR="00A47C35" w:rsidRPr="00354B94">
        <w:rPr>
          <w:rFonts w:cs="Times New Roman"/>
        </w:rPr>
        <w:t xml:space="preserve">reported </w:t>
      </w:r>
      <w:r w:rsidR="005512E4" w:rsidRPr="00354B94">
        <w:rPr>
          <w:rFonts w:cs="Times New Roman"/>
        </w:rPr>
        <w:t>by the Government</w:t>
      </w:r>
      <w:r w:rsidR="00F2259A" w:rsidRPr="00354B94">
        <w:rPr>
          <w:rFonts w:cs="Times New Roman"/>
        </w:rPr>
        <w:t xml:space="preserve"> during the announcement in HM Treasury, “The Growth Plan 2022 (print)” (2022)</w:t>
      </w:r>
      <w:r w:rsidR="00F530F8" w:rsidRPr="00354B94">
        <w:rPr>
          <w:rFonts w:cs="Times New Roman"/>
        </w:rPr>
        <w:t>,</w:t>
      </w:r>
      <w:r w:rsidR="00F2259A" w:rsidRPr="00354B94">
        <w:rPr>
          <w:rFonts w:cs="Times New Roman"/>
        </w:rPr>
        <w:t xml:space="preserve"> available at https://assets.publishing.service.gov.uk/government/uploads/system/uploads/attachment_data/file/1105985/HMT_Autumn_Statement_2022_PRINT.pdf [Accessed 23 September 2022], p. 26.</w:t>
      </w:r>
    </w:p>
    <w:p w14:paraId="22807E0D" w14:textId="11FEE0B0" w:rsidR="001D495F" w:rsidRPr="00354B94" w:rsidRDefault="00F2259A" w:rsidP="00F2259A">
      <w:pPr>
        <w:spacing w:after="0"/>
        <w:rPr>
          <w:rFonts w:cs="Times New Roman"/>
          <w:sz w:val="20"/>
          <w:szCs w:val="20"/>
        </w:rPr>
      </w:pPr>
      <w:r w:rsidRPr="00354B94">
        <w:rPr>
          <w:rFonts w:cs="Times New Roman"/>
          <w:sz w:val="20"/>
          <w:szCs w:val="20"/>
        </w:rPr>
        <w:t xml:space="preserve">Institute for Fiscal Studies argues that these tax-cutting measures will lead to unsustainable borrowing and persistent budget deficits, as explained in Carl Emmerson and Isabel Stockton “Reversing NICs and corporation tax rises would leave debt on an unsustainable path” (2022) </w:t>
      </w:r>
      <w:proofErr w:type="spellStart"/>
      <w:r w:rsidRPr="00354B94">
        <w:rPr>
          <w:rFonts w:cs="Times New Roman"/>
          <w:sz w:val="20"/>
          <w:szCs w:val="20"/>
        </w:rPr>
        <w:t>lnstitute</w:t>
      </w:r>
      <w:proofErr w:type="spellEnd"/>
      <w:r w:rsidRPr="00354B94">
        <w:rPr>
          <w:rFonts w:cs="Times New Roman"/>
          <w:sz w:val="20"/>
          <w:szCs w:val="20"/>
        </w:rPr>
        <w:t xml:space="preserve"> for Fiscal Studies, available at https://ifs.org.uk/sites/default/files/2022-09/Reversing-NICs-and-corporation-tax-rises-would-leave-debt-on-an-unsustainable-path-Final-R127.pdf [Accessed 22 September 2022].</w:t>
      </w:r>
    </w:p>
  </w:footnote>
  <w:footnote w:id="66">
    <w:p w14:paraId="20CCE8CA" w14:textId="05179D31" w:rsidR="00380AE4" w:rsidRPr="00354B94" w:rsidRDefault="00380AE4">
      <w:pPr>
        <w:pStyle w:val="FootnoteText"/>
        <w:rPr>
          <w:rFonts w:cs="Times New Roman"/>
        </w:rPr>
      </w:pPr>
      <w:r w:rsidRPr="00354B94">
        <w:rPr>
          <w:rStyle w:val="FootnoteReference"/>
          <w:rFonts w:cs="Times New Roman"/>
        </w:rPr>
        <w:footnoteRef/>
      </w:r>
      <w:r w:rsidRPr="00354B94">
        <w:rPr>
          <w:rFonts w:cs="Times New Roman"/>
        </w:rPr>
        <w:t xml:space="preserve"> </w:t>
      </w:r>
      <w:r w:rsidR="003637C5" w:rsidRPr="00354B94">
        <w:rPr>
          <w:rFonts w:cs="Times New Roman"/>
        </w:rPr>
        <w:t>This has been reported in several media articles, including</w:t>
      </w:r>
      <w:r w:rsidR="001158FE" w:rsidRPr="00354B94">
        <w:rPr>
          <w:rFonts w:cs="Times New Roman"/>
        </w:rPr>
        <w:t xml:space="preserve"> </w:t>
      </w:r>
      <w:proofErr w:type="spellStart"/>
      <w:r w:rsidR="008E7095" w:rsidRPr="00354B94">
        <w:rPr>
          <w:rFonts w:cs="Times New Roman"/>
        </w:rPr>
        <w:t>Saphora</w:t>
      </w:r>
      <w:proofErr w:type="spellEnd"/>
      <w:r w:rsidR="008E7095" w:rsidRPr="00354B94">
        <w:rPr>
          <w:rFonts w:cs="Times New Roman"/>
        </w:rPr>
        <w:t xml:space="preserve"> Smith (2</w:t>
      </w:r>
      <w:r w:rsidR="00814844" w:rsidRPr="00354B94">
        <w:rPr>
          <w:rFonts w:cs="Times New Roman"/>
        </w:rPr>
        <w:t xml:space="preserve">022) </w:t>
      </w:r>
      <w:r w:rsidR="005F0301" w:rsidRPr="00354B94">
        <w:rPr>
          <w:rFonts w:cs="Times New Roman"/>
        </w:rPr>
        <w:t xml:space="preserve">“Cost of living crisis: Majority of UK public supports windfall tax, poll shows” (2022) Independent, </w:t>
      </w:r>
      <w:r w:rsidR="00C91D31" w:rsidRPr="00354B94">
        <w:rPr>
          <w:rFonts w:cs="Times New Roman"/>
        </w:rPr>
        <w:t>available at:</w:t>
      </w:r>
      <w:r w:rsidR="005F0301" w:rsidRPr="00354B94">
        <w:rPr>
          <w:rFonts w:cs="Times New Roman"/>
        </w:rPr>
        <w:t xml:space="preserve"> https://www.independent.co.uk/climate-change/windfall-tax-poll-enery-companies-conservative-voters-b2087316.html [Accessed 12 September 2022];</w:t>
      </w:r>
      <w:r w:rsidR="0079066C" w:rsidRPr="00354B94">
        <w:rPr>
          <w:rFonts w:cs="Times New Roman"/>
        </w:rPr>
        <w:t xml:space="preserve"> </w:t>
      </w:r>
      <w:r w:rsidR="00585B40" w:rsidRPr="00354B94">
        <w:rPr>
          <w:rFonts w:cs="Times New Roman"/>
        </w:rPr>
        <w:t xml:space="preserve">Jon Stone “Three in four Tory voters back windfall tax on oil and gas companies” Independent, </w:t>
      </w:r>
      <w:r w:rsidR="00C91D31" w:rsidRPr="00354B94">
        <w:rPr>
          <w:rFonts w:cs="Times New Roman"/>
        </w:rPr>
        <w:t>available at:</w:t>
      </w:r>
      <w:r w:rsidR="00585B40" w:rsidRPr="00354B94">
        <w:rPr>
          <w:rFonts w:cs="Times New Roman"/>
        </w:rPr>
        <w:t xml:space="preserve"> </w:t>
      </w:r>
      <w:r w:rsidR="003D5E7E" w:rsidRPr="00354B94">
        <w:rPr>
          <w:rFonts w:cs="Times New Roman"/>
        </w:rPr>
        <w:t>https://www.independent.co.uk/news/uk/politics/windfall-tax-oil-and-gas-companies-lib-dems-labour-b1993861.html</w:t>
      </w:r>
      <w:r w:rsidR="00585B40" w:rsidRPr="00354B94">
        <w:rPr>
          <w:rFonts w:cs="Times New Roman"/>
        </w:rPr>
        <w:t xml:space="preserve"> [Accessed 12 September 2022].</w:t>
      </w:r>
    </w:p>
  </w:footnote>
  <w:footnote w:id="67">
    <w:p w14:paraId="2B7312BE" w14:textId="26B2ACBA" w:rsidR="00F15D47" w:rsidRPr="00354B94" w:rsidRDefault="00F15D47" w:rsidP="00F15D47">
      <w:pPr>
        <w:pStyle w:val="FootnoteText"/>
        <w:rPr>
          <w:rFonts w:cs="Times New Roman"/>
        </w:rPr>
      </w:pPr>
      <w:r w:rsidRPr="00354B94">
        <w:rPr>
          <w:rStyle w:val="FootnoteReference"/>
          <w:rFonts w:cs="Times New Roman"/>
        </w:rPr>
        <w:footnoteRef/>
      </w:r>
      <w:r w:rsidRPr="00354B94">
        <w:rPr>
          <w:rFonts w:cs="Times New Roman"/>
        </w:rPr>
        <w:t xml:space="preserve"> Hafez Abdo and Jane </w:t>
      </w:r>
      <w:proofErr w:type="spellStart"/>
      <w:r w:rsidRPr="00354B94">
        <w:rPr>
          <w:rFonts w:cs="Times New Roman"/>
        </w:rPr>
        <w:t>Frecknall</w:t>
      </w:r>
      <w:proofErr w:type="spellEnd"/>
      <w:r w:rsidRPr="00354B94">
        <w:rPr>
          <w:rFonts w:cs="Times New Roman"/>
        </w:rPr>
        <w:t>-Hughes “UK Tax Policy in the Oil and Gas Sector: An Empirical Examination of Recent Changes,” B.T.R. [current issue]</w:t>
      </w:r>
    </w:p>
  </w:footnote>
  <w:footnote w:id="68">
    <w:p w14:paraId="5E9DCFE5" w14:textId="3F29344B" w:rsidR="00C44E36" w:rsidRPr="00F2259A" w:rsidRDefault="00C44E36">
      <w:pPr>
        <w:pStyle w:val="FootnoteText"/>
        <w:rPr>
          <w:rFonts w:cs="Times New Roman"/>
        </w:rPr>
      </w:pPr>
      <w:r w:rsidRPr="00354B94">
        <w:rPr>
          <w:rFonts w:cs="Times New Roman"/>
        </w:rPr>
        <w:t xml:space="preserve">* Lecturer at Queen’s Management School, Queen’s University Belfast. </w:t>
      </w:r>
      <w:r w:rsidRPr="00354B94">
        <w:rPr>
          <w:rStyle w:val="FootnoteReference"/>
          <w:rFonts w:cs="Times New Roman"/>
          <w:color w:val="FFFFFF" w:themeColor="background1"/>
        </w:rPr>
        <w:footnoteRef/>
      </w:r>
      <w:r w:rsidRPr="00F2259A">
        <w:rPr>
          <w:rFonts w:cs="Times New Roman"/>
          <w:color w:val="FFFFFF" w:themeColor="background1"/>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0CC6F" w14:textId="77777777" w:rsidR="00534EC7" w:rsidRDefault="00534EC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290B63"/>
    <w:multiLevelType w:val="hybridMultilevel"/>
    <w:tmpl w:val="1BC0E06A"/>
    <w:lvl w:ilvl="0" w:tplc="B9A21FA0">
      <w:start w:val="1"/>
      <w:numFmt w:val="upperRoman"/>
      <w:pStyle w:val="Heading1"/>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61E6AB7"/>
    <w:multiLevelType w:val="hybridMultilevel"/>
    <w:tmpl w:val="B39258B0"/>
    <w:lvl w:ilvl="0" w:tplc="BEB47060">
      <w:start w:val="2"/>
      <w:numFmt w:val="bullet"/>
      <w:lvlText w:val=""/>
      <w:lvlJc w:val="left"/>
      <w:pPr>
        <w:ind w:left="1080" w:hanging="360"/>
      </w:pPr>
      <w:rPr>
        <w:rFonts w:ascii="Symbol" w:eastAsiaTheme="minorHAnsi"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726029411">
    <w:abstractNumId w:val="0"/>
  </w:num>
  <w:num w:numId="2" w16cid:durableId="917595163">
    <w:abstractNumId w:val="0"/>
    <w:lvlOverride w:ilvl="0">
      <w:startOverride w:val="1"/>
    </w:lvlOverride>
  </w:num>
  <w:num w:numId="3" w16cid:durableId="5240275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hideSpellingErrors/>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e0MDI2MjA0NDQ2sTBR0lEKTi0uzszPAykwNq8FAB12GlEtAAAA"/>
  </w:docVars>
  <w:rsids>
    <w:rsidRoot w:val="00171686"/>
    <w:rsid w:val="00000587"/>
    <w:rsid w:val="00001DFB"/>
    <w:rsid w:val="00003D29"/>
    <w:rsid w:val="00004E26"/>
    <w:rsid w:val="0000550F"/>
    <w:rsid w:val="00005C11"/>
    <w:rsid w:val="00007805"/>
    <w:rsid w:val="000078E9"/>
    <w:rsid w:val="00011490"/>
    <w:rsid w:val="0001332C"/>
    <w:rsid w:val="00016E69"/>
    <w:rsid w:val="00016F78"/>
    <w:rsid w:val="0001713C"/>
    <w:rsid w:val="00017958"/>
    <w:rsid w:val="00017A45"/>
    <w:rsid w:val="000258FC"/>
    <w:rsid w:val="0002609B"/>
    <w:rsid w:val="000265C6"/>
    <w:rsid w:val="00027030"/>
    <w:rsid w:val="00030554"/>
    <w:rsid w:val="00030D4C"/>
    <w:rsid w:val="0003402B"/>
    <w:rsid w:val="00034314"/>
    <w:rsid w:val="0003447F"/>
    <w:rsid w:val="0003489E"/>
    <w:rsid w:val="000361AC"/>
    <w:rsid w:val="000402E7"/>
    <w:rsid w:val="000433DA"/>
    <w:rsid w:val="00043A14"/>
    <w:rsid w:val="0004424C"/>
    <w:rsid w:val="000444FF"/>
    <w:rsid w:val="0004502E"/>
    <w:rsid w:val="0004506B"/>
    <w:rsid w:val="000452A6"/>
    <w:rsid w:val="0004538B"/>
    <w:rsid w:val="000461AA"/>
    <w:rsid w:val="00047269"/>
    <w:rsid w:val="0005192C"/>
    <w:rsid w:val="00051BD3"/>
    <w:rsid w:val="0005312B"/>
    <w:rsid w:val="000549DA"/>
    <w:rsid w:val="00056958"/>
    <w:rsid w:val="000569E6"/>
    <w:rsid w:val="00057BCF"/>
    <w:rsid w:val="00061036"/>
    <w:rsid w:val="000617DD"/>
    <w:rsid w:val="0006258D"/>
    <w:rsid w:val="0006419E"/>
    <w:rsid w:val="00066482"/>
    <w:rsid w:val="000673F8"/>
    <w:rsid w:val="00067417"/>
    <w:rsid w:val="0007045A"/>
    <w:rsid w:val="000706B9"/>
    <w:rsid w:val="000725F4"/>
    <w:rsid w:val="00073170"/>
    <w:rsid w:val="00073C6C"/>
    <w:rsid w:val="00075E53"/>
    <w:rsid w:val="00076511"/>
    <w:rsid w:val="00076844"/>
    <w:rsid w:val="0007721F"/>
    <w:rsid w:val="000820F6"/>
    <w:rsid w:val="00082351"/>
    <w:rsid w:val="00082B6D"/>
    <w:rsid w:val="000832CD"/>
    <w:rsid w:val="00083448"/>
    <w:rsid w:val="00084585"/>
    <w:rsid w:val="00084E72"/>
    <w:rsid w:val="00085F34"/>
    <w:rsid w:val="00086309"/>
    <w:rsid w:val="00086353"/>
    <w:rsid w:val="000905AF"/>
    <w:rsid w:val="00091480"/>
    <w:rsid w:val="00092BF2"/>
    <w:rsid w:val="0009512E"/>
    <w:rsid w:val="000A034F"/>
    <w:rsid w:val="000A0444"/>
    <w:rsid w:val="000A0A77"/>
    <w:rsid w:val="000A0E18"/>
    <w:rsid w:val="000A25C0"/>
    <w:rsid w:val="000A2B74"/>
    <w:rsid w:val="000A3CF4"/>
    <w:rsid w:val="000A6293"/>
    <w:rsid w:val="000A637F"/>
    <w:rsid w:val="000A67B2"/>
    <w:rsid w:val="000B0215"/>
    <w:rsid w:val="000B3E35"/>
    <w:rsid w:val="000B3E6A"/>
    <w:rsid w:val="000B60E8"/>
    <w:rsid w:val="000B63A8"/>
    <w:rsid w:val="000B687D"/>
    <w:rsid w:val="000B68E0"/>
    <w:rsid w:val="000C064F"/>
    <w:rsid w:val="000C0B4D"/>
    <w:rsid w:val="000C0C8B"/>
    <w:rsid w:val="000C3BA7"/>
    <w:rsid w:val="000C4E71"/>
    <w:rsid w:val="000C5AEE"/>
    <w:rsid w:val="000C6AC8"/>
    <w:rsid w:val="000C6B81"/>
    <w:rsid w:val="000C7565"/>
    <w:rsid w:val="000D1C98"/>
    <w:rsid w:val="000D1CC7"/>
    <w:rsid w:val="000D28A9"/>
    <w:rsid w:val="000D3731"/>
    <w:rsid w:val="000D4295"/>
    <w:rsid w:val="000D6086"/>
    <w:rsid w:val="000D61BB"/>
    <w:rsid w:val="000D6EF3"/>
    <w:rsid w:val="000D73B3"/>
    <w:rsid w:val="000E102C"/>
    <w:rsid w:val="000E1387"/>
    <w:rsid w:val="000E13AB"/>
    <w:rsid w:val="000E1DD8"/>
    <w:rsid w:val="000E3378"/>
    <w:rsid w:val="000E4454"/>
    <w:rsid w:val="000E503D"/>
    <w:rsid w:val="000E6C8C"/>
    <w:rsid w:val="000E6E69"/>
    <w:rsid w:val="000E75D1"/>
    <w:rsid w:val="000E782D"/>
    <w:rsid w:val="000F0F1B"/>
    <w:rsid w:val="000F1D19"/>
    <w:rsid w:val="000F23F4"/>
    <w:rsid w:val="000F2C3B"/>
    <w:rsid w:val="000F2EB6"/>
    <w:rsid w:val="000F51DE"/>
    <w:rsid w:val="000F55EF"/>
    <w:rsid w:val="000F5669"/>
    <w:rsid w:val="000F6841"/>
    <w:rsid w:val="000F7210"/>
    <w:rsid w:val="000F746F"/>
    <w:rsid w:val="000F7480"/>
    <w:rsid w:val="000F779A"/>
    <w:rsid w:val="001005EF"/>
    <w:rsid w:val="00100812"/>
    <w:rsid w:val="00102312"/>
    <w:rsid w:val="001025E1"/>
    <w:rsid w:val="00102835"/>
    <w:rsid w:val="00102B55"/>
    <w:rsid w:val="00102D51"/>
    <w:rsid w:val="00103DB4"/>
    <w:rsid w:val="00104091"/>
    <w:rsid w:val="001040DF"/>
    <w:rsid w:val="00104B59"/>
    <w:rsid w:val="00106EA8"/>
    <w:rsid w:val="00107368"/>
    <w:rsid w:val="00107838"/>
    <w:rsid w:val="0010783C"/>
    <w:rsid w:val="00110F48"/>
    <w:rsid w:val="00111F02"/>
    <w:rsid w:val="0011258B"/>
    <w:rsid w:val="00112966"/>
    <w:rsid w:val="0011461A"/>
    <w:rsid w:val="001147BE"/>
    <w:rsid w:val="00114BE2"/>
    <w:rsid w:val="00114C60"/>
    <w:rsid w:val="001155D2"/>
    <w:rsid w:val="001158FE"/>
    <w:rsid w:val="00116BF3"/>
    <w:rsid w:val="00116CD1"/>
    <w:rsid w:val="001210D8"/>
    <w:rsid w:val="001212F9"/>
    <w:rsid w:val="00121E93"/>
    <w:rsid w:val="0012238C"/>
    <w:rsid w:val="00122489"/>
    <w:rsid w:val="00122A66"/>
    <w:rsid w:val="00123777"/>
    <w:rsid w:val="001237C0"/>
    <w:rsid w:val="00123B67"/>
    <w:rsid w:val="0012568A"/>
    <w:rsid w:val="0012683C"/>
    <w:rsid w:val="00130C0D"/>
    <w:rsid w:val="001313E6"/>
    <w:rsid w:val="001327A9"/>
    <w:rsid w:val="001333AB"/>
    <w:rsid w:val="001336C7"/>
    <w:rsid w:val="00133F6F"/>
    <w:rsid w:val="00134CE3"/>
    <w:rsid w:val="00134D62"/>
    <w:rsid w:val="0013509A"/>
    <w:rsid w:val="00135660"/>
    <w:rsid w:val="00135BFE"/>
    <w:rsid w:val="0013608B"/>
    <w:rsid w:val="00137F62"/>
    <w:rsid w:val="0014061D"/>
    <w:rsid w:val="00140AC6"/>
    <w:rsid w:val="0014283A"/>
    <w:rsid w:val="00143408"/>
    <w:rsid w:val="00143D67"/>
    <w:rsid w:val="00143DA3"/>
    <w:rsid w:val="00144A49"/>
    <w:rsid w:val="00145513"/>
    <w:rsid w:val="00145518"/>
    <w:rsid w:val="00145C2B"/>
    <w:rsid w:val="00150571"/>
    <w:rsid w:val="00151C77"/>
    <w:rsid w:val="001531BF"/>
    <w:rsid w:val="001543AA"/>
    <w:rsid w:val="001546AE"/>
    <w:rsid w:val="00154C8F"/>
    <w:rsid w:val="0015576B"/>
    <w:rsid w:val="00156808"/>
    <w:rsid w:val="001569EB"/>
    <w:rsid w:val="00157EA4"/>
    <w:rsid w:val="00161A7A"/>
    <w:rsid w:val="00161D71"/>
    <w:rsid w:val="00162B76"/>
    <w:rsid w:val="00162E2D"/>
    <w:rsid w:val="00163542"/>
    <w:rsid w:val="00166746"/>
    <w:rsid w:val="00166E5D"/>
    <w:rsid w:val="0016796C"/>
    <w:rsid w:val="00170CB5"/>
    <w:rsid w:val="00171686"/>
    <w:rsid w:val="00171926"/>
    <w:rsid w:val="00171AD4"/>
    <w:rsid w:val="00172281"/>
    <w:rsid w:val="00172B79"/>
    <w:rsid w:val="00173289"/>
    <w:rsid w:val="001733D9"/>
    <w:rsid w:val="0017473A"/>
    <w:rsid w:val="0017539A"/>
    <w:rsid w:val="0017723C"/>
    <w:rsid w:val="00177B07"/>
    <w:rsid w:val="00177BA2"/>
    <w:rsid w:val="00177C0C"/>
    <w:rsid w:val="00180191"/>
    <w:rsid w:val="00182007"/>
    <w:rsid w:val="001821D8"/>
    <w:rsid w:val="00182863"/>
    <w:rsid w:val="00182887"/>
    <w:rsid w:val="0018294D"/>
    <w:rsid w:val="00182D0B"/>
    <w:rsid w:val="001850AF"/>
    <w:rsid w:val="00186945"/>
    <w:rsid w:val="00186BA3"/>
    <w:rsid w:val="00187443"/>
    <w:rsid w:val="00187582"/>
    <w:rsid w:val="001901D2"/>
    <w:rsid w:val="001904DB"/>
    <w:rsid w:val="001906FF"/>
    <w:rsid w:val="00193903"/>
    <w:rsid w:val="001939DD"/>
    <w:rsid w:val="001944BA"/>
    <w:rsid w:val="00194887"/>
    <w:rsid w:val="00194C13"/>
    <w:rsid w:val="0019520B"/>
    <w:rsid w:val="001954FC"/>
    <w:rsid w:val="00195660"/>
    <w:rsid w:val="00195DD9"/>
    <w:rsid w:val="00196C13"/>
    <w:rsid w:val="001978B1"/>
    <w:rsid w:val="00197E73"/>
    <w:rsid w:val="00197EE3"/>
    <w:rsid w:val="001A146D"/>
    <w:rsid w:val="001A19E1"/>
    <w:rsid w:val="001A21C3"/>
    <w:rsid w:val="001A2252"/>
    <w:rsid w:val="001A2A45"/>
    <w:rsid w:val="001A2A51"/>
    <w:rsid w:val="001A2BEE"/>
    <w:rsid w:val="001A3370"/>
    <w:rsid w:val="001A34B3"/>
    <w:rsid w:val="001A40A0"/>
    <w:rsid w:val="001A4E8D"/>
    <w:rsid w:val="001A5BB1"/>
    <w:rsid w:val="001A6270"/>
    <w:rsid w:val="001A62F6"/>
    <w:rsid w:val="001A6E25"/>
    <w:rsid w:val="001A701D"/>
    <w:rsid w:val="001A7099"/>
    <w:rsid w:val="001A72AB"/>
    <w:rsid w:val="001A74FD"/>
    <w:rsid w:val="001A7726"/>
    <w:rsid w:val="001B08EB"/>
    <w:rsid w:val="001B092C"/>
    <w:rsid w:val="001B3143"/>
    <w:rsid w:val="001B341C"/>
    <w:rsid w:val="001B465E"/>
    <w:rsid w:val="001B49F8"/>
    <w:rsid w:val="001B5B9A"/>
    <w:rsid w:val="001B7BCD"/>
    <w:rsid w:val="001C0233"/>
    <w:rsid w:val="001C06F4"/>
    <w:rsid w:val="001C1ABC"/>
    <w:rsid w:val="001C1F1E"/>
    <w:rsid w:val="001C3187"/>
    <w:rsid w:val="001C355E"/>
    <w:rsid w:val="001C36B2"/>
    <w:rsid w:val="001C3CFB"/>
    <w:rsid w:val="001C488C"/>
    <w:rsid w:val="001C5C37"/>
    <w:rsid w:val="001C692D"/>
    <w:rsid w:val="001C71A9"/>
    <w:rsid w:val="001C776F"/>
    <w:rsid w:val="001D0DC1"/>
    <w:rsid w:val="001D1744"/>
    <w:rsid w:val="001D2103"/>
    <w:rsid w:val="001D3780"/>
    <w:rsid w:val="001D3832"/>
    <w:rsid w:val="001D3E97"/>
    <w:rsid w:val="001D46AC"/>
    <w:rsid w:val="001D495F"/>
    <w:rsid w:val="001E07C8"/>
    <w:rsid w:val="001E0C40"/>
    <w:rsid w:val="001E138F"/>
    <w:rsid w:val="001E1785"/>
    <w:rsid w:val="001E2FBC"/>
    <w:rsid w:val="001E38EA"/>
    <w:rsid w:val="001E42BC"/>
    <w:rsid w:val="001E4A92"/>
    <w:rsid w:val="001E51FE"/>
    <w:rsid w:val="001E56A9"/>
    <w:rsid w:val="001E56B5"/>
    <w:rsid w:val="001E6CA1"/>
    <w:rsid w:val="001E71EC"/>
    <w:rsid w:val="001E7516"/>
    <w:rsid w:val="001E7DBB"/>
    <w:rsid w:val="001E7FD6"/>
    <w:rsid w:val="001F002E"/>
    <w:rsid w:val="001F0FF3"/>
    <w:rsid w:val="001F3A44"/>
    <w:rsid w:val="001F42C6"/>
    <w:rsid w:val="001F4709"/>
    <w:rsid w:val="001F50A9"/>
    <w:rsid w:val="001F553A"/>
    <w:rsid w:val="001F5D77"/>
    <w:rsid w:val="001F6AE8"/>
    <w:rsid w:val="0020005F"/>
    <w:rsid w:val="00202722"/>
    <w:rsid w:val="0020551E"/>
    <w:rsid w:val="002062FF"/>
    <w:rsid w:val="0020700C"/>
    <w:rsid w:val="00207EC7"/>
    <w:rsid w:val="00211633"/>
    <w:rsid w:val="00211E86"/>
    <w:rsid w:val="00211FF4"/>
    <w:rsid w:val="00212220"/>
    <w:rsid w:val="0021446B"/>
    <w:rsid w:val="00214984"/>
    <w:rsid w:val="002149C7"/>
    <w:rsid w:val="002169CE"/>
    <w:rsid w:val="002203D7"/>
    <w:rsid w:val="002206F9"/>
    <w:rsid w:val="002221AD"/>
    <w:rsid w:val="00222CC7"/>
    <w:rsid w:val="00230C1A"/>
    <w:rsid w:val="00231B1D"/>
    <w:rsid w:val="00231BAB"/>
    <w:rsid w:val="00233161"/>
    <w:rsid w:val="00233B97"/>
    <w:rsid w:val="00234308"/>
    <w:rsid w:val="002375A0"/>
    <w:rsid w:val="00237758"/>
    <w:rsid w:val="002378B6"/>
    <w:rsid w:val="00241183"/>
    <w:rsid w:val="00244709"/>
    <w:rsid w:val="00245CF9"/>
    <w:rsid w:val="002469DC"/>
    <w:rsid w:val="00246D8C"/>
    <w:rsid w:val="0024766C"/>
    <w:rsid w:val="00250019"/>
    <w:rsid w:val="00250EA8"/>
    <w:rsid w:val="00251E39"/>
    <w:rsid w:val="002545DF"/>
    <w:rsid w:val="002563D9"/>
    <w:rsid w:val="002568F0"/>
    <w:rsid w:val="0026060E"/>
    <w:rsid w:val="0026100D"/>
    <w:rsid w:val="0026111E"/>
    <w:rsid w:val="00261C7A"/>
    <w:rsid w:val="00261CA4"/>
    <w:rsid w:val="00261DB3"/>
    <w:rsid w:val="00262D7A"/>
    <w:rsid w:val="002637CD"/>
    <w:rsid w:val="00263EF4"/>
    <w:rsid w:val="0026408D"/>
    <w:rsid w:val="002658DC"/>
    <w:rsid w:val="00266452"/>
    <w:rsid w:val="00266AAE"/>
    <w:rsid w:val="00267A8E"/>
    <w:rsid w:val="00267F40"/>
    <w:rsid w:val="00270B05"/>
    <w:rsid w:val="002730D9"/>
    <w:rsid w:val="002731C8"/>
    <w:rsid w:val="00275240"/>
    <w:rsid w:val="00275FF6"/>
    <w:rsid w:val="0027762A"/>
    <w:rsid w:val="0027781E"/>
    <w:rsid w:val="002807E1"/>
    <w:rsid w:val="00282304"/>
    <w:rsid w:val="002837D4"/>
    <w:rsid w:val="00283A6D"/>
    <w:rsid w:val="00283DC7"/>
    <w:rsid w:val="0028408A"/>
    <w:rsid w:val="00285302"/>
    <w:rsid w:val="0028659C"/>
    <w:rsid w:val="00286A5B"/>
    <w:rsid w:val="0028707E"/>
    <w:rsid w:val="00287094"/>
    <w:rsid w:val="00287177"/>
    <w:rsid w:val="00287A0C"/>
    <w:rsid w:val="00287E44"/>
    <w:rsid w:val="00290147"/>
    <w:rsid w:val="002907FE"/>
    <w:rsid w:val="0029214C"/>
    <w:rsid w:val="00292215"/>
    <w:rsid w:val="00292C44"/>
    <w:rsid w:val="00292F08"/>
    <w:rsid w:val="00293E4A"/>
    <w:rsid w:val="00295240"/>
    <w:rsid w:val="00295F10"/>
    <w:rsid w:val="0029644F"/>
    <w:rsid w:val="00297716"/>
    <w:rsid w:val="0029779E"/>
    <w:rsid w:val="00297CFF"/>
    <w:rsid w:val="002A0057"/>
    <w:rsid w:val="002A1268"/>
    <w:rsid w:val="002A20DA"/>
    <w:rsid w:val="002A4ADF"/>
    <w:rsid w:val="002A4C37"/>
    <w:rsid w:val="002A4EAE"/>
    <w:rsid w:val="002A598F"/>
    <w:rsid w:val="002A5C08"/>
    <w:rsid w:val="002A6825"/>
    <w:rsid w:val="002A7614"/>
    <w:rsid w:val="002A7FC7"/>
    <w:rsid w:val="002B00C5"/>
    <w:rsid w:val="002B10F5"/>
    <w:rsid w:val="002B1227"/>
    <w:rsid w:val="002B2E47"/>
    <w:rsid w:val="002B3244"/>
    <w:rsid w:val="002B3648"/>
    <w:rsid w:val="002B4D07"/>
    <w:rsid w:val="002B56A3"/>
    <w:rsid w:val="002B5A38"/>
    <w:rsid w:val="002B765D"/>
    <w:rsid w:val="002B7FBB"/>
    <w:rsid w:val="002C15F4"/>
    <w:rsid w:val="002C5F24"/>
    <w:rsid w:val="002C7211"/>
    <w:rsid w:val="002D024C"/>
    <w:rsid w:val="002D0D5C"/>
    <w:rsid w:val="002D0F59"/>
    <w:rsid w:val="002D115C"/>
    <w:rsid w:val="002D27D4"/>
    <w:rsid w:val="002D2E50"/>
    <w:rsid w:val="002D3D5A"/>
    <w:rsid w:val="002D4069"/>
    <w:rsid w:val="002D4E5B"/>
    <w:rsid w:val="002D572F"/>
    <w:rsid w:val="002D597B"/>
    <w:rsid w:val="002D5C0D"/>
    <w:rsid w:val="002D5DCE"/>
    <w:rsid w:val="002E05CD"/>
    <w:rsid w:val="002E1697"/>
    <w:rsid w:val="002E1911"/>
    <w:rsid w:val="002E2296"/>
    <w:rsid w:val="002E421E"/>
    <w:rsid w:val="002E43E3"/>
    <w:rsid w:val="002E4A01"/>
    <w:rsid w:val="002E57F1"/>
    <w:rsid w:val="002E6143"/>
    <w:rsid w:val="002E64B9"/>
    <w:rsid w:val="002E6A76"/>
    <w:rsid w:val="002E6C18"/>
    <w:rsid w:val="002F0E10"/>
    <w:rsid w:val="002F1084"/>
    <w:rsid w:val="002F14AD"/>
    <w:rsid w:val="002F5FDB"/>
    <w:rsid w:val="002F6A19"/>
    <w:rsid w:val="002F6EBB"/>
    <w:rsid w:val="002F7791"/>
    <w:rsid w:val="0030007A"/>
    <w:rsid w:val="00300B53"/>
    <w:rsid w:val="00301923"/>
    <w:rsid w:val="003026F5"/>
    <w:rsid w:val="00303648"/>
    <w:rsid w:val="00305940"/>
    <w:rsid w:val="00305AE3"/>
    <w:rsid w:val="00311C11"/>
    <w:rsid w:val="00311EDE"/>
    <w:rsid w:val="00311F23"/>
    <w:rsid w:val="0031209D"/>
    <w:rsid w:val="0031363C"/>
    <w:rsid w:val="003139E6"/>
    <w:rsid w:val="00313AF9"/>
    <w:rsid w:val="00314078"/>
    <w:rsid w:val="00314530"/>
    <w:rsid w:val="00315053"/>
    <w:rsid w:val="0031755B"/>
    <w:rsid w:val="00317DA4"/>
    <w:rsid w:val="003204AD"/>
    <w:rsid w:val="00321817"/>
    <w:rsid w:val="003219EE"/>
    <w:rsid w:val="0032280E"/>
    <w:rsid w:val="00322BD3"/>
    <w:rsid w:val="00325B51"/>
    <w:rsid w:val="00326223"/>
    <w:rsid w:val="00332641"/>
    <w:rsid w:val="003339F2"/>
    <w:rsid w:val="00334935"/>
    <w:rsid w:val="00335B82"/>
    <w:rsid w:val="0033676C"/>
    <w:rsid w:val="00336DAD"/>
    <w:rsid w:val="003374CD"/>
    <w:rsid w:val="003403DA"/>
    <w:rsid w:val="00341DB7"/>
    <w:rsid w:val="00342C1E"/>
    <w:rsid w:val="00344760"/>
    <w:rsid w:val="003452CC"/>
    <w:rsid w:val="00346C22"/>
    <w:rsid w:val="00347599"/>
    <w:rsid w:val="00347978"/>
    <w:rsid w:val="00351DD6"/>
    <w:rsid w:val="00352F24"/>
    <w:rsid w:val="003535AC"/>
    <w:rsid w:val="00353932"/>
    <w:rsid w:val="003542E9"/>
    <w:rsid w:val="00354355"/>
    <w:rsid w:val="00354B94"/>
    <w:rsid w:val="00357C0B"/>
    <w:rsid w:val="00361602"/>
    <w:rsid w:val="00363380"/>
    <w:rsid w:val="003637C5"/>
    <w:rsid w:val="003646E3"/>
    <w:rsid w:val="003647B1"/>
    <w:rsid w:val="00364F87"/>
    <w:rsid w:val="003656E6"/>
    <w:rsid w:val="00373026"/>
    <w:rsid w:val="00373E5A"/>
    <w:rsid w:val="00374154"/>
    <w:rsid w:val="0037482C"/>
    <w:rsid w:val="0037515C"/>
    <w:rsid w:val="00376405"/>
    <w:rsid w:val="00377577"/>
    <w:rsid w:val="0038015B"/>
    <w:rsid w:val="003806CD"/>
    <w:rsid w:val="00380AE4"/>
    <w:rsid w:val="00381AF2"/>
    <w:rsid w:val="00382B68"/>
    <w:rsid w:val="00382E45"/>
    <w:rsid w:val="00383000"/>
    <w:rsid w:val="00383685"/>
    <w:rsid w:val="00385BE1"/>
    <w:rsid w:val="00387990"/>
    <w:rsid w:val="00387D72"/>
    <w:rsid w:val="003915C6"/>
    <w:rsid w:val="00392AE8"/>
    <w:rsid w:val="00393753"/>
    <w:rsid w:val="00393F23"/>
    <w:rsid w:val="00394AC5"/>
    <w:rsid w:val="00394C93"/>
    <w:rsid w:val="003955E1"/>
    <w:rsid w:val="00395F57"/>
    <w:rsid w:val="00396B10"/>
    <w:rsid w:val="00396CA4"/>
    <w:rsid w:val="003971EC"/>
    <w:rsid w:val="003A07E4"/>
    <w:rsid w:val="003A141E"/>
    <w:rsid w:val="003A407D"/>
    <w:rsid w:val="003A4CA9"/>
    <w:rsid w:val="003A4FC1"/>
    <w:rsid w:val="003A5395"/>
    <w:rsid w:val="003A5658"/>
    <w:rsid w:val="003A660A"/>
    <w:rsid w:val="003A7C21"/>
    <w:rsid w:val="003A7DF5"/>
    <w:rsid w:val="003B0259"/>
    <w:rsid w:val="003B1A5E"/>
    <w:rsid w:val="003B313B"/>
    <w:rsid w:val="003B3C17"/>
    <w:rsid w:val="003B4FBC"/>
    <w:rsid w:val="003B573F"/>
    <w:rsid w:val="003B6C34"/>
    <w:rsid w:val="003B704F"/>
    <w:rsid w:val="003B7118"/>
    <w:rsid w:val="003B71BC"/>
    <w:rsid w:val="003B73E2"/>
    <w:rsid w:val="003B7FD8"/>
    <w:rsid w:val="003C105F"/>
    <w:rsid w:val="003C2B96"/>
    <w:rsid w:val="003C34B5"/>
    <w:rsid w:val="003C3ECE"/>
    <w:rsid w:val="003C5458"/>
    <w:rsid w:val="003C5AF2"/>
    <w:rsid w:val="003C60B6"/>
    <w:rsid w:val="003D0795"/>
    <w:rsid w:val="003D0D27"/>
    <w:rsid w:val="003D10BD"/>
    <w:rsid w:val="003D1BD4"/>
    <w:rsid w:val="003D1D96"/>
    <w:rsid w:val="003D3661"/>
    <w:rsid w:val="003D3E36"/>
    <w:rsid w:val="003D4BB4"/>
    <w:rsid w:val="003D562D"/>
    <w:rsid w:val="003D5E7E"/>
    <w:rsid w:val="003D6694"/>
    <w:rsid w:val="003E0D47"/>
    <w:rsid w:val="003E1832"/>
    <w:rsid w:val="003E1B57"/>
    <w:rsid w:val="003E248A"/>
    <w:rsid w:val="003E2F20"/>
    <w:rsid w:val="003E384D"/>
    <w:rsid w:val="003E3A42"/>
    <w:rsid w:val="003E3DA0"/>
    <w:rsid w:val="003E4277"/>
    <w:rsid w:val="003E499D"/>
    <w:rsid w:val="003E5826"/>
    <w:rsid w:val="003E5D47"/>
    <w:rsid w:val="003E6A33"/>
    <w:rsid w:val="003F2011"/>
    <w:rsid w:val="003F506A"/>
    <w:rsid w:val="003F5097"/>
    <w:rsid w:val="003F50BE"/>
    <w:rsid w:val="003F5110"/>
    <w:rsid w:val="003F7096"/>
    <w:rsid w:val="003F7202"/>
    <w:rsid w:val="003F7AC0"/>
    <w:rsid w:val="0040011F"/>
    <w:rsid w:val="004001A9"/>
    <w:rsid w:val="0040146F"/>
    <w:rsid w:val="0040243F"/>
    <w:rsid w:val="0040253B"/>
    <w:rsid w:val="00403CBD"/>
    <w:rsid w:val="00403E14"/>
    <w:rsid w:val="00405A24"/>
    <w:rsid w:val="00406EF7"/>
    <w:rsid w:val="004107BC"/>
    <w:rsid w:val="00411D19"/>
    <w:rsid w:val="00411E74"/>
    <w:rsid w:val="00412024"/>
    <w:rsid w:val="00412148"/>
    <w:rsid w:val="00412180"/>
    <w:rsid w:val="00413DB6"/>
    <w:rsid w:val="00414329"/>
    <w:rsid w:val="00414DE9"/>
    <w:rsid w:val="004154AC"/>
    <w:rsid w:val="00415A60"/>
    <w:rsid w:val="00415C1C"/>
    <w:rsid w:val="0041681E"/>
    <w:rsid w:val="00416A0E"/>
    <w:rsid w:val="00417483"/>
    <w:rsid w:val="00420474"/>
    <w:rsid w:val="004215ED"/>
    <w:rsid w:val="00421C8D"/>
    <w:rsid w:val="00423B71"/>
    <w:rsid w:val="004243E0"/>
    <w:rsid w:val="00425A3A"/>
    <w:rsid w:val="00425B1F"/>
    <w:rsid w:val="00426A33"/>
    <w:rsid w:val="00430686"/>
    <w:rsid w:val="004320CB"/>
    <w:rsid w:val="0043212B"/>
    <w:rsid w:val="00432671"/>
    <w:rsid w:val="00432CE3"/>
    <w:rsid w:val="00433923"/>
    <w:rsid w:val="00433F39"/>
    <w:rsid w:val="00434211"/>
    <w:rsid w:val="004343C5"/>
    <w:rsid w:val="004353A4"/>
    <w:rsid w:val="0043560F"/>
    <w:rsid w:val="00435DF3"/>
    <w:rsid w:val="00436862"/>
    <w:rsid w:val="004369BE"/>
    <w:rsid w:val="004405D9"/>
    <w:rsid w:val="00442772"/>
    <w:rsid w:val="00442DBF"/>
    <w:rsid w:val="0044350C"/>
    <w:rsid w:val="00443683"/>
    <w:rsid w:val="00443BDF"/>
    <w:rsid w:val="00443F2E"/>
    <w:rsid w:val="0044404E"/>
    <w:rsid w:val="004445C9"/>
    <w:rsid w:val="00444E0B"/>
    <w:rsid w:val="004450C8"/>
    <w:rsid w:val="0044644B"/>
    <w:rsid w:val="004470AA"/>
    <w:rsid w:val="00447373"/>
    <w:rsid w:val="0045153D"/>
    <w:rsid w:val="00452B95"/>
    <w:rsid w:val="00452F99"/>
    <w:rsid w:val="00454AC2"/>
    <w:rsid w:val="004560A5"/>
    <w:rsid w:val="00456A88"/>
    <w:rsid w:val="00457B32"/>
    <w:rsid w:val="00460086"/>
    <w:rsid w:val="004615DB"/>
    <w:rsid w:val="00461649"/>
    <w:rsid w:val="00462043"/>
    <w:rsid w:val="00462547"/>
    <w:rsid w:val="00462EAC"/>
    <w:rsid w:val="00463C87"/>
    <w:rsid w:val="00465958"/>
    <w:rsid w:val="004703BD"/>
    <w:rsid w:val="0047051A"/>
    <w:rsid w:val="00470628"/>
    <w:rsid w:val="004708D8"/>
    <w:rsid w:val="004709BD"/>
    <w:rsid w:val="00472059"/>
    <w:rsid w:val="0047362F"/>
    <w:rsid w:val="0047450E"/>
    <w:rsid w:val="00475D39"/>
    <w:rsid w:val="0048036F"/>
    <w:rsid w:val="0048255B"/>
    <w:rsid w:val="00484A43"/>
    <w:rsid w:val="0048550F"/>
    <w:rsid w:val="00485717"/>
    <w:rsid w:val="00486D19"/>
    <w:rsid w:val="00487871"/>
    <w:rsid w:val="0049057F"/>
    <w:rsid w:val="00491E79"/>
    <w:rsid w:val="0049353C"/>
    <w:rsid w:val="004940AF"/>
    <w:rsid w:val="00494694"/>
    <w:rsid w:val="00495C43"/>
    <w:rsid w:val="00496027"/>
    <w:rsid w:val="004965F7"/>
    <w:rsid w:val="004970C7"/>
    <w:rsid w:val="004A04F2"/>
    <w:rsid w:val="004A20C5"/>
    <w:rsid w:val="004A2B0E"/>
    <w:rsid w:val="004A3116"/>
    <w:rsid w:val="004A3133"/>
    <w:rsid w:val="004A3A57"/>
    <w:rsid w:val="004A3A74"/>
    <w:rsid w:val="004A69F8"/>
    <w:rsid w:val="004A73E7"/>
    <w:rsid w:val="004A74F0"/>
    <w:rsid w:val="004A77C6"/>
    <w:rsid w:val="004A788B"/>
    <w:rsid w:val="004B1283"/>
    <w:rsid w:val="004B13FB"/>
    <w:rsid w:val="004B24E8"/>
    <w:rsid w:val="004B34C6"/>
    <w:rsid w:val="004B3B7A"/>
    <w:rsid w:val="004B4872"/>
    <w:rsid w:val="004B66DC"/>
    <w:rsid w:val="004B7037"/>
    <w:rsid w:val="004B7337"/>
    <w:rsid w:val="004B7357"/>
    <w:rsid w:val="004C0793"/>
    <w:rsid w:val="004C0F13"/>
    <w:rsid w:val="004C13A1"/>
    <w:rsid w:val="004C1A72"/>
    <w:rsid w:val="004C2D51"/>
    <w:rsid w:val="004C3ABC"/>
    <w:rsid w:val="004C3AF6"/>
    <w:rsid w:val="004C49C4"/>
    <w:rsid w:val="004C54F9"/>
    <w:rsid w:val="004C7D20"/>
    <w:rsid w:val="004C7EBE"/>
    <w:rsid w:val="004D0393"/>
    <w:rsid w:val="004D0644"/>
    <w:rsid w:val="004D0C4A"/>
    <w:rsid w:val="004D0FFD"/>
    <w:rsid w:val="004D1217"/>
    <w:rsid w:val="004D1B6F"/>
    <w:rsid w:val="004D1D9F"/>
    <w:rsid w:val="004D2C17"/>
    <w:rsid w:val="004D2C3C"/>
    <w:rsid w:val="004D57AB"/>
    <w:rsid w:val="004D5B46"/>
    <w:rsid w:val="004D5D81"/>
    <w:rsid w:val="004D6316"/>
    <w:rsid w:val="004D653D"/>
    <w:rsid w:val="004D664D"/>
    <w:rsid w:val="004D72AA"/>
    <w:rsid w:val="004D767B"/>
    <w:rsid w:val="004E0089"/>
    <w:rsid w:val="004E0ACD"/>
    <w:rsid w:val="004E0DD6"/>
    <w:rsid w:val="004E2121"/>
    <w:rsid w:val="004E22AC"/>
    <w:rsid w:val="004E258B"/>
    <w:rsid w:val="004E3E17"/>
    <w:rsid w:val="004E426B"/>
    <w:rsid w:val="004E42D0"/>
    <w:rsid w:val="004E5138"/>
    <w:rsid w:val="004E5159"/>
    <w:rsid w:val="004E59B4"/>
    <w:rsid w:val="004E6C64"/>
    <w:rsid w:val="004E6F8B"/>
    <w:rsid w:val="004E7789"/>
    <w:rsid w:val="004F0044"/>
    <w:rsid w:val="004F0BE3"/>
    <w:rsid w:val="004F12D6"/>
    <w:rsid w:val="004F2743"/>
    <w:rsid w:val="004F2CFA"/>
    <w:rsid w:val="004F328A"/>
    <w:rsid w:val="004F3F86"/>
    <w:rsid w:val="004F3FFB"/>
    <w:rsid w:val="004F4637"/>
    <w:rsid w:val="004F4DD0"/>
    <w:rsid w:val="004F6ED7"/>
    <w:rsid w:val="004F7CB7"/>
    <w:rsid w:val="0050184C"/>
    <w:rsid w:val="0050284A"/>
    <w:rsid w:val="00502B12"/>
    <w:rsid w:val="005036C0"/>
    <w:rsid w:val="00503F57"/>
    <w:rsid w:val="00504C92"/>
    <w:rsid w:val="00504F48"/>
    <w:rsid w:val="00505C6E"/>
    <w:rsid w:val="00506100"/>
    <w:rsid w:val="0050621E"/>
    <w:rsid w:val="0050654F"/>
    <w:rsid w:val="005065CD"/>
    <w:rsid w:val="00507B45"/>
    <w:rsid w:val="00507D85"/>
    <w:rsid w:val="005160BE"/>
    <w:rsid w:val="0051619D"/>
    <w:rsid w:val="0051679E"/>
    <w:rsid w:val="0051799E"/>
    <w:rsid w:val="00517DC9"/>
    <w:rsid w:val="00520007"/>
    <w:rsid w:val="00520246"/>
    <w:rsid w:val="00521FEF"/>
    <w:rsid w:val="00522658"/>
    <w:rsid w:val="00522F33"/>
    <w:rsid w:val="005233C6"/>
    <w:rsid w:val="005237E2"/>
    <w:rsid w:val="005248C7"/>
    <w:rsid w:val="00526778"/>
    <w:rsid w:val="0052679A"/>
    <w:rsid w:val="00526D32"/>
    <w:rsid w:val="00527512"/>
    <w:rsid w:val="00530451"/>
    <w:rsid w:val="005304D2"/>
    <w:rsid w:val="00530FBE"/>
    <w:rsid w:val="005310FD"/>
    <w:rsid w:val="00531212"/>
    <w:rsid w:val="0053126A"/>
    <w:rsid w:val="005319FA"/>
    <w:rsid w:val="00531D8A"/>
    <w:rsid w:val="00532315"/>
    <w:rsid w:val="005326B4"/>
    <w:rsid w:val="00532C5B"/>
    <w:rsid w:val="005331B9"/>
    <w:rsid w:val="0053379B"/>
    <w:rsid w:val="00534EC7"/>
    <w:rsid w:val="00536324"/>
    <w:rsid w:val="0053685E"/>
    <w:rsid w:val="00536947"/>
    <w:rsid w:val="00540C33"/>
    <w:rsid w:val="00540EFE"/>
    <w:rsid w:val="00541742"/>
    <w:rsid w:val="00542ADA"/>
    <w:rsid w:val="0054331A"/>
    <w:rsid w:val="00545438"/>
    <w:rsid w:val="00546E94"/>
    <w:rsid w:val="005476DF"/>
    <w:rsid w:val="00550872"/>
    <w:rsid w:val="005512B3"/>
    <w:rsid w:val="005512E4"/>
    <w:rsid w:val="00551F1B"/>
    <w:rsid w:val="005522C3"/>
    <w:rsid w:val="00552370"/>
    <w:rsid w:val="0055330E"/>
    <w:rsid w:val="005546AB"/>
    <w:rsid w:val="00554FBE"/>
    <w:rsid w:val="005566AC"/>
    <w:rsid w:val="00557237"/>
    <w:rsid w:val="00557FE8"/>
    <w:rsid w:val="0056205E"/>
    <w:rsid w:val="00562768"/>
    <w:rsid w:val="00563304"/>
    <w:rsid w:val="0056379E"/>
    <w:rsid w:val="00564680"/>
    <w:rsid w:val="00565A96"/>
    <w:rsid w:val="0056628A"/>
    <w:rsid w:val="005674F2"/>
    <w:rsid w:val="005677AE"/>
    <w:rsid w:val="005708D5"/>
    <w:rsid w:val="00570FD5"/>
    <w:rsid w:val="005721EC"/>
    <w:rsid w:val="00572444"/>
    <w:rsid w:val="0057400D"/>
    <w:rsid w:val="00574E15"/>
    <w:rsid w:val="00574EF4"/>
    <w:rsid w:val="00575E4E"/>
    <w:rsid w:val="00576CAA"/>
    <w:rsid w:val="005813AE"/>
    <w:rsid w:val="00582972"/>
    <w:rsid w:val="00583D5E"/>
    <w:rsid w:val="005842E5"/>
    <w:rsid w:val="005845F0"/>
    <w:rsid w:val="00584D27"/>
    <w:rsid w:val="0058510B"/>
    <w:rsid w:val="00585B40"/>
    <w:rsid w:val="005865EE"/>
    <w:rsid w:val="00587434"/>
    <w:rsid w:val="0058759A"/>
    <w:rsid w:val="005878B3"/>
    <w:rsid w:val="00587D80"/>
    <w:rsid w:val="00587DA8"/>
    <w:rsid w:val="00587FE1"/>
    <w:rsid w:val="005908EB"/>
    <w:rsid w:val="00590DAB"/>
    <w:rsid w:val="00590F29"/>
    <w:rsid w:val="00591867"/>
    <w:rsid w:val="00591989"/>
    <w:rsid w:val="00591DEC"/>
    <w:rsid w:val="00592018"/>
    <w:rsid w:val="00592F0C"/>
    <w:rsid w:val="005931FA"/>
    <w:rsid w:val="00593796"/>
    <w:rsid w:val="00596887"/>
    <w:rsid w:val="00596B7E"/>
    <w:rsid w:val="00596BCB"/>
    <w:rsid w:val="00597F30"/>
    <w:rsid w:val="005A0539"/>
    <w:rsid w:val="005A1A2C"/>
    <w:rsid w:val="005A1C23"/>
    <w:rsid w:val="005A1E66"/>
    <w:rsid w:val="005A390C"/>
    <w:rsid w:val="005A3CEE"/>
    <w:rsid w:val="005A5801"/>
    <w:rsid w:val="005A5A10"/>
    <w:rsid w:val="005A6800"/>
    <w:rsid w:val="005A7EF6"/>
    <w:rsid w:val="005B32BA"/>
    <w:rsid w:val="005B3C85"/>
    <w:rsid w:val="005B40FC"/>
    <w:rsid w:val="005B5F8E"/>
    <w:rsid w:val="005C0D76"/>
    <w:rsid w:val="005C137C"/>
    <w:rsid w:val="005C3578"/>
    <w:rsid w:val="005C6281"/>
    <w:rsid w:val="005C6C75"/>
    <w:rsid w:val="005C70B3"/>
    <w:rsid w:val="005D1324"/>
    <w:rsid w:val="005D1940"/>
    <w:rsid w:val="005D2E7A"/>
    <w:rsid w:val="005D595A"/>
    <w:rsid w:val="005D5E08"/>
    <w:rsid w:val="005D60F4"/>
    <w:rsid w:val="005E0B3C"/>
    <w:rsid w:val="005E15A4"/>
    <w:rsid w:val="005E1E06"/>
    <w:rsid w:val="005E1E72"/>
    <w:rsid w:val="005E21C6"/>
    <w:rsid w:val="005E32D3"/>
    <w:rsid w:val="005E44CA"/>
    <w:rsid w:val="005E4ACE"/>
    <w:rsid w:val="005E520C"/>
    <w:rsid w:val="005E62ED"/>
    <w:rsid w:val="005F0301"/>
    <w:rsid w:val="005F17CC"/>
    <w:rsid w:val="005F2992"/>
    <w:rsid w:val="005F3D16"/>
    <w:rsid w:val="005F42A1"/>
    <w:rsid w:val="005F6281"/>
    <w:rsid w:val="005F639C"/>
    <w:rsid w:val="005F645A"/>
    <w:rsid w:val="005F6620"/>
    <w:rsid w:val="005F699D"/>
    <w:rsid w:val="005F69FA"/>
    <w:rsid w:val="005F741E"/>
    <w:rsid w:val="00600D47"/>
    <w:rsid w:val="00602800"/>
    <w:rsid w:val="00602A2D"/>
    <w:rsid w:val="00603730"/>
    <w:rsid w:val="00603C22"/>
    <w:rsid w:val="00603F8A"/>
    <w:rsid w:val="0060697E"/>
    <w:rsid w:val="00606BF2"/>
    <w:rsid w:val="00606CDF"/>
    <w:rsid w:val="00607F74"/>
    <w:rsid w:val="006100D7"/>
    <w:rsid w:val="00611937"/>
    <w:rsid w:val="00611B68"/>
    <w:rsid w:val="00611C73"/>
    <w:rsid w:val="00612AE4"/>
    <w:rsid w:val="00612F75"/>
    <w:rsid w:val="00614FA7"/>
    <w:rsid w:val="00615633"/>
    <w:rsid w:val="0061658B"/>
    <w:rsid w:val="0061659A"/>
    <w:rsid w:val="006173DA"/>
    <w:rsid w:val="00620295"/>
    <w:rsid w:val="00620D9E"/>
    <w:rsid w:val="00621634"/>
    <w:rsid w:val="00621C86"/>
    <w:rsid w:val="00621F9B"/>
    <w:rsid w:val="0062272D"/>
    <w:rsid w:val="00622E94"/>
    <w:rsid w:val="00623DF7"/>
    <w:rsid w:val="00624185"/>
    <w:rsid w:val="006249C6"/>
    <w:rsid w:val="00624AAB"/>
    <w:rsid w:val="006252C7"/>
    <w:rsid w:val="00625513"/>
    <w:rsid w:val="006255D7"/>
    <w:rsid w:val="00627239"/>
    <w:rsid w:val="00627928"/>
    <w:rsid w:val="006302C5"/>
    <w:rsid w:val="00630C12"/>
    <w:rsid w:val="006311E6"/>
    <w:rsid w:val="00631496"/>
    <w:rsid w:val="006316C2"/>
    <w:rsid w:val="00634991"/>
    <w:rsid w:val="006351DD"/>
    <w:rsid w:val="006363A9"/>
    <w:rsid w:val="006414FA"/>
    <w:rsid w:val="006418F8"/>
    <w:rsid w:val="00641EE7"/>
    <w:rsid w:val="006426A2"/>
    <w:rsid w:val="00643D8A"/>
    <w:rsid w:val="00644A6B"/>
    <w:rsid w:val="00644FB2"/>
    <w:rsid w:val="00646957"/>
    <w:rsid w:val="00646BFE"/>
    <w:rsid w:val="00646C4B"/>
    <w:rsid w:val="00647359"/>
    <w:rsid w:val="00647DE0"/>
    <w:rsid w:val="006503C7"/>
    <w:rsid w:val="00650443"/>
    <w:rsid w:val="00650FFD"/>
    <w:rsid w:val="00651142"/>
    <w:rsid w:val="0065147B"/>
    <w:rsid w:val="006522BC"/>
    <w:rsid w:val="00652759"/>
    <w:rsid w:val="00653190"/>
    <w:rsid w:val="00653DD1"/>
    <w:rsid w:val="0065476E"/>
    <w:rsid w:val="0065487D"/>
    <w:rsid w:val="00654EDE"/>
    <w:rsid w:val="00657B5E"/>
    <w:rsid w:val="00661BF4"/>
    <w:rsid w:val="00662438"/>
    <w:rsid w:val="0066366D"/>
    <w:rsid w:val="006648B3"/>
    <w:rsid w:val="006703DF"/>
    <w:rsid w:val="00672CA4"/>
    <w:rsid w:val="0067343E"/>
    <w:rsid w:val="00673D12"/>
    <w:rsid w:val="0067482D"/>
    <w:rsid w:val="00675855"/>
    <w:rsid w:val="00676BBF"/>
    <w:rsid w:val="00680A3C"/>
    <w:rsid w:val="006814A6"/>
    <w:rsid w:val="00681D1F"/>
    <w:rsid w:val="00681F8E"/>
    <w:rsid w:val="006821BD"/>
    <w:rsid w:val="00682BD6"/>
    <w:rsid w:val="00683E8D"/>
    <w:rsid w:val="00684558"/>
    <w:rsid w:val="006845B7"/>
    <w:rsid w:val="00686566"/>
    <w:rsid w:val="006902BD"/>
    <w:rsid w:val="00690DE2"/>
    <w:rsid w:val="00691BEA"/>
    <w:rsid w:val="006929CE"/>
    <w:rsid w:val="00694127"/>
    <w:rsid w:val="00695089"/>
    <w:rsid w:val="00695E94"/>
    <w:rsid w:val="00696D00"/>
    <w:rsid w:val="0069760B"/>
    <w:rsid w:val="006A124A"/>
    <w:rsid w:val="006A174A"/>
    <w:rsid w:val="006A280F"/>
    <w:rsid w:val="006A351C"/>
    <w:rsid w:val="006A412C"/>
    <w:rsid w:val="006A4E8E"/>
    <w:rsid w:val="006A5F0C"/>
    <w:rsid w:val="006A65D3"/>
    <w:rsid w:val="006A753C"/>
    <w:rsid w:val="006A7A02"/>
    <w:rsid w:val="006B09DB"/>
    <w:rsid w:val="006B0F69"/>
    <w:rsid w:val="006B1C80"/>
    <w:rsid w:val="006B3839"/>
    <w:rsid w:val="006B5181"/>
    <w:rsid w:val="006B5A87"/>
    <w:rsid w:val="006B75E8"/>
    <w:rsid w:val="006C2BEC"/>
    <w:rsid w:val="006C4169"/>
    <w:rsid w:val="006C4CCD"/>
    <w:rsid w:val="006C4EF5"/>
    <w:rsid w:val="006C534D"/>
    <w:rsid w:val="006C5607"/>
    <w:rsid w:val="006C6FF9"/>
    <w:rsid w:val="006C702F"/>
    <w:rsid w:val="006C712C"/>
    <w:rsid w:val="006C7422"/>
    <w:rsid w:val="006D0401"/>
    <w:rsid w:val="006D0988"/>
    <w:rsid w:val="006D3D2A"/>
    <w:rsid w:val="006D4958"/>
    <w:rsid w:val="006D57F2"/>
    <w:rsid w:val="006D59AF"/>
    <w:rsid w:val="006D5FC0"/>
    <w:rsid w:val="006D61C7"/>
    <w:rsid w:val="006D6257"/>
    <w:rsid w:val="006D746D"/>
    <w:rsid w:val="006E0AE9"/>
    <w:rsid w:val="006E0B40"/>
    <w:rsid w:val="006E1120"/>
    <w:rsid w:val="006E1199"/>
    <w:rsid w:val="006E1B9E"/>
    <w:rsid w:val="006E235D"/>
    <w:rsid w:val="006E2986"/>
    <w:rsid w:val="006E2F67"/>
    <w:rsid w:val="006E31B4"/>
    <w:rsid w:val="006E326A"/>
    <w:rsid w:val="006E3702"/>
    <w:rsid w:val="006E4CE6"/>
    <w:rsid w:val="006E794B"/>
    <w:rsid w:val="006F1499"/>
    <w:rsid w:val="006F1529"/>
    <w:rsid w:val="006F1744"/>
    <w:rsid w:val="006F1A02"/>
    <w:rsid w:val="006F2800"/>
    <w:rsid w:val="006F2937"/>
    <w:rsid w:val="006F2B0A"/>
    <w:rsid w:val="006F3F2C"/>
    <w:rsid w:val="006F4B9F"/>
    <w:rsid w:val="006F4E06"/>
    <w:rsid w:val="006F4F0E"/>
    <w:rsid w:val="006F54E2"/>
    <w:rsid w:val="006F5713"/>
    <w:rsid w:val="006F70D3"/>
    <w:rsid w:val="007002DA"/>
    <w:rsid w:val="00700B61"/>
    <w:rsid w:val="00700CEF"/>
    <w:rsid w:val="0070165A"/>
    <w:rsid w:val="00702F7F"/>
    <w:rsid w:val="0070364D"/>
    <w:rsid w:val="007057E6"/>
    <w:rsid w:val="00706B7C"/>
    <w:rsid w:val="00706EFF"/>
    <w:rsid w:val="00707B9B"/>
    <w:rsid w:val="00710AEF"/>
    <w:rsid w:val="00710DAD"/>
    <w:rsid w:val="00712D85"/>
    <w:rsid w:val="00713D91"/>
    <w:rsid w:val="00713E06"/>
    <w:rsid w:val="00715C7F"/>
    <w:rsid w:val="00715D3E"/>
    <w:rsid w:val="00715DD2"/>
    <w:rsid w:val="00716943"/>
    <w:rsid w:val="00717260"/>
    <w:rsid w:val="00717E30"/>
    <w:rsid w:val="00720089"/>
    <w:rsid w:val="0072044E"/>
    <w:rsid w:val="00721B6E"/>
    <w:rsid w:val="00721D3B"/>
    <w:rsid w:val="00721F8A"/>
    <w:rsid w:val="007224D6"/>
    <w:rsid w:val="00722B6D"/>
    <w:rsid w:val="007245A5"/>
    <w:rsid w:val="0072669B"/>
    <w:rsid w:val="0072689C"/>
    <w:rsid w:val="00726971"/>
    <w:rsid w:val="007271F0"/>
    <w:rsid w:val="00730025"/>
    <w:rsid w:val="0073080B"/>
    <w:rsid w:val="0073157A"/>
    <w:rsid w:val="00731583"/>
    <w:rsid w:val="007328C4"/>
    <w:rsid w:val="00733792"/>
    <w:rsid w:val="00733DCA"/>
    <w:rsid w:val="007340B4"/>
    <w:rsid w:val="007347B0"/>
    <w:rsid w:val="00735010"/>
    <w:rsid w:val="0073543F"/>
    <w:rsid w:val="00737DE9"/>
    <w:rsid w:val="00740917"/>
    <w:rsid w:val="00740D85"/>
    <w:rsid w:val="00741467"/>
    <w:rsid w:val="00741B08"/>
    <w:rsid w:val="007435C7"/>
    <w:rsid w:val="00743A05"/>
    <w:rsid w:val="007443AE"/>
    <w:rsid w:val="00744654"/>
    <w:rsid w:val="00744F0A"/>
    <w:rsid w:val="0074523C"/>
    <w:rsid w:val="00745968"/>
    <w:rsid w:val="007460BC"/>
    <w:rsid w:val="00750845"/>
    <w:rsid w:val="007522A0"/>
    <w:rsid w:val="007522C3"/>
    <w:rsid w:val="007534B4"/>
    <w:rsid w:val="0075374D"/>
    <w:rsid w:val="0075428A"/>
    <w:rsid w:val="00754439"/>
    <w:rsid w:val="00755BDE"/>
    <w:rsid w:val="00756EB2"/>
    <w:rsid w:val="007572FD"/>
    <w:rsid w:val="007578BA"/>
    <w:rsid w:val="0076003D"/>
    <w:rsid w:val="007604EB"/>
    <w:rsid w:val="00760535"/>
    <w:rsid w:val="00761054"/>
    <w:rsid w:val="00763CF4"/>
    <w:rsid w:val="007645CA"/>
    <w:rsid w:val="00764D62"/>
    <w:rsid w:val="00765C29"/>
    <w:rsid w:val="0076602D"/>
    <w:rsid w:val="00767348"/>
    <w:rsid w:val="00770A58"/>
    <w:rsid w:val="00770EF7"/>
    <w:rsid w:val="0077188A"/>
    <w:rsid w:val="00772909"/>
    <w:rsid w:val="00772BDC"/>
    <w:rsid w:val="0077398D"/>
    <w:rsid w:val="00775DD2"/>
    <w:rsid w:val="00776FA0"/>
    <w:rsid w:val="007771F5"/>
    <w:rsid w:val="0077733F"/>
    <w:rsid w:val="00777A98"/>
    <w:rsid w:val="00780C1D"/>
    <w:rsid w:val="00782599"/>
    <w:rsid w:val="00782714"/>
    <w:rsid w:val="0078293A"/>
    <w:rsid w:val="007829C6"/>
    <w:rsid w:val="00782EAE"/>
    <w:rsid w:val="0078366A"/>
    <w:rsid w:val="007845C1"/>
    <w:rsid w:val="00784FA8"/>
    <w:rsid w:val="00785EEF"/>
    <w:rsid w:val="00786234"/>
    <w:rsid w:val="00786CBF"/>
    <w:rsid w:val="00787027"/>
    <w:rsid w:val="00787430"/>
    <w:rsid w:val="0079066C"/>
    <w:rsid w:val="00790FF1"/>
    <w:rsid w:val="007919DD"/>
    <w:rsid w:val="0079291F"/>
    <w:rsid w:val="00792E98"/>
    <w:rsid w:val="007932DD"/>
    <w:rsid w:val="0079410B"/>
    <w:rsid w:val="0079590B"/>
    <w:rsid w:val="00795C2C"/>
    <w:rsid w:val="0079663E"/>
    <w:rsid w:val="007974B9"/>
    <w:rsid w:val="007A0528"/>
    <w:rsid w:val="007A0E22"/>
    <w:rsid w:val="007A18B7"/>
    <w:rsid w:val="007A269A"/>
    <w:rsid w:val="007A33E3"/>
    <w:rsid w:val="007A39F9"/>
    <w:rsid w:val="007A4090"/>
    <w:rsid w:val="007A416E"/>
    <w:rsid w:val="007A52D5"/>
    <w:rsid w:val="007A57E9"/>
    <w:rsid w:val="007A75EB"/>
    <w:rsid w:val="007A78B9"/>
    <w:rsid w:val="007A7D34"/>
    <w:rsid w:val="007B002D"/>
    <w:rsid w:val="007B280B"/>
    <w:rsid w:val="007B2D54"/>
    <w:rsid w:val="007B438E"/>
    <w:rsid w:val="007B7446"/>
    <w:rsid w:val="007B7731"/>
    <w:rsid w:val="007B7FD6"/>
    <w:rsid w:val="007C18D7"/>
    <w:rsid w:val="007C212E"/>
    <w:rsid w:val="007C223A"/>
    <w:rsid w:val="007C3B34"/>
    <w:rsid w:val="007C42BB"/>
    <w:rsid w:val="007C6D6E"/>
    <w:rsid w:val="007D010E"/>
    <w:rsid w:val="007D01A1"/>
    <w:rsid w:val="007D151F"/>
    <w:rsid w:val="007D3CC1"/>
    <w:rsid w:val="007D4660"/>
    <w:rsid w:val="007D4799"/>
    <w:rsid w:val="007D6E61"/>
    <w:rsid w:val="007D78A8"/>
    <w:rsid w:val="007E0537"/>
    <w:rsid w:val="007E0A75"/>
    <w:rsid w:val="007E0B25"/>
    <w:rsid w:val="007E0CA9"/>
    <w:rsid w:val="007E195E"/>
    <w:rsid w:val="007E19BF"/>
    <w:rsid w:val="007E36C5"/>
    <w:rsid w:val="007E40E3"/>
    <w:rsid w:val="007E42B6"/>
    <w:rsid w:val="007E47F7"/>
    <w:rsid w:val="007E4DD1"/>
    <w:rsid w:val="007E5E71"/>
    <w:rsid w:val="007E7756"/>
    <w:rsid w:val="007E7B7A"/>
    <w:rsid w:val="007F0AEB"/>
    <w:rsid w:val="007F147C"/>
    <w:rsid w:val="007F15AC"/>
    <w:rsid w:val="007F77D5"/>
    <w:rsid w:val="00800C08"/>
    <w:rsid w:val="00801297"/>
    <w:rsid w:val="008015F8"/>
    <w:rsid w:val="00802346"/>
    <w:rsid w:val="00802D2E"/>
    <w:rsid w:val="00802F90"/>
    <w:rsid w:val="00804C3D"/>
    <w:rsid w:val="008051CC"/>
    <w:rsid w:val="00805298"/>
    <w:rsid w:val="0080603B"/>
    <w:rsid w:val="00806DE2"/>
    <w:rsid w:val="00807A30"/>
    <w:rsid w:val="00807EE4"/>
    <w:rsid w:val="008114CA"/>
    <w:rsid w:val="00811563"/>
    <w:rsid w:val="00813109"/>
    <w:rsid w:val="008141FC"/>
    <w:rsid w:val="00814741"/>
    <w:rsid w:val="00814844"/>
    <w:rsid w:val="00814E08"/>
    <w:rsid w:val="00815C2F"/>
    <w:rsid w:val="00815E1F"/>
    <w:rsid w:val="008167A5"/>
    <w:rsid w:val="008167B5"/>
    <w:rsid w:val="00816E09"/>
    <w:rsid w:val="0081735D"/>
    <w:rsid w:val="00822532"/>
    <w:rsid w:val="008227B8"/>
    <w:rsid w:val="00823A95"/>
    <w:rsid w:val="008246D5"/>
    <w:rsid w:val="00824BE5"/>
    <w:rsid w:val="008255F1"/>
    <w:rsid w:val="008277EC"/>
    <w:rsid w:val="00827CE2"/>
    <w:rsid w:val="00830093"/>
    <w:rsid w:val="00830BBA"/>
    <w:rsid w:val="00831705"/>
    <w:rsid w:val="0083187F"/>
    <w:rsid w:val="00831A05"/>
    <w:rsid w:val="008329B4"/>
    <w:rsid w:val="00832C73"/>
    <w:rsid w:val="00833357"/>
    <w:rsid w:val="00833511"/>
    <w:rsid w:val="00835782"/>
    <w:rsid w:val="00835C28"/>
    <w:rsid w:val="0083685A"/>
    <w:rsid w:val="00836A19"/>
    <w:rsid w:val="008406BA"/>
    <w:rsid w:val="00841CEE"/>
    <w:rsid w:val="00841FB0"/>
    <w:rsid w:val="0084201D"/>
    <w:rsid w:val="008431ED"/>
    <w:rsid w:val="0084336F"/>
    <w:rsid w:val="00843A26"/>
    <w:rsid w:val="008445EE"/>
    <w:rsid w:val="00845229"/>
    <w:rsid w:val="0084534B"/>
    <w:rsid w:val="00851414"/>
    <w:rsid w:val="00851C6F"/>
    <w:rsid w:val="00854D3C"/>
    <w:rsid w:val="008558CD"/>
    <w:rsid w:val="0086104E"/>
    <w:rsid w:val="00863654"/>
    <w:rsid w:val="00865E1A"/>
    <w:rsid w:val="00866B5A"/>
    <w:rsid w:val="00866F52"/>
    <w:rsid w:val="00867659"/>
    <w:rsid w:val="00867D12"/>
    <w:rsid w:val="00867D1A"/>
    <w:rsid w:val="00870A93"/>
    <w:rsid w:val="008710CD"/>
    <w:rsid w:val="00871422"/>
    <w:rsid w:val="00871770"/>
    <w:rsid w:val="008740DC"/>
    <w:rsid w:val="00877610"/>
    <w:rsid w:val="00877B0C"/>
    <w:rsid w:val="0088104B"/>
    <w:rsid w:val="00881169"/>
    <w:rsid w:val="008824AF"/>
    <w:rsid w:val="00882C4D"/>
    <w:rsid w:val="00883E45"/>
    <w:rsid w:val="00885A2E"/>
    <w:rsid w:val="00885C8D"/>
    <w:rsid w:val="00885F22"/>
    <w:rsid w:val="00885FC1"/>
    <w:rsid w:val="0088777F"/>
    <w:rsid w:val="00890ABD"/>
    <w:rsid w:val="00892BEB"/>
    <w:rsid w:val="008933F0"/>
    <w:rsid w:val="00893923"/>
    <w:rsid w:val="00893A20"/>
    <w:rsid w:val="00893D4C"/>
    <w:rsid w:val="0089648A"/>
    <w:rsid w:val="0089701B"/>
    <w:rsid w:val="0089789A"/>
    <w:rsid w:val="008A0410"/>
    <w:rsid w:val="008A0FA6"/>
    <w:rsid w:val="008A16ED"/>
    <w:rsid w:val="008A1E61"/>
    <w:rsid w:val="008A22BA"/>
    <w:rsid w:val="008A233F"/>
    <w:rsid w:val="008A29F9"/>
    <w:rsid w:val="008A2D84"/>
    <w:rsid w:val="008A36F9"/>
    <w:rsid w:val="008A3D0E"/>
    <w:rsid w:val="008A42CD"/>
    <w:rsid w:val="008A509E"/>
    <w:rsid w:val="008A61E2"/>
    <w:rsid w:val="008A6529"/>
    <w:rsid w:val="008A7A62"/>
    <w:rsid w:val="008B20FF"/>
    <w:rsid w:val="008B35D7"/>
    <w:rsid w:val="008B3CC8"/>
    <w:rsid w:val="008B4964"/>
    <w:rsid w:val="008B5422"/>
    <w:rsid w:val="008B5A7F"/>
    <w:rsid w:val="008B6AC5"/>
    <w:rsid w:val="008B7877"/>
    <w:rsid w:val="008C0107"/>
    <w:rsid w:val="008C052E"/>
    <w:rsid w:val="008C0AE7"/>
    <w:rsid w:val="008C0D7D"/>
    <w:rsid w:val="008C2192"/>
    <w:rsid w:val="008C24C1"/>
    <w:rsid w:val="008C2530"/>
    <w:rsid w:val="008C310B"/>
    <w:rsid w:val="008C35C7"/>
    <w:rsid w:val="008C442C"/>
    <w:rsid w:val="008C44AC"/>
    <w:rsid w:val="008C4533"/>
    <w:rsid w:val="008C56C7"/>
    <w:rsid w:val="008C5B55"/>
    <w:rsid w:val="008C69F1"/>
    <w:rsid w:val="008C7917"/>
    <w:rsid w:val="008D15C1"/>
    <w:rsid w:val="008D1F8F"/>
    <w:rsid w:val="008D2940"/>
    <w:rsid w:val="008D2CA5"/>
    <w:rsid w:val="008D40D9"/>
    <w:rsid w:val="008D47A1"/>
    <w:rsid w:val="008D59DD"/>
    <w:rsid w:val="008D5A32"/>
    <w:rsid w:val="008D5E2B"/>
    <w:rsid w:val="008D6AA5"/>
    <w:rsid w:val="008D6DF5"/>
    <w:rsid w:val="008D70D6"/>
    <w:rsid w:val="008D7B7F"/>
    <w:rsid w:val="008E2434"/>
    <w:rsid w:val="008E342F"/>
    <w:rsid w:val="008E3D99"/>
    <w:rsid w:val="008E404A"/>
    <w:rsid w:val="008E4286"/>
    <w:rsid w:val="008E48DE"/>
    <w:rsid w:val="008E48EA"/>
    <w:rsid w:val="008E68B8"/>
    <w:rsid w:val="008E7095"/>
    <w:rsid w:val="008E795A"/>
    <w:rsid w:val="008F0D4B"/>
    <w:rsid w:val="008F181C"/>
    <w:rsid w:val="008F1B89"/>
    <w:rsid w:val="008F2188"/>
    <w:rsid w:val="008F2201"/>
    <w:rsid w:val="008F2524"/>
    <w:rsid w:val="008F2AA6"/>
    <w:rsid w:val="008F2BCF"/>
    <w:rsid w:val="008F4727"/>
    <w:rsid w:val="008F4F4F"/>
    <w:rsid w:val="008F504A"/>
    <w:rsid w:val="008F5608"/>
    <w:rsid w:val="008F605C"/>
    <w:rsid w:val="008F69E6"/>
    <w:rsid w:val="008F7FEE"/>
    <w:rsid w:val="00901B48"/>
    <w:rsid w:val="00902BEE"/>
    <w:rsid w:val="00902DA4"/>
    <w:rsid w:val="009035FB"/>
    <w:rsid w:val="0090425C"/>
    <w:rsid w:val="00904A7A"/>
    <w:rsid w:val="00904EE6"/>
    <w:rsid w:val="009052E0"/>
    <w:rsid w:val="00906872"/>
    <w:rsid w:val="00906D73"/>
    <w:rsid w:val="00906DB9"/>
    <w:rsid w:val="00907537"/>
    <w:rsid w:val="00907B12"/>
    <w:rsid w:val="00907C2B"/>
    <w:rsid w:val="00907C45"/>
    <w:rsid w:val="0091055F"/>
    <w:rsid w:val="009110B6"/>
    <w:rsid w:val="00911130"/>
    <w:rsid w:val="00911AE8"/>
    <w:rsid w:val="0091308F"/>
    <w:rsid w:val="00913195"/>
    <w:rsid w:val="00913ECE"/>
    <w:rsid w:val="009142E5"/>
    <w:rsid w:val="009147B9"/>
    <w:rsid w:val="00922A12"/>
    <w:rsid w:val="0092383C"/>
    <w:rsid w:val="00923B41"/>
    <w:rsid w:val="00924B86"/>
    <w:rsid w:val="00925BA2"/>
    <w:rsid w:val="009263EB"/>
    <w:rsid w:val="00926789"/>
    <w:rsid w:val="00927204"/>
    <w:rsid w:val="00927E70"/>
    <w:rsid w:val="00930639"/>
    <w:rsid w:val="00931D2D"/>
    <w:rsid w:val="00932CE3"/>
    <w:rsid w:val="009332BD"/>
    <w:rsid w:val="00934A30"/>
    <w:rsid w:val="00935187"/>
    <w:rsid w:val="0093585F"/>
    <w:rsid w:val="00941E70"/>
    <w:rsid w:val="00946DFA"/>
    <w:rsid w:val="00946E28"/>
    <w:rsid w:val="009475A0"/>
    <w:rsid w:val="00947A1B"/>
    <w:rsid w:val="00950BE7"/>
    <w:rsid w:val="00951378"/>
    <w:rsid w:val="0095141B"/>
    <w:rsid w:val="0095186D"/>
    <w:rsid w:val="00951A6C"/>
    <w:rsid w:val="0095366E"/>
    <w:rsid w:val="00953DDF"/>
    <w:rsid w:val="00954722"/>
    <w:rsid w:val="009556F8"/>
    <w:rsid w:val="009571E6"/>
    <w:rsid w:val="009572F0"/>
    <w:rsid w:val="0096070E"/>
    <w:rsid w:val="00960828"/>
    <w:rsid w:val="009614F3"/>
    <w:rsid w:val="009616FF"/>
    <w:rsid w:val="00961D50"/>
    <w:rsid w:val="009627E4"/>
    <w:rsid w:val="009634D7"/>
    <w:rsid w:val="00963E35"/>
    <w:rsid w:val="00964937"/>
    <w:rsid w:val="00965FFA"/>
    <w:rsid w:val="00966DDF"/>
    <w:rsid w:val="00970580"/>
    <w:rsid w:val="00971FE9"/>
    <w:rsid w:val="00972C98"/>
    <w:rsid w:val="00972D02"/>
    <w:rsid w:val="009748A3"/>
    <w:rsid w:val="0097541F"/>
    <w:rsid w:val="00975743"/>
    <w:rsid w:val="00975ABE"/>
    <w:rsid w:val="00976072"/>
    <w:rsid w:val="009763F3"/>
    <w:rsid w:val="00976EE7"/>
    <w:rsid w:val="00977590"/>
    <w:rsid w:val="009805DC"/>
    <w:rsid w:val="00980742"/>
    <w:rsid w:val="0098102C"/>
    <w:rsid w:val="00983045"/>
    <w:rsid w:val="00983543"/>
    <w:rsid w:val="00984AF1"/>
    <w:rsid w:val="00985D17"/>
    <w:rsid w:val="00986E60"/>
    <w:rsid w:val="00990401"/>
    <w:rsid w:val="009908D7"/>
    <w:rsid w:val="00991CCF"/>
    <w:rsid w:val="00991CEF"/>
    <w:rsid w:val="00992591"/>
    <w:rsid w:val="00992E29"/>
    <w:rsid w:val="0099313A"/>
    <w:rsid w:val="0099315F"/>
    <w:rsid w:val="009937B1"/>
    <w:rsid w:val="00993A6A"/>
    <w:rsid w:val="0099562B"/>
    <w:rsid w:val="0099593D"/>
    <w:rsid w:val="0099676B"/>
    <w:rsid w:val="009979D3"/>
    <w:rsid w:val="00997EBC"/>
    <w:rsid w:val="009A11EB"/>
    <w:rsid w:val="009A1278"/>
    <w:rsid w:val="009A1477"/>
    <w:rsid w:val="009A253C"/>
    <w:rsid w:val="009A253F"/>
    <w:rsid w:val="009A297F"/>
    <w:rsid w:val="009A385A"/>
    <w:rsid w:val="009A442E"/>
    <w:rsid w:val="009A4E39"/>
    <w:rsid w:val="009A556B"/>
    <w:rsid w:val="009A5DF3"/>
    <w:rsid w:val="009A6D25"/>
    <w:rsid w:val="009A78DF"/>
    <w:rsid w:val="009A7DD4"/>
    <w:rsid w:val="009B1242"/>
    <w:rsid w:val="009B2161"/>
    <w:rsid w:val="009B3818"/>
    <w:rsid w:val="009B3BDC"/>
    <w:rsid w:val="009B3D4A"/>
    <w:rsid w:val="009B4755"/>
    <w:rsid w:val="009B5024"/>
    <w:rsid w:val="009B6373"/>
    <w:rsid w:val="009B7098"/>
    <w:rsid w:val="009B72FD"/>
    <w:rsid w:val="009B7A51"/>
    <w:rsid w:val="009B7C77"/>
    <w:rsid w:val="009C0C05"/>
    <w:rsid w:val="009C0D59"/>
    <w:rsid w:val="009C2607"/>
    <w:rsid w:val="009C2898"/>
    <w:rsid w:val="009C2D21"/>
    <w:rsid w:val="009C2FD3"/>
    <w:rsid w:val="009C3682"/>
    <w:rsid w:val="009C37AC"/>
    <w:rsid w:val="009C4183"/>
    <w:rsid w:val="009C4489"/>
    <w:rsid w:val="009C668D"/>
    <w:rsid w:val="009C6CED"/>
    <w:rsid w:val="009C7F24"/>
    <w:rsid w:val="009D19EF"/>
    <w:rsid w:val="009D24BE"/>
    <w:rsid w:val="009D2DDF"/>
    <w:rsid w:val="009D3591"/>
    <w:rsid w:val="009D3FC9"/>
    <w:rsid w:val="009D50EC"/>
    <w:rsid w:val="009D5768"/>
    <w:rsid w:val="009D5BFA"/>
    <w:rsid w:val="009D60B5"/>
    <w:rsid w:val="009D7875"/>
    <w:rsid w:val="009D7C3B"/>
    <w:rsid w:val="009D7E9C"/>
    <w:rsid w:val="009E0DBF"/>
    <w:rsid w:val="009E0F31"/>
    <w:rsid w:val="009E1E42"/>
    <w:rsid w:val="009E2381"/>
    <w:rsid w:val="009E2629"/>
    <w:rsid w:val="009E302C"/>
    <w:rsid w:val="009E4296"/>
    <w:rsid w:val="009E52EA"/>
    <w:rsid w:val="009E5A3C"/>
    <w:rsid w:val="009E6885"/>
    <w:rsid w:val="009E780F"/>
    <w:rsid w:val="009E781C"/>
    <w:rsid w:val="009E783B"/>
    <w:rsid w:val="009E784B"/>
    <w:rsid w:val="009E7ECF"/>
    <w:rsid w:val="009F0035"/>
    <w:rsid w:val="009F114F"/>
    <w:rsid w:val="009F1704"/>
    <w:rsid w:val="009F41C7"/>
    <w:rsid w:val="009F6397"/>
    <w:rsid w:val="009F688F"/>
    <w:rsid w:val="009F7636"/>
    <w:rsid w:val="00A00690"/>
    <w:rsid w:val="00A01F5C"/>
    <w:rsid w:val="00A024FA"/>
    <w:rsid w:val="00A0405B"/>
    <w:rsid w:val="00A0426C"/>
    <w:rsid w:val="00A05092"/>
    <w:rsid w:val="00A067B7"/>
    <w:rsid w:val="00A06D56"/>
    <w:rsid w:val="00A071F2"/>
    <w:rsid w:val="00A07755"/>
    <w:rsid w:val="00A11936"/>
    <w:rsid w:val="00A11DCD"/>
    <w:rsid w:val="00A1259D"/>
    <w:rsid w:val="00A12AA4"/>
    <w:rsid w:val="00A1308F"/>
    <w:rsid w:val="00A172C8"/>
    <w:rsid w:val="00A20117"/>
    <w:rsid w:val="00A201D8"/>
    <w:rsid w:val="00A208A2"/>
    <w:rsid w:val="00A22576"/>
    <w:rsid w:val="00A22D45"/>
    <w:rsid w:val="00A23597"/>
    <w:rsid w:val="00A23629"/>
    <w:rsid w:val="00A236DF"/>
    <w:rsid w:val="00A24ECB"/>
    <w:rsid w:val="00A251B7"/>
    <w:rsid w:val="00A25E13"/>
    <w:rsid w:val="00A27B8C"/>
    <w:rsid w:val="00A27E16"/>
    <w:rsid w:val="00A3190A"/>
    <w:rsid w:val="00A31E4D"/>
    <w:rsid w:val="00A3435D"/>
    <w:rsid w:val="00A343D7"/>
    <w:rsid w:val="00A345A9"/>
    <w:rsid w:val="00A347F7"/>
    <w:rsid w:val="00A35285"/>
    <w:rsid w:val="00A35428"/>
    <w:rsid w:val="00A35AA6"/>
    <w:rsid w:val="00A36363"/>
    <w:rsid w:val="00A36FC6"/>
    <w:rsid w:val="00A37529"/>
    <w:rsid w:val="00A37721"/>
    <w:rsid w:val="00A400BD"/>
    <w:rsid w:val="00A41011"/>
    <w:rsid w:val="00A412A5"/>
    <w:rsid w:val="00A425E7"/>
    <w:rsid w:val="00A434BB"/>
    <w:rsid w:val="00A4358C"/>
    <w:rsid w:val="00A43CBF"/>
    <w:rsid w:val="00A44395"/>
    <w:rsid w:val="00A45978"/>
    <w:rsid w:val="00A45D04"/>
    <w:rsid w:val="00A46A77"/>
    <w:rsid w:val="00A46C62"/>
    <w:rsid w:val="00A475CB"/>
    <w:rsid w:val="00A47B8B"/>
    <w:rsid w:val="00A47C35"/>
    <w:rsid w:val="00A50578"/>
    <w:rsid w:val="00A50E72"/>
    <w:rsid w:val="00A51A06"/>
    <w:rsid w:val="00A5372B"/>
    <w:rsid w:val="00A5484F"/>
    <w:rsid w:val="00A56EA4"/>
    <w:rsid w:val="00A5791F"/>
    <w:rsid w:val="00A609C9"/>
    <w:rsid w:val="00A60DA8"/>
    <w:rsid w:val="00A613C3"/>
    <w:rsid w:val="00A61699"/>
    <w:rsid w:val="00A61D00"/>
    <w:rsid w:val="00A62E69"/>
    <w:rsid w:val="00A63385"/>
    <w:rsid w:val="00A634FF"/>
    <w:rsid w:val="00A6375D"/>
    <w:rsid w:val="00A64E1C"/>
    <w:rsid w:val="00A64EED"/>
    <w:rsid w:val="00A6556D"/>
    <w:rsid w:val="00A6611F"/>
    <w:rsid w:val="00A6656F"/>
    <w:rsid w:val="00A67F71"/>
    <w:rsid w:val="00A7049D"/>
    <w:rsid w:val="00A71512"/>
    <w:rsid w:val="00A769C5"/>
    <w:rsid w:val="00A77E50"/>
    <w:rsid w:val="00A8029F"/>
    <w:rsid w:val="00A8051E"/>
    <w:rsid w:val="00A8061B"/>
    <w:rsid w:val="00A8062A"/>
    <w:rsid w:val="00A815DD"/>
    <w:rsid w:val="00A81AFA"/>
    <w:rsid w:val="00A82502"/>
    <w:rsid w:val="00A82C1D"/>
    <w:rsid w:val="00A8405C"/>
    <w:rsid w:val="00A86C9B"/>
    <w:rsid w:val="00A86CC9"/>
    <w:rsid w:val="00A86CDA"/>
    <w:rsid w:val="00A87ED6"/>
    <w:rsid w:val="00A87FB3"/>
    <w:rsid w:val="00A90630"/>
    <w:rsid w:val="00A90D12"/>
    <w:rsid w:val="00A90F1B"/>
    <w:rsid w:val="00A91B70"/>
    <w:rsid w:val="00A921BD"/>
    <w:rsid w:val="00A9235F"/>
    <w:rsid w:val="00A92BB6"/>
    <w:rsid w:val="00A92EB6"/>
    <w:rsid w:val="00A9430F"/>
    <w:rsid w:val="00A94310"/>
    <w:rsid w:val="00A95200"/>
    <w:rsid w:val="00A9604E"/>
    <w:rsid w:val="00A97240"/>
    <w:rsid w:val="00A9765D"/>
    <w:rsid w:val="00A97D53"/>
    <w:rsid w:val="00AA0BD4"/>
    <w:rsid w:val="00AA2043"/>
    <w:rsid w:val="00AA2883"/>
    <w:rsid w:val="00AA29EC"/>
    <w:rsid w:val="00AA4061"/>
    <w:rsid w:val="00AA41CB"/>
    <w:rsid w:val="00AA427A"/>
    <w:rsid w:val="00AA5AA6"/>
    <w:rsid w:val="00AA5BBB"/>
    <w:rsid w:val="00AA5BC9"/>
    <w:rsid w:val="00AA68F4"/>
    <w:rsid w:val="00AA7A59"/>
    <w:rsid w:val="00AA7B6A"/>
    <w:rsid w:val="00AA7D55"/>
    <w:rsid w:val="00AA7EC3"/>
    <w:rsid w:val="00AA7FBE"/>
    <w:rsid w:val="00AB0693"/>
    <w:rsid w:val="00AB0B91"/>
    <w:rsid w:val="00AB164D"/>
    <w:rsid w:val="00AB1EFD"/>
    <w:rsid w:val="00AB2C2C"/>
    <w:rsid w:val="00AB3590"/>
    <w:rsid w:val="00AB377A"/>
    <w:rsid w:val="00AB37FC"/>
    <w:rsid w:val="00AB3BFE"/>
    <w:rsid w:val="00AB43F4"/>
    <w:rsid w:val="00AB4ECA"/>
    <w:rsid w:val="00AB61E1"/>
    <w:rsid w:val="00AB6666"/>
    <w:rsid w:val="00AC1ACE"/>
    <w:rsid w:val="00AC240C"/>
    <w:rsid w:val="00AC295F"/>
    <w:rsid w:val="00AC3971"/>
    <w:rsid w:val="00AC41F1"/>
    <w:rsid w:val="00AC56FE"/>
    <w:rsid w:val="00AC571C"/>
    <w:rsid w:val="00AC5A99"/>
    <w:rsid w:val="00AC6062"/>
    <w:rsid w:val="00AC722C"/>
    <w:rsid w:val="00AD1433"/>
    <w:rsid w:val="00AD199E"/>
    <w:rsid w:val="00AD2AF3"/>
    <w:rsid w:val="00AD3024"/>
    <w:rsid w:val="00AD37B6"/>
    <w:rsid w:val="00AD5EDA"/>
    <w:rsid w:val="00AD6C15"/>
    <w:rsid w:val="00AE072B"/>
    <w:rsid w:val="00AE0E34"/>
    <w:rsid w:val="00AE15D0"/>
    <w:rsid w:val="00AE1D34"/>
    <w:rsid w:val="00AE3BE7"/>
    <w:rsid w:val="00AE469B"/>
    <w:rsid w:val="00AE46B0"/>
    <w:rsid w:val="00AE4836"/>
    <w:rsid w:val="00AE48E0"/>
    <w:rsid w:val="00AE6211"/>
    <w:rsid w:val="00AE6B43"/>
    <w:rsid w:val="00AE70FE"/>
    <w:rsid w:val="00AE769D"/>
    <w:rsid w:val="00AE7D25"/>
    <w:rsid w:val="00AF07FD"/>
    <w:rsid w:val="00AF0A93"/>
    <w:rsid w:val="00AF0D7B"/>
    <w:rsid w:val="00AF1CAB"/>
    <w:rsid w:val="00AF1F31"/>
    <w:rsid w:val="00AF3E06"/>
    <w:rsid w:val="00AF4A1B"/>
    <w:rsid w:val="00AF5D84"/>
    <w:rsid w:val="00AF5EF3"/>
    <w:rsid w:val="00AF7CE7"/>
    <w:rsid w:val="00AF7E66"/>
    <w:rsid w:val="00B01642"/>
    <w:rsid w:val="00B01DF3"/>
    <w:rsid w:val="00B01FA6"/>
    <w:rsid w:val="00B0224C"/>
    <w:rsid w:val="00B03669"/>
    <w:rsid w:val="00B03C88"/>
    <w:rsid w:val="00B03D42"/>
    <w:rsid w:val="00B0404C"/>
    <w:rsid w:val="00B04C79"/>
    <w:rsid w:val="00B04F35"/>
    <w:rsid w:val="00B05035"/>
    <w:rsid w:val="00B05284"/>
    <w:rsid w:val="00B06757"/>
    <w:rsid w:val="00B06850"/>
    <w:rsid w:val="00B06ECF"/>
    <w:rsid w:val="00B10B64"/>
    <w:rsid w:val="00B111C2"/>
    <w:rsid w:val="00B11437"/>
    <w:rsid w:val="00B13398"/>
    <w:rsid w:val="00B146DD"/>
    <w:rsid w:val="00B15F93"/>
    <w:rsid w:val="00B16BC7"/>
    <w:rsid w:val="00B178EE"/>
    <w:rsid w:val="00B20499"/>
    <w:rsid w:val="00B21988"/>
    <w:rsid w:val="00B21D0C"/>
    <w:rsid w:val="00B2277D"/>
    <w:rsid w:val="00B22F05"/>
    <w:rsid w:val="00B24946"/>
    <w:rsid w:val="00B25E3E"/>
    <w:rsid w:val="00B26CB3"/>
    <w:rsid w:val="00B3026B"/>
    <w:rsid w:val="00B30C38"/>
    <w:rsid w:val="00B3122B"/>
    <w:rsid w:val="00B3190F"/>
    <w:rsid w:val="00B33A12"/>
    <w:rsid w:val="00B3457A"/>
    <w:rsid w:val="00B35109"/>
    <w:rsid w:val="00B35DEF"/>
    <w:rsid w:val="00B3685D"/>
    <w:rsid w:val="00B36CCB"/>
    <w:rsid w:val="00B36F18"/>
    <w:rsid w:val="00B374BA"/>
    <w:rsid w:val="00B37F87"/>
    <w:rsid w:val="00B424A1"/>
    <w:rsid w:val="00B42B3D"/>
    <w:rsid w:val="00B4333F"/>
    <w:rsid w:val="00B4365E"/>
    <w:rsid w:val="00B438AB"/>
    <w:rsid w:val="00B43A3A"/>
    <w:rsid w:val="00B44208"/>
    <w:rsid w:val="00B442DD"/>
    <w:rsid w:val="00B449AF"/>
    <w:rsid w:val="00B507A8"/>
    <w:rsid w:val="00B51261"/>
    <w:rsid w:val="00B52959"/>
    <w:rsid w:val="00B5337F"/>
    <w:rsid w:val="00B54ACB"/>
    <w:rsid w:val="00B54EAF"/>
    <w:rsid w:val="00B54FD8"/>
    <w:rsid w:val="00B550E8"/>
    <w:rsid w:val="00B557F4"/>
    <w:rsid w:val="00B61489"/>
    <w:rsid w:val="00B61ABB"/>
    <w:rsid w:val="00B6303E"/>
    <w:rsid w:val="00B63C39"/>
    <w:rsid w:val="00B63F0C"/>
    <w:rsid w:val="00B64507"/>
    <w:rsid w:val="00B64CB7"/>
    <w:rsid w:val="00B6655D"/>
    <w:rsid w:val="00B6770B"/>
    <w:rsid w:val="00B67B7E"/>
    <w:rsid w:val="00B70B3E"/>
    <w:rsid w:val="00B70B43"/>
    <w:rsid w:val="00B720D1"/>
    <w:rsid w:val="00B72C84"/>
    <w:rsid w:val="00B72F0C"/>
    <w:rsid w:val="00B73EED"/>
    <w:rsid w:val="00B75AB0"/>
    <w:rsid w:val="00B75F3B"/>
    <w:rsid w:val="00B800CF"/>
    <w:rsid w:val="00B814F7"/>
    <w:rsid w:val="00B837D7"/>
    <w:rsid w:val="00B83E41"/>
    <w:rsid w:val="00B84411"/>
    <w:rsid w:val="00B84B4D"/>
    <w:rsid w:val="00B85C2E"/>
    <w:rsid w:val="00B86C78"/>
    <w:rsid w:val="00B879C8"/>
    <w:rsid w:val="00B903AF"/>
    <w:rsid w:val="00B908BC"/>
    <w:rsid w:val="00B90C05"/>
    <w:rsid w:val="00B930E2"/>
    <w:rsid w:val="00B93846"/>
    <w:rsid w:val="00B9504A"/>
    <w:rsid w:val="00B953CF"/>
    <w:rsid w:val="00B95A23"/>
    <w:rsid w:val="00B95D3B"/>
    <w:rsid w:val="00B960F0"/>
    <w:rsid w:val="00B965E6"/>
    <w:rsid w:val="00B96A50"/>
    <w:rsid w:val="00B96AAB"/>
    <w:rsid w:val="00B96CE8"/>
    <w:rsid w:val="00BA26BA"/>
    <w:rsid w:val="00BA335E"/>
    <w:rsid w:val="00BA3658"/>
    <w:rsid w:val="00BA403F"/>
    <w:rsid w:val="00BA4201"/>
    <w:rsid w:val="00BA48F6"/>
    <w:rsid w:val="00BA4F67"/>
    <w:rsid w:val="00BA508C"/>
    <w:rsid w:val="00BA52F0"/>
    <w:rsid w:val="00BA5689"/>
    <w:rsid w:val="00BA6E93"/>
    <w:rsid w:val="00BA6FB1"/>
    <w:rsid w:val="00BA71AF"/>
    <w:rsid w:val="00BB0D42"/>
    <w:rsid w:val="00BB1F00"/>
    <w:rsid w:val="00BB2550"/>
    <w:rsid w:val="00BB27CD"/>
    <w:rsid w:val="00BB37A3"/>
    <w:rsid w:val="00BB42C1"/>
    <w:rsid w:val="00BB5CFC"/>
    <w:rsid w:val="00BC119B"/>
    <w:rsid w:val="00BC2703"/>
    <w:rsid w:val="00BC2E74"/>
    <w:rsid w:val="00BC410C"/>
    <w:rsid w:val="00BC4A0F"/>
    <w:rsid w:val="00BC623F"/>
    <w:rsid w:val="00BC638B"/>
    <w:rsid w:val="00BC7DF4"/>
    <w:rsid w:val="00BD0E47"/>
    <w:rsid w:val="00BD0E4F"/>
    <w:rsid w:val="00BD11F5"/>
    <w:rsid w:val="00BD1CA4"/>
    <w:rsid w:val="00BD1DE4"/>
    <w:rsid w:val="00BD3684"/>
    <w:rsid w:val="00BD41E9"/>
    <w:rsid w:val="00BD42D7"/>
    <w:rsid w:val="00BD43BA"/>
    <w:rsid w:val="00BD444D"/>
    <w:rsid w:val="00BD6C15"/>
    <w:rsid w:val="00BD7336"/>
    <w:rsid w:val="00BE07C5"/>
    <w:rsid w:val="00BE1979"/>
    <w:rsid w:val="00BE2113"/>
    <w:rsid w:val="00BE3BB3"/>
    <w:rsid w:val="00BE3C50"/>
    <w:rsid w:val="00BE4778"/>
    <w:rsid w:val="00BE4E97"/>
    <w:rsid w:val="00BE5D1F"/>
    <w:rsid w:val="00BE6041"/>
    <w:rsid w:val="00BE70CB"/>
    <w:rsid w:val="00BE7FB9"/>
    <w:rsid w:val="00BF1115"/>
    <w:rsid w:val="00BF2300"/>
    <w:rsid w:val="00BF2FC2"/>
    <w:rsid w:val="00BF40EB"/>
    <w:rsid w:val="00BF453E"/>
    <w:rsid w:val="00BF4AF0"/>
    <w:rsid w:val="00BF6E40"/>
    <w:rsid w:val="00C01ADA"/>
    <w:rsid w:val="00C027ED"/>
    <w:rsid w:val="00C03D6B"/>
    <w:rsid w:val="00C04C9D"/>
    <w:rsid w:val="00C05548"/>
    <w:rsid w:val="00C06455"/>
    <w:rsid w:val="00C068E5"/>
    <w:rsid w:val="00C070F0"/>
    <w:rsid w:val="00C10046"/>
    <w:rsid w:val="00C115E0"/>
    <w:rsid w:val="00C120B1"/>
    <w:rsid w:val="00C122BB"/>
    <w:rsid w:val="00C125E2"/>
    <w:rsid w:val="00C12B23"/>
    <w:rsid w:val="00C12D02"/>
    <w:rsid w:val="00C130FB"/>
    <w:rsid w:val="00C13628"/>
    <w:rsid w:val="00C14CC8"/>
    <w:rsid w:val="00C1502A"/>
    <w:rsid w:val="00C16DF2"/>
    <w:rsid w:val="00C17DCC"/>
    <w:rsid w:val="00C200AE"/>
    <w:rsid w:val="00C2105B"/>
    <w:rsid w:val="00C22249"/>
    <w:rsid w:val="00C22886"/>
    <w:rsid w:val="00C22A95"/>
    <w:rsid w:val="00C22F92"/>
    <w:rsid w:val="00C244D3"/>
    <w:rsid w:val="00C244DD"/>
    <w:rsid w:val="00C26326"/>
    <w:rsid w:val="00C2742C"/>
    <w:rsid w:val="00C30FC9"/>
    <w:rsid w:val="00C3351B"/>
    <w:rsid w:val="00C3492A"/>
    <w:rsid w:val="00C34BF9"/>
    <w:rsid w:val="00C34D70"/>
    <w:rsid w:val="00C36B46"/>
    <w:rsid w:val="00C36C8F"/>
    <w:rsid w:val="00C40764"/>
    <w:rsid w:val="00C40924"/>
    <w:rsid w:val="00C4151E"/>
    <w:rsid w:val="00C43664"/>
    <w:rsid w:val="00C43F5C"/>
    <w:rsid w:val="00C44705"/>
    <w:rsid w:val="00C44E36"/>
    <w:rsid w:val="00C452E3"/>
    <w:rsid w:val="00C466BF"/>
    <w:rsid w:val="00C4719B"/>
    <w:rsid w:val="00C4761D"/>
    <w:rsid w:val="00C50A61"/>
    <w:rsid w:val="00C51E1A"/>
    <w:rsid w:val="00C5260C"/>
    <w:rsid w:val="00C529AE"/>
    <w:rsid w:val="00C5435B"/>
    <w:rsid w:val="00C54EFB"/>
    <w:rsid w:val="00C54F8F"/>
    <w:rsid w:val="00C54FE8"/>
    <w:rsid w:val="00C555CA"/>
    <w:rsid w:val="00C556BA"/>
    <w:rsid w:val="00C55A23"/>
    <w:rsid w:val="00C56108"/>
    <w:rsid w:val="00C5619C"/>
    <w:rsid w:val="00C5686C"/>
    <w:rsid w:val="00C61D40"/>
    <w:rsid w:val="00C63951"/>
    <w:rsid w:val="00C63FF6"/>
    <w:rsid w:val="00C6507F"/>
    <w:rsid w:val="00C65C6C"/>
    <w:rsid w:val="00C672D0"/>
    <w:rsid w:val="00C70356"/>
    <w:rsid w:val="00C7129E"/>
    <w:rsid w:val="00C7213D"/>
    <w:rsid w:val="00C726E9"/>
    <w:rsid w:val="00C72DE7"/>
    <w:rsid w:val="00C73D10"/>
    <w:rsid w:val="00C74832"/>
    <w:rsid w:val="00C7665F"/>
    <w:rsid w:val="00C77215"/>
    <w:rsid w:val="00C7745A"/>
    <w:rsid w:val="00C803DA"/>
    <w:rsid w:val="00C80553"/>
    <w:rsid w:val="00C80DE8"/>
    <w:rsid w:val="00C8112C"/>
    <w:rsid w:val="00C814A0"/>
    <w:rsid w:val="00C81645"/>
    <w:rsid w:val="00C8202C"/>
    <w:rsid w:val="00C82170"/>
    <w:rsid w:val="00C8267F"/>
    <w:rsid w:val="00C826C2"/>
    <w:rsid w:val="00C83056"/>
    <w:rsid w:val="00C83A46"/>
    <w:rsid w:val="00C849AC"/>
    <w:rsid w:val="00C84A0D"/>
    <w:rsid w:val="00C84E8A"/>
    <w:rsid w:val="00C86034"/>
    <w:rsid w:val="00C86D12"/>
    <w:rsid w:val="00C87ACD"/>
    <w:rsid w:val="00C87C66"/>
    <w:rsid w:val="00C90F84"/>
    <w:rsid w:val="00C91398"/>
    <w:rsid w:val="00C913B2"/>
    <w:rsid w:val="00C91D31"/>
    <w:rsid w:val="00C925D8"/>
    <w:rsid w:val="00C93562"/>
    <w:rsid w:val="00C94D56"/>
    <w:rsid w:val="00C94D98"/>
    <w:rsid w:val="00C9505C"/>
    <w:rsid w:val="00C95522"/>
    <w:rsid w:val="00C95A2F"/>
    <w:rsid w:val="00C95C72"/>
    <w:rsid w:val="00CA001A"/>
    <w:rsid w:val="00CA2AE2"/>
    <w:rsid w:val="00CA46EB"/>
    <w:rsid w:val="00CA4975"/>
    <w:rsid w:val="00CA553E"/>
    <w:rsid w:val="00CA568D"/>
    <w:rsid w:val="00CA61EB"/>
    <w:rsid w:val="00CA7BD9"/>
    <w:rsid w:val="00CB13AA"/>
    <w:rsid w:val="00CB1AF0"/>
    <w:rsid w:val="00CB218B"/>
    <w:rsid w:val="00CB2728"/>
    <w:rsid w:val="00CB30BC"/>
    <w:rsid w:val="00CB3E6E"/>
    <w:rsid w:val="00CB40A4"/>
    <w:rsid w:val="00CB4681"/>
    <w:rsid w:val="00CB5AE1"/>
    <w:rsid w:val="00CB6725"/>
    <w:rsid w:val="00CC1168"/>
    <w:rsid w:val="00CC148F"/>
    <w:rsid w:val="00CC195E"/>
    <w:rsid w:val="00CC27DD"/>
    <w:rsid w:val="00CC28E8"/>
    <w:rsid w:val="00CC467D"/>
    <w:rsid w:val="00CC46A4"/>
    <w:rsid w:val="00CC5A9D"/>
    <w:rsid w:val="00CC60E3"/>
    <w:rsid w:val="00CC6AA6"/>
    <w:rsid w:val="00CD0630"/>
    <w:rsid w:val="00CD0BF9"/>
    <w:rsid w:val="00CD24B8"/>
    <w:rsid w:val="00CD2DD1"/>
    <w:rsid w:val="00CD2FB2"/>
    <w:rsid w:val="00CD4001"/>
    <w:rsid w:val="00CD41D7"/>
    <w:rsid w:val="00CD4B74"/>
    <w:rsid w:val="00CD7FC4"/>
    <w:rsid w:val="00CE1A1D"/>
    <w:rsid w:val="00CE1F70"/>
    <w:rsid w:val="00CE27B4"/>
    <w:rsid w:val="00CE3039"/>
    <w:rsid w:val="00CE4277"/>
    <w:rsid w:val="00CE6CFD"/>
    <w:rsid w:val="00CF1A04"/>
    <w:rsid w:val="00CF33F0"/>
    <w:rsid w:val="00CF3910"/>
    <w:rsid w:val="00CF3B12"/>
    <w:rsid w:val="00CF3CD1"/>
    <w:rsid w:val="00CF3D1E"/>
    <w:rsid w:val="00CF46E2"/>
    <w:rsid w:val="00CF4C93"/>
    <w:rsid w:val="00CF5835"/>
    <w:rsid w:val="00CF692A"/>
    <w:rsid w:val="00CF793A"/>
    <w:rsid w:val="00D00776"/>
    <w:rsid w:val="00D00D67"/>
    <w:rsid w:val="00D01382"/>
    <w:rsid w:val="00D0148E"/>
    <w:rsid w:val="00D01F82"/>
    <w:rsid w:val="00D036AD"/>
    <w:rsid w:val="00D0492C"/>
    <w:rsid w:val="00D04EA4"/>
    <w:rsid w:val="00D05AA6"/>
    <w:rsid w:val="00D05CF6"/>
    <w:rsid w:val="00D05F9D"/>
    <w:rsid w:val="00D05FF6"/>
    <w:rsid w:val="00D06F9F"/>
    <w:rsid w:val="00D10484"/>
    <w:rsid w:val="00D10558"/>
    <w:rsid w:val="00D10FA4"/>
    <w:rsid w:val="00D110B3"/>
    <w:rsid w:val="00D11DEC"/>
    <w:rsid w:val="00D11F51"/>
    <w:rsid w:val="00D1281C"/>
    <w:rsid w:val="00D12A44"/>
    <w:rsid w:val="00D13B3B"/>
    <w:rsid w:val="00D146BF"/>
    <w:rsid w:val="00D14754"/>
    <w:rsid w:val="00D15445"/>
    <w:rsid w:val="00D16278"/>
    <w:rsid w:val="00D16F23"/>
    <w:rsid w:val="00D16F9B"/>
    <w:rsid w:val="00D17868"/>
    <w:rsid w:val="00D22A13"/>
    <w:rsid w:val="00D25376"/>
    <w:rsid w:val="00D267BB"/>
    <w:rsid w:val="00D31857"/>
    <w:rsid w:val="00D32A9F"/>
    <w:rsid w:val="00D32AFA"/>
    <w:rsid w:val="00D32B83"/>
    <w:rsid w:val="00D33297"/>
    <w:rsid w:val="00D34F01"/>
    <w:rsid w:val="00D3656B"/>
    <w:rsid w:val="00D3687E"/>
    <w:rsid w:val="00D369AB"/>
    <w:rsid w:val="00D36F34"/>
    <w:rsid w:val="00D408D8"/>
    <w:rsid w:val="00D41568"/>
    <w:rsid w:val="00D41AFA"/>
    <w:rsid w:val="00D41BCC"/>
    <w:rsid w:val="00D428E2"/>
    <w:rsid w:val="00D445B5"/>
    <w:rsid w:val="00D470E3"/>
    <w:rsid w:val="00D505D0"/>
    <w:rsid w:val="00D506AF"/>
    <w:rsid w:val="00D51418"/>
    <w:rsid w:val="00D52145"/>
    <w:rsid w:val="00D537A4"/>
    <w:rsid w:val="00D53973"/>
    <w:rsid w:val="00D57677"/>
    <w:rsid w:val="00D6014D"/>
    <w:rsid w:val="00D60805"/>
    <w:rsid w:val="00D60B84"/>
    <w:rsid w:val="00D6381C"/>
    <w:rsid w:val="00D6396A"/>
    <w:rsid w:val="00D63DA5"/>
    <w:rsid w:val="00D64471"/>
    <w:rsid w:val="00D66780"/>
    <w:rsid w:val="00D669EA"/>
    <w:rsid w:val="00D66A03"/>
    <w:rsid w:val="00D67256"/>
    <w:rsid w:val="00D707B4"/>
    <w:rsid w:val="00D70E22"/>
    <w:rsid w:val="00D70F5A"/>
    <w:rsid w:val="00D71ADC"/>
    <w:rsid w:val="00D71B6B"/>
    <w:rsid w:val="00D726B4"/>
    <w:rsid w:val="00D756BA"/>
    <w:rsid w:val="00D8028B"/>
    <w:rsid w:val="00D804F0"/>
    <w:rsid w:val="00D80628"/>
    <w:rsid w:val="00D81518"/>
    <w:rsid w:val="00D816E7"/>
    <w:rsid w:val="00D81D4E"/>
    <w:rsid w:val="00D82DE3"/>
    <w:rsid w:val="00D831B8"/>
    <w:rsid w:val="00D83DAE"/>
    <w:rsid w:val="00D84553"/>
    <w:rsid w:val="00D849F9"/>
    <w:rsid w:val="00D84F5D"/>
    <w:rsid w:val="00D85581"/>
    <w:rsid w:val="00D85A25"/>
    <w:rsid w:val="00D860B0"/>
    <w:rsid w:val="00D86999"/>
    <w:rsid w:val="00D8773A"/>
    <w:rsid w:val="00D879A0"/>
    <w:rsid w:val="00D87C3A"/>
    <w:rsid w:val="00D92855"/>
    <w:rsid w:val="00D95D21"/>
    <w:rsid w:val="00D96083"/>
    <w:rsid w:val="00D96981"/>
    <w:rsid w:val="00D969CC"/>
    <w:rsid w:val="00DA0D87"/>
    <w:rsid w:val="00DA16F1"/>
    <w:rsid w:val="00DA1DD8"/>
    <w:rsid w:val="00DA236E"/>
    <w:rsid w:val="00DA24FC"/>
    <w:rsid w:val="00DA2E89"/>
    <w:rsid w:val="00DA2F14"/>
    <w:rsid w:val="00DA4C6A"/>
    <w:rsid w:val="00DA511A"/>
    <w:rsid w:val="00DA54C5"/>
    <w:rsid w:val="00DA62AF"/>
    <w:rsid w:val="00DA6342"/>
    <w:rsid w:val="00DA77DD"/>
    <w:rsid w:val="00DA7F98"/>
    <w:rsid w:val="00DB04BA"/>
    <w:rsid w:val="00DB0897"/>
    <w:rsid w:val="00DB14E4"/>
    <w:rsid w:val="00DB496D"/>
    <w:rsid w:val="00DB4C69"/>
    <w:rsid w:val="00DB4DD8"/>
    <w:rsid w:val="00DB5789"/>
    <w:rsid w:val="00DB6299"/>
    <w:rsid w:val="00DB633B"/>
    <w:rsid w:val="00DB6D38"/>
    <w:rsid w:val="00DB6D9A"/>
    <w:rsid w:val="00DC0753"/>
    <w:rsid w:val="00DC0ACD"/>
    <w:rsid w:val="00DC16E8"/>
    <w:rsid w:val="00DC1F43"/>
    <w:rsid w:val="00DC3EA5"/>
    <w:rsid w:val="00DC4824"/>
    <w:rsid w:val="00DC548F"/>
    <w:rsid w:val="00DC6196"/>
    <w:rsid w:val="00DC64B9"/>
    <w:rsid w:val="00DC6A2F"/>
    <w:rsid w:val="00DD178E"/>
    <w:rsid w:val="00DD30C6"/>
    <w:rsid w:val="00DD30FE"/>
    <w:rsid w:val="00DD434A"/>
    <w:rsid w:val="00DD4A1C"/>
    <w:rsid w:val="00DD5ED7"/>
    <w:rsid w:val="00DD66F6"/>
    <w:rsid w:val="00DD6958"/>
    <w:rsid w:val="00DD7122"/>
    <w:rsid w:val="00DD77B4"/>
    <w:rsid w:val="00DD7F95"/>
    <w:rsid w:val="00DE01FB"/>
    <w:rsid w:val="00DE1AA4"/>
    <w:rsid w:val="00DE3641"/>
    <w:rsid w:val="00DE57C9"/>
    <w:rsid w:val="00DE5D4C"/>
    <w:rsid w:val="00DE61BD"/>
    <w:rsid w:val="00DE63E6"/>
    <w:rsid w:val="00DE684B"/>
    <w:rsid w:val="00DE6E9F"/>
    <w:rsid w:val="00DF0655"/>
    <w:rsid w:val="00DF1AA5"/>
    <w:rsid w:val="00DF27FE"/>
    <w:rsid w:val="00DF2F2B"/>
    <w:rsid w:val="00DF2FEF"/>
    <w:rsid w:val="00DF3DE3"/>
    <w:rsid w:val="00DF3F01"/>
    <w:rsid w:val="00DF4FA5"/>
    <w:rsid w:val="00DF586D"/>
    <w:rsid w:val="00DF70F3"/>
    <w:rsid w:val="00DF734D"/>
    <w:rsid w:val="00DF7386"/>
    <w:rsid w:val="00E0033F"/>
    <w:rsid w:val="00E00AB6"/>
    <w:rsid w:val="00E00BF5"/>
    <w:rsid w:val="00E00CAD"/>
    <w:rsid w:val="00E00CF8"/>
    <w:rsid w:val="00E01497"/>
    <w:rsid w:val="00E01690"/>
    <w:rsid w:val="00E0212A"/>
    <w:rsid w:val="00E0281C"/>
    <w:rsid w:val="00E0286E"/>
    <w:rsid w:val="00E02F88"/>
    <w:rsid w:val="00E0319A"/>
    <w:rsid w:val="00E0354F"/>
    <w:rsid w:val="00E037FE"/>
    <w:rsid w:val="00E04E3F"/>
    <w:rsid w:val="00E06349"/>
    <w:rsid w:val="00E10DEE"/>
    <w:rsid w:val="00E113A2"/>
    <w:rsid w:val="00E11A5E"/>
    <w:rsid w:val="00E124FC"/>
    <w:rsid w:val="00E12926"/>
    <w:rsid w:val="00E1294B"/>
    <w:rsid w:val="00E12D74"/>
    <w:rsid w:val="00E133DA"/>
    <w:rsid w:val="00E1351B"/>
    <w:rsid w:val="00E14CE3"/>
    <w:rsid w:val="00E15699"/>
    <w:rsid w:val="00E15E0B"/>
    <w:rsid w:val="00E15F95"/>
    <w:rsid w:val="00E16754"/>
    <w:rsid w:val="00E1761A"/>
    <w:rsid w:val="00E23892"/>
    <w:rsid w:val="00E241E7"/>
    <w:rsid w:val="00E250AF"/>
    <w:rsid w:val="00E257D8"/>
    <w:rsid w:val="00E25FF9"/>
    <w:rsid w:val="00E263C9"/>
    <w:rsid w:val="00E264C0"/>
    <w:rsid w:val="00E30AEE"/>
    <w:rsid w:val="00E322FC"/>
    <w:rsid w:val="00E33848"/>
    <w:rsid w:val="00E339D3"/>
    <w:rsid w:val="00E35345"/>
    <w:rsid w:val="00E37B05"/>
    <w:rsid w:val="00E37EB8"/>
    <w:rsid w:val="00E404C9"/>
    <w:rsid w:val="00E40AB0"/>
    <w:rsid w:val="00E4123C"/>
    <w:rsid w:val="00E41342"/>
    <w:rsid w:val="00E41750"/>
    <w:rsid w:val="00E4220D"/>
    <w:rsid w:val="00E42DBB"/>
    <w:rsid w:val="00E45812"/>
    <w:rsid w:val="00E46A5E"/>
    <w:rsid w:val="00E476DA"/>
    <w:rsid w:val="00E5143B"/>
    <w:rsid w:val="00E51B95"/>
    <w:rsid w:val="00E524EC"/>
    <w:rsid w:val="00E525D8"/>
    <w:rsid w:val="00E5306B"/>
    <w:rsid w:val="00E53995"/>
    <w:rsid w:val="00E556F6"/>
    <w:rsid w:val="00E56220"/>
    <w:rsid w:val="00E56B3F"/>
    <w:rsid w:val="00E56F1F"/>
    <w:rsid w:val="00E579E5"/>
    <w:rsid w:val="00E604E3"/>
    <w:rsid w:val="00E60549"/>
    <w:rsid w:val="00E60E6A"/>
    <w:rsid w:val="00E60ECD"/>
    <w:rsid w:val="00E61187"/>
    <w:rsid w:val="00E61612"/>
    <w:rsid w:val="00E6189C"/>
    <w:rsid w:val="00E618DE"/>
    <w:rsid w:val="00E62ADA"/>
    <w:rsid w:val="00E62C8C"/>
    <w:rsid w:val="00E6535F"/>
    <w:rsid w:val="00E65DB0"/>
    <w:rsid w:val="00E66765"/>
    <w:rsid w:val="00E66BBE"/>
    <w:rsid w:val="00E66EAB"/>
    <w:rsid w:val="00E70B68"/>
    <w:rsid w:val="00E712DF"/>
    <w:rsid w:val="00E72695"/>
    <w:rsid w:val="00E72E48"/>
    <w:rsid w:val="00E73ADF"/>
    <w:rsid w:val="00E7465B"/>
    <w:rsid w:val="00E74830"/>
    <w:rsid w:val="00E75AEF"/>
    <w:rsid w:val="00E75BE4"/>
    <w:rsid w:val="00E80420"/>
    <w:rsid w:val="00E812B8"/>
    <w:rsid w:val="00E8180C"/>
    <w:rsid w:val="00E82B53"/>
    <w:rsid w:val="00E84CBE"/>
    <w:rsid w:val="00E85CB0"/>
    <w:rsid w:val="00E85DCF"/>
    <w:rsid w:val="00E9255C"/>
    <w:rsid w:val="00E927D6"/>
    <w:rsid w:val="00E92E56"/>
    <w:rsid w:val="00E95642"/>
    <w:rsid w:val="00E961A1"/>
    <w:rsid w:val="00E967F4"/>
    <w:rsid w:val="00E96E7B"/>
    <w:rsid w:val="00E9758A"/>
    <w:rsid w:val="00E975D4"/>
    <w:rsid w:val="00E9796C"/>
    <w:rsid w:val="00E97B4D"/>
    <w:rsid w:val="00E97EE1"/>
    <w:rsid w:val="00EA0968"/>
    <w:rsid w:val="00EA0A9A"/>
    <w:rsid w:val="00EA0C56"/>
    <w:rsid w:val="00EA0CEF"/>
    <w:rsid w:val="00EA1615"/>
    <w:rsid w:val="00EA1871"/>
    <w:rsid w:val="00EA242D"/>
    <w:rsid w:val="00EA266A"/>
    <w:rsid w:val="00EA3FF3"/>
    <w:rsid w:val="00EA4A40"/>
    <w:rsid w:val="00EA5246"/>
    <w:rsid w:val="00EA5FFC"/>
    <w:rsid w:val="00EA7A0E"/>
    <w:rsid w:val="00EB0334"/>
    <w:rsid w:val="00EB05C4"/>
    <w:rsid w:val="00EB1207"/>
    <w:rsid w:val="00EB1261"/>
    <w:rsid w:val="00EB165D"/>
    <w:rsid w:val="00EB38A2"/>
    <w:rsid w:val="00EB3C5E"/>
    <w:rsid w:val="00EB4983"/>
    <w:rsid w:val="00EB5CE2"/>
    <w:rsid w:val="00EB5FD9"/>
    <w:rsid w:val="00EB6949"/>
    <w:rsid w:val="00EB7427"/>
    <w:rsid w:val="00EC0522"/>
    <w:rsid w:val="00EC0543"/>
    <w:rsid w:val="00EC1E97"/>
    <w:rsid w:val="00EC255B"/>
    <w:rsid w:val="00EC27C1"/>
    <w:rsid w:val="00EC2B4E"/>
    <w:rsid w:val="00EC3A45"/>
    <w:rsid w:val="00EC3EAF"/>
    <w:rsid w:val="00EC69F9"/>
    <w:rsid w:val="00EC7549"/>
    <w:rsid w:val="00EC7C1C"/>
    <w:rsid w:val="00ED06C3"/>
    <w:rsid w:val="00ED14FD"/>
    <w:rsid w:val="00ED1CE2"/>
    <w:rsid w:val="00ED26A1"/>
    <w:rsid w:val="00ED3167"/>
    <w:rsid w:val="00ED3ED4"/>
    <w:rsid w:val="00ED608F"/>
    <w:rsid w:val="00ED6BA1"/>
    <w:rsid w:val="00ED71B3"/>
    <w:rsid w:val="00ED7FF9"/>
    <w:rsid w:val="00EE0086"/>
    <w:rsid w:val="00EE0436"/>
    <w:rsid w:val="00EE0521"/>
    <w:rsid w:val="00EE0546"/>
    <w:rsid w:val="00EE125C"/>
    <w:rsid w:val="00EE13FC"/>
    <w:rsid w:val="00EE24A3"/>
    <w:rsid w:val="00EE2742"/>
    <w:rsid w:val="00EE5432"/>
    <w:rsid w:val="00EE5C70"/>
    <w:rsid w:val="00EE6A84"/>
    <w:rsid w:val="00EE6A87"/>
    <w:rsid w:val="00EF1845"/>
    <w:rsid w:val="00EF1A6C"/>
    <w:rsid w:val="00EF22DB"/>
    <w:rsid w:val="00EF24AD"/>
    <w:rsid w:val="00EF26B1"/>
    <w:rsid w:val="00EF2C3E"/>
    <w:rsid w:val="00EF3504"/>
    <w:rsid w:val="00EF5EFE"/>
    <w:rsid w:val="00EF6033"/>
    <w:rsid w:val="00EF798E"/>
    <w:rsid w:val="00F003FA"/>
    <w:rsid w:val="00F02005"/>
    <w:rsid w:val="00F020F8"/>
    <w:rsid w:val="00F02265"/>
    <w:rsid w:val="00F023F4"/>
    <w:rsid w:val="00F03FCB"/>
    <w:rsid w:val="00F04C18"/>
    <w:rsid w:val="00F05DB4"/>
    <w:rsid w:val="00F07A53"/>
    <w:rsid w:val="00F07F2F"/>
    <w:rsid w:val="00F103DE"/>
    <w:rsid w:val="00F1137A"/>
    <w:rsid w:val="00F1204D"/>
    <w:rsid w:val="00F1292F"/>
    <w:rsid w:val="00F133AB"/>
    <w:rsid w:val="00F13994"/>
    <w:rsid w:val="00F13DDD"/>
    <w:rsid w:val="00F14756"/>
    <w:rsid w:val="00F15608"/>
    <w:rsid w:val="00F15D47"/>
    <w:rsid w:val="00F161C2"/>
    <w:rsid w:val="00F166ED"/>
    <w:rsid w:val="00F16976"/>
    <w:rsid w:val="00F16AEA"/>
    <w:rsid w:val="00F17476"/>
    <w:rsid w:val="00F20FBB"/>
    <w:rsid w:val="00F21317"/>
    <w:rsid w:val="00F22044"/>
    <w:rsid w:val="00F2228C"/>
    <w:rsid w:val="00F2259A"/>
    <w:rsid w:val="00F22E85"/>
    <w:rsid w:val="00F23457"/>
    <w:rsid w:val="00F23655"/>
    <w:rsid w:val="00F24731"/>
    <w:rsid w:val="00F250F5"/>
    <w:rsid w:val="00F25CD8"/>
    <w:rsid w:val="00F267D4"/>
    <w:rsid w:val="00F27FC7"/>
    <w:rsid w:val="00F318CB"/>
    <w:rsid w:val="00F327EB"/>
    <w:rsid w:val="00F32DF3"/>
    <w:rsid w:val="00F33562"/>
    <w:rsid w:val="00F343A2"/>
    <w:rsid w:val="00F355AB"/>
    <w:rsid w:val="00F35A7F"/>
    <w:rsid w:val="00F36846"/>
    <w:rsid w:val="00F36A58"/>
    <w:rsid w:val="00F4175F"/>
    <w:rsid w:val="00F41EDA"/>
    <w:rsid w:val="00F45B9A"/>
    <w:rsid w:val="00F46C96"/>
    <w:rsid w:val="00F470B7"/>
    <w:rsid w:val="00F50A33"/>
    <w:rsid w:val="00F50D72"/>
    <w:rsid w:val="00F51601"/>
    <w:rsid w:val="00F51B01"/>
    <w:rsid w:val="00F524B7"/>
    <w:rsid w:val="00F52702"/>
    <w:rsid w:val="00F530F8"/>
    <w:rsid w:val="00F537B0"/>
    <w:rsid w:val="00F548C5"/>
    <w:rsid w:val="00F54AF8"/>
    <w:rsid w:val="00F55BF4"/>
    <w:rsid w:val="00F56BD3"/>
    <w:rsid w:val="00F56EA2"/>
    <w:rsid w:val="00F576B4"/>
    <w:rsid w:val="00F57D86"/>
    <w:rsid w:val="00F603A2"/>
    <w:rsid w:val="00F60623"/>
    <w:rsid w:val="00F6151F"/>
    <w:rsid w:val="00F626D5"/>
    <w:rsid w:val="00F62D19"/>
    <w:rsid w:val="00F62F07"/>
    <w:rsid w:val="00F63D52"/>
    <w:rsid w:val="00F6409A"/>
    <w:rsid w:val="00F663A4"/>
    <w:rsid w:val="00F7386A"/>
    <w:rsid w:val="00F74286"/>
    <w:rsid w:val="00F7433B"/>
    <w:rsid w:val="00F74804"/>
    <w:rsid w:val="00F74E3B"/>
    <w:rsid w:val="00F7604C"/>
    <w:rsid w:val="00F76147"/>
    <w:rsid w:val="00F76857"/>
    <w:rsid w:val="00F76AA2"/>
    <w:rsid w:val="00F77362"/>
    <w:rsid w:val="00F77397"/>
    <w:rsid w:val="00F77B44"/>
    <w:rsid w:val="00F803BA"/>
    <w:rsid w:val="00F80EFC"/>
    <w:rsid w:val="00F81108"/>
    <w:rsid w:val="00F83013"/>
    <w:rsid w:val="00F8331A"/>
    <w:rsid w:val="00F83A0B"/>
    <w:rsid w:val="00F83FE5"/>
    <w:rsid w:val="00F84AB2"/>
    <w:rsid w:val="00F84C78"/>
    <w:rsid w:val="00F859E2"/>
    <w:rsid w:val="00F85E26"/>
    <w:rsid w:val="00F85EA1"/>
    <w:rsid w:val="00F87BB1"/>
    <w:rsid w:val="00F92427"/>
    <w:rsid w:val="00F92451"/>
    <w:rsid w:val="00F929BC"/>
    <w:rsid w:val="00F93F68"/>
    <w:rsid w:val="00F9504C"/>
    <w:rsid w:val="00F95629"/>
    <w:rsid w:val="00F96C36"/>
    <w:rsid w:val="00F97154"/>
    <w:rsid w:val="00F971D9"/>
    <w:rsid w:val="00F973B7"/>
    <w:rsid w:val="00FA0109"/>
    <w:rsid w:val="00FA040A"/>
    <w:rsid w:val="00FA110D"/>
    <w:rsid w:val="00FA2CB8"/>
    <w:rsid w:val="00FA5720"/>
    <w:rsid w:val="00FA5FBF"/>
    <w:rsid w:val="00FA6A93"/>
    <w:rsid w:val="00FA6E4A"/>
    <w:rsid w:val="00FA7D35"/>
    <w:rsid w:val="00FB06C4"/>
    <w:rsid w:val="00FB21F9"/>
    <w:rsid w:val="00FB2E37"/>
    <w:rsid w:val="00FB2F89"/>
    <w:rsid w:val="00FB3568"/>
    <w:rsid w:val="00FB4293"/>
    <w:rsid w:val="00FB42A6"/>
    <w:rsid w:val="00FB46D7"/>
    <w:rsid w:val="00FB47D9"/>
    <w:rsid w:val="00FB6561"/>
    <w:rsid w:val="00FB68D6"/>
    <w:rsid w:val="00FB73E6"/>
    <w:rsid w:val="00FB782E"/>
    <w:rsid w:val="00FC0186"/>
    <w:rsid w:val="00FC0997"/>
    <w:rsid w:val="00FC213A"/>
    <w:rsid w:val="00FC2BAA"/>
    <w:rsid w:val="00FC2CF8"/>
    <w:rsid w:val="00FC57D8"/>
    <w:rsid w:val="00FD283D"/>
    <w:rsid w:val="00FD3DF6"/>
    <w:rsid w:val="00FD3FC2"/>
    <w:rsid w:val="00FD4619"/>
    <w:rsid w:val="00FD5570"/>
    <w:rsid w:val="00FD6D38"/>
    <w:rsid w:val="00FD7503"/>
    <w:rsid w:val="00FE205C"/>
    <w:rsid w:val="00FE30F2"/>
    <w:rsid w:val="00FE335E"/>
    <w:rsid w:val="00FE3621"/>
    <w:rsid w:val="00FE555C"/>
    <w:rsid w:val="00FE585C"/>
    <w:rsid w:val="00FE60AC"/>
    <w:rsid w:val="00FE66E1"/>
    <w:rsid w:val="00FE701C"/>
    <w:rsid w:val="00FE7242"/>
    <w:rsid w:val="00FE7BE3"/>
    <w:rsid w:val="00FF1280"/>
    <w:rsid w:val="00FF1BC9"/>
    <w:rsid w:val="00FF2A4D"/>
    <w:rsid w:val="00FF4B0D"/>
    <w:rsid w:val="00FF4D29"/>
    <w:rsid w:val="00FF531B"/>
    <w:rsid w:val="00FF65E4"/>
    <w:rsid w:val="00FF6765"/>
    <w:rsid w:val="00FF6CF5"/>
    <w:rsid w:val="0A1FFC37"/>
    <w:rsid w:val="0CB8B5FA"/>
    <w:rsid w:val="174EC7AC"/>
    <w:rsid w:val="2F0236CF"/>
    <w:rsid w:val="40D6AC3B"/>
    <w:rsid w:val="6A140A35"/>
    <w:rsid w:val="6D17EED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C7BAC"/>
  <w15:chartTrackingRefBased/>
  <w15:docId w15:val="{AD9D2CAC-46B8-4F25-9AF0-B4962BF9F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0558"/>
    <w:pPr>
      <w:ind w:firstLine="720"/>
    </w:pPr>
    <w:rPr>
      <w:rFonts w:ascii="Times New Roman" w:hAnsi="Times New Roman"/>
    </w:rPr>
  </w:style>
  <w:style w:type="paragraph" w:styleId="Heading1">
    <w:name w:val="heading 1"/>
    <w:basedOn w:val="Normal"/>
    <w:next w:val="Normal"/>
    <w:link w:val="Heading1Char"/>
    <w:uiPriority w:val="9"/>
    <w:qFormat/>
    <w:rsid w:val="00122489"/>
    <w:pPr>
      <w:keepNext/>
      <w:keepLines/>
      <w:numPr>
        <w:numId w:val="2"/>
      </w:numPr>
      <w:spacing w:before="240" w:after="0"/>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171686"/>
    <w:pPr>
      <w:spacing w:after="0" w:line="240" w:lineRule="auto"/>
    </w:pPr>
    <w:rPr>
      <w:rFonts w:ascii="Calibri" w:hAnsi="Calibri" w:cs="Calibri"/>
      <w:lang w:eastAsia="en-GB"/>
    </w:rPr>
  </w:style>
  <w:style w:type="character" w:customStyle="1" w:styleId="Heading1Char">
    <w:name w:val="Heading 1 Char"/>
    <w:basedOn w:val="DefaultParagraphFont"/>
    <w:link w:val="Heading1"/>
    <w:uiPriority w:val="9"/>
    <w:rsid w:val="00122489"/>
    <w:rPr>
      <w:rFonts w:ascii="Times New Roman" w:eastAsiaTheme="majorEastAsia" w:hAnsi="Times New Roman" w:cstheme="majorBidi"/>
      <w:b/>
      <w:szCs w:val="32"/>
    </w:rPr>
  </w:style>
  <w:style w:type="paragraph" w:styleId="FootnoteText">
    <w:name w:val="footnote text"/>
    <w:basedOn w:val="Normal"/>
    <w:link w:val="FootnoteTextChar"/>
    <w:uiPriority w:val="99"/>
    <w:unhideWhenUsed/>
    <w:rsid w:val="00E37B05"/>
    <w:pPr>
      <w:spacing w:after="0" w:line="240" w:lineRule="auto"/>
    </w:pPr>
    <w:rPr>
      <w:sz w:val="20"/>
      <w:szCs w:val="20"/>
    </w:rPr>
  </w:style>
  <w:style w:type="character" w:customStyle="1" w:styleId="FootnoteTextChar">
    <w:name w:val="Footnote Text Char"/>
    <w:basedOn w:val="DefaultParagraphFont"/>
    <w:link w:val="FootnoteText"/>
    <w:uiPriority w:val="99"/>
    <w:rsid w:val="00E37B05"/>
    <w:rPr>
      <w:sz w:val="20"/>
      <w:szCs w:val="20"/>
    </w:rPr>
  </w:style>
  <w:style w:type="character" w:styleId="FootnoteReference">
    <w:name w:val="footnote reference"/>
    <w:basedOn w:val="DefaultParagraphFont"/>
    <w:uiPriority w:val="99"/>
    <w:semiHidden/>
    <w:unhideWhenUsed/>
    <w:rsid w:val="00E37B05"/>
    <w:rPr>
      <w:vertAlign w:val="superscript"/>
    </w:rPr>
  </w:style>
  <w:style w:type="character" w:styleId="Hyperlink">
    <w:name w:val="Hyperlink"/>
    <w:basedOn w:val="DefaultParagraphFont"/>
    <w:uiPriority w:val="99"/>
    <w:unhideWhenUsed/>
    <w:rsid w:val="00373026"/>
    <w:rPr>
      <w:color w:val="0563C1" w:themeColor="hyperlink"/>
      <w:u w:val="single"/>
    </w:rPr>
  </w:style>
  <w:style w:type="character" w:customStyle="1" w:styleId="UnresolvedMention1">
    <w:name w:val="Unresolved Mention1"/>
    <w:basedOn w:val="DefaultParagraphFont"/>
    <w:uiPriority w:val="99"/>
    <w:semiHidden/>
    <w:unhideWhenUsed/>
    <w:rsid w:val="00373026"/>
    <w:rPr>
      <w:color w:val="605E5C"/>
      <w:shd w:val="clear" w:color="auto" w:fill="E1DFDD"/>
    </w:rPr>
  </w:style>
  <w:style w:type="paragraph" w:styleId="Caption">
    <w:name w:val="caption"/>
    <w:basedOn w:val="Normal"/>
    <w:next w:val="Normal"/>
    <w:uiPriority w:val="35"/>
    <w:unhideWhenUsed/>
    <w:qFormat/>
    <w:rsid w:val="004D2C17"/>
    <w:pPr>
      <w:spacing w:after="200" w:line="240" w:lineRule="auto"/>
      <w:jc w:val="center"/>
    </w:pPr>
    <w:rPr>
      <w:b/>
      <w:iCs/>
      <w:szCs w:val="18"/>
    </w:rPr>
  </w:style>
  <w:style w:type="paragraph" w:styleId="CommentText">
    <w:name w:val="annotation text"/>
    <w:basedOn w:val="Normal"/>
    <w:link w:val="CommentTextChar"/>
    <w:uiPriority w:val="99"/>
    <w:unhideWhenUsed/>
    <w:rsid w:val="005036C0"/>
    <w:pPr>
      <w:spacing w:line="240" w:lineRule="auto"/>
    </w:pPr>
    <w:rPr>
      <w:sz w:val="20"/>
      <w:szCs w:val="20"/>
    </w:rPr>
  </w:style>
  <w:style w:type="character" w:customStyle="1" w:styleId="CommentTextChar">
    <w:name w:val="Comment Text Char"/>
    <w:basedOn w:val="DefaultParagraphFont"/>
    <w:link w:val="CommentText"/>
    <w:uiPriority w:val="99"/>
    <w:rsid w:val="005036C0"/>
    <w:rPr>
      <w:sz w:val="20"/>
      <w:szCs w:val="20"/>
    </w:rPr>
  </w:style>
  <w:style w:type="character" w:styleId="CommentReference">
    <w:name w:val="annotation reference"/>
    <w:basedOn w:val="DefaultParagraphFont"/>
    <w:uiPriority w:val="99"/>
    <w:semiHidden/>
    <w:unhideWhenUsed/>
    <w:rsid w:val="00B24946"/>
    <w:rPr>
      <w:sz w:val="16"/>
      <w:szCs w:val="16"/>
    </w:rPr>
  </w:style>
  <w:style w:type="paragraph" w:styleId="CommentSubject">
    <w:name w:val="annotation subject"/>
    <w:basedOn w:val="CommentText"/>
    <w:next w:val="CommentText"/>
    <w:link w:val="CommentSubjectChar"/>
    <w:uiPriority w:val="99"/>
    <w:semiHidden/>
    <w:unhideWhenUsed/>
    <w:rsid w:val="00B24946"/>
    <w:rPr>
      <w:b/>
      <w:bCs/>
    </w:rPr>
  </w:style>
  <w:style w:type="character" w:customStyle="1" w:styleId="CommentSubjectChar">
    <w:name w:val="Comment Subject Char"/>
    <w:basedOn w:val="CommentTextChar"/>
    <w:link w:val="CommentSubject"/>
    <w:uiPriority w:val="99"/>
    <w:semiHidden/>
    <w:rsid w:val="00B24946"/>
    <w:rPr>
      <w:b/>
      <w:bCs/>
      <w:sz w:val="20"/>
      <w:szCs w:val="20"/>
    </w:rPr>
  </w:style>
  <w:style w:type="character" w:styleId="FollowedHyperlink">
    <w:name w:val="FollowedHyperlink"/>
    <w:basedOn w:val="DefaultParagraphFont"/>
    <w:uiPriority w:val="99"/>
    <w:semiHidden/>
    <w:unhideWhenUsed/>
    <w:rsid w:val="003B6C34"/>
    <w:rPr>
      <w:color w:val="954F72" w:themeColor="followedHyperlink"/>
      <w:u w:val="single"/>
    </w:rPr>
  </w:style>
  <w:style w:type="paragraph" w:styleId="Header">
    <w:name w:val="header"/>
    <w:basedOn w:val="Normal"/>
    <w:link w:val="HeaderChar"/>
    <w:uiPriority w:val="99"/>
    <w:unhideWhenUsed/>
    <w:rsid w:val="00587D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87DA8"/>
    <w:rPr>
      <w:rFonts w:ascii="Times New Roman" w:hAnsi="Times New Roman"/>
    </w:rPr>
  </w:style>
  <w:style w:type="paragraph" w:styleId="Footer">
    <w:name w:val="footer"/>
    <w:basedOn w:val="Normal"/>
    <w:link w:val="FooterChar"/>
    <w:uiPriority w:val="99"/>
    <w:unhideWhenUsed/>
    <w:rsid w:val="00587D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87DA8"/>
    <w:rPr>
      <w:rFonts w:ascii="Times New Roman" w:hAnsi="Times New Roman"/>
    </w:rPr>
  </w:style>
  <w:style w:type="paragraph" w:styleId="ListParagraph">
    <w:name w:val="List Paragraph"/>
    <w:basedOn w:val="Normal"/>
    <w:uiPriority w:val="34"/>
    <w:qFormat/>
    <w:rsid w:val="00C44E36"/>
    <w:pPr>
      <w:ind w:left="720"/>
      <w:contextualSpacing/>
    </w:pPr>
  </w:style>
  <w:style w:type="paragraph" w:styleId="Revision">
    <w:name w:val="Revision"/>
    <w:hidden/>
    <w:uiPriority w:val="99"/>
    <w:semiHidden/>
    <w:rsid w:val="00534EC7"/>
    <w:pPr>
      <w:spacing w:after="0" w:line="240" w:lineRule="auto"/>
    </w:pPr>
    <w:rPr>
      <w:rFonts w:ascii="Times New Roman" w:hAnsi="Times New Roman"/>
    </w:rPr>
  </w:style>
  <w:style w:type="character" w:styleId="Strong">
    <w:name w:val="Strong"/>
    <w:basedOn w:val="DefaultParagraphFont"/>
    <w:uiPriority w:val="22"/>
    <w:qFormat/>
    <w:rsid w:val="00B72F0C"/>
    <w:rPr>
      <w:b/>
      <w:bCs/>
    </w:rPr>
  </w:style>
  <w:style w:type="paragraph" w:styleId="BalloonText">
    <w:name w:val="Balloon Text"/>
    <w:basedOn w:val="Normal"/>
    <w:link w:val="BalloonTextChar"/>
    <w:uiPriority w:val="99"/>
    <w:semiHidden/>
    <w:unhideWhenUsed/>
    <w:rsid w:val="00116CD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6CD1"/>
    <w:rPr>
      <w:rFonts w:ascii="Segoe UI" w:hAnsi="Segoe UI" w:cs="Segoe UI"/>
      <w:sz w:val="18"/>
      <w:szCs w:val="18"/>
    </w:rPr>
  </w:style>
  <w:style w:type="character" w:styleId="UnresolvedMention">
    <w:name w:val="Unresolved Mention"/>
    <w:basedOn w:val="DefaultParagraphFont"/>
    <w:uiPriority w:val="99"/>
    <w:semiHidden/>
    <w:unhideWhenUsed/>
    <w:rsid w:val="00504F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7954123">
      <w:bodyDiv w:val="1"/>
      <w:marLeft w:val="0"/>
      <w:marRight w:val="0"/>
      <w:marTop w:val="0"/>
      <w:marBottom w:val="0"/>
      <w:divBdr>
        <w:top w:val="none" w:sz="0" w:space="0" w:color="auto"/>
        <w:left w:val="none" w:sz="0" w:space="0" w:color="auto"/>
        <w:bottom w:val="none" w:sz="0" w:space="0" w:color="auto"/>
        <w:right w:val="none" w:sz="0" w:space="0" w:color="auto"/>
      </w:divBdr>
    </w:div>
    <w:div w:id="548957206">
      <w:bodyDiv w:val="1"/>
      <w:marLeft w:val="0"/>
      <w:marRight w:val="0"/>
      <w:marTop w:val="0"/>
      <w:marBottom w:val="0"/>
      <w:divBdr>
        <w:top w:val="none" w:sz="0" w:space="0" w:color="auto"/>
        <w:left w:val="none" w:sz="0" w:space="0" w:color="auto"/>
        <w:bottom w:val="none" w:sz="0" w:space="0" w:color="auto"/>
        <w:right w:val="none" w:sz="0" w:space="0" w:color="auto"/>
      </w:divBdr>
    </w:div>
    <w:div w:id="951977968">
      <w:bodyDiv w:val="1"/>
      <w:marLeft w:val="0"/>
      <w:marRight w:val="0"/>
      <w:marTop w:val="0"/>
      <w:marBottom w:val="0"/>
      <w:divBdr>
        <w:top w:val="none" w:sz="0" w:space="0" w:color="auto"/>
        <w:left w:val="none" w:sz="0" w:space="0" w:color="auto"/>
        <w:bottom w:val="none" w:sz="0" w:space="0" w:color="auto"/>
        <w:right w:val="none" w:sz="0" w:space="0" w:color="auto"/>
      </w:divBdr>
    </w:div>
    <w:div w:id="1109087608">
      <w:bodyDiv w:val="1"/>
      <w:marLeft w:val="0"/>
      <w:marRight w:val="0"/>
      <w:marTop w:val="0"/>
      <w:marBottom w:val="0"/>
      <w:divBdr>
        <w:top w:val="none" w:sz="0" w:space="0" w:color="auto"/>
        <w:left w:val="none" w:sz="0" w:space="0" w:color="auto"/>
        <w:bottom w:val="none" w:sz="0" w:space="0" w:color="auto"/>
        <w:right w:val="none" w:sz="0" w:space="0" w:color="auto"/>
      </w:divBdr>
    </w:div>
    <w:div w:id="1137265540">
      <w:bodyDiv w:val="1"/>
      <w:marLeft w:val="0"/>
      <w:marRight w:val="0"/>
      <w:marTop w:val="0"/>
      <w:marBottom w:val="0"/>
      <w:divBdr>
        <w:top w:val="none" w:sz="0" w:space="0" w:color="auto"/>
        <w:left w:val="none" w:sz="0" w:space="0" w:color="auto"/>
        <w:bottom w:val="none" w:sz="0" w:space="0" w:color="auto"/>
        <w:right w:val="none" w:sz="0" w:space="0" w:color="auto"/>
      </w:divBdr>
    </w:div>
    <w:div w:id="1167089187">
      <w:bodyDiv w:val="1"/>
      <w:marLeft w:val="0"/>
      <w:marRight w:val="0"/>
      <w:marTop w:val="0"/>
      <w:marBottom w:val="0"/>
      <w:divBdr>
        <w:top w:val="none" w:sz="0" w:space="0" w:color="auto"/>
        <w:left w:val="none" w:sz="0" w:space="0" w:color="auto"/>
        <w:bottom w:val="none" w:sz="0" w:space="0" w:color="auto"/>
        <w:right w:val="none" w:sz="0" w:space="0" w:color="auto"/>
      </w:divBdr>
    </w:div>
    <w:div w:id="1339116267">
      <w:bodyDiv w:val="1"/>
      <w:marLeft w:val="0"/>
      <w:marRight w:val="0"/>
      <w:marTop w:val="0"/>
      <w:marBottom w:val="0"/>
      <w:divBdr>
        <w:top w:val="none" w:sz="0" w:space="0" w:color="auto"/>
        <w:left w:val="none" w:sz="0" w:space="0" w:color="auto"/>
        <w:bottom w:val="none" w:sz="0" w:space="0" w:color="auto"/>
        <w:right w:val="none" w:sz="0" w:space="0" w:color="auto"/>
      </w:divBdr>
    </w:div>
    <w:div w:id="1423140843">
      <w:bodyDiv w:val="1"/>
      <w:marLeft w:val="0"/>
      <w:marRight w:val="0"/>
      <w:marTop w:val="0"/>
      <w:marBottom w:val="0"/>
      <w:divBdr>
        <w:top w:val="none" w:sz="0" w:space="0" w:color="auto"/>
        <w:left w:val="none" w:sz="0" w:space="0" w:color="auto"/>
        <w:bottom w:val="none" w:sz="0" w:space="0" w:color="auto"/>
        <w:right w:val="none" w:sz="0" w:space="0" w:color="auto"/>
      </w:divBdr>
      <w:divsChild>
        <w:div w:id="981546437">
          <w:marLeft w:val="0"/>
          <w:marRight w:val="0"/>
          <w:marTop w:val="0"/>
          <w:marBottom w:val="0"/>
          <w:divBdr>
            <w:top w:val="none" w:sz="0" w:space="0" w:color="auto"/>
            <w:left w:val="none" w:sz="0" w:space="0" w:color="auto"/>
            <w:bottom w:val="none" w:sz="0" w:space="0" w:color="auto"/>
            <w:right w:val="none" w:sz="0" w:space="0" w:color="auto"/>
          </w:divBdr>
          <w:divsChild>
            <w:div w:id="79261469">
              <w:marLeft w:val="0"/>
              <w:marRight w:val="0"/>
              <w:marTop w:val="0"/>
              <w:marBottom w:val="0"/>
              <w:divBdr>
                <w:top w:val="none" w:sz="0" w:space="0" w:color="auto"/>
                <w:left w:val="none" w:sz="0" w:space="0" w:color="auto"/>
                <w:bottom w:val="none" w:sz="0" w:space="0" w:color="auto"/>
                <w:right w:val="none" w:sz="0" w:space="0" w:color="auto"/>
              </w:divBdr>
            </w:div>
            <w:div w:id="1218280398">
              <w:marLeft w:val="0"/>
              <w:marRight w:val="0"/>
              <w:marTop w:val="0"/>
              <w:marBottom w:val="0"/>
              <w:divBdr>
                <w:top w:val="none" w:sz="0" w:space="0" w:color="auto"/>
                <w:left w:val="none" w:sz="0" w:space="0" w:color="auto"/>
                <w:bottom w:val="none" w:sz="0" w:space="0" w:color="auto"/>
                <w:right w:val="none" w:sz="0" w:space="0" w:color="auto"/>
              </w:divBdr>
            </w:div>
          </w:divsChild>
        </w:div>
        <w:div w:id="1392313911">
          <w:marLeft w:val="0"/>
          <w:marRight w:val="0"/>
          <w:marTop w:val="0"/>
          <w:marBottom w:val="0"/>
          <w:divBdr>
            <w:top w:val="none" w:sz="0" w:space="0" w:color="auto"/>
            <w:left w:val="none" w:sz="0" w:space="0" w:color="auto"/>
            <w:bottom w:val="none" w:sz="0" w:space="0" w:color="auto"/>
            <w:right w:val="none" w:sz="0" w:space="0" w:color="auto"/>
          </w:divBdr>
          <w:divsChild>
            <w:div w:id="308632765">
              <w:marLeft w:val="0"/>
              <w:marRight w:val="0"/>
              <w:marTop w:val="0"/>
              <w:marBottom w:val="0"/>
              <w:divBdr>
                <w:top w:val="none" w:sz="0" w:space="0" w:color="auto"/>
                <w:left w:val="none" w:sz="0" w:space="0" w:color="auto"/>
                <w:bottom w:val="none" w:sz="0" w:space="0" w:color="auto"/>
                <w:right w:val="none" w:sz="0" w:space="0" w:color="auto"/>
              </w:divBdr>
              <w:divsChild>
                <w:div w:id="605429949">
                  <w:marLeft w:val="0"/>
                  <w:marRight w:val="0"/>
                  <w:marTop w:val="0"/>
                  <w:marBottom w:val="0"/>
                  <w:divBdr>
                    <w:top w:val="none" w:sz="0" w:space="0" w:color="auto"/>
                    <w:left w:val="none" w:sz="0" w:space="0" w:color="auto"/>
                    <w:bottom w:val="none" w:sz="0" w:space="0" w:color="auto"/>
                    <w:right w:val="none" w:sz="0" w:space="0" w:color="auto"/>
                  </w:divBdr>
                  <w:divsChild>
                    <w:div w:id="1333752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1537120">
      <w:bodyDiv w:val="1"/>
      <w:marLeft w:val="0"/>
      <w:marRight w:val="0"/>
      <w:marTop w:val="0"/>
      <w:marBottom w:val="0"/>
      <w:divBdr>
        <w:top w:val="none" w:sz="0" w:space="0" w:color="auto"/>
        <w:left w:val="none" w:sz="0" w:space="0" w:color="auto"/>
        <w:bottom w:val="none" w:sz="0" w:space="0" w:color="auto"/>
        <w:right w:val="none" w:sz="0" w:space="0" w:color="auto"/>
      </w:divBdr>
    </w:div>
    <w:div w:id="1672299131">
      <w:bodyDiv w:val="1"/>
      <w:marLeft w:val="0"/>
      <w:marRight w:val="0"/>
      <w:marTop w:val="0"/>
      <w:marBottom w:val="0"/>
      <w:divBdr>
        <w:top w:val="none" w:sz="0" w:space="0" w:color="auto"/>
        <w:left w:val="none" w:sz="0" w:space="0" w:color="auto"/>
        <w:bottom w:val="none" w:sz="0" w:space="0" w:color="auto"/>
        <w:right w:val="none" w:sz="0" w:space="0" w:color="auto"/>
      </w:divBdr>
    </w:div>
    <w:div w:id="1903520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https://qubstudentcloud-my.sharepoint.com/personal/3056497_ads_qub_ac_uk/Documents/Energy%20Profits%20Levy/main.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qubstudentcloud-my.sharepoint.com/personal/3056497_ads_qub_ac_uk/Documents/Energy%20Profits%20Levy/mai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qubstudentcloud-my.sharepoint.com/personal/3056497_ads_qub_ac_uk/Documents/Energy%20Profits%20Levy/mai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xlsx"/></Relationships>
</file>

<file path=word/charts/_rels/chart5.xml.rels><?xml version="1.0" encoding="UTF-8" standalone="yes"?>
<Relationships xmlns="http://schemas.openxmlformats.org/package/2006/relationships"><Relationship Id="rId3" Type="http://schemas.openxmlformats.org/officeDocument/2006/relationships/oleObject" Target="https://qubstudentcloud-my.sharepoint.com/personal/3056497_ads_qub_ac_uk/Documents/Energy%20Profits%20Levy/nsta-august-2022-production-projections-plus-ccc-and-beis-demand-projection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Sheet2!$B$2</c:f>
              <c:strCache>
                <c:ptCount val="1"/>
                <c:pt idx="0">
                  <c:v>Oil price</c:v>
                </c:pt>
              </c:strCache>
            </c:strRef>
          </c:tx>
          <c:spPr>
            <a:solidFill>
              <a:schemeClr val="tx1">
                <a:lumMod val="65000"/>
                <a:lumOff val="35000"/>
              </a:schemeClr>
            </a:solidFill>
            <a:ln>
              <a:noFill/>
            </a:ln>
            <a:effectLst/>
          </c:spPr>
          <c:invertIfNegative val="0"/>
          <c:cat>
            <c:strRef>
              <c:f>Sheet2!$A$3:$A$25</c:f>
              <c:strCache>
                <c:ptCount val="23"/>
                <c:pt idx="0">
                  <c:v>2003-04</c:v>
                </c:pt>
                <c:pt idx="1">
                  <c:v>2004-05</c:v>
                </c:pt>
                <c:pt idx="2">
                  <c:v>2005-06</c:v>
                </c:pt>
                <c:pt idx="3">
                  <c:v>2006-07</c:v>
                </c:pt>
                <c:pt idx="4">
                  <c:v>2007-08</c:v>
                </c:pt>
                <c:pt idx="5">
                  <c:v>2008-09</c:v>
                </c:pt>
                <c:pt idx="6">
                  <c:v>2009-10</c:v>
                </c:pt>
                <c:pt idx="7">
                  <c:v>2010-11</c:v>
                </c:pt>
                <c:pt idx="8">
                  <c:v>2011-12</c:v>
                </c:pt>
                <c:pt idx="9">
                  <c:v>2012-13</c:v>
                </c:pt>
                <c:pt idx="10">
                  <c:v>2013-14</c:v>
                </c:pt>
                <c:pt idx="11">
                  <c:v>2014-15</c:v>
                </c:pt>
                <c:pt idx="12">
                  <c:v>2015-16</c:v>
                </c:pt>
                <c:pt idx="13">
                  <c:v>2016-17</c:v>
                </c:pt>
                <c:pt idx="14">
                  <c:v>2017-18</c:v>
                </c:pt>
                <c:pt idx="15">
                  <c:v>2018-19</c:v>
                </c:pt>
                <c:pt idx="16">
                  <c:v>2019-20</c:v>
                </c:pt>
                <c:pt idx="17">
                  <c:v>2020-21</c:v>
                </c:pt>
                <c:pt idx="18">
                  <c:v>2021-22</c:v>
                </c:pt>
                <c:pt idx="19">
                  <c:v>2022-23</c:v>
                </c:pt>
                <c:pt idx="20">
                  <c:v>2023-24</c:v>
                </c:pt>
                <c:pt idx="21">
                  <c:v>2024-25</c:v>
                </c:pt>
                <c:pt idx="22">
                  <c:v>2025-26</c:v>
                </c:pt>
              </c:strCache>
            </c:strRef>
          </c:cat>
          <c:val>
            <c:numRef>
              <c:f>Sheet2!$B$3:$B$25</c:f>
              <c:numCache>
                <c:formatCode>0</c:formatCode>
                <c:ptCount val="23"/>
                <c:pt idx="0">
                  <c:v>28.852499999999999</c:v>
                </c:pt>
                <c:pt idx="1">
                  <c:v>38.297499999999999</c:v>
                </c:pt>
                <c:pt idx="2">
                  <c:v>54.434166500000003</c:v>
                </c:pt>
                <c:pt idx="3">
                  <c:v>65.389999750000001</c:v>
                </c:pt>
                <c:pt idx="4">
                  <c:v>72.712500000000006</c:v>
                </c:pt>
                <c:pt idx="5">
                  <c:v>97.567499999999995</c:v>
                </c:pt>
                <c:pt idx="6">
                  <c:v>61.865000000000009</c:v>
                </c:pt>
                <c:pt idx="7">
                  <c:v>79.635000000000005</c:v>
                </c:pt>
                <c:pt idx="8">
                  <c:v>111.0825</c:v>
                </c:pt>
                <c:pt idx="9">
                  <c:v>111.95833333333333</c:v>
                </c:pt>
                <c:pt idx="10">
                  <c:v>108.84583333333333</c:v>
                </c:pt>
                <c:pt idx="11">
                  <c:v>98.944166666666661</c:v>
                </c:pt>
                <c:pt idx="12">
                  <c:v>52.399166666666666</c:v>
                </c:pt>
                <c:pt idx="13">
                  <c:v>44.047499999999992</c:v>
                </c:pt>
                <c:pt idx="14">
                  <c:v>54.399999999999991</c:v>
                </c:pt>
                <c:pt idx="15">
                  <c:v>71.071666666666673</c:v>
                </c:pt>
                <c:pt idx="16">
                  <c:v>64.031666666666666</c:v>
                </c:pt>
                <c:pt idx="17">
                  <c:v>42.297499999999992</c:v>
                </c:pt>
                <c:pt idx="18">
                  <c:v>94.039186507936506</c:v>
                </c:pt>
              </c:numCache>
            </c:numRef>
          </c:val>
          <c:extLst>
            <c:ext xmlns:c16="http://schemas.microsoft.com/office/drawing/2014/chart" uri="{C3380CC4-5D6E-409C-BE32-E72D297353CC}">
              <c16:uniqueId val="{00000000-6D0B-42A0-AA3A-2E0FD5C92F1E}"/>
            </c:ext>
          </c:extLst>
        </c:ser>
        <c:ser>
          <c:idx val="1"/>
          <c:order val="1"/>
          <c:tx>
            <c:strRef>
              <c:f>Sheet2!$C$2</c:f>
              <c:strCache>
                <c:ptCount val="1"/>
                <c:pt idx="0">
                  <c:v>Forecast</c:v>
                </c:pt>
              </c:strCache>
            </c:strRef>
          </c:tx>
          <c:spPr>
            <a:solidFill>
              <a:schemeClr val="bg1">
                <a:lumMod val="75000"/>
              </a:schemeClr>
            </a:solidFill>
            <a:ln>
              <a:noFill/>
            </a:ln>
            <a:effectLst/>
          </c:spPr>
          <c:invertIfNegative val="0"/>
          <c:cat>
            <c:strRef>
              <c:f>Sheet2!$A$3:$A$25</c:f>
              <c:strCache>
                <c:ptCount val="23"/>
                <c:pt idx="0">
                  <c:v>2003-04</c:v>
                </c:pt>
                <c:pt idx="1">
                  <c:v>2004-05</c:v>
                </c:pt>
                <c:pt idx="2">
                  <c:v>2005-06</c:v>
                </c:pt>
                <c:pt idx="3">
                  <c:v>2006-07</c:v>
                </c:pt>
                <c:pt idx="4">
                  <c:v>2007-08</c:v>
                </c:pt>
                <c:pt idx="5">
                  <c:v>2008-09</c:v>
                </c:pt>
                <c:pt idx="6">
                  <c:v>2009-10</c:v>
                </c:pt>
                <c:pt idx="7">
                  <c:v>2010-11</c:v>
                </c:pt>
                <c:pt idx="8">
                  <c:v>2011-12</c:v>
                </c:pt>
                <c:pt idx="9">
                  <c:v>2012-13</c:v>
                </c:pt>
                <c:pt idx="10">
                  <c:v>2013-14</c:v>
                </c:pt>
                <c:pt idx="11">
                  <c:v>2014-15</c:v>
                </c:pt>
                <c:pt idx="12">
                  <c:v>2015-16</c:v>
                </c:pt>
                <c:pt idx="13">
                  <c:v>2016-17</c:v>
                </c:pt>
                <c:pt idx="14">
                  <c:v>2017-18</c:v>
                </c:pt>
                <c:pt idx="15">
                  <c:v>2018-19</c:v>
                </c:pt>
                <c:pt idx="16">
                  <c:v>2019-20</c:v>
                </c:pt>
                <c:pt idx="17">
                  <c:v>2020-21</c:v>
                </c:pt>
                <c:pt idx="18">
                  <c:v>2021-22</c:v>
                </c:pt>
                <c:pt idx="19">
                  <c:v>2022-23</c:v>
                </c:pt>
                <c:pt idx="20">
                  <c:v>2023-24</c:v>
                </c:pt>
                <c:pt idx="21">
                  <c:v>2024-25</c:v>
                </c:pt>
                <c:pt idx="22">
                  <c:v>2025-26</c:v>
                </c:pt>
              </c:strCache>
            </c:strRef>
          </c:cat>
          <c:val>
            <c:numRef>
              <c:f>Sheet2!$C$3:$C$25</c:f>
              <c:numCache>
                <c:formatCode>General</c:formatCode>
                <c:ptCount val="23"/>
                <c:pt idx="19">
                  <c:v>83.426000000000002</c:v>
                </c:pt>
                <c:pt idx="20">
                  <c:v>78.232090906339437</c:v>
                </c:pt>
                <c:pt idx="21">
                  <c:v>77.73539616577834</c:v>
                </c:pt>
                <c:pt idx="22">
                  <c:v>79.319573859076158</c:v>
                </c:pt>
              </c:numCache>
            </c:numRef>
          </c:val>
          <c:extLst>
            <c:ext xmlns:c16="http://schemas.microsoft.com/office/drawing/2014/chart" uri="{C3380CC4-5D6E-409C-BE32-E72D297353CC}">
              <c16:uniqueId val="{00000001-6D0B-42A0-AA3A-2E0FD5C92F1E}"/>
            </c:ext>
          </c:extLst>
        </c:ser>
        <c:dLbls>
          <c:showLegendKey val="0"/>
          <c:showVal val="0"/>
          <c:showCatName val="0"/>
          <c:showSerName val="0"/>
          <c:showPercent val="0"/>
          <c:showBubbleSize val="0"/>
        </c:dLbls>
        <c:gapWidth val="150"/>
        <c:axId val="671004848"/>
        <c:axId val="671005264"/>
      </c:barChart>
      <c:lineChart>
        <c:grouping val="standard"/>
        <c:varyColors val="0"/>
        <c:ser>
          <c:idx val="2"/>
          <c:order val="2"/>
          <c:tx>
            <c:strRef>
              <c:f>Sheet2!$D$2</c:f>
              <c:strCache>
                <c:ptCount val="1"/>
                <c:pt idx="0">
                  <c:v>RFCT &amp; SC</c:v>
                </c:pt>
              </c:strCache>
            </c:strRef>
          </c:tx>
          <c:spPr>
            <a:ln w="28575" cap="rnd">
              <a:solidFill>
                <a:schemeClr val="tx1">
                  <a:lumMod val="95000"/>
                  <a:lumOff val="5000"/>
                </a:schemeClr>
              </a:solidFill>
              <a:round/>
            </a:ln>
            <a:effectLst/>
          </c:spPr>
          <c:marker>
            <c:symbol val="none"/>
          </c:marker>
          <c:dPt>
            <c:idx val="18"/>
            <c:marker>
              <c:symbol val="none"/>
            </c:marker>
            <c:bubble3D val="0"/>
            <c:spPr>
              <a:ln w="28575" cap="rnd">
                <a:solidFill>
                  <a:schemeClr val="tx1">
                    <a:lumMod val="95000"/>
                    <a:lumOff val="5000"/>
                  </a:schemeClr>
                </a:solidFill>
                <a:prstDash val="sysDot"/>
                <a:round/>
              </a:ln>
              <a:effectLst/>
            </c:spPr>
            <c:extLst>
              <c:ext xmlns:c16="http://schemas.microsoft.com/office/drawing/2014/chart" uri="{C3380CC4-5D6E-409C-BE32-E72D297353CC}">
                <c16:uniqueId val="{00000000-F029-430F-9CDE-298B1C4CA42A}"/>
              </c:ext>
            </c:extLst>
          </c:dPt>
          <c:dPt>
            <c:idx val="22"/>
            <c:marker>
              <c:symbol val="none"/>
            </c:marker>
            <c:bubble3D val="0"/>
            <c:spPr>
              <a:ln w="28575" cap="rnd">
                <a:solidFill>
                  <a:schemeClr val="tx1">
                    <a:lumMod val="95000"/>
                    <a:lumOff val="5000"/>
                  </a:schemeClr>
                </a:solidFill>
                <a:prstDash val="sysDot"/>
                <a:round/>
              </a:ln>
              <a:effectLst/>
            </c:spPr>
            <c:extLst>
              <c:ext xmlns:c16="http://schemas.microsoft.com/office/drawing/2014/chart" uri="{C3380CC4-5D6E-409C-BE32-E72D297353CC}">
                <c16:uniqueId val="{00000001-F029-430F-9CDE-298B1C4CA42A}"/>
              </c:ext>
            </c:extLst>
          </c:dPt>
          <c:cat>
            <c:strRef>
              <c:f>Sheet2!$A$3:$A$25</c:f>
              <c:strCache>
                <c:ptCount val="23"/>
                <c:pt idx="0">
                  <c:v>2003-04</c:v>
                </c:pt>
                <c:pt idx="1">
                  <c:v>2004-05</c:v>
                </c:pt>
                <c:pt idx="2">
                  <c:v>2005-06</c:v>
                </c:pt>
                <c:pt idx="3">
                  <c:v>2006-07</c:v>
                </c:pt>
                <c:pt idx="4">
                  <c:v>2007-08</c:v>
                </c:pt>
                <c:pt idx="5">
                  <c:v>2008-09</c:v>
                </c:pt>
                <c:pt idx="6">
                  <c:v>2009-10</c:v>
                </c:pt>
                <c:pt idx="7">
                  <c:v>2010-11</c:v>
                </c:pt>
                <c:pt idx="8">
                  <c:v>2011-12</c:v>
                </c:pt>
                <c:pt idx="9">
                  <c:v>2012-13</c:v>
                </c:pt>
                <c:pt idx="10">
                  <c:v>2013-14</c:v>
                </c:pt>
                <c:pt idx="11">
                  <c:v>2014-15</c:v>
                </c:pt>
                <c:pt idx="12">
                  <c:v>2015-16</c:v>
                </c:pt>
                <c:pt idx="13">
                  <c:v>2016-17</c:v>
                </c:pt>
                <c:pt idx="14">
                  <c:v>2017-18</c:v>
                </c:pt>
                <c:pt idx="15">
                  <c:v>2018-19</c:v>
                </c:pt>
                <c:pt idx="16">
                  <c:v>2019-20</c:v>
                </c:pt>
                <c:pt idx="17">
                  <c:v>2020-21</c:v>
                </c:pt>
                <c:pt idx="18">
                  <c:v>2021-22</c:v>
                </c:pt>
                <c:pt idx="19">
                  <c:v>2022-23</c:v>
                </c:pt>
                <c:pt idx="20">
                  <c:v>2023-24</c:v>
                </c:pt>
                <c:pt idx="21">
                  <c:v>2024-25</c:v>
                </c:pt>
                <c:pt idx="22">
                  <c:v>2025-26</c:v>
                </c:pt>
              </c:strCache>
            </c:strRef>
          </c:cat>
          <c:val>
            <c:numRef>
              <c:f>Sheet2!$D$3:$D$25</c:f>
              <c:numCache>
                <c:formatCode>0%</c:formatCode>
                <c:ptCount val="23"/>
                <c:pt idx="0">
                  <c:v>0.4</c:v>
                </c:pt>
                <c:pt idx="1">
                  <c:v>0.4</c:v>
                </c:pt>
                <c:pt idx="2">
                  <c:v>0.4</c:v>
                </c:pt>
                <c:pt idx="3">
                  <c:v>0.5</c:v>
                </c:pt>
                <c:pt idx="4">
                  <c:v>0.5</c:v>
                </c:pt>
                <c:pt idx="5">
                  <c:v>0.5</c:v>
                </c:pt>
                <c:pt idx="6">
                  <c:v>0.5</c:v>
                </c:pt>
                <c:pt idx="7">
                  <c:v>0.5</c:v>
                </c:pt>
                <c:pt idx="8">
                  <c:v>0.62</c:v>
                </c:pt>
                <c:pt idx="9">
                  <c:v>0.62</c:v>
                </c:pt>
                <c:pt idx="10">
                  <c:v>0.62</c:v>
                </c:pt>
                <c:pt idx="11">
                  <c:v>0.62</c:v>
                </c:pt>
                <c:pt idx="12">
                  <c:v>0.6</c:v>
                </c:pt>
                <c:pt idx="13">
                  <c:v>0.4</c:v>
                </c:pt>
                <c:pt idx="14">
                  <c:v>0.4</c:v>
                </c:pt>
                <c:pt idx="15">
                  <c:v>0.4</c:v>
                </c:pt>
                <c:pt idx="16">
                  <c:v>0.4</c:v>
                </c:pt>
                <c:pt idx="17">
                  <c:v>0.4</c:v>
                </c:pt>
                <c:pt idx="18">
                  <c:v>0.65</c:v>
                </c:pt>
                <c:pt idx="21">
                  <c:v>0.65</c:v>
                </c:pt>
                <c:pt idx="22">
                  <c:v>0.4</c:v>
                </c:pt>
              </c:numCache>
            </c:numRef>
          </c:val>
          <c:smooth val="0"/>
          <c:extLst>
            <c:ext xmlns:c16="http://schemas.microsoft.com/office/drawing/2014/chart" uri="{C3380CC4-5D6E-409C-BE32-E72D297353CC}">
              <c16:uniqueId val="{00000002-6D0B-42A0-AA3A-2E0FD5C92F1E}"/>
            </c:ext>
          </c:extLst>
        </c:ser>
        <c:ser>
          <c:idx val="3"/>
          <c:order val="3"/>
          <c:tx>
            <c:strRef>
              <c:f>Sheet2!$E$2</c:f>
              <c:strCache>
                <c:ptCount val="1"/>
                <c:pt idx="0">
                  <c:v>inc. EPL</c:v>
                </c:pt>
              </c:strCache>
            </c:strRef>
          </c:tx>
          <c:spPr>
            <a:ln w="28575" cap="rnd">
              <a:solidFill>
                <a:schemeClr val="tx1">
                  <a:lumMod val="95000"/>
                  <a:lumOff val="5000"/>
                </a:schemeClr>
              </a:solidFill>
              <a:prstDash val="sysDot"/>
              <a:round/>
            </a:ln>
            <a:effectLst/>
          </c:spPr>
          <c:marker>
            <c:symbol val="none"/>
          </c:marker>
          <c:cat>
            <c:strRef>
              <c:f>Sheet2!$A$3:$A$25</c:f>
              <c:strCache>
                <c:ptCount val="23"/>
                <c:pt idx="0">
                  <c:v>2003-04</c:v>
                </c:pt>
                <c:pt idx="1">
                  <c:v>2004-05</c:v>
                </c:pt>
                <c:pt idx="2">
                  <c:v>2005-06</c:v>
                </c:pt>
                <c:pt idx="3">
                  <c:v>2006-07</c:v>
                </c:pt>
                <c:pt idx="4">
                  <c:v>2007-08</c:v>
                </c:pt>
                <c:pt idx="5">
                  <c:v>2008-09</c:v>
                </c:pt>
                <c:pt idx="6">
                  <c:v>2009-10</c:v>
                </c:pt>
                <c:pt idx="7">
                  <c:v>2010-11</c:v>
                </c:pt>
                <c:pt idx="8">
                  <c:v>2011-12</c:v>
                </c:pt>
                <c:pt idx="9">
                  <c:v>2012-13</c:v>
                </c:pt>
                <c:pt idx="10">
                  <c:v>2013-14</c:v>
                </c:pt>
                <c:pt idx="11">
                  <c:v>2014-15</c:v>
                </c:pt>
                <c:pt idx="12">
                  <c:v>2015-16</c:v>
                </c:pt>
                <c:pt idx="13">
                  <c:v>2016-17</c:v>
                </c:pt>
                <c:pt idx="14">
                  <c:v>2017-18</c:v>
                </c:pt>
                <c:pt idx="15">
                  <c:v>2018-19</c:v>
                </c:pt>
                <c:pt idx="16">
                  <c:v>2019-20</c:v>
                </c:pt>
                <c:pt idx="17">
                  <c:v>2020-21</c:v>
                </c:pt>
                <c:pt idx="18">
                  <c:v>2021-22</c:v>
                </c:pt>
                <c:pt idx="19">
                  <c:v>2022-23</c:v>
                </c:pt>
                <c:pt idx="20">
                  <c:v>2023-24</c:v>
                </c:pt>
                <c:pt idx="21">
                  <c:v>2024-25</c:v>
                </c:pt>
                <c:pt idx="22">
                  <c:v>2025-26</c:v>
                </c:pt>
              </c:strCache>
            </c:strRef>
          </c:cat>
          <c:val>
            <c:numRef>
              <c:f>Sheet2!$E$3:$E$25</c:f>
              <c:numCache>
                <c:formatCode>General</c:formatCode>
                <c:ptCount val="23"/>
                <c:pt idx="18" formatCode="0%">
                  <c:v>0.65</c:v>
                </c:pt>
                <c:pt idx="19" formatCode="0%">
                  <c:v>0.65</c:v>
                </c:pt>
                <c:pt idx="20" formatCode="0%">
                  <c:v>0.65</c:v>
                </c:pt>
                <c:pt idx="21" formatCode="0%">
                  <c:v>0.65</c:v>
                </c:pt>
              </c:numCache>
            </c:numRef>
          </c:val>
          <c:smooth val="0"/>
          <c:extLst>
            <c:ext xmlns:c16="http://schemas.microsoft.com/office/drawing/2014/chart" uri="{C3380CC4-5D6E-409C-BE32-E72D297353CC}">
              <c16:uniqueId val="{00000003-6D0B-42A0-AA3A-2E0FD5C92F1E}"/>
            </c:ext>
          </c:extLst>
        </c:ser>
        <c:dLbls>
          <c:showLegendKey val="0"/>
          <c:showVal val="0"/>
          <c:showCatName val="0"/>
          <c:showSerName val="0"/>
          <c:showPercent val="0"/>
          <c:showBubbleSize val="0"/>
        </c:dLbls>
        <c:marker val="1"/>
        <c:smooth val="0"/>
        <c:axId val="632933024"/>
        <c:axId val="632924704"/>
      </c:lineChart>
      <c:catAx>
        <c:axId val="671004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71005264"/>
        <c:crosses val="autoZero"/>
        <c:auto val="1"/>
        <c:lblAlgn val="ctr"/>
        <c:lblOffset val="100"/>
        <c:noMultiLvlLbl val="0"/>
      </c:catAx>
      <c:valAx>
        <c:axId val="6710052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71004848"/>
        <c:crosses val="autoZero"/>
        <c:crossBetween val="between"/>
      </c:valAx>
      <c:valAx>
        <c:axId val="632924704"/>
        <c:scaling>
          <c:orientation val="minMax"/>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32933024"/>
        <c:crosses val="max"/>
        <c:crossBetween val="between"/>
      </c:valAx>
      <c:catAx>
        <c:axId val="632933024"/>
        <c:scaling>
          <c:orientation val="minMax"/>
        </c:scaling>
        <c:delete val="1"/>
        <c:axPos val="b"/>
        <c:numFmt formatCode="General" sourceLinked="1"/>
        <c:majorTickMark val="out"/>
        <c:minorTickMark val="none"/>
        <c:tickLblPos val="nextTo"/>
        <c:crossAx val="63292470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lumMod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stacked"/>
        <c:varyColors val="0"/>
        <c:ser>
          <c:idx val="0"/>
          <c:order val="0"/>
          <c:tx>
            <c:strRef>
              <c:f>Sheet3!$B$1</c:f>
              <c:strCache>
                <c:ptCount val="1"/>
                <c:pt idx="0">
                  <c:v>Tax Receipts</c:v>
                </c:pt>
              </c:strCache>
            </c:strRef>
          </c:tx>
          <c:spPr>
            <a:solidFill>
              <a:schemeClr val="bg2">
                <a:lumMod val="10000"/>
              </a:schemeClr>
            </a:solidFill>
            <a:ln>
              <a:noFill/>
            </a:ln>
            <a:effectLst/>
          </c:spPr>
          <c:invertIfNegative val="0"/>
          <c:cat>
            <c:strRef>
              <c:f>Sheet3!$A$2:$A$6</c:f>
              <c:strCache>
                <c:ptCount val="5"/>
                <c:pt idx="0">
                  <c:v>2016-17</c:v>
                </c:pt>
                <c:pt idx="1">
                  <c:v>2017-18</c:v>
                </c:pt>
                <c:pt idx="2">
                  <c:v>2018-19</c:v>
                </c:pt>
                <c:pt idx="3">
                  <c:v>2019-20</c:v>
                </c:pt>
                <c:pt idx="4">
                  <c:v>2020-21</c:v>
                </c:pt>
              </c:strCache>
            </c:strRef>
          </c:cat>
          <c:val>
            <c:numRef>
              <c:f>Sheet3!$B$2:$B$6</c:f>
              <c:numCache>
                <c:formatCode>0</c:formatCode>
                <c:ptCount val="5"/>
                <c:pt idx="0">
                  <c:v>-31</c:v>
                </c:pt>
                <c:pt idx="1">
                  <c:v>1225</c:v>
                </c:pt>
                <c:pt idx="2">
                  <c:v>1123</c:v>
                </c:pt>
                <c:pt idx="3">
                  <c:v>575</c:v>
                </c:pt>
                <c:pt idx="4">
                  <c:v>450</c:v>
                </c:pt>
              </c:numCache>
            </c:numRef>
          </c:val>
          <c:extLst>
            <c:ext xmlns:c16="http://schemas.microsoft.com/office/drawing/2014/chart" uri="{C3380CC4-5D6E-409C-BE32-E72D297353CC}">
              <c16:uniqueId val="{00000000-95B3-409C-8DD2-90AF97402DC0}"/>
            </c:ext>
          </c:extLst>
        </c:ser>
        <c:ser>
          <c:idx val="1"/>
          <c:order val="1"/>
          <c:tx>
            <c:strRef>
              <c:f>Sheet3!$C$1</c:f>
              <c:strCache>
                <c:ptCount val="1"/>
                <c:pt idx="0">
                  <c:v>Capital Allowances</c:v>
                </c:pt>
              </c:strCache>
            </c:strRef>
          </c:tx>
          <c:spPr>
            <a:solidFill>
              <a:schemeClr val="tx1">
                <a:lumMod val="50000"/>
                <a:lumOff val="50000"/>
              </a:schemeClr>
            </a:solidFill>
            <a:ln>
              <a:noFill/>
            </a:ln>
            <a:effectLst/>
          </c:spPr>
          <c:invertIfNegative val="0"/>
          <c:cat>
            <c:strRef>
              <c:f>Sheet3!$A$2:$A$6</c:f>
              <c:strCache>
                <c:ptCount val="5"/>
                <c:pt idx="0">
                  <c:v>2016-17</c:v>
                </c:pt>
                <c:pt idx="1">
                  <c:v>2017-18</c:v>
                </c:pt>
                <c:pt idx="2">
                  <c:v>2018-19</c:v>
                </c:pt>
                <c:pt idx="3">
                  <c:v>2019-20</c:v>
                </c:pt>
                <c:pt idx="4">
                  <c:v>2020-21</c:v>
                </c:pt>
              </c:strCache>
            </c:strRef>
          </c:cat>
          <c:val>
            <c:numRef>
              <c:f>Sheet3!$C$2:$C$6</c:f>
              <c:numCache>
                <c:formatCode>0</c:formatCode>
                <c:ptCount val="5"/>
                <c:pt idx="0">
                  <c:v>1500</c:v>
                </c:pt>
                <c:pt idx="1">
                  <c:v>1500</c:v>
                </c:pt>
                <c:pt idx="2">
                  <c:v>1300</c:v>
                </c:pt>
                <c:pt idx="3">
                  <c:v>1400</c:v>
                </c:pt>
                <c:pt idx="4">
                  <c:v>750</c:v>
                </c:pt>
              </c:numCache>
            </c:numRef>
          </c:val>
          <c:extLst>
            <c:ext xmlns:c16="http://schemas.microsoft.com/office/drawing/2014/chart" uri="{C3380CC4-5D6E-409C-BE32-E72D297353CC}">
              <c16:uniqueId val="{00000001-95B3-409C-8DD2-90AF97402DC0}"/>
            </c:ext>
          </c:extLst>
        </c:ser>
        <c:ser>
          <c:idx val="2"/>
          <c:order val="2"/>
          <c:tx>
            <c:strRef>
              <c:f>Sheet3!$D$1</c:f>
              <c:strCache>
                <c:ptCount val="1"/>
                <c:pt idx="0">
                  <c:v>Field and Investment Allowances</c:v>
                </c:pt>
              </c:strCache>
            </c:strRef>
          </c:tx>
          <c:spPr>
            <a:solidFill>
              <a:schemeClr val="bg1">
                <a:lumMod val="75000"/>
              </a:schemeClr>
            </a:solidFill>
            <a:ln>
              <a:noFill/>
            </a:ln>
            <a:effectLst/>
          </c:spPr>
          <c:invertIfNegative val="0"/>
          <c:cat>
            <c:strRef>
              <c:f>Sheet3!$A$2:$A$6</c:f>
              <c:strCache>
                <c:ptCount val="5"/>
                <c:pt idx="0">
                  <c:v>2016-17</c:v>
                </c:pt>
                <c:pt idx="1">
                  <c:v>2017-18</c:v>
                </c:pt>
                <c:pt idx="2">
                  <c:v>2018-19</c:v>
                </c:pt>
                <c:pt idx="3">
                  <c:v>2019-20</c:v>
                </c:pt>
                <c:pt idx="4">
                  <c:v>2020-21</c:v>
                </c:pt>
              </c:strCache>
            </c:strRef>
          </c:cat>
          <c:val>
            <c:numRef>
              <c:f>Sheet3!$D$2:$D$6</c:f>
              <c:numCache>
                <c:formatCode>0</c:formatCode>
                <c:ptCount val="5"/>
                <c:pt idx="0">
                  <c:v>95</c:v>
                </c:pt>
                <c:pt idx="1">
                  <c:v>120</c:v>
                </c:pt>
                <c:pt idx="2">
                  <c:v>250</c:v>
                </c:pt>
                <c:pt idx="3">
                  <c:v>220</c:v>
                </c:pt>
                <c:pt idx="4">
                  <c:v>130</c:v>
                </c:pt>
              </c:numCache>
            </c:numRef>
          </c:val>
          <c:extLst>
            <c:ext xmlns:c16="http://schemas.microsoft.com/office/drawing/2014/chart" uri="{C3380CC4-5D6E-409C-BE32-E72D297353CC}">
              <c16:uniqueId val="{00000002-95B3-409C-8DD2-90AF97402DC0}"/>
            </c:ext>
          </c:extLst>
        </c:ser>
        <c:ser>
          <c:idx val="3"/>
          <c:order val="3"/>
          <c:tx>
            <c:strRef>
              <c:f>Sheet3!$E$1</c:f>
              <c:strCache>
                <c:ptCount val="1"/>
                <c:pt idx="0">
                  <c:v>Relief for Decomissioning</c:v>
                </c:pt>
              </c:strCache>
            </c:strRef>
          </c:tx>
          <c:spPr>
            <a:solidFill>
              <a:schemeClr val="bg1">
                <a:lumMod val="85000"/>
              </a:schemeClr>
            </a:solidFill>
            <a:ln>
              <a:noFill/>
            </a:ln>
            <a:effectLst/>
          </c:spPr>
          <c:invertIfNegative val="0"/>
          <c:cat>
            <c:strRef>
              <c:f>Sheet3!$A$2:$A$6</c:f>
              <c:strCache>
                <c:ptCount val="5"/>
                <c:pt idx="0">
                  <c:v>2016-17</c:v>
                </c:pt>
                <c:pt idx="1">
                  <c:v>2017-18</c:v>
                </c:pt>
                <c:pt idx="2">
                  <c:v>2018-19</c:v>
                </c:pt>
                <c:pt idx="3">
                  <c:v>2019-20</c:v>
                </c:pt>
                <c:pt idx="4">
                  <c:v>2020-21</c:v>
                </c:pt>
              </c:strCache>
            </c:strRef>
          </c:cat>
          <c:val>
            <c:numRef>
              <c:f>Sheet3!$E$2:$E$6</c:f>
              <c:numCache>
                <c:formatCode>General</c:formatCode>
                <c:ptCount val="5"/>
                <c:pt idx="0">
                  <c:v>520</c:v>
                </c:pt>
                <c:pt idx="1">
                  <c:v>650</c:v>
                </c:pt>
                <c:pt idx="2">
                  <c:v>700</c:v>
                </c:pt>
                <c:pt idx="3">
                  <c:v>620</c:v>
                </c:pt>
                <c:pt idx="4">
                  <c:v>460</c:v>
                </c:pt>
              </c:numCache>
            </c:numRef>
          </c:val>
          <c:extLst>
            <c:ext xmlns:c16="http://schemas.microsoft.com/office/drawing/2014/chart" uri="{C3380CC4-5D6E-409C-BE32-E72D297353CC}">
              <c16:uniqueId val="{00000003-95B3-409C-8DD2-90AF97402DC0}"/>
            </c:ext>
          </c:extLst>
        </c:ser>
        <c:dLbls>
          <c:showLegendKey val="0"/>
          <c:showVal val="0"/>
          <c:showCatName val="0"/>
          <c:showSerName val="0"/>
          <c:showPercent val="0"/>
          <c:showBubbleSize val="0"/>
        </c:dLbls>
        <c:gapWidth val="150"/>
        <c:overlap val="100"/>
        <c:axId val="2041511424"/>
        <c:axId val="2041519328"/>
      </c:barChart>
      <c:catAx>
        <c:axId val="2041511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41519328"/>
        <c:crosses val="autoZero"/>
        <c:auto val="1"/>
        <c:lblAlgn val="ctr"/>
        <c:lblOffset val="100"/>
        <c:noMultiLvlLbl val="0"/>
      </c:catAx>
      <c:valAx>
        <c:axId val="2041519328"/>
        <c:scaling>
          <c:orientation val="minMax"/>
          <c:max val="3500"/>
          <c:min val="-1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41511424"/>
        <c:crosses val="autoZero"/>
        <c:crossBetween val="between"/>
      </c:valAx>
      <c:spPr>
        <a:noFill/>
        <a:ln>
          <a:noFill/>
        </a:ln>
        <a:effectLst/>
      </c:spPr>
    </c:plotArea>
    <c:legend>
      <c:legendPos val="b"/>
      <c:layout>
        <c:manualLayout>
          <c:xMode val="edge"/>
          <c:yMode val="edge"/>
          <c:x val="0"/>
          <c:y val="0.75885074451530465"/>
          <c:w val="1"/>
          <c:h val="0.20094655276843709"/>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areaChart>
        <c:grouping val="standard"/>
        <c:varyColors val="0"/>
        <c:ser>
          <c:idx val="0"/>
          <c:order val="0"/>
          <c:tx>
            <c:strRef>
              <c:f>Sheet1!$B$1</c:f>
              <c:strCache>
                <c:ptCount val="1"/>
                <c:pt idx="0">
                  <c:v>Sales (Oil and Gas)</c:v>
                </c:pt>
              </c:strCache>
            </c:strRef>
          </c:tx>
          <c:spPr>
            <a:solidFill>
              <a:schemeClr val="bg1">
                <a:lumMod val="85000"/>
              </a:schemeClr>
            </a:solidFill>
            <a:ln>
              <a:noFill/>
            </a:ln>
            <a:effectLst/>
          </c:spPr>
          <c:dLbls>
            <c:dLbl>
              <c:idx val="0"/>
              <c:delete val="1"/>
              <c:extLst>
                <c:ext xmlns:c15="http://schemas.microsoft.com/office/drawing/2012/chart" uri="{CE6537A1-D6FC-4f65-9D91-7224C49458BB}"/>
                <c:ext xmlns:c16="http://schemas.microsoft.com/office/drawing/2014/chart" uri="{C3380CC4-5D6E-409C-BE32-E72D297353CC}">
                  <c16:uniqueId val="{0000000B-60C5-4314-9846-DE707A71D4A8}"/>
                </c:ext>
              </c:extLst>
            </c:dLbl>
            <c:dLbl>
              <c:idx val="1"/>
              <c:delete val="1"/>
              <c:extLst>
                <c:ext xmlns:c15="http://schemas.microsoft.com/office/drawing/2012/chart" uri="{CE6537A1-D6FC-4f65-9D91-7224C49458BB}"/>
                <c:ext xmlns:c16="http://schemas.microsoft.com/office/drawing/2014/chart" uri="{C3380CC4-5D6E-409C-BE32-E72D297353CC}">
                  <c16:uniqueId val="{0000000A-60C5-4314-9846-DE707A71D4A8}"/>
                </c:ext>
              </c:extLst>
            </c:dLbl>
            <c:dLbl>
              <c:idx val="2"/>
              <c:delete val="1"/>
              <c:extLst>
                <c:ext xmlns:c15="http://schemas.microsoft.com/office/drawing/2012/chart" uri="{CE6537A1-D6FC-4f65-9D91-7224C49458BB}"/>
                <c:ext xmlns:c16="http://schemas.microsoft.com/office/drawing/2014/chart" uri="{C3380CC4-5D6E-409C-BE32-E72D297353CC}">
                  <c16:uniqueId val="{00000009-60C5-4314-9846-DE707A71D4A8}"/>
                </c:ext>
              </c:extLst>
            </c:dLbl>
            <c:dLbl>
              <c:idx val="3"/>
              <c:delete val="1"/>
              <c:extLst>
                <c:ext xmlns:c15="http://schemas.microsoft.com/office/drawing/2012/chart" uri="{CE6537A1-D6FC-4f65-9D91-7224C49458BB}"/>
                <c:ext xmlns:c16="http://schemas.microsoft.com/office/drawing/2014/chart" uri="{C3380CC4-5D6E-409C-BE32-E72D297353CC}">
                  <c16:uniqueId val="{00000006-60C5-4314-9846-DE707A71D4A8}"/>
                </c:ext>
              </c:extLst>
            </c:dLbl>
            <c:dLbl>
              <c:idx val="4"/>
              <c:delete val="1"/>
              <c:extLst>
                <c:ext xmlns:c15="http://schemas.microsoft.com/office/drawing/2012/chart" uri="{CE6537A1-D6FC-4f65-9D91-7224C49458BB}"/>
                <c:ext xmlns:c16="http://schemas.microsoft.com/office/drawing/2014/chart" uri="{C3380CC4-5D6E-409C-BE32-E72D297353CC}">
                  <c16:uniqueId val="{00000008-60C5-4314-9846-DE707A71D4A8}"/>
                </c:ext>
              </c:extLst>
            </c:dLbl>
            <c:dLbl>
              <c:idx val="5"/>
              <c:delete val="1"/>
              <c:extLst>
                <c:ext xmlns:c15="http://schemas.microsoft.com/office/drawing/2012/chart" uri="{CE6537A1-D6FC-4f65-9D91-7224C49458BB}"/>
                <c:ext xmlns:c16="http://schemas.microsoft.com/office/drawing/2014/chart" uri="{C3380CC4-5D6E-409C-BE32-E72D297353CC}">
                  <c16:uniqueId val="{00000007-60C5-4314-9846-DE707A71D4A8}"/>
                </c:ext>
              </c:extLst>
            </c:dLbl>
            <c:dLbl>
              <c:idx val="6"/>
              <c:delete val="1"/>
              <c:extLst>
                <c:ext xmlns:c15="http://schemas.microsoft.com/office/drawing/2012/chart" uri="{CE6537A1-D6FC-4f65-9D91-7224C49458BB}"/>
                <c:ext xmlns:c16="http://schemas.microsoft.com/office/drawing/2014/chart" uri="{C3380CC4-5D6E-409C-BE32-E72D297353CC}">
                  <c16:uniqueId val="{0000000C-60C5-4314-9846-DE707A71D4A8}"/>
                </c:ext>
              </c:extLst>
            </c:dLbl>
            <c:dLbl>
              <c:idx val="7"/>
              <c:delete val="1"/>
              <c:extLst>
                <c:ext xmlns:c15="http://schemas.microsoft.com/office/drawing/2012/chart" uri="{CE6537A1-D6FC-4f65-9D91-7224C49458BB}"/>
                <c:ext xmlns:c16="http://schemas.microsoft.com/office/drawing/2014/chart" uri="{C3380CC4-5D6E-409C-BE32-E72D297353CC}">
                  <c16:uniqueId val="{00000005-60C5-4314-9846-DE707A71D4A8}"/>
                </c:ext>
              </c:extLst>
            </c:dLbl>
            <c:dLbl>
              <c:idx val="8"/>
              <c:delete val="1"/>
              <c:extLst>
                <c:ext xmlns:c15="http://schemas.microsoft.com/office/drawing/2012/chart" uri="{CE6537A1-D6FC-4f65-9D91-7224C49458BB}"/>
                <c:ext xmlns:c16="http://schemas.microsoft.com/office/drawing/2014/chart" uri="{C3380CC4-5D6E-409C-BE32-E72D297353CC}">
                  <c16:uniqueId val="{0000000D-60C5-4314-9846-DE707A71D4A8}"/>
                </c:ext>
              </c:extLst>
            </c:dLbl>
            <c:dLbl>
              <c:idx val="9"/>
              <c:delete val="1"/>
              <c:extLst>
                <c:ext xmlns:c15="http://schemas.microsoft.com/office/drawing/2012/chart" uri="{CE6537A1-D6FC-4f65-9D91-7224C49458BB}"/>
                <c:ext xmlns:c16="http://schemas.microsoft.com/office/drawing/2014/chart" uri="{C3380CC4-5D6E-409C-BE32-E72D297353CC}">
                  <c16:uniqueId val="{00000004-60C5-4314-9846-DE707A71D4A8}"/>
                </c:ext>
              </c:extLst>
            </c:dLbl>
            <c:dLbl>
              <c:idx val="10"/>
              <c:layout>
                <c:manualLayout>
                  <c:x val="-0.13872530196711375"/>
                  <c:y val="0.16860916427911107"/>
                </c:manualLayout>
              </c:layout>
              <c:tx>
                <c:rich>
                  <a:bodyPr rot="0" spcFirstLastPara="1" vertOverflow="clip" horzOverflow="clip" vert="horz" wrap="square" lIns="38100" tIns="19050" rIns="38100" bIns="19050" anchor="ctr" anchorCtr="0">
                    <a:noAutofit/>
                  </a:bodyPr>
                  <a:lstStyle/>
                  <a:p>
                    <a:pPr algn="l">
                      <a:defRPr sz="1100" b="0"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a:solidFill>
                          <a:schemeClr val="bg1"/>
                        </a:solidFill>
                      </a:rPr>
                      <a:t>Tax Receipts</a:t>
                    </a:r>
                  </a:p>
                </c:rich>
              </c:tx>
              <c:spPr>
                <a:xfrm>
                  <a:off x="716512" y="2088062"/>
                  <a:ext cx="723539" cy="258252"/>
                </a:xfrm>
                <a:noFill/>
                <a:ln w="9525" cap="flat" cmpd="sng" algn="ctr">
                  <a:no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c:spPr>
              <c:txPr>
                <a:bodyPr rot="0" spcFirstLastPara="1" vertOverflow="clip" horzOverflow="clip" vert="horz" wrap="square" lIns="38100" tIns="19050" rIns="38100" bIns="19050" anchor="ctr" anchorCtr="0">
                  <a:noAutofit/>
                </a:bodyPr>
                <a:lstStyle/>
                <a:p>
                  <a:pPr algn="l">
                    <a:defRPr sz="11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gd name="adj1" fmla="val 22743"/>
                        <a:gd name="adj2" fmla="val 51320"/>
                      </a:avLst>
                    </a:prstGeom>
                    <a:noFill/>
                    <a:ln>
                      <a:noFill/>
                    </a:ln>
                  </c15:spPr>
                  <c15:layout>
                    <c:manualLayout>
                      <c:w val="0.43153738208466508"/>
                      <c:h val="8.4657798291450037E-2"/>
                    </c:manualLayout>
                  </c15:layout>
                  <c15:showDataLabelsRange val="0"/>
                </c:ext>
                <c:ext xmlns:c16="http://schemas.microsoft.com/office/drawing/2014/chart" uri="{C3380CC4-5D6E-409C-BE32-E72D297353CC}">
                  <c16:uniqueId val="{00000011-60C5-4314-9846-DE707A71D4A8}"/>
                </c:ext>
              </c:extLst>
            </c:dLbl>
            <c:dLbl>
              <c:idx val="11"/>
              <c:delete val="1"/>
              <c:extLst>
                <c:ext xmlns:c15="http://schemas.microsoft.com/office/drawing/2012/chart" uri="{CE6537A1-D6FC-4f65-9D91-7224C49458BB}"/>
                <c:ext xmlns:c16="http://schemas.microsoft.com/office/drawing/2014/chart" uri="{C3380CC4-5D6E-409C-BE32-E72D297353CC}">
                  <c16:uniqueId val="{00000003-60C5-4314-9846-DE707A71D4A8}"/>
                </c:ext>
              </c:extLst>
            </c:dLbl>
            <c:dLbl>
              <c:idx val="12"/>
              <c:delete val="1"/>
              <c:extLst>
                <c:ext xmlns:c15="http://schemas.microsoft.com/office/drawing/2012/chart" uri="{CE6537A1-D6FC-4f65-9D91-7224C49458BB}"/>
                <c:ext xmlns:c16="http://schemas.microsoft.com/office/drawing/2014/chart" uri="{C3380CC4-5D6E-409C-BE32-E72D297353CC}">
                  <c16:uniqueId val="{0000000F-60C5-4314-9846-DE707A71D4A8}"/>
                </c:ext>
              </c:extLst>
            </c:dLbl>
            <c:dLbl>
              <c:idx val="13"/>
              <c:delete val="1"/>
              <c:extLst>
                <c:ext xmlns:c15="http://schemas.microsoft.com/office/drawing/2012/chart" uri="{CE6537A1-D6FC-4f65-9D91-7224C49458BB}"/>
                <c:ext xmlns:c16="http://schemas.microsoft.com/office/drawing/2014/chart" uri="{C3380CC4-5D6E-409C-BE32-E72D297353CC}">
                  <c16:uniqueId val="{0000000E-60C5-4314-9846-DE707A71D4A8}"/>
                </c:ext>
              </c:extLst>
            </c:dLbl>
            <c:dLbl>
              <c:idx val="14"/>
              <c:delete val="1"/>
              <c:extLst>
                <c:ext xmlns:c15="http://schemas.microsoft.com/office/drawing/2012/chart" uri="{CE6537A1-D6FC-4f65-9D91-7224C49458BB}"/>
                <c:ext xmlns:c16="http://schemas.microsoft.com/office/drawing/2014/chart" uri="{C3380CC4-5D6E-409C-BE32-E72D297353CC}">
                  <c16:uniqueId val="{00000002-60C5-4314-9846-DE707A71D4A8}"/>
                </c:ext>
              </c:extLst>
            </c:dLbl>
            <c:dLbl>
              <c:idx val="15"/>
              <c:layout>
                <c:manualLayout>
                  <c:x val="-7.9260139652354775E-2"/>
                  <c:y val="1.720660732625813E-2"/>
                </c:manualLayout>
              </c:layout>
              <c:tx>
                <c:rich>
                  <a:bodyPr rot="0" spcFirstLastPara="1" vertOverflow="clip" horzOverflow="clip" vert="horz" wrap="square" lIns="38100" tIns="19050" rIns="38100" bIns="19050" anchor="ctr" anchorCtr="0">
                    <a:noAutofit/>
                  </a:bodyPr>
                  <a:lstStyle/>
                  <a:p>
                    <a:pPr algn="l">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Oil</a:t>
                    </a:r>
                    <a:r>
                      <a:rPr lang="en-US" baseline="0">
                        <a:solidFill>
                          <a:sysClr val="windowText" lastClr="000000"/>
                        </a:solidFill>
                      </a:rPr>
                      <a:t> and Gas Revenues</a:t>
                    </a:r>
                    <a:endParaRPr lang="en-US">
                      <a:solidFill>
                        <a:sysClr val="windowText" lastClr="000000"/>
                      </a:solidFill>
                    </a:endParaRPr>
                  </a:p>
                </c:rich>
              </c:tx>
              <c:spPr>
                <a:xfrm>
                  <a:off x="673281" y="1323826"/>
                  <a:ext cx="899505" cy="524952"/>
                </a:xfrm>
                <a:noFill/>
                <a:ln w="9525" cap="flat" cmpd="sng" algn="ctr">
                  <a:no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c:spPr>
              <c:txPr>
                <a:bodyPr rot="0" spcFirstLastPara="1" vertOverflow="clip" horzOverflow="clip" vert="horz" wrap="square" lIns="38100" tIns="19050" rIns="38100" bIns="19050" anchor="ctr" anchorCtr="0">
                  <a:noAutofit/>
                </a:bodyPr>
                <a:lstStyle/>
                <a:p>
                  <a:pPr algn="l">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gd name="adj1" fmla="val 23046"/>
                        <a:gd name="adj2" fmla="val 49216"/>
                      </a:avLst>
                    </a:prstGeom>
                    <a:noFill/>
                    <a:ln>
                      <a:noFill/>
                    </a:ln>
                  </c15:spPr>
                  <c15:layout>
                    <c:manualLayout>
                      <c:w val="0.5356993951683261"/>
                      <c:h val="9.7147390298111161E-2"/>
                    </c:manualLayout>
                  </c15:layout>
                  <c15:showDataLabelsRange val="0"/>
                </c:ext>
                <c:ext xmlns:c16="http://schemas.microsoft.com/office/drawing/2014/chart" uri="{C3380CC4-5D6E-409C-BE32-E72D297353CC}">
                  <c16:uniqueId val="{00000010-60C5-4314-9846-DE707A71D4A8}"/>
                </c:ext>
              </c:extLst>
            </c:dLbl>
            <c:dLbl>
              <c:idx val="16"/>
              <c:delete val="1"/>
              <c:extLst>
                <c:ext xmlns:c15="http://schemas.microsoft.com/office/drawing/2012/chart" uri="{CE6537A1-D6FC-4f65-9D91-7224C49458BB}"/>
                <c:ext xmlns:c16="http://schemas.microsoft.com/office/drawing/2014/chart" uri="{C3380CC4-5D6E-409C-BE32-E72D297353CC}">
                  <c16:uniqueId val="{00000001-60C5-4314-9846-DE707A71D4A8}"/>
                </c:ext>
              </c:extLst>
            </c:dLbl>
            <c:dLbl>
              <c:idx val="17"/>
              <c:delete val="1"/>
              <c:extLst>
                <c:ext xmlns:c15="http://schemas.microsoft.com/office/drawing/2012/chart" uri="{CE6537A1-D6FC-4f65-9D91-7224C49458BB}"/>
                <c:ext xmlns:c16="http://schemas.microsoft.com/office/drawing/2014/chart" uri="{C3380CC4-5D6E-409C-BE32-E72D297353CC}">
                  <c16:uniqueId val="{00000000-60C5-4314-9846-DE707A71D4A8}"/>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11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Sheet1!$A$2:$A$19</c:f>
              <c:strCache>
                <c:ptCount val="18"/>
                <c:pt idx="0">
                  <c:v>2003-04</c:v>
                </c:pt>
                <c:pt idx="1">
                  <c:v>2004-05</c:v>
                </c:pt>
                <c:pt idx="2">
                  <c:v>2005-06</c:v>
                </c:pt>
                <c:pt idx="3">
                  <c:v>2006-07</c:v>
                </c:pt>
                <c:pt idx="4">
                  <c:v>2007-08</c:v>
                </c:pt>
                <c:pt idx="5">
                  <c:v>2008-09</c:v>
                </c:pt>
                <c:pt idx="6">
                  <c:v>2009-10</c:v>
                </c:pt>
                <c:pt idx="7">
                  <c:v>2010-11</c:v>
                </c:pt>
                <c:pt idx="8">
                  <c:v>2011-12</c:v>
                </c:pt>
                <c:pt idx="9">
                  <c:v>2012-13</c:v>
                </c:pt>
                <c:pt idx="10">
                  <c:v>2013-14</c:v>
                </c:pt>
                <c:pt idx="11">
                  <c:v>2014-15</c:v>
                </c:pt>
                <c:pt idx="12">
                  <c:v>2015-16</c:v>
                </c:pt>
                <c:pt idx="13">
                  <c:v>2016-17</c:v>
                </c:pt>
                <c:pt idx="14">
                  <c:v>2017-18</c:v>
                </c:pt>
                <c:pt idx="15">
                  <c:v>2018-19</c:v>
                </c:pt>
                <c:pt idx="16">
                  <c:v>2019-20</c:v>
                </c:pt>
                <c:pt idx="17">
                  <c:v>2020-21</c:v>
                </c:pt>
              </c:strCache>
            </c:strRef>
          </c:cat>
          <c:val>
            <c:numRef>
              <c:f>Sheet1!$B$2:$B$19</c:f>
              <c:numCache>
                <c:formatCode>0</c:formatCode>
                <c:ptCount val="18"/>
                <c:pt idx="0">
                  <c:v>21753.920085201193</c:v>
                </c:pt>
                <c:pt idx="1">
                  <c:v>24270.828932993682</c:v>
                </c:pt>
                <c:pt idx="2">
                  <c:v>32234.648235519235</c:v>
                </c:pt>
                <c:pt idx="3">
                  <c:v>33961.767540386485</c:v>
                </c:pt>
                <c:pt idx="4">
                  <c:v>28621.155097274328</c:v>
                </c:pt>
                <c:pt idx="5">
                  <c:v>44038.647027449231</c:v>
                </c:pt>
                <c:pt idx="6">
                  <c:v>26766.494909101319</c:v>
                </c:pt>
                <c:pt idx="7">
                  <c:v>32472.087393451413</c:v>
                </c:pt>
                <c:pt idx="8">
                  <c:v>35499.471480632732</c:v>
                </c:pt>
                <c:pt idx="9">
                  <c:v>28940.471319081513</c:v>
                </c:pt>
                <c:pt idx="10">
                  <c:v>29441.68138690175</c:v>
                </c:pt>
                <c:pt idx="11">
                  <c:v>24097.003879319785</c:v>
                </c:pt>
                <c:pt idx="12">
                  <c:v>17337.861170621494</c:v>
                </c:pt>
                <c:pt idx="13">
                  <c:v>16322.382780582015</c:v>
                </c:pt>
                <c:pt idx="14">
                  <c:v>20986.697740630545</c:v>
                </c:pt>
                <c:pt idx="15">
                  <c:v>28439.07483079968</c:v>
                </c:pt>
                <c:pt idx="16">
                  <c:v>24030.193532150588</c:v>
                </c:pt>
                <c:pt idx="17">
                  <c:v>15248.668672581336</c:v>
                </c:pt>
              </c:numCache>
            </c:numRef>
          </c:val>
          <c:extLst>
            <c:ext xmlns:c16="http://schemas.microsoft.com/office/drawing/2014/chart" uri="{C3380CC4-5D6E-409C-BE32-E72D297353CC}">
              <c16:uniqueId val="{00000000-2468-45F5-83CA-A0B3EB25A1A8}"/>
            </c:ext>
          </c:extLst>
        </c:ser>
        <c:ser>
          <c:idx val="1"/>
          <c:order val="1"/>
          <c:tx>
            <c:strRef>
              <c:f>Sheet1!$C$1</c:f>
              <c:strCache>
                <c:ptCount val="1"/>
                <c:pt idx="0">
                  <c:v>Tax Receipts</c:v>
                </c:pt>
              </c:strCache>
            </c:strRef>
          </c:tx>
          <c:spPr>
            <a:solidFill>
              <a:schemeClr val="tx1">
                <a:lumMod val="95000"/>
                <a:lumOff val="5000"/>
              </a:schemeClr>
            </a:solidFill>
            <a:ln>
              <a:noFill/>
            </a:ln>
            <a:effectLst/>
          </c:spPr>
          <c:cat>
            <c:strRef>
              <c:f>Sheet1!$A$2:$A$19</c:f>
              <c:strCache>
                <c:ptCount val="18"/>
                <c:pt idx="0">
                  <c:v>2003-04</c:v>
                </c:pt>
                <c:pt idx="1">
                  <c:v>2004-05</c:v>
                </c:pt>
                <c:pt idx="2">
                  <c:v>2005-06</c:v>
                </c:pt>
                <c:pt idx="3">
                  <c:v>2006-07</c:v>
                </c:pt>
                <c:pt idx="4">
                  <c:v>2007-08</c:v>
                </c:pt>
                <c:pt idx="5">
                  <c:v>2008-09</c:v>
                </c:pt>
                <c:pt idx="6">
                  <c:v>2009-10</c:v>
                </c:pt>
                <c:pt idx="7">
                  <c:v>2010-11</c:v>
                </c:pt>
                <c:pt idx="8">
                  <c:v>2011-12</c:v>
                </c:pt>
                <c:pt idx="9">
                  <c:v>2012-13</c:v>
                </c:pt>
                <c:pt idx="10">
                  <c:v>2013-14</c:v>
                </c:pt>
                <c:pt idx="11">
                  <c:v>2014-15</c:v>
                </c:pt>
                <c:pt idx="12">
                  <c:v>2015-16</c:v>
                </c:pt>
                <c:pt idx="13">
                  <c:v>2016-17</c:v>
                </c:pt>
                <c:pt idx="14">
                  <c:v>2017-18</c:v>
                </c:pt>
                <c:pt idx="15">
                  <c:v>2018-19</c:v>
                </c:pt>
                <c:pt idx="16">
                  <c:v>2019-20</c:v>
                </c:pt>
                <c:pt idx="17">
                  <c:v>2020-21</c:v>
                </c:pt>
              </c:strCache>
            </c:strRef>
          </c:cat>
          <c:val>
            <c:numRef>
              <c:f>Sheet1!$C$2:$C$19</c:f>
              <c:numCache>
                <c:formatCode>0.0</c:formatCode>
                <c:ptCount val="18"/>
                <c:pt idx="0">
                  <c:v>4274</c:v>
                </c:pt>
                <c:pt idx="1">
                  <c:v>6027</c:v>
                </c:pt>
                <c:pt idx="2">
                  <c:v>10038</c:v>
                </c:pt>
                <c:pt idx="3">
                  <c:v>7825</c:v>
                </c:pt>
                <c:pt idx="4">
                  <c:v>9058</c:v>
                </c:pt>
                <c:pt idx="5">
                  <c:v>10558</c:v>
                </c:pt>
                <c:pt idx="6">
                  <c:v>6523</c:v>
                </c:pt>
                <c:pt idx="7">
                  <c:v>9066</c:v>
                </c:pt>
                <c:pt idx="8">
                  <c:v>9552</c:v>
                </c:pt>
                <c:pt idx="9">
                  <c:v>5951</c:v>
                </c:pt>
                <c:pt idx="10">
                  <c:v>4428</c:v>
                </c:pt>
                <c:pt idx="11">
                  <c:v>1621</c:v>
                </c:pt>
                <c:pt idx="12">
                  <c:v>-152</c:v>
                </c:pt>
                <c:pt idx="13">
                  <c:v>-31</c:v>
                </c:pt>
                <c:pt idx="14">
                  <c:v>1225</c:v>
                </c:pt>
                <c:pt idx="15">
                  <c:v>1123</c:v>
                </c:pt>
                <c:pt idx="16">
                  <c:v>575</c:v>
                </c:pt>
                <c:pt idx="17">
                  <c:v>450</c:v>
                </c:pt>
              </c:numCache>
            </c:numRef>
          </c:val>
          <c:extLst>
            <c:ext xmlns:c16="http://schemas.microsoft.com/office/drawing/2014/chart" uri="{C3380CC4-5D6E-409C-BE32-E72D297353CC}">
              <c16:uniqueId val="{00000001-2468-45F5-83CA-A0B3EB25A1A8}"/>
            </c:ext>
          </c:extLst>
        </c:ser>
        <c:dLbls>
          <c:showLegendKey val="0"/>
          <c:showVal val="0"/>
          <c:showCatName val="0"/>
          <c:showSerName val="0"/>
          <c:showPercent val="0"/>
          <c:showBubbleSize val="0"/>
        </c:dLbls>
        <c:axId val="1142089344"/>
        <c:axId val="1142091008"/>
      </c:areaChart>
      <c:catAx>
        <c:axId val="1142089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42091008"/>
        <c:crosses val="autoZero"/>
        <c:auto val="1"/>
        <c:lblAlgn val="ctr"/>
        <c:lblOffset val="100"/>
        <c:noMultiLvlLbl val="0"/>
      </c:catAx>
      <c:valAx>
        <c:axId val="1142091008"/>
        <c:scaling>
          <c:orientation val="minMax"/>
          <c:min val="-1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4208934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2"/>
          <c:order val="0"/>
          <c:tx>
            <c:strRef>
              <c:f>Sheet3!$N$1</c:f>
              <c:strCache>
                <c:ptCount val="1"/>
                <c:pt idx="0">
                  <c:v>Norway (CT &amp; ST &amp; SDFI)</c:v>
                </c:pt>
              </c:strCache>
            </c:strRef>
          </c:tx>
          <c:spPr>
            <a:ln w="28575" cap="rnd">
              <a:solidFill>
                <a:sysClr val="window" lastClr="FFFFFF">
                  <a:lumMod val="85000"/>
                </a:sysClr>
              </a:solidFill>
              <a:prstDash val="sysDot"/>
              <a:round/>
            </a:ln>
            <a:effectLst/>
          </c:spPr>
          <c:marker>
            <c:symbol val="none"/>
          </c:marker>
          <c:cat>
            <c:numRef>
              <c:f>Sheet3!$K$3:$K$23</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Sheet3!$N$3:$N$23</c:f>
              <c:numCache>
                <c:formatCode>General</c:formatCode>
                <c:ptCount val="21"/>
                <c:pt idx="0">
                  <c:v>91.412699533504167</c:v>
                </c:pt>
                <c:pt idx="1">
                  <c:v>128.77791253142294</c:v>
                </c:pt>
                <c:pt idx="2">
                  <c:v>85.294972485727953</c:v>
                </c:pt>
                <c:pt idx="3">
                  <c:v>84.849325365976696</c:v>
                </c:pt>
                <c:pt idx="4">
                  <c:v>96.377804392017666</c:v>
                </c:pt>
                <c:pt idx="5">
                  <c:v>129.96883096634721</c:v>
                </c:pt>
                <c:pt idx="6">
                  <c:v>166.5301580721524</c:v>
                </c:pt>
                <c:pt idx="7">
                  <c:v>149.99279530991461</c:v>
                </c:pt>
                <c:pt idx="8">
                  <c:v>186.5965518948345</c:v>
                </c:pt>
                <c:pt idx="9">
                  <c:v>125.56467312519578</c:v>
                </c:pt>
                <c:pt idx="10">
                  <c:v>128.07357903981392</c:v>
                </c:pt>
                <c:pt idx="11">
                  <c:v>168.35579312130224</c:v>
                </c:pt>
                <c:pt idx="12">
                  <c:v>181.65244688752813</c:v>
                </c:pt>
                <c:pt idx="13">
                  <c:v>162.39664867000053</c:v>
                </c:pt>
                <c:pt idx="14">
                  <c:v>137.04922753713385</c:v>
                </c:pt>
                <c:pt idx="15">
                  <c:v>90.250650229837504</c:v>
                </c:pt>
                <c:pt idx="16">
                  <c:v>48.222235379560857</c:v>
                </c:pt>
                <c:pt idx="17">
                  <c:v>65.548647874988959</c:v>
                </c:pt>
                <c:pt idx="18">
                  <c:v>99.527887618263662</c:v>
                </c:pt>
                <c:pt idx="19">
                  <c:v>104.3113729724369</c:v>
                </c:pt>
                <c:pt idx="20">
                  <c:v>35.896710779750713</c:v>
                </c:pt>
              </c:numCache>
            </c:numRef>
          </c:val>
          <c:smooth val="0"/>
          <c:extLst>
            <c:ext xmlns:c16="http://schemas.microsoft.com/office/drawing/2014/chart" uri="{C3380CC4-5D6E-409C-BE32-E72D297353CC}">
              <c16:uniqueId val="{00000002-054A-4030-A97D-6390CF52CDB3}"/>
            </c:ext>
          </c:extLst>
        </c:ser>
        <c:ser>
          <c:idx val="1"/>
          <c:order val="1"/>
          <c:tx>
            <c:strRef>
              <c:f>Sheet3!$M$1</c:f>
              <c:strCache>
                <c:ptCount val="1"/>
                <c:pt idx="0">
                  <c:v>Norway (CT &amp; ST)</c:v>
                </c:pt>
              </c:strCache>
            </c:strRef>
          </c:tx>
          <c:spPr>
            <a:ln w="28575" cap="rnd">
              <a:solidFill>
                <a:sysClr val="window" lastClr="FFFFFF">
                  <a:lumMod val="65000"/>
                </a:sysClr>
              </a:solidFill>
              <a:prstDash val="sysDot"/>
              <a:round/>
            </a:ln>
            <a:effectLst/>
          </c:spPr>
          <c:marker>
            <c:symbol val="none"/>
          </c:marker>
          <c:cat>
            <c:numRef>
              <c:f>Sheet3!$K$3:$K$23</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Sheet3!$M$3:$M$23</c:f>
              <c:numCache>
                <c:formatCode>General</c:formatCode>
                <c:ptCount val="21"/>
                <c:pt idx="0">
                  <c:v>32.74571508105457</c:v>
                </c:pt>
                <c:pt idx="1">
                  <c:v>58.914674099716429</c:v>
                </c:pt>
                <c:pt idx="2">
                  <c:v>45.354332427651649</c:v>
                </c:pt>
                <c:pt idx="3">
                  <c:v>50.052503960077246</c:v>
                </c:pt>
                <c:pt idx="4">
                  <c:v>56.498718016682339</c:v>
                </c:pt>
                <c:pt idx="5">
                  <c:v>81.338833547890999</c:v>
                </c:pt>
                <c:pt idx="6">
                  <c:v>104.49839904801794</c:v>
                </c:pt>
                <c:pt idx="7">
                  <c:v>93.96435061504296</c:v>
                </c:pt>
                <c:pt idx="8">
                  <c:v>113.66778306770203</c:v>
                </c:pt>
                <c:pt idx="9">
                  <c:v>79.623968055306904</c:v>
                </c:pt>
                <c:pt idx="10">
                  <c:v>76.753511258240508</c:v>
                </c:pt>
                <c:pt idx="11">
                  <c:v>103.89896421912179</c:v>
                </c:pt>
                <c:pt idx="12">
                  <c:v>110.01750722826084</c:v>
                </c:pt>
                <c:pt idx="13">
                  <c:v>100.43763960554664</c:v>
                </c:pt>
                <c:pt idx="14">
                  <c:v>82.381794401998107</c:v>
                </c:pt>
                <c:pt idx="15">
                  <c:v>47.638930482715686</c:v>
                </c:pt>
                <c:pt idx="16">
                  <c:v>18.418841556407898</c:v>
                </c:pt>
                <c:pt idx="17">
                  <c:v>27.815426227625277</c:v>
                </c:pt>
                <c:pt idx="18">
                  <c:v>47.953213651657769</c:v>
                </c:pt>
                <c:pt idx="19">
                  <c:v>60.551990635788485</c:v>
                </c:pt>
                <c:pt idx="20">
                  <c:v>12.014801914929659</c:v>
                </c:pt>
              </c:numCache>
            </c:numRef>
          </c:val>
          <c:smooth val="0"/>
          <c:extLst>
            <c:ext xmlns:c16="http://schemas.microsoft.com/office/drawing/2014/chart" uri="{C3380CC4-5D6E-409C-BE32-E72D297353CC}">
              <c16:uniqueId val="{00000001-054A-4030-A97D-6390CF52CDB3}"/>
            </c:ext>
          </c:extLst>
        </c:ser>
        <c:ser>
          <c:idx val="0"/>
          <c:order val="2"/>
          <c:tx>
            <c:strRef>
              <c:f>Sheet3!$L$1</c:f>
              <c:strCache>
                <c:ptCount val="1"/>
                <c:pt idx="0">
                  <c:v>UK (RFCT &amp; SC)</c:v>
                </c:pt>
              </c:strCache>
            </c:strRef>
          </c:tx>
          <c:spPr>
            <a:ln w="28575" cap="rnd">
              <a:solidFill>
                <a:schemeClr val="tx1"/>
              </a:solidFill>
              <a:prstDash val="sysDot"/>
              <a:round/>
            </a:ln>
            <a:effectLst/>
          </c:spPr>
          <c:marker>
            <c:symbol val="none"/>
          </c:marker>
          <c:cat>
            <c:numRef>
              <c:f>Sheet3!$K$3:$K$23</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Sheet3!$L$3:$L$23</c:f>
              <c:numCache>
                <c:formatCode>General</c:formatCode>
                <c:ptCount val="21"/>
                <c:pt idx="0">
                  <c:v>19.677066821590795</c:v>
                </c:pt>
                <c:pt idx="1">
                  <c:v>23.526099935548757</c:v>
                </c:pt>
                <c:pt idx="2">
                  <c:v>22.967621815697228</c:v>
                </c:pt>
                <c:pt idx="3">
                  <c:v>20.167273408420471</c:v>
                </c:pt>
                <c:pt idx="4">
                  <c:v>31.097288341155604</c:v>
                </c:pt>
                <c:pt idx="5">
                  <c:v>57.592311864931546</c:v>
                </c:pt>
                <c:pt idx="6">
                  <c:v>49.661403305617903</c:v>
                </c:pt>
                <c:pt idx="7">
                  <c:v>60.401579572563897</c:v>
                </c:pt>
                <c:pt idx="8">
                  <c:v>74.221371137102864</c:v>
                </c:pt>
                <c:pt idx="9">
                  <c:v>51.211759324539472</c:v>
                </c:pt>
                <c:pt idx="10">
                  <c:v>76.444193852279753</c:v>
                </c:pt>
                <c:pt idx="11">
                  <c:v>99.480962397511959</c:v>
                </c:pt>
                <c:pt idx="12">
                  <c:v>72.78777966043603</c:v>
                </c:pt>
                <c:pt idx="13">
                  <c:v>58.716498180030094</c:v>
                </c:pt>
                <c:pt idx="14">
                  <c:v>21.565069113990752</c:v>
                </c:pt>
                <c:pt idx="15">
                  <c:v>-1.8128343681138128</c:v>
                </c:pt>
                <c:pt idx="16">
                  <c:v>-0.35522809983244685</c:v>
                </c:pt>
                <c:pt idx="17">
                  <c:v>14.151838431266562</c:v>
                </c:pt>
                <c:pt idx="18">
                  <c:v>12.424973125819966</c:v>
                </c:pt>
                <c:pt idx="19">
                  <c:v>6.3636386734478103</c:v>
                </c:pt>
                <c:pt idx="20">
                  <c:v>5.1735372546284264</c:v>
                </c:pt>
              </c:numCache>
            </c:numRef>
          </c:val>
          <c:smooth val="0"/>
          <c:extLst>
            <c:ext xmlns:c16="http://schemas.microsoft.com/office/drawing/2014/chart" uri="{C3380CC4-5D6E-409C-BE32-E72D297353CC}">
              <c16:uniqueId val="{00000000-054A-4030-A97D-6390CF52CDB3}"/>
            </c:ext>
          </c:extLst>
        </c:ser>
        <c:dLbls>
          <c:showLegendKey val="0"/>
          <c:showVal val="0"/>
          <c:showCatName val="0"/>
          <c:showSerName val="0"/>
          <c:showPercent val="0"/>
          <c:showBubbleSize val="0"/>
        </c:dLbls>
        <c:smooth val="0"/>
        <c:axId val="1927870303"/>
        <c:axId val="1927870719"/>
      </c:lineChart>
      <c:catAx>
        <c:axId val="19278703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27870719"/>
        <c:crosses val="autoZero"/>
        <c:auto val="1"/>
        <c:lblAlgn val="ctr"/>
        <c:lblOffset val="100"/>
        <c:noMultiLvlLbl val="0"/>
      </c:catAx>
      <c:valAx>
        <c:axId val="1927870719"/>
        <c:scaling>
          <c:orientation val="minMax"/>
          <c:min val="-1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278703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Sheet3!$I$1</c:f>
              <c:strCache>
                <c:ptCount val="1"/>
                <c:pt idx="0">
                  <c:v>Norway Production</c:v>
                </c:pt>
              </c:strCache>
            </c:strRef>
          </c:tx>
          <c:spPr>
            <a:ln w="28575" cap="rnd">
              <a:solidFill>
                <a:schemeClr val="bg1">
                  <a:lumMod val="65000"/>
                </a:schemeClr>
              </a:solidFill>
              <a:round/>
            </a:ln>
            <a:effectLst/>
          </c:spPr>
          <c:marker>
            <c:symbol val="none"/>
          </c:marker>
          <c:cat>
            <c:numRef>
              <c:f>Sheet3!$G$3:$G$23</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Sheet3!$I$3:$I$23</c:f>
              <c:numCache>
                <c:formatCode>General</c:formatCode>
                <c:ptCount val="21"/>
                <c:pt idx="0">
                  <c:v>241.25</c:v>
                </c:pt>
                <c:pt idx="1">
                  <c:v>251.61999999999998</c:v>
                </c:pt>
                <c:pt idx="2">
                  <c:v>258.3</c:v>
                </c:pt>
                <c:pt idx="3">
                  <c:v>261.68</c:v>
                </c:pt>
                <c:pt idx="4">
                  <c:v>264.18999999999994</c:v>
                </c:pt>
                <c:pt idx="5">
                  <c:v>257.57</c:v>
                </c:pt>
                <c:pt idx="6">
                  <c:v>249.14</c:v>
                </c:pt>
                <c:pt idx="7">
                  <c:v>237.55</c:v>
                </c:pt>
                <c:pt idx="8">
                  <c:v>242.98000000000002</c:v>
                </c:pt>
                <c:pt idx="9">
                  <c:v>240.02</c:v>
                </c:pt>
                <c:pt idx="10">
                  <c:v>230.64</c:v>
                </c:pt>
                <c:pt idx="11">
                  <c:v>218.64999999999998</c:v>
                </c:pt>
                <c:pt idx="12">
                  <c:v>224.64</c:v>
                </c:pt>
                <c:pt idx="13">
                  <c:v>213.7</c:v>
                </c:pt>
                <c:pt idx="14">
                  <c:v>216.36</c:v>
                </c:pt>
                <c:pt idx="15">
                  <c:v>227.83999999999997</c:v>
                </c:pt>
                <c:pt idx="16">
                  <c:v>230.66000000000003</c:v>
                </c:pt>
                <c:pt idx="17">
                  <c:v>236.75</c:v>
                </c:pt>
                <c:pt idx="18">
                  <c:v>227.32999999999998</c:v>
                </c:pt>
                <c:pt idx="19">
                  <c:v>213.99</c:v>
                </c:pt>
                <c:pt idx="20">
                  <c:v>226.53</c:v>
                </c:pt>
              </c:numCache>
            </c:numRef>
          </c:val>
          <c:smooth val="0"/>
          <c:extLst>
            <c:ext xmlns:c16="http://schemas.microsoft.com/office/drawing/2014/chart" uri="{C3380CC4-5D6E-409C-BE32-E72D297353CC}">
              <c16:uniqueId val="{00000001-9DA7-4BAC-97CE-35E7703ED272}"/>
            </c:ext>
          </c:extLst>
        </c:ser>
        <c:ser>
          <c:idx val="0"/>
          <c:order val="1"/>
          <c:tx>
            <c:strRef>
              <c:f>Sheet3!$H$1</c:f>
              <c:strCache>
                <c:ptCount val="1"/>
                <c:pt idx="0">
                  <c:v>UK Production</c:v>
                </c:pt>
              </c:strCache>
            </c:strRef>
          </c:tx>
          <c:spPr>
            <a:ln w="28575" cap="rnd">
              <a:solidFill>
                <a:schemeClr val="tx1"/>
              </a:solidFill>
              <a:round/>
            </a:ln>
            <a:effectLst/>
          </c:spPr>
          <c:marker>
            <c:symbol val="none"/>
          </c:marker>
          <c:cat>
            <c:numRef>
              <c:f>Sheet3!$G$3:$G$23</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Sheet3!$H$3:$H$23</c:f>
              <c:numCache>
                <c:formatCode>General</c:formatCode>
                <c:ptCount val="21"/>
                <c:pt idx="0">
                  <c:v>239.36494411006015</c:v>
                </c:pt>
                <c:pt idx="1">
                  <c:v>225.8767927773001</c:v>
                </c:pt>
                <c:pt idx="2">
                  <c:v>223.0966723989682</c:v>
                </c:pt>
                <c:pt idx="3">
                  <c:v>211.92750816852964</c:v>
                </c:pt>
                <c:pt idx="4">
                  <c:v>193.81111092003437</c:v>
                </c:pt>
                <c:pt idx="5">
                  <c:v>174.29409716251075</c:v>
                </c:pt>
                <c:pt idx="6">
                  <c:v>157.56703353396387</c:v>
                </c:pt>
                <c:pt idx="7">
                  <c:v>149.96296560619086</c:v>
                </c:pt>
                <c:pt idx="8">
                  <c:v>142.25013413585555</c:v>
                </c:pt>
                <c:pt idx="9">
                  <c:v>127.37308942390369</c:v>
                </c:pt>
                <c:pt idx="10">
                  <c:v>118.59631900257955</c:v>
                </c:pt>
                <c:pt idx="11">
                  <c:v>96.018371453138428</c:v>
                </c:pt>
                <c:pt idx="12">
                  <c:v>81.758229578675838</c:v>
                </c:pt>
                <c:pt idx="13">
                  <c:v>75.413216680997422</c:v>
                </c:pt>
                <c:pt idx="14">
                  <c:v>75.167855546001718</c:v>
                </c:pt>
                <c:pt idx="15">
                  <c:v>83.846601031814274</c:v>
                </c:pt>
                <c:pt idx="16">
                  <c:v>87.267871023215804</c:v>
                </c:pt>
                <c:pt idx="17">
                  <c:v>86.561191745485814</c:v>
                </c:pt>
                <c:pt idx="18">
                  <c:v>90.382489251934658</c:v>
                </c:pt>
                <c:pt idx="19">
                  <c:v>90.357110060189171</c:v>
                </c:pt>
                <c:pt idx="20">
                  <c:v>86.981107480653463</c:v>
                </c:pt>
              </c:numCache>
            </c:numRef>
          </c:val>
          <c:smooth val="0"/>
          <c:extLst>
            <c:ext xmlns:c16="http://schemas.microsoft.com/office/drawing/2014/chart" uri="{C3380CC4-5D6E-409C-BE32-E72D297353CC}">
              <c16:uniqueId val="{00000000-9DA7-4BAC-97CE-35E7703ED272}"/>
            </c:ext>
          </c:extLst>
        </c:ser>
        <c:dLbls>
          <c:showLegendKey val="0"/>
          <c:showVal val="0"/>
          <c:showCatName val="0"/>
          <c:showSerName val="0"/>
          <c:showPercent val="0"/>
          <c:showBubbleSize val="0"/>
        </c:dLbls>
        <c:smooth val="0"/>
        <c:axId val="1605874367"/>
        <c:axId val="1605875615"/>
      </c:lineChart>
      <c:catAx>
        <c:axId val="16058743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05875615"/>
        <c:crosses val="autoZero"/>
        <c:auto val="1"/>
        <c:lblAlgn val="ctr"/>
        <c:lblOffset val="100"/>
        <c:noMultiLvlLbl val="0"/>
      </c:catAx>
      <c:valAx>
        <c:axId val="16058756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058743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CC56E-A9E2-4EE3-B8AE-3CDE9A716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3148</Words>
  <Characters>17947</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Karl Matikonis</dc:creator>
  <cp:keywords/>
  <dc:description/>
  <cp:lastModifiedBy>Karl Matikonis</cp:lastModifiedBy>
  <cp:revision>6</cp:revision>
  <cp:lastPrinted>2022-09-23T12:05:00Z</cp:lastPrinted>
  <dcterms:created xsi:type="dcterms:W3CDTF">2022-09-23T12:03:00Z</dcterms:created>
  <dcterms:modified xsi:type="dcterms:W3CDTF">2022-09-23T12:05:00Z</dcterms:modified>
</cp:coreProperties>
</file>