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color="000000" w:space="2" w:sz="8" w:val="single"/>
          <w:left w:color="000000" w:space="2" w:sz="8" w:val="single"/>
          <w:bottom w:color="000000" w:space="2" w:sz="8" w:val="single"/>
          <w:right w:color="000000" w:space="2" w:sz="8" w:val="single"/>
          <w:between w:space="0" w:sz="0" w:val="nil"/>
        </w:pBdr>
        <w:shd w:fill="auto" w:val="clear"/>
        <w:spacing w:after="12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Version of Record of this manuscript has been published and is available in Irish Educational Studies </w:t>
      </w:r>
      <w:hyperlink r:id="rId8">
        <w:r w:rsidDel="00000000" w:rsidR="00000000" w:rsidRPr="00000000">
          <w:rPr>
            <w:rFonts w:ascii="Times New Roman" w:cs="Times New Roman" w:eastAsia="Times New Roman" w:hAnsi="Times New Roman"/>
            <w:color w:val="1155cc"/>
            <w:sz w:val="24"/>
            <w:szCs w:val="24"/>
            <w:u w:val="single"/>
            <w:rtl w:val="0"/>
          </w:rPr>
          <w:t xml:space="preserve">http://www.tandfonline.com/</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Published online: 16 Jun 2020</w:t>
      </w:r>
      <w:r w:rsidDel="00000000" w:rsidR="00000000" w:rsidRPr="00000000">
        <w:rPr>
          <w:rtl w:val="0"/>
        </w:rPr>
      </w:r>
    </w:p>
    <w:p w:rsidR="00000000" w:rsidDel="00000000" w:rsidP="00000000" w:rsidRDefault="00000000" w:rsidRPr="00000000" w14:paraId="00000002">
      <w:pPr>
        <w:keepNext w:val="0"/>
        <w:keepLines w:val="0"/>
        <w:widowControl w:val="1"/>
        <w:pBdr>
          <w:top w:color="000000" w:space="2" w:sz="8" w:val="single"/>
          <w:left w:color="000000" w:space="2" w:sz="8" w:val="single"/>
          <w:bottom w:color="000000" w:space="2" w:sz="8" w:val="single"/>
          <w:right w:color="000000" w:space="2" w:sz="8" w:val="single"/>
          <w:between w:space="0" w:sz="0" w:val="nil"/>
        </w:pBdr>
        <w:shd w:fill="auto" w:val="clear"/>
        <w:spacing w:after="12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DOI:10.1080/03323315.2020.1779107.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Gender Parity in Higher Education Enrolments: Trends and Paradoxes.</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Patrick Clancy</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and Sara O’Sullivan*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a</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superscript"/>
          <w:rtl w:val="0"/>
        </w:rPr>
        <w:t xml:space="preserve">a</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School of Sociology, University College Dublin,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superscript"/>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Dublin, Ireland</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D404 Newman Building, University College Dublin, Belfield, Dublin 4, Ireland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*sara.osullivan@ucd.ie</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Patrick Clancy is Professor Emeritus in the Department of Sociology at University College Dublin. His publications on higher education includes four national studies on participation published by the Higher Education Authority and a comparative book,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Irish Higher Education: A Comparative Perspective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rtl w:val="0"/>
        </w:rPr>
        <w:t xml:space="preserve">Clancy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2015). He was a founding member and subsequently served as a member and as Chair of the Board of Governors of the Consortium of Higher Education Researchers and in 2005 was selected as a Fulbright New Century Scholar.</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Sara O’Sullivan is an Associate Professor in Sociology at University College Dublin. She is currently co-editor of the Irish Journal of Sociology, published by Sage </w:t>
      </w:r>
      <w:hyperlink r:id="rId9">
        <w:r w:rsidDel="00000000" w:rsidR="00000000" w:rsidRPr="00000000">
          <w:rPr>
            <w:rFonts w:ascii="Times New Roman" w:cs="Times New Roman" w:eastAsia="Times New Roman" w:hAnsi="Times New Roman"/>
            <w:b w:val="0"/>
            <w:i w:val="0"/>
            <w:smallCaps w:val="0"/>
            <w:strike w:val="0"/>
            <w:color w:val="0000ff"/>
            <w:sz w:val="22"/>
            <w:szCs w:val="22"/>
            <w:u w:val="single"/>
            <w:shd w:fill="auto" w:val="clear"/>
            <w:vertAlign w:val="baseline"/>
            <w:rtl w:val="0"/>
          </w:rPr>
          <w:t xml:space="preserve">http://journals.sagepub.com/home/irj</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From </w:t>
      </w:r>
      <w:r w:rsidDel="00000000" w:rsidR="00000000" w:rsidRPr="00000000">
        <w:rPr>
          <w:rFonts w:ascii="Times New Roman" w:cs="Times New Roman" w:eastAsia="Times New Roman" w:hAnsi="Times New Roman"/>
          <w:rtl w:val="0"/>
        </w:rPr>
        <w:t xml:space="preserve">September 2015-August 2019 she served as Associate Dean of Social Sciences in the UCD College of Social Sciences and Law.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2015 she led an interdisciplinary project 'Existing Research Output focused on Higher Education Teaching and Learning in Ireland' (funded by National Forum for the Enhancement of Teaching &amp; Learning in Higher Education). The National Forum used the research identified in this systematic review to create an online searchable digital resource of Irish teaching and learning research. Her main areas of research are gender, the scholarship of teaching and learning (SoTL), sociology of higher education and sociology of the media.</w:t>
      </w:r>
    </w:p>
    <w:p w:rsidR="00000000" w:rsidDel="00000000" w:rsidP="00000000" w:rsidRDefault="00000000" w:rsidRPr="00000000" w14:paraId="0000000C">
      <w:pPr>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Gender Parity in Higher Education Enrolments: Trends and Paradoxes. </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720" w:right="567"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Higher education systems globally have seen major increases in women’s participation and the overall trend in OECD countries has been a transition from the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traditional male majority in enrolments to a substantial female majority. Prompted by a recent reversal of this trend, this paper explores gender differences in participation in higher education in 27 OECD countries between 1971 and 2015. While increased participation by women was thought to be part of the solution to persistent gender inequalities we argue that this is not an inevitable outcome. Our argument is based on an analysis of changes in the gender composition of the student population, using available secondary data. We explore how changing gender differentials are linked to the concurrent massification of HE, changing distribution of enrolments by field of study, changes in sex segregation by field, features of national education systems and wider social structural differences related to gender. Our analysis examines the complex interaction between discipline specific levels of sex segregation and overall levels of gender parity. We argue that that sex segregation needs to be considered alongside women’s long-standing higher participation rates to understand why the latter has not triggered a transformation in the gendered division of labour.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720" w:right="567"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240" w:before="240" w:line="360" w:lineRule="auto"/>
        <w:ind w:left="720" w:right="567"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Keywords: gender parity; higher education; OECD; participation.</w:t>
      </w:r>
    </w:p>
    <w:p w:rsidR="00000000" w:rsidDel="00000000" w:rsidP="00000000" w:rsidRDefault="00000000" w:rsidRPr="00000000" w14:paraId="00000011">
      <w:pPr>
        <w:pStyle w:val="Heading1"/>
        <w:spacing w:before="360" w:line="360" w:lineRule="auto"/>
        <w:ind w:left="0" w:right="5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centrality of education in much sociological analysis is linked to its critical role in the status attainment process. While for many decades the focus of much of this analysis has centred on social class position, in more recent times gender has also featured strongly. This research has identified some paradoxical outcomes. While females have greatly increased their participation in all levels of education and now outnumber males in higher education (HE) enrolments in most regions of the world, the major exclusion being sub</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Saharan Africa, this advantage has not yet been reflected in labour market attainment. Among the multiple factors which impede women’s attainment in the labour market, their concentration in  particular disciplines in higher education may be especially significant, a phenomenon described as sex segregation. Women’s lower take-up of STEM subjects in higher education is especially relevant. Men and women are disproportionately concentrated in different fields of study paralleling patterns of sex segregation in occupations. Occupational gender segregation is associated with inequalities; women are less likely to be found in higher paid and more prestigious occupations than men (England, 2010; Bobbitt-Zehrer, 2007). The reversal of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vertical inequalities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whereby females now have higher levels of educational attainment, is therefore accompanied by the persistence of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horizontal inequalities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fields of study in higher education (Hadjar &amp; Buchmann, 2016). These gendered choices are sustained by post-industrial employment structures which are characterised by a growth in female dominated service occupations (Barone, 2011; Charles &amp; Bradley, 2009). They can also be linked to the enduring cultural force of gender-essentialist ideology. (Bradley and Charles, 2009). Gender essentialism </w:t>
      </w:r>
      <w:r w:rsidDel="00000000" w:rsidR="00000000" w:rsidRPr="00000000">
        <w:rPr>
          <w:rFonts w:ascii="Times New Roman" w:cs="Times New Roman" w:eastAsia="Times New Roman" w:hAnsi="Times New Roman"/>
          <w:sz w:val="24"/>
          <w:szCs w:val="24"/>
          <w:rtl w:val="0"/>
        </w:rPr>
        <w:t xml:space="preserve">posits gender</w:t>
      </w:r>
      <w:r w:rsidDel="00000000" w:rsidR="00000000" w:rsidRPr="00000000">
        <w:rPr>
          <w:rFonts w:ascii="Times New Roman" w:cs="Times New Roman" w:eastAsia="Times New Roman" w:hAnsi="Times New Roman"/>
          <w:color w:val="000000"/>
          <w:sz w:val="24"/>
          <w:szCs w:val="24"/>
          <w:rtl w:val="0"/>
        </w:rPr>
        <w:t xml:space="preserve"> differences as natural and underpinned by biological differences between men and women which are seen to create fixed masculine and feminine roles, interests, abilities, behaviours and identities. </w:t>
      </w:r>
      <w:r w:rsidDel="00000000" w:rsidR="00000000" w:rsidRPr="00000000">
        <w:rPr>
          <w:rtl w:val="0"/>
        </w:rPr>
      </w:r>
    </w:p>
    <w:p w:rsidR="00000000" w:rsidDel="00000000" w:rsidP="00000000" w:rsidRDefault="00000000" w:rsidRPr="00000000" w14:paraId="000000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This paper examines gender differences in the pattern of student participation in higher education. It provides an analysis of changes in the gender composition of the student population over recent decades. It charts the transition from the traditional male majority in enrolments to the current position of a substantial female majority in HE enrolments in OECD countries. It also identifies a very recent trend of some reduction in the size of the female majority in more than half of OECD member countries. The analysis explores how changing gender differentials are linked to the concurrent massification of HE, a term used to describe large increases in the numbers of HE students. In order to better understand differences in trends in gender parity across OECD countries the paper also explores the extent to which these differences may be linked to features of national education systems. Firstly we examine features of national upper secondary education systems: graduation rates, the gender profile of graduates and the extent to which enrolment is concentrated on general programmes. We then turn our attention to higher education systems and examine relative levels of enrolment on more vocationally oriented programmes, the changing distribution of enrolments by field of study, and changes in the degree of sex segregation by field. Finally, in order to understand the persistent patterns of sex segregation identified, we consider a number of broader social determinents outside the educational system: GDP, higher education funding, labour market participation, gender wage gap and gender role attitudes. A limitation of the paper is that it overlooks other gender differences in higher education including types of institutions attended (Leathwood and Read, 2009), the underrepresentation of women in senior positions in higher education institutions (O’Connor 2014; Harford 2018) and how gender inequalities in higher education intersect with inequalities based on socio-economic status, age, race, ethnicity, sexual orientation, disability and religion.</w:t>
      </w: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014">
      <w:pPr>
        <w:pStyle w:val="Heading1"/>
        <w:spacing w:before="360" w:line="480" w:lineRule="auto"/>
        <w:ind w:left="0" w:right="5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Trends in Gender Differences in Higher Education Participation in OECD Countries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the dramatic rise in female participation is a global phenomenon (Clancy &amp; Marginson, 2018: Leathwood &amp; Read, 2010: UNESCO, 2010, 2018) the present paper is confined to 27 OECD countries for which comprehensive data are available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the period 1971 to 2015. Gender differences in participation are measured by the Gender Parity Index (GPI), the measure used extensively by UNESCO, which expresses the higher education Gross Enrolment Ratio (GER)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females as a percentage of the Gross Enrolment Ratio for males. The changes in the GPI over the period are summarised in Table I. To use Ireland as an example, before 1995 when gender parity was achieved, men were more likely than women to participate in Irish HE. The trend was then reversed, with women more likely to participate. In 2000 the GPI score was 1.23, that is for every 1 male in Irish HE there were 1.23 women. It then began to decline and the 2015 GPI of 1.09 is close to a score of 1 which would indicate identical male and female participation.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majority of countries most progress towards parity was achieved between 1971 and 1985. By 1990 almost half (13) countries had achieved parity (GPI &gt;1). We categorise these countries as early parity countries and the remaining fourteen countries as delayed parity countries. Eight of the delayed group achieved parity in the 1990s while a further three had achieved parity by 2013. Three countries, Korea, Turkey and Japan have yet to achieve parity. </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addition to charting the timing of the achievement of parity Table 1 testifies to the variation by country in GPI scores. In some countries, following the achievement of parity, the previous imbalance in favour of males is replaced by a large imbalance in favour of females. By 2015 there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 more than three females for every two males in higher education in Iceland, Sweden and Poland while in seven other countries (US, Norway, Denmark, Australia, New Zealand, Italy, and Israel) there </w:t>
      </w:r>
      <w:r w:rsidDel="00000000" w:rsidR="00000000" w:rsidRPr="00000000">
        <w:rPr>
          <w:rFonts w:ascii="Times New Roman" w:cs="Times New Roman" w:eastAsia="Times New Roman" w:hAnsi="Times New Roman"/>
          <w:sz w:val="24"/>
          <w:szCs w:val="24"/>
          <w:rtl w:val="0"/>
        </w:rPr>
        <w:t xml:space="preserve">we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 four females for every three males.  By contrast in some countries which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achieved parity many years ago the female advantage </w:t>
      </w:r>
      <w:r w:rsidDel="00000000" w:rsidR="00000000" w:rsidRPr="00000000">
        <w:rPr>
          <w:rFonts w:ascii="Times New Roman" w:cs="Times New Roman" w:eastAsia="Times New Roman" w:hAnsi="Times New Roman"/>
          <w:sz w:val="24"/>
          <w:szCs w:val="24"/>
          <w:rtl w:val="0"/>
        </w:rPr>
        <w:t xml:space="preserve">wa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relatively modest (Mexico, Ireland, Netherlands, Portugal and Spain). Table 1 also highlights a new development which has to date attracted little attention namely a decline in GPI scores. This trend, for OECD countries, was noted previously by Clancy (2015) and by Clancy &amp; Marginson (2018) (see also Leathwood and Read 2009: 31). Between 2000 and 2010 three countries (Portugal, Ireland and Israel) registered a decline in their index score. More significantly between 2010 and 2015 more than half (16 of 27) of OECD countries registered a decline in their GPI score. Eleven of the thirteen early parity countries have experienced this decline as have six of the delayed parity countries. While the percentage decline is to date very modest it clearly points to a major reversal of a trend which has prevailed for at least half a century.  </w:t>
      </w:r>
    </w:p>
    <w:p w:rsidR="00000000" w:rsidDel="00000000" w:rsidP="00000000" w:rsidRDefault="00000000" w:rsidRPr="00000000" w14:paraId="00000018">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after="0"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1. Gender Parity in Participation in Higher Education for OECD Countries* 1971 - 2015</w:t>
      </w:r>
    </w:p>
    <w:tbl>
      <w:tblPr>
        <w:tblStyle w:val="Table1"/>
        <w:tblW w:w="9894.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1413"/>
        <w:gridCol w:w="1414"/>
        <w:gridCol w:w="1413"/>
        <w:gridCol w:w="1414"/>
        <w:gridCol w:w="1413"/>
        <w:gridCol w:w="1414"/>
        <w:tblGridChange w:id="0">
          <w:tblGrid>
            <w:gridCol w:w="1413"/>
            <w:gridCol w:w="1413"/>
            <w:gridCol w:w="1414"/>
            <w:gridCol w:w="1413"/>
            <w:gridCol w:w="1414"/>
            <w:gridCol w:w="1413"/>
            <w:gridCol w:w="1414"/>
          </w:tblGrid>
        </w:tblGridChange>
      </w:tblGrid>
      <w:tr>
        <w:tc>
          <w:tcPr>
            <w:vAlign w:val="bottom"/>
          </w:tcPr>
          <w:p w:rsidR="00000000" w:rsidDel="00000000" w:rsidP="00000000" w:rsidRDefault="00000000" w:rsidRPr="00000000" w14:paraId="0000001B">
            <w:pPr>
              <w:spacing w:after="0" w:line="240" w:lineRule="auto"/>
              <w:rPr>
                <w:rFonts w:ascii="Times New Roman" w:cs="Times New Roman" w:eastAsia="Times New Roman" w:hAnsi="Times New Roman"/>
                <w:b w:val="1"/>
                <w:sz w:val="24"/>
                <w:szCs w:val="24"/>
              </w:rPr>
            </w:pPr>
            <w:r w:rsidDel="00000000" w:rsidR="00000000" w:rsidRPr="00000000">
              <w:rPr>
                <w:rtl w:val="0"/>
              </w:rPr>
            </w:r>
          </w:p>
        </w:tc>
        <w:tc>
          <w:tcPr/>
          <w:p w:rsidR="00000000" w:rsidDel="00000000" w:rsidP="00000000" w:rsidRDefault="00000000" w:rsidRPr="00000000" w14:paraId="0000001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GPI 2015</w:t>
            </w:r>
          </w:p>
        </w:tc>
        <w:tc>
          <w:tcPr/>
          <w:p w:rsidR="00000000" w:rsidDel="00000000" w:rsidP="00000000" w:rsidRDefault="00000000" w:rsidRPr="00000000" w14:paraId="0000001D">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 Parity Achieved</w:t>
            </w:r>
          </w:p>
        </w:tc>
        <w:tc>
          <w:tcPr/>
          <w:p w:rsidR="00000000" w:rsidDel="00000000" w:rsidP="00000000" w:rsidRDefault="00000000" w:rsidRPr="00000000" w14:paraId="0000001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Gender Parity 1971 - 1985 (%)</w:t>
            </w:r>
          </w:p>
        </w:tc>
        <w:tc>
          <w:tcPr/>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Gender Parity 1985 -2000 (%)</w:t>
            </w:r>
          </w:p>
        </w:tc>
        <w:tc>
          <w:tcPr/>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Gender Parity 2000-2010 (%)</w:t>
            </w:r>
          </w:p>
        </w:tc>
        <w:tc>
          <w:tcPr/>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Changes in Gender Parity 2010-2015 (%)</w:t>
            </w:r>
          </w:p>
        </w:tc>
      </w:tr>
      <w:tr>
        <w:tc>
          <w:tcPr>
            <w:vAlign w:val="bottom"/>
          </w:tcPr>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Early Parity Countries</w:t>
            </w:r>
          </w:p>
        </w:tc>
        <w:tc>
          <w:tcPr/>
          <w:p w:rsidR="00000000" w:rsidDel="00000000" w:rsidP="00000000" w:rsidRDefault="00000000" w:rsidRPr="00000000" w14:paraId="00000024">
            <w:pPr>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5">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6">
            <w:pPr>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Poland</w:t>
            </w:r>
          </w:p>
        </w:tc>
        <w:tc>
          <w:tcPr>
            <w:vAlign w:val="bottom"/>
          </w:tcPr>
          <w:p w:rsidR="00000000" w:rsidDel="00000000" w:rsidP="00000000" w:rsidRDefault="00000000" w:rsidRPr="00000000" w14:paraId="0000002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1.52</w:t>
            </w:r>
          </w:p>
        </w:tc>
        <w:tc>
          <w:tcPr/>
          <w:p w:rsidR="00000000" w:rsidDel="00000000" w:rsidP="00000000" w:rsidRDefault="00000000" w:rsidRPr="00000000" w14:paraId="0000002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1973</w:t>
            </w:r>
          </w:p>
        </w:tc>
        <w:tc>
          <w:tcPr>
            <w:vAlign w:val="bottom"/>
          </w:tcPr>
          <w:p w:rsidR="00000000" w:rsidDel="00000000" w:rsidP="00000000" w:rsidRDefault="00000000" w:rsidRPr="00000000" w14:paraId="0000002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40.1</w:t>
            </w:r>
          </w:p>
        </w:tc>
        <w:tc>
          <w:tcPr>
            <w:vAlign w:val="bottom"/>
          </w:tcPr>
          <w:p w:rsidR="00000000" w:rsidDel="00000000" w:rsidP="00000000" w:rsidRDefault="00000000" w:rsidRPr="00000000" w14:paraId="0000002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w:t>
            </w:r>
          </w:p>
        </w:tc>
        <w:tc>
          <w:tcPr>
            <w:vAlign w:val="bottom"/>
          </w:tcPr>
          <w:p w:rsidR="00000000" w:rsidDel="00000000" w:rsidP="00000000" w:rsidRDefault="00000000" w:rsidRPr="00000000" w14:paraId="0000002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w:t>
            </w:r>
          </w:p>
        </w:tc>
        <w:tc>
          <w:tcPr>
            <w:vAlign w:val="bottom"/>
          </w:tcPr>
          <w:p w:rsidR="00000000" w:rsidDel="00000000" w:rsidP="00000000" w:rsidRDefault="00000000" w:rsidRPr="00000000" w14:paraId="0000003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r>
      <w:tr>
        <w:tc>
          <w:tcPr/>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Hungary</w:t>
            </w:r>
          </w:p>
        </w:tc>
        <w:tc>
          <w:tcPr>
            <w:vAlign w:val="bottom"/>
          </w:tcPr>
          <w:p w:rsidR="00000000" w:rsidDel="00000000" w:rsidP="00000000" w:rsidRDefault="00000000" w:rsidRPr="00000000" w14:paraId="0000003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w:t>
            </w:r>
          </w:p>
        </w:tc>
        <w:tc>
          <w:tcPr/>
          <w:p w:rsidR="00000000" w:rsidDel="00000000" w:rsidP="00000000" w:rsidRDefault="00000000" w:rsidRPr="00000000" w14:paraId="0000003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1977</w:t>
            </w:r>
          </w:p>
        </w:tc>
        <w:tc>
          <w:tcPr>
            <w:vAlign w:val="bottom"/>
          </w:tcPr>
          <w:p w:rsidR="00000000" w:rsidDel="00000000" w:rsidP="00000000" w:rsidRDefault="00000000" w:rsidRPr="00000000" w14:paraId="0000003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52.3</w:t>
            </w:r>
          </w:p>
        </w:tc>
        <w:tc>
          <w:tcPr>
            <w:vAlign w:val="bottom"/>
          </w:tcPr>
          <w:p w:rsidR="00000000" w:rsidDel="00000000" w:rsidP="00000000" w:rsidRDefault="00000000" w:rsidRPr="00000000" w14:paraId="0000003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tc>
        <w:tc>
          <w:tcPr>
            <w:vAlign w:val="bottom"/>
          </w:tcPr>
          <w:p w:rsidR="00000000" w:rsidDel="00000000" w:rsidP="00000000" w:rsidRDefault="00000000" w:rsidRPr="00000000" w14:paraId="0000003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10.6</w:t>
            </w:r>
          </w:p>
        </w:tc>
        <w:tc>
          <w:tcPr>
            <w:vAlign w:val="bottom"/>
          </w:tcPr>
          <w:p w:rsidR="00000000" w:rsidDel="00000000" w:rsidP="00000000" w:rsidRDefault="00000000" w:rsidRPr="00000000" w14:paraId="0000003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w:t>
            </w:r>
          </w:p>
        </w:tc>
      </w:tr>
      <w:tr>
        <w:tc>
          <w:tcPr/>
          <w:p w:rsidR="00000000" w:rsidDel="00000000" w:rsidP="00000000" w:rsidRDefault="00000000" w:rsidRPr="00000000" w14:paraId="0000003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USA</w:t>
            </w:r>
          </w:p>
        </w:tc>
        <w:tc>
          <w:tcPr>
            <w:vAlign w:val="bottom"/>
          </w:tcPr>
          <w:p w:rsidR="00000000" w:rsidDel="00000000" w:rsidP="00000000" w:rsidRDefault="00000000" w:rsidRPr="00000000" w14:paraId="0000003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1.37</w:t>
            </w:r>
          </w:p>
        </w:tc>
        <w:tc>
          <w:tcPr/>
          <w:p w:rsidR="00000000" w:rsidDel="00000000" w:rsidP="00000000" w:rsidRDefault="00000000" w:rsidRPr="00000000" w14:paraId="0000003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1979</w:t>
            </w:r>
          </w:p>
        </w:tc>
        <w:tc>
          <w:tcPr>
            <w:vAlign w:val="bottom"/>
          </w:tcPr>
          <w:p w:rsidR="00000000" w:rsidDel="00000000" w:rsidP="00000000" w:rsidRDefault="00000000" w:rsidRPr="00000000" w14:paraId="0000003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66.9</w:t>
            </w:r>
          </w:p>
        </w:tc>
        <w:tc>
          <w:tcPr>
            <w:vAlign w:val="bottom"/>
          </w:tcPr>
          <w:p w:rsidR="00000000" w:rsidDel="00000000" w:rsidP="00000000" w:rsidRDefault="00000000" w:rsidRPr="00000000" w14:paraId="0000003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17.4</w:t>
            </w:r>
          </w:p>
        </w:tc>
        <w:tc>
          <w:tcPr>
            <w:vAlign w:val="bottom"/>
          </w:tcPr>
          <w:p w:rsidR="00000000" w:rsidDel="00000000" w:rsidP="00000000" w:rsidRDefault="00000000" w:rsidRPr="00000000" w14:paraId="0000003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w:t>
            </w:r>
          </w:p>
        </w:tc>
        <w:tc>
          <w:tcPr>
            <w:vAlign w:val="bottom"/>
          </w:tcPr>
          <w:p w:rsidR="00000000" w:rsidDel="00000000" w:rsidP="00000000" w:rsidRDefault="00000000" w:rsidRPr="00000000" w14:paraId="0000003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w:t>
            </w:r>
          </w:p>
        </w:tc>
      </w:tr>
      <w:tr>
        <w:tc>
          <w:tcPr/>
          <w:p w:rsidR="00000000" w:rsidDel="00000000" w:rsidP="00000000" w:rsidRDefault="00000000" w:rsidRPr="00000000" w14:paraId="0000003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Iceland</w:t>
            </w:r>
          </w:p>
        </w:tc>
        <w:tc>
          <w:tcPr>
            <w:vAlign w:val="bottom"/>
          </w:tcPr>
          <w:p w:rsidR="00000000" w:rsidDel="00000000" w:rsidP="00000000" w:rsidRDefault="00000000" w:rsidRPr="00000000" w14:paraId="0000004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1.71</w:t>
            </w:r>
          </w:p>
        </w:tc>
        <w:tc>
          <w:tcPr/>
          <w:p w:rsidR="00000000" w:rsidDel="00000000" w:rsidP="00000000" w:rsidRDefault="00000000" w:rsidRPr="00000000" w14:paraId="0000004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&lt;1981</w:t>
            </w:r>
          </w:p>
        </w:tc>
        <w:tc>
          <w:tcPr>
            <w:vAlign w:val="bottom"/>
          </w:tcPr>
          <w:p w:rsidR="00000000" w:rsidDel="00000000" w:rsidP="00000000" w:rsidRDefault="00000000" w:rsidRPr="00000000" w14:paraId="0000004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214.0</w:t>
            </w:r>
          </w:p>
        </w:tc>
        <w:tc>
          <w:tcPr>
            <w:vAlign w:val="bottom"/>
          </w:tcPr>
          <w:p w:rsidR="00000000" w:rsidDel="00000000" w:rsidP="00000000" w:rsidRDefault="00000000" w:rsidRPr="00000000" w14:paraId="0000004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48.4</w:t>
            </w:r>
          </w:p>
        </w:tc>
        <w:tc>
          <w:tcPr>
            <w:vAlign w:val="bottom"/>
          </w:tcPr>
          <w:p w:rsidR="00000000" w:rsidDel="00000000" w:rsidP="00000000" w:rsidRDefault="00000000" w:rsidRPr="00000000" w14:paraId="0000004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w:t>
            </w:r>
          </w:p>
        </w:tc>
        <w:tc>
          <w:tcPr>
            <w:vAlign w:val="bottom"/>
          </w:tcPr>
          <w:p w:rsidR="00000000" w:rsidDel="00000000" w:rsidP="00000000" w:rsidRDefault="00000000" w:rsidRPr="00000000" w14:paraId="0000004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w:t>
            </w:r>
          </w:p>
        </w:tc>
      </w:tr>
      <w:tr>
        <w:tc>
          <w:tcPr/>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Denmark</w:t>
            </w:r>
          </w:p>
        </w:tc>
        <w:tc>
          <w:tcPr>
            <w:vAlign w:val="bottom"/>
          </w:tcPr>
          <w:p w:rsidR="00000000" w:rsidDel="00000000" w:rsidP="00000000" w:rsidRDefault="00000000" w:rsidRPr="00000000" w14:paraId="0000004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w:t>
            </w:r>
          </w:p>
        </w:tc>
        <w:tc>
          <w:tcPr/>
          <w:p w:rsidR="00000000" w:rsidDel="00000000" w:rsidP="00000000" w:rsidRDefault="00000000" w:rsidRPr="00000000" w14:paraId="0000004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1981</w:t>
            </w:r>
          </w:p>
        </w:tc>
        <w:tc>
          <w:tcPr>
            <w:vAlign w:val="bottom"/>
          </w:tcPr>
          <w:p w:rsidR="00000000" w:rsidDel="00000000" w:rsidP="00000000" w:rsidRDefault="00000000" w:rsidRPr="00000000" w14:paraId="0000004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66.3</w:t>
            </w:r>
          </w:p>
        </w:tc>
        <w:tc>
          <w:tcPr>
            <w:vAlign w:val="bottom"/>
          </w:tcPr>
          <w:p w:rsidR="00000000" w:rsidDel="00000000" w:rsidP="00000000" w:rsidRDefault="00000000" w:rsidRPr="00000000" w14:paraId="0000004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33.3</w:t>
            </w:r>
          </w:p>
        </w:tc>
        <w:tc>
          <w:tcPr>
            <w:vAlign w:val="bottom"/>
          </w:tcPr>
          <w:p w:rsidR="00000000" w:rsidDel="00000000" w:rsidP="00000000" w:rsidRDefault="00000000" w:rsidRPr="00000000" w14:paraId="0000004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w:t>
            </w:r>
          </w:p>
        </w:tc>
        <w:tc>
          <w:tcPr>
            <w:vAlign w:val="bottom"/>
          </w:tcPr>
          <w:p w:rsidR="00000000" w:rsidDel="00000000" w:rsidP="00000000" w:rsidRDefault="00000000" w:rsidRPr="00000000" w14:paraId="0000004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w:t>
            </w:r>
          </w:p>
        </w:tc>
      </w:tr>
      <w:tr>
        <w:tc>
          <w:tcPr/>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France</w:t>
            </w:r>
          </w:p>
        </w:tc>
        <w:tc>
          <w:tcPr>
            <w:vAlign w:val="bottom"/>
          </w:tcPr>
          <w:p w:rsidR="00000000" w:rsidDel="00000000" w:rsidP="00000000" w:rsidRDefault="00000000" w:rsidRPr="00000000" w14:paraId="0000004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w:t>
            </w:r>
          </w:p>
        </w:tc>
        <w:tc>
          <w:tcPr/>
          <w:p w:rsidR="00000000" w:rsidDel="00000000" w:rsidP="00000000" w:rsidRDefault="00000000" w:rsidRPr="00000000" w14:paraId="0000004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1983</w:t>
            </w:r>
          </w:p>
        </w:tc>
        <w:tc>
          <w:tcPr>
            <w:vAlign w:val="bottom"/>
          </w:tcPr>
          <w:p w:rsidR="00000000" w:rsidDel="00000000" w:rsidP="00000000" w:rsidRDefault="00000000" w:rsidRPr="00000000" w14:paraId="0000005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w:t>
            </w:r>
          </w:p>
        </w:tc>
        <w:tc>
          <w:tcPr>
            <w:vAlign w:val="bottom"/>
          </w:tcPr>
          <w:p w:rsidR="00000000" w:rsidDel="00000000" w:rsidP="00000000" w:rsidRDefault="00000000" w:rsidRPr="00000000" w14:paraId="0000005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18.4</w:t>
            </w:r>
          </w:p>
        </w:tc>
        <w:tc>
          <w:tcPr>
            <w:vAlign w:val="bottom"/>
          </w:tcPr>
          <w:p w:rsidR="00000000" w:rsidDel="00000000" w:rsidP="00000000" w:rsidRDefault="00000000" w:rsidRPr="00000000" w14:paraId="0000005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w:t>
            </w:r>
          </w:p>
        </w:tc>
        <w:tc>
          <w:tcPr>
            <w:vAlign w:val="bottom"/>
          </w:tcPr>
          <w:p w:rsidR="00000000" w:rsidDel="00000000" w:rsidP="00000000" w:rsidRDefault="00000000" w:rsidRPr="00000000" w14:paraId="0000005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w:t>
            </w:r>
          </w:p>
        </w:tc>
      </w:tr>
      <w:tr>
        <w:tc>
          <w:tcPr/>
          <w:p w:rsidR="00000000" w:rsidDel="00000000" w:rsidP="00000000" w:rsidRDefault="00000000" w:rsidRPr="00000000" w14:paraId="0000005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Portugal</w:t>
            </w:r>
          </w:p>
        </w:tc>
        <w:tc>
          <w:tcPr>
            <w:vAlign w:val="bottom"/>
          </w:tcPr>
          <w:p w:rsidR="00000000" w:rsidDel="00000000" w:rsidP="00000000" w:rsidRDefault="00000000" w:rsidRPr="00000000" w14:paraId="0000005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w:t>
            </w:r>
          </w:p>
        </w:tc>
        <w:tc>
          <w:tcPr/>
          <w:p w:rsidR="00000000" w:rsidDel="00000000" w:rsidP="00000000" w:rsidRDefault="00000000" w:rsidRPr="00000000" w14:paraId="0000005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1983</w:t>
            </w:r>
          </w:p>
        </w:tc>
        <w:tc>
          <w:tcPr>
            <w:vAlign w:val="bottom"/>
          </w:tcPr>
          <w:p w:rsidR="00000000" w:rsidDel="00000000" w:rsidP="00000000" w:rsidRDefault="00000000" w:rsidRPr="00000000" w14:paraId="0000005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53.8</w:t>
            </w:r>
          </w:p>
        </w:tc>
        <w:tc>
          <w:tcPr>
            <w:vAlign w:val="bottom"/>
          </w:tcPr>
          <w:p w:rsidR="00000000" w:rsidDel="00000000" w:rsidP="00000000" w:rsidRDefault="00000000" w:rsidRPr="00000000" w14:paraId="0000005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17.6</w:t>
            </w:r>
          </w:p>
        </w:tc>
        <w:tc>
          <w:tcPr>
            <w:vAlign w:val="bottom"/>
          </w:tcPr>
          <w:p w:rsidR="00000000" w:rsidDel="00000000" w:rsidP="00000000" w:rsidRDefault="00000000" w:rsidRPr="00000000" w14:paraId="0000005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-11.7</w:t>
            </w:r>
          </w:p>
        </w:tc>
        <w:tc>
          <w:tcPr>
            <w:vAlign w:val="bottom"/>
          </w:tcPr>
          <w:p w:rsidR="00000000" w:rsidDel="00000000" w:rsidP="00000000" w:rsidRDefault="00000000" w:rsidRPr="00000000" w14:paraId="0000005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w:t>
            </w:r>
          </w:p>
        </w:tc>
      </w:tr>
      <w:tr>
        <w:tc>
          <w:tcPr/>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Sweden</w:t>
            </w:r>
          </w:p>
        </w:tc>
        <w:tc>
          <w:tcPr>
            <w:vAlign w:val="bottom"/>
          </w:tcPr>
          <w:p w:rsidR="00000000" w:rsidDel="00000000" w:rsidP="00000000" w:rsidRDefault="00000000" w:rsidRPr="00000000" w14:paraId="0000005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w:t>
            </w:r>
          </w:p>
        </w:tc>
        <w:tc>
          <w:tcPr/>
          <w:p w:rsidR="00000000" w:rsidDel="00000000" w:rsidP="00000000" w:rsidRDefault="00000000" w:rsidRPr="00000000" w14:paraId="0000005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&lt;1985</w:t>
            </w:r>
          </w:p>
        </w:tc>
        <w:tc>
          <w:tcPr>
            <w:vAlign w:val="bottom"/>
          </w:tcPr>
          <w:p w:rsidR="00000000" w:rsidDel="00000000" w:rsidP="00000000" w:rsidRDefault="00000000" w:rsidRPr="00000000" w14:paraId="0000005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48.1</w:t>
            </w:r>
          </w:p>
        </w:tc>
        <w:tc>
          <w:tcPr>
            <w:vAlign w:val="bottom"/>
          </w:tcPr>
          <w:p w:rsidR="00000000" w:rsidDel="00000000" w:rsidP="00000000" w:rsidRDefault="00000000" w:rsidRPr="00000000" w14:paraId="0000005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27.4</w:t>
            </w:r>
          </w:p>
        </w:tc>
        <w:tc>
          <w:tcPr>
            <w:vAlign w:val="bottom"/>
          </w:tcPr>
          <w:p w:rsidR="00000000" w:rsidDel="00000000" w:rsidP="00000000" w:rsidRDefault="00000000" w:rsidRPr="00000000" w14:paraId="0000006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w:t>
            </w:r>
          </w:p>
        </w:tc>
        <w:tc>
          <w:tcPr>
            <w:vAlign w:val="bottom"/>
          </w:tcPr>
          <w:p w:rsidR="00000000" w:rsidDel="00000000" w:rsidP="00000000" w:rsidRDefault="00000000" w:rsidRPr="00000000" w14:paraId="0000006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-0.5</w:t>
            </w:r>
          </w:p>
        </w:tc>
      </w:tr>
      <w:tr>
        <w:tc>
          <w:tcPr/>
          <w:p w:rsidR="00000000" w:rsidDel="00000000" w:rsidP="00000000" w:rsidRDefault="00000000" w:rsidRPr="00000000" w14:paraId="0000006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Norway</w:t>
            </w:r>
          </w:p>
        </w:tc>
        <w:tc>
          <w:tcPr>
            <w:vAlign w:val="bottom"/>
          </w:tcPr>
          <w:p w:rsidR="00000000" w:rsidDel="00000000" w:rsidP="00000000" w:rsidRDefault="00000000" w:rsidRPr="00000000" w14:paraId="0000006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1.46</w:t>
            </w:r>
          </w:p>
        </w:tc>
        <w:tc>
          <w:tcPr/>
          <w:p w:rsidR="00000000" w:rsidDel="00000000" w:rsidP="00000000" w:rsidRDefault="00000000" w:rsidRPr="00000000" w14:paraId="0000006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1984</w:t>
            </w:r>
          </w:p>
        </w:tc>
        <w:tc>
          <w:tcPr>
            <w:vAlign w:val="bottom"/>
          </w:tcPr>
          <w:p w:rsidR="00000000" w:rsidDel="00000000" w:rsidP="00000000" w:rsidRDefault="00000000" w:rsidRPr="00000000" w14:paraId="0000006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127.6</w:t>
            </w:r>
          </w:p>
        </w:tc>
        <w:tc>
          <w:tcPr>
            <w:vAlign w:val="bottom"/>
          </w:tcPr>
          <w:p w:rsidR="00000000" w:rsidDel="00000000" w:rsidP="00000000" w:rsidRDefault="00000000" w:rsidRPr="00000000" w14:paraId="0000006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38.5</w:t>
            </w:r>
          </w:p>
        </w:tc>
        <w:tc>
          <w:tcPr>
            <w:vAlign w:val="bottom"/>
          </w:tcPr>
          <w:p w:rsidR="00000000" w:rsidDel="00000000" w:rsidP="00000000" w:rsidRDefault="00000000" w:rsidRPr="00000000" w14:paraId="0000006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10.8</w:t>
            </w:r>
          </w:p>
        </w:tc>
        <w:tc>
          <w:tcPr>
            <w:vAlign w:val="bottom"/>
          </w:tcPr>
          <w:p w:rsidR="00000000" w:rsidDel="00000000" w:rsidP="00000000" w:rsidRDefault="00000000" w:rsidRPr="00000000" w14:paraId="0000006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-9.6</w:t>
            </w:r>
          </w:p>
        </w:tc>
      </w:tr>
      <w:tr>
        <w:tc>
          <w:tcPr/>
          <w:p w:rsidR="00000000" w:rsidDel="00000000" w:rsidP="00000000" w:rsidRDefault="00000000" w:rsidRPr="00000000" w14:paraId="00000069">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Finland**</w:t>
            </w:r>
            <w:r w:rsidDel="00000000" w:rsidR="00000000" w:rsidRPr="00000000">
              <w:rPr>
                <w:rtl w:val="0"/>
              </w:rPr>
            </w:r>
          </w:p>
        </w:tc>
        <w:tc>
          <w:tcPr>
            <w:vAlign w:val="bottom"/>
          </w:tcPr>
          <w:p w:rsidR="00000000" w:rsidDel="00000000" w:rsidP="00000000" w:rsidRDefault="00000000" w:rsidRPr="00000000" w14:paraId="0000006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1.21</w:t>
            </w:r>
          </w:p>
        </w:tc>
        <w:tc>
          <w:tcPr/>
          <w:p w:rsidR="00000000" w:rsidDel="00000000" w:rsidP="00000000" w:rsidRDefault="00000000" w:rsidRPr="00000000" w14:paraId="0000006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1987</w:t>
            </w:r>
          </w:p>
        </w:tc>
        <w:tc>
          <w:tcPr>
            <w:vAlign w:val="bottom"/>
          </w:tcPr>
          <w:p w:rsidR="00000000" w:rsidDel="00000000" w:rsidP="00000000" w:rsidRDefault="00000000" w:rsidRPr="00000000" w14:paraId="0000006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vAlign w:val="bottom"/>
          </w:tcPr>
          <w:p w:rsidR="00000000" w:rsidDel="00000000" w:rsidP="00000000" w:rsidRDefault="00000000" w:rsidRPr="00000000" w14:paraId="0000006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24.1</w:t>
            </w:r>
          </w:p>
        </w:tc>
        <w:tc>
          <w:tcPr>
            <w:vAlign w:val="bottom"/>
          </w:tcPr>
          <w:p w:rsidR="00000000" w:rsidDel="00000000" w:rsidP="00000000" w:rsidRDefault="00000000" w:rsidRPr="00000000" w14:paraId="0000006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w:t>
            </w:r>
          </w:p>
        </w:tc>
        <w:tc>
          <w:tcPr>
            <w:vAlign w:val="bottom"/>
          </w:tcPr>
          <w:p w:rsidR="00000000" w:rsidDel="00000000" w:rsidP="00000000" w:rsidRDefault="00000000" w:rsidRPr="00000000" w14:paraId="0000006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-1.22</w:t>
            </w:r>
          </w:p>
        </w:tc>
      </w:tr>
      <w:tr>
        <w:tc>
          <w:tcPr/>
          <w:p w:rsidR="00000000" w:rsidDel="00000000" w:rsidP="00000000" w:rsidRDefault="00000000" w:rsidRPr="00000000" w14:paraId="00000070">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Spain</w:t>
            </w:r>
            <w:r w:rsidDel="00000000" w:rsidR="00000000" w:rsidRPr="00000000">
              <w:rPr>
                <w:rtl w:val="0"/>
              </w:rPr>
            </w:r>
          </w:p>
        </w:tc>
        <w:tc>
          <w:tcPr>
            <w:vAlign w:val="bottom"/>
          </w:tcPr>
          <w:p w:rsidR="00000000" w:rsidDel="00000000" w:rsidP="00000000" w:rsidRDefault="00000000" w:rsidRPr="00000000" w14:paraId="0000007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w:t>
            </w:r>
          </w:p>
        </w:tc>
        <w:tc>
          <w:tcPr/>
          <w:p w:rsidR="00000000" w:rsidDel="00000000" w:rsidP="00000000" w:rsidRDefault="00000000" w:rsidRPr="00000000" w14:paraId="0000007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1986</w:t>
            </w:r>
          </w:p>
        </w:tc>
        <w:tc>
          <w:tcPr>
            <w:vAlign w:val="bottom"/>
          </w:tcPr>
          <w:p w:rsidR="00000000" w:rsidDel="00000000" w:rsidP="00000000" w:rsidRDefault="00000000" w:rsidRPr="00000000" w14:paraId="0000007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157.8</w:t>
            </w:r>
          </w:p>
        </w:tc>
        <w:tc>
          <w:tcPr>
            <w:vAlign w:val="bottom"/>
          </w:tcPr>
          <w:p w:rsidR="00000000" w:rsidDel="00000000" w:rsidP="00000000" w:rsidRDefault="00000000" w:rsidRPr="00000000" w14:paraId="0000007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23.0</w:t>
            </w:r>
          </w:p>
        </w:tc>
        <w:tc>
          <w:tcPr>
            <w:vAlign w:val="bottom"/>
          </w:tcPr>
          <w:p w:rsidR="00000000" w:rsidDel="00000000" w:rsidP="00000000" w:rsidRDefault="00000000" w:rsidRPr="00000000" w14:paraId="0000007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w:t>
            </w:r>
          </w:p>
        </w:tc>
        <w:tc>
          <w:tcPr>
            <w:vAlign w:val="bottom"/>
          </w:tcPr>
          <w:p w:rsidR="00000000" w:rsidDel="00000000" w:rsidP="00000000" w:rsidRDefault="00000000" w:rsidRPr="00000000" w14:paraId="0000007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-4.98</w:t>
            </w:r>
          </w:p>
        </w:tc>
      </w:tr>
      <w:tr>
        <w:tc>
          <w:tcPr/>
          <w:p w:rsidR="00000000" w:rsidDel="00000000" w:rsidP="00000000" w:rsidRDefault="00000000" w:rsidRPr="00000000" w14:paraId="00000077">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Australia</w:t>
            </w:r>
            <w:r w:rsidDel="00000000" w:rsidR="00000000" w:rsidRPr="00000000">
              <w:rPr>
                <w:rtl w:val="0"/>
              </w:rPr>
            </w:r>
          </w:p>
        </w:tc>
        <w:tc>
          <w:tcPr>
            <w:vAlign w:val="bottom"/>
          </w:tcPr>
          <w:p w:rsidR="00000000" w:rsidDel="00000000" w:rsidP="00000000" w:rsidRDefault="00000000" w:rsidRPr="00000000" w14:paraId="0000007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w:t>
            </w:r>
          </w:p>
        </w:tc>
        <w:tc>
          <w:tcPr/>
          <w:p w:rsidR="00000000" w:rsidDel="00000000" w:rsidP="00000000" w:rsidRDefault="00000000" w:rsidRPr="00000000" w14:paraId="0000007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1987</w:t>
            </w:r>
          </w:p>
        </w:tc>
        <w:tc>
          <w:tcPr>
            <w:vAlign w:val="bottom"/>
          </w:tcPr>
          <w:p w:rsidR="00000000" w:rsidDel="00000000" w:rsidP="00000000" w:rsidRDefault="00000000" w:rsidRPr="00000000" w14:paraId="0000007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76.4</w:t>
            </w:r>
          </w:p>
        </w:tc>
        <w:tc>
          <w:tcPr>
            <w:vAlign w:val="bottom"/>
          </w:tcPr>
          <w:p w:rsidR="00000000" w:rsidDel="00000000" w:rsidP="00000000" w:rsidRDefault="00000000" w:rsidRPr="00000000" w14:paraId="0000007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29.7</w:t>
            </w:r>
          </w:p>
        </w:tc>
        <w:tc>
          <w:tcPr>
            <w:vAlign w:val="bottom"/>
          </w:tcPr>
          <w:p w:rsidR="00000000" w:rsidDel="00000000" w:rsidP="00000000" w:rsidRDefault="00000000" w:rsidRPr="00000000" w14:paraId="0000007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w:t>
            </w:r>
          </w:p>
        </w:tc>
        <w:tc>
          <w:tcPr>
            <w:vAlign w:val="bottom"/>
          </w:tcPr>
          <w:p w:rsidR="00000000" w:rsidDel="00000000" w:rsidP="00000000" w:rsidRDefault="00000000" w:rsidRPr="00000000" w14:paraId="0000007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2.09</w:t>
            </w:r>
          </w:p>
        </w:tc>
      </w:tr>
      <w:tr>
        <w:tc>
          <w:tcPr/>
          <w:p w:rsidR="00000000" w:rsidDel="00000000" w:rsidP="00000000" w:rsidRDefault="00000000" w:rsidRPr="00000000" w14:paraId="0000007E">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New Zealand</w:t>
            </w:r>
            <w:r w:rsidDel="00000000" w:rsidR="00000000" w:rsidRPr="00000000">
              <w:rPr>
                <w:rtl w:val="0"/>
              </w:rPr>
            </w:r>
          </w:p>
        </w:tc>
        <w:tc>
          <w:tcPr>
            <w:vAlign w:val="bottom"/>
          </w:tcPr>
          <w:p w:rsidR="00000000" w:rsidDel="00000000" w:rsidP="00000000" w:rsidRDefault="00000000" w:rsidRPr="00000000" w14:paraId="0000007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w:t>
            </w:r>
          </w:p>
        </w:tc>
        <w:tc>
          <w:tcPr/>
          <w:p w:rsidR="00000000" w:rsidDel="00000000" w:rsidP="00000000" w:rsidRDefault="00000000" w:rsidRPr="00000000" w14:paraId="0000008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1989</w:t>
            </w:r>
          </w:p>
        </w:tc>
        <w:tc>
          <w:tcPr>
            <w:vAlign w:val="bottom"/>
          </w:tcPr>
          <w:p w:rsidR="00000000" w:rsidDel="00000000" w:rsidP="00000000" w:rsidRDefault="00000000" w:rsidRPr="00000000" w14:paraId="0000008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22.7</w:t>
            </w:r>
          </w:p>
        </w:tc>
        <w:tc>
          <w:tcPr>
            <w:vAlign w:val="bottom"/>
          </w:tcPr>
          <w:p w:rsidR="00000000" w:rsidDel="00000000" w:rsidP="00000000" w:rsidRDefault="00000000" w:rsidRPr="00000000" w14:paraId="0000008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65.4</w:t>
            </w:r>
          </w:p>
        </w:tc>
        <w:tc>
          <w:tcPr>
            <w:vAlign w:val="bottom"/>
          </w:tcPr>
          <w:p w:rsidR="00000000" w:rsidDel="00000000" w:rsidP="00000000" w:rsidRDefault="00000000" w:rsidRPr="00000000" w14:paraId="0000008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0.7</w:t>
            </w:r>
          </w:p>
        </w:tc>
        <w:tc>
          <w:tcPr>
            <w:vAlign w:val="bottom"/>
          </w:tcPr>
          <w:p w:rsidR="00000000" w:rsidDel="00000000" w:rsidP="00000000" w:rsidRDefault="00000000" w:rsidRPr="00000000" w14:paraId="0000008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-7.76</w:t>
            </w:r>
          </w:p>
        </w:tc>
      </w:tr>
      <w:tr>
        <w:tc>
          <w:tcPr/>
          <w:p w:rsidR="00000000" w:rsidDel="00000000" w:rsidP="00000000" w:rsidRDefault="00000000" w:rsidRPr="00000000" w14:paraId="00000085">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Delayed Parity Countries</w:t>
            </w:r>
          </w:p>
        </w:tc>
        <w:tc>
          <w:tcPr>
            <w:vAlign w:val="bottom"/>
          </w:tcPr>
          <w:p w:rsidR="00000000" w:rsidDel="00000000" w:rsidP="00000000" w:rsidRDefault="00000000" w:rsidRPr="00000000" w14:paraId="00000086">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87">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88">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89">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8A">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8B">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8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Israel</w:t>
            </w:r>
          </w:p>
        </w:tc>
        <w:tc>
          <w:tcPr>
            <w:vAlign w:val="bottom"/>
          </w:tcPr>
          <w:p w:rsidR="00000000" w:rsidDel="00000000" w:rsidP="00000000" w:rsidRDefault="00000000" w:rsidRPr="00000000" w14:paraId="0000008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w:t>
            </w:r>
          </w:p>
        </w:tc>
        <w:tc>
          <w:tcPr/>
          <w:p w:rsidR="00000000" w:rsidDel="00000000" w:rsidP="00000000" w:rsidRDefault="00000000" w:rsidRPr="00000000" w14:paraId="0000008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1991</w:t>
            </w:r>
          </w:p>
        </w:tc>
        <w:tc>
          <w:tcPr>
            <w:vAlign w:val="bottom"/>
          </w:tcPr>
          <w:p w:rsidR="00000000" w:rsidDel="00000000" w:rsidP="00000000" w:rsidRDefault="00000000" w:rsidRPr="00000000" w14:paraId="0000008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w:t>
            </w:r>
          </w:p>
        </w:tc>
        <w:tc>
          <w:tcPr>
            <w:vAlign w:val="bottom"/>
          </w:tcPr>
          <w:p w:rsidR="00000000" w:rsidDel="00000000" w:rsidP="00000000" w:rsidRDefault="00000000" w:rsidRPr="00000000" w14:paraId="0000009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53.5</w:t>
            </w:r>
          </w:p>
        </w:tc>
        <w:tc>
          <w:tcPr>
            <w:vAlign w:val="bottom"/>
          </w:tcPr>
          <w:p w:rsidR="00000000" w:rsidDel="00000000" w:rsidP="00000000" w:rsidRDefault="00000000" w:rsidRPr="00000000" w14:paraId="0000009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-8.9</w:t>
            </w:r>
          </w:p>
        </w:tc>
        <w:tc>
          <w:tcPr>
            <w:vAlign w:val="bottom"/>
          </w:tcPr>
          <w:p w:rsidR="00000000" w:rsidDel="00000000" w:rsidP="00000000" w:rsidRDefault="00000000" w:rsidRPr="00000000" w14:paraId="0000009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6.15</w:t>
            </w:r>
          </w:p>
        </w:tc>
      </w:tr>
      <w:tr>
        <w:tc>
          <w:tcPr/>
          <w:p w:rsidR="00000000" w:rsidDel="00000000" w:rsidP="00000000" w:rsidRDefault="00000000" w:rsidRPr="00000000" w14:paraId="0000009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Italy</w:t>
            </w:r>
          </w:p>
        </w:tc>
        <w:tc>
          <w:tcPr>
            <w:vAlign w:val="bottom"/>
          </w:tcPr>
          <w:p w:rsidR="00000000" w:rsidDel="00000000" w:rsidP="00000000" w:rsidRDefault="00000000" w:rsidRPr="00000000" w14:paraId="0000009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w:t>
            </w:r>
          </w:p>
        </w:tc>
        <w:tc>
          <w:tcPr/>
          <w:p w:rsidR="00000000" w:rsidDel="00000000" w:rsidP="00000000" w:rsidRDefault="00000000" w:rsidRPr="00000000" w14:paraId="0000009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1992</w:t>
            </w:r>
          </w:p>
        </w:tc>
        <w:tc>
          <w:tcPr>
            <w:vAlign w:val="bottom"/>
          </w:tcPr>
          <w:p w:rsidR="00000000" w:rsidDel="00000000" w:rsidP="00000000" w:rsidRDefault="00000000" w:rsidRPr="00000000" w14:paraId="0000009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38.2</w:t>
            </w:r>
          </w:p>
        </w:tc>
        <w:tc>
          <w:tcPr>
            <w:vAlign w:val="bottom"/>
          </w:tcPr>
          <w:p w:rsidR="00000000" w:rsidDel="00000000" w:rsidP="00000000" w:rsidRDefault="00000000" w:rsidRPr="00000000" w14:paraId="0000009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51.8</w:t>
            </w:r>
          </w:p>
        </w:tc>
        <w:tc>
          <w:tcPr>
            <w:vAlign w:val="bottom"/>
          </w:tcPr>
          <w:p w:rsidR="00000000" w:rsidDel="00000000" w:rsidP="00000000" w:rsidRDefault="00000000" w:rsidRPr="00000000" w14:paraId="0000009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w:t>
            </w:r>
          </w:p>
        </w:tc>
        <w:tc>
          <w:tcPr>
            <w:vAlign w:val="bottom"/>
          </w:tcPr>
          <w:p w:rsidR="00000000" w:rsidDel="00000000" w:rsidP="00000000" w:rsidRDefault="00000000" w:rsidRPr="00000000" w14:paraId="0000009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-4.80</w:t>
            </w:r>
          </w:p>
        </w:tc>
      </w:tr>
      <w:tr>
        <w:tc>
          <w:tcPr/>
          <w:p w:rsidR="00000000" w:rsidDel="00000000" w:rsidP="00000000" w:rsidRDefault="00000000" w:rsidRPr="00000000" w14:paraId="0000009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UK</w:t>
            </w:r>
          </w:p>
        </w:tc>
        <w:tc>
          <w:tcPr>
            <w:vAlign w:val="bottom"/>
          </w:tcPr>
          <w:p w:rsidR="00000000" w:rsidDel="00000000" w:rsidP="00000000" w:rsidRDefault="00000000" w:rsidRPr="00000000" w14:paraId="0000009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w:t>
            </w:r>
          </w:p>
        </w:tc>
        <w:tc>
          <w:tcPr/>
          <w:p w:rsidR="00000000" w:rsidDel="00000000" w:rsidP="00000000" w:rsidRDefault="00000000" w:rsidRPr="00000000" w14:paraId="0000009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1993</w:t>
            </w:r>
          </w:p>
        </w:tc>
        <w:tc>
          <w:tcPr>
            <w:vAlign w:val="bottom"/>
          </w:tcPr>
          <w:p w:rsidR="00000000" w:rsidDel="00000000" w:rsidP="00000000" w:rsidRDefault="00000000" w:rsidRPr="00000000" w14:paraId="0000009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64.1</w:t>
            </w:r>
          </w:p>
        </w:tc>
        <w:tc>
          <w:tcPr>
            <w:vAlign w:val="bottom"/>
          </w:tcPr>
          <w:p w:rsidR="00000000" w:rsidDel="00000000" w:rsidP="00000000" w:rsidRDefault="00000000" w:rsidRPr="00000000" w14:paraId="0000009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41.6</w:t>
            </w:r>
          </w:p>
        </w:tc>
        <w:tc>
          <w:tcPr>
            <w:vAlign w:val="bottom"/>
          </w:tcPr>
          <w:p w:rsidR="00000000" w:rsidDel="00000000" w:rsidP="00000000" w:rsidRDefault="00000000" w:rsidRPr="00000000" w14:paraId="0000009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w:t>
            </w:r>
          </w:p>
        </w:tc>
        <w:tc>
          <w:tcPr>
            <w:vAlign w:val="bottom"/>
          </w:tcPr>
          <w:p w:rsidR="00000000" w:rsidDel="00000000" w:rsidP="00000000" w:rsidRDefault="00000000" w:rsidRPr="00000000" w14:paraId="000000A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-3.22</w:t>
            </w:r>
          </w:p>
        </w:tc>
      </w:tr>
      <w:tr>
        <w:tc>
          <w:tcPr/>
          <w:p w:rsidR="00000000" w:rsidDel="00000000" w:rsidP="00000000" w:rsidRDefault="00000000" w:rsidRPr="00000000" w14:paraId="000000A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Belgium</w:t>
            </w:r>
          </w:p>
        </w:tc>
        <w:tc>
          <w:tcPr>
            <w:vAlign w:val="bottom"/>
          </w:tcPr>
          <w:p w:rsidR="00000000" w:rsidDel="00000000" w:rsidP="00000000" w:rsidRDefault="00000000" w:rsidRPr="00000000" w14:paraId="000000A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1.31</w:t>
            </w:r>
          </w:p>
        </w:tc>
        <w:tc>
          <w:tcPr/>
          <w:p w:rsidR="00000000" w:rsidDel="00000000" w:rsidP="00000000" w:rsidRDefault="00000000" w:rsidRPr="00000000" w14:paraId="000000A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1994</w:t>
            </w:r>
          </w:p>
        </w:tc>
        <w:tc>
          <w:tcPr>
            <w:vAlign w:val="bottom"/>
          </w:tcPr>
          <w:p w:rsidR="00000000" w:rsidDel="00000000" w:rsidP="00000000" w:rsidRDefault="00000000" w:rsidRPr="00000000" w14:paraId="000000A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45.5</w:t>
            </w:r>
          </w:p>
        </w:tc>
        <w:tc>
          <w:tcPr>
            <w:vAlign w:val="bottom"/>
          </w:tcPr>
          <w:p w:rsidR="00000000" w:rsidDel="00000000" w:rsidP="00000000" w:rsidRDefault="00000000" w:rsidRPr="00000000" w14:paraId="000000A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30.4</w:t>
            </w:r>
          </w:p>
        </w:tc>
        <w:tc>
          <w:tcPr>
            <w:vAlign w:val="bottom"/>
          </w:tcPr>
          <w:p w:rsidR="00000000" w:rsidDel="00000000" w:rsidP="00000000" w:rsidRDefault="00000000" w:rsidRPr="00000000" w14:paraId="000000A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w:t>
            </w:r>
          </w:p>
        </w:tc>
        <w:tc>
          <w:tcPr>
            <w:vAlign w:val="bottom"/>
          </w:tcPr>
          <w:p w:rsidR="00000000" w:rsidDel="00000000" w:rsidP="00000000" w:rsidRDefault="00000000" w:rsidRPr="00000000" w14:paraId="000000A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3.73</w:t>
            </w:r>
          </w:p>
        </w:tc>
      </w:tr>
      <w:tr>
        <w:tc>
          <w:tcPr/>
          <w:p w:rsidR="00000000" w:rsidDel="00000000" w:rsidP="00000000" w:rsidRDefault="00000000" w:rsidRPr="00000000" w14:paraId="000000A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Austria</w:t>
            </w:r>
          </w:p>
        </w:tc>
        <w:tc>
          <w:tcPr>
            <w:vAlign w:val="bottom"/>
          </w:tcPr>
          <w:p w:rsidR="00000000" w:rsidDel="00000000" w:rsidP="00000000" w:rsidRDefault="00000000" w:rsidRPr="00000000" w14:paraId="000000A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w:t>
            </w:r>
          </w:p>
        </w:tc>
        <w:tc>
          <w:tcPr/>
          <w:p w:rsidR="00000000" w:rsidDel="00000000" w:rsidP="00000000" w:rsidRDefault="00000000" w:rsidRPr="00000000" w14:paraId="000000A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1998</w:t>
            </w:r>
          </w:p>
        </w:tc>
        <w:tc>
          <w:tcPr>
            <w:vAlign w:val="bottom"/>
          </w:tcPr>
          <w:p w:rsidR="00000000" w:rsidDel="00000000" w:rsidP="00000000" w:rsidRDefault="00000000" w:rsidRPr="00000000" w14:paraId="000000A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95.8</w:t>
            </w:r>
          </w:p>
        </w:tc>
        <w:tc>
          <w:tcPr>
            <w:vAlign w:val="bottom"/>
          </w:tcPr>
          <w:p w:rsidR="00000000" w:rsidDel="00000000" w:rsidP="00000000" w:rsidRDefault="00000000" w:rsidRPr="00000000" w14:paraId="000000A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28.5</w:t>
            </w:r>
          </w:p>
        </w:tc>
        <w:tc>
          <w:tcPr>
            <w:vAlign w:val="bottom"/>
          </w:tcPr>
          <w:p w:rsidR="00000000" w:rsidDel="00000000" w:rsidP="00000000" w:rsidRDefault="00000000" w:rsidRPr="00000000" w14:paraId="000000A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w:t>
            </w:r>
          </w:p>
        </w:tc>
        <w:tc>
          <w:tcPr>
            <w:vAlign w:val="bottom"/>
          </w:tcPr>
          <w:p w:rsidR="00000000" w:rsidDel="00000000" w:rsidP="00000000" w:rsidRDefault="00000000" w:rsidRPr="00000000" w14:paraId="000000A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2.70</w:t>
            </w:r>
          </w:p>
        </w:tc>
      </w:tr>
      <w:tr>
        <w:tc>
          <w:tcPr/>
          <w:p w:rsidR="00000000" w:rsidDel="00000000" w:rsidP="00000000" w:rsidRDefault="00000000" w:rsidRPr="00000000" w14:paraId="000000A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Ireland</w:t>
            </w:r>
          </w:p>
        </w:tc>
        <w:tc>
          <w:tcPr>
            <w:vAlign w:val="bottom"/>
          </w:tcPr>
          <w:p w:rsidR="00000000" w:rsidDel="00000000" w:rsidP="00000000" w:rsidRDefault="00000000" w:rsidRPr="00000000" w14:paraId="000000B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1.09</w:t>
            </w:r>
          </w:p>
        </w:tc>
        <w:tc>
          <w:tcPr/>
          <w:p w:rsidR="00000000" w:rsidDel="00000000" w:rsidP="00000000" w:rsidRDefault="00000000" w:rsidRPr="00000000" w14:paraId="000000B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1995</w:t>
            </w:r>
          </w:p>
        </w:tc>
        <w:tc>
          <w:tcPr>
            <w:vAlign w:val="bottom"/>
          </w:tcPr>
          <w:p w:rsidR="00000000" w:rsidDel="00000000" w:rsidP="00000000" w:rsidRDefault="00000000" w:rsidRPr="00000000" w14:paraId="000000B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45.9</w:t>
            </w:r>
          </w:p>
        </w:tc>
        <w:tc>
          <w:tcPr>
            <w:vAlign w:val="bottom"/>
          </w:tcPr>
          <w:p w:rsidR="00000000" w:rsidDel="00000000" w:rsidP="00000000" w:rsidRDefault="00000000" w:rsidRPr="00000000" w14:paraId="000000B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55.2</w:t>
            </w:r>
          </w:p>
        </w:tc>
        <w:tc>
          <w:tcPr>
            <w:vAlign w:val="bottom"/>
          </w:tcPr>
          <w:p w:rsidR="00000000" w:rsidDel="00000000" w:rsidP="00000000" w:rsidRDefault="00000000" w:rsidRPr="00000000" w14:paraId="000000B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w:t>
            </w:r>
          </w:p>
        </w:tc>
        <w:tc>
          <w:tcPr>
            <w:vAlign w:val="bottom"/>
          </w:tcPr>
          <w:p w:rsidR="00000000" w:rsidDel="00000000" w:rsidP="00000000" w:rsidRDefault="00000000" w:rsidRPr="00000000" w14:paraId="000000B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-2.05</w:t>
            </w:r>
          </w:p>
        </w:tc>
      </w:tr>
      <w:tr>
        <w:tc>
          <w:tcPr/>
          <w:p w:rsidR="00000000" w:rsidDel="00000000" w:rsidP="00000000" w:rsidRDefault="00000000" w:rsidRPr="00000000" w14:paraId="000000B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Czech Republic</w:t>
            </w:r>
          </w:p>
        </w:tc>
        <w:tc>
          <w:tcPr>
            <w:vAlign w:val="bottom"/>
          </w:tcPr>
          <w:p w:rsidR="00000000" w:rsidDel="00000000" w:rsidP="00000000" w:rsidRDefault="00000000" w:rsidRPr="00000000" w14:paraId="000000B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1.41</w:t>
            </w:r>
          </w:p>
        </w:tc>
        <w:tc>
          <w:tcPr/>
          <w:p w:rsidR="00000000" w:rsidDel="00000000" w:rsidP="00000000" w:rsidRDefault="00000000" w:rsidRPr="00000000" w14:paraId="000000B8">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1999</w:t>
            </w:r>
          </w:p>
        </w:tc>
        <w:tc>
          <w:tcPr>
            <w:vAlign w:val="bottom"/>
          </w:tcPr>
          <w:p w:rsidR="00000000" w:rsidDel="00000000" w:rsidP="00000000" w:rsidRDefault="00000000" w:rsidRPr="00000000" w14:paraId="000000B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27.6</w:t>
            </w:r>
          </w:p>
        </w:tc>
        <w:tc>
          <w:tcPr>
            <w:vAlign w:val="bottom"/>
          </w:tcPr>
          <w:p w:rsidR="00000000" w:rsidDel="00000000" w:rsidP="00000000" w:rsidRDefault="00000000" w:rsidRPr="00000000" w14:paraId="000000B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40.5</w:t>
            </w:r>
          </w:p>
        </w:tc>
        <w:tc>
          <w:tcPr>
            <w:vAlign w:val="bottom"/>
          </w:tcPr>
          <w:p w:rsidR="00000000" w:rsidDel="00000000" w:rsidP="00000000" w:rsidRDefault="00000000" w:rsidRPr="00000000" w14:paraId="000000B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34.6</w:t>
            </w:r>
          </w:p>
        </w:tc>
        <w:tc>
          <w:tcPr>
            <w:vAlign w:val="bottom"/>
          </w:tcPr>
          <w:p w:rsidR="00000000" w:rsidDel="00000000" w:rsidP="00000000" w:rsidRDefault="00000000" w:rsidRPr="00000000" w14:paraId="000000B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0.71</w:t>
            </w:r>
          </w:p>
        </w:tc>
      </w:tr>
      <w:tr>
        <w:tc>
          <w:tcPr/>
          <w:p w:rsidR="00000000" w:rsidDel="00000000" w:rsidP="00000000" w:rsidRDefault="00000000" w:rsidRPr="00000000" w14:paraId="000000B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Netherlands</w:t>
            </w:r>
          </w:p>
        </w:tc>
        <w:tc>
          <w:tcPr>
            <w:vAlign w:val="bottom"/>
          </w:tcPr>
          <w:p w:rsidR="00000000" w:rsidDel="00000000" w:rsidP="00000000" w:rsidRDefault="00000000" w:rsidRPr="00000000" w14:paraId="000000B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w:t>
            </w:r>
          </w:p>
        </w:tc>
        <w:tc>
          <w:tcPr/>
          <w:p w:rsidR="00000000" w:rsidDel="00000000" w:rsidP="00000000" w:rsidRDefault="00000000" w:rsidRPr="00000000" w14:paraId="000000C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1999</w:t>
            </w:r>
          </w:p>
        </w:tc>
        <w:tc>
          <w:tcPr>
            <w:vAlign w:val="bottom"/>
          </w:tcPr>
          <w:p w:rsidR="00000000" w:rsidDel="00000000" w:rsidP="00000000" w:rsidRDefault="00000000" w:rsidRPr="00000000" w14:paraId="000000C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81.6</w:t>
            </w:r>
          </w:p>
        </w:tc>
        <w:tc>
          <w:tcPr>
            <w:vAlign w:val="bottom"/>
          </w:tcPr>
          <w:p w:rsidR="00000000" w:rsidDel="00000000" w:rsidP="00000000" w:rsidRDefault="00000000" w:rsidRPr="00000000" w14:paraId="000000C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41.9</w:t>
            </w:r>
          </w:p>
        </w:tc>
        <w:tc>
          <w:tcPr>
            <w:vAlign w:val="bottom"/>
          </w:tcPr>
          <w:p w:rsidR="00000000" w:rsidDel="00000000" w:rsidP="00000000" w:rsidRDefault="00000000" w:rsidRPr="00000000" w14:paraId="000000C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w:t>
            </w:r>
          </w:p>
        </w:tc>
        <w:tc>
          <w:tcPr>
            <w:vAlign w:val="bottom"/>
          </w:tcPr>
          <w:p w:rsidR="00000000" w:rsidDel="00000000" w:rsidP="00000000" w:rsidRDefault="00000000" w:rsidRPr="00000000" w14:paraId="000000C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-1.63</w:t>
            </w:r>
          </w:p>
        </w:tc>
      </w:tr>
      <w:tr>
        <w:tc>
          <w:tcPr/>
          <w:p w:rsidR="00000000" w:rsidDel="00000000" w:rsidP="00000000" w:rsidRDefault="00000000" w:rsidRPr="00000000" w14:paraId="000000C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Mexico</w:t>
            </w:r>
          </w:p>
        </w:tc>
        <w:tc>
          <w:tcPr>
            <w:vAlign w:val="bottom"/>
          </w:tcPr>
          <w:p w:rsidR="00000000" w:rsidDel="00000000" w:rsidP="00000000" w:rsidRDefault="00000000" w:rsidRPr="00000000" w14:paraId="000000C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w:t>
            </w:r>
          </w:p>
        </w:tc>
        <w:tc>
          <w:tcPr/>
          <w:p w:rsidR="00000000" w:rsidDel="00000000" w:rsidP="00000000" w:rsidRDefault="00000000" w:rsidRPr="00000000" w14:paraId="000000C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2004</w:t>
            </w:r>
          </w:p>
        </w:tc>
        <w:tc>
          <w:tcPr>
            <w:vAlign w:val="bottom"/>
          </w:tcPr>
          <w:p w:rsidR="00000000" w:rsidDel="00000000" w:rsidP="00000000" w:rsidRDefault="00000000" w:rsidRPr="00000000" w14:paraId="000000C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114.0</w:t>
            </w:r>
          </w:p>
        </w:tc>
        <w:tc>
          <w:tcPr>
            <w:vAlign w:val="bottom"/>
          </w:tcPr>
          <w:p w:rsidR="00000000" w:rsidDel="00000000" w:rsidP="00000000" w:rsidRDefault="00000000" w:rsidRPr="00000000" w14:paraId="000000C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71.4</w:t>
            </w:r>
          </w:p>
        </w:tc>
        <w:tc>
          <w:tcPr>
            <w:vAlign w:val="bottom"/>
          </w:tcPr>
          <w:p w:rsidR="00000000" w:rsidDel="00000000" w:rsidP="00000000" w:rsidRDefault="00000000" w:rsidRPr="00000000" w14:paraId="000000C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w:t>
            </w:r>
          </w:p>
        </w:tc>
        <w:tc>
          <w:tcPr>
            <w:vAlign w:val="bottom"/>
          </w:tcPr>
          <w:p w:rsidR="00000000" w:rsidDel="00000000" w:rsidP="00000000" w:rsidRDefault="00000000" w:rsidRPr="00000000" w14:paraId="000000C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-2.72</w:t>
            </w:r>
          </w:p>
        </w:tc>
      </w:tr>
      <w:tr>
        <w:tc>
          <w:tcPr/>
          <w:p w:rsidR="00000000" w:rsidDel="00000000" w:rsidP="00000000" w:rsidRDefault="00000000" w:rsidRPr="00000000" w14:paraId="000000C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Chile</w:t>
            </w:r>
          </w:p>
        </w:tc>
        <w:tc>
          <w:tcPr>
            <w:vAlign w:val="bottom"/>
          </w:tcPr>
          <w:p w:rsidR="00000000" w:rsidDel="00000000" w:rsidP="00000000" w:rsidRDefault="00000000" w:rsidRPr="00000000" w14:paraId="000000C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w:t>
            </w:r>
          </w:p>
        </w:tc>
        <w:tc>
          <w:tcPr/>
          <w:p w:rsidR="00000000" w:rsidDel="00000000" w:rsidP="00000000" w:rsidRDefault="00000000" w:rsidRPr="00000000" w14:paraId="000000C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2007</w:t>
            </w:r>
          </w:p>
        </w:tc>
        <w:tc>
          <w:tcPr>
            <w:vAlign w:val="bottom"/>
          </w:tcPr>
          <w:p w:rsidR="00000000" w:rsidDel="00000000" w:rsidP="00000000" w:rsidRDefault="00000000" w:rsidRPr="00000000" w14:paraId="000000C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24.4</w:t>
            </w:r>
          </w:p>
        </w:tc>
        <w:tc>
          <w:tcPr>
            <w:vAlign w:val="bottom"/>
          </w:tcPr>
          <w:p w:rsidR="00000000" w:rsidDel="00000000" w:rsidP="00000000" w:rsidRDefault="00000000" w:rsidRPr="00000000" w14:paraId="000000D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16.2</w:t>
            </w:r>
          </w:p>
        </w:tc>
        <w:tc>
          <w:tcPr>
            <w:vAlign w:val="bottom"/>
          </w:tcPr>
          <w:p w:rsidR="00000000" w:rsidDel="00000000" w:rsidP="00000000" w:rsidRDefault="00000000" w:rsidRPr="00000000" w14:paraId="000000D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w:t>
            </w:r>
          </w:p>
        </w:tc>
        <w:tc>
          <w:tcPr>
            <w:vAlign w:val="bottom"/>
          </w:tcPr>
          <w:p w:rsidR="00000000" w:rsidDel="00000000" w:rsidP="00000000" w:rsidRDefault="00000000" w:rsidRPr="00000000" w14:paraId="000000D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5.49</w:t>
            </w:r>
          </w:p>
        </w:tc>
      </w:tr>
      <w:tr>
        <w:tc>
          <w:tcPr/>
          <w:p w:rsidR="00000000" w:rsidDel="00000000" w:rsidP="00000000" w:rsidRDefault="00000000" w:rsidRPr="00000000" w14:paraId="000000D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Switzerland</w:t>
            </w:r>
          </w:p>
        </w:tc>
        <w:tc>
          <w:tcPr>
            <w:vAlign w:val="bottom"/>
          </w:tcPr>
          <w:p w:rsidR="00000000" w:rsidDel="00000000" w:rsidP="00000000" w:rsidRDefault="00000000" w:rsidRPr="00000000" w14:paraId="000000D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1.03</w:t>
            </w:r>
          </w:p>
        </w:tc>
        <w:tc>
          <w:tcPr/>
          <w:p w:rsidR="00000000" w:rsidDel="00000000" w:rsidP="00000000" w:rsidRDefault="00000000" w:rsidRPr="00000000" w14:paraId="000000D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w:t>
            </w:r>
          </w:p>
        </w:tc>
        <w:tc>
          <w:tcPr>
            <w:vAlign w:val="bottom"/>
          </w:tcPr>
          <w:p w:rsidR="00000000" w:rsidDel="00000000" w:rsidP="00000000" w:rsidRDefault="00000000" w:rsidRPr="00000000" w14:paraId="000000D6">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D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57.3</w:t>
            </w:r>
          </w:p>
        </w:tc>
        <w:tc>
          <w:tcPr>
            <w:vAlign w:val="bottom"/>
          </w:tcPr>
          <w:p w:rsidR="00000000" w:rsidDel="00000000" w:rsidP="00000000" w:rsidRDefault="00000000" w:rsidRPr="00000000" w14:paraId="000000D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31.8</w:t>
            </w:r>
          </w:p>
        </w:tc>
        <w:tc>
          <w:tcPr>
            <w:vAlign w:val="bottom"/>
          </w:tcPr>
          <w:p w:rsidR="00000000" w:rsidDel="00000000" w:rsidP="00000000" w:rsidRDefault="00000000" w:rsidRPr="00000000" w14:paraId="000000D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3.95</w:t>
            </w:r>
          </w:p>
        </w:tc>
      </w:tr>
      <w:tr>
        <w:tc>
          <w:tcPr/>
          <w:p w:rsidR="00000000" w:rsidDel="00000000" w:rsidP="00000000" w:rsidRDefault="00000000" w:rsidRPr="00000000" w14:paraId="000000D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Japan</w:t>
            </w:r>
          </w:p>
        </w:tc>
        <w:tc>
          <w:tcPr>
            <w:vAlign w:val="bottom"/>
          </w:tcPr>
          <w:p w:rsidR="00000000" w:rsidDel="00000000" w:rsidP="00000000" w:rsidRDefault="00000000" w:rsidRPr="00000000" w14:paraId="000000D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0.93</w:t>
            </w:r>
          </w:p>
        </w:tc>
        <w:tc>
          <w:tcPr/>
          <w:p w:rsidR="00000000" w:rsidDel="00000000" w:rsidP="00000000" w:rsidRDefault="00000000" w:rsidRPr="00000000" w14:paraId="000000DC">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D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38.7</w:t>
            </w:r>
          </w:p>
        </w:tc>
        <w:tc>
          <w:tcPr>
            <w:vAlign w:val="bottom"/>
          </w:tcPr>
          <w:p w:rsidR="00000000" w:rsidDel="00000000" w:rsidP="00000000" w:rsidRDefault="00000000" w:rsidRPr="00000000" w14:paraId="000000D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57.2</w:t>
            </w:r>
          </w:p>
        </w:tc>
        <w:tc>
          <w:tcPr>
            <w:vAlign w:val="bottom"/>
          </w:tcPr>
          <w:p w:rsidR="00000000" w:rsidDel="00000000" w:rsidP="00000000" w:rsidRDefault="00000000" w:rsidRPr="00000000" w14:paraId="000000D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w:t>
            </w:r>
          </w:p>
        </w:tc>
        <w:tc>
          <w:tcPr>
            <w:vAlign w:val="bottom"/>
          </w:tcPr>
          <w:p w:rsidR="00000000" w:rsidDel="00000000" w:rsidP="00000000" w:rsidRDefault="00000000" w:rsidRPr="00000000" w14:paraId="000000E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3.70</w:t>
            </w:r>
          </w:p>
        </w:tc>
      </w:tr>
      <w:tr>
        <w:tc>
          <w:tcPr/>
          <w:p w:rsidR="00000000" w:rsidDel="00000000" w:rsidP="00000000" w:rsidRDefault="00000000" w:rsidRPr="00000000" w14:paraId="000000E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Turkey</w:t>
            </w:r>
          </w:p>
        </w:tc>
        <w:tc>
          <w:tcPr>
            <w:vAlign w:val="bottom"/>
          </w:tcPr>
          <w:p w:rsidR="00000000" w:rsidDel="00000000" w:rsidP="00000000" w:rsidRDefault="00000000" w:rsidRPr="00000000" w14:paraId="000000E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0.87</w:t>
            </w:r>
          </w:p>
        </w:tc>
        <w:tc>
          <w:tcPr/>
          <w:p w:rsidR="00000000" w:rsidDel="00000000" w:rsidP="00000000" w:rsidRDefault="00000000" w:rsidRPr="00000000" w14:paraId="000000E3">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E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102.2</w:t>
            </w:r>
          </w:p>
        </w:tc>
        <w:tc>
          <w:tcPr>
            <w:vAlign w:val="bottom"/>
          </w:tcPr>
          <w:p w:rsidR="00000000" w:rsidDel="00000000" w:rsidP="00000000" w:rsidRDefault="00000000" w:rsidRPr="00000000" w14:paraId="000000E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44.9</w:t>
            </w:r>
          </w:p>
        </w:tc>
        <w:tc>
          <w:tcPr>
            <w:vAlign w:val="bottom"/>
          </w:tcPr>
          <w:p w:rsidR="00000000" w:rsidDel="00000000" w:rsidP="00000000" w:rsidRDefault="00000000" w:rsidRPr="00000000" w14:paraId="000000E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23.3</w:t>
            </w:r>
          </w:p>
        </w:tc>
        <w:tc>
          <w:tcPr>
            <w:vAlign w:val="bottom"/>
          </w:tcPr>
          <w:p w:rsidR="00000000" w:rsidDel="00000000" w:rsidP="00000000" w:rsidRDefault="00000000" w:rsidRPr="00000000" w14:paraId="000000E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7.41</w:t>
            </w:r>
          </w:p>
        </w:tc>
      </w:tr>
      <w:tr>
        <w:tc>
          <w:tcPr/>
          <w:p w:rsidR="00000000" w:rsidDel="00000000" w:rsidP="00000000" w:rsidRDefault="00000000" w:rsidRPr="00000000" w14:paraId="000000E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 of Korea</w:t>
            </w:r>
          </w:p>
        </w:tc>
        <w:tc>
          <w:tcPr>
            <w:vAlign w:val="bottom"/>
          </w:tcPr>
          <w:p w:rsidR="00000000" w:rsidDel="00000000" w:rsidP="00000000" w:rsidRDefault="00000000" w:rsidRPr="00000000" w14:paraId="000000E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0.77</w:t>
            </w:r>
          </w:p>
        </w:tc>
        <w:tc>
          <w:tcPr/>
          <w:p w:rsidR="00000000" w:rsidDel="00000000" w:rsidP="00000000" w:rsidRDefault="00000000" w:rsidRPr="00000000" w14:paraId="000000EA">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0E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46.7</w:t>
            </w:r>
          </w:p>
        </w:tc>
        <w:tc>
          <w:tcPr>
            <w:vAlign w:val="bottom"/>
          </w:tcPr>
          <w:p w:rsidR="00000000" w:rsidDel="00000000" w:rsidP="00000000" w:rsidRDefault="00000000" w:rsidRPr="00000000" w14:paraId="000000E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27.7</w:t>
            </w:r>
          </w:p>
        </w:tc>
        <w:tc>
          <w:tcPr>
            <w:vAlign w:val="bottom"/>
          </w:tcPr>
          <w:p w:rsidR="00000000" w:rsidDel="00000000" w:rsidP="00000000" w:rsidRDefault="00000000" w:rsidRPr="00000000" w14:paraId="000000E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20.2</w:t>
            </w:r>
          </w:p>
        </w:tc>
        <w:tc>
          <w:tcPr>
            <w:vAlign w:val="bottom"/>
          </w:tcPr>
          <w:p w:rsidR="00000000" w:rsidDel="00000000" w:rsidP="00000000" w:rsidRDefault="00000000" w:rsidRPr="00000000" w14:paraId="000000E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3.63</w:t>
            </w:r>
          </w:p>
        </w:tc>
      </w:tr>
    </w:tbl>
    <w:p w:rsidR="00000000" w:rsidDel="00000000" w:rsidP="00000000" w:rsidRDefault="00000000" w:rsidRPr="00000000" w14:paraId="000000E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Source: Authors' calculations using data from UNESCO Institute for Statistics database.</w:t>
      </w:r>
      <w:r w:rsidDel="00000000" w:rsidR="00000000" w:rsidRPr="00000000">
        <w:rPr>
          <w:rFonts w:ascii="Arial" w:cs="Arial" w:eastAsia="Arial" w:hAnsi="Arial"/>
          <w:color w:val="222222"/>
          <w:highlight w:val="white"/>
          <w:rtl w:val="0"/>
        </w:rPr>
        <w:t xml:space="preserve"> </w:t>
      </w:r>
      <w:r w:rsidDel="00000000" w:rsidR="00000000" w:rsidRPr="00000000">
        <w:rPr>
          <w:rtl w:val="0"/>
        </w:rPr>
      </w:r>
    </w:p>
    <w:p w:rsidR="00000000" w:rsidDel="00000000" w:rsidP="00000000" w:rsidRDefault="00000000" w:rsidRPr="00000000" w14:paraId="000000F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*Comprehensive data only available for 27 OECD countries</w:t>
      </w:r>
    </w:p>
    <w:p w:rsidR="00000000" w:rsidDel="00000000" w:rsidP="00000000" w:rsidRDefault="00000000" w:rsidRPr="00000000" w14:paraId="000000F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Finland did achieve parity in 1974 and 1983 but rate subsequently declined until 1987.</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long-term increase in (GPI) identified is of course linked to overall growth in participation levels illustrated in Figure 1.  For all 27 OECD countries, considered as a unit, gender parity had been achieved by 1995; at this stage the average GER was 42.7. By contrast in 1971 when the OECD average GPI was 0.57 the GER was a mere 14.6; thus, during a period when the GER increased three-fold female participation increased from being just over half of that of males to reach parity.  While it is clear that increases in the GPI has occurred concurrently with increases in enrolment rates this pattern reveals large differences between countries. For the early parity countries, on average, gender parity was achieved when the GER was 0.28, while for the delayed parity countries the GER had reached 0.46 before gender parity was achieved. This differential sequencing of the relative growth rates for GPI and for GER suggests that for early parity countries increasing gender parity may have been a driving force in increasing participation while for delayed parity countries rising participation rates may have contributed to gender parity. </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lack of uniformity in the growth patterns of enrolment and gender parity is reflected in the correlations between GPI and GER for 1971, 1985, 2000 and 2015 which are respectively, .31, .22, .32 and -.06 (Pearson’s R) indicating a very weak relationship between both variables On average, in OECD countries over the period 1971 to 2000, while gender parity was increasing enrolment rates were also increasing. This is no longer the case. The marginal reduction in the OECD average GPI between 2010 (1.26) and 2015 (1.25) occurred in a period when the average Gross Participation Ratio for all 27 OECD countries was still rising (from 69.04 to 73.34), albeit at a much slower rate than previously. Since GPI is a function of the ratio of female enrolment rate over the male enrolment rate it is appropriate to disaggregate this measure into its component parts to explore developments over recent years. For ten of the seventeen countries which have experienced a decline in GPI since 2000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decline is explained by the fact that while both rates are still increasing the male growth rate now exceeds the female growth rate. This pattern is manifest for six of the early parity countries (Iceland, Denmark, Norway, France, Portugal, Spain), and for four of the delay parity countries (Israel, Ireland, Netherlands, Mexico).  In contrast, for six countries the decline in the GPI is accompanied by declines in the enrolment rates for both genders but the rate of decline is slower for males than for females. This was the case for four of the early parity countries (Hungary, Sweden, United States, Finland) and for two of the delayed parity countries (Italy, the UK). In the case of New Zealand, an early parity country, the female enrolment rate is declining slightly while the male rate is still growing. </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of interest to examine at what enrolment level the GPI starts to decline. Eleven of the seventeen countries where the GPI has declined had a GER in excess of 0.65 including four with a GER greater than 0.80 (Finland, New Zealand, US, Sweden), four with a GER greater than 0.70 (Spain, Denmark, Norway, Iceland) and three with a GER greater than 0.65 (Italy, Netherlands, Hungary). Of the other countries which have experienced a decline, five had a GER between 0.48 – 0.59 (Portugal, Israel, Ireland, France, the UK) while Mexico experienced a small decline in GPI when the GER was a mere 0.26. Thus, as was the case when GPI was rising, the decline in the GPI is not systematically linked to changes in GER. In 2015, countries which have experienced a decline in GPI have on average a lower GER score (70.4) than those where GPI is still increasing (GER=73.1). </w:t>
      </w:r>
    </w:p>
    <w:p w:rsidR="00000000" w:rsidDel="00000000" w:rsidP="00000000" w:rsidRDefault="00000000" w:rsidRPr="00000000" w14:paraId="000000F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Figure 1. Gender Parity Index and Gross Enrolment Ratio for OECD Countries 1971 - 2015</w:t>
      </w:r>
    </w:p>
    <w:p w:rsidR="00000000" w:rsidDel="00000000" w:rsidP="00000000" w:rsidRDefault="00000000" w:rsidRPr="00000000" w14:paraId="000000F8">
      <w:pPr>
        <w:spacing w:after="0" w:line="480" w:lineRule="auto"/>
        <w:rPr>
          <w:b w:val="1"/>
        </w:rPr>
      </w:pPr>
      <w:r w:rsidDel="00000000" w:rsidR="00000000" w:rsidRPr="00000000">
        <w:rPr>
          <w:b w:val="1"/>
        </w:rPr>
        <w:drawing>
          <wp:inline distB="114300" distT="114300" distL="114300" distR="114300">
            <wp:extent cx="5238750" cy="2771775"/>
            <wp:effectExtent b="0" l="0" r="0" 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238750" cy="2771775"/>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after="0" w:line="48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Source: Authors’ calculations using data from UNESCO Institute for Statistics database.</w:t>
      </w:r>
    </w:p>
    <w:p w:rsidR="00000000" w:rsidDel="00000000" w:rsidP="00000000" w:rsidRDefault="00000000" w:rsidRPr="00000000" w14:paraId="000000FA">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after="0" w:line="48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4"/>
          <w:szCs w:val="24"/>
          <w:rtl w:val="0"/>
        </w:rPr>
        <w:t xml:space="preserve">Gender Parity in Higher Education and Characteristics of Education Systems</w:t>
      </w: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Although changes in gender parity reflect a global trend it is clear even amongst OECD countries that the pattern of change varies widely. We now explore the extent to which changes in GPI may be related to features of national education systems. Since comprehensive comparative indictors of national educational systems are limited, we limit our analysis to those which are available and which we consider to be potential predictors of gender parity in higher education. We first look at three  features of national upper secondary education systems: graduation rates, the gender profile of graduates and, as most entrants to higher education tend to come from general or more academically oriented programmes, the extent to which enrolment is concentrated on general programmes. We examine the relationship between these variables and gender parity in HE for two years: for 2000 when all countries have experienced a continuous growth in the GPI for the preceding decades and for 2015 when more than half the countries had experienced a negative trend in GPI (Table 2). These characteristics are not strongly linked to country levels of gender parity. In 2000 early parity countries had somewhat higher levels of Upper Secondary graduation rates and higher levels of female advantage in completion rates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lower concentration of enrolments in general programmes. By 2015 the differentials in graduation rates and in programme type had disappeared while the female advantage in completion rates was now greater in delayed parity countries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2 also explores the relationship between some characteristics of higher education systems and the level of gender parity achieved. Firstly, we examine the percentage of undergraduates enrolled on more vocationally oriented programmes (classified by the OECD in 2000 as Tertiary-Type B and in 2015 as short-cycle). In 2000, early parity countries had lower levels of enrolments on these programmes. In 2015 this differential was no longer evident although the change in programme classification and missing data prevents an exact comparison. In both years early parity countries have significantly higher levels of enrolments on part-time programmes: more than a third of students compared with just 15-16% of enrolments in delayed parity countries. </w:t>
      </w:r>
    </w:p>
    <w:p w:rsidR="00000000" w:rsidDel="00000000" w:rsidP="00000000" w:rsidRDefault="00000000" w:rsidRPr="00000000" w14:paraId="000000FE">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after="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0">
      <w:pPr>
        <w:spacing w:after="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2. Characteristics of Education Systems and Gender Parity in Higher Education</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4"/>
        <w:gridCol w:w="1492"/>
        <w:gridCol w:w="1492"/>
        <w:gridCol w:w="1486"/>
        <w:gridCol w:w="1492"/>
        <w:tblGridChange w:id="0">
          <w:tblGrid>
            <w:gridCol w:w="3054"/>
            <w:gridCol w:w="1492"/>
            <w:gridCol w:w="1492"/>
            <w:gridCol w:w="1486"/>
            <w:gridCol w:w="1492"/>
          </w:tblGrid>
        </w:tblGridChange>
      </w:tblGrid>
      <w:tr>
        <w:tc>
          <w:tcPr/>
          <w:p w:rsidR="00000000" w:rsidDel="00000000" w:rsidP="00000000" w:rsidRDefault="00000000" w:rsidRPr="00000000" w14:paraId="00000101">
            <w:pPr>
              <w:spacing w:after="0" w:line="360" w:lineRule="auto"/>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10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gridSpan w:val="2"/>
          </w:tcPr>
          <w:p w:rsidR="00000000" w:rsidDel="00000000" w:rsidP="00000000" w:rsidRDefault="00000000" w:rsidRPr="00000000" w14:paraId="0000010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r>
      <w:tr>
        <w:tc>
          <w:tcPr/>
          <w:p w:rsidR="00000000" w:rsidDel="00000000" w:rsidP="00000000" w:rsidRDefault="00000000" w:rsidRPr="00000000" w14:paraId="00000106">
            <w:pPr>
              <w:spacing w:after="0"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Parity Countries</w:t>
            </w:r>
          </w:p>
        </w:tc>
        <w:tc>
          <w:tcPr/>
          <w:p w:rsidR="00000000" w:rsidDel="00000000" w:rsidP="00000000" w:rsidRDefault="00000000" w:rsidRPr="00000000" w14:paraId="0000010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Delayed Parity Countries</w:t>
            </w:r>
          </w:p>
        </w:tc>
        <w:tc>
          <w:tcPr/>
          <w:p w:rsidR="00000000" w:rsidDel="00000000" w:rsidP="00000000" w:rsidRDefault="00000000" w:rsidRPr="00000000" w14:paraId="0000010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Parity Countries</w:t>
            </w:r>
          </w:p>
        </w:tc>
        <w:tc>
          <w:tcPr/>
          <w:p w:rsidR="00000000" w:rsidDel="00000000" w:rsidP="00000000" w:rsidRDefault="00000000" w:rsidRPr="00000000" w14:paraId="0000010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Delayed Parity Countries</w:t>
            </w:r>
          </w:p>
        </w:tc>
      </w:tr>
      <w:tr>
        <w:tc>
          <w:tcPr/>
          <w:p w:rsidR="00000000" w:rsidDel="00000000" w:rsidP="00000000" w:rsidRDefault="00000000" w:rsidRPr="00000000" w14:paraId="0000010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Upper Secondary, Graduation Rate (%)</w:t>
            </w:r>
          </w:p>
          <w:p w:rsidR="00000000" w:rsidDel="00000000" w:rsidP="00000000" w:rsidRDefault="00000000" w:rsidRPr="00000000" w14:paraId="0000010C">
            <w:pPr>
              <w:spacing w:after="0"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79.4</w:t>
            </w:r>
          </w:p>
        </w:tc>
        <w:tc>
          <w:tcPr/>
          <w:p w:rsidR="00000000" w:rsidDel="00000000" w:rsidP="00000000" w:rsidRDefault="00000000" w:rsidRPr="00000000" w14:paraId="0000010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72.5</w:t>
            </w:r>
          </w:p>
        </w:tc>
        <w:tc>
          <w:tcPr/>
          <w:p w:rsidR="00000000" w:rsidDel="00000000" w:rsidP="00000000" w:rsidRDefault="00000000" w:rsidRPr="00000000" w14:paraId="0000010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86.4</w:t>
            </w:r>
          </w:p>
        </w:tc>
        <w:tc>
          <w:tcPr/>
          <w:p w:rsidR="00000000" w:rsidDel="00000000" w:rsidP="00000000" w:rsidRDefault="00000000" w:rsidRPr="00000000" w14:paraId="0000011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85.3</w:t>
            </w:r>
          </w:p>
        </w:tc>
      </w:tr>
      <w:tr>
        <w:tc>
          <w:tcPr>
            <w:vAlign w:val="bottom"/>
          </w:tcPr>
          <w:p w:rsidR="00000000" w:rsidDel="00000000" w:rsidP="00000000" w:rsidRDefault="00000000" w:rsidRPr="00000000" w14:paraId="0000011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Female Advantage in Completion Rates, Upper Secondary (% difference)</w:t>
            </w:r>
          </w:p>
        </w:tc>
        <w:tc>
          <w:tcPr/>
          <w:p w:rsidR="00000000" w:rsidDel="00000000" w:rsidP="00000000" w:rsidRDefault="00000000" w:rsidRPr="00000000" w14:paraId="0000011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6.8</w:t>
            </w:r>
          </w:p>
        </w:tc>
        <w:tc>
          <w:tcPr/>
          <w:p w:rsidR="00000000" w:rsidDel="00000000" w:rsidP="00000000" w:rsidRDefault="00000000" w:rsidRPr="00000000" w14:paraId="0000011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w:t>
            </w:r>
          </w:p>
        </w:tc>
        <w:tc>
          <w:tcPr/>
          <w:p w:rsidR="00000000" w:rsidDel="00000000" w:rsidP="00000000" w:rsidRDefault="00000000" w:rsidRPr="00000000" w14:paraId="0000011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w:t>
            </w:r>
          </w:p>
        </w:tc>
        <w:tc>
          <w:tcPr/>
          <w:p w:rsidR="00000000" w:rsidDel="00000000" w:rsidP="00000000" w:rsidRDefault="00000000" w:rsidRPr="00000000" w14:paraId="0000011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w:t>
            </w:r>
          </w:p>
        </w:tc>
      </w:tr>
      <w:tr>
        <w:tc>
          <w:tcPr>
            <w:vAlign w:val="bottom"/>
          </w:tcPr>
          <w:p w:rsidR="00000000" w:rsidDel="00000000" w:rsidP="00000000" w:rsidRDefault="00000000" w:rsidRPr="00000000" w14:paraId="0000011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Secondary Enrolments on General Programmes (%)</w:t>
            </w:r>
          </w:p>
          <w:p w:rsidR="00000000" w:rsidDel="00000000" w:rsidP="00000000" w:rsidRDefault="00000000" w:rsidRPr="00000000" w14:paraId="00000117">
            <w:pPr>
              <w:spacing w:after="0"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8">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46.6</w:t>
            </w:r>
          </w:p>
        </w:tc>
        <w:tc>
          <w:tcPr/>
          <w:p w:rsidR="00000000" w:rsidDel="00000000" w:rsidP="00000000" w:rsidRDefault="00000000" w:rsidRPr="00000000" w14:paraId="0000011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55.0</w:t>
            </w:r>
          </w:p>
        </w:tc>
        <w:tc>
          <w:tcPr/>
          <w:p w:rsidR="00000000" w:rsidDel="00000000" w:rsidP="00000000" w:rsidRDefault="00000000" w:rsidRPr="00000000" w14:paraId="0000011A">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56.8</w:t>
            </w:r>
          </w:p>
        </w:tc>
        <w:tc>
          <w:tcPr/>
          <w:p w:rsidR="00000000" w:rsidDel="00000000" w:rsidP="00000000" w:rsidRDefault="00000000" w:rsidRPr="00000000" w14:paraId="0000011B">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54.9</w:t>
            </w:r>
          </w:p>
        </w:tc>
      </w:tr>
      <w:tr>
        <w:tc>
          <w:tcPr/>
          <w:p w:rsidR="00000000" w:rsidDel="00000000" w:rsidP="00000000" w:rsidRDefault="00000000" w:rsidRPr="00000000" w14:paraId="0000011C">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Percentage Undergraduate Entrants on Tertiary Type-B/Short-Cycle Programmes</w:t>
            </w:r>
          </w:p>
        </w:tc>
        <w:tc>
          <w:tcPr/>
          <w:p w:rsidR="00000000" w:rsidDel="00000000" w:rsidP="00000000" w:rsidRDefault="00000000" w:rsidRPr="00000000" w14:paraId="0000011D">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21.3</w:t>
            </w:r>
          </w:p>
        </w:tc>
        <w:tc>
          <w:tcPr/>
          <w:p w:rsidR="00000000" w:rsidDel="00000000" w:rsidP="00000000" w:rsidRDefault="00000000" w:rsidRPr="00000000" w14:paraId="0000011E">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30.3</w:t>
            </w:r>
          </w:p>
        </w:tc>
        <w:tc>
          <w:tcPr/>
          <w:p w:rsidR="00000000" w:rsidDel="00000000" w:rsidP="00000000" w:rsidRDefault="00000000" w:rsidRPr="00000000" w14:paraId="0000011F">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w:t>
            </w:r>
          </w:p>
        </w:tc>
        <w:tc>
          <w:tcPr/>
          <w:p w:rsidR="00000000" w:rsidDel="00000000" w:rsidP="00000000" w:rsidRDefault="00000000" w:rsidRPr="00000000" w14:paraId="00000120">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22.7</w:t>
            </w:r>
          </w:p>
        </w:tc>
      </w:tr>
      <w:tr>
        <w:tc>
          <w:tcPr/>
          <w:p w:rsidR="00000000" w:rsidDel="00000000" w:rsidP="00000000" w:rsidRDefault="00000000" w:rsidRPr="00000000" w14:paraId="0000012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Percentage</w:t>
            </w:r>
          </w:p>
          <w:p w:rsidR="00000000" w:rsidDel="00000000" w:rsidP="00000000" w:rsidRDefault="00000000" w:rsidRPr="00000000" w14:paraId="0000012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Enrolments Part-time</w:t>
            </w:r>
          </w:p>
        </w:tc>
        <w:tc>
          <w:tcPr/>
          <w:p w:rsidR="00000000" w:rsidDel="00000000" w:rsidP="00000000" w:rsidRDefault="00000000" w:rsidRPr="00000000" w14:paraId="00000123">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34.1</w:t>
            </w:r>
          </w:p>
        </w:tc>
        <w:tc>
          <w:tcPr/>
          <w:p w:rsidR="00000000" w:rsidDel="00000000" w:rsidP="00000000" w:rsidRDefault="00000000" w:rsidRPr="00000000" w14:paraId="00000124">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16.4</w:t>
            </w:r>
          </w:p>
        </w:tc>
        <w:tc>
          <w:tcPr/>
          <w:p w:rsidR="00000000" w:rsidDel="00000000" w:rsidP="00000000" w:rsidRDefault="00000000" w:rsidRPr="00000000" w14:paraId="00000125">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34.7</w:t>
            </w:r>
          </w:p>
        </w:tc>
        <w:tc>
          <w:tcPr/>
          <w:p w:rsidR="00000000" w:rsidDel="00000000" w:rsidP="00000000" w:rsidRDefault="00000000" w:rsidRPr="00000000" w14:paraId="00000126">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14.8</w:t>
            </w:r>
          </w:p>
        </w:tc>
      </w:tr>
    </w:tbl>
    <w:p w:rsidR="00000000" w:rsidDel="00000000" w:rsidP="00000000" w:rsidRDefault="00000000" w:rsidRPr="00000000" w14:paraId="00000127">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Source:  Authors' calculations using OECD data from </w:t>
      </w:r>
      <w:r w:rsidDel="00000000" w:rsidR="00000000" w:rsidRPr="00000000">
        <w:rPr>
          <w:rFonts w:ascii="Times New Roman" w:cs="Times New Roman" w:eastAsia="Times New Roman" w:hAnsi="Times New Roman"/>
          <w:i w:val="1"/>
          <w:color w:val="222222"/>
          <w:sz w:val="24"/>
          <w:szCs w:val="24"/>
          <w:highlight w:val="white"/>
          <w:rtl w:val="0"/>
        </w:rPr>
        <w:t xml:space="preserve">Education at a Glance </w:t>
      </w:r>
      <w:r w:rsidDel="00000000" w:rsidR="00000000" w:rsidRPr="00000000">
        <w:rPr>
          <w:rFonts w:ascii="Times New Roman" w:cs="Times New Roman" w:eastAsia="Times New Roman" w:hAnsi="Times New Roman"/>
          <w:color w:val="222222"/>
          <w:sz w:val="24"/>
          <w:szCs w:val="24"/>
          <w:highlight w:val="white"/>
          <w:rtl w:val="0"/>
        </w:rPr>
        <w:t xml:space="preserve">(Paris: OECD, various years).</w:t>
      </w:r>
      <w:r w:rsidDel="00000000" w:rsidR="00000000" w:rsidRPr="00000000">
        <w:rPr>
          <w:rtl w:val="0"/>
        </w:rPr>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Table 3 we report on an additional characteristic of HE systems, the distribution of enrolments by field of study. From 1971 to 2015 there has been a significant transformation in these distributions. The most emphatic change is the relative decline in the percentage of enrolments in Arts and Humanities, a consistent trend over the period. Agriculture, although a minority field of study, also shows a consistent relative decline. In contrast, Social Sciences enrolled an increasing percentage of students over the first three decades and has since stabilised enrolling almost a third of the total. Enrolments in Medical Sciences also experienced an increase. Enrolments in the Natural Sciences have remained relatively stable, notwithstanding some minor fluctuations; this is also the case for Engineering and Education although both fields experienced a slight decline between 2000 and 2015. Services was introduced as a separate category in 2000 and had doubled its percentage enrolment by 2015. </w:t>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These distributions by field of study are related to the levels of gender parity achieved (Table 3). Delayed Parity counties exhibit a relatively distinctive distribution by field of study. In 1971 they had a higher concentration of enrolments in Engineering, Social Sciences and Medicine with lower levels of enrolments in the Natural Sciences, Education, Arts &amp; Humanities and Agriculture. By 2015 this pattern has changed somewhat. Delayed Parity countries have retained their higher percentage enrolment in Engineering and to a lesser extent in the Social Sciences and now also in Services and in Agriculture.  Early Parity countries have retained their higher levels of enrolment in the Humanities and Education and now also enrol higher percentages in Health &amp; Welfare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Levels of enrolments in the Natural Sciences do not differ by levels of gender parity.  </w:t>
      </w:r>
    </w:p>
    <w:p w:rsidR="00000000" w:rsidDel="00000000" w:rsidP="00000000" w:rsidRDefault="00000000" w:rsidRPr="00000000" w14:paraId="0000012C">
      <w:pPr>
        <w:spacing w:after="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D">
      <w:pPr>
        <w:spacing w:after="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3 Distribution of Enrolments by Field of Study in 1971, 2000 and 2015 for Early Parity (EPC) and Delayed Parity Countries (DPC)</w:t>
      </w:r>
    </w:p>
    <w:p w:rsidR="00000000" w:rsidDel="00000000" w:rsidP="00000000" w:rsidRDefault="00000000" w:rsidRPr="00000000" w14:paraId="0000012E">
      <w:pPr>
        <w:spacing w:line="480" w:lineRule="auto"/>
        <w:rPr/>
      </w:pPr>
      <w:r w:rsidDel="00000000" w:rsidR="00000000" w:rsidRPr="00000000">
        <w:rPr>
          <w:rtl w:val="0"/>
        </w:rPr>
      </w:r>
    </w:p>
    <w:tbl>
      <w:tblPr>
        <w:tblStyle w:val="Table3"/>
        <w:tblW w:w="9016.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1196"/>
        <w:gridCol w:w="1196"/>
        <w:gridCol w:w="1197"/>
        <w:gridCol w:w="1196"/>
        <w:gridCol w:w="1196"/>
        <w:gridCol w:w="1197"/>
        <w:tblGridChange w:id="0">
          <w:tblGrid>
            <w:gridCol w:w="1838"/>
            <w:gridCol w:w="1196"/>
            <w:gridCol w:w="1196"/>
            <w:gridCol w:w="1197"/>
            <w:gridCol w:w="1196"/>
            <w:gridCol w:w="1196"/>
            <w:gridCol w:w="1197"/>
          </w:tblGrid>
        </w:tblGridChange>
      </w:tblGrid>
      <w:tr>
        <w:tc>
          <w:tcPr>
            <w:vAlign w:val="bottom"/>
          </w:tcPr>
          <w:p w:rsidR="00000000" w:rsidDel="00000000" w:rsidP="00000000" w:rsidRDefault="00000000" w:rsidRPr="00000000" w14:paraId="0000012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gridSpan w:val="2"/>
            <w:vAlign w:val="bottom"/>
          </w:tcPr>
          <w:p w:rsidR="00000000" w:rsidDel="00000000" w:rsidP="00000000" w:rsidRDefault="00000000" w:rsidRPr="00000000" w14:paraId="0000013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1971</w:t>
            </w:r>
          </w:p>
        </w:tc>
        <w:tc>
          <w:tcPr>
            <w:gridSpan w:val="2"/>
            <w:vAlign w:val="bottom"/>
          </w:tcPr>
          <w:p w:rsidR="00000000" w:rsidDel="00000000" w:rsidP="00000000" w:rsidRDefault="00000000" w:rsidRPr="00000000" w14:paraId="0000013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gridSpan w:val="2"/>
            <w:vAlign w:val="bottom"/>
          </w:tcPr>
          <w:p w:rsidR="00000000" w:rsidDel="00000000" w:rsidP="00000000" w:rsidRDefault="00000000" w:rsidRPr="00000000" w14:paraId="0000013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r>
      <w:tr>
        <w:tc>
          <w:tcPr>
            <w:vAlign w:val="bottom"/>
          </w:tcPr>
          <w:p w:rsidR="00000000" w:rsidDel="00000000" w:rsidP="00000000" w:rsidRDefault="00000000" w:rsidRPr="00000000" w14:paraId="00000136">
            <w:pPr>
              <w:spacing w:after="0" w:line="480" w:lineRule="auto"/>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3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3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vAlign w:val="bottom"/>
          </w:tcPr>
          <w:p w:rsidR="00000000" w:rsidDel="00000000" w:rsidP="00000000" w:rsidRDefault="00000000" w:rsidRPr="00000000" w14:paraId="0000013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3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vAlign w:val="bottom"/>
          </w:tcPr>
          <w:p w:rsidR="00000000" w:rsidDel="00000000" w:rsidP="00000000" w:rsidRDefault="00000000" w:rsidRPr="00000000" w14:paraId="0000013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3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r>
      <w:tr>
        <w:tc>
          <w:tcPr>
            <w:vAlign w:val="center"/>
          </w:tcPr>
          <w:p w:rsidR="00000000" w:rsidDel="00000000" w:rsidP="00000000" w:rsidRDefault="00000000" w:rsidRPr="00000000" w14:paraId="0000013D">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w:t>
            </w:r>
          </w:p>
        </w:tc>
        <w:tc>
          <w:tcPr>
            <w:vAlign w:val="bottom"/>
          </w:tcPr>
          <w:p w:rsidR="00000000" w:rsidDel="00000000" w:rsidP="00000000" w:rsidRDefault="00000000" w:rsidRPr="00000000" w14:paraId="0000013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13.21</w:t>
            </w:r>
          </w:p>
        </w:tc>
        <w:tc>
          <w:tcPr>
            <w:vAlign w:val="bottom"/>
          </w:tcPr>
          <w:p w:rsidR="00000000" w:rsidDel="00000000" w:rsidP="00000000" w:rsidRDefault="00000000" w:rsidRPr="00000000" w14:paraId="0000013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9.70</w:t>
            </w:r>
          </w:p>
        </w:tc>
        <w:tc>
          <w:tcPr>
            <w:vAlign w:val="bottom"/>
          </w:tcPr>
          <w:p w:rsidR="00000000" w:rsidDel="00000000" w:rsidP="00000000" w:rsidRDefault="00000000" w:rsidRPr="00000000" w14:paraId="0000014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12.62</w:t>
            </w:r>
          </w:p>
        </w:tc>
        <w:tc>
          <w:tcPr>
            <w:vAlign w:val="bottom"/>
          </w:tcPr>
          <w:p w:rsidR="00000000" w:rsidDel="00000000" w:rsidP="00000000" w:rsidRDefault="00000000" w:rsidRPr="00000000" w14:paraId="0000014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12.06</w:t>
            </w:r>
          </w:p>
        </w:tc>
        <w:tc>
          <w:tcPr>
            <w:vAlign w:val="center"/>
          </w:tcPr>
          <w:p w:rsidR="00000000" w:rsidDel="00000000" w:rsidP="00000000" w:rsidRDefault="00000000" w:rsidRPr="00000000" w14:paraId="0000014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9.18</w:t>
            </w:r>
          </w:p>
        </w:tc>
        <w:tc>
          <w:tcPr>
            <w:vAlign w:val="center"/>
          </w:tcPr>
          <w:p w:rsidR="00000000" w:rsidDel="00000000" w:rsidP="00000000" w:rsidRDefault="00000000" w:rsidRPr="00000000" w14:paraId="0000014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8.38</w:t>
            </w:r>
          </w:p>
        </w:tc>
      </w:tr>
      <w:tr>
        <w:tc>
          <w:tcPr>
            <w:vAlign w:val="center"/>
          </w:tcPr>
          <w:p w:rsidR="00000000" w:rsidDel="00000000" w:rsidP="00000000" w:rsidRDefault="00000000" w:rsidRPr="00000000" w14:paraId="0000014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Humanities</w:t>
            </w:r>
          </w:p>
        </w:tc>
        <w:tc>
          <w:tcPr>
            <w:vAlign w:val="bottom"/>
          </w:tcPr>
          <w:p w:rsidR="00000000" w:rsidDel="00000000" w:rsidP="00000000" w:rsidRDefault="00000000" w:rsidRPr="00000000" w14:paraId="0000014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24.79</w:t>
            </w:r>
          </w:p>
        </w:tc>
        <w:tc>
          <w:tcPr>
            <w:vAlign w:val="bottom"/>
          </w:tcPr>
          <w:p w:rsidR="00000000" w:rsidDel="00000000" w:rsidP="00000000" w:rsidRDefault="00000000" w:rsidRPr="00000000" w14:paraId="0000014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21.78</w:t>
            </w:r>
          </w:p>
        </w:tc>
        <w:tc>
          <w:tcPr>
            <w:vAlign w:val="bottom"/>
          </w:tcPr>
          <w:p w:rsidR="00000000" w:rsidDel="00000000" w:rsidP="00000000" w:rsidRDefault="00000000" w:rsidRPr="00000000" w14:paraId="0000014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12.39</w:t>
            </w:r>
          </w:p>
        </w:tc>
        <w:tc>
          <w:tcPr>
            <w:vAlign w:val="bottom"/>
          </w:tcPr>
          <w:p w:rsidR="00000000" w:rsidDel="00000000" w:rsidP="00000000" w:rsidRDefault="00000000" w:rsidRPr="00000000" w14:paraId="0000014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11.99</w:t>
            </w:r>
          </w:p>
        </w:tc>
        <w:tc>
          <w:tcPr>
            <w:vAlign w:val="center"/>
          </w:tcPr>
          <w:p w:rsidR="00000000" w:rsidDel="00000000" w:rsidP="00000000" w:rsidRDefault="00000000" w:rsidRPr="00000000" w14:paraId="0000014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w:t>
            </w:r>
          </w:p>
        </w:tc>
        <w:tc>
          <w:tcPr>
            <w:vAlign w:val="center"/>
          </w:tcPr>
          <w:p w:rsidR="00000000" w:rsidDel="00000000" w:rsidP="00000000" w:rsidRDefault="00000000" w:rsidRPr="00000000" w14:paraId="0000014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10.09</w:t>
            </w:r>
          </w:p>
        </w:tc>
      </w:tr>
      <w:tr>
        <w:tc>
          <w:tcPr>
            <w:vAlign w:val="center"/>
          </w:tcPr>
          <w:p w:rsidR="00000000" w:rsidDel="00000000" w:rsidP="00000000" w:rsidRDefault="00000000" w:rsidRPr="00000000" w14:paraId="0000014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Sciences</w:t>
            </w:r>
          </w:p>
        </w:tc>
        <w:tc>
          <w:tcPr>
            <w:vAlign w:val="bottom"/>
          </w:tcPr>
          <w:p w:rsidR="00000000" w:rsidDel="00000000" w:rsidP="00000000" w:rsidRDefault="00000000" w:rsidRPr="00000000" w14:paraId="0000014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23.66</w:t>
            </w:r>
          </w:p>
        </w:tc>
        <w:tc>
          <w:tcPr>
            <w:vAlign w:val="bottom"/>
          </w:tcPr>
          <w:p w:rsidR="00000000" w:rsidDel="00000000" w:rsidP="00000000" w:rsidRDefault="00000000" w:rsidRPr="00000000" w14:paraId="0000014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26.32</w:t>
            </w:r>
          </w:p>
        </w:tc>
        <w:tc>
          <w:tcPr>
            <w:vAlign w:val="bottom"/>
          </w:tcPr>
          <w:p w:rsidR="00000000" w:rsidDel="00000000" w:rsidP="00000000" w:rsidRDefault="00000000" w:rsidRPr="00000000" w14:paraId="0000014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32.77</w:t>
            </w:r>
          </w:p>
        </w:tc>
        <w:tc>
          <w:tcPr>
            <w:vAlign w:val="bottom"/>
          </w:tcPr>
          <w:p w:rsidR="00000000" w:rsidDel="00000000" w:rsidP="00000000" w:rsidRDefault="00000000" w:rsidRPr="00000000" w14:paraId="0000014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33.28</w:t>
            </w:r>
          </w:p>
        </w:tc>
        <w:tc>
          <w:tcPr>
            <w:vAlign w:val="center"/>
          </w:tcPr>
          <w:p w:rsidR="00000000" w:rsidDel="00000000" w:rsidP="00000000" w:rsidRDefault="00000000" w:rsidRPr="00000000" w14:paraId="0000015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32.31</w:t>
            </w:r>
          </w:p>
        </w:tc>
        <w:tc>
          <w:tcPr>
            <w:vAlign w:val="center"/>
          </w:tcPr>
          <w:p w:rsidR="00000000" w:rsidDel="00000000" w:rsidP="00000000" w:rsidRDefault="00000000" w:rsidRPr="00000000" w14:paraId="0000015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33.63</w:t>
            </w:r>
          </w:p>
        </w:tc>
      </w:tr>
      <w:tr>
        <w:tc>
          <w:tcPr>
            <w:vAlign w:val="center"/>
          </w:tcPr>
          <w:p w:rsidR="00000000" w:rsidDel="00000000" w:rsidP="00000000" w:rsidRDefault="00000000" w:rsidRPr="00000000" w14:paraId="0000015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Sciences</w:t>
            </w:r>
          </w:p>
        </w:tc>
        <w:tc>
          <w:tcPr>
            <w:vAlign w:val="bottom"/>
          </w:tcPr>
          <w:p w:rsidR="00000000" w:rsidDel="00000000" w:rsidP="00000000" w:rsidRDefault="00000000" w:rsidRPr="00000000" w14:paraId="0000015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11.68</w:t>
            </w:r>
          </w:p>
        </w:tc>
        <w:tc>
          <w:tcPr>
            <w:vAlign w:val="bottom"/>
          </w:tcPr>
          <w:p w:rsidR="00000000" w:rsidDel="00000000" w:rsidP="00000000" w:rsidRDefault="00000000" w:rsidRPr="00000000" w14:paraId="0000015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9.22</w:t>
            </w:r>
          </w:p>
        </w:tc>
        <w:tc>
          <w:tcPr>
            <w:vAlign w:val="bottom"/>
          </w:tcPr>
          <w:p w:rsidR="00000000" w:rsidDel="00000000" w:rsidP="00000000" w:rsidRDefault="00000000" w:rsidRPr="00000000" w14:paraId="0000015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9.87</w:t>
            </w:r>
          </w:p>
        </w:tc>
        <w:tc>
          <w:tcPr>
            <w:vAlign w:val="bottom"/>
          </w:tcPr>
          <w:p w:rsidR="00000000" w:rsidDel="00000000" w:rsidP="00000000" w:rsidRDefault="00000000" w:rsidRPr="00000000" w14:paraId="0000015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w:t>
            </w:r>
          </w:p>
        </w:tc>
        <w:tc>
          <w:tcPr>
            <w:vAlign w:val="center"/>
          </w:tcPr>
          <w:p w:rsidR="00000000" w:rsidDel="00000000" w:rsidP="00000000" w:rsidRDefault="00000000" w:rsidRPr="00000000" w14:paraId="0000015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8.89</w:t>
            </w:r>
          </w:p>
        </w:tc>
        <w:tc>
          <w:tcPr>
            <w:vAlign w:val="center"/>
          </w:tcPr>
          <w:p w:rsidR="00000000" w:rsidDel="00000000" w:rsidP="00000000" w:rsidRDefault="00000000" w:rsidRPr="00000000" w14:paraId="0000015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w:t>
            </w:r>
          </w:p>
        </w:tc>
      </w:tr>
      <w:tr>
        <w:tc>
          <w:tcPr>
            <w:vAlign w:val="center"/>
          </w:tcPr>
          <w:p w:rsidR="00000000" w:rsidDel="00000000" w:rsidP="00000000" w:rsidRDefault="00000000" w:rsidRPr="00000000" w14:paraId="0000015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Engineering</w:t>
            </w:r>
          </w:p>
        </w:tc>
        <w:tc>
          <w:tcPr>
            <w:vAlign w:val="bottom"/>
          </w:tcPr>
          <w:p w:rsidR="00000000" w:rsidDel="00000000" w:rsidP="00000000" w:rsidRDefault="00000000" w:rsidRPr="00000000" w14:paraId="0000015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13.45</w:t>
            </w:r>
          </w:p>
        </w:tc>
        <w:tc>
          <w:tcPr>
            <w:vAlign w:val="bottom"/>
          </w:tcPr>
          <w:p w:rsidR="00000000" w:rsidDel="00000000" w:rsidP="00000000" w:rsidRDefault="00000000" w:rsidRPr="00000000" w14:paraId="0000015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17.73</w:t>
            </w:r>
          </w:p>
        </w:tc>
        <w:tc>
          <w:tcPr>
            <w:vAlign w:val="bottom"/>
          </w:tcPr>
          <w:p w:rsidR="00000000" w:rsidDel="00000000" w:rsidP="00000000" w:rsidRDefault="00000000" w:rsidRPr="00000000" w14:paraId="0000015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14.6</w:t>
            </w:r>
          </w:p>
        </w:tc>
        <w:tc>
          <w:tcPr>
            <w:vAlign w:val="bottom"/>
          </w:tcPr>
          <w:p w:rsidR="00000000" w:rsidDel="00000000" w:rsidP="00000000" w:rsidRDefault="00000000" w:rsidRPr="00000000" w14:paraId="0000015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16.09</w:t>
            </w:r>
          </w:p>
        </w:tc>
        <w:tc>
          <w:tcPr>
            <w:vAlign w:val="center"/>
          </w:tcPr>
          <w:p w:rsidR="00000000" w:rsidDel="00000000" w:rsidP="00000000" w:rsidRDefault="00000000" w:rsidRPr="00000000" w14:paraId="0000015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14.03</w:t>
            </w:r>
          </w:p>
        </w:tc>
        <w:tc>
          <w:tcPr>
            <w:vAlign w:val="center"/>
          </w:tcPr>
          <w:p w:rsidR="00000000" w:rsidDel="00000000" w:rsidP="00000000" w:rsidRDefault="00000000" w:rsidRPr="00000000" w14:paraId="0000015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16.82</w:t>
            </w:r>
          </w:p>
        </w:tc>
      </w:tr>
      <w:tr>
        <w:tc>
          <w:tcPr>
            <w:vAlign w:val="center"/>
          </w:tcPr>
          <w:p w:rsidR="00000000" w:rsidDel="00000000" w:rsidP="00000000" w:rsidRDefault="00000000" w:rsidRPr="00000000" w14:paraId="0000016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Agriculture</w:t>
            </w:r>
          </w:p>
        </w:tc>
        <w:tc>
          <w:tcPr>
            <w:vAlign w:val="bottom"/>
          </w:tcPr>
          <w:p w:rsidR="00000000" w:rsidDel="00000000" w:rsidP="00000000" w:rsidRDefault="00000000" w:rsidRPr="00000000" w14:paraId="0000016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3.61</w:t>
            </w:r>
          </w:p>
        </w:tc>
        <w:tc>
          <w:tcPr>
            <w:vAlign w:val="bottom"/>
          </w:tcPr>
          <w:p w:rsidR="00000000" w:rsidDel="00000000" w:rsidP="00000000" w:rsidRDefault="00000000" w:rsidRPr="00000000" w14:paraId="0000016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3.36</w:t>
            </w:r>
          </w:p>
        </w:tc>
        <w:tc>
          <w:tcPr>
            <w:vAlign w:val="bottom"/>
          </w:tcPr>
          <w:p w:rsidR="00000000" w:rsidDel="00000000" w:rsidP="00000000" w:rsidRDefault="00000000" w:rsidRPr="00000000" w14:paraId="0000016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2.07</w:t>
            </w:r>
          </w:p>
        </w:tc>
        <w:tc>
          <w:tcPr>
            <w:vAlign w:val="bottom"/>
          </w:tcPr>
          <w:p w:rsidR="00000000" w:rsidDel="00000000" w:rsidP="00000000" w:rsidRDefault="00000000" w:rsidRPr="00000000" w14:paraId="0000016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1.72</w:t>
            </w:r>
          </w:p>
        </w:tc>
        <w:tc>
          <w:tcPr>
            <w:vAlign w:val="center"/>
          </w:tcPr>
          <w:p w:rsidR="00000000" w:rsidDel="00000000" w:rsidP="00000000" w:rsidRDefault="00000000" w:rsidRPr="00000000" w14:paraId="0000016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1.39</w:t>
            </w:r>
          </w:p>
        </w:tc>
        <w:tc>
          <w:tcPr>
            <w:vAlign w:val="center"/>
          </w:tcPr>
          <w:p w:rsidR="00000000" w:rsidDel="00000000" w:rsidP="00000000" w:rsidRDefault="00000000" w:rsidRPr="00000000" w14:paraId="0000016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1.85</w:t>
            </w:r>
          </w:p>
        </w:tc>
      </w:tr>
      <w:tr>
        <w:tc>
          <w:tcPr>
            <w:vAlign w:val="center"/>
          </w:tcPr>
          <w:p w:rsidR="00000000" w:rsidDel="00000000" w:rsidP="00000000" w:rsidRDefault="00000000" w:rsidRPr="00000000" w14:paraId="0000016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&amp; Welfare</w:t>
            </w:r>
          </w:p>
        </w:tc>
        <w:tc>
          <w:tcPr>
            <w:vAlign w:val="bottom"/>
          </w:tcPr>
          <w:p w:rsidR="00000000" w:rsidDel="00000000" w:rsidP="00000000" w:rsidRDefault="00000000" w:rsidRPr="00000000" w14:paraId="0000016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11.17</w:t>
            </w:r>
          </w:p>
        </w:tc>
        <w:tc>
          <w:tcPr>
            <w:vAlign w:val="bottom"/>
          </w:tcPr>
          <w:p w:rsidR="00000000" w:rsidDel="00000000" w:rsidP="00000000" w:rsidRDefault="00000000" w:rsidRPr="00000000" w14:paraId="0000016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11.88</w:t>
            </w:r>
          </w:p>
        </w:tc>
        <w:tc>
          <w:tcPr>
            <w:vAlign w:val="bottom"/>
          </w:tcPr>
          <w:p w:rsidR="00000000" w:rsidDel="00000000" w:rsidP="00000000" w:rsidRDefault="00000000" w:rsidRPr="00000000" w14:paraId="0000016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12.44</w:t>
            </w:r>
          </w:p>
        </w:tc>
        <w:tc>
          <w:tcPr>
            <w:vAlign w:val="bottom"/>
          </w:tcPr>
          <w:p w:rsidR="00000000" w:rsidDel="00000000" w:rsidP="00000000" w:rsidRDefault="00000000" w:rsidRPr="00000000" w14:paraId="0000016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11.33</w:t>
            </w:r>
          </w:p>
        </w:tc>
        <w:tc>
          <w:tcPr>
            <w:vAlign w:val="center"/>
          </w:tcPr>
          <w:p w:rsidR="00000000" w:rsidDel="00000000" w:rsidP="00000000" w:rsidRDefault="00000000" w:rsidRPr="00000000" w14:paraId="0000016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15.89</w:t>
            </w:r>
          </w:p>
        </w:tc>
        <w:tc>
          <w:tcPr>
            <w:vAlign w:val="center"/>
          </w:tcPr>
          <w:p w:rsidR="00000000" w:rsidDel="00000000" w:rsidP="00000000" w:rsidRDefault="00000000" w:rsidRPr="00000000" w14:paraId="0000016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14.02</w:t>
            </w:r>
          </w:p>
        </w:tc>
      </w:tr>
      <w:tr>
        <w:tc>
          <w:tcPr>
            <w:vAlign w:val="center"/>
          </w:tcPr>
          <w:p w:rsidR="00000000" w:rsidDel="00000000" w:rsidP="00000000" w:rsidRDefault="00000000" w:rsidRPr="00000000" w14:paraId="0000016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Services</w:t>
            </w:r>
          </w:p>
        </w:tc>
        <w:tc>
          <w:tcPr>
            <w:vAlign w:val="bottom"/>
          </w:tcPr>
          <w:p w:rsidR="00000000" w:rsidDel="00000000" w:rsidP="00000000" w:rsidRDefault="00000000" w:rsidRPr="00000000" w14:paraId="0000016F">
            <w:pPr>
              <w:spacing w:after="0" w:line="48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70">
            <w:pPr>
              <w:spacing w:after="0" w:line="48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7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2.64</w:t>
            </w:r>
          </w:p>
        </w:tc>
        <w:tc>
          <w:tcPr>
            <w:vAlign w:val="bottom"/>
          </w:tcPr>
          <w:p w:rsidR="00000000" w:rsidDel="00000000" w:rsidP="00000000" w:rsidRDefault="00000000" w:rsidRPr="00000000" w14:paraId="0000017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1.72</w:t>
            </w:r>
          </w:p>
        </w:tc>
        <w:tc>
          <w:tcPr>
            <w:vAlign w:val="center"/>
          </w:tcPr>
          <w:p w:rsidR="00000000" w:rsidDel="00000000" w:rsidP="00000000" w:rsidRDefault="00000000" w:rsidRPr="00000000" w14:paraId="0000017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w:t>
            </w:r>
          </w:p>
        </w:tc>
        <w:tc>
          <w:tcPr>
            <w:vAlign w:val="center"/>
          </w:tcPr>
          <w:p w:rsidR="00000000" w:rsidDel="00000000" w:rsidP="00000000" w:rsidRDefault="00000000" w:rsidRPr="00000000" w14:paraId="0000017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5.76</w:t>
            </w:r>
          </w:p>
        </w:tc>
      </w:tr>
    </w:tbl>
    <w:p w:rsidR="00000000" w:rsidDel="00000000" w:rsidP="00000000" w:rsidRDefault="00000000" w:rsidRPr="00000000" w14:paraId="00000175">
      <w:pPr>
        <w:spacing w:after="0" w:line="48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color w:val="222222"/>
          <w:sz w:val="24"/>
          <w:szCs w:val="24"/>
          <w:highlight w:val="white"/>
          <w:rtl w:val="0"/>
        </w:rPr>
        <w:t xml:space="preserve">Source: Authors' calculations using data from UNESCO Institute for Statistics database</w:t>
      </w:r>
      <w:r w:rsidDel="00000000" w:rsidR="00000000" w:rsidRPr="00000000">
        <w:rPr>
          <w:rFonts w:ascii="Arial" w:cs="Arial" w:eastAsia="Arial" w:hAnsi="Arial"/>
          <w:color w:val="222222"/>
          <w:highlight w:val="white"/>
          <w:rtl w:val="0"/>
        </w:rPr>
        <w:t xml:space="preserve">.</w:t>
      </w:r>
      <w:r w:rsidDel="00000000" w:rsidR="00000000" w:rsidRPr="00000000">
        <w:rPr>
          <w:rtl w:val="0"/>
        </w:rPr>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8">
      <w:pPr>
        <w:pStyle w:val="Heading2"/>
        <w:spacing w:line="480" w:lineRule="auto"/>
        <w:rPr>
          <w:i w:val="1"/>
          <w:color w:val="000000"/>
        </w:rPr>
      </w:pPr>
      <w:r w:rsidDel="00000000" w:rsidR="00000000" w:rsidRPr="00000000">
        <w:rPr>
          <w:i w:val="1"/>
          <w:color w:val="000000"/>
          <w:rtl w:val="0"/>
        </w:rPr>
        <w:t xml:space="preserve">Sex Segregation by Field of Study and Levels of Gender Parity</w:t>
      </w:r>
    </w:p>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the disciplinary profile of higher education systems helps to define the structure of opportunity for male and female students it is also necessary to examine their individual level choice patterns. The degree of sex segregation found in national systems is an outcome of these choice patterns which we now examine. Although the massive expansion in female enrolments in recent decades has been evident in all fields of study the pattern of sex segregation reveals a more complex picture. Looking at overall changes in the Index of Dissimilarity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there has been a  reduction of more than a third (37%)  in overall gender segregation over the period 1971 to 2015. Two-thirds of this reduction occurred in the period 1971-1985. There was no change in this measure between 1985 and 2000; the modest reduction in sex segregation achieved in Engineering, Agriculture and the Social Sciences was off-set by increased sex segregation in Education, Arts &amp; Humanities and Health &amp; Welfare. In 1971 only two fields of study had a female majority (Education, 61% and Humanities 54%). In both instances the gender imbalance increased progressively up to 2000. In the case of Education this pattern of increasing sex segregation continued albeit at a very modest rate over the most recent 15-year period while there has been a modest reduction in gender segregation in the case of the Humanities. </w:t>
      </w:r>
    </w:p>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2015, females had also achieved a majority in Health &amp; Welfare and Social Sciences while Agriculture and the newer field of Services had achieved a gender balance in enrolments. The changes in the pattern of enrolment in Health is the most striking; a significant male majority in 1971 is replaced by an even larger female majority by 2015. Some of this change may be accounted for by changes in the classification system which now includes welfare occupations, as well as by the inclusion of Nursing Studies in the HE sector. Females have doubled their representation in Social Sciences enrolments to now constitute a majority (56%). </w:t>
      </w:r>
    </w:p>
    <w:p w:rsidR="00000000" w:rsidDel="00000000" w:rsidP="00000000" w:rsidRDefault="00000000" w:rsidRPr="00000000" w14:paraId="0000017B">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Engineering continues to be a male dominated field. While females had, from a very low base, increased their enrolment four-fold between 1971 and 2015 it is noticeable that there has been little change over the more recent period whereby females constitute less than a quarter of enrolments. The gender balance has changed little in the Natural Sciences over the period. Males continue to constitute almost two-thirds of enrolments. The modest increase in female enrolments which occurred between 1971 and 1985 has ceased, with little change over the subsequent years. </w:t>
      </w:r>
    </w:p>
    <w:p w:rsidR="00000000" w:rsidDel="00000000" w:rsidP="00000000" w:rsidRDefault="00000000" w:rsidRPr="00000000" w14:paraId="0000017C">
      <w:pPr>
        <w:spacing w:after="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4.  Sex Segregation by Field of Study in 1971, 2000 and 2015: Index of Dissimilarity for Early Parity (EPC) and Delayed Parity Countries (DPC)</w:t>
      </w:r>
    </w:p>
    <w:tbl>
      <w:tblPr>
        <w:tblStyle w:val="Table4"/>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70"/>
        <w:gridCol w:w="1295"/>
        <w:gridCol w:w="1295"/>
        <w:gridCol w:w="1295"/>
        <w:gridCol w:w="1295"/>
        <w:gridCol w:w="1296"/>
        <w:gridCol w:w="1296"/>
        <w:tblGridChange w:id="0">
          <w:tblGrid>
            <w:gridCol w:w="1470"/>
            <w:gridCol w:w="1295"/>
            <w:gridCol w:w="1295"/>
            <w:gridCol w:w="1295"/>
            <w:gridCol w:w="1295"/>
            <w:gridCol w:w="1296"/>
            <w:gridCol w:w="1296"/>
          </w:tblGrid>
        </w:tblGridChange>
      </w:tblGrid>
      <w:tr>
        <w:tc>
          <w:tcPr/>
          <w:p w:rsidR="00000000" w:rsidDel="00000000" w:rsidP="00000000" w:rsidRDefault="00000000" w:rsidRPr="00000000" w14:paraId="0000017D">
            <w:pPr>
              <w:spacing w:after="0" w:line="480" w:lineRule="auto"/>
              <w:rPr>
                <w:rFonts w:ascii="Times New Roman" w:cs="Times New Roman" w:eastAsia="Times New Roman" w:hAnsi="Times New Roman"/>
                <w:sz w:val="24"/>
                <w:szCs w:val="24"/>
              </w:rPr>
            </w:pPr>
            <w:r w:rsidDel="00000000" w:rsidR="00000000" w:rsidRPr="00000000">
              <w:rPr>
                <w:rtl w:val="0"/>
              </w:rPr>
            </w:r>
          </w:p>
        </w:tc>
        <w:tc>
          <w:tcPr>
            <w:gridSpan w:val="2"/>
            <w:vAlign w:val="bottom"/>
          </w:tcPr>
          <w:p w:rsidR="00000000" w:rsidDel="00000000" w:rsidP="00000000" w:rsidRDefault="00000000" w:rsidRPr="00000000" w14:paraId="0000017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1971</w:t>
            </w:r>
          </w:p>
        </w:tc>
        <w:tc>
          <w:tcPr>
            <w:gridSpan w:val="2"/>
            <w:vAlign w:val="bottom"/>
          </w:tcPr>
          <w:p w:rsidR="00000000" w:rsidDel="00000000" w:rsidP="00000000" w:rsidRDefault="00000000" w:rsidRPr="00000000" w14:paraId="0000018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gridSpan w:val="2"/>
            <w:vAlign w:val="bottom"/>
          </w:tcPr>
          <w:p w:rsidR="00000000" w:rsidDel="00000000" w:rsidP="00000000" w:rsidRDefault="00000000" w:rsidRPr="00000000" w14:paraId="0000018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r>
      <w:tr>
        <w:tc>
          <w:tcPr/>
          <w:p w:rsidR="00000000" w:rsidDel="00000000" w:rsidP="00000000" w:rsidRDefault="00000000" w:rsidRPr="00000000" w14:paraId="00000184">
            <w:pPr>
              <w:spacing w:after="0" w:line="480" w:lineRule="auto"/>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8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8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vAlign w:val="bottom"/>
          </w:tcPr>
          <w:p w:rsidR="00000000" w:rsidDel="00000000" w:rsidP="00000000" w:rsidRDefault="00000000" w:rsidRPr="00000000" w14:paraId="0000018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8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vAlign w:val="bottom"/>
          </w:tcPr>
          <w:p w:rsidR="00000000" w:rsidDel="00000000" w:rsidP="00000000" w:rsidRDefault="00000000" w:rsidRPr="00000000" w14:paraId="0000018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vAlign w:val="bottom"/>
          </w:tcPr>
          <w:p w:rsidR="00000000" w:rsidDel="00000000" w:rsidP="00000000" w:rsidRDefault="00000000" w:rsidRPr="00000000" w14:paraId="0000018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r>
      <w:tr>
        <w:tc>
          <w:tcPr>
            <w:vAlign w:val="center"/>
          </w:tcPr>
          <w:p w:rsidR="00000000" w:rsidDel="00000000" w:rsidP="00000000" w:rsidRDefault="00000000" w:rsidRPr="00000000" w14:paraId="0000018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Education</w:t>
            </w:r>
          </w:p>
        </w:tc>
        <w:tc>
          <w:tcPr>
            <w:vAlign w:val="bottom"/>
          </w:tcPr>
          <w:p w:rsidR="00000000" w:rsidDel="00000000" w:rsidP="00000000" w:rsidRDefault="00000000" w:rsidRPr="00000000" w14:paraId="0000018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13.89</w:t>
            </w:r>
          </w:p>
        </w:tc>
        <w:tc>
          <w:tcPr>
            <w:vAlign w:val="bottom"/>
          </w:tcPr>
          <w:p w:rsidR="00000000" w:rsidDel="00000000" w:rsidP="00000000" w:rsidRDefault="00000000" w:rsidRPr="00000000" w14:paraId="0000018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8.44</w:t>
            </w:r>
          </w:p>
        </w:tc>
        <w:tc>
          <w:tcPr>
            <w:vAlign w:val="bottom"/>
          </w:tcPr>
          <w:p w:rsidR="00000000" w:rsidDel="00000000" w:rsidP="00000000" w:rsidRDefault="00000000" w:rsidRPr="00000000" w14:paraId="0000018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27.06</w:t>
            </w:r>
          </w:p>
        </w:tc>
        <w:tc>
          <w:tcPr>
            <w:vAlign w:val="bottom"/>
          </w:tcPr>
          <w:p w:rsidR="00000000" w:rsidDel="00000000" w:rsidP="00000000" w:rsidRDefault="00000000" w:rsidRPr="00000000" w14:paraId="0000018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20.30</w:t>
            </w:r>
          </w:p>
        </w:tc>
        <w:tc>
          <w:tcPr>
            <w:vAlign w:val="bottom"/>
          </w:tcPr>
          <w:p w:rsidR="00000000" w:rsidDel="00000000" w:rsidP="00000000" w:rsidRDefault="00000000" w:rsidRPr="00000000" w14:paraId="0000019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28.54</w:t>
            </w:r>
          </w:p>
        </w:tc>
        <w:tc>
          <w:tcPr>
            <w:vAlign w:val="bottom"/>
          </w:tcPr>
          <w:p w:rsidR="00000000" w:rsidDel="00000000" w:rsidP="00000000" w:rsidRDefault="00000000" w:rsidRPr="00000000" w14:paraId="0000019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23.84</w:t>
            </w:r>
          </w:p>
        </w:tc>
      </w:tr>
      <w:tr>
        <w:tc>
          <w:tcPr>
            <w:vAlign w:val="center"/>
          </w:tcPr>
          <w:p w:rsidR="00000000" w:rsidDel="00000000" w:rsidP="00000000" w:rsidRDefault="00000000" w:rsidRPr="00000000" w14:paraId="0000019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Humanities</w:t>
            </w:r>
          </w:p>
        </w:tc>
        <w:tc>
          <w:tcPr>
            <w:vAlign w:val="bottom"/>
          </w:tcPr>
          <w:p w:rsidR="00000000" w:rsidDel="00000000" w:rsidP="00000000" w:rsidRDefault="00000000" w:rsidRPr="00000000" w14:paraId="0000019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7.96</w:t>
            </w:r>
          </w:p>
        </w:tc>
        <w:tc>
          <w:tcPr>
            <w:vAlign w:val="bottom"/>
          </w:tcPr>
          <w:p w:rsidR="00000000" w:rsidDel="00000000" w:rsidP="00000000" w:rsidRDefault="00000000" w:rsidRPr="00000000" w14:paraId="0000019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0.76</w:t>
            </w:r>
          </w:p>
        </w:tc>
        <w:tc>
          <w:tcPr>
            <w:vAlign w:val="bottom"/>
          </w:tcPr>
          <w:p w:rsidR="00000000" w:rsidDel="00000000" w:rsidP="00000000" w:rsidRDefault="00000000" w:rsidRPr="00000000" w14:paraId="0000019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15.58</w:t>
            </w:r>
          </w:p>
        </w:tc>
        <w:tc>
          <w:tcPr>
            <w:vAlign w:val="bottom"/>
          </w:tcPr>
          <w:p w:rsidR="00000000" w:rsidDel="00000000" w:rsidP="00000000" w:rsidRDefault="00000000" w:rsidRPr="00000000" w14:paraId="0000019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11.02</w:t>
            </w:r>
          </w:p>
        </w:tc>
        <w:tc>
          <w:tcPr>
            <w:vAlign w:val="bottom"/>
          </w:tcPr>
          <w:p w:rsidR="00000000" w:rsidDel="00000000" w:rsidP="00000000" w:rsidRDefault="00000000" w:rsidRPr="00000000" w14:paraId="0000019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12.36</w:t>
            </w:r>
          </w:p>
        </w:tc>
        <w:tc>
          <w:tcPr>
            <w:vAlign w:val="bottom"/>
          </w:tcPr>
          <w:p w:rsidR="00000000" w:rsidDel="00000000" w:rsidP="00000000" w:rsidRDefault="00000000" w:rsidRPr="00000000" w14:paraId="0000019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10.20</w:t>
            </w:r>
          </w:p>
        </w:tc>
      </w:tr>
      <w:tr>
        <w:tc>
          <w:tcPr>
            <w:vAlign w:val="center"/>
          </w:tcPr>
          <w:p w:rsidR="00000000" w:rsidDel="00000000" w:rsidP="00000000" w:rsidRDefault="00000000" w:rsidRPr="00000000" w14:paraId="0000019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Sciences</w:t>
            </w:r>
          </w:p>
        </w:tc>
        <w:tc>
          <w:tcPr>
            <w:vAlign w:val="bottom"/>
          </w:tcPr>
          <w:p w:rsidR="00000000" w:rsidDel="00000000" w:rsidP="00000000" w:rsidRDefault="00000000" w:rsidRPr="00000000" w14:paraId="0000019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20.05</w:t>
            </w:r>
          </w:p>
        </w:tc>
        <w:tc>
          <w:tcPr>
            <w:vAlign w:val="bottom"/>
          </w:tcPr>
          <w:p w:rsidR="00000000" w:rsidDel="00000000" w:rsidP="00000000" w:rsidRDefault="00000000" w:rsidRPr="00000000" w14:paraId="0000019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25.10</w:t>
            </w:r>
          </w:p>
        </w:tc>
        <w:tc>
          <w:tcPr>
            <w:vAlign w:val="bottom"/>
          </w:tcPr>
          <w:p w:rsidR="00000000" w:rsidDel="00000000" w:rsidP="00000000" w:rsidRDefault="00000000" w:rsidRPr="00000000" w14:paraId="0000019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7.60</w:t>
            </w:r>
          </w:p>
        </w:tc>
        <w:tc>
          <w:tcPr>
            <w:vAlign w:val="bottom"/>
          </w:tcPr>
          <w:p w:rsidR="00000000" w:rsidDel="00000000" w:rsidP="00000000" w:rsidRDefault="00000000" w:rsidRPr="00000000" w14:paraId="0000019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0.18</w:t>
            </w:r>
          </w:p>
        </w:tc>
        <w:tc>
          <w:tcPr>
            <w:vAlign w:val="bottom"/>
          </w:tcPr>
          <w:p w:rsidR="00000000" w:rsidDel="00000000" w:rsidP="00000000" w:rsidRDefault="00000000" w:rsidRPr="00000000" w14:paraId="0000019E">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8.72</w:t>
            </w:r>
          </w:p>
        </w:tc>
        <w:tc>
          <w:tcPr>
            <w:vAlign w:val="bottom"/>
          </w:tcPr>
          <w:p w:rsidR="00000000" w:rsidDel="00000000" w:rsidP="00000000" w:rsidRDefault="00000000" w:rsidRPr="00000000" w14:paraId="0000019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3.42</w:t>
            </w:r>
          </w:p>
        </w:tc>
      </w:tr>
      <w:tr>
        <w:tc>
          <w:tcPr>
            <w:vAlign w:val="center"/>
          </w:tcPr>
          <w:p w:rsidR="00000000" w:rsidDel="00000000" w:rsidP="00000000" w:rsidRDefault="00000000" w:rsidRPr="00000000" w14:paraId="000001A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Sciences</w:t>
            </w:r>
          </w:p>
        </w:tc>
        <w:tc>
          <w:tcPr>
            <w:vAlign w:val="bottom"/>
          </w:tcPr>
          <w:p w:rsidR="00000000" w:rsidDel="00000000" w:rsidP="00000000" w:rsidRDefault="00000000" w:rsidRPr="00000000" w14:paraId="000001A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17.81</w:t>
            </w:r>
          </w:p>
        </w:tc>
        <w:tc>
          <w:tcPr>
            <w:vAlign w:val="bottom"/>
          </w:tcPr>
          <w:p w:rsidR="00000000" w:rsidDel="00000000" w:rsidP="00000000" w:rsidRDefault="00000000" w:rsidRPr="00000000" w14:paraId="000001A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19.68</w:t>
            </w:r>
          </w:p>
        </w:tc>
        <w:tc>
          <w:tcPr>
            <w:vAlign w:val="bottom"/>
          </w:tcPr>
          <w:p w:rsidR="00000000" w:rsidDel="00000000" w:rsidP="00000000" w:rsidRDefault="00000000" w:rsidRPr="00000000" w14:paraId="000001A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10.98</w:t>
            </w:r>
          </w:p>
        </w:tc>
        <w:tc>
          <w:tcPr>
            <w:vAlign w:val="bottom"/>
          </w:tcPr>
          <w:p w:rsidR="00000000" w:rsidDel="00000000" w:rsidP="00000000" w:rsidRDefault="00000000" w:rsidRPr="00000000" w14:paraId="000001A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15.62</w:t>
            </w:r>
          </w:p>
        </w:tc>
        <w:tc>
          <w:tcPr>
            <w:vAlign w:val="bottom"/>
          </w:tcPr>
          <w:p w:rsidR="00000000" w:rsidDel="00000000" w:rsidP="00000000" w:rsidRDefault="00000000" w:rsidRPr="00000000" w14:paraId="000001A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10.50</w:t>
            </w:r>
          </w:p>
        </w:tc>
        <w:tc>
          <w:tcPr>
            <w:vAlign w:val="bottom"/>
          </w:tcPr>
          <w:p w:rsidR="00000000" w:rsidDel="00000000" w:rsidP="00000000" w:rsidRDefault="00000000" w:rsidRPr="00000000" w14:paraId="000001A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13.64</w:t>
            </w:r>
          </w:p>
        </w:tc>
      </w:tr>
      <w:tr>
        <w:tc>
          <w:tcPr>
            <w:vAlign w:val="center"/>
          </w:tcPr>
          <w:p w:rsidR="00000000" w:rsidDel="00000000" w:rsidP="00000000" w:rsidRDefault="00000000" w:rsidRPr="00000000" w14:paraId="000001A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Engineering</w:t>
            </w:r>
          </w:p>
        </w:tc>
        <w:tc>
          <w:tcPr>
            <w:vAlign w:val="bottom"/>
          </w:tcPr>
          <w:p w:rsidR="00000000" w:rsidDel="00000000" w:rsidP="00000000" w:rsidRDefault="00000000" w:rsidRPr="00000000" w14:paraId="000001A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42.28</w:t>
            </w:r>
          </w:p>
        </w:tc>
        <w:tc>
          <w:tcPr>
            <w:vAlign w:val="bottom"/>
          </w:tcPr>
          <w:p w:rsidR="00000000" w:rsidDel="00000000" w:rsidP="00000000" w:rsidRDefault="00000000" w:rsidRPr="00000000" w14:paraId="000001A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45.10</w:t>
            </w:r>
          </w:p>
        </w:tc>
        <w:tc>
          <w:tcPr>
            <w:vAlign w:val="bottom"/>
          </w:tcPr>
          <w:p w:rsidR="00000000" w:rsidDel="00000000" w:rsidP="00000000" w:rsidRDefault="00000000" w:rsidRPr="00000000" w14:paraId="000001A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24.17</w:t>
            </w:r>
          </w:p>
        </w:tc>
        <w:tc>
          <w:tcPr>
            <w:vAlign w:val="bottom"/>
          </w:tcPr>
          <w:p w:rsidR="00000000" w:rsidDel="00000000" w:rsidP="00000000" w:rsidRDefault="00000000" w:rsidRPr="00000000" w14:paraId="000001A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30.05</w:t>
            </w:r>
          </w:p>
        </w:tc>
        <w:tc>
          <w:tcPr>
            <w:vAlign w:val="bottom"/>
          </w:tcPr>
          <w:p w:rsidR="00000000" w:rsidDel="00000000" w:rsidP="00000000" w:rsidRDefault="00000000" w:rsidRPr="00000000" w14:paraId="000001AC">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24.18</w:t>
            </w:r>
          </w:p>
        </w:tc>
        <w:tc>
          <w:tcPr>
            <w:vAlign w:val="bottom"/>
          </w:tcPr>
          <w:p w:rsidR="00000000" w:rsidDel="00000000" w:rsidP="00000000" w:rsidRDefault="00000000" w:rsidRPr="00000000" w14:paraId="000001A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27.18</w:t>
            </w:r>
          </w:p>
        </w:tc>
      </w:tr>
      <w:tr>
        <w:tc>
          <w:tcPr>
            <w:vAlign w:val="center"/>
          </w:tcPr>
          <w:p w:rsidR="00000000" w:rsidDel="00000000" w:rsidP="00000000" w:rsidRDefault="00000000" w:rsidRPr="00000000" w14:paraId="000001A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Agriculture</w:t>
            </w:r>
          </w:p>
        </w:tc>
        <w:tc>
          <w:tcPr>
            <w:vAlign w:val="bottom"/>
          </w:tcPr>
          <w:p w:rsidR="00000000" w:rsidDel="00000000" w:rsidP="00000000" w:rsidRDefault="00000000" w:rsidRPr="00000000" w14:paraId="000001A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29.73</w:t>
            </w:r>
          </w:p>
        </w:tc>
        <w:tc>
          <w:tcPr>
            <w:vAlign w:val="bottom"/>
          </w:tcPr>
          <w:p w:rsidR="00000000" w:rsidDel="00000000" w:rsidP="00000000" w:rsidRDefault="00000000" w:rsidRPr="00000000" w14:paraId="000001B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38.45</w:t>
            </w:r>
          </w:p>
        </w:tc>
        <w:tc>
          <w:tcPr>
            <w:vAlign w:val="bottom"/>
          </w:tcPr>
          <w:p w:rsidR="00000000" w:rsidDel="00000000" w:rsidP="00000000" w:rsidRDefault="00000000" w:rsidRPr="00000000" w14:paraId="000001B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3.77</w:t>
            </w:r>
          </w:p>
        </w:tc>
        <w:tc>
          <w:tcPr>
            <w:vAlign w:val="bottom"/>
          </w:tcPr>
          <w:p w:rsidR="00000000" w:rsidDel="00000000" w:rsidP="00000000" w:rsidRDefault="00000000" w:rsidRPr="00000000" w14:paraId="000001B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8.16</w:t>
            </w:r>
          </w:p>
        </w:tc>
        <w:tc>
          <w:tcPr>
            <w:vAlign w:val="bottom"/>
          </w:tcPr>
          <w:p w:rsidR="00000000" w:rsidDel="00000000" w:rsidP="00000000" w:rsidRDefault="00000000" w:rsidRPr="00000000" w14:paraId="000001B3">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3.92</w:t>
            </w:r>
          </w:p>
        </w:tc>
        <w:tc>
          <w:tcPr>
            <w:vAlign w:val="bottom"/>
          </w:tcPr>
          <w:p w:rsidR="00000000" w:rsidDel="00000000" w:rsidP="00000000" w:rsidRDefault="00000000" w:rsidRPr="00000000" w14:paraId="000001B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1.46</w:t>
            </w:r>
          </w:p>
        </w:tc>
      </w:tr>
      <w:tr>
        <w:tc>
          <w:tcPr>
            <w:vAlign w:val="center"/>
          </w:tcPr>
          <w:p w:rsidR="00000000" w:rsidDel="00000000" w:rsidP="00000000" w:rsidRDefault="00000000" w:rsidRPr="00000000" w14:paraId="000001B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&amp; Welfare</w:t>
            </w:r>
          </w:p>
        </w:tc>
        <w:tc>
          <w:tcPr>
            <w:vAlign w:val="bottom"/>
          </w:tcPr>
          <w:p w:rsidR="00000000" w:rsidDel="00000000" w:rsidP="00000000" w:rsidRDefault="00000000" w:rsidRPr="00000000" w14:paraId="000001B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8.21</w:t>
            </w:r>
          </w:p>
        </w:tc>
        <w:tc>
          <w:tcPr>
            <w:vAlign w:val="bottom"/>
          </w:tcPr>
          <w:p w:rsidR="00000000" w:rsidDel="00000000" w:rsidP="00000000" w:rsidRDefault="00000000" w:rsidRPr="00000000" w14:paraId="000001B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14.79</w:t>
            </w:r>
          </w:p>
        </w:tc>
        <w:tc>
          <w:tcPr>
            <w:vAlign w:val="bottom"/>
          </w:tcPr>
          <w:p w:rsidR="00000000" w:rsidDel="00000000" w:rsidP="00000000" w:rsidRDefault="00000000" w:rsidRPr="00000000" w14:paraId="000001B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25.37</w:t>
            </w:r>
          </w:p>
        </w:tc>
        <w:tc>
          <w:tcPr>
            <w:vAlign w:val="bottom"/>
          </w:tcPr>
          <w:p w:rsidR="00000000" w:rsidDel="00000000" w:rsidP="00000000" w:rsidRDefault="00000000" w:rsidRPr="00000000" w14:paraId="000001B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17.96</w:t>
            </w:r>
          </w:p>
        </w:tc>
        <w:tc>
          <w:tcPr>
            <w:vAlign w:val="bottom"/>
          </w:tcPr>
          <w:p w:rsidR="00000000" w:rsidDel="00000000" w:rsidP="00000000" w:rsidRDefault="00000000" w:rsidRPr="00000000" w14:paraId="000001B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25.21</w:t>
            </w:r>
          </w:p>
        </w:tc>
        <w:tc>
          <w:tcPr>
            <w:vAlign w:val="bottom"/>
          </w:tcPr>
          <w:p w:rsidR="00000000" w:rsidDel="00000000" w:rsidP="00000000" w:rsidRDefault="00000000" w:rsidRPr="00000000" w14:paraId="000001BB">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20.90</w:t>
            </w:r>
          </w:p>
        </w:tc>
      </w:tr>
      <w:tr>
        <w:tc>
          <w:tcPr>
            <w:vAlign w:val="center"/>
          </w:tcPr>
          <w:p w:rsidR="00000000" w:rsidDel="00000000" w:rsidP="00000000" w:rsidRDefault="00000000" w:rsidRPr="00000000" w14:paraId="000001B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Services</w:t>
            </w:r>
          </w:p>
        </w:tc>
        <w:tc>
          <w:tcPr>
            <w:vAlign w:val="bottom"/>
          </w:tcPr>
          <w:p w:rsidR="00000000" w:rsidDel="00000000" w:rsidP="00000000" w:rsidRDefault="00000000" w:rsidRPr="00000000" w14:paraId="000001BD">
            <w:pPr>
              <w:spacing w:after="0" w:line="48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BE">
            <w:pPr>
              <w:spacing w:after="0" w:line="480" w:lineRule="auto"/>
              <w:jc w:val="center"/>
              <w:rPr>
                <w:rFonts w:ascii="Times New Roman" w:cs="Times New Roman" w:eastAsia="Times New Roman" w:hAnsi="Times New Roman"/>
                <w:sz w:val="24"/>
                <w:szCs w:val="24"/>
              </w:rPr>
            </w:pPr>
            <w:r w:rsidDel="00000000" w:rsidR="00000000" w:rsidRPr="00000000">
              <w:rPr>
                <w:rtl w:val="0"/>
              </w:rPr>
            </w:r>
          </w:p>
        </w:tc>
        <w:tc>
          <w:tcPr>
            <w:vAlign w:val="bottom"/>
          </w:tcPr>
          <w:p w:rsidR="00000000" w:rsidDel="00000000" w:rsidP="00000000" w:rsidRDefault="00000000" w:rsidRPr="00000000" w14:paraId="000001B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0.96</w:t>
            </w:r>
          </w:p>
        </w:tc>
        <w:tc>
          <w:tcPr>
            <w:vAlign w:val="bottom"/>
          </w:tcPr>
          <w:p w:rsidR="00000000" w:rsidDel="00000000" w:rsidP="00000000" w:rsidRDefault="00000000" w:rsidRPr="00000000" w14:paraId="000001C0">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0.37</w:t>
            </w:r>
          </w:p>
        </w:tc>
        <w:tc>
          <w:tcPr>
            <w:vAlign w:val="bottom"/>
          </w:tcPr>
          <w:p w:rsidR="00000000" w:rsidDel="00000000" w:rsidP="00000000" w:rsidRDefault="00000000" w:rsidRPr="00000000" w14:paraId="000001C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0.42</w:t>
            </w:r>
          </w:p>
        </w:tc>
        <w:tc>
          <w:tcPr>
            <w:vAlign w:val="bottom"/>
          </w:tcPr>
          <w:p w:rsidR="00000000" w:rsidDel="00000000" w:rsidP="00000000" w:rsidRDefault="00000000" w:rsidRPr="00000000" w14:paraId="000001C2">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1.46</w:t>
            </w:r>
          </w:p>
        </w:tc>
      </w:tr>
      <w:tr>
        <w:tc>
          <w:tcPr>
            <w:vAlign w:val="center"/>
          </w:tcPr>
          <w:p w:rsidR="00000000" w:rsidDel="00000000" w:rsidP="00000000" w:rsidRDefault="00000000" w:rsidRPr="00000000" w14:paraId="000001C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Index of Dissimilarity Average</w:t>
            </w:r>
          </w:p>
        </w:tc>
        <w:tc>
          <w:tcPr>
            <w:vAlign w:val="bottom"/>
          </w:tcPr>
          <w:p w:rsidR="00000000" w:rsidDel="00000000" w:rsidP="00000000" w:rsidRDefault="00000000" w:rsidRPr="00000000" w14:paraId="000001C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19.99</w:t>
            </w:r>
          </w:p>
        </w:tc>
        <w:tc>
          <w:tcPr>
            <w:vAlign w:val="bottom"/>
          </w:tcPr>
          <w:p w:rsidR="00000000" w:rsidDel="00000000" w:rsidP="00000000" w:rsidRDefault="00000000" w:rsidRPr="00000000" w14:paraId="000001C5">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21.76</w:t>
            </w:r>
          </w:p>
        </w:tc>
        <w:tc>
          <w:tcPr>
            <w:vAlign w:val="bottom"/>
          </w:tcPr>
          <w:p w:rsidR="00000000" w:rsidDel="00000000" w:rsidP="00000000" w:rsidRDefault="00000000" w:rsidRPr="00000000" w14:paraId="000001C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16.54</w:t>
            </w:r>
          </w:p>
        </w:tc>
        <w:tc>
          <w:tcPr>
            <w:vAlign w:val="bottom"/>
          </w:tcPr>
          <w:p w:rsidR="00000000" w:rsidDel="00000000" w:rsidP="00000000" w:rsidRDefault="00000000" w:rsidRPr="00000000" w14:paraId="000001C7">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14,93</w:t>
            </w:r>
          </w:p>
        </w:tc>
        <w:tc>
          <w:tcPr>
            <w:vAlign w:val="bottom"/>
          </w:tcPr>
          <w:p w:rsidR="00000000" w:rsidDel="00000000" w:rsidP="00000000" w:rsidRDefault="00000000" w:rsidRPr="00000000" w14:paraId="000001C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14.23</w:t>
            </w:r>
          </w:p>
        </w:tc>
        <w:tc>
          <w:tcPr>
            <w:vAlign w:val="bottom"/>
          </w:tcPr>
          <w:p w:rsidR="00000000" w:rsidDel="00000000" w:rsidP="00000000" w:rsidRDefault="00000000" w:rsidRPr="00000000" w14:paraId="000001C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12.76</w:t>
            </w:r>
          </w:p>
        </w:tc>
      </w:tr>
    </w:tbl>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Authors’ calculations using data from UNESCO Institute for Statistics database.</w:t>
      </w:r>
    </w:p>
    <w:p w:rsidR="00000000" w:rsidDel="00000000" w:rsidP="00000000" w:rsidRDefault="00000000" w:rsidRPr="00000000" w14:paraId="000001CB">
      <w:pPr>
        <w:rPr>
          <w:rFonts w:ascii="Times New Roman" w:cs="Times New Roman" w:eastAsia="Times New Roman" w:hAnsi="Times New Roman"/>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1CC">
      <w:pPr>
        <w:keepNext w:val="0"/>
        <w:keepLines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4 disaggregates these data on sex segregation differentiating between Early and Delayed parity countries.  In 1971, early parity countries had a lower score on the overall Index of Dissimilarity.  This is reflected in lower levels of gender segregation in Social Sciences, Natural Sciences, Engineering, Agriculture and Health. While each of these disciplines had a male majority in enrolments, females in early parity countries were more strongly represented than in delayed parity countries. In contrast in Education and Humanities, which had a female majority, lower levels of sex segregation were found in delayed parity countries. </w:t>
      </w:r>
    </w:p>
    <w:p w:rsidR="00000000" w:rsidDel="00000000" w:rsidP="00000000" w:rsidRDefault="00000000" w:rsidRPr="00000000" w14:paraId="000001CE">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overall reduction in sex segregation between 1971 and 2015 was accompanied by a sharper reduction in sex segregation in delayed parity countries. Delayed parity countries continued to enjoy lower levels of sex segregation in Education and Humanities and now also in Social Sciences and Health and Welfare.  Early Parity countries continued to have a higher representation of females in Natural Sciences and Engineering. While, in 2000, early parity countries had retained lower levels of sex segregation in Agriculture, this situation was reversed by 2015. </w:t>
      </w:r>
      <w:r w:rsidDel="00000000" w:rsidR="00000000" w:rsidRPr="00000000">
        <w:rPr>
          <w:rtl w:val="0"/>
        </w:rPr>
      </w:r>
    </w:p>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have examined separately the relationship between levels of gender parity and both the disciplinary profile of higher education systems and levels of sex segregation in each field of study. However, the latter two variables are interrelated. The higher the relative levels of concentration of enrolments in a field of study, the higher the levels of sex segregation in this field.  The contrasting enrolment pattern in Engineering, on the one hand and Humanities and Education on the other, illustrate this relationship. Delayed parity countries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higher concentrations of enrolment (see Table 3 above) and higher levels of sex segregation (Table 4) in Engineering while early parity countries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higher concentrations of enrolment and higher levels of sex segregation in Humanities and Education. This pattern is also evident for Social Sciences in 1971, for Services in 2000 and Agriculture in 2015; in these instances, also, delayed parity countries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higher concentrations of enrolments and higher levels of sex segregation. Similarly, in the case of Health &amp; Welfare enrolments in 2000 and 2015, where early parity countries have both higher concentrations of enrolments and higher levels of sex segregation. The enrolment pattern in the Natural Sciences represents something of an exception where in 1971, by comparison with delayed parity countries, early parity countries combined higher concentrations of enrolments with lower levels of sex segregation. In 2000, delayed parity countries had higher levels of enrolment combined with higher levels of sex segregation, while in 2015, when differentials in levels of enrolment are eliminated, they continued to have higher levels of sex segregation</w:t>
      </w:r>
      <w:r w:rsidDel="00000000" w:rsidR="00000000" w:rsidRPr="00000000">
        <w:rPr>
          <w:rtl w:val="0"/>
        </w:rPr>
      </w:r>
    </w:p>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Sex segregation is also related to the overall levels of participation in higher education. Here we differentiate between high and low participation countries as measured by their Gross Enrolment Ratios in each of four time periods, 1971, 1985, 2000 and 2015. In 1971, low participation countries (GER &lt; .14) had significantly lower levels of sex segregation by comparison with high participation countries as measured by their scores on the Index of Dissimilarity (17.9 versus 24.6). This difference in the overall index score is accounted for the greater level of gender balance achieved by low participation countries in all seven fields of study. While the percentage differences in the representation of each gender is not very large the consistency of the trend is striking. </w:t>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findings of lower levels of sex segregation for countries with lower overall enrolments rates in 1971 are replicated in 1985. The overall difference in the Index of Dissimilarity (14.5 versus 17.7) is reflected in all fields of study except Education where countries with higher levels of participation (GRE&gt;.26) are less segregated by gender. As noted above levels of sex segregation have remained relatively stable since 2000. In addition, differences between lower and higher participation countries have also lessened. Differences in the Index of Dissimilarity between high (GER &gt;.53 in 2000 and &gt;.75 in 2015) and low participation countries were just 0.7 in 2000 and 0.5 in 2015. While low participation countries continued to have lower levels of sex segregation in Natural Sciences and Engineering and marginally lower levels in Agriculture, Health &amp; Welfare and Services high participation countries had achieved lower levels of sex segregation in Education, Humanities and Social Sciences. </w:t>
      </w:r>
    </w:p>
    <w:tbl>
      <w:tblPr>
        <w:tblStyle w:val="Table5"/>
        <w:tblW w:w="26007.999999999993"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200"/>
        <w:gridCol w:w="976"/>
        <w:gridCol w:w="976"/>
        <w:gridCol w:w="976"/>
        <w:gridCol w:w="976"/>
        <w:gridCol w:w="976"/>
        <w:gridCol w:w="976"/>
        <w:gridCol w:w="976"/>
        <w:gridCol w:w="976"/>
        <w:tblGridChange w:id="0">
          <w:tblGrid>
            <w:gridCol w:w="18200"/>
            <w:gridCol w:w="976"/>
            <w:gridCol w:w="976"/>
            <w:gridCol w:w="976"/>
            <w:gridCol w:w="976"/>
            <w:gridCol w:w="976"/>
            <w:gridCol w:w="976"/>
            <w:gridCol w:w="976"/>
            <w:gridCol w:w="976"/>
          </w:tblGrid>
        </w:tblGridChange>
      </w:tblGrid>
      <w:tr>
        <w:trPr>
          <w:trHeight w:val="300" w:hRule="atLeast"/>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2">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3">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4">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5">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6">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7">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8">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9">
            <w:pPr>
              <w:spacing w:after="0" w:line="48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A">
            <w:pPr>
              <w:spacing w:after="0" w:line="48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1DB">
      <w:pPr>
        <w:pStyle w:val="Heading1"/>
        <w:spacing w:after="0" w:before="0" w:line="480" w:lineRule="auto"/>
        <w:ind w:left="0" w:right="5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Parity and Wider Social Structure</w:t>
      </w:r>
    </w:p>
    <w:p w:rsidR="00000000" w:rsidDel="00000000" w:rsidP="00000000" w:rsidRDefault="00000000" w:rsidRPr="00000000" w14:paraId="000001DC">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related characteristic of higher education systems which correlates with the level of Gender Parity is the source of funding to higher education institutions. In 2000 and 2014, early parity countries attracted higher levels of public funding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While on average the percentage of public funding declined over the period the differences between the two groups of countries remained. Public funding in early parity countries was 81% in 2000 and 73% in 2014; by comparison in delayed parity countries it was 68% and 61.5%, respectively. The outliers in the early parity group are the US where public funding only accounts for about one third of total funding and Australia and New Zealand where it accounts for about a half of total funding. The lower average public funding for the delayed parity countries is strongly influenced by the very low levels in Korea, Chile, Japan and the UK (2014 only). In contrast Austria and Belgium have significantly higher levels of public funding.</w:t>
      </w:r>
    </w:p>
    <w:p w:rsidR="00000000" w:rsidDel="00000000" w:rsidP="00000000" w:rsidRDefault="00000000" w:rsidRPr="00000000" w14:paraId="000001DD">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 argue that the higher education funding regime can be considered a societal characteristic rather than a characteristic of the educational system. This suggests that in seeking to find an explanation for country differentials in gender parity and to understand persistent patterns of sex segregation it may be useful to move outside the educational system and explore broader societal determinants. We first examined the relationship between per capita GDP and GPI score. While for all OECD countries the rise in gender parity occurred concurrently with increases in per capita GDP over the period 1971 to 2000, a country’s level of affluence does not account for difference in GPI score. While there is a weak positive relationship between GDP and GPI it is not statistically significant and weakens over time (R= .36 in 1971 and .15 in 2000). Over this period GDP differentials between early parity and delayed parity counties have narrowed significantly while the differentials in GPI have been largely sustained. Similarly, country differentials in GDP do not explain why the rise in GPI has halted in some countries over the period 2000 to 2015 (R= .26 in 2015). While countries which have experienced a decline in GPI have on average higher levels of GDP the differentials vis-à-vis those countries where GPI is still rising have changed little over this period. In the next section of the paper we examine how variations in gender parity are linked to another societal characteristic, the gendered division of labour evident from trends in labour force participation, the proportion of women in senior positions and trends in the gender wage gap. </w:t>
      </w:r>
    </w:p>
    <w:p w:rsidR="00000000" w:rsidDel="00000000" w:rsidP="00000000" w:rsidRDefault="00000000" w:rsidRPr="00000000" w14:paraId="000001DE">
      <w:pPr>
        <w:pStyle w:val="Heading2"/>
        <w:rPr>
          <w:i w:val="1"/>
          <w:color w:val="000000"/>
        </w:rPr>
      </w:pPr>
      <w:r w:rsidDel="00000000" w:rsidR="00000000" w:rsidRPr="00000000">
        <w:rPr>
          <w:i w:val="1"/>
          <w:color w:val="000000"/>
          <w:rtl w:val="0"/>
        </w:rPr>
        <w:t xml:space="preserve">Trends in Gender, Work and GPI</w:t>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consistent trend in increasing female labour force participation rates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evident over the period (see also Charles 2011) (see Table 5 below). As was the case with trends in GPI reported earlier, the largest increases are in the early period 1970-1985 and a slowdown is evident more recently. In early parity countries rapid change was evident in the period before gender parity is achieved, and then increases slow down. In delayed parity countries steadier increases are evident. </w:t>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Countries with higher scores on the GPI also have higher female labour force participation rates. This correlation was statistically significant in 2000 and 2015 but not in earlier years. In 2000 there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6 countries with a female participation rate above 80% (Iceland, Sweden, Finland, Denmark, Norway, USA), all early parity countries. In 2015 several of the delayed parity countries can be described as outliers (Switzerland, Netherlands, Ireland and Czech Republic) with participation rates above 75%. With the exception of Italy, Chile and Mexico gender parity in HE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achieved when the participation rate is above 70%. </w:t>
      </w:r>
    </w:p>
    <w:p w:rsidR="00000000" w:rsidDel="00000000" w:rsidP="00000000" w:rsidRDefault="00000000" w:rsidRPr="00000000" w14:paraId="000001E1">
      <w:pPr>
        <w:spacing w:after="0" w:line="360" w:lineRule="auto"/>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1E2">
      <w:pPr>
        <w:spacing w:after="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E3">
      <w:pPr>
        <w:spacing w:after="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5:  GPI and trends in gender and work</w:t>
      </w:r>
    </w:p>
    <w:p w:rsidR="00000000" w:rsidDel="00000000" w:rsidP="00000000" w:rsidRDefault="00000000" w:rsidRPr="00000000" w14:paraId="000001E4">
      <w:pPr>
        <w:rPr/>
      </w:pPr>
      <w:r w:rsidDel="00000000" w:rsidR="00000000" w:rsidRPr="00000000">
        <w:rPr>
          <w:rtl w:val="0"/>
        </w:rPr>
      </w:r>
    </w:p>
    <w:tbl>
      <w:tblPr>
        <w:tblStyle w:val="Table6"/>
        <w:tblW w:w="9813.999999999998"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1"/>
        <w:gridCol w:w="1287"/>
        <w:gridCol w:w="1559"/>
        <w:gridCol w:w="876"/>
        <w:gridCol w:w="1701"/>
        <w:gridCol w:w="993"/>
        <w:gridCol w:w="1337"/>
        <w:tblGridChange w:id="0">
          <w:tblGrid>
            <w:gridCol w:w="2061"/>
            <w:gridCol w:w="1287"/>
            <w:gridCol w:w="1559"/>
            <w:gridCol w:w="876"/>
            <w:gridCol w:w="1701"/>
            <w:gridCol w:w="993"/>
            <w:gridCol w:w="1337"/>
          </w:tblGrid>
        </w:tblGridChange>
      </w:tblGrid>
      <w:tr>
        <w:trPr>
          <w:trHeight w:val="594" w:hRule="atLeast"/>
        </w:trPr>
        <w:tc>
          <w:tcPr/>
          <w:p w:rsidR="00000000" w:rsidDel="00000000" w:rsidP="00000000" w:rsidRDefault="00000000" w:rsidRPr="00000000" w14:paraId="000001E5">
            <w:pPr>
              <w:spacing w:after="0" w:line="480" w:lineRule="auto"/>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1E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Ratio of female to male labour force participation rate </w:t>
            </w:r>
          </w:p>
        </w:tc>
        <w:tc>
          <w:tcPr>
            <w:gridSpan w:val="2"/>
          </w:tcPr>
          <w:p w:rsidR="00000000" w:rsidDel="00000000" w:rsidP="00000000" w:rsidRDefault="00000000" w:rsidRPr="00000000" w14:paraId="000001E8">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seats in parliament</w:t>
            </w:r>
          </w:p>
        </w:tc>
        <w:tc>
          <w:tcPr>
            <w:gridSpan w:val="2"/>
          </w:tcPr>
          <w:p w:rsidR="00000000" w:rsidDel="00000000" w:rsidP="00000000" w:rsidRDefault="00000000" w:rsidRPr="00000000" w14:paraId="000001EA">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Wage Gap</w:t>
            </w:r>
          </w:p>
        </w:tc>
      </w:tr>
      <w:tr>
        <w:tc>
          <w:tcPr/>
          <w:p w:rsidR="00000000" w:rsidDel="00000000" w:rsidP="00000000" w:rsidRDefault="00000000" w:rsidRPr="00000000" w14:paraId="000001EC">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ED">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p w:rsidR="00000000" w:rsidDel="00000000" w:rsidP="00000000" w:rsidRDefault="00000000" w:rsidRPr="00000000" w14:paraId="000001EE">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c>
          <w:tcPr/>
          <w:p w:rsidR="00000000" w:rsidDel="00000000" w:rsidP="00000000" w:rsidRDefault="00000000" w:rsidRPr="00000000" w14:paraId="000001EF">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p w:rsidR="00000000" w:rsidDel="00000000" w:rsidP="00000000" w:rsidRDefault="00000000" w:rsidRPr="00000000" w14:paraId="000001F0">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c>
          <w:tcPr/>
          <w:p w:rsidR="00000000" w:rsidDel="00000000" w:rsidP="00000000" w:rsidRDefault="00000000" w:rsidRPr="00000000" w14:paraId="000001F1">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tc>
        <w:tc>
          <w:tcPr/>
          <w:p w:rsidR="00000000" w:rsidDel="00000000" w:rsidP="00000000" w:rsidRDefault="00000000" w:rsidRPr="00000000" w14:paraId="000001F2">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w:t>
            </w:r>
          </w:p>
        </w:tc>
      </w:tr>
      <w:tr>
        <w:tc>
          <w:tcPr/>
          <w:p w:rsidR="00000000" w:rsidDel="00000000" w:rsidP="00000000" w:rsidRDefault="00000000" w:rsidRPr="00000000" w14:paraId="000001F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Early Parity Countries</w:t>
            </w:r>
          </w:p>
        </w:tc>
        <w:tc>
          <w:tcPr/>
          <w:p w:rsidR="00000000" w:rsidDel="00000000" w:rsidP="00000000" w:rsidRDefault="00000000" w:rsidRPr="00000000" w14:paraId="000001F4">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78.45</w:t>
            </w:r>
          </w:p>
        </w:tc>
        <w:tc>
          <w:tcPr/>
          <w:p w:rsidR="00000000" w:rsidDel="00000000" w:rsidP="00000000" w:rsidRDefault="00000000" w:rsidRPr="00000000" w14:paraId="000001F5">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84.17</w:t>
            </w:r>
          </w:p>
        </w:tc>
        <w:tc>
          <w:tcPr/>
          <w:p w:rsidR="00000000" w:rsidDel="00000000" w:rsidP="00000000" w:rsidRDefault="00000000" w:rsidRPr="00000000" w14:paraId="000001F6">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25.75</w:t>
            </w:r>
          </w:p>
        </w:tc>
        <w:tc>
          <w:tcPr/>
          <w:p w:rsidR="00000000" w:rsidDel="00000000" w:rsidP="00000000" w:rsidRDefault="00000000" w:rsidRPr="00000000" w14:paraId="000001F7">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32.17</w:t>
            </w:r>
          </w:p>
        </w:tc>
        <w:tc>
          <w:tcPr/>
          <w:p w:rsidR="00000000" w:rsidDel="00000000" w:rsidP="00000000" w:rsidRDefault="00000000" w:rsidRPr="00000000" w14:paraId="000001F8">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15.71</w:t>
            </w:r>
          </w:p>
        </w:tc>
        <w:tc>
          <w:tcPr/>
          <w:p w:rsidR="00000000" w:rsidDel="00000000" w:rsidP="00000000" w:rsidRDefault="00000000" w:rsidRPr="00000000" w14:paraId="000001F9">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12.07</w:t>
            </w:r>
          </w:p>
        </w:tc>
      </w:tr>
      <w:tr>
        <w:trPr>
          <w:trHeight w:val="324" w:hRule="atLeast"/>
        </w:trPr>
        <w:tc>
          <w:tcPr/>
          <w:p w:rsidR="00000000" w:rsidDel="00000000" w:rsidP="00000000" w:rsidRDefault="00000000" w:rsidRPr="00000000" w14:paraId="000001F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Delayed Parity Countries</w:t>
            </w:r>
          </w:p>
        </w:tc>
        <w:tc>
          <w:tcPr/>
          <w:p w:rsidR="00000000" w:rsidDel="00000000" w:rsidP="00000000" w:rsidRDefault="00000000" w:rsidRPr="00000000" w14:paraId="000001FB">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64.42</w:t>
            </w:r>
          </w:p>
        </w:tc>
        <w:tc>
          <w:tcPr/>
          <w:p w:rsidR="00000000" w:rsidDel="00000000" w:rsidP="00000000" w:rsidRDefault="00000000" w:rsidRPr="00000000" w14:paraId="000001FC">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73.17</w:t>
            </w:r>
          </w:p>
        </w:tc>
        <w:tc>
          <w:tcPr/>
          <w:p w:rsidR="00000000" w:rsidDel="00000000" w:rsidP="00000000" w:rsidRDefault="00000000" w:rsidRPr="00000000" w14:paraId="000001FD">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15.87</w:t>
            </w:r>
          </w:p>
        </w:tc>
        <w:tc>
          <w:tcPr/>
          <w:p w:rsidR="00000000" w:rsidDel="00000000" w:rsidP="00000000" w:rsidRDefault="00000000" w:rsidRPr="00000000" w14:paraId="000001FE">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25.73</w:t>
            </w:r>
          </w:p>
        </w:tc>
        <w:tc>
          <w:tcPr/>
          <w:p w:rsidR="00000000" w:rsidDel="00000000" w:rsidP="00000000" w:rsidRDefault="00000000" w:rsidRPr="00000000" w14:paraId="000001FF">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23.12</w:t>
            </w:r>
          </w:p>
        </w:tc>
        <w:tc>
          <w:tcPr/>
          <w:p w:rsidR="00000000" w:rsidDel="00000000" w:rsidP="00000000" w:rsidRDefault="00000000" w:rsidRPr="00000000" w14:paraId="00000200">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16.76</w:t>
            </w:r>
          </w:p>
        </w:tc>
      </w:tr>
      <w:tr>
        <w:trPr>
          <w:trHeight w:val="267" w:hRule="atLeast"/>
        </w:trPr>
        <w:tc>
          <w:tcPr/>
          <w:p w:rsidR="00000000" w:rsidDel="00000000" w:rsidP="00000000" w:rsidRDefault="00000000" w:rsidRPr="00000000" w14:paraId="00000201">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Correlation with GPI</w:t>
            </w:r>
          </w:p>
        </w:tc>
        <w:tc>
          <w:tcPr/>
          <w:p w:rsidR="00000000" w:rsidDel="00000000" w:rsidP="00000000" w:rsidRDefault="00000000" w:rsidRPr="00000000" w14:paraId="00000202">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.678**</w:t>
            </w:r>
          </w:p>
        </w:tc>
        <w:tc>
          <w:tcPr/>
          <w:p w:rsidR="00000000" w:rsidDel="00000000" w:rsidP="00000000" w:rsidRDefault="00000000" w:rsidRPr="00000000" w14:paraId="00000203">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.609**</w:t>
            </w:r>
          </w:p>
        </w:tc>
        <w:tc>
          <w:tcPr/>
          <w:p w:rsidR="00000000" w:rsidDel="00000000" w:rsidP="00000000" w:rsidRDefault="00000000" w:rsidRPr="00000000" w14:paraId="00000204">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.628**</w:t>
            </w:r>
          </w:p>
        </w:tc>
        <w:tc>
          <w:tcPr/>
          <w:p w:rsidR="00000000" w:rsidDel="00000000" w:rsidP="00000000" w:rsidRDefault="00000000" w:rsidRPr="00000000" w14:paraId="00000205">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.470*</w:t>
            </w:r>
          </w:p>
        </w:tc>
        <w:tc>
          <w:tcPr/>
          <w:p w:rsidR="00000000" w:rsidDel="00000000" w:rsidP="00000000" w:rsidRDefault="00000000" w:rsidRPr="00000000" w14:paraId="00000206">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-.492**</w:t>
            </w:r>
          </w:p>
        </w:tc>
        <w:tc>
          <w:tcPr/>
          <w:p w:rsidR="00000000" w:rsidDel="00000000" w:rsidP="00000000" w:rsidRDefault="00000000" w:rsidRPr="00000000" w14:paraId="00000207">
            <w:pPr>
              <w:spacing w:after="0" w:line="48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.432*</w:t>
            </w:r>
          </w:p>
        </w:tc>
      </w:tr>
    </w:tbl>
    <w:p w:rsidR="00000000" w:rsidDel="00000000" w:rsidP="00000000" w:rsidRDefault="00000000" w:rsidRPr="00000000" w14:paraId="0000020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Sources: Authors’ calculations using data from International Labour Organization, ILOSTAT database modelled ILO estimate.  </w:t>
      </w:r>
    </w:p>
    <w:p w:rsidR="00000000" w:rsidDel="00000000" w:rsidP="00000000" w:rsidRDefault="00000000" w:rsidRPr="00000000" w14:paraId="00000209">
      <w:pPr>
        <w:spacing w:after="0" w:line="48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 Correlation is significant at the 0.05 level (2-tailed); ** Correlation is significant at the 0.01 level (2-tailed).</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on women’s share of seats in parliament points to continuities in terms of women’s access to positions of power in society. Women are underrepresented in parliament in all OECD parliaments. Again, the overall trend is towards this share of seats increasing over time. Only in Sweden, the country closest to parity on this measure, is a marginal decrease in women’s share of seats evident over the period, from 45% to 44%. Early parity countries performed best in terms of women’s share of seats in parliament. Hungary and the US are outliers in this group, with a share less than 15% in 2000 and less than 20% in 2015. In the delayed parity group Mexico, Belgium and Austria are outliers, with women’s share of seats equalling or exceeding the average for early parity countries in both 2000 and 2015. There is a statistically significant correlation between women’s percentage of seats in parliament and GPI scores.</w:t>
      </w:r>
    </w:p>
    <w:p w:rsidR="00000000" w:rsidDel="00000000" w:rsidP="00000000" w:rsidRDefault="00000000" w:rsidRPr="00000000" w14:paraId="0000020C">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relation to the gender wage gap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overall trend in OECD countries since 1975 is a steady decline. This represents a positive change in terms of gender equality, with both reductions in male wages and increases in female wages evident (Charles 2011). In both 2000 and 2015 the gender wage gap was significantly smaller in early parity countries. It should be noted that, like the trend in women’s share of seats in parliament, a larger reduction is evident between 2000 and 2015 in delayed parity countries. The pay gap </w:t>
      </w:r>
      <w:r w:rsidDel="00000000" w:rsidR="00000000" w:rsidRPr="00000000">
        <w:rPr>
          <w:rFonts w:ascii="Times New Roman" w:cs="Times New Roman" w:eastAsia="Times New Roman" w:hAnsi="Times New Roman"/>
          <w:sz w:val="24"/>
          <w:szCs w:val="24"/>
          <w:rtl w:val="0"/>
        </w:rPr>
        <w:t xml:space="preserve">was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less than10% in two countries in 2000, Italy and New Zealand, the former a delayed parity country and the latter an early parity country. In 2015 Belgium, Denmark, Hungary, Norway and Turkey also </w:t>
      </w:r>
      <w:r w:rsidDel="00000000" w:rsidR="00000000" w:rsidRPr="00000000">
        <w:rPr>
          <w:rFonts w:ascii="Times New Roman" w:cs="Times New Roman" w:eastAsia="Times New Roman" w:hAnsi="Times New Roman"/>
          <w:sz w:val="24"/>
          <w:szCs w:val="24"/>
          <w:rtl w:val="0"/>
        </w:rPr>
        <w:t xml:space="preserve">showed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pay gap less than 10%. At the other end of the scale, in 2000 there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8 countries with a pay gap greater than 20% Finland, UK and USA (EPCs) and Austria, Israel, Japan, Rep of Korea, Switzerland (DPCs). In 2015 only Chile, Rep. of Korea, Japan and Israel (DPCs)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pay gap greater than 20%. It should be noted that wage parity has not been achieved in any country. As Babbitt-Zehrer (2007:14) has argued, sex segregation by field of study helps explain the persistence of the gender pay gap in developed countries, accounting for 14 percent of the differential. </w:t>
      </w:r>
    </w:p>
    <w:p w:rsidR="00000000" w:rsidDel="00000000" w:rsidP="00000000" w:rsidRDefault="00000000" w:rsidRPr="00000000" w14:paraId="0000020D">
      <w:pPr>
        <w:pStyle w:val="Heading2"/>
        <w:rPr>
          <w:i w:val="1"/>
        </w:rPr>
      </w:pPr>
      <w:r w:rsidDel="00000000" w:rsidR="00000000" w:rsidRPr="00000000">
        <w:rPr>
          <w:i w:val="1"/>
          <w:color w:val="000000"/>
          <w:rtl w:val="0"/>
        </w:rPr>
        <w:t xml:space="preserve">Trends in Gender Role attitudes and GPI</w:t>
      </w:r>
      <w:r w:rsidDel="00000000" w:rsidR="00000000" w:rsidRPr="00000000">
        <w:rPr>
          <w:rtl w:val="0"/>
        </w:rPr>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Our findings of increasing female participation in both higher education and the labour force re-echo those of David (2016: 22).  These changes in behaviour are associated with changes in gender role attitudes, another dimension of the social and cultural environment (O’Sullivan, 2012). Attitudes have the potential to influence men and women’s behaviour as part of a context in which gender roles are produced and reproduced (Sundström 1999; Crompton and Harris, 1997; Knudsen and Waerness, 2001), including in this case HE subject choices. As Scott el al (1996: 4) have argued, ‘attitudes are important indicators of people’s latent tendencies to respond to the opportunities and constraints that are posed by the structural conditions of life’.   </w:t>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Drawing on an analysis of the same five questions asked at three points in time in three different cross-national surveys International Social Survey Programme (ISSP), European Values Survey (EVS) and World Values Survey (WVS), we now explore how variations in participation in HE in these 27 OECD countries are linked to differences in attitudes to women’s participation in the paid workforce (1, 2, 3) and its perceived consequences for mothers (4, 5), both key in relation to the maintenance of the gendered division of labour. </w:t>
      </w:r>
    </w:p>
    <w:p w:rsidR="00000000" w:rsidDel="00000000" w:rsidP="00000000" w:rsidRDefault="00000000" w:rsidRPr="00000000" w14:paraId="00000210">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spacing w:after="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12">
      <w:pPr>
        <w:spacing w:after="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Table 6: Agreement levels for Gender Role Attitudes Questions in Early Parity (EPC) and Delayed Parity Countries (DPC)</w:t>
      </w:r>
    </w:p>
    <w:tbl>
      <w:tblPr>
        <w:tblStyle w:val="Table7"/>
        <w:tblW w:w="919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75"/>
        <w:gridCol w:w="869"/>
        <w:gridCol w:w="869"/>
        <w:gridCol w:w="870"/>
        <w:gridCol w:w="869"/>
        <w:gridCol w:w="869"/>
        <w:gridCol w:w="870"/>
        <w:tblGridChange w:id="0">
          <w:tblGrid>
            <w:gridCol w:w="3975"/>
            <w:gridCol w:w="869"/>
            <w:gridCol w:w="869"/>
            <w:gridCol w:w="870"/>
            <w:gridCol w:w="869"/>
            <w:gridCol w:w="869"/>
            <w:gridCol w:w="870"/>
          </w:tblGrid>
        </w:tblGridChange>
      </w:tblGrid>
      <w:tr>
        <w:trPr>
          <w:trHeight w:val="300" w:hRule="atLeast"/>
        </w:trPr>
        <w:tc>
          <w:tcPr/>
          <w:p w:rsidR="00000000" w:rsidDel="00000000" w:rsidP="00000000" w:rsidRDefault="00000000" w:rsidRPr="00000000" w14:paraId="00000213">
            <w:pPr>
              <w:spacing w:after="0" w:line="480" w:lineRule="auto"/>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214">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1990</w:t>
            </w:r>
          </w:p>
        </w:tc>
        <w:tc>
          <w:tcPr>
            <w:gridSpan w:val="2"/>
          </w:tcPr>
          <w:p w:rsidR="00000000" w:rsidDel="00000000" w:rsidP="00000000" w:rsidRDefault="00000000" w:rsidRPr="00000000" w14:paraId="00000216">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w:t>
            </w:r>
          </w:p>
          <w:p w:rsidR="00000000" w:rsidDel="00000000" w:rsidP="00000000" w:rsidRDefault="00000000" w:rsidRPr="00000000" w14:paraId="00000217">
            <w:pPr>
              <w:spacing w:after="0" w:line="480" w:lineRule="auto"/>
              <w:rPr>
                <w:rFonts w:ascii="Times New Roman" w:cs="Times New Roman" w:eastAsia="Times New Roman" w:hAnsi="Times New Roman"/>
                <w:sz w:val="24"/>
                <w:szCs w:val="24"/>
              </w:rPr>
            </w:pPr>
            <w:r w:rsidDel="00000000" w:rsidR="00000000" w:rsidRPr="00000000">
              <w:rPr>
                <w:rtl w:val="0"/>
              </w:rPr>
            </w:r>
          </w:p>
        </w:tc>
        <w:tc>
          <w:tcPr>
            <w:gridSpan w:val="2"/>
          </w:tcPr>
          <w:p w:rsidR="00000000" w:rsidDel="00000000" w:rsidP="00000000" w:rsidRDefault="00000000" w:rsidRPr="00000000" w14:paraId="00000219">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w:t>
            </w:r>
          </w:p>
          <w:p w:rsidR="00000000" w:rsidDel="00000000" w:rsidP="00000000" w:rsidRDefault="00000000" w:rsidRPr="00000000" w14:paraId="0000021A">
            <w:pPr>
              <w:spacing w:after="0" w:line="48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p w:rsidR="00000000" w:rsidDel="00000000" w:rsidP="00000000" w:rsidRDefault="00000000" w:rsidRPr="00000000" w14:paraId="0000021C">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1D">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p w:rsidR="00000000" w:rsidDel="00000000" w:rsidP="00000000" w:rsidRDefault="00000000" w:rsidRPr="00000000" w14:paraId="0000021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p w:rsidR="00000000" w:rsidDel="00000000" w:rsidP="00000000" w:rsidRDefault="00000000" w:rsidRPr="00000000" w14:paraId="0000021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p w:rsidR="00000000" w:rsidDel="00000000" w:rsidP="00000000" w:rsidRDefault="00000000" w:rsidRPr="00000000" w14:paraId="0000022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c>
          <w:tcPr/>
          <w:p w:rsidR="00000000" w:rsidDel="00000000" w:rsidP="00000000" w:rsidRDefault="00000000" w:rsidRPr="00000000" w14:paraId="00000221">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EPC</w:t>
            </w:r>
          </w:p>
        </w:tc>
        <w:tc>
          <w:tcPr/>
          <w:p w:rsidR="00000000" w:rsidDel="00000000" w:rsidP="00000000" w:rsidRDefault="00000000" w:rsidRPr="00000000" w14:paraId="0000022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DPC</w:t>
            </w:r>
          </w:p>
        </w:tc>
      </w:tr>
      <w:tr>
        <w:trPr>
          <w:trHeight w:val="300" w:hRule="atLeast"/>
        </w:trPr>
        <w:tc>
          <w:tcPr/>
          <w:p w:rsidR="00000000" w:rsidDel="00000000" w:rsidP="00000000" w:rsidRDefault="00000000" w:rsidRPr="00000000" w14:paraId="0000022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 job is alright but what most women really want is a home and children</w:t>
            </w:r>
          </w:p>
        </w:tc>
        <w:tc>
          <w:tcPr/>
          <w:p w:rsidR="00000000" w:rsidDel="00000000" w:rsidP="00000000" w:rsidRDefault="00000000" w:rsidRPr="00000000" w14:paraId="0000022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56.29</w:t>
            </w:r>
          </w:p>
          <w:p w:rsidR="00000000" w:rsidDel="00000000" w:rsidP="00000000" w:rsidRDefault="00000000" w:rsidRPr="00000000" w14:paraId="00000225">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26">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63.49</w:t>
            </w:r>
          </w:p>
          <w:p w:rsidR="00000000" w:rsidDel="00000000" w:rsidP="00000000" w:rsidRDefault="00000000" w:rsidRPr="00000000" w14:paraId="00000227">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2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51.94</w:t>
            </w:r>
          </w:p>
          <w:p w:rsidR="00000000" w:rsidDel="00000000" w:rsidP="00000000" w:rsidRDefault="00000000" w:rsidRPr="00000000" w14:paraId="0000022A">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2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53.93</w:t>
            </w:r>
          </w:p>
          <w:p w:rsidR="00000000" w:rsidDel="00000000" w:rsidP="00000000" w:rsidRDefault="00000000" w:rsidRPr="00000000" w14:paraId="0000022C">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2D">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41.08</w:t>
            </w:r>
          </w:p>
          <w:p w:rsidR="00000000" w:rsidDel="00000000" w:rsidP="00000000" w:rsidRDefault="00000000" w:rsidRPr="00000000" w14:paraId="0000022E">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2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52.71</w:t>
            </w:r>
          </w:p>
          <w:p w:rsidR="00000000" w:rsidDel="00000000" w:rsidP="00000000" w:rsidRDefault="00000000" w:rsidRPr="00000000" w14:paraId="00000230">
            <w:pPr>
              <w:spacing w:after="0" w:line="48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p w:rsidR="00000000" w:rsidDel="00000000" w:rsidP="00000000" w:rsidRDefault="00000000" w:rsidRPr="00000000" w14:paraId="00000231">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Being a housewife is just as fulfilling as working for pay</w:t>
            </w:r>
          </w:p>
        </w:tc>
        <w:tc>
          <w:tcPr/>
          <w:p w:rsidR="00000000" w:rsidDel="00000000" w:rsidP="00000000" w:rsidRDefault="00000000" w:rsidRPr="00000000" w14:paraId="0000023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61.64</w:t>
            </w:r>
          </w:p>
          <w:p w:rsidR="00000000" w:rsidDel="00000000" w:rsidP="00000000" w:rsidRDefault="00000000" w:rsidRPr="00000000" w14:paraId="00000233">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65.59</w:t>
            </w:r>
          </w:p>
          <w:p w:rsidR="00000000" w:rsidDel="00000000" w:rsidP="00000000" w:rsidRDefault="00000000" w:rsidRPr="00000000" w14:paraId="00000235">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6">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56.68</w:t>
            </w:r>
          </w:p>
          <w:p w:rsidR="00000000" w:rsidDel="00000000" w:rsidP="00000000" w:rsidRDefault="00000000" w:rsidRPr="00000000" w14:paraId="00000237">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59.91</w:t>
            </w:r>
          </w:p>
          <w:p w:rsidR="00000000" w:rsidDel="00000000" w:rsidP="00000000" w:rsidRDefault="00000000" w:rsidRPr="00000000" w14:paraId="00000239">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52.94</w:t>
            </w:r>
          </w:p>
          <w:p w:rsidR="00000000" w:rsidDel="00000000" w:rsidP="00000000" w:rsidRDefault="00000000" w:rsidRPr="00000000" w14:paraId="0000023B">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3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59.06</w:t>
            </w:r>
          </w:p>
          <w:p w:rsidR="00000000" w:rsidDel="00000000" w:rsidP="00000000" w:rsidRDefault="00000000" w:rsidRPr="00000000" w14:paraId="0000023D">
            <w:pPr>
              <w:spacing w:after="0" w:line="48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p w:rsidR="00000000" w:rsidDel="00000000" w:rsidP="00000000" w:rsidRDefault="00000000" w:rsidRPr="00000000" w14:paraId="0000023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3.Both husband and wife should contribute to household income</w:t>
            </w:r>
          </w:p>
        </w:tc>
        <w:tc>
          <w:tcPr/>
          <w:p w:rsidR="00000000" w:rsidDel="00000000" w:rsidP="00000000" w:rsidRDefault="00000000" w:rsidRPr="00000000" w14:paraId="0000023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76.14</w:t>
            </w:r>
          </w:p>
        </w:tc>
        <w:tc>
          <w:tcPr/>
          <w:p w:rsidR="00000000" w:rsidDel="00000000" w:rsidP="00000000" w:rsidRDefault="00000000" w:rsidRPr="00000000" w14:paraId="0000024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71.11</w:t>
            </w:r>
          </w:p>
          <w:p w:rsidR="00000000" w:rsidDel="00000000" w:rsidP="00000000" w:rsidRDefault="00000000" w:rsidRPr="00000000" w14:paraId="00000241">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4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84.93</w:t>
            </w:r>
          </w:p>
        </w:tc>
        <w:tc>
          <w:tcPr/>
          <w:p w:rsidR="00000000" w:rsidDel="00000000" w:rsidP="00000000" w:rsidRDefault="00000000" w:rsidRPr="00000000" w14:paraId="0000024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82.76</w:t>
            </w:r>
          </w:p>
          <w:p w:rsidR="00000000" w:rsidDel="00000000" w:rsidP="00000000" w:rsidRDefault="00000000" w:rsidRPr="00000000" w14:paraId="00000244">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4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91.84</w:t>
            </w:r>
          </w:p>
        </w:tc>
        <w:tc>
          <w:tcPr/>
          <w:p w:rsidR="00000000" w:rsidDel="00000000" w:rsidP="00000000" w:rsidRDefault="00000000" w:rsidRPr="00000000" w14:paraId="00000246">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86.15</w:t>
            </w:r>
          </w:p>
          <w:p w:rsidR="00000000" w:rsidDel="00000000" w:rsidP="00000000" w:rsidRDefault="00000000" w:rsidRPr="00000000" w14:paraId="00000247">
            <w:pPr>
              <w:spacing w:after="0" w:line="48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p w:rsidR="00000000" w:rsidDel="00000000" w:rsidP="00000000" w:rsidRDefault="00000000" w:rsidRPr="00000000" w14:paraId="0000024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A working mother can establish just as warm and secure relationship with her children as a mother who does not work</w:t>
            </w:r>
          </w:p>
        </w:tc>
        <w:tc>
          <w:tcPr/>
          <w:p w:rsidR="00000000" w:rsidDel="00000000" w:rsidP="00000000" w:rsidRDefault="00000000" w:rsidRPr="00000000" w14:paraId="0000024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70.35</w:t>
            </w:r>
          </w:p>
          <w:p w:rsidR="00000000" w:rsidDel="00000000" w:rsidP="00000000" w:rsidRDefault="00000000" w:rsidRPr="00000000" w14:paraId="0000024A">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4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65.90</w:t>
            </w:r>
          </w:p>
        </w:tc>
        <w:tc>
          <w:tcPr/>
          <w:p w:rsidR="00000000" w:rsidDel="00000000" w:rsidP="00000000" w:rsidRDefault="00000000" w:rsidRPr="00000000" w14:paraId="0000024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74.18</w:t>
            </w:r>
          </w:p>
          <w:p w:rsidR="00000000" w:rsidDel="00000000" w:rsidP="00000000" w:rsidRDefault="00000000" w:rsidRPr="00000000" w14:paraId="0000024D">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4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72.13</w:t>
            </w:r>
          </w:p>
          <w:p w:rsidR="00000000" w:rsidDel="00000000" w:rsidP="00000000" w:rsidRDefault="00000000" w:rsidRPr="00000000" w14:paraId="0000024F">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5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82.72</w:t>
            </w:r>
          </w:p>
          <w:p w:rsidR="00000000" w:rsidDel="00000000" w:rsidP="00000000" w:rsidRDefault="00000000" w:rsidRPr="00000000" w14:paraId="00000251">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5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72.75</w:t>
            </w:r>
          </w:p>
          <w:p w:rsidR="00000000" w:rsidDel="00000000" w:rsidP="00000000" w:rsidRDefault="00000000" w:rsidRPr="00000000" w14:paraId="00000253">
            <w:pPr>
              <w:spacing w:after="0" w:line="480" w:lineRule="auto"/>
              <w:rPr>
                <w:rFonts w:ascii="Times New Roman" w:cs="Times New Roman" w:eastAsia="Times New Roman" w:hAnsi="Times New Roman"/>
                <w:sz w:val="24"/>
                <w:szCs w:val="24"/>
              </w:rPr>
            </w:pPr>
            <w:r w:rsidDel="00000000" w:rsidR="00000000" w:rsidRPr="00000000">
              <w:rPr>
                <w:rtl w:val="0"/>
              </w:rPr>
            </w:r>
          </w:p>
        </w:tc>
      </w:tr>
      <w:tr>
        <w:trPr>
          <w:trHeight w:val="300" w:hRule="atLeast"/>
        </w:trPr>
        <w:tc>
          <w:tcPr/>
          <w:p w:rsidR="00000000" w:rsidDel="00000000" w:rsidP="00000000" w:rsidRDefault="00000000" w:rsidRPr="00000000" w14:paraId="0000025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A pre-school child is likely to suffer if his or her mother works</w:t>
            </w:r>
          </w:p>
        </w:tc>
        <w:tc>
          <w:tcPr/>
          <w:p w:rsidR="00000000" w:rsidDel="00000000" w:rsidP="00000000" w:rsidRDefault="00000000" w:rsidRPr="00000000" w14:paraId="0000025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61.1</w:t>
            </w:r>
          </w:p>
          <w:p w:rsidR="00000000" w:rsidDel="00000000" w:rsidP="00000000" w:rsidRDefault="00000000" w:rsidRPr="00000000" w14:paraId="00000256">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5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67.75</w:t>
            </w:r>
          </w:p>
        </w:tc>
        <w:tc>
          <w:tcPr/>
          <w:p w:rsidR="00000000" w:rsidDel="00000000" w:rsidP="00000000" w:rsidRDefault="00000000" w:rsidRPr="00000000" w14:paraId="0000025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51.58</w:t>
            </w:r>
          </w:p>
          <w:p w:rsidR="00000000" w:rsidDel="00000000" w:rsidP="00000000" w:rsidRDefault="00000000" w:rsidRPr="00000000" w14:paraId="00000259">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5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61.97</w:t>
            </w:r>
          </w:p>
        </w:tc>
        <w:tc>
          <w:tcPr/>
          <w:p w:rsidR="00000000" w:rsidDel="00000000" w:rsidP="00000000" w:rsidRDefault="00000000" w:rsidRPr="00000000" w14:paraId="0000025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39.74</w:t>
            </w:r>
          </w:p>
          <w:p w:rsidR="00000000" w:rsidDel="00000000" w:rsidP="00000000" w:rsidRDefault="00000000" w:rsidRPr="00000000" w14:paraId="0000025C">
            <w:pPr>
              <w:spacing w:after="0" w:line="48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25D">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56.34</w:t>
            </w:r>
          </w:p>
        </w:tc>
      </w:tr>
      <w:tr>
        <w:trPr>
          <w:trHeight w:val="300" w:hRule="atLeast"/>
        </w:trPr>
        <w:tc>
          <w:tcPr/>
          <w:p w:rsidR="00000000" w:rsidDel="00000000" w:rsidP="00000000" w:rsidRDefault="00000000" w:rsidRPr="00000000" w14:paraId="0000025E">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Number of respondents</w:t>
            </w:r>
          </w:p>
        </w:tc>
        <w:tc>
          <w:tcPr/>
          <w:p w:rsidR="00000000" w:rsidDel="00000000" w:rsidP="00000000" w:rsidRDefault="00000000" w:rsidRPr="00000000" w14:paraId="0000025F">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12525</w:t>
            </w:r>
          </w:p>
        </w:tc>
        <w:tc>
          <w:tcPr/>
          <w:p w:rsidR="00000000" w:rsidDel="00000000" w:rsidP="00000000" w:rsidRDefault="00000000" w:rsidRPr="00000000" w14:paraId="00000260">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15053</w:t>
            </w:r>
          </w:p>
        </w:tc>
        <w:tc>
          <w:tcPr/>
          <w:p w:rsidR="00000000" w:rsidDel="00000000" w:rsidP="00000000" w:rsidRDefault="00000000" w:rsidRPr="00000000" w14:paraId="00000261">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15320</w:t>
            </w:r>
          </w:p>
        </w:tc>
        <w:tc>
          <w:tcPr/>
          <w:p w:rsidR="00000000" w:rsidDel="00000000" w:rsidP="00000000" w:rsidRDefault="00000000" w:rsidRPr="00000000" w14:paraId="0000026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15139</w:t>
            </w:r>
          </w:p>
        </w:tc>
        <w:tc>
          <w:tcPr/>
          <w:p w:rsidR="00000000" w:rsidDel="00000000" w:rsidP="00000000" w:rsidRDefault="00000000" w:rsidRPr="00000000" w14:paraId="0000026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14994</w:t>
            </w:r>
          </w:p>
        </w:tc>
        <w:tc>
          <w:tcPr/>
          <w:p w:rsidR="00000000" w:rsidDel="00000000" w:rsidP="00000000" w:rsidRDefault="00000000" w:rsidRPr="00000000" w14:paraId="0000026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17716</w:t>
            </w:r>
          </w:p>
        </w:tc>
      </w:tr>
      <w:tr>
        <w:trPr>
          <w:trHeight w:val="300" w:hRule="atLeast"/>
        </w:trPr>
        <w:tc>
          <w:tcPr/>
          <w:p w:rsidR="00000000" w:rsidDel="00000000" w:rsidP="00000000" w:rsidRDefault="00000000" w:rsidRPr="00000000" w14:paraId="00000265">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Composite Score</w:t>
            </w:r>
          </w:p>
        </w:tc>
        <w:tc>
          <w:tcPr/>
          <w:p w:rsidR="00000000" w:rsidDel="00000000" w:rsidP="00000000" w:rsidRDefault="00000000" w:rsidRPr="00000000" w14:paraId="00000266">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0.137</w:t>
            </w:r>
          </w:p>
        </w:tc>
        <w:tc>
          <w:tcPr/>
          <w:p w:rsidR="00000000" w:rsidDel="00000000" w:rsidP="00000000" w:rsidRDefault="00000000" w:rsidRPr="00000000" w14:paraId="00000267">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-0.45</w:t>
            </w:r>
          </w:p>
        </w:tc>
        <w:tc>
          <w:tcPr/>
          <w:p w:rsidR="00000000" w:rsidDel="00000000" w:rsidP="00000000" w:rsidRDefault="00000000" w:rsidRPr="00000000" w14:paraId="00000268">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0.02</w:t>
            </w:r>
          </w:p>
        </w:tc>
        <w:tc>
          <w:tcPr/>
          <w:p w:rsidR="00000000" w:rsidDel="00000000" w:rsidP="00000000" w:rsidRDefault="00000000" w:rsidRPr="00000000" w14:paraId="00000269">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-0.41</w:t>
            </w:r>
          </w:p>
        </w:tc>
        <w:tc>
          <w:tcPr/>
          <w:p w:rsidR="00000000" w:rsidDel="00000000" w:rsidP="00000000" w:rsidRDefault="00000000" w:rsidRPr="00000000" w14:paraId="0000026A">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0.94</w:t>
            </w:r>
          </w:p>
        </w:tc>
        <w:tc>
          <w:tcPr/>
          <w:p w:rsidR="00000000" w:rsidDel="00000000" w:rsidP="00000000" w:rsidRDefault="00000000" w:rsidRPr="00000000" w14:paraId="0000026B">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-0.22</w:t>
            </w:r>
          </w:p>
        </w:tc>
      </w:tr>
      <w:tr>
        <w:trPr>
          <w:trHeight w:val="300" w:hRule="atLeast"/>
        </w:trPr>
        <w:tc>
          <w:tcPr/>
          <w:p w:rsidR="00000000" w:rsidDel="00000000" w:rsidP="00000000" w:rsidRDefault="00000000" w:rsidRPr="00000000" w14:paraId="0000026C">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Correlation with GPI</w:t>
            </w:r>
          </w:p>
        </w:tc>
        <w:tc>
          <w:tcPr>
            <w:gridSpan w:val="2"/>
          </w:tcPr>
          <w:p w:rsidR="00000000" w:rsidDel="00000000" w:rsidP="00000000" w:rsidRDefault="00000000" w:rsidRPr="00000000" w14:paraId="0000026D">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.295</w:t>
            </w:r>
          </w:p>
        </w:tc>
        <w:tc>
          <w:tcPr>
            <w:gridSpan w:val="2"/>
          </w:tcPr>
          <w:p w:rsidR="00000000" w:rsidDel="00000000" w:rsidP="00000000" w:rsidRDefault="00000000" w:rsidRPr="00000000" w14:paraId="0000026F">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.482*</w:t>
            </w:r>
          </w:p>
        </w:tc>
        <w:tc>
          <w:tcPr>
            <w:gridSpan w:val="2"/>
          </w:tcPr>
          <w:p w:rsidR="00000000" w:rsidDel="00000000" w:rsidP="00000000" w:rsidRDefault="00000000" w:rsidRPr="00000000" w14:paraId="00000271">
            <w:pPr>
              <w:spacing w:after="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620**</w:t>
            </w:r>
          </w:p>
        </w:tc>
      </w:tr>
    </w:tbl>
    <w:p w:rsidR="00000000" w:rsidDel="00000000" w:rsidP="00000000" w:rsidRDefault="00000000" w:rsidRPr="00000000" w14:paraId="00000273">
      <w:pPr>
        <w:spacing w:after="16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Calculations using data from EVS, WVS and ISPP (1989-2014). </w:t>
      </w:r>
    </w:p>
    <w:p w:rsidR="00000000" w:rsidDel="00000000" w:rsidP="00000000" w:rsidRDefault="00000000" w:rsidRPr="00000000" w14:paraId="00000274">
      <w:pPr>
        <w:spacing w:after="160" w:line="240" w:lineRule="auto"/>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 Correlation is significant at the 0.05 level (2-tailed); ** Correlation is significant at the 0.01 level (2-tailed).</w:t>
      </w:r>
    </w:p>
    <w:p w:rsidR="00000000" w:rsidDel="00000000" w:rsidP="00000000" w:rsidRDefault="00000000" w:rsidRPr="00000000" w14:paraId="00000275">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spacing w:after="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spacing w:after="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Overall as Table 6 shows, across both parity groups attitudes to gender roles changed over time, moving away from essentialist views about the gendered division of labour that locate women and their work in the private sphere. The question that captures essentialist views best is the first one. Traditional views of the gendered division of labour are evident here, with a majority agreeing with this statement in 1990 and 2000 across both groups of countries and in delayed parity countries in 2012. </w:t>
      </w:r>
    </w:p>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high level of support for the role of homemaker is evident in both early and late parity groups, with a preponderance agreeing with the statement that “being a housewife is just as fulfilling as working for pay” albeit that overall support for the homemaker role decline</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between 1900 and 2000 and again between 2000 and 2012 for EPC countries. The high value placed on motherhood may appear anomalous in a period where most women are participating in the workforce rather than taking up the housewife role (see Table 5 above). However, as Williams (2018) has argued, whereas gender equality is seen by elites as a way of achieving self-development, for those in less fulfilling occupations traditional institutions, including the family, remain highly valued.</w:t>
      </w:r>
    </w:p>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 for the third statement are interesting in terms of what is suggested about married women’s role. Overall there is strong agreement with this statement indicating support for a dual income family. However, it should be noted that the use of the term income is a little ambiguous; it could be interpreted to include income from sources other than paid work outside of the home such as social welfare allowances.</w:t>
      </w:r>
    </w:p>
    <w:p w:rsidR="00000000" w:rsidDel="00000000" w:rsidP="00000000" w:rsidRDefault="00000000" w:rsidRPr="00000000" w14:paraId="0000027C">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increase in women's labour force participation has led to much speculation about the consequences of this recent social change.  Overall the attitudinal trends reported reflect an increase in positive attitudes towards female labour force participation over time, with most respondents believing that working mothers could establish relationships with their children that were equal to those of mothers working in the home. However, in 2012 a substantial minority of respondents, 17% in early parity countries and 27% in delayed parity countries, remained negative about the ability of working mothers to maintain good relationships with their children. Respon</w:t>
      </w:r>
      <w:r w:rsidDel="00000000" w:rsidR="00000000" w:rsidRPr="00000000">
        <w:rPr>
          <w:rFonts w:ascii="Times New Roman" w:cs="Times New Roman" w:eastAsia="Times New Roman" w:hAnsi="Times New Roman"/>
          <w:sz w:val="24"/>
          <w:szCs w:val="24"/>
          <w:rtl w:val="0"/>
        </w:rPr>
        <w:t xml:space="preserve">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reflect on-going concern about women with pre-school children participating in the workforce, with a majority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believing this is likely to cause suffering for the child. What Whelan and Fahey (1994) term ‘indirect resistance’ to maternal employment has decreased over time but remains for a significant proportion of respondents in both early and delayed parity countries.</w:t>
      </w:r>
    </w:p>
    <w:p w:rsidR="00000000" w:rsidDel="00000000" w:rsidP="00000000" w:rsidRDefault="00000000" w:rsidRPr="00000000" w14:paraId="0000027D">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summarise these trends, we calculated a composite measure re-coding all the questions so that higher scores indicated more liberal gender role attitudes. As EVS, WVS and ISSP use different Likert scales, raw scores were also transformed to standardized scores (z-scores). In 1990 eight of the thirteen early parity countries had mean scores indicative of liberal gender role attitudes. Poland, Hungary, New Zealand and Australia are exceptions (see Treas and Widmer 2000). Ten of the fourteen delayed parity countries displayed negative mean scores indicative of traditional gender role attitudes; UK and Israel all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positive mean scores. There was no data for Sweden, Switzerland or Turkey.</w:t>
      </w:r>
    </w:p>
    <w:p w:rsidR="00000000" w:rsidDel="00000000" w:rsidP="00000000" w:rsidRDefault="00000000" w:rsidRPr="00000000" w14:paraId="0000027E">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2002 and 2012 the highest mean scores </w:t>
      </w:r>
      <w:r w:rsidDel="00000000" w:rsidR="00000000" w:rsidRPr="00000000">
        <w:rPr>
          <w:rFonts w:ascii="Times New Roman" w:cs="Times New Roman" w:eastAsia="Times New Roman" w:hAnsi="Times New Roman"/>
          <w:sz w:val="24"/>
          <w:szCs w:val="24"/>
          <w:rtl w:val="0"/>
        </w:rPr>
        <w:t xml:space="preserve">were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Denmark, Sweden, Norway, France and Iceland, all early parity countries, and in 2012 Spain and Finland also ha</w:t>
      </w:r>
      <w:r w:rsidDel="00000000" w:rsidR="00000000" w:rsidRPr="00000000">
        <w:rPr>
          <w:rFonts w:ascii="Times New Roman" w:cs="Times New Roman" w:eastAsia="Times New Roman" w:hAnsi="Times New Roman"/>
          <w:sz w:val="24"/>
          <w:szCs w:val="24"/>
          <w:rtl w:val="0"/>
        </w:rPr>
        <w:t xml:space="preserv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high scores. In 2012 attitudes in the delayed parity countries </w:t>
      </w:r>
      <w:r w:rsidDel="00000000" w:rsidR="00000000" w:rsidRPr="00000000">
        <w:rPr>
          <w:rFonts w:ascii="Times New Roman" w:cs="Times New Roman" w:eastAsia="Times New Roman" w:hAnsi="Times New Roman"/>
          <w:sz w:val="24"/>
          <w:szCs w:val="24"/>
          <w:rtl w:val="0"/>
        </w:rPr>
        <w:t xml:space="preserve">remained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negative in Turkey, Republic of Korea, Switzerland, Chile, Mexico and Japan, but the other 8 countries in this group reported positive attitudes. The correlation between the GPI score and the mean score for gender role attitudes was statistically significant in 2000 and 2012 but was weaker in 1990.</w:t>
      </w:r>
    </w:p>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Previous research has shown that attitudes to women’s employment vary both historically and cross-nationally (Scott et al 1996; Crompton and Harris 1997; O’Sullivan 2012). The data presented here also shows an alignment between attitudes towards gender roles and the parity groupings, with early parity countries having less traditional attitudes and delayed parity more traditional, a finding that is consistent across the time periods. </w:t>
      </w:r>
    </w:p>
    <w:p w:rsidR="00000000" w:rsidDel="00000000" w:rsidP="00000000" w:rsidRDefault="00000000" w:rsidRPr="00000000" w14:paraId="00000280">
      <w:pP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81">
      <w:pPr>
        <w:pStyle w:val="Heading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Along with massification, changes in gender parity in higher education over the past forty-five years constitute a major transformation. In OECD countries the pattern is a transition from male majority to a female majority with differences evident in the timing and trajectories of change. More recently there has been some reduction in the size of the female majority in more than half of OECD member countries. We have found that while structural characteristics are not good predictors of country differentials in gender parity, subjective dispositions offer a more promising explanation. </w:t>
      </w:r>
    </w:p>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While we have documented a decline in levels of sex segregation between 1971 and 2000 our findings of little change over the most recent period mirrors the findings of other researchers who testify to the persistence of sex segregation (Bradley, 2000; Bradley &amp; Charles, 2009; Mullen &amp; Baker, 2015). The research literature which supports this counter intuitive finding also testifies to some unexpected correlates of increasing sex segregation (Moorhouse, 2017). Charles &amp; Bradley (2002) found that growth, both in the size of higher education systems and in female participation rates, increases levels of sex segregation. They also report that increases in the diversification of higher education programmes in advanced industrial economies are associated with increasing sex segregation (Bradley and Charles, 2009) Our findings of higher levels of sex segregation among high participation countries, confirm that expansion may provide increased gender parity but not necessarily increased gender equality.  Both men and women make conscious decisions to opt for disciplines which fit with their essentialist understandings ot masculine and feminine roles, interests, abilities, behaviours and identities. Such decisions prioritise self expression, or what Bradley and Charles (2009) term ‘indulging’ the gendered self, rather than a calculated evaluation of the instrumental rewards from future occupations. </w:t>
      </w:r>
    </w:p>
    <w:p w:rsidR="00000000" w:rsidDel="00000000" w:rsidP="00000000" w:rsidRDefault="00000000" w:rsidRPr="00000000" w14:paraId="00000284">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important contribution of the paper is an attempt to specify how overall changes in gender parity are achieved. The minor reductions in sex segregation achieved in Engineering, Natural Sciences, Social Sciences, Humanities and Agriculture are off-set by further increases in sex segregation in Services, Health &amp; Welfare, and Education. Our analysis has sought to explicate the complex interaction between discipline specific levels of sex segregation and overall levels of gender parity. In 1971 early parity countries had somewhat lower levels of sex segregation while by 2015 delayed parity countries had reversed this advantage. This reversal is accounted for by continuing increases in levels of female enrolments in early parity countries in the female-dominated disciplines of Education, Humanities, Social Sciences and Health &amp; Welfare. These findings question the widely held expectations that advanced contemporary societies, including those which embrace egalitarian norms, are experiencing an across-the-board de-gendering of educational institutions. </w:t>
      </w:r>
    </w:p>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evidence presented here shows that, although there have been major changes in gender role attitudes, many continue to hold beliefs that would support essentialist gender ideologies. These data also point to the strength of traditional gender norms in relation to the gendered division of labour across both early and delayed parity countries. Although this overall attitudinal trend has been interpreted as reflecting increasing liberalisation and egalitarianism, both essentialist attitudes and resistance to maternal employment remain evident. This is the context in which the persistent sex segregation patterns detailed in this paper can be understood. Bradley &amp; Charles’ (2009) exploration of this phenomenon is apposite when they recommend that we should not underestimate ’the enduring cultural force of gender-essentialist ideology in shaping individual life experiences, dispositions, and identities and in labelling academic fields as intrinsically masculine or feminine’. This labelling can be linked to the persistence of traditional gender role attitudes in both early and delayed parity countries.  To return to trends in GPI, this points to time lag between behaviour and attitudes. In this context female students’ persistence in choosing gender segregated fields is a way of them continuing to adhere to gendered norms around what is an appropriate field for women and helps explain the paradox of female success in reversing vertical inequalities and the persistence of horizontal inequalities.</w:t>
      </w:r>
    </w:p>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widely acknowledged that there have been significant changes in the gender order over the past 40 years (Connell, 2002). Increasing female participation in HE is one such change.  However,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sex segregation remains a key feature of the system and rewards are gendered with female graduates earning less than their male counterparts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We argue that sex segregation is a key mechanism in the reproduction of the gendered division of labour. To borrow Hochschild’s term, a second ‘stalled revolution’ is evident here (Hochschild and Machung, 2012); although women in OECD countries are more likely to progress to higher education, this has not triggered a transformation in what they study. Neither has it led to equivalent gains for women in earnings (World Economic Forum, 2016). This suggests that women’s participation rate may be higher as returns on education for women are poorer than for men, linked to both fields of study and a labour market that remains highly gendered, with inequalities evident in female labour force participation and pay.</w:t>
      </w:r>
    </w:p>
    <w:p w:rsidR="00000000" w:rsidDel="00000000" w:rsidP="00000000" w:rsidRDefault="00000000" w:rsidRPr="00000000" w14:paraId="00000287">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Data Availability Statement</w:t>
      </w:r>
    </w:p>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data that support the findings of this study were derived from the following resources available in the public domain: </w:t>
      </w:r>
    </w:p>
    <w:p w:rsidR="00000000" w:rsidDel="00000000" w:rsidP="00000000" w:rsidRDefault="00000000" w:rsidRPr="00000000" w14:paraId="0000028A">
      <w:pPr>
        <w:spacing w:after="0" w:line="480" w:lineRule="auto"/>
        <w:rPr>
          <w:rFonts w:ascii="Times New Roman" w:cs="Times New Roman" w:eastAsia="Times New Roman" w:hAnsi="Times New Roman"/>
          <w:color w:val="000000"/>
          <w:sz w:val="24"/>
          <w:szCs w:val="24"/>
        </w:rPr>
      </w:pPr>
      <w:hyperlink r:id="rId11">
        <w:r w:rsidDel="00000000" w:rsidR="00000000" w:rsidRPr="00000000">
          <w:rPr>
            <w:rFonts w:ascii="Times New Roman" w:cs="Times New Roman" w:eastAsia="Times New Roman" w:hAnsi="Times New Roman"/>
            <w:color w:val="000000"/>
            <w:sz w:val="24"/>
            <w:szCs w:val="24"/>
            <w:rtl w:val="0"/>
          </w:rPr>
          <w:t xml:space="preserve">http://data.uis.unesco.org</w:t>
        </w:r>
      </w:hyperlink>
      <w:r w:rsidDel="00000000" w:rsidR="00000000" w:rsidRPr="00000000">
        <w:rPr>
          <w:rtl w:val="0"/>
        </w:rPr>
      </w:r>
    </w:p>
    <w:p w:rsidR="00000000" w:rsidDel="00000000" w:rsidP="00000000" w:rsidRDefault="00000000" w:rsidRPr="00000000" w14:paraId="0000028B">
      <w:pPr>
        <w:spacing w:after="0"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https://data.oecd.org/</w:t>
      </w:r>
    </w:p>
    <w:p w:rsidR="00000000" w:rsidDel="00000000" w:rsidP="00000000" w:rsidRDefault="00000000" w:rsidRPr="00000000" w14:paraId="0000028C">
      <w:pPr>
        <w:spacing w:after="0" w:line="480" w:lineRule="auto"/>
        <w:rPr>
          <w:rFonts w:ascii="Times New Roman" w:cs="Times New Roman" w:eastAsia="Times New Roman" w:hAnsi="Times New Roman"/>
          <w:color w:val="000000"/>
          <w:sz w:val="24"/>
          <w:szCs w:val="24"/>
        </w:rPr>
      </w:pPr>
      <w:hyperlink r:id="rId12">
        <w:r w:rsidDel="00000000" w:rsidR="00000000" w:rsidRPr="00000000">
          <w:rPr>
            <w:rFonts w:ascii="Times New Roman" w:cs="Times New Roman" w:eastAsia="Times New Roman" w:hAnsi="Times New Roman"/>
            <w:color w:val="000000"/>
            <w:sz w:val="24"/>
            <w:szCs w:val="24"/>
            <w:rtl w:val="0"/>
          </w:rPr>
          <w:t xml:space="preserve">https://www.ilo.org/ilostat</w:t>
        </w:r>
      </w:hyperlink>
      <w:r w:rsidDel="00000000" w:rsidR="00000000" w:rsidRPr="00000000">
        <w:rPr>
          <w:rtl w:val="0"/>
        </w:rPr>
      </w:r>
    </w:p>
    <w:p w:rsidR="00000000" w:rsidDel="00000000" w:rsidP="00000000" w:rsidRDefault="00000000" w:rsidRPr="00000000" w14:paraId="0000028D">
      <w:pPr>
        <w:spacing w:after="0"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0"/>
          <w:szCs w:val="20"/>
          <w:highlight w:val="white"/>
          <w:rtl w:val="0"/>
        </w:rPr>
        <w:t xml:space="preserve">https://</w:t>
      </w:r>
      <w:r w:rsidDel="00000000" w:rsidR="00000000" w:rsidRPr="00000000">
        <w:rPr>
          <w:rFonts w:ascii="Times New Roman" w:cs="Times New Roman" w:eastAsia="Times New Roman" w:hAnsi="Times New Roman"/>
          <w:color w:val="000000"/>
          <w:sz w:val="24"/>
          <w:szCs w:val="24"/>
          <w:rtl w:val="0"/>
        </w:rPr>
        <w:t xml:space="preserve">stats.oecd.org</w:t>
      </w:r>
    </w:p>
    <w:p w:rsidR="00000000" w:rsidDel="00000000" w:rsidP="00000000" w:rsidRDefault="00000000" w:rsidRPr="00000000" w14:paraId="0000028E">
      <w:pPr>
        <w:spacing w:after="0" w:line="480" w:lineRule="auto"/>
        <w:rPr>
          <w:rFonts w:ascii="Times New Roman" w:cs="Times New Roman" w:eastAsia="Times New Roman" w:hAnsi="Times New Roman"/>
          <w:color w:val="000000"/>
          <w:sz w:val="24"/>
          <w:szCs w:val="24"/>
        </w:rPr>
      </w:pPr>
      <w:hyperlink r:id="rId13">
        <w:r w:rsidDel="00000000" w:rsidR="00000000" w:rsidRPr="00000000">
          <w:rPr>
            <w:rFonts w:ascii="Times New Roman" w:cs="Times New Roman" w:eastAsia="Times New Roman" w:hAnsi="Times New Roman"/>
            <w:color w:val="000000"/>
            <w:sz w:val="24"/>
            <w:szCs w:val="24"/>
            <w:rtl w:val="0"/>
          </w:rPr>
          <w:t xml:space="preserve">http://w.issp.org/data-download/by-topic/</w:t>
        </w:r>
      </w:hyperlink>
      <w:r w:rsidDel="00000000" w:rsidR="00000000" w:rsidRPr="00000000">
        <w:rPr>
          <w:rtl w:val="0"/>
        </w:rPr>
      </w:r>
    </w:p>
    <w:p w:rsidR="00000000" w:rsidDel="00000000" w:rsidP="00000000" w:rsidRDefault="00000000" w:rsidRPr="00000000" w14:paraId="0000028F">
      <w:pPr>
        <w:spacing w:after="0" w:line="480" w:lineRule="auto"/>
        <w:rPr>
          <w:rFonts w:ascii="Times New Roman" w:cs="Times New Roman" w:eastAsia="Times New Roman" w:hAnsi="Times New Roman"/>
          <w:color w:val="000000"/>
          <w:sz w:val="24"/>
          <w:szCs w:val="24"/>
        </w:rPr>
      </w:pPr>
      <w:hyperlink r:id="rId14">
        <w:r w:rsidDel="00000000" w:rsidR="00000000" w:rsidRPr="00000000">
          <w:rPr>
            <w:rFonts w:ascii="Times New Roman" w:cs="Times New Roman" w:eastAsia="Times New Roman" w:hAnsi="Times New Roman"/>
            <w:color w:val="000000"/>
            <w:sz w:val="24"/>
            <w:szCs w:val="24"/>
            <w:rtl w:val="0"/>
          </w:rPr>
          <w:t xml:space="preserve">http://www.worldvaluessurvey.org/wvs.jsp</w:t>
        </w:r>
      </w:hyperlink>
      <w:r w:rsidDel="00000000" w:rsidR="00000000" w:rsidRPr="00000000">
        <w:rPr>
          <w:rtl w:val="0"/>
        </w:rPr>
      </w:r>
    </w:p>
    <w:p w:rsidR="00000000" w:rsidDel="00000000" w:rsidP="00000000" w:rsidRDefault="00000000" w:rsidRPr="00000000" w14:paraId="00000290">
      <w:pPr>
        <w:spacing w:after="0" w:line="480" w:lineRule="auto"/>
        <w:rPr>
          <w:rFonts w:ascii="Times New Roman" w:cs="Times New Roman" w:eastAsia="Times New Roman" w:hAnsi="Times New Roman"/>
          <w:color w:val="000000"/>
          <w:sz w:val="24"/>
          <w:szCs w:val="24"/>
        </w:rPr>
      </w:pPr>
      <w:hyperlink r:id="rId15">
        <w:r w:rsidDel="00000000" w:rsidR="00000000" w:rsidRPr="00000000">
          <w:rPr>
            <w:rFonts w:ascii="Times New Roman" w:cs="Times New Roman" w:eastAsia="Times New Roman" w:hAnsi="Times New Roman"/>
            <w:color w:val="000000"/>
            <w:sz w:val="24"/>
            <w:szCs w:val="24"/>
            <w:rtl w:val="0"/>
          </w:rPr>
          <w:t xml:space="preserve">https://europeanvaluesstudy.eu/</w:t>
        </w:r>
      </w:hyperlink>
      <w:r w:rsidDel="00000000" w:rsidR="00000000" w:rsidRPr="00000000">
        <w:rPr>
          <w:rtl w:val="0"/>
        </w:rPr>
      </w:r>
    </w:p>
    <w:p w:rsidR="00000000" w:rsidDel="00000000" w:rsidP="00000000" w:rsidRDefault="00000000" w:rsidRPr="00000000" w14:paraId="00000291">
      <w:pPr>
        <w:spacing w:after="0" w:line="48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292">
      <w:pPr>
        <w:spacing w:after="0" w:line="48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Acknowledgements</w:t>
      </w:r>
    </w:p>
    <w:p w:rsidR="00000000" w:rsidDel="00000000" w:rsidP="00000000" w:rsidRDefault="00000000" w:rsidRPr="00000000" w14:paraId="00000293">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4"/>
          <w:sz w:val="24"/>
          <w:szCs w:val="24"/>
          <w:rtl w:val="0"/>
        </w:rPr>
        <w:t xml:space="preserve">We would like to thank Monika da Silva</w:t>
      </w:r>
      <w:r w:rsidDel="00000000" w:rsidR="00000000" w:rsidRPr="00000000">
        <w:rPr>
          <w:rFonts w:ascii="Open Sans" w:cs="Open Sans" w:eastAsia="Open Sans" w:hAnsi="Open Sans"/>
          <w:b w:val="1"/>
          <w:color w:val="414141"/>
          <w:sz w:val="21"/>
          <w:szCs w:val="21"/>
          <w:highlight w:val="white"/>
          <w:rtl w:val="0"/>
        </w:rPr>
        <w:t xml:space="preserve"> </w:t>
      </w:r>
      <w:r w:rsidDel="00000000" w:rsidR="00000000" w:rsidRPr="00000000">
        <w:rPr>
          <w:rFonts w:ascii="Times New Roman" w:cs="Times New Roman" w:eastAsia="Times New Roman" w:hAnsi="Times New Roman"/>
          <w:color w:val="202124"/>
          <w:sz w:val="24"/>
          <w:szCs w:val="24"/>
          <w:rtl w:val="0"/>
        </w:rPr>
        <w:t xml:space="preserve">Pedroso for her invaluable help with the statistical analysis </w:t>
      </w:r>
      <w:r w:rsidDel="00000000" w:rsidR="00000000" w:rsidRPr="00000000">
        <w:rPr>
          <w:rFonts w:ascii="Times New Roman" w:cs="Times New Roman" w:eastAsia="Times New Roman" w:hAnsi="Times New Roman"/>
          <w:sz w:val="24"/>
          <w:szCs w:val="24"/>
          <w:rtl w:val="0"/>
        </w:rPr>
        <w:t xml:space="preserve">of ISSP, EVS and WVS data.  </w:t>
      </w:r>
      <w:r w:rsidDel="00000000" w:rsidR="00000000" w:rsidRPr="00000000">
        <w:rPr>
          <w:rFonts w:ascii="Times New Roman" w:cs="Times New Roman" w:eastAsia="Times New Roman" w:hAnsi="Times New Roman"/>
          <w:sz w:val="24"/>
          <w:szCs w:val="24"/>
          <w:rtl w:val="0"/>
        </w:rPr>
        <w:t xml:space="preserve">We are also grateful for the insightful comments offered by the anonymous peer reviewers. </w:t>
      </w:r>
      <w:r w:rsidDel="00000000" w:rsidR="00000000" w:rsidRPr="00000000">
        <w:rPr>
          <w:rtl w:val="0"/>
        </w:rPr>
      </w:r>
    </w:p>
    <w:p w:rsidR="00000000" w:rsidDel="00000000" w:rsidP="00000000" w:rsidRDefault="00000000" w:rsidRPr="00000000" w14:paraId="0000029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95">
      <w:pPr>
        <w:pStyle w:val="Heading1"/>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References</w:t>
      </w:r>
    </w:p>
    <w:p w:rsidR="00000000" w:rsidDel="00000000" w:rsidP="00000000" w:rsidRDefault="00000000" w:rsidRPr="00000000" w14:paraId="0000029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Barone, C. 2011. Some Things Never Change: Gender Segregation in Higher Education Across Eight Nations And Three Decades. </w:t>
      </w:r>
      <w:r w:rsidDel="00000000" w:rsidR="00000000" w:rsidRPr="00000000">
        <w:rPr>
          <w:rFonts w:ascii="Times New Roman" w:cs="Times New Roman" w:eastAsia="Times New Roman" w:hAnsi="Times New Roman"/>
          <w:i w:val="1"/>
          <w:sz w:val="24"/>
          <w:szCs w:val="24"/>
          <w:rtl w:val="0"/>
        </w:rPr>
        <w:t xml:space="preserve">Sociology of Education 84(2): 157</w:t>
      </w:r>
      <w:r w:rsidDel="00000000" w:rsidR="00000000" w:rsidRPr="00000000">
        <w:rPr>
          <w:rFonts w:ascii="Times New Roman" w:cs="Times New Roman" w:eastAsia="Times New Roman" w:hAnsi="Times New Roman"/>
          <w:i w:val="1"/>
          <w:sz w:val="24"/>
          <w:szCs w:val="24"/>
          <w:rtl w:val="0"/>
        </w:rPr>
        <w:t xml:space="preserve">-176.</w:t>
      </w:r>
    </w:p>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r>
      <w:r w:rsidDel="00000000" w:rsidR="00000000" w:rsidRPr="00000000">
        <w:rPr>
          <w:rFonts w:ascii="Times New Roman" w:cs="Times New Roman" w:eastAsia="Times New Roman" w:hAnsi="Times New Roman"/>
          <w:sz w:val="24"/>
          <w:szCs w:val="24"/>
          <w:rtl w:val="0"/>
        </w:rPr>
        <w:t xml:space="preserve">obbitt-Zeher, D. 2007.  The Gender Income Gap And The Role of Education. </w:t>
      </w:r>
      <w:r w:rsidDel="00000000" w:rsidR="00000000" w:rsidRPr="00000000">
        <w:rPr>
          <w:rFonts w:ascii="Times New Roman" w:cs="Times New Roman" w:eastAsia="Times New Roman" w:hAnsi="Times New Roman"/>
          <w:i w:val="1"/>
          <w:sz w:val="24"/>
          <w:szCs w:val="24"/>
          <w:rtl w:val="0"/>
        </w:rPr>
        <w:t xml:space="preserve">Sociology of Education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80(1): 1-22. </w:t>
      </w:r>
    </w:p>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Bradley, K. 2000. The Incorporation of Women into Higher Education: Paradoxical Outcomes? </w:t>
      </w:r>
      <w:r w:rsidDel="00000000" w:rsidR="00000000" w:rsidRPr="00000000">
        <w:rPr>
          <w:rFonts w:ascii="Times New Roman" w:cs="Times New Roman" w:eastAsia="Times New Roman" w:hAnsi="Times New Roman"/>
          <w:i w:val="1"/>
          <w:sz w:val="24"/>
          <w:szCs w:val="24"/>
          <w:rtl w:val="0"/>
        </w:rPr>
        <w:t xml:space="preserve">Sociology of  Education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73(1):1-18.</w:t>
      </w:r>
    </w:p>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Bradley, K. And Charles, M. 2009. Indulging Our Gendered Selves? Sex Segregation By Field of Study in 44 Countries. </w:t>
      </w:r>
      <w:r w:rsidDel="00000000" w:rsidR="00000000" w:rsidRPr="00000000">
        <w:rPr>
          <w:rFonts w:ascii="Times New Roman" w:cs="Times New Roman" w:eastAsia="Times New Roman" w:hAnsi="Times New Roman"/>
          <w:i w:val="1"/>
          <w:sz w:val="24"/>
          <w:szCs w:val="24"/>
          <w:rtl w:val="0"/>
        </w:rPr>
        <w:t xml:space="preserve">American Journal of Sociology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114, 4, 924-976.</w:t>
      </w:r>
    </w:p>
    <w:p w:rsidR="00000000" w:rsidDel="00000000" w:rsidP="00000000" w:rsidRDefault="00000000" w:rsidRPr="00000000" w14:paraId="0000029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M. 2011.  A World of Difference: International Trends in Women’s Economic Status. </w:t>
      </w:r>
      <w:r w:rsidDel="00000000" w:rsidR="00000000" w:rsidRPr="00000000">
        <w:rPr>
          <w:rFonts w:ascii="Times New Roman" w:cs="Times New Roman" w:eastAsia="Times New Roman" w:hAnsi="Times New Roman"/>
          <w:i w:val="1"/>
          <w:sz w:val="24"/>
          <w:szCs w:val="24"/>
          <w:rtl w:val="0"/>
        </w:rPr>
        <w:t xml:space="preserve">Annual Review of Sociology</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37, 355-371. </w:t>
      </w:r>
    </w:p>
    <w:p w:rsidR="00000000" w:rsidDel="00000000" w:rsidP="00000000" w:rsidRDefault="00000000" w:rsidRPr="00000000" w14:paraId="0000029B">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Charles, M. &amp; Bradley, K. 2002. Equal But Not Separate? A Cross-national Study of Sex Segregation in Higher Education. </w:t>
      </w:r>
      <w:r w:rsidDel="00000000" w:rsidR="00000000" w:rsidRPr="00000000">
        <w:rPr>
          <w:rFonts w:ascii="Times New Roman" w:cs="Times New Roman" w:eastAsia="Times New Roman" w:hAnsi="Times New Roman"/>
          <w:i w:val="1"/>
          <w:sz w:val="24"/>
          <w:szCs w:val="24"/>
          <w:rtl w:val="0"/>
        </w:rPr>
        <w:t xml:space="preserve">American Sociological Review </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sz w:val="24"/>
          <w:szCs w:val="24"/>
          <w:rtl w:val="0"/>
        </w:rPr>
        <w:t xml:space="preserve">7(4) 573</w:t>
      </w:r>
      <w:r w:rsidDel="00000000" w:rsidR="00000000" w:rsidRPr="00000000">
        <w:rPr>
          <w:rFonts w:ascii="Times New Roman" w:cs="Times New Roman" w:eastAsia="Times New Roman" w:hAnsi="Times New Roman"/>
          <w:sz w:val="24"/>
          <w:szCs w:val="24"/>
          <w:rtl w:val="0"/>
        </w:rPr>
        <w:t xml:space="preserve">-599</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tl w:val="0"/>
        </w:rPr>
      </w:r>
    </w:p>
    <w:p w:rsidR="00000000" w:rsidDel="00000000" w:rsidP="00000000" w:rsidRDefault="00000000" w:rsidRPr="00000000" w14:paraId="0000029C">
      <w:pPr>
        <w:shd w:fill="ffffff" w:val="clear"/>
        <w:spacing w:after="0"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Clancy, P.  2015. </w:t>
      </w:r>
      <w:r w:rsidDel="00000000" w:rsidR="00000000" w:rsidRPr="00000000">
        <w:rPr>
          <w:rFonts w:ascii="Times New Roman" w:cs="Times New Roman" w:eastAsia="Times New Roman" w:hAnsi="Times New Roman"/>
          <w:i w:val="1"/>
          <w:sz w:val="24"/>
          <w:szCs w:val="24"/>
          <w:rtl w:val="0"/>
        </w:rPr>
        <w:t xml:space="preserve">irish Higher Education: A Comparative Perspective. </w:t>
      </w:r>
      <w:r w:rsidDel="00000000" w:rsidR="00000000" w:rsidRPr="00000000">
        <w:rPr>
          <w:rFonts w:ascii="Times New Roman" w:cs="Times New Roman" w:eastAsia="Times New Roman" w:hAnsi="Times New Roman"/>
          <w:sz w:val="24"/>
          <w:szCs w:val="24"/>
          <w:rtl w:val="0"/>
        </w:rPr>
        <w:t xml:space="preserve">Dublin: Institute of Public Administrative.</w:t>
      </w:r>
      <w:r w:rsidDel="00000000" w:rsidR="00000000" w:rsidRPr="00000000">
        <w:rPr>
          <w:rtl w:val="0"/>
        </w:rPr>
      </w:r>
    </w:p>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Clancy, P and S. Marginson. 2018. Comparative Data On High Participation Systems. In Cantwell, B. Marginson, S. and Smolentseva, A., Eds. </w:t>
      </w:r>
      <w:r w:rsidDel="00000000" w:rsidR="00000000" w:rsidRPr="00000000">
        <w:rPr>
          <w:rFonts w:ascii="Times New Roman" w:cs="Times New Roman" w:eastAsia="Times New Roman" w:hAnsi="Times New Roman"/>
          <w:i w:val="1"/>
          <w:sz w:val="24"/>
          <w:szCs w:val="24"/>
          <w:rtl w:val="0"/>
        </w:rPr>
        <w:t xml:space="preserve">High Participation Systems of Higher Education</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Pp. Oxford: Oxford University Press 39</w:t>
      </w:r>
      <w:r w:rsidDel="00000000" w:rsidR="00000000" w:rsidRPr="00000000">
        <w:rPr>
          <w:rFonts w:ascii="Times New Roman" w:cs="Times New Roman" w:eastAsia="Times New Roman" w:hAnsi="Times New Roman"/>
          <w:sz w:val="24"/>
          <w:szCs w:val="24"/>
          <w:rtl w:val="0"/>
        </w:rPr>
        <w:t xml:space="preserve">-67.</w:t>
      </w:r>
    </w:p>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Connell, R.W. 2002.  </w:t>
      </w:r>
      <w:r w:rsidDel="00000000" w:rsidR="00000000" w:rsidRPr="00000000">
        <w:rPr>
          <w:rFonts w:ascii="Times New Roman" w:cs="Times New Roman" w:eastAsia="Times New Roman" w:hAnsi="Times New Roman"/>
          <w:i w:val="1"/>
          <w:sz w:val="24"/>
          <w:szCs w:val="24"/>
          <w:rtl w:val="0"/>
        </w:rPr>
        <w:t xml:space="preserve">Gender</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Cambridge: Polity Press . </w:t>
      </w:r>
    </w:p>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Crompton, R. and Harris, F. 1997.  “Women’s Employment and Gender Attitudes: A Comparative Analysis of Britain, Norway and the Czech Republic”, </w:t>
      </w:r>
      <w:r w:rsidDel="00000000" w:rsidR="00000000" w:rsidRPr="00000000">
        <w:rPr>
          <w:rFonts w:ascii="Times New Roman" w:cs="Times New Roman" w:eastAsia="Times New Roman" w:hAnsi="Times New Roman"/>
          <w:i w:val="1"/>
          <w:sz w:val="24"/>
          <w:szCs w:val="24"/>
          <w:rtl w:val="0"/>
        </w:rPr>
        <w:t xml:space="preserve">Acta Sociologica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40(2) 183-202.</w:t>
      </w:r>
    </w:p>
    <w:p w:rsidR="00000000" w:rsidDel="00000000" w:rsidP="00000000" w:rsidRDefault="00000000" w:rsidRPr="00000000" w14:paraId="000002A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M. E. 2016.  </w:t>
      </w:r>
      <w:r w:rsidDel="00000000" w:rsidR="00000000" w:rsidRPr="00000000">
        <w:rPr>
          <w:rFonts w:ascii="Times New Roman" w:cs="Times New Roman" w:eastAsia="Times New Roman" w:hAnsi="Times New Roman"/>
          <w:i w:val="1"/>
          <w:sz w:val="24"/>
          <w:szCs w:val="24"/>
          <w:rtl w:val="0"/>
        </w:rPr>
        <w:t xml:space="preserve">Feminism, Gender And Universities: Politics, Passion And Pedagogies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London: Routledge. </w:t>
      </w:r>
    </w:p>
    <w:p w:rsidR="00000000" w:rsidDel="00000000" w:rsidP="00000000" w:rsidRDefault="00000000" w:rsidRPr="00000000" w14:paraId="000002A1">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England, P. 2010. “The Gender Revolution: Uneven And Stalled.” </w:t>
      </w:r>
      <w:r w:rsidDel="00000000" w:rsidR="00000000" w:rsidRPr="00000000">
        <w:rPr>
          <w:rFonts w:ascii="Times New Roman" w:cs="Times New Roman" w:eastAsia="Times New Roman" w:hAnsi="Times New Roman"/>
          <w:i w:val="1"/>
          <w:sz w:val="24"/>
          <w:szCs w:val="24"/>
          <w:rtl w:val="0"/>
        </w:rPr>
        <w:t xml:space="preserve">Gender &amp; Society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24, 2:149</w:t>
      </w:r>
      <w:r w:rsidDel="00000000" w:rsidR="00000000" w:rsidRPr="00000000">
        <w:rPr>
          <w:rFonts w:ascii="Times New Roman" w:cs="Times New Roman" w:eastAsia="Times New Roman" w:hAnsi="Times New Roman"/>
          <w:sz w:val="24"/>
          <w:szCs w:val="24"/>
          <w:rtl w:val="0"/>
        </w:rPr>
        <w:t xml:space="preserve">-166. </w:t>
      </w:r>
    </w:p>
    <w:p w:rsidR="00000000" w:rsidDel="00000000" w:rsidP="00000000" w:rsidRDefault="00000000" w:rsidRPr="00000000" w14:paraId="000002A2">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Hadjar A. and Buchmann, C. 2016. “Educational Systems and Gender Inequalities in Educational Attainment” In  Hadjar, A. And Buchmann Eds. </w:t>
      </w:r>
      <w:hyperlink r:id="rId16">
        <w:r w:rsidDel="00000000" w:rsidR="00000000" w:rsidRPr="00000000">
          <w:rPr>
            <w:rFonts w:ascii="Times New Roman" w:cs="Times New Roman" w:eastAsia="Times New Roman" w:hAnsi="Times New Roman"/>
            <w:i w:val="1"/>
            <w:sz w:val="24"/>
            <w:szCs w:val="24"/>
            <w:rtl w:val="0"/>
          </w:rPr>
          <w:t xml:space="preserve">Education Systems And Inequalities: International Comparisons</w:t>
        </w:r>
      </w:hyperlink>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Bristol: Polity Press. 159-184.</w:t>
      </w:r>
    </w:p>
    <w:p w:rsidR="00000000" w:rsidDel="00000000" w:rsidP="00000000" w:rsidRDefault="00000000" w:rsidRPr="00000000" w14:paraId="000002A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Harford, J. 2018. “The Perspectives of Women Professors On The Professoriate: A Missing Piece in The Narrative On Gender Equality in The University”. </w:t>
      </w:r>
      <w:r w:rsidDel="00000000" w:rsidR="00000000" w:rsidRPr="00000000">
        <w:rPr>
          <w:rFonts w:ascii="Times New Roman" w:cs="Times New Roman" w:eastAsia="Times New Roman" w:hAnsi="Times New Roman"/>
          <w:i w:val="1"/>
          <w:color w:val="222222"/>
          <w:sz w:val="24"/>
          <w:szCs w:val="24"/>
          <w:highlight w:val="white"/>
          <w:rtl w:val="0"/>
        </w:rPr>
        <w:t xml:space="preserve">Education 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8</w:t>
      </w:r>
      <w:r w:rsidDel="00000000" w:rsidR="00000000" w:rsidRPr="00000000">
        <w:rPr>
          <w:rFonts w:ascii="Times New Roman" w:cs="Times New Roman" w:eastAsia="Times New Roman" w:hAnsi="Times New Roman"/>
          <w:color w:val="222222"/>
          <w:sz w:val="24"/>
          <w:szCs w:val="24"/>
          <w:highlight w:val="white"/>
          <w:rtl w:val="0"/>
        </w:rPr>
        <w:t xml:space="preserve">, 50.</w:t>
      </w:r>
      <w:r w:rsidDel="00000000" w:rsidR="00000000" w:rsidRPr="00000000">
        <w:rPr>
          <w:rtl w:val="0"/>
        </w:rPr>
      </w:r>
    </w:p>
    <w:p w:rsidR="00000000" w:rsidDel="00000000" w:rsidP="00000000" w:rsidRDefault="00000000" w:rsidRPr="00000000" w14:paraId="000002A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Hochschild, A. and Machung, A., 2012. </w:t>
      </w:r>
      <w:r w:rsidDel="00000000" w:rsidR="00000000" w:rsidRPr="00000000">
        <w:rPr>
          <w:rFonts w:ascii="Times New Roman" w:cs="Times New Roman" w:eastAsia="Times New Roman" w:hAnsi="Times New Roman"/>
          <w:i w:val="1"/>
          <w:color w:val="222222"/>
          <w:sz w:val="24"/>
          <w:szCs w:val="24"/>
          <w:highlight w:val="white"/>
          <w:rtl w:val="0"/>
        </w:rPr>
        <w:t xml:space="preserve">The Second Shift: Working Families and the Revolution at Home</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 New York: Penguin.</w:t>
      </w:r>
    </w:p>
    <w:p w:rsidR="00000000" w:rsidDel="00000000" w:rsidP="00000000" w:rsidRDefault="00000000" w:rsidRPr="00000000" w14:paraId="000002A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Knudsen, K. and K. Waerness. 2002. “National Context, Individual Characteristics and Attitudes On Mothers” Employment: A Comparative Analysis of Great Britain, Sweden and Norway, </w:t>
      </w:r>
      <w:r w:rsidDel="00000000" w:rsidR="00000000" w:rsidRPr="00000000">
        <w:rPr>
          <w:rFonts w:ascii="Times New Roman" w:cs="Times New Roman" w:eastAsia="Times New Roman" w:hAnsi="Times New Roman"/>
          <w:i w:val="1"/>
          <w:sz w:val="24"/>
          <w:szCs w:val="24"/>
          <w:rtl w:val="0"/>
        </w:rPr>
        <w:t xml:space="preserve">Acta Sociologica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44: 67</w:t>
      </w:r>
      <w:r w:rsidDel="00000000" w:rsidR="00000000" w:rsidRPr="00000000">
        <w:rPr>
          <w:rFonts w:ascii="Times New Roman" w:cs="Times New Roman" w:eastAsia="Times New Roman" w:hAnsi="Times New Roman"/>
          <w:sz w:val="24"/>
          <w:szCs w:val="24"/>
          <w:rtl w:val="0"/>
        </w:rPr>
        <w:t xml:space="preserve">-79.</w:t>
      </w:r>
    </w:p>
    <w:p w:rsidR="00000000" w:rsidDel="00000000" w:rsidP="00000000" w:rsidRDefault="00000000" w:rsidRPr="00000000" w14:paraId="000002A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Leathwood, C. and Read, B. 2009.  </w:t>
      </w:r>
      <w:r w:rsidDel="00000000" w:rsidR="00000000" w:rsidRPr="00000000">
        <w:rPr>
          <w:rFonts w:ascii="Times New Roman" w:cs="Times New Roman" w:eastAsia="Times New Roman" w:hAnsi="Times New Roman"/>
          <w:i w:val="1"/>
          <w:sz w:val="24"/>
          <w:szCs w:val="24"/>
          <w:rtl w:val="0"/>
        </w:rPr>
        <w:t xml:space="preserve">Gender and the Changing Face of Higher Education: A Feminized Future?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Maidenhead: Open University Press.</w:t>
      </w:r>
    </w:p>
    <w:p w:rsidR="00000000" w:rsidDel="00000000" w:rsidP="00000000" w:rsidRDefault="00000000" w:rsidRPr="00000000" w14:paraId="000002A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Martin, T. C. 1995.  Women’s Education and Fertility: Results from 26 Demographic and Health Surveys. </w:t>
      </w:r>
      <w:r w:rsidDel="00000000" w:rsidR="00000000" w:rsidRPr="00000000">
        <w:rPr>
          <w:rFonts w:ascii="Times New Roman" w:cs="Times New Roman" w:eastAsia="Times New Roman" w:hAnsi="Times New Roman"/>
          <w:i w:val="1"/>
          <w:sz w:val="24"/>
          <w:szCs w:val="24"/>
          <w:rtl w:val="0"/>
        </w:rPr>
        <w:t xml:space="preserve">Studies in Family Planning</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26(4) 187-202.</w:t>
      </w:r>
    </w:p>
    <w:p w:rsidR="00000000" w:rsidDel="00000000" w:rsidP="00000000" w:rsidRDefault="00000000" w:rsidRPr="00000000" w14:paraId="000002A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Moorhouse, E.A. 2017. Sex Segregation by Field of Study and the Influence of Labour Markets: Evidence from 39 Countries. </w:t>
      </w:r>
      <w:r w:rsidDel="00000000" w:rsidR="00000000" w:rsidRPr="00000000">
        <w:rPr>
          <w:rFonts w:ascii="Times New Roman" w:cs="Times New Roman" w:eastAsia="Times New Roman" w:hAnsi="Times New Roman"/>
          <w:i w:val="1"/>
          <w:sz w:val="24"/>
          <w:szCs w:val="24"/>
          <w:rtl w:val="0"/>
        </w:rPr>
        <w:t xml:space="preserve">International Journal of Comparative Sociology. 58 (1) 3-32.</w:t>
      </w:r>
    </w:p>
    <w:p w:rsidR="00000000" w:rsidDel="00000000" w:rsidP="00000000" w:rsidRDefault="00000000" w:rsidRPr="00000000" w14:paraId="000002A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 S. and L. J. Waite. 1987. “Parenthood and the Attitudes of Young Adults”, </w:t>
      </w:r>
      <w:r w:rsidDel="00000000" w:rsidR="00000000" w:rsidRPr="00000000">
        <w:rPr>
          <w:rFonts w:ascii="Times New Roman" w:cs="Times New Roman" w:eastAsia="Times New Roman" w:hAnsi="Times New Roman"/>
          <w:i w:val="1"/>
          <w:sz w:val="24"/>
          <w:szCs w:val="24"/>
          <w:rtl w:val="0"/>
        </w:rPr>
        <w:t xml:space="preserve">American Sociological Review</w:t>
      </w:r>
      <w:r w:rsidDel="00000000" w:rsidR="00000000" w:rsidRPr="00000000">
        <w:rPr>
          <w:rFonts w:ascii="Times New Roman" w:cs="Times New Roman" w:eastAsia="Times New Roman" w:hAnsi="Times New Roman"/>
          <w:sz w:val="24"/>
          <w:szCs w:val="24"/>
          <w:rtl w:val="0"/>
        </w:rPr>
        <w:t xml:space="preserve"> 52(4): 541</w:t>
      </w:r>
      <w:r w:rsidDel="00000000" w:rsidR="00000000" w:rsidRPr="00000000">
        <w:rPr>
          <w:rFonts w:ascii="Times New Roman" w:cs="Times New Roman" w:eastAsia="Times New Roman" w:hAnsi="Times New Roman"/>
          <w:sz w:val="24"/>
          <w:szCs w:val="24"/>
          <w:rtl w:val="0"/>
        </w:rPr>
        <w:t xml:space="preserve">-7.</w:t>
      </w:r>
    </w:p>
    <w:p w:rsidR="00000000" w:rsidDel="00000000" w:rsidP="00000000" w:rsidRDefault="00000000" w:rsidRPr="00000000" w14:paraId="000002A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Mullen, A. L. &amp; Baker, J. 2015. Participation Without Parity in US Higher Education: Gender, Fields of Study and Institutional Selectivity. </w:t>
      </w:r>
      <w:r w:rsidDel="00000000" w:rsidR="00000000" w:rsidRPr="00000000">
        <w:rPr>
          <w:rFonts w:ascii="Times New Roman" w:cs="Times New Roman" w:eastAsia="Times New Roman" w:hAnsi="Times New Roman"/>
          <w:i w:val="1"/>
          <w:sz w:val="24"/>
          <w:szCs w:val="24"/>
          <w:rtl w:val="0"/>
        </w:rPr>
        <w:t xml:space="preserve">Naspa Journal about Women in Higher Education. 8 (2) 172-188.</w:t>
      </w:r>
    </w:p>
    <w:p w:rsidR="00000000" w:rsidDel="00000000" w:rsidP="00000000" w:rsidRDefault="00000000" w:rsidRPr="00000000" w14:paraId="000002A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color w:val="333333"/>
          <w:sz w:val="24"/>
          <w:szCs w:val="24"/>
          <w:shd w:fill="fcfcfc" w:val="clear"/>
        </w:rPr>
      </w:pPr>
      <w:r w:rsidDel="00000000" w:rsidR="00000000" w:rsidRPr="00000000">
        <w:rPr>
          <w:rFonts w:ascii="Times New Roman" w:cs="Times New Roman" w:eastAsia="Times New Roman" w:hAnsi="Times New Roman"/>
          <w:color w:val="333333"/>
          <w:sz w:val="24"/>
          <w:szCs w:val="24"/>
          <w:shd w:fill="fcfcfc" w:val="clear"/>
          <w:rtl w:val="0"/>
        </w:rPr>
        <w:t xml:space="preserve">O’Connor, P. 2014. </w:t>
      </w:r>
      <w:r w:rsidDel="00000000" w:rsidR="00000000" w:rsidRPr="00000000">
        <w:rPr>
          <w:rFonts w:ascii="Times New Roman" w:cs="Times New Roman" w:eastAsia="Times New Roman" w:hAnsi="Times New Roman"/>
          <w:i w:val="1"/>
          <w:color w:val="333333"/>
          <w:sz w:val="24"/>
          <w:szCs w:val="24"/>
          <w:shd w:fill="fcfcfc" w:val="clear"/>
          <w:rtl w:val="0"/>
        </w:rPr>
        <w:t xml:space="preserve">Management and Gender in Higher Education</w:t>
      </w:r>
      <w:r w:rsidDel="00000000" w:rsidR="00000000" w:rsidRPr="00000000">
        <w:rPr>
          <w:rFonts w:ascii="Times New Roman" w:cs="Times New Roman" w:eastAsia="Times New Roman" w:hAnsi="Times New Roman"/>
          <w:color w:val="333333"/>
          <w:sz w:val="24"/>
          <w:szCs w:val="24"/>
          <w:shd w:fill="fcfcfc" w:val="clear"/>
          <w:rtl w:val="0"/>
        </w:rPr>
        <w:t xml:space="preserve">. Manchester: Manchester University Press.</w:t>
      </w:r>
      <w:r w:rsidDel="00000000" w:rsidR="00000000" w:rsidRPr="00000000">
        <w:rPr>
          <w:rtl w:val="0"/>
        </w:rPr>
      </w:r>
    </w:p>
    <w:p w:rsidR="00000000" w:rsidDel="00000000" w:rsidP="00000000" w:rsidRDefault="00000000" w:rsidRPr="00000000" w14:paraId="000002A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O’Sullivan, S. 2012. “All Changed, Changed Utterly”? Gender Role Attitudes and ahe Feminisation of the Irish Labour Force”, </w:t>
      </w:r>
      <w:r w:rsidDel="00000000" w:rsidR="00000000" w:rsidRPr="00000000">
        <w:rPr>
          <w:rFonts w:ascii="Times New Roman" w:cs="Times New Roman" w:eastAsia="Times New Roman" w:hAnsi="Times New Roman"/>
          <w:i w:val="1"/>
          <w:sz w:val="24"/>
          <w:szCs w:val="24"/>
          <w:rtl w:val="0"/>
        </w:rPr>
        <w:t xml:space="preserve">Women’s Studies International Forum</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35(4): 223</w:t>
      </w:r>
      <w:r w:rsidDel="00000000" w:rsidR="00000000" w:rsidRPr="00000000">
        <w:rPr>
          <w:rFonts w:ascii="Times New Roman" w:cs="Times New Roman" w:eastAsia="Times New Roman" w:hAnsi="Times New Roman"/>
          <w:sz w:val="24"/>
          <w:szCs w:val="24"/>
          <w:rtl w:val="0"/>
        </w:rPr>
        <w:t xml:space="preserve">-232.</w:t>
      </w:r>
    </w:p>
    <w:p w:rsidR="00000000" w:rsidDel="00000000" w:rsidP="00000000" w:rsidRDefault="00000000" w:rsidRPr="00000000" w14:paraId="000002A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Scott, J, Alwin, DF and M. Braun (1996). 'Generational Changes in Gender-role Attitudes: Britain in a Cross-national Perspective', </w:t>
      </w:r>
      <w:r w:rsidDel="00000000" w:rsidR="00000000" w:rsidRPr="00000000">
        <w:rPr>
          <w:rFonts w:ascii="Times New Roman" w:cs="Times New Roman" w:eastAsia="Times New Roman" w:hAnsi="Times New Roman"/>
          <w:i w:val="1"/>
          <w:sz w:val="24"/>
          <w:szCs w:val="24"/>
          <w:rtl w:val="0"/>
        </w:rPr>
        <w:t xml:space="preserve">Sociology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30, 3: 471-92.</w:t>
      </w:r>
    </w:p>
    <w:p w:rsidR="00000000" w:rsidDel="00000000" w:rsidP="00000000" w:rsidRDefault="00000000" w:rsidRPr="00000000" w14:paraId="000002A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Sundström, E. 1999.  “Should Mothers Work? Age and Attitudes in Germany, Italy and Sweden”, </w:t>
      </w:r>
      <w:r w:rsidDel="00000000" w:rsidR="00000000" w:rsidRPr="00000000">
        <w:rPr>
          <w:rFonts w:ascii="Times New Roman" w:cs="Times New Roman" w:eastAsia="Times New Roman" w:hAnsi="Times New Roman"/>
          <w:i w:val="1"/>
          <w:sz w:val="24"/>
          <w:szCs w:val="24"/>
          <w:rtl w:val="0"/>
        </w:rPr>
        <w:t xml:space="preserve">International Journal of Social Welfare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8: 193-205.</w:t>
      </w:r>
    </w:p>
    <w:p w:rsidR="00000000" w:rsidDel="00000000" w:rsidP="00000000" w:rsidRDefault="00000000" w:rsidRPr="00000000" w14:paraId="000002A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Treas, J and Widmer, E.D. 2000. “Married Women’s Employment over the Life Course:</w:t>
      </w:r>
    </w:p>
    <w:p w:rsidR="00000000" w:rsidDel="00000000" w:rsidP="00000000" w:rsidRDefault="00000000" w:rsidRPr="00000000" w14:paraId="000002B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Attitudes in Cross-national Perspective”, </w:t>
      </w:r>
      <w:r w:rsidDel="00000000" w:rsidR="00000000" w:rsidRPr="00000000">
        <w:rPr>
          <w:rFonts w:ascii="Times New Roman" w:cs="Times New Roman" w:eastAsia="Times New Roman" w:hAnsi="Times New Roman"/>
          <w:i w:val="1"/>
          <w:sz w:val="24"/>
          <w:szCs w:val="24"/>
          <w:rtl w:val="0"/>
        </w:rPr>
        <w:t xml:space="preserve">Social Forces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78, 4(1): 409–36.</w:t>
      </w:r>
    </w:p>
    <w:p w:rsidR="00000000" w:rsidDel="00000000" w:rsidP="00000000" w:rsidRDefault="00000000" w:rsidRPr="00000000" w14:paraId="000002B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Unesco (United Nations Educational, Social And Cultural Organization) 2005. Global Education Digest 2005. Montreal: Unesco Institute for Statistics.</w:t>
      </w:r>
    </w:p>
    <w:p w:rsidR="00000000" w:rsidDel="00000000" w:rsidP="00000000" w:rsidRDefault="00000000" w:rsidRPr="00000000" w14:paraId="000002B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Unesco, 2010, </w:t>
      </w:r>
      <w:r w:rsidDel="00000000" w:rsidR="00000000" w:rsidRPr="00000000">
        <w:rPr>
          <w:rFonts w:ascii="Times New Roman" w:cs="Times New Roman" w:eastAsia="Times New Roman" w:hAnsi="Times New Roman"/>
          <w:i w:val="1"/>
          <w:sz w:val="24"/>
          <w:szCs w:val="24"/>
          <w:rtl w:val="0"/>
        </w:rPr>
        <w:t xml:space="preserve">Global Education Digest 2010. </w:t>
      </w:r>
      <w:r w:rsidDel="00000000" w:rsidR="00000000" w:rsidRPr="00000000">
        <w:rPr>
          <w:rFonts w:ascii="Times New Roman" w:cs="Times New Roman" w:eastAsia="Times New Roman" w:hAnsi="Times New Roman"/>
          <w:sz w:val="24"/>
          <w:szCs w:val="24"/>
          <w:rtl w:val="0"/>
        </w:rPr>
        <w:t xml:space="preserve">Montreal: Unesco Institute for Statistics.</w:t>
      </w:r>
      <w:r w:rsidDel="00000000" w:rsidR="00000000" w:rsidRPr="00000000">
        <w:rPr>
          <w:rtl w:val="0"/>
        </w:rPr>
      </w:r>
    </w:p>
    <w:p w:rsidR="00000000" w:rsidDel="00000000" w:rsidP="00000000" w:rsidRDefault="00000000" w:rsidRPr="00000000" w14:paraId="000002B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Unesco, 2018. </w:t>
      </w:r>
      <w:r w:rsidDel="00000000" w:rsidR="00000000" w:rsidRPr="00000000">
        <w:rPr>
          <w:rFonts w:ascii="Times New Roman" w:cs="Times New Roman" w:eastAsia="Times New Roman" w:hAnsi="Times New Roman"/>
          <w:i w:val="1"/>
          <w:sz w:val="24"/>
          <w:szCs w:val="24"/>
          <w:rtl w:val="0"/>
        </w:rPr>
        <w:t xml:space="preserve">Unesco Eatlas of Gender Inequality in Education.</w:t>
      </w:r>
      <w:r w:rsidDel="00000000" w:rsidR="00000000" w:rsidRPr="00000000">
        <w:rPr>
          <w:rFonts w:ascii="Times New Roman" w:cs="Times New Roman" w:eastAsia="Times New Roman" w:hAnsi="Times New Roman"/>
          <w:sz w:val="24"/>
          <w:szCs w:val="24"/>
          <w:rtl w:val="0"/>
        </w:rPr>
        <w:t xml:space="preserve"> Montreal: Unesco Institute for Statistics.</w:t>
      </w:r>
      <w:r w:rsidDel="00000000" w:rsidR="00000000" w:rsidRPr="00000000">
        <w:rPr>
          <w:rtl w:val="0"/>
        </w:rPr>
      </w:r>
    </w:p>
    <w:p w:rsidR="00000000" w:rsidDel="00000000" w:rsidP="00000000" w:rsidRDefault="00000000" w:rsidRPr="00000000" w14:paraId="000002B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Whelan, C. and T. Fahey. 1994. “Marriage and the Family”, In C. Whelan. Ed. </w:t>
      </w:r>
      <w:r w:rsidDel="00000000" w:rsidR="00000000" w:rsidRPr="00000000">
        <w:rPr>
          <w:rFonts w:ascii="Times New Roman" w:cs="Times New Roman" w:eastAsia="Times New Roman" w:hAnsi="Times New Roman"/>
          <w:i w:val="1"/>
          <w:sz w:val="24"/>
          <w:szCs w:val="24"/>
          <w:rtl w:val="0"/>
        </w:rPr>
        <w:t xml:space="preserve">Values and Social Change in Ireland</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Dublin: Gill And Macmillan: 82-99.</w:t>
      </w:r>
    </w:p>
    <w:p w:rsidR="00000000" w:rsidDel="00000000" w:rsidP="00000000" w:rsidRDefault="00000000" w:rsidRPr="00000000" w14:paraId="000002B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J. 2018. “#Metoo And The New Work Rule”, </w:t>
      </w:r>
      <w:r w:rsidDel="00000000" w:rsidR="00000000" w:rsidRPr="00000000">
        <w:rPr>
          <w:rFonts w:ascii="Times New Roman" w:cs="Times New Roman" w:eastAsia="Times New Roman" w:hAnsi="Times New Roman"/>
          <w:i w:val="1"/>
          <w:sz w:val="24"/>
          <w:szCs w:val="24"/>
          <w:rtl w:val="0"/>
        </w:rPr>
        <w:t xml:space="preserve">Financial Times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20th September 2018.</w:t>
      </w:r>
    </w:p>
    <w:p w:rsidR="00000000" w:rsidDel="00000000" w:rsidP="00000000" w:rsidRDefault="00000000" w:rsidRPr="00000000" w14:paraId="000002B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World Economic Forum. 2016. </w:t>
      </w:r>
      <w:r w:rsidDel="00000000" w:rsidR="00000000" w:rsidRPr="00000000">
        <w:rPr>
          <w:rFonts w:ascii="Times New Roman" w:cs="Times New Roman" w:eastAsia="Times New Roman" w:hAnsi="Times New Roman"/>
          <w:i w:val="1"/>
          <w:sz w:val="24"/>
          <w:szCs w:val="24"/>
          <w:rtl w:val="0"/>
        </w:rPr>
        <w:t xml:space="preserve">The Global Gender Gap Report</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Geneva: World Economic Forum.</w:t>
      </w:r>
      <w:r w:rsidDel="00000000" w:rsidR="00000000" w:rsidRPr="00000000">
        <w:rPr>
          <w:rtl w:val="0"/>
        </w:rPr>
      </w:r>
    </w:p>
    <w:p w:rsidR="00000000" w:rsidDel="00000000" w:rsidP="00000000" w:rsidRDefault="00000000" w:rsidRPr="00000000" w14:paraId="000002B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17" w:type="default"/>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Times New Roman"/>
  <w:font w:name="Georgia"/>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81" w:right="0" w:hanging="181"/>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C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181" w:right="0" w:hanging="18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1fob9te" w:id="2"/>
      <w:bookmarkEnd w:id="2"/>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absence of comprehensive data for the remaining OECD member countries is principally accounted for changing national boundaries and the emergence of newly independent countries in Eastern Europe during this period.  </w:t>
      </w:r>
    </w:p>
  </w:footnote>
  <w:footnote w:id="1">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Gross Enrolment Ratio for higher education is based on the number of students enrolled, regardless of age, expressed as ‘a percentage of the population … in the five year age group following on from the secondary school leaving age’ (UNESCO, 2005: 149).</w:t>
      </w:r>
    </w:p>
  </w:footnote>
  <w:footnote w:id="2">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includes the three countries where the decline started between 2000-2010 and fourteen others where the decline occurred between 2010-2015. </w:t>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br w:type="textWrapping"/>
      </w:r>
    </w:p>
    <w:p w:rsidR="00000000" w:rsidDel="00000000" w:rsidP="00000000" w:rsidRDefault="00000000" w:rsidRPr="00000000" w14:paraId="000002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2B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all countries females have higher completion rates at upper secondary level by the theoretical duration of the programme with the exception of the Czech Republic in 2000.</w:t>
      </w:r>
    </w:p>
  </w:footnote>
  <w:footnote w:id="4">
    <w:p w:rsidR="00000000" w:rsidDel="00000000" w:rsidP="00000000" w:rsidRDefault="00000000" w:rsidRPr="00000000" w14:paraId="000002B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large amount of missing data, especially for 2000, limits the generalisability of the latter finding.</w:t>
      </w:r>
      <w:r w:rsidDel="00000000" w:rsidR="00000000" w:rsidRPr="00000000">
        <w:rPr>
          <w:rtl w:val="0"/>
        </w:rPr>
      </w:r>
    </w:p>
  </w:footnote>
  <w:footnote w:id="5">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With changes in the classification system used by UNESCO, Medical Sciences was replaced by Health &amp; Welfare.</w:t>
      </w:r>
    </w:p>
  </w:footnote>
  <w:footnote w:id="6">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calculates, for all fields of study, the average percentage of male or females who would need to change their field of study to achieve parity in gender representation.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2C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 the time of writing, 2014 was the latest year for which these data were available.</w:t>
      </w:r>
    </w:p>
  </w:footnote>
  <w:footnote w:id="8">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Defined by the ILO as </w:t>
      </w:r>
      <w:r w:rsidDel="00000000" w:rsidR="00000000" w:rsidRPr="00000000">
        <w:rPr>
          <w:rFonts w:ascii="Times New Roman" w:cs="Times New Roman" w:eastAsia="Times New Roman" w:hAnsi="Times New Roman"/>
          <w:b w:val="0"/>
          <w:i w:val="0"/>
          <w:smallCaps w:val="0"/>
          <w:strike w:val="0"/>
          <w:color w:val="282828"/>
          <w:sz w:val="24"/>
          <w:szCs w:val="24"/>
          <w:highlight w:val="white"/>
          <w:u w:val="none"/>
          <w:vertAlign w:val="baseline"/>
          <w:rtl w:val="0"/>
        </w:rPr>
        <w:t xml:space="preserve">the proportion of a country's working-age population that engages actively in the labour market, either by working or looking for work.</w:t>
      </w:r>
      <w:r w:rsidDel="00000000" w:rsidR="00000000" w:rsidRPr="00000000">
        <w:rPr>
          <w:rtl w:val="0"/>
        </w:rPr>
      </w:r>
    </w:p>
  </w:footnote>
  <w:footnote w:id="9">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w:t>
      </w:r>
      <w:r w:rsidDel="00000000" w:rsidR="00000000" w:rsidRPr="00000000">
        <w:rPr>
          <w:rFonts w:ascii="Times New Roman" w:cs="Times New Roman" w:eastAsia="Times New Roman" w:hAnsi="Times New Roman"/>
          <w:b w:val="0"/>
          <w:i w:val="0"/>
          <w:smallCaps w:val="0"/>
          <w:strike w:val="0"/>
          <w:color w:val="494444"/>
          <w:sz w:val="24"/>
          <w:szCs w:val="24"/>
          <w:highlight w:val="white"/>
          <w:u w:val="none"/>
          <w:vertAlign w:val="baseline"/>
          <w:rtl w:val="0"/>
        </w:rPr>
        <w:t xml:space="preserve">efined by the OECD as the difference between median earnings of men and women, relative to median earnings of men.</w:t>
      </w:r>
      <w:r w:rsidDel="00000000" w:rsidR="00000000" w:rsidRPr="00000000">
        <w:rPr>
          <w:rtl w:val="0"/>
        </w:rPr>
      </w:r>
    </w:p>
  </w:footnote>
  <w:footnote w:id="10">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exception of respondents from EPC countries in 2012.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40" w:lineRule="auto"/>
      <w:ind w:left="181" w:hanging="181"/>
    </w:pPr>
    <w:rPr>
      <w:rFonts w:ascii="Cambria" w:cs="Cambria" w:eastAsia="Cambria" w:hAnsi="Cambria"/>
      <w:b w:val="1"/>
      <w:sz w:val="32"/>
      <w:szCs w:val="32"/>
    </w:rPr>
  </w:style>
  <w:style w:type="paragraph" w:styleId="Heading2">
    <w:name w:val="heading 2"/>
    <w:basedOn w:val="Normal"/>
    <w:next w:val="Normal"/>
    <w:pPr>
      <w:keepNext w:val="1"/>
      <w:spacing w:after="0" w:line="240" w:lineRule="auto"/>
      <w:ind w:left="181" w:hanging="181"/>
    </w:pPr>
    <w:rPr>
      <w:rFonts w:ascii="Times New Roman" w:cs="Times New Roman" w:eastAsia="Times New Roman" w:hAnsi="Times New Roman"/>
      <w:b w:val="1"/>
      <w:color w:val="000080"/>
      <w:sz w:val="24"/>
      <w:szCs w:val="24"/>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40" w:lineRule="auto"/>
      <w:ind w:left="181" w:hanging="181"/>
    </w:pPr>
    <w:rPr>
      <w:rFonts w:ascii="Cambria" w:cs="Cambria" w:eastAsia="Cambria" w:hAnsi="Cambria"/>
      <w:b w:val="1"/>
      <w:sz w:val="32"/>
      <w:szCs w:val="32"/>
    </w:rPr>
  </w:style>
  <w:style w:type="paragraph" w:styleId="Heading2">
    <w:name w:val="heading 2"/>
    <w:basedOn w:val="Normal"/>
    <w:next w:val="Normal"/>
    <w:pPr>
      <w:keepNext w:val="1"/>
      <w:spacing w:after="0" w:line="240" w:lineRule="auto"/>
      <w:ind w:left="181" w:hanging="181"/>
    </w:pPr>
    <w:rPr>
      <w:rFonts w:ascii="Times New Roman" w:cs="Times New Roman" w:eastAsia="Times New Roman" w:hAnsi="Times New Roman"/>
      <w:b w:val="1"/>
      <w:color w:val="000080"/>
      <w:sz w:val="24"/>
      <w:szCs w:val="24"/>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qFormat w:val="1"/>
    <w:rsid w:val="00B2266C"/>
    <w:pPr>
      <w:keepNext w:val="1"/>
      <w:spacing w:after="60" w:before="240" w:line="240" w:lineRule="auto"/>
      <w:ind w:left="181" w:hanging="181"/>
      <w:outlineLvl w:val="0"/>
    </w:pPr>
    <w:rPr>
      <w:rFonts w:ascii="Cambria" w:cs="Times New Roman" w:eastAsia="Times New Roman" w:hAnsi="Cambria"/>
      <w:b w:val="1"/>
      <w:bCs w:val="1"/>
      <w:kern w:val="32"/>
      <w:sz w:val="32"/>
      <w:szCs w:val="32"/>
      <w:lang w:eastAsia="en-GB" w:val="en-GB"/>
    </w:rPr>
  </w:style>
  <w:style w:type="paragraph" w:styleId="Heading2">
    <w:name w:val="heading 2"/>
    <w:basedOn w:val="Normal"/>
    <w:next w:val="Normal"/>
    <w:link w:val="Heading2Char"/>
    <w:qFormat w:val="1"/>
    <w:rsid w:val="00B2266C"/>
    <w:pPr>
      <w:keepNext w:val="1"/>
      <w:spacing w:after="0" w:line="240" w:lineRule="auto"/>
      <w:ind w:left="181" w:hanging="181"/>
      <w:outlineLvl w:val="1"/>
    </w:pPr>
    <w:rPr>
      <w:rFonts w:ascii="Times New Roman" w:cs="Times New Roman" w:eastAsia="Times New Roman" w:hAnsi="Times New Roman"/>
      <w:b w:val="1"/>
      <w:bCs w:val="1"/>
      <w:color w:val="000080"/>
      <w:sz w:val="24"/>
      <w:szCs w:val="20"/>
      <w:lang w:val="en-US"/>
    </w:rPr>
  </w:style>
  <w:style w:type="paragraph" w:styleId="Heading3">
    <w:name w:val="heading 3"/>
    <w:basedOn w:val="Normal"/>
    <w:next w:val="Normal"/>
    <w:link w:val="Heading3Char"/>
    <w:uiPriority w:val="9"/>
    <w:semiHidden w:val="1"/>
    <w:unhideWhenUsed w:val="1"/>
    <w:qFormat w:val="1"/>
    <w:rsid w:val="00DD6CC1"/>
    <w:pPr>
      <w:keepNext w:val="1"/>
      <w:keepLines w:val="1"/>
      <w:spacing w:after="0" w:before="40"/>
      <w:outlineLvl w:val="2"/>
    </w:pPr>
    <w:rPr>
      <w:rFonts w:asciiTheme="majorHAnsi" w:cstheme="majorBidi" w:eastAsiaTheme="majorEastAsia" w:hAnsiTheme="majorHAnsi"/>
      <w:color w:val="243f60" w:themeColor="accent1" w:themeShade="00007F"/>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D28C1"/>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1726E6"/>
    <w:pPr>
      <w:ind w:left="720"/>
      <w:contextualSpacing w:val="1"/>
    </w:pPr>
  </w:style>
  <w:style w:type="paragraph" w:styleId="FootnoteText">
    <w:name w:val="footnote text"/>
    <w:basedOn w:val="Normal"/>
    <w:link w:val="FootnoteTextChar"/>
    <w:uiPriority w:val="99"/>
    <w:unhideWhenUsed w:val="1"/>
    <w:rsid w:val="00C9309B"/>
    <w:pPr>
      <w:spacing w:after="0" w:line="240" w:lineRule="auto"/>
    </w:pPr>
    <w:rPr>
      <w:sz w:val="20"/>
      <w:szCs w:val="20"/>
    </w:rPr>
  </w:style>
  <w:style w:type="character" w:styleId="FootnoteTextChar" w:customStyle="1">
    <w:name w:val="Footnote Text Char"/>
    <w:basedOn w:val="DefaultParagraphFont"/>
    <w:link w:val="FootnoteText"/>
    <w:uiPriority w:val="99"/>
    <w:rsid w:val="00C9309B"/>
    <w:rPr>
      <w:sz w:val="20"/>
      <w:szCs w:val="20"/>
    </w:rPr>
  </w:style>
  <w:style w:type="character" w:styleId="FootnoteReference">
    <w:name w:val="footnote reference"/>
    <w:basedOn w:val="DefaultParagraphFont"/>
    <w:uiPriority w:val="99"/>
    <w:unhideWhenUsed w:val="1"/>
    <w:rsid w:val="00C9309B"/>
    <w:rPr>
      <w:vertAlign w:val="superscript"/>
    </w:rPr>
  </w:style>
  <w:style w:type="paragraph" w:styleId="BalloonText">
    <w:name w:val="Balloon Text"/>
    <w:basedOn w:val="Normal"/>
    <w:link w:val="BalloonTextChar"/>
    <w:uiPriority w:val="99"/>
    <w:semiHidden w:val="1"/>
    <w:unhideWhenUsed w:val="1"/>
    <w:rsid w:val="00416DCE"/>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416DCE"/>
    <w:rPr>
      <w:rFonts w:ascii="Tahoma" w:cs="Tahoma" w:hAnsi="Tahoma"/>
      <w:sz w:val="16"/>
      <w:szCs w:val="16"/>
    </w:rPr>
  </w:style>
  <w:style w:type="character" w:styleId="Heading1Char" w:customStyle="1">
    <w:name w:val="Heading 1 Char"/>
    <w:basedOn w:val="DefaultParagraphFont"/>
    <w:link w:val="Heading1"/>
    <w:rsid w:val="00B2266C"/>
    <w:rPr>
      <w:rFonts w:ascii="Cambria" w:cs="Times New Roman" w:eastAsia="Times New Roman" w:hAnsi="Cambria"/>
      <w:b w:val="1"/>
      <w:bCs w:val="1"/>
      <w:kern w:val="32"/>
      <w:sz w:val="32"/>
      <w:szCs w:val="32"/>
      <w:lang w:eastAsia="en-GB" w:val="en-GB"/>
    </w:rPr>
  </w:style>
  <w:style w:type="character" w:styleId="Heading2Char" w:customStyle="1">
    <w:name w:val="Heading 2 Char"/>
    <w:basedOn w:val="DefaultParagraphFont"/>
    <w:link w:val="Heading2"/>
    <w:rsid w:val="00B2266C"/>
    <w:rPr>
      <w:rFonts w:ascii="Times New Roman" w:cs="Times New Roman" w:eastAsia="Times New Roman" w:hAnsi="Times New Roman"/>
      <w:b w:val="1"/>
      <w:bCs w:val="1"/>
      <w:color w:val="000080"/>
      <w:sz w:val="24"/>
      <w:szCs w:val="20"/>
      <w:lang w:val="en-US"/>
    </w:rPr>
  </w:style>
  <w:style w:type="character" w:styleId="Strong">
    <w:name w:val="Strong"/>
    <w:qFormat w:val="1"/>
    <w:rsid w:val="00B2266C"/>
    <w:rPr>
      <w:b w:val="1"/>
      <w:bCs w:val="1"/>
    </w:rPr>
  </w:style>
  <w:style w:type="character" w:styleId="Emphasis">
    <w:name w:val="Emphasis"/>
    <w:basedOn w:val="DefaultParagraphFont"/>
    <w:uiPriority w:val="20"/>
    <w:qFormat w:val="1"/>
    <w:rsid w:val="00B2266C"/>
    <w:rPr>
      <w:i w:val="1"/>
      <w:iCs w:val="1"/>
    </w:rPr>
  </w:style>
  <w:style w:type="character" w:styleId="Hyperlink">
    <w:name w:val="Hyperlink"/>
    <w:basedOn w:val="DefaultParagraphFont"/>
    <w:uiPriority w:val="99"/>
    <w:unhideWhenUsed w:val="1"/>
    <w:rsid w:val="00B2266C"/>
    <w:rPr>
      <w:color w:val="0000ff"/>
      <w:u w:val="single"/>
    </w:rPr>
  </w:style>
  <w:style w:type="paragraph" w:styleId="Header">
    <w:name w:val="header"/>
    <w:basedOn w:val="Normal"/>
    <w:link w:val="HeaderChar"/>
    <w:uiPriority w:val="99"/>
    <w:unhideWhenUsed w:val="1"/>
    <w:rsid w:val="00B2266C"/>
    <w:pPr>
      <w:tabs>
        <w:tab w:val="center" w:pos="4513"/>
        <w:tab w:val="right" w:pos="9026"/>
      </w:tabs>
      <w:spacing w:after="0" w:line="240" w:lineRule="auto"/>
      <w:ind w:left="181" w:hanging="181"/>
    </w:pPr>
    <w:rPr>
      <w:rFonts w:ascii="Times New Roman" w:cs="Times New Roman" w:eastAsia="Times New Roman" w:hAnsi="Times New Roman"/>
      <w:sz w:val="24"/>
      <w:szCs w:val="24"/>
      <w:lang w:eastAsia="en-GB" w:val="en-GB"/>
    </w:rPr>
  </w:style>
  <w:style w:type="character" w:styleId="HeaderChar" w:customStyle="1">
    <w:name w:val="Header Char"/>
    <w:basedOn w:val="DefaultParagraphFont"/>
    <w:link w:val="Header"/>
    <w:uiPriority w:val="99"/>
    <w:rsid w:val="00B2266C"/>
    <w:rPr>
      <w:rFonts w:ascii="Times New Roman" w:cs="Times New Roman" w:eastAsia="Times New Roman" w:hAnsi="Times New Roman"/>
      <w:sz w:val="24"/>
      <w:szCs w:val="24"/>
      <w:lang w:eastAsia="en-GB" w:val="en-GB"/>
    </w:rPr>
  </w:style>
  <w:style w:type="paragraph" w:styleId="Footer">
    <w:name w:val="footer"/>
    <w:basedOn w:val="Normal"/>
    <w:link w:val="FooterChar"/>
    <w:uiPriority w:val="99"/>
    <w:unhideWhenUsed w:val="1"/>
    <w:rsid w:val="00B2266C"/>
    <w:pPr>
      <w:tabs>
        <w:tab w:val="center" w:pos="4513"/>
        <w:tab w:val="right" w:pos="9026"/>
      </w:tabs>
      <w:spacing w:after="0" w:line="240" w:lineRule="auto"/>
      <w:ind w:left="181" w:hanging="181"/>
    </w:pPr>
    <w:rPr>
      <w:rFonts w:ascii="Times New Roman" w:cs="Times New Roman" w:eastAsia="Times New Roman" w:hAnsi="Times New Roman"/>
      <w:sz w:val="24"/>
      <w:szCs w:val="24"/>
      <w:lang w:eastAsia="en-GB" w:val="en-GB"/>
    </w:rPr>
  </w:style>
  <w:style w:type="character" w:styleId="FooterChar" w:customStyle="1">
    <w:name w:val="Footer Char"/>
    <w:basedOn w:val="DefaultParagraphFont"/>
    <w:link w:val="Footer"/>
    <w:uiPriority w:val="99"/>
    <w:rsid w:val="00B2266C"/>
    <w:rPr>
      <w:rFonts w:ascii="Times New Roman" w:cs="Times New Roman" w:eastAsia="Times New Roman" w:hAnsi="Times New Roman"/>
      <w:sz w:val="24"/>
      <w:szCs w:val="24"/>
      <w:lang w:eastAsia="en-GB" w:val="en-GB"/>
    </w:rPr>
  </w:style>
  <w:style w:type="paragraph" w:styleId="bodytext" w:customStyle="1">
    <w:name w:val="bodytext"/>
    <w:basedOn w:val="Normal"/>
    <w:rsid w:val="009F6628"/>
    <w:pPr>
      <w:spacing w:after="100" w:afterAutospacing="1" w:before="100" w:beforeAutospacing="1" w:line="240" w:lineRule="auto"/>
    </w:pPr>
    <w:rPr>
      <w:rFonts w:ascii="Times New Roman" w:cs="Times New Roman" w:eastAsia="Times New Roman" w:hAnsi="Times New Roman"/>
      <w:sz w:val="24"/>
      <w:szCs w:val="24"/>
      <w:lang w:eastAsia="en-GB" w:val="en-GB"/>
    </w:rPr>
  </w:style>
  <w:style w:type="character" w:styleId="Heading3Char" w:customStyle="1">
    <w:name w:val="Heading 3 Char"/>
    <w:basedOn w:val="DefaultParagraphFont"/>
    <w:link w:val="Heading3"/>
    <w:uiPriority w:val="9"/>
    <w:semiHidden w:val="1"/>
    <w:rsid w:val="00DD6CC1"/>
    <w:rPr>
      <w:rFonts w:asciiTheme="majorHAnsi" w:cstheme="majorBidi" w:eastAsiaTheme="majorEastAsia" w:hAnsiTheme="majorHAnsi"/>
      <w:color w:val="243f60" w:themeColor="accent1" w:themeShade="00007F"/>
      <w:sz w:val="24"/>
      <w:szCs w:val="24"/>
    </w:rPr>
  </w:style>
  <w:style w:type="character" w:styleId="gd" w:customStyle="1">
    <w:name w:val="gd"/>
    <w:basedOn w:val="DefaultParagraphFont"/>
    <w:rsid w:val="00DD6CC1"/>
  </w:style>
  <w:style w:type="character" w:styleId="go" w:customStyle="1">
    <w:name w:val="go"/>
    <w:basedOn w:val="DefaultParagraphFont"/>
    <w:rsid w:val="00DD6CC1"/>
  </w:style>
  <w:style w:type="character" w:styleId="g3" w:customStyle="1">
    <w:name w:val="g3"/>
    <w:basedOn w:val="DefaultParagraphFont"/>
    <w:rsid w:val="00DD6CC1"/>
  </w:style>
  <w:style w:type="character" w:styleId="hb" w:customStyle="1">
    <w:name w:val="hb"/>
    <w:basedOn w:val="DefaultParagraphFont"/>
    <w:rsid w:val="00DD6CC1"/>
  </w:style>
  <w:style w:type="character" w:styleId="g2" w:customStyle="1">
    <w:name w:val="g2"/>
    <w:basedOn w:val="DefaultParagraphFont"/>
    <w:rsid w:val="00DD6CC1"/>
  </w:style>
  <w:style w:type="character" w:styleId="CommentReference">
    <w:name w:val="annotation reference"/>
    <w:basedOn w:val="DefaultParagraphFont"/>
    <w:uiPriority w:val="99"/>
    <w:semiHidden w:val="1"/>
    <w:unhideWhenUsed w:val="1"/>
    <w:rsid w:val="00AD0CF0"/>
    <w:rPr>
      <w:sz w:val="16"/>
      <w:szCs w:val="16"/>
    </w:rPr>
  </w:style>
  <w:style w:type="paragraph" w:styleId="CommentText">
    <w:name w:val="annotation text"/>
    <w:basedOn w:val="Normal"/>
    <w:link w:val="CommentTextChar"/>
    <w:uiPriority w:val="99"/>
    <w:semiHidden w:val="1"/>
    <w:unhideWhenUsed w:val="1"/>
    <w:rsid w:val="00AD0CF0"/>
    <w:pPr>
      <w:spacing w:line="240" w:lineRule="auto"/>
    </w:pPr>
    <w:rPr>
      <w:sz w:val="20"/>
      <w:szCs w:val="20"/>
    </w:rPr>
  </w:style>
  <w:style w:type="character" w:styleId="CommentTextChar" w:customStyle="1">
    <w:name w:val="Comment Text Char"/>
    <w:basedOn w:val="DefaultParagraphFont"/>
    <w:link w:val="CommentText"/>
    <w:uiPriority w:val="99"/>
    <w:semiHidden w:val="1"/>
    <w:rsid w:val="00AD0CF0"/>
    <w:rPr>
      <w:sz w:val="20"/>
      <w:szCs w:val="20"/>
    </w:rPr>
  </w:style>
  <w:style w:type="paragraph" w:styleId="CommentSubject">
    <w:name w:val="annotation subject"/>
    <w:basedOn w:val="CommentText"/>
    <w:next w:val="CommentText"/>
    <w:link w:val="CommentSubjectChar"/>
    <w:uiPriority w:val="99"/>
    <w:semiHidden w:val="1"/>
    <w:unhideWhenUsed w:val="1"/>
    <w:rsid w:val="00AD0CF0"/>
    <w:rPr>
      <w:b w:val="1"/>
      <w:bCs w:val="1"/>
    </w:rPr>
  </w:style>
  <w:style w:type="character" w:styleId="CommentSubjectChar" w:customStyle="1">
    <w:name w:val="Comment Subject Char"/>
    <w:basedOn w:val="CommentTextChar"/>
    <w:link w:val="CommentSubject"/>
    <w:uiPriority w:val="99"/>
    <w:semiHidden w:val="1"/>
    <w:rsid w:val="00AD0CF0"/>
    <w:rPr>
      <w:b w:val="1"/>
      <w:bCs w:val="1"/>
      <w:sz w:val="20"/>
      <w:szCs w:val="20"/>
    </w:rPr>
  </w:style>
  <w:style w:type="paragraph" w:styleId="NormalWeb">
    <w:name w:val="Normal (Web)"/>
    <w:basedOn w:val="Normal"/>
    <w:uiPriority w:val="99"/>
    <w:unhideWhenUsed w:val="1"/>
    <w:rsid w:val="00322022"/>
    <w:pPr>
      <w:spacing w:after="100" w:afterAutospacing="1" w:before="100" w:beforeAutospacing="1" w:line="240" w:lineRule="auto"/>
    </w:pPr>
    <w:rPr>
      <w:rFonts w:ascii="Times New Roman" w:cs="Times New Roman" w:eastAsia="Times New Roman" w:hAnsi="Times New Roman"/>
      <w:sz w:val="24"/>
      <w:szCs w:val="24"/>
      <w:lang w:eastAsia="en-IE"/>
    </w:rPr>
  </w:style>
  <w:style w:type="character" w:styleId="apple-tab-span" w:customStyle="1">
    <w:name w:val="apple-tab-span"/>
    <w:basedOn w:val="DefaultParagraphFont"/>
    <w:rsid w:val="00322022"/>
  </w:style>
  <w:style w:type="paragraph" w:styleId="EndNoteBibliographyTitle" w:customStyle="1">
    <w:name w:val="EndNote Bibliography Title"/>
    <w:basedOn w:val="Normal"/>
    <w:link w:val="EndNoteBibliographyTitleChar"/>
    <w:rsid w:val="00B81E3B"/>
    <w:pPr>
      <w:spacing w:after="0"/>
      <w:jc w:val="center"/>
    </w:pPr>
    <w:rPr>
      <w:rFonts w:ascii="Calibri" w:cs="Calibri" w:hAnsi="Calibri"/>
      <w:noProof w:val="1"/>
      <w:lang w:val="en-US"/>
    </w:rPr>
  </w:style>
  <w:style w:type="character" w:styleId="EndNoteBibliographyTitleChar" w:customStyle="1">
    <w:name w:val="EndNote Bibliography Title Char"/>
    <w:basedOn w:val="DefaultParagraphFont"/>
    <w:link w:val="EndNoteBibliographyTitle"/>
    <w:rsid w:val="00B81E3B"/>
    <w:rPr>
      <w:rFonts w:ascii="Calibri" w:cs="Calibri" w:hAnsi="Calibri"/>
      <w:noProof w:val="1"/>
      <w:lang w:val="en-US"/>
    </w:rPr>
  </w:style>
  <w:style w:type="paragraph" w:styleId="EndNoteBibliography" w:customStyle="1">
    <w:name w:val="EndNote Bibliography"/>
    <w:basedOn w:val="Normal"/>
    <w:link w:val="EndNoteBibliographyChar"/>
    <w:rsid w:val="00B81E3B"/>
    <w:pPr>
      <w:spacing w:line="240" w:lineRule="auto"/>
      <w:jc w:val="center"/>
    </w:pPr>
    <w:rPr>
      <w:rFonts w:ascii="Calibri" w:cs="Calibri" w:hAnsi="Calibri"/>
      <w:noProof w:val="1"/>
      <w:lang w:val="en-US"/>
    </w:rPr>
  </w:style>
  <w:style w:type="character" w:styleId="EndNoteBibliographyChar" w:customStyle="1">
    <w:name w:val="EndNote Bibliography Char"/>
    <w:basedOn w:val="DefaultParagraphFont"/>
    <w:link w:val="EndNoteBibliography"/>
    <w:rsid w:val="00B81E3B"/>
    <w:rPr>
      <w:rFonts w:ascii="Calibri" w:cs="Calibri" w:hAnsi="Calibri"/>
      <w:noProof w:val="1"/>
      <w:lang w:val="en-US"/>
    </w:rPr>
  </w:style>
  <w:style w:type="paragraph" w:styleId="Articletitle" w:customStyle="1">
    <w:name w:val="Article title"/>
    <w:basedOn w:val="Normal"/>
    <w:next w:val="Normal"/>
    <w:qFormat w:val="1"/>
    <w:rsid w:val="00345889"/>
    <w:pPr>
      <w:spacing w:after="120" w:line="360" w:lineRule="auto"/>
    </w:pPr>
    <w:rPr>
      <w:rFonts w:ascii="Times New Roman" w:cs="Times New Roman" w:eastAsia="Times New Roman" w:hAnsi="Times New Roman"/>
      <w:b w:val="1"/>
      <w:sz w:val="28"/>
      <w:szCs w:val="24"/>
      <w:lang w:eastAsia="en-GB" w:val="en-GB"/>
    </w:rPr>
  </w:style>
  <w:style w:type="paragraph" w:styleId="Authornames" w:customStyle="1">
    <w:name w:val="Author names"/>
    <w:basedOn w:val="Normal"/>
    <w:next w:val="Normal"/>
    <w:qFormat w:val="1"/>
    <w:rsid w:val="00345889"/>
    <w:pPr>
      <w:spacing w:after="0" w:before="240" w:line="360" w:lineRule="auto"/>
    </w:pPr>
    <w:rPr>
      <w:rFonts w:ascii="Times New Roman" w:cs="Times New Roman" w:eastAsia="Times New Roman" w:hAnsi="Times New Roman"/>
      <w:sz w:val="28"/>
      <w:szCs w:val="24"/>
      <w:lang w:eastAsia="en-GB" w:val="en-GB"/>
    </w:rPr>
  </w:style>
  <w:style w:type="paragraph" w:styleId="Affiliation" w:customStyle="1">
    <w:name w:val="Affiliation"/>
    <w:basedOn w:val="Normal"/>
    <w:qFormat w:val="1"/>
    <w:rsid w:val="00345889"/>
    <w:pPr>
      <w:spacing w:after="0" w:before="240" w:line="360" w:lineRule="auto"/>
    </w:pPr>
    <w:rPr>
      <w:rFonts w:ascii="Times New Roman" w:cs="Times New Roman" w:eastAsia="Times New Roman" w:hAnsi="Times New Roman"/>
      <w:i w:val="1"/>
      <w:sz w:val="24"/>
      <w:szCs w:val="24"/>
      <w:lang w:eastAsia="en-GB" w:val="en-GB"/>
    </w:rPr>
  </w:style>
  <w:style w:type="paragraph" w:styleId="Correspondencedetails" w:customStyle="1">
    <w:name w:val="Correspondence details"/>
    <w:basedOn w:val="Normal"/>
    <w:qFormat w:val="1"/>
    <w:rsid w:val="00345889"/>
    <w:pPr>
      <w:spacing w:after="0" w:before="240" w:line="360" w:lineRule="auto"/>
    </w:pPr>
    <w:rPr>
      <w:rFonts w:ascii="Times New Roman" w:cs="Times New Roman" w:eastAsia="Times New Roman" w:hAnsi="Times New Roman"/>
      <w:sz w:val="24"/>
      <w:szCs w:val="24"/>
      <w:lang w:eastAsia="en-GB" w:val="en-GB"/>
    </w:rPr>
  </w:style>
  <w:style w:type="paragraph" w:styleId="Notesoncontributors" w:customStyle="1">
    <w:name w:val="Notes on contributors"/>
    <w:basedOn w:val="Normal"/>
    <w:qFormat w:val="1"/>
    <w:rsid w:val="00345889"/>
    <w:pPr>
      <w:spacing w:after="0" w:before="240" w:line="360" w:lineRule="auto"/>
    </w:pPr>
    <w:rPr>
      <w:rFonts w:ascii="Times New Roman" w:cs="Times New Roman" w:eastAsia="Times New Roman" w:hAnsi="Times New Roman"/>
      <w:szCs w:val="24"/>
      <w:lang w:eastAsia="en-GB" w:val="en-GB"/>
    </w:rPr>
  </w:style>
  <w:style w:type="paragraph" w:styleId="Abstract" w:customStyle="1">
    <w:name w:val="Abstract"/>
    <w:basedOn w:val="Normal"/>
    <w:next w:val="Keywords"/>
    <w:qFormat w:val="1"/>
    <w:rsid w:val="00345889"/>
    <w:pPr>
      <w:spacing w:after="300" w:before="360" w:line="360" w:lineRule="auto"/>
      <w:ind w:left="720" w:right="567"/>
    </w:pPr>
    <w:rPr>
      <w:rFonts w:ascii="Times New Roman" w:cs="Times New Roman" w:eastAsia="Times New Roman" w:hAnsi="Times New Roman"/>
      <w:szCs w:val="24"/>
      <w:lang w:eastAsia="en-GB" w:val="en-GB"/>
    </w:rPr>
  </w:style>
  <w:style w:type="paragraph" w:styleId="Keywords" w:customStyle="1">
    <w:name w:val="Keywords"/>
    <w:basedOn w:val="Normal"/>
    <w:next w:val="Normal"/>
    <w:qFormat w:val="1"/>
    <w:rsid w:val="00345889"/>
    <w:pPr>
      <w:spacing w:after="240" w:before="240" w:line="360" w:lineRule="auto"/>
      <w:ind w:left="720" w:right="567"/>
    </w:pPr>
    <w:rPr>
      <w:rFonts w:ascii="Times New Roman" w:cs="Times New Roman" w:eastAsia="Times New Roman" w:hAnsi="Times New Roman"/>
      <w:szCs w:val="24"/>
      <w:lang w:eastAsia="en-GB" w:val="en-GB"/>
    </w:rPr>
  </w:style>
  <w:style w:type="paragraph" w:styleId="Newparagraph" w:customStyle="1">
    <w:name w:val="New paragraph"/>
    <w:basedOn w:val="Normal"/>
    <w:qFormat w:val="1"/>
    <w:rsid w:val="00345889"/>
    <w:pPr>
      <w:spacing w:after="0" w:line="480" w:lineRule="auto"/>
      <w:ind w:firstLine="720"/>
    </w:pPr>
    <w:rPr>
      <w:rFonts w:ascii="Times New Roman" w:cs="Times New Roman" w:eastAsia="Times New Roman" w:hAnsi="Times New Roman"/>
      <w:sz w:val="24"/>
      <w:szCs w:val="24"/>
      <w:lang w:eastAsia="en-GB" w:val="en-GB"/>
    </w:rPr>
  </w:style>
  <w:style w:type="paragraph" w:styleId="Paragraph" w:customStyle="1">
    <w:name w:val="Paragraph"/>
    <w:basedOn w:val="Normal"/>
    <w:next w:val="Newparagraph"/>
    <w:qFormat w:val="1"/>
    <w:rsid w:val="00345889"/>
    <w:pPr>
      <w:widowControl w:val="0"/>
      <w:spacing w:after="0" w:before="240" w:line="480" w:lineRule="auto"/>
    </w:pPr>
    <w:rPr>
      <w:rFonts w:ascii="Times New Roman" w:cs="Times New Roman" w:eastAsia="Times New Roman" w:hAnsi="Times New Roman"/>
      <w:sz w:val="24"/>
      <w:szCs w:val="24"/>
      <w:lang w:eastAsia="en-GB" w:val="en-GB"/>
    </w:rPr>
  </w:style>
  <w:style w:type="paragraph" w:styleId="Tabletitle" w:customStyle="1">
    <w:name w:val="Table title"/>
    <w:basedOn w:val="Normal"/>
    <w:next w:val="Normal"/>
    <w:qFormat w:val="1"/>
    <w:rsid w:val="00345889"/>
    <w:pPr>
      <w:spacing w:after="0" w:before="240" w:line="360" w:lineRule="auto"/>
    </w:pPr>
    <w:rPr>
      <w:rFonts w:ascii="Times New Roman" w:cs="Times New Roman" w:eastAsia="Times New Roman" w:hAnsi="Times New Roman"/>
      <w:sz w:val="24"/>
      <w:szCs w:val="24"/>
      <w:lang w:eastAsia="en-GB" w:val="en-GB"/>
    </w:rPr>
  </w:style>
  <w:style w:type="paragraph" w:styleId="Figurecaption" w:customStyle="1">
    <w:name w:val="Figure caption"/>
    <w:basedOn w:val="Normal"/>
    <w:next w:val="Normal"/>
    <w:qFormat w:val="1"/>
    <w:rsid w:val="004961F3"/>
    <w:pPr>
      <w:spacing w:after="0" w:before="240" w:line="360" w:lineRule="auto"/>
    </w:pPr>
    <w:rPr>
      <w:rFonts w:ascii="Times New Roman" w:cs="Times New Roman" w:eastAsia="Times New Roman" w:hAnsi="Times New Roman"/>
      <w:sz w:val="24"/>
      <w:szCs w:val="24"/>
      <w:lang w:eastAsia="en-GB" w:val="en-GB"/>
    </w:rPr>
  </w:style>
  <w:style w:type="character" w:styleId="UnresolvedMention1" w:customStyle="1">
    <w:name w:val="Unresolved Mention1"/>
    <w:basedOn w:val="DefaultParagraphFont"/>
    <w:uiPriority w:val="99"/>
    <w:semiHidden w:val="1"/>
    <w:unhideWhenUsed w:val="1"/>
    <w:rsid w:val="00301D02"/>
    <w:rPr>
      <w:color w:val="808080"/>
      <w:shd w:color="auto" w:fill="e6e6e6" w:val="clear"/>
    </w:rPr>
  </w:style>
  <w:style w:type="character" w:styleId="FollowedHyperlink">
    <w:name w:val="FollowedHyperlink"/>
    <w:basedOn w:val="DefaultParagraphFont"/>
    <w:uiPriority w:val="99"/>
    <w:semiHidden w:val="1"/>
    <w:unhideWhenUsed w:val="1"/>
    <w:rsid w:val="00301D02"/>
    <w:rPr>
      <w:color w:val="800080" w:themeColor="followedHyperlink"/>
      <w:u w:val="single"/>
    </w:rPr>
  </w:style>
  <w:style w:type="paragraph" w:styleId="Revision">
    <w:name w:val="Revision"/>
    <w:hidden w:val="1"/>
    <w:uiPriority w:val="99"/>
    <w:semiHidden w:val="1"/>
    <w:rsid w:val="006148B3"/>
    <w:pPr>
      <w:spacing w:after="0" w:line="240" w:lineRule="auto"/>
    </w:pPr>
  </w:style>
  <w:style w:type="character" w:styleId="Subtitle1" w:customStyle="1">
    <w:name w:val="Subtitle1"/>
    <w:basedOn w:val="DefaultParagraphFont"/>
    <w:rsid w:val="000475A9"/>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data.uis.unesco.org" TargetMode="External"/><Relationship Id="rId10" Type="http://schemas.openxmlformats.org/officeDocument/2006/relationships/image" Target="media/image1.png"/><Relationship Id="rId13" Type="http://schemas.openxmlformats.org/officeDocument/2006/relationships/hyperlink" Target="http://w.issp.org/data-download/by-topic/" TargetMode="External"/><Relationship Id="rId12" Type="http://schemas.openxmlformats.org/officeDocument/2006/relationships/hyperlink" Target="https://www.ilo.org/ilosta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journals.sagepub.com/home/irj" TargetMode="External"/><Relationship Id="rId15" Type="http://schemas.openxmlformats.org/officeDocument/2006/relationships/hyperlink" Target="https://europeanvaluesstudy.eu/" TargetMode="External"/><Relationship Id="rId14" Type="http://schemas.openxmlformats.org/officeDocument/2006/relationships/hyperlink" Target="http://www.worldvaluessurvey.org/wvs.jsp" TargetMode="External"/><Relationship Id="rId17" Type="http://schemas.openxmlformats.org/officeDocument/2006/relationships/footer" Target="footer1.xml"/><Relationship Id="rId16" Type="http://schemas.openxmlformats.org/officeDocument/2006/relationships/hyperlink" Target="http://policypress.universitypressscholarship.com/view/10.1332/policypress/9781447326106.001.0001/upso-9781447326106"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tandfonlin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0fUBbXqQ6M3Fk71VhUZ7XJgUwQ==">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2020-01-11T08:45:00Z</dcterms:created>
  <dc:creator>Patriok</dc:creator>
</cp:coreProperties>
</file>