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58028" w14:textId="77777777" w:rsidR="00525A7D" w:rsidRPr="005111FA" w:rsidRDefault="00525A7D" w:rsidP="00525A7D">
      <w:pPr>
        <w:pStyle w:val="Heading1"/>
      </w:pPr>
      <w:r w:rsidRPr="005111FA">
        <w:t>What we are related to</w:t>
      </w:r>
    </w:p>
    <w:p w14:paraId="4882469D" w14:textId="09DA1D9A" w:rsidR="00525A7D" w:rsidRPr="00525A7D" w:rsidRDefault="00525A7D" w:rsidP="005111FA">
      <w:pPr>
        <w:rPr>
          <w:rStyle w:val="FootnoteReference"/>
          <w:vertAlign w:val="baseline"/>
        </w:rPr>
      </w:pPr>
      <w:r w:rsidRPr="00525A7D">
        <w:rPr>
          <w:rStyle w:val="FootnoteReference"/>
          <w:vertAlign w:val="baseline"/>
        </w:rPr>
        <w:t xml:space="preserve">Like any unforeseen, brutal, vital event, the coronavirus crisis is causing its share of regressions: </w:t>
      </w:r>
      <w:r w:rsidRPr="00525A7D">
        <w:t xml:space="preserve">an </w:t>
      </w:r>
      <w:r w:rsidRPr="00525A7D">
        <w:rPr>
          <w:rStyle w:val="FootnoteReference"/>
          <w:vertAlign w:val="baseline"/>
        </w:rPr>
        <w:t xml:space="preserve">epidemic of hoaxes, conspiracy theories and gossip of all kinds and, of course, </w:t>
      </w:r>
      <w:r w:rsidRPr="00525A7D">
        <w:t xml:space="preserve">a </w:t>
      </w:r>
      <w:r w:rsidRPr="00525A7D">
        <w:rPr>
          <w:rStyle w:val="FootnoteReference"/>
          <w:vertAlign w:val="baseline"/>
        </w:rPr>
        <w:t xml:space="preserve">relentless search for culprits </w:t>
      </w:r>
      <w:r>
        <w:rPr>
          <w:rStyle w:val="FootnoteReference"/>
          <w:vertAlign w:val="baseline"/>
        </w:rPr>
        <w:t>–</w:t>
      </w:r>
      <w:r w:rsidRPr="00525A7D">
        <w:rPr>
          <w:rStyle w:val="FootnoteReference"/>
          <w:vertAlign w:val="baseline"/>
        </w:rPr>
        <w:t xml:space="preserve"> from</w:t>
      </w:r>
      <w:r>
        <w:t xml:space="preserve"> the</w:t>
      </w:r>
      <w:r w:rsidRPr="00525A7D">
        <w:rPr>
          <w:rStyle w:val="FootnoteReference"/>
          <w:vertAlign w:val="baseline"/>
        </w:rPr>
        <w:t xml:space="preserve"> Chinese to globalization, from neo</w:t>
      </w:r>
      <w:r>
        <w:rPr>
          <w:rStyle w:val="FootnoteReference"/>
          <w:vertAlign w:val="baseline"/>
        </w:rPr>
        <w:t>-</w:t>
      </w:r>
      <w:r w:rsidRPr="00525A7D">
        <w:rPr>
          <w:rStyle w:val="FootnoteReference"/>
          <w:vertAlign w:val="baseline"/>
        </w:rPr>
        <w:t xml:space="preserve">liberalism to climate change, from health authorities </w:t>
      </w:r>
      <w:r>
        <w:t xml:space="preserve">lacking in foresight </w:t>
      </w:r>
      <w:r w:rsidRPr="00525A7D">
        <w:rPr>
          <w:rStyle w:val="FootnoteReference"/>
          <w:vertAlign w:val="baseline"/>
        </w:rPr>
        <w:t xml:space="preserve">to the Machiavellian government. </w:t>
      </w:r>
      <w:r>
        <w:t>These are s</w:t>
      </w:r>
      <w:r w:rsidRPr="00525A7D">
        <w:rPr>
          <w:rStyle w:val="FootnoteReference"/>
          <w:vertAlign w:val="baseline"/>
        </w:rPr>
        <w:t>o many tactics probably intended</w:t>
      </w:r>
      <w:r>
        <w:t xml:space="preserve"> </w:t>
      </w:r>
      <w:r w:rsidRPr="00525A7D">
        <w:rPr>
          <w:rStyle w:val="FootnoteReference"/>
          <w:vertAlign w:val="baseline"/>
        </w:rPr>
        <w:t xml:space="preserve">to </w:t>
      </w:r>
      <w:r>
        <w:t>recover</w:t>
      </w:r>
      <w:r w:rsidRPr="00525A7D">
        <w:rPr>
          <w:rStyle w:val="FootnoteReference"/>
          <w:vertAlign w:val="baseline"/>
        </w:rPr>
        <w:t xml:space="preserve"> a semblance of control over what escapes us.</w:t>
      </w:r>
    </w:p>
    <w:p w14:paraId="48DBC4D5" w14:textId="77777777" w:rsidR="00525A7D" w:rsidRPr="00525A7D" w:rsidRDefault="00525A7D" w:rsidP="005111FA"/>
    <w:p w14:paraId="321B0A61" w14:textId="5E396E73" w:rsidR="00525A7D" w:rsidRPr="005111FA" w:rsidRDefault="00525A7D" w:rsidP="005111FA">
      <w:r w:rsidRPr="005111FA">
        <w:rPr>
          <w:rStyle w:val="FootnoteReference"/>
          <w:vertAlign w:val="baseline"/>
        </w:rPr>
        <w:t xml:space="preserve">And what escapes us in </w:t>
      </w:r>
      <w:r>
        <w:rPr>
          <w:rStyle w:val="FootnoteReference"/>
          <w:vertAlign w:val="baseline"/>
        </w:rPr>
        <w:t>f</w:t>
      </w:r>
      <w:r>
        <w:t>irst place</w:t>
      </w:r>
      <w:r>
        <w:rPr>
          <w:rStyle w:val="FootnoteReference"/>
          <w:vertAlign w:val="baseline"/>
        </w:rPr>
        <w:t xml:space="preserve"> </w:t>
      </w:r>
      <w:r w:rsidRPr="005111FA">
        <w:rPr>
          <w:rStyle w:val="FootnoteReference"/>
          <w:vertAlign w:val="baseline"/>
        </w:rPr>
        <w:t>is not only control o</w:t>
      </w:r>
      <w:r>
        <w:rPr>
          <w:rStyle w:val="FootnoteReference"/>
          <w:vertAlign w:val="baseline"/>
        </w:rPr>
        <w:t xml:space="preserve">ver </w:t>
      </w:r>
      <w:r w:rsidRPr="005111FA">
        <w:rPr>
          <w:rStyle w:val="FootnoteReference"/>
          <w:vertAlign w:val="baseline"/>
        </w:rPr>
        <w:t xml:space="preserve"> our future health but also, from now on, control </w:t>
      </w:r>
      <w:r>
        <w:rPr>
          <w:rStyle w:val="FootnoteReference"/>
          <w:vertAlign w:val="baseline"/>
        </w:rPr>
        <w:t>over</w:t>
      </w:r>
      <w:r w:rsidRPr="005111FA">
        <w:rPr>
          <w:rStyle w:val="FootnoteReference"/>
          <w:vertAlign w:val="baseline"/>
        </w:rPr>
        <w:t xml:space="preserve"> our daily life: in a few days </w:t>
      </w:r>
      <w:r>
        <w:t xml:space="preserve">there </w:t>
      </w:r>
      <w:r w:rsidRPr="005111FA">
        <w:rPr>
          <w:rStyle w:val="FootnoteReference"/>
          <w:vertAlign w:val="baseline"/>
        </w:rPr>
        <w:t xml:space="preserve">was taken away from us </w:t>
      </w:r>
      <w:r>
        <w:rPr>
          <w:rStyle w:val="FootnoteReference"/>
          <w:vertAlign w:val="baseline"/>
        </w:rPr>
        <w:t>–</w:t>
      </w:r>
      <w:r w:rsidRPr="005111FA">
        <w:rPr>
          <w:rStyle w:val="FootnoteReference"/>
          <w:vertAlign w:val="baseline"/>
        </w:rPr>
        <w:t xml:space="preserve"> and for a significant period </w:t>
      </w:r>
      <w:r>
        <w:rPr>
          <w:rStyle w:val="FootnoteReference"/>
          <w:vertAlign w:val="baseline"/>
        </w:rPr>
        <w:t>–</w:t>
      </w:r>
      <w:r w:rsidRPr="005111FA">
        <w:rPr>
          <w:rStyle w:val="FootnoteReference"/>
          <w:vertAlign w:val="baseline"/>
        </w:rPr>
        <w:t xml:space="preserve"> th</w:t>
      </w:r>
      <w:r>
        <w:rPr>
          <w:rStyle w:val="FootnoteReference"/>
          <w:vertAlign w:val="baseline"/>
        </w:rPr>
        <w:t>e</w:t>
      </w:r>
      <w:r w:rsidRPr="005111FA">
        <w:rPr>
          <w:rStyle w:val="FootnoteReference"/>
          <w:vertAlign w:val="baseline"/>
        </w:rPr>
        <w:t xml:space="preserve"> fundamental freedom </w:t>
      </w:r>
      <w:r>
        <w:rPr>
          <w:rStyle w:val="FootnoteReference"/>
          <w:vertAlign w:val="baseline"/>
        </w:rPr>
        <w:t>that</w:t>
      </w:r>
      <w:r w:rsidRPr="005111FA">
        <w:rPr>
          <w:rStyle w:val="FootnoteReference"/>
          <w:vertAlign w:val="baseline"/>
        </w:rPr>
        <w:t xml:space="preserve"> is to be able to move as we please. </w:t>
      </w:r>
      <w:r>
        <w:rPr>
          <w:rStyle w:val="FootnoteReference"/>
          <w:vertAlign w:val="baseline"/>
        </w:rPr>
        <w:t>Within</w:t>
      </w:r>
      <w:r w:rsidRPr="005111FA">
        <w:rPr>
          <w:rStyle w:val="FootnoteReference"/>
          <w:vertAlign w:val="baseline"/>
        </w:rPr>
        <w:t xml:space="preserve"> recent memory, we had never </w:t>
      </w:r>
      <w:r>
        <w:rPr>
          <w:rStyle w:val="FootnoteReference"/>
          <w:vertAlign w:val="baseline"/>
        </w:rPr>
        <w:t>experienced</w:t>
      </w:r>
      <w:r w:rsidRPr="005111FA">
        <w:rPr>
          <w:rStyle w:val="FootnoteReference"/>
          <w:vertAlign w:val="baseline"/>
        </w:rPr>
        <w:t xml:space="preserve"> that.</w:t>
      </w:r>
    </w:p>
    <w:p w14:paraId="5269ED66" w14:textId="77777777" w:rsidR="00525A7D" w:rsidRPr="005111FA" w:rsidRDefault="00525A7D" w:rsidP="005111FA"/>
    <w:p w14:paraId="44C54ACE" w14:textId="56F0D774" w:rsidR="00525A7D" w:rsidRPr="00454F01" w:rsidRDefault="00525A7D" w:rsidP="005111FA">
      <w:pPr>
        <w:rPr>
          <w:rStyle w:val="FootnoteReference"/>
          <w:vertAlign w:val="baseline"/>
        </w:rPr>
      </w:pPr>
      <w:r w:rsidRPr="00454F01">
        <w:rPr>
          <w:rStyle w:val="FootnoteReference"/>
          <w:vertAlign w:val="baseline"/>
        </w:rPr>
        <w:t xml:space="preserve">However, despite foreseeable slippages (refusal to comply, strategies to circumvent the ban, nervous breakdowns), the situation </w:t>
      </w:r>
      <w:r w:rsidR="00454F01" w:rsidRPr="00454F01">
        <w:rPr>
          <w:rStyle w:val="FootnoteReference"/>
          <w:vertAlign w:val="baseline"/>
        </w:rPr>
        <w:t>is</w:t>
      </w:r>
      <w:r w:rsidRPr="00454F01">
        <w:rPr>
          <w:rStyle w:val="FootnoteReference"/>
          <w:vertAlign w:val="baseline"/>
        </w:rPr>
        <w:t xml:space="preserve"> not</w:t>
      </w:r>
      <w:r w:rsidR="00454F01" w:rsidRPr="00454F01">
        <w:rPr>
          <w:rStyle w:val="FootnoteReference"/>
          <w:vertAlign w:val="baseline"/>
        </w:rPr>
        <w:t xml:space="preserve"> </w:t>
      </w:r>
      <w:r w:rsidRPr="00454F01">
        <w:rPr>
          <w:rStyle w:val="FootnoteReference"/>
          <w:vertAlign w:val="baseline"/>
        </w:rPr>
        <w:t>generat</w:t>
      </w:r>
      <w:r w:rsidR="00454F01" w:rsidRPr="00454F01">
        <w:rPr>
          <w:rStyle w:val="FootnoteReference"/>
          <w:vertAlign w:val="baseline"/>
        </w:rPr>
        <w:t>ing</w:t>
      </w:r>
      <w:r w:rsidRPr="00454F01">
        <w:rPr>
          <w:rStyle w:val="FootnoteReference"/>
          <w:vertAlign w:val="baseline"/>
        </w:rPr>
        <w:t xml:space="preserve"> </w:t>
      </w:r>
      <w:r w:rsidR="00454F01" w:rsidRPr="00454F01">
        <w:rPr>
          <w:rStyle w:val="FootnoteReference"/>
          <w:vertAlign w:val="baseline"/>
        </w:rPr>
        <w:t>–</w:t>
      </w:r>
      <w:r w:rsidRPr="00454F01">
        <w:rPr>
          <w:rStyle w:val="FootnoteReference"/>
          <w:vertAlign w:val="baseline"/>
        </w:rPr>
        <w:t xml:space="preserve"> for the moment at least </w:t>
      </w:r>
      <w:r w:rsidR="00454F01" w:rsidRPr="00454F01">
        <w:rPr>
          <w:rStyle w:val="FootnoteReference"/>
          <w:vertAlign w:val="baseline"/>
        </w:rPr>
        <w:t>–</w:t>
      </w:r>
      <w:r w:rsidRPr="00454F01">
        <w:rPr>
          <w:rStyle w:val="FootnoteReference"/>
          <w:vertAlign w:val="baseline"/>
        </w:rPr>
        <w:t xml:space="preserve"> either riots or mass protests: the recalcitrants remain at the </w:t>
      </w:r>
      <w:r w:rsidR="00454F01" w:rsidRPr="00454F01">
        <w:rPr>
          <w:rStyle w:val="FootnoteReference"/>
          <w:vertAlign w:val="baseline"/>
        </w:rPr>
        <w:t xml:space="preserve">individual </w:t>
      </w:r>
      <w:r w:rsidRPr="00454F01">
        <w:rPr>
          <w:rStyle w:val="FootnoteReference"/>
          <w:vertAlign w:val="baseline"/>
        </w:rPr>
        <w:t>stage (and sometimes</w:t>
      </w:r>
      <w:r w:rsidR="007D1988">
        <w:t xml:space="preserve"> snitches</w:t>
      </w:r>
      <w:r w:rsidRPr="00454F01">
        <w:rPr>
          <w:rStyle w:val="FootnoteReference"/>
          <w:vertAlign w:val="baseline"/>
        </w:rPr>
        <w:t xml:space="preserve"> </w:t>
      </w:r>
      <w:r w:rsidR="00454F01" w:rsidRPr="00454F01">
        <w:t xml:space="preserve">even </w:t>
      </w:r>
      <w:r w:rsidR="00454F01">
        <w:rPr>
          <w:rStyle w:val="FootnoteReference"/>
          <w:vertAlign w:val="baseline"/>
        </w:rPr>
        <w:t>i</w:t>
      </w:r>
      <w:r w:rsidR="00454F01">
        <w:t>nform</w:t>
      </w:r>
      <w:r w:rsidRPr="00454F01">
        <w:rPr>
          <w:rStyle w:val="FootnoteReference"/>
          <w:vertAlign w:val="baseline"/>
        </w:rPr>
        <w:t xml:space="preserve"> the authorities</w:t>
      </w:r>
      <w:r w:rsidR="00454F01">
        <w:t xml:space="preserve"> about them</w:t>
      </w:r>
      <w:r w:rsidRPr="00454F01">
        <w:rPr>
          <w:rStyle w:val="FootnoteReference"/>
          <w:vertAlign w:val="baseline"/>
        </w:rPr>
        <w:t xml:space="preserve">). One can therefore wonder what makes this situation relatively bearable, </w:t>
      </w:r>
      <w:r w:rsidR="007D1988">
        <w:t xml:space="preserve">in </w:t>
      </w:r>
      <w:r w:rsidRPr="00454F01">
        <w:rPr>
          <w:rStyle w:val="FootnoteReference"/>
          <w:vertAlign w:val="baseline"/>
        </w:rPr>
        <w:t xml:space="preserve">spite </w:t>
      </w:r>
      <w:r w:rsidR="007D1988">
        <w:t xml:space="preserve">of </w:t>
      </w:r>
      <w:r w:rsidRPr="00454F01">
        <w:rPr>
          <w:rStyle w:val="FootnoteReference"/>
          <w:vertAlign w:val="baseline"/>
        </w:rPr>
        <w:t>everything. However, the answer to this question cannot be reduced to the existence of these two essential resources which are, technically, the ability to connect with others remotely thanks to tele-communication technologies (the intensity of these tele-links can even lead to a form of relational overwork) and, on the moral level, the feeling, after all, that we are almost equal in the face of the threat (the virus does not</w:t>
      </w:r>
      <w:r w:rsidR="00454F01">
        <w:rPr>
          <w:rStyle w:val="FootnoteReference"/>
          <w:vertAlign w:val="baseline"/>
        </w:rPr>
        <w:t xml:space="preserve"> recognise</w:t>
      </w:r>
      <w:r w:rsidRPr="00454F01">
        <w:rPr>
          <w:rStyle w:val="FootnoteReference"/>
          <w:vertAlign w:val="baseline"/>
        </w:rPr>
        <w:t xml:space="preserve"> social classes), even if it affects older</w:t>
      </w:r>
      <w:r w:rsidR="00454F01" w:rsidRPr="00454F01">
        <w:rPr>
          <w:rStyle w:val="FootnoteReference"/>
          <w:vertAlign w:val="baseline"/>
        </w:rPr>
        <w:t xml:space="preserve"> </w:t>
      </w:r>
      <w:r w:rsidR="00454F01">
        <w:t xml:space="preserve">people </w:t>
      </w:r>
      <w:r w:rsidR="00454F01" w:rsidRPr="00454F01">
        <w:rPr>
          <w:rStyle w:val="FootnoteReference"/>
          <w:vertAlign w:val="baseline"/>
        </w:rPr>
        <w:t>more</w:t>
      </w:r>
      <w:r w:rsidRPr="00454F01">
        <w:rPr>
          <w:rStyle w:val="FootnoteReference"/>
          <w:vertAlign w:val="baseline"/>
        </w:rPr>
        <w:t xml:space="preserve"> and even if, above all, the consequences of confinement are anything but egalitarian</w:t>
      </w:r>
      <w:r w:rsidR="00454F01">
        <w:t>,</w:t>
      </w:r>
      <w:r w:rsidRPr="00454F01">
        <w:rPr>
          <w:rStyle w:val="FootnoteReference"/>
          <w:vertAlign w:val="baseline"/>
        </w:rPr>
        <w:t xml:space="preserve"> depending on living conditions.</w:t>
      </w:r>
    </w:p>
    <w:p w14:paraId="5FD39820" w14:textId="77777777" w:rsidR="00525A7D" w:rsidRPr="00454F01" w:rsidRDefault="00525A7D" w:rsidP="005111FA"/>
    <w:p w14:paraId="537FF4EA" w14:textId="2B95A9AA" w:rsidR="00525A7D" w:rsidRDefault="00454F01" w:rsidP="005111FA">
      <w:r>
        <w:rPr>
          <w:rStyle w:val="FootnoteReference"/>
          <w:vertAlign w:val="baseline"/>
        </w:rPr>
        <w:t>F</w:t>
      </w:r>
      <w:r>
        <w:t>or</w:t>
      </w:r>
      <w:r w:rsidR="00525A7D" w:rsidRPr="005111FA">
        <w:rPr>
          <w:rStyle w:val="FootnoteReference"/>
          <w:vertAlign w:val="baseline"/>
        </w:rPr>
        <w:t xml:space="preserve"> beyond maintaining links at a distance</w:t>
      </w:r>
      <w:r>
        <w:t>,</w:t>
      </w:r>
      <w:r w:rsidR="00525A7D" w:rsidRPr="005111FA">
        <w:rPr>
          <w:rStyle w:val="FootnoteReference"/>
          <w:vertAlign w:val="baseline"/>
        </w:rPr>
        <w:t xml:space="preserve"> and the relative equality of health risks, it seems to me that the main reason for this overall acceptance of containment measures lies in the fact that they intensely demand our sense of responsibility. Because we are asked </w:t>
      </w:r>
      <w:r>
        <w:rPr>
          <w:rStyle w:val="FootnoteReference"/>
          <w:vertAlign w:val="baseline"/>
        </w:rPr>
        <w:t>–</w:t>
      </w:r>
      <w:r w:rsidR="00525A7D" w:rsidRPr="005111FA">
        <w:rPr>
          <w:rStyle w:val="FootnoteReference"/>
          <w:vertAlign w:val="baseline"/>
        </w:rPr>
        <w:t xml:space="preserve"> and </w:t>
      </w:r>
      <w:r>
        <w:t xml:space="preserve">it is </w:t>
      </w:r>
      <w:r w:rsidR="00525A7D" w:rsidRPr="005111FA">
        <w:rPr>
          <w:rStyle w:val="FootnoteReference"/>
          <w:vertAlign w:val="baseline"/>
        </w:rPr>
        <w:t xml:space="preserve">right </w:t>
      </w:r>
      <w:r>
        <w:t xml:space="preserve">to ask us </w:t>
      </w:r>
      <w:r>
        <w:rPr>
          <w:rStyle w:val="FootnoteReference"/>
          <w:vertAlign w:val="baseline"/>
        </w:rPr>
        <w:t>–</w:t>
      </w:r>
      <w:r w:rsidR="00525A7D" w:rsidRPr="005111FA">
        <w:rPr>
          <w:rStyle w:val="FootnoteReference"/>
          <w:vertAlign w:val="baseline"/>
        </w:rPr>
        <w:t xml:space="preserve"> to act as adults</w:t>
      </w:r>
      <w:r>
        <w:rPr>
          <w:rStyle w:val="FootnoteReference"/>
          <w:vertAlign w:val="baseline"/>
        </w:rPr>
        <w:t>:</w:t>
      </w:r>
      <w:r w:rsidR="00525A7D" w:rsidRPr="005111FA">
        <w:rPr>
          <w:rStyle w:val="FootnoteReference"/>
          <w:vertAlign w:val="baseline"/>
        </w:rPr>
        <w:t xml:space="preserve"> that is to say, </w:t>
      </w:r>
      <w:r>
        <w:t xml:space="preserve">we are asked to </w:t>
      </w:r>
      <w:r w:rsidR="00525A7D" w:rsidRPr="005111FA">
        <w:rPr>
          <w:rStyle w:val="FootnoteReference"/>
          <w:vertAlign w:val="baseline"/>
        </w:rPr>
        <w:t>be aware that our actions can be beneficial or harmful to others.</w:t>
      </w:r>
    </w:p>
    <w:p w14:paraId="6EE3A76C" w14:textId="77777777" w:rsidR="00525A7D" w:rsidRDefault="00525A7D" w:rsidP="005111FA"/>
    <w:p w14:paraId="2E9AC216" w14:textId="013E0FF8" w:rsidR="00525A7D" w:rsidRDefault="00525A7D" w:rsidP="005111FA">
      <w:r>
        <w:t xml:space="preserve">Let us remember: the first reaction of many of our fellow citizens was to interpret coercive measures as </w:t>
      </w:r>
      <w:r w:rsidR="00454F01">
        <w:t xml:space="preserve">being </w:t>
      </w:r>
      <w:r>
        <w:t xml:space="preserve">intended </w:t>
      </w:r>
      <w:r w:rsidR="00454F01">
        <w:t>for</w:t>
      </w:r>
      <w:r>
        <w:t xml:space="preserve"> </w:t>
      </w:r>
      <w:r w:rsidR="00454F01">
        <w:t xml:space="preserve">the </w:t>
      </w:r>
      <w:r>
        <w:t>protect</w:t>
      </w:r>
      <w:r w:rsidR="00454F01">
        <w:t>ion of</w:t>
      </w:r>
      <w:r>
        <w:t xml:space="preserve"> </w:t>
      </w:r>
      <w:r w:rsidRPr="00454F01">
        <w:rPr>
          <w:i/>
          <w:iCs/>
        </w:rPr>
        <w:t>their</w:t>
      </w:r>
      <w:r>
        <w:t xml:space="preserve"> health: </w:t>
      </w:r>
      <w:r w:rsidR="00454F01">
        <w:t>w</w:t>
      </w:r>
      <w:r>
        <w:t xml:space="preserve">hence </w:t>
      </w:r>
      <w:r w:rsidR="00454F01">
        <w:t xml:space="preserve">could come </w:t>
      </w:r>
      <w:r>
        <w:t xml:space="preserve">a reaction </w:t>
      </w:r>
      <w:r>
        <w:lastRenderedPageBreak/>
        <w:t>of revolt and rejection, because after all,</w:t>
      </w:r>
      <w:r w:rsidR="001C4FCA">
        <w:t xml:space="preserve"> </w:t>
      </w:r>
      <w:r>
        <w:t xml:space="preserve">what right </w:t>
      </w:r>
      <w:r w:rsidR="001C4FCA">
        <w:t xml:space="preserve">has </w:t>
      </w:r>
      <w:r>
        <w:t>the public power</w:t>
      </w:r>
      <w:r w:rsidR="001C4FCA">
        <w:t xml:space="preserve"> to</w:t>
      </w:r>
      <w:r>
        <w:t xml:space="preserve"> rule my life? And then, being young and not sick</w:t>
      </w:r>
      <w:r w:rsidR="001C4FCA">
        <w:t xml:space="preserve">, it </w:t>
      </w:r>
      <w:proofErr w:type="gramStart"/>
      <w:r w:rsidR="001C4FCA">
        <w:t>doesn’t</w:t>
      </w:r>
      <w:proofErr w:type="gramEnd"/>
      <w:r w:rsidR="001C4FCA">
        <w:t xml:space="preserve"> </w:t>
      </w:r>
      <w:r>
        <w:t>concern</w:t>
      </w:r>
      <w:r w:rsidR="001C4FCA">
        <w:t xml:space="preserve"> </w:t>
      </w:r>
      <w:r w:rsidR="001C4FCA" w:rsidRPr="001C4FCA">
        <w:rPr>
          <w:i/>
          <w:iCs/>
        </w:rPr>
        <w:t>me</w:t>
      </w:r>
      <w:r>
        <w:t xml:space="preserve">, </w:t>
      </w:r>
      <w:r w:rsidR="001C4FCA">
        <w:t>does</w:t>
      </w:r>
      <w:r>
        <w:t xml:space="preserve"> it? Besides, </w:t>
      </w:r>
      <w:proofErr w:type="gramStart"/>
      <w:r w:rsidR="001C4FCA">
        <w:t>do</w:t>
      </w:r>
      <w:r>
        <w:t>n</w:t>
      </w:r>
      <w:r w:rsidR="001C4FCA">
        <w:t>’</w:t>
      </w:r>
      <w:r>
        <w:t>t</w:t>
      </w:r>
      <w:proofErr w:type="gramEnd"/>
      <w:r>
        <w:t xml:space="preserve"> I have the right to take risks for myself if I want to? Fortunately, government communications have made a good point:</w:t>
      </w:r>
      <w:r w:rsidR="001C4FCA">
        <w:t xml:space="preserve"> isolating</w:t>
      </w:r>
      <w:r>
        <w:t xml:space="preserve"> yourself is not only protecting yourself but protecting others </w:t>
      </w:r>
      <w:r w:rsidR="001C4FCA">
        <w:t>–</w:t>
      </w:r>
      <w:r>
        <w:t xml:space="preserve"> your loved ones, and strangers encountered on the street, and </w:t>
      </w:r>
      <w:proofErr w:type="gramStart"/>
      <w:r>
        <w:t>all of</w:t>
      </w:r>
      <w:proofErr w:type="gramEnd"/>
      <w:r>
        <w:t xml:space="preserve"> your fellow citizens. In other words: if you are </w:t>
      </w:r>
      <w:r w:rsidR="001C4FCA">
        <w:t>isolat</w:t>
      </w:r>
      <w:r>
        <w:t xml:space="preserve">ed it is because you are not alone; and if you are cut off from others, it is precisely because others exist, and that they also depend on you. The same is true today not only for </w:t>
      </w:r>
      <w:r w:rsidR="001C4FCA">
        <w:t>isolation</w:t>
      </w:r>
      <w:r>
        <w:t xml:space="preserve"> but also for masks: if you have to wear a mask it is not so much, as we thought, to protect yourself </w:t>
      </w:r>
      <w:r w:rsidR="001C4FCA">
        <w:t>as</w:t>
      </w:r>
      <w:r>
        <w:t xml:space="preserve"> to protect others </w:t>
      </w:r>
      <w:r w:rsidR="001C4FCA">
        <w:t>–</w:t>
      </w:r>
      <w:r>
        <w:t xml:space="preserve"> and therefore also, ultimately, yourself.</w:t>
      </w:r>
    </w:p>
    <w:p w14:paraId="0214968B" w14:textId="77777777" w:rsidR="00525A7D" w:rsidRDefault="00525A7D" w:rsidP="005111FA"/>
    <w:p w14:paraId="6AE01016" w14:textId="3A6BA822" w:rsidR="00525A7D" w:rsidRDefault="00525A7D" w:rsidP="005111FA">
      <w:r>
        <w:t xml:space="preserve">And now, thanks to this crisis, </w:t>
      </w:r>
      <w:r w:rsidR="001C4FCA">
        <w:t xml:space="preserve">it </w:t>
      </w:r>
      <w:r>
        <w:t xml:space="preserve">has been </w:t>
      </w:r>
      <w:r w:rsidR="001C4FCA">
        <w:t>possible</w:t>
      </w:r>
      <w:r>
        <w:t xml:space="preserve"> to introduce into the minds of many of our fellow citizens the idea that not everyone is the alpha and omega of their own life; that above the individual interest there is something more precious, which is called the general interest, or the common good; but that the coexistence of the two is not necessarily easy to organi</w:t>
      </w:r>
      <w:r w:rsidR="001C4FCA">
        <w:t>s</w:t>
      </w:r>
      <w:r>
        <w:t xml:space="preserve">e when we find ourselves split between private values ​​(our comfort, our need for relationships with our loved ones, our desire to go to the countryside, our freedom) and public values by virtue of which we justify our actions (not to aggravate the contamination, not to endanger the health of the most vulnerable, not to increase the task of the caregivers). Now </w:t>
      </w:r>
      <w:r w:rsidR="001C4FCA">
        <w:t>isolation</w:t>
      </w:r>
      <w:r>
        <w:t xml:space="preserve"> forces us to put our desires at a distance (after all, is it so important for me to </w:t>
      </w:r>
      <w:proofErr w:type="spellStart"/>
      <w:r w:rsidR="007D1988">
        <w:t>rejoin</w:t>
      </w:r>
      <w:proofErr w:type="spellEnd"/>
      <w:r w:rsidR="007D1988">
        <w:t xml:space="preserve"> </w:t>
      </w:r>
      <w:r>
        <w:t>the man I love without delay?)</w:t>
      </w:r>
      <w:r w:rsidR="009D3AE2">
        <w:t>, a</w:t>
      </w:r>
      <w:r>
        <w:t xml:space="preserve">nd to project ourselves into the future (all this will </w:t>
      </w:r>
      <w:r w:rsidR="001C4FCA">
        <w:t xml:space="preserve">last </w:t>
      </w:r>
      <w:r>
        <w:t xml:space="preserve">only </w:t>
      </w:r>
      <w:r w:rsidR="001C4FCA">
        <w:t xml:space="preserve">for </w:t>
      </w:r>
      <w:r>
        <w:t xml:space="preserve">a time, and </w:t>
      </w:r>
      <w:r w:rsidR="001C4FCA">
        <w:t xml:space="preserve">it </w:t>
      </w:r>
      <w:r>
        <w:t xml:space="preserve">will last all the less </w:t>
      </w:r>
      <w:r w:rsidR="001C4FCA">
        <w:t>if</w:t>
      </w:r>
      <w:r>
        <w:t xml:space="preserve"> I submit to the instructions). Put your desires at a distance, and project yourself into the future: this is exactly what you teach children to help them become adults</w:t>
      </w:r>
      <w:r w:rsidR="001C4FCA">
        <w:t xml:space="preserve"> –</w:t>
      </w:r>
      <w:r>
        <w:t xml:space="preserve"> that is to say, civilized.</w:t>
      </w:r>
    </w:p>
    <w:p w14:paraId="30D601AC" w14:textId="77777777" w:rsidR="00525A7D" w:rsidRDefault="00525A7D" w:rsidP="005111FA"/>
    <w:p w14:paraId="1D0B009F" w14:textId="4A27F34E" w:rsidR="00525A7D" w:rsidRDefault="00525A7D" w:rsidP="005111FA">
      <w:r>
        <w:t>Another step</w:t>
      </w:r>
      <w:r w:rsidR="003368D4">
        <w:t xml:space="preserve"> is taken</w:t>
      </w:r>
      <w:r>
        <w:t xml:space="preserve">, Norbert Elias would have said, in this </w:t>
      </w:r>
      <w:r w:rsidR="001C4FCA">
        <w:t>‘</w:t>
      </w:r>
      <w:r w:rsidR="009D3AE2">
        <w:t xml:space="preserve">civilizing </w:t>
      </w:r>
      <w:r>
        <w:t xml:space="preserve">process </w:t>
      </w:r>
      <w:r w:rsidR="001C4FCA">
        <w:t>’</w:t>
      </w:r>
      <w:r>
        <w:t xml:space="preserve"> which</w:t>
      </w:r>
      <w:r w:rsidR="003368D4">
        <w:t>, for the best,</w:t>
      </w:r>
      <w:r>
        <w:t xml:space="preserve"> has built Western societies, by educating humans </w:t>
      </w:r>
      <w:r w:rsidR="003368D4">
        <w:t>to</w:t>
      </w:r>
      <w:r>
        <w:t xml:space="preserve"> something other than the selfish satisfaction of their immediate desires and the gross expression of their bodily needs. And no doubt he would have added that with this collective awareness of the </w:t>
      </w:r>
      <w:r w:rsidR="003368D4">
        <w:t>‘</w:t>
      </w:r>
      <w:r>
        <w:t>interdependence</w:t>
      </w:r>
      <w:r w:rsidR="003368D4">
        <w:t>’</w:t>
      </w:r>
      <w:r>
        <w:t xml:space="preserve"> on which </w:t>
      </w:r>
      <w:r w:rsidR="003368D4">
        <w:t>‘</w:t>
      </w:r>
      <w:r>
        <w:t>the society of individuals</w:t>
      </w:r>
      <w:r w:rsidR="003368D4">
        <w:t>’</w:t>
      </w:r>
      <w:r>
        <w:t xml:space="preserve"> feeds, we are also witnessing the decline of </w:t>
      </w:r>
      <w:r w:rsidRPr="003368D4">
        <w:rPr>
          <w:i/>
          <w:iCs/>
        </w:rPr>
        <w:t xml:space="preserve">homo </w:t>
      </w:r>
      <w:proofErr w:type="spellStart"/>
      <w:r w:rsidRPr="003368D4">
        <w:rPr>
          <w:i/>
          <w:iCs/>
        </w:rPr>
        <w:t>clausus</w:t>
      </w:r>
      <w:proofErr w:type="spellEnd"/>
      <w:r>
        <w:t>, this spontaneous illusion according to which the</w:t>
      </w:r>
      <w:r w:rsidR="003368D4">
        <w:t xml:space="preserve"> human being</w:t>
      </w:r>
      <w:r>
        <w:t xml:space="preserve"> </w:t>
      </w:r>
      <w:r w:rsidR="007D1988">
        <w:t xml:space="preserve">appears </w:t>
      </w:r>
      <w:r>
        <w:t>closed in on him</w:t>
      </w:r>
      <w:r w:rsidR="00353A3D">
        <w:t>-</w:t>
      </w:r>
      <w:r w:rsidR="003368D4">
        <w:t xml:space="preserve"> or her</w:t>
      </w:r>
      <w:r>
        <w:t>self, defined before and independently of others.</w:t>
      </w:r>
    </w:p>
    <w:p w14:paraId="280E1040" w14:textId="77777777" w:rsidR="003368D4" w:rsidRDefault="003368D4" w:rsidP="005111FA"/>
    <w:p w14:paraId="4A23A522" w14:textId="03995998" w:rsidR="00525A7D" w:rsidRDefault="00525A7D" w:rsidP="005111FA">
      <w:r>
        <w:t xml:space="preserve">End of the illusion of individual omnipotence, end of the fantasy that </w:t>
      </w:r>
      <w:r w:rsidR="009D3AE2">
        <w:t xml:space="preserve">personal </w:t>
      </w:r>
      <w:r>
        <w:t xml:space="preserve">freedom is the ultimate goal: locked in our homes, here we are able to meditate, finally, the meaning and </w:t>
      </w:r>
      <w:r>
        <w:lastRenderedPageBreak/>
        <w:t>importance of the concept of general interest; and to reali</w:t>
      </w:r>
      <w:r w:rsidR="003368D4">
        <w:t>s</w:t>
      </w:r>
      <w:r>
        <w:t xml:space="preserve">e the imperative need to prefer, </w:t>
      </w:r>
      <w:r w:rsidR="003368D4">
        <w:t xml:space="preserve">over </w:t>
      </w:r>
      <w:r>
        <w:t>both economic (right) and libertarian (left) liberalism, the republican concept</w:t>
      </w:r>
      <w:r w:rsidR="009D3AE2">
        <w:t>ion</w:t>
      </w:r>
      <w:r>
        <w:t xml:space="preserve"> of citizenship, which makes the common good superior to the sum of individual freedoms, and places it above</w:t>
      </w:r>
      <w:r w:rsidR="003368D4">
        <w:t xml:space="preserve"> them</w:t>
      </w:r>
      <w:r>
        <w:t xml:space="preserve">, by connecting us not only to our loved ones and our </w:t>
      </w:r>
      <w:r w:rsidR="007D1988">
        <w:t xml:space="preserve">nearest and dearest </w:t>
      </w:r>
      <w:r>
        <w:t>but to all our fellow citizens, even to all the inhabitants of our unhappy planet.</w:t>
      </w:r>
    </w:p>
    <w:p w14:paraId="5F1F5E31" w14:textId="77777777" w:rsidR="003368D4" w:rsidRDefault="003368D4" w:rsidP="005111FA"/>
    <w:p w14:paraId="5482ED3B" w14:textId="7624F2F9" w:rsidR="00525A7D" w:rsidRDefault="00525A7D" w:rsidP="005111FA">
      <w:r>
        <w:t xml:space="preserve">So here </w:t>
      </w:r>
      <w:r w:rsidR="003368D4">
        <w:t xml:space="preserve">it </w:t>
      </w:r>
      <w:r>
        <w:t>is that after two generations fed up</w:t>
      </w:r>
      <w:r w:rsidR="003368D4">
        <w:t>on</w:t>
      </w:r>
      <w:r>
        <w:t xml:space="preserve"> the cult of the child </w:t>
      </w:r>
      <w:r w:rsidR="00E131B2">
        <w:t xml:space="preserve">as sovereign </w:t>
      </w:r>
      <w:r>
        <w:t xml:space="preserve">and of </w:t>
      </w:r>
      <w:r w:rsidR="003368D4">
        <w:t>‘</w:t>
      </w:r>
      <w:r>
        <w:t>I have the right to dress as I want</w:t>
      </w:r>
      <w:r w:rsidR="003368D4">
        <w:t>’</w:t>
      </w:r>
      <w:r>
        <w:t xml:space="preserve">, the dream of omnipotence falls back with all its weight of corrosive illusion, and flops: </w:t>
      </w:r>
      <w:r w:rsidR="00F93E3E">
        <w:t xml:space="preserve">there are </w:t>
      </w:r>
      <w:r>
        <w:t>de</w:t>
      </w:r>
      <w:r w:rsidR="003368D4">
        <w:t>finite</w:t>
      </w:r>
      <w:r>
        <w:t>ly</w:t>
      </w:r>
      <w:r w:rsidR="00F93E3E">
        <w:t xml:space="preserve"> things </w:t>
      </w:r>
      <w:r>
        <w:t xml:space="preserve">more important, and even more exciting, than the satisfaction of individual desires. Because there are also all of us, connected to </w:t>
      </w:r>
      <w:r w:rsidR="00480BA1">
        <w:t xml:space="preserve">something </w:t>
      </w:r>
      <w:r>
        <w:t xml:space="preserve">greater than us, </w:t>
      </w:r>
      <w:r w:rsidR="00480BA1">
        <w:t>isolat</w:t>
      </w:r>
      <w:r>
        <w:t xml:space="preserve">ed </w:t>
      </w:r>
      <w:r w:rsidR="001C19DC">
        <w:t xml:space="preserve">of course </w:t>
      </w:r>
      <w:r>
        <w:t xml:space="preserve">but interdependent, responsible, united and </w:t>
      </w:r>
      <w:r w:rsidR="00F93E3E">
        <w:t>–</w:t>
      </w:r>
      <w:r>
        <w:t xml:space="preserve"> </w:t>
      </w:r>
      <w:proofErr w:type="gramStart"/>
      <w:r w:rsidR="00F93E3E">
        <w:t>in spite of</w:t>
      </w:r>
      <w:proofErr w:type="gramEnd"/>
      <w:r>
        <w:t xml:space="preserve"> everything </w:t>
      </w:r>
      <w:r w:rsidR="00F93E3E">
        <w:t>–</w:t>
      </w:r>
      <w:r>
        <w:t xml:space="preserve"> proud of it.</w:t>
      </w:r>
    </w:p>
    <w:p w14:paraId="3DD3CF25" w14:textId="77777777" w:rsidR="00525A7D" w:rsidRDefault="00525A7D" w:rsidP="005111FA"/>
    <w:p w14:paraId="01BE88B3" w14:textId="3DCDCEE2" w:rsidR="00525A7D" w:rsidRDefault="00525A7D" w:rsidP="005111FA">
      <w:r>
        <w:t>Nathalie HEINICH (sociologist)</w:t>
      </w:r>
    </w:p>
    <w:p w14:paraId="1B8676F1" w14:textId="108DAFEE" w:rsidR="00E61761" w:rsidRDefault="00E61761" w:rsidP="005111FA"/>
    <w:p w14:paraId="26A2EFAA" w14:textId="0996D22F" w:rsidR="00E61761" w:rsidRPr="00E61761" w:rsidRDefault="00E61761" w:rsidP="005111FA">
      <w:r>
        <w:t xml:space="preserve">In the original French, this article appeared in </w:t>
      </w:r>
      <w:r>
        <w:rPr>
          <w:i/>
          <w:iCs/>
        </w:rPr>
        <w:t>Le Monde</w:t>
      </w:r>
      <w:r>
        <w:t xml:space="preserve">, 4 April 2020: </w:t>
      </w:r>
      <w:hyperlink r:id="rId7" w:history="1">
        <w:r w:rsidR="00E131B2" w:rsidRPr="002F5324">
          <w:rPr>
            <w:rStyle w:val="Hyperlink"/>
          </w:rPr>
          <w:t>https://www.lemonde.fr/idees/article/2020/04/04/il-y-a-ce-a-quoi-nous-sommes-relies-nous-tous-confines-mais-interdependants-responsables-solidaires-et-fiers-de-l-etre_6035532_3232.html</w:t>
        </w:r>
      </w:hyperlink>
      <w:r w:rsidR="00E131B2">
        <w:t xml:space="preserve"> </w:t>
      </w:r>
    </w:p>
    <w:p w14:paraId="0E7B2A8A" w14:textId="261BBB5D" w:rsidR="00F93E3E" w:rsidRDefault="00F93E3E" w:rsidP="005111FA"/>
    <w:p w14:paraId="10EFA05A" w14:textId="7CDA7524" w:rsidR="00F93E3E" w:rsidRDefault="00F93E3E" w:rsidP="005111FA">
      <w:r>
        <w:t>[Translated by Stephen Mennell</w:t>
      </w:r>
      <w:r w:rsidR="007D1988">
        <w:t>, with shortcuts by Google]</w:t>
      </w:r>
    </w:p>
    <w:p w14:paraId="73CE86A1" w14:textId="08F9002B" w:rsidR="00A55195" w:rsidRDefault="00A55195" w:rsidP="00525A7D">
      <w:pPr>
        <w:pStyle w:val="Heading1"/>
        <w:rPr>
          <w:rStyle w:val="FootnoteReference"/>
        </w:rPr>
      </w:pPr>
    </w:p>
    <w:sectPr w:rsidR="00A55195">
      <w:headerReference w:type="even" r:id="rId8"/>
      <w:headerReference w:type="default" r:id="rId9"/>
      <w:headerReference w:type="first" r:id="rId10"/>
      <w:endnotePr>
        <w:numFmt w:val="decimal"/>
      </w:endnotePr>
      <w:pgSz w:w="11907" w:h="16840" w:code="9"/>
      <w:pgMar w:top="1440" w:right="1440" w:bottom="1440" w:left="1440" w:header="720" w:footer="720" w:gutter="0"/>
      <w:paperSrc w:first="266" w:other="266"/>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06E55" w14:textId="77777777" w:rsidR="00BF7546" w:rsidRDefault="00BF7546">
      <w:pPr>
        <w:spacing w:line="240" w:lineRule="auto"/>
      </w:pPr>
      <w:r>
        <w:separator/>
      </w:r>
    </w:p>
  </w:endnote>
  <w:endnote w:type="continuationSeparator" w:id="0">
    <w:p w14:paraId="592EFD27" w14:textId="77777777" w:rsidR="00BF7546" w:rsidRDefault="00BF75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52DF7" w14:textId="77777777" w:rsidR="00BF7546" w:rsidRDefault="00BF7546">
      <w:pPr>
        <w:spacing w:line="240" w:lineRule="auto"/>
      </w:pPr>
      <w:r>
        <w:separator/>
      </w:r>
    </w:p>
  </w:footnote>
  <w:footnote w:type="continuationSeparator" w:id="0">
    <w:p w14:paraId="5D7A70E5" w14:textId="77777777" w:rsidR="00BF7546" w:rsidRDefault="00BF75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11726" w14:textId="77777777" w:rsidR="00A55195" w:rsidRDefault="00A551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1CD78" w14:textId="77777777" w:rsidR="00A55195" w:rsidRDefault="00A551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A7A29" w14:textId="77777777" w:rsidR="00A55195" w:rsidRDefault="00A551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19DC">
      <w:rPr>
        <w:rStyle w:val="PageNumber"/>
        <w:noProof/>
      </w:rPr>
      <w:t>3</w:t>
    </w:r>
    <w:r>
      <w:rPr>
        <w:rStyle w:val="PageNumber"/>
      </w:rPr>
      <w:fldChar w:fldCharType="end"/>
    </w:r>
  </w:p>
  <w:p w14:paraId="11ED60B2" w14:textId="77777777" w:rsidR="00A55195" w:rsidRDefault="00A5519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DD732" w14:textId="77777777" w:rsidR="00A55195" w:rsidRDefault="00A55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BEF1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84ED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C64B50"/>
    <w:lvl w:ilvl="0">
      <w:start w:val="1"/>
      <w:numFmt w:val="lowerRoman"/>
      <w:pStyle w:val="ListNumber3"/>
      <w:lvlText w:val="%1."/>
      <w:lvlJc w:val="left"/>
      <w:pPr>
        <w:tabs>
          <w:tab w:val="num" w:pos="1286"/>
        </w:tabs>
        <w:ind w:left="926" w:hanging="360"/>
      </w:pPr>
      <w:rPr>
        <w:rFonts w:ascii="Times New Roman" w:hAnsi="Times New Roman" w:hint="default"/>
        <w:b w:val="0"/>
        <w:i/>
        <w:sz w:val="24"/>
      </w:rPr>
    </w:lvl>
  </w:abstractNum>
  <w:abstractNum w:abstractNumId="3" w15:restartNumberingAfterBreak="0">
    <w:nsid w:val="FFFFFF7F"/>
    <w:multiLevelType w:val="singleLevel"/>
    <w:tmpl w:val="FEB0383C"/>
    <w:lvl w:ilvl="0">
      <w:start w:val="1"/>
      <w:numFmt w:val="lowerLetter"/>
      <w:pStyle w:val="ListNumber2"/>
      <w:lvlText w:val="(%1)"/>
      <w:lvlJc w:val="left"/>
      <w:pPr>
        <w:tabs>
          <w:tab w:val="num" w:pos="643"/>
        </w:tabs>
        <w:ind w:left="643" w:hanging="360"/>
      </w:pPr>
      <w:rPr>
        <w:rFonts w:ascii="Times New Roman" w:hAnsi="Times New Roman" w:hint="default"/>
        <w:b w:val="0"/>
        <w:i w:val="0"/>
        <w:sz w:val="24"/>
      </w:rPr>
    </w:lvl>
  </w:abstractNum>
  <w:abstractNum w:abstractNumId="4" w15:restartNumberingAfterBreak="0">
    <w:nsid w:val="FFFFFF80"/>
    <w:multiLevelType w:val="singleLevel"/>
    <w:tmpl w:val="9FF62B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E026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2E4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0843BA"/>
    <w:lvl w:ilvl="0">
      <w:start w:val="1"/>
      <w:numFmt w:val="bullet"/>
      <w:pStyle w:val="ListBullet2"/>
      <w:lvlText w:val="o"/>
      <w:lvlJc w:val="left"/>
      <w:pPr>
        <w:tabs>
          <w:tab w:val="num" w:pos="643"/>
        </w:tabs>
        <w:ind w:left="643" w:hanging="360"/>
      </w:pPr>
      <w:rPr>
        <w:rFonts w:ascii="Times New Roman" w:cs="Times New Roman" w:hint="default"/>
      </w:rPr>
    </w:lvl>
  </w:abstractNum>
  <w:abstractNum w:abstractNumId="8" w15:restartNumberingAfterBreak="0">
    <w:nsid w:val="FFFFFF88"/>
    <w:multiLevelType w:val="singleLevel"/>
    <w:tmpl w:val="1E8C2E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70948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9"/>
  </w:num>
  <w:num w:numId="4">
    <w:abstractNumId w:val="7"/>
  </w:num>
  <w:num w:numId="5">
    <w:abstractNumId w:val="7"/>
  </w:num>
  <w:num w:numId="6">
    <w:abstractNumId w:val="8"/>
  </w:num>
  <w:num w:numId="7">
    <w:abstractNumId w:val="8"/>
  </w:num>
  <w:num w:numId="8">
    <w:abstractNumId w:val="3"/>
  </w:num>
  <w:num w:numId="9">
    <w:abstractNumId w:val="3"/>
  </w:num>
  <w:num w:numId="10">
    <w:abstractNumId w:val="7"/>
  </w:num>
  <w:num w:numId="11">
    <w:abstractNumId w:val="7"/>
  </w:num>
  <w:num w:numId="12">
    <w:abstractNumId w:val="7"/>
  </w:num>
  <w:num w:numId="13">
    <w:abstractNumId w:val="7"/>
  </w:num>
  <w:num w:numId="14">
    <w:abstractNumId w:val="3"/>
  </w:num>
  <w:num w:numId="15">
    <w:abstractNumId w:val="2"/>
  </w:num>
  <w:num w:numId="16">
    <w:abstractNumId w:val="2"/>
  </w:num>
  <w:num w:numId="17">
    <w:abstractNumId w:val="6"/>
  </w:num>
  <w:num w:numId="18">
    <w:abstractNumId w:val="5"/>
  </w:num>
  <w:num w:numId="19">
    <w:abstractNumId w:val="4"/>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hyphenationZone w:val="425"/>
  <w:drawingGridHorizontalSpacing w:val="90"/>
  <w:drawingGridVerticalSpacing w:val="245"/>
  <w:displayHorizontalDrawingGridEvery w:val="0"/>
  <w:noPunctuationKerning/>
  <w:characterSpacingControl w:val="doNotCompress"/>
  <w:footnotePr>
    <w:footnote w:id="-1"/>
    <w:footnote w:id="0"/>
  </w:footnotePr>
  <w:endnotePr>
    <w:numFmt w:val="decimal"/>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5A7D"/>
    <w:rsid w:val="000707E4"/>
    <w:rsid w:val="001C19DC"/>
    <w:rsid w:val="001C4FCA"/>
    <w:rsid w:val="001E1D3F"/>
    <w:rsid w:val="003368D4"/>
    <w:rsid w:val="00351298"/>
    <w:rsid w:val="00353A3D"/>
    <w:rsid w:val="0037061F"/>
    <w:rsid w:val="003744AD"/>
    <w:rsid w:val="00454F01"/>
    <w:rsid w:val="00480BA1"/>
    <w:rsid w:val="00525A7D"/>
    <w:rsid w:val="005A1F72"/>
    <w:rsid w:val="005C2776"/>
    <w:rsid w:val="005C4B7B"/>
    <w:rsid w:val="006B763B"/>
    <w:rsid w:val="006F3337"/>
    <w:rsid w:val="007D1988"/>
    <w:rsid w:val="00877390"/>
    <w:rsid w:val="0099099E"/>
    <w:rsid w:val="009D3AE2"/>
    <w:rsid w:val="009E59B3"/>
    <w:rsid w:val="00A1726C"/>
    <w:rsid w:val="00A55195"/>
    <w:rsid w:val="00B81264"/>
    <w:rsid w:val="00BE5F51"/>
    <w:rsid w:val="00BF7546"/>
    <w:rsid w:val="00C813A5"/>
    <w:rsid w:val="00CE3F0C"/>
    <w:rsid w:val="00E131B2"/>
    <w:rsid w:val="00E61761"/>
    <w:rsid w:val="00F214A7"/>
    <w:rsid w:val="00F93E3E"/>
    <w:rsid w:val="00FE4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88B81"/>
  <w15:chartTrackingRefBased/>
  <w15:docId w15:val="{60AF20D5-A61F-40F1-9227-860FF384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390"/>
    <w:pPr>
      <w:widowControl w:val="0"/>
      <w:suppressAutoHyphens/>
      <w:spacing w:line="360" w:lineRule="auto"/>
    </w:pPr>
    <w:rPr>
      <w:sz w:val="24"/>
      <w:lang w:eastAsia="en-US"/>
    </w:rPr>
  </w:style>
  <w:style w:type="paragraph" w:styleId="Heading1">
    <w:name w:val="heading 1"/>
    <w:basedOn w:val="Normal"/>
    <w:next w:val="Normal"/>
    <w:qFormat/>
    <w:pPr>
      <w:keepNext/>
      <w:keepLines/>
      <w:spacing w:before="240" w:after="120"/>
      <w:outlineLvl w:val="0"/>
    </w:pPr>
    <w:rPr>
      <w:b/>
      <w:sz w:val="28"/>
    </w:rPr>
  </w:style>
  <w:style w:type="paragraph" w:styleId="Heading2">
    <w:name w:val="heading 2"/>
    <w:basedOn w:val="Normal"/>
    <w:next w:val="Normal"/>
    <w:qFormat/>
    <w:rsid w:val="00F214A7"/>
    <w:pPr>
      <w:keepNext/>
      <w:keepLines/>
      <w:spacing w:before="120" w:after="120"/>
      <w:outlineLvl w:val="1"/>
    </w:pPr>
    <w:rPr>
      <w:b/>
    </w:rPr>
  </w:style>
  <w:style w:type="paragraph" w:styleId="Heading3">
    <w:name w:val="heading 3"/>
    <w:basedOn w:val="Normal"/>
    <w:next w:val="Normal"/>
    <w:qFormat/>
    <w:pPr>
      <w:keepNext/>
      <w:keepLines/>
      <w:shd w:val="clear" w:color="000000" w:fill="auto"/>
      <w:spacing w:after="120"/>
      <w:outlineLvl w:val="2"/>
    </w:pPr>
    <w:rPr>
      <w:i/>
    </w:rPr>
  </w:style>
  <w:style w:type="paragraph" w:styleId="Heading4">
    <w:name w:val="heading 4"/>
    <w:basedOn w:val="Normal"/>
    <w:next w:val="Normal"/>
    <w:pPr>
      <w:keepNext/>
      <w:outlineLvl w:val="3"/>
    </w:pPr>
  </w:style>
  <w:style w:type="paragraph" w:styleId="Heading5">
    <w:name w:val="heading 5"/>
    <w:basedOn w:val="Normal"/>
    <w:next w:val="Normal"/>
    <w:pPr>
      <w:keepNext/>
      <w:jc w:val="center"/>
      <w:outlineLvl w:val="4"/>
    </w:pPr>
    <w:rPr>
      <w:b/>
      <w:smallCaps/>
    </w:rPr>
  </w:style>
  <w:style w:type="paragraph" w:styleId="Heading6">
    <w:name w:val="heading 6"/>
    <w:basedOn w:val="Normal"/>
    <w:next w:val="Normal"/>
    <w:pPr>
      <w:keepNext/>
      <w:spacing w:before="120"/>
      <w:outlineLvl w:val="5"/>
    </w:pPr>
    <w:rPr>
      <w:b/>
      <w:color w:val="000000"/>
      <w:sz w:val="20"/>
    </w:rPr>
  </w:style>
  <w:style w:type="paragraph" w:styleId="Heading7">
    <w:name w:val="heading 7"/>
    <w:basedOn w:val="Normal"/>
    <w:next w:val="Normal"/>
    <w:pPr>
      <w:spacing w:before="240" w:after="60"/>
      <w:outlineLvl w:val="6"/>
    </w:pPr>
    <w:rPr>
      <w:sz w:val="20"/>
      <w:szCs w:val="24"/>
    </w:rPr>
  </w:style>
  <w:style w:type="paragraph" w:styleId="Heading8">
    <w:name w:val="heading 8"/>
    <w:basedOn w:val="Normal"/>
    <w:next w:val="Normal"/>
    <w:pPr>
      <w:spacing w:before="240" w:after="60"/>
      <w:outlineLvl w:val="7"/>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quotation">
    <w:name w:val="quotation"/>
    <w:basedOn w:val="Normal"/>
    <w:qFormat/>
    <w:pPr>
      <w:ind w:left="720" w:right="749"/>
    </w:pPr>
  </w:style>
  <w:style w:type="paragraph" w:styleId="EnvelopeAddress">
    <w:name w:val="envelope address"/>
    <w:basedOn w:val="Normal"/>
    <w:semiHidden/>
    <w:pPr>
      <w:framePr w:w="7920" w:h="1980" w:hRule="exact" w:hSpace="180" w:wrap="auto" w:hAnchor="page" w:xAlign="center" w:yAlign="bottom"/>
      <w:ind w:left="2880"/>
    </w:pPr>
    <w:rPr>
      <w:rFonts w:cs="Arial"/>
      <w:szCs w:val="24"/>
    </w:rPr>
  </w:style>
  <w:style w:type="paragraph" w:styleId="Header">
    <w:name w:val="header"/>
    <w:basedOn w:val="Normal"/>
    <w:semiHidden/>
  </w:style>
  <w:style w:type="character" w:styleId="PageNumber">
    <w:name w:val="page number"/>
    <w:semiHidden/>
    <w:rPr>
      <w:rFonts w:ascii="Times New Roman" w:hAnsi="Times New Roman"/>
      <w:sz w:val="24"/>
    </w:rPr>
  </w:style>
  <w:style w:type="paragraph" w:styleId="FootnoteText">
    <w:name w:val="footnote text"/>
    <w:basedOn w:val="Normal"/>
    <w:semiHidden/>
    <w:rPr>
      <w:sz w:val="20"/>
    </w:rPr>
  </w:style>
  <w:style w:type="paragraph" w:styleId="BodyText">
    <w:name w:val="Body Text"/>
    <w:basedOn w:val="Normal"/>
    <w:link w:val="BodyTextChar"/>
    <w:semiHidden/>
  </w:style>
  <w:style w:type="paragraph" w:styleId="Footer">
    <w:name w:val="footer"/>
    <w:basedOn w:val="Normal"/>
    <w:semiHidden/>
    <w:pPr>
      <w:widowControl/>
      <w:tabs>
        <w:tab w:val="center" w:pos="4153"/>
        <w:tab w:val="right" w:pos="8306"/>
      </w:tabs>
      <w:suppressAutoHyphens w:val="0"/>
    </w:pPr>
    <w:rPr>
      <w:sz w:val="20"/>
    </w:rPr>
  </w:style>
  <w:style w:type="paragraph" w:styleId="Title">
    <w:name w:val="Title"/>
    <w:basedOn w:val="Normal"/>
    <w:pPr>
      <w:spacing w:before="240" w:after="60"/>
      <w:jc w:val="center"/>
      <w:outlineLvl w:val="0"/>
    </w:pPr>
    <w:rPr>
      <w:rFonts w:ascii="Gill Sans MT" w:hAnsi="Gill Sans MT"/>
      <w:kern w:val="28"/>
      <w:sz w:val="28"/>
    </w:rPr>
  </w:style>
  <w:style w:type="paragraph" w:styleId="EnvelopeReturn">
    <w:name w:val="envelope return"/>
    <w:basedOn w:val="Normal"/>
    <w:semiHidden/>
    <w:rPr>
      <w:rFonts w:ascii="Arial" w:hAnsi="Arial" w:cs="Arial"/>
      <w:sz w:val="20"/>
    </w:rPr>
  </w:style>
  <w:style w:type="paragraph" w:styleId="BodyText2">
    <w:name w:val="Body Text 2"/>
    <w:basedOn w:val="Normal"/>
    <w:semiHidden/>
    <w:rPr>
      <w:rFonts w:ascii="Gill Sans MT" w:hAnsi="Gill Sans MT"/>
    </w:rPr>
  </w:style>
  <w:style w:type="paragraph" w:styleId="BodyText3">
    <w:name w:val="Body Text 3"/>
    <w:basedOn w:val="Normal"/>
    <w:semiHidden/>
    <w:rPr>
      <w:rFonts w:ascii="Courier New" w:hAnsi="Courier New"/>
      <w:sz w:val="20"/>
    </w:rPr>
  </w:style>
  <w:style w:type="paragraph" w:styleId="BodyTextIndent">
    <w:name w:val="Body Text Indent"/>
    <w:basedOn w:val="Normal"/>
    <w:link w:val="BodyTextIndentChar"/>
    <w:semiHidden/>
    <w:pPr>
      <w:widowControl/>
      <w:ind w:left="967" w:hanging="391"/>
    </w:pPr>
  </w:style>
  <w:style w:type="paragraph" w:styleId="BodyTextIndent2">
    <w:name w:val="Body Text Indent 2"/>
    <w:basedOn w:val="Normal"/>
    <w:semiHidden/>
    <w:pPr>
      <w:widowControl/>
      <w:ind w:left="985" w:hanging="697"/>
    </w:pPr>
    <w:rPr>
      <w:rFonts w:ascii="Courier New" w:hAnsi="Courier New"/>
      <w:sz w:val="20"/>
    </w:rPr>
  </w:style>
  <w:style w:type="paragraph" w:customStyle="1" w:styleId="bulletedlist">
    <w:name w:val="bulleted list"/>
    <w:basedOn w:val="Normal"/>
    <w:pPr>
      <w:ind w:left="284" w:hanging="284"/>
    </w:pPr>
  </w:style>
  <w:style w:type="character" w:styleId="FootnoteReference">
    <w:name w:val="footnote reference"/>
    <w:semiHidden/>
    <w:rPr>
      <w:sz w:val="24"/>
      <w:vertAlign w:val="superscript"/>
    </w:rPr>
  </w:style>
  <w:style w:type="paragraph" w:customStyle="1" w:styleId="numberedlist">
    <w:name w:val="numbered list"/>
    <w:basedOn w:val="Normal"/>
    <w:pPr>
      <w:ind w:left="567" w:hanging="567"/>
    </w:pPr>
  </w:style>
  <w:style w:type="paragraph" w:customStyle="1" w:styleId="tabhead">
    <w:name w:val="tabhead"/>
    <w:basedOn w:val="Heading2"/>
    <w:pPr>
      <w:jc w:val="center"/>
      <w:outlineLvl w:val="9"/>
    </w:pPr>
    <w:rPr>
      <w:rFonts w:ascii="Arial" w:hAnsi="Arial"/>
      <w:i/>
    </w:rPr>
  </w:style>
  <w:style w:type="paragraph" w:styleId="TOC1">
    <w:name w:val="toc 1"/>
    <w:basedOn w:val="Normal"/>
    <w:next w:val="Normal"/>
    <w:autoRedefine/>
    <w:semiHidden/>
    <w:pPr>
      <w:tabs>
        <w:tab w:val="right" w:leader="dot" w:pos="9071"/>
      </w:tabs>
    </w:pPr>
    <w:rPr>
      <w:b/>
    </w:rPr>
  </w:style>
  <w:style w:type="paragraph" w:styleId="TOC2">
    <w:name w:val="toc 2"/>
    <w:basedOn w:val="Normal"/>
    <w:next w:val="Normal"/>
    <w:autoRedefine/>
    <w:semiHidden/>
    <w:pPr>
      <w:tabs>
        <w:tab w:val="right" w:leader="dot" w:pos="9071"/>
      </w:tabs>
      <w:ind w:left="220"/>
    </w:pPr>
  </w:style>
  <w:style w:type="paragraph" w:styleId="TOC3">
    <w:name w:val="toc 3"/>
    <w:basedOn w:val="Normal"/>
    <w:next w:val="Normal"/>
    <w:autoRedefine/>
    <w:semiHidden/>
    <w:pPr>
      <w:tabs>
        <w:tab w:val="right" w:leader="dot" w:pos="9071"/>
      </w:tabs>
      <w:ind w:left="440"/>
    </w:pPr>
    <w:rPr>
      <w:i/>
    </w:rPr>
  </w:style>
  <w:style w:type="paragraph" w:styleId="TOC4">
    <w:name w:val="toc 4"/>
    <w:basedOn w:val="Normal"/>
    <w:next w:val="Normal"/>
    <w:autoRedefine/>
    <w:semiHidden/>
    <w:pPr>
      <w:tabs>
        <w:tab w:val="right" w:leader="dot" w:pos="9071"/>
      </w:tabs>
      <w:ind w:left="660"/>
    </w:pPr>
    <w:rPr>
      <w:i/>
      <w:smallCaps/>
      <w:sz w:val="20"/>
    </w:rPr>
  </w:style>
  <w:style w:type="paragraph" w:styleId="TOC5">
    <w:name w:val="toc 5"/>
    <w:basedOn w:val="Normal"/>
    <w:next w:val="Normal"/>
    <w:autoRedefine/>
    <w:semiHidden/>
    <w:pPr>
      <w:tabs>
        <w:tab w:val="right" w:leader="dot" w:pos="9071"/>
      </w:tabs>
      <w:ind w:left="880"/>
    </w:pPr>
  </w:style>
  <w:style w:type="paragraph" w:styleId="TOC6">
    <w:name w:val="toc 6"/>
    <w:basedOn w:val="Normal"/>
    <w:next w:val="Normal"/>
    <w:autoRedefine/>
    <w:semiHidden/>
    <w:pPr>
      <w:tabs>
        <w:tab w:val="right" w:leader="dot" w:pos="9071"/>
      </w:tabs>
      <w:ind w:left="1100"/>
    </w:pPr>
  </w:style>
  <w:style w:type="paragraph" w:styleId="TOC7">
    <w:name w:val="toc 7"/>
    <w:basedOn w:val="Normal"/>
    <w:next w:val="Normal"/>
    <w:autoRedefine/>
    <w:semiHidden/>
    <w:pPr>
      <w:tabs>
        <w:tab w:val="right" w:leader="dot" w:pos="9071"/>
      </w:tabs>
      <w:ind w:left="1320"/>
    </w:pPr>
  </w:style>
  <w:style w:type="paragraph" w:styleId="TOC8">
    <w:name w:val="toc 8"/>
    <w:basedOn w:val="Normal"/>
    <w:next w:val="Normal"/>
    <w:autoRedefine/>
    <w:semiHidden/>
    <w:pPr>
      <w:tabs>
        <w:tab w:val="right" w:leader="dot" w:pos="9071"/>
      </w:tabs>
      <w:ind w:left="1540"/>
    </w:pPr>
  </w:style>
  <w:style w:type="paragraph" w:styleId="TOC9">
    <w:name w:val="toc 9"/>
    <w:basedOn w:val="Normal"/>
    <w:next w:val="Normal"/>
    <w:autoRedefine/>
    <w:semiHidden/>
    <w:pPr>
      <w:tabs>
        <w:tab w:val="right" w:leader="dot" w:pos="9071"/>
      </w:tabs>
      <w:ind w:left="1760"/>
    </w:pPr>
  </w:style>
  <w:style w:type="paragraph" w:styleId="ListBullet">
    <w:name w:val="List Bullet"/>
    <w:basedOn w:val="Normal"/>
    <w:autoRedefine/>
    <w:semiHidden/>
    <w:pPr>
      <w:numPr>
        <w:numId w:val="3"/>
      </w:numPr>
    </w:pPr>
  </w:style>
  <w:style w:type="paragraph" w:styleId="List">
    <w:name w:val="List"/>
    <w:basedOn w:val="Normal"/>
    <w:semiHidden/>
    <w:pPr>
      <w:ind w:left="283" w:hanging="283"/>
    </w:pPr>
  </w:style>
  <w:style w:type="paragraph" w:styleId="ListBullet2">
    <w:name w:val="List Bullet 2"/>
    <w:basedOn w:val="Normal"/>
    <w:autoRedefine/>
    <w:semiHidden/>
    <w:pPr>
      <w:numPr>
        <w:numId w:val="13"/>
      </w:numPr>
    </w:pPr>
  </w:style>
  <w:style w:type="paragraph" w:styleId="ListNumber">
    <w:name w:val="List Number"/>
    <w:basedOn w:val="Normal"/>
    <w:semiHidden/>
    <w:pPr>
      <w:numPr>
        <w:numId w:val="7"/>
      </w:numPr>
    </w:pPr>
  </w:style>
  <w:style w:type="paragraph" w:styleId="ListNumber2">
    <w:name w:val="List Number 2"/>
    <w:basedOn w:val="Normal"/>
    <w:semiHidden/>
    <w:pPr>
      <w:numPr>
        <w:numId w:val="14"/>
      </w:numPr>
    </w:pPr>
  </w:style>
  <w:style w:type="paragraph" w:styleId="ListNumber3">
    <w:name w:val="List Number 3"/>
    <w:basedOn w:val="Normal"/>
    <w:semiHidden/>
    <w:pPr>
      <w:numPr>
        <w:numId w:val="16"/>
      </w:numPr>
    </w:pPr>
  </w:style>
  <w:style w:type="paragraph" w:customStyle="1" w:styleId="Heading1-Chaptertitle">
    <w:name w:val="Heading 1 - Chapter title"/>
    <w:basedOn w:val="Normal"/>
    <w:pPr>
      <w:keepNext/>
      <w:keepLines/>
      <w:spacing w:before="240" w:after="120"/>
      <w:outlineLvl w:val="0"/>
    </w:pPr>
    <w:rPr>
      <w:b/>
      <w:i/>
      <w:sz w:val="28"/>
    </w:rPr>
  </w:style>
  <w:style w:type="character" w:customStyle="1" w:styleId="BodyTextChar">
    <w:name w:val="Body Text Char"/>
    <w:link w:val="BodyText"/>
    <w:semiHidden/>
    <w:rsid w:val="0037061F"/>
    <w:rPr>
      <w:sz w:val="24"/>
      <w:lang w:eastAsia="en-US"/>
    </w:rPr>
  </w:style>
  <w:style w:type="character" w:customStyle="1" w:styleId="BodyTextIndentChar">
    <w:name w:val="Body Text Indent Char"/>
    <w:link w:val="BodyTextIndent"/>
    <w:semiHidden/>
    <w:rsid w:val="0037061F"/>
    <w:rPr>
      <w:sz w:val="24"/>
      <w:lang w:eastAsia="en-US"/>
    </w:rPr>
  </w:style>
  <w:style w:type="character" w:styleId="CommentReference">
    <w:name w:val="annotation reference"/>
    <w:uiPriority w:val="99"/>
    <w:semiHidden/>
    <w:unhideWhenUsed/>
    <w:rsid w:val="00BE5F51"/>
    <w:rPr>
      <w:sz w:val="16"/>
      <w:szCs w:val="16"/>
    </w:rPr>
  </w:style>
  <w:style w:type="paragraph" w:styleId="CommentText">
    <w:name w:val="annotation text"/>
    <w:basedOn w:val="Normal"/>
    <w:link w:val="CommentTextChar"/>
    <w:uiPriority w:val="99"/>
    <w:semiHidden/>
    <w:unhideWhenUsed/>
    <w:rsid w:val="00BE5F51"/>
    <w:rPr>
      <w:sz w:val="20"/>
    </w:rPr>
  </w:style>
  <w:style w:type="character" w:customStyle="1" w:styleId="CommentTextChar">
    <w:name w:val="Comment Text Char"/>
    <w:link w:val="CommentText"/>
    <w:uiPriority w:val="99"/>
    <w:semiHidden/>
    <w:rsid w:val="00BE5F51"/>
    <w:rPr>
      <w:lang w:eastAsia="en-US"/>
    </w:rPr>
  </w:style>
  <w:style w:type="paragraph" w:styleId="CommentSubject">
    <w:name w:val="annotation subject"/>
    <w:basedOn w:val="CommentText"/>
    <w:next w:val="CommentText"/>
    <w:link w:val="CommentSubjectChar"/>
    <w:uiPriority w:val="99"/>
    <w:semiHidden/>
    <w:unhideWhenUsed/>
    <w:rsid w:val="00BE5F51"/>
    <w:rPr>
      <w:b/>
      <w:bCs/>
    </w:rPr>
  </w:style>
  <w:style w:type="character" w:customStyle="1" w:styleId="CommentSubjectChar">
    <w:name w:val="Comment Subject Char"/>
    <w:link w:val="CommentSubject"/>
    <w:uiPriority w:val="99"/>
    <w:semiHidden/>
    <w:rsid w:val="00BE5F51"/>
    <w:rPr>
      <w:b/>
      <w:bCs/>
      <w:lang w:eastAsia="en-US"/>
    </w:rPr>
  </w:style>
  <w:style w:type="paragraph" w:styleId="BalloonText">
    <w:name w:val="Balloon Text"/>
    <w:basedOn w:val="Normal"/>
    <w:link w:val="BalloonTextChar"/>
    <w:uiPriority w:val="99"/>
    <w:semiHidden/>
    <w:unhideWhenUsed/>
    <w:rsid w:val="00BE5F51"/>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BE5F51"/>
    <w:rPr>
      <w:rFonts w:ascii="Segoe UI" w:hAnsi="Segoe UI" w:cs="Segoe UI"/>
      <w:sz w:val="18"/>
      <w:szCs w:val="18"/>
      <w:lang w:eastAsia="en-US"/>
    </w:rPr>
  </w:style>
  <w:style w:type="character" w:styleId="Hyperlink">
    <w:name w:val="Hyperlink"/>
    <w:uiPriority w:val="99"/>
    <w:unhideWhenUsed/>
    <w:qFormat/>
    <w:rsid w:val="00E131B2"/>
    <w:rPr>
      <w:color w:val="0563C1"/>
      <w:u w:val="single"/>
    </w:rPr>
  </w:style>
  <w:style w:type="character" w:styleId="UnresolvedMention">
    <w:name w:val="Unresolved Mention"/>
    <w:uiPriority w:val="99"/>
    <w:semiHidden/>
    <w:unhideWhenUsed/>
    <w:rsid w:val="00E13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monde.fr/idees/article/2020/04/04/il-y-a-ce-a-quoi-nous-sommes-relies-nous-tous-confines-mais-interdependants-responsables-solidaires-et-fiers-de-l-etre_6035532_323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20Mennell\AppData\Roaming\Microsoft\Templates\CollWork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CollWorks.dot</Template>
  <TotalTime>1169</TotalTime>
  <Pages>3</Pages>
  <Words>1118</Words>
  <Characters>5671</Characters>
  <Application>Microsoft Office Word</Application>
  <DocSecurity>0</DocSecurity>
  <Lines>91</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Unknown Organization</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Mennell</dc:creator>
  <cp:keywords/>
  <cp:lastModifiedBy>Stephen Mennell</cp:lastModifiedBy>
  <cp:revision>5</cp:revision>
  <cp:lastPrinted>1997-12-23T17:41:00Z</cp:lastPrinted>
  <dcterms:created xsi:type="dcterms:W3CDTF">2020-04-04T15:09:00Z</dcterms:created>
  <dcterms:modified xsi:type="dcterms:W3CDTF">2020-04-05T10:32:00Z</dcterms:modified>
</cp:coreProperties>
</file>